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618" w:rsidRPr="00355FE2" w:rsidRDefault="003B0618" w:rsidP="003B0618">
      <w:pPr>
        <w:pStyle w:val="Heading1"/>
        <w:numPr>
          <w:ilvl w:val="0"/>
          <w:numId w:val="0"/>
        </w:numPr>
        <w:ind w:left="680"/>
        <w:jc w:val="center"/>
      </w:pPr>
      <w:bookmarkStart w:id="0" w:name="_Toc381269189"/>
      <w:r w:rsidRPr="00355FE2">
        <w:t>PRODUCT INFORMATION</w:t>
      </w:r>
    </w:p>
    <w:p w:rsidR="003B0618" w:rsidRPr="00355FE2" w:rsidRDefault="0001160D" w:rsidP="003B0618">
      <w:pPr>
        <w:pStyle w:val="Heading3"/>
        <w:numPr>
          <w:ilvl w:val="0"/>
          <w:numId w:val="0"/>
        </w:numPr>
        <w:ind w:left="680"/>
        <w:jc w:val="center"/>
      </w:pPr>
      <w:r w:rsidRPr="00355FE2">
        <w:t>TOUJEO</w:t>
      </w:r>
    </w:p>
    <w:p w:rsidR="000E1B95" w:rsidRDefault="00BC52A5" w:rsidP="00950069">
      <w:pPr>
        <w:pStyle w:val="Heading2"/>
        <w:numPr>
          <w:ilvl w:val="0"/>
          <w:numId w:val="0"/>
        </w:numPr>
        <w:ind w:left="680" w:hanging="680"/>
      </w:pPr>
      <w:r>
        <w:t xml:space="preserve">Name of </w:t>
      </w:r>
      <w:r w:rsidR="0048703B">
        <w:t xml:space="preserve">THE </w:t>
      </w:r>
      <w:r>
        <w:t>medicine</w:t>
      </w:r>
      <w:bookmarkEnd w:id="0"/>
    </w:p>
    <w:p w:rsidR="00D71FA2" w:rsidRPr="00151045" w:rsidRDefault="00BB0644" w:rsidP="00D71FA2">
      <w:pPr>
        <w:pStyle w:val="Heading6"/>
        <w:numPr>
          <w:ilvl w:val="0"/>
          <w:numId w:val="0"/>
        </w:numPr>
        <w:ind w:left="1151" w:hanging="1151"/>
        <w:rPr>
          <w:rFonts w:ascii="Times New Roman" w:hAnsi="Times New Roman" w:cs="Times New Roman"/>
          <w:sz w:val="24"/>
          <w:szCs w:val="24"/>
        </w:rPr>
      </w:pPr>
      <w:proofErr w:type="spellStart"/>
      <w:r w:rsidRPr="00151045">
        <w:rPr>
          <w:rFonts w:ascii="Times New Roman" w:hAnsi="Times New Roman" w:cs="Times New Roman"/>
          <w:sz w:val="24"/>
          <w:szCs w:val="24"/>
        </w:rPr>
        <w:t>Toujeo</w:t>
      </w:r>
      <w:proofErr w:type="spellEnd"/>
    </w:p>
    <w:p w:rsidR="00BC52A5" w:rsidRDefault="00BC52A5" w:rsidP="005B646A">
      <w:pPr>
        <w:pStyle w:val="Heading2"/>
        <w:numPr>
          <w:ilvl w:val="0"/>
          <w:numId w:val="0"/>
        </w:numPr>
        <w:ind w:left="680" w:hanging="680"/>
      </w:pPr>
      <w:bookmarkStart w:id="1" w:name="_Toc381269190"/>
      <w:r>
        <w:t>AUSTRALIAN APP</w:t>
      </w:r>
      <w:r w:rsidR="00590004">
        <w:t>r</w:t>
      </w:r>
      <w:r>
        <w:t>OVED NAME</w:t>
      </w:r>
      <w:bookmarkEnd w:id="1"/>
    </w:p>
    <w:p w:rsidR="00BC52A5" w:rsidRPr="00151045" w:rsidRDefault="00D71FA2" w:rsidP="00D71FA2">
      <w:pPr>
        <w:pStyle w:val="Heading6"/>
        <w:numPr>
          <w:ilvl w:val="0"/>
          <w:numId w:val="0"/>
        </w:numPr>
        <w:ind w:left="1151" w:hanging="1151"/>
        <w:rPr>
          <w:rFonts w:ascii="Times New Roman" w:hAnsi="Times New Roman" w:cs="Times New Roman"/>
          <w:sz w:val="24"/>
          <w:szCs w:val="24"/>
        </w:rPr>
      </w:pPr>
      <w:r w:rsidRPr="00151045">
        <w:rPr>
          <w:rFonts w:ascii="Times New Roman" w:hAnsi="Times New Roman" w:cs="Times New Roman"/>
          <w:sz w:val="24"/>
          <w:szCs w:val="24"/>
        </w:rPr>
        <w:t xml:space="preserve">Insulin </w:t>
      </w:r>
      <w:proofErr w:type="spellStart"/>
      <w:r w:rsidRPr="00151045">
        <w:rPr>
          <w:rFonts w:ascii="Times New Roman" w:hAnsi="Times New Roman" w:cs="Times New Roman"/>
          <w:sz w:val="24"/>
          <w:szCs w:val="24"/>
        </w:rPr>
        <w:t>glargine</w:t>
      </w:r>
      <w:proofErr w:type="spellEnd"/>
    </w:p>
    <w:p w:rsidR="00BC52A5" w:rsidRDefault="00BC52A5" w:rsidP="00BC52A5">
      <w:pPr>
        <w:pStyle w:val="Heading2"/>
        <w:numPr>
          <w:ilvl w:val="0"/>
          <w:numId w:val="0"/>
        </w:numPr>
      </w:pPr>
      <w:bookmarkStart w:id="2" w:name="_Toc381269191"/>
      <w:r>
        <w:t>CHEMICAL STRUCTURE</w:t>
      </w:r>
      <w:bookmarkEnd w:id="2"/>
    </w:p>
    <w:p w:rsidR="0019780F" w:rsidRPr="00DC228C" w:rsidRDefault="00D71FA2" w:rsidP="00DC228C">
      <w:r w:rsidRPr="00DC228C">
        <w:t xml:space="preserve">Insulin </w:t>
      </w:r>
      <w:proofErr w:type="spellStart"/>
      <w:r w:rsidRPr="00DC228C">
        <w:t>glargine</w:t>
      </w:r>
      <w:proofErr w:type="spellEnd"/>
      <w:r w:rsidRPr="00DC228C">
        <w:t xml:space="preserve"> is produced by recombinant DNA technology in Escherichia coli.</w:t>
      </w:r>
    </w:p>
    <w:p w:rsidR="00BC52A5" w:rsidRPr="00DC228C" w:rsidRDefault="0019780F" w:rsidP="00DC228C">
      <w:r w:rsidRPr="00DC228C">
        <w:t>Molecular F</w:t>
      </w:r>
      <w:r w:rsidR="00BC52A5" w:rsidRPr="00DC228C">
        <w:t>ormula:</w:t>
      </w:r>
      <w:r w:rsidR="00D71FA2" w:rsidRPr="00DC228C">
        <w:t xml:space="preserve"> </w:t>
      </w:r>
      <w:r w:rsidR="00F81E8E" w:rsidRPr="002006A0">
        <w:t>C</w:t>
      </w:r>
      <w:r w:rsidR="00F81E8E" w:rsidRPr="002006A0">
        <w:rPr>
          <w:vertAlign w:val="subscript"/>
        </w:rPr>
        <w:t>267</w:t>
      </w:r>
      <w:r w:rsidR="00F81E8E" w:rsidRPr="002006A0">
        <w:t>H</w:t>
      </w:r>
      <w:r w:rsidR="00F81E8E" w:rsidRPr="002006A0">
        <w:rPr>
          <w:vertAlign w:val="subscript"/>
        </w:rPr>
        <w:t>404</w:t>
      </w:r>
      <w:r w:rsidR="00F81E8E" w:rsidRPr="002006A0">
        <w:t>N</w:t>
      </w:r>
      <w:r w:rsidR="00F81E8E" w:rsidRPr="002006A0">
        <w:rPr>
          <w:vertAlign w:val="subscript"/>
        </w:rPr>
        <w:t>72</w:t>
      </w:r>
      <w:r w:rsidR="00F81E8E" w:rsidRPr="002006A0">
        <w:t>O</w:t>
      </w:r>
      <w:r w:rsidR="00F81E8E" w:rsidRPr="002006A0">
        <w:rPr>
          <w:vertAlign w:val="subscript"/>
        </w:rPr>
        <w:t>78</w:t>
      </w:r>
      <w:r w:rsidR="00F81E8E" w:rsidRPr="002006A0">
        <w:t>S</w:t>
      </w:r>
      <w:r w:rsidR="00F81E8E" w:rsidRPr="002006A0">
        <w:rPr>
          <w:vertAlign w:val="subscript"/>
        </w:rPr>
        <w:t>6</w:t>
      </w:r>
    </w:p>
    <w:p w:rsidR="00BC52A5" w:rsidRPr="00DC228C" w:rsidRDefault="0019780F" w:rsidP="00DC228C">
      <w:r w:rsidRPr="00DC228C">
        <w:t>Molecular W</w:t>
      </w:r>
      <w:r w:rsidR="00BC52A5" w:rsidRPr="00DC228C">
        <w:t>eight:</w:t>
      </w:r>
      <w:r w:rsidR="00D71FA2" w:rsidRPr="00DC228C">
        <w:t xml:space="preserve"> </w:t>
      </w:r>
      <w:r w:rsidR="00D71FA2" w:rsidRPr="001E398F">
        <w:t>6063</w:t>
      </w:r>
      <w:r w:rsidR="005A6443" w:rsidRPr="001E398F">
        <w:t xml:space="preserve"> </w:t>
      </w:r>
    </w:p>
    <w:p w:rsidR="00BC52A5" w:rsidRDefault="0019780F" w:rsidP="00DC228C">
      <w:r w:rsidRPr="00DC228C">
        <w:t>Chemical N</w:t>
      </w:r>
      <w:r w:rsidR="00BC52A5" w:rsidRPr="00DC228C">
        <w:t>ame:</w:t>
      </w:r>
      <w:r w:rsidR="00D71FA2" w:rsidRPr="00DC228C">
        <w:t xml:space="preserve"> </w:t>
      </w:r>
      <w:r w:rsidR="008917E7" w:rsidRPr="00DC228C">
        <w:t xml:space="preserve">21A-Gly-30Ba-L-Arg-30Bb-L-Arg </w:t>
      </w:r>
      <w:r w:rsidR="00D71FA2" w:rsidRPr="00DC228C">
        <w:t>-</w:t>
      </w:r>
      <w:r w:rsidR="00D71FA2" w:rsidRPr="001E398F">
        <w:t>human insulin</w:t>
      </w:r>
    </w:p>
    <w:bookmarkStart w:id="3" w:name="_MON_975389233"/>
    <w:bookmarkEnd w:id="3"/>
    <w:p w:rsidR="00F81E8E" w:rsidRDefault="00F81E8E" w:rsidP="00DC228C">
      <w:pPr>
        <w:rPr>
          <w:snapToGrid w:val="0"/>
        </w:rPr>
      </w:pPr>
      <w:r>
        <w:rPr>
          <w:snapToGrid w:val="0"/>
        </w:rPr>
        <w:object w:dxaOrig="8265" w:dyaOrig="4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207pt" o:ole="" fillcolor="window">
            <v:imagedata r:id="rId9" o:title=""/>
          </v:shape>
          <o:OLEObject Type="Embed" ProgID="Word.Picture.8" ShapeID="_x0000_i1025" DrawAspect="Content" ObjectID="_1546693127" r:id="rId10"/>
        </w:object>
      </w:r>
    </w:p>
    <w:p w:rsidR="00C95056" w:rsidRDefault="00C95056" w:rsidP="00DC228C">
      <w:pPr>
        <w:rPr>
          <w:snapToGrid w:val="0"/>
          <w:color w:val="00B050"/>
        </w:rPr>
      </w:pPr>
    </w:p>
    <w:p w:rsidR="0019780F" w:rsidRDefault="0019780F" w:rsidP="0019780F">
      <w:pPr>
        <w:pStyle w:val="Heading2"/>
        <w:numPr>
          <w:ilvl w:val="0"/>
          <w:numId w:val="0"/>
        </w:numPr>
      </w:pPr>
      <w:bookmarkStart w:id="4" w:name="_Toc381269192"/>
      <w:r>
        <w:lastRenderedPageBreak/>
        <w:t>CAS Registry Number</w:t>
      </w:r>
      <w:bookmarkEnd w:id="4"/>
    </w:p>
    <w:p w:rsidR="0019780F" w:rsidRPr="00DC228C" w:rsidRDefault="00910DF7" w:rsidP="00DC228C">
      <w:r w:rsidRPr="00DC228C">
        <w:t>160337-95-1</w:t>
      </w:r>
    </w:p>
    <w:p w:rsidR="00BC52A5" w:rsidRDefault="00BC52A5" w:rsidP="00BC52A5">
      <w:pPr>
        <w:pStyle w:val="Heading1"/>
        <w:pageBreakBefore w:val="0"/>
        <w:numPr>
          <w:ilvl w:val="0"/>
          <w:numId w:val="0"/>
        </w:numPr>
      </w:pPr>
      <w:bookmarkStart w:id="5" w:name="_Toc381269193"/>
      <w:r>
        <w:t>description</w:t>
      </w:r>
      <w:bookmarkEnd w:id="5"/>
    </w:p>
    <w:p w:rsidR="00B272E9" w:rsidRPr="00FA6F52" w:rsidRDefault="00BB0644" w:rsidP="00DC228C">
      <w:pPr>
        <w:rPr>
          <w:color w:val="auto"/>
        </w:rPr>
      </w:pPr>
      <w:proofErr w:type="spellStart"/>
      <w:r w:rsidRPr="00FA6F52">
        <w:rPr>
          <w:color w:val="auto"/>
        </w:rPr>
        <w:t>Toujeo</w:t>
      </w:r>
      <w:proofErr w:type="spellEnd"/>
      <w:r w:rsidR="00910DF7" w:rsidRPr="00FA6F52">
        <w:rPr>
          <w:color w:val="auto"/>
        </w:rPr>
        <w:t xml:space="preserve"> is a sterile clear </w:t>
      </w:r>
      <w:proofErr w:type="spellStart"/>
      <w:r w:rsidR="00910DF7" w:rsidRPr="00FA6F52">
        <w:rPr>
          <w:color w:val="auto"/>
        </w:rPr>
        <w:t>colourless</w:t>
      </w:r>
      <w:proofErr w:type="spellEnd"/>
      <w:r w:rsidR="00910DF7" w:rsidRPr="00FA6F52">
        <w:rPr>
          <w:color w:val="auto"/>
        </w:rPr>
        <w:t xml:space="preserve"> solution of insulin </w:t>
      </w:r>
      <w:proofErr w:type="spellStart"/>
      <w:r w:rsidR="00910DF7" w:rsidRPr="00FA6F52">
        <w:rPr>
          <w:color w:val="auto"/>
        </w:rPr>
        <w:t>glargine</w:t>
      </w:r>
      <w:proofErr w:type="spellEnd"/>
      <w:r w:rsidR="00910DF7" w:rsidRPr="00FA6F52">
        <w:rPr>
          <w:color w:val="auto"/>
        </w:rPr>
        <w:t xml:space="preserve"> in cartridges for use as an injection</w:t>
      </w:r>
      <w:r w:rsidR="00141F3C" w:rsidRPr="00FA6F52">
        <w:rPr>
          <w:color w:val="auto"/>
        </w:rPr>
        <w:t>.</w:t>
      </w:r>
      <w:r w:rsidR="000D4230">
        <w:rPr>
          <w:color w:val="auto"/>
        </w:rPr>
        <w:t xml:space="preserve"> Each </w:t>
      </w:r>
      <w:r w:rsidR="00156455">
        <w:rPr>
          <w:color w:val="auto"/>
        </w:rPr>
        <w:t>mL</w:t>
      </w:r>
      <w:r w:rsidR="00B272E9" w:rsidRPr="00FA6F52">
        <w:rPr>
          <w:color w:val="auto"/>
        </w:rPr>
        <w:t xml:space="preserve"> contains 300 units of insulin </w:t>
      </w:r>
      <w:proofErr w:type="spellStart"/>
      <w:r w:rsidR="00B272E9" w:rsidRPr="00FA6F52">
        <w:rPr>
          <w:color w:val="auto"/>
        </w:rPr>
        <w:t>glargine</w:t>
      </w:r>
      <w:proofErr w:type="spellEnd"/>
      <w:r w:rsidR="00B272E9" w:rsidRPr="00FA6F52">
        <w:rPr>
          <w:color w:val="auto"/>
        </w:rPr>
        <w:t xml:space="preserve"> (equivalent to 1</w:t>
      </w:r>
      <w:r w:rsidR="000D4230">
        <w:rPr>
          <w:color w:val="auto"/>
        </w:rPr>
        <w:t>0.91mg). Each pen contains 1.5</w:t>
      </w:r>
      <w:r w:rsidR="00156455">
        <w:rPr>
          <w:color w:val="auto"/>
        </w:rPr>
        <w:t>mL</w:t>
      </w:r>
      <w:r w:rsidR="00B272E9" w:rsidRPr="00FA6F52">
        <w:rPr>
          <w:color w:val="auto"/>
        </w:rPr>
        <w:t xml:space="preserve"> of solution for injection, equivalent to 450 units.</w:t>
      </w:r>
      <w:r w:rsidR="00EB2B3C" w:rsidRPr="00FA6F52">
        <w:rPr>
          <w:color w:val="auto"/>
        </w:rPr>
        <w:t xml:space="preserve"> </w:t>
      </w:r>
      <w:proofErr w:type="spellStart"/>
      <w:r w:rsidR="00EB2B3C" w:rsidRPr="00FA6F52">
        <w:rPr>
          <w:color w:val="auto"/>
        </w:rPr>
        <w:t>Toujeo</w:t>
      </w:r>
      <w:proofErr w:type="spellEnd"/>
      <w:r w:rsidR="00EB2B3C" w:rsidRPr="00FA6F52">
        <w:rPr>
          <w:color w:val="auto"/>
        </w:rPr>
        <w:t xml:space="preserve"> contain</w:t>
      </w:r>
      <w:r w:rsidR="00D73B47" w:rsidRPr="00FA6F52">
        <w:rPr>
          <w:color w:val="auto"/>
        </w:rPr>
        <w:t>s</w:t>
      </w:r>
      <w:r w:rsidR="00EB2B3C" w:rsidRPr="00FA6F52">
        <w:rPr>
          <w:color w:val="auto"/>
        </w:rPr>
        <w:t xml:space="preserve"> insulin </w:t>
      </w:r>
      <w:proofErr w:type="spellStart"/>
      <w:r w:rsidR="00EB2B3C" w:rsidRPr="00FA6F52">
        <w:rPr>
          <w:color w:val="auto"/>
        </w:rPr>
        <w:t>glargine</w:t>
      </w:r>
      <w:proofErr w:type="spellEnd"/>
      <w:r w:rsidR="00EB2B3C" w:rsidRPr="00FA6F52">
        <w:rPr>
          <w:color w:val="auto"/>
        </w:rPr>
        <w:t>, zinc chloride, meta-cresol, glycerol, hydrochloric acid, sodium hydroxide and water for injections.</w:t>
      </w:r>
    </w:p>
    <w:p w:rsidR="00622222" w:rsidRPr="00FA6F52" w:rsidRDefault="00622222" w:rsidP="00622222">
      <w:pPr>
        <w:pStyle w:val="Heading6"/>
        <w:numPr>
          <w:ilvl w:val="0"/>
          <w:numId w:val="0"/>
        </w:numPr>
        <w:tabs>
          <w:tab w:val="left" w:pos="0"/>
        </w:tabs>
        <w:rPr>
          <w:rFonts w:ascii="Times New Roman" w:hAnsi="Times New Roman" w:cs="Times New Roman"/>
          <w:sz w:val="24"/>
          <w:szCs w:val="24"/>
        </w:rPr>
      </w:pPr>
      <w:proofErr w:type="spellStart"/>
      <w:r w:rsidRPr="00FA6F52">
        <w:rPr>
          <w:rFonts w:ascii="Times New Roman" w:hAnsi="Times New Roman" w:cs="Times New Roman"/>
          <w:sz w:val="24"/>
          <w:szCs w:val="24"/>
        </w:rPr>
        <w:t>Toujeo</w:t>
      </w:r>
      <w:proofErr w:type="spellEnd"/>
      <w:r w:rsidRPr="00FA6F52">
        <w:rPr>
          <w:rFonts w:ascii="Times New Roman" w:hAnsi="Times New Roman" w:cs="Times New Roman"/>
          <w:sz w:val="24"/>
          <w:szCs w:val="24"/>
        </w:rPr>
        <w:t xml:space="preserve"> (</w:t>
      </w:r>
      <w:r w:rsidR="004A27E8">
        <w:rPr>
          <w:rFonts w:ascii="Times New Roman" w:hAnsi="Times New Roman" w:cs="Times New Roman"/>
          <w:sz w:val="24"/>
          <w:szCs w:val="24"/>
        </w:rPr>
        <w:t xml:space="preserve">300 </w:t>
      </w:r>
      <w:r w:rsidR="006B2D88">
        <w:rPr>
          <w:rFonts w:ascii="Times New Roman" w:hAnsi="Times New Roman" w:cs="Times New Roman"/>
          <w:sz w:val="24"/>
          <w:szCs w:val="24"/>
        </w:rPr>
        <w:t>units</w:t>
      </w:r>
      <w:r w:rsidR="004C711C" w:rsidRPr="00FA6F52">
        <w:rPr>
          <w:rFonts w:ascii="Times New Roman" w:hAnsi="Times New Roman" w:cs="Times New Roman"/>
          <w:sz w:val="24"/>
          <w:szCs w:val="24"/>
        </w:rPr>
        <w:t>/</w:t>
      </w:r>
      <w:r w:rsidR="00156455">
        <w:rPr>
          <w:rFonts w:ascii="Times New Roman" w:hAnsi="Times New Roman" w:cs="Times New Roman"/>
          <w:sz w:val="24"/>
          <w:szCs w:val="24"/>
        </w:rPr>
        <w:t>mL</w:t>
      </w:r>
      <w:r w:rsidRPr="00FA6F52">
        <w:rPr>
          <w:rFonts w:ascii="Times New Roman" w:hAnsi="Times New Roman" w:cs="Times New Roman"/>
          <w:sz w:val="24"/>
          <w:szCs w:val="24"/>
        </w:rPr>
        <w:t xml:space="preserve">) is available in a </w:t>
      </w:r>
      <w:proofErr w:type="spellStart"/>
      <w:r w:rsidRPr="00FA6F52">
        <w:rPr>
          <w:rFonts w:ascii="Times New Roman" w:hAnsi="Times New Roman" w:cs="Times New Roman"/>
          <w:sz w:val="24"/>
          <w:szCs w:val="24"/>
        </w:rPr>
        <w:t>Solostar</w:t>
      </w:r>
      <w:proofErr w:type="spellEnd"/>
      <w:r w:rsidRPr="00FA6F52">
        <w:rPr>
          <w:rFonts w:ascii="Times New Roman" w:hAnsi="Times New Roman" w:cs="Times New Roman"/>
          <w:sz w:val="24"/>
          <w:szCs w:val="24"/>
        </w:rPr>
        <w:t xml:space="preserve"> pre-filled </w:t>
      </w:r>
      <w:r w:rsidR="00EB2B3C" w:rsidRPr="00FA6F52">
        <w:rPr>
          <w:rFonts w:ascii="Times New Roman" w:hAnsi="Times New Roman" w:cs="Times New Roman"/>
          <w:sz w:val="24"/>
          <w:szCs w:val="24"/>
        </w:rPr>
        <w:t>disposa</w:t>
      </w:r>
      <w:r w:rsidR="0069078C">
        <w:rPr>
          <w:rFonts w:ascii="Times New Roman" w:hAnsi="Times New Roman" w:cs="Times New Roman"/>
          <w:sz w:val="24"/>
          <w:szCs w:val="24"/>
        </w:rPr>
        <w:t>b</w:t>
      </w:r>
      <w:r w:rsidR="00EB2B3C" w:rsidRPr="00FA6F52">
        <w:rPr>
          <w:rFonts w:ascii="Times New Roman" w:hAnsi="Times New Roman" w:cs="Times New Roman"/>
          <w:sz w:val="24"/>
          <w:szCs w:val="24"/>
        </w:rPr>
        <w:t>l</w:t>
      </w:r>
      <w:r w:rsidR="0069078C">
        <w:rPr>
          <w:rFonts w:ascii="Times New Roman" w:hAnsi="Times New Roman" w:cs="Times New Roman"/>
          <w:sz w:val="24"/>
          <w:szCs w:val="24"/>
        </w:rPr>
        <w:t>e</w:t>
      </w:r>
      <w:r w:rsidR="00EB2B3C" w:rsidRPr="00FA6F52">
        <w:rPr>
          <w:rFonts w:ascii="Times New Roman" w:hAnsi="Times New Roman" w:cs="Times New Roman"/>
          <w:sz w:val="24"/>
          <w:szCs w:val="24"/>
        </w:rPr>
        <w:t xml:space="preserve"> </w:t>
      </w:r>
      <w:r w:rsidRPr="00FA6F52">
        <w:rPr>
          <w:rFonts w:ascii="Times New Roman" w:hAnsi="Times New Roman" w:cs="Times New Roman"/>
          <w:sz w:val="24"/>
          <w:szCs w:val="24"/>
        </w:rPr>
        <w:t>pen</w:t>
      </w:r>
      <w:r w:rsidR="00EB2B3C" w:rsidRPr="00FA6F52">
        <w:rPr>
          <w:rFonts w:ascii="Times New Roman" w:hAnsi="Times New Roman" w:cs="Times New Roman"/>
          <w:sz w:val="24"/>
          <w:szCs w:val="24"/>
        </w:rPr>
        <w:t xml:space="preserve"> injector</w:t>
      </w:r>
      <w:r w:rsidRPr="00FA6F52">
        <w:rPr>
          <w:rFonts w:ascii="Times New Roman" w:hAnsi="Times New Roman" w:cs="Times New Roman"/>
          <w:sz w:val="24"/>
          <w:szCs w:val="24"/>
        </w:rPr>
        <w:t xml:space="preserve">. </w:t>
      </w:r>
    </w:p>
    <w:p w:rsidR="00BC52A5" w:rsidRDefault="00BC52A5" w:rsidP="00BC52A5">
      <w:pPr>
        <w:pStyle w:val="Heading1"/>
        <w:pageBreakBefore w:val="0"/>
        <w:numPr>
          <w:ilvl w:val="0"/>
          <w:numId w:val="0"/>
        </w:numPr>
      </w:pPr>
      <w:bookmarkStart w:id="6" w:name="_Toc381269194"/>
      <w:r>
        <w:t>pharmacology</w:t>
      </w:r>
      <w:bookmarkEnd w:id="6"/>
    </w:p>
    <w:p w:rsidR="00BC52A5" w:rsidRDefault="00BC52A5" w:rsidP="00BC52A5">
      <w:pPr>
        <w:pStyle w:val="Heading2"/>
        <w:numPr>
          <w:ilvl w:val="0"/>
          <w:numId w:val="0"/>
        </w:numPr>
      </w:pPr>
      <w:bookmarkStart w:id="7" w:name="_Toc381269195"/>
      <w:r>
        <w:t>PHARMACODYNAMICS</w:t>
      </w:r>
      <w:bookmarkEnd w:id="7"/>
    </w:p>
    <w:p w:rsidR="00BC52A5" w:rsidRDefault="00BC52A5" w:rsidP="005B646A">
      <w:pPr>
        <w:pStyle w:val="Heading3"/>
        <w:numPr>
          <w:ilvl w:val="0"/>
          <w:numId w:val="0"/>
        </w:numPr>
        <w:ind w:left="680" w:hanging="680"/>
      </w:pPr>
      <w:bookmarkStart w:id="8" w:name="_Toc381269196"/>
      <w:r>
        <w:t>Mechanism of Action</w:t>
      </w:r>
      <w:bookmarkEnd w:id="8"/>
    </w:p>
    <w:p w:rsidR="00BC52A5" w:rsidRPr="00845A92" w:rsidRDefault="00B272E9" w:rsidP="00DC228C">
      <w:pPr>
        <w:rPr>
          <w:color w:val="auto"/>
        </w:rPr>
      </w:pPr>
      <w:r w:rsidRPr="00845A92">
        <w:rPr>
          <w:color w:val="auto"/>
        </w:rPr>
        <w:t xml:space="preserve">The primary activity of insulin, including insulin </w:t>
      </w:r>
      <w:proofErr w:type="spellStart"/>
      <w:r w:rsidRPr="00845A92">
        <w:rPr>
          <w:color w:val="auto"/>
        </w:rPr>
        <w:t>glargine</w:t>
      </w:r>
      <w:proofErr w:type="spellEnd"/>
      <w:r w:rsidRPr="00845A92">
        <w:rPr>
          <w:color w:val="auto"/>
        </w:rPr>
        <w:t>, is regulation of glucose metabolism. Insulin and its analogues lower blood glucose levels by stimulating peripheral glucose uptake, especially by skeletal muscle and fat, and by inhibiting hepatic glucose production. Insulin inhibits lipolysis in the adipocyte, inhibits proteolysis and enhances protein synthesis.</w:t>
      </w:r>
    </w:p>
    <w:p w:rsidR="004B47BF" w:rsidRPr="00845A92" w:rsidRDefault="004B47BF" w:rsidP="00DC228C">
      <w:pPr>
        <w:rPr>
          <w:color w:val="auto"/>
        </w:rPr>
      </w:pPr>
      <w:r w:rsidRPr="00845A92">
        <w:rPr>
          <w:color w:val="auto"/>
        </w:rPr>
        <w:t xml:space="preserve">Insulin </w:t>
      </w:r>
      <w:proofErr w:type="spellStart"/>
      <w:r w:rsidRPr="00845A92">
        <w:rPr>
          <w:color w:val="auto"/>
        </w:rPr>
        <w:t>glargine</w:t>
      </w:r>
      <w:proofErr w:type="spellEnd"/>
      <w:r w:rsidRPr="00845A92">
        <w:rPr>
          <w:color w:val="auto"/>
        </w:rPr>
        <w:t xml:space="preserve"> is a human insulin analogue designed to have a low solubility at neutral </w:t>
      </w:r>
      <w:proofErr w:type="spellStart"/>
      <w:r w:rsidRPr="00845A92">
        <w:rPr>
          <w:color w:val="auto"/>
        </w:rPr>
        <w:t>pH.</w:t>
      </w:r>
      <w:proofErr w:type="spellEnd"/>
      <w:r w:rsidRPr="00845A92">
        <w:rPr>
          <w:color w:val="auto"/>
        </w:rPr>
        <w:t xml:space="preserve"> At pH 4, insulin </w:t>
      </w:r>
      <w:proofErr w:type="spellStart"/>
      <w:r w:rsidRPr="00845A92">
        <w:rPr>
          <w:color w:val="auto"/>
        </w:rPr>
        <w:t>glargine</w:t>
      </w:r>
      <w:proofErr w:type="spellEnd"/>
      <w:r w:rsidRPr="00845A92">
        <w:rPr>
          <w:color w:val="auto"/>
        </w:rPr>
        <w:t xml:space="preserve"> is completely soluble. After injection into the subcutaneous tissue, the acidic solution is </w:t>
      </w:r>
      <w:proofErr w:type="spellStart"/>
      <w:r w:rsidRPr="00845A92">
        <w:rPr>
          <w:color w:val="auto"/>
        </w:rPr>
        <w:t>neutralised</w:t>
      </w:r>
      <w:proofErr w:type="spellEnd"/>
      <w:r w:rsidRPr="00845A92">
        <w:rPr>
          <w:color w:val="auto"/>
        </w:rPr>
        <w:t xml:space="preserve"> leading to formation of a precipitate from which small amounts of insulin </w:t>
      </w:r>
      <w:proofErr w:type="spellStart"/>
      <w:r w:rsidRPr="00845A92">
        <w:rPr>
          <w:color w:val="auto"/>
        </w:rPr>
        <w:t>glargine</w:t>
      </w:r>
      <w:proofErr w:type="spellEnd"/>
      <w:r w:rsidRPr="00845A92">
        <w:rPr>
          <w:color w:val="auto"/>
        </w:rPr>
        <w:t xml:space="preserve"> are continuously released.</w:t>
      </w:r>
    </w:p>
    <w:p w:rsidR="00505B4E" w:rsidRDefault="004B47BF" w:rsidP="00DC228C">
      <w:pPr>
        <w:rPr>
          <w:color w:val="auto"/>
        </w:rPr>
      </w:pPr>
      <w:r w:rsidRPr="00845A92">
        <w:rPr>
          <w:color w:val="auto"/>
        </w:rPr>
        <w:t xml:space="preserve">In </w:t>
      </w:r>
      <w:proofErr w:type="spellStart"/>
      <w:r w:rsidRPr="00845A92">
        <w:rPr>
          <w:color w:val="auto"/>
        </w:rPr>
        <w:t>euglycaemic</w:t>
      </w:r>
      <w:proofErr w:type="spellEnd"/>
      <w:r w:rsidRPr="00845A92">
        <w:rPr>
          <w:color w:val="auto"/>
        </w:rPr>
        <w:t xml:space="preserve"> clamp studies in healthy subjects or in patients with type 1 diabetes, the onset of action of subcutaneo</w:t>
      </w:r>
      <w:r w:rsidR="00C834F9" w:rsidRPr="00845A92">
        <w:rPr>
          <w:color w:val="auto"/>
        </w:rPr>
        <w:t xml:space="preserve">us </w:t>
      </w:r>
      <w:r w:rsidR="004A27E8">
        <w:rPr>
          <w:color w:val="auto"/>
        </w:rPr>
        <w:t xml:space="preserve">insulin </w:t>
      </w:r>
      <w:proofErr w:type="spellStart"/>
      <w:r w:rsidR="004A27E8">
        <w:rPr>
          <w:color w:val="auto"/>
        </w:rPr>
        <w:t>glargine</w:t>
      </w:r>
      <w:proofErr w:type="spellEnd"/>
      <w:r w:rsidR="004A27E8">
        <w:rPr>
          <w:color w:val="auto"/>
        </w:rPr>
        <w:t xml:space="preserve"> 100 </w:t>
      </w:r>
      <w:r w:rsidR="006B2D88">
        <w:rPr>
          <w:color w:val="auto"/>
        </w:rPr>
        <w:t>units</w:t>
      </w:r>
      <w:r w:rsidR="000D4230">
        <w:rPr>
          <w:color w:val="auto"/>
        </w:rPr>
        <w:t>/</w:t>
      </w:r>
      <w:r w:rsidR="00156455">
        <w:rPr>
          <w:color w:val="auto"/>
        </w:rPr>
        <w:t>mL</w:t>
      </w:r>
      <w:r w:rsidR="004C711C" w:rsidRPr="00845A92">
        <w:rPr>
          <w:color w:val="auto"/>
        </w:rPr>
        <w:t xml:space="preserve"> (</w:t>
      </w:r>
      <w:r w:rsidR="00C834F9" w:rsidRPr="00845A92">
        <w:rPr>
          <w:color w:val="auto"/>
        </w:rPr>
        <w:t>Lantus</w:t>
      </w:r>
      <w:r w:rsidR="004C711C" w:rsidRPr="00845A92">
        <w:rPr>
          <w:color w:val="auto"/>
        </w:rPr>
        <w:t>)</w:t>
      </w:r>
      <w:r w:rsidRPr="00845A92">
        <w:rPr>
          <w:color w:val="auto"/>
        </w:rPr>
        <w:t xml:space="preserve"> was slower than with NPH</w:t>
      </w:r>
      <w:r w:rsidR="00C323B4" w:rsidRPr="00845A92">
        <w:rPr>
          <w:color w:val="auto"/>
        </w:rPr>
        <w:t xml:space="preserve"> (Neutral Protamine </w:t>
      </w:r>
      <w:proofErr w:type="spellStart"/>
      <w:r w:rsidR="00C323B4" w:rsidRPr="00845A92">
        <w:rPr>
          <w:color w:val="auto"/>
        </w:rPr>
        <w:t>Hagedorn</w:t>
      </w:r>
      <w:proofErr w:type="spellEnd"/>
      <w:r w:rsidR="00C323B4" w:rsidRPr="00845A92">
        <w:rPr>
          <w:color w:val="auto"/>
        </w:rPr>
        <w:t>)</w:t>
      </w:r>
      <w:r w:rsidR="003D0B2A" w:rsidRPr="00845A92">
        <w:rPr>
          <w:color w:val="auto"/>
        </w:rPr>
        <w:t xml:space="preserve"> </w:t>
      </w:r>
      <w:proofErr w:type="gramStart"/>
      <w:r w:rsidR="003D0B2A" w:rsidRPr="00845A92">
        <w:rPr>
          <w:color w:val="auto"/>
        </w:rPr>
        <w:t xml:space="preserve">human </w:t>
      </w:r>
      <w:r w:rsidRPr="00845A92">
        <w:rPr>
          <w:color w:val="auto"/>
        </w:rPr>
        <w:t xml:space="preserve"> insulin</w:t>
      </w:r>
      <w:proofErr w:type="gramEnd"/>
      <w:r w:rsidRPr="00845A92">
        <w:rPr>
          <w:color w:val="auto"/>
        </w:rPr>
        <w:t xml:space="preserve">, its effect profile was smooth and </w:t>
      </w:r>
      <w:proofErr w:type="spellStart"/>
      <w:r w:rsidRPr="00845A92">
        <w:rPr>
          <w:color w:val="auto"/>
        </w:rPr>
        <w:t>peakless</w:t>
      </w:r>
      <w:proofErr w:type="spellEnd"/>
      <w:r w:rsidRPr="00845A92">
        <w:rPr>
          <w:color w:val="auto"/>
        </w:rPr>
        <w:t>, and the duration of its effect was prolonged.</w:t>
      </w:r>
    </w:p>
    <w:p w:rsidR="0053481E" w:rsidRPr="00285D40" w:rsidRDefault="004B47BF" w:rsidP="00DC228C">
      <w:pPr>
        <w:rPr>
          <w:dstrike/>
          <w:color w:val="FF0000"/>
        </w:rPr>
      </w:pPr>
      <w:r w:rsidRPr="00FA6F52">
        <w:rPr>
          <w:color w:val="auto"/>
        </w:rPr>
        <w:t xml:space="preserve">As observed in </w:t>
      </w:r>
      <w:proofErr w:type="spellStart"/>
      <w:r w:rsidRPr="00FA6F52">
        <w:rPr>
          <w:color w:val="auto"/>
        </w:rPr>
        <w:t>euglycaemic</w:t>
      </w:r>
      <w:proofErr w:type="spellEnd"/>
      <w:r w:rsidRPr="00FA6F52">
        <w:rPr>
          <w:color w:val="auto"/>
        </w:rPr>
        <w:t xml:space="preserve"> clamp studies in patients with type 1 diabetes, the glucose lowering effect of </w:t>
      </w:r>
      <w:proofErr w:type="spellStart"/>
      <w:r w:rsidR="00BB0644" w:rsidRPr="00FA6F52">
        <w:rPr>
          <w:color w:val="auto"/>
        </w:rPr>
        <w:t>Toujeo</w:t>
      </w:r>
      <w:proofErr w:type="spellEnd"/>
      <w:r w:rsidR="004A27E8">
        <w:rPr>
          <w:color w:val="auto"/>
        </w:rPr>
        <w:t xml:space="preserve"> (300 </w:t>
      </w:r>
      <w:r w:rsidR="006B2D88">
        <w:rPr>
          <w:color w:val="auto"/>
        </w:rPr>
        <w:t>units</w:t>
      </w:r>
      <w:r w:rsidR="000D4230">
        <w:rPr>
          <w:color w:val="auto"/>
        </w:rPr>
        <w:t>/</w:t>
      </w:r>
      <w:r w:rsidR="00156455">
        <w:rPr>
          <w:color w:val="auto"/>
        </w:rPr>
        <w:t>mL</w:t>
      </w:r>
      <w:r w:rsidR="004D6EDC" w:rsidRPr="00FA6F52">
        <w:rPr>
          <w:color w:val="auto"/>
        </w:rPr>
        <w:t>)</w:t>
      </w:r>
      <w:r w:rsidRPr="00FA6F52">
        <w:rPr>
          <w:color w:val="auto"/>
        </w:rPr>
        <w:t xml:space="preserve"> was </w:t>
      </w:r>
      <w:r w:rsidR="00015F8B" w:rsidRPr="00755AEB">
        <w:rPr>
          <w:color w:val="auto"/>
        </w:rPr>
        <w:t xml:space="preserve">smoother, more </w:t>
      </w:r>
      <w:r w:rsidR="00015F8B" w:rsidRPr="000F48DE">
        <w:rPr>
          <w:color w:val="auto"/>
        </w:rPr>
        <w:t>stable</w:t>
      </w:r>
      <w:r w:rsidR="00015F8B" w:rsidRPr="000F48DE">
        <w:rPr>
          <w:color w:val="1F497D"/>
        </w:rPr>
        <w:t xml:space="preserve"> </w:t>
      </w:r>
      <w:r w:rsidRPr="000F48DE">
        <w:rPr>
          <w:color w:val="auto"/>
        </w:rPr>
        <w:t>and</w:t>
      </w:r>
      <w:r w:rsidRPr="00FA6F52">
        <w:rPr>
          <w:color w:val="auto"/>
        </w:rPr>
        <w:t xml:space="preserve"> prolonged in </w:t>
      </w:r>
      <w:r w:rsidR="00401322" w:rsidRPr="00FA6F52">
        <w:rPr>
          <w:color w:val="auto"/>
        </w:rPr>
        <w:t>comparison</w:t>
      </w:r>
      <w:r w:rsidRPr="00FA6F52">
        <w:rPr>
          <w:color w:val="auto"/>
        </w:rPr>
        <w:t xml:space="preserve"> with </w:t>
      </w:r>
      <w:r w:rsidR="00044848" w:rsidRPr="00755AEB">
        <w:rPr>
          <w:color w:val="auto"/>
        </w:rPr>
        <w:t xml:space="preserve">insulin </w:t>
      </w:r>
      <w:proofErr w:type="spellStart"/>
      <w:r w:rsidR="00044848" w:rsidRPr="00755AEB">
        <w:rPr>
          <w:color w:val="auto"/>
        </w:rPr>
        <w:t>glargine</w:t>
      </w:r>
      <w:proofErr w:type="spellEnd"/>
      <w:r w:rsidR="00044848" w:rsidRPr="00044848">
        <w:rPr>
          <w:color w:val="FF0000"/>
        </w:rPr>
        <w:t xml:space="preserve"> </w:t>
      </w:r>
      <w:r w:rsidR="004D6EDC" w:rsidRPr="00FA6F52">
        <w:rPr>
          <w:color w:val="auto"/>
        </w:rPr>
        <w:t>100</w:t>
      </w:r>
      <w:r w:rsidR="009E2615" w:rsidRPr="00FA6F52">
        <w:rPr>
          <w:color w:val="auto"/>
        </w:rPr>
        <w:t xml:space="preserve"> </w:t>
      </w:r>
      <w:r w:rsidR="006B2D88">
        <w:rPr>
          <w:color w:val="auto"/>
        </w:rPr>
        <w:t>units</w:t>
      </w:r>
      <w:r w:rsidR="000D4230">
        <w:rPr>
          <w:color w:val="auto"/>
        </w:rPr>
        <w:t>/</w:t>
      </w:r>
      <w:r w:rsidR="00156455">
        <w:rPr>
          <w:color w:val="auto"/>
        </w:rPr>
        <w:t>mL</w:t>
      </w:r>
      <w:r w:rsidR="00C834F9" w:rsidRPr="00FA6F52">
        <w:rPr>
          <w:color w:val="auto"/>
        </w:rPr>
        <w:t xml:space="preserve"> </w:t>
      </w:r>
      <w:r w:rsidRPr="00FA6F52">
        <w:rPr>
          <w:color w:val="auto"/>
        </w:rPr>
        <w:t xml:space="preserve">subcutaneous </w:t>
      </w:r>
      <w:proofErr w:type="gramStart"/>
      <w:r w:rsidRPr="00FA6F52">
        <w:rPr>
          <w:color w:val="auto"/>
        </w:rPr>
        <w:t>injection</w:t>
      </w:r>
      <w:proofErr w:type="gramEnd"/>
      <w:r w:rsidRPr="00FA6F52">
        <w:rPr>
          <w:color w:val="auto"/>
        </w:rPr>
        <w:t xml:space="preserve">. </w:t>
      </w:r>
      <w:r w:rsidR="002E661F" w:rsidRPr="00FA6F52">
        <w:rPr>
          <w:color w:val="auto"/>
        </w:rPr>
        <w:fldChar w:fldCharType="begin"/>
      </w:r>
      <w:r w:rsidR="002E661F" w:rsidRPr="00FA6F52">
        <w:rPr>
          <w:color w:val="auto"/>
        </w:rPr>
        <w:instrText xml:space="preserve"> REF _Ref383507332 \h  \* MERGEFORMAT </w:instrText>
      </w:r>
      <w:r w:rsidR="002E661F" w:rsidRPr="00FA6F52">
        <w:rPr>
          <w:color w:val="auto"/>
        </w:rPr>
      </w:r>
      <w:r w:rsidR="002E661F" w:rsidRPr="00FA6F52">
        <w:rPr>
          <w:color w:val="auto"/>
        </w:rPr>
        <w:fldChar w:fldCharType="separate"/>
      </w:r>
      <w:r w:rsidR="002C5256" w:rsidRPr="002C5256">
        <w:rPr>
          <w:color w:val="auto"/>
        </w:rPr>
        <w:t>Figure 1</w:t>
      </w:r>
      <w:r w:rsidR="002E661F" w:rsidRPr="00FA6F52">
        <w:rPr>
          <w:color w:val="auto"/>
        </w:rPr>
        <w:fldChar w:fldCharType="end"/>
      </w:r>
      <w:r w:rsidR="006A6FF7" w:rsidRPr="00FA6F52">
        <w:rPr>
          <w:color w:val="auto"/>
        </w:rPr>
        <w:t xml:space="preserve"> </w:t>
      </w:r>
      <w:r w:rsidRPr="00FA6F52">
        <w:rPr>
          <w:color w:val="auto"/>
        </w:rPr>
        <w:t>shows results from a study</w:t>
      </w:r>
      <w:r w:rsidR="00E74226">
        <w:rPr>
          <w:color w:val="auto"/>
        </w:rPr>
        <w:t xml:space="preserve"> </w:t>
      </w:r>
      <w:r w:rsidR="00E74226" w:rsidRPr="00755AEB">
        <w:rPr>
          <w:rFonts w:eastAsia="Times New Roman"/>
          <w:color w:val="auto"/>
          <w:spacing w:val="-5"/>
        </w:rPr>
        <w:t>(study TDR11626</w:t>
      </w:r>
      <w:proofErr w:type="gramStart"/>
      <w:r w:rsidR="00E74226" w:rsidRPr="00755AEB">
        <w:rPr>
          <w:rFonts w:eastAsia="Times New Roman"/>
          <w:color w:val="auto"/>
          <w:spacing w:val="-5"/>
        </w:rPr>
        <w:t>)</w:t>
      </w:r>
      <w:r w:rsidR="00E74226" w:rsidRPr="00B841BC">
        <w:rPr>
          <w:rFonts w:eastAsia="Times New Roman"/>
          <w:color w:val="0070C0"/>
          <w:spacing w:val="-5"/>
        </w:rPr>
        <w:t xml:space="preserve"> </w:t>
      </w:r>
      <w:r w:rsidRPr="00FA6F52">
        <w:rPr>
          <w:color w:val="auto"/>
        </w:rPr>
        <w:t xml:space="preserve"> in</w:t>
      </w:r>
      <w:proofErr w:type="gramEnd"/>
      <w:r w:rsidRPr="00FA6F52">
        <w:rPr>
          <w:color w:val="auto"/>
        </w:rPr>
        <w:t xml:space="preserve"> patients with type 1 diabetes conducted for a maximum of 36 hours after injection.</w:t>
      </w:r>
      <w:r w:rsidR="00273B40" w:rsidRPr="00FA6F52">
        <w:rPr>
          <w:color w:val="auto"/>
        </w:rPr>
        <w:t xml:space="preserve"> </w:t>
      </w:r>
      <w:r w:rsidRPr="00FA6F52">
        <w:rPr>
          <w:color w:val="auto"/>
        </w:rPr>
        <w:t xml:space="preserve">The effect of </w:t>
      </w:r>
      <w:proofErr w:type="spellStart"/>
      <w:r w:rsidR="00BB0644" w:rsidRPr="00FA6F52">
        <w:rPr>
          <w:color w:val="auto"/>
        </w:rPr>
        <w:t>Toujeo</w:t>
      </w:r>
      <w:proofErr w:type="spellEnd"/>
      <w:r w:rsidRPr="00FA6F52">
        <w:rPr>
          <w:color w:val="auto"/>
        </w:rPr>
        <w:t xml:space="preserve"> was beyond 24 hours (up to 36 hours) at clinically relevant doses. </w:t>
      </w:r>
    </w:p>
    <w:p w:rsidR="00725E79" w:rsidRDefault="00725E79" w:rsidP="00725E79">
      <w:pPr>
        <w:rPr>
          <w:color w:val="auto"/>
        </w:rPr>
      </w:pPr>
      <w:r w:rsidRPr="00725E79">
        <w:rPr>
          <w:color w:val="auto"/>
        </w:rPr>
        <w:lastRenderedPageBreak/>
        <w:t>The d</w:t>
      </w:r>
      <w:r>
        <w:rPr>
          <w:color w:val="auto"/>
        </w:rPr>
        <w:t xml:space="preserve">ifference of </w:t>
      </w:r>
      <w:r w:rsidR="00D551DF">
        <w:rPr>
          <w:color w:val="auto"/>
        </w:rPr>
        <w:t xml:space="preserve">the </w:t>
      </w:r>
      <w:r>
        <w:rPr>
          <w:color w:val="auto"/>
        </w:rPr>
        <w:t xml:space="preserve">profile between </w:t>
      </w:r>
      <w:proofErr w:type="spellStart"/>
      <w:r>
        <w:rPr>
          <w:color w:val="auto"/>
        </w:rPr>
        <w:t>Toujeo</w:t>
      </w:r>
      <w:proofErr w:type="spellEnd"/>
      <w:r>
        <w:rPr>
          <w:color w:val="auto"/>
        </w:rPr>
        <w:t xml:space="preserve"> and Lantus</w:t>
      </w:r>
      <w:r w:rsidRPr="00725E79">
        <w:rPr>
          <w:color w:val="auto"/>
        </w:rPr>
        <w:t xml:space="preserve"> is attributable to the modification of the release of insulin </w:t>
      </w:r>
      <w:proofErr w:type="spellStart"/>
      <w:r>
        <w:rPr>
          <w:color w:val="auto"/>
        </w:rPr>
        <w:t>glargine</w:t>
      </w:r>
      <w:proofErr w:type="spellEnd"/>
      <w:r>
        <w:rPr>
          <w:color w:val="auto"/>
        </w:rPr>
        <w:t xml:space="preserve"> from the precipitate.  </w:t>
      </w:r>
      <w:r w:rsidRPr="00725E79">
        <w:rPr>
          <w:color w:val="auto"/>
        </w:rPr>
        <w:t xml:space="preserve">For the same number of insulin </w:t>
      </w:r>
      <w:proofErr w:type="spellStart"/>
      <w:r w:rsidRPr="00725E79">
        <w:rPr>
          <w:color w:val="auto"/>
        </w:rPr>
        <w:t>glargine</w:t>
      </w:r>
      <w:proofErr w:type="spellEnd"/>
      <w:r w:rsidRPr="00725E79">
        <w:rPr>
          <w:color w:val="auto"/>
        </w:rPr>
        <w:t xml:space="preserve"> units injec</w:t>
      </w:r>
      <w:r>
        <w:rPr>
          <w:color w:val="auto"/>
        </w:rPr>
        <w:t xml:space="preserve">ted, the injected volume of </w:t>
      </w:r>
      <w:proofErr w:type="spellStart"/>
      <w:r>
        <w:rPr>
          <w:color w:val="auto"/>
        </w:rPr>
        <w:t>Toujeo</w:t>
      </w:r>
      <w:proofErr w:type="spellEnd"/>
      <w:r>
        <w:rPr>
          <w:color w:val="auto"/>
        </w:rPr>
        <w:t xml:space="preserve"> is one third that </w:t>
      </w:r>
      <w:proofErr w:type="gramStart"/>
      <w:r>
        <w:rPr>
          <w:color w:val="auto"/>
        </w:rPr>
        <w:t>of</w:t>
      </w:r>
      <w:r w:rsidR="00755AEB">
        <w:rPr>
          <w:color w:val="auto"/>
        </w:rPr>
        <w:t xml:space="preserve"> </w:t>
      </w:r>
      <w:r w:rsidR="00EA6EDA" w:rsidRPr="00755AEB">
        <w:rPr>
          <w:color w:val="auto"/>
        </w:rPr>
        <w:t xml:space="preserve">insulin </w:t>
      </w:r>
      <w:proofErr w:type="spellStart"/>
      <w:r w:rsidR="00EA6EDA" w:rsidRPr="00755AEB">
        <w:rPr>
          <w:color w:val="auto"/>
        </w:rPr>
        <w:t>glargine</w:t>
      </w:r>
      <w:proofErr w:type="spellEnd"/>
      <w:r w:rsidR="00EA6EDA" w:rsidRPr="00755AEB">
        <w:rPr>
          <w:color w:val="auto"/>
        </w:rPr>
        <w:t xml:space="preserve"> 100 units/</w:t>
      </w:r>
      <w:proofErr w:type="spellStart"/>
      <w:r w:rsidR="00EA6EDA" w:rsidRPr="00755AEB">
        <w:rPr>
          <w:color w:val="auto"/>
        </w:rPr>
        <w:t>mL</w:t>
      </w:r>
      <w:proofErr w:type="gramEnd"/>
      <w:r w:rsidRPr="00755AEB">
        <w:rPr>
          <w:color w:val="auto"/>
        </w:rPr>
        <w:t>.</w:t>
      </w:r>
      <w:proofErr w:type="spellEnd"/>
      <w:r w:rsidRPr="00725E79">
        <w:rPr>
          <w:color w:val="auto"/>
        </w:rPr>
        <w:t xml:space="preserve"> This leads to a reduction of the precipitate surface area which provides a more sustained release o</w:t>
      </w:r>
      <w:r>
        <w:rPr>
          <w:color w:val="auto"/>
        </w:rPr>
        <w:t xml:space="preserve">f insulin </w:t>
      </w:r>
      <w:proofErr w:type="spellStart"/>
      <w:r>
        <w:rPr>
          <w:color w:val="auto"/>
        </w:rPr>
        <w:t>glargine</w:t>
      </w:r>
      <w:proofErr w:type="spellEnd"/>
      <w:r>
        <w:rPr>
          <w:color w:val="auto"/>
        </w:rPr>
        <w:t xml:space="preserve"> from the </w:t>
      </w:r>
      <w:proofErr w:type="spellStart"/>
      <w:r>
        <w:rPr>
          <w:color w:val="auto"/>
        </w:rPr>
        <w:t>Touje</w:t>
      </w:r>
      <w:r w:rsidR="00EA6EDA">
        <w:rPr>
          <w:color w:val="auto"/>
        </w:rPr>
        <w:t>o</w:t>
      </w:r>
      <w:proofErr w:type="spellEnd"/>
      <w:r w:rsidRPr="00725E79">
        <w:rPr>
          <w:color w:val="auto"/>
        </w:rPr>
        <w:t xml:space="preserve"> precipitate</w:t>
      </w:r>
      <w:r w:rsidR="00EA6EDA">
        <w:rPr>
          <w:color w:val="auto"/>
        </w:rPr>
        <w:t xml:space="preserve"> compared </w:t>
      </w:r>
      <w:proofErr w:type="gramStart"/>
      <w:r w:rsidR="00EA6EDA">
        <w:rPr>
          <w:color w:val="auto"/>
        </w:rPr>
        <w:t xml:space="preserve">to </w:t>
      </w:r>
      <w:r w:rsidR="00EA6EDA" w:rsidRPr="00755AEB">
        <w:rPr>
          <w:color w:val="auto"/>
        </w:rPr>
        <w:t xml:space="preserve">insulin </w:t>
      </w:r>
      <w:proofErr w:type="spellStart"/>
      <w:r w:rsidR="00EA6EDA" w:rsidRPr="00755AEB">
        <w:rPr>
          <w:color w:val="auto"/>
        </w:rPr>
        <w:t>glargine</w:t>
      </w:r>
      <w:proofErr w:type="spellEnd"/>
      <w:r w:rsidR="00EA6EDA" w:rsidRPr="00755AEB">
        <w:rPr>
          <w:color w:val="auto"/>
        </w:rPr>
        <w:t xml:space="preserve"> 100 units/</w:t>
      </w:r>
      <w:proofErr w:type="spellStart"/>
      <w:r w:rsidR="00EA6EDA" w:rsidRPr="00755AEB">
        <w:rPr>
          <w:color w:val="auto"/>
        </w:rPr>
        <w:t>mL</w:t>
      </w:r>
      <w:proofErr w:type="gramEnd"/>
      <w:r w:rsidRPr="00755AEB">
        <w:rPr>
          <w:color w:val="auto"/>
        </w:rPr>
        <w:t>.</w:t>
      </w:r>
      <w:proofErr w:type="spellEnd"/>
    </w:p>
    <w:p w:rsidR="006F2A30" w:rsidRDefault="006F2A30" w:rsidP="00725E79">
      <w:pPr>
        <w:rPr>
          <w:color w:val="auto"/>
        </w:rPr>
      </w:pPr>
    </w:p>
    <w:p w:rsidR="00DC228C" w:rsidRPr="00FA6F52" w:rsidRDefault="00DC228C" w:rsidP="00DC228C">
      <w:pPr>
        <w:pStyle w:val="Caption"/>
        <w:rPr>
          <w:b w:val="0"/>
        </w:rPr>
      </w:pPr>
      <w:bookmarkStart w:id="9" w:name="_Ref383507332"/>
      <w:bookmarkStart w:id="10" w:name="_Ref383504848"/>
      <w:r w:rsidRPr="00FA6F52">
        <w:t>Figure </w:t>
      </w:r>
      <w:r w:rsidR="0069078C">
        <w:fldChar w:fldCharType="begin"/>
      </w:r>
      <w:r w:rsidR="0069078C">
        <w:instrText xml:space="preserve"> SEQ Figure \* ARABIC </w:instrText>
      </w:r>
      <w:r w:rsidR="0069078C">
        <w:fldChar w:fldCharType="separate"/>
      </w:r>
      <w:r w:rsidR="002C5256">
        <w:rPr>
          <w:noProof/>
        </w:rPr>
        <w:t>1</w:t>
      </w:r>
      <w:r w:rsidR="0069078C">
        <w:fldChar w:fldCharType="end"/>
      </w:r>
      <w:bookmarkEnd w:id="9"/>
      <w:r w:rsidR="00E74226">
        <w:t xml:space="preserve"> </w:t>
      </w:r>
      <w:r w:rsidR="00E74226">
        <w:rPr>
          <w:rFonts w:ascii="Times New Roman" w:eastAsia="Times New Roman" w:hAnsi="Times New Roman" w:cs="Times New Roman"/>
          <w:color w:val="0070C0"/>
          <w:spacing w:val="-5"/>
          <w:sz w:val="24"/>
          <w:szCs w:val="24"/>
          <w:u w:val="double"/>
        </w:rPr>
        <w:t>-</w:t>
      </w:r>
      <w:r w:rsidRPr="00FA6F52">
        <w:t xml:space="preserve"> </w:t>
      </w:r>
      <w:r w:rsidRPr="00FA6F52">
        <w:rPr>
          <w:b w:val="0"/>
        </w:rPr>
        <w:t xml:space="preserve">Activity Profile </w:t>
      </w:r>
      <w:r w:rsidR="00015F8B">
        <w:rPr>
          <w:b w:val="0"/>
        </w:rPr>
        <w:t xml:space="preserve">at </w:t>
      </w:r>
      <w:r w:rsidR="00015F8B" w:rsidRPr="00755AEB">
        <w:rPr>
          <w:b w:val="0"/>
        </w:rPr>
        <w:t>steady state</w:t>
      </w:r>
      <w:r w:rsidR="00015F8B">
        <w:rPr>
          <w:b w:val="0"/>
        </w:rPr>
        <w:t xml:space="preserve"> </w:t>
      </w:r>
      <w:r w:rsidRPr="00FA6F52">
        <w:rPr>
          <w:b w:val="0"/>
        </w:rPr>
        <w:t xml:space="preserve">in Patients with type 1 diabetes in a 36-hour </w:t>
      </w:r>
      <w:proofErr w:type="spellStart"/>
      <w:r w:rsidRPr="00FA6F52">
        <w:rPr>
          <w:b w:val="0"/>
        </w:rPr>
        <w:t>Euglycaemic</w:t>
      </w:r>
      <w:proofErr w:type="spellEnd"/>
      <w:r w:rsidRPr="00FA6F52">
        <w:rPr>
          <w:b w:val="0"/>
        </w:rPr>
        <w:t xml:space="preserve"> Clamp Study</w:t>
      </w:r>
      <w:bookmarkEnd w:id="10"/>
      <w:r w:rsidR="00E74226">
        <w:rPr>
          <w:b w:val="0"/>
        </w:rPr>
        <w:t xml:space="preserve"> </w:t>
      </w:r>
      <w:r w:rsidR="00E74226" w:rsidRPr="00755AEB">
        <w:rPr>
          <w:b w:val="0"/>
        </w:rPr>
        <w:t>(studyTDR11626)</w:t>
      </w:r>
    </w:p>
    <w:p w:rsidR="0084672B" w:rsidRDefault="0084672B" w:rsidP="0084672B">
      <w:pPr>
        <w:autoSpaceDE w:val="0"/>
        <w:autoSpaceDN w:val="0"/>
        <w:adjustRightInd w:val="0"/>
        <w:spacing w:before="6" w:line="160" w:lineRule="exact"/>
        <w:rPr>
          <w:rFonts w:eastAsia="Times New Roman"/>
          <w:color w:val="auto"/>
          <w:sz w:val="16"/>
          <w:szCs w:val="16"/>
          <w:lang w:val="en-AU" w:eastAsia="en-AU"/>
        </w:rPr>
      </w:pPr>
    </w:p>
    <w:p w:rsidR="0084672B" w:rsidRDefault="004D0406" w:rsidP="0084672B">
      <w:pPr>
        <w:autoSpaceDE w:val="0"/>
        <w:autoSpaceDN w:val="0"/>
        <w:adjustRightInd w:val="0"/>
        <w:spacing w:before="0"/>
        <w:ind w:left="454" w:right="-20"/>
        <w:rPr>
          <w:rFonts w:eastAsia="Times New Roman"/>
          <w:color w:val="auto"/>
          <w:sz w:val="20"/>
          <w:szCs w:val="20"/>
          <w:lang w:val="en-AU" w:eastAsia="en-AU"/>
        </w:rPr>
      </w:pPr>
      <w:r>
        <w:rPr>
          <w:rFonts w:eastAsia="Times New Roman"/>
          <w:color w:val="auto"/>
          <w:sz w:val="16"/>
          <w:szCs w:val="16"/>
          <w:lang w:val="en-AU" w:eastAsia="en-AU"/>
        </w:rPr>
        <w:pict>
          <v:shape id="_x0000_i1026" type="#_x0000_t75" style="width:414pt;height:127.5pt">
            <v:imagedata r:id="rId11" o:title=""/>
          </v:shape>
        </w:pict>
      </w:r>
    </w:p>
    <w:p w:rsidR="00DC228C" w:rsidRPr="00FA6F52" w:rsidRDefault="00DC228C" w:rsidP="00DC228C">
      <w:pPr>
        <w:spacing w:before="0"/>
        <w:jc w:val="center"/>
        <w:rPr>
          <w:b/>
          <w:bCs/>
          <w:noProof/>
          <w:color w:val="auto"/>
          <w:spacing w:val="-2"/>
          <w:sz w:val="20"/>
          <w:szCs w:val="20"/>
        </w:rPr>
      </w:pPr>
    </w:p>
    <w:p w:rsidR="005805AE" w:rsidRDefault="005805AE" w:rsidP="005805AE">
      <w:pPr>
        <w:rPr>
          <w:rFonts w:ascii="Arial Narrow" w:hAnsi="Arial Narrow"/>
          <w:color w:val="auto"/>
          <w:sz w:val="20"/>
        </w:rPr>
      </w:pPr>
      <w:r w:rsidRPr="00FA6F52">
        <w:rPr>
          <w:rFonts w:ascii="Arial Narrow" w:hAnsi="Arial Narrow"/>
          <w:color w:val="auto"/>
          <w:sz w:val="20"/>
        </w:rPr>
        <w:t xml:space="preserve">Glucose infusion </w:t>
      </w:r>
      <w:r w:rsidR="00DC228C" w:rsidRPr="00FA6F52">
        <w:rPr>
          <w:rFonts w:ascii="Arial Narrow" w:hAnsi="Arial Narrow"/>
          <w:color w:val="auto"/>
          <w:sz w:val="20"/>
        </w:rPr>
        <w:t>rate:</w:t>
      </w:r>
      <w:r w:rsidR="006A6FF7" w:rsidRPr="00FA6F52">
        <w:rPr>
          <w:rFonts w:ascii="Arial Narrow" w:hAnsi="Arial Narrow"/>
          <w:color w:val="auto"/>
          <w:sz w:val="20"/>
        </w:rPr>
        <w:t xml:space="preserve"> </w:t>
      </w:r>
      <w:r w:rsidRPr="00FA6F52">
        <w:rPr>
          <w:rFonts w:ascii="Arial Narrow" w:hAnsi="Arial Narrow"/>
          <w:color w:val="auto"/>
          <w:sz w:val="20"/>
        </w:rPr>
        <w:t>determined as amount of glucose infused to maintain constant plasma glucose levels (hourly mean values). The end of the observation period was 36 hours.</w:t>
      </w:r>
    </w:p>
    <w:p w:rsidR="00B40E15" w:rsidRDefault="00B40E15" w:rsidP="005805AE">
      <w:pPr>
        <w:rPr>
          <w:rFonts w:ascii="Arial Narrow" w:hAnsi="Arial Narrow"/>
          <w:color w:val="auto"/>
          <w:sz w:val="20"/>
        </w:rPr>
      </w:pPr>
    </w:p>
    <w:p w:rsidR="00AC6613" w:rsidRDefault="00F10ACC" w:rsidP="00401322">
      <w:pPr>
        <w:rPr>
          <w:color w:val="auto"/>
          <w:u w:val="double"/>
        </w:rPr>
      </w:pPr>
      <w:r w:rsidRPr="00627538">
        <w:rPr>
          <w:color w:val="auto"/>
        </w:rPr>
        <w:t xml:space="preserve">In clinical pharmacology studies </w:t>
      </w:r>
      <w:r w:rsidR="001A567C" w:rsidRPr="00627538">
        <w:rPr>
          <w:color w:val="auto"/>
        </w:rPr>
        <w:t xml:space="preserve">using </w:t>
      </w:r>
      <w:r w:rsidR="00D551DF">
        <w:rPr>
          <w:color w:val="auto"/>
        </w:rPr>
        <w:t>Lantus (</w:t>
      </w:r>
      <w:r w:rsidRPr="00627538">
        <w:rPr>
          <w:color w:val="auto"/>
        </w:rPr>
        <w:t>100</w:t>
      </w:r>
      <w:r w:rsidR="0055486B" w:rsidRPr="00627538">
        <w:rPr>
          <w:color w:val="auto"/>
        </w:rPr>
        <w:t xml:space="preserve"> </w:t>
      </w:r>
      <w:r w:rsidR="006B2D88">
        <w:rPr>
          <w:color w:val="auto"/>
        </w:rPr>
        <w:t>units</w:t>
      </w:r>
      <w:r w:rsidR="000D4230">
        <w:rPr>
          <w:color w:val="auto"/>
        </w:rPr>
        <w:t>/</w:t>
      </w:r>
      <w:r w:rsidR="00156455">
        <w:rPr>
          <w:color w:val="auto"/>
        </w:rPr>
        <w:t>mL</w:t>
      </w:r>
      <w:r w:rsidRPr="00627538">
        <w:rPr>
          <w:color w:val="auto"/>
        </w:rPr>
        <w:t xml:space="preserve">) and </w:t>
      </w:r>
      <w:proofErr w:type="spellStart"/>
      <w:r w:rsidRPr="00627538">
        <w:rPr>
          <w:color w:val="auto"/>
        </w:rPr>
        <w:t>Toujeo</w:t>
      </w:r>
      <w:proofErr w:type="spellEnd"/>
      <w:r w:rsidRPr="00627538">
        <w:rPr>
          <w:color w:val="auto"/>
        </w:rPr>
        <w:t xml:space="preserve"> (300</w:t>
      </w:r>
      <w:r w:rsidR="0055486B" w:rsidRPr="00627538">
        <w:rPr>
          <w:color w:val="auto"/>
        </w:rPr>
        <w:t xml:space="preserve"> </w:t>
      </w:r>
      <w:r w:rsidR="006B2D88">
        <w:rPr>
          <w:color w:val="auto"/>
        </w:rPr>
        <w:t>units</w:t>
      </w:r>
      <w:r w:rsidR="000D4230">
        <w:rPr>
          <w:color w:val="auto"/>
        </w:rPr>
        <w:t>/</w:t>
      </w:r>
      <w:r w:rsidR="00156455">
        <w:rPr>
          <w:color w:val="auto"/>
        </w:rPr>
        <w:t>mL</w:t>
      </w:r>
      <w:r w:rsidRPr="00627538">
        <w:rPr>
          <w:color w:val="auto"/>
        </w:rPr>
        <w:t xml:space="preserve">); </w:t>
      </w:r>
      <w:r w:rsidR="001A567C" w:rsidRPr="00627538">
        <w:rPr>
          <w:color w:val="auto"/>
        </w:rPr>
        <w:t>insulin</w:t>
      </w:r>
      <w:r w:rsidR="001A567C">
        <w:rPr>
          <w:color w:val="auto"/>
        </w:rPr>
        <w:t xml:space="preserve"> </w:t>
      </w:r>
      <w:proofErr w:type="spellStart"/>
      <w:r w:rsidR="001A567C">
        <w:rPr>
          <w:color w:val="auto"/>
        </w:rPr>
        <w:t>glargine</w:t>
      </w:r>
      <w:proofErr w:type="spellEnd"/>
      <w:r w:rsidR="001A567C">
        <w:rPr>
          <w:color w:val="auto"/>
        </w:rPr>
        <w:t xml:space="preserve"> was </w:t>
      </w:r>
      <w:proofErr w:type="spellStart"/>
      <w:r w:rsidR="00AC6613" w:rsidRPr="00F10ACC">
        <w:rPr>
          <w:color w:val="auto"/>
        </w:rPr>
        <w:t>metabolised</w:t>
      </w:r>
      <w:proofErr w:type="spellEnd"/>
      <w:r w:rsidR="00AC6613" w:rsidRPr="00F10ACC">
        <w:rPr>
          <w:color w:val="auto"/>
        </w:rPr>
        <w:t xml:space="preserve"> into</w:t>
      </w:r>
      <w:r w:rsidR="00EB2B3C" w:rsidRPr="00F10ACC">
        <w:rPr>
          <w:color w:val="auto"/>
        </w:rPr>
        <w:t xml:space="preserve"> 2 active metabolites M1 and M</w:t>
      </w:r>
      <w:r w:rsidR="00EB2B3C" w:rsidRPr="006F2A30">
        <w:rPr>
          <w:color w:val="auto"/>
        </w:rPr>
        <w:t>2</w:t>
      </w:r>
      <w:r w:rsidR="008F00AC" w:rsidRPr="006F2A30">
        <w:rPr>
          <w:color w:val="auto"/>
        </w:rPr>
        <w:t>.</w:t>
      </w:r>
      <w:r w:rsidR="00AC6613" w:rsidRPr="00B40E15">
        <w:rPr>
          <w:color w:val="auto"/>
          <w:u w:val="double"/>
        </w:rPr>
        <w:t xml:space="preserve"> </w:t>
      </w:r>
    </w:p>
    <w:p w:rsidR="00AC6613" w:rsidRPr="00845A92" w:rsidRDefault="00AC6613" w:rsidP="00401322">
      <w:pPr>
        <w:rPr>
          <w:color w:val="auto"/>
        </w:rPr>
      </w:pPr>
      <w:r w:rsidRPr="00845A92">
        <w:rPr>
          <w:color w:val="auto"/>
        </w:rPr>
        <w:t xml:space="preserve">Insulin receptor binding: In vitro studies indicate that the affinity of insulin </w:t>
      </w:r>
      <w:proofErr w:type="spellStart"/>
      <w:r w:rsidRPr="00845A92">
        <w:rPr>
          <w:color w:val="auto"/>
        </w:rPr>
        <w:t>glargine</w:t>
      </w:r>
      <w:proofErr w:type="spellEnd"/>
      <w:r w:rsidRPr="00845A92">
        <w:rPr>
          <w:color w:val="auto"/>
        </w:rPr>
        <w:t xml:space="preserve"> and its metabolites M1 and M2 for the human insulin receptor is similar to the one of human insulin. </w:t>
      </w:r>
    </w:p>
    <w:p w:rsidR="00AC6613" w:rsidRPr="00845A92" w:rsidRDefault="00AC6613" w:rsidP="00401322">
      <w:pPr>
        <w:rPr>
          <w:color w:val="auto"/>
        </w:rPr>
      </w:pPr>
      <w:r w:rsidRPr="00845A92">
        <w:rPr>
          <w:color w:val="auto"/>
        </w:rPr>
        <w:t xml:space="preserve">IGF-1 receptor binding: The affinity of insulin </w:t>
      </w:r>
      <w:proofErr w:type="spellStart"/>
      <w:r w:rsidRPr="00845A92">
        <w:rPr>
          <w:color w:val="auto"/>
        </w:rPr>
        <w:t>glargine</w:t>
      </w:r>
      <w:proofErr w:type="spellEnd"/>
      <w:r w:rsidRPr="00845A92">
        <w:rPr>
          <w:color w:val="auto"/>
        </w:rPr>
        <w:t xml:space="preserve"> for the human IGF 1 receptor is approximately 5 to 8 fold greater than that of human insulin (but approximately 70 to 80 fold lower than the one of IGF 1), whereas M1 and M2 bind the IGF 1 receptor with slightly lower affinity compared to human insulin.</w:t>
      </w:r>
    </w:p>
    <w:p w:rsidR="00AC6613" w:rsidRPr="00845A92" w:rsidRDefault="00AC6613" w:rsidP="00401322">
      <w:pPr>
        <w:rPr>
          <w:color w:val="auto"/>
        </w:rPr>
      </w:pPr>
      <w:r w:rsidRPr="00845A92">
        <w:rPr>
          <w:color w:val="auto"/>
        </w:rPr>
        <w:t xml:space="preserve">The total therapeutic insulin concentration (insulin </w:t>
      </w:r>
      <w:proofErr w:type="spellStart"/>
      <w:r w:rsidRPr="00845A92">
        <w:rPr>
          <w:color w:val="auto"/>
        </w:rPr>
        <w:t>glargine</w:t>
      </w:r>
      <w:proofErr w:type="spellEnd"/>
      <w:r w:rsidRPr="00845A92">
        <w:rPr>
          <w:color w:val="auto"/>
        </w:rPr>
        <w:t xml:space="preserve"> and its metabolites) found in type 1 diabetic </w:t>
      </w:r>
      <w:proofErr w:type="gramStart"/>
      <w:r w:rsidRPr="00845A92">
        <w:rPr>
          <w:color w:val="auto"/>
        </w:rPr>
        <w:t>patients was</w:t>
      </w:r>
      <w:proofErr w:type="gramEnd"/>
      <w:r w:rsidRPr="00845A92">
        <w:rPr>
          <w:color w:val="auto"/>
        </w:rPr>
        <w:t xml:space="preserve"> markedly lower than what would be required for a half</w:t>
      </w:r>
      <w:r w:rsidR="002F373D" w:rsidRPr="00845A92">
        <w:rPr>
          <w:color w:val="auto"/>
        </w:rPr>
        <w:t xml:space="preserve"> </w:t>
      </w:r>
      <w:r w:rsidRPr="00845A92">
        <w:rPr>
          <w:color w:val="auto"/>
        </w:rPr>
        <w:t xml:space="preserve">maximal occupation of the IGF 1 receptor and the subsequent activation of the </w:t>
      </w:r>
      <w:proofErr w:type="spellStart"/>
      <w:r w:rsidRPr="00845A92">
        <w:rPr>
          <w:color w:val="auto"/>
        </w:rPr>
        <w:t>mitogenic</w:t>
      </w:r>
      <w:proofErr w:type="spellEnd"/>
      <w:r w:rsidRPr="00845A92">
        <w:rPr>
          <w:color w:val="auto"/>
        </w:rPr>
        <w:t xml:space="preserve"> proliferative pathway initiated by the IGF 1 receptor. Physiological concentrations of endogenous IGF 1 may activate the </w:t>
      </w:r>
      <w:proofErr w:type="spellStart"/>
      <w:r w:rsidRPr="00845A92">
        <w:rPr>
          <w:color w:val="auto"/>
        </w:rPr>
        <w:t>mitogenic</w:t>
      </w:r>
      <w:proofErr w:type="spellEnd"/>
      <w:r w:rsidRPr="00845A92">
        <w:rPr>
          <w:color w:val="auto"/>
        </w:rPr>
        <w:t xml:space="preserve"> proliferative pathway; however, the therapeutic concentrations found in insulin </w:t>
      </w:r>
      <w:r w:rsidRPr="00845A92">
        <w:rPr>
          <w:color w:val="auto"/>
        </w:rPr>
        <w:lastRenderedPageBreak/>
        <w:t>therapy, including i</w:t>
      </w:r>
      <w:r w:rsidR="00755AEB">
        <w:rPr>
          <w:color w:val="auto"/>
        </w:rPr>
        <w:t>n</w:t>
      </w:r>
      <w:r w:rsidRPr="00845A92">
        <w:rPr>
          <w:color w:val="auto"/>
        </w:rPr>
        <w:t xml:space="preserve"> </w:t>
      </w:r>
      <w:r w:rsidR="00EA6EDA" w:rsidRPr="00755AEB">
        <w:rPr>
          <w:color w:val="auto"/>
        </w:rPr>
        <w:t xml:space="preserve">insulin </w:t>
      </w:r>
      <w:proofErr w:type="spellStart"/>
      <w:r w:rsidR="00EA6EDA" w:rsidRPr="00755AEB">
        <w:rPr>
          <w:color w:val="auto"/>
        </w:rPr>
        <w:t>glargine</w:t>
      </w:r>
      <w:proofErr w:type="spellEnd"/>
      <w:r w:rsidR="00EA6EDA" w:rsidRPr="00755AEB">
        <w:rPr>
          <w:color w:val="auto"/>
        </w:rPr>
        <w:t xml:space="preserve"> 100 units/m</w:t>
      </w:r>
      <w:r w:rsidR="00316F9D" w:rsidRPr="00755AEB">
        <w:rPr>
          <w:color w:val="auto"/>
        </w:rPr>
        <w:t>L</w:t>
      </w:r>
      <w:r w:rsidR="00316F9D" w:rsidRPr="00624441">
        <w:rPr>
          <w:color w:val="1F497D"/>
        </w:rPr>
        <w:t xml:space="preserve"> </w:t>
      </w:r>
      <w:proofErr w:type="gramStart"/>
      <w:r w:rsidRPr="00316F9D">
        <w:rPr>
          <w:color w:val="auto"/>
        </w:rPr>
        <w:t>therapy</w:t>
      </w:r>
      <w:proofErr w:type="gramEnd"/>
      <w:r w:rsidRPr="00845A92">
        <w:rPr>
          <w:color w:val="auto"/>
        </w:rPr>
        <w:t>, are considerably lower than the pharmacological concentrations required to activate the IGF 1 pathway.</w:t>
      </w:r>
    </w:p>
    <w:p w:rsidR="005805AE" w:rsidRDefault="00AC6613" w:rsidP="00401322">
      <w:pPr>
        <w:rPr>
          <w:color w:val="auto"/>
        </w:rPr>
      </w:pPr>
      <w:r w:rsidRPr="00845A92">
        <w:rPr>
          <w:color w:val="auto"/>
        </w:rPr>
        <w:t xml:space="preserve">In a clinical pharmacology study, intravenous insulin </w:t>
      </w:r>
      <w:proofErr w:type="spellStart"/>
      <w:r w:rsidRPr="00845A92">
        <w:rPr>
          <w:color w:val="auto"/>
        </w:rPr>
        <w:t>glargine</w:t>
      </w:r>
      <w:proofErr w:type="spellEnd"/>
      <w:r w:rsidRPr="00845A92">
        <w:rPr>
          <w:color w:val="auto"/>
        </w:rPr>
        <w:t xml:space="preserve"> and human insulin have been shown to be equipotent when given at the same doses. As with all insulin products, the time course of action of insulin </w:t>
      </w:r>
      <w:proofErr w:type="spellStart"/>
      <w:r w:rsidRPr="00845A92">
        <w:rPr>
          <w:color w:val="auto"/>
        </w:rPr>
        <w:t>glargine</w:t>
      </w:r>
      <w:proofErr w:type="spellEnd"/>
      <w:r w:rsidRPr="00845A92">
        <w:rPr>
          <w:color w:val="auto"/>
        </w:rPr>
        <w:t xml:space="preserve"> may be affected by physical activity and other variables.</w:t>
      </w:r>
    </w:p>
    <w:p w:rsidR="00BC52A5" w:rsidRDefault="00BC52A5" w:rsidP="00BC52A5">
      <w:pPr>
        <w:pStyle w:val="Heading2"/>
        <w:numPr>
          <w:ilvl w:val="0"/>
          <w:numId w:val="0"/>
        </w:numPr>
      </w:pPr>
      <w:bookmarkStart w:id="11" w:name="_Toc381269197"/>
      <w:r>
        <w:t>pharmacokinetics</w:t>
      </w:r>
      <w:bookmarkEnd w:id="11"/>
      <w:r w:rsidR="0024031D">
        <w:t xml:space="preserve"> </w:t>
      </w:r>
    </w:p>
    <w:p w:rsidR="00BC52A5" w:rsidRPr="00FA6F52" w:rsidRDefault="00BC52A5" w:rsidP="00BC52A5">
      <w:pPr>
        <w:pStyle w:val="Heading3"/>
        <w:numPr>
          <w:ilvl w:val="0"/>
          <w:numId w:val="0"/>
        </w:numPr>
      </w:pPr>
      <w:bookmarkStart w:id="12" w:name="_Toc381269198"/>
      <w:r w:rsidRPr="00FA6F52">
        <w:t>Absorption</w:t>
      </w:r>
      <w:r w:rsidR="00B9635A" w:rsidRPr="00FA6F52">
        <w:t xml:space="preserve"> and Distribution</w:t>
      </w:r>
      <w:bookmarkEnd w:id="12"/>
    </w:p>
    <w:p w:rsidR="008917E7" w:rsidRPr="00FA6F52" w:rsidRDefault="008917E7" w:rsidP="00401322">
      <w:pPr>
        <w:rPr>
          <w:color w:val="auto"/>
        </w:rPr>
      </w:pPr>
      <w:r w:rsidRPr="00FA6F52">
        <w:rPr>
          <w:color w:val="auto"/>
        </w:rPr>
        <w:t xml:space="preserve">After subcutaneous injection of </w:t>
      </w:r>
      <w:proofErr w:type="spellStart"/>
      <w:r w:rsidR="00BB0644" w:rsidRPr="00FA6F52">
        <w:rPr>
          <w:color w:val="auto"/>
        </w:rPr>
        <w:t>Toujeo</w:t>
      </w:r>
      <w:proofErr w:type="spellEnd"/>
      <w:r w:rsidR="004C711C" w:rsidRPr="00FA6F52">
        <w:rPr>
          <w:color w:val="auto"/>
        </w:rPr>
        <w:t xml:space="preserve"> in healthy subjects and diabetic </w:t>
      </w:r>
      <w:proofErr w:type="gramStart"/>
      <w:r w:rsidR="004C711C" w:rsidRPr="00FA6F52">
        <w:rPr>
          <w:color w:val="auto"/>
        </w:rPr>
        <w:t xml:space="preserve">patients </w:t>
      </w:r>
      <w:r w:rsidRPr="00FA6F52">
        <w:rPr>
          <w:color w:val="auto"/>
        </w:rPr>
        <w:t>,</w:t>
      </w:r>
      <w:proofErr w:type="gramEnd"/>
      <w:r w:rsidRPr="00FA6F52">
        <w:rPr>
          <w:color w:val="auto"/>
        </w:rPr>
        <w:t xml:space="preserve"> the insulin serum concentrations indicated a slower and more prolonged absorption resulting in an even flatter time-concentration profile for up to </w:t>
      </w:r>
      <w:r w:rsidR="00F67C9B" w:rsidRPr="00FA6F52">
        <w:rPr>
          <w:color w:val="auto"/>
        </w:rPr>
        <w:t>36 hours in comparison to Lantus</w:t>
      </w:r>
      <w:r w:rsidRPr="00FA6F52">
        <w:rPr>
          <w:color w:val="auto"/>
        </w:rPr>
        <w:t>. Concentrations were consistent with the time profile of the</w:t>
      </w:r>
      <w:r w:rsidR="00F67C9B" w:rsidRPr="00FA6F52">
        <w:rPr>
          <w:color w:val="auto"/>
        </w:rPr>
        <w:t xml:space="preserve"> </w:t>
      </w:r>
      <w:proofErr w:type="spellStart"/>
      <w:r w:rsidR="00F67C9B" w:rsidRPr="00FA6F52">
        <w:rPr>
          <w:color w:val="auto"/>
        </w:rPr>
        <w:t>pharmacodynamic</w:t>
      </w:r>
      <w:proofErr w:type="spellEnd"/>
      <w:r w:rsidR="00F67C9B" w:rsidRPr="00FA6F52">
        <w:rPr>
          <w:color w:val="auto"/>
        </w:rPr>
        <w:t xml:space="preserve"> activity of </w:t>
      </w:r>
      <w:proofErr w:type="spellStart"/>
      <w:r w:rsidR="00F67C9B" w:rsidRPr="00FA6F52">
        <w:rPr>
          <w:color w:val="auto"/>
        </w:rPr>
        <w:t>Toujeo</w:t>
      </w:r>
      <w:proofErr w:type="spellEnd"/>
      <w:r w:rsidR="00F67C9B" w:rsidRPr="00FA6F52">
        <w:rPr>
          <w:color w:val="auto"/>
        </w:rPr>
        <w:t xml:space="preserve">. </w:t>
      </w:r>
    </w:p>
    <w:p w:rsidR="00B9635A" w:rsidRPr="00FA6F52" w:rsidRDefault="00B9635A" w:rsidP="00401322">
      <w:pPr>
        <w:rPr>
          <w:color w:val="auto"/>
        </w:rPr>
      </w:pPr>
      <w:r w:rsidRPr="00FA6F52">
        <w:rPr>
          <w:color w:val="auto"/>
        </w:rPr>
        <w:t>Steady state level within the thera</w:t>
      </w:r>
      <w:r w:rsidR="00062EEC" w:rsidRPr="00FA6F52">
        <w:rPr>
          <w:color w:val="auto"/>
        </w:rPr>
        <w:t>peutic range is reached after 3-</w:t>
      </w:r>
      <w:r w:rsidRPr="00FA6F52">
        <w:rPr>
          <w:color w:val="auto"/>
        </w:rPr>
        <w:t xml:space="preserve">4 days of daily </w:t>
      </w:r>
      <w:proofErr w:type="spellStart"/>
      <w:r w:rsidR="00BB0644" w:rsidRPr="00FA6F52">
        <w:rPr>
          <w:color w:val="auto"/>
        </w:rPr>
        <w:t>Toujeo</w:t>
      </w:r>
      <w:proofErr w:type="spellEnd"/>
      <w:r w:rsidRPr="00FA6F52">
        <w:rPr>
          <w:color w:val="auto"/>
        </w:rPr>
        <w:t xml:space="preserve"> administration.</w:t>
      </w:r>
    </w:p>
    <w:p w:rsidR="00BC52A5" w:rsidRPr="00FA6F52" w:rsidRDefault="00B9635A" w:rsidP="00401322">
      <w:pPr>
        <w:rPr>
          <w:color w:val="auto"/>
        </w:rPr>
      </w:pPr>
      <w:r w:rsidRPr="00FA6F52">
        <w:rPr>
          <w:color w:val="auto"/>
        </w:rPr>
        <w:t xml:space="preserve">After subcutaneous injection of </w:t>
      </w:r>
      <w:proofErr w:type="spellStart"/>
      <w:r w:rsidR="00BB0644" w:rsidRPr="00FA6F52">
        <w:rPr>
          <w:color w:val="auto"/>
        </w:rPr>
        <w:t>Toujeo</w:t>
      </w:r>
      <w:proofErr w:type="spellEnd"/>
      <w:r w:rsidRPr="00FA6F52">
        <w:rPr>
          <w:color w:val="auto"/>
        </w:rPr>
        <w:t>, the intra-subject variability, defined as the coefficient of variation for the insulin exposure during 24 hours was low at steady state (17.4%).</w:t>
      </w:r>
    </w:p>
    <w:p w:rsidR="00BC52A5" w:rsidRDefault="00BC52A5" w:rsidP="00E444AF">
      <w:pPr>
        <w:pStyle w:val="Heading3"/>
        <w:numPr>
          <w:ilvl w:val="0"/>
          <w:numId w:val="0"/>
        </w:numPr>
        <w:ind w:left="680" w:hanging="680"/>
      </w:pPr>
      <w:bookmarkStart w:id="13" w:name="_Toc381269199"/>
      <w:r>
        <w:t>Metabolism</w:t>
      </w:r>
      <w:bookmarkEnd w:id="13"/>
    </w:p>
    <w:p w:rsidR="00BC52A5" w:rsidRDefault="00066046" w:rsidP="00401322">
      <w:pPr>
        <w:rPr>
          <w:color w:val="auto"/>
        </w:rPr>
      </w:pPr>
      <w:r w:rsidRPr="00845A92">
        <w:rPr>
          <w:color w:val="auto"/>
        </w:rPr>
        <w:t>After subcutaneous injection of</w:t>
      </w:r>
      <w:r w:rsidR="00062EEC" w:rsidRPr="00845A92">
        <w:rPr>
          <w:color w:val="auto"/>
        </w:rPr>
        <w:t xml:space="preserve"> </w:t>
      </w:r>
      <w:r w:rsidR="00F67C9B" w:rsidRPr="00845A92">
        <w:rPr>
          <w:color w:val="auto"/>
        </w:rPr>
        <w:t xml:space="preserve">insulin </w:t>
      </w:r>
      <w:proofErr w:type="spellStart"/>
      <w:r w:rsidR="00F67C9B" w:rsidRPr="00845A92">
        <w:rPr>
          <w:color w:val="auto"/>
        </w:rPr>
        <w:t>glargine</w:t>
      </w:r>
      <w:proofErr w:type="spellEnd"/>
      <w:r w:rsidR="002828E6" w:rsidRPr="00845A92">
        <w:rPr>
          <w:color w:val="auto"/>
        </w:rPr>
        <w:t xml:space="preserve"> in healthy subjects and diabetic patients</w:t>
      </w:r>
      <w:r w:rsidR="00F67C9B" w:rsidRPr="00845A92">
        <w:rPr>
          <w:color w:val="auto"/>
        </w:rPr>
        <w:t xml:space="preserve">, it </w:t>
      </w:r>
      <w:r w:rsidRPr="00845A92">
        <w:rPr>
          <w:color w:val="auto"/>
        </w:rPr>
        <w:t xml:space="preserve">is rapidly metabolized at the carboxyl terminus of the </w:t>
      </w:r>
      <w:r w:rsidR="00D14F9A" w:rsidRPr="00845A92">
        <w:rPr>
          <w:color w:val="auto"/>
        </w:rPr>
        <w:t>b</w:t>
      </w:r>
      <w:r w:rsidRPr="00845A92">
        <w:rPr>
          <w:color w:val="auto"/>
        </w:rPr>
        <w:t xml:space="preserve">eta chain with formation of two active metabolites M1 (21A </w:t>
      </w:r>
      <w:proofErr w:type="spellStart"/>
      <w:r w:rsidRPr="00845A92">
        <w:rPr>
          <w:color w:val="auto"/>
        </w:rPr>
        <w:t>Gly</w:t>
      </w:r>
      <w:proofErr w:type="spellEnd"/>
      <w:r w:rsidRPr="00845A92">
        <w:rPr>
          <w:color w:val="auto"/>
        </w:rPr>
        <w:t xml:space="preserve"> insulin) and M2 (21A </w:t>
      </w:r>
      <w:proofErr w:type="spellStart"/>
      <w:r w:rsidRPr="00845A92">
        <w:rPr>
          <w:color w:val="auto"/>
        </w:rPr>
        <w:t>Gly</w:t>
      </w:r>
      <w:proofErr w:type="spellEnd"/>
      <w:r w:rsidRPr="00845A92">
        <w:rPr>
          <w:color w:val="auto"/>
        </w:rPr>
        <w:t xml:space="preserve"> des 30B </w:t>
      </w:r>
      <w:proofErr w:type="spellStart"/>
      <w:r w:rsidRPr="00845A92">
        <w:rPr>
          <w:color w:val="auto"/>
        </w:rPr>
        <w:t>Thr</w:t>
      </w:r>
      <w:proofErr w:type="spellEnd"/>
      <w:r w:rsidRPr="00845A92">
        <w:rPr>
          <w:color w:val="auto"/>
        </w:rPr>
        <w:t xml:space="preserve"> insulin). In plasma, the principal circulating compound is the metabolite M1. The exposure to M1 increases with the administered dose of insulin </w:t>
      </w:r>
      <w:proofErr w:type="spellStart"/>
      <w:r w:rsidRPr="00845A92">
        <w:rPr>
          <w:color w:val="auto"/>
        </w:rPr>
        <w:t>glargine</w:t>
      </w:r>
      <w:proofErr w:type="spellEnd"/>
      <w:r w:rsidRPr="00845A92">
        <w:rPr>
          <w:color w:val="auto"/>
        </w:rPr>
        <w:t xml:space="preserve">. The pharmacokinetic and </w:t>
      </w:r>
      <w:proofErr w:type="spellStart"/>
      <w:r w:rsidRPr="00845A92">
        <w:rPr>
          <w:color w:val="auto"/>
        </w:rPr>
        <w:t>pharmacodynamic</w:t>
      </w:r>
      <w:proofErr w:type="spellEnd"/>
      <w:r w:rsidRPr="00845A92">
        <w:rPr>
          <w:color w:val="auto"/>
        </w:rPr>
        <w:t xml:space="preserve"> findings indicate that the effect of the subcutaneous injection with insulin </w:t>
      </w:r>
      <w:proofErr w:type="spellStart"/>
      <w:r w:rsidRPr="00845A92">
        <w:rPr>
          <w:color w:val="auto"/>
        </w:rPr>
        <w:t>glargine</w:t>
      </w:r>
      <w:proofErr w:type="spellEnd"/>
      <w:r w:rsidRPr="00845A92">
        <w:rPr>
          <w:color w:val="auto"/>
        </w:rPr>
        <w:t xml:space="preserve"> is principally based on exposure to M1. Insulin </w:t>
      </w:r>
      <w:proofErr w:type="spellStart"/>
      <w:r w:rsidRPr="00845A92">
        <w:rPr>
          <w:color w:val="auto"/>
        </w:rPr>
        <w:t>glargine</w:t>
      </w:r>
      <w:proofErr w:type="spellEnd"/>
      <w:r w:rsidRPr="00845A92">
        <w:rPr>
          <w:color w:val="auto"/>
        </w:rPr>
        <w:t xml:space="preserve"> and the metabolite M2 were not detectable in the vast majority of subjects and, when they were detectable their concentration was independent of the administered dose and formulation of insulin </w:t>
      </w:r>
      <w:proofErr w:type="spellStart"/>
      <w:r w:rsidRPr="00845A92">
        <w:rPr>
          <w:color w:val="auto"/>
        </w:rPr>
        <w:t>glargine</w:t>
      </w:r>
      <w:proofErr w:type="spellEnd"/>
      <w:r w:rsidRPr="00845A92">
        <w:rPr>
          <w:color w:val="auto"/>
        </w:rPr>
        <w:t>.</w:t>
      </w:r>
    </w:p>
    <w:p w:rsidR="00BC52A5" w:rsidRDefault="00BC52A5" w:rsidP="00E444AF">
      <w:pPr>
        <w:pStyle w:val="Heading3"/>
        <w:numPr>
          <w:ilvl w:val="0"/>
          <w:numId w:val="0"/>
        </w:numPr>
        <w:ind w:left="680" w:hanging="680"/>
      </w:pPr>
      <w:bookmarkStart w:id="14" w:name="_Toc381269200"/>
      <w:r>
        <w:t>Excretion</w:t>
      </w:r>
      <w:bookmarkEnd w:id="14"/>
    </w:p>
    <w:p w:rsidR="004C06D0" w:rsidRPr="00755AEB" w:rsidRDefault="004C06D0" w:rsidP="00066046">
      <w:pPr>
        <w:rPr>
          <w:color w:val="auto"/>
        </w:rPr>
      </w:pPr>
      <w:r w:rsidRPr="00755AEB">
        <w:rPr>
          <w:color w:val="auto"/>
        </w:rPr>
        <w:t xml:space="preserve">The half-life after subcutaneous administration of </w:t>
      </w:r>
      <w:proofErr w:type="spellStart"/>
      <w:r w:rsidRPr="00755AEB">
        <w:rPr>
          <w:color w:val="auto"/>
        </w:rPr>
        <w:t>Toujeo</w:t>
      </w:r>
      <w:proofErr w:type="spellEnd"/>
      <w:r w:rsidRPr="00755AEB">
        <w:rPr>
          <w:color w:val="auto"/>
        </w:rPr>
        <w:t xml:space="preserve"> is determined by the rate of absorption from the subcutaneous tissue. The half-life of </w:t>
      </w:r>
      <w:proofErr w:type="spellStart"/>
      <w:r w:rsidRPr="00755AEB">
        <w:rPr>
          <w:color w:val="auto"/>
        </w:rPr>
        <w:t>Toujeo</w:t>
      </w:r>
      <w:proofErr w:type="spellEnd"/>
      <w:r w:rsidRPr="00755AEB">
        <w:rPr>
          <w:color w:val="auto"/>
        </w:rPr>
        <w:t xml:space="preserve"> after subcutaneous injection is 18-19 hours independent of dose. </w:t>
      </w:r>
    </w:p>
    <w:p w:rsidR="00F83DA6" w:rsidRDefault="00F83DA6" w:rsidP="00F83DA6">
      <w:pPr>
        <w:pStyle w:val="Heading3"/>
        <w:numPr>
          <w:ilvl w:val="0"/>
          <w:numId w:val="0"/>
        </w:numPr>
        <w:ind w:left="680" w:hanging="680"/>
      </w:pPr>
      <w:r>
        <w:lastRenderedPageBreak/>
        <w:t>Special Population</w:t>
      </w:r>
      <w:r w:rsidR="008F00AC" w:rsidRPr="00755AEB">
        <w:t>s</w:t>
      </w:r>
      <w:r w:rsidRPr="00755AEB">
        <w:t xml:space="preserve"> </w:t>
      </w:r>
    </w:p>
    <w:p w:rsidR="006B7CDC" w:rsidRPr="00736119" w:rsidRDefault="00F83DA6" w:rsidP="006B7CDC">
      <w:pPr>
        <w:rPr>
          <w:color w:val="auto"/>
        </w:rPr>
      </w:pPr>
      <w:r w:rsidRPr="00736119">
        <w:rPr>
          <w:i/>
          <w:color w:val="auto"/>
        </w:rPr>
        <w:t>Gender, race</w:t>
      </w:r>
      <w:r w:rsidRPr="00736119">
        <w:rPr>
          <w:color w:val="auto"/>
        </w:rPr>
        <w:t>:</w:t>
      </w:r>
      <w:r w:rsidR="00935806" w:rsidRPr="00736119">
        <w:rPr>
          <w:color w:val="auto"/>
        </w:rPr>
        <w:t xml:space="preserve"> Information on the effect of gender or race on the pharmacokinetics of insulin </w:t>
      </w:r>
      <w:proofErr w:type="spellStart"/>
      <w:r w:rsidR="00935806" w:rsidRPr="00736119">
        <w:rPr>
          <w:color w:val="auto"/>
        </w:rPr>
        <w:t>glargine</w:t>
      </w:r>
      <w:proofErr w:type="spellEnd"/>
      <w:r w:rsidR="00935806" w:rsidRPr="00736119">
        <w:rPr>
          <w:color w:val="auto"/>
        </w:rPr>
        <w:t xml:space="preserve"> is unavailable</w:t>
      </w:r>
      <w:r w:rsidR="006B7CDC" w:rsidRPr="00736119">
        <w:rPr>
          <w:color w:val="auto"/>
        </w:rPr>
        <w:t xml:space="preserve"> </w:t>
      </w:r>
    </w:p>
    <w:p w:rsidR="0001037F" w:rsidRPr="00F14F39" w:rsidRDefault="006B7CDC" w:rsidP="00EA6EDA">
      <w:pPr>
        <w:spacing w:before="0"/>
        <w:rPr>
          <w:color w:val="00B050"/>
        </w:rPr>
      </w:pPr>
      <w:r w:rsidRPr="00736119">
        <w:rPr>
          <w:color w:val="auto"/>
        </w:rPr>
        <w:t xml:space="preserve">In controlled clinical trials in adults (n= 3096, safety population), subgroup analysis based on gender and race did not indicate any difference in efficacy and safety between </w:t>
      </w:r>
      <w:proofErr w:type="spellStart"/>
      <w:r w:rsidRPr="00736119">
        <w:rPr>
          <w:color w:val="auto"/>
        </w:rPr>
        <w:t>Toujeo</w:t>
      </w:r>
      <w:proofErr w:type="spellEnd"/>
      <w:r w:rsidRPr="00736119">
        <w:rPr>
          <w:color w:val="auto"/>
        </w:rPr>
        <w:t xml:space="preserve"> and Lantus</w:t>
      </w:r>
      <w:r w:rsidR="00EA6EDA">
        <w:rPr>
          <w:color w:val="auto"/>
        </w:rPr>
        <w:t xml:space="preserve"> </w:t>
      </w:r>
      <w:r w:rsidR="00EA6EDA" w:rsidRPr="00755AEB">
        <w:rPr>
          <w:color w:val="auto"/>
        </w:rPr>
        <w:t xml:space="preserve">(insulin </w:t>
      </w:r>
      <w:proofErr w:type="spellStart"/>
      <w:r w:rsidR="00EA6EDA" w:rsidRPr="00755AEB">
        <w:rPr>
          <w:color w:val="auto"/>
        </w:rPr>
        <w:t>glargine</w:t>
      </w:r>
      <w:proofErr w:type="spellEnd"/>
      <w:r w:rsidR="00EA6EDA" w:rsidRPr="00755AEB">
        <w:rPr>
          <w:color w:val="auto"/>
        </w:rPr>
        <w:t xml:space="preserve"> 100 units/mL)</w:t>
      </w:r>
      <w:r w:rsidR="0055486B" w:rsidRPr="00755AEB">
        <w:rPr>
          <w:color w:val="auto"/>
        </w:rPr>
        <w:t>.</w:t>
      </w:r>
      <w:r w:rsidR="0055486B" w:rsidRPr="00EA6EDA">
        <w:rPr>
          <w:color w:val="FF0000"/>
          <w:u w:val="double"/>
        </w:rPr>
        <w:t xml:space="preserve"> </w:t>
      </w:r>
    </w:p>
    <w:p w:rsidR="00D143F9" w:rsidRDefault="00F83DA6" w:rsidP="00F83DA6">
      <w:pPr>
        <w:rPr>
          <w:color w:val="auto"/>
        </w:rPr>
      </w:pPr>
      <w:r w:rsidRPr="00736119">
        <w:rPr>
          <w:i/>
          <w:color w:val="auto"/>
        </w:rPr>
        <w:t>Elderly patients</w:t>
      </w:r>
      <w:r w:rsidRPr="00736119">
        <w:rPr>
          <w:color w:val="auto"/>
        </w:rPr>
        <w:t>:</w:t>
      </w:r>
      <w:r w:rsidR="00935806" w:rsidRPr="00736119">
        <w:rPr>
          <w:color w:val="auto"/>
        </w:rPr>
        <w:t xml:space="preserve"> The effect of age</w:t>
      </w:r>
      <w:r w:rsidR="00505B4E" w:rsidRPr="00736119">
        <w:rPr>
          <w:color w:val="auto"/>
        </w:rPr>
        <w:t xml:space="preserve"> on the pharmacokinetics of </w:t>
      </w:r>
      <w:proofErr w:type="spellStart"/>
      <w:r w:rsidR="00505B4E" w:rsidRPr="00736119">
        <w:rPr>
          <w:color w:val="auto"/>
        </w:rPr>
        <w:t>Toujeo</w:t>
      </w:r>
      <w:proofErr w:type="spellEnd"/>
      <w:r w:rsidR="00935806" w:rsidRPr="00736119">
        <w:rPr>
          <w:color w:val="auto"/>
        </w:rPr>
        <w:t xml:space="preserve"> has not been studied. In elderly patients with diabetes, the initial dosing, dose increments, and maintenance dosage should be conservative to avoid hypoglycemic reactions. Hypoglycemia may be difficult to recognize in the elderly. Close glucose monitoring is recommended and the insulin dose should be </w:t>
      </w:r>
      <w:r w:rsidR="003B0618">
        <w:rPr>
          <w:color w:val="auto"/>
        </w:rPr>
        <w:t>adjusted on an individual basis.</w:t>
      </w:r>
    </w:p>
    <w:p w:rsidR="00F83DA6" w:rsidRDefault="006B7CDC" w:rsidP="00F83DA6">
      <w:pPr>
        <w:rPr>
          <w:color w:val="00B050"/>
        </w:rPr>
      </w:pPr>
      <w:r w:rsidRPr="00736119">
        <w:rPr>
          <w:color w:val="auto"/>
        </w:rPr>
        <w:t>In controlled clinical trials, a total of 716 patients (23% of the safety population) with type 1 and type 2 diabetes patients were ≥</w:t>
      </w:r>
      <w:r w:rsidR="002E04C5">
        <w:rPr>
          <w:color w:val="auto"/>
        </w:rPr>
        <w:t xml:space="preserve"> </w:t>
      </w:r>
      <w:r w:rsidRPr="00736119">
        <w:rPr>
          <w:color w:val="auto"/>
        </w:rPr>
        <w:t xml:space="preserve">65 years of age and 97 (3%) were ≥ 75 years of age. No overall difference in effectiveness and safety was observed between these patients and younger patients. </w:t>
      </w:r>
    </w:p>
    <w:p w:rsidR="00F83DA6" w:rsidRPr="00736119" w:rsidRDefault="00F83DA6" w:rsidP="00F83DA6">
      <w:pPr>
        <w:rPr>
          <w:color w:val="auto"/>
        </w:rPr>
      </w:pPr>
      <w:r w:rsidRPr="00736119">
        <w:rPr>
          <w:i/>
          <w:color w:val="auto"/>
        </w:rPr>
        <w:t>Pediatric patients:</w:t>
      </w:r>
      <w:r w:rsidRPr="00736119">
        <w:rPr>
          <w:color w:val="auto"/>
        </w:rPr>
        <w:t xml:space="preserve"> </w:t>
      </w:r>
      <w:r w:rsidR="00505B4E" w:rsidRPr="00736119">
        <w:rPr>
          <w:color w:val="auto"/>
        </w:rPr>
        <w:t xml:space="preserve">The pharmacokinetics of </w:t>
      </w:r>
      <w:proofErr w:type="spellStart"/>
      <w:r w:rsidR="00505B4E" w:rsidRPr="00736119">
        <w:rPr>
          <w:color w:val="auto"/>
        </w:rPr>
        <w:t>Toujeo</w:t>
      </w:r>
      <w:proofErr w:type="spellEnd"/>
      <w:r w:rsidR="00935806" w:rsidRPr="00736119">
        <w:rPr>
          <w:color w:val="auto"/>
        </w:rPr>
        <w:t xml:space="preserve"> has not been established in </w:t>
      </w:r>
      <w:proofErr w:type="spellStart"/>
      <w:r w:rsidR="00935806" w:rsidRPr="00736119">
        <w:rPr>
          <w:color w:val="auto"/>
        </w:rPr>
        <w:t>paediatric</w:t>
      </w:r>
      <w:proofErr w:type="spellEnd"/>
      <w:r w:rsidR="00935806" w:rsidRPr="00736119">
        <w:rPr>
          <w:color w:val="auto"/>
        </w:rPr>
        <w:t xml:space="preserve"> patients.</w:t>
      </w:r>
    </w:p>
    <w:p w:rsidR="00F83DA6" w:rsidRPr="00736119" w:rsidRDefault="00F83DA6" w:rsidP="00F83DA6">
      <w:pPr>
        <w:rPr>
          <w:color w:val="auto"/>
        </w:rPr>
      </w:pPr>
      <w:r w:rsidRPr="00736119">
        <w:rPr>
          <w:i/>
          <w:color w:val="auto"/>
        </w:rPr>
        <w:t>Renal impairment:</w:t>
      </w:r>
      <w:r w:rsidR="00935806" w:rsidRPr="00736119">
        <w:rPr>
          <w:color w:val="auto"/>
        </w:rPr>
        <w:t xml:space="preserve"> The effect of renal impairment</w:t>
      </w:r>
      <w:r w:rsidR="00F67C9B" w:rsidRPr="00736119">
        <w:rPr>
          <w:color w:val="auto"/>
        </w:rPr>
        <w:t xml:space="preserve"> on the pharmacokinetics of </w:t>
      </w:r>
      <w:proofErr w:type="spellStart"/>
      <w:r w:rsidR="00F67C9B" w:rsidRPr="00736119">
        <w:rPr>
          <w:color w:val="auto"/>
        </w:rPr>
        <w:t>Toujeo</w:t>
      </w:r>
      <w:proofErr w:type="spellEnd"/>
      <w:r w:rsidR="00935806" w:rsidRPr="00736119">
        <w:rPr>
          <w:color w:val="auto"/>
        </w:rPr>
        <w:t xml:space="preserve"> has not been studied. However, some studies with human insulin have shown increased circulating levels of insulin in patients with renal failure. Close glucose monitoring is recommended and the insulin dose should be adjusted on an individual basis</w:t>
      </w:r>
      <w:r w:rsidR="006B7CDC" w:rsidRPr="00736119">
        <w:rPr>
          <w:color w:val="auto"/>
        </w:rPr>
        <w:t>.</w:t>
      </w:r>
    </w:p>
    <w:p w:rsidR="002C4DED" w:rsidRPr="00755AEB" w:rsidRDefault="006B7CDC" w:rsidP="00F83DA6">
      <w:pPr>
        <w:rPr>
          <w:color w:val="auto"/>
        </w:rPr>
      </w:pPr>
      <w:r w:rsidRPr="00736119">
        <w:rPr>
          <w:color w:val="auto"/>
        </w:rPr>
        <w:t>In controlled clinical studies (n=3096, safety population), subgroup analyses based on renal function status</w:t>
      </w:r>
      <w:r w:rsidR="00D551DF">
        <w:rPr>
          <w:color w:val="auto"/>
        </w:rPr>
        <w:t xml:space="preserve"> (</w:t>
      </w:r>
      <w:r w:rsidRPr="00736119">
        <w:rPr>
          <w:color w:val="auto"/>
        </w:rPr>
        <w:t>baseline estimated glomerular filtrat</w:t>
      </w:r>
      <w:r w:rsidR="00D551DF">
        <w:rPr>
          <w:color w:val="auto"/>
        </w:rPr>
        <w:t>io</w:t>
      </w:r>
      <w:r w:rsidR="009C3EE0">
        <w:rPr>
          <w:color w:val="auto"/>
        </w:rPr>
        <w:t>n rate categories &lt; 60 or ≥ 60</w:t>
      </w:r>
      <w:r w:rsidR="00156455">
        <w:rPr>
          <w:color w:val="auto"/>
        </w:rPr>
        <w:t>mL</w:t>
      </w:r>
      <w:r w:rsidRPr="00736119">
        <w:rPr>
          <w:color w:val="auto"/>
        </w:rPr>
        <w:t>/min/1.72m</w:t>
      </w:r>
      <w:r w:rsidRPr="00736119">
        <w:rPr>
          <w:color w:val="auto"/>
          <w:vertAlign w:val="superscript"/>
        </w:rPr>
        <w:t>2</w:t>
      </w:r>
      <w:r w:rsidRPr="00736119">
        <w:rPr>
          <w:color w:val="auto"/>
        </w:rPr>
        <w:t xml:space="preserve">) did not indicate difference in safety between </w:t>
      </w:r>
      <w:proofErr w:type="spellStart"/>
      <w:r w:rsidRPr="00736119">
        <w:rPr>
          <w:color w:val="auto"/>
        </w:rPr>
        <w:t>Toujeo</w:t>
      </w:r>
      <w:proofErr w:type="spellEnd"/>
      <w:r w:rsidRPr="00736119">
        <w:rPr>
          <w:color w:val="auto"/>
        </w:rPr>
        <w:t xml:space="preserve"> and</w:t>
      </w:r>
      <w:r w:rsidR="00EA6EDA">
        <w:rPr>
          <w:color w:val="auto"/>
        </w:rPr>
        <w:t xml:space="preserve"> </w:t>
      </w:r>
      <w:r w:rsidR="00EA6EDA" w:rsidRPr="00755AEB">
        <w:rPr>
          <w:color w:val="auto"/>
        </w:rPr>
        <w:t xml:space="preserve">insulin </w:t>
      </w:r>
      <w:proofErr w:type="spellStart"/>
      <w:r w:rsidR="00EA6EDA" w:rsidRPr="00755AEB">
        <w:rPr>
          <w:color w:val="auto"/>
        </w:rPr>
        <w:t>glargine</w:t>
      </w:r>
      <w:proofErr w:type="spellEnd"/>
      <w:r w:rsidR="00EA6EDA" w:rsidRPr="00755AEB">
        <w:rPr>
          <w:color w:val="auto"/>
        </w:rPr>
        <w:t xml:space="preserve"> 100 units/</w:t>
      </w:r>
      <w:proofErr w:type="spellStart"/>
      <w:r w:rsidR="00EA6EDA" w:rsidRPr="00755AEB">
        <w:rPr>
          <w:color w:val="auto"/>
        </w:rPr>
        <w:t>mL</w:t>
      </w:r>
      <w:r w:rsidRPr="00755AEB">
        <w:rPr>
          <w:color w:val="auto"/>
        </w:rPr>
        <w:t>.</w:t>
      </w:r>
      <w:proofErr w:type="spellEnd"/>
      <w:r w:rsidRPr="00755AEB">
        <w:rPr>
          <w:color w:val="auto"/>
        </w:rPr>
        <w:t xml:space="preserve"> </w:t>
      </w:r>
    </w:p>
    <w:p w:rsidR="00F83DA6" w:rsidRPr="00736119" w:rsidRDefault="00F83DA6" w:rsidP="00F83DA6">
      <w:pPr>
        <w:rPr>
          <w:color w:val="auto"/>
        </w:rPr>
      </w:pPr>
      <w:r w:rsidRPr="00736119">
        <w:rPr>
          <w:i/>
          <w:color w:val="auto"/>
        </w:rPr>
        <w:t>Hepatic impairment:</w:t>
      </w:r>
      <w:r w:rsidR="00935806" w:rsidRPr="00736119">
        <w:rPr>
          <w:color w:val="auto"/>
        </w:rPr>
        <w:t xml:space="preserve"> The effect of hepatic impairment</w:t>
      </w:r>
      <w:r w:rsidR="00505B4E" w:rsidRPr="00736119">
        <w:rPr>
          <w:color w:val="auto"/>
        </w:rPr>
        <w:t xml:space="preserve"> on the pharmacokinetics of </w:t>
      </w:r>
      <w:proofErr w:type="spellStart"/>
      <w:r w:rsidR="00505B4E" w:rsidRPr="00736119">
        <w:rPr>
          <w:color w:val="auto"/>
        </w:rPr>
        <w:t>Toujeo</w:t>
      </w:r>
      <w:proofErr w:type="spellEnd"/>
      <w:r w:rsidR="00935806" w:rsidRPr="00736119">
        <w:rPr>
          <w:color w:val="auto"/>
        </w:rPr>
        <w:t xml:space="preserve"> has not been studied. However, some studies with human insulin have shown increased circulating levels of insulin in patients with liver failure. Close glucose monitoring is recommended and the insulin dose should be adjusted on an individual basis  </w:t>
      </w:r>
    </w:p>
    <w:p w:rsidR="00BC52A5" w:rsidRDefault="00BC52A5" w:rsidP="00BC52A5">
      <w:pPr>
        <w:pStyle w:val="Heading1"/>
        <w:pageBreakBefore w:val="0"/>
        <w:numPr>
          <w:ilvl w:val="0"/>
          <w:numId w:val="0"/>
        </w:numPr>
      </w:pPr>
      <w:bookmarkStart w:id="15" w:name="_Toc381269211"/>
      <w:r>
        <w:t>clinical trials</w:t>
      </w:r>
      <w:bookmarkEnd w:id="15"/>
    </w:p>
    <w:p w:rsidR="00BC52A5" w:rsidRDefault="003706AC" w:rsidP="00487574">
      <w:pPr>
        <w:rPr>
          <w:color w:val="auto"/>
        </w:rPr>
      </w:pPr>
      <w:r w:rsidRPr="00736119">
        <w:rPr>
          <w:color w:val="auto"/>
        </w:rPr>
        <w:t xml:space="preserve">The overall efficacy and safety of </w:t>
      </w:r>
      <w:proofErr w:type="spellStart"/>
      <w:r w:rsidR="00BB0644" w:rsidRPr="00736119">
        <w:rPr>
          <w:color w:val="auto"/>
        </w:rPr>
        <w:t>Toujeo</w:t>
      </w:r>
      <w:proofErr w:type="spellEnd"/>
      <w:r w:rsidRPr="00736119">
        <w:rPr>
          <w:color w:val="auto"/>
        </w:rPr>
        <w:t xml:space="preserve"> once-daily on </w:t>
      </w:r>
      <w:proofErr w:type="spellStart"/>
      <w:r w:rsidRPr="00736119">
        <w:rPr>
          <w:color w:val="auto"/>
        </w:rPr>
        <w:t>glycaemic</w:t>
      </w:r>
      <w:proofErr w:type="spellEnd"/>
      <w:r w:rsidRPr="00736119">
        <w:rPr>
          <w:color w:val="auto"/>
        </w:rPr>
        <w:t xml:space="preserve"> control was compared to that of once-</w:t>
      </w:r>
      <w:r w:rsidR="004A27E8">
        <w:rPr>
          <w:color w:val="auto"/>
        </w:rPr>
        <w:t xml:space="preserve">daily insulin </w:t>
      </w:r>
      <w:proofErr w:type="spellStart"/>
      <w:r w:rsidR="004A27E8">
        <w:rPr>
          <w:color w:val="auto"/>
        </w:rPr>
        <w:t>glargine</w:t>
      </w:r>
      <w:proofErr w:type="spellEnd"/>
      <w:r w:rsidR="004A27E8">
        <w:rPr>
          <w:color w:val="auto"/>
        </w:rPr>
        <w:t xml:space="preserve"> 100 </w:t>
      </w:r>
      <w:r w:rsidR="006B2D88">
        <w:rPr>
          <w:color w:val="auto"/>
        </w:rPr>
        <w:t>units</w:t>
      </w:r>
      <w:r w:rsidR="009C3EE0">
        <w:rPr>
          <w:color w:val="auto"/>
        </w:rPr>
        <w:t>/</w:t>
      </w:r>
      <w:r w:rsidR="00156455">
        <w:rPr>
          <w:color w:val="auto"/>
        </w:rPr>
        <w:t>mL</w:t>
      </w:r>
      <w:r w:rsidR="006D2A38" w:rsidRPr="00736119">
        <w:rPr>
          <w:color w:val="auto"/>
        </w:rPr>
        <w:t xml:space="preserve"> (</w:t>
      </w:r>
      <w:r w:rsidR="003776DF">
        <w:rPr>
          <w:color w:val="auto"/>
        </w:rPr>
        <w:t>L</w:t>
      </w:r>
      <w:r w:rsidR="006D2A38" w:rsidRPr="00736119">
        <w:rPr>
          <w:color w:val="auto"/>
        </w:rPr>
        <w:t>antus)</w:t>
      </w:r>
      <w:r w:rsidRPr="00736119">
        <w:rPr>
          <w:color w:val="auto"/>
        </w:rPr>
        <w:t xml:space="preserve"> in open-label, </w:t>
      </w:r>
      <w:proofErr w:type="spellStart"/>
      <w:r w:rsidRPr="00736119">
        <w:rPr>
          <w:color w:val="auto"/>
        </w:rPr>
        <w:t>randomised</w:t>
      </w:r>
      <w:proofErr w:type="spellEnd"/>
      <w:r w:rsidRPr="00736119">
        <w:rPr>
          <w:color w:val="auto"/>
        </w:rPr>
        <w:t xml:space="preserve">, active-control, parallel studies of up to 26 weeks of duration, including 546 patients with type 1 diabetes mellitus </w:t>
      </w:r>
      <w:r w:rsidR="00151045">
        <w:rPr>
          <w:color w:val="auto"/>
        </w:rPr>
        <w:t>(</w:t>
      </w:r>
      <w:r w:rsidR="00151045" w:rsidRPr="00151045">
        <w:rPr>
          <w:color w:val="auto"/>
        </w:rPr>
        <w:fldChar w:fldCharType="begin"/>
      </w:r>
      <w:r w:rsidR="00151045" w:rsidRPr="00151045">
        <w:rPr>
          <w:color w:val="auto"/>
        </w:rPr>
        <w:instrText xml:space="preserve"> REF _Ref381269183 \h  \* MERGEFORMAT </w:instrText>
      </w:r>
      <w:r w:rsidR="00151045" w:rsidRPr="00151045">
        <w:rPr>
          <w:color w:val="auto"/>
        </w:rPr>
      </w:r>
      <w:r w:rsidR="00151045" w:rsidRPr="00151045">
        <w:rPr>
          <w:color w:val="auto"/>
        </w:rPr>
        <w:fldChar w:fldCharType="separate"/>
      </w:r>
      <w:r w:rsidR="002C5256" w:rsidRPr="002C5256">
        <w:rPr>
          <w:color w:val="auto"/>
        </w:rPr>
        <w:t>Table 1</w:t>
      </w:r>
      <w:r w:rsidR="00151045" w:rsidRPr="00151045">
        <w:rPr>
          <w:color w:val="auto"/>
        </w:rPr>
        <w:fldChar w:fldCharType="end"/>
      </w:r>
      <w:r w:rsidR="002E04C5">
        <w:rPr>
          <w:color w:val="auto"/>
        </w:rPr>
        <w:t xml:space="preserve">) </w:t>
      </w:r>
      <w:r w:rsidRPr="00151045">
        <w:rPr>
          <w:color w:val="auto"/>
        </w:rPr>
        <w:t xml:space="preserve">and 2474 patients with type 2 </w:t>
      </w:r>
      <w:r w:rsidR="00341664" w:rsidRPr="00151045">
        <w:rPr>
          <w:color w:val="auto"/>
        </w:rPr>
        <w:t>diabetes mellitus (</w:t>
      </w:r>
      <w:r w:rsidR="00341664" w:rsidRPr="00151045">
        <w:rPr>
          <w:color w:val="auto"/>
        </w:rPr>
        <w:fldChar w:fldCharType="begin"/>
      </w:r>
      <w:r w:rsidR="00341664" w:rsidRPr="00151045">
        <w:rPr>
          <w:color w:val="auto"/>
        </w:rPr>
        <w:instrText xml:space="preserve"> REF _Ref381260125 \h  \* MERGEFORMAT </w:instrText>
      </w:r>
      <w:r w:rsidR="00341664" w:rsidRPr="00151045">
        <w:rPr>
          <w:color w:val="auto"/>
        </w:rPr>
      </w:r>
      <w:r w:rsidR="00341664" w:rsidRPr="00151045">
        <w:rPr>
          <w:color w:val="auto"/>
        </w:rPr>
        <w:fldChar w:fldCharType="separate"/>
      </w:r>
      <w:r w:rsidR="002C5256" w:rsidRPr="002C5256">
        <w:rPr>
          <w:color w:val="auto"/>
        </w:rPr>
        <w:t>Table 2</w:t>
      </w:r>
      <w:r w:rsidR="00341664" w:rsidRPr="00151045">
        <w:rPr>
          <w:color w:val="auto"/>
        </w:rPr>
        <w:fldChar w:fldCharType="end"/>
      </w:r>
      <w:r w:rsidRPr="00151045">
        <w:rPr>
          <w:color w:val="auto"/>
        </w:rPr>
        <w:t>).</w:t>
      </w:r>
    </w:p>
    <w:p w:rsidR="003706AC" w:rsidRDefault="003706AC" w:rsidP="00487574">
      <w:pPr>
        <w:rPr>
          <w:color w:val="auto"/>
        </w:rPr>
      </w:pPr>
      <w:r w:rsidRPr="00736119">
        <w:rPr>
          <w:color w:val="auto"/>
        </w:rPr>
        <w:lastRenderedPageBreak/>
        <w:t xml:space="preserve">Results from all clinical trials with </w:t>
      </w:r>
      <w:proofErr w:type="spellStart"/>
      <w:r w:rsidR="00BB0644" w:rsidRPr="00736119">
        <w:rPr>
          <w:color w:val="auto"/>
        </w:rPr>
        <w:t>Toujeo</w:t>
      </w:r>
      <w:proofErr w:type="spellEnd"/>
      <w:r w:rsidRPr="00736119">
        <w:rPr>
          <w:color w:val="auto"/>
        </w:rPr>
        <w:t xml:space="preserve"> indicated that reductions in HbA1c from baseline to end of trial were non-inferior </w:t>
      </w:r>
      <w:proofErr w:type="gramStart"/>
      <w:r w:rsidR="00341664" w:rsidRPr="00736119">
        <w:rPr>
          <w:color w:val="auto"/>
        </w:rPr>
        <w:t xml:space="preserve">to </w:t>
      </w:r>
      <w:r w:rsidR="00EA6EDA" w:rsidRPr="00755AEB">
        <w:rPr>
          <w:color w:val="auto"/>
        </w:rPr>
        <w:t xml:space="preserve">insulin </w:t>
      </w:r>
      <w:proofErr w:type="spellStart"/>
      <w:r w:rsidR="00EA6EDA" w:rsidRPr="00755AEB">
        <w:rPr>
          <w:color w:val="auto"/>
        </w:rPr>
        <w:t>glargine</w:t>
      </w:r>
      <w:proofErr w:type="spellEnd"/>
      <w:r w:rsidR="00EA6EDA" w:rsidRPr="00755AEB">
        <w:rPr>
          <w:color w:val="auto"/>
        </w:rPr>
        <w:t xml:space="preserve"> 100 units/</w:t>
      </w:r>
      <w:proofErr w:type="spellStart"/>
      <w:r w:rsidR="00EA6EDA" w:rsidRPr="00755AEB">
        <w:rPr>
          <w:color w:val="auto"/>
        </w:rPr>
        <w:t>mL</w:t>
      </w:r>
      <w:proofErr w:type="gramEnd"/>
      <w:r w:rsidRPr="00755AEB">
        <w:rPr>
          <w:color w:val="auto"/>
        </w:rPr>
        <w:t>.</w:t>
      </w:r>
      <w:proofErr w:type="spellEnd"/>
      <w:r w:rsidRPr="00736119">
        <w:rPr>
          <w:color w:val="auto"/>
        </w:rPr>
        <w:t xml:space="preserve"> The proportion of patients who reached the target HbA1c value (below 7%) was similar in both treatment groups. Plasma glucose reductions at the end of the trial with </w:t>
      </w:r>
      <w:proofErr w:type="spellStart"/>
      <w:r w:rsidR="00BB0644" w:rsidRPr="00736119">
        <w:rPr>
          <w:color w:val="auto"/>
        </w:rPr>
        <w:t>Toujeo</w:t>
      </w:r>
      <w:proofErr w:type="spellEnd"/>
      <w:r w:rsidRPr="00736119">
        <w:rPr>
          <w:color w:val="auto"/>
        </w:rPr>
        <w:t xml:space="preserve"> were similar </w:t>
      </w:r>
      <w:r w:rsidRPr="00755AEB">
        <w:rPr>
          <w:color w:val="auto"/>
        </w:rPr>
        <w:t>t</w:t>
      </w:r>
      <w:r w:rsidR="00341664" w:rsidRPr="00755AEB">
        <w:rPr>
          <w:color w:val="auto"/>
        </w:rPr>
        <w:t xml:space="preserve">o </w:t>
      </w:r>
      <w:r w:rsidR="00EA6EDA" w:rsidRPr="00755AEB">
        <w:rPr>
          <w:color w:val="auto"/>
        </w:rPr>
        <w:t xml:space="preserve">insulin </w:t>
      </w:r>
      <w:proofErr w:type="spellStart"/>
      <w:r w:rsidR="00EA6EDA" w:rsidRPr="00755AEB">
        <w:rPr>
          <w:color w:val="auto"/>
        </w:rPr>
        <w:t>glargine</w:t>
      </w:r>
      <w:proofErr w:type="spellEnd"/>
      <w:r w:rsidR="00EA6EDA" w:rsidRPr="00755AEB">
        <w:rPr>
          <w:color w:val="auto"/>
        </w:rPr>
        <w:t xml:space="preserve"> 100 units/mL</w:t>
      </w:r>
      <w:r w:rsidRPr="00736119">
        <w:rPr>
          <w:color w:val="auto"/>
        </w:rPr>
        <w:t xml:space="preserve"> with a more gradual reduction during the titration period with </w:t>
      </w:r>
      <w:proofErr w:type="spellStart"/>
      <w:r w:rsidR="00BB0644" w:rsidRPr="00736119">
        <w:rPr>
          <w:color w:val="auto"/>
        </w:rPr>
        <w:t>Toujeo</w:t>
      </w:r>
      <w:proofErr w:type="spellEnd"/>
      <w:r w:rsidRPr="00736119">
        <w:rPr>
          <w:color w:val="auto"/>
        </w:rPr>
        <w:t xml:space="preserve">. </w:t>
      </w:r>
      <w:proofErr w:type="spellStart"/>
      <w:r w:rsidRPr="00736119">
        <w:rPr>
          <w:color w:val="auto"/>
        </w:rPr>
        <w:t>Glycaemic</w:t>
      </w:r>
      <w:proofErr w:type="spellEnd"/>
      <w:r w:rsidRPr="00736119">
        <w:rPr>
          <w:color w:val="auto"/>
        </w:rPr>
        <w:t xml:space="preserve"> control was similar when </w:t>
      </w:r>
      <w:proofErr w:type="spellStart"/>
      <w:r w:rsidR="00BB0644" w:rsidRPr="00736119">
        <w:rPr>
          <w:color w:val="auto"/>
        </w:rPr>
        <w:t>Toujeo</w:t>
      </w:r>
      <w:proofErr w:type="spellEnd"/>
      <w:r w:rsidRPr="00736119">
        <w:rPr>
          <w:color w:val="auto"/>
        </w:rPr>
        <w:t xml:space="preserve"> was administered once daily in the morning or in the evening. </w:t>
      </w:r>
    </w:p>
    <w:p w:rsidR="00BB314E" w:rsidRDefault="003706AC" w:rsidP="00487574">
      <w:pPr>
        <w:rPr>
          <w:color w:val="auto"/>
        </w:rPr>
      </w:pPr>
      <w:r w:rsidRPr="00736119">
        <w:rPr>
          <w:color w:val="auto"/>
        </w:rPr>
        <w:t>Improvement</w:t>
      </w:r>
      <w:r w:rsidR="00E87B5A" w:rsidRPr="00736119">
        <w:rPr>
          <w:color w:val="auto"/>
        </w:rPr>
        <w:t xml:space="preserve"> in HbA1C was not affected by</w:t>
      </w:r>
      <w:r w:rsidRPr="00736119">
        <w:rPr>
          <w:color w:val="auto"/>
        </w:rPr>
        <w:t xml:space="preserve"> gender, ethnicity, age, diabetes duration (&lt;10 years and ≥10 years), HbA1c value at baseline (&lt;8% or ≥8%) or baseline body mass index (BMI).</w:t>
      </w:r>
      <w:r w:rsidR="0087759C">
        <w:rPr>
          <w:color w:val="auto"/>
        </w:rPr>
        <w:t xml:space="preserve"> </w:t>
      </w:r>
    </w:p>
    <w:p w:rsidR="009069E3" w:rsidRDefault="009069E3" w:rsidP="00487574">
      <w:pPr>
        <w:rPr>
          <w:color w:val="auto"/>
        </w:rPr>
      </w:pPr>
      <w:r w:rsidRPr="009446F7">
        <w:rPr>
          <w:color w:val="auto"/>
        </w:rPr>
        <w:t xml:space="preserve">Mean change in body weight of less than 1 kg at the end of the 6-month period was observed in </w:t>
      </w:r>
      <w:proofErr w:type="spellStart"/>
      <w:r w:rsidRPr="009446F7">
        <w:rPr>
          <w:color w:val="auto"/>
        </w:rPr>
        <w:t>Toujeo</w:t>
      </w:r>
      <w:proofErr w:type="spellEnd"/>
      <w:r w:rsidRPr="009446F7">
        <w:rPr>
          <w:color w:val="auto"/>
        </w:rPr>
        <w:t xml:space="preserve"> treated patients.</w:t>
      </w:r>
      <w:r w:rsidR="006B7CDC" w:rsidRPr="00736119">
        <w:rPr>
          <w:color w:val="auto"/>
        </w:rPr>
        <w:t xml:space="preserve"> In clinical trials subgroup analysis based on BMI (up to 63 kg/m2) showed no differences in efficacy and safety between </w:t>
      </w:r>
      <w:proofErr w:type="spellStart"/>
      <w:r w:rsidR="006B7CDC" w:rsidRPr="00736119">
        <w:rPr>
          <w:color w:val="auto"/>
        </w:rPr>
        <w:t>Toujeo</w:t>
      </w:r>
      <w:proofErr w:type="spellEnd"/>
      <w:r w:rsidR="006B7CDC" w:rsidRPr="00736119">
        <w:rPr>
          <w:color w:val="auto"/>
        </w:rPr>
        <w:t xml:space="preserve"> and </w:t>
      </w:r>
      <w:r w:rsidR="00EA6EDA" w:rsidRPr="00755AEB">
        <w:rPr>
          <w:color w:val="auto"/>
        </w:rPr>
        <w:t xml:space="preserve">insulin </w:t>
      </w:r>
      <w:proofErr w:type="spellStart"/>
      <w:r w:rsidR="00EA6EDA" w:rsidRPr="00755AEB">
        <w:rPr>
          <w:color w:val="auto"/>
        </w:rPr>
        <w:t>glargine</w:t>
      </w:r>
      <w:proofErr w:type="spellEnd"/>
      <w:r w:rsidR="00EA6EDA" w:rsidRPr="00755AEB">
        <w:rPr>
          <w:color w:val="auto"/>
        </w:rPr>
        <w:t xml:space="preserve"> 100 units/</w:t>
      </w:r>
      <w:proofErr w:type="spellStart"/>
      <w:r w:rsidR="00EA6EDA" w:rsidRPr="00755AEB">
        <w:rPr>
          <w:color w:val="auto"/>
        </w:rPr>
        <w:t>mL</w:t>
      </w:r>
      <w:r w:rsidR="006B7CDC" w:rsidRPr="00755AEB">
        <w:rPr>
          <w:color w:val="auto"/>
        </w:rPr>
        <w:t>.</w:t>
      </w:r>
      <w:proofErr w:type="spellEnd"/>
      <w:r w:rsidR="0087759C">
        <w:rPr>
          <w:color w:val="auto"/>
        </w:rPr>
        <w:t xml:space="preserve"> </w:t>
      </w:r>
    </w:p>
    <w:p w:rsidR="00E14414" w:rsidRPr="00736119" w:rsidRDefault="00DF2EB7" w:rsidP="00D41857">
      <w:pPr>
        <w:pStyle w:val="Heading2"/>
        <w:numPr>
          <w:ilvl w:val="0"/>
          <w:numId w:val="0"/>
        </w:numPr>
        <w:ind w:left="680" w:hanging="680"/>
      </w:pPr>
      <w:r w:rsidRPr="00736119">
        <w:t>TYPE 1 Adult Diabetes (</w:t>
      </w:r>
      <w:r w:rsidR="00E444AF" w:rsidRPr="00736119">
        <w:fldChar w:fldCharType="begin"/>
      </w:r>
      <w:r w:rsidR="00E444AF" w:rsidRPr="00736119">
        <w:instrText xml:space="preserve"> REF _Ref381269183 \h  \* MERGEFORMAT </w:instrText>
      </w:r>
      <w:r w:rsidR="00E444AF" w:rsidRPr="00736119">
        <w:fldChar w:fldCharType="separate"/>
      </w:r>
      <w:r w:rsidR="002C5256" w:rsidRPr="00736119">
        <w:t>Table </w:t>
      </w:r>
      <w:r w:rsidR="002C5256">
        <w:t>1</w:t>
      </w:r>
      <w:r w:rsidR="00E444AF" w:rsidRPr="00736119">
        <w:fldChar w:fldCharType="end"/>
      </w:r>
      <w:r w:rsidR="00E14414" w:rsidRPr="00736119">
        <w:t>)</w:t>
      </w:r>
      <w:r w:rsidR="00C41376" w:rsidRPr="00736119">
        <w:t xml:space="preserve"> </w:t>
      </w:r>
      <w:r w:rsidR="002E661F" w:rsidRPr="00736119">
        <w:t>(Edition</w:t>
      </w:r>
      <w:r w:rsidR="00C41376" w:rsidRPr="00736119">
        <w:t xml:space="preserve"> </w:t>
      </w:r>
      <w:r w:rsidR="009C0C97" w:rsidRPr="00736119">
        <w:t>IV</w:t>
      </w:r>
      <w:r w:rsidR="00C41376" w:rsidRPr="00736119">
        <w:t xml:space="preserve">) </w:t>
      </w:r>
    </w:p>
    <w:p w:rsidR="00E14414" w:rsidRPr="00736119" w:rsidRDefault="00E14414" w:rsidP="00487574">
      <w:pPr>
        <w:rPr>
          <w:color w:val="auto"/>
        </w:rPr>
      </w:pPr>
      <w:r w:rsidRPr="00736119">
        <w:rPr>
          <w:color w:val="auto"/>
        </w:rPr>
        <w:t>In an open-</w:t>
      </w:r>
      <w:r w:rsidR="00D1400D" w:rsidRPr="00736119">
        <w:rPr>
          <w:color w:val="auto"/>
        </w:rPr>
        <w:t>label, controlled study (</w:t>
      </w:r>
      <w:r w:rsidR="002E04C5">
        <w:rPr>
          <w:color w:val="auto"/>
        </w:rPr>
        <w:t>EDITION</w:t>
      </w:r>
      <w:r w:rsidR="00D1400D" w:rsidRPr="00736119">
        <w:rPr>
          <w:color w:val="auto"/>
        </w:rPr>
        <w:t xml:space="preserve"> IV</w:t>
      </w:r>
      <w:r w:rsidRPr="00736119">
        <w:rPr>
          <w:color w:val="auto"/>
        </w:rPr>
        <w:t xml:space="preserve">), patients with type 1 diabetes (n=546) were randomized to basal-bolus treatment with </w:t>
      </w:r>
      <w:proofErr w:type="spellStart"/>
      <w:r w:rsidR="00BB0644" w:rsidRPr="00736119">
        <w:rPr>
          <w:color w:val="auto"/>
        </w:rPr>
        <w:t>Toujeo</w:t>
      </w:r>
      <w:proofErr w:type="spellEnd"/>
      <w:r w:rsidR="00E040D5" w:rsidRPr="00736119">
        <w:rPr>
          <w:color w:val="auto"/>
        </w:rPr>
        <w:t xml:space="preserve"> or Lantus</w:t>
      </w:r>
      <w:r w:rsidRPr="00736119">
        <w:rPr>
          <w:color w:val="auto"/>
        </w:rPr>
        <w:t xml:space="preserve"> </w:t>
      </w:r>
      <w:r w:rsidR="00EA6EDA" w:rsidRPr="00755AEB">
        <w:rPr>
          <w:color w:val="auto"/>
        </w:rPr>
        <w:t xml:space="preserve">(insulin </w:t>
      </w:r>
      <w:proofErr w:type="spellStart"/>
      <w:r w:rsidR="00EA6EDA" w:rsidRPr="00755AEB">
        <w:rPr>
          <w:color w:val="auto"/>
        </w:rPr>
        <w:t>glargine</w:t>
      </w:r>
      <w:proofErr w:type="spellEnd"/>
      <w:r w:rsidR="00EA6EDA" w:rsidRPr="00755AEB">
        <w:rPr>
          <w:color w:val="auto"/>
        </w:rPr>
        <w:t xml:space="preserve"> 100 units/mL) </w:t>
      </w:r>
      <w:r w:rsidRPr="00736119">
        <w:rPr>
          <w:color w:val="auto"/>
        </w:rPr>
        <w:t xml:space="preserve">and treated for 26 </w:t>
      </w:r>
      <w:r w:rsidR="009C0C97" w:rsidRPr="00736119">
        <w:rPr>
          <w:color w:val="auto"/>
        </w:rPr>
        <w:t xml:space="preserve">weeks. </w:t>
      </w:r>
      <w:proofErr w:type="spellStart"/>
      <w:r w:rsidR="00BB0644" w:rsidRPr="00736119">
        <w:rPr>
          <w:color w:val="auto"/>
        </w:rPr>
        <w:t>Toujeo</w:t>
      </w:r>
      <w:proofErr w:type="spellEnd"/>
      <w:r w:rsidR="00E040D5" w:rsidRPr="00736119">
        <w:rPr>
          <w:color w:val="auto"/>
        </w:rPr>
        <w:t xml:space="preserve"> and </w:t>
      </w:r>
      <w:r w:rsidR="0049172D" w:rsidRPr="00755AEB">
        <w:rPr>
          <w:color w:val="auto"/>
        </w:rPr>
        <w:t xml:space="preserve">insulin </w:t>
      </w:r>
      <w:proofErr w:type="spellStart"/>
      <w:r w:rsidR="0049172D" w:rsidRPr="00755AEB">
        <w:rPr>
          <w:color w:val="auto"/>
        </w:rPr>
        <w:t>glargine</w:t>
      </w:r>
      <w:proofErr w:type="spellEnd"/>
      <w:r w:rsidR="0049172D" w:rsidRPr="00755AEB">
        <w:rPr>
          <w:color w:val="auto"/>
        </w:rPr>
        <w:t xml:space="preserve"> 100 units/mL</w:t>
      </w:r>
      <w:r w:rsidRPr="00736119">
        <w:rPr>
          <w:color w:val="auto"/>
        </w:rPr>
        <w:t xml:space="preserve"> were administered once daily in the morning (time period covering from pre breakfast until pre-lunch) or in the evening (time period defined as prior to the evening meal until at bedtime</w:t>
      </w:r>
      <w:r w:rsidR="005F21E4" w:rsidRPr="00736119">
        <w:rPr>
          <w:color w:val="auto"/>
        </w:rPr>
        <w:t xml:space="preserve">). </w:t>
      </w:r>
      <w:r w:rsidRPr="00736119">
        <w:rPr>
          <w:color w:val="auto"/>
        </w:rPr>
        <w:t xml:space="preserve">Fast-acting insulin analogue was administered before each </w:t>
      </w:r>
      <w:r w:rsidR="009C0C97" w:rsidRPr="00736119">
        <w:rPr>
          <w:color w:val="auto"/>
        </w:rPr>
        <w:t xml:space="preserve">meal. </w:t>
      </w:r>
    </w:p>
    <w:p w:rsidR="00E14414" w:rsidRPr="00736119" w:rsidRDefault="00BB0644" w:rsidP="00487574">
      <w:pPr>
        <w:rPr>
          <w:color w:val="auto"/>
        </w:rPr>
      </w:pPr>
      <w:proofErr w:type="spellStart"/>
      <w:r w:rsidRPr="00736119">
        <w:rPr>
          <w:color w:val="auto"/>
        </w:rPr>
        <w:t>Toujeo</w:t>
      </w:r>
      <w:proofErr w:type="spellEnd"/>
      <w:r w:rsidR="00E14414" w:rsidRPr="00736119">
        <w:rPr>
          <w:color w:val="auto"/>
        </w:rPr>
        <w:t xml:space="preserve"> had similar reduction in HbA1c </w:t>
      </w:r>
      <w:proofErr w:type="gramStart"/>
      <w:r w:rsidR="00E14414" w:rsidRPr="00736119">
        <w:rPr>
          <w:color w:val="auto"/>
        </w:rPr>
        <w:t xml:space="preserve">as </w:t>
      </w:r>
      <w:r w:rsidR="0049172D" w:rsidRPr="00755AEB">
        <w:rPr>
          <w:color w:val="auto"/>
        </w:rPr>
        <w:t xml:space="preserve">insulin </w:t>
      </w:r>
      <w:proofErr w:type="spellStart"/>
      <w:r w:rsidR="0049172D" w:rsidRPr="00755AEB">
        <w:rPr>
          <w:color w:val="auto"/>
        </w:rPr>
        <w:t>glargine</w:t>
      </w:r>
      <w:proofErr w:type="spellEnd"/>
      <w:r w:rsidR="0049172D" w:rsidRPr="00755AEB">
        <w:rPr>
          <w:color w:val="auto"/>
        </w:rPr>
        <w:t xml:space="preserve"> 100 units/</w:t>
      </w:r>
      <w:proofErr w:type="spellStart"/>
      <w:r w:rsidR="0049172D" w:rsidRPr="00755AEB">
        <w:rPr>
          <w:color w:val="auto"/>
        </w:rPr>
        <w:t>mL</w:t>
      </w:r>
      <w:proofErr w:type="gramEnd"/>
      <w:r w:rsidR="009C0C97" w:rsidRPr="00755AEB">
        <w:rPr>
          <w:color w:val="auto"/>
        </w:rPr>
        <w:t>.</w:t>
      </w:r>
      <w:proofErr w:type="spellEnd"/>
      <w:r w:rsidR="009C0C97" w:rsidRPr="00736119">
        <w:rPr>
          <w:color w:val="auto"/>
        </w:rPr>
        <w:t xml:space="preserve"> </w:t>
      </w:r>
    </w:p>
    <w:p w:rsidR="00E14414" w:rsidRDefault="00E14414" w:rsidP="00487574">
      <w:pPr>
        <w:rPr>
          <w:color w:val="auto"/>
        </w:rPr>
      </w:pPr>
      <w:r w:rsidRPr="00736119">
        <w:rPr>
          <w:color w:val="auto"/>
        </w:rPr>
        <w:t xml:space="preserve">Differences in timing of </w:t>
      </w:r>
      <w:proofErr w:type="spellStart"/>
      <w:r w:rsidR="00BB0644" w:rsidRPr="00736119">
        <w:rPr>
          <w:color w:val="auto"/>
        </w:rPr>
        <w:t>Toujeo</w:t>
      </w:r>
      <w:proofErr w:type="spellEnd"/>
      <w:r w:rsidRPr="00736119">
        <w:rPr>
          <w:color w:val="auto"/>
        </w:rPr>
        <w:t xml:space="preserve"> (morning or evening) administration had no effect on HbA1c</w:t>
      </w:r>
      <w:r w:rsidR="00DA17AE">
        <w:rPr>
          <w:color w:val="auto"/>
        </w:rPr>
        <w:t>.</w:t>
      </w:r>
    </w:p>
    <w:p w:rsidR="00F776D9" w:rsidRDefault="00F776D9" w:rsidP="00F776D9">
      <w:pPr>
        <w:pStyle w:val="TblFigFootnote"/>
        <w:rPr>
          <w:rFonts w:ascii="Times New Roman" w:hAnsi="Times New Roman"/>
          <w:color w:val="00B0F0"/>
          <w:sz w:val="24"/>
          <w:szCs w:val="24"/>
        </w:rPr>
      </w:pPr>
    </w:p>
    <w:p w:rsidR="00E14414" w:rsidRPr="00736119" w:rsidRDefault="00E14414" w:rsidP="00E14414">
      <w:pPr>
        <w:pStyle w:val="Caption"/>
        <w:rPr>
          <w:b w:val="0"/>
          <w:sz w:val="22"/>
        </w:rPr>
      </w:pPr>
      <w:bookmarkStart w:id="16" w:name="_Ref381269183"/>
      <w:bookmarkStart w:id="17" w:name="_Toc381269258"/>
      <w:r w:rsidRPr="00736119">
        <w:t>Table </w:t>
      </w:r>
      <w:r w:rsidR="0069078C">
        <w:fldChar w:fldCharType="begin"/>
      </w:r>
      <w:r w:rsidR="0069078C">
        <w:instrText xml:space="preserve"> SEQ Table \* ARABIC </w:instrText>
      </w:r>
      <w:r w:rsidR="0069078C">
        <w:fldChar w:fldCharType="separate"/>
      </w:r>
      <w:r w:rsidR="002C5256">
        <w:rPr>
          <w:noProof/>
        </w:rPr>
        <w:t>1</w:t>
      </w:r>
      <w:r w:rsidR="0069078C">
        <w:fldChar w:fldCharType="end"/>
      </w:r>
      <w:bookmarkEnd w:id="16"/>
      <w:r w:rsidRPr="00736119">
        <w:t xml:space="preserve"> ­ Summary of Main Therapeutic Outcome of the Clinical Study in T</w:t>
      </w:r>
      <w:r w:rsidR="00C40B6A" w:rsidRPr="00736119">
        <w:t>ype 1 Diabetes Mellitus (EDITION IV</w:t>
      </w:r>
      <w:r w:rsidRPr="00736119">
        <w:t>)</w:t>
      </w:r>
      <w:bookmarkEnd w:id="17"/>
    </w:p>
    <w:tbl>
      <w:tblPr>
        <w:tblW w:w="5000" w:type="pct"/>
        <w:jc w:val="center"/>
        <w:tblBorders>
          <w:top w:val="single" w:sz="2" w:space="0" w:color="800000"/>
        </w:tblBorders>
        <w:tblLook w:val="01E0" w:firstRow="1" w:lastRow="1" w:firstColumn="1" w:lastColumn="1" w:noHBand="0" w:noVBand="0"/>
      </w:tblPr>
      <w:tblGrid>
        <w:gridCol w:w="5253"/>
        <w:gridCol w:w="2216"/>
        <w:gridCol w:w="2216"/>
      </w:tblGrid>
      <w:tr w:rsidR="00E14414" w:rsidRPr="00736119" w:rsidTr="00E14414">
        <w:trPr>
          <w:cantSplit/>
          <w:tblHeader/>
          <w:jc w:val="center"/>
        </w:trPr>
        <w:tc>
          <w:tcPr>
            <w:tcW w:w="2712" w:type="pct"/>
            <w:tcBorders>
              <w:top w:val="single" w:sz="4" w:space="0" w:color="800000"/>
              <w:bottom w:val="single" w:sz="4" w:space="0" w:color="800000"/>
            </w:tcBorders>
            <w:shd w:val="clear" w:color="auto" w:fill="auto"/>
          </w:tcPr>
          <w:p w:rsidR="00E14414" w:rsidRPr="00736119" w:rsidRDefault="00E14414" w:rsidP="00E14414">
            <w:pPr>
              <w:pStyle w:val="TblHeadingCenter"/>
              <w:rPr>
                <w:rFonts w:cs="Times New Roman"/>
                <w:sz w:val="18"/>
                <w:szCs w:val="18"/>
                <w:lang w:val="en-GB"/>
              </w:rPr>
            </w:pPr>
          </w:p>
        </w:tc>
        <w:tc>
          <w:tcPr>
            <w:tcW w:w="1144" w:type="pct"/>
            <w:tcBorders>
              <w:top w:val="single" w:sz="4" w:space="0" w:color="800000"/>
              <w:bottom w:val="single" w:sz="4" w:space="0" w:color="800000"/>
            </w:tcBorders>
            <w:shd w:val="clear" w:color="auto" w:fill="auto"/>
          </w:tcPr>
          <w:p w:rsidR="00E14414" w:rsidRPr="00736119" w:rsidRDefault="00E040D5" w:rsidP="00E14414">
            <w:pPr>
              <w:pStyle w:val="TblHeadingCenter"/>
              <w:rPr>
                <w:rFonts w:cs="Times New Roman"/>
                <w:sz w:val="18"/>
                <w:szCs w:val="18"/>
              </w:rPr>
            </w:pPr>
            <w:r w:rsidRPr="00736119">
              <w:rPr>
                <w:rFonts w:cs="Times New Roman"/>
                <w:sz w:val="18"/>
                <w:szCs w:val="18"/>
              </w:rPr>
              <w:t>Toujeo</w:t>
            </w:r>
          </w:p>
        </w:tc>
        <w:tc>
          <w:tcPr>
            <w:tcW w:w="1144" w:type="pct"/>
            <w:tcBorders>
              <w:top w:val="single" w:sz="4" w:space="0" w:color="800000"/>
              <w:bottom w:val="single" w:sz="4" w:space="0" w:color="800000"/>
            </w:tcBorders>
            <w:shd w:val="clear" w:color="auto" w:fill="auto"/>
          </w:tcPr>
          <w:p w:rsidR="00E14414" w:rsidRPr="00755AEB" w:rsidRDefault="0049172D" w:rsidP="00755AEB">
            <w:pPr>
              <w:pStyle w:val="TblHeadingCenter"/>
              <w:rPr>
                <w:rFonts w:cs="Times New Roman"/>
                <w:sz w:val="18"/>
                <w:szCs w:val="18"/>
              </w:rPr>
            </w:pPr>
            <w:r w:rsidRPr="00755AEB">
              <w:rPr>
                <w:rFonts w:cs="Times New Roman"/>
                <w:sz w:val="18"/>
                <w:szCs w:val="18"/>
              </w:rPr>
              <w:t>IGlar</w:t>
            </w:r>
          </w:p>
        </w:tc>
      </w:tr>
      <w:tr w:rsidR="00E14414" w:rsidRPr="00736119" w:rsidTr="00E14414">
        <w:trPr>
          <w:cantSplit/>
          <w:tblHeader/>
          <w:jc w:val="center"/>
        </w:trPr>
        <w:tc>
          <w:tcPr>
            <w:tcW w:w="2712" w:type="pct"/>
            <w:tcBorders>
              <w:top w:val="single" w:sz="4" w:space="0" w:color="800000"/>
            </w:tcBorders>
            <w:shd w:val="clear" w:color="auto" w:fill="auto"/>
          </w:tcPr>
          <w:p w:rsidR="00E14414" w:rsidRPr="00736119" w:rsidRDefault="00E14414" w:rsidP="00E14414">
            <w:pPr>
              <w:pStyle w:val="TblTextCenter"/>
              <w:jc w:val="left"/>
              <w:rPr>
                <w:sz w:val="18"/>
                <w:szCs w:val="18"/>
              </w:rPr>
            </w:pPr>
            <w:r w:rsidRPr="00736119">
              <w:rPr>
                <w:sz w:val="18"/>
                <w:szCs w:val="18"/>
              </w:rPr>
              <w:t>Treatment duration</w:t>
            </w:r>
          </w:p>
        </w:tc>
        <w:tc>
          <w:tcPr>
            <w:tcW w:w="2288" w:type="pct"/>
            <w:gridSpan w:val="2"/>
            <w:shd w:val="clear" w:color="auto" w:fill="auto"/>
          </w:tcPr>
          <w:p w:rsidR="00E14414" w:rsidRPr="00736119" w:rsidRDefault="00E14414" w:rsidP="00E14414">
            <w:pPr>
              <w:pStyle w:val="TblTextCenter"/>
              <w:rPr>
                <w:sz w:val="18"/>
                <w:szCs w:val="18"/>
              </w:rPr>
            </w:pPr>
            <w:r w:rsidRPr="00736119">
              <w:rPr>
                <w:sz w:val="18"/>
                <w:szCs w:val="18"/>
              </w:rPr>
              <w:t>26 weeks</w:t>
            </w:r>
          </w:p>
        </w:tc>
      </w:tr>
      <w:tr w:rsidR="00E14414" w:rsidRPr="00736119" w:rsidTr="00E14414">
        <w:trPr>
          <w:cantSplit/>
          <w:tblHeader/>
          <w:jc w:val="center"/>
        </w:trPr>
        <w:tc>
          <w:tcPr>
            <w:tcW w:w="2712" w:type="pct"/>
            <w:tcBorders>
              <w:top w:val="nil"/>
            </w:tcBorders>
            <w:shd w:val="clear" w:color="auto" w:fill="auto"/>
          </w:tcPr>
          <w:p w:rsidR="00E14414" w:rsidRPr="00736119" w:rsidRDefault="00E14414" w:rsidP="00E14414">
            <w:pPr>
              <w:pStyle w:val="TblTextCenter"/>
              <w:jc w:val="left"/>
              <w:rPr>
                <w:sz w:val="18"/>
                <w:szCs w:val="18"/>
              </w:rPr>
            </w:pPr>
            <w:r w:rsidRPr="00736119">
              <w:rPr>
                <w:sz w:val="18"/>
                <w:szCs w:val="18"/>
              </w:rPr>
              <w:t>Treatment in combination with</w:t>
            </w:r>
          </w:p>
        </w:tc>
        <w:tc>
          <w:tcPr>
            <w:tcW w:w="2288" w:type="pct"/>
            <w:gridSpan w:val="2"/>
            <w:tcBorders>
              <w:top w:val="nil"/>
            </w:tcBorders>
            <w:shd w:val="clear" w:color="auto" w:fill="auto"/>
          </w:tcPr>
          <w:p w:rsidR="00E14414" w:rsidRPr="00736119" w:rsidRDefault="00E14414" w:rsidP="00E14414">
            <w:pPr>
              <w:pStyle w:val="TblTextCenter"/>
              <w:rPr>
                <w:sz w:val="18"/>
                <w:szCs w:val="18"/>
              </w:rPr>
            </w:pPr>
            <w:r w:rsidRPr="00736119">
              <w:rPr>
                <w:sz w:val="18"/>
                <w:szCs w:val="18"/>
              </w:rPr>
              <w:t>Fast-acting insulin analogue</w:t>
            </w:r>
          </w:p>
        </w:tc>
      </w:tr>
      <w:tr w:rsidR="00E14414" w:rsidRPr="00736119" w:rsidTr="00E14414">
        <w:trPr>
          <w:cantSplit/>
          <w:tblHeader/>
          <w:jc w:val="center"/>
        </w:trPr>
        <w:tc>
          <w:tcPr>
            <w:tcW w:w="2712" w:type="pct"/>
            <w:tcBorders>
              <w:top w:val="nil"/>
              <w:bottom w:val="single" w:sz="4" w:space="0" w:color="auto"/>
            </w:tcBorders>
            <w:shd w:val="clear" w:color="auto" w:fill="auto"/>
          </w:tcPr>
          <w:p w:rsidR="00E14414" w:rsidRPr="00736119" w:rsidRDefault="00E14414" w:rsidP="0002648F">
            <w:pPr>
              <w:pStyle w:val="TblTextCenter"/>
              <w:jc w:val="left"/>
              <w:rPr>
                <w:sz w:val="18"/>
                <w:szCs w:val="18"/>
              </w:rPr>
            </w:pPr>
            <w:r w:rsidRPr="00736119">
              <w:rPr>
                <w:sz w:val="18"/>
                <w:szCs w:val="18"/>
              </w:rPr>
              <w:t>Number of subjects treated (</w:t>
            </w:r>
            <w:proofErr w:type="spellStart"/>
            <w:r w:rsidRPr="00736119">
              <w:rPr>
                <w:sz w:val="18"/>
                <w:szCs w:val="18"/>
              </w:rPr>
              <w:t>mITT</w:t>
            </w:r>
            <w:r w:rsidRPr="00736119">
              <w:rPr>
                <w:sz w:val="18"/>
                <w:szCs w:val="18"/>
                <w:vertAlign w:val="superscript"/>
              </w:rPr>
              <w:t>a</w:t>
            </w:r>
            <w:proofErr w:type="spellEnd"/>
            <w:r w:rsidRPr="00736119">
              <w:rPr>
                <w:sz w:val="18"/>
                <w:szCs w:val="18"/>
              </w:rPr>
              <w:t>)</w:t>
            </w:r>
          </w:p>
        </w:tc>
        <w:tc>
          <w:tcPr>
            <w:tcW w:w="1144" w:type="pct"/>
            <w:tcBorders>
              <w:top w:val="nil"/>
              <w:bottom w:val="single" w:sz="4" w:space="0" w:color="auto"/>
            </w:tcBorders>
            <w:shd w:val="clear" w:color="auto" w:fill="auto"/>
          </w:tcPr>
          <w:p w:rsidR="00E14414" w:rsidRPr="00736119" w:rsidRDefault="00E14414" w:rsidP="00E14414">
            <w:pPr>
              <w:pStyle w:val="TblTextCenter"/>
              <w:rPr>
                <w:sz w:val="18"/>
                <w:szCs w:val="18"/>
              </w:rPr>
            </w:pPr>
            <w:r w:rsidRPr="00736119">
              <w:rPr>
                <w:sz w:val="18"/>
                <w:szCs w:val="18"/>
              </w:rPr>
              <w:t>273</w:t>
            </w:r>
          </w:p>
        </w:tc>
        <w:tc>
          <w:tcPr>
            <w:tcW w:w="1144" w:type="pct"/>
            <w:tcBorders>
              <w:top w:val="nil"/>
              <w:bottom w:val="single" w:sz="4" w:space="0" w:color="auto"/>
            </w:tcBorders>
            <w:shd w:val="clear" w:color="auto" w:fill="auto"/>
          </w:tcPr>
          <w:p w:rsidR="00E14414" w:rsidRPr="00736119" w:rsidRDefault="00E14414" w:rsidP="00E14414">
            <w:pPr>
              <w:pStyle w:val="TblTextCenter"/>
              <w:rPr>
                <w:sz w:val="18"/>
                <w:szCs w:val="18"/>
              </w:rPr>
            </w:pPr>
            <w:r w:rsidRPr="00736119">
              <w:rPr>
                <w:sz w:val="18"/>
                <w:szCs w:val="18"/>
              </w:rPr>
              <w:t>273</w:t>
            </w:r>
          </w:p>
        </w:tc>
      </w:tr>
      <w:tr w:rsidR="00E14414" w:rsidRPr="00736119" w:rsidTr="00E14414">
        <w:trPr>
          <w:cantSplit/>
          <w:jc w:val="center"/>
        </w:trPr>
        <w:tc>
          <w:tcPr>
            <w:tcW w:w="2712" w:type="pct"/>
            <w:tcBorders>
              <w:top w:val="single" w:sz="4" w:space="0" w:color="auto"/>
            </w:tcBorders>
            <w:shd w:val="clear" w:color="auto" w:fill="auto"/>
          </w:tcPr>
          <w:p w:rsidR="00E14414" w:rsidRPr="00736119" w:rsidRDefault="00E14414" w:rsidP="0002648F">
            <w:pPr>
              <w:pStyle w:val="TblTextCenter"/>
              <w:jc w:val="left"/>
              <w:rPr>
                <w:b/>
                <w:sz w:val="18"/>
                <w:szCs w:val="18"/>
              </w:rPr>
            </w:pPr>
            <w:r w:rsidRPr="00736119">
              <w:rPr>
                <w:b/>
                <w:sz w:val="18"/>
                <w:szCs w:val="18"/>
              </w:rPr>
              <w:t>HbA1c</w:t>
            </w:r>
          </w:p>
        </w:tc>
        <w:tc>
          <w:tcPr>
            <w:tcW w:w="2288" w:type="pct"/>
            <w:gridSpan w:val="2"/>
            <w:tcBorders>
              <w:top w:val="single" w:sz="4" w:space="0" w:color="auto"/>
            </w:tcBorders>
            <w:shd w:val="clear" w:color="auto" w:fill="auto"/>
          </w:tcPr>
          <w:p w:rsidR="00E14414" w:rsidRPr="00736119" w:rsidRDefault="00E14414" w:rsidP="00E14414">
            <w:pPr>
              <w:pStyle w:val="TblTextCenter"/>
              <w:rPr>
                <w:sz w:val="18"/>
                <w:szCs w:val="18"/>
              </w:rPr>
            </w:pPr>
          </w:p>
        </w:tc>
      </w:tr>
      <w:tr w:rsidR="00E14414" w:rsidRPr="00736119" w:rsidTr="00E14414">
        <w:trPr>
          <w:cantSplit/>
          <w:jc w:val="center"/>
        </w:trPr>
        <w:tc>
          <w:tcPr>
            <w:tcW w:w="2712" w:type="pct"/>
            <w:shd w:val="clear" w:color="auto" w:fill="auto"/>
          </w:tcPr>
          <w:p w:rsidR="00E14414" w:rsidRPr="00736119" w:rsidRDefault="00E14414" w:rsidP="00E14414">
            <w:pPr>
              <w:pStyle w:val="TblTextCenter"/>
              <w:jc w:val="left"/>
              <w:rPr>
                <w:sz w:val="18"/>
                <w:szCs w:val="18"/>
              </w:rPr>
            </w:pPr>
            <w:r w:rsidRPr="00736119">
              <w:rPr>
                <w:sz w:val="18"/>
                <w:szCs w:val="18"/>
              </w:rPr>
              <w:t>Baseline mean</w:t>
            </w:r>
          </w:p>
        </w:tc>
        <w:tc>
          <w:tcPr>
            <w:tcW w:w="1144" w:type="pct"/>
            <w:shd w:val="clear" w:color="auto" w:fill="auto"/>
          </w:tcPr>
          <w:p w:rsidR="00E14414" w:rsidRPr="00736119" w:rsidRDefault="00E14414" w:rsidP="00E14414">
            <w:pPr>
              <w:pStyle w:val="TblTextCenter"/>
              <w:rPr>
                <w:sz w:val="18"/>
                <w:szCs w:val="18"/>
              </w:rPr>
            </w:pPr>
            <w:r w:rsidRPr="00736119">
              <w:rPr>
                <w:sz w:val="18"/>
                <w:szCs w:val="18"/>
              </w:rPr>
              <w:t>8.13</w:t>
            </w:r>
          </w:p>
        </w:tc>
        <w:tc>
          <w:tcPr>
            <w:tcW w:w="1144" w:type="pct"/>
            <w:shd w:val="clear" w:color="auto" w:fill="auto"/>
          </w:tcPr>
          <w:p w:rsidR="00E14414" w:rsidRPr="00736119" w:rsidRDefault="00E14414" w:rsidP="00E14414">
            <w:pPr>
              <w:pStyle w:val="TblTextCenter"/>
              <w:rPr>
                <w:sz w:val="18"/>
                <w:szCs w:val="18"/>
              </w:rPr>
            </w:pPr>
            <w:r w:rsidRPr="00736119">
              <w:rPr>
                <w:sz w:val="18"/>
                <w:szCs w:val="18"/>
              </w:rPr>
              <w:t>8.12</w:t>
            </w:r>
          </w:p>
        </w:tc>
      </w:tr>
      <w:tr w:rsidR="00E14414" w:rsidRPr="00736119" w:rsidTr="00E14414">
        <w:trPr>
          <w:cantSplit/>
          <w:jc w:val="center"/>
        </w:trPr>
        <w:tc>
          <w:tcPr>
            <w:tcW w:w="2712" w:type="pct"/>
            <w:tcBorders>
              <w:bottom w:val="nil"/>
            </w:tcBorders>
            <w:shd w:val="clear" w:color="auto" w:fill="auto"/>
          </w:tcPr>
          <w:p w:rsidR="00E14414" w:rsidRPr="00736119" w:rsidRDefault="00E14414" w:rsidP="00E14414">
            <w:pPr>
              <w:pStyle w:val="TblTextCenter"/>
              <w:jc w:val="left"/>
              <w:rPr>
                <w:sz w:val="18"/>
                <w:szCs w:val="18"/>
              </w:rPr>
            </w:pPr>
            <w:r w:rsidRPr="00736119">
              <w:rPr>
                <w:sz w:val="18"/>
                <w:szCs w:val="18"/>
              </w:rPr>
              <w:t>Adjusted Mean change from baseline</w:t>
            </w:r>
          </w:p>
        </w:tc>
        <w:tc>
          <w:tcPr>
            <w:tcW w:w="1144" w:type="pct"/>
            <w:tcBorders>
              <w:bottom w:val="nil"/>
            </w:tcBorders>
            <w:shd w:val="clear" w:color="auto" w:fill="auto"/>
          </w:tcPr>
          <w:p w:rsidR="00E14414" w:rsidRPr="00736119" w:rsidRDefault="00E14414" w:rsidP="00E14414">
            <w:pPr>
              <w:pStyle w:val="TblTextCenter"/>
              <w:rPr>
                <w:sz w:val="18"/>
                <w:szCs w:val="18"/>
              </w:rPr>
            </w:pPr>
            <w:r w:rsidRPr="00736119">
              <w:rPr>
                <w:sz w:val="18"/>
                <w:szCs w:val="18"/>
              </w:rPr>
              <w:t>-0.40</w:t>
            </w:r>
          </w:p>
        </w:tc>
        <w:tc>
          <w:tcPr>
            <w:tcW w:w="1144" w:type="pct"/>
            <w:tcBorders>
              <w:bottom w:val="nil"/>
            </w:tcBorders>
            <w:shd w:val="clear" w:color="auto" w:fill="auto"/>
          </w:tcPr>
          <w:p w:rsidR="00E14414" w:rsidRPr="00736119" w:rsidRDefault="00E14414" w:rsidP="00E14414">
            <w:pPr>
              <w:pStyle w:val="TblTextCenter"/>
              <w:rPr>
                <w:sz w:val="18"/>
                <w:szCs w:val="18"/>
              </w:rPr>
            </w:pPr>
            <w:r w:rsidRPr="00736119">
              <w:rPr>
                <w:sz w:val="18"/>
                <w:szCs w:val="18"/>
              </w:rPr>
              <w:t>-0.44</w:t>
            </w:r>
          </w:p>
        </w:tc>
      </w:tr>
      <w:tr w:rsidR="00E14414" w:rsidRPr="00736119" w:rsidTr="00E14414">
        <w:trPr>
          <w:cantSplit/>
          <w:jc w:val="center"/>
        </w:trPr>
        <w:tc>
          <w:tcPr>
            <w:tcW w:w="2712" w:type="pct"/>
            <w:tcBorders>
              <w:top w:val="nil"/>
              <w:bottom w:val="single" w:sz="4" w:space="0" w:color="auto"/>
            </w:tcBorders>
            <w:shd w:val="clear" w:color="auto" w:fill="auto"/>
          </w:tcPr>
          <w:p w:rsidR="00E14414" w:rsidRPr="00736119" w:rsidRDefault="00E14414" w:rsidP="00E14414">
            <w:pPr>
              <w:pStyle w:val="TblTextCenter"/>
              <w:jc w:val="left"/>
              <w:rPr>
                <w:sz w:val="18"/>
                <w:szCs w:val="18"/>
              </w:rPr>
            </w:pPr>
            <w:bookmarkStart w:id="18" w:name="OLE_LINK5"/>
            <w:r w:rsidRPr="00736119">
              <w:rPr>
                <w:sz w:val="18"/>
                <w:szCs w:val="18"/>
              </w:rPr>
              <w:t xml:space="preserve">Adjusted Mean </w:t>
            </w:r>
            <w:proofErr w:type="spellStart"/>
            <w:r w:rsidRPr="00736119">
              <w:rPr>
                <w:sz w:val="18"/>
                <w:szCs w:val="18"/>
              </w:rPr>
              <w:t>difference</w:t>
            </w:r>
            <w:r w:rsidRPr="00736119">
              <w:rPr>
                <w:sz w:val="18"/>
                <w:szCs w:val="18"/>
                <w:vertAlign w:val="superscript"/>
              </w:rPr>
              <w:t>b</w:t>
            </w:r>
            <w:proofErr w:type="spellEnd"/>
            <w:r w:rsidRPr="00736119">
              <w:rPr>
                <w:sz w:val="18"/>
                <w:szCs w:val="18"/>
              </w:rPr>
              <w:t xml:space="preserve"> </w:t>
            </w:r>
          </w:p>
          <w:p w:rsidR="00E14414" w:rsidRPr="00736119" w:rsidRDefault="00E14414" w:rsidP="00E14414">
            <w:pPr>
              <w:pStyle w:val="TblTextCenter"/>
              <w:jc w:val="left"/>
              <w:rPr>
                <w:sz w:val="18"/>
                <w:szCs w:val="18"/>
              </w:rPr>
            </w:pPr>
            <w:r w:rsidRPr="00736119">
              <w:rPr>
                <w:sz w:val="18"/>
                <w:szCs w:val="18"/>
              </w:rPr>
              <w:t>[95% Confidence I</w:t>
            </w:r>
            <w:bookmarkEnd w:id="18"/>
            <w:r w:rsidRPr="00736119">
              <w:rPr>
                <w:sz w:val="18"/>
                <w:szCs w:val="18"/>
              </w:rPr>
              <w:t>nterval]</w:t>
            </w:r>
          </w:p>
        </w:tc>
        <w:tc>
          <w:tcPr>
            <w:tcW w:w="2288" w:type="pct"/>
            <w:gridSpan w:val="2"/>
            <w:tcBorders>
              <w:top w:val="nil"/>
              <w:bottom w:val="single" w:sz="4" w:space="0" w:color="auto"/>
            </w:tcBorders>
            <w:shd w:val="clear" w:color="auto" w:fill="auto"/>
          </w:tcPr>
          <w:p w:rsidR="00E14414" w:rsidRPr="00736119" w:rsidRDefault="00E14414" w:rsidP="00E14414">
            <w:pPr>
              <w:pStyle w:val="TblTextCenter"/>
              <w:rPr>
                <w:sz w:val="18"/>
                <w:szCs w:val="18"/>
                <w:vertAlign w:val="superscript"/>
              </w:rPr>
            </w:pPr>
            <w:r w:rsidRPr="00736119">
              <w:rPr>
                <w:sz w:val="18"/>
                <w:szCs w:val="18"/>
              </w:rPr>
              <w:t>0.04</w:t>
            </w:r>
          </w:p>
          <w:p w:rsidR="00E14414" w:rsidRPr="00736119" w:rsidRDefault="00E14414" w:rsidP="00E14414">
            <w:pPr>
              <w:pStyle w:val="TblTextCenter"/>
              <w:rPr>
                <w:sz w:val="18"/>
                <w:szCs w:val="18"/>
              </w:rPr>
            </w:pPr>
            <w:r w:rsidRPr="00736119">
              <w:rPr>
                <w:sz w:val="18"/>
                <w:szCs w:val="18"/>
              </w:rPr>
              <w:t>[-0.098 to 0.185]</w:t>
            </w:r>
          </w:p>
        </w:tc>
      </w:tr>
      <w:tr w:rsidR="00E14414" w:rsidRPr="00736119" w:rsidTr="00E14414">
        <w:trPr>
          <w:cantSplit/>
          <w:jc w:val="center"/>
        </w:trPr>
        <w:tc>
          <w:tcPr>
            <w:tcW w:w="2712" w:type="pct"/>
            <w:tcBorders>
              <w:top w:val="single" w:sz="4" w:space="0" w:color="auto"/>
            </w:tcBorders>
            <w:shd w:val="clear" w:color="auto" w:fill="auto"/>
          </w:tcPr>
          <w:p w:rsidR="00E14414" w:rsidRPr="00736119" w:rsidRDefault="00E14414" w:rsidP="0002648F">
            <w:pPr>
              <w:pStyle w:val="TblTextCenter"/>
              <w:jc w:val="left"/>
              <w:rPr>
                <w:b/>
                <w:sz w:val="18"/>
                <w:szCs w:val="18"/>
              </w:rPr>
            </w:pPr>
            <w:proofErr w:type="spellStart"/>
            <w:r w:rsidRPr="00736119">
              <w:rPr>
                <w:b/>
                <w:sz w:val="18"/>
                <w:szCs w:val="18"/>
              </w:rPr>
              <w:t>FPG</w:t>
            </w:r>
            <w:r w:rsidRPr="00736119">
              <w:rPr>
                <w:b/>
                <w:sz w:val="18"/>
                <w:szCs w:val="18"/>
                <w:vertAlign w:val="superscript"/>
              </w:rPr>
              <w:t>c</w:t>
            </w:r>
            <w:proofErr w:type="spellEnd"/>
            <w:r w:rsidRPr="00736119">
              <w:rPr>
                <w:b/>
                <w:sz w:val="18"/>
                <w:szCs w:val="18"/>
                <w:vertAlign w:val="superscript"/>
              </w:rPr>
              <w:t xml:space="preserve"> </w:t>
            </w:r>
            <w:proofErr w:type="spellStart"/>
            <w:r w:rsidRPr="00736119">
              <w:rPr>
                <w:b/>
                <w:sz w:val="18"/>
                <w:szCs w:val="18"/>
              </w:rPr>
              <w:t>mmol</w:t>
            </w:r>
            <w:proofErr w:type="spellEnd"/>
            <w:r w:rsidRPr="00736119">
              <w:rPr>
                <w:b/>
                <w:sz w:val="18"/>
                <w:szCs w:val="18"/>
              </w:rPr>
              <w:t>/L</w:t>
            </w:r>
          </w:p>
        </w:tc>
        <w:tc>
          <w:tcPr>
            <w:tcW w:w="1144" w:type="pct"/>
            <w:tcBorders>
              <w:top w:val="single" w:sz="4" w:space="0" w:color="auto"/>
            </w:tcBorders>
            <w:shd w:val="clear" w:color="auto" w:fill="auto"/>
          </w:tcPr>
          <w:p w:rsidR="00E14414" w:rsidRPr="00736119" w:rsidRDefault="00E14414" w:rsidP="00E14414">
            <w:pPr>
              <w:pStyle w:val="TblTextCenter"/>
              <w:rPr>
                <w:sz w:val="18"/>
                <w:szCs w:val="18"/>
              </w:rPr>
            </w:pPr>
          </w:p>
        </w:tc>
        <w:tc>
          <w:tcPr>
            <w:tcW w:w="1144" w:type="pct"/>
            <w:tcBorders>
              <w:top w:val="single" w:sz="4" w:space="0" w:color="auto"/>
            </w:tcBorders>
            <w:shd w:val="clear" w:color="auto" w:fill="auto"/>
          </w:tcPr>
          <w:p w:rsidR="00E14414" w:rsidRPr="00736119" w:rsidRDefault="00E14414" w:rsidP="00E14414">
            <w:pPr>
              <w:pStyle w:val="TblTextCenter"/>
              <w:rPr>
                <w:sz w:val="18"/>
                <w:szCs w:val="18"/>
              </w:rPr>
            </w:pPr>
          </w:p>
        </w:tc>
      </w:tr>
      <w:tr w:rsidR="00E14414" w:rsidRPr="00736119" w:rsidTr="00E14414">
        <w:trPr>
          <w:cantSplit/>
          <w:jc w:val="center"/>
        </w:trPr>
        <w:tc>
          <w:tcPr>
            <w:tcW w:w="2712" w:type="pct"/>
            <w:shd w:val="clear" w:color="auto" w:fill="auto"/>
          </w:tcPr>
          <w:p w:rsidR="00E14414" w:rsidRPr="00736119" w:rsidRDefault="00E14414" w:rsidP="00E14414">
            <w:pPr>
              <w:pStyle w:val="TblTextCenter"/>
              <w:jc w:val="left"/>
              <w:rPr>
                <w:sz w:val="18"/>
                <w:szCs w:val="18"/>
              </w:rPr>
            </w:pPr>
            <w:r w:rsidRPr="00736119">
              <w:rPr>
                <w:sz w:val="18"/>
                <w:szCs w:val="18"/>
              </w:rPr>
              <w:lastRenderedPageBreak/>
              <w:t>Baseline mean</w:t>
            </w:r>
          </w:p>
        </w:tc>
        <w:tc>
          <w:tcPr>
            <w:tcW w:w="1144" w:type="pct"/>
            <w:shd w:val="clear" w:color="auto" w:fill="auto"/>
          </w:tcPr>
          <w:p w:rsidR="00E14414" w:rsidRPr="00736119" w:rsidRDefault="00E14414" w:rsidP="00E14414">
            <w:pPr>
              <w:pStyle w:val="TblTextCenter"/>
              <w:rPr>
                <w:sz w:val="18"/>
                <w:szCs w:val="18"/>
              </w:rPr>
            </w:pPr>
            <w:r w:rsidRPr="00736119">
              <w:rPr>
                <w:sz w:val="18"/>
                <w:szCs w:val="18"/>
              </w:rPr>
              <w:t>10.32</w:t>
            </w:r>
          </w:p>
        </w:tc>
        <w:tc>
          <w:tcPr>
            <w:tcW w:w="1144" w:type="pct"/>
            <w:shd w:val="clear" w:color="auto" w:fill="auto"/>
          </w:tcPr>
          <w:p w:rsidR="00E14414" w:rsidRPr="00736119" w:rsidRDefault="00E14414" w:rsidP="00E14414">
            <w:pPr>
              <w:pStyle w:val="TblTextCenter"/>
              <w:rPr>
                <w:sz w:val="18"/>
                <w:szCs w:val="18"/>
              </w:rPr>
            </w:pPr>
            <w:r w:rsidRPr="00736119">
              <w:rPr>
                <w:sz w:val="18"/>
                <w:szCs w:val="18"/>
              </w:rPr>
              <w:t>11.06</w:t>
            </w:r>
          </w:p>
        </w:tc>
      </w:tr>
      <w:tr w:rsidR="00E14414" w:rsidRPr="00736119" w:rsidTr="00E14414">
        <w:trPr>
          <w:cantSplit/>
          <w:jc w:val="center"/>
        </w:trPr>
        <w:tc>
          <w:tcPr>
            <w:tcW w:w="2712" w:type="pct"/>
            <w:tcBorders>
              <w:bottom w:val="nil"/>
            </w:tcBorders>
            <w:shd w:val="clear" w:color="auto" w:fill="auto"/>
          </w:tcPr>
          <w:p w:rsidR="00E14414" w:rsidRPr="00736119" w:rsidRDefault="00E14414" w:rsidP="00E14414">
            <w:pPr>
              <w:pStyle w:val="TblTextCenter"/>
              <w:jc w:val="left"/>
              <w:rPr>
                <w:sz w:val="18"/>
                <w:szCs w:val="18"/>
              </w:rPr>
            </w:pPr>
            <w:r w:rsidRPr="00736119">
              <w:rPr>
                <w:sz w:val="18"/>
                <w:szCs w:val="18"/>
              </w:rPr>
              <w:t>Adjusted Mean change from baseline</w:t>
            </w:r>
          </w:p>
        </w:tc>
        <w:tc>
          <w:tcPr>
            <w:tcW w:w="1144" w:type="pct"/>
            <w:tcBorders>
              <w:bottom w:val="nil"/>
            </w:tcBorders>
            <w:shd w:val="clear" w:color="auto" w:fill="auto"/>
          </w:tcPr>
          <w:p w:rsidR="00E14414" w:rsidRPr="00736119" w:rsidRDefault="00E14414" w:rsidP="00E14414">
            <w:pPr>
              <w:pStyle w:val="TblTextCenter"/>
              <w:rPr>
                <w:sz w:val="18"/>
                <w:szCs w:val="18"/>
              </w:rPr>
            </w:pPr>
            <w:r w:rsidRPr="00736119">
              <w:rPr>
                <w:sz w:val="18"/>
                <w:szCs w:val="18"/>
              </w:rPr>
              <w:t>-0.95</w:t>
            </w:r>
          </w:p>
        </w:tc>
        <w:tc>
          <w:tcPr>
            <w:tcW w:w="1144" w:type="pct"/>
            <w:tcBorders>
              <w:bottom w:val="nil"/>
            </w:tcBorders>
            <w:shd w:val="clear" w:color="auto" w:fill="auto"/>
          </w:tcPr>
          <w:p w:rsidR="00E14414" w:rsidRPr="00736119" w:rsidRDefault="00E14414" w:rsidP="00E14414">
            <w:pPr>
              <w:pStyle w:val="TblTextCenter"/>
              <w:rPr>
                <w:sz w:val="18"/>
                <w:szCs w:val="18"/>
              </w:rPr>
            </w:pPr>
            <w:r w:rsidRPr="00736119">
              <w:rPr>
                <w:sz w:val="18"/>
                <w:szCs w:val="18"/>
              </w:rPr>
              <w:t>-1.14</w:t>
            </w:r>
          </w:p>
        </w:tc>
      </w:tr>
      <w:tr w:rsidR="00E14414" w:rsidRPr="00736119" w:rsidTr="00E14414">
        <w:trPr>
          <w:cantSplit/>
          <w:jc w:val="center"/>
        </w:trPr>
        <w:tc>
          <w:tcPr>
            <w:tcW w:w="2712" w:type="pct"/>
            <w:tcBorders>
              <w:top w:val="nil"/>
              <w:bottom w:val="single" w:sz="4" w:space="0" w:color="auto"/>
            </w:tcBorders>
            <w:shd w:val="clear" w:color="auto" w:fill="auto"/>
          </w:tcPr>
          <w:p w:rsidR="00E14414" w:rsidRPr="00736119" w:rsidRDefault="00E14414" w:rsidP="00E14414">
            <w:pPr>
              <w:pStyle w:val="TblTextCenter"/>
              <w:jc w:val="left"/>
              <w:rPr>
                <w:sz w:val="18"/>
                <w:szCs w:val="18"/>
              </w:rPr>
            </w:pPr>
            <w:r w:rsidRPr="00736119">
              <w:rPr>
                <w:sz w:val="18"/>
                <w:szCs w:val="18"/>
              </w:rPr>
              <w:t xml:space="preserve">Adjusted Mean </w:t>
            </w:r>
            <w:proofErr w:type="spellStart"/>
            <w:r w:rsidRPr="00736119">
              <w:rPr>
                <w:sz w:val="18"/>
                <w:szCs w:val="18"/>
              </w:rPr>
              <w:t>difference</w:t>
            </w:r>
            <w:r w:rsidRPr="00736119">
              <w:rPr>
                <w:sz w:val="18"/>
                <w:szCs w:val="18"/>
                <w:vertAlign w:val="superscript"/>
              </w:rPr>
              <w:t>b</w:t>
            </w:r>
            <w:proofErr w:type="spellEnd"/>
            <w:r w:rsidRPr="00736119">
              <w:rPr>
                <w:sz w:val="18"/>
                <w:szCs w:val="18"/>
              </w:rPr>
              <w:t xml:space="preserve"> </w:t>
            </w:r>
          </w:p>
          <w:p w:rsidR="00E14414" w:rsidRPr="00736119" w:rsidRDefault="00E14414" w:rsidP="00E14414">
            <w:pPr>
              <w:pStyle w:val="TblTextCenter"/>
              <w:jc w:val="left"/>
              <w:rPr>
                <w:sz w:val="18"/>
                <w:szCs w:val="18"/>
              </w:rPr>
            </w:pPr>
            <w:r w:rsidRPr="00736119">
              <w:rPr>
                <w:sz w:val="18"/>
                <w:szCs w:val="18"/>
              </w:rPr>
              <w:t>[95% Confidence Interval]</w:t>
            </w:r>
          </w:p>
        </w:tc>
        <w:tc>
          <w:tcPr>
            <w:tcW w:w="2288" w:type="pct"/>
            <w:gridSpan w:val="2"/>
            <w:tcBorders>
              <w:top w:val="nil"/>
              <w:bottom w:val="single" w:sz="4" w:space="0" w:color="auto"/>
            </w:tcBorders>
            <w:shd w:val="clear" w:color="auto" w:fill="auto"/>
          </w:tcPr>
          <w:p w:rsidR="00E14414" w:rsidRPr="00736119" w:rsidRDefault="00E14414" w:rsidP="00E14414">
            <w:pPr>
              <w:pStyle w:val="TblTextCenter"/>
              <w:rPr>
                <w:sz w:val="18"/>
                <w:szCs w:val="18"/>
                <w:vertAlign w:val="superscript"/>
              </w:rPr>
            </w:pPr>
            <w:r w:rsidRPr="00736119">
              <w:rPr>
                <w:sz w:val="18"/>
                <w:szCs w:val="18"/>
              </w:rPr>
              <w:t>0.19</w:t>
            </w:r>
          </w:p>
          <w:p w:rsidR="00E14414" w:rsidRPr="00736119" w:rsidRDefault="00E14414" w:rsidP="00E14414">
            <w:pPr>
              <w:pStyle w:val="TblTextCenter"/>
              <w:rPr>
                <w:sz w:val="18"/>
                <w:szCs w:val="18"/>
              </w:rPr>
            </w:pPr>
            <w:r w:rsidRPr="00736119">
              <w:rPr>
                <w:sz w:val="18"/>
                <w:szCs w:val="18"/>
                <w:vertAlign w:val="superscript"/>
              </w:rPr>
              <w:t xml:space="preserve"> </w:t>
            </w:r>
            <w:r w:rsidRPr="00736119">
              <w:rPr>
                <w:sz w:val="18"/>
                <w:szCs w:val="18"/>
              </w:rPr>
              <w:t>[-0.536 to 0.919]</w:t>
            </w:r>
          </w:p>
        </w:tc>
      </w:tr>
      <w:tr w:rsidR="00E14414" w:rsidRPr="00736119" w:rsidTr="00E14414">
        <w:trPr>
          <w:cantSplit/>
          <w:jc w:val="center"/>
        </w:trPr>
        <w:tc>
          <w:tcPr>
            <w:tcW w:w="2712" w:type="pct"/>
            <w:tcBorders>
              <w:top w:val="single" w:sz="4" w:space="0" w:color="auto"/>
            </w:tcBorders>
            <w:shd w:val="clear" w:color="auto" w:fill="auto"/>
          </w:tcPr>
          <w:p w:rsidR="00E14414" w:rsidRPr="00736119" w:rsidRDefault="00E14414" w:rsidP="0002648F">
            <w:pPr>
              <w:pStyle w:val="TblTextCenter"/>
              <w:jc w:val="left"/>
              <w:rPr>
                <w:b/>
                <w:sz w:val="18"/>
                <w:szCs w:val="18"/>
                <w:highlight w:val="cyan"/>
              </w:rPr>
            </w:pPr>
            <w:r w:rsidRPr="00736119">
              <w:rPr>
                <w:b/>
                <w:sz w:val="18"/>
                <w:szCs w:val="18"/>
              </w:rPr>
              <w:t>Basal insulin dose</w:t>
            </w:r>
            <w:r w:rsidRPr="00736119">
              <w:rPr>
                <w:b/>
                <w:sz w:val="18"/>
                <w:szCs w:val="18"/>
                <w:vertAlign w:val="superscript"/>
              </w:rPr>
              <w:t>d</w:t>
            </w:r>
            <w:r w:rsidRPr="00736119">
              <w:rPr>
                <w:b/>
                <w:sz w:val="18"/>
                <w:szCs w:val="18"/>
              </w:rPr>
              <w:t xml:space="preserve"> (U/kg)</w:t>
            </w:r>
          </w:p>
        </w:tc>
        <w:tc>
          <w:tcPr>
            <w:tcW w:w="2288" w:type="pct"/>
            <w:gridSpan w:val="2"/>
            <w:tcBorders>
              <w:top w:val="single" w:sz="4" w:space="0" w:color="auto"/>
            </w:tcBorders>
            <w:shd w:val="clear" w:color="auto" w:fill="auto"/>
          </w:tcPr>
          <w:p w:rsidR="00E14414" w:rsidRPr="00736119" w:rsidRDefault="00E14414" w:rsidP="00E14414">
            <w:pPr>
              <w:pStyle w:val="TblTextCenter"/>
              <w:rPr>
                <w:sz w:val="18"/>
                <w:szCs w:val="18"/>
              </w:rPr>
            </w:pPr>
          </w:p>
        </w:tc>
      </w:tr>
      <w:tr w:rsidR="00E14414" w:rsidRPr="00736119" w:rsidTr="00E14414">
        <w:trPr>
          <w:cantSplit/>
          <w:jc w:val="center"/>
        </w:trPr>
        <w:tc>
          <w:tcPr>
            <w:tcW w:w="2712" w:type="pct"/>
            <w:shd w:val="clear" w:color="auto" w:fill="auto"/>
          </w:tcPr>
          <w:p w:rsidR="00E14414" w:rsidRPr="00736119" w:rsidRDefault="00E14414" w:rsidP="00E14414">
            <w:pPr>
              <w:pStyle w:val="TblTextCenter"/>
              <w:jc w:val="left"/>
              <w:rPr>
                <w:sz w:val="18"/>
                <w:szCs w:val="18"/>
              </w:rPr>
            </w:pPr>
            <w:r w:rsidRPr="00736119">
              <w:rPr>
                <w:sz w:val="18"/>
                <w:szCs w:val="18"/>
              </w:rPr>
              <w:t>Baseline mean</w:t>
            </w:r>
          </w:p>
        </w:tc>
        <w:tc>
          <w:tcPr>
            <w:tcW w:w="1144" w:type="pct"/>
            <w:shd w:val="clear" w:color="auto" w:fill="auto"/>
          </w:tcPr>
          <w:p w:rsidR="00E14414" w:rsidRPr="00736119" w:rsidRDefault="00E14414" w:rsidP="00E14414">
            <w:pPr>
              <w:pStyle w:val="TblTextCenter"/>
              <w:rPr>
                <w:sz w:val="18"/>
                <w:szCs w:val="18"/>
              </w:rPr>
            </w:pPr>
            <w:r w:rsidRPr="00736119">
              <w:rPr>
                <w:sz w:val="18"/>
                <w:szCs w:val="18"/>
              </w:rPr>
              <w:t>0.32</w:t>
            </w:r>
          </w:p>
        </w:tc>
        <w:tc>
          <w:tcPr>
            <w:tcW w:w="1144" w:type="pct"/>
            <w:shd w:val="clear" w:color="auto" w:fill="auto"/>
          </w:tcPr>
          <w:p w:rsidR="00E14414" w:rsidRPr="00736119" w:rsidRDefault="00E14414" w:rsidP="00E14414">
            <w:pPr>
              <w:pStyle w:val="TblTextCenter"/>
              <w:rPr>
                <w:sz w:val="18"/>
                <w:szCs w:val="18"/>
              </w:rPr>
            </w:pPr>
            <w:r w:rsidRPr="00736119">
              <w:rPr>
                <w:sz w:val="18"/>
                <w:szCs w:val="18"/>
              </w:rPr>
              <w:t>0.32</w:t>
            </w:r>
          </w:p>
        </w:tc>
      </w:tr>
      <w:tr w:rsidR="00E14414" w:rsidRPr="00736119" w:rsidTr="00E14414">
        <w:trPr>
          <w:cantSplit/>
          <w:jc w:val="center"/>
        </w:trPr>
        <w:tc>
          <w:tcPr>
            <w:tcW w:w="2712" w:type="pct"/>
            <w:shd w:val="clear" w:color="auto" w:fill="auto"/>
          </w:tcPr>
          <w:p w:rsidR="00E14414" w:rsidRPr="00736119" w:rsidRDefault="00E14414" w:rsidP="00E14414">
            <w:pPr>
              <w:pStyle w:val="TblTextCenter"/>
              <w:jc w:val="left"/>
              <w:rPr>
                <w:sz w:val="18"/>
                <w:szCs w:val="18"/>
              </w:rPr>
            </w:pPr>
            <w:r w:rsidRPr="00736119">
              <w:rPr>
                <w:sz w:val="18"/>
                <w:szCs w:val="18"/>
              </w:rPr>
              <w:t>Mean change from baseline</w:t>
            </w:r>
          </w:p>
        </w:tc>
        <w:tc>
          <w:tcPr>
            <w:tcW w:w="1144" w:type="pct"/>
            <w:shd w:val="clear" w:color="auto" w:fill="auto"/>
          </w:tcPr>
          <w:p w:rsidR="00E14414" w:rsidRPr="00736119" w:rsidRDefault="00E14414" w:rsidP="00E14414">
            <w:pPr>
              <w:pStyle w:val="TblTextCenter"/>
              <w:rPr>
                <w:sz w:val="18"/>
                <w:szCs w:val="18"/>
              </w:rPr>
            </w:pPr>
            <w:r w:rsidRPr="00736119">
              <w:rPr>
                <w:sz w:val="18"/>
                <w:szCs w:val="18"/>
              </w:rPr>
              <w:t>0.15</w:t>
            </w:r>
          </w:p>
        </w:tc>
        <w:tc>
          <w:tcPr>
            <w:tcW w:w="1144" w:type="pct"/>
            <w:shd w:val="clear" w:color="auto" w:fill="auto"/>
          </w:tcPr>
          <w:p w:rsidR="00E14414" w:rsidRPr="00736119" w:rsidRDefault="00E14414" w:rsidP="00E14414">
            <w:pPr>
              <w:pStyle w:val="TblTextCenter"/>
              <w:rPr>
                <w:sz w:val="18"/>
                <w:szCs w:val="18"/>
              </w:rPr>
            </w:pPr>
            <w:r w:rsidRPr="00736119">
              <w:rPr>
                <w:sz w:val="18"/>
                <w:szCs w:val="18"/>
              </w:rPr>
              <w:t>0.09</w:t>
            </w:r>
          </w:p>
        </w:tc>
      </w:tr>
      <w:tr w:rsidR="00E14414" w:rsidRPr="00736119" w:rsidTr="00E14414">
        <w:trPr>
          <w:cantSplit/>
          <w:jc w:val="center"/>
        </w:trPr>
        <w:tc>
          <w:tcPr>
            <w:tcW w:w="2712" w:type="pct"/>
            <w:tcBorders>
              <w:top w:val="single" w:sz="4" w:space="0" w:color="auto"/>
            </w:tcBorders>
            <w:shd w:val="clear" w:color="auto" w:fill="auto"/>
          </w:tcPr>
          <w:p w:rsidR="00E14414" w:rsidRPr="00736119" w:rsidRDefault="00E14414" w:rsidP="0002648F">
            <w:pPr>
              <w:pStyle w:val="TblTextCenter"/>
              <w:jc w:val="left"/>
              <w:rPr>
                <w:b/>
                <w:sz w:val="18"/>
                <w:szCs w:val="18"/>
              </w:rPr>
            </w:pPr>
            <w:r w:rsidRPr="00736119">
              <w:rPr>
                <w:b/>
                <w:sz w:val="18"/>
                <w:szCs w:val="18"/>
              </w:rPr>
              <w:t>Total insulin dose</w:t>
            </w:r>
            <w:r w:rsidRPr="00736119">
              <w:rPr>
                <w:b/>
                <w:sz w:val="18"/>
                <w:szCs w:val="18"/>
                <w:vertAlign w:val="superscript"/>
              </w:rPr>
              <w:t>d</w:t>
            </w:r>
            <w:r w:rsidRPr="00736119">
              <w:rPr>
                <w:b/>
                <w:sz w:val="18"/>
                <w:szCs w:val="18"/>
              </w:rPr>
              <w:t xml:space="preserve"> (U/kg)</w:t>
            </w:r>
          </w:p>
        </w:tc>
        <w:tc>
          <w:tcPr>
            <w:tcW w:w="2288" w:type="pct"/>
            <w:gridSpan w:val="2"/>
            <w:tcBorders>
              <w:top w:val="single" w:sz="4" w:space="0" w:color="auto"/>
            </w:tcBorders>
            <w:shd w:val="clear" w:color="auto" w:fill="auto"/>
          </w:tcPr>
          <w:p w:rsidR="00E14414" w:rsidRPr="00736119" w:rsidRDefault="00E14414" w:rsidP="00E14414">
            <w:pPr>
              <w:pStyle w:val="TblTextCenter"/>
              <w:rPr>
                <w:sz w:val="18"/>
                <w:szCs w:val="18"/>
              </w:rPr>
            </w:pPr>
          </w:p>
        </w:tc>
      </w:tr>
      <w:tr w:rsidR="00E14414" w:rsidRPr="00736119" w:rsidTr="00E14414">
        <w:trPr>
          <w:cantSplit/>
          <w:jc w:val="center"/>
        </w:trPr>
        <w:tc>
          <w:tcPr>
            <w:tcW w:w="2712" w:type="pct"/>
            <w:shd w:val="clear" w:color="auto" w:fill="auto"/>
          </w:tcPr>
          <w:p w:rsidR="00E14414" w:rsidRPr="00736119" w:rsidRDefault="00E14414" w:rsidP="00E14414">
            <w:pPr>
              <w:pStyle w:val="TblTextCenter"/>
              <w:jc w:val="left"/>
              <w:rPr>
                <w:sz w:val="18"/>
                <w:szCs w:val="18"/>
              </w:rPr>
            </w:pPr>
            <w:r w:rsidRPr="00736119">
              <w:rPr>
                <w:sz w:val="18"/>
                <w:szCs w:val="18"/>
              </w:rPr>
              <w:t>Baseline mean</w:t>
            </w:r>
          </w:p>
        </w:tc>
        <w:tc>
          <w:tcPr>
            <w:tcW w:w="1144" w:type="pct"/>
            <w:shd w:val="clear" w:color="auto" w:fill="auto"/>
          </w:tcPr>
          <w:p w:rsidR="00E14414" w:rsidRPr="00736119" w:rsidRDefault="00E14414" w:rsidP="00E14414">
            <w:pPr>
              <w:pStyle w:val="TblTextCenter"/>
              <w:rPr>
                <w:sz w:val="18"/>
                <w:szCs w:val="18"/>
              </w:rPr>
            </w:pPr>
            <w:r w:rsidRPr="00736119">
              <w:rPr>
                <w:sz w:val="18"/>
                <w:szCs w:val="18"/>
              </w:rPr>
              <w:t>0.64</w:t>
            </w:r>
          </w:p>
        </w:tc>
        <w:tc>
          <w:tcPr>
            <w:tcW w:w="1144" w:type="pct"/>
            <w:shd w:val="clear" w:color="auto" w:fill="auto"/>
          </w:tcPr>
          <w:p w:rsidR="00E14414" w:rsidRPr="00736119" w:rsidRDefault="00E14414" w:rsidP="00E14414">
            <w:pPr>
              <w:pStyle w:val="TblTextCenter"/>
              <w:rPr>
                <w:sz w:val="18"/>
                <w:szCs w:val="18"/>
              </w:rPr>
            </w:pPr>
            <w:r w:rsidRPr="00736119">
              <w:rPr>
                <w:sz w:val="18"/>
                <w:szCs w:val="18"/>
              </w:rPr>
              <w:t>0.64</w:t>
            </w:r>
          </w:p>
        </w:tc>
      </w:tr>
      <w:tr w:rsidR="00E14414" w:rsidRPr="00736119" w:rsidTr="00E14414">
        <w:trPr>
          <w:cantSplit/>
          <w:jc w:val="center"/>
        </w:trPr>
        <w:tc>
          <w:tcPr>
            <w:tcW w:w="2712" w:type="pct"/>
            <w:tcBorders>
              <w:bottom w:val="single" w:sz="4" w:space="0" w:color="auto"/>
            </w:tcBorders>
            <w:shd w:val="clear" w:color="auto" w:fill="auto"/>
          </w:tcPr>
          <w:p w:rsidR="00E14414" w:rsidRPr="00736119" w:rsidRDefault="00E14414" w:rsidP="00E14414">
            <w:pPr>
              <w:pStyle w:val="TblTextCenter"/>
              <w:jc w:val="left"/>
              <w:rPr>
                <w:sz w:val="18"/>
                <w:szCs w:val="18"/>
              </w:rPr>
            </w:pPr>
            <w:r w:rsidRPr="00736119">
              <w:rPr>
                <w:sz w:val="18"/>
                <w:szCs w:val="18"/>
              </w:rPr>
              <w:t>Mean change from baseline</w:t>
            </w:r>
          </w:p>
        </w:tc>
        <w:tc>
          <w:tcPr>
            <w:tcW w:w="1144" w:type="pct"/>
            <w:tcBorders>
              <w:bottom w:val="single" w:sz="4" w:space="0" w:color="auto"/>
            </w:tcBorders>
            <w:shd w:val="clear" w:color="auto" w:fill="auto"/>
          </w:tcPr>
          <w:p w:rsidR="00E14414" w:rsidRPr="00736119" w:rsidRDefault="00E14414" w:rsidP="00E14414">
            <w:pPr>
              <w:pStyle w:val="TblTextCenter"/>
              <w:rPr>
                <w:sz w:val="18"/>
                <w:szCs w:val="18"/>
              </w:rPr>
            </w:pPr>
            <w:r w:rsidRPr="00736119">
              <w:rPr>
                <w:sz w:val="18"/>
                <w:szCs w:val="18"/>
              </w:rPr>
              <w:t>0.19</w:t>
            </w:r>
          </w:p>
        </w:tc>
        <w:tc>
          <w:tcPr>
            <w:tcW w:w="1144" w:type="pct"/>
            <w:tcBorders>
              <w:bottom w:val="single" w:sz="4" w:space="0" w:color="auto"/>
            </w:tcBorders>
            <w:shd w:val="clear" w:color="auto" w:fill="auto"/>
          </w:tcPr>
          <w:p w:rsidR="00E14414" w:rsidRPr="00736119" w:rsidRDefault="00E14414" w:rsidP="00E14414">
            <w:pPr>
              <w:pStyle w:val="TblTextCenter"/>
              <w:rPr>
                <w:sz w:val="18"/>
                <w:szCs w:val="18"/>
              </w:rPr>
            </w:pPr>
            <w:r w:rsidRPr="00736119">
              <w:rPr>
                <w:sz w:val="18"/>
                <w:szCs w:val="18"/>
              </w:rPr>
              <w:t>0.10</w:t>
            </w:r>
          </w:p>
        </w:tc>
      </w:tr>
      <w:tr w:rsidR="00E14414" w:rsidRPr="00736119" w:rsidTr="00E14414">
        <w:trPr>
          <w:cantSplit/>
          <w:jc w:val="center"/>
        </w:trPr>
        <w:tc>
          <w:tcPr>
            <w:tcW w:w="2712" w:type="pct"/>
            <w:tcBorders>
              <w:top w:val="single" w:sz="4" w:space="0" w:color="auto"/>
              <w:left w:val="nil"/>
              <w:bottom w:val="nil"/>
            </w:tcBorders>
            <w:shd w:val="clear" w:color="auto" w:fill="auto"/>
          </w:tcPr>
          <w:p w:rsidR="00E14414" w:rsidRPr="00736119" w:rsidRDefault="00E14414" w:rsidP="0002648F">
            <w:pPr>
              <w:pStyle w:val="TblTextCenter"/>
              <w:jc w:val="left"/>
              <w:rPr>
                <w:sz w:val="18"/>
                <w:szCs w:val="18"/>
              </w:rPr>
            </w:pPr>
            <w:r w:rsidRPr="00736119">
              <w:rPr>
                <w:b/>
                <w:sz w:val="18"/>
                <w:szCs w:val="18"/>
              </w:rPr>
              <w:t xml:space="preserve">Body </w:t>
            </w:r>
            <w:proofErr w:type="spellStart"/>
            <w:r w:rsidRPr="00736119">
              <w:rPr>
                <w:b/>
                <w:sz w:val="18"/>
                <w:szCs w:val="18"/>
              </w:rPr>
              <w:t>weight</w:t>
            </w:r>
            <w:r w:rsidRPr="00736119">
              <w:rPr>
                <w:b/>
                <w:sz w:val="18"/>
                <w:szCs w:val="18"/>
                <w:vertAlign w:val="superscript"/>
              </w:rPr>
              <w:t>e</w:t>
            </w:r>
            <w:proofErr w:type="spellEnd"/>
            <w:r w:rsidRPr="00736119">
              <w:rPr>
                <w:b/>
                <w:sz w:val="18"/>
                <w:szCs w:val="18"/>
              </w:rPr>
              <w:t xml:space="preserve"> (kg)</w:t>
            </w:r>
          </w:p>
        </w:tc>
        <w:tc>
          <w:tcPr>
            <w:tcW w:w="2288" w:type="pct"/>
            <w:gridSpan w:val="2"/>
            <w:tcBorders>
              <w:top w:val="single" w:sz="4" w:space="0" w:color="auto"/>
              <w:bottom w:val="nil"/>
              <w:right w:val="nil"/>
            </w:tcBorders>
            <w:shd w:val="clear" w:color="auto" w:fill="auto"/>
          </w:tcPr>
          <w:p w:rsidR="00E14414" w:rsidRPr="00736119" w:rsidRDefault="00E14414" w:rsidP="00E14414">
            <w:pPr>
              <w:pStyle w:val="TblTextCenter"/>
              <w:rPr>
                <w:sz w:val="18"/>
                <w:szCs w:val="18"/>
              </w:rPr>
            </w:pPr>
          </w:p>
        </w:tc>
      </w:tr>
      <w:tr w:rsidR="00E14414" w:rsidRPr="00736119" w:rsidTr="00E14414">
        <w:trPr>
          <w:cantSplit/>
          <w:jc w:val="center"/>
        </w:trPr>
        <w:tc>
          <w:tcPr>
            <w:tcW w:w="2712" w:type="pct"/>
            <w:tcBorders>
              <w:top w:val="nil"/>
              <w:left w:val="nil"/>
              <w:bottom w:val="single" w:sz="4" w:space="0" w:color="auto"/>
            </w:tcBorders>
            <w:shd w:val="clear" w:color="auto" w:fill="auto"/>
          </w:tcPr>
          <w:p w:rsidR="00E14414" w:rsidRPr="00736119" w:rsidRDefault="00E14414" w:rsidP="00E14414">
            <w:pPr>
              <w:pStyle w:val="TblTextCenter"/>
              <w:jc w:val="left"/>
              <w:rPr>
                <w:sz w:val="18"/>
                <w:szCs w:val="18"/>
              </w:rPr>
            </w:pPr>
            <w:r w:rsidRPr="00736119">
              <w:rPr>
                <w:sz w:val="18"/>
                <w:szCs w:val="18"/>
              </w:rPr>
              <w:t xml:space="preserve">Baseline mean </w:t>
            </w:r>
          </w:p>
          <w:p w:rsidR="00E14414" w:rsidRPr="00736119" w:rsidRDefault="00E14414" w:rsidP="00E14414">
            <w:pPr>
              <w:pStyle w:val="TblTextCenter"/>
              <w:jc w:val="left"/>
              <w:rPr>
                <w:sz w:val="18"/>
                <w:szCs w:val="18"/>
              </w:rPr>
            </w:pPr>
            <w:r w:rsidRPr="00736119">
              <w:rPr>
                <w:sz w:val="18"/>
                <w:szCs w:val="18"/>
              </w:rPr>
              <w:t>Mean change from baseline</w:t>
            </w:r>
          </w:p>
        </w:tc>
        <w:tc>
          <w:tcPr>
            <w:tcW w:w="1144" w:type="pct"/>
            <w:tcBorders>
              <w:top w:val="nil"/>
              <w:bottom w:val="single" w:sz="4" w:space="0" w:color="auto"/>
              <w:right w:val="nil"/>
            </w:tcBorders>
            <w:shd w:val="clear" w:color="auto" w:fill="auto"/>
          </w:tcPr>
          <w:p w:rsidR="00E14414" w:rsidRPr="00736119" w:rsidRDefault="00E14414" w:rsidP="00E14414">
            <w:pPr>
              <w:pStyle w:val="TblTextCenter"/>
              <w:rPr>
                <w:sz w:val="18"/>
                <w:szCs w:val="18"/>
              </w:rPr>
            </w:pPr>
            <w:r w:rsidRPr="00736119">
              <w:rPr>
                <w:sz w:val="18"/>
                <w:szCs w:val="18"/>
              </w:rPr>
              <w:t>81.89</w:t>
            </w:r>
          </w:p>
          <w:p w:rsidR="00E14414" w:rsidRPr="00736119" w:rsidRDefault="00E14414" w:rsidP="00E14414">
            <w:pPr>
              <w:pStyle w:val="TblTextCenter"/>
              <w:rPr>
                <w:sz w:val="18"/>
                <w:szCs w:val="18"/>
              </w:rPr>
            </w:pPr>
            <w:r w:rsidRPr="00736119">
              <w:rPr>
                <w:sz w:val="18"/>
                <w:szCs w:val="18"/>
              </w:rPr>
              <w:t>0.46</w:t>
            </w:r>
          </w:p>
        </w:tc>
        <w:tc>
          <w:tcPr>
            <w:tcW w:w="1144" w:type="pct"/>
            <w:tcBorders>
              <w:top w:val="nil"/>
              <w:left w:val="nil"/>
              <w:bottom w:val="single" w:sz="4" w:space="0" w:color="auto"/>
              <w:right w:val="nil"/>
            </w:tcBorders>
            <w:shd w:val="clear" w:color="auto" w:fill="auto"/>
          </w:tcPr>
          <w:p w:rsidR="00E14414" w:rsidRPr="00736119" w:rsidRDefault="00E14414" w:rsidP="00E14414">
            <w:pPr>
              <w:pStyle w:val="TblTextCenter"/>
              <w:rPr>
                <w:sz w:val="18"/>
                <w:szCs w:val="18"/>
              </w:rPr>
            </w:pPr>
            <w:r w:rsidRPr="00736119">
              <w:rPr>
                <w:sz w:val="18"/>
                <w:szCs w:val="18"/>
              </w:rPr>
              <w:t>81.80</w:t>
            </w:r>
          </w:p>
          <w:p w:rsidR="00E14414" w:rsidRPr="00736119" w:rsidRDefault="00E14414" w:rsidP="00E14414">
            <w:pPr>
              <w:pStyle w:val="TblTextCenter"/>
              <w:rPr>
                <w:sz w:val="18"/>
                <w:szCs w:val="18"/>
              </w:rPr>
            </w:pPr>
            <w:r w:rsidRPr="00736119">
              <w:rPr>
                <w:sz w:val="18"/>
                <w:szCs w:val="18"/>
              </w:rPr>
              <w:t>1.02</w:t>
            </w:r>
          </w:p>
        </w:tc>
      </w:tr>
      <w:tr w:rsidR="00E14414" w:rsidRPr="007640B1" w:rsidTr="00E14414">
        <w:trPr>
          <w:cantSplit/>
          <w:jc w:val="center"/>
        </w:trPr>
        <w:tc>
          <w:tcPr>
            <w:tcW w:w="5000" w:type="pct"/>
            <w:gridSpan w:val="3"/>
            <w:tcBorders>
              <w:top w:val="single" w:sz="4" w:space="0" w:color="auto"/>
            </w:tcBorders>
            <w:shd w:val="clear" w:color="auto" w:fill="auto"/>
          </w:tcPr>
          <w:p w:rsidR="0049172D" w:rsidRPr="00755AEB" w:rsidRDefault="0049172D" w:rsidP="0049172D">
            <w:pPr>
              <w:pStyle w:val="TblFigFootnote"/>
              <w:rPr>
                <w:rFonts w:ascii="Times New Roman" w:hAnsi="Times New Roman"/>
                <w:szCs w:val="18"/>
              </w:rPr>
            </w:pPr>
            <w:bookmarkStart w:id="19" w:name="_Ref383503961"/>
            <w:proofErr w:type="spellStart"/>
            <w:r w:rsidRPr="00755AEB">
              <w:rPr>
                <w:rFonts w:ascii="Times New Roman" w:hAnsi="Times New Roman"/>
                <w:szCs w:val="18"/>
              </w:rPr>
              <w:t>IGlar</w:t>
            </w:r>
            <w:proofErr w:type="spellEnd"/>
            <w:r w:rsidRPr="00755AEB">
              <w:rPr>
                <w:rFonts w:ascii="Times New Roman" w:hAnsi="Times New Roman"/>
                <w:szCs w:val="18"/>
              </w:rPr>
              <w:t xml:space="preserve">: insulin </w:t>
            </w:r>
            <w:proofErr w:type="spellStart"/>
            <w:r w:rsidRPr="00755AEB">
              <w:rPr>
                <w:rFonts w:ascii="Times New Roman" w:hAnsi="Times New Roman"/>
                <w:szCs w:val="18"/>
              </w:rPr>
              <w:t>glargine</w:t>
            </w:r>
            <w:proofErr w:type="spellEnd"/>
            <w:r w:rsidRPr="00755AEB">
              <w:rPr>
                <w:rFonts w:ascii="Times New Roman" w:hAnsi="Times New Roman"/>
                <w:szCs w:val="18"/>
              </w:rPr>
              <w:t xml:space="preserve"> 100 units/mL</w:t>
            </w:r>
          </w:p>
          <w:p w:rsidR="00E14414" w:rsidRPr="007640B1" w:rsidRDefault="00E14414" w:rsidP="0098353A">
            <w:pPr>
              <w:pStyle w:val="TblFigFootnote"/>
              <w:numPr>
                <w:ilvl w:val="0"/>
                <w:numId w:val="10"/>
              </w:numPr>
              <w:rPr>
                <w:rFonts w:ascii="Times New Roman" w:hAnsi="Times New Roman"/>
                <w:color w:val="000000"/>
                <w:szCs w:val="18"/>
              </w:rPr>
            </w:pPr>
            <w:proofErr w:type="spellStart"/>
            <w:r w:rsidRPr="007640B1">
              <w:rPr>
                <w:rFonts w:ascii="Times New Roman" w:hAnsi="Times New Roman"/>
                <w:color w:val="000000"/>
                <w:szCs w:val="18"/>
              </w:rPr>
              <w:t>mITT</w:t>
            </w:r>
            <w:proofErr w:type="spellEnd"/>
            <w:r w:rsidRPr="007640B1">
              <w:rPr>
                <w:rFonts w:ascii="Times New Roman" w:hAnsi="Times New Roman"/>
                <w:color w:val="000000"/>
                <w:szCs w:val="18"/>
              </w:rPr>
              <w:t>: Modified intention-to-treat</w:t>
            </w:r>
            <w:bookmarkEnd w:id="19"/>
          </w:p>
          <w:p w:rsidR="00E14414" w:rsidRPr="007640B1" w:rsidRDefault="00E14414" w:rsidP="0098353A">
            <w:pPr>
              <w:pStyle w:val="TblFigFootnote"/>
              <w:numPr>
                <w:ilvl w:val="0"/>
                <w:numId w:val="10"/>
              </w:numPr>
              <w:rPr>
                <w:rFonts w:ascii="Times New Roman" w:hAnsi="Times New Roman"/>
                <w:color w:val="000000"/>
                <w:szCs w:val="18"/>
              </w:rPr>
            </w:pPr>
            <w:r w:rsidRPr="007640B1">
              <w:rPr>
                <w:rFonts w:ascii="Times New Roman" w:hAnsi="Times New Roman"/>
                <w:color w:val="000000"/>
                <w:szCs w:val="18"/>
              </w:rPr>
              <w:t xml:space="preserve">Treatment difference: </w:t>
            </w:r>
            <w:proofErr w:type="spellStart"/>
            <w:r w:rsidR="00BB0644">
              <w:rPr>
                <w:rFonts w:ascii="Times New Roman" w:hAnsi="Times New Roman"/>
                <w:color w:val="000000"/>
                <w:szCs w:val="18"/>
              </w:rPr>
              <w:t>Toujeo</w:t>
            </w:r>
            <w:proofErr w:type="spellEnd"/>
            <w:r w:rsidR="00970F85">
              <w:rPr>
                <w:rFonts w:ascii="Times New Roman" w:hAnsi="Times New Roman"/>
                <w:color w:val="000000"/>
                <w:szCs w:val="18"/>
              </w:rPr>
              <w:t xml:space="preserve"> - Lantus</w:t>
            </w:r>
          </w:p>
          <w:p w:rsidR="00E14414" w:rsidRPr="007640B1" w:rsidRDefault="00E14414" w:rsidP="0098353A">
            <w:pPr>
              <w:pStyle w:val="TblFigFootnote"/>
              <w:numPr>
                <w:ilvl w:val="0"/>
                <w:numId w:val="10"/>
              </w:numPr>
              <w:rPr>
                <w:rFonts w:ascii="Times New Roman" w:hAnsi="Times New Roman"/>
                <w:color w:val="000000"/>
                <w:szCs w:val="18"/>
              </w:rPr>
            </w:pPr>
            <w:r w:rsidRPr="007640B1">
              <w:rPr>
                <w:rFonts w:ascii="Times New Roman" w:hAnsi="Times New Roman"/>
                <w:color w:val="000000"/>
                <w:szCs w:val="18"/>
              </w:rPr>
              <w:t>FPG: Fasting plasma glucose</w:t>
            </w:r>
          </w:p>
          <w:p w:rsidR="00E14414" w:rsidRPr="007640B1" w:rsidRDefault="00E14414" w:rsidP="0098353A">
            <w:pPr>
              <w:pStyle w:val="TblFigFootnote"/>
              <w:numPr>
                <w:ilvl w:val="0"/>
                <w:numId w:val="10"/>
              </w:numPr>
              <w:rPr>
                <w:rFonts w:ascii="Times New Roman" w:hAnsi="Times New Roman"/>
                <w:color w:val="000000"/>
                <w:szCs w:val="18"/>
              </w:rPr>
            </w:pPr>
            <w:r w:rsidRPr="007640B1">
              <w:rPr>
                <w:rFonts w:ascii="Times New Roman" w:hAnsi="Times New Roman"/>
                <w:color w:val="000000"/>
                <w:szCs w:val="18"/>
              </w:rPr>
              <w:t>Change from baseline to Month 6 (observed case)</w:t>
            </w:r>
            <w:r w:rsidRPr="007640B1">
              <w:rPr>
                <w:rFonts w:ascii="Times New Roman" w:hAnsi="Times New Roman"/>
                <w:color w:val="000000"/>
              </w:rPr>
              <w:t> </w:t>
            </w:r>
          </w:p>
          <w:p w:rsidR="00E14414" w:rsidRDefault="00E14414" w:rsidP="0098353A">
            <w:pPr>
              <w:pStyle w:val="TblFigFootnote"/>
              <w:numPr>
                <w:ilvl w:val="0"/>
                <w:numId w:val="10"/>
              </w:numPr>
              <w:rPr>
                <w:rFonts w:ascii="Times New Roman" w:hAnsi="Times New Roman"/>
                <w:color w:val="000000"/>
                <w:szCs w:val="18"/>
              </w:rPr>
            </w:pPr>
            <w:r w:rsidRPr="007640B1">
              <w:rPr>
                <w:rFonts w:ascii="Times New Roman" w:hAnsi="Times New Roman"/>
                <w:color w:val="000000"/>
                <w:szCs w:val="18"/>
              </w:rPr>
              <w:t>Change from baseline to Last main 6-month on-treatment value</w:t>
            </w:r>
          </w:p>
          <w:p w:rsidR="00F776D9" w:rsidRPr="00DF3D34" w:rsidRDefault="00F776D9" w:rsidP="00DF1EC5">
            <w:pPr>
              <w:pStyle w:val="TblFigFootnote"/>
              <w:rPr>
                <w:rFonts w:ascii="Times New Roman" w:hAnsi="Times New Roman"/>
                <w:color w:val="00B0F0"/>
                <w:sz w:val="24"/>
                <w:szCs w:val="24"/>
              </w:rPr>
            </w:pPr>
          </w:p>
        </w:tc>
      </w:tr>
    </w:tbl>
    <w:p w:rsidR="00DA17AE" w:rsidRPr="00DA17AE" w:rsidRDefault="00DF2EB7" w:rsidP="00DA17AE">
      <w:pPr>
        <w:pStyle w:val="Heading2"/>
        <w:numPr>
          <w:ilvl w:val="0"/>
          <w:numId w:val="0"/>
        </w:numPr>
        <w:ind w:left="680" w:hanging="680"/>
      </w:pPr>
      <w:r w:rsidRPr="00736119">
        <w:t>Type 2 Adult Diabetes</w:t>
      </w:r>
      <w:r w:rsidR="00DA17AE">
        <w:br/>
      </w:r>
    </w:p>
    <w:p w:rsidR="00E14414" w:rsidRPr="00736119" w:rsidRDefault="004F6206" w:rsidP="00E14414">
      <w:pPr>
        <w:rPr>
          <w:b/>
          <w:color w:val="auto"/>
        </w:rPr>
      </w:pPr>
      <w:r w:rsidRPr="00736119">
        <w:rPr>
          <w:b/>
          <w:color w:val="auto"/>
        </w:rPr>
        <w:t>Study</w:t>
      </w:r>
      <w:r w:rsidR="00E14414" w:rsidRPr="00736119">
        <w:rPr>
          <w:b/>
          <w:color w:val="auto"/>
        </w:rPr>
        <w:t xml:space="preserve"> of </w:t>
      </w:r>
      <w:proofErr w:type="spellStart"/>
      <w:r w:rsidR="00BB0644" w:rsidRPr="00736119">
        <w:rPr>
          <w:b/>
          <w:color w:val="auto"/>
        </w:rPr>
        <w:t>Toujeo</w:t>
      </w:r>
      <w:proofErr w:type="spellEnd"/>
      <w:r w:rsidR="00E14414" w:rsidRPr="00736119">
        <w:rPr>
          <w:b/>
          <w:color w:val="auto"/>
        </w:rPr>
        <w:t xml:space="preserve"> in combination with mealtime insulin+/- oral antidiabetic drugs, as background therapy</w:t>
      </w:r>
      <w:r w:rsidR="009C0C97" w:rsidRPr="00736119">
        <w:rPr>
          <w:b/>
          <w:color w:val="auto"/>
        </w:rPr>
        <w:t xml:space="preserve"> - </w:t>
      </w:r>
      <w:r w:rsidR="002E04C5">
        <w:rPr>
          <w:b/>
          <w:color w:val="auto"/>
        </w:rPr>
        <w:t>(EDITION</w:t>
      </w:r>
      <w:r w:rsidRPr="00736119">
        <w:rPr>
          <w:b/>
          <w:color w:val="auto"/>
        </w:rPr>
        <w:t xml:space="preserve"> I) </w:t>
      </w:r>
      <w:r w:rsidR="00DF2EB7" w:rsidRPr="00736119">
        <w:rPr>
          <w:b/>
          <w:color w:val="auto"/>
        </w:rPr>
        <w:fldChar w:fldCharType="begin"/>
      </w:r>
      <w:r w:rsidR="00DF2EB7" w:rsidRPr="00736119">
        <w:rPr>
          <w:b/>
          <w:color w:val="auto"/>
        </w:rPr>
        <w:instrText xml:space="preserve"> REF _Ref381260125 \h  \* MERGEFORMAT </w:instrText>
      </w:r>
      <w:r w:rsidR="00DF2EB7" w:rsidRPr="00736119">
        <w:rPr>
          <w:b/>
          <w:color w:val="auto"/>
        </w:rPr>
      </w:r>
      <w:r w:rsidR="00DF2EB7" w:rsidRPr="00736119">
        <w:rPr>
          <w:b/>
          <w:color w:val="auto"/>
        </w:rPr>
        <w:fldChar w:fldCharType="separate"/>
      </w:r>
      <w:r w:rsidR="002C5256" w:rsidRPr="002C5256">
        <w:rPr>
          <w:color w:val="auto"/>
        </w:rPr>
        <w:t>Table 2</w:t>
      </w:r>
      <w:r w:rsidR="00DF2EB7" w:rsidRPr="00736119">
        <w:rPr>
          <w:b/>
          <w:color w:val="auto"/>
        </w:rPr>
        <w:fldChar w:fldCharType="end"/>
      </w:r>
      <w:r w:rsidR="00DF2EB7" w:rsidRPr="00736119">
        <w:rPr>
          <w:b/>
          <w:color w:val="auto"/>
        </w:rPr>
        <w:t xml:space="preserve"> </w:t>
      </w:r>
    </w:p>
    <w:p w:rsidR="00DA17AE" w:rsidRDefault="00E14414" w:rsidP="00E14414">
      <w:pPr>
        <w:rPr>
          <w:color w:val="auto"/>
        </w:rPr>
      </w:pPr>
      <w:r w:rsidRPr="00736119">
        <w:rPr>
          <w:color w:val="auto"/>
        </w:rPr>
        <w:t xml:space="preserve">In a 26-week open-label, controlled study </w:t>
      </w:r>
      <w:r w:rsidR="002E04C5">
        <w:rPr>
          <w:color w:val="auto"/>
        </w:rPr>
        <w:t>(EDITION</w:t>
      </w:r>
      <w:r w:rsidR="00D14F9A" w:rsidRPr="00736119">
        <w:rPr>
          <w:color w:val="auto"/>
        </w:rPr>
        <w:t xml:space="preserve"> I</w:t>
      </w:r>
      <w:r w:rsidRPr="00736119">
        <w:rPr>
          <w:color w:val="auto"/>
        </w:rPr>
        <w:t xml:space="preserve">, n=804), adults with type 2 diabetes were randomized to once daily treatment in the evening with either </w:t>
      </w:r>
      <w:proofErr w:type="spellStart"/>
      <w:r w:rsidR="00BB0644" w:rsidRPr="00736119">
        <w:rPr>
          <w:color w:val="auto"/>
        </w:rPr>
        <w:t>Toujeo</w:t>
      </w:r>
      <w:proofErr w:type="spellEnd"/>
      <w:r w:rsidR="00C70C15" w:rsidRPr="00736119">
        <w:rPr>
          <w:color w:val="auto"/>
        </w:rPr>
        <w:t xml:space="preserve"> or Lantus</w:t>
      </w:r>
      <w:r w:rsidR="0049172D" w:rsidRPr="00755AEB">
        <w:rPr>
          <w:color w:val="auto"/>
        </w:rPr>
        <w:t xml:space="preserve"> (insulin </w:t>
      </w:r>
      <w:proofErr w:type="spellStart"/>
      <w:r w:rsidR="0049172D" w:rsidRPr="00755AEB">
        <w:rPr>
          <w:color w:val="auto"/>
        </w:rPr>
        <w:t>glargine</w:t>
      </w:r>
      <w:proofErr w:type="spellEnd"/>
      <w:r w:rsidR="0049172D" w:rsidRPr="00755AEB">
        <w:rPr>
          <w:color w:val="auto"/>
        </w:rPr>
        <w:t xml:space="preserve"> 100 units/mL)</w:t>
      </w:r>
      <w:r w:rsidRPr="00755AEB">
        <w:rPr>
          <w:color w:val="auto"/>
        </w:rPr>
        <w:t xml:space="preserve">. </w:t>
      </w:r>
      <w:r w:rsidRPr="00736119">
        <w:rPr>
          <w:color w:val="auto"/>
        </w:rPr>
        <w:t xml:space="preserve">Short-acting mealtime insulin analogues with or without metformin were also administered. </w:t>
      </w:r>
      <w:proofErr w:type="spellStart"/>
      <w:r w:rsidR="00BB0644" w:rsidRPr="00736119">
        <w:rPr>
          <w:color w:val="auto"/>
        </w:rPr>
        <w:t>Toujeo</w:t>
      </w:r>
      <w:proofErr w:type="spellEnd"/>
      <w:r w:rsidRPr="00736119">
        <w:rPr>
          <w:color w:val="auto"/>
        </w:rPr>
        <w:t xml:space="preserve"> was associated with a simi</w:t>
      </w:r>
      <w:r w:rsidR="00A8489F" w:rsidRPr="00736119">
        <w:rPr>
          <w:color w:val="auto"/>
        </w:rPr>
        <w:t xml:space="preserve">lar reduction in HbA1c as </w:t>
      </w:r>
      <w:r w:rsidR="0049172D" w:rsidRPr="00755AEB">
        <w:rPr>
          <w:color w:val="auto"/>
        </w:rPr>
        <w:t xml:space="preserve">insulin </w:t>
      </w:r>
      <w:proofErr w:type="spellStart"/>
      <w:r w:rsidR="0049172D" w:rsidRPr="00755AEB">
        <w:rPr>
          <w:color w:val="auto"/>
        </w:rPr>
        <w:t>glargine</w:t>
      </w:r>
      <w:proofErr w:type="spellEnd"/>
      <w:r w:rsidR="0049172D" w:rsidRPr="00755AEB">
        <w:rPr>
          <w:color w:val="auto"/>
        </w:rPr>
        <w:t xml:space="preserve"> 100 units/</w:t>
      </w:r>
      <w:proofErr w:type="spellStart"/>
      <w:r w:rsidR="0049172D" w:rsidRPr="00755AEB">
        <w:rPr>
          <w:color w:val="auto"/>
        </w:rPr>
        <w:t>mL</w:t>
      </w:r>
      <w:r w:rsidR="00755AEB" w:rsidRPr="00755AEB">
        <w:rPr>
          <w:color w:val="auto"/>
        </w:rPr>
        <w:t>.</w:t>
      </w:r>
      <w:proofErr w:type="spellEnd"/>
      <w:r w:rsidR="00DA17AE">
        <w:rPr>
          <w:color w:val="auto"/>
        </w:rPr>
        <w:br/>
      </w:r>
    </w:p>
    <w:p w:rsidR="00E14414" w:rsidRPr="00736119" w:rsidRDefault="004F6206" w:rsidP="00E14414">
      <w:pPr>
        <w:rPr>
          <w:b/>
          <w:color w:val="auto"/>
        </w:rPr>
      </w:pPr>
      <w:r w:rsidRPr="00736119">
        <w:rPr>
          <w:b/>
          <w:color w:val="auto"/>
        </w:rPr>
        <w:t>Study</w:t>
      </w:r>
      <w:r w:rsidR="00E14414" w:rsidRPr="00736119">
        <w:rPr>
          <w:b/>
          <w:color w:val="auto"/>
        </w:rPr>
        <w:t xml:space="preserve"> of </w:t>
      </w:r>
      <w:proofErr w:type="spellStart"/>
      <w:r w:rsidR="00BB0644" w:rsidRPr="00736119">
        <w:rPr>
          <w:b/>
          <w:color w:val="auto"/>
        </w:rPr>
        <w:t>Toujeo</w:t>
      </w:r>
      <w:proofErr w:type="spellEnd"/>
      <w:r w:rsidR="00E14414" w:rsidRPr="00736119">
        <w:rPr>
          <w:b/>
          <w:color w:val="auto"/>
        </w:rPr>
        <w:t xml:space="preserve"> in combination with non-insulin</w:t>
      </w:r>
      <w:r w:rsidR="003331BF" w:rsidRPr="00736119">
        <w:rPr>
          <w:b/>
          <w:color w:val="auto"/>
        </w:rPr>
        <w:t xml:space="preserve"> </w:t>
      </w:r>
      <w:r w:rsidR="00E14414" w:rsidRPr="00736119">
        <w:rPr>
          <w:b/>
          <w:color w:val="auto"/>
        </w:rPr>
        <w:t>antidiabetic drugs, as background therapy</w:t>
      </w:r>
      <w:r w:rsidR="009C0C97" w:rsidRPr="00736119">
        <w:rPr>
          <w:b/>
          <w:color w:val="auto"/>
        </w:rPr>
        <w:t xml:space="preserve"> -</w:t>
      </w:r>
      <w:r w:rsidR="00DA17AE">
        <w:rPr>
          <w:b/>
          <w:color w:val="auto"/>
        </w:rPr>
        <w:t xml:space="preserve"> </w:t>
      </w:r>
      <w:r w:rsidR="002E04C5">
        <w:rPr>
          <w:b/>
          <w:color w:val="auto"/>
        </w:rPr>
        <w:t>(EDITION</w:t>
      </w:r>
      <w:r w:rsidRPr="00736119">
        <w:rPr>
          <w:b/>
          <w:color w:val="auto"/>
        </w:rPr>
        <w:t xml:space="preserve"> II and III) </w:t>
      </w:r>
      <w:r w:rsidR="00E14414" w:rsidRPr="00736119">
        <w:rPr>
          <w:b/>
          <w:color w:val="auto"/>
        </w:rPr>
        <w:fldChar w:fldCharType="begin"/>
      </w:r>
      <w:r w:rsidR="00E14414" w:rsidRPr="00736119">
        <w:rPr>
          <w:b/>
          <w:color w:val="auto"/>
        </w:rPr>
        <w:instrText xml:space="preserve"> REF _Ref381260125 \h  \* MERGEFORMAT </w:instrText>
      </w:r>
      <w:r w:rsidR="00E14414" w:rsidRPr="00736119">
        <w:rPr>
          <w:b/>
          <w:color w:val="auto"/>
        </w:rPr>
      </w:r>
      <w:r w:rsidR="00E14414" w:rsidRPr="00736119">
        <w:rPr>
          <w:b/>
          <w:color w:val="auto"/>
        </w:rPr>
        <w:fldChar w:fldCharType="separate"/>
      </w:r>
      <w:r w:rsidR="002C5256" w:rsidRPr="002C5256">
        <w:rPr>
          <w:color w:val="auto"/>
        </w:rPr>
        <w:t>Table 2</w:t>
      </w:r>
      <w:r w:rsidR="00E14414" w:rsidRPr="00736119">
        <w:rPr>
          <w:b/>
          <w:color w:val="auto"/>
        </w:rPr>
        <w:fldChar w:fldCharType="end"/>
      </w:r>
      <w:r w:rsidR="009C0C97" w:rsidRPr="00736119">
        <w:rPr>
          <w:b/>
          <w:color w:val="auto"/>
        </w:rPr>
        <w:t xml:space="preserve"> </w:t>
      </w:r>
    </w:p>
    <w:p w:rsidR="003B0618" w:rsidRDefault="00E14414" w:rsidP="003B0618">
      <w:pPr>
        <w:rPr>
          <w:color w:val="auto"/>
        </w:rPr>
      </w:pPr>
      <w:r w:rsidRPr="00736119">
        <w:rPr>
          <w:color w:val="auto"/>
        </w:rPr>
        <w:lastRenderedPageBreak/>
        <w:t>In two open-label, controlled studies (n= 1670), adults with type 2 diabet</w:t>
      </w:r>
      <w:r w:rsidR="004F4780" w:rsidRPr="00736119">
        <w:rPr>
          <w:color w:val="auto"/>
        </w:rPr>
        <w:t xml:space="preserve">es mellitus were randomized to </w:t>
      </w:r>
      <w:proofErr w:type="spellStart"/>
      <w:r w:rsidR="00BB0644" w:rsidRPr="00736119">
        <w:rPr>
          <w:color w:val="auto"/>
        </w:rPr>
        <w:t>Toujeo</w:t>
      </w:r>
      <w:proofErr w:type="spellEnd"/>
      <w:r w:rsidR="00C70C15" w:rsidRPr="00736119">
        <w:rPr>
          <w:color w:val="auto"/>
        </w:rPr>
        <w:t xml:space="preserve"> or </w:t>
      </w:r>
      <w:r w:rsidR="00C70C15" w:rsidRPr="00755AEB">
        <w:rPr>
          <w:color w:val="auto"/>
        </w:rPr>
        <w:t>Lantus</w:t>
      </w:r>
      <w:r w:rsidRPr="00755AEB">
        <w:rPr>
          <w:color w:val="auto"/>
        </w:rPr>
        <w:t xml:space="preserve"> </w:t>
      </w:r>
      <w:r w:rsidR="0049172D" w:rsidRPr="00755AEB">
        <w:rPr>
          <w:color w:val="auto"/>
        </w:rPr>
        <w:t xml:space="preserve">(insulin </w:t>
      </w:r>
      <w:proofErr w:type="spellStart"/>
      <w:r w:rsidR="0049172D" w:rsidRPr="00755AEB">
        <w:rPr>
          <w:color w:val="auto"/>
        </w:rPr>
        <w:t>glargine</w:t>
      </w:r>
      <w:proofErr w:type="spellEnd"/>
      <w:r w:rsidR="0049172D" w:rsidRPr="00755AEB">
        <w:rPr>
          <w:color w:val="auto"/>
        </w:rPr>
        <w:t xml:space="preserve"> 100 units/mL)</w:t>
      </w:r>
      <w:r w:rsidR="0049172D">
        <w:rPr>
          <w:color w:val="auto"/>
        </w:rPr>
        <w:t xml:space="preserve"> </w:t>
      </w:r>
      <w:r w:rsidRPr="00736119">
        <w:rPr>
          <w:color w:val="auto"/>
        </w:rPr>
        <w:t>once daily for 26 weeks as part of a regimen of combination therapy with no</w:t>
      </w:r>
      <w:r w:rsidR="00C70C15" w:rsidRPr="00736119">
        <w:rPr>
          <w:color w:val="auto"/>
        </w:rPr>
        <w:t xml:space="preserve">n-insulin antidiabetic agents </w:t>
      </w:r>
      <w:r w:rsidRPr="00736119">
        <w:rPr>
          <w:color w:val="auto"/>
        </w:rPr>
        <w:t>. At the time of randomization, 808 patients were treated with basal insulin for</w:t>
      </w:r>
      <w:r w:rsidR="00C70C15" w:rsidRPr="00736119">
        <w:rPr>
          <w:color w:val="auto"/>
        </w:rPr>
        <w:t xml:space="preserve"> more than 6 months </w:t>
      </w:r>
      <w:r w:rsidR="002E04C5">
        <w:rPr>
          <w:color w:val="auto"/>
        </w:rPr>
        <w:t>(EDITION</w:t>
      </w:r>
      <w:r w:rsidR="005268EE" w:rsidRPr="00736119">
        <w:rPr>
          <w:color w:val="auto"/>
        </w:rPr>
        <w:t xml:space="preserve"> II</w:t>
      </w:r>
      <w:r w:rsidR="00C70C15" w:rsidRPr="00736119">
        <w:rPr>
          <w:color w:val="auto"/>
        </w:rPr>
        <w:t xml:space="preserve">) </w:t>
      </w:r>
      <w:r w:rsidRPr="00736119">
        <w:rPr>
          <w:color w:val="auto"/>
        </w:rPr>
        <w:t>and 862 pati</w:t>
      </w:r>
      <w:r w:rsidR="002E04C5">
        <w:rPr>
          <w:color w:val="auto"/>
        </w:rPr>
        <w:t>ents were insulin-naive (EDITION</w:t>
      </w:r>
      <w:r w:rsidR="005268EE" w:rsidRPr="00736119">
        <w:rPr>
          <w:color w:val="auto"/>
        </w:rPr>
        <w:t xml:space="preserve"> III</w:t>
      </w:r>
      <w:proofErr w:type="gramStart"/>
      <w:r w:rsidR="0096775F">
        <w:rPr>
          <w:color w:val="auto"/>
        </w:rPr>
        <w:t xml:space="preserve">) </w:t>
      </w:r>
      <w:r w:rsidRPr="00736119">
        <w:rPr>
          <w:color w:val="auto"/>
        </w:rPr>
        <w:t>.</w:t>
      </w:r>
      <w:proofErr w:type="gramEnd"/>
      <w:r w:rsidR="0096775F">
        <w:rPr>
          <w:color w:val="auto"/>
        </w:rPr>
        <w:t xml:space="preserve">  </w:t>
      </w:r>
      <w:proofErr w:type="spellStart"/>
      <w:r w:rsidR="00B45C64" w:rsidRPr="00736119">
        <w:rPr>
          <w:color w:val="auto"/>
        </w:rPr>
        <w:t>Toujeo</w:t>
      </w:r>
      <w:proofErr w:type="spellEnd"/>
      <w:r w:rsidR="00B45C64" w:rsidRPr="00736119">
        <w:rPr>
          <w:color w:val="auto"/>
        </w:rPr>
        <w:t xml:space="preserve"> was associated with a similar reduction in HbA1c as </w:t>
      </w:r>
      <w:r w:rsidR="0049172D" w:rsidRPr="00755AEB">
        <w:rPr>
          <w:color w:val="auto"/>
        </w:rPr>
        <w:t xml:space="preserve">insulin </w:t>
      </w:r>
      <w:proofErr w:type="spellStart"/>
      <w:r w:rsidR="0049172D" w:rsidRPr="00755AEB">
        <w:rPr>
          <w:color w:val="auto"/>
        </w:rPr>
        <w:t>glargine</w:t>
      </w:r>
      <w:proofErr w:type="spellEnd"/>
      <w:r w:rsidR="0049172D" w:rsidRPr="00755AEB">
        <w:rPr>
          <w:color w:val="auto"/>
        </w:rPr>
        <w:t xml:space="preserve"> 100 units/</w:t>
      </w:r>
      <w:proofErr w:type="spellStart"/>
      <w:r w:rsidR="0049172D" w:rsidRPr="00755AEB">
        <w:rPr>
          <w:color w:val="auto"/>
        </w:rPr>
        <w:t>mL</w:t>
      </w:r>
      <w:r w:rsidR="00B45C64" w:rsidRPr="00755AEB">
        <w:rPr>
          <w:color w:val="auto"/>
        </w:rPr>
        <w:t>.</w:t>
      </w:r>
      <w:proofErr w:type="spellEnd"/>
      <w:r w:rsidR="00B45C64" w:rsidRPr="00736119">
        <w:rPr>
          <w:color w:val="auto"/>
        </w:rPr>
        <w:t xml:space="preserve"> </w:t>
      </w:r>
    </w:p>
    <w:p w:rsidR="00E14414" w:rsidRPr="00736119" w:rsidRDefault="00E14414" w:rsidP="00DA17AE">
      <w:pPr>
        <w:pStyle w:val="Caption"/>
        <w:pageBreakBefore/>
      </w:pPr>
      <w:bookmarkStart w:id="20" w:name="_Ref381260125"/>
      <w:bookmarkStart w:id="21" w:name="_Toc381269259"/>
      <w:r w:rsidRPr="00736119">
        <w:lastRenderedPageBreak/>
        <w:t>Table </w:t>
      </w:r>
      <w:r w:rsidR="0069078C">
        <w:fldChar w:fldCharType="begin"/>
      </w:r>
      <w:r w:rsidR="0069078C">
        <w:instrText xml:space="preserve"> SEQ Table \* ARABIC </w:instrText>
      </w:r>
      <w:r w:rsidR="0069078C">
        <w:fldChar w:fldCharType="separate"/>
      </w:r>
      <w:r w:rsidR="002C5256">
        <w:rPr>
          <w:noProof/>
        </w:rPr>
        <w:t>2</w:t>
      </w:r>
      <w:r w:rsidR="0069078C">
        <w:fldChar w:fldCharType="end"/>
      </w:r>
      <w:bookmarkEnd w:id="20"/>
      <w:r w:rsidRPr="00736119">
        <w:t xml:space="preserve"> ­ Summary of Main Efficacy Results of the Clinical Study in Type 2 Diabetes Mellitus</w:t>
      </w:r>
      <w:bookmarkEnd w:id="21"/>
    </w:p>
    <w:tbl>
      <w:tblPr>
        <w:tblW w:w="0" w:type="auto"/>
        <w:jc w:val="center"/>
        <w:tblBorders>
          <w:top w:val="single" w:sz="2" w:space="0" w:color="000000"/>
        </w:tblBorders>
        <w:tblLook w:val="04A0" w:firstRow="1" w:lastRow="0" w:firstColumn="1" w:lastColumn="0" w:noHBand="0" w:noVBand="1"/>
      </w:tblPr>
      <w:tblGrid>
        <w:gridCol w:w="2401"/>
        <w:gridCol w:w="1201"/>
        <w:gridCol w:w="1201"/>
        <w:gridCol w:w="1201"/>
        <w:gridCol w:w="1201"/>
        <w:gridCol w:w="1201"/>
        <w:gridCol w:w="1201"/>
      </w:tblGrid>
      <w:tr w:rsidR="00E14414" w:rsidRPr="00736119" w:rsidTr="00E14414">
        <w:trPr>
          <w:cantSplit/>
          <w:tblHeader/>
          <w:jc w:val="center"/>
        </w:trPr>
        <w:tc>
          <w:tcPr>
            <w:tcW w:w="2401" w:type="dxa"/>
            <w:tcBorders>
              <w:top w:val="single" w:sz="4" w:space="0" w:color="000000"/>
              <w:bottom w:val="single" w:sz="4" w:space="0" w:color="000000"/>
            </w:tcBorders>
            <w:shd w:val="clear" w:color="auto" w:fill="auto"/>
          </w:tcPr>
          <w:p w:rsidR="00E14414" w:rsidRPr="00736119" w:rsidRDefault="00E14414" w:rsidP="00E14414">
            <w:pPr>
              <w:pStyle w:val="TblHeadingCenter"/>
              <w:rPr>
                <w:rFonts w:cs="Times New Roman"/>
                <w:sz w:val="18"/>
                <w:szCs w:val="18"/>
              </w:rPr>
            </w:pPr>
          </w:p>
        </w:tc>
        <w:tc>
          <w:tcPr>
            <w:tcW w:w="2402" w:type="dxa"/>
            <w:gridSpan w:val="2"/>
            <w:tcBorders>
              <w:top w:val="single" w:sz="4" w:space="0" w:color="000000"/>
              <w:bottom w:val="single" w:sz="4" w:space="0" w:color="000000"/>
            </w:tcBorders>
            <w:shd w:val="clear" w:color="auto" w:fill="auto"/>
          </w:tcPr>
          <w:p w:rsidR="00E14414" w:rsidRPr="00736119" w:rsidRDefault="00D14F9A" w:rsidP="00E14414">
            <w:pPr>
              <w:pStyle w:val="TblHeadingCenter"/>
              <w:rPr>
                <w:rFonts w:cs="Times New Roman"/>
                <w:sz w:val="18"/>
                <w:szCs w:val="18"/>
              </w:rPr>
            </w:pPr>
            <w:r w:rsidRPr="00736119">
              <w:rPr>
                <w:rFonts w:cs="Times New Roman"/>
                <w:sz w:val="18"/>
                <w:szCs w:val="18"/>
              </w:rPr>
              <w:t>Edition I</w:t>
            </w:r>
          </w:p>
        </w:tc>
        <w:tc>
          <w:tcPr>
            <w:tcW w:w="2402" w:type="dxa"/>
            <w:gridSpan w:val="2"/>
            <w:tcBorders>
              <w:top w:val="single" w:sz="4" w:space="0" w:color="000000"/>
              <w:bottom w:val="single" w:sz="4" w:space="0" w:color="000000"/>
            </w:tcBorders>
            <w:shd w:val="clear" w:color="auto" w:fill="auto"/>
          </w:tcPr>
          <w:p w:rsidR="00E14414" w:rsidRPr="00736119" w:rsidRDefault="00D14F9A" w:rsidP="00E14414">
            <w:pPr>
              <w:pStyle w:val="TblHeadingCenter"/>
              <w:rPr>
                <w:rFonts w:cs="Times New Roman"/>
                <w:sz w:val="18"/>
                <w:szCs w:val="18"/>
              </w:rPr>
            </w:pPr>
            <w:r w:rsidRPr="00736119">
              <w:rPr>
                <w:rFonts w:cs="Times New Roman"/>
                <w:sz w:val="18"/>
                <w:szCs w:val="18"/>
              </w:rPr>
              <w:t>Edition II</w:t>
            </w:r>
          </w:p>
        </w:tc>
        <w:tc>
          <w:tcPr>
            <w:tcW w:w="2402" w:type="dxa"/>
            <w:gridSpan w:val="2"/>
            <w:tcBorders>
              <w:top w:val="single" w:sz="4" w:space="0" w:color="000000"/>
              <w:bottom w:val="single" w:sz="4" w:space="0" w:color="000000"/>
            </w:tcBorders>
            <w:shd w:val="clear" w:color="auto" w:fill="auto"/>
          </w:tcPr>
          <w:p w:rsidR="00E14414" w:rsidRPr="00736119" w:rsidRDefault="00D14F9A" w:rsidP="00E14414">
            <w:pPr>
              <w:pStyle w:val="TblHeadingCenter"/>
              <w:rPr>
                <w:rFonts w:cs="Times New Roman"/>
                <w:sz w:val="18"/>
                <w:szCs w:val="18"/>
              </w:rPr>
            </w:pPr>
            <w:r w:rsidRPr="00736119">
              <w:rPr>
                <w:rFonts w:cs="Times New Roman"/>
                <w:sz w:val="18"/>
                <w:szCs w:val="18"/>
              </w:rPr>
              <w:t>Edition III</w:t>
            </w:r>
          </w:p>
        </w:tc>
      </w:tr>
      <w:tr w:rsidR="00E14414" w:rsidRPr="00736119" w:rsidTr="00E14414">
        <w:trPr>
          <w:cantSplit/>
          <w:tblHeader/>
          <w:jc w:val="center"/>
        </w:trPr>
        <w:tc>
          <w:tcPr>
            <w:tcW w:w="2401" w:type="dxa"/>
            <w:tcBorders>
              <w:top w:val="single" w:sz="4" w:space="0" w:color="000000"/>
            </w:tcBorders>
            <w:shd w:val="clear" w:color="auto" w:fill="auto"/>
          </w:tcPr>
          <w:p w:rsidR="00E14414" w:rsidRPr="00736119" w:rsidRDefault="00E14414" w:rsidP="00E14414">
            <w:pPr>
              <w:pStyle w:val="TblTextCenter"/>
              <w:jc w:val="left"/>
              <w:rPr>
                <w:sz w:val="18"/>
                <w:szCs w:val="18"/>
              </w:rPr>
            </w:pPr>
            <w:r w:rsidRPr="00736119">
              <w:rPr>
                <w:sz w:val="18"/>
                <w:szCs w:val="18"/>
              </w:rPr>
              <w:t>Treatment duration</w:t>
            </w:r>
          </w:p>
        </w:tc>
        <w:tc>
          <w:tcPr>
            <w:tcW w:w="2402" w:type="dxa"/>
            <w:gridSpan w:val="2"/>
            <w:tcBorders>
              <w:top w:val="single" w:sz="4" w:space="0" w:color="000000"/>
            </w:tcBorders>
            <w:shd w:val="clear" w:color="auto" w:fill="auto"/>
          </w:tcPr>
          <w:p w:rsidR="00E14414" w:rsidRPr="00736119" w:rsidRDefault="00E14414" w:rsidP="00E14414">
            <w:pPr>
              <w:pStyle w:val="TblTextCenter"/>
              <w:rPr>
                <w:sz w:val="18"/>
                <w:szCs w:val="18"/>
              </w:rPr>
            </w:pPr>
            <w:r w:rsidRPr="00736119">
              <w:rPr>
                <w:sz w:val="18"/>
                <w:szCs w:val="18"/>
              </w:rPr>
              <w:t>26 weeks</w:t>
            </w:r>
          </w:p>
        </w:tc>
        <w:tc>
          <w:tcPr>
            <w:tcW w:w="2402" w:type="dxa"/>
            <w:gridSpan w:val="2"/>
            <w:tcBorders>
              <w:top w:val="single" w:sz="4" w:space="0" w:color="000000"/>
            </w:tcBorders>
            <w:shd w:val="clear" w:color="auto" w:fill="auto"/>
          </w:tcPr>
          <w:p w:rsidR="00E14414" w:rsidRPr="00736119" w:rsidRDefault="00E14414" w:rsidP="00E14414">
            <w:pPr>
              <w:pStyle w:val="TblTextCenter"/>
              <w:rPr>
                <w:sz w:val="18"/>
                <w:szCs w:val="18"/>
              </w:rPr>
            </w:pPr>
            <w:r w:rsidRPr="00736119">
              <w:rPr>
                <w:sz w:val="18"/>
                <w:szCs w:val="18"/>
              </w:rPr>
              <w:t>26 weeks</w:t>
            </w:r>
          </w:p>
        </w:tc>
        <w:tc>
          <w:tcPr>
            <w:tcW w:w="2402" w:type="dxa"/>
            <w:gridSpan w:val="2"/>
            <w:tcBorders>
              <w:top w:val="single" w:sz="4" w:space="0" w:color="000000"/>
            </w:tcBorders>
            <w:shd w:val="clear" w:color="auto" w:fill="auto"/>
          </w:tcPr>
          <w:p w:rsidR="00E14414" w:rsidRPr="00736119" w:rsidRDefault="00E14414" w:rsidP="00E14414">
            <w:pPr>
              <w:pStyle w:val="TblTextCenter"/>
              <w:rPr>
                <w:sz w:val="18"/>
                <w:szCs w:val="18"/>
              </w:rPr>
            </w:pPr>
            <w:r w:rsidRPr="00736119">
              <w:rPr>
                <w:sz w:val="18"/>
                <w:szCs w:val="18"/>
              </w:rPr>
              <w:t>26 weeks</w:t>
            </w:r>
          </w:p>
        </w:tc>
      </w:tr>
      <w:tr w:rsidR="00E14414" w:rsidRPr="00736119" w:rsidTr="00E14414">
        <w:trPr>
          <w:cantSplit/>
          <w:tblHeader/>
          <w:jc w:val="center"/>
        </w:trPr>
        <w:tc>
          <w:tcPr>
            <w:tcW w:w="2401" w:type="dxa"/>
            <w:tcBorders>
              <w:bottom w:val="nil"/>
            </w:tcBorders>
            <w:shd w:val="clear" w:color="auto" w:fill="auto"/>
          </w:tcPr>
          <w:p w:rsidR="00E14414" w:rsidRPr="00736119" w:rsidRDefault="00E14414" w:rsidP="00E14414">
            <w:pPr>
              <w:pStyle w:val="TblTextCenter"/>
              <w:jc w:val="left"/>
              <w:rPr>
                <w:sz w:val="18"/>
                <w:szCs w:val="18"/>
              </w:rPr>
            </w:pPr>
            <w:r w:rsidRPr="00736119">
              <w:rPr>
                <w:sz w:val="18"/>
                <w:szCs w:val="18"/>
              </w:rPr>
              <w:t>Treatment in combination with</w:t>
            </w:r>
          </w:p>
        </w:tc>
        <w:tc>
          <w:tcPr>
            <w:tcW w:w="2402" w:type="dxa"/>
            <w:gridSpan w:val="2"/>
            <w:tcBorders>
              <w:bottom w:val="nil"/>
            </w:tcBorders>
            <w:shd w:val="clear" w:color="auto" w:fill="auto"/>
          </w:tcPr>
          <w:p w:rsidR="00E14414" w:rsidRPr="00736119" w:rsidRDefault="00E14414" w:rsidP="00E14414">
            <w:pPr>
              <w:pStyle w:val="TblTextCenter"/>
              <w:rPr>
                <w:sz w:val="18"/>
                <w:szCs w:val="18"/>
              </w:rPr>
            </w:pPr>
            <w:r w:rsidRPr="00736119">
              <w:rPr>
                <w:sz w:val="18"/>
                <w:szCs w:val="18"/>
              </w:rPr>
              <w:t>Mealtime insulin analog+/-metformin</w:t>
            </w:r>
          </w:p>
        </w:tc>
        <w:tc>
          <w:tcPr>
            <w:tcW w:w="4804" w:type="dxa"/>
            <w:gridSpan w:val="4"/>
            <w:tcBorders>
              <w:bottom w:val="nil"/>
            </w:tcBorders>
            <w:shd w:val="clear" w:color="auto" w:fill="auto"/>
          </w:tcPr>
          <w:p w:rsidR="00E14414" w:rsidRPr="00736119" w:rsidRDefault="00E14414" w:rsidP="00E14414">
            <w:pPr>
              <w:pStyle w:val="TblTextCenter"/>
              <w:rPr>
                <w:sz w:val="18"/>
                <w:szCs w:val="18"/>
              </w:rPr>
            </w:pPr>
            <w:r w:rsidRPr="00736119">
              <w:rPr>
                <w:sz w:val="18"/>
                <w:szCs w:val="18"/>
              </w:rPr>
              <w:t>Non-insulin antidiabetic agents</w:t>
            </w:r>
          </w:p>
        </w:tc>
      </w:tr>
      <w:tr w:rsidR="00E14414" w:rsidRPr="00736119" w:rsidTr="00E14414">
        <w:trPr>
          <w:cantSplit/>
          <w:tblHeader/>
          <w:jc w:val="center"/>
        </w:trPr>
        <w:tc>
          <w:tcPr>
            <w:tcW w:w="2401" w:type="dxa"/>
            <w:tcBorders>
              <w:top w:val="nil"/>
              <w:bottom w:val="single" w:sz="4" w:space="0" w:color="auto"/>
            </w:tcBorders>
            <w:shd w:val="clear" w:color="auto" w:fill="auto"/>
          </w:tcPr>
          <w:p w:rsidR="00E14414" w:rsidRPr="00736119" w:rsidRDefault="00E14414" w:rsidP="00E14414">
            <w:pPr>
              <w:pStyle w:val="TblTextCenter"/>
              <w:jc w:val="left"/>
              <w:rPr>
                <w:sz w:val="18"/>
                <w:szCs w:val="18"/>
              </w:rPr>
            </w:pPr>
          </w:p>
        </w:tc>
        <w:tc>
          <w:tcPr>
            <w:tcW w:w="1201" w:type="dxa"/>
            <w:tcBorders>
              <w:top w:val="nil"/>
              <w:bottom w:val="single" w:sz="4" w:space="0" w:color="auto"/>
            </w:tcBorders>
            <w:shd w:val="clear" w:color="auto" w:fill="auto"/>
          </w:tcPr>
          <w:p w:rsidR="00E14414" w:rsidRPr="00736119" w:rsidRDefault="00BB0644" w:rsidP="00E14414">
            <w:pPr>
              <w:pStyle w:val="TblTextCenter"/>
              <w:rPr>
                <w:sz w:val="18"/>
                <w:szCs w:val="18"/>
              </w:rPr>
            </w:pPr>
            <w:proofErr w:type="spellStart"/>
            <w:r w:rsidRPr="00736119">
              <w:rPr>
                <w:sz w:val="18"/>
                <w:szCs w:val="18"/>
              </w:rPr>
              <w:t>Toujeo</w:t>
            </w:r>
            <w:proofErr w:type="spellEnd"/>
          </w:p>
        </w:tc>
        <w:tc>
          <w:tcPr>
            <w:tcW w:w="1201" w:type="dxa"/>
            <w:tcBorders>
              <w:top w:val="nil"/>
              <w:bottom w:val="single" w:sz="4" w:space="0" w:color="auto"/>
            </w:tcBorders>
            <w:shd w:val="clear" w:color="auto" w:fill="auto"/>
          </w:tcPr>
          <w:p w:rsidR="00E14414" w:rsidRPr="00755AEB" w:rsidRDefault="0049172D" w:rsidP="00E14414">
            <w:pPr>
              <w:pStyle w:val="TblTextCenter"/>
              <w:rPr>
                <w:dstrike/>
                <w:sz w:val="18"/>
                <w:szCs w:val="18"/>
              </w:rPr>
            </w:pPr>
            <w:proofErr w:type="spellStart"/>
            <w:r w:rsidRPr="00755AEB">
              <w:rPr>
                <w:sz w:val="18"/>
                <w:szCs w:val="18"/>
              </w:rPr>
              <w:t>IGlar</w:t>
            </w:r>
            <w:proofErr w:type="spellEnd"/>
          </w:p>
        </w:tc>
        <w:tc>
          <w:tcPr>
            <w:tcW w:w="1201" w:type="dxa"/>
            <w:tcBorders>
              <w:top w:val="nil"/>
              <w:bottom w:val="single" w:sz="4" w:space="0" w:color="auto"/>
            </w:tcBorders>
            <w:shd w:val="clear" w:color="auto" w:fill="auto"/>
          </w:tcPr>
          <w:p w:rsidR="00E14414" w:rsidRPr="00736119" w:rsidRDefault="00BB0644" w:rsidP="00E14414">
            <w:pPr>
              <w:pStyle w:val="TblTextCenter"/>
              <w:rPr>
                <w:sz w:val="18"/>
                <w:szCs w:val="18"/>
              </w:rPr>
            </w:pPr>
            <w:proofErr w:type="spellStart"/>
            <w:r w:rsidRPr="00736119">
              <w:rPr>
                <w:sz w:val="18"/>
                <w:szCs w:val="18"/>
              </w:rPr>
              <w:t>Toujeo</w:t>
            </w:r>
            <w:proofErr w:type="spellEnd"/>
          </w:p>
        </w:tc>
        <w:tc>
          <w:tcPr>
            <w:tcW w:w="1201" w:type="dxa"/>
            <w:tcBorders>
              <w:top w:val="nil"/>
              <w:bottom w:val="single" w:sz="4" w:space="0" w:color="auto"/>
            </w:tcBorders>
            <w:shd w:val="clear" w:color="auto" w:fill="auto"/>
          </w:tcPr>
          <w:p w:rsidR="00E14414" w:rsidRPr="00755AEB" w:rsidRDefault="0049172D" w:rsidP="00E14414">
            <w:pPr>
              <w:pStyle w:val="TblTextCenter"/>
              <w:rPr>
                <w:dstrike/>
                <w:sz w:val="18"/>
                <w:szCs w:val="18"/>
              </w:rPr>
            </w:pPr>
            <w:proofErr w:type="spellStart"/>
            <w:r w:rsidRPr="00755AEB">
              <w:rPr>
                <w:sz w:val="18"/>
                <w:szCs w:val="18"/>
              </w:rPr>
              <w:t>IGlar</w:t>
            </w:r>
            <w:proofErr w:type="spellEnd"/>
          </w:p>
        </w:tc>
        <w:tc>
          <w:tcPr>
            <w:tcW w:w="1201" w:type="dxa"/>
            <w:tcBorders>
              <w:top w:val="nil"/>
              <w:bottom w:val="single" w:sz="4" w:space="0" w:color="auto"/>
            </w:tcBorders>
            <w:shd w:val="clear" w:color="auto" w:fill="auto"/>
          </w:tcPr>
          <w:p w:rsidR="00E14414" w:rsidRPr="00736119" w:rsidRDefault="00BB0644" w:rsidP="00E14414">
            <w:pPr>
              <w:pStyle w:val="TblTextCenter"/>
              <w:rPr>
                <w:sz w:val="18"/>
                <w:szCs w:val="18"/>
              </w:rPr>
            </w:pPr>
            <w:proofErr w:type="spellStart"/>
            <w:r w:rsidRPr="00736119">
              <w:rPr>
                <w:sz w:val="18"/>
                <w:szCs w:val="18"/>
              </w:rPr>
              <w:t>Toujeo</w:t>
            </w:r>
            <w:proofErr w:type="spellEnd"/>
          </w:p>
        </w:tc>
        <w:tc>
          <w:tcPr>
            <w:tcW w:w="1201" w:type="dxa"/>
            <w:tcBorders>
              <w:top w:val="nil"/>
              <w:bottom w:val="single" w:sz="4" w:space="0" w:color="auto"/>
            </w:tcBorders>
            <w:shd w:val="clear" w:color="auto" w:fill="auto"/>
          </w:tcPr>
          <w:p w:rsidR="00E14414" w:rsidRPr="00755AEB" w:rsidRDefault="0049172D" w:rsidP="00E14414">
            <w:pPr>
              <w:pStyle w:val="TblTextCenter"/>
              <w:rPr>
                <w:dstrike/>
                <w:sz w:val="18"/>
                <w:szCs w:val="18"/>
              </w:rPr>
            </w:pPr>
            <w:proofErr w:type="spellStart"/>
            <w:r w:rsidRPr="00755AEB">
              <w:rPr>
                <w:sz w:val="18"/>
                <w:szCs w:val="18"/>
              </w:rPr>
              <w:t>IGlar</w:t>
            </w:r>
            <w:proofErr w:type="spellEnd"/>
          </w:p>
        </w:tc>
      </w:tr>
      <w:tr w:rsidR="00E14414" w:rsidRPr="00736119" w:rsidTr="00E14414">
        <w:trPr>
          <w:cantSplit/>
          <w:tblHeader/>
          <w:jc w:val="center"/>
        </w:trPr>
        <w:tc>
          <w:tcPr>
            <w:tcW w:w="2401" w:type="dxa"/>
            <w:tcBorders>
              <w:top w:val="single" w:sz="4" w:space="0" w:color="auto"/>
              <w:bottom w:val="single" w:sz="4" w:space="0" w:color="auto"/>
            </w:tcBorders>
            <w:shd w:val="clear" w:color="auto" w:fill="auto"/>
          </w:tcPr>
          <w:p w:rsidR="00E14414" w:rsidRPr="00736119" w:rsidRDefault="00E14414" w:rsidP="00E14414">
            <w:pPr>
              <w:pStyle w:val="TblTextCenter"/>
              <w:jc w:val="left"/>
              <w:rPr>
                <w:b/>
                <w:sz w:val="18"/>
                <w:szCs w:val="18"/>
              </w:rPr>
            </w:pPr>
            <w:r w:rsidRPr="00736119">
              <w:rPr>
                <w:sz w:val="18"/>
                <w:szCs w:val="18"/>
              </w:rPr>
              <w:t xml:space="preserve">Number of patients </w:t>
            </w:r>
            <w:proofErr w:type="spellStart"/>
            <w:r w:rsidRPr="00736119">
              <w:rPr>
                <w:sz w:val="18"/>
                <w:szCs w:val="18"/>
              </w:rPr>
              <w:t>treated</w:t>
            </w:r>
            <w:r w:rsidRPr="00736119">
              <w:rPr>
                <w:sz w:val="18"/>
                <w:szCs w:val="18"/>
                <w:vertAlign w:val="superscript"/>
              </w:rPr>
              <w:t>a</w:t>
            </w:r>
            <w:proofErr w:type="spellEnd"/>
          </w:p>
        </w:tc>
        <w:tc>
          <w:tcPr>
            <w:tcW w:w="1201" w:type="dxa"/>
            <w:tcBorders>
              <w:top w:val="single" w:sz="4" w:space="0" w:color="auto"/>
              <w:bottom w:val="single" w:sz="4" w:space="0" w:color="auto"/>
            </w:tcBorders>
            <w:shd w:val="clear" w:color="auto" w:fill="auto"/>
          </w:tcPr>
          <w:p w:rsidR="00E14414" w:rsidRPr="00736119" w:rsidRDefault="00E14414" w:rsidP="00E14414">
            <w:pPr>
              <w:pStyle w:val="TblTextCenter"/>
              <w:rPr>
                <w:sz w:val="18"/>
                <w:szCs w:val="18"/>
              </w:rPr>
            </w:pPr>
            <w:r w:rsidRPr="00736119">
              <w:rPr>
                <w:sz w:val="18"/>
                <w:szCs w:val="18"/>
              </w:rPr>
              <w:t>404</w:t>
            </w:r>
          </w:p>
        </w:tc>
        <w:tc>
          <w:tcPr>
            <w:tcW w:w="1201" w:type="dxa"/>
            <w:tcBorders>
              <w:top w:val="single" w:sz="4" w:space="0" w:color="auto"/>
              <w:bottom w:val="single" w:sz="4" w:space="0" w:color="auto"/>
            </w:tcBorders>
            <w:shd w:val="clear" w:color="auto" w:fill="auto"/>
          </w:tcPr>
          <w:p w:rsidR="00E14414" w:rsidRPr="00736119" w:rsidRDefault="00E14414" w:rsidP="00E14414">
            <w:pPr>
              <w:pStyle w:val="TblTextCenter"/>
              <w:rPr>
                <w:sz w:val="18"/>
                <w:szCs w:val="18"/>
              </w:rPr>
            </w:pPr>
            <w:r w:rsidRPr="00736119">
              <w:rPr>
                <w:sz w:val="18"/>
                <w:szCs w:val="18"/>
              </w:rPr>
              <w:t>400</w:t>
            </w:r>
          </w:p>
        </w:tc>
        <w:tc>
          <w:tcPr>
            <w:tcW w:w="1201" w:type="dxa"/>
            <w:tcBorders>
              <w:top w:val="single" w:sz="4" w:space="0" w:color="auto"/>
              <w:bottom w:val="single" w:sz="4" w:space="0" w:color="auto"/>
            </w:tcBorders>
            <w:shd w:val="clear" w:color="auto" w:fill="auto"/>
          </w:tcPr>
          <w:p w:rsidR="00E14414" w:rsidRPr="00736119" w:rsidRDefault="00E14414" w:rsidP="00E14414">
            <w:pPr>
              <w:pStyle w:val="TblTextCenter"/>
              <w:rPr>
                <w:sz w:val="18"/>
                <w:szCs w:val="18"/>
              </w:rPr>
            </w:pPr>
            <w:r w:rsidRPr="00736119">
              <w:rPr>
                <w:sz w:val="18"/>
                <w:szCs w:val="18"/>
              </w:rPr>
              <w:t>403</w:t>
            </w:r>
          </w:p>
        </w:tc>
        <w:tc>
          <w:tcPr>
            <w:tcW w:w="1201" w:type="dxa"/>
            <w:tcBorders>
              <w:top w:val="single" w:sz="4" w:space="0" w:color="auto"/>
              <w:bottom w:val="single" w:sz="4" w:space="0" w:color="auto"/>
            </w:tcBorders>
            <w:shd w:val="clear" w:color="auto" w:fill="auto"/>
          </w:tcPr>
          <w:p w:rsidR="00E14414" w:rsidRPr="00736119" w:rsidRDefault="00E14414" w:rsidP="00E14414">
            <w:pPr>
              <w:pStyle w:val="TblTextCenter"/>
              <w:rPr>
                <w:sz w:val="18"/>
                <w:szCs w:val="18"/>
              </w:rPr>
            </w:pPr>
            <w:r w:rsidRPr="00736119">
              <w:rPr>
                <w:sz w:val="18"/>
                <w:szCs w:val="18"/>
              </w:rPr>
              <w:t>405</w:t>
            </w:r>
          </w:p>
        </w:tc>
        <w:tc>
          <w:tcPr>
            <w:tcW w:w="1201" w:type="dxa"/>
            <w:tcBorders>
              <w:top w:val="single" w:sz="4" w:space="0" w:color="auto"/>
              <w:bottom w:val="single" w:sz="4" w:space="0" w:color="auto"/>
            </w:tcBorders>
            <w:shd w:val="clear" w:color="auto" w:fill="auto"/>
          </w:tcPr>
          <w:p w:rsidR="00E14414" w:rsidRPr="00736119" w:rsidRDefault="00E14414" w:rsidP="00E14414">
            <w:pPr>
              <w:pStyle w:val="TblTextCenter"/>
              <w:rPr>
                <w:sz w:val="18"/>
                <w:szCs w:val="18"/>
              </w:rPr>
            </w:pPr>
            <w:r w:rsidRPr="00736119">
              <w:rPr>
                <w:sz w:val="18"/>
                <w:szCs w:val="18"/>
              </w:rPr>
              <w:t>432</w:t>
            </w:r>
          </w:p>
        </w:tc>
        <w:tc>
          <w:tcPr>
            <w:tcW w:w="1201" w:type="dxa"/>
            <w:tcBorders>
              <w:top w:val="single" w:sz="4" w:space="0" w:color="auto"/>
              <w:bottom w:val="single" w:sz="4" w:space="0" w:color="auto"/>
            </w:tcBorders>
            <w:shd w:val="clear" w:color="auto" w:fill="auto"/>
          </w:tcPr>
          <w:p w:rsidR="00E14414" w:rsidRPr="00736119" w:rsidRDefault="00E14414" w:rsidP="00E14414">
            <w:pPr>
              <w:pStyle w:val="TblTextCenter"/>
              <w:rPr>
                <w:sz w:val="18"/>
                <w:szCs w:val="18"/>
              </w:rPr>
            </w:pPr>
            <w:r w:rsidRPr="00736119">
              <w:rPr>
                <w:sz w:val="18"/>
                <w:szCs w:val="18"/>
              </w:rPr>
              <w:t>430</w:t>
            </w:r>
          </w:p>
        </w:tc>
      </w:tr>
      <w:tr w:rsidR="00E14414" w:rsidRPr="00736119" w:rsidTr="00E14414">
        <w:trPr>
          <w:cantSplit/>
          <w:jc w:val="center"/>
        </w:trPr>
        <w:tc>
          <w:tcPr>
            <w:tcW w:w="2401" w:type="dxa"/>
            <w:tcBorders>
              <w:top w:val="single" w:sz="4" w:space="0" w:color="auto"/>
              <w:bottom w:val="nil"/>
            </w:tcBorders>
            <w:shd w:val="clear" w:color="auto" w:fill="auto"/>
          </w:tcPr>
          <w:p w:rsidR="00E14414" w:rsidRPr="00736119" w:rsidRDefault="00E14414" w:rsidP="00E14414">
            <w:pPr>
              <w:pStyle w:val="TblTextCenter"/>
              <w:jc w:val="left"/>
              <w:rPr>
                <w:b/>
                <w:sz w:val="18"/>
                <w:szCs w:val="18"/>
              </w:rPr>
            </w:pPr>
            <w:r w:rsidRPr="00736119">
              <w:rPr>
                <w:b/>
                <w:sz w:val="18"/>
                <w:szCs w:val="18"/>
              </w:rPr>
              <w:t>HbA1c</w:t>
            </w:r>
            <w:r w:rsidRPr="00736119">
              <w:rPr>
                <w:rStyle w:val="EndnoteReference"/>
                <w:b/>
                <w:sz w:val="18"/>
                <w:szCs w:val="18"/>
              </w:rPr>
              <w:endnoteReference w:id="1"/>
            </w:r>
          </w:p>
          <w:p w:rsidR="00E14414" w:rsidRPr="00736119" w:rsidRDefault="00E14414" w:rsidP="00E14414">
            <w:pPr>
              <w:pStyle w:val="TblTextCenter"/>
              <w:jc w:val="left"/>
              <w:rPr>
                <w:sz w:val="18"/>
                <w:szCs w:val="18"/>
              </w:rPr>
            </w:pPr>
            <w:r w:rsidRPr="00736119">
              <w:rPr>
                <w:sz w:val="18"/>
                <w:szCs w:val="18"/>
              </w:rPr>
              <w:t>Baseline mean</w:t>
            </w:r>
          </w:p>
          <w:p w:rsidR="00E14414" w:rsidRPr="00736119" w:rsidRDefault="00E14414" w:rsidP="00E14414">
            <w:pPr>
              <w:pStyle w:val="TblTextCenter"/>
              <w:jc w:val="left"/>
              <w:rPr>
                <w:sz w:val="18"/>
                <w:szCs w:val="18"/>
              </w:rPr>
            </w:pPr>
            <w:r w:rsidRPr="00736119">
              <w:rPr>
                <w:sz w:val="18"/>
                <w:szCs w:val="18"/>
              </w:rPr>
              <w:t>Adjusted mean change from baseline</w:t>
            </w:r>
          </w:p>
        </w:tc>
        <w:tc>
          <w:tcPr>
            <w:tcW w:w="1201" w:type="dxa"/>
            <w:tcBorders>
              <w:top w:val="single" w:sz="4" w:space="0" w:color="auto"/>
              <w:bottom w:val="nil"/>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8.13</w:t>
            </w:r>
          </w:p>
          <w:p w:rsidR="00E14414" w:rsidRPr="00736119" w:rsidRDefault="00E14414" w:rsidP="00E14414">
            <w:pPr>
              <w:pStyle w:val="TblTextCenter"/>
              <w:rPr>
                <w:sz w:val="18"/>
                <w:szCs w:val="18"/>
              </w:rPr>
            </w:pPr>
            <w:r w:rsidRPr="00736119">
              <w:rPr>
                <w:sz w:val="18"/>
                <w:szCs w:val="18"/>
              </w:rPr>
              <w:t>-0.90</w:t>
            </w:r>
          </w:p>
        </w:tc>
        <w:tc>
          <w:tcPr>
            <w:tcW w:w="1201" w:type="dxa"/>
            <w:tcBorders>
              <w:top w:val="single" w:sz="4" w:space="0" w:color="auto"/>
              <w:bottom w:val="nil"/>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8.14</w:t>
            </w:r>
          </w:p>
          <w:p w:rsidR="00E14414" w:rsidRPr="00736119" w:rsidRDefault="00E14414" w:rsidP="00E14414">
            <w:pPr>
              <w:pStyle w:val="TblTextCenter"/>
              <w:rPr>
                <w:sz w:val="18"/>
                <w:szCs w:val="18"/>
              </w:rPr>
            </w:pPr>
            <w:r w:rsidRPr="00736119">
              <w:rPr>
                <w:sz w:val="18"/>
                <w:szCs w:val="18"/>
              </w:rPr>
              <w:t>-0.87</w:t>
            </w:r>
          </w:p>
        </w:tc>
        <w:tc>
          <w:tcPr>
            <w:tcW w:w="1201" w:type="dxa"/>
            <w:tcBorders>
              <w:top w:val="single" w:sz="4" w:space="0" w:color="auto"/>
              <w:bottom w:val="nil"/>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8.27</w:t>
            </w:r>
          </w:p>
          <w:p w:rsidR="00E14414" w:rsidRPr="00736119" w:rsidRDefault="00E14414" w:rsidP="00E14414">
            <w:pPr>
              <w:pStyle w:val="TblTextCenter"/>
              <w:rPr>
                <w:sz w:val="18"/>
                <w:szCs w:val="18"/>
              </w:rPr>
            </w:pPr>
            <w:r w:rsidRPr="00736119">
              <w:rPr>
                <w:sz w:val="18"/>
                <w:szCs w:val="18"/>
              </w:rPr>
              <w:t>-0.73</w:t>
            </w:r>
          </w:p>
        </w:tc>
        <w:tc>
          <w:tcPr>
            <w:tcW w:w="1201" w:type="dxa"/>
            <w:tcBorders>
              <w:top w:val="single" w:sz="4" w:space="0" w:color="auto"/>
              <w:bottom w:val="nil"/>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8.22</w:t>
            </w:r>
          </w:p>
          <w:p w:rsidR="00E14414" w:rsidRPr="00736119" w:rsidRDefault="00E14414" w:rsidP="00E14414">
            <w:pPr>
              <w:pStyle w:val="TblTextCenter"/>
              <w:rPr>
                <w:sz w:val="18"/>
                <w:szCs w:val="18"/>
              </w:rPr>
            </w:pPr>
            <w:r w:rsidRPr="00736119">
              <w:rPr>
                <w:sz w:val="18"/>
                <w:szCs w:val="18"/>
              </w:rPr>
              <w:t>-0.70</w:t>
            </w:r>
          </w:p>
        </w:tc>
        <w:tc>
          <w:tcPr>
            <w:tcW w:w="1201" w:type="dxa"/>
            <w:tcBorders>
              <w:top w:val="single" w:sz="4" w:space="0" w:color="auto"/>
              <w:bottom w:val="nil"/>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8.49</w:t>
            </w:r>
          </w:p>
          <w:p w:rsidR="00E14414" w:rsidRPr="00736119" w:rsidRDefault="00E14414" w:rsidP="00E14414">
            <w:pPr>
              <w:pStyle w:val="TblTextCenter"/>
              <w:rPr>
                <w:sz w:val="18"/>
                <w:szCs w:val="18"/>
              </w:rPr>
            </w:pPr>
            <w:r w:rsidRPr="00736119">
              <w:rPr>
                <w:sz w:val="18"/>
                <w:szCs w:val="18"/>
              </w:rPr>
              <w:t>-1.42</w:t>
            </w:r>
          </w:p>
        </w:tc>
        <w:tc>
          <w:tcPr>
            <w:tcW w:w="1201" w:type="dxa"/>
            <w:tcBorders>
              <w:top w:val="single" w:sz="4" w:space="0" w:color="auto"/>
              <w:bottom w:val="nil"/>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8.58</w:t>
            </w:r>
          </w:p>
          <w:p w:rsidR="00E14414" w:rsidRPr="00736119" w:rsidRDefault="00E14414" w:rsidP="00E14414">
            <w:pPr>
              <w:pStyle w:val="TblTextCenter"/>
              <w:rPr>
                <w:sz w:val="18"/>
                <w:szCs w:val="18"/>
              </w:rPr>
            </w:pPr>
            <w:r w:rsidRPr="00736119">
              <w:rPr>
                <w:sz w:val="18"/>
                <w:szCs w:val="18"/>
              </w:rPr>
              <w:t>-1.46</w:t>
            </w:r>
          </w:p>
        </w:tc>
      </w:tr>
      <w:tr w:rsidR="00E14414" w:rsidRPr="00736119" w:rsidTr="00E14414">
        <w:trPr>
          <w:cantSplit/>
          <w:jc w:val="center"/>
        </w:trPr>
        <w:tc>
          <w:tcPr>
            <w:tcW w:w="2401" w:type="dxa"/>
            <w:tcBorders>
              <w:top w:val="nil"/>
              <w:bottom w:val="single" w:sz="4" w:space="0" w:color="auto"/>
            </w:tcBorders>
            <w:shd w:val="clear" w:color="auto" w:fill="auto"/>
          </w:tcPr>
          <w:p w:rsidR="00E14414" w:rsidRPr="00736119" w:rsidRDefault="00E14414" w:rsidP="00E14414">
            <w:pPr>
              <w:pStyle w:val="TblTextCenter"/>
              <w:jc w:val="left"/>
              <w:rPr>
                <w:sz w:val="18"/>
                <w:szCs w:val="18"/>
              </w:rPr>
            </w:pPr>
            <w:r w:rsidRPr="00736119">
              <w:rPr>
                <w:sz w:val="18"/>
                <w:szCs w:val="18"/>
              </w:rPr>
              <w:t xml:space="preserve">Adjusted mean </w:t>
            </w:r>
            <w:proofErr w:type="spellStart"/>
            <w:r w:rsidRPr="00736119">
              <w:rPr>
                <w:sz w:val="18"/>
                <w:szCs w:val="18"/>
              </w:rPr>
              <w:t>difference</w:t>
            </w:r>
            <w:r w:rsidRPr="00736119">
              <w:rPr>
                <w:sz w:val="18"/>
                <w:szCs w:val="18"/>
                <w:vertAlign w:val="superscript"/>
              </w:rPr>
              <w:t>b</w:t>
            </w:r>
            <w:proofErr w:type="spellEnd"/>
            <w:r w:rsidRPr="00736119">
              <w:rPr>
                <w:sz w:val="18"/>
                <w:szCs w:val="18"/>
              </w:rPr>
              <w:t xml:space="preserve"> </w:t>
            </w:r>
          </w:p>
          <w:p w:rsidR="00E14414" w:rsidRPr="00736119" w:rsidRDefault="00E14414" w:rsidP="00E14414">
            <w:pPr>
              <w:pStyle w:val="TblTextCenter"/>
              <w:jc w:val="left"/>
              <w:rPr>
                <w:b/>
                <w:sz w:val="18"/>
                <w:szCs w:val="18"/>
              </w:rPr>
            </w:pPr>
            <w:r w:rsidRPr="00736119">
              <w:rPr>
                <w:sz w:val="18"/>
                <w:szCs w:val="18"/>
              </w:rPr>
              <w:t>[95% Confidence interval]</w:t>
            </w:r>
          </w:p>
        </w:tc>
        <w:tc>
          <w:tcPr>
            <w:tcW w:w="2402" w:type="dxa"/>
            <w:gridSpan w:val="2"/>
            <w:tcBorders>
              <w:top w:val="nil"/>
              <w:bottom w:val="single" w:sz="4" w:space="0" w:color="auto"/>
            </w:tcBorders>
            <w:shd w:val="clear" w:color="auto" w:fill="auto"/>
          </w:tcPr>
          <w:p w:rsidR="00E14414" w:rsidRPr="00736119" w:rsidRDefault="00E14414" w:rsidP="00E14414">
            <w:pPr>
              <w:pStyle w:val="TblTextCenter"/>
              <w:rPr>
                <w:sz w:val="18"/>
                <w:szCs w:val="18"/>
              </w:rPr>
            </w:pPr>
            <w:r w:rsidRPr="00736119">
              <w:rPr>
                <w:sz w:val="18"/>
                <w:szCs w:val="18"/>
              </w:rPr>
              <w:t>-0.03</w:t>
            </w:r>
          </w:p>
          <w:p w:rsidR="00E14414" w:rsidRPr="00736119" w:rsidRDefault="00E14414" w:rsidP="00E14414">
            <w:pPr>
              <w:pStyle w:val="TblTextCenter"/>
              <w:rPr>
                <w:sz w:val="18"/>
                <w:szCs w:val="18"/>
              </w:rPr>
            </w:pPr>
            <w:r w:rsidRPr="00736119">
              <w:rPr>
                <w:sz w:val="18"/>
                <w:szCs w:val="18"/>
              </w:rPr>
              <w:t>[-0.144 to 0.083)</w:t>
            </w:r>
          </w:p>
        </w:tc>
        <w:tc>
          <w:tcPr>
            <w:tcW w:w="2402" w:type="dxa"/>
            <w:gridSpan w:val="2"/>
            <w:tcBorders>
              <w:top w:val="nil"/>
              <w:bottom w:val="single" w:sz="4" w:space="0" w:color="auto"/>
            </w:tcBorders>
            <w:shd w:val="clear" w:color="auto" w:fill="auto"/>
          </w:tcPr>
          <w:p w:rsidR="00E14414" w:rsidRPr="00736119" w:rsidRDefault="00E14414" w:rsidP="00E14414">
            <w:pPr>
              <w:pStyle w:val="TblTextCenter"/>
              <w:rPr>
                <w:sz w:val="18"/>
                <w:szCs w:val="18"/>
              </w:rPr>
            </w:pPr>
            <w:r w:rsidRPr="00736119">
              <w:rPr>
                <w:sz w:val="18"/>
                <w:szCs w:val="18"/>
              </w:rPr>
              <w:t>-0.03</w:t>
            </w:r>
          </w:p>
          <w:p w:rsidR="00E14414" w:rsidRPr="00736119" w:rsidRDefault="00E14414" w:rsidP="00E14414">
            <w:pPr>
              <w:pStyle w:val="TblTextCenter"/>
              <w:rPr>
                <w:sz w:val="18"/>
                <w:szCs w:val="18"/>
              </w:rPr>
            </w:pPr>
            <w:r w:rsidRPr="00736119">
              <w:rPr>
                <w:sz w:val="18"/>
                <w:szCs w:val="18"/>
              </w:rPr>
              <w:t>[-0.168 to 0.099]</w:t>
            </w:r>
          </w:p>
        </w:tc>
        <w:tc>
          <w:tcPr>
            <w:tcW w:w="2402" w:type="dxa"/>
            <w:gridSpan w:val="2"/>
            <w:tcBorders>
              <w:top w:val="nil"/>
              <w:bottom w:val="single" w:sz="4" w:space="0" w:color="auto"/>
            </w:tcBorders>
            <w:shd w:val="clear" w:color="auto" w:fill="auto"/>
          </w:tcPr>
          <w:p w:rsidR="00E14414" w:rsidRPr="00736119" w:rsidRDefault="00E14414" w:rsidP="00E14414">
            <w:pPr>
              <w:pStyle w:val="TblTextCenter"/>
              <w:rPr>
                <w:sz w:val="18"/>
                <w:szCs w:val="18"/>
              </w:rPr>
            </w:pPr>
            <w:r w:rsidRPr="00736119">
              <w:rPr>
                <w:sz w:val="18"/>
                <w:szCs w:val="18"/>
              </w:rPr>
              <w:t>0.04</w:t>
            </w:r>
          </w:p>
          <w:p w:rsidR="00E14414" w:rsidRPr="00736119" w:rsidRDefault="00E14414" w:rsidP="00E14414">
            <w:pPr>
              <w:pStyle w:val="TblTextCenter"/>
              <w:rPr>
                <w:sz w:val="18"/>
                <w:szCs w:val="18"/>
              </w:rPr>
            </w:pPr>
            <w:r w:rsidRPr="00736119">
              <w:rPr>
                <w:sz w:val="18"/>
                <w:szCs w:val="18"/>
              </w:rPr>
              <w:t>[-0.090 to 0.174]</w:t>
            </w:r>
          </w:p>
        </w:tc>
      </w:tr>
      <w:tr w:rsidR="00E14414" w:rsidRPr="00736119" w:rsidTr="00E14414">
        <w:trPr>
          <w:cantSplit/>
          <w:jc w:val="center"/>
        </w:trPr>
        <w:tc>
          <w:tcPr>
            <w:tcW w:w="2401" w:type="dxa"/>
            <w:tcBorders>
              <w:top w:val="single" w:sz="4" w:space="0" w:color="auto"/>
            </w:tcBorders>
            <w:shd w:val="clear" w:color="auto" w:fill="auto"/>
          </w:tcPr>
          <w:p w:rsidR="00E14414" w:rsidRPr="00736119" w:rsidRDefault="00E14414" w:rsidP="002E661F">
            <w:pPr>
              <w:pStyle w:val="TblTextCenter"/>
              <w:jc w:val="left"/>
              <w:rPr>
                <w:b/>
                <w:sz w:val="18"/>
                <w:szCs w:val="18"/>
              </w:rPr>
            </w:pPr>
            <w:proofErr w:type="spellStart"/>
            <w:r w:rsidRPr="00736119">
              <w:rPr>
                <w:b/>
                <w:sz w:val="18"/>
                <w:szCs w:val="18"/>
              </w:rPr>
              <w:t>FPG</w:t>
            </w:r>
            <w:r w:rsidRPr="00736119">
              <w:rPr>
                <w:b/>
                <w:sz w:val="18"/>
                <w:szCs w:val="18"/>
                <w:vertAlign w:val="superscript"/>
              </w:rPr>
              <w:t>c</w:t>
            </w:r>
            <w:proofErr w:type="spellEnd"/>
            <w:r w:rsidRPr="00736119">
              <w:rPr>
                <w:b/>
                <w:sz w:val="18"/>
                <w:szCs w:val="18"/>
              </w:rPr>
              <w:t xml:space="preserve"> (</w:t>
            </w:r>
            <w:proofErr w:type="spellStart"/>
            <w:r w:rsidRPr="00736119">
              <w:rPr>
                <w:b/>
                <w:sz w:val="18"/>
                <w:szCs w:val="18"/>
              </w:rPr>
              <w:t>mmol</w:t>
            </w:r>
            <w:proofErr w:type="spellEnd"/>
            <w:r w:rsidRPr="00736119">
              <w:rPr>
                <w:b/>
                <w:sz w:val="18"/>
                <w:szCs w:val="18"/>
              </w:rPr>
              <w:t>/L)</w:t>
            </w:r>
          </w:p>
        </w:tc>
        <w:tc>
          <w:tcPr>
            <w:tcW w:w="1201" w:type="dxa"/>
            <w:tcBorders>
              <w:top w:val="single" w:sz="4" w:space="0" w:color="auto"/>
            </w:tcBorders>
            <w:shd w:val="clear" w:color="auto" w:fill="auto"/>
          </w:tcPr>
          <w:p w:rsidR="00E14414" w:rsidRPr="00736119" w:rsidRDefault="00E14414" w:rsidP="00E14414">
            <w:pPr>
              <w:pStyle w:val="TblTextCenter"/>
              <w:rPr>
                <w:sz w:val="18"/>
                <w:szCs w:val="18"/>
              </w:rPr>
            </w:pPr>
          </w:p>
        </w:tc>
        <w:tc>
          <w:tcPr>
            <w:tcW w:w="1201" w:type="dxa"/>
            <w:tcBorders>
              <w:top w:val="single" w:sz="4" w:space="0" w:color="auto"/>
            </w:tcBorders>
            <w:shd w:val="clear" w:color="auto" w:fill="auto"/>
          </w:tcPr>
          <w:p w:rsidR="00E14414" w:rsidRPr="00736119" w:rsidRDefault="00E14414" w:rsidP="00E14414">
            <w:pPr>
              <w:pStyle w:val="TblTextCenter"/>
              <w:rPr>
                <w:sz w:val="18"/>
                <w:szCs w:val="18"/>
              </w:rPr>
            </w:pPr>
          </w:p>
        </w:tc>
        <w:tc>
          <w:tcPr>
            <w:tcW w:w="2402" w:type="dxa"/>
            <w:gridSpan w:val="2"/>
            <w:tcBorders>
              <w:top w:val="single" w:sz="4" w:space="0" w:color="auto"/>
            </w:tcBorders>
            <w:shd w:val="clear" w:color="auto" w:fill="auto"/>
          </w:tcPr>
          <w:p w:rsidR="00E14414" w:rsidRPr="00736119" w:rsidRDefault="00E14414" w:rsidP="00E14414">
            <w:pPr>
              <w:pStyle w:val="TblTextCenter"/>
              <w:rPr>
                <w:sz w:val="18"/>
                <w:szCs w:val="18"/>
              </w:rPr>
            </w:pPr>
          </w:p>
        </w:tc>
        <w:tc>
          <w:tcPr>
            <w:tcW w:w="2402" w:type="dxa"/>
            <w:gridSpan w:val="2"/>
            <w:tcBorders>
              <w:top w:val="single" w:sz="4" w:space="0" w:color="auto"/>
            </w:tcBorders>
            <w:shd w:val="clear" w:color="auto" w:fill="auto"/>
          </w:tcPr>
          <w:p w:rsidR="00E14414" w:rsidRPr="00736119" w:rsidRDefault="00E14414" w:rsidP="00E14414">
            <w:pPr>
              <w:pStyle w:val="TblTextCenter"/>
              <w:rPr>
                <w:sz w:val="18"/>
                <w:szCs w:val="18"/>
              </w:rPr>
            </w:pPr>
          </w:p>
        </w:tc>
      </w:tr>
      <w:tr w:rsidR="00E14414" w:rsidRPr="00736119" w:rsidTr="00E14414">
        <w:trPr>
          <w:cantSplit/>
          <w:jc w:val="center"/>
        </w:trPr>
        <w:tc>
          <w:tcPr>
            <w:tcW w:w="2401" w:type="dxa"/>
            <w:tcBorders>
              <w:top w:val="nil"/>
              <w:bottom w:val="nil"/>
            </w:tcBorders>
            <w:shd w:val="clear" w:color="auto" w:fill="auto"/>
          </w:tcPr>
          <w:p w:rsidR="00E14414" w:rsidRPr="00736119" w:rsidRDefault="00E14414" w:rsidP="00E14414">
            <w:pPr>
              <w:pStyle w:val="TblTextCenter"/>
              <w:jc w:val="left"/>
              <w:rPr>
                <w:sz w:val="18"/>
                <w:szCs w:val="18"/>
              </w:rPr>
            </w:pPr>
            <w:r w:rsidRPr="00736119">
              <w:rPr>
                <w:sz w:val="18"/>
                <w:szCs w:val="18"/>
              </w:rPr>
              <w:t>Baseline mean</w:t>
            </w:r>
          </w:p>
          <w:p w:rsidR="00E14414" w:rsidRPr="00736119" w:rsidRDefault="00E14414" w:rsidP="00E14414">
            <w:pPr>
              <w:pStyle w:val="TblTextCenter"/>
              <w:jc w:val="left"/>
              <w:rPr>
                <w:sz w:val="18"/>
                <w:szCs w:val="18"/>
              </w:rPr>
            </w:pPr>
            <w:r w:rsidRPr="00736119">
              <w:rPr>
                <w:sz w:val="18"/>
                <w:szCs w:val="18"/>
              </w:rPr>
              <w:t>Adjusted mean change from baseline</w:t>
            </w:r>
          </w:p>
        </w:tc>
        <w:tc>
          <w:tcPr>
            <w:tcW w:w="1201" w:type="dxa"/>
            <w:tcBorders>
              <w:top w:val="nil"/>
              <w:bottom w:val="nil"/>
            </w:tcBorders>
            <w:shd w:val="clear" w:color="auto" w:fill="auto"/>
          </w:tcPr>
          <w:p w:rsidR="00E14414" w:rsidRPr="00736119" w:rsidRDefault="00E14414" w:rsidP="00E14414">
            <w:pPr>
              <w:pStyle w:val="TblTextCenter"/>
              <w:rPr>
                <w:sz w:val="18"/>
                <w:szCs w:val="18"/>
              </w:rPr>
            </w:pPr>
            <w:r w:rsidRPr="00736119">
              <w:rPr>
                <w:sz w:val="18"/>
                <w:szCs w:val="18"/>
              </w:rPr>
              <w:t>8.74</w:t>
            </w:r>
          </w:p>
          <w:p w:rsidR="00E14414" w:rsidRPr="00736119" w:rsidRDefault="00E14414" w:rsidP="00E14414">
            <w:pPr>
              <w:pStyle w:val="TblTextCenter"/>
              <w:rPr>
                <w:sz w:val="18"/>
                <w:szCs w:val="18"/>
              </w:rPr>
            </w:pPr>
            <w:r w:rsidRPr="00736119">
              <w:rPr>
                <w:sz w:val="18"/>
                <w:szCs w:val="18"/>
              </w:rPr>
              <w:t>-1.63</w:t>
            </w:r>
          </w:p>
        </w:tc>
        <w:tc>
          <w:tcPr>
            <w:tcW w:w="1201" w:type="dxa"/>
            <w:tcBorders>
              <w:top w:val="nil"/>
              <w:bottom w:val="nil"/>
            </w:tcBorders>
            <w:shd w:val="clear" w:color="auto" w:fill="auto"/>
          </w:tcPr>
          <w:p w:rsidR="00E14414" w:rsidRPr="00736119" w:rsidRDefault="00E14414" w:rsidP="00E14414">
            <w:pPr>
              <w:pStyle w:val="TblTextCenter"/>
              <w:rPr>
                <w:sz w:val="18"/>
                <w:szCs w:val="18"/>
              </w:rPr>
            </w:pPr>
            <w:r w:rsidRPr="00736119">
              <w:rPr>
                <w:sz w:val="18"/>
                <w:szCs w:val="18"/>
              </w:rPr>
              <w:t>8.90</w:t>
            </w:r>
          </w:p>
          <w:p w:rsidR="00E14414" w:rsidRPr="00736119" w:rsidRDefault="00E14414" w:rsidP="00E14414">
            <w:pPr>
              <w:pStyle w:val="TblTextCenter"/>
              <w:rPr>
                <w:sz w:val="18"/>
                <w:szCs w:val="18"/>
              </w:rPr>
            </w:pPr>
            <w:r w:rsidRPr="00736119">
              <w:rPr>
                <w:sz w:val="18"/>
                <w:szCs w:val="18"/>
              </w:rPr>
              <w:t>-1.68</w:t>
            </w:r>
          </w:p>
        </w:tc>
        <w:tc>
          <w:tcPr>
            <w:tcW w:w="1201" w:type="dxa"/>
            <w:tcBorders>
              <w:top w:val="nil"/>
              <w:bottom w:val="nil"/>
            </w:tcBorders>
            <w:shd w:val="clear" w:color="auto" w:fill="auto"/>
          </w:tcPr>
          <w:p w:rsidR="00E14414" w:rsidRPr="00736119" w:rsidRDefault="00E14414" w:rsidP="00E14414">
            <w:pPr>
              <w:pStyle w:val="TblTextCenter"/>
              <w:rPr>
                <w:sz w:val="18"/>
                <w:szCs w:val="18"/>
              </w:rPr>
            </w:pPr>
            <w:r w:rsidRPr="00736119">
              <w:rPr>
                <w:sz w:val="18"/>
                <w:szCs w:val="18"/>
              </w:rPr>
              <w:t>8.25</w:t>
            </w:r>
          </w:p>
          <w:p w:rsidR="00E14414" w:rsidRPr="00736119" w:rsidRDefault="00E14414" w:rsidP="00E14414">
            <w:pPr>
              <w:pStyle w:val="TblTextCenter"/>
              <w:rPr>
                <w:sz w:val="18"/>
                <w:szCs w:val="18"/>
              </w:rPr>
            </w:pPr>
            <w:r w:rsidRPr="00736119">
              <w:rPr>
                <w:sz w:val="18"/>
                <w:szCs w:val="18"/>
              </w:rPr>
              <w:t>-1.03</w:t>
            </w:r>
          </w:p>
        </w:tc>
        <w:tc>
          <w:tcPr>
            <w:tcW w:w="1201" w:type="dxa"/>
            <w:tcBorders>
              <w:top w:val="nil"/>
              <w:bottom w:val="nil"/>
            </w:tcBorders>
            <w:shd w:val="clear" w:color="auto" w:fill="auto"/>
          </w:tcPr>
          <w:p w:rsidR="00E14414" w:rsidRPr="00736119" w:rsidRDefault="00E14414" w:rsidP="00E14414">
            <w:pPr>
              <w:pStyle w:val="TblTextCenter"/>
              <w:rPr>
                <w:sz w:val="18"/>
                <w:szCs w:val="18"/>
              </w:rPr>
            </w:pPr>
            <w:r w:rsidRPr="00736119">
              <w:rPr>
                <w:sz w:val="18"/>
                <w:szCs w:val="18"/>
              </w:rPr>
              <w:t>7.90</w:t>
            </w:r>
          </w:p>
          <w:p w:rsidR="00E14414" w:rsidRPr="00736119" w:rsidRDefault="00E14414" w:rsidP="00E14414">
            <w:pPr>
              <w:pStyle w:val="TblTextCenter"/>
              <w:rPr>
                <w:sz w:val="18"/>
                <w:szCs w:val="18"/>
              </w:rPr>
            </w:pPr>
            <w:r w:rsidRPr="00736119">
              <w:rPr>
                <w:sz w:val="18"/>
                <w:szCs w:val="18"/>
              </w:rPr>
              <w:t>-1.20</w:t>
            </w:r>
          </w:p>
        </w:tc>
        <w:tc>
          <w:tcPr>
            <w:tcW w:w="1201" w:type="dxa"/>
            <w:tcBorders>
              <w:top w:val="nil"/>
              <w:bottom w:val="nil"/>
            </w:tcBorders>
            <w:shd w:val="clear" w:color="auto" w:fill="auto"/>
          </w:tcPr>
          <w:p w:rsidR="00E14414" w:rsidRPr="00736119" w:rsidRDefault="00E14414" w:rsidP="00E14414">
            <w:pPr>
              <w:pStyle w:val="TblTextCenter"/>
              <w:rPr>
                <w:sz w:val="18"/>
                <w:szCs w:val="18"/>
              </w:rPr>
            </w:pPr>
            <w:r w:rsidRPr="00736119">
              <w:rPr>
                <w:sz w:val="18"/>
                <w:szCs w:val="18"/>
              </w:rPr>
              <w:t>9.93</w:t>
            </w:r>
          </w:p>
          <w:p w:rsidR="00E14414" w:rsidRPr="00736119" w:rsidRDefault="00E14414" w:rsidP="00E14414">
            <w:pPr>
              <w:pStyle w:val="TblTextCenter"/>
              <w:rPr>
                <w:sz w:val="18"/>
                <w:szCs w:val="18"/>
              </w:rPr>
            </w:pPr>
            <w:r w:rsidRPr="00736119">
              <w:rPr>
                <w:sz w:val="18"/>
                <w:szCs w:val="18"/>
              </w:rPr>
              <w:t>-3.41</w:t>
            </w:r>
          </w:p>
        </w:tc>
        <w:tc>
          <w:tcPr>
            <w:tcW w:w="1201" w:type="dxa"/>
            <w:tcBorders>
              <w:top w:val="nil"/>
              <w:bottom w:val="nil"/>
            </w:tcBorders>
            <w:shd w:val="clear" w:color="auto" w:fill="auto"/>
          </w:tcPr>
          <w:p w:rsidR="00E14414" w:rsidRPr="00736119" w:rsidRDefault="00E14414" w:rsidP="00E14414">
            <w:pPr>
              <w:pStyle w:val="TblTextCenter"/>
              <w:rPr>
                <w:sz w:val="18"/>
                <w:szCs w:val="18"/>
              </w:rPr>
            </w:pPr>
            <w:r w:rsidRPr="00736119">
              <w:rPr>
                <w:sz w:val="18"/>
                <w:szCs w:val="18"/>
              </w:rPr>
              <w:t>10.21</w:t>
            </w:r>
          </w:p>
          <w:p w:rsidR="00E14414" w:rsidRPr="00736119" w:rsidRDefault="00E14414" w:rsidP="00E14414">
            <w:pPr>
              <w:pStyle w:val="TblTextCenter"/>
              <w:rPr>
                <w:sz w:val="18"/>
                <w:szCs w:val="18"/>
              </w:rPr>
            </w:pPr>
            <w:r w:rsidRPr="00736119">
              <w:rPr>
                <w:sz w:val="18"/>
                <w:szCs w:val="18"/>
              </w:rPr>
              <w:t>-3.80</w:t>
            </w:r>
          </w:p>
        </w:tc>
      </w:tr>
      <w:tr w:rsidR="00E14414" w:rsidRPr="00736119" w:rsidTr="00E14414">
        <w:trPr>
          <w:cantSplit/>
          <w:jc w:val="center"/>
        </w:trPr>
        <w:tc>
          <w:tcPr>
            <w:tcW w:w="2401" w:type="dxa"/>
            <w:tcBorders>
              <w:top w:val="nil"/>
              <w:bottom w:val="single" w:sz="4" w:space="0" w:color="auto"/>
            </w:tcBorders>
            <w:shd w:val="clear" w:color="auto" w:fill="auto"/>
          </w:tcPr>
          <w:p w:rsidR="00E14414" w:rsidRPr="00736119" w:rsidRDefault="00E14414" w:rsidP="00E14414">
            <w:pPr>
              <w:pStyle w:val="TblTextCenter"/>
              <w:jc w:val="left"/>
              <w:rPr>
                <w:sz w:val="18"/>
                <w:szCs w:val="18"/>
              </w:rPr>
            </w:pPr>
            <w:r w:rsidRPr="00736119">
              <w:rPr>
                <w:sz w:val="18"/>
                <w:szCs w:val="18"/>
              </w:rPr>
              <w:t xml:space="preserve">Adjusted mean </w:t>
            </w:r>
            <w:proofErr w:type="spellStart"/>
            <w:r w:rsidRPr="00736119">
              <w:rPr>
                <w:sz w:val="18"/>
                <w:szCs w:val="18"/>
              </w:rPr>
              <w:t>difference</w:t>
            </w:r>
            <w:r w:rsidRPr="00736119">
              <w:rPr>
                <w:sz w:val="18"/>
                <w:szCs w:val="18"/>
                <w:vertAlign w:val="superscript"/>
              </w:rPr>
              <w:t>b</w:t>
            </w:r>
            <w:proofErr w:type="spellEnd"/>
            <w:r w:rsidRPr="00736119">
              <w:rPr>
                <w:sz w:val="18"/>
                <w:szCs w:val="18"/>
              </w:rPr>
              <w:t xml:space="preserve"> </w:t>
            </w:r>
          </w:p>
          <w:p w:rsidR="00E14414" w:rsidRPr="00736119" w:rsidRDefault="00E14414" w:rsidP="00E14414">
            <w:pPr>
              <w:pStyle w:val="TblTextCenter"/>
              <w:jc w:val="left"/>
              <w:rPr>
                <w:sz w:val="18"/>
                <w:szCs w:val="18"/>
              </w:rPr>
            </w:pPr>
            <w:r w:rsidRPr="00736119">
              <w:rPr>
                <w:sz w:val="18"/>
                <w:szCs w:val="18"/>
              </w:rPr>
              <w:t>[95% Confidence interval]</w:t>
            </w:r>
          </w:p>
        </w:tc>
        <w:tc>
          <w:tcPr>
            <w:tcW w:w="2402" w:type="dxa"/>
            <w:gridSpan w:val="2"/>
            <w:tcBorders>
              <w:top w:val="nil"/>
              <w:bottom w:val="single" w:sz="4" w:space="0" w:color="auto"/>
            </w:tcBorders>
            <w:shd w:val="clear" w:color="auto" w:fill="auto"/>
          </w:tcPr>
          <w:p w:rsidR="00E14414" w:rsidRPr="00736119" w:rsidRDefault="00E14414" w:rsidP="00E14414">
            <w:pPr>
              <w:pStyle w:val="TblTextCenter"/>
              <w:rPr>
                <w:sz w:val="18"/>
                <w:szCs w:val="18"/>
              </w:rPr>
            </w:pPr>
            <w:r w:rsidRPr="00736119">
              <w:rPr>
                <w:sz w:val="18"/>
                <w:szCs w:val="18"/>
              </w:rPr>
              <w:t>0.05</w:t>
            </w:r>
          </w:p>
          <w:p w:rsidR="00E14414" w:rsidRPr="00736119" w:rsidRDefault="00E14414" w:rsidP="00E14414">
            <w:pPr>
              <w:pStyle w:val="TblTextCenter"/>
              <w:rPr>
                <w:sz w:val="18"/>
                <w:szCs w:val="18"/>
              </w:rPr>
            </w:pPr>
            <w:r w:rsidRPr="00736119">
              <w:rPr>
                <w:sz w:val="18"/>
                <w:szCs w:val="18"/>
              </w:rPr>
              <w:t>[-0.293 to 0.386]</w:t>
            </w:r>
          </w:p>
        </w:tc>
        <w:tc>
          <w:tcPr>
            <w:tcW w:w="2402" w:type="dxa"/>
            <w:gridSpan w:val="2"/>
            <w:tcBorders>
              <w:top w:val="nil"/>
              <w:bottom w:val="single" w:sz="4" w:space="0" w:color="auto"/>
            </w:tcBorders>
            <w:shd w:val="clear" w:color="auto" w:fill="auto"/>
          </w:tcPr>
          <w:p w:rsidR="00E14414" w:rsidRPr="00736119" w:rsidRDefault="00E14414" w:rsidP="00E14414">
            <w:pPr>
              <w:pStyle w:val="TblTextCenter"/>
              <w:rPr>
                <w:sz w:val="18"/>
                <w:szCs w:val="18"/>
              </w:rPr>
            </w:pPr>
            <w:r w:rsidRPr="00736119">
              <w:rPr>
                <w:sz w:val="18"/>
                <w:szCs w:val="18"/>
              </w:rPr>
              <w:t>0.17</w:t>
            </w:r>
          </w:p>
          <w:p w:rsidR="00E14414" w:rsidRPr="00736119" w:rsidRDefault="00E14414" w:rsidP="00E14414">
            <w:pPr>
              <w:pStyle w:val="TblTextCenter"/>
              <w:rPr>
                <w:sz w:val="18"/>
                <w:szCs w:val="18"/>
              </w:rPr>
            </w:pPr>
            <w:r w:rsidRPr="00736119">
              <w:rPr>
                <w:sz w:val="18"/>
                <w:szCs w:val="18"/>
              </w:rPr>
              <w:t>[-0.180 to 0.519]</w:t>
            </w:r>
          </w:p>
        </w:tc>
        <w:tc>
          <w:tcPr>
            <w:tcW w:w="2402" w:type="dxa"/>
            <w:gridSpan w:val="2"/>
            <w:tcBorders>
              <w:top w:val="nil"/>
              <w:bottom w:val="single" w:sz="4" w:space="0" w:color="auto"/>
            </w:tcBorders>
            <w:shd w:val="clear" w:color="auto" w:fill="auto"/>
          </w:tcPr>
          <w:p w:rsidR="00E14414" w:rsidRPr="00736119" w:rsidRDefault="00E14414" w:rsidP="00E14414">
            <w:pPr>
              <w:pStyle w:val="TblTextCenter"/>
              <w:rPr>
                <w:sz w:val="18"/>
                <w:szCs w:val="18"/>
              </w:rPr>
            </w:pPr>
            <w:r w:rsidRPr="00736119">
              <w:rPr>
                <w:sz w:val="18"/>
                <w:szCs w:val="18"/>
              </w:rPr>
              <w:t>0.39</w:t>
            </w:r>
          </w:p>
          <w:p w:rsidR="00E14414" w:rsidRPr="00736119" w:rsidRDefault="00E14414" w:rsidP="00E14414">
            <w:pPr>
              <w:pStyle w:val="TblTextCenter"/>
              <w:rPr>
                <w:sz w:val="18"/>
                <w:szCs w:val="18"/>
              </w:rPr>
            </w:pPr>
            <w:r w:rsidRPr="00736119">
              <w:rPr>
                <w:sz w:val="18"/>
                <w:szCs w:val="18"/>
              </w:rPr>
              <w:t>[0.100 to 0.676]</w:t>
            </w:r>
          </w:p>
        </w:tc>
      </w:tr>
      <w:tr w:rsidR="00E14414" w:rsidRPr="00736119" w:rsidTr="00E14414">
        <w:trPr>
          <w:cantSplit/>
          <w:trHeight w:val="1143"/>
          <w:jc w:val="center"/>
        </w:trPr>
        <w:tc>
          <w:tcPr>
            <w:tcW w:w="2401" w:type="dxa"/>
            <w:tcBorders>
              <w:top w:val="nil"/>
              <w:bottom w:val="single" w:sz="4" w:space="0" w:color="auto"/>
            </w:tcBorders>
            <w:shd w:val="clear" w:color="auto" w:fill="auto"/>
          </w:tcPr>
          <w:p w:rsidR="00E14414" w:rsidRPr="00736119" w:rsidRDefault="00E14414" w:rsidP="00E14414">
            <w:pPr>
              <w:pStyle w:val="TblTextCenter"/>
              <w:jc w:val="left"/>
              <w:rPr>
                <w:b/>
                <w:sz w:val="18"/>
                <w:szCs w:val="18"/>
              </w:rPr>
            </w:pPr>
            <w:r w:rsidRPr="00736119">
              <w:rPr>
                <w:b/>
                <w:sz w:val="18"/>
                <w:szCs w:val="18"/>
              </w:rPr>
              <w:t>Basal insulin dose (U/kg)</w:t>
            </w:r>
          </w:p>
          <w:p w:rsidR="00E14414" w:rsidRPr="00736119" w:rsidRDefault="00E14414" w:rsidP="00E14414">
            <w:pPr>
              <w:pStyle w:val="TblTextCenter"/>
              <w:jc w:val="left"/>
              <w:rPr>
                <w:sz w:val="18"/>
                <w:szCs w:val="18"/>
              </w:rPr>
            </w:pPr>
            <w:r w:rsidRPr="00736119">
              <w:rPr>
                <w:sz w:val="18"/>
                <w:szCs w:val="18"/>
              </w:rPr>
              <w:t>Baseline mean</w:t>
            </w:r>
          </w:p>
          <w:p w:rsidR="00E14414" w:rsidRPr="00736119" w:rsidRDefault="00E14414" w:rsidP="00E14414">
            <w:pPr>
              <w:pStyle w:val="TblTextCenter"/>
              <w:jc w:val="left"/>
              <w:rPr>
                <w:sz w:val="18"/>
                <w:szCs w:val="18"/>
              </w:rPr>
            </w:pPr>
            <w:r w:rsidRPr="00736119">
              <w:rPr>
                <w:sz w:val="18"/>
                <w:szCs w:val="18"/>
              </w:rPr>
              <w:t>Mean change from baseline</w:t>
            </w:r>
          </w:p>
        </w:tc>
        <w:tc>
          <w:tcPr>
            <w:tcW w:w="1201" w:type="dxa"/>
            <w:tcBorders>
              <w:top w:val="nil"/>
              <w:bottom w:val="single" w:sz="4" w:space="0" w:color="auto"/>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0.67</w:t>
            </w:r>
          </w:p>
          <w:p w:rsidR="00E14414" w:rsidRPr="00736119" w:rsidRDefault="00E14414" w:rsidP="008618B3">
            <w:pPr>
              <w:pStyle w:val="TblTextCenter"/>
              <w:rPr>
                <w:sz w:val="18"/>
                <w:szCs w:val="18"/>
              </w:rPr>
            </w:pPr>
            <w:r w:rsidRPr="00736119">
              <w:rPr>
                <w:sz w:val="18"/>
                <w:szCs w:val="18"/>
              </w:rPr>
              <w:t>0.31</w:t>
            </w:r>
          </w:p>
        </w:tc>
        <w:tc>
          <w:tcPr>
            <w:tcW w:w="1201" w:type="dxa"/>
            <w:tcBorders>
              <w:top w:val="nil"/>
              <w:bottom w:val="single" w:sz="4" w:space="0" w:color="auto"/>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0.67</w:t>
            </w:r>
          </w:p>
          <w:p w:rsidR="00E14414" w:rsidRPr="00736119" w:rsidRDefault="00E14414" w:rsidP="008618B3">
            <w:pPr>
              <w:pStyle w:val="TblTextCenter"/>
              <w:rPr>
                <w:sz w:val="18"/>
                <w:szCs w:val="18"/>
              </w:rPr>
            </w:pPr>
            <w:r w:rsidRPr="00736119">
              <w:rPr>
                <w:sz w:val="18"/>
                <w:szCs w:val="18"/>
              </w:rPr>
              <w:t>0.22</w:t>
            </w:r>
          </w:p>
        </w:tc>
        <w:tc>
          <w:tcPr>
            <w:tcW w:w="1201" w:type="dxa"/>
            <w:tcBorders>
              <w:top w:val="nil"/>
              <w:bottom w:val="single" w:sz="4" w:space="0" w:color="auto"/>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0.64</w:t>
            </w:r>
          </w:p>
          <w:p w:rsidR="00E14414" w:rsidRPr="00736119" w:rsidRDefault="00E14414" w:rsidP="008618B3">
            <w:pPr>
              <w:pStyle w:val="TblTextCenter"/>
              <w:rPr>
                <w:sz w:val="18"/>
                <w:szCs w:val="18"/>
              </w:rPr>
            </w:pPr>
            <w:r w:rsidRPr="00736119">
              <w:rPr>
                <w:sz w:val="18"/>
                <w:szCs w:val="18"/>
              </w:rPr>
              <w:t>0.30</w:t>
            </w:r>
          </w:p>
        </w:tc>
        <w:tc>
          <w:tcPr>
            <w:tcW w:w="1201" w:type="dxa"/>
            <w:tcBorders>
              <w:top w:val="nil"/>
              <w:bottom w:val="single" w:sz="4" w:space="0" w:color="auto"/>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0.66</w:t>
            </w:r>
          </w:p>
          <w:p w:rsidR="00E14414" w:rsidRPr="00736119" w:rsidRDefault="00E14414" w:rsidP="008618B3">
            <w:pPr>
              <w:pStyle w:val="TblTextCenter"/>
              <w:rPr>
                <w:sz w:val="18"/>
                <w:szCs w:val="18"/>
              </w:rPr>
            </w:pPr>
            <w:r w:rsidRPr="00736119">
              <w:rPr>
                <w:sz w:val="18"/>
                <w:szCs w:val="18"/>
              </w:rPr>
              <w:t>0.19</w:t>
            </w:r>
          </w:p>
        </w:tc>
        <w:tc>
          <w:tcPr>
            <w:tcW w:w="1201" w:type="dxa"/>
            <w:tcBorders>
              <w:top w:val="nil"/>
              <w:bottom w:val="single" w:sz="4" w:space="0" w:color="auto"/>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0.19</w:t>
            </w:r>
          </w:p>
          <w:p w:rsidR="00E14414" w:rsidRPr="00736119" w:rsidRDefault="00E14414" w:rsidP="008618B3">
            <w:pPr>
              <w:pStyle w:val="TblTextCenter"/>
              <w:rPr>
                <w:sz w:val="18"/>
                <w:szCs w:val="18"/>
              </w:rPr>
            </w:pPr>
            <w:r w:rsidRPr="00736119">
              <w:rPr>
                <w:sz w:val="18"/>
                <w:szCs w:val="18"/>
              </w:rPr>
              <w:t>0.43</w:t>
            </w:r>
          </w:p>
        </w:tc>
        <w:tc>
          <w:tcPr>
            <w:tcW w:w="1201" w:type="dxa"/>
            <w:tcBorders>
              <w:top w:val="nil"/>
              <w:bottom w:val="single" w:sz="4" w:space="0" w:color="auto"/>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0.19</w:t>
            </w:r>
          </w:p>
          <w:p w:rsidR="00E14414" w:rsidRPr="00736119" w:rsidRDefault="00E14414" w:rsidP="008618B3">
            <w:pPr>
              <w:pStyle w:val="TblTextCenter"/>
              <w:rPr>
                <w:sz w:val="18"/>
                <w:szCs w:val="18"/>
              </w:rPr>
            </w:pPr>
            <w:r w:rsidRPr="00736119">
              <w:rPr>
                <w:sz w:val="18"/>
                <w:szCs w:val="18"/>
              </w:rPr>
              <w:t>0.34</w:t>
            </w:r>
          </w:p>
        </w:tc>
      </w:tr>
      <w:tr w:rsidR="00E14414" w:rsidRPr="00736119" w:rsidTr="00E14414">
        <w:trPr>
          <w:cantSplit/>
          <w:jc w:val="center"/>
        </w:trPr>
        <w:tc>
          <w:tcPr>
            <w:tcW w:w="2401" w:type="dxa"/>
            <w:tcBorders>
              <w:top w:val="single" w:sz="4" w:space="0" w:color="auto"/>
              <w:bottom w:val="single" w:sz="4" w:space="0" w:color="auto"/>
            </w:tcBorders>
            <w:shd w:val="clear" w:color="auto" w:fill="auto"/>
          </w:tcPr>
          <w:p w:rsidR="00E14414" w:rsidRPr="00736119" w:rsidRDefault="00E14414" w:rsidP="00E14414">
            <w:pPr>
              <w:pStyle w:val="TblTextCenter"/>
              <w:jc w:val="left"/>
              <w:rPr>
                <w:b/>
                <w:sz w:val="18"/>
                <w:szCs w:val="18"/>
              </w:rPr>
            </w:pPr>
            <w:r w:rsidRPr="00736119">
              <w:rPr>
                <w:b/>
                <w:sz w:val="18"/>
                <w:szCs w:val="18"/>
              </w:rPr>
              <w:t>Total insulin dose (U/kg)</w:t>
            </w:r>
            <w:r w:rsidRPr="00736119">
              <w:rPr>
                <w:rStyle w:val="EndnoteReference"/>
                <w:sz w:val="18"/>
                <w:szCs w:val="18"/>
              </w:rPr>
              <w:t xml:space="preserve"> </w:t>
            </w:r>
          </w:p>
          <w:p w:rsidR="00E14414" w:rsidRPr="00736119" w:rsidRDefault="00E14414" w:rsidP="00E14414">
            <w:pPr>
              <w:pStyle w:val="TblTextCenter"/>
              <w:jc w:val="left"/>
              <w:rPr>
                <w:sz w:val="18"/>
                <w:szCs w:val="18"/>
              </w:rPr>
            </w:pPr>
            <w:r w:rsidRPr="00736119">
              <w:rPr>
                <w:sz w:val="18"/>
                <w:szCs w:val="18"/>
              </w:rPr>
              <w:t>Baseline mean</w:t>
            </w:r>
          </w:p>
          <w:p w:rsidR="00E14414" w:rsidRPr="00736119" w:rsidRDefault="00E14414" w:rsidP="00E14414">
            <w:pPr>
              <w:pStyle w:val="TblTextCenter"/>
              <w:jc w:val="left"/>
              <w:rPr>
                <w:sz w:val="18"/>
                <w:szCs w:val="18"/>
              </w:rPr>
            </w:pPr>
            <w:r w:rsidRPr="00736119">
              <w:rPr>
                <w:sz w:val="18"/>
                <w:szCs w:val="18"/>
              </w:rPr>
              <w:t>Mean change from baseline</w:t>
            </w:r>
          </w:p>
        </w:tc>
        <w:tc>
          <w:tcPr>
            <w:tcW w:w="1201" w:type="dxa"/>
            <w:tcBorders>
              <w:top w:val="single" w:sz="4" w:space="0" w:color="auto"/>
              <w:bottom w:val="single" w:sz="4" w:space="0" w:color="auto"/>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1.19</w:t>
            </w:r>
          </w:p>
          <w:p w:rsidR="00E14414" w:rsidRPr="00736119" w:rsidRDefault="00E14414" w:rsidP="00E14414">
            <w:pPr>
              <w:pStyle w:val="TblTextCenter"/>
              <w:rPr>
                <w:sz w:val="18"/>
                <w:szCs w:val="18"/>
              </w:rPr>
            </w:pPr>
            <w:r w:rsidRPr="00736119">
              <w:rPr>
                <w:sz w:val="18"/>
                <w:szCs w:val="18"/>
              </w:rPr>
              <w:t>0.35</w:t>
            </w:r>
          </w:p>
        </w:tc>
        <w:tc>
          <w:tcPr>
            <w:tcW w:w="1201" w:type="dxa"/>
            <w:tcBorders>
              <w:top w:val="single" w:sz="4" w:space="0" w:color="auto"/>
              <w:bottom w:val="single" w:sz="4" w:space="0" w:color="auto"/>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1.19</w:t>
            </w:r>
          </w:p>
          <w:p w:rsidR="00E14414" w:rsidRPr="00736119" w:rsidRDefault="00E14414" w:rsidP="00E14414">
            <w:pPr>
              <w:pStyle w:val="TblTextCenter"/>
              <w:rPr>
                <w:sz w:val="18"/>
                <w:szCs w:val="18"/>
              </w:rPr>
            </w:pPr>
            <w:r w:rsidRPr="00736119">
              <w:rPr>
                <w:sz w:val="18"/>
                <w:szCs w:val="18"/>
              </w:rPr>
              <w:t>0.27</w:t>
            </w:r>
          </w:p>
        </w:tc>
        <w:tc>
          <w:tcPr>
            <w:tcW w:w="1201" w:type="dxa"/>
            <w:tcBorders>
              <w:top w:val="single" w:sz="4" w:space="0" w:color="auto"/>
              <w:bottom w:val="single" w:sz="4" w:space="0" w:color="auto"/>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w:t>
            </w:r>
          </w:p>
          <w:p w:rsidR="00E14414" w:rsidRPr="00736119" w:rsidRDefault="00E14414" w:rsidP="00E14414">
            <w:pPr>
              <w:pStyle w:val="TblTextCenter"/>
              <w:rPr>
                <w:sz w:val="18"/>
                <w:szCs w:val="18"/>
              </w:rPr>
            </w:pPr>
            <w:r w:rsidRPr="00736119">
              <w:rPr>
                <w:sz w:val="18"/>
                <w:szCs w:val="18"/>
              </w:rPr>
              <w:t>-</w:t>
            </w:r>
          </w:p>
        </w:tc>
        <w:tc>
          <w:tcPr>
            <w:tcW w:w="1201" w:type="dxa"/>
            <w:tcBorders>
              <w:top w:val="single" w:sz="4" w:space="0" w:color="auto"/>
              <w:bottom w:val="single" w:sz="4" w:space="0" w:color="auto"/>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w:t>
            </w:r>
          </w:p>
          <w:p w:rsidR="00E14414" w:rsidRPr="00736119" w:rsidRDefault="00E14414" w:rsidP="00E14414">
            <w:pPr>
              <w:pStyle w:val="TblTextCenter"/>
              <w:rPr>
                <w:sz w:val="18"/>
                <w:szCs w:val="18"/>
              </w:rPr>
            </w:pPr>
            <w:r w:rsidRPr="00736119">
              <w:rPr>
                <w:sz w:val="18"/>
                <w:szCs w:val="18"/>
              </w:rPr>
              <w:t>-</w:t>
            </w:r>
          </w:p>
        </w:tc>
        <w:tc>
          <w:tcPr>
            <w:tcW w:w="1201" w:type="dxa"/>
            <w:tcBorders>
              <w:top w:val="single" w:sz="4" w:space="0" w:color="auto"/>
              <w:bottom w:val="single" w:sz="4" w:space="0" w:color="auto"/>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w:t>
            </w:r>
          </w:p>
          <w:p w:rsidR="00E14414" w:rsidRPr="00736119" w:rsidRDefault="00E14414" w:rsidP="00E14414">
            <w:pPr>
              <w:pStyle w:val="TblTextCenter"/>
              <w:rPr>
                <w:sz w:val="18"/>
                <w:szCs w:val="18"/>
              </w:rPr>
            </w:pPr>
            <w:r w:rsidRPr="00736119">
              <w:rPr>
                <w:sz w:val="18"/>
                <w:szCs w:val="18"/>
              </w:rPr>
              <w:t>-</w:t>
            </w:r>
          </w:p>
        </w:tc>
        <w:tc>
          <w:tcPr>
            <w:tcW w:w="1201" w:type="dxa"/>
            <w:tcBorders>
              <w:top w:val="single" w:sz="4" w:space="0" w:color="auto"/>
              <w:bottom w:val="single" w:sz="4" w:space="0" w:color="auto"/>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w:t>
            </w:r>
          </w:p>
          <w:p w:rsidR="00E14414" w:rsidRPr="00736119" w:rsidRDefault="00E14414" w:rsidP="00E14414">
            <w:pPr>
              <w:pStyle w:val="TblTextCenter"/>
              <w:rPr>
                <w:sz w:val="18"/>
                <w:szCs w:val="18"/>
              </w:rPr>
            </w:pPr>
            <w:r w:rsidRPr="00736119">
              <w:rPr>
                <w:sz w:val="18"/>
                <w:szCs w:val="18"/>
              </w:rPr>
              <w:t>-</w:t>
            </w:r>
          </w:p>
        </w:tc>
      </w:tr>
      <w:tr w:rsidR="004C711C" w:rsidRPr="00736119" w:rsidTr="00E14414">
        <w:trPr>
          <w:cantSplit/>
          <w:jc w:val="center"/>
        </w:trPr>
        <w:tc>
          <w:tcPr>
            <w:tcW w:w="2401" w:type="dxa"/>
            <w:tcBorders>
              <w:top w:val="single" w:sz="4" w:space="0" w:color="auto"/>
              <w:bottom w:val="single" w:sz="12" w:space="0" w:color="auto"/>
            </w:tcBorders>
            <w:shd w:val="clear" w:color="auto" w:fill="auto"/>
          </w:tcPr>
          <w:p w:rsidR="00E14414" w:rsidRPr="00736119" w:rsidRDefault="00E14414" w:rsidP="00E14414">
            <w:pPr>
              <w:pStyle w:val="TblTextCenter"/>
              <w:jc w:val="left"/>
              <w:rPr>
                <w:b/>
                <w:sz w:val="18"/>
                <w:szCs w:val="18"/>
              </w:rPr>
            </w:pPr>
            <w:r w:rsidRPr="00736119">
              <w:rPr>
                <w:b/>
                <w:sz w:val="18"/>
                <w:szCs w:val="18"/>
              </w:rPr>
              <w:t>Body weight (kg)</w:t>
            </w:r>
          </w:p>
          <w:p w:rsidR="00E14414" w:rsidRPr="00736119" w:rsidRDefault="00E14414" w:rsidP="00E14414">
            <w:pPr>
              <w:pStyle w:val="TblTextCenter"/>
              <w:jc w:val="left"/>
              <w:rPr>
                <w:sz w:val="18"/>
                <w:szCs w:val="18"/>
              </w:rPr>
            </w:pPr>
            <w:r w:rsidRPr="00736119">
              <w:rPr>
                <w:sz w:val="18"/>
                <w:szCs w:val="18"/>
              </w:rPr>
              <w:t>Baseline mean</w:t>
            </w:r>
          </w:p>
          <w:p w:rsidR="00E14414" w:rsidRPr="00736119" w:rsidRDefault="00E14414" w:rsidP="00E14414">
            <w:pPr>
              <w:pStyle w:val="TblTextCenter"/>
              <w:jc w:val="left"/>
              <w:rPr>
                <w:sz w:val="18"/>
                <w:szCs w:val="18"/>
              </w:rPr>
            </w:pPr>
            <w:r w:rsidRPr="00736119">
              <w:rPr>
                <w:sz w:val="18"/>
                <w:szCs w:val="18"/>
              </w:rPr>
              <w:t>Mean change from baseline</w:t>
            </w:r>
          </w:p>
        </w:tc>
        <w:tc>
          <w:tcPr>
            <w:tcW w:w="1201" w:type="dxa"/>
            <w:tcBorders>
              <w:top w:val="single" w:sz="4" w:space="0" w:color="auto"/>
              <w:bottom w:val="single" w:sz="12" w:space="0" w:color="auto"/>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106.11</w:t>
            </w:r>
          </w:p>
          <w:p w:rsidR="00E14414" w:rsidRPr="00736119" w:rsidRDefault="00E14414" w:rsidP="00E14414">
            <w:pPr>
              <w:pStyle w:val="TblTextCenter"/>
              <w:rPr>
                <w:sz w:val="18"/>
                <w:szCs w:val="18"/>
              </w:rPr>
            </w:pPr>
            <w:r w:rsidRPr="00736119">
              <w:rPr>
                <w:sz w:val="18"/>
                <w:szCs w:val="18"/>
              </w:rPr>
              <w:t>0.93</w:t>
            </w:r>
          </w:p>
        </w:tc>
        <w:tc>
          <w:tcPr>
            <w:tcW w:w="1201" w:type="dxa"/>
            <w:tcBorders>
              <w:top w:val="single" w:sz="4" w:space="0" w:color="auto"/>
              <w:bottom w:val="single" w:sz="12" w:space="0" w:color="auto"/>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106.50</w:t>
            </w:r>
          </w:p>
          <w:p w:rsidR="00E14414" w:rsidRPr="00736119" w:rsidRDefault="00E14414" w:rsidP="00E14414">
            <w:pPr>
              <w:pStyle w:val="TblTextCenter"/>
              <w:rPr>
                <w:sz w:val="18"/>
                <w:szCs w:val="18"/>
              </w:rPr>
            </w:pPr>
            <w:r w:rsidRPr="00736119">
              <w:rPr>
                <w:sz w:val="18"/>
                <w:szCs w:val="18"/>
              </w:rPr>
              <w:t>0.90</w:t>
            </w:r>
          </w:p>
        </w:tc>
        <w:tc>
          <w:tcPr>
            <w:tcW w:w="1201" w:type="dxa"/>
            <w:tcBorders>
              <w:top w:val="single" w:sz="4" w:space="0" w:color="auto"/>
              <w:bottom w:val="single" w:sz="12" w:space="0" w:color="auto"/>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98.73</w:t>
            </w:r>
          </w:p>
          <w:p w:rsidR="00E14414" w:rsidRPr="00736119" w:rsidRDefault="00E14414" w:rsidP="00E14414">
            <w:pPr>
              <w:pStyle w:val="TblTextCenter"/>
              <w:rPr>
                <w:sz w:val="18"/>
                <w:szCs w:val="18"/>
              </w:rPr>
            </w:pPr>
            <w:r w:rsidRPr="00736119">
              <w:rPr>
                <w:sz w:val="18"/>
                <w:szCs w:val="18"/>
              </w:rPr>
              <w:t>0.08</w:t>
            </w:r>
          </w:p>
        </w:tc>
        <w:tc>
          <w:tcPr>
            <w:tcW w:w="1201" w:type="dxa"/>
            <w:tcBorders>
              <w:top w:val="single" w:sz="4" w:space="0" w:color="auto"/>
              <w:bottom w:val="single" w:sz="12" w:space="0" w:color="auto"/>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98.17</w:t>
            </w:r>
          </w:p>
          <w:p w:rsidR="00E14414" w:rsidRPr="00736119" w:rsidRDefault="00E14414" w:rsidP="00E14414">
            <w:pPr>
              <w:pStyle w:val="TblTextCenter"/>
              <w:rPr>
                <w:sz w:val="18"/>
                <w:szCs w:val="18"/>
              </w:rPr>
            </w:pPr>
            <w:r w:rsidRPr="00736119">
              <w:rPr>
                <w:sz w:val="18"/>
                <w:szCs w:val="18"/>
              </w:rPr>
              <w:t>0.66</w:t>
            </w:r>
          </w:p>
        </w:tc>
        <w:tc>
          <w:tcPr>
            <w:tcW w:w="1201" w:type="dxa"/>
            <w:tcBorders>
              <w:top w:val="single" w:sz="4" w:space="0" w:color="auto"/>
              <w:bottom w:val="single" w:sz="12" w:space="0" w:color="auto"/>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95.14</w:t>
            </w:r>
          </w:p>
          <w:p w:rsidR="00E14414" w:rsidRPr="00736119" w:rsidRDefault="00E14414" w:rsidP="00E14414">
            <w:pPr>
              <w:pStyle w:val="TblTextCenter"/>
              <w:rPr>
                <w:sz w:val="18"/>
                <w:szCs w:val="18"/>
              </w:rPr>
            </w:pPr>
            <w:r w:rsidRPr="00736119">
              <w:rPr>
                <w:sz w:val="18"/>
                <w:szCs w:val="18"/>
              </w:rPr>
              <w:t>0.50</w:t>
            </w:r>
          </w:p>
        </w:tc>
        <w:tc>
          <w:tcPr>
            <w:tcW w:w="1201" w:type="dxa"/>
            <w:tcBorders>
              <w:top w:val="single" w:sz="4" w:space="0" w:color="auto"/>
              <w:bottom w:val="single" w:sz="12" w:space="0" w:color="auto"/>
            </w:tcBorders>
            <w:shd w:val="clear" w:color="auto" w:fill="auto"/>
          </w:tcPr>
          <w:p w:rsidR="00E14414" w:rsidRPr="00736119" w:rsidRDefault="00E14414" w:rsidP="00E14414">
            <w:pPr>
              <w:pStyle w:val="TblTextCenter"/>
              <w:rPr>
                <w:sz w:val="18"/>
                <w:szCs w:val="18"/>
              </w:rPr>
            </w:pPr>
          </w:p>
          <w:p w:rsidR="00E14414" w:rsidRPr="00736119" w:rsidRDefault="00E14414" w:rsidP="00E14414">
            <w:pPr>
              <w:pStyle w:val="TblTextCenter"/>
              <w:rPr>
                <w:sz w:val="18"/>
                <w:szCs w:val="18"/>
              </w:rPr>
            </w:pPr>
            <w:r w:rsidRPr="00736119">
              <w:rPr>
                <w:sz w:val="18"/>
                <w:szCs w:val="18"/>
              </w:rPr>
              <w:t>95.65</w:t>
            </w:r>
          </w:p>
          <w:p w:rsidR="00E14414" w:rsidRPr="00736119" w:rsidRDefault="00E14414" w:rsidP="00E14414">
            <w:pPr>
              <w:pStyle w:val="TblTextCenter"/>
              <w:rPr>
                <w:sz w:val="18"/>
                <w:szCs w:val="18"/>
              </w:rPr>
            </w:pPr>
            <w:r w:rsidRPr="00736119">
              <w:rPr>
                <w:sz w:val="18"/>
                <w:szCs w:val="18"/>
              </w:rPr>
              <w:t>0.71</w:t>
            </w:r>
          </w:p>
        </w:tc>
      </w:tr>
      <w:tr w:rsidR="00E14414" w:rsidRPr="00736119" w:rsidTr="00E14414">
        <w:trPr>
          <w:cantSplit/>
          <w:jc w:val="center"/>
        </w:trPr>
        <w:tc>
          <w:tcPr>
            <w:tcW w:w="9607" w:type="dxa"/>
            <w:gridSpan w:val="7"/>
            <w:tcBorders>
              <w:top w:val="single" w:sz="12" w:space="0" w:color="auto"/>
            </w:tcBorders>
            <w:shd w:val="clear" w:color="auto" w:fill="auto"/>
          </w:tcPr>
          <w:p w:rsidR="0049172D" w:rsidRPr="00755AEB" w:rsidRDefault="0049172D" w:rsidP="00E14414">
            <w:pPr>
              <w:pStyle w:val="TblFigFootnote"/>
              <w:rPr>
                <w:rFonts w:ascii="Times New Roman" w:hAnsi="Times New Roman"/>
                <w:szCs w:val="18"/>
              </w:rPr>
            </w:pPr>
            <w:proofErr w:type="spellStart"/>
            <w:r w:rsidRPr="00755AEB">
              <w:rPr>
                <w:rFonts w:ascii="Times New Roman" w:hAnsi="Times New Roman"/>
                <w:szCs w:val="18"/>
              </w:rPr>
              <w:t>Iglar</w:t>
            </w:r>
            <w:proofErr w:type="spellEnd"/>
            <w:r w:rsidRPr="00755AEB">
              <w:rPr>
                <w:rFonts w:ascii="Times New Roman" w:hAnsi="Times New Roman"/>
                <w:szCs w:val="18"/>
              </w:rPr>
              <w:t xml:space="preserve">: insulin </w:t>
            </w:r>
            <w:proofErr w:type="spellStart"/>
            <w:r w:rsidRPr="00755AEB">
              <w:rPr>
                <w:rFonts w:ascii="Times New Roman" w:hAnsi="Times New Roman"/>
                <w:szCs w:val="18"/>
              </w:rPr>
              <w:t>glargine</w:t>
            </w:r>
            <w:proofErr w:type="spellEnd"/>
            <w:r w:rsidRPr="00755AEB">
              <w:rPr>
                <w:rFonts w:ascii="Times New Roman" w:hAnsi="Times New Roman"/>
                <w:szCs w:val="18"/>
              </w:rPr>
              <w:t xml:space="preserve"> 100 units/mL</w:t>
            </w:r>
          </w:p>
          <w:p w:rsidR="00E14414" w:rsidRPr="0049172D" w:rsidRDefault="00E14414" w:rsidP="00E14414">
            <w:pPr>
              <w:pStyle w:val="TblFigFootnote"/>
              <w:rPr>
                <w:rFonts w:ascii="Times New Roman" w:hAnsi="Times New Roman"/>
                <w:szCs w:val="18"/>
                <w:vertAlign w:val="superscript"/>
              </w:rPr>
            </w:pPr>
            <w:r w:rsidRPr="00736119">
              <w:rPr>
                <w:rFonts w:ascii="Times New Roman" w:hAnsi="Times New Roman"/>
                <w:szCs w:val="18"/>
                <w:vertAlign w:val="superscript"/>
              </w:rPr>
              <w:t>a</w:t>
            </w:r>
            <w:r w:rsidRPr="00736119">
              <w:rPr>
                <w:rFonts w:ascii="Times New Roman" w:hAnsi="Times New Roman"/>
                <w:szCs w:val="18"/>
              </w:rPr>
              <w:t>m-ITT population: Modified intention-to-treat population</w:t>
            </w:r>
          </w:p>
        </w:tc>
      </w:tr>
    </w:tbl>
    <w:p w:rsidR="00E14414" w:rsidRPr="00736119" w:rsidRDefault="0058433A" w:rsidP="0058433A">
      <w:pPr>
        <w:pStyle w:val="TblFigFootnote"/>
        <w:rPr>
          <w:rFonts w:ascii="Times New Roman" w:hAnsi="Times New Roman"/>
          <w:szCs w:val="18"/>
        </w:rPr>
      </w:pPr>
      <w:r w:rsidRPr="00736119">
        <w:rPr>
          <w:rFonts w:ascii="Times New Roman" w:hAnsi="Times New Roman"/>
          <w:szCs w:val="18"/>
        </w:rPr>
        <w:t xml:space="preserve"> </w:t>
      </w:r>
      <w:proofErr w:type="gramStart"/>
      <w:r w:rsidR="00E14414" w:rsidRPr="00736119">
        <w:rPr>
          <w:rFonts w:ascii="Times New Roman" w:hAnsi="Times New Roman"/>
          <w:szCs w:val="18"/>
        </w:rPr>
        <w:t>b</w:t>
      </w:r>
      <w:proofErr w:type="gramEnd"/>
      <w:r w:rsidR="00E14414" w:rsidRPr="00736119">
        <w:rPr>
          <w:rFonts w:ascii="Times New Roman" w:hAnsi="Times New Roman"/>
          <w:szCs w:val="18"/>
        </w:rPr>
        <w:t xml:space="preserve"> Treatment difference: </w:t>
      </w:r>
      <w:proofErr w:type="spellStart"/>
      <w:r w:rsidR="00BB0644" w:rsidRPr="00736119">
        <w:rPr>
          <w:rFonts w:ascii="Times New Roman" w:hAnsi="Times New Roman"/>
          <w:szCs w:val="18"/>
        </w:rPr>
        <w:t>Toujeo</w:t>
      </w:r>
      <w:proofErr w:type="spellEnd"/>
      <w:r w:rsidR="00E14414" w:rsidRPr="00736119">
        <w:rPr>
          <w:rFonts w:ascii="Times New Roman" w:hAnsi="Times New Roman"/>
          <w:szCs w:val="18"/>
        </w:rPr>
        <w:t xml:space="preserve"> - Lantus</w:t>
      </w:r>
    </w:p>
    <w:p w:rsidR="00E14414" w:rsidRPr="00736119" w:rsidRDefault="00E14414" w:rsidP="0058433A">
      <w:pPr>
        <w:pStyle w:val="TblFigFootnote"/>
        <w:rPr>
          <w:rFonts w:ascii="Times New Roman" w:hAnsi="Times New Roman"/>
          <w:szCs w:val="18"/>
        </w:rPr>
      </w:pPr>
      <w:proofErr w:type="gramStart"/>
      <w:r w:rsidRPr="00736119">
        <w:rPr>
          <w:rFonts w:ascii="Times New Roman" w:hAnsi="Times New Roman"/>
          <w:szCs w:val="18"/>
        </w:rPr>
        <w:t>c</w:t>
      </w:r>
      <w:proofErr w:type="gramEnd"/>
      <w:r w:rsidRPr="00736119">
        <w:rPr>
          <w:rFonts w:ascii="Times New Roman" w:hAnsi="Times New Roman"/>
          <w:szCs w:val="18"/>
        </w:rPr>
        <w:t xml:space="preserve"> Fasting plasma glucose</w:t>
      </w:r>
    </w:p>
    <w:p w:rsidR="00F11BBA" w:rsidRDefault="00C8208F" w:rsidP="003B0618">
      <w:pPr>
        <w:pStyle w:val="Heading2"/>
        <w:numPr>
          <w:ilvl w:val="0"/>
          <w:numId w:val="0"/>
        </w:numPr>
      </w:pPr>
      <w:r w:rsidRPr="00755AEB">
        <w:t>CLINICAL TRIAL EXPERIENCE – HYPOGLYC</w:t>
      </w:r>
      <w:r w:rsidR="00C320EC">
        <w:t>A</w:t>
      </w:r>
      <w:r w:rsidRPr="00755AEB">
        <w:t>EMIA</w:t>
      </w:r>
    </w:p>
    <w:p w:rsidR="00DF3D17" w:rsidRPr="00DF3D17" w:rsidRDefault="00DF3D17" w:rsidP="00DF3D17">
      <w:proofErr w:type="spellStart"/>
      <w:r w:rsidRPr="00DF3D17">
        <w:t>Randomised</w:t>
      </w:r>
      <w:proofErr w:type="spellEnd"/>
      <w:r w:rsidRPr="00DF3D17">
        <w:t xml:space="preserve"> clinical trials (Edition I, II, III) showed that, in T2D patients, who take their insulin </w:t>
      </w:r>
      <w:proofErr w:type="spellStart"/>
      <w:r w:rsidRPr="00DF3D17">
        <w:t>glargine</w:t>
      </w:r>
      <w:proofErr w:type="spellEnd"/>
      <w:r w:rsidRPr="00DF3D17">
        <w:t xml:space="preserve"> in the evening, </w:t>
      </w:r>
      <w:proofErr w:type="spellStart"/>
      <w:r w:rsidRPr="00DF3D17">
        <w:t>Toujeo</w:t>
      </w:r>
      <w:proofErr w:type="spellEnd"/>
      <w:r w:rsidRPr="00DF3D17">
        <w:t xml:space="preserve"> resulted in less severe or confirmed nocturnal </w:t>
      </w:r>
      <w:proofErr w:type="spellStart"/>
      <w:r w:rsidRPr="00DF3D17">
        <w:t>hypoglycaemia</w:t>
      </w:r>
      <w:proofErr w:type="spellEnd"/>
      <w:r w:rsidRPr="00DF3D17">
        <w:t xml:space="preserve"> </w:t>
      </w:r>
      <w:r w:rsidRPr="00DF3D17">
        <w:lastRenderedPageBreak/>
        <w:t>(pre-specified main secondary efficacy endpoint) than with Lantus (</w:t>
      </w:r>
      <w:proofErr w:type="spellStart"/>
      <w:r w:rsidRPr="00DF3D17">
        <w:t>Toujeo</w:t>
      </w:r>
      <w:proofErr w:type="spellEnd"/>
      <w:r w:rsidRPr="00DF3D17">
        <w:t xml:space="preserve"> plus oral anti-</w:t>
      </w:r>
      <w:proofErr w:type="spellStart"/>
      <w:r w:rsidRPr="00DF3D17">
        <w:t>hyperglycaemic</w:t>
      </w:r>
      <w:proofErr w:type="spellEnd"/>
      <w:r w:rsidRPr="00DF3D17">
        <w:t xml:space="preserve"> agents: 18% relative risk reduction; </w:t>
      </w:r>
      <w:proofErr w:type="spellStart"/>
      <w:r w:rsidRPr="00DF3D17">
        <w:t>Toujeo</w:t>
      </w:r>
      <w:proofErr w:type="spellEnd"/>
      <w:r w:rsidRPr="00DF3D17">
        <w:t xml:space="preserve"> plus mealtime insulin: 21% relative risk reduction; see </w:t>
      </w:r>
      <w:r w:rsidRPr="00736119">
        <w:rPr>
          <w:color w:val="auto"/>
        </w:rPr>
        <w:fldChar w:fldCharType="begin"/>
      </w:r>
      <w:r w:rsidRPr="00736119">
        <w:rPr>
          <w:color w:val="auto"/>
        </w:rPr>
        <w:instrText xml:space="preserve"> REF _Ref381262266 \h  \* MERGEFORMAT </w:instrText>
      </w:r>
      <w:r w:rsidRPr="00736119">
        <w:rPr>
          <w:color w:val="auto"/>
        </w:rPr>
      </w:r>
      <w:r w:rsidRPr="00736119">
        <w:rPr>
          <w:color w:val="auto"/>
        </w:rPr>
        <w:fldChar w:fldCharType="separate"/>
      </w:r>
      <w:r w:rsidR="002C5256" w:rsidRPr="002C5256">
        <w:rPr>
          <w:color w:val="auto"/>
        </w:rPr>
        <w:t>Table 3</w:t>
      </w:r>
      <w:r w:rsidRPr="00736119">
        <w:rPr>
          <w:color w:val="auto"/>
        </w:rPr>
        <w:fldChar w:fldCharType="end"/>
      </w:r>
      <w:r w:rsidRPr="00736119">
        <w:rPr>
          <w:color w:val="auto"/>
        </w:rPr>
        <w:t>)</w:t>
      </w:r>
      <w:r>
        <w:rPr>
          <w:color w:val="auto"/>
        </w:rPr>
        <w:t>.</w:t>
      </w:r>
      <w:r w:rsidRPr="00736119">
        <w:rPr>
          <w:color w:val="auto"/>
        </w:rPr>
        <w:t xml:space="preserve"> </w:t>
      </w:r>
      <w:r w:rsidRPr="00DF3D17">
        <w:t xml:space="preserve"> There are no </w:t>
      </w:r>
      <w:proofErr w:type="spellStart"/>
      <w:r w:rsidRPr="00DF3D17">
        <w:t>randomised</w:t>
      </w:r>
      <w:proofErr w:type="spellEnd"/>
      <w:r w:rsidRPr="00DF3D17">
        <w:t xml:space="preserve"> data on the risk of </w:t>
      </w:r>
      <w:proofErr w:type="spellStart"/>
      <w:r w:rsidRPr="00DF3D17">
        <w:t>hypoglycaemia</w:t>
      </w:r>
      <w:proofErr w:type="spellEnd"/>
      <w:r w:rsidRPr="00DF3D17">
        <w:t xml:space="preserve"> when </w:t>
      </w:r>
      <w:proofErr w:type="spellStart"/>
      <w:r w:rsidRPr="00DF3D17">
        <w:t>Toujeo</w:t>
      </w:r>
      <w:proofErr w:type="spellEnd"/>
      <w:r w:rsidRPr="00DF3D17">
        <w:t xml:space="preserve"> is given to T2D patients in the morning. </w:t>
      </w:r>
      <w:proofErr w:type="spellStart"/>
      <w:r w:rsidRPr="00DF3D17">
        <w:t>Randomised</w:t>
      </w:r>
      <w:proofErr w:type="spellEnd"/>
      <w:r w:rsidRPr="00DF3D17">
        <w:t xml:space="preserve"> clinical trials of T1D patients (Edition IV) showed no reduction in the risk of confirmed nocturnal </w:t>
      </w:r>
      <w:proofErr w:type="spellStart"/>
      <w:r w:rsidRPr="00DF3D17">
        <w:t>hypoglycaemia</w:t>
      </w:r>
      <w:proofErr w:type="spellEnd"/>
      <w:r w:rsidRPr="00DF3D17">
        <w:t xml:space="preserve"> with </w:t>
      </w:r>
      <w:proofErr w:type="spellStart"/>
      <w:r w:rsidRPr="00DF3D17">
        <w:t>Toujeo</w:t>
      </w:r>
      <w:proofErr w:type="spellEnd"/>
      <w:r w:rsidRPr="00DF3D17">
        <w:t xml:space="preserve"> versus Lantus. There are no data comparing </w:t>
      </w:r>
      <w:proofErr w:type="spellStart"/>
      <w:r w:rsidRPr="00DF3D17">
        <w:t>Toujeo</w:t>
      </w:r>
      <w:proofErr w:type="spellEnd"/>
      <w:r w:rsidRPr="00DF3D17">
        <w:t xml:space="preserve"> with basal insulins other than Lantus. </w:t>
      </w:r>
    </w:p>
    <w:p w:rsidR="006F2A30" w:rsidRPr="006F2A30" w:rsidRDefault="002677EB" w:rsidP="00734751">
      <w:pPr>
        <w:pStyle w:val="Caption"/>
      </w:pPr>
      <w:bookmarkStart w:id="22" w:name="_Ref381262266"/>
      <w:bookmarkStart w:id="23" w:name="_Toc381269260"/>
      <w:r w:rsidRPr="00736119">
        <w:t>Table </w:t>
      </w:r>
      <w:r w:rsidR="0069078C">
        <w:fldChar w:fldCharType="begin"/>
      </w:r>
      <w:r w:rsidR="0069078C">
        <w:instrText xml:space="preserve"> SEQ Table \* ARABIC </w:instrText>
      </w:r>
      <w:r w:rsidR="0069078C">
        <w:fldChar w:fldCharType="separate"/>
      </w:r>
      <w:r w:rsidR="002C5256">
        <w:rPr>
          <w:noProof/>
        </w:rPr>
        <w:t>3</w:t>
      </w:r>
      <w:r w:rsidR="0069078C">
        <w:fldChar w:fldCharType="end"/>
      </w:r>
      <w:bookmarkEnd w:id="22"/>
      <w:r w:rsidRPr="00736119">
        <w:t xml:space="preserve"> ­ </w:t>
      </w:r>
      <w:bookmarkEnd w:id="23"/>
      <w:r w:rsidR="00DF3D17" w:rsidRPr="00DF3D17">
        <w:t xml:space="preserve">Incidence (%) of confirmed nocturnal </w:t>
      </w:r>
      <w:proofErr w:type="spellStart"/>
      <w:r w:rsidR="00DF3D17" w:rsidRPr="00DF3D17">
        <w:t>hypoglycaemic</w:t>
      </w:r>
      <w:proofErr w:type="spellEnd"/>
      <w:r w:rsidR="00DF3D17" w:rsidRPr="00DF3D17">
        <w:t xml:space="preserve"> </w:t>
      </w:r>
      <w:proofErr w:type="spellStart"/>
      <w:r w:rsidR="00DF3D17" w:rsidRPr="00DF3D17">
        <w:t>episodes</w:t>
      </w:r>
      <w:r w:rsidR="00DF3D17" w:rsidRPr="00824CF0">
        <w:rPr>
          <w:vertAlign w:val="superscript"/>
        </w:rPr>
        <w:t>a</w:t>
      </w:r>
      <w:proofErr w:type="spellEnd"/>
      <w:r w:rsidR="00DF3D17" w:rsidRPr="00DF3D17">
        <w:t xml:space="preserve"> (n/Total N) from week 9 to month 6 (pre-specified main secondary endpoint) of the clinical studies in patients with type 1 and type 2 diabetes mellitus</w:t>
      </w:r>
    </w:p>
    <w:tbl>
      <w:tblPr>
        <w:tblW w:w="4081" w:type="pct"/>
        <w:jc w:val="center"/>
        <w:tblBorders>
          <w:top w:val="single" w:sz="2" w:space="0" w:color="000000"/>
        </w:tblBorders>
        <w:tblLook w:val="04A0" w:firstRow="1" w:lastRow="0" w:firstColumn="1" w:lastColumn="0" w:noHBand="0" w:noVBand="1"/>
      </w:tblPr>
      <w:tblGrid>
        <w:gridCol w:w="608"/>
        <w:gridCol w:w="604"/>
        <w:gridCol w:w="1213"/>
        <w:gridCol w:w="1211"/>
        <w:gridCol w:w="1213"/>
        <w:gridCol w:w="1211"/>
        <w:gridCol w:w="1200"/>
        <w:gridCol w:w="645"/>
      </w:tblGrid>
      <w:tr w:rsidR="00734751" w:rsidRPr="006F2A30" w:rsidTr="00824CF0">
        <w:trPr>
          <w:gridAfter w:val="1"/>
          <w:wAfter w:w="408" w:type="pct"/>
          <w:cantSplit/>
          <w:tblHeader/>
          <w:jc w:val="center"/>
        </w:trPr>
        <w:tc>
          <w:tcPr>
            <w:tcW w:w="1534" w:type="pct"/>
            <w:gridSpan w:val="3"/>
            <w:tcBorders>
              <w:top w:val="single" w:sz="4" w:space="0" w:color="auto"/>
              <w:left w:val="single" w:sz="4" w:space="0" w:color="auto"/>
              <w:bottom w:val="single" w:sz="4" w:space="0" w:color="auto"/>
              <w:right w:val="single" w:sz="4" w:space="0" w:color="auto"/>
            </w:tcBorders>
            <w:shd w:val="clear" w:color="auto" w:fill="auto"/>
          </w:tcPr>
          <w:p w:rsidR="00734751" w:rsidRPr="006F2A30" w:rsidRDefault="00734751" w:rsidP="003142A2">
            <w:pPr>
              <w:pStyle w:val="TblHeadingCenter"/>
              <w:rPr>
                <w:rFonts w:cs="Times New Roman"/>
                <w:sz w:val="18"/>
                <w:szCs w:val="18"/>
              </w:rPr>
            </w:pPr>
            <w:r w:rsidRPr="006F2A30">
              <w:rPr>
                <w:rFonts w:cs="Times New Roman"/>
                <w:sz w:val="18"/>
                <w:szCs w:val="18"/>
              </w:rPr>
              <w:t>Type 1 diabetes mellitus</w:t>
            </w:r>
          </w:p>
          <w:p w:rsidR="00734751" w:rsidRPr="006F2A30" w:rsidRDefault="00734751" w:rsidP="003142A2">
            <w:pPr>
              <w:pStyle w:val="TblHeadingCenter"/>
              <w:rPr>
                <w:rFonts w:cs="Times New Roman"/>
                <w:sz w:val="18"/>
                <w:szCs w:val="18"/>
              </w:rPr>
            </w:pPr>
            <w:r w:rsidRPr="006F2A30">
              <w:rPr>
                <w:rFonts w:cs="Times New Roman"/>
                <w:sz w:val="18"/>
                <w:szCs w:val="18"/>
              </w:rPr>
              <w:t xml:space="preserve">Previously on basal insulin </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rsidR="00734751" w:rsidRPr="006F2A30" w:rsidRDefault="00734751" w:rsidP="003142A2">
            <w:pPr>
              <w:pStyle w:val="TblHeadingCenter"/>
              <w:rPr>
                <w:rFonts w:cs="Times New Roman"/>
                <w:sz w:val="18"/>
                <w:szCs w:val="18"/>
              </w:rPr>
            </w:pPr>
            <w:r w:rsidRPr="006F2A30">
              <w:rPr>
                <w:rFonts w:cs="Times New Roman"/>
                <w:sz w:val="18"/>
                <w:szCs w:val="18"/>
              </w:rPr>
              <w:t>Type 2 diabetes mellitus</w:t>
            </w:r>
          </w:p>
          <w:p w:rsidR="00734751" w:rsidRPr="006F2A30" w:rsidRDefault="00734751" w:rsidP="003142A2">
            <w:pPr>
              <w:pStyle w:val="TblHeadingCenter"/>
              <w:rPr>
                <w:rFonts w:cs="Times New Roman"/>
                <w:sz w:val="18"/>
                <w:szCs w:val="18"/>
              </w:rPr>
            </w:pPr>
            <w:r w:rsidRPr="006F2A30">
              <w:rPr>
                <w:rFonts w:cs="Times New Roman"/>
                <w:sz w:val="18"/>
                <w:szCs w:val="18"/>
              </w:rPr>
              <w:t xml:space="preserve">Previously on basal insulin </w:t>
            </w:r>
          </w:p>
        </w:tc>
        <w:tc>
          <w:tcPr>
            <w:tcW w:w="1525" w:type="pct"/>
            <w:gridSpan w:val="2"/>
            <w:tcBorders>
              <w:top w:val="single" w:sz="4" w:space="0" w:color="auto"/>
              <w:left w:val="single" w:sz="4" w:space="0" w:color="auto"/>
              <w:bottom w:val="single" w:sz="4" w:space="0" w:color="auto"/>
              <w:right w:val="single" w:sz="4" w:space="0" w:color="auto"/>
            </w:tcBorders>
            <w:shd w:val="clear" w:color="auto" w:fill="auto"/>
          </w:tcPr>
          <w:p w:rsidR="00734751" w:rsidRPr="006F2A30" w:rsidRDefault="00734751" w:rsidP="003142A2">
            <w:pPr>
              <w:pStyle w:val="TblHeadingCenter"/>
              <w:rPr>
                <w:rFonts w:cs="Times New Roman"/>
                <w:sz w:val="18"/>
                <w:szCs w:val="18"/>
              </w:rPr>
            </w:pPr>
            <w:r w:rsidRPr="006F2A30">
              <w:rPr>
                <w:rFonts w:cs="Times New Roman"/>
                <w:sz w:val="18"/>
                <w:szCs w:val="18"/>
              </w:rPr>
              <w:t>Type 2 diabetes mellitus</w:t>
            </w:r>
          </w:p>
          <w:p w:rsidR="00734751" w:rsidRPr="006F2A30" w:rsidRDefault="00734751" w:rsidP="003142A2">
            <w:pPr>
              <w:pStyle w:val="TblHeadingCenter"/>
              <w:rPr>
                <w:rFonts w:cs="Times New Roman"/>
                <w:sz w:val="18"/>
                <w:szCs w:val="18"/>
              </w:rPr>
            </w:pPr>
            <w:r w:rsidRPr="006F2A30">
              <w:rPr>
                <w:rFonts w:cs="Times New Roman"/>
                <w:sz w:val="18"/>
                <w:szCs w:val="18"/>
              </w:rPr>
              <w:t xml:space="preserve">Previously on basal insulin or insulin naive </w:t>
            </w:r>
          </w:p>
        </w:tc>
      </w:tr>
      <w:tr w:rsidR="00824CF0" w:rsidRPr="006F2A30" w:rsidTr="00824CF0">
        <w:trPr>
          <w:gridAfter w:val="1"/>
          <w:wAfter w:w="408" w:type="pct"/>
          <w:cantSplit/>
          <w:tblHeader/>
          <w:jc w:val="center"/>
        </w:trPr>
        <w:tc>
          <w:tcPr>
            <w:tcW w:w="4592" w:type="pct"/>
            <w:gridSpan w:val="7"/>
            <w:tcBorders>
              <w:top w:val="single" w:sz="4" w:space="0" w:color="auto"/>
              <w:left w:val="single" w:sz="4" w:space="0" w:color="auto"/>
              <w:bottom w:val="single" w:sz="4" w:space="0" w:color="auto"/>
              <w:right w:val="single" w:sz="4" w:space="0" w:color="auto"/>
            </w:tcBorders>
            <w:shd w:val="clear" w:color="auto" w:fill="auto"/>
          </w:tcPr>
          <w:p w:rsidR="00824CF0" w:rsidRPr="00824CF0" w:rsidRDefault="00824CF0" w:rsidP="00824CF0">
            <w:pPr>
              <w:pStyle w:val="TblHeadingCenter"/>
              <w:rPr>
                <w:b w:val="0"/>
              </w:rPr>
            </w:pPr>
            <w:r w:rsidRPr="00824CF0">
              <w:rPr>
                <w:b w:val="0"/>
              </w:rPr>
              <w:t>Treatment in combination with</w:t>
            </w:r>
          </w:p>
        </w:tc>
      </w:tr>
      <w:tr w:rsidR="00734751" w:rsidRPr="006F2A30" w:rsidTr="00824CF0">
        <w:trPr>
          <w:gridAfter w:val="1"/>
          <w:wAfter w:w="408" w:type="pct"/>
          <w:cantSplit/>
          <w:tblHeader/>
          <w:jc w:val="center"/>
        </w:trPr>
        <w:tc>
          <w:tcPr>
            <w:tcW w:w="1534" w:type="pct"/>
            <w:gridSpan w:val="3"/>
            <w:tcBorders>
              <w:top w:val="single" w:sz="4" w:space="0" w:color="auto"/>
              <w:left w:val="single" w:sz="4" w:space="0" w:color="auto"/>
              <w:bottom w:val="single" w:sz="4" w:space="0" w:color="auto"/>
              <w:right w:val="single" w:sz="4" w:space="0" w:color="auto"/>
            </w:tcBorders>
            <w:shd w:val="clear" w:color="auto" w:fill="auto"/>
          </w:tcPr>
          <w:p w:rsidR="00734751" w:rsidRPr="006F2A30" w:rsidRDefault="00734751" w:rsidP="003142A2">
            <w:pPr>
              <w:pStyle w:val="TblTextCenter"/>
              <w:rPr>
                <w:sz w:val="18"/>
                <w:szCs w:val="18"/>
              </w:rPr>
            </w:pPr>
            <w:r w:rsidRPr="006F2A30">
              <w:rPr>
                <w:sz w:val="18"/>
                <w:szCs w:val="18"/>
              </w:rPr>
              <w:t>Mealtime insulin analog+/-oral antidiabetic agents</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rsidR="00734751" w:rsidRPr="006F2A30" w:rsidRDefault="00734751" w:rsidP="003142A2">
            <w:pPr>
              <w:pStyle w:val="TblTextCenter"/>
              <w:rPr>
                <w:sz w:val="18"/>
                <w:szCs w:val="18"/>
              </w:rPr>
            </w:pPr>
            <w:r w:rsidRPr="006F2A30">
              <w:rPr>
                <w:sz w:val="18"/>
                <w:szCs w:val="18"/>
              </w:rPr>
              <w:t>Mealtime insulin analog+/-metformin</w:t>
            </w:r>
          </w:p>
        </w:tc>
        <w:tc>
          <w:tcPr>
            <w:tcW w:w="1525" w:type="pct"/>
            <w:gridSpan w:val="2"/>
            <w:tcBorders>
              <w:top w:val="single" w:sz="4" w:space="0" w:color="auto"/>
              <w:left w:val="single" w:sz="4" w:space="0" w:color="auto"/>
              <w:bottom w:val="single" w:sz="4" w:space="0" w:color="auto"/>
              <w:right w:val="single" w:sz="4" w:space="0" w:color="auto"/>
            </w:tcBorders>
            <w:shd w:val="clear" w:color="auto" w:fill="auto"/>
          </w:tcPr>
          <w:p w:rsidR="00734751" w:rsidRPr="006F2A30" w:rsidRDefault="00734751" w:rsidP="003142A2">
            <w:pPr>
              <w:pStyle w:val="TblTextCenter"/>
              <w:rPr>
                <w:sz w:val="18"/>
                <w:szCs w:val="18"/>
              </w:rPr>
            </w:pPr>
            <w:r w:rsidRPr="006F2A30">
              <w:rPr>
                <w:sz w:val="18"/>
                <w:szCs w:val="18"/>
              </w:rPr>
              <w:t>Non-insulin anti-</w:t>
            </w:r>
            <w:proofErr w:type="spellStart"/>
            <w:r w:rsidRPr="006F2A30">
              <w:rPr>
                <w:sz w:val="18"/>
                <w:szCs w:val="18"/>
              </w:rPr>
              <w:t>hyperglycaemic</w:t>
            </w:r>
            <w:proofErr w:type="spellEnd"/>
            <w:r w:rsidRPr="006F2A30">
              <w:rPr>
                <w:sz w:val="18"/>
                <w:szCs w:val="18"/>
              </w:rPr>
              <w:t xml:space="preserve"> agent</w:t>
            </w:r>
          </w:p>
        </w:tc>
      </w:tr>
      <w:tr w:rsidR="00734751" w:rsidRPr="006F2A30" w:rsidTr="00824CF0">
        <w:trPr>
          <w:gridAfter w:val="1"/>
          <w:wAfter w:w="408" w:type="pct"/>
          <w:cantSplit/>
          <w:tblHeader/>
          <w:jc w:val="center"/>
        </w:trPr>
        <w:tc>
          <w:tcPr>
            <w:tcW w:w="767" w:type="pct"/>
            <w:gridSpan w:val="2"/>
            <w:tcBorders>
              <w:top w:val="single" w:sz="4" w:space="0" w:color="auto"/>
              <w:left w:val="single" w:sz="4" w:space="0" w:color="auto"/>
              <w:bottom w:val="single" w:sz="4" w:space="0" w:color="auto"/>
              <w:right w:val="single" w:sz="4" w:space="0" w:color="auto"/>
            </w:tcBorders>
            <w:shd w:val="clear" w:color="auto" w:fill="auto"/>
          </w:tcPr>
          <w:p w:rsidR="00734751" w:rsidRPr="006F2A30" w:rsidRDefault="00734751" w:rsidP="003142A2">
            <w:pPr>
              <w:pStyle w:val="TblTextCenter"/>
              <w:rPr>
                <w:sz w:val="18"/>
                <w:szCs w:val="18"/>
              </w:rPr>
            </w:pPr>
            <w:proofErr w:type="spellStart"/>
            <w:r w:rsidRPr="006F2A30">
              <w:rPr>
                <w:sz w:val="18"/>
                <w:szCs w:val="18"/>
              </w:rPr>
              <w:t>Toujeo</w:t>
            </w:r>
            <w:proofErr w:type="spellEnd"/>
          </w:p>
        </w:tc>
        <w:tc>
          <w:tcPr>
            <w:tcW w:w="767" w:type="pct"/>
            <w:tcBorders>
              <w:top w:val="single" w:sz="4" w:space="0" w:color="auto"/>
              <w:left w:val="single" w:sz="4" w:space="0" w:color="auto"/>
              <w:bottom w:val="single" w:sz="4" w:space="0" w:color="auto"/>
              <w:right w:val="single" w:sz="4" w:space="0" w:color="auto"/>
            </w:tcBorders>
            <w:shd w:val="clear" w:color="auto" w:fill="auto"/>
          </w:tcPr>
          <w:p w:rsidR="00734751" w:rsidRPr="006F2A30" w:rsidRDefault="00734751" w:rsidP="003142A2">
            <w:pPr>
              <w:pStyle w:val="TblTextCenter"/>
              <w:rPr>
                <w:dstrike/>
                <w:sz w:val="18"/>
                <w:szCs w:val="18"/>
              </w:rPr>
            </w:pPr>
            <w:proofErr w:type="spellStart"/>
            <w:r w:rsidRPr="006F2A30">
              <w:rPr>
                <w:sz w:val="18"/>
                <w:szCs w:val="18"/>
              </w:rPr>
              <w:t>IGlar</w:t>
            </w:r>
            <w:proofErr w:type="spellEnd"/>
          </w:p>
        </w:tc>
        <w:tc>
          <w:tcPr>
            <w:tcW w:w="766" w:type="pct"/>
            <w:tcBorders>
              <w:top w:val="single" w:sz="4" w:space="0" w:color="auto"/>
              <w:left w:val="single" w:sz="4" w:space="0" w:color="auto"/>
              <w:bottom w:val="single" w:sz="4" w:space="0" w:color="auto"/>
              <w:right w:val="single" w:sz="4" w:space="0" w:color="auto"/>
            </w:tcBorders>
            <w:shd w:val="clear" w:color="auto" w:fill="auto"/>
          </w:tcPr>
          <w:p w:rsidR="00734751" w:rsidRPr="006F2A30" w:rsidRDefault="00734751" w:rsidP="003142A2">
            <w:pPr>
              <w:pStyle w:val="TblTextCenter"/>
              <w:rPr>
                <w:sz w:val="18"/>
                <w:szCs w:val="18"/>
              </w:rPr>
            </w:pPr>
            <w:proofErr w:type="spellStart"/>
            <w:r w:rsidRPr="006F2A30">
              <w:rPr>
                <w:sz w:val="18"/>
                <w:szCs w:val="18"/>
              </w:rPr>
              <w:t>Toujeo</w:t>
            </w:r>
            <w:proofErr w:type="spellEnd"/>
          </w:p>
        </w:tc>
        <w:tc>
          <w:tcPr>
            <w:tcW w:w="767" w:type="pct"/>
            <w:tcBorders>
              <w:top w:val="single" w:sz="4" w:space="0" w:color="auto"/>
              <w:left w:val="single" w:sz="4" w:space="0" w:color="auto"/>
              <w:bottom w:val="single" w:sz="4" w:space="0" w:color="auto"/>
              <w:right w:val="single" w:sz="4" w:space="0" w:color="auto"/>
            </w:tcBorders>
            <w:shd w:val="clear" w:color="auto" w:fill="auto"/>
          </w:tcPr>
          <w:p w:rsidR="00734751" w:rsidRPr="006F2A30" w:rsidRDefault="00734751" w:rsidP="003142A2">
            <w:pPr>
              <w:pStyle w:val="TblTextCenter"/>
              <w:rPr>
                <w:dstrike/>
                <w:sz w:val="18"/>
                <w:szCs w:val="18"/>
              </w:rPr>
            </w:pPr>
            <w:proofErr w:type="spellStart"/>
            <w:r w:rsidRPr="006F2A30">
              <w:rPr>
                <w:sz w:val="18"/>
                <w:szCs w:val="18"/>
              </w:rPr>
              <w:t>IGlar</w:t>
            </w:r>
            <w:proofErr w:type="spellEnd"/>
          </w:p>
        </w:tc>
        <w:tc>
          <w:tcPr>
            <w:tcW w:w="766" w:type="pct"/>
            <w:tcBorders>
              <w:top w:val="single" w:sz="4" w:space="0" w:color="auto"/>
              <w:left w:val="single" w:sz="4" w:space="0" w:color="auto"/>
              <w:bottom w:val="single" w:sz="4" w:space="0" w:color="auto"/>
              <w:right w:val="single" w:sz="4" w:space="0" w:color="auto"/>
            </w:tcBorders>
            <w:shd w:val="clear" w:color="auto" w:fill="auto"/>
          </w:tcPr>
          <w:p w:rsidR="00734751" w:rsidRPr="006F2A30" w:rsidRDefault="00734751" w:rsidP="003142A2">
            <w:pPr>
              <w:pStyle w:val="TblTextCenter"/>
              <w:rPr>
                <w:sz w:val="18"/>
                <w:szCs w:val="18"/>
              </w:rPr>
            </w:pPr>
            <w:proofErr w:type="spellStart"/>
            <w:r w:rsidRPr="006F2A30">
              <w:rPr>
                <w:sz w:val="18"/>
                <w:szCs w:val="18"/>
              </w:rPr>
              <w:t>Toujeo</w:t>
            </w:r>
            <w:proofErr w:type="spellEnd"/>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34751" w:rsidRPr="006F2A30" w:rsidRDefault="00734751" w:rsidP="003142A2">
            <w:pPr>
              <w:pStyle w:val="TblTextCenter"/>
              <w:rPr>
                <w:dstrike/>
                <w:sz w:val="18"/>
                <w:szCs w:val="18"/>
              </w:rPr>
            </w:pPr>
            <w:proofErr w:type="spellStart"/>
            <w:r w:rsidRPr="006F2A30">
              <w:rPr>
                <w:sz w:val="18"/>
                <w:szCs w:val="18"/>
              </w:rPr>
              <w:t>IGlar</w:t>
            </w:r>
            <w:proofErr w:type="spellEnd"/>
          </w:p>
        </w:tc>
      </w:tr>
      <w:tr w:rsidR="00734751" w:rsidRPr="006F2A30" w:rsidTr="00824CF0">
        <w:trPr>
          <w:gridAfter w:val="1"/>
          <w:wAfter w:w="408" w:type="pct"/>
          <w:cantSplit/>
          <w:jc w:val="center"/>
        </w:trPr>
        <w:tc>
          <w:tcPr>
            <w:tcW w:w="767" w:type="pct"/>
            <w:gridSpan w:val="2"/>
            <w:tcBorders>
              <w:top w:val="single" w:sz="4" w:space="0" w:color="auto"/>
              <w:left w:val="single" w:sz="4" w:space="0" w:color="auto"/>
              <w:bottom w:val="single" w:sz="4" w:space="0" w:color="auto"/>
              <w:right w:val="single" w:sz="4" w:space="0" w:color="auto"/>
            </w:tcBorders>
            <w:shd w:val="clear" w:color="auto" w:fill="auto"/>
          </w:tcPr>
          <w:p w:rsidR="00734751" w:rsidRPr="006F2A30" w:rsidRDefault="00734751" w:rsidP="003142A2">
            <w:pPr>
              <w:pStyle w:val="TblTextCenter"/>
              <w:rPr>
                <w:sz w:val="18"/>
                <w:szCs w:val="18"/>
              </w:rPr>
            </w:pPr>
            <w:r w:rsidRPr="006F2A30">
              <w:rPr>
                <w:sz w:val="18"/>
                <w:szCs w:val="18"/>
              </w:rPr>
              <w:t xml:space="preserve"> 59.3</w:t>
            </w:r>
          </w:p>
          <w:p w:rsidR="00734751" w:rsidRPr="006F2A30" w:rsidRDefault="00734751" w:rsidP="003142A2">
            <w:pPr>
              <w:pStyle w:val="TblTextCenter"/>
              <w:rPr>
                <w:sz w:val="18"/>
                <w:szCs w:val="18"/>
                <w:lang w:val="fr-FR" w:eastAsia="fr-FR"/>
              </w:rPr>
            </w:pPr>
            <w:r w:rsidRPr="006F2A30">
              <w:rPr>
                <w:sz w:val="18"/>
                <w:szCs w:val="18"/>
              </w:rPr>
              <w:t xml:space="preserve">(163/273) </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734751" w:rsidRPr="006F2A30" w:rsidRDefault="00734751" w:rsidP="003142A2">
            <w:pPr>
              <w:pStyle w:val="TblTextCenter"/>
              <w:rPr>
                <w:sz w:val="18"/>
                <w:szCs w:val="18"/>
              </w:rPr>
            </w:pPr>
            <w:r w:rsidRPr="006F2A30">
              <w:rPr>
                <w:sz w:val="18"/>
                <w:szCs w:val="18"/>
              </w:rPr>
              <w:t>56.0</w:t>
            </w:r>
          </w:p>
          <w:p w:rsidR="00734751" w:rsidRPr="006F2A30" w:rsidRDefault="00734751" w:rsidP="003142A2">
            <w:pPr>
              <w:pStyle w:val="TblTextCenter"/>
              <w:rPr>
                <w:sz w:val="18"/>
                <w:szCs w:val="18"/>
                <w:lang w:val="fr-FR" w:eastAsia="fr-FR"/>
              </w:rPr>
            </w:pPr>
            <w:r w:rsidRPr="006F2A30">
              <w:rPr>
                <w:sz w:val="18"/>
                <w:szCs w:val="18"/>
              </w:rPr>
              <w:t xml:space="preserve">(153/273) </w:t>
            </w:r>
            <w:r w:rsidRPr="006F2A30">
              <w:rPr>
                <w:sz w:val="18"/>
                <w:szCs w:val="18"/>
                <w:lang w:val="fr-FR" w:eastAsia="fr-FR"/>
              </w:rPr>
              <w:t xml:space="preserve"> </w:t>
            </w:r>
          </w:p>
        </w:tc>
        <w:tc>
          <w:tcPr>
            <w:tcW w:w="766" w:type="pct"/>
            <w:tcBorders>
              <w:top w:val="single" w:sz="4" w:space="0" w:color="auto"/>
              <w:left w:val="single" w:sz="4" w:space="0" w:color="auto"/>
              <w:bottom w:val="single" w:sz="4" w:space="0" w:color="auto"/>
              <w:right w:val="single" w:sz="4" w:space="0" w:color="auto"/>
            </w:tcBorders>
            <w:shd w:val="clear" w:color="auto" w:fill="auto"/>
          </w:tcPr>
          <w:p w:rsidR="00734751" w:rsidRPr="006F2A30" w:rsidRDefault="00734751" w:rsidP="003142A2">
            <w:pPr>
              <w:pStyle w:val="TblTextCenter"/>
              <w:rPr>
                <w:sz w:val="18"/>
                <w:szCs w:val="18"/>
              </w:rPr>
            </w:pPr>
            <w:r w:rsidRPr="006F2A30">
              <w:rPr>
                <w:sz w:val="18"/>
                <w:szCs w:val="18"/>
              </w:rPr>
              <w:t>36.1</w:t>
            </w:r>
          </w:p>
          <w:p w:rsidR="00734751" w:rsidRPr="006F2A30" w:rsidRDefault="00734751" w:rsidP="003142A2">
            <w:pPr>
              <w:pStyle w:val="TblTextCenter"/>
              <w:rPr>
                <w:sz w:val="18"/>
                <w:szCs w:val="18"/>
              </w:rPr>
            </w:pPr>
            <w:r w:rsidRPr="006F2A30">
              <w:rPr>
                <w:sz w:val="18"/>
                <w:szCs w:val="18"/>
              </w:rPr>
              <w:t xml:space="preserve">(146/404) </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734751" w:rsidRPr="006F2A30" w:rsidRDefault="00734751" w:rsidP="003142A2">
            <w:pPr>
              <w:pStyle w:val="TblTextCenter"/>
              <w:rPr>
                <w:sz w:val="18"/>
                <w:szCs w:val="18"/>
              </w:rPr>
            </w:pPr>
            <w:r w:rsidRPr="006F2A30">
              <w:rPr>
                <w:sz w:val="18"/>
                <w:szCs w:val="18"/>
              </w:rPr>
              <w:t>46.0</w:t>
            </w:r>
          </w:p>
          <w:p w:rsidR="00734751" w:rsidRPr="006F2A30" w:rsidRDefault="00734751" w:rsidP="003142A2">
            <w:pPr>
              <w:pStyle w:val="TblTextCenter"/>
              <w:rPr>
                <w:sz w:val="18"/>
                <w:szCs w:val="18"/>
              </w:rPr>
            </w:pPr>
            <w:r w:rsidRPr="006F2A30">
              <w:rPr>
                <w:sz w:val="18"/>
                <w:szCs w:val="18"/>
              </w:rPr>
              <w:t xml:space="preserve">184/400 </w:t>
            </w:r>
          </w:p>
        </w:tc>
        <w:tc>
          <w:tcPr>
            <w:tcW w:w="766" w:type="pct"/>
            <w:tcBorders>
              <w:top w:val="single" w:sz="4" w:space="0" w:color="auto"/>
              <w:left w:val="single" w:sz="4" w:space="0" w:color="auto"/>
              <w:bottom w:val="single" w:sz="4" w:space="0" w:color="auto"/>
              <w:right w:val="single" w:sz="4" w:space="0" w:color="auto"/>
            </w:tcBorders>
            <w:shd w:val="clear" w:color="auto" w:fill="auto"/>
          </w:tcPr>
          <w:p w:rsidR="00734751" w:rsidRPr="006F2A30" w:rsidRDefault="00734751" w:rsidP="003142A2">
            <w:pPr>
              <w:pStyle w:val="TblTextCenter"/>
              <w:rPr>
                <w:sz w:val="18"/>
                <w:szCs w:val="18"/>
              </w:rPr>
            </w:pPr>
            <w:r w:rsidRPr="006F2A30">
              <w:rPr>
                <w:sz w:val="18"/>
                <w:szCs w:val="18"/>
              </w:rPr>
              <w:t>18.4</w:t>
            </w:r>
          </w:p>
          <w:p w:rsidR="00734751" w:rsidRPr="006F2A30" w:rsidRDefault="00734751" w:rsidP="003142A2">
            <w:pPr>
              <w:pStyle w:val="TblTextCenter"/>
              <w:rPr>
                <w:sz w:val="18"/>
                <w:szCs w:val="18"/>
              </w:rPr>
            </w:pPr>
            <w:r w:rsidRPr="006F2A30">
              <w:rPr>
                <w:sz w:val="18"/>
                <w:szCs w:val="18"/>
              </w:rPr>
              <w:t xml:space="preserve">(154/835) </w:t>
            </w: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734751" w:rsidRPr="006F2A30" w:rsidRDefault="00734751" w:rsidP="003142A2">
            <w:pPr>
              <w:pStyle w:val="TblTextCenter"/>
              <w:rPr>
                <w:sz w:val="18"/>
                <w:szCs w:val="18"/>
              </w:rPr>
            </w:pPr>
            <w:r w:rsidRPr="006F2A30">
              <w:rPr>
                <w:sz w:val="18"/>
                <w:szCs w:val="18"/>
              </w:rPr>
              <w:t>22.5</w:t>
            </w:r>
          </w:p>
          <w:p w:rsidR="00734751" w:rsidRPr="006F2A30" w:rsidRDefault="00734751" w:rsidP="003142A2">
            <w:pPr>
              <w:pStyle w:val="TblTextCenter"/>
              <w:rPr>
                <w:sz w:val="18"/>
                <w:szCs w:val="18"/>
              </w:rPr>
            </w:pPr>
            <w:r w:rsidRPr="006F2A30">
              <w:rPr>
                <w:sz w:val="18"/>
                <w:szCs w:val="18"/>
              </w:rPr>
              <w:t xml:space="preserve">(188/835) </w:t>
            </w:r>
          </w:p>
        </w:tc>
      </w:tr>
      <w:tr w:rsidR="00734751" w:rsidRPr="006F2A30" w:rsidTr="00824CF0">
        <w:trPr>
          <w:gridAfter w:val="1"/>
          <w:wAfter w:w="408" w:type="pct"/>
          <w:cantSplit/>
          <w:jc w:val="center"/>
        </w:trPr>
        <w:tc>
          <w:tcPr>
            <w:tcW w:w="1534" w:type="pct"/>
            <w:gridSpan w:val="3"/>
            <w:tcBorders>
              <w:top w:val="single" w:sz="4" w:space="0" w:color="auto"/>
              <w:left w:val="single" w:sz="4" w:space="0" w:color="auto"/>
              <w:bottom w:val="single" w:sz="4" w:space="0" w:color="auto"/>
              <w:right w:val="single" w:sz="4" w:space="0" w:color="auto"/>
            </w:tcBorders>
            <w:shd w:val="clear" w:color="auto" w:fill="auto"/>
          </w:tcPr>
          <w:p w:rsidR="00734751" w:rsidRPr="00325FBD" w:rsidRDefault="00734751" w:rsidP="003142A2">
            <w:pPr>
              <w:pStyle w:val="TblTextCenter"/>
              <w:rPr>
                <w:sz w:val="18"/>
                <w:szCs w:val="18"/>
              </w:rPr>
            </w:pPr>
            <w:r w:rsidRPr="00325FBD">
              <w:rPr>
                <w:sz w:val="18"/>
                <w:szCs w:val="18"/>
              </w:rPr>
              <w:t>RR: 1.06 [0.92;1.23]</w:t>
            </w:r>
          </w:p>
        </w:tc>
        <w:tc>
          <w:tcPr>
            <w:tcW w:w="1533" w:type="pct"/>
            <w:gridSpan w:val="2"/>
            <w:tcBorders>
              <w:top w:val="single" w:sz="4" w:space="0" w:color="auto"/>
              <w:left w:val="single" w:sz="4" w:space="0" w:color="auto"/>
              <w:bottom w:val="single" w:sz="4" w:space="0" w:color="auto"/>
              <w:right w:val="single" w:sz="4" w:space="0" w:color="auto"/>
            </w:tcBorders>
            <w:shd w:val="clear" w:color="auto" w:fill="auto"/>
          </w:tcPr>
          <w:p w:rsidR="00734751" w:rsidRPr="00325FBD" w:rsidRDefault="00734751" w:rsidP="003142A2">
            <w:pPr>
              <w:pStyle w:val="TblTextCenter"/>
              <w:rPr>
                <w:sz w:val="18"/>
                <w:szCs w:val="18"/>
              </w:rPr>
            </w:pPr>
            <w:r w:rsidRPr="00325FBD">
              <w:rPr>
                <w:sz w:val="18"/>
                <w:szCs w:val="18"/>
              </w:rPr>
              <w:t>RR: 0.79 [0.67;0.93]</w:t>
            </w:r>
          </w:p>
        </w:tc>
        <w:tc>
          <w:tcPr>
            <w:tcW w:w="1525" w:type="pct"/>
            <w:gridSpan w:val="2"/>
            <w:tcBorders>
              <w:top w:val="single" w:sz="4" w:space="0" w:color="auto"/>
              <w:left w:val="single" w:sz="4" w:space="0" w:color="auto"/>
              <w:bottom w:val="single" w:sz="4" w:space="0" w:color="auto"/>
              <w:right w:val="single" w:sz="4" w:space="0" w:color="auto"/>
            </w:tcBorders>
            <w:shd w:val="clear" w:color="auto" w:fill="auto"/>
          </w:tcPr>
          <w:p w:rsidR="00734751" w:rsidRPr="00325FBD" w:rsidRDefault="00734751" w:rsidP="003142A2">
            <w:pPr>
              <w:pStyle w:val="TblTextCenter"/>
              <w:rPr>
                <w:sz w:val="18"/>
                <w:szCs w:val="18"/>
              </w:rPr>
            </w:pPr>
            <w:r w:rsidRPr="00325FBD">
              <w:rPr>
                <w:sz w:val="18"/>
                <w:szCs w:val="18"/>
              </w:rPr>
              <w:t>RR: 0.82 [0.68;0.99]</w:t>
            </w:r>
          </w:p>
        </w:tc>
      </w:tr>
      <w:tr w:rsidR="00D87AAC" w:rsidRPr="006F2A30" w:rsidTr="00824CF0">
        <w:trPr>
          <w:gridBefore w:val="1"/>
          <w:wBefore w:w="385" w:type="pct"/>
          <w:cantSplit/>
          <w:jc w:val="center"/>
        </w:trPr>
        <w:tc>
          <w:tcPr>
            <w:tcW w:w="4615" w:type="pct"/>
            <w:gridSpan w:val="7"/>
            <w:tcBorders>
              <w:top w:val="single" w:sz="12" w:space="0" w:color="auto"/>
            </w:tcBorders>
            <w:shd w:val="clear" w:color="auto" w:fill="auto"/>
          </w:tcPr>
          <w:p w:rsidR="00824CF0" w:rsidRDefault="00824CF0" w:rsidP="00824CF0">
            <w:pPr>
              <w:pStyle w:val="TblFigFootnote"/>
            </w:pPr>
            <w:proofErr w:type="gramStart"/>
            <w:r>
              <w:rPr>
                <w:vertAlign w:val="superscript"/>
              </w:rPr>
              <w:t>a</w:t>
            </w:r>
            <w:proofErr w:type="gramEnd"/>
            <w:r>
              <w:t xml:space="preserve"> Nocturnal </w:t>
            </w:r>
            <w:proofErr w:type="spellStart"/>
            <w:r>
              <w:t>hypoglycaemia</w:t>
            </w:r>
            <w:proofErr w:type="spellEnd"/>
            <w:r>
              <w:t>: Episode that occurred between 00:00 and 05:59 hours.</w:t>
            </w:r>
          </w:p>
          <w:p w:rsidR="00824CF0" w:rsidRDefault="00824CF0" w:rsidP="00824CF0">
            <w:pPr>
              <w:pStyle w:val="TblFigFootnote"/>
            </w:pPr>
            <w:proofErr w:type="spellStart"/>
            <w:r>
              <w:t>IGlar</w:t>
            </w:r>
            <w:proofErr w:type="spellEnd"/>
            <w:r>
              <w:t xml:space="preserve">: insulin </w:t>
            </w:r>
            <w:proofErr w:type="spellStart"/>
            <w:r>
              <w:t>glargine</w:t>
            </w:r>
            <w:proofErr w:type="spellEnd"/>
            <w:r>
              <w:t xml:space="preserve"> 100 units/mL</w:t>
            </w:r>
          </w:p>
          <w:p w:rsidR="00D87AAC" w:rsidRPr="00824CF0" w:rsidRDefault="00824CF0" w:rsidP="003142A2">
            <w:pPr>
              <w:pStyle w:val="TblFigFootnote"/>
            </w:pPr>
            <w:r>
              <w:t>RR: relative risk (95% CI)</w:t>
            </w:r>
          </w:p>
        </w:tc>
      </w:tr>
    </w:tbl>
    <w:p w:rsidR="00E14414" w:rsidRPr="008F304F" w:rsidRDefault="006F2A30" w:rsidP="00D41857">
      <w:pPr>
        <w:pStyle w:val="Heading2"/>
        <w:numPr>
          <w:ilvl w:val="0"/>
          <w:numId w:val="0"/>
        </w:numPr>
        <w:ind w:left="680" w:hanging="680"/>
      </w:pPr>
      <w:r>
        <w:t>T</w:t>
      </w:r>
      <w:r w:rsidR="00E14414" w:rsidRPr="008F304F">
        <w:t>ime of administration</w:t>
      </w:r>
    </w:p>
    <w:p w:rsidR="00A17896" w:rsidRPr="00493E19" w:rsidRDefault="00E14414" w:rsidP="00B931D9">
      <w:pPr>
        <w:rPr>
          <w:color w:val="auto"/>
        </w:rPr>
      </w:pPr>
      <w:r w:rsidRPr="00493E19">
        <w:rPr>
          <w:color w:val="auto"/>
        </w:rPr>
        <w:t xml:space="preserve">The safety and efficacy of </w:t>
      </w:r>
      <w:proofErr w:type="spellStart"/>
      <w:r w:rsidR="00BB0644" w:rsidRPr="00493E19">
        <w:rPr>
          <w:color w:val="auto"/>
        </w:rPr>
        <w:t>Toujeo</w:t>
      </w:r>
      <w:proofErr w:type="spellEnd"/>
      <w:r w:rsidRPr="00493E19">
        <w:rPr>
          <w:color w:val="auto"/>
        </w:rPr>
        <w:t xml:space="preserve"> administered with a fixed or </w:t>
      </w:r>
      <w:r w:rsidR="00B931D9" w:rsidRPr="00493E19">
        <w:rPr>
          <w:color w:val="auto"/>
        </w:rPr>
        <w:t>flexible</w:t>
      </w:r>
      <w:r w:rsidRPr="00493E19">
        <w:rPr>
          <w:color w:val="auto"/>
        </w:rPr>
        <w:t xml:space="preserve"> time of administration were also evaluated in 2 randomized, open-label clinical studies for 3 months. Type 2 diabetic patients (n=194) received </w:t>
      </w:r>
      <w:proofErr w:type="spellStart"/>
      <w:r w:rsidR="00BB0644" w:rsidRPr="00493E19">
        <w:rPr>
          <w:color w:val="auto"/>
        </w:rPr>
        <w:t>Toujeo</w:t>
      </w:r>
      <w:proofErr w:type="spellEnd"/>
      <w:r w:rsidRPr="00493E19">
        <w:rPr>
          <w:color w:val="auto"/>
        </w:rPr>
        <w:t xml:space="preserve"> once daily in the evening, either at the same time of the day (fixed time of administration) or within 3 hours before or after the usual time of administration (</w:t>
      </w:r>
      <w:r w:rsidR="00B931D9" w:rsidRPr="00493E19">
        <w:rPr>
          <w:color w:val="auto"/>
        </w:rPr>
        <w:t>flexible</w:t>
      </w:r>
      <w:r w:rsidRPr="00493E19">
        <w:rPr>
          <w:color w:val="auto"/>
        </w:rPr>
        <w:t xml:space="preserve"> time of adminis</w:t>
      </w:r>
      <w:r w:rsidR="004951D0" w:rsidRPr="00493E19">
        <w:rPr>
          <w:color w:val="auto"/>
        </w:rPr>
        <w:t xml:space="preserve">tration). </w:t>
      </w:r>
    </w:p>
    <w:p w:rsidR="00E14414" w:rsidRPr="00755AEB" w:rsidRDefault="00A85B53" w:rsidP="00B931D9">
      <w:pPr>
        <w:rPr>
          <w:dstrike/>
          <w:color w:val="auto"/>
        </w:rPr>
      </w:pPr>
      <w:r w:rsidRPr="00493E19">
        <w:rPr>
          <w:color w:val="auto"/>
        </w:rPr>
        <w:t xml:space="preserve">Administration with a flexible dosing time had no effect on </w:t>
      </w:r>
      <w:proofErr w:type="spellStart"/>
      <w:r w:rsidRPr="00493E19">
        <w:rPr>
          <w:color w:val="auto"/>
        </w:rPr>
        <w:t>glycaemic</w:t>
      </w:r>
      <w:proofErr w:type="spellEnd"/>
      <w:r w:rsidRPr="00493E19">
        <w:rPr>
          <w:color w:val="auto"/>
        </w:rPr>
        <w:t xml:space="preserve"> control and the incidence of </w:t>
      </w:r>
      <w:proofErr w:type="spellStart"/>
      <w:r w:rsidRPr="00493E19">
        <w:rPr>
          <w:color w:val="auto"/>
        </w:rPr>
        <w:t>hypoglycaemia</w:t>
      </w:r>
      <w:proofErr w:type="spellEnd"/>
      <w:r w:rsidR="00254B2D" w:rsidRPr="00493E19">
        <w:rPr>
          <w:color w:val="auto"/>
        </w:rPr>
        <w:t>.</w:t>
      </w:r>
    </w:p>
    <w:p w:rsidR="00FD757B" w:rsidRDefault="00FD757B" w:rsidP="00FD757B">
      <w:pPr>
        <w:pStyle w:val="Heading2"/>
        <w:numPr>
          <w:ilvl w:val="0"/>
          <w:numId w:val="0"/>
        </w:numPr>
      </w:pPr>
      <w:bookmarkStart w:id="24" w:name="_Toc381269214"/>
      <w:r w:rsidRPr="00845A92">
        <w:t>origin trial (study HOE901/4032)</w:t>
      </w:r>
    </w:p>
    <w:p w:rsidR="00FD757B" w:rsidRPr="00845A92" w:rsidRDefault="00FD757B" w:rsidP="00FD757B">
      <w:pPr>
        <w:rPr>
          <w:color w:val="auto"/>
        </w:rPr>
      </w:pPr>
      <w:r w:rsidRPr="00845A92">
        <w:rPr>
          <w:color w:val="auto"/>
        </w:rPr>
        <w:t xml:space="preserve">The ORIGIN (Outcome Reduction with Initial </w:t>
      </w:r>
      <w:proofErr w:type="spellStart"/>
      <w:r w:rsidRPr="00845A92">
        <w:rPr>
          <w:color w:val="auto"/>
        </w:rPr>
        <w:t>Gla</w:t>
      </w:r>
      <w:r w:rsidR="002E661F" w:rsidRPr="00845A92">
        <w:rPr>
          <w:color w:val="auto"/>
        </w:rPr>
        <w:t>rgine</w:t>
      </w:r>
      <w:proofErr w:type="spellEnd"/>
      <w:r w:rsidR="002E661F" w:rsidRPr="00845A92">
        <w:rPr>
          <w:color w:val="auto"/>
        </w:rPr>
        <w:t xml:space="preserve"> In</w:t>
      </w:r>
      <w:r w:rsidRPr="00845A92">
        <w:rPr>
          <w:color w:val="auto"/>
        </w:rPr>
        <w:t>tervention) trial was an international,</w:t>
      </w:r>
      <w:r w:rsidR="000E3564">
        <w:rPr>
          <w:color w:val="auto"/>
        </w:rPr>
        <w:t xml:space="preserve"> </w:t>
      </w:r>
      <w:r w:rsidRPr="00845A92">
        <w:rPr>
          <w:color w:val="auto"/>
        </w:rPr>
        <w:t xml:space="preserve">multicenter, randomized, open-label, 2x2 factorial design study conducted in 12,537 participants with impaired fasting glucose (IFG), impaired glucose tolerance (IGT) or early type 2 diabetes mellitus and evidence of CV disease. Participants were randomized to receive Lantus (n=6264) </w:t>
      </w:r>
      <w:r w:rsidRPr="00845A92">
        <w:rPr>
          <w:color w:val="auto"/>
        </w:rPr>
        <w:lastRenderedPageBreak/>
        <w:t>(participants with IGF and/or IGT = 11.7%, early type 2 diabetes mellitus = 88.3%), titrated to a FPG of 5.3mmol/L or less, or Standard Care (n=6273) (participants with IGF and/or IGT = 11.4%, early type 2 diabetes mellitus = 88.6%). At baseline participants had a mean age of 63.5 years, mean duration of diabetes of 5.8 years in those with pre-existing diabetes, and median HbA1c of 6.4%. Median duration of follow-up was approximately 6.2 years. At the end of the trial 81% of participants randomized to take Lantus were still on treatment.</w:t>
      </w:r>
    </w:p>
    <w:p w:rsidR="00FD757B" w:rsidRPr="00845A92" w:rsidRDefault="00FD757B" w:rsidP="00FD757B">
      <w:pPr>
        <w:rPr>
          <w:color w:val="auto"/>
        </w:rPr>
      </w:pPr>
      <w:r w:rsidRPr="00845A92">
        <w:rPr>
          <w:color w:val="auto"/>
        </w:rPr>
        <w:t>The primary objective of the tria</w:t>
      </w:r>
      <w:r w:rsidR="009E2615">
        <w:rPr>
          <w:color w:val="auto"/>
        </w:rPr>
        <w:t>l was to demonstrate that Lantus</w:t>
      </w:r>
      <w:r w:rsidRPr="00845A92">
        <w:rPr>
          <w:color w:val="auto"/>
        </w:rPr>
        <w:t xml:space="preserve"> use could significantly lower the risk of major cardiovascular endpoints compared to standard care. There were two co-primary composite efficacy outcomes. The first one was the time to the first occurrence of CV death, nonfatal myocardial infarction (MI), or nonfatal stroke, and the second one was the time to the first occurrence of any of the first co-primary events, or revascularization procedure (cardiac, carotid, or peripheral), or hospitalization for heart failure.</w:t>
      </w:r>
    </w:p>
    <w:p w:rsidR="00FD757B" w:rsidRPr="00845A92" w:rsidRDefault="00FD757B" w:rsidP="00FD757B">
      <w:pPr>
        <w:rPr>
          <w:color w:val="auto"/>
        </w:rPr>
      </w:pPr>
      <w:r w:rsidRPr="00845A92">
        <w:rPr>
          <w:color w:val="auto"/>
        </w:rPr>
        <w:t>Secondary endpoints were:</w:t>
      </w:r>
    </w:p>
    <w:p w:rsidR="00FD757B" w:rsidRPr="00845A92" w:rsidRDefault="00FD757B" w:rsidP="00325FBD">
      <w:pPr>
        <w:numPr>
          <w:ilvl w:val="0"/>
          <w:numId w:val="12"/>
        </w:numPr>
        <w:spacing w:before="0"/>
        <w:rPr>
          <w:color w:val="auto"/>
        </w:rPr>
      </w:pPr>
      <w:r w:rsidRPr="00845A92">
        <w:rPr>
          <w:color w:val="auto"/>
        </w:rPr>
        <w:t>all-cause mortality</w:t>
      </w:r>
    </w:p>
    <w:p w:rsidR="00FD757B" w:rsidRPr="00845A92" w:rsidRDefault="00FD757B" w:rsidP="00325FBD">
      <w:pPr>
        <w:numPr>
          <w:ilvl w:val="0"/>
          <w:numId w:val="12"/>
        </w:numPr>
        <w:spacing w:before="0"/>
        <w:rPr>
          <w:color w:val="auto"/>
        </w:rPr>
      </w:pPr>
      <w:r w:rsidRPr="00845A92">
        <w:rPr>
          <w:color w:val="auto"/>
        </w:rPr>
        <w:t>a composite microvascular outcome</w:t>
      </w:r>
    </w:p>
    <w:p w:rsidR="00FD757B" w:rsidRPr="00845A92" w:rsidRDefault="00FD757B" w:rsidP="00325FBD">
      <w:pPr>
        <w:numPr>
          <w:ilvl w:val="0"/>
          <w:numId w:val="12"/>
        </w:numPr>
        <w:spacing w:before="0"/>
        <w:rPr>
          <w:color w:val="auto"/>
        </w:rPr>
      </w:pPr>
      <w:r w:rsidRPr="00845A92">
        <w:rPr>
          <w:color w:val="auto"/>
        </w:rPr>
        <w:t>development of type 2 diabetes, in participants with IGT and/or IFG at baseline</w:t>
      </w:r>
    </w:p>
    <w:p w:rsidR="00FD757B" w:rsidRPr="00845A92" w:rsidRDefault="00FD757B" w:rsidP="00FD757B">
      <w:pPr>
        <w:rPr>
          <w:color w:val="auto"/>
        </w:rPr>
      </w:pPr>
      <w:r w:rsidRPr="00845A92">
        <w:rPr>
          <w:color w:val="auto"/>
        </w:rPr>
        <w:t xml:space="preserve">After </w:t>
      </w:r>
      <w:proofErr w:type="gramStart"/>
      <w:r w:rsidRPr="00845A92">
        <w:rPr>
          <w:color w:val="auto"/>
        </w:rPr>
        <w:t>a median</w:t>
      </w:r>
      <w:proofErr w:type="gramEnd"/>
      <w:r w:rsidRPr="00845A92">
        <w:rPr>
          <w:color w:val="auto"/>
        </w:rPr>
        <w:t xml:space="preserve"> treatme</w:t>
      </w:r>
      <w:r w:rsidR="009E2615">
        <w:rPr>
          <w:color w:val="auto"/>
        </w:rPr>
        <w:t>nt duration of 6.2 years, Lantus</w:t>
      </w:r>
      <w:r w:rsidRPr="00845A92">
        <w:rPr>
          <w:color w:val="auto"/>
        </w:rPr>
        <w:t xml:space="preserve"> did not alter the relative risk for CV disease and CV mortality when compared with standard care. There were no si</w:t>
      </w:r>
      <w:r w:rsidR="000E3564">
        <w:rPr>
          <w:color w:val="auto"/>
        </w:rPr>
        <w:t>gnificant differences between Lantus</w:t>
      </w:r>
      <w:r w:rsidRPr="00845A92">
        <w:rPr>
          <w:color w:val="auto"/>
        </w:rPr>
        <w:t xml:space="preserve"> and standard care for the two co-primary outcomes, for any individual components of the co-primary outcomes, for all-cause mortality or for the composite microvascular outcomes. The results are displayed in the table below.</w:t>
      </w:r>
    </w:p>
    <w:p w:rsidR="00FD757B" w:rsidRPr="00845A92" w:rsidRDefault="00FD757B" w:rsidP="00325FBD">
      <w:pPr>
        <w:pStyle w:val="Caption"/>
      </w:pPr>
      <w:r w:rsidRPr="00845A92">
        <w:t xml:space="preserve"> Table </w:t>
      </w:r>
      <w:r w:rsidR="0069078C">
        <w:fldChar w:fldCharType="begin"/>
      </w:r>
      <w:r w:rsidR="0069078C">
        <w:instrText xml:space="preserve"> SEQ Table \* ARABIC </w:instrText>
      </w:r>
      <w:r w:rsidR="0069078C">
        <w:fldChar w:fldCharType="separate"/>
      </w:r>
      <w:r w:rsidR="002C5256">
        <w:rPr>
          <w:noProof/>
        </w:rPr>
        <w:t>4</w:t>
      </w:r>
      <w:r w:rsidR="0069078C">
        <w:fldChar w:fldCharType="end"/>
      </w:r>
      <w:r w:rsidRPr="00845A92">
        <w:t xml:space="preserve"> ­ Origin Primary and Secondary Outcomes</w:t>
      </w:r>
    </w:p>
    <w:tbl>
      <w:tblPr>
        <w:tblW w:w="9790" w:type="dxa"/>
        <w:jc w:val="center"/>
        <w:tblBorders>
          <w:top w:val="single" w:sz="2" w:space="0" w:color="000000"/>
        </w:tblBorders>
        <w:tblLook w:val="01E0" w:firstRow="1" w:lastRow="1" w:firstColumn="1" w:lastColumn="1" w:noHBand="0" w:noVBand="0"/>
      </w:tblPr>
      <w:tblGrid>
        <w:gridCol w:w="2713"/>
        <w:gridCol w:w="2551"/>
        <w:gridCol w:w="2552"/>
        <w:gridCol w:w="1974"/>
      </w:tblGrid>
      <w:tr w:rsidR="00FD757B" w:rsidRPr="00845A92" w:rsidTr="00DA17AE">
        <w:trPr>
          <w:cantSplit/>
          <w:trHeight w:val="115"/>
          <w:tblHeader/>
          <w:jc w:val="center"/>
        </w:trPr>
        <w:tc>
          <w:tcPr>
            <w:tcW w:w="2713" w:type="dxa"/>
            <w:vMerge w:val="restart"/>
            <w:tcBorders>
              <w:top w:val="single" w:sz="4" w:space="0" w:color="000000"/>
            </w:tcBorders>
            <w:shd w:val="clear" w:color="auto" w:fill="auto"/>
          </w:tcPr>
          <w:p w:rsidR="00FD757B" w:rsidRPr="00845A92" w:rsidRDefault="00FD757B" w:rsidP="000025D0">
            <w:pPr>
              <w:pStyle w:val="TblHeadingCenter"/>
              <w:rPr>
                <w:lang w:val="en-US"/>
              </w:rPr>
            </w:pPr>
          </w:p>
        </w:tc>
        <w:tc>
          <w:tcPr>
            <w:tcW w:w="2551" w:type="dxa"/>
            <w:tcBorders>
              <w:top w:val="single" w:sz="4" w:space="0" w:color="000000"/>
              <w:bottom w:val="single" w:sz="4" w:space="0" w:color="000000"/>
            </w:tcBorders>
            <w:shd w:val="clear" w:color="auto" w:fill="auto"/>
          </w:tcPr>
          <w:p w:rsidR="00FD757B" w:rsidRPr="00845A92" w:rsidRDefault="00FD757B" w:rsidP="000025D0">
            <w:pPr>
              <w:pStyle w:val="TblHeadingCenter"/>
              <w:spacing w:after="0"/>
            </w:pPr>
            <w:r w:rsidRPr="00845A92">
              <w:t>Lantus</w:t>
            </w:r>
          </w:p>
          <w:p w:rsidR="00FD757B" w:rsidRPr="00845A92" w:rsidRDefault="00FD757B" w:rsidP="000025D0">
            <w:pPr>
              <w:pStyle w:val="TblHeadingCenter"/>
              <w:spacing w:after="0"/>
            </w:pPr>
            <w:r w:rsidRPr="00845A92">
              <w:t>N=6264</w:t>
            </w:r>
          </w:p>
        </w:tc>
        <w:tc>
          <w:tcPr>
            <w:tcW w:w="2552" w:type="dxa"/>
            <w:tcBorders>
              <w:top w:val="single" w:sz="4" w:space="0" w:color="000000"/>
              <w:bottom w:val="single" w:sz="4" w:space="0" w:color="000000"/>
            </w:tcBorders>
            <w:shd w:val="clear" w:color="auto" w:fill="auto"/>
          </w:tcPr>
          <w:p w:rsidR="00FD757B" w:rsidRPr="00845A92" w:rsidRDefault="00FD757B" w:rsidP="000025D0">
            <w:pPr>
              <w:pStyle w:val="TblHeadingCenter"/>
              <w:spacing w:after="0"/>
            </w:pPr>
            <w:r w:rsidRPr="00845A92">
              <w:t>Standard Care</w:t>
            </w:r>
          </w:p>
          <w:p w:rsidR="00FD757B" w:rsidRPr="00845A92" w:rsidRDefault="00FD757B" w:rsidP="000025D0">
            <w:pPr>
              <w:pStyle w:val="TblHeadingCenter"/>
              <w:spacing w:after="0"/>
            </w:pPr>
            <w:r w:rsidRPr="00845A92">
              <w:t>N=6273</w:t>
            </w:r>
          </w:p>
        </w:tc>
        <w:tc>
          <w:tcPr>
            <w:tcW w:w="1974" w:type="dxa"/>
            <w:tcBorders>
              <w:top w:val="single" w:sz="4" w:space="0" w:color="000000"/>
              <w:bottom w:val="single" w:sz="4" w:space="0" w:color="000000"/>
            </w:tcBorders>
            <w:shd w:val="clear" w:color="auto" w:fill="auto"/>
          </w:tcPr>
          <w:p w:rsidR="00FD757B" w:rsidRPr="00845A92" w:rsidRDefault="00FD757B" w:rsidP="000025D0">
            <w:pPr>
              <w:pStyle w:val="TblHeadingCenter"/>
              <w:spacing w:after="0"/>
            </w:pPr>
            <w:r w:rsidRPr="00845A92">
              <w:t>Lantus vs Standard Care</w:t>
            </w:r>
          </w:p>
        </w:tc>
      </w:tr>
      <w:tr w:rsidR="00FD757B" w:rsidRPr="00845A92" w:rsidTr="00DA17AE">
        <w:trPr>
          <w:cantSplit/>
          <w:trHeight w:val="115"/>
          <w:jc w:val="center"/>
        </w:trPr>
        <w:tc>
          <w:tcPr>
            <w:tcW w:w="2713" w:type="dxa"/>
            <w:vMerge/>
            <w:shd w:val="clear" w:color="auto" w:fill="auto"/>
          </w:tcPr>
          <w:p w:rsidR="00FD757B" w:rsidRPr="00845A92" w:rsidRDefault="00FD757B" w:rsidP="000025D0">
            <w:pPr>
              <w:pStyle w:val="TblTextCenter"/>
            </w:pPr>
          </w:p>
        </w:tc>
        <w:tc>
          <w:tcPr>
            <w:tcW w:w="2551" w:type="dxa"/>
            <w:tcBorders>
              <w:top w:val="single" w:sz="4" w:space="0" w:color="000000"/>
            </w:tcBorders>
            <w:shd w:val="clear" w:color="auto" w:fill="auto"/>
          </w:tcPr>
          <w:p w:rsidR="00FD757B" w:rsidRPr="00845A92" w:rsidRDefault="00FD757B" w:rsidP="000025D0">
            <w:pPr>
              <w:pStyle w:val="TblTextCenter"/>
            </w:pPr>
            <w:r w:rsidRPr="00845A92">
              <w:t>Participants with Events N (%)</w:t>
            </w:r>
          </w:p>
        </w:tc>
        <w:tc>
          <w:tcPr>
            <w:tcW w:w="2552" w:type="dxa"/>
            <w:tcBorders>
              <w:top w:val="single" w:sz="4" w:space="0" w:color="000000"/>
            </w:tcBorders>
            <w:shd w:val="clear" w:color="auto" w:fill="auto"/>
          </w:tcPr>
          <w:p w:rsidR="00FD757B" w:rsidRPr="00845A92" w:rsidRDefault="00FD757B" w:rsidP="000025D0">
            <w:pPr>
              <w:pStyle w:val="TblTextCenter"/>
            </w:pPr>
            <w:r w:rsidRPr="00845A92">
              <w:t>Participants with Events N (%)</w:t>
            </w:r>
          </w:p>
        </w:tc>
        <w:tc>
          <w:tcPr>
            <w:tcW w:w="1974" w:type="dxa"/>
            <w:tcBorders>
              <w:top w:val="single" w:sz="4" w:space="0" w:color="000000"/>
            </w:tcBorders>
            <w:shd w:val="clear" w:color="auto" w:fill="auto"/>
          </w:tcPr>
          <w:p w:rsidR="00FD757B" w:rsidRPr="00845A92" w:rsidRDefault="00FD757B" w:rsidP="000025D0">
            <w:pPr>
              <w:pStyle w:val="TblTextCenter"/>
            </w:pPr>
            <w:r w:rsidRPr="00845A92">
              <w:t>Hazard ratio (95% CI)</w:t>
            </w:r>
          </w:p>
        </w:tc>
      </w:tr>
      <w:tr w:rsidR="00FD757B" w:rsidRPr="00845A92" w:rsidTr="000025D0">
        <w:trPr>
          <w:cantSplit/>
          <w:trHeight w:val="115"/>
          <w:jc w:val="center"/>
        </w:trPr>
        <w:tc>
          <w:tcPr>
            <w:tcW w:w="9790" w:type="dxa"/>
            <w:gridSpan w:val="4"/>
            <w:shd w:val="clear" w:color="auto" w:fill="auto"/>
          </w:tcPr>
          <w:p w:rsidR="00FD757B" w:rsidRPr="00845A92" w:rsidRDefault="00FD757B" w:rsidP="000025D0">
            <w:pPr>
              <w:pStyle w:val="TblTextCenter"/>
              <w:jc w:val="left"/>
            </w:pPr>
            <w:r w:rsidRPr="00845A92">
              <w:rPr>
                <w:b/>
              </w:rPr>
              <w:t>Primary endpoints</w:t>
            </w:r>
          </w:p>
        </w:tc>
      </w:tr>
      <w:tr w:rsidR="00FD757B" w:rsidRPr="00845A92" w:rsidTr="00DA17AE">
        <w:trPr>
          <w:cantSplit/>
          <w:trHeight w:val="115"/>
          <w:jc w:val="center"/>
        </w:trPr>
        <w:tc>
          <w:tcPr>
            <w:tcW w:w="2713" w:type="dxa"/>
            <w:shd w:val="clear" w:color="auto" w:fill="auto"/>
          </w:tcPr>
          <w:p w:rsidR="00FD757B" w:rsidRPr="00845A92" w:rsidRDefault="00FD757B" w:rsidP="00DA17AE">
            <w:pPr>
              <w:pStyle w:val="TblTextCenter"/>
            </w:pPr>
            <w:r w:rsidRPr="00845A92">
              <w:t>CV death, nonfatal myocardial</w:t>
            </w:r>
            <w:r w:rsidR="00DA17AE">
              <w:t xml:space="preserve"> </w:t>
            </w:r>
            <w:r w:rsidRPr="00845A92">
              <w:t>infarction (MI), or nonfatal stroke</w:t>
            </w:r>
          </w:p>
        </w:tc>
        <w:tc>
          <w:tcPr>
            <w:tcW w:w="2551" w:type="dxa"/>
            <w:shd w:val="clear" w:color="auto" w:fill="auto"/>
          </w:tcPr>
          <w:p w:rsidR="00FD757B" w:rsidRPr="00845A92" w:rsidRDefault="00FD757B" w:rsidP="000025D0">
            <w:pPr>
              <w:pStyle w:val="TblTextCenter"/>
            </w:pPr>
            <w:r w:rsidRPr="00845A92">
              <w:t>1041 (16.6)</w:t>
            </w:r>
          </w:p>
        </w:tc>
        <w:tc>
          <w:tcPr>
            <w:tcW w:w="2552" w:type="dxa"/>
            <w:shd w:val="clear" w:color="auto" w:fill="auto"/>
          </w:tcPr>
          <w:p w:rsidR="00FD757B" w:rsidRPr="00845A92" w:rsidRDefault="00FD757B" w:rsidP="000025D0">
            <w:pPr>
              <w:pStyle w:val="TblTextCenter"/>
            </w:pPr>
            <w:r w:rsidRPr="00845A92">
              <w:t>1013 (16.1)</w:t>
            </w:r>
          </w:p>
        </w:tc>
        <w:tc>
          <w:tcPr>
            <w:tcW w:w="1974" w:type="dxa"/>
            <w:shd w:val="clear" w:color="auto" w:fill="auto"/>
          </w:tcPr>
          <w:p w:rsidR="00FD757B" w:rsidRPr="00845A92" w:rsidRDefault="00FD757B" w:rsidP="000025D0">
            <w:pPr>
              <w:pStyle w:val="TblTextCenter"/>
            </w:pPr>
            <w:r w:rsidRPr="00845A92">
              <w:t>1.02 (0.94, 1.11)</w:t>
            </w:r>
          </w:p>
        </w:tc>
      </w:tr>
      <w:tr w:rsidR="00FD757B" w:rsidRPr="00845A92" w:rsidTr="00DA17AE">
        <w:trPr>
          <w:cantSplit/>
          <w:trHeight w:val="115"/>
          <w:jc w:val="center"/>
        </w:trPr>
        <w:tc>
          <w:tcPr>
            <w:tcW w:w="2713" w:type="dxa"/>
            <w:shd w:val="clear" w:color="auto" w:fill="auto"/>
          </w:tcPr>
          <w:p w:rsidR="00FD757B" w:rsidRPr="00845A92" w:rsidRDefault="00FD757B" w:rsidP="00DA17AE">
            <w:pPr>
              <w:pStyle w:val="TblTextCenter"/>
            </w:pPr>
            <w:r w:rsidRPr="00845A92">
              <w:t>CV death, nonfatal myocardial</w:t>
            </w:r>
            <w:r w:rsidR="00DA17AE">
              <w:t xml:space="preserve"> </w:t>
            </w:r>
            <w:r w:rsidRPr="00845A92">
              <w:t xml:space="preserve">infarction (MI), </w:t>
            </w:r>
            <w:r w:rsidR="00DA17AE">
              <w:br/>
            </w:r>
            <w:r w:rsidRPr="00845A92">
              <w:t>or nonfatal stroke,</w:t>
            </w:r>
            <w:r w:rsidR="00DA17AE">
              <w:br/>
            </w:r>
            <w:r w:rsidRPr="00845A92">
              <w:t>or</w:t>
            </w:r>
            <w:r w:rsidR="00DA17AE">
              <w:t xml:space="preserve"> </w:t>
            </w:r>
            <w:r w:rsidRPr="00845A92">
              <w:t>hospitalization for heart failure or</w:t>
            </w:r>
            <w:r w:rsidR="00DA17AE">
              <w:t xml:space="preserve"> </w:t>
            </w:r>
            <w:r w:rsidRPr="00845A92">
              <w:t>revascularization procedure</w:t>
            </w:r>
          </w:p>
        </w:tc>
        <w:tc>
          <w:tcPr>
            <w:tcW w:w="2551" w:type="dxa"/>
            <w:shd w:val="clear" w:color="auto" w:fill="auto"/>
          </w:tcPr>
          <w:p w:rsidR="00FD757B" w:rsidRPr="00845A92" w:rsidRDefault="00FD757B" w:rsidP="000025D0">
            <w:pPr>
              <w:pStyle w:val="TblTextCenter"/>
            </w:pPr>
            <w:r w:rsidRPr="00845A92">
              <w:t>1792 (28.6)</w:t>
            </w:r>
          </w:p>
        </w:tc>
        <w:tc>
          <w:tcPr>
            <w:tcW w:w="2552" w:type="dxa"/>
            <w:shd w:val="clear" w:color="auto" w:fill="auto"/>
          </w:tcPr>
          <w:p w:rsidR="00FD757B" w:rsidRPr="00845A92" w:rsidRDefault="00FD757B" w:rsidP="000025D0">
            <w:pPr>
              <w:pStyle w:val="TblTextCenter"/>
            </w:pPr>
            <w:r w:rsidRPr="00845A92">
              <w:t>1727 (27.5)</w:t>
            </w:r>
          </w:p>
        </w:tc>
        <w:tc>
          <w:tcPr>
            <w:tcW w:w="1974" w:type="dxa"/>
            <w:shd w:val="clear" w:color="auto" w:fill="auto"/>
          </w:tcPr>
          <w:p w:rsidR="00FD757B" w:rsidRPr="00845A92" w:rsidRDefault="00FD757B" w:rsidP="000025D0">
            <w:pPr>
              <w:pStyle w:val="TblTextCenter"/>
            </w:pPr>
            <w:r w:rsidRPr="00845A92">
              <w:t>1.04 (0.97, 1.11)</w:t>
            </w:r>
          </w:p>
        </w:tc>
      </w:tr>
      <w:tr w:rsidR="00FD757B" w:rsidRPr="00845A92" w:rsidTr="000025D0">
        <w:trPr>
          <w:cantSplit/>
          <w:trHeight w:val="115"/>
          <w:jc w:val="center"/>
        </w:trPr>
        <w:tc>
          <w:tcPr>
            <w:tcW w:w="9790" w:type="dxa"/>
            <w:gridSpan w:val="4"/>
            <w:shd w:val="clear" w:color="auto" w:fill="auto"/>
          </w:tcPr>
          <w:p w:rsidR="00FD757B" w:rsidRPr="00845A92" w:rsidRDefault="00FD757B" w:rsidP="000025D0">
            <w:pPr>
              <w:pStyle w:val="TblTextCenter"/>
              <w:jc w:val="left"/>
            </w:pPr>
            <w:r w:rsidRPr="00845A92">
              <w:rPr>
                <w:b/>
              </w:rPr>
              <w:t>Secondary endpoints</w:t>
            </w:r>
          </w:p>
        </w:tc>
      </w:tr>
      <w:tr w:rsidR="00FD757B" w:rsidRPr="00845A92" w:rsidTr="00DA17AE">
        <w:trPr>
          <w:cantSplit/>
          <w:trHeight w:val="115"/>
          <w:jc w:val="center"/>
        </w:trPr>
        <w:tc>
          <w:tcPr>
            <w:tcW w:w="2713" w:type="dxa"/>
            <w:shd w:val="clear" w:color="auto" w:fill="auto"/>
          </w:tcPr>
          <w:p w:rsidR="00FD757B" w:rsidRPr="00845A92" w:rsidRDefault="00FD757B" w:rsidP="000025D0">
            <w:pPr>
              <w:pStyle w:val="TblTextCenter"/>
            </w:pPr>
            <w:r w:rsidRPr="00845A92">
              <w:t>All-cause mortality</w:t>
            </w:r>
          </w:p>
        </w:tc>
        <w:tc>
          <w:tcPr>
            <w:tcW w:w="2551" w:type="dxa"/>
            <w:shd w:val="clear" w:color="auto" w:fill="auto"/>
          </w:tcPr>
          <w:p w:rsidR="00FD757B" w:rsidRPr="00845A92" w:rsidRDefault="00FD757B" w:rsidP="000025D0">
            <w:pPr>
              <w:pStyle w:val="TblTextCenter"/>
            </w:pPr>
            <w:r w:rsidRPr="00845A92">
              <w:t>951 (15.2)</w:t>
            </w:r>
          </w:p>
        </w:tc>
        <w:tc>
          <w:tcPr>
            <w:tcW w:w="2552" w:type="dxa"/>
            <w:shd w:val="clear" w:color="auto" w:fill="auto"/>
          </w:tcPr>
          <w:p w:rsidR="00FD757B" w:rsidRPr="00845A92" w:rsidRDefault="00FD757B" w:rsidP="000025D0">
            <w:pPr>
              <w:pStyle w:val="TblTextCenter"/>
            </w:pPr>
            <w:r w:rsidRPr="00845A92">
              <w:t>965 (15.4)</w:t>
            </w:r>
          </w:p>
        </w:tc>
        <w:tc>
          <w:tcPr>
            <w:tcW w:w="1974" w:type="dxa"/>
            <w:shd w:val="clear" w:color="auto" w:fill="auto"/>
          </w:tcPr>
          <w:p w:rsidR="00FD757B" w:rsidRPr="00845A92" w:rsidRDefault="00FD757B" w:rsidP="000025D0">
            <w:pPr>
              <w:pStyle w:val="TblTextCenter"/>
            </w:pPr>
            <w:r w:rsidRPr="00845A92">
              <w:t>0.98 (0.90, 1.08)</w:t>
            </w:r>
          </w:p>
        </w:tc>
      </w:tr>
      <w:tr w:rsidR="00FD757B" w:rsidRPr="00845A92" w:rsidTr="00DA17AE">
        <w:trPr>
          <w:cantSplit/>
          <w:trHeight w:val="115"/>
          <w:jc w:val="center"/>
        </w:trPr>
        <w:tc>
          <w:tcPr>
            <w:tcW w:w="2713" w:type="dxa"/>
            <w:shd w:val="clear" w:color="auto" w:fill="auto"/>
          </w:tcPr>
          <w:p w:rsidR="00FD757B" w:rsidRPr="00845A92" w:rsidRDefault="00FD757B" w:rsidP="000025D0">
            <w:pPr>
              <w:pStyle w:val="TblTextCenter"/>
            </w:pPr>
            <w:r w:rsidRPr="00845A92">
              <w:t>Composite microvascular outcome*</w:t>
            </w:r>
          </w:p>
        </w:tc>
        <w:tc>
          <w:tcPr>
            <w:tcW w:w="2551" w:type="dxa"/>
            <w:shd w:val="clear" w:color="auto" w:fill="auto"/>
          </w:tcPr>
          <w:p w:rsidR="00FD757B" w:rsidRPr="00845A92" w:rsidRDefault="00FD757B" w:rsidP="000025D0">
            <w:pPr>
              <w:pStyle w:val="TblTextCenter"/>
            </w:pPr>
            <w:r w:rsidRPr="00845A92">
              <w:t>1323 (21.1)</w:t>
            </w:r>
          </w:p>
        </w:tc>
        <w:tc>
          <w:tcPr>
            <w:tcW w:w="2552" w:type="dxa"/>
            <w:shd w:val="clear" w:color="auto" w:fill="auto"/>
          </w:tcPr>
          <w:p w:rsidR="00FD757B" w:rsidRPr="00845A92" w:rsidRDefault="00FD757B" w:rsidP="000025D0">
            <w:pPr>
              <w:pStyle w:val="TblTextCenter"/>
            </w:pPr>
            <w:r w:rsidRPr="00845A92">
              <w:t>1363 (21.7)</w:t>
            </w:r>
          </w:p>
        </w:tc>
        <w:tc>
          <w:tcPr>
            <w:tcW w:w="1974" w:type="dxa"/>
            <w:shd w:val="clear" w:color="auto" w:fill="auto"/>
          </w:tcPr>
          <w:p w:rsidR="00FD757B" w:rsidRPr="00845A92" w:rsidRDefault="00FD757B" w:rsidP="000025D0">
            <w:pPr>
              <w:pStyle w:val="TblTextCenter"/>
            </w:pPr>
            <w:r w:rsidRPr="00845A92">
              <w:t>0.97 (0.90, 1.05)</w:t>
            </w:r>
          </w:p>
        </w:tc>
      </w:tr>
      <w:tr w:rsidR="00FD757B" w:rsidRPr="00845A92" w:rsidTr="000025D0">
        <w:trPr>
          <w:cantSplit/>
          <w:trHeight w:val="115"/>
          <w:jc w:val="center"/>
        </w:trPr>
        <w:tc>
          <w:tcPr>
            <w:tcW w:w="9790" w:type="dxa"/>
            <w:gridSpan w:val="4"/>
            <w:shd w:val="clear" w:color="auto" w:fill="auto"/>
          </w:tcPr>
          <w:p w:rsidR="00FD757B" w:rsidRPr="00845A92" w:rsidRDefault="00FD757B" w:rsidP="000025D0">
            <w:pPr>
              <w:pStyle w:val="TblTextCenter"/>
              <w:jc w:val="left"/>
            </w:pPr>
            <w:r w:rsidRPr="00845A92">
              <w:rPr>
                <w:b/>
                <w:i/>
              </w:rPr>
              <w:lastRenderedPageBreak/>
              <w:t xml:space="preserve">Components of </w:t>
            </w:r>
            <w:proofErr w:type="spellStart"/>
            <w:r w:rsidRPr="00845A92">
              <w:rPr>
                <w:b/>
                <w:i/>
              </w:rPr>
              <w:t>coprimary</w:t>
            </w:r>
            <w:proofErr w:type="spellEnd"/>
            <w:r w:rsidRPr="00845A92">
              <w:rPr>
                <w:b/>
                <w:i/>
              </w:rPr>
              <w:t xml:space="preserve"> endpoint</w:t>
            </w:r>
          </w:p>
        </w:tc>
      </w:tr>
      <w:tr w:rsidR="00FD757B" w:rsidRPr="00845A92" w:rsidTr="00DA17AE">
        <w:trPr>
          <w:cantSplit/>
          <w:trHeight w:val="115"/>
          <w:jc w:val="center"/>
        </w:trPr>
        <w:tc>
          <w:tcPr>
            <w:tcW w:w="2713" w:type="dxa"/>
            <w:shd w:val="clear" w:color="auto" w:fill="auto"/>
          </w:tcPr>
          <w:p w:rsidR="00FD757B" w:rsidRPr="00845A92" w:rsidRDefault="00FD757B" w:rsidP="000025D0">
            <w:pPr>
              <w:pStyle w:val="TblTextCenter"/>
            </w:pPr>
            <w:r w:rsidRPr="00845A92">
              <w:t>CV death</w:t>
            </w:r>
          </w:p>
        </w:tc>
        <w:tc>
          <w:tcPr>
            <w:tcW w:w="2551" w:type="dxa"/>
            <w:shd w:val="clear" w:color="auto" w:fill="auto"/>
          </w:tcPr>
          <w:p w:rsidR="00FD757B" w:rsidRPr="00845A92" w:rsidRDefault="00FD757B" w:rsidP="000025D0">
            <w:pPr>
              <w:pStyle w:val="TblTextCenter"/>
            </w:pPr>
            <w:r w:rsidRPr="00845A92">
              <w:t>580 (9.3)</w:t>
            </w:r>
          </w:p>
        </w:tc>
        <w:tc>
          <w:tcPr>
            <w:tcW w:w="2552" w:type="dxa"/>
            <w:shd w:val="clear" w:color="auto" w:fill="auto"/>
          </w:tcPr>
          <w:p w:rsidR="00FD757B" w:rsidRPr="00845A92" w:rsidRDefault="00FD757B" w:rsidP="000025D0">
            <w:pPr>
              <w:pStyle w:val="TblTextCenter"/>
            </w:pPr>
            <w:r w:rsidRPr="00845A92">
              <w:t>576 (9.2)</w:t>
            </w:r>
          </w:p>
        </w:tc>
        <w:tc>
          <w:tcPr>
            <w:tcW w:w="1974" w:type="dxa"/>
            <w:shd w:val="clear" w:color="auto" w:fill="auto"/>
          </w:tcPr>
          <w:p w:rsidR="00FD757B" w:rsidRPr="00845A92" w:rsidRDefault="00FD757B" w:rsidP="000025D0">
            <w:pPr>
              <w:pStyle w:val="TblTextCenter"/>
            </w:pPr>
            <w:r w:rsidRPr="00845A92">
              <w:t>1.00 (0.89, 1.13)</w:t>
            </w:r>
          </w:p>
        </w:tc>
      </w:tr>
      <w:tr w:rsidR="00FD757B" w:rsidRPr="00845A92" w:rsidTr="00DA17AE">
        <w:trPr>
          <w:cantSplit/>
          <w:trHeight w:val="115"/>
          <w:jc w:val="center"/>
        </w:trPr>
        <w:tc>
          <w:tcPr>
            <w:tcW w:w="2713" w:type="dxa"/>
            <w:shd w:val="clear" w:color="auto" w:fill="auto"/>
          </w:tcPr>
          <w:p w:rsidR="00FD757B" w:rsidRPr="00845A92" w:rsidRDefault="00FD757B" w:rsidP="000025D0">
            <w:pPr>
              <w:pStyle w:val="TblTextCenter"/>
            </w:pPr>
            <w:r w:rsidRPr="00845A92">
              <w:t>MI (fatal or non-fatal)</w:t>
            </w:r>
          </w:p>
        </w:tc>
        <w:tc>
          <w:tcPr>
            <w:tcW w:w="2551" w:type="dxa"/>
            <w:shd w:val="clear" w:color="auto" w:fill="auto"/>
          </w:tcPr>
          <w:p w:rsidR="00FD757B" w:rsidRPr="00845A92" w:rsidRDefault="00FD757B" w:rsidP="000025D0">
            <w:pPr>
              <w:pStyle w:val="TblTextCenter"/>
            </w:pPr>
            <w:r w:rsidRPr="00845A92">
              <w:t>336 (5.4)</w:t>
            </w:r>
          </w:p>
        </w:tc>
        <w:tc>
          <w:tcPr>
            <w:tcW w:w="2552" w:type="dxa"/>
            <w:shd w:val="clear" w:color="auto" w:fill="auto"/>
          </w:tcPr>
          <w:p w:rsidR="00FD757B" w:rsidRPr="00845A92" w:rsidRDefault="00FD757B" w:rsidP="000025D0">
            <w:pPr>
              <w:pStyle w:val="TblTextCenter"/>
            </w:pPr>
            <w:r w:rsidRPr="00845A92">
              <w:t>326 (5.2)</w:t>
            </w:r>
          </w:p>
        </w:tc>
        <w:tc>
          <w:tcPr>
            <w:tcW w:w="1974" w:type="dxa"/>
            <w:shd w:val="clear" w:color="auto" w:fill="auto"/>
          </w:tcPr>
          <w:p w:rsidR="00FD757B" w:rsidRPr="00845A92" w:rsidRDefault="00FD757B" w:rsidP="000025D0">
            <w:pPr>
              <w:pStyle w:val="TblTextCenter"/>
            </w:pPr>
            <w:r w:rsidRPr="00845A92">
              <w:t>1.03 (0.88, 1.19)</w:t>
            </w:r>
          </w:p>
        </w:tc>
      </w:tr>
      <w:tr w:rsidR="00FD757B" w:rsidRPr="00845A92" w:rsidTr="00DA17AE">
        <w:trPr>
          <w:cantSplit/>
          <w:trHeight w:val="115"/>
          <w:jc w:val="center"/>
        </w:trPr>
        <w:tc>
          <w:tcPr>
            <w:tcW w:w="2713" w:type="dxa"/>
            <w:shd w:val="clear" w:color="auto" w:fill="auto"/>
          </w:tcPr>
          <w:p w:rsidR="00FD757B" w:rsidRPr="00845A92" w:rsidRDefault="00DA17AE" w:rsidP="000025D0">
            <w:pPr>
              <w:pStyle w:val="TblTextCenter"/>
            </w:pPr>
            <w:r w:rsidRPr="00845A92">
              <w:t>S</w:t>
            </w:r>
            <w:r w:rsidR="00FD757B" w:rsidRPr="00845A92">
              <w:t>troke</w:t>
            </w:r>
            <w:r>
              <w:t xml:space="preserve"> </w:t>
            </w:r>
            <w:r w:rsidR="00FD757B" w:rsidRPr="00845A92">
              <w:t>(fatal or non-fatal)</w:t>
            </w:r>
          </w:p>
        </w:tc>
        <w:tc>
          <w:tcPr>
            <w:tcW w:w="2551" w:type="dxa"/>
            <w:shd w:val="clear" w:color="auto" w:fill="auto"/>
          </w:tcPr>
          <w:p w:rsidR="00FD757B" w:rsidRPr="00845A92" w:rsidRDefault="00FD757B" w:rsidP="000025D0">
            <w:pPr>
              <w:pStyle w:val="TblTextCenter"/>
            </w:pPr>
            <w:r w:rsidRPr="00845A92">
              <w:t>331 (5.3)</w:t>
            </w:r>
          </w:p>
        </w:tc>
        <w:tc>
          <w:tcPr>
            <w:tcW w:w="2552" w:type="dxa"/>
            <w:shd w:val="clear" w:color="auto" w:fill="auto"/>
          </w:tcPr>
          <w:p w:rsidR="00FD757B" w:rsidRPr="00845A92" w:rsidRDefault="00FD757B" w:rsidP="000025D0">
            <w:pPr>
              <w:pStyle w:val="TblTextCenter"/>
            </w:pPr>
            <w:r w:rsidRPr="00845A92">
              <w:t>319 (5.1)</w:t>
            </w:r>
          </w:p>
        </w:tc>
        <w:tc>
          <w:tcPr>
            <w:tcW w:w="1974" w:type="dxa"/>
            <w:shd w:val="clear" w:color="auto" w:fill="auto"/>
          </w:tcPr>
          <w:p w:rsidR="00FD757B" w:rsidRPr="00845A92" w:rsidRDefault="00FD757B" w:rsidP="000025D0">
            <w:pPr>
              <w:pStyle w:val="TblTextCenter"/>
            </w:pPr>
            <w:r w:rsidRPr="00845A92">
              <w:t>1.03 (0.89, 1.21)</w:t>
            </w:r>
          </w:p>
        </w:tc>
      </w:tr>
      <w:tr w:rsidR="00FD757B" w:rsidRPr="00845A92" w:rsidTr="00DA17AE">
        <w:trPr>
          <w:cantSplit/>
          <w:trHeight w:val="277"/>
          <w:jc w:val="center"/>
        </w:trPr>
        <w:tc>
          <w:tcPr>
            <w:tcW w:w="2713" w:type="dxa"/>
            <w:shd w:val="clear" w:color="auto" w:fill="auto"/>
          </w:tcPr>
          <w:p w:rsidR="00FD757B" w:rsidRPr="00845A92" w:rsidRDefault="00FD757B" w:rsidP="000025D0">
            <w:pPr>
              <w:pStyle w:val="TblTextCenter"/>
            </w:pPr>
            <w:r w:rsidRPr="00845A92">
              <w:t>Revascularizations</w:t>
            </w:r>
          </w:p>
        </w:tc>
        <w:tc>
          <w:tcPr>
            <w:tcW w:w="2551" w:type="dxa"/>
            <w:shd w:val="clear" w:color="auto" w:fill="auto"/>
          </w:tcPr>
          <w:p w:rsidR="00FD757B" w:rsidRPr="00845A92" w:rsidRDefault="00FD757B" w:rsidP="000025D0">
            <w:pPr>
              <w:pStyle w:val="TblTextCenter"/>
            </w:pPr>
            <w:r w:rsidRPr="00845A92">
              <w:t>908 (14.5)</w:t>
            </w:r>
          </w:p>
        </w:tc>
        <w:tc>
          <w:tcPr>
            <w:tcW w:w="2552" w:type="dxa"/>
            <w:shd w:val="clear" w:color="auto" w:fill="auto"/>
          </w:tcPr>
          <w:p w:rsidR="00FD757B" w:rsidRPr="00845A92" w:rsidRDefault="00FD757B" w:rsidP="000025D0">
            <w:pPr>
              <w:pStyle w:val="TblTextCenter"/>
            </w:pPr>
            <w:r w:rsidRPr="00845A92">
              <w:t>860 (13.7)</w:t>
            </w:r>
          </w:p>
        </w:tc>
        <w:tc>
          <w:tcPr>
            <w:tcW w:w="1974" w:type="dxa"/>
            <w:shd w:val="clear" w:color="auto" w:fill="auto"/>
          </w:tcPr>
          <w:p w:rsidR="00FD757B" w:rsidRPr="00845A92" w:rsidRDefault="00FD757B" w:rsidP="000025D0">
            <w:pPr>
              <w:pStyle w:val="TblTextCenter"/>
            </w:pPr>
            <w:r w:rsidRPr="00845A92">
              <w:t>1.06 (0.96, 1.16)</w:t>
            </w:r>
          </w:p>
        </w:tc>
      </w:tr>
      <w:tr w:rsidR="00FD757B" w:rsidRPr="00845A92" w:rsidTr="00DA17AE">
        <w:trPr>
          <w:cantSplit/>
          <w:trHeight w:val="469"/>
          <w:jc w:val="center"/>
        </w:trPr>
        <w:tc>
          <w:tcPr>
            <w:tcW w:w="2713" w:type="dxa"/>
            <w:shd w:val="clear" w:color="auto" w:fill="auto"/>
          </w:tcPr>
          <w:p w:rsidR="00FD757B" w:rsidRPr="00845A92" w:rsidRDefault="00FD757B" w:rsidP="000025D0">
            <w:pPr>
              <w:pStyle w:val="TblTextCenter"/>
            </w:pPr>
            <w:r w:rsidRPr="00845A92">
              <w:t>Hospitalization for heart failure</w:t>
            </w:r>
          </w:p>
        </w:tc>
        <w:tc>
          <w:tcPr>
            <w:tcW w:w="2551" w:type="dxa"/>
            <w:shd w:val="clear" w:color="auto" w:fill="auto"/>
          </w:tcPr>
          <w:p w:rsidR="00FD757B" w:rsidRPr="00845A92" w:rsidRDefault="00FD757B" w:rsidP="000025D0">
            <w:pPr>
              <w:pStyle w:val="TblTextCenter"/>
            </w:pPr>
            <w:r w:rsidRPr="00845A92">
              <w:t>310 (4.9)</w:t>
            </w:r>
          </w:p>
        </w:tc>
        <w:tc>
          <w:tcPr>
            <w:tcW w:w="2552" w:type="dxa"/>
            <w:shd w:val="clear" w:color="auto" w:fill="auto"/>
          </w:tcPr>
          <w:p w:rsidR="00FD757B" w:rsidRPr="00845A92" w:rsidRDefault="00FD757B" w:rsidP="000025D0">
            <w:pPr>
              <w:pStyle w:val="TblTextCenter"/>
            </w:pPr>
            <w:r w:rsidRPr="00845A92">
              <w:t>343 (5.5)</w:t>
            </w:r>
          </w:p>
        </w:tc>
        <w:tc>
          <w:tcPr>
            <w:tcW w:w="1974" w:type="dxa"/>
            <w:shd w:val="clear" w:color="auto" w:fill="auto"/>
          </w:tcPr>
          <w:p w:rsidR="00FD757B" w:rsidRPr="00845A92" w:rsidRDefault="00FD757B" w:rsidP="000025D0">
            <w:pPr>
              <w:pStyle w:val="TblTextCenter"/>
            </w:pPr>
            <w:r w:rsidRPr="00845A92">
              <w:t>0.90 (0.77, 1.05)</w:t>
            </w:r>
          </w:p>
        </w:tc>
      </w:tr>
      <w:tr w:rsidR="00F8552E" w:rsidRPr="00845A92" w:rsidTr="00DA17AE">
        <w:trPr>
          <w:cantSplit/>
          <w:trHeight w:val="521"/>
          <w:jc w:val="center"/>
        </w:trPr>
        <w:tc>
          <w:tcPr>
            <w:tcW w:w="9790" w:type="dxa"/>
            <w:gridSpan w:val="4"/>
            <w:tcBorders>
              <w:top w:val="single" w:sz="12" w:space="0" w:color="auto"/>
            </w:tcBorders>
            <w:shd w:val="clear" w:color="auto" w:fill="auto"/>
          </w:tcPr>
          <w:p w:rsidR="00FD757B" w:rsidRPr="00845A92" w:rsidRDefault="00FD757B" w:rsidP="000025D0">
            <w:pPr>
              <w:pStyle w:val="TblFigFootnote"/>
            </w:pPr>
            <w:r w:rsidRPr="00845A92">
              <w:t xml:space="preserve">*with components of: laser photocoagulation or </w:t>
            </w:r>
            <w:proofErr w:type="spellStart"/>
            <w:r w:rsidRPr="00845A92">
              <w:t>vitrectomy</w:t>
            </w:r>
            <w:proofErr w:type="spellEnd"/>
            <w:r w:rsidRPr="00845A92">
              <w:t xml:space="preserve"> or blindness for diabetic retinopathy; progression in albuminuria; or</w:t>
            </w:r>
          </w:p>
          <w:p w:rsidR="00FD757B" w:rsidRPr="00845A92" w:rsidRDefault="00FD757B" w:rsidP="00325FBD">
            <w:pPr>
              <w:pStyle w:val="TblFigFootnote"/>
            </w:pPr>
            <w:r w:rsidRPr="00845A92">
              <w:t>doubling of serum creatinine or development of the need for renal replacement therapy</w:t>
            </w:r>
          </w:p>
        </w:tc>
      </w:tr>
    </w:tbl>
    <w:p w:rsidR="00325FBD" w:rsidRPr="00845A92" w:rsidRDefault="00325FBD" w:rsidP="00325FBD">
      <w:pPr>
        <w:rPr>
          <w:color w:val="auto"/>
        </w:rPr>
      </w:pPr>
      <w:r w:rsidRPr="00845A92">
        <w:rPr>
          <w:color w:val="auto"/>
        </w:rPr>
        <w:t>Median on-treatment HbA1c values ranged from 5.9 to 6.4 % in the Lantus group, and 6.2% to 6.6% in the Standard Care group throughout the duration of follow-up. Median FPG at the end of study in the Lantus group was 5.4mmol/L, and for the Standard Care group was 6.8mmol/L.</w:t>
      </w:r>
    </w:p>
    <w:p w:rsidR="00325FBD" w:rsidRPr="00845A92" w:rsidRDefault="00325FBD" w:rsidP="00325FBD">
      <w:pPr>
        <w:rPr>
          <w:color w:val="auto"/>
        </w:rPr>
      </w:pPr>
      <w:r w:rsidRPr="00845A92">
        <w:rPr>
          <w:color w:val="auto"/>
        </w:rPr>
        <w:t xml:space="preserve">Over the course of this 6 year study severe </w:t>
      </w:r>
      <w:proofErr w:type="spellStart"/>
      <w:r w:rsidRPr="00845A92">
        <w:rPr>
          <w:color w:val="auto"/>
        </w:rPr>
        <w:t>hypoglycaemia</w:t>
      </w:r>
      <w:proofErr w:type="spellEnd"/>
      <w:r w:rsidRPr="00845A92">
        <w:rPr>
          <w:color w:val="auto"/>
        </w:rPr>
        <w:t xml:space="preserve"> was reported in 5.7% of the Lantus group compared to 1.9% of the Standard Care group. The rates (per 100 Patient-Years) of confirmed all </w:t>
      </w:r>
      <w:proofErr w:type="spellStart"/>
      <w:r w:rsidRPr="00845A92">
        <w:rPr>
          <w:color w:val="auto"/>
        </w:rPr>
        <w:t>hypoglycaemia</w:t>
      </w:r>
      <w:proofErr w:type="spellEnd"/>
      <w:r w:rsidRPr="00845A92">
        <w:rPr>
          <w:color w:val="auto"/>
        </w:rPr>
        <w:t xml:space="preserve"> events, severe </w:t>
      </w:r>
      <w:proofErr w:type="spellStart"/>
      <w:r w:rsidRPr="00845A92">
        <w:rPr>
          <w:color w:val="auto"/>
        </w:rPr>
        <w:t>hypoglycaemia</w:t>
      </w:r>
      <w:proofErr w:type="spellEnd"/>
      <w:r w:rsidRPr="00845A92">
        <w:rPr>
          <w:color w:val="auto"/>
        </w:rPr>
        <w:t xml:space="preserve"> events and non-severe symptomatic </w:t>
      </w:r>
      <w:proofErr w:type="spellStart"/>
      <w:r w:rsidRPr="00845A92">
        <w:rPr>
          <w:color w:val="auto"/>
        </w:rPr>
        <w:t>hypoglycaemia</w:t>
      </w:r>
      <w:proofErr w:type="spellEnd"/>
      <w:r w:rsidRPr="00845A92">
        <w:rPr>
          <w:color w:val="auto"/>
        </w:rPr>
        <w:t xml:space="preserve"> are shown in Table 7 below: </w:t>
      </w:r>
    </w:p>
    <w:p w:rsidR="00325FBD" w:rsidRPr="00845A92" w:rsidRDefault="00325FBD" w:rsidP="00325FBD">
      <w:pPr>
        <w:rPr>
          <w:color w:val="auto"/>
        </w:rPr>
      </w:pPr>
      <w:r w:rsidRPr="00845A92">
        <w:rPr>
          <w:color w:val="auto"/>
        </w:rPr>
        <w:t xml:space="preserve">Over the course of this 6-year study, 42% of the Lantus group and 74% of the Standard Care group did not experience any </w:t>
      </w:r>
      <w:proofErr w:type="spellStart"/>
      <w:r w:rsidRPr="00845A92">
        <w:rPr>
          <w:color w:val="auto"/>
        </w:rPr>
        <w:t>hypoglycaemia</w:t>
      </w:r>
      <w:proofErr w:type="spellEnd"/>
      <w:r w:rsidRPr="00845A92">
        <w:rPr>
          <w:color w:val="auto"/>
        </w:rPr>
        <w:t>.</w:t>
      </w:r>
    </w:p>
    <w:p w:rsidR="00FD757B" w:rsidRPr="00845A92" w:rsidRDefault="00F8552E" w:rsidP="00F8552E">
      <w:pPr>
        <w:pStyle w:val="Caption"/>
      </w:pPr>
      <w:r w:rsidRPr="00845A92">
        <w:t xml:space="preserve"> Table </w:t>
      </w:r>
      <w:r w:rsidR="0069078C">
        <w:fldChar w:fldCharType="begin"/>
      </w:r>
      <w:r w:rsidR="0069078C">
        <w:instrText xml:space="preserve"> SEQ Table \* ARABIC </w:instrText>
      </w:r>
      <w:r w:rsidR="0069078C">
        <w:fldChar w:fldCharType="separate"/>
      </w:r>
      <w:r w:rsidR="002C5256">
        <w:rPr>
          <w:noProof/>
        </w:rPr>
        <w:t>5</w:t>
      </w:r>
      <w:r w:rsidR="0069078C">
        <w:fldChar w:fldCharType="end"/>
      </w:r>
      <w:r w:rsidRPr="00845A92">
        <w:t xml:space="preserve"> ­ Severe, Non-severe and All symptomatic </w:t>
      </w:r>
      <w:proofErr w:type="spellStart"/>
      <w:r w:rsidRPr="00845A92">
        <w:t>Hypoglycaemia</w:t>
      </w:r>
      <w:proofErr w:type="spellEnd"/>
      <w:r w:rsidRPr="00845A92">
        <w:t xml:space="preserve"> in the ORIGIN Trial</w:t>
      </w:r>
    </w:p>
    <w:tbl>
      <w:tblPr>
        <w:tblW w:w="0" w:type="auto"/>
        <w:jc w:val="center"/>
        <w:tblBorders>
          <w:top w:val="single" w:sz="2" w:space="0" w:color="000000"/>
        </w:tblBorders>
        <w:tblLook w:val="04A0" w:firstRow="1" w:lastRow="0" w:firstColumn="1" w:lastColumn="0" w:noHBand="0" w:noVBand="1"/>
      </w:tblPr>
      <w:tblGrid>
        <w:gridCol w:w="2043"/>
        <w:gridCol w:w="2221"/>
        <w:gridCol w:w="1600"/>
        <w:gridCol w:w="2221"/>
        <w:gridCol w:w="1600"/>
      </w:tblGrid>
      <w:tr w:rsidR="00F8552E" w:rsidRPr="00845A92" w:rsidTr="005C38CF">
        <w:trPr>
          <w:cantSplit/>
          <w:tblHeader/>
          <w:jc w:val="center"/>
        </w:trPr>
        <w:tc>
          <w:tcPr>
            <w:tcW w:w="0" w:type="auto"/>
            <w:vMerge w:val="restart"/>
            <w:tcBorders>
              <w:top w:val="single" w:sz="4" w:space="0" w:color="000000"/>
              <w:bottom w:val="single" w:sz="4" w:space="0" w:color="000000"/>
            </w:tcBorders>
            <w:shd w:val="clear" w:color="auto" w:fill="auto"/>
          </w:tcPr>
          <w:p w:rsidR="00F8552E" w:rsidRPr="00845A92" w:rsidRDefault="00F8552E" w:rsidP="000025D0">
            <w:pPr>
              <w:pStyle w:val="TblHeadingCenter"/>
            </w:pPr>
          </w:p>
        </w:tc>
        <w:tc>
          <w:tcPr>
            <w:tcW w:w="0" w:type="auto"/>
            <w:gridSpan w:val="2"/>
            <w:tcBorders>
              <w:top w:val="single" w:sz="4" w:space="0" w:color="000000"/>
              <w:bottom w:val="single" w:sz="4" w:space="0" w:color="000000"/>
            </w:tcBorders>
            <w:shd w:val="clear" w:color="auto" w:fill="auto"/>
          </w:tcPr>
          <w:p w:rsidR="00F8552E" w:rsidRPr="00845A92" w:rsidRDefault="00F8552E" w:rsidP="000025D0">
            <w:pPr>
              <w:pStyle w:val="TblHeadingCenter"/>
            </w:pPr>
            <w:r w:rsidRPr="00845A92">
              <w:t>LANTUS</w:t>
            </w:r>
          </w:p>
        </w:tc>
        <w:tc>
          <w:tcPr>
            <w:tcW w:w="0" w:type="auto"/>
            <w:gridSpan w:val="2"/>
            <w:tcBorders>
              <w:top w:val="single" w:sz="4" w:space="0" w:color="000000"/>
              <w:bottom w:val="single" w:sz="4" w:space="0" w:color="000000"/>
            </w:tcBorders>
            <w:shd w:val="clear" w:color="auto" w:fill="auto"/>
          </w:tcPr>
          <w:p w:rsidR="00F8552E" w:rsidRPr="00845A92" w:rsidRDefault="00F8552E" w:rsidP="000025D0">
            <w:pPr>
              <w:pStyle w:val="TblHeadingCenter"/>
            </w:pPr>
            <w:r w:rsidRPr="00845A92">
              <w:t>Standard Care</w:t>
            </w:r>
          </w:p>
        </w:tc>
      </w:tr>
      <w:tr w:rsidR="00F8552E" w:rsidRPr="00845A92" w:rsidTr="005C38CF">
        <w:trPr>
          <w:cantSplit/>
          <w:tblHeader/>
          <w:jc w:val="center"/>
        </w:trPr>
        <w:tc>
          <w:tcPr>
            <w:tcW w:w="0" w:type="auto"/>
            <w:vMerge/>
            <w:tcBorders>
              <w:top w:val="single" w:sz="4" w:space="0" w:color="auto"/>
              <w:bottom w:val="single" w:sz="4" w:space="0" w:color="000000"/>
            </w:tcBorders>
            <w:shd w:val="clear" w:color="auto" w:fill="auto"/>
          </w:tcPr>
          <w:p w:rsidR="00F8552E" w:rsidRPr="00845A92" w:rsidRDefault="00F8552E" w:rsidP="000025D0">
            <w:pPr>
              <w:rPr>
                <w:color w:val="auto"/>
                <w:u w:val="double"/>
              </w:rPr>
            </w:pPr>
          </w:p>
        </w:tc>
        <w:tc>
          <w:tcPr>
            <w:tcW w:w="0" w:type="auto"/>
            <w:tcBorders>
              <w:top w:val="single" w:sz="4" w:space="0" w:color="000000"/>
              <w:bottom w:val="single" w:sz="4" w:space="0" w:color="000000"/>
            </w:tcBorders>
            <w:shd w:val="clear" w:color="auto" w:fill="auto"/>
          </w:tcPr>
          <w:p w:rsidR="00F8552E" w:rsidRPr="00845A92" w:rsidRDefault="00F8552E" w:rsidP="000025D0">
            <w:pPr>
              <w:pStyle w:val="TblTextCenter"/>
            </w:pPr>
            <w:r w:rsidRPr="00845A92">
              <w:t>Number (%) of affected patients</w:t>
            </w:r>
          </w:p>
        </w:tc>
        <w:tc>
          <w:tcPr>
            <w:tcW w:w="0" w:type="auto"/>
            <w:tcBorders>
              <w:top w:val="single" w:sz="4" w:space="0" w:color="000000"/>
              <w:bottom w:val="single" w:sz="4" w:space="0" w:color="000000"/>
            </w:tcBorders>
            <w:shd w:val="clear" w:color="auto" w:fill="auto"/>
          </w:tcPr>
          <w:p w:rsidR="00F8552E" w:rsidRPr="00845A92" w:rsidRDefault="00F8552E" w:rsidP="000025D0">
            <w:pPr>
              <w:pStyle w:val="TblTextCenter"/>
            </w:pPr>
            <w:r w:rsidRPr="00845A92">
              <w:t xml:space="preserve">Number per 100 </w:t>
            </w:r>
            <w:proofErr w:type="spellStart"/>
            <w:r w:rsidRPr="00845A92">
              <w:t>pt-yr</w:t>
            </w:r>
            <w:proofErr w:type="spellEnd"/>
          </w:p>
        </w:tc>
        <w:tc>
          <w:tcPr>
            <w:tcW w:w="0" w:type="auto"/>
            <w:tcBorders>
              <w:top w:val="single" w:sz="4" w:space="0" w:color="000000"/>
              <w:bottom w:val="single" w:sz="4" w:space="0" w:color="000000"/>
            </w:tcBorders>
            <w:shd w:val="clear" w:color="auto" w:fill="auto"/>
          </w:tcPr>
          <w:p w:rsidR="00F8552E" w:rsidRPr="00845A92" w:rsidRDefault="00F8552E" w:rsidP="000025D0">
            <w:pPr>
              <w:pStyle w:val="TblTextCenter"/>
            </w:pPr>
            <w:r w:rsidRPr="00845A92">
              <w:t>Number (%) of affected patients</w:t>
            </w:r>
          </w:p>
        </w:tc>
        <w:tc>
          <w:tcPr>
            <w:tcW w:w="0" w:type="auto"/>
            <w:tcBorders>
              <w:top w:val="single" w:sz="4" w:space="0" w:color="000000"/>
              <w:bottom w:val="single" w:sz="4" w:space="0" w:color="000000"/>
            </w:tcBorders>
            <w:shd w:val="clear" w:color="auto" w:fill="auto"/>
          </w:tcPr>
          <w:p w:rsidR="00F8552E" w:rsidRPr="00845A92" w:rsidRDefault="00F8552E" w:rsidP="000025D0">
            <w:pPr>
              <w:pStyle w:val="TblTextCenter"/>
            </w:pPr>
            <w:r w:rsidRPr="00845A92">
              <w:t xml:space="preserve">Number per 100 </w:t>
            </w:r>
            <w:proofErr w:type="spellStart"/>
            <w:r w:rsidRPr="00845A92">
              <w:t>pt-yr</w:t>
            </w:r>
            <w:proofErr w:type="spellEnd"/>
          </w:p>
        </w:tc>
      </w:tr>
      <w:tr w:rsidR="00F8552E" w:rsidRPr="00845A92" w:rsidTr="005C38CF">
        <w:trPr>
          <w:cantSplit/>
          <w:jc w:val="center"/>
        </w:trPr>
        <w:tc>
          <w:tcPr>
            <w:tcW w:w="0" w:type="auto"/>
            <w:tcBorders>
              <w:top w:val="single" w:sz="4" w:space="0" w:color="000000"/>
            </w:tcBorders>
            <w:shd w:val="clear" w:color="auto" w:fill="auto"/>
          </w:tcPr>
          <w:p w:rsidR="00F8552E" w:rsidRPr="00845A92" w:rsidRDefault="00F8552E" w:rsidP="005C38CF">
            <w:pPr>
              <w:pStyle w:val="TblTextCenter"/>
            </w:pPr>
            <w:r w:rsidRPr="00845A92">
              <w:t xml:space="preserve">Severe </w:t>
            </w:r>
            <w:proofErr w:type="spellStart"/>
            <w:r w:rsidRPr="00845A92">
              <w:t>hypoglycaemia</w:t>
            </w:r>
            <w:proofErr w:type="spellEnd"/>
            <w:r w:rsidR="005C38CF">
              <w:br/>
            </w:r>
            <w:r w:rsidRPr="00845A92">
              <w:t xml:space="preserve">Non-severe </w:t>
            </w:r>
            <w:proofErr w:type="spellStart"/>
            <w:r w:rsidRPr="00845A92">
              <w:t>hypoglycaemia</w:t>
            </w:r>
            <w:proofErr w:type="spellEnd"/>
            <w:r w:rsidRPr="00845A92">
              <w:t xml:space="preserve"> </w:t>
            </w:r>
          </w:p>
        </w:tc>
        <w:tc>
          <w:tcPr>
            <w:tcW w:w="0" w:type="auto"/>
            <w:tcBorders>
              <w:top w:val="single" w:sz="4" w:space="0" w:color="000000"/>
            </w:tcBorders>
            <w:shd w:val="clear" w:color="auto" w:fill="auto"/>
          </w:tcPr>
          <w:p w:rsidR="00F8552E" w:rsidRPr="00845A92" w:rsidRDefault="00F8552E" w:rsidP="000025D0">
            <w:pPr>
              <w:pStyle w:val="TblTextCenter"/>
            </w:pPr>
            <w:r w:rsidRPr="00845A92">
              <w:t>352 (5.7%)</w:t>
            </w:r>
          </w:p>
          <w:p w:rsidR="00F8552E" w:rsidRPr="00845A92" w:rsidRDefault="00F8552E" w:rsidP="000025D0">
            <w:pPr>
              <w:pStyle w:val="TblTextCenter"/>
            </w:pPr>
            <w:r w:rsidRPr="00845A92">
              <w:t>3533 (57%)</w:t>
            </w:r>
          </w:p>
        </w:tc>
        <w:tc>
          <w:tcPr>
            <w:tcW w:w="0" w:type="auto"/>
            <w:tcBorders>
              <w:top w:val="single" w:sz="4" w:space="0" w:color="000000"/>
            </w:tcBorders>
            <w:shd w:val="clear" w:color="auto" w:fill="auto"/>
          </w:tcPr>
          <w:p w:rsidR="00F8552E" w:rsidRPr="00845A92" w:rsidRDefault="00F8552E" w:rsidP="000025D0">
            <w:pPr>
              <w:pStyle w:val="TblTextCenter"/>
            </w:pPr>
            <w:r w:rsidRPr="00845A92">
              <w:t>1.05</w:t>
            </w:r>
          </w:p>
          <w:p w:rsidR="00F8552E" w:rsidRPr="00845A92" w:rsidRDefault="00F8552E" w:rsidP="000025D0">
            <w:pPr>
              <w:pStyle w:val="TblTextCenter"/>
            </w:pPr>
            <w:r w:rsidRPr="00845A92">
              <w:t>10.6</w:t>
            </w:r>
          </w:p>
        </w:tc>
        <w:tc>
          <w:tcPr>
            <w:tcW w:w="0" w:type="auto"/>
            <w:tcBorders>
              <w:top w:val="single" w:sz="4" w:space="0" w:color="000000"/>
            </w:tcBorders>
            <w:shd w:val="clear" w:color="auto" w:fill="auto"/>
          </w:tcPr>
          <w:p w:rsidR="00F8552E" w:rsidRPr="00845A92" w:rsidRDefault="00F8552E" w:rsidP="000025D0">
            <w:pPr>
              <w:pStyle w:val="TblTextCenter"/>
            </w:pPr>
            <w:r w:rsidRPr="00845A92">
              <w:t>113 (1.9%)</w:t>
            </w:r>
          </w:p>
          <w:p w:rsidR="00F8552E" w:rsidRPr="00845A92" w:rsidRDefault="00F8552E" w:rsidP="000025D0">
            <w:pPr>
              <w:pStyle w:val="TblTextCenter"/>
            </w:pPr>
            <w:r w:rsidRPr="00845A92">
              <w:t>1582 (25%)</w:t>
            </w:r>
          </w:p>
        </w:tc>
        <w:tc>
          <w:tcPr>
            <w:tcW w:w="0" w:type="auto"/>
            <w:tcBorders>
              <w:top w:val="single" w:sz="4" w:space="0" w:color="000000"/>
            </w:tcBorders>
            <w:shd w:val="clear" w:color="auto" w:fill="auto"/>
          </w:tcPr>
          <w:p w:rsidR="00F8552E" w:rsidRPr="00845A92" w:rsidRDefault="00F8552E" w:rsidP="000025D0">
            <w:pPr>
              <w:pStyle w:val="TblTextCenter"/>
            </w:pPr>
            <w:r w:rsidRPr="00845A92">
              <w:t>0.30</w:t>
            </w:r>
          </w:p>
          <w:p w:rsidR="00F8552E" w:rsidRPr="00845A92" w:rsidRDefault="00F8552E" w:rsidP="000025D0">
            <w:pPr>
              <w:pStyle w:val="TblTextCenter"/>
            </w:pPr>
            <w:r w:rsidRPr="00845A92">
              <w:t>4.3</w:t>
            </w:r>
          </w:p>
        </w:tc>
      </w:tr>
      <w:tr w:rsidR="00F8552E" w:rsidRPr="00845A92" w:rsidTr="000025D0">
        <w:trPr>
          <w:cantSplit/>
          <w:jc w:val="center"/>
        </w:trPr>
        <w:tc>
          <w:tcPr>
            <w:tcW w:w="0" w:type="auto"/>
            <w:tcBorders>
              <w:bottom w:val="single" w:sz="12" w:space="0" w:color="auto"/>
            </w:tcBorders>
            <w:shd w:val="clear" w:color="auto" w:fill="auto"/>
          </w:tcPr>
          <w:p w:rsidR="00F8552E" w:rsidRPr="00845A92" w:rsidRDefault="00F8552E" w:rsidP="000025D0">
            <w:pPr>
              <w:pStyle w:val="TblTextCenter"/>
            </w:pPr>
            <w:r w:rsidRPr="00845A92">
              <w:t xml:space="preserve">All </w:t>
            </w:r>
            <w:proofErr w:type="spellStart"/>
            <w:r w:rsidRPr="00845A92">
              <w:t>hypoglycaemia</w:t>
            </w:r>
            <w:proofErr w:type="spellEnd"/>
          </w:p>
        </w:tc>
        <w:tc>
          <w:tcPr>
            <w:tcW w:w="0" w:type="auto"/>
            <w:tcBorders>
              <w:bottom w:val="single" w:sz="12" w:space="0" w:color="auto"/>
            </w:tcBorders>
            <w:shd w:val="clear" w:color="auto" w:fill="auto"/>
          </w:tcPr>
          <w:p w:rsidR="00F8552E" w:rsidRPr="00845A92" w:rsidRDefault="00F8552E" w:rsidP="000025D0">
            <w:pPr>
              <w:pStyle w:val="TblTextCenter"/>
            </w:pPr>
            <w:r w:rsidRPr="00845A92">
              <w:t>3597 (58%)</w:t>
            </w:r>
          </w:p>
        </w:tc>
        <w:tc>
          <w:tcPr>
            <w:tcW w:w="0" w:type="auto"/>
            <w:tcBorders>
              <w:bottom w:val="single" w:sz="12" w:space="0" w:color="auto"/>
            </w:tcBorders>
            <w:shd w:val="clear" w:color="auto" w:fill="auto"/>
          </w:tcPr>
          <w:p w:rsidR="00F8552E" w:rsidRPr="00845A92" w:rsidRDefault="00F8552E" w:rsidP="000025D0">
            <w:pPr>
              <w:pStyle w:val="TblTextCenter"/>
            </w:pPr>
            <w:r w:rsidRPr="00845A92">
              <w:t>10.7</w:t>
            </w:r>
          </w:p>
        </w:tc>
        <w:tc>
          <w:tcPr>
            <w:tcW w:w="0" w:type="auto"/>
            <w:tcBorders>
              <w:bottom w:val="single" w:sz="12" w:space="0" w:color="auto"/>
            </w:tcBorders>
            <w:shd w:val="clear" w:color="auto" w:fill="auto"/>
          </w:tcPr>
          <w:p w:rsidR="00F8552E" w:rsidRPr="00845A92" w:rsidRDefault="00F8552E" w:rsidP="000025D0">
            <w:pPr>
              <w:pStyle w:val="TblTextCenter"/>
            </w:pPr>
            <w:r w:rsidRPr="00845A92">
              <w:t>1624 (26%)</w:t>
            </w:r>
          </w:p>
        </w:tc>
        <w:tc>
          <w:tcPr>
            <w:tcW w:w="0" w:type="auto"/>
            <w:tcBorders>
              <w:bottom w:val="single" w:sz="12" w:space="0" w:color="auto"/>
            </w:tcBorders>
            <w:shd w:val="clear" w:color="auto" w:fill="auto"/>
          </w:tcPr>
          <w:p w:rsidR="00F8552E" w:rsidRPr="00845A92" w:rsidRDefault="00F8552E" w:rsidP="000025D0">
            <w:pPr>
              <w:pStyle w:val="TblTextCenter"/>
            </w:pPr>
            <w:r w:rsidRPr="00845A92">
              <w:t>4.4</w:t>
            </w:r>
          </w:p>
        </w:tc>
      </w:tr>
      <w:tr w:rsidR="00F8552E" w:rsidRPr="00845A92" w:rsidTr="000025D0">
        <w:trPr>
          <w:cantSplit/>
          <w:jc w:val="center"/>
        </w:trPr>
        <w:tc>
          <w:tcPr>
            <w:tcW w:w="0" w:type="auto"/>
            <w:gridSpan w:val="5"/>
            <w:tcBorders>
              <w:top w:val="single" w:sz="12" w:space="0" w:color="auto"/>
            </w:tcBorders>
            <w:shd w:val="clear" w:color="auto" w:fill="auto"/>
          </w:tcPr>
          <w:p w:rsidR="00F8552E" w:rsidRPr="00845A92" w:rsidRDefault="00F8552E" w:rsidP="000025D0">
            <w:pPr>
              <w:pStyle w:val="TblFigFootnote"/>
            </w:pPr>
          </w:p>
        </w:tc>
      </w:tr>
    </w:tbl>
    <w:p w:rsidR="00FD757B" w:rsidRPr="00845A92" w:rsidRDefault="00F8552E" w:rsidP="00F8552E">
      <w:pPr>
        <w:rPr>
          <w:color w:val="auto"/>
        </w:rPr>
      </w:pPr>
      <w:r w:rsidRPr="00845A92">
        <w:rPr>
          <w:color w:val="auto"/>
        </w:rPr>
        <w:t>The median of the change in body weight from baseline to the last on-treatment visit was 2.2kg greater in the Lantus group than in the Standard Care group i.e. weight gain of 1.4kg in LANTUS group compared to weight loss of 0.8kg in standard care group.</w:t>
      </w:r>
    </w:p>
    <w:p w:rsidR="00F8552E" w:rsidRPr="00845A92" w:rsidRDefault="00F8552E" w:rsidP="004D0406">
      <w:pPr>
        <w:pageBreakBefore/>
        <w:rPr>
          <w:color w:val="auto"/>
        </w:rPr>
      </w:pPr>
      <w:bookmarkStart w:id="25" w:name="_GoBack"/>
      <w:bookmarkEnd w:id="25"/>
      <w:r w:rsidRPr="00845A92">
        <w:rPr>
          <w:color w:val="auto"/>
        </w:rPr>
        <w:lastRenderedPageBreak/>
        <w:t>Cancer</w:t>
      </w:r>
    </w:p>
    <w:p w:rsidR="00F8552E" w:rsidRPr="00845A92" w:rsidRDefault="00F8552E" w:rsidP="00F8552E">
      <w:pPr>
        <w:rPr>
          <w:color w:val="auto"/>
        </w:rPr>
      </w:pPr>
      <w:r w:rsidRPr="00845A92">
        <w:rPr>
          <w:color w:val="auto"/>
        </w:rPr>
        <w:t>In the ORIGIN trial, the overall incidence of cancer (all types combined) or death from cancers was similar between the treatment groups as shown in the Table below:</w:t>
      </w:r>
    </w:p>
    <w:p w:rsidR="00F8552E" w:rsidRPr="00845A92" w:rsidRDefault="00F8552E" w:rsidP="00F8552E">
      <w:pPr>
        <w:pStyle w:val="Caption"/>
      </w:pPr>
      <w:r w:rsidRPr="00845A92">
        <w:t xml:space="preserve"> Table </w:t>
      </w:r>
      <w:r w:rsidR="0069078C">
        <w:fldChar w:fldCharType="begin"/>
      </w:r>
      <w:r w:rsidR="0069078C">
        <w:instrText xml:space="preserve"> SEQ Table \* ARABIC </w:instrText>
      </w:r>
      <w:r w:rsidR="0069078C">
        <w:fldChar w:fldCharType="separate"/>
      </w:r>
      <w:r w:rsidR="002C5256">
        <w:rPr>
          <w:noProof/>
        </w:rPr>
        <w:t>6</w:t>
      </w:r>
      <w:r w:rsidR="0069078C">
        <w:fldChar w:fldCharType="end"/>
      </w:r>
      <w:r w:rsidRPr="00845A92">
        <w:t xml:space="preserve"> ­ Cancer Outcomes in ORIGIN – Time to First event Analyses</w:t>
      </w:r>
    </w:p>
    <w:tbl>
      <w:tblPr>
        <w:tblW w:w="9518" w:type="dxa"/>
        <w:jc w:val="center"/>
        <w:tblBorders>
          <w:top w:val="single" w:sz="2" w:space="0" w:color="000000"/>
        </w:tblBorders>
        <w:tblLook w:val="04A0" w:firstRow="1" w:lastRow="0" w:firstColumn="1" w:lastColumn="0" w:noHBand="0" w:noVBand="1"/>
      </w:tblPr>
      <w:tblGrid>
        <w:gridCol w:w="2805"/>
        <w:gridCol w:w="1757"/>
        <w:gridCol w:w="2267"/>
        <w:gridCol w:w="2689"/>
      </w:tblGrid>
      <w:tr w:rsidR="00F8552E" w:rsidRPr="00845A92" w:rsidTr="00325FBD">
        <w:trPr>
          <w:cantSplit/>
          <w:trHeight w:val="566"/>
          <w:tblHeader/>
          <w:jc w:val="center"/>
        </w:trPr>
        <w:tc>
          <w:tcPr>
            <w:tcW w:w="0" w:type="auto"/>
            <w:vMerge w:val="restart"/>
            <w:tcBorders>
              <w:top w:val="single" w:sz="4" w:space="0" w:color="000000"/>
              <w:bottom w:val="single" w:sz="4" w:space="0" w:color="auto"/>
              <w:right w:val="nil"/>
            </w:tcBorders>
            <w:shd w:val="clear" w:color="auto" w:fill="auto"/>
          </w:tcPr>
          <w:p w:rsidR="00325FBD" w:rsidRDefault="00325FBD" w:rsidP="00325FBD">
            <w:pPr>
              <w:pStyle w:val="TblHeadingCenter"/>
              <w:spacing w:before="0"/>
              <w:rPr>
                <w:b w:val="0"/>
              </w:rPr>
            </w:pPr>
          </w:p>
          <w:p w:rsidR="00325FBD" w:rsidRDefault="00325FBD" w:rsidP="00325FBD">
            <w:pPr>
              <w:pStyle w:val="TblHeadingCenter"/>
              <w:spacing w:before="0"/>
              <w:rPr>
                <w:b w:val="0"/>
              </w:rPr>
            </w:pPr>
          </w:p>
          <w:p w:rsidR="00F8552E" w:rsidRPr="00325FBD" w:rsidRDefault="00325FBD" w:rsidP="00325FBD">
            <w:pPr>
              <w:pStyle w:val="TblHeadingCenter"/>
              <w:spacing w:before="0"/>
              <w:jc w:val="left"/>
            </w:pPr>
            <w:r w:rsidRPr="00325FBD">
              <w:t>Cancer endpoints</w:t>
            </w:r>
          </w:p>
        </w:tc>
        <w:tc>
          <w:tcPr>
            <w:tcW w:w="1757" w:type="dxa"/>
            <w:tcBorders>
              <w:top w:val="single" w:sz="4" w:space="0" w:color="000000"/>
              <w:left w:val="nil"/>
              <w:bottom w:val="single" w:sz="4" w:space="0" w:color="auto"/>
              <w:right w:val="nil"/>
            </w:tcBorders>
            <w:shd w:val="clear" w:color="auto" w:fill="auto"/>
            <w:vAlign w:val="center"/>
          </w:tcPr>
          <w:p w:rsidR="00F8552E" w:rsidRPr="00845A92" w:rsidRDefault="00F8552E" w:rsidP="00325FBD">
            <w:pPr>
              <w:pStyle w:val="TblHeadingCenter"/>
              <w:spacing w:before="0"/>
            </w:pPr>
            <w:r w:rsidRPr="00845A92">
              <w:t>LANTUS</w:t>
            </w:r>
          </w:p>
          <w:p w:rsidR="00F8552E" w:rsidRPr="00845A92" w:rsidRDefault="00F8552E" w:rsidP="00325FBD">
            <w:pPr>
              <w:pStyle w:val="TblHeadingCenter"/>
              <w:spacing w:before="0"/>
            </w:pPr>
            <w:r w:rsidRPr="00845A92">
              <w:t>N=6264</w:t>
            </w:r>
          </w:p>
        </w:tc>
        <w:tc>
          <w:tcPr>
            <w:tcW w:w="2267" w:type="dxa"/>
            <w:tcBorders>
              <w:top w:val="single" w:sz="4" w:space="0" w:color="000000"/>
              <w:left w:val="nil"/>
              <w:bottom w:val="single" w:sz="4" w:space="0" w:color="auto"/>
              <w:right w:val="nil"/>
            </w:tcBorders>
            <w:shd w:val="clear" w:color="auto" w:fill="auto"/>
            <w:vAlign w:val="center"/>
          </w:tcPr>
          <w:p w:rsidR="00F8552E" w:rsidRPr="00845A92" w:rsidRDefault="00F8552E" w:rsidP="00325FBD">
            <w:pPr>
              <w:pStyle w:val="TblHeadingCenter"/>
              <w:spacing w:before="0"/>
            </w:pPr>
            <w:r w:rsidRPr="00845A92">
              <w:t>STANDARD CARE</w:t>
            </w:r>
          </w:p>
          <w:p w:rsidR="00F8552E" w:rsidRPr="00845A92" w:rsidRDefault="00F8552E" w:rsidP="00325FBD">
            <w:pPr>
              <w:pStyle w:val="TblHeadingCenter"/>
              <w:spacing w:before="0"/>
            </w:pPr>
            <w:r w:rsidRPr="00845A92">
              <w:t>N=6273</w:t>
            </w:r>
          </w:p>
        </w:tc>
        <w:tc>
          <w:tcPr>
            <w:tcW w:w="2689" w:type="dxa"/>
            <w:tcBorders>
              <w:top w:val="single" w:sz="4" w:space="0" w:color="000000"/>
              <w:left w:val="nil"/>
              <w:bottom w:val="single" w:sz="4" w:space="0" w:color="auto"/>
            </w:tcBorders>
            <w:shd w:val="clear" w:color="auto" w:fill="auto"/>
            <w:vAlign w:val="center"/>
          </w:tcPr>
          <w:p w:rsidR="00F8552E" w:rsidRPr="00845A92" w:rsidRDefault="00F8552E" w:rsidP="00325FBD">
            <w:pPr>
              <w:pStyle w:val="TblHeadingCenter"/>
              <w:spacing w:before="0"/>
            </w:pPr>
            <w:r w:rsidRPr="00845A92">
              <w:t>LANTUS vs STANDARD CARE</w:t>
            </w:r>
          </w:p>
        </w:tc>
      </w:tr>
      <w:tr w:rsidR="00F8552E" w:rsidRPr="00845A92" w:rsidTr="00325FBD">
        <w:trPr>
          <w:cantSplit/>
          <w:trHeight w:val="116"/>
          <w:tblHeader/>
          <w:jc w:val="center"/>
        </w:trPr>
        <w:tc>
          <w:tcPr>
            <w:tcW w:w="0" w:type="auto"/>
            <w:vMerge/>
            <w:tcBorders>
              <w:top w:val="single" w:sz="4" w:space="0" w:color="auto"/>
              <w:bottom w:val="single" w:sz="4" w:space="0" w:color="000000"/>
              <w:right w:val="nil"/>
            </w:tcBorders>
            <w:shd w:val="clear" w:color="auto" w:fill="auto"/>
          </w:tcPr>
          <w:p w:rsidR="00F8552E" w:rsidRPr="00845A92" w:rsidRDefault="00F8552E" w:rsidP="00325FBD">
            <w:pPr>
              <w:spacing w:before="0"/>
              <w:rPr>
                <w:color w:val="auto"/>
              </w:rPr>
            </w:pPr>
          </w:p>
        </w:tc>
        <w:tc>
          <w:tcPr>
            <w:tcW w:w="1757" w:type="dxa"/>
            <w:tcBorders>
              <w:top w:val="single" w:sz="4" w:space="0" w:color="auto"/>
              <w:left w:val="nil"/>
              <w:bottom w:val="single" w:sz="4" w:space="0" w:color="auto"/>
              <w:right w:val="nil"/>
            </w:tcBorders>
            <w:shd w:val="clear" w:color="auto" w:fill="auto"/>
            <w:vAlign w:val="center"/>
          </w:tcPr>
          <w:p w:rsidR="00F8552E" w:rsidRPr="00845A92" w:rsidRDefault="00F8552E" w:rsidP="00325FBD">
            <w:pPr>
              <w:pStyle w:val="TblTextCenter"/>
              <w:spacing w:before="0"/>
            </w:pPr>
            <w:r w:rsidRPr="00845A92">
              <w:t>n</w:t>
            </w:r>
          </w:p>
          <w:p w:rsidR="00F8552E" w:rsidRPr="00845A92" w:rsidRDefault="00F8552E" w:rsidP="00325FBD">
            <w:pPr>
              <w:pStyle w:val="TblTextCenter"/>
              <w:spacing w:before="0"/>
            </w:pPr>
            <w:r w:rsidRPr="00845A92">
              <w:t>(Events per 100 PY)</w:t>
            </w:r>
          </w:p>
        </w:tc>
        <w:tc>
          <w:tcPr>
            <w:tcW w:w="2267" w:type="dxa"/>
            <w:tcBorders>
              <w:top w:val="single" w:sz="4" w:space="0" w:color="auto"/>
              <w:left w:val="nil"/>
              <w:bottom w:val="single" w:sz="4" w:space="0" w:color="auto"/>
              <w:right w:val="nil"/>
            </w:tcBorders>
            <w:shd w:val="clear" w:color="auto" w:fill="auto"/>
            <w:vAlign w:val="center"/>
          </w:tcPr>
          <w:p w:rsidR="00F8552E" w:rsidRPr="00845A92" w:rsidRDefault="00F8552E" w:rsidP="00325FBD">
            <w:pPr>
              <w:pStyle w:val="TblTextCenter"/>
              <w:spacing w:before="0"/>
            </w:pPr>
            <w:r w:rsidRPr="00845A92">
              <w:t>n</w:t>
            </w:r>
          </w:p>
          <w:p w:rsidR="00F8552E" w:rsidRPr="00845A92" w:rsidRDefault="00F8552E" w:rsidP="00325FBD">
            <w:pPr>
              <w:pStyle w:val="TblTextCenter"/>
              <w:spacing w:before="0"/>
            </w:pPr>
            <w:r w:rsidRPr="00845A92">
              <w:t>(Events per 100 PY)</w:t>
            </w:r>
          </w:p>
        </w:tc>
        <w:tc>
          <w:tcPr>
            <w:tcW w:w="2689" w:type="dxa"/>
            <w:tcBorders>
              <w:top w:val="single" w:sz="4" w:space="0" w:color="auto"/>
              <w:left w:val="nil"/>
              <w:bottom w:val="single" w:sz="4" w:space="0" w:color="auto"/>
            </w:tcBorders>
            <w:shd w:val="clear" w:color="auto" w:fill="auto"/>
            <w:vAlign w:val="center"/>
          </w:tcPr>
          <w:p w:rsidR="00F8552E" w:rsidRPr="00845A92" w:rsidRDefault="00F8552E" w:rsidP="00325FBD">
            <w:pPr>
              <w:pStyle w:val="TblTextCenter"/>
              <w:spacing w:before="0"/>
            </w:pPr>
            <w:r w:rsidRPr="00845A92">
              <w:t>Hazard Ratio (95% CI)</w:t>
            </w:r>
          </w:p>
        </w:tc>
      </w:tr>
      <w:tr w:rsidR="00F8552E" w:rsidRPr="00845A92" w:rsidTr="00325FBD">
        <w:trPr>
          <w:cantSplit/>
          <w:trHeight w:val="566"/>
          <w:jc w:val="center"/>
        </w:trPr>
        <w:tc>
          <w:tcPr>
            <w:tcW w:w="0" w:type="auto"/>
            <w:shd w:val="clear" w:color="auto" w:fill="auto"/>
          </w:tcPr>
          <w:p w:rsidR="00F8552E" w:rsidRPr="00845A92" w:rsidRDefault="00F8552E" w:rsidP="00325FBD">
            <w:pPr>
              <w:pStyle w:val="TblTextCenter"/>
              <w:spacing w:before="0"/>
              <w:jc w:val="left"/>
            </w:pPr>
            <w:r w:rsidRPr="00845A92">
              <w:t>Any cancer event (new or recurrent)</w:t>
            </w:r>
          </w:p>
        </w:tc>
        <w:tc>
          <w:tcPr>
            <w:tcW w:w="1757" w:type="dxa"/>
            <w:tcBorders>
              <w:top w:val="single" w:sz="4" w:space="0" w:color="auto"/>
            </w:tcBorders>
            <w:shd w:val="clear" w:color="auto" w:fill="auto"/>
            <w:vAlign w:val="center"/>
          </w:tcPr>
          <w:p w:rsidR="00F8552E" w:rsidRPr="00845A92" w:rsidRDefault="00F8552E" w:rsidP="00325FBD">
            <w:pPr>
              <w:pStyle w:val="TblTextCenter"/>
              <w:spacing w:before="0"/>
            </w:pPr>
            <w:r w:rsidRPr="00845A92">
              <w:t>559</w:t>
            </w:r>
          </w:p>
          <w:p w:rsidR="00F8552E" w:rsidRPr="00845A92" w:rsidRDefault="00F8552E" w:rsidP="00325FBD">
            <w:pPr>
              <w:pStyle w:val="TblTextCenter"/>
              <w:spacing w:before="0"/>
            </w:pPr>
            <w:r w:rsidRPr="00845A92">
              <w:t>(1.56)</w:t>
            </w:r>
          </w:p>
        </w:tc>
        <w:tc>
          <w:tcPr>
            <w:tcW w:w="2267" w:type="dxa"/>
            <w:tcBorders>
              <w:top w:val="single" w:sz="4" w:space="0" w:color="auto"/>
            </w:tcBorders>
            <w:shd w:val="clear" w:color="auto" w:fill="auto"/>
            <w:vAlign w:val="center"/>
          </w:tcPr>
          <w:p w:rsidR="00F8552E" w:rsidRPr="00845A92" w:rsidRDefault="00F8552E" w:rsidP="00325FBD">
            <w:pPr>
              <w:pStyle w:val="TblTextCenter"/>
              <w:spacing w:before="0"/>
            </w:pPr>
            <w:r w:rsidRPr="00845A92">
              <w:t>561</w:t>
            </w:r>
          </w:p>
          <w:p w:rsidR="00F8552E" w:rsidRPr="00845A92" w:rsidRDefault="00F8552E" w:rsidP="00325FBD">
            <w:pPr>
              <w:pStyle w:val="TblTextCenter"/>
              <w:spacing w:before="0"/>
            </w:pPr>
            <w:r w:rsidRPr="00845A92">
              <w:t>(1.56)</w:t>
            </w:r>
          </w:p>
        </w:tc>
        <w:tc>
          <w:tcPr>
            <w:tcW w:w="2689" w:type="dxa"/>
            <w:tcBorders>
              <w:top w:val="single" w:sz="4" w:space="0" w:color="auto"/>
            </w:tcBorders>
            <w:shd w:val="clear" w:color="auto" w:fill="auto"/>
            <w:vAlign w:val="center"/>
          </w:tcPr>
          <w:p w:rsidR="00F8552E" w:rsidRPr="00845A92" w:rsidRDefault="00F8552E" w:rsidP="00325FBD">
            <w:pPr>
              <w:pStyle w:val="TblTextCenter"/>
              <w:spacing w:before="0"/>
            </w:pPr>
            <w:r w:rsidRPr="00845A92">
              <w:t>0.99 (0.88, 1.11)</w:t>
            </w:r>
          </w:p>
        </w:tc>
      </w:tr>
      <w:tr w:rsidR="00F8552E" w:rsidRPr="00845A92" w:rsidTr="00325FBD">
        <w:trPr>
          <w:cantSplit/>
          <w:trHeight w:val="557"/>
          <w:jc w:val="center"/>
        </w:trPr>
        <w:tc>
          <w:tcPr>
            <w:tcW w:w="0" w:type="auto"/>
            <w:shd w:val="clear" w:color="auto" w:fill="auto"/>
          </w:tcPr>
          <w:p w:rsidR="00F8552E" w:rsidRPr="00845A92" w:rsidRDefault="00F8552E" w:rsidP="00325FBD">
            <w:pPr>
              <w:pStyle w:val="TblTextCenter"/>
              <w:spacing w:before="0"/>
              <w:jc w:val="left"/>
            </w:pPr>
            <w:r w:rsidRPr="00845A92">
              <w:t>New cancer events</w:t>
            </w:r>
          </w:p>
        </w:tc>
        <w:tc>
          <w:tcPr>
            <w:tcW w:w="1757" w:type="dxa"/>
            <w:shd w:val="clear" w:color="auto" w:fill="auto"/>
            <w:vAlign w:val="center"/>
          </w:tcPr>
          <w:p w:rsidR="00F8552E" w:rsidRPr="00845A92" w:rsidRDefault="00F8552E" w:rsidP="00325FBD">
            <w:pPr>
              <w:pStyle w:val="TblTextCenter"/>
              <w:spacing w:before="0"/>
            </w:pPr>
            <w:r w:rsidRPr="00845A92">
              <w:t>524</w:t>
            </w:r>
          </w:p>
          <w:p w:rsidR="00F8552E" w:rsidRPr="00845A92" w:rsidRDefault="00F8552E" w:rsidP="00325FBD">
            <w:pPr>
              <w:pStyle w:val="TblTextCenter"/>
              <w:spacing w:before="0"/>
            </w:pPr>
            <w:r w:rsidRPr="00845A92">
              <w:t>(1.46)</w:t>
            </w:r>
          </w:p>
        </w:tc>
        <w:tc>
          <w:tcPr>
            <w:tcW w:w="2267" w:type="dxa"/>
            <w:shd w:val="clear" w:color="auto" w:fill="auto"/>
            <w:vAlign w:val="center"/>
          </w:tcPr>
          <w:p w:rsidR="00F8552E" w:rsidRPr="00845A92" w:rsidRDefault="00F8552E" w:rsidP="00325FBD">
            <w:pPr>
              <w:pStyle w:val="TblTextCenter"/>
              <w:spacing w:before="0"/>
            </w:pPr>
            <w:r w:rsidRPr="00845A92">
              <w:t>535</w:t>
            </w:r>
          </w:p>
          <w:p w:rsidR="00F8552E" w:rsidRPr="00845A92" w:rsidRDefault="00F8552E" w:rsidP="00325FBD">
            <w:pPr>
              <w:pStyle w:val="TblTextCenter"/>
              <w:spacing w:before="0"/>
            </w:pPr>
            <w:r w:rsidRPr="00845A92">
              <w:t>(1.49)</w:t>
            </w:r>
          </w:p>
        </w:tc>
        <w:tc>
          <w:tcPr>
            <w:tcW w:w="2689" w:type="dxa"/>
            <w:shd w:val="clear" w:color="auto" w:fill="auto"/>
            <w:vAlign w:val="center"/>
          </w:tcPr>
          <w:p w:rsidR="00F8552E" w:rsidRPr="00845A92" w:rsidRDefault="00F8552E" w:rsidP="00325FBD">
            <w:pPr>
              <w:pStyle w:val="TblTextCenter"/>
              <w:spacing w:before="0"/>
            </w:pPr>
            <w:r w:rsidRPr="00845A92">
              <w:t>0.96 (0.85, 1.09)</w:t>
            </w:r>
          </w:p>
        </w:tc>
      </w:tr>
      <w:tr w:rsidR="00F8552E" w:rsidRPr="00845A92" w:rsidTr="00325FBD">
        <w:trPr>
          <w:cantSplit/>
          <w:trHeight w:val="566"/>
          <w:jc w:val="center"/>
        </w:trPr>
        <w:tc>
          <w:tcPr>
            <w:tcW w:w="0" w:type="auto"/>
            <w:shd w:val="clear" w:color="auto" w:fill="auto"/>
          </w:tcPr>
          <w:p w:rsidR="00F8552E" w:rsidRPr="00845A92" w:rsidRDefault="00F8552E" w:rsidP="000025D0">
            <w:pPr>
              <w:pStyle w:val="TblTextCenter"/>
              <w:jc w:val="left"/>
            </w:pPr>
            <w:r w:rsidRPr="00845A92">
              <w:t>Death due to Cancer</w:t>
            </w:r>
          </w:p>
        </w:tc>
        <w:tc>
          <w:tcPr>
            <w:tcW w:w="1757" w:type="dxa"/>
            <w:shd w:val="clear" w:color="auto" w:fill="auto"/>
            <w:vAlign w:val="center"/>
          </w:tcPr>
          <w:p w:rsidR="00F8552E" w:rsidRPr="00845A92" w:rsidRDefault="00F8552E" w:rsidP="000025D0">
            <w:pPr>
              <w:pStyle w:val="TblTextCenter"/>
            </w:pPr>
            <w:r w:rsidRPr="00845A92">
              <w:t>189</w:t>
            </w:r>
          </w:p>
          <w:p w:rsidR="00F8552E" w:rsidRPr="00845A92" w:rsidRDefault="00F8552E" w:rsidP="000025D0">
            <w:pPr>
              <w:pStyle w:val="TblTextCenter"/>
            </w:pPr>
            <w:r w:rsidRPr="00845A92">
              <w:t>(0.51)</w:t>
            </w:r>
          </w:p>
        </w:tc>
        <w:tc>
          <w:tcPr>
            <w:tcW w:w="2267" w:type="dxa"/>
            <w:shd w:val="clear" w:color="auto" w:fill="auto"/>
            <w:vAlign w:val="center"/>
          </w:tcPr>
          <w:p w:rsidR="00F8552E" w:rsidRPr="00845A92" w:rsidRDefault="00F8552E" w:rsidP="000025D0">
            <w:pPr>
              <w:pStyle w:val="TblTextCenter"/>
            </w:pPr>
            <w:r w:rsidRPr="00845A92">
              <w:t>201</w:t>
            </w:r>
          </w:p>
          <w:p w:rsidR="00F8552E" w:rsidRPr="00845A92" w:rsidRDefault="00F8552E" w:rsidP="000025D0">
            <w:pPr>
              <w:pStyle w:val="TblTextCenter"/>
            </w:pPr>
            <w:r w:rsidRPr="00845A92">
              <w:t>(0.54)</w:t>
            </w:r>
          </w:p>
        </w:tc>
        <w:tc>
          <w:tcPr>
            <w:tcW w:w="2689" w:type="dxa"/>
            <w:shd w:val="clear" w:color="auto" w:fill="auto"/>
            <w:vAlign w:val="center"/>
          </w:tcPr>
          <w:p w:rsidR="00F8552E" w:rsidRPr="00845A92" w:rsidRDefault="00F8552E" w:rsidP="000025D0">
            <w:pPr>
              <w:pStyle w:val="TblTextCenter"/>
            </w:pPr>
            <w:r w:rsidRPr="00845A92">
              <w:t>0.94 (0.77, 1.15)</w:t>
            </w:r>
          </w:p>
        </w:tc>
      </w:tr>
      <w:tr w:rsidR="00F8552E" w:rsidRPr="0055486B" w:rsidTr="00884590">
        <w:trPr>
          <w:cantSplit/>
          <w:trHeight w:val="335"/>
          <w:jc w:val="center"/>
        </w:trPr>
        <w:tc>
          <w:tcPr>
            <w:tcW w:w="0" w:type="auto"/>
            <w:gridSpan w:val="4"/>
            <w:tcBorders>
              <w:top w:val="single" w:sz="12" w:space="0" w:color="auto"/>
            </w:tcBorders>
            <w:shd w:val="clear" w:color="auto" w:fill="auto"/>
          </w:tcPr>
          <w:p w:rsidR="00F8552E" w:rsidRPr="0055486B" w:rsidRDefault="00F8552E" w:rsidP="000025D0">
            <w:pPr>
              <w:pStyle w:val="TblFigFootnote"/>
              <w:rPr>
                <w:rFonts w:ascii="Times New Roman" w:hAnsi="Times New Roman"/>
                <w:color w:val="00B0F0"/>
                <w:sz w:val="24"/>
                <w:szCs w:val="24"/>
                <w:lang w:val="fr-FR"/>
              </w:rPr>
            </w:pPr>
          </w:p>
        </w:tc>
      </w:tr>
    </w:tbl>
    <w:p w:rsidR="00BC52A5" w:rsidRPr="002C35D2" w:rsidRDefault="00BC52A5" w:rsidP="00BC52A5">
      <w:pPr>
        <w:pStyle w:val="Heading1"/>
        <w:pageBreakBefore w:val="0"/>
        <w:numPr>
          <w:ilvl w:val="0"/>
          <w:numId w:val="0"/>
        </w:numPr>
      </w:pPr>
      <w:r w:rsidRPr="002C35D2">
        <w:t>indications</w:t>
      </w:r>
      <w:bookmarkEnd w:id="24"/>
    </w:p>
    <w:p w:rsidR="00BC52A5" w:rsidRDefault="00E13719" w:rsidP="00BC52A5">
      <w:pPr>
        <w:rPr>
          <w:color w:val="auto"/>
        </w:rPr>
      </w:pPr>
      <w:r w:rsidRPr="002C35D2">
        <w:rPr>
          <w:color w:val="auto"/>
        </w:rPr>
        <w:t>Treatment</w:t>
      </w:r>
      <w:r w:rsidR="001760AC">
        <w:rPr>
          <w:color w:val="auto"/>
        </w:rPr>
        <w:t xml:space="preserve"> of diabetes mellitus in adults</w:t>
      </w:r>
    </w:p>
    <w:p w:rsidR="00BC52A5" w:rsidRDefault="00BC52A5" w:rsidP="00BC52A5">
      <w:pPr>
        <w:pStyle w:val="Heading1"/>
        <w:pageBreakBefore w:val="0"/>
        <w:numPr>
          <w:ilvl w:val="0"/>
          <w:numId w:val="0"/>
        </w:numPr>
      </w:pPr>
      <w:bookmarkStart w:id="26" w:name="_Toc381269215"/>
      <w:r>
        <w:t>contraindications</w:t>
      </w:r>
      <w:bookmarkEnd w:id="26"/>
    </w:p>
    <w:p w:rsidR="009A5458" w:rsidRDefault="0056245B" w:rsidP="00E13719">
      <w:pPr>
        <w:rPr>
          <w:color w:val="auto"/>
        </w:rPr>
      </w:pPr>
      <w:proofErr w:type="spellStart"/>
      <w:r>
        <w:rPr>
          <w:color w:val="auto"/>
        </w:rPr>
        <w:t>Toujeo</w:t>
      </w:r>
      <w:proofErr w:type="spellEnd"/>
      <w:r w:rsidR="00205D0B" w:rsidRPr="00845A92">
        <w:rPr>
          <w:color w:val="auto"/>
        </w:rPr>
        <w:t xml:space="preserve"> must not be used in patients hypersensitive to insulin </w:t>
      </w:r>
      <w:proofErr w:type="spellStart"/>
      <w:r w:rsidR="00205D0B" w:rsidRPr="00845A92">
        <w:rPr>
          <w:color w:val="auto"/>
        </w:rPr>
        <w:t>glargine</w:t>
      </w:r>
      <w:proofErr w:type="spellEnd"/>
      <w:r w:rsidR="00205D0B" w:rsidRPr="00845A92">
        <w:rPr>
          <w:color w:val="auto"/>
        </w:rPr>
        <w:t xml:space="preserve"> or any of the excipients.</w:t>
      </w:r>
    </w:p>
    <w:p w:rsidR="00BC52A5" w:rsidRPr="00845A92" w:rsidRDefault="00BC52A5" w:rsidP="00BC52A5">
      <w:pPr>
        <w:pStyle w:val="Heading1"/>
        <w:pageBreakBefore w:val="0"/>
        <w:numPr>
          <w:ilvl w:val="0"/>
          <w:numId w:val="0"/>
        </w:numPr>
      </w:pPr>
      <w:bookmarkStart w:id="27" w:name="_Toc381269216"/>
      <w:r w:rsidRPr="00845A92">
        <w:t>precautions</w:t>
      </w:r>
      <w:bookmarkEnd w:id="27"/>
    </w:p>
    <w:p w:rsidR="00531947" w:rsidRPr="00845A92" w:rsidRDefault="00BB0644" w:rsidP="00E13719">
      <w:pPr>
        <w:rPr>
          <w:color w:val="auto"/>
        </w:rPr>
      </w:pPr>
      <w:proofErr w:type="spellStart"/>
      <w:r w:rsidRPr="00845A92">
        <w:rPr>
          <w:color w:val="auto"/>
        </w:rPr>
        <w:t>Toujeo</w:t>
      </w:r>
      <w:proofErr w:type="spellEnd"/>
      <w:r w:rsidR="00E13719" w:rsidRPr="00845A92">
        <w:rPr>
          <w:color w:val="auto"/>
        </w:rPr>
        <w:t xml:space="preserve"> is not the insulin of choice for the treatment of diabetic ketoacidosis. Instead, regular insulin administered intravenously is recommended in such cases.</w:t>
      </w:r>
    </w:p>
    <w:p w:rsidR="0051320C" w:rsidRPr="00845A92" w:rsidRDefault="0051320C" w:rsidP="0051320C">
      <w:pPr>
        <w:rPr>
          <w:color w:val="auto"/>
        </w:rPr>
      </w:pPr>
      <w:r w:rsidRPr="00845A92">
        <w:rPr>
          <w:color w:val="auto"/>
        </w:rPr>
        <w:t xml:space="preserve">Patients, and if appropriate, their relatives, must also be alert to the possibility of hyper- or </w:t>
      </w:r>
      <w:proofErr w:type="spellStart"/>
      <w:r w:rsidRPr="00845A92">
        <w:rPr>
          <w:color w:val="auto"/>
        </w:rPr>
        <w:t>hypoglycaemia</w:t>
      </w:r>
      <w:proofErr w:type="spellEnd"/>
      <w:r w:rsidRPr="00845A92">
        <w:rPr>
          <w:color w:val="auto"/>
        </w:rPr>
        <w:t>, and know what actions to take.</w:t>
      </w:r>
    </w:p>
    <w:p w:rsidR="00DB503D" w:rsidRDefault="00DB503D" w:rsidP="0051320C">
      <w:pPr>
        <w:rPr>
          <w:color w:val="auto"/>
        </w:rPr>
      </w:pPr>
      <w:r w:rsidRPr="00845A92">
        <w:rPr>
          <w:color w:val="auto"/>
        </w:rPr>
        <w:t xml:space="preserve">In case of insufficient glucose control or a tendency to hyper- or </w:t>
      </w:r>
      <w:proofErr w:type="spellStart"/>
      <w:r w:rsidRPr="00845A92">
        <w:rPr>
          <w:color w:val="auto"/>
        </w:rPr>
        <w:t>hypoglycaemic</w:t>
      </w:r>
      <w:proofErr w:type="spellEnd"/>
      <w:r w:rsidRPr="00845A92">
        <w:rPr>
          <w:color w:val="auto"/>
        </w:rPr>
        <w:t xml:space="preserve"> episodes, the patient's adherence to the prescribed treatment regimen, injection sites and proper injection technique and all other relevant factors must be reviewed before dose adjustment is considered.</w:t>
      </w:r>
    </w:p>
    <w:p w:rsidR="00E13719" w:rsidRDefault="00E13719" w:rsidP="00E13719">
      <w:pPr>
        <w:pStyle w:val="Heading2"/>
        <w:numPr>
          <w:ilvl w:val="0"/>
          <w:numId w:val="0"/>
        </w:numPr>
      </w:pPr>
      <w:bookmarkStart w:id="28" w:name="_Toc381269217"/>
      <w:r w:rsidRPr="00845A92">
        <w:lastRenderedPageBreak/>
        <w:t>hypoglycaemia</w:t>
      </w:r>
      <w:bookmarkEnd w:id="28"/>
    </w:p>
    <w:p w:rsidR="00153D8C" w:rsidRPr="00153D8C" w:rsidRDefault="00153D8C" w:rsidP="00153D8C">
      <w:pPr>
        <w:rPr>
          <w:color w:val="auto"/>
        </w:rPr>
      </w:pPr>
      <w:r w:rsidRPr="00153D8C">
        <w:rPr>
          <w:color w:val="auto"/>
        </w:rPr>
        <w:t xml:space="preserve">As with all insulins, severe </w:t>
      </w:r>
      <w:proofErr w:type="spellStart"/>
      <w:r w:rsidRPr="00153D8C">
        <w:rPr>
          <w:color w:val="auto"/>
        </w:rPr>
        <w:t>hypoglycaemic</w:t>
      </w:r>
      <w:proofErr w:type="spellEnd"/>
      <w:r w:rsidRPr="00153D8C">
        <w:rPr>
          <w:color w:val="auto"/>
        </w:rPr>
        <w:t xml:space="preserve"> attacks, especially if recurrent, may lead to neurological damage. Prolonged or severe </w:t>
      </w:r>
      <w:proofErr w:type="spellStart"/>
      <w:r w:rsidRPr="00153D8C">
        <w:rPr>
          <w:color w:val="auto"/>
        </w:rPr>
        <w:t>hypoglycaemic</w:t>
      </w:r>
      <w:proofErr w:type="spellEnd"/>
      <w:r w:rsidRPr="00153D8C">
        <w:rPr>
          <w:color w:val="auto"/>
        </w:rPr>
        <w:t xml:space="preserve"> episodes may be life-threatening.</w:t>
      </w:r>
    </w:p>
    <w:p w:rsidR="00153D8C" w:rsidRPr="00A121E8" w:rsidRDefault="00153D8C" w:rsidP="00153D8C">
      <w:pPr>
        <w:rPr>
          <w:color w:val="auto"/>
        </w:rPr>
      </w:pPr>
      <w:r w:rsidRPr="00153D8C">
        <w:rPr>
          <w:color w:val="auto"/>
        </w:rPr>
        <w:t xml:space="preserve">In many patients, the signs and symptoms of </w:t>
      </w:r>
      <w:proofErr w:type="spellStart"/>
      <w:r w:rsidRPr="00153D8C">
        <w:rPr>
          <w:color w:val="auto"/>
        </w:rPr>
        <w:t>neuroglycopaenia</w:t>
      </w:r>
      <w:proofErr w:type="spellEnd"/>
      <w:r w:rsidRPr="00153D8C">
        <w:rPr>
          <w:color w:val="auto"/>
        </w:rPr>
        <w:t xml:space="preserve"> are preceded by signs of adrenergic counter-regulation. Generally, the greater and more rapid the decline in blood glucose, the more marked is the phenomenon of counter-regulation and its symptoms.</w:t>
      </w:r>
    </w:p>
    <w:p w:rsidR="00E13719" w:rsidRPr="00845A92" w:rsidRDefault="00E13719" w:rsidP="00E13719">
      <w:pPr>
        <w:rPr>
          <w:color w:val="auto"/>
        </w:rPr>
      </w:pPr>
      <w:r w:rsidRPr="00845A92">
        <w:rPr>
          <w:color w:val="auto"/>
        </w:rPr>
        <w:t xml:space="preserve">The time of occurrence of </w:t>
      </w:r>
      <w:proofErr w:type="spellStart"/>
      <w:r w:rsidRPr="00845A92">
        <w:rPr>
          <w:color w:val="auto"/>
        </w:rPr>
        <w:t>hypoglycaemia</w:t>
      </w:r>
      <w:proofErr w:type="spellEnd"/>
      <w:r w:rsidRPr="00845A92">
        <w:rPr>
          <w:color w:val="auto"/>
        </w:rPr>
        <w:t xml:space="preserve"> depends on the action profile of the insulin products used and may, therefore, change when the treatment regimen is changed. </w:t>
      </w:r>
    </w:p>
    <w:p w:rsidR="00E13719" w:rsidRPr="00845A92" w:rsidRDefault="00E13719" w:rsidP="00E13719">
      <w:pPr>
        <w:rPr>
          <w:color w:val="auto"/>
        </w:rPr>
      </w:pPr>
      <w:r w:rsidRPr="00845A92">
        <w:rPr>
          <w:color w:val="auto"/>
        </w:rPr>
        <w:t xml:space="preserve">Particular caution should be exercised, and intensified blood glucose monitoring is advisable in patients in whom </w:t>
      </w:r>
      <w:proofErr w:type="spellStart"/>
      <w:r w:rsidRPr="00845A92">
        <w:rPr>
          <w:color w:val="auto"/>
        </w:rPr>
        <w:t>hypoglycaemic</w:t>
      </w:r>
      <w:proofErr w:type="spellEnd"/>
      <w:r w:rsidRPr="00845A92">
        <w:rPr>
          <w:color w:val="auto"/>
        </w:rPr>
        <w:t xml:space="preserve"> episodes might be of particular clinical relevance, such as in patients with significant </w:t>
      </w:r>
      <w:proofErr w:type="spellStart"/>
      <w:r w:rsidRPr="00845A92">
        <w:rPr>
          <w:color w:val="auto"/>
        </w:rPr>
        <w:t>stenoses</w:t>
      </w:r>
      <w:proofErr w:type="spellEnd"/>
      <w:r w:rsidRPr="00845A92">
        <w:rPr>
          <w:color w:val="auto"/>
        </w:rPr>
        <w:t xml:space="preserve"> of the coronary arteries or of the blood vessels supplying the brain (risk of cardiac or cerebral complications of </w:t>
      </w:r>
      <w:proofErr w:type="spellStart"/>
      <w:r w:rsidRPr="00845A92">
        <w:rPr>
          <w:color w:val="auto"/>
        </w:rPr>
        <w:t>hypoglycaemia</w:t>
      </w:r>
      <w:proofErr w:type="spellEnd"/>
      <w:r w:rsidRPr="00845A92">
        <w:rPr>
          <w:color w:val="auto"/>
        </w:rPr>
        <w:t xml:space="preserve">) as well as in patients with proliferative retinopathy, particularly if not treated with photocoagulation (risk of transient </w:t>
      </w:r>
      <w:proofErr w:type="spellStart"/>
      <w:r w:rsidRPr="00845A92">
        <w:rPr>
          <w:color w:val="auto"/>
        </w:rPr>
        <w:t>amaurosis</w:t>
      </w:r>
      <w:proofErr w:type="spellEnd"/>
      <w:r w:rsidRPr="00845A92">
        <w:rPr>
          <w:color w:val="auto"/>
        </w:rPr>
        <w:t xml:space="preserve"> following </w:t>
      </w:r>
      <w:proofErr w:type="spellStart"/>
      <w:r w:rsidRPr="00845A92">
        <w:rPr>
          <w:color w:val="auto"/>
        </w:rPr>
        <w:t>hypoglycaemia</w:t>
      </w:r>
      <w:proofErr w:type="spellEnd"/>
      <w:r w:rsidRPr="00845A92">
        <w:rPr>
          <w:color w:val="auto"/>
        </w:rPr>
        <w:t>).</w:t>
      </w:r>
    </w:p>
    <w:p w:rsidR="00E13719" w:rsidRPr="00845A92" w:rsidRDefault="00E13719" w:rsidP="00E13719">
      <w:pPr>
        <w:rPr>
          <w:color w:val="auto"/>
        </w:rPr>
      </w:pPr>
      <w:r w:rsidRPr="00845A92">
        <w:rPr>
          <w:color w:val="auto"/>
        </w:rPr>
        <w:t xml:space="preserve">Patients should be aware of circumstances where warning symptoms of </w:t>
      </w:r>
      <w:proofErr w:type="spellStart"/>
      <w:r w:rsidRPr="00845A92">
        <w:rPr>
          <w:color w:val="auto"/>
        </w:rPr>
        <w:t>hypoglycaemia</w:t>
      </w:r>
      <w:proofErr w:type="spellEnd"/>
      <w:r w:rsidRPr="00845A92">
        <w:rPr>
          <w:color w:val="auto"/>
        </w:rPr>
        <w:t xml:space="preserve"> are diminished. The warning symptoms of </w:t>
      </w:r>
      <w:proofErr w:type="spellStart"/>
      <w:r w:rsidRPr="00845A92">
        <w:rPr>
          <w:color w:val="auto"/>
        </w:rPr>
        <w:t>hypoglycaemia</w:t>
      </w:r>
      <w:proofErr w:type="spellEnd"/>
      <w:r w:rsidRPr="00845A92">
        <w:rPr>
          <w:color w:val="auto"/>
        </w:rPr>
        <w:t xml:space="preserve"> may be changed, be less pronounced or be absent in certain risk groups. These include patients:</w:t>
      </w:r>
    </w:p>
    <w:p w:rsidR="00E13719" w:rsidRPr="00845A92" w:rsidRDefault="00E13719" w:rsidP="00E13719">
      <w:pPr>
        <w:pStyle w:val="ListBulletLevel1"/>
        <w:rPr>
          <w:color w:val="auto"/>
        </w:rPr>
      </w:pPr>
      <w:r w:rsidRPr="00845A92">
        <w:rPr>
          <w:color w:val="auto"/>
        </w:rPr>
        <w:t xml:space="preserve">in whom </w:t>
      </w:r>
      <w:proofErr w:type="spellStart"/>
      <w:r w:rsidRPr="00845A92">
        <w:rPr>
          <w:color w:val="auto"/>
        </w:rPr>
        <w:t>glycaemic</w:t>
      </w:r>
      <w:proofErr w:type="spellEnd"/>
      <w:r w:rsidRPr="00845A92">
        <w:rPr>
          <w:color w:val="auto"/>
        </w:rPr>
        <w:t xml:space="preserve"> control is markedly improved,</w:t>
      </w:r>
    </w:p>
    <w:p w:rsidR="00E13719" w:rsidRPr="00845A92" w:rsidRDefault="00E13719" w:rsidP="00E13719">
      <w:pPr>
        <w:pStyle w:val="ListBulletLevel1"/>
        <w:rPr>
          <w:color w:val="auto"/>
        </w:rPr>
      </w:pPr>
      <w:r w:rsidRPr="00845A92">
        <w:rPr>
          <w:color w:val="auto"/>
        </w:rPr>
        <w:t xml:space="preserve">in whom </w:t>
      </w:r>
      <w:proofErr w:type="spellStart"/>
      <w:r w:rsidRPr="00845A92">
        <w:rPr>
          <w:color w:val="auto"/>
        </w:rPr>
        <w:t>hypoglycaemia</w:t>
      </w:r>
      <w:proofErr w:type="spellEnd"/>
      <w:r w:rsidRPr="00845A92">
        <w:rPr>
          <w:color w:val="auto"/>
        </w:rPr>
        <w:t xml:space="preserve"> develops gradually,</w:t>
      </w:r>
    </w:p>
    <w:p w:rsidR="00E13719" w:rsidRPr="00845A92" w:rsidRDefault="00726B80" w:rsidP="00E13719">
      <w:pPr>
        <w:pStyle w:val="ListBulletLevel1"/>
        <w:rPr>
          <w:color w:val="auto"/>
        </w:rPr>
      </w:pPr>
      <w:r w:rsidRPr="00845A92">
        <w:rPr>
          <w:color w:val="auto"/>
        </w:rPr>
        <w:t xml:space="preserve">who are </w:t>
      </w:r>
      <w:r w:rsidR="00712A57">
        <w:rPr>
          <w:color w:val="auto"/>
        </w:rPr>
        <w:t>e</w:t>
      </w:r>
      <w:r w:rsidR="00B8600B" w:rsidRPr="00455E83">
        <w:rPr>
          <w:color w:val="auto"/>
        </w:rPr>
        <w:t>lderly</w:t>
      </w:r>
      <w:r w:rsidR="00E13719" w:rsidRPr="00455E83">
        <w:rPr>
          <w:color w:val="auto"/>
        </w:rPr>
        <w:t>,</w:t>
      </w:r>
      <w:r w:rsidR="00E13719" w:rsidRPr="00845A92">
        <w:rPr>
          <w:color w:val="auto"/>
        </w:rPr>
        <w:t xml:space="preserve"> </w:t>
      </w:r>
    </w:p>
    <w:p w:rsidR="00E13719" w:rsidRPr="00845A92" w:rsidRDefault="00E13719" w:rsidP="00E13719">
      <w:pPr>
        <w:pStyle w:val="ListBulletLevel1"/>
        <w:rPr>
          <w:color w:val="auto"/>
        </w:rPr>
      </w:pPr>
      <w:r w:rsidRPr="00845A92">
        <w:rPr>
          <w:color w:val="auto"/>
        </w:rPr>
        <w:t>in whom an autonomic neuropathy is present,</w:t>
      </w:r>
    </w:p>
    <w:p w:rsidR="00E13719" w:rsidRPr="00845A92" w:rsidRDefault="00E13719" w:rsidP="00E13719">
      <w:pPr>
        <w:pStyle w:val="ListBulletLevel1"/>
        <w:rPr>
          <w:color w:val="auto"/>
        </w:rPr>
      </w:pPr>
      <w:r w:rsidRPr="00845A92">
        <w:rPr>
          <w:color w:val="auto"/>
        </w:rPr>
        <w:t>with a long history of diabetes,</w:t>
      </w:r>
    </w:p>
    <w:p w:rsidR="00E13719" w:rsidRPr="00845A92" w:rsidRDefault="00E13719" w:rsidP="00E13719">
      <w:pPr>
        <w:pStyle w:val="ListBulletLevel1"/>
        <w:rPr>
          <w:color w:val="auto"/>
        </w:rPr>
      </w:pPr>
      <w:r w:rsidRPr="00845A92">
        <w:rPr>
          <w:color w:val="auto"/>
        </w:rPr>
        <w:t>suffering from a psychiatric illness,</w:t>
      </w:r>
    </w:p>
    <w:p w:rsidR="00E13719" w:rsidRDefault="005F21E4" w:rsidP="00E13719">
      <w:pPr>
        <w:pStyle w:val="ListBulletLevel1"/>
        <w:rPr>
          <w:color w:val="auto"/>
        </w:rPr>
      </w:pPr>
      <w:proofErr w:type="gramStart"/>
      <w:r w:rsidRPr="00845A92">
        <w:rPr>
          <w:color w:val="auto"/>
        </w:rPr>
        <w:t>receiving</w:t>
      </w:r>
      <w:proofErr w:type="gramEnd"/>
      <w:r w:rsidR="00E13719" w:rsidRPr="00845A92">
        <w:rPr>
          <w:color w:val="auto"/>
        </w:rPr>
        <w:t xml:space="preserve"> concurrent treatment with certain other medici</w:t>
      </w:r>
      <w:r w:rsidR="00726B80" w:rsidRPr="00845A92">
        <w:rPr>
          <w:color w:val="auto"/>
        </w:rPr>
        <w:t>nal products (see INTERACTIONS WITH OTHER MEDICINES</w:t>
      </w:r>
      <w:r w:rsidR="00E13719" w:rsidRPr="00845A92">
        <w:rPr>
          <w:color w:val="auto"/>
        </w:rPr>
        <w:t>).</w:t>
      </w:r>
      <w:r w:rsidR="00A417AB" w:rsidRPr="00845A92">
        <w:rPr>
          <w:color w:val="auto"/>
        </w:rPr>
        <w:t xml:space="preserve">   </w:t>
      </w:r>
    </w:p>
    <w:p w:rsidR="00E13719" w:rsidRPr="00845A92" w:rsidRDefault="00E13719" w:rsidP="00E13719">
      <w:pPr>
        <w:rPr>
          <w:color w:val="auto"/>
        </w:rPr>
      </w:pPr>
      <w:r w:rsidRPr="00845A92">
        <w:rPr>
          <w:color w:val="auto"/>
        </w:rPr>
        <w:t xml:space="preserve">Such situations may result in severe </w:t>
      </w:r>
      <w:proofErr w:type="spellStart"/>
      <w:r w:rsidRPr="00845A92">
        <w:rPr>
          <w:color w:val="auto"/>
        </w:rPr>
        <w:t>hypoglycaemia</w:t>
      </w:r>
      <w:proofErr w:type="spellEnd"/>
      <w:r w:rsidRPr="00845A92">
        <w:rPr>
          <w:color w:val="auto"/>
        </w:rPr>
        <w:t xml:space="preserve"> (and possibly loss of consciousness) prior to the patient's awareness of </w:t>
      </w:r>
      <w:proofErr w:type="spellStart"/>
      <w:r w:rsidRPr="00845A92">
        <w:rPr>
          <w:color w:val="auto"/>
        </w:rPr>
        <w:t>hypoglycaemia</w:t>
      </w:r>
      <w:proofErr w:type="spellEnd"/>
      <w:r w:rsidRPr="00845A92">
        <w:rPr>
          <w:color w:val="auto"/>
        </w:rPr>
        <w:t>.</w:t>
      </w:r>
    </w:p>
    <w:p w:rsidR="007A37FC" w:rsidRPr="00845A92" w:rsidRDefault="003721F0" w:rsidP="00E13719">
      <w:pPr>
        <w:rPr>
          <w:color w:val="auto"/>
        </w:rPr>
      </w:pPr>
      <w:r w:rsidRPr="00845A92">
        <w:rPr>
          <w:color w:val="auto"/>
        </w:rPr>
        <w:t xml:space="preserve">As with other basal insulin products, the prolonged effect of subcutaneous insulin </w:t>
      </w:r>
      <w:proofErr w:type="spellStart"/>
      <w:r w:rsidRPr="00845A92">
        <w:rPr>
          <w:color w:val="auto"/>
        </w:rPr>
        <w:t>glargine</w:t>
      </w:r>
      <w:proofErr w:type="spellEnd"/>
      <w:r w:rsidRPr="00845A92">
        <w:rPr>
          <w:color w:val="auto"/>
        </w:rPr>
        <w:t xml:space="preserve"> may dela</w:t>
      </w:r>
      <w:r w:rsidR="0025530A" w:rsidRPr="00845A92">
        <w:rPr>
          <w:color w:val="auto"/>
        </w:rPr>
        <w:t xml:space="preserve">y recovery from </w:t>
      </w:r>
      <w:proofErr w:type="spellStart"/>
      <w:r w:rsidR="0025530A" w:rsidRPr="00845A92">
        <w:rPr>
          <w:color w:val="auto"/>
        </w:rPr>
        <w:t>hypoglycaemia</w:t>
      </w:r>
      <w:proofErr w:type="spellEnd"/>
      <w:r w:rsidR="0025530A" w:rsidRPr="00845A92">
        <w:rPr>
          <w:color w:val="auto"/>
        </w:rPr>
        <w:t>.</w:t>
      </w:r>
    </w:p>
    <w:p w:rsidR="00E13719" w:rsidRPr="00736119" w:rsidRDefault="00E13719" w:rsidP="003721F0">
      <w:pPr>
        <w:rPr>
          <w:color w:val="auto"/>
        </w:rPr>
      </w:pPr>
      <w:r w:rsidRPr="00736119">
        <w:rPr>
          <w:color w:val="auto"/>
        </w:rPr>
        <w:t xml:space="preserve">If normal or decreased values for </w:t>
      </w:r>
      <w:proofErr w:type="spellStart"/>
      <w:r w:rsidRPr="00736119">
        <w:rPr>
          <w:color w:val="auto"/>
        </w:rPr>
        <w:t>glycated</w:t>
      </w:r>
      <w:proofErr w:type="spellEnd"/>
      <w:r w:rsidRPr="00736119">
        <w:rPr>
          <w:color w:val="auto"/>
        </w:rPr>
        <w:t xml:space="preserve"> </w:t>
      </w:r>
      <w:proofErr w:type="spellStart"/>
      <w:r w:rsidRPr="00736119">
        <w:rPr>
          <w:color w:val="auto"/>
        </w:rPr>
        <w:t>haemoglobin</w:t>
      </w:r>
      <w:proofErr w:type="spellEnd"/>
      <w:r w:rsidRPr="00736119">
        <w:rPr>
          <w:color w:val="auto"/>
        </w:rPr>
        <w:t xml:space="preserve"> are noted, the possibility of recurrent, </w:t>
      </w:r>
      <w:proofErr w:type="spellStart"/>
      <w:r w:rsidRPr="00736119">
        <w:rPr>
          <w:color w:val="auto"/>
        </w:rPr>
        <w:t>unrecognised</w:t>
      </w:r>
      <w:proofErr w:type="spellEnd"/>
      <w:r w:rsidRPr="00736119">
        <w:rPr>
          <w:color w:val="auto"/>
        </w:rPr>
        <w:t xml:space="preserve"> (especially nocturnal) episodes of </w:t>
      </w:r>
      <w:proofErr w:type="spellStart"/>
      <w:r w:rsidRPr="00736119">
        <w:rPr>
          <w:color w:val="auto"/>
        </w:rPr>
        <w:t>hypoglycaemia</w:t>
      </w:r>
      <w:proofErr w:type="spellEnd"/>
      <w:r w:rsidRPr="00736119">
        <w:rPr>
          <w:color w:val="auto"/>
        </w:rPr>
        <w:t xml:space="preserve"> must be considered.</w:t>
      </w:r>
    </w:p>
    <w:p w:rsidR="00E13719" w:rsidRPr="00736119" w:rsidRDefault="00E13719" w:rsidP="003721F0">
      <w:pPr>
        <w:rPr>
          <w:color w:val="auto"/>
        </w:rPr>
      </w:pPr>
      <w:r w:rsidRPr="00736119">
        <w:rPr>
          <w:color w:val="auto"/>
        </w:rPr>
        <w:lastRenderedPageBreak/>
        <w:t xml:space="preserve">Adherence of the patient to the dose and dietary regimen, correct insulin administration and awareness of </w:t>
      </w:r>
      <w:proofErr w:type="spellStart"/>
      <w:r w:rsidRPr="00736119">
        <w:rPr>
          <w:color w:val="auto"/>
        </w:rPr>
        <w:t>hypoglycaemia</w:t>
      </w:r>
      <w:proofErr w:type="spellEnd"/>
      <w:r w:rsidRPr="00736119">
        <w:rPr>
          <w:color w:val="auto"/>
        </w:rPr>
        <w:t xml:space="preserve"> symptoms are essential to reduce the risk of </w:t>
      </w:r>
      <w:proofErr w:type="spellStart"/>
      <w:r w:rsidRPr="00736119">
        <w:rPr>
          <w:color w:val="auto"/>
        </w:rPr>
        <w:t>hypoglycaemia</w:t>
      </w:r>
      <w:proofErr w:type="spellEnd"/>
      <w:r w:rsidRPr="00736119">
        <w:rPr>
          <w:color w:val="auto"/>
        </w:rPr>
        <w:t xml:space="preserve">. Factors increasing the susceptibility to </w:t>
      </w:r>
      <w:proofErr w:type="spellStart"/>
      <w:r w:rsidRPr="00736119">
        <w:rPr>
          <w:color w:val="auto"/>
        </w:rPr>
        <w:t>hypoglycaemia</w:t>
      </w:r>
      <w:proofErr w:type="spellEnd"/>
      <w:r w:rsidRPr="00736119">
        <w:rPr>
          <w:color w:val="auto"/>
        </w:rPr>
        <w:t xml:space="preserve"> require particularly close monitoring and may necessitate dose adjustment. These factors include:</w:t>
      </w:r>
    </w:p>
    <w:p w:rsidR="00E13719" w:rsidRPr="00736119" w:rsidRDefault="00E13719" w:rsidP="0098353A">
      <w:pPr>
        <w:numPr>
          <w:ilvl w:val="0"/>
          <w:numId w:val="13"/>
        </w:numPr>
        <w:rPr>
          <w:color w:val="auto"/>
        </w:rPr>
      </w:pPr>
      <w:r w:rsidRPr="00736119">
        <w:rPr>
          <w:color w:val="auto"/>
        </w:rPr>
        <w:t>change in the injection area,</w:t>
      </w:r>
    </w:p>
    <w:p w:rsidR="00E13719" w:rsidRPr="00736119" w:rsidRDefault="00E13719" w:rsidP="0098353A">
      <w:pPr>
        <w:numPr>
          <w:ilvl w:val="0"/>
          <w:numId w:val="13"/>
        </w:numPr>
        <w:rPr>
          <w:color w:val="auto"/>
        </w:rPr>
      </w:pPr>
      <w:r w:rsidRPr="00736119">
        <w:rPr>
          <w:color w:val="auto"/>
        </w:rPr>
        <w:t>improved insulin sensitivity (e.g., by removal of stress factors),</w:t>
      </w:r>
    </w:p>
    <w:p w:rsidR="00E13719" w:rsidRPr="00736119" w:rsidRDefault="00E13719" w:rsidP="0098353A">
      <w:pPr>
        <w:numPr>
          <w:ilvl w:val="0"/>
          <w:numId w:val="13"/>
        </w:numPr>
        <w:rPr>
          <w:color w:val="auto"/>
        </w:rPr>
      </w:pPr>
      <w:r w:rsidRPr="00736119">
        <w:rPr>
          <w:color w:val="auto"/>
        </w:rPr>
        <w:t>unaccustomed, increased or prolonged physical activity,</w:t>
      </w:r>
    </w:p>
    <w:p w:rsidR="00E13719" w:rsidRPr="00736119" w:rsidRDefault="00E13719" w:rsidP="0098353A">
      <w:pPr>
        <w:numPr>
          <w:ilvl w:val="0"/>
          <w:numId w:val="13"/>
        </w:numPr>
        <w:rPr>
          <w:color w:val="auto"/>
        </w:rPr>
      </w:pPr>
      <w:proofErr w:type="spellStart"/>
      <w:r w:rsidRPr="00736119">
        <w:rPr>
          <w:color w:val="auto"/>
        </w:rPr>
        <w:t>intercurrent</w:t>
      </w:r>
      <w:proofErr w:type="spellEnd"/>
      <w:r w:rsidRPr="00736119">
        <w:rPr>
          <w:color w:val="auto"/>
        </w:rPr>
        <w:t xml:space="preserve"> illness (e.g. vomiting, </w:t>
      </w:r>
      <w:proofErr w:type="spellStart"/>
      <w:r w:rsidRPr="00736119">
        <w:rPr>
          <w:color w:val="auto"/>
        </w:rPr>
        <w:t>diarrhoea</w:t>
      </w:r>
      <w:proofErr w:type="spellEnd"/>
      <w:r w:rsidRPr="00736119">
        <w:rPr>
          <w:color w:val="auto"/>
        </w:rPr>
        <w:t>),</w:t>
      </w:r>
    </w:p>
    <w:p w:rsidR="00E13719" w:rsidRPr="00736119" w:rsidRDefault="00E13719" w:rsidP="0098353A">
      <w:pPr>
        <w:numPr>
          <w:ilvl w:val="0"/>
          <w:numId w:val="13"/>
        </w:numPr>
        <w:rPr>
          <w:color w:val="auto"/>
        </w:rPr>
      </w:pPr>
      <w:r w:rsidRPr="00736119">
        <w:rPr>
          <w:color w:val="auto"/>
        </w:rPr>
        <w:t>inadequate food intake,</w:t>
      </w:r>
    </w:p>
    <w:p w:rsidR="00E13719" w:rsidRPr="00736119" w:rsidRDefault="00E13719" w:rsidP="0098353A">
      <w:pPr>
        <w:numPr>
          <w:ilvl w:val="0"/>
          <w:numId w:val="13"/>
        </w:numPr>
        <w:rPr>
          <w:color w:val="auto"/>
        </w:rPr>
      </w:pPr>
      <w:r w:rsidRPr="00736119">
        <w:rPr>
          <w:color w:val="auto"/>
        </w:rPr>
        <w:t>missed meals,</w:t>
      </w:r>
    </w:p>
    <w:p w:rsidR="00E13719" w:rsidRPr="00736119" w:rsidRDefault="00E13719" w:rsidP="0098353A">
      <w:pPr>
        <w:numPr>
          <w:ilvl w:val="0"/>
          <w:numId w:val="13"/>
        </w:numPr>
        <w:rPr>
          <w:color w:val="auto"/>
        </w:rPr>
      </w:pPr>
      <w:r w:rsidRPr="00736119">
        <w:rPr>
          <w:color w:val="auto"/>
        </w:rPr>
        <w:t>alcohol consumption,</w:t>
      </w:r>
    </w:p>
    <w:p w:rsidR="00E13719" w:rsidRPr="00736119" w:rsidRDefault="00E13719" w:rsidP="0098353A">
      <w:pPr>
        <w:numPr>
          <w:ilvl w:val="0"/>
          <w:numId w:val="13"/>
        </w:numPr>
        <w:rPr>
          <w:color w:val="auto"/>
        </w:rPr>
      </w:pPr>
      <w:r w:rsidRPr="00736119">
        <w:rPr>
          <w:color w:val="auto"/>
        </w:rPr>
        <w:t>certain uncompensated endocrine disorders, (e.g. in hypothyroidism and in anterior pituitary or adrenocortical insufficiency),</w:t>
      </w:r>
    </w:p>
    <w:p w:rsidR="00E13719" w:rsidRPr="00736119" w:rsidRDefault="00E13719" w:rsidP="0098353A">
      <w:pPr>
        <w:numPr>
          <w:ilvl w:val="0"/>
          <w:numId w:val="13"/>
        </w:numPr>
        <w:rPr>
          <w:color w:val="auto"/>
        </w:rPr>
      </w:pPr>
      <w:proofErr w:type="gramStart"/>
      <w:r w:rsidRPr="00736119">
        <w:rPr>
          <w:color w:val="auto"/>
        </w:rPr>
        <w:t>concomitant</w:t>
      </w:r>
      <w:proofErr w:type="gramEnd"/>
      <w:r w:rsidRPr="00736119">
        <w:rPr>
          <w:color w:val="auto"/>
        </w:rPr>
        <w:t xml:space="preserve"> treatment with certain other medicinal products.</w:t>
      </w:r>
    </w:p>
    <w:p w:rsidR="006E692D" w:rsidRDefault="00A44B42" w:rsidP="003721F0">
      <w:pPr>
        <w:rPr>
          <w:color w:val="auto"/>
        </w:rPr>
      </w:pPr>
      <w:proofErr w:type="spellStart"/>
      <w:r w:rsidRPr="00736119">
        <w:rPr>
          <w:color w:val="auto"/>
        </w:rPr>
        <w:t>Hypoglycaemia</w:t>
      </w:r>
      <w:proofErr w:type="spellEnd"/>
      <w:r w:rsidRPr="00736119">
        <w:rPr>
          <w:color w:val="auto"/>
        </w:rPr>
        <w:t xml:space="preserve"> can generally be corrected by immediate carbohydrate intake. So that initial</w:t>
      </w:r>
      <w:r w:rsidR="003721F0" w:rsidRPr="00736119">
        <w:rPr>
          <w:color w:val="auto"/>
        </w:rPr>
        <w:t xml:space="preserve"> </w:t>
      </w:r>
      <w:r w:rsidRPr="00736119">
        <w:rPr>
          <w:color w:val="auto"/>
        </w:rPr>
        <w:t>corrective action can be taken immediately, patients must carry a minimum of 20 grams of</w:t>
      </w:r>
      <w:r w:rsidR="003721F0" w:rsidRPr="00736119">
        <w:rPr>
          <w:color w:val="auto"/>
        </w:rPr>
        <w:t xml:space="preserve"> </w:t>
      </w:r>
      <w:r w:rsidRPr="00736119">
        <w:rPr>
          <w:color w:val="auto"/>
        </w:rPr>
        <w:t>carbohy</w:t>
      </w:r>
      <w:r w:rsidR="005F21E4" w:rsidRPr="00736119">
        <w:rPr>
          <w:color w:val="auto"/>
        </w:rPr>
        <w:t>drates with them at all times.</w:t>
      </w:r>
    </w:p>
    <w:p w:rsidR="00A37D67" w:rsidRPr="00254B2D" w:rsidRDefault="00A37D67" w:rsidP="00A37D67">
      <w:pPr>
        <w:pStyle w:val="Heading2"/>
        <w:numPr>
          <w:ilvl w:val="0"/>
          <w:numId w:val="0"/>
        </w:numPr>
        <w:ind w:left="680" w:hanging="680"/>
      </w:pPr>
      <w:r w:rsidRPr="00254B2D">
        <w:t>SWITCH B</w:t>
      </w:r>
      <w:r w:rsidR="00325FBD">
        <w:t>ETWEEN</w:t>
      </w:r>
      <w:r w:rsidR="00EF0587">
        <w:t xml:space="preserve"> </w:t>
      </w:r>
      <w:r w:rsidR="00325FBD">
        <w:t>INSULIN GLARGINE 100 units</w:t>
      </w:r>
      <w:r w:rsidRPr="00254B2D">
        <w:t>/ML AND TOUJEO</w:t>
      </w:r>
    </w:p>
    <w:p w:rsidR="00A37D67" w:rsidRPr="00254B2D" w:rsidRDefault="00A37D67" w:rsidP="00A37D67">
      <w:pPr>
        <w:rPr>
          <w:color w:val="auto"/>
        </w:rPr>
      </w:pPr>
      <w:r w:rsidRPr="00254B2D">
        <w:rPr>
          <w:color w:val="auto"/>
        </w:rPr>
        <w:t xml:space="preserve">Since insulin </w:t>
      </w:r>
      <w:proofErr w:type="spellStart"/>
      <w:r w:rsidRPr="00254B2D">
        <w:rPr>
          <w:color w:val="auto"/>
        </w:rPr>
        <w:t>glargine</w:t>
      </w:r>
      <w:proofErr w:type="spellEnd"/>
      <w:r w:rsidRPr="00254B2D">
        <w:rPr>
          <w:color w:val="auto"/>
        </w:rPr>
        <w:t xml:space="preserve"> 100</w:t>
      </w:r>
      <w:r w:rsidR="00327B5D">
        <w:rPr>
          <w:color w:val="auto"/>
        </w:rPr>
        <w:t xml:space="preserve"> </w:t>
      </w:r>
      <w:r w:rsidRPr="00254B2D">
        <w:rPr>
          <w:color w:val="auto"/>
        </w:rPr>
        <w:t>u</w:t>
      </w:r>
      <w:r w:rsidR="00325FBD">
        <w:rPr>
          <w:color w:val="auto"/>
        </w:rPr>
        <w:t>nits</w:t>
      </w:r>
      <w:r w:rsidR="00875823">
        <w:rPr>
          <w:color w:val="auto"/>
        </w:rPr>
        <w:t xml:space="preserve">/mL </w:t>
      </w:r>
      <w:r w:rsidRPr="00254B2D">
        <w:rPr>
          <w:color w:val="auto"/>
        </w:rPr>
        <w:t xml:space="preserve">and </w:t>
      </w:r>
      <w:proofErr w:type="spellStart"/>
      <w:r w:rsidRPr="00254B2D">
        <w:rPr>
          <w:color w:val="auto"/>
        </w:rPr>
        <w:t>Toujeo</w:t>
      </w:r>
      <w:proofErr w:type="spellEnd"/>
      <w:r w:rsidRPr="00254B2D">
        <w:rPr>
          <w:color w:val="auto"/>
        </w:rPr>
        <w:t xml:space="preserve"> are not bioequivalent</w:t>
      </w:r>
      <w:r w:rsidR="00327B5D">
        <w:rPr>
          <w:color w:val="auto"/>
        </w:rPr>
        <w:t xml:space="preserve"> and are not directly interchangeable</w:t>
      </w:r>
      <w:r w:rsidRPr="00254B2D">
        <w:rPr>
          <w:color w:val="auto"/>
        </w:rPr>
        <w:t>, switching may result in the need for a change in dose and s</w:t>
      </w:r>
      <w:r w:rsidR="00327B5D">
        <w:rPr>
          <w:color w:val="auto"/>
        </w:rPr>
        <w:t xml:space="preserve">hould only be done under </w:t>
      </w:r>
      <w:r w:rsidRPr="00254B2D">
        <w:rPr>
          <w:color w:val="auto"/>
        </w:rPr>
        <w:t xml:space="preserve">medical supervision (See DOSAGE AND ADMINISTRATION) </w:t>
      </w:r>
    </w:p>
    <w:p w:rsidR="00BE7BB2" w:rsidRPr="00355FE2" w:rsidRDefault="00806E49" w:rsidP="006E692D">
      <w:pPr>
        <w:pStyle w:val="Heading2"/>
        <w:numPr>
          <w:ilvl w:val="0"/>
          <w:numId w:val="0"/>
        </w:numPr>
      </w:pPr>
      <w:bookmarkStart w:id="29" w:name="_Toc381269218"/>
      <w:r w:rsidRPr="00355FE2">
        <w:t>SWITCH</w:t>
      </w:r>
      <w:r w:rsidR="00325FBD">
        <w:t xml:space="preserve"> BE</w:t>
      </w:r>
      <w:r w:rsidRPr="00355FE2">
        <w:t>T</w:t>
      </w:r>
      <w:r w:rsidR="00325FBD">
        <w:t>W</w:t>
      </w:r>
      <w:r w:rsidRPr="00355FE2">
        <w:t>EEN</w:t>
      </w:r>
      <w:r w:rsidR="00325FBD">
        <w:t xml:space="preserve"> </w:t>
      </w:r>
      <w:r w:rsidR="00BE7BB2" w:rsidRPr="00355FE2">
        <w:t xml:space="preserve">OTHER INSULINS </w:t>
      </w:r>
      <w:r w:rsidRPr="00355FE2">
        <w:t>AND</w:t>
      </w:r>
      <w:r w:rsidR="00BE7BB2" w:rsidRPr="00355FE2">
        <w:t xml:space="preserve"> </w:t>
      </w:r>
      <w:r w:rsidR="00BB0644" w:rsidRPr="00355FE2">
        <w:t>Toujeo</w:t>
      </w:r>
    </w:p>
    <w:p w:rsidR="00A92089" w:rsidRDefault="00806E49" w:rsidP="003D338C">
      <w:pPr>
        <w:tabs>
          <w:tab w:val="left" w:pos="567"/>
        </w:tabs>
        <w:rPr>
          <w:color w:val="auto"/>
        </w:rPr>
      </w:pPr>
      <w:r w:rsidRPr="00804B58">
        <w:rPr>
          <w:color w:val="auto"/>
        </w:rPr>
        <w:t xml:space="preserve">Switching </w:t>
      </w:r>
      <w:r w:rsidR="00BE7BB2" w:rsidRPr="00804B58">
        <w:rPr>
          <w:color w:val="auto"/>
        </w:rPr>
        <w:t xml:space="preserve">a patient </w:t>
      </w:r>
      <w:r w:rsidRPr="00804B58">
        <w:rPr>
          <w:color w:val="auto"/>
        </w:rPr>
        <w:t xml:space="preserve">between </w:t>
      </w:r>
      <w:r w:rsidR="00BE7BB2" w:rsidRPr="00804B58">
        <w:rPr>
          <w:color w:val="auto"/>
        </w:rPr>
        <w:t>another type of insulin</w:t>
      </w:r>
      <w:r w:rsidRPr="00804B58">
        <w:rPr>
          <w:color w:val="auto"/>
        </w:rPr>
        <w:t xml:space="preserve"> and </w:t>
      </w:r>
      <w:proofErr w:type="spellStart"/>
      <w:r w:rsidRPr="00804B58">
        <w:rPr>
          <w:color w:val="auto"/>
        </w:rPr>
        <w:t>T</w:t>
      </w:r>
      <w:r w:rsidR="00804B58" w:rsidRPr="00804B58">
        <w:rPr>
          <w:color w:val="auto"/>
        </w:rPr>
        <w:t>oujeo</w:t>
      </w:r>
      <w:proofErr w:type="spellEnd"/>
      <w:r w:rsidRPr="000D2153">
        <w:rPr>
          <w:color w:val="1F497D"/>
        </w:rPr>
        <w:t xml:space="preserve"> </w:t>
      </w:r>
      <w:r w:rsidR="00BE7BB2" w:rsidRPr="00736119">
        <w:rPr>
          <w:color w:val="auto"/>
        </w:rPr>
        <w:t xml:space="preserve">should </w:t>
      </w:r>
      <w:r w:rsidR="00327B5D">
        <w:rPr>
          <w:color w:val="auto"/>
        </w:rPr>
        <w:t xml:space="preserve">only be done under </w:t>
      </w:r>
      <w:r w:rsidR="00BE7BB2" w:rsidRPr="00736119">
        <w:rPr>
          <w:color w:val="auto"/>
        </w:rPr>
        <w:t xml:space="preserve">medical supervision. </w:t>
      </w:r>
    </w:p>
    <w:p w:rsidR="00726B80" w:rsidRDefault="00726B80" w:rsidP="00726B80">
      <w:pPr>
        <w:pStyle w:val="Heading2"/>
        <w:numPr>
          <w:ilvl w:val="0"/>
          <w:numId w:val="0"/>
        </w:numPr>
      </w:pPr>
      <w:r>
        <w:lastRenderedPageBreak/>
        <w:t xml:space="preserve">intercurrent </w:t>
      </w:r>
      <w:bookmarkEnd w:id="29"/>
      <w:r w:rsidR="00F07C58">
        <w:t>illness</w:t>
      </w:r>
    </w:p>
    <w:p w:rsidR="00726B80" w:rsidRPr="00736119" w:rsidRDefault="00726B80" w:rsidP="00726B80">
      <w:pPr>
        <w:pStyle w:val="ListBulletLevel1"/>
        <w:numPr>
          <w:ilvl w:val="0"/>
          <w:numId w:val="0"/>
        </w:numPr>
        <w:rPr>
          <w:color w:val="auto"/>
        </w:rPr>
      </w:pPr>
      <w:proofErr w:type="spellStart"/>
      <w:r w:rsidRPr="00736119">
        <w:rPr>
          <w:color w:val="auto"/>
        </w:rPr>
        <w:t>Intercurrent</w:t>
      </w:r>
      <w:proofErr w:type="spellEnd"/>
      <w:r w:rsidRPr="00736119">
        <w:rPr>
          <w:color w:val="auto"/>
        </w:rPr>
        <w:t xml:space="preserve"> illness requires intensified metabolic monitoring. In many cases urine tests for ketones are indicated, and often it is necessary to adjust the insulin dose. The insulin requirement is often increased. Patients with type 1 diabetes must continue to consume at least a small amount of carbohydrates on a regular </w:t>
      </w:r>
      <w:proofErr w:type="gramStart"/>
      <w:r w:rsidRPr="00736119">
        <w:rPr>
          <w:color w:val="auto"/>
        </w:rPr>
        <w:t>basis,</w:t>
      </w:r>
      <w:proofErr w:type="gramEnd"/>
      <w:r w:rsidRPr="00736119">
        <w:rPr>
          <w:color w:val="auto"/>
        </w:rPr>
        <w:t xml:space="preserve"> even if they are able to eat only little or no food, or are vomiting etc. and they must never omit insulin entirely.</w:t>
      </w:r>
    </w:p>
    <w:p w:rsidR="00726B80" w:rsidRDefault="00726B80" w:rsidP="00726B80">
      <w:pPr>
        <w:pStyle w:val="Heading2"/>
        <w:numPr>
          <w:ilvl w:val="0"/>
          <w:numId w:val="0"/>
        </w:numPr>
      </w:pPr>
      <w:bookmarkStart w:id="30" w:name="_Toc381269219"/>
      <w:r>
        <w:t>insulin antibodies</w:t>
      </w:r>
      <w:bookmarkEnd w:id="30"/>
    </w:p>
    <w:p w:rsidR="00726B80" w:rsidRDefault="00726B80" w:rsidP="00726B80">
      <w:pPr>
        <w:pStyle w:val="ListBulletLevel1"/>
        <w:numPr>
          <w:ilvl w:val="0"/>
          <w:numId w:val="0"/>
        </w:numPr>
        <w:rPr>
          <w:color w:val="auto"/>
        </w:rPr>
      </w:pPr>
      <w:r w:rsidRPr="00845A92">
        <w:rPr>
          <w:color w:val="auto"/>
        </w:rPr>
        <w:t xml:space="preserve">Insulin administration may cause insulin antibodies to form. In rare cases, the presence of such insulin antibodies may necessitate adjustment of the insulin dose in order to correct a tendency to hyper- or </w:t>
      </w:r>
      <w:proofErr w:type="spellStart"/>
      <w:r w:rsidRPr="00845A92">
        <w:rPr>
          <w:color w:val="auto"/>
        </w:rPr>
        <w:t>hypoglycaemia</w:t>
      </w:r>
      <w:proofErr w:type="spellEnd"/>
      <w:r w:rsidRPr="00845A92">
        <w:rPr>
          <w:color w:val="auto"/>
        </w:rPr>
        <w:t xml:space="preserve"> (see</w:t>
      </w:r>
      <w:r w:rsidR="00D1441B" w:rsidRPr="00845A92">
        <w:rPr>
          <w:color w:val="auto"/>
        </w:rPr>
        <w:t xml:space="preserve"> ADVERSE EFFECTS).</w:t>
      </w:r>
      <w:r w:rsidR="003966B6" w:rsidRPr="00845A92">
        <w:rPr>
          <w:color w:val="auto"/>
        </w:rPr>
        <w:t xml:space="preserve"> </w:t>
      </w:r>
      <w:r w:rsidR="005E719D" w:rsidRPr="00845A92">
        <w:rPr>
          <w:color w:val="auto"/>
        </w:rPr>
        <w:t xml:space="preserve"> </w:t>
      </w:r>
    </w:p>
    <w:p w:rsidR="003012C0" w:rsidRDefault="003012C0" w:rsidP="003012C0">
      <w:pPr>
        <w:pStyle w:val="Heading2"/>
        <w:numPr>
          <w:ilvl w:val="0"/>
          <w:numId w:val="0"/>
        </w:numPr>
      </w:pPr>
      <w:bookmarkStart w:id="31" w:name="_Toc381269220"/>
      <w:r>
        <w:t>MEDICATION ERRORS PREVENTION</w:t>
      </w:r>
      <w:bookmarkEnd w:id="31"/>
    </w:p>
    <w:p w:rsidR="00500384" w:rsidRDefault="00500384" w:rsidP="003012C0">
      <w:pPr>
        <w:pStyle w:val="Heading6"/>
        <w:numPr>
          <w:ilvl w:val="0"/>
          <w:numId w:val="0"/>
        </w:numPr>
        <w:rPr>
          <w:rFonts w:ascii="Times New Roman" w:hAnsi="Times New Roman" w:cs="Times New Roman"/>
          <w:sz w:val="24"/>
          <w:szCs w:val="24"/>
        </w:rPr>
      </w:pPr>
      <w:r w:rsidRPr="002668B0">
        <w:rPr>
          <w:rFonts w:ascii="Times New Roman" w:hAnsi="Times New Roman" w:cs="Times New Roman"/>
          <w:sz w:val="24"/>
          <w:szCs w:val="24"/>
        </w:rPr>
        <w:t>Insulin label</w:t>
      </w:r>
      <w:r w:rsidR="002E04C5">
        <w:rPr>
          <w:rFonts w:ascii="Times New Roman" w:hAnsi="Times New Roman" w:cs="Times New Roman"/>
          <w:sz w:val="24"/>
          <w:szCs w:val="24"/>
        </w:rPr>
        <w:t>s</w:t>
      </w:r>
      <w:r w:rsidRPr="002668B0">
        <w:rPr>
          <w:rFonts w:ascii="Times New Roman" w:hAnsi="Times New Roman" w:cs="Times New Roman"/>
          <w:sz w:val="24"/>
          <w:szCs w:val="24"/>
        </w:rPr>
        <w:t xml:space="preserve"> must always be checked before each injection to avoid medication errors between </w:t>
      </w:r>
      <w:proofErr w:type="spellStart"/>
      <w:r w:rsidR="00BB0644" w:rsidRPr="002668B0">
        <w:rPr>
          <w:rFonts w:ascii="Times New Roman" w:hAnsi="Times New Roman" w:cs="Times New Roman"/>
          <w:sz w:val="24"/>
          <w:szCs w:val="24"/>
        </w:rPr>
        <w:t>Toujeo</w:t>
      </w:r>
      <w:proofErr w:type="spellEnd"/>
      <w:r w:rsidRPr="002668B0">
        <w:rPr>
          <w:rFonts w:ascii="Times New Roman" w:hAnsi="Times New Roman" w:cs="Times New Roman"/>
          <w:sz w:val="24"/>
          <w:szCs w:val="24"/>
        </w:rPr>
        <w:t xml:space="preserve"> and other insulins.</w:t>
      </w:r>
      <w:r w:rsidRPr="00935B94">
        <w:rPr>
          <w:rFonts w:ascii="Times New Roman" w:hAnsi="Times New Roman" w:cs="Times New Roman"/>
          <w:sz w:val="24"/>
          <w:szCs w:val="24"/>
        </w:rPr>
        <w:t xml:space="preserve">  </w:t>
      </w:r>
      <w:r w:rsidR="003012C0" w:rsidRPr="00845A92">
        <w:rPr>
          <w:rFonts w:ascii="Times New Roman" w:hAnsi="Times New Roman" w:cs="Times New Roman"/>
          <w:sz w:val="24"/>
          <w:szCs w:val="24"/>
        </w:rPr>
        <w:t xml:space="preserve">Medication errors have been reported in which other insulins, particularly short-acting insulins, have been accidentally administered instead of long-acting insulins. </w:t>
      </w:r>
    </w:p>
    <w:p w:rsidR="003012C0" w:rsidRPr="00670A6C" w:rsidRDefault="003012C0" w:rsidP="003012C0">
      <w:pPr>
        <w:pStyle w:val="Heading6"/>
        <w:numPr>
          <w:ilvl w:val="0"/>
          <w:numId w:val="0"/>
        </w:numPr>
        <w:rPr>
          <w:rFonts w:ascii="Times New Roman" w:eastAsia="MS Mincho" w:hAnsi="Times New Roman" w:cs="Times New Roman"/>
          <w:kern w:val="0"/>
          <w:sz w:val="24"/>
          <w:szCs w:val="24"/>
        </w:rPr>
      </w:pPr>
      <w:r w:rsidRPr="00670A6C">
        <w:rPr>
          <w:rFonts w:ascii="Times New Roman" w:eastAsia="MS Mincho" w:hAnsi="Times New Roman" w:cs="Times New Roman"/>
          <w:kern w:val="0"/>
          <w:sz w:val="24"/>
          <w:szCs w:val="24"/>
        </w:rPr>
        <w:t xml:space="preserve">To avoid dosing errors and </w:t>
      </w:r>
      <w:r w:rsidR="00A231FF" w:rsidRPr="00670A6C">
        <w:rPr>
          <w:rFonts w:ascii="Times New Roman" w:eastAsia="MS Mincho" w:hAnsi="Times New Roman" w:cs="Times New Roman"/>
          <w:kern w:val="0"/>
          <w:sz w:val="24"/>
          <w:szCs w:val="24"/>
        </w:rPr>
        <w:t xml:space="preserve">potential overdose, </w:t>
      </w:r>
      <w:proofErr w:type="spellStart"/>
      <w:r w:rsidR="00A231FF" w:rsidRPr="00670A6C">
        <w:rPr>
          <w:rFonts w:ascii="Times New Roman" w:eastAsia="MS Mincho" w:hAnsi="Times New Roman" w:cs="Times New Roman"/>
          <w:kern w:val="0"/>
          <w:sz w:val="24"/>
          <w:szCs w:val="24"/>
        </w:rPr>
        <w:t>Toujeo</w:t>
      </w:r>
      <w:proofErr w:type="spellEnd"/>
      <w:r w:rsidRPr="00670A6C">
        <w:rPr>
          <w:rFonts w:ascii="Times New Roman" w:eastAsia="MS Mincho" w:hAnsi="Times New Roman" w:cs="Times New Roman"/>
          <w:kern w:val="0"/>
          <w:sz w:val="24"/>
          <w:szCs w:val="24"/>
        </w:rPr>
        <w:t xml:space="preserve"> must </w:t>
      </w:r>
      <w:r w:rsidR="00A231FF" w:rsidRPr="00670A6C">
        <w:rPr>
          <w:rFonts w:ascii="Times New Roman" w:eastAsia="MS Mincho" w:hAnsi="Times New Roman" w:cs="Times New Roman"/>
          <w:kern w:val="0"/>
          <w:sz w:val="24"/>
          <w:szCs w:val="24"/>
        </w:rPr>
        <w:t xml:space="preserve">never </w:t>
      </w:r>
      <w:r w:rsidRPr="00670A6C">
        <w:rPr>
          <w:rFonts w:ascii="Times New Roman" w:eastAsia="MS Mincho" w:hAnsi="Times New Roman" w:cs="Times New Roman"/>
          <w:kern w:val="0"/>
          <w:sz w:val="24"/>
          <w:szCs w:val="24"/>
        </w:rPr>
        <w:t xml:space="preserve">be </w:t>
      </w:r>
      <w:r w:rsidR="00A231FF" w:rsidRPr="00670A6C">
        <w:rPr>
          <w:rFonts w:ascii="Times New Roman" w:eastAsia="MS Mincho" w:hAnsi="Times New Roman" w:cs="Times New Roman"/>
          <w:kern w:val="0"/>
          <w:sz w:val="24"/>
          <w:szCs w:val="24"/>
        </w:rPr>
        <w:t>removed from the pre-filled pen by syringe</w:t>
      </w:r>
      <w:r w:rsidRPr="00670A6C">
        <w:rPr>
          <w:rFonts w:ascii="Times New Roman" w:eastAsia="MS Mincho" w:hAnsi="Times New Roman" w:cs="Times New Roman"/>
          <w:kern w:val="0"/>
          <w:sz w:val="24"/>
          <w:szCs w:val="24"/>
        </w:rPr>
        <w:t xml:space="preserve"> (see OVERDOSAGE).</w:t>
      </w:r>
    </w:p>
    <w:p w:rsidR="00C35162" w:rsidRPr="00670A6C" w:rsidRDefault="003012C0" w:rsidP="003012C0">
      <w:pPr>
        <w:pStyle w:val="ListBulletLevel1"/>
        <w:numPr>
          <w:ilvl w:val="0"/>
          <w:numId w:val="0"/>
        </w:numPr>
        <w:rPr>
          <w:color w:val="auto"/>
        </w:rPr>
      </w:pPr>
      <w:r w:rsidRPr="00670A6C">
        <w:rPr>
          <w:color w:val="auto"/>
        </w:rPr>
        <w:t xml:space="preserve">Patients must be instructed to never re-use </w:t>
      </w:r>
      <w:r w:rsidR="0078785D" w:rsidRPr="00670A6C">
        <w:rPr>
          <w:color w:val="auto"/>
        </w:rPr>
        <w:t xml:space="preserve">a </w:t>
      </w:r>
      <w:r w:rsidRPr="00670A6C">
        <w:rPr>
          <w:color w:val="auto"/>
        </w:rPr>
        <w:t xml:space="preserve">needle.  A new sterile needle must be attached before each injection. </w:t>
      </w:r>
      <w:r w:rsidR="00C35162" w:rsidRPr="00670A6C">
        <w:rPr>
          <w:color w:val="auto"/>
        </w:rPr>
        <w:t xml:space="preserve">Re-use of needles increases the risk of blocked needles which may cause under dosing or overdosing. In the event of blocked needles, the patients must follow the instructions described in Step 3 of the instruction for use. </w:t>
      </w:r>
    </w:p>
    <w:p w:rsidR="00BC6805" w:rsidRDefault="007E6065" w:rsidP="006F5F5B">
      <w:pPr>
        <w:pStyle w:val="ListBulletLevel1"/>
        <w:numPr>
          <w:ilvl w:val="0"/>
          <w:numId w:val="0"/>
        </w:numPr>
        <w:rPr>
          <w:color w:val="auto"/>
        </w:rPr>
      </w:pPr>
      <w:r w:rsidRPr="00736119">
        <w:rPr>
          <w:color w:val="auto"/>
        </w:rPr>
        <w:t xml:space="preserve">Like for all insulin pens, patients must visually verify the number of selected units on the dose counter of the pen. Patients who are blind or have poor vision should be instructed to get help/assistance from another person who has </w:t>
      </w:r>
      <w:proofErr w:type="gramStart"/>
      <w:r w:rsidRPr="00736119">
        <w:rPr>
          <w:color w:val="auto"/>
        </w:rPr>
        <w:t>good</w:t>
      </w:r>
      <w:proofErr w:type="gramEnd"/>
      <w:r w:rsidRPr="00736119">
        <w:rPr>
          <w:color w:val="auto"/>
        </w:rPr>
        <w:t xml:space="preserve"> vision and is trained in using the insulin device</w:t>
      </w:r>
    </w:p>
    <w:p w:rsidR="003020BF" w:rsidRDefault="00BC52A5" w:rsidP="007E6065">
      <w:pPr>
        <w:pStyle w:val="Heading2"/>
        <w:numPr>
          <w:ilvl w:val="0"/>
          <w:numId w:val="0"/>
        </w:numPr>
      </w:pPr>
      <w:bookmarkStart w:id="32" w:name="_Toc381269222"/>
      <w:r>
        <w:t>Effects on Fertility</w:t>
      </w:r>
      <w:bookmarkEnd w:id="32"/>
    </w:p>
    <w:p w:rsidR="00495CDF" w:rsidRPr="00845A92" w:rsidRDefault="00495CDF" w:rsidP="00495CDF">
      <w:pPr>
        <w:rPr>
          <w:color w:val="auto"/>
        </w:rPr>
      </w:pPr>
      <w:r w:rsidRPr="00845A92">
        <w:rPr>
          <w:color w:val="auto"/>
        </w:rPr>
        <w:t>Animal studies do not indicate direct harmful effects with respect to fertility.</w:t>
      </w:r>
    </w:p>
    <w:p w:rsidR="00E3240A" w:rsidRPr="00151045" w:rsidRDefault="00E3240A" w:rsidP="00E3240A">
      <w:pPr>
        <w:rPr>
          <w:color w:val="auto"/>
        </w:rPr>
      </w:pPr>
      <w:r w:rsidRPr="00151045">
        <w:rPr>
          <w:color w:val="auto"/>
        </w:rPr>
        <w:t xml:space="preserve">In a combined fertility, prenatal and postnatal study in male and female rats </w:t>
      </w:r>
      <w:r w:rsidR="002E04C5">
        <w:rPr>
          <w:color w:val="auto"/>
        </w:rPr>
        <w:t>at subcutaneous doses up to 10 I</w:t>
      </w:r>
      <w:r w:rsidRPr="00151045">
        <w:rPr>
          <w:color w:val="auto"/>
        </w:rPr>
        <w:t xml:space="preserve">U/kg/day (approximately 5 times anticipated clinical exposure based on BSA), insulin </w:t>
      </w:r>
      <w:proofErr w:type="spellStart"/>
      <w:r w:rsidRPr="00151045">
        <w:rPr>
          <w:color w:val="auto"/>
        </w:rPr>
        <w:t>glargine</w:t>
      </w:r>
      <w:proofErr w:type="spellEnd"/>
      <w:r w:rsidRPr="00151045">
        <w:rPr>
          <w:color w:val="auto"/>
        </w:rPr>
        <w:t xml:space="preserve"> was </w:t>
      </w:r>
      <w:proofErr w:type="spellStart"/>
      <w:r w:rsidRPr="00151045">
        <w:rPr>
          <w:color w:val="auto"/>
        </w:rPr>
        <w:t>maternotoxic</w:t>
      </w:r>
      <w:proofErr w:type="spellEnd"/>
      <w:r w:rsidRPr="00151045">
        <w:rPr>
          <w:color w:val="auto"/>
        </w:rPr>
        <w:t xml:space="preserve"> due to dose-dependent </w:t>
      </w:r>
      <w:proofErr w:type="spellStart"/>
      <w:r w:rsidRPr="00151045">
        <w:rPr>
          <w:color w:val="auto"/>
        </w:rPr>
        <w:t>hypoglycaemia</w:t>
      </w:r>
      <w:proofErr w:type="spellEnd"/>
      <w:r w:rsidRPr="00151045">
        <w:rPr>
          <w:color w:val="auto"/>
        </w:rPr>
        <w:t xml:space="preserve"> leading to death at the highest dose. Similar effects were seen with NPH insulin.</w:t>
      </w:r>
    </w:p>
    <w:p w:rsidR="003020BF" w:rsidRDefault="00BC52A5" w:rsidP="007E6065">
      <w:pPr>
        <w:pStyle w:val="Heading2"/>
        <w:numPr>
          <w:ilvl w:val="0"/>
          <w:numId w:val="0"/>
        </w:numPr>
      </w:pPr>
      <w:bookmarkStart w:id="33" w:name="_Toc381269223"/>
      <w:r>
        <w:lastRenderedPageBreak/>
        <w:t>use in pregnancy (Category</w:t>
      </w:r>
      <w:r w:rsidR="00495CDF">
        <w:t xml:space="preserve"> </w:t>
      </w:r>
      <w:r w:rsidR="00495CDF" w:rsidRPr="008E2087">
        <w:rPr>
          <w:color w:val="000000"/>
        </w:rPr>
        <w:t>B3</w:t>
      </w:r>
      <w:r>
        <w:t>)</w:t>
      </w:r>
      <w:bookmarkEnd w:id="33"/>
    </w:p>
    <w:p w:rsidR="00697147" w:rsidRPr="00736119" w:rsidRDefault="00697147" w:rsidP="00697147">
      <w:pPr>
        <w:rPr>
          <w:color w:val="auto"/>
        </w:rPr>
      </w:pPr>
      <w:r w:rsidRPr="00736119">
        <w:rPr>
          <w:color w:val="auto"/>
        </w:rPr>
        <w:t xml:space="preserve">There are no randomized controlled clinical studies of the use of </w:t>
      </w:r>
      <w:proofErr w:type="spellStart"/>
      <w:r w:rsidR="00BB0644" w:rsidRPr="00736119">
        <w:rPr>
          <w:color w:val="auto"/>
        </w:rPr>
        <w:t>Toujeo</w:t>
      </w:r>
      <w:proofErr w:type="spellEnd"/>
      <w:r w:rsidRPr="00736119">
        <w:rPr>
          <w:color w:val="auto"/>
        </w:rPr>
        <w:t xml:space="preserve"> in pregnant </w:t>
      </w:r>
      <w:r w:rsidR="00622222" w:rsidRPr="00736119">
        <w:rPr>
          <w:color w:val="auto"/>
        </w:rPr>
        <w:t xml:space="preserve">women. </w:t>
      </w:r>
    </w:p>
    <w:p w:rsidR="00495CDF" w:rsidRPr="00736119" w:rsidRDefault="00697147" w:rsidP="004F30E7">
      <w:pPr>
        <w:rPr>
          <w:color w:val="auto"/>
        </w:rPr>
      </w:pPr>
      <w:r w:rsidRPr="00736119">
        <w:rPr>
          <w:color w:val="auto"/>
        </w:rPr>
        <w:t>A large number (more than 1000 retrospective and prospective pre</w:t>
      </w:r>
      <w:r w:rsidR="00B316B7" w:rsidRPr="00736119">
        <w:rPr>
          <w:color w:val="auto"/>
        </w:rPr>
        <w:t>gnancy outcomes with Lantus</w:t>
      </w:r>
      <w:r w:rsidRPr="00736119">
        <w:rPr>
          <w:color w:val="auto"/>
        </w:rPr>
        <w:t xml:space="preserve">) of exposed pregnancies from Post Marketing Surveillance indicate no specific adverse effects on pregnancy or on the health of the </w:t>
      </w:r>
      <w:proofErr w:type="spellStart"/>
      <w:r w:rsidRPr="00736119">
        <w:rPr>
          <w:color w:val="auto"/>
        </w:rPr>
        <w:t>foetus</w:t>
      </w:r>
      <w:proofErr w:type="spellEnd"/>
      <w:r w:rsidRPr="00736119">
        <w:rPr>
          <w:color w:val="auto"/>
        </w:rPr>
        <w:t xml:space="preserve"> and newborn child.  </w:t>
      </w:r>
    </w:p>
    <w:p w:rsidR="0027792A" w:rsidRDefault="0027792A" w:rsidP="004F30E7">
      <w:pPr>
        <w:rPr>
          <w:color w:val="auto"/>
        </w:rPr>
      </w:pPr>
      <w:r w:rsidRPr="00736119">
        <w:rPr>
          <w:color w:val="auto"/>
        </w:rPr>
        <w:t xml:space="preserve">Furthermore a meta-analysis of eight observational clinical studies including 331 women using Lantus and 371 women using insulin NPH was performed to assess the safety of insulin </w:t>
      </w:r>
      <w:proofErr w:type="spellStart"/>
      <w:r w:rsidRPr="00736119">
        <w:rPr>
          <w:color w:val="auto"/>
        </w:rPr>
        <w:t>glargine</w:t>
      </w:r>
      <w:proofErr w:type="spellEnd"/>
      <w:r w:rsidRPr="00736119">
        <w:rPr>
          <w:color w:val="auto"/>
        </w:rPr>
        <w:t xml:space="preserve"> and insulin NPH in gestational or </w:t>
      </w:r>
      <w:proofErr w:type="spellStart"/>
      <w:r w:rsidRPr="00736119">
        <w:rPr>
          <w:color w:val="auto"/>
        </w:rPr>
        <w:t>pregestational</w:t>
      </w:r>
      <w:proofErr w:type="spellEnd"/>
      <w:r w:rsidRPr="00736119">
        <w:rPr>
          <w:color w:val="auto"/>
        </w:rPr>
        <w:t xml:space="preserve"> diabetes. No significant differences in safety-related maternal or neonatal outcomes were seen between insulin </w:t>
      </w:r>
      <w:proofErr w:type="spellStart"/>
      <w:r w:rsidRPr="00736119">
        <w:rPr>
          <w:color w:val="auto"/>
        </w:rPr>
        <w:t>glargine</w:t>
      </w:r>
      <w:proofErr w:type="spellEnd"/>
      <w:r w:rsidRPr="00736119">
        <w:rPr>
          <w:color w:val="auto"/>
        </w:rPr>
        <w:t xml:space="preserve"> and insulin NPH during pregnancy.</w:t>
      </w:r>
    </w:p>
    <w:p w:rsidR="00495CDF" w:rsidRPr="00736119" w:rsidRDefault="00495CDF" w:rsidP="00495CDF">
      <w:pPr>
        <w:rPr>
          <w:color w:val="auto"/>
        </w:rPr>
      </w:pPr>
      <w:r w:rsidRPr="00736119">
        <w:rPr>
          <w:color w:val="auto"/>
        </w:rPr>
        <w:t>It is essential for patients with pre-existing or gestational diabetes to maintain good metabolic control throughout pregnancy to prevent adverse outcomes associated with hyperglycemia. Insulin</w:t>
      </w:r>
      <w:r w:rsidRPr="00736119">
        <w:rPr>
          <w:rFonts w:ascii="Arial" w:hAnsi="Arial"/>
          <w:color w:val="auto"/>
          <w:sz w:val="22"/>
        </w:rPr>
        <w:t xml:space="preserve"> </w:t>
      </w:r>
      <w:r w:rsidRPr="00736119">
        <w:rPr>
          <w:color w:val="auto"/>
        </w:rPr>
        <w:t xml:space="preserve">requirements may decrease during the first trimester and generally increase during the second and third trimesters. Immediately after delivery, insulin requirements decline rapidly (increased risk of </w:t>
      </w:r>
      <w:proofErr w:type="spellStart"/>
      <w:r w:rsidRPr="00736119">
        <w:rPr>
          <w:color w:val="auto"/>
        </w:rPr>
        <w:t>hypoglycaemia</w:t>
      </w:r>
      <w:proofErr w:type="spellEnd"/>
      <w:r w:rsidRPr="00736119">
        <w:rPr>
          <w:color w:val="auto"/>
        </w:rPr>
        <w:t>). Careful monitoring of glucose control is essential.</w:t>
      </w:r>
    </w:p>
    <w:p w:rsidR="004F30E7" w:rsidRPr="00151045" w:rsidRDefault="00F91214" w:rsidP="004F30E7">
      <w:pPr>
        <w:rPr>
          <w:color w:val="auto"/>
        </w:rPr>
      </w:pPr>
      <w:r w:rsidRPr="00151045">
        <w:rPr>
          <w:color w:val="auto"/>
        </w:rPr>
        <w:t>Patients with diabetes must inform their doctor if they are pregnant</w:t>
      </w:r>
      <w:r w:rsidR="004F30E7" w:rsidRPr="00151045">
        <w:rPr>
          <w:color w:val="auto"/>
        </w:rPr>
        <w:t xml:space="preserve"> or are contemplating pregnancy and insulin </w:t>
      </w:r>
      <w:proofErr w:type="spellStart"/>
      <w:r w:rsidR="004F30E7" w:rsidRPr="00151045">
        <w:rPr>
          <w:color w:val="auto"/>
        </w:rPr>
        <w:t>glargine</w:t>
      </w:r>
      <w:proofErr w:type="spellEnd"/>
      <w:r w:rsidR="004F30E7" w:rsidRPr="00151045">
        <w:rPr>
          <w:color w:val="auto"/>
        </w:rPr>
        <w:t xml:space="preserve"> should be used during pregnancy only if the potential benefits outweigh potential risk.</w:t>
      </w:r>
    </w:p>
    <w:p w:rsidR="004F30E7" w:rsidRPr="00151045" w:rsidRDefault="004F30E7" w:rsidP="004F30E7">
      <w:pPr>
        <w:rPr>
          <w:color w:val="auto"/>
        </w:rPr>
      </w:pPr>
      <w:proofErr w:type="spellStart"/>
      <w:r w:rsidRPr="00151045">
        <w:rPr>
          <w:color w:val="auto"/>
        </w:rPr>
        <w:t>Embryofetal</w:t>
      </w:r>
      <w:proofErr w:type="spellEnd"/>
      <w:r w:rsidRPr="00151045">
        <w:rPr>
          <w:color w:val="auto"/>
        </w:rPr>
        <w:t xml:space="preserve"> development studies in rats and rabbits have been performed at subcutaneous doses up to 20 IU/kg/day and 2 IU/kg/day, respectively (approximately 10 times and twice anticipated clinical exposure, respectively, based on BSA). The effects of insulin </w:t>
      </w:r>
      <w:proofErr w:type="spellStart"/>
      <w:r w:rsidRPr="00151045">
        <w:rPr>
          <w:color w:val="auto"/>
        </w:rPr>
        <w:t>glargine</w:t>
      </w:r>
      <w:proofErr w:type="spellEnd"/>
      <w:r w:rsidRPr="00151045">
        <w:rPr>
          <w:color w:val="auto"/>
        </w:rPr>
        <w:t xml:space="preserve"> generally did not differ from those observed with NPH insulin in rats or rabbits. However, in rabbits dosed with 2 IU/kg/day there was an increased incidence of dilatation of the cerebral ventricles.</w:t>
      </w:r>
    </w:p>
    <w:p w:rsidR="00495CDF" w:rsidRDefault="005737A9" w:rsidP="00495CDF">
      <w:pPr>
        <w:pStyle w:val="Heading2"/>
        <w:numPr>
          <w:ilvl w:val="0"/>
          <w:numId w:val="0"/>
        </w:numPr>
      </w:pPr>
      <w:r>
        <w:t>use in Lactation</w:t>
      </w:r>
    </w:p>
    <w:p w:rsidR="00BC396F" w:rsidRDefault="00BC396F" w:rsidP="00495CDF">
      <w:pPr>
        <w:rPr>
          <w:color w:val="auto"/>
        </w:rPr>
      </w:pPr>
      <w:r w:rsidRPr="00BC396F">
        <w:rPr>
          <w:color w:val="auto"/>
        </w:rPr>
        <w:t xml:space="preserve">It is not known whether insulin </w:t>
      </w:r>
      <w:proofErr w:type="spellStart"/>
      <w:r w:rsidRPr="00BC396F">
        <w:rPr>
          <w:color w:val="auto"/>
        </w:rPr>
        <w:t>glargine</w:t>
      </w:r>
      <w:proofErr w:type="spellEnd"/>
      <w:r w:rsidRPr="00BC396F">
        <w:rPr>
          <w:color w:val="auto"/>
        </w:rPr>
        <w:t xml:space="preserve"> is excreted in significant amounts in human milk or animal milk. Many drugs, including insulin, are excreted in human milk. For this reason, caution should be exercised when insulin </w:t>
      </w:r>
      <w:proofErr w:type="spellStart"/>
      <w:r w:rsidRPr="00BC396F">
        <w:rPr>
          <w:color w:val="auto"/>
        </w:rPr>
        <w:t>glargine</w:t>
      </w:r>
      <w:proofErr w:type="spellEnd"/>
      <w:r w:rsidRPr="00BC396F">
        <w:rPr>
          <w:color w:val="auto"/>
        </w:rPr>
        <w:t xml:space="preserve"> is administered to a nursing mother. Lactating women may require adjustments in insulin dose and diet.</w:t>
      </w:r>
    </w:p>
    <w:p w:rsidR="009D410E" w:rsidRPr="00736119" w:rsidRDefault="00A47AF4" w:rsidP="00D41857">
      <w:pPr>
        <w:pStyle w:val="Heading2"/>
        <w:numPr>
          <w:ilvl w:val="0"/>
          <w:numId w:val="0"/>
        </w:numPr>
        <w:ind w:left="680" w:hanging="680"/>
      </w:pPr>
      <w:r>
        <w:t>use in the elderly</w:t>
      </w:r>
    </w:p>
    <w:p w:rsidR="009D410E" w:rsidRPr="00736119" w:rsidRDefault="00240114" w:rsidP="009D410E">
      <w:pPr>
        <w:rPr>
          <w:color w:val="auto"/>
        </w:rPr>
      </w:pPr>
      <w:r w:rsidRPr="00736119">
        <w:rPr>
          <w:color w:val="auto"/>
        </w:rPr>
        <w:t>In the elderly, progressive deterioration of renal function may lead to steady decrease in insulin requirements.</w:t>
      </w:r>
      <w:r w:rsidR="00B74546" w:rsidRPr="00736119">
        <w:rPr>
          <w:color w:val="auto"/>
        </w:rPr>
        <w:t xml:space="preserve"> Careful glucose monitoring and dose adjustments of insulin, including </w:t>
      </w:r>
      <w:proofErr w:type="spellStart"/>
      <w:r w:rsidR="00B74546" w:rsidRPr="00736119">
        <w:rPr>
          <w:color w:val="auto"/>
        </w:rPr>
        <w:t>Toujeo</w:t>
      </w:r>
      <w:proofErr w:type="spellEnd"/>
      <w:r w:rsidR="00B74546" w:rsidRPr="00736119">
        <w:rPr>
          <w:color w:val="auto"/>
        </w:rPr>
        <w:t xml:space="preserve">, may be necessary in elderly patients. </w:t>
      </w:r>
    </w:p>
    <w:p w:rsidR="009D410E" w:rsidRPr="00736119" w:rsidRDefault="009D410E" w:rsidP="00D41857">
      <w:pPr>
        <w:pStyle w:val="Heading2"/>
        <w:numPr>
          <w:ilvl w:val="0"/>
          <w:numId w:val="0"/>
        </w:numPr>
        <w:ind w:left="680" w:hanging="680"/>
      </w:pPr>
      <w:r w:rsidRPr="00736119">
        <w:lastRenderedPageBreak/>
        <w:t>PAEDIATRIC</w:t>
      </w:r>
      <w:r w:rsidR="004228E8">
        <w:t xml:space="preserve"> use</w:t>
      </w:r>
    </w:p>
    <w:p w:rsidR="009D410E" w:rsidRPr="00736119" w:rsidRDefault="009D410E" w:rsidP="009D410E">
      <w:pPr>
        <w:rPr>
          <w:color w:val="auto"/>
        </w:rPr>
      </w:pPr>
      <w:r w:rsidRPr="00736119">
        <w:rPr>
          <w:color w:val="auto"/>
        </w:rPr>
        <w:t xml:space="preserve">Safety and effectiveness of </w:t>
      </w:r>
      <w:proofErr w:type="spellStart"/>
      <w:r w:rsidR="00BB0644" w:rsidRPr="00736119">
        <w:rPr>
          <w:color w:val="auto"/>
        </w:rPr>
        <w:t>Toujeo</w:t>
      </w:r>
      <w:proofErr w:type="spellEnd"/>
      <w:r w:rsidRPr="00736119">
        <w:rPr>
          <w:color w:val="auto"/>
        </w:rPr>
        <w:t xml:space="preserve"> have not been established in </w:t>
      </w:r>
      <w:proofErr w:type="spellStart"/>
      <w:r w:rsidRPr="00736119">
        <w:rPr>
          <w:color w:val="auto"/>
        </w:rPr>
        <w:t>paediatric</w:t>
      </w:r>
      <w:proofErr w:type="spellEnd"/>
      <w:r w:rsidRPr="00736119">
        <w:rPr>
          <w:color w:val="auto"/>
        </w:rPr>
        <w:t xml:space="preserve"> patients.</w:t>
      </w:r>
    </w:p>
    <w:p w:rsidR="009D410E" w:rsidRPr="00A121E8" w:rsidRDefault="00CE0CB5" w:rsidP="00D41857">
      <w:pPr>
        <w:pStyle w:val="Heading2"/>
        <w:numPr>
          <w:ilvl w:val="0"/>
          <w:numId w:val="0"/>
        </w:numPr>
        <w:ind w:left="680" w:hanging="680"/>
      </w:pPr>
      <w:r w:rsidRPr="00A121E8">
        <w:t>RENAL IMPAIR</w:t>
      </w:r>
      <w:r w:rsidR="009D410E" w:rsidRPr="00A121E8">
        <w:t>MENT</w:t>
      </w:r>
    </w:p>
    <w:p w:rsidR="009D410E" w:rsidRDefault="00240114" w:rsidP="009D410E">
      <w:pPr>
        <w:rPr>
          <w:rFonts w:ascii="Arial" w:hAnsi="Arial"/>
          <w:color w:val="auto"/>
          <w:sz w:val="22"/>
        </w:rPr>
      </w:pPr>
      <w:r w:rsidRPr="00A121E8">
        <w:rPr>
          <w:color w:val="auto"/>
        </w:rPr>
        <w:t>In patients with renal impairment, insulin requirements may be diminished due to reduced insulin metabolism</w:t>
      </w:r>
      <w:r w:rsidR="005A0AA5" w:rsidRPr="00A121E8">
        <w:rPr>
          <w:color w:val="auto"/>
        </w:rPr>
        <w:t xml:space="preserve"> </w:t>
      </w:r>
      <w:r w:rsidR="009D410E" w:rsidRPr="00A121E8">
        <w:rPr>
          <w:color w:val="auto"/>
        </w:rPr>
        <w:t xml:space="preserve">Careful glucose monitoring and dose adjustments of insulin, including </w:t>
      </w:r>
      <w:proofErr w:type="spellStart"/>
      <w:r w:rsidR="00BB0644" w:rsidRPr="00A121E8">
        <w:rPr>
          <w:color w:val="auto"/>
        </w:rPr>
        <w:t>Toujeo</w:t>
      </w:r>
      <w:proofErr w:type="spellEnd"/>
      <w:r w:rsidR="009D410E" w:rsidRPr="00A121E8">
        <w:rPr>
          <w:color w:val="auto"/>
        </w:rPr>
        <w:t>, may be necessary in patients with renal impairment</w:t>
      </w:r>
      <w:r w:rsidR="005F21E4" w:rsidRPr="00A121E8">
        <w:rPr>
          <w:rFonts w:ascii="Arial" w:hAnsi="Arial"/>
          <w:color w:val="auto"/>
          <w:sz w:val="22"/>
        </w:rPr>
        <w:t>.</w:t>
      </w:r>
    </w:p>
    <w:p w:rsidR="000025D0" w:rsidRPr="00A121E8" w:rsidRDefault="000025D0" w:rsidP="00D41857">
      <w:pPr>
        <w:pStyle w:val="Heading2"/>
        <w:numPr>
          <w:ilvl w:val="0"/>
          <w:numId w:val="0"/>
        </w:numPr>
        <w:ind w:left="680" w:hanging="680"/>
      </w:pPr>
      <w:proofErr w:type="gramStart"/>
      <w:r w:rsidRPr="00A121E8">
        <w:t>Hepatic Impairment.</w:t>
      </w:r>
      <w:proofErr w:type="gramEnd"/>
      <w:r w:rsidRPr="00A121E8">
        <w:t xml:space="preserve"> </w:t>
      </w:r>
    </w:p>
    <w:p w:rsidR="000025D0" w:rsidRDefault="00240114" w:rsidP="009D410E">
      <w:pPr>
        <w:rPr>
          <w:color w:val="auto"/>
        </w:rPr>
      </w:pPr>
      <w:r w:rsidRPr="00A121E8">
        <w:rPr>
          <w:color w:val="auto"/>
        </w:rPr>
        <w:t>In patients with severe hepatic impairment, insulin requirements may be diminished due to reduced capacity for gluconeogenesis and reduced insulin metabolism.</w:t>
      </w:r>
      <w:r w:rsidR="00FC17B9" w:rsidRPr="00A121E8">
        <w:rPr>
          <w:color w:val="auto"/>
        </w:rPr>
        <w:t xml:space="preserve"> </w:t>
      </w:r>
      <w:r w:rsidR="000025D0" w:rsidRPr="00A121E8">
        <w:rPr>
          <w:color w:val="auto"/>
        </w:rPr>
        <w:t xml:space="preserve">Careful glucose monitoring and dose adjustments of insulin, including </w:t>
      </w:r>
      <w:proofErr w:type="spellStart"/>
      <w:r w:rsidR="00BB0644" w:rsidRPr="00A121E8">
        <w:rPr>
          <w:color w:val="auto"/>
        </w:rPr>
        <w:t>Toujeo</w:t>
      </w:r>
      <w:proofErr w:type="spellEnd"/>
      <w:r w:rsidR="000025D0" w:rsidRPr="00A121E8">
        <w:rPr>
          <w:color w:val="auto"/>
        </w:rPr>
        <w:t>, may be necessary in patients with hepatic impairment</w:t>
      </w:r>
    </w:p>
    <w:p w:rsidR="003020BF" w:rsidRPr="00A121E8" w:rsidRDefault="003020BF" w:rsidP="007E6065">
      <w:pPr>
        <w:pStyle w:val="Heading2"/>
        <w:numPr>
          <w:ilvl w:val="0"/>
          <w:numId w:val="0"/>
        </w:numPr>
      </w:pPr>
      <w:bookmarkStart w:id="34" w:name="_Toc381269225"/>
      <w:r w:rsidRPr="00A121E8">
        <w:t>genotoxicity</w:t>
      </w:r>
      <w:bookmarkEnd w:id="34"/>
    </w:p>
    <w:p w:rsidR="0075508B" w:rsidRDefault="0075508B" w:rsidP="0075508B">
      <w:pPr>
        <w:rPr>
          <w:color w:val="auto"/>
        </w:rPr>
      </w:pPr>
      <w:r w:rsidRPr="00A121E8">
        <w:rPr>
          <w:color w:val="auto"/>
        </w:rPr>
        <w:t xml:space="preserve">Insulin </w:t>
      </w:r>
      <w:proofErr w:type="spellStart"/>
      <w:r w:rsidRPr="00A121E8">
        <w:rPr>
          <w:color w:val="auto"/>
        </w:rPr>
        <w:t>glargine</w:t>
      </w:r>
      <w:proofErr w:type="spellEnd"/>
      <w:r w:rsidRPr="00A121E8">
        <w:rPr>
          <w:color w:val="auto"/>
        </w:rPr>
        <w:t xml:space="preserve"> was not mutagenic in tests for detection of gene mutations in bacteria and mammalian cells (Ames- and HGPRT-test) and in tests for detection of chromosomal aberrations (</w:t>
      </w:r>
      <w:proofErr w:type="spellStart"/>
      <w:r w:rsidRPr="00A121E8">
        <w:rPr>
          <w:color w:val="auto"/>
        </w:rPr>
        <w:t>Cytogenetics</w:t>
      </w:r>
      <w:proofErr w:type="spellEnd"/>
      <w:r w:rsidRPr="00A121E8">
        <w:rPr>
          <w:color w:val="auto"/>
        </w:rPr>
        <w:t xml:space="preserve"> in vitro in V79-cells and in vivo in Chinese hamsters).</w:t>
      </w:r>
    </w:p>
    <w:p w:rsidR="003020BF" w:rsidRPr="0013196A" w:rsidRDefault="003020BF" w:rsidP="007E6065">
      <w:pPr>
        <w:pStyle w:val="Heading2"/>
        <w:numPr>
          <w:ilvl w:val="0"/>
          <w:numId w:val="0"/>
        </w:numPr>
        <w:rPr>
          <w:color w:val="000000"/>
        </w:rPr>
      </w:pPr>
      <w:bookmarkStart w:id="35" w:name="_Toc381269226"/>
      <w:r w:rsidRPr="0013196A">
        <w:rPr>
          <w:color w:val="000000"/>
        </w:rPr>
        <w:t>carcinogenicity</w:t>
      </w:r>
      <w:bookmarkEnd w:id="35"/>
    </w:p>
    <w:p w:rsidR="00394B97" w:rsidRPr="00151045" w:rsidRDefault="00394B97" w:rsidP="00394B97">
      <w:pPr>
        <w:rPr>
          <w:color w:val="auto"/>
        </w:rPr>
      </w:pPr>
      <w:r w:rsidRPr="00151045">
        <w:rPr>
          <w:color w:val="auto"/>
        </w:rPr>
        <w:t xml:space="preserve">Two year carcinogenicity studies were performed in mice and rats at subcutaneous doses up to 12.5 IU/kg/day (approximately 3 and 7 times anticipated clinical exposure based on BSA). Malignant fibrous histiocytomas were found at insulin </w:t>
      </w:r>
      <w:proofErr w:type="spellStart"/>
      <w:r w:rsidRPr="00151045">
        <w:rPr>
          <w:color w:val="auto"/>
        </w:rPr>
        <w:t>glargine</w:t>
      </w:r>
      <w:proofErr w:type="spellEnd"/>
      <w:r w:rsidRPr="00151045">
        <w:rPr>
          <w:color w:val="auto"/>
        </w:rPr>
        <w:t xml:space="preserve"> injection sites in male rats and mice. The incidence of these </w:t>
      </w:r>
      <w:proofErr w:type="spellStart"/>
      <w:r w:rsidRPr="00151045">
        <w:rPr>
          <w:color w:val="auto"/>
        </w:rPr>
        <w:t>tumours</w:t>
      </w:r>
      <w:proofErr w:type="spellEnd"/>
      <w:r w:rsidRPr="00151045">
        <w:rPr>
          <w:color w:val="auto"/>
        </w:rPr>
        <w:t xml:space="preserve"> was not dose-dependent and </w:t>
      </w:r>
      <w:proofErr w:type="spellStart"/>
      <w:r w:rsidRPr="00151045">
        <w:rPr>
          <w:color w:val="auto"/>
        </w:rPr>
        <w:t>tumours</w:t>
      </w:r>
      <w:proofErr w:type="spellEnd"/>
      <w:r w:rsidRPr="00151045">
        <w:rPr>
          <w:color w:val="auto"/>
        </w:rPr>
        <w:t xml:space="preserve"> were also present at acid vehicle control injection sites but not at saline control injection sites or insulin comparator groups using a different vehicle. The relevance of these findings to humans is unknown.</w:t>
      </w:r>
    </w:p>
    <w:p w:rsidR="00394B97" w:rsidRPr="00346FC5" w:rsidRDefault="00394B97" w:rsidP="00394B97">
      <w:pPr>
        <w:rPr>
          <w:color w:val="auto"/>
        </w:rPr>
      </w:pPr>
      <w:r w:rsidRPr="00151045">
        <w:rPr>
          <w:color w:val="auto"/>
        </w:rPr>
        <w:t xml:space="preserve">Other insulin preparations are known to cause an increase in mammary </w:t>
      </w:r>
      <w:proofErr w:type="spellStart"/>
      <w:r w:rsidRPr="00151045">
        <w:rPr>
          <w:color w:val="auto"/>
        </w:rPr>
        <w:t>tumours</w:t>
      </w:r>
      <w:proofErr w:type="spellEnd"/>
      <w:r w:rsidRPr="00151045">
        <w:rPr>
          <w:color w:val="auto"/>
        </w:rPr>
        <w:t xml:space="preserve"> in female rats. No </w:t>
      </w:r>
      <w:r w:rsidRPr="00346FC5">
        <w:rPr>
          <w:color w:val="auto"/>
        </w:rPr>
        <w:t xml:space="preserve">such increase in </w:t>
      </w:r>
      <w:proofErr w:type="spellStart"/>
      <w:r w:rsidRPr="00346FC5">
        <w:rPr>
          <w:color w:val="auto"/>
        </w:rPr>
        <w:t>tumours</w:t>
      </w:r>
      <w:proofErr w:type="spellEnd"/>
      <w:r w:rsidRPr="00346FC5">
        <w:rPr>
          <w:color w:val="auto"/>
        </w:rPr>
        <w:t xml:space="preserve"> was seen with insulin </w:t>
      </w:r>
      <w:proofErr w:type="spellStart"/>
      <w:r w:rsidRPr="00346FC5">
        <w:rPr>
          <w:color w:val="auto"/>
        </w:rPr>
        <w:t>glargine</w:t>
      </w:r>
      <w:proofErr w:type="spellEnd"/>
      <w:r w:rsidRPr="00346FC5">
        <w:rPr>
          <w:color w:val="auto"/>
        </w:rPr>
        <w:t xml:space="preserve"> probably because of the lower doses of insulin </w:t>
      </w:r>
      <w:proofErr w:type="spellStart"/>
      <w:r w:rsidRPr="00346FC5">
        <w:rPr>
          <w:color w:val="auto"/>
        </w:rPr>
        <w:t>glargine</w:t>
      </w:r>
      <w:proofErr w:type="spellEnd"/>
      <w:r w:rsidRPr="00346FC5">
        <w:rPr>
          <w:color w:val="auto"/>
        </w:rPr>
        <w:t xml:space="preserve"> used in the mouse and rat carcinogenicity studies.</w:t>
      </w:r>
    </w:p>
    <w:p w:rsidR="003020BF" w:rsidRPr="00736119" w:rsidRDefault="003020BF" w:rsidP="003020BF">
      <w:pPr>
        <w:pStyle w:val="Heading2"/>
        <w:numPr>
          <w:ilvl w:val="0"/>
          <w:numId w:val="0"/>
        </w:numPr>
      </w:pPr>
      <w:bookmarkStart w:id="36" w:name="_Toc381269227"/>
      <w:r w:rsidRPr="00736119">
        <w:t>effect on laboratory tests</w:t>
      </w:r>
      <w:bookmarkEnd w:id="36"/>
    </w:p>
    <w:p w:rsidR="00CE609A" w:rsidRPr="00016D7E" w:rsidRDefault="00096F1D" w:rsidP="0075508B">
      <w:pPr>
        <w:rPr>
          <w:color w:val="auto"/>
        </w:rPr>
      </w:pPr>
      <w:r w:rsidRPr="00736119">
        <w:rPr>
          <w:color w:val="auto"/>
        </w:rPr>
        <w:t xml:space="preserve">No studies on the effects of </w:t>
      </w:r>
      <w:proofErr w:type="spellStart"/>
      <w:r w:rsidR="00BB0644" w:rsidRPr="00736119">
        <w:rPr>
          <w:color w:val="auto"/>
        </w:rPr>
        <w:t>Toujeo</w:t>
      </w:r>
      <w:proofErr w:type="spellEnd"/>
      <w:r w:rsidR="00FF1DE0" w:rsidRPr="00736119">
        <w:rPr>
          <w:color w:val="auto"/>
        </w:rPr>
        <w:t xml:space="preserve"> </w:t>
      </w:r>
      <w:r w:rsidRPr="00736119">
        <w:rPr>
          <w:color w:val="auto"/>
        </w:rPr>
        <w:t>on laboratory tests have been performed.</w:t>
      </w:r>
      <w:r w:rsidR="00754C67" w:rsidRPr="00736119">
        <w:rPr>
          <w:color w:val="auto"/>
        </w:rPr>
        <w:t xml:space="preserve"> </w:t>
      </w:r>
    </w:p>
    <w:p w:rsidR="00CA6EFC" w:rsidRPr="00A121E8" w:rsidRDefault="00CA6EFC" w:rsidP="00CA6EFC">
      <w:pPr>
        <w:pStyle w:val="Heading2"/>
        <w:numPr>
          <w:ilvl w:val="0"/>
          <w:numId w:val="0"/>
        </w:numPr>
      </w:pPr>
      <w:bookmarkStart w:id="37" w:name="_Toc381269228"/>
      <w:r w:rsidRPr="00A121E8">
        <w:lastRenderedPageBreak/>
        <w:t>effects on ability to drive and use machines</w:t>
      </w:r>
      <w:bookmarkEnd w:id="37"/>
    </w:p>
    <w:p w:rsidR="00CA6EFC" w:rsidRPr="00A121E8" w:rsidRDefault="00CA6EFC" w:rsidP="00CA6EFC">
      <w:pPr>
        <w:rPr>
          <w:color w:val="auto"/>
        </w:rPr>
      </w:pPr>
      <w:r w:rsidRPr="00A121E8">
        <w:rPr>
          <w:color w:val="auto"/>
        </w:rPr>
        <w:t xml:space="preserve">The patient's ability to concentrate and react may be impaired as a result of </w:t>
      </w:r>
      <w:proofErr w:type="spellStart"/>
      <w:r w:rsidRPr="00A121E8">
        <w:rPr>
          <w:color w:val="auto"/>
        </w:rPr>
        <w:t>hypoglycaemia</w:t>
      </w:r>
      <w:proofErr w:type="spellEnd"/>
      <w:r w:rsidRPr="00A121E8">
        <w:rPr>
          <w:color w:val="auto"/>
        </w:rPr>
        <w:t xml:space="preserve"> or </w:t>
      </w:r>
      <w:proofErr w:type="spellStart"/>
      <w:r w:rsidRPr="00A121E8">
        <w:rPr>
          <w:color w:val="auto"/>
        </w:rPr>
        <w:t>hyperglycaemia</w:t>
      </w:r>
      <w:proofErr w:type="spellEnd"/>
      <w:r w:rsidRPr="00A121E8">
        <w:rPr>
          <w:color w:val="auto"/>
        </w:rPr>
        <w:t xml:space="preserve"> or, for example, as a result of visual impairment. This may constitute a risk in situations where these abilities are of special importance (e.g. driving a car or operating machines).</w:t>
      </w:r>
    </w:p>
    <w:p w:rsidR="00BC396F" w:rsidRDefault="00CA6EFC" w:rsidP="00CA6EFC">
      <w:pPr>
        <w:rPr>
          <w:color w:val="auto"/>
        </w:rPr>
      </w:pPr>
      <w:r w:rsidRPr="00A121E8">
        <w:rPr>
          <w:color w:val="auto"/>
        </w:rPr>
        <w:t xml:space="preserve">Patients should be advised to take precautions to avoid </w:t>
      </w:r>
      <w:proofErr w:type="spellStart"/>
      <w:r w:rsidRPr="00A121E8">
        <w:rPr>
          <w:color w:val="auto"/>
        </w:rPr>
        <w:t>hypoglycaemia</w:t>
      </w:r>
      <w:proofErr w:type="spellEnd"/>
      <w:r w:rsidRPr="00A121E8">
        <w:rPr>
          <w:color w:val="auto"/>
        </w:rPr>
        <w:t xml:space="preserve"> whilst driving. This is particularly important in those who have reduced or absent awareness of the warning symptoms of </w:t>
      </w:r>
      <w:proofErr w:type="spellStart"/>
      <w:r w:rsidRPr="00A121E8">
        <w:rPr>
          <w:color w:val="auto"/>
        </w:rPr>
        <w:t>hypoglycaemia</w:t>
      </w:r>
      <w:proofErr w:type="spellEnd"/>
      <w:r w:rsidRPr="00A121E8">
        <w:rPr>
          <w:color w:val="auto"/>
        </w:rPr>
        <w:t xml:space="preserve"> or have frequent episodes of </w:t>
      </w:r>
      <w:proofErr w:type="spellStart"/>
      <w:r w:rsidRPr="00A121E8">
        <w:rPr>
          <w:color w:val="auto"/>
        </w:rPr>
        <w:t>hypoglycaemia</w:t>
      </w:r>
      <w:proofErr w:type="spellEnd"/>
      <w:r w:rsidRPr="00A121E8">
        <w:rPr>
          <w:color w:val="auto"/>
        </w:rPr>
        <w:t>. It should be considered whether it is advisable to drive or operate machines in these circumstances.</w:t>
      </w:r>
    </w:p>
    <w:p w:rsidR="003020BF" w:rsidRPr="00A121E8" w:rsidRDefault="003020BF" w:rsidP="003020BF">
      <w:pPr>
        <w:pStyle w:val="Heading1"/>
        <w:pageBreakBefore w:val="0"/>
        <w:numPr>
          <w:ilvl w:val="0"/>
          <w:numId w:val="0"/>
        </w:numPr>
      </w:pPr>
      <w:bookmarkStart w:id="38" w:name="_Toc381269229"/>
      <w:r w:rsidRPr="00A121E8">
        <w:t>interactions with other medicines</w:t>
      </w:r>
      <w:bookmarkEnd w:id="38"/>
    </w:p>
    <w:p w:rsidR="007E6065" w:rsidRPr="00A121E8" w:rsidRDefault="007E6065" w:rsidP="007E6065">
      <w:pPr>
        <w:rPr>
          <w:color w:val="auto"/>
        </w:rPr>
      </w:pPr>
      <w:r w:rsidRPr="00A121E8">
        <w:rPr>
          <w:color w:val="auto"/>
        </w:rPr>
        <w:t xml:space="preserve">A number of substances affect glucose metabolism and may require dose adjustment of insulin </w:t>
      </w:r>
      <w:proofErr w:type="spellStart"/>
      <w:r w:rsidRPr="00A121E8">
        <w:rPr>
          <w:color w:val="auto"/>
        </w:rPr>
        <w:t>glargine</w:t>
      </w:r>
      <w:proofErr w:type="spellEnd"/>
      <w:r w:rsidRPr="00A121E8">
        <w:rPr>
          <w:color w:val="auto"/>
        </w:rPr>
        <w:t>.</w:t>
      </w:r>
    </w:p>
    <w:p w:rsidR="008C4B44" w:rsidRPr="005F55EF" w:rsidRDefault="007E6065" w:rsidP="008C4B44">
      <w:pPr>
        <w:pStyle w:val="Heading3"/>
        <w:numPr>
          <w:ilvl w:val="0"/>
          <w:numId w:val="0"/>
        </w:numPr>
      </w:pPr>
      <w:r w:rsidRPr="005F55EF">
        <w:t>Substances that may enhance the blood-gluco</w:t>
      </w:r>
      <w:r w:rsidR="008C4B44" w:rsidRPr="005F55EF">
        <w:t xml:space="preserve">se-lowering effect and increase </w:t>
      </w:r>
      <w:r w:rsidRPr="005F55EF">
        <w:t xml:space="preserve">susceptibility to </w:t>
      </w:r>
      <w:proofErr w:type="spellStart"/>
      <w:r w:rsidRPr="005F55EF">
        <w:t>hypoglycaemia</w:t>
      </w:r>
      <w:proofErr w:type="spellEnd"/>
      <w:r w:rsidRPr="005F55EF">
        <w:t xml:space="preserve"> </w:t>
      </w:r>
    </w:p>
    <w:p w:rsidR="007E6065" w:rsidRDefault="005F55EF" w:rsidP="007E6065">
      <w:pPr>
        <w:rPr>
          <w:color w:val="auto"/>
        </w:rPr>
      </w:pPr>
      <w:r>
        <w:rPr>
          <w:color w:val="auto"/>
        </w:rPr>
        <w:t>O</w:t>
      </w:r>
      <w:r w:rsidR="007E6065" w:rsidRPr="00A121E8">
        <w:rPr>
          <w:color w:val="auto"/>
        </w:rPr>
        <w:t xml:space="preserve">ral antidiabetic medicinal products, angiotensin converting enzyme (ACE) inhibitors, </w:t>
      </w:r>
      <w:proofErr w:type="spellStart"/>
      <w:r w:rsidR="007E6065" w:rsidRPr="00A121E8">
        <w:rPr>
          <w:color w:val="auto"/>
        </w:rPr>
        <w:t>disopyramide</w:t>
      </w:r>
      <w:proofErr w:type="spellEnd"/>
      <w:r w:rsidR="007E6065" w:rsidRPr="00A121E8">
        <w:rPr>
          <w:color w:val="auto"/>
        </w:rPr>
        <w:t xml:space="preserve">, fibrates, fluoxetine, monoamine oxidase (MAO) inhibitors, </w:t>
      </w:r>
      <w:proofErr w:type="spellStart"/>
      <w:r w:rsidR="007E6065" w:rsidRPr="00A121E8">
        <w:rPr>
          <w:color w:val="auto"/>
        </w:rPr>
        <w:t>pentoxifylline</w:t>
      </w:r>
      <w:proofErr w:type="spellEnd"/>
      <w:r w:rsidR="007E6065" w:rsidRPr="00A121E8">
        <w:rPr>
          <w:color w:val="auto"/>
        </w:rPr>
        <w:t>, propoxyphene, salicylates and sulfonamide antibiotics.</w:t>
      </w:r>
    </w:p>
    <w:p w:rsidR="008C4B44" w:rsidRPr="005F55EF" w:rsidRDefault="007E6065" w:rsidP="008C4B44">
      <w:pPr>
        <w:pStyle w:val="Heading3"/>
        <w:numPr>
          <w:ilvl w:val="0"/>
          <w:numId w:val="0"/>
        </w:numPr>
      </w:pPr>
      <w:r w:rsidRPr="005F55EF">
        <w:t xml:space="preserve">Substances that may reduce the blood-glucose-lowering effect </w:t>
      </w:r>
    </w:p>
    <w:p w:rsidR="00055F2D" w:rsidRDefault="00AC5173" w:rsidP="007E6065">
      <w:pPr>
        <w:rPr>
          <w:sz w:val="23"/>
          <w:szCs w:val="23"/>
        </w:rPr>
      </w:pPr>
      <w:proofErr w:type="gramStart"/>
      <w:r>
        <w:rPr>
          <w:sz w:val="23"/>
          <w:szCs w:val="23"/>
        </w:rPr>
        <w:t>C</w:t>
      </w:r>
      <w:r w:rsidR="00055F2D">
        <w:rPr>
          <w:sz w:val="23"/>
          <w:szCs w:val="23"/>
        </w:rPr>
        <w:t xml:space="preserve">orticosteroids, </w:t>
      </w:r>
      <w:proofErr w:type="spellStart"/>
      <w:r w:rsidR="00055F2D">
        <w:rPr>
          <w:sz w:val="23"/>
          <w:szCs w:val="23"/>
        </w:rPr>
        <w:t>danazol</w:t>
      </w:r>
      <w:proofErr w:type="spellEnd"/>
      <w:r w:rsidR="00055F2D">
        <w:rPr>
          <w:sz w:val="23"/>
          <w:szCs w:val="23"/>
        </w:rPr>
        <w:t xml:space="preserve">, </w:t>
      </w:r>
      <w:proofErr w:type="spellStart"/>
      <w:r w:rsidR="00055F2D">
        <w:rPr>
          <w:sz w:val="23"/>
          <w:szCs w:val="23"/>
        </w:rPr>
        <w:t>diazoxide</w:t>
      </w:r>
      <w:proofErr w:type="spellEnd"/>
      <w:r w:rsidR="00055F2D">
        <w:rPr>
          <w:sz w:val="23"/>
          <w:szCs w:val="23"/>
        </w:rPr>
        <w:t xml:space="preserve">, diuretics, glucagon, isoniazid, oral contraceptives, phenothiazine derivatives, </w:t>
      </w:r>
      <w:proofErr w:type="spellStart"/>
      <w:r w:rsidR="00055F2D">
        <w:rPr>
          <w:sz w:val="23"/>
          <w:szCs w:val="23"/>
        </w:rPr>
        <w:t>somatotrophin</w:t>
      </w:r>
      <w:proofErr w:type="spellEnd"/>
      <w:r w:rsidR="00055F2D">
        <w:rPr>
          <w:sz w:val="23"/>
          <w:szCs w:val="23"/>
        </w:rPr>
        <w:t>, sympathomimetic agents (</w:t>
      </w:r>
      <w:proofErr w:type="spellStart"/>
      <w:r w:rsidR="00055F2D">
        <w:rPr>
          <w:sz w:val="23"/>
          <w:szCs w:val="23"/>
        </w:rPr>
        <w:t>eg</w:t>
      </w:r>
      <w:proofErr w:type="spellEnd"/>
      <w:r w:rsidR="00055F2D">
        <w:rPr>
          <w:sz w:val="23"/>
          <w:szCs w:val="23"/>
        </w:rPr>
        <w:t xml:space="preserve"> epinephrine [adrenaline], salbutamol, </w:t>
      </w:r>
      <w:proofErr w:type="spellStart"/>
      <w:r w:rsidR="00055F2D">
        <w:rPr>
          <w:sz w:val="23"/>
          <w:szCs w:val="23"/>
        </w:rPr>
        <w:t>terbutaline</w:t>
      </w:r>
      <w:proofErr w:type="spellEnd"/>
      <w:r w:rsidR="00055F2D">
        <w:rPr>
          <w:sz w:val="23"/>
          <w:szCs w:val="23"/>
        </w:rPr>
        <w:t>),</w:t>
      </w:r>
      <w:r w:rsidRPr="00AC5173">
        <w:t xml:space="preserve"> </w:t>
      </w:r>
      <w:r w:rsidRPr="00AC5173">
        <w:rPr>
          <w:sz w:val="23"/>
          <w:szCs w:val="23"/>
        </w:rPr>
        <w:t>thyroid hormones, protease inhibitors and atypical antipsychotic medications (</w:t>
      </w:r>
      <w:proofErr w:type="spellStart"/>
      <w:r w:rsidRPr="00AC5173">
        <w:rPr>
          <w:sz w:val="23"/>
          <w:szCs w:val="23"/>
        </w:rPr>
        <w:t>eg</w:t>
      </w:r>
      <w:proofErr w:type="spellEnd"/>
      <w:r w:rsidRPr="00AC5173">
        <w:rPr>
          <w:sz w:val="23"/>
          <w:szCs w:val="23"/>
        </w:rPr>
        <w:t xml:space="preserve"> olanzapine and clozapine).</w:t>
      </w:r>
      <w:proofErr w:type="gramEnd"/>
    </w:p>
    <w:p w:rsidR="00AC5173" w:rsidRDefault="00AC5173" w:rsidP="007E6065">
      <w:pPr>
        <w:rPr>
          <w:color w:val="auto"/>
        </w:rPr>
      </w:pPr>
      <w:r w:rsidRPr="00AC5173">
        <w:rPr>
          <w:color w:val="auto"/>
        </w:rPr>
        <w:t xml:space="preserve">Beta-blockers, clonidine, lithium salts or alcohol may either potentiate or weaken the blood glucose lowering effect of insulin. </w:t>
      </w:r>
      <w:proofErr w:type="spellStart"/>
      <w:r w:rsidRPr="00AC5173">
        <w:rPr>
          <w:color w:val="auto"/>
        </w:rPr>
        <w:t>Pentamidine</w:t>
      </w:r>
      <w:proofErr w:type="spellEnd"/>
      <w:r w:rsidRPr="00AC5173">
        <w:rPr>
          <w:color w:val="auto"/>
        </w:rPr>
        <w:t xml:space="preserve"> may cause </w:t>
      </w:r>
      <w:proofErr w:type="spellStart"/>
      <w:r w:rsidRPr="00AC5173">
        <w:rPr>
          <w:color w:val="auto"/>
        </w:rPr>
        <w:t>hypoglycaemia</w:t>
      </w:r>
      <w:proofErr w:type="spellEnd"/>
      <w:r w:rsidRPr="00AC5173">
        <w:rPr>
          <w:color w:val="auto"/>
        </w:rPr>
        <w:t xml:space="preserve">, which may be sometimes followed by </w:t>
      </w:r>
      <w:proofErr w:type="spellStart"/>
      <w:r w:rsidRPr="00AC5173">
        <w:rPr>
          <w:color w:val="auto"/>
        </w:rPr>
        <w:t>hyperglycaemia</w:t>
      </w:r>
      <w:proofErr w:type="spellEnd"/>
      <w:r w:rsidRPr="00AC5173">
        <w:rPr>
          <w:color w:val="auto"/>
        </w:rPr>
        <w:t>.</w:t>
      </w:r>
    </w:p>
    <w:p w:rsidR="008C4B44" w:rsidRPr="005F55EF" w:rsidRDefault="008C4B44" w:rsidP="008C4B44">
      <w:pPr>
        <w:pStyle w:val="Heading3"/>
        <w:numPr>
          <w:ilvl w:val="0"/>
          <w:numId w:val="0"/>
        </w:numPr>
      </w:pPr>
      <w:r w:rsidRPr="005F55EF">
        <w:t>Others</w:t>
      </w:r>
    </w:p>
    <w:p w:rsidR="00AC5173" w:rsidRDefault="00AC5173" w:rsidP="007E6065">
      <w:pPr>
        <w:rPr>
          <w:color w:val="auto"/>
        </w:rPr>
      </w:pPr>
      <w:r w:rsidRPr="00AC5173">
        <w:rPr>
          <w:color w:val="auto"/>
        </w:rPr>
        <w:t xml:space="preserve">In addition, under the influence of sympatholytic medicinal products such as beta-blockers, clonidine, </w:t>
      </w:r>
      <w:proofErr w:type="spellStart"/>
      <w:r w:rsidRPr="00AC5173">
        <w:rPr>
          <w:color w:val="auto"/>
        </w:rPr>
        <w:t>guanethidine</w:t>
      </w:r>
      <w:proofErr w:type="spellEnd"/>
      <w:r w:rsidRPr="00AC5173">
        <w:rPr>
          <w:color w:val="auto"/>
        </w:rPr>
        <w:t xml:space="preserve"> and reserpine, the signs of adrenergic counter-regulation induced by </w:t>
      </w:r>
      <w:proofErr w:type="spellStart"/>
      <w:r w:rsidRPr="00AC5173">
        <w:rPr>
          <w:color w:val="auto"/>
        </w:rPr>
        <w:t>hypoglycaemia</w:t>
      </w:r>
      <w:proofErr w:type="spellEnd"/>
      <w:r w:rsidRPr="00AC5173">
        <w:rPr>
          <w:color w:val="auto"/>
        </w:rPr>
        <w:t xml:space="preserve"> may be reduced or absent.</w:t>
      </w:r>
    </w:p>
    <w:p w:rsidR="003020BF" w:rsidRDefault="003020BF" w:rsidP="003020BF">
      <w:pPr>
        <w:pStyle w:val="Heading1"/>
        <w:pageBreakBefore w:val="0"/>
        <w:numPr>
          <w:ilvl w:val="0"/>
          <w:numId w:val="0"/>
        </w:numPr>
      </w:pPr>
      <w:bookmarkStart w:id="39" w:name="_Toc381269230"/>
      <w:r>
        <w:lastRenderedPageBreak/>
        <w:t>adverse effects</w:t>
      </w:r>
      <w:bookmarkEnd w:id="39"/>
    </w:p>
    <w:p w:rsidR="00CB0D24" w:rsidRPr="00736119" w:rsidRDefault="00CB0D24" w:rsidP="00CB0D24">
      <w:pPr>
        <w:rPr>
          <w:color w:val="auto"/>
        </w:rPr>
      </w:pPr>
      <w:r w:rsidRPr="00736119">
        <w:rPr>
          <w:color w:val="auto"/>
        </w:rPr>
        <w:t xml:space="preserve">The following adverse reactions were observed during clinical studies conducted with </w:t>
      </w:r>
      <w:proofErr w:type="spellStart"/>
      <w:r w:rsidR="00BB0644" w:rsidRPr="00736119">
        <w:rPr>
          <w:color w:val="auto"/>
        </w:rPr>
        <w:t>Toujeo</w:t>
      </w:r>
      <w:proofErr w:type="spellEnd"/>
      <w:r w:rsidR="004A27E8">
        <w:rPr>
          <w:color w:val="auto"/>
        </w:rPr>
        <w:t xml:space="preserve"> (300 </w:t>
      </w:r>
      <w:r w:rsidR="006B2D88">
        <w:rPr>
          <w:color w:val="auto"/>
        </w:rPr>
        <w:t>units</w:t>
      </w:r>
      <w:r w:rsidR="009C3EE0">
        <w:rPr>
          <w:color w:val="auto"/>
        </w:rPr>
        <w:t>/</w:t>
      </w:r>
      <w:r w:rsidR="00156455">
        <w:rPr>
          <w:color w:val="auto"/>
        </w:rPr>
        <w:t>mL</w:t>
      </w:r>
      <w:r w:rsidR="00860393">
        <w:rPr>
          <w:color w:val="auto"/>
        </w:rPr>
        <w:t>)</w:t>
      </w:r>
      <w:r w:rsidR="004E27FD" w:rsidRPr="00736119">
        <w:rPr>
          <w:color w:val="auto"/>
        </w:rPr>
        <w:t xml:space="preserve"> </w:t>
      </w:r>
      <w:r w:rsidR="00860393">
        <w:rPr>
          <w:color w:val="auto"/>
        </w:rPr>
        <w:t xml:space="preserve">and Lantus </w:t>
      </w:r>
      <w:r w:rsidR="00BC75C2">
        <w:rPr>
          <w:color w:val="auto"/>
        </w:rPr>
        <w:t>(100</w:t>
      </w:r>
      <w:r w:rsidR="004A27E8">
        <w:rPr>
          <w:color w:val="auto"/>
        </w:rPr>
        <w:t xml:space="preserve"> </w:t>
      </w:r>
      <w:r w:rsidR="006B2D88">
        <w:rPr>
          <w:color w:val="auto"/>
        </w:rPr>
        <w:t>units</w:t>
      </w:r>
      <w:r w:rsidR="009C3EE0">
        <w:rPr>
          <w:color w:val="auto"/>
        </w:rPr>
        <w:t>/</w:t>
      </w:r>
      <w:r w:rsidR="00156455">
        <w:rPr>
          <w:color w:val="auto"/>
        </w:rPr>
        <w:t>mL</w:t>
      </w:r>
      <w:r w:rsidR="00860393">
        <w:rPr>
          <w:color w:val="auto"/>
        </w:rPr>
        <w:t xml:space="preserve">) </w:t>
      </w:r>
      <w:r w:rsidR="004E27FD" w:rsidRPr="00736119">
        <w:rPr>
          <w:color w:val="auto"/>
        </w:rPr>
        <w:t>(</w:t>
      </w:r>
      <w:r w:rsidR="004E27FD" w:rsidRPr="00736119">
        <w:rPr>
          <w:color w:val="auto"/>
        </w:rPr>
        <w:fldChar w:fldCharType="begin"/>
      </w:r>
      <w:r w:rsidR="004E27FD" w:rsidRPr="00736119">
        <w:rPr>
          <w:color w:val="auto"/>
        </w:rPr>
        <w:instrText xml:space="preserve"> REF _Ref386117589 \h  \* MERGEFORMAT </w:instrText>
      </w:r>
      <w:r w:rsidR="004E27FD" w:rsidRPr="00736119">
        <w:rPr>
          <w:color w:val="auto"/>
        </w:rPr>
      </w:r>
      <w:r w:rsidR="004E27FD" w:rsidRPr="00736119">
        <w:rPr>
          <w:color w:val="auto"/>
        </w:rPr>
        <w:fldChar w:fldCharType="separate"/>
      </w:r>
      <w:r w:rsidR="002C5256" w:rsidRPr="002C5256">
        <w:rPr>
          <w:color w:val="auto"/>
        </w:rPr>
        <w:t>Table 7</w:t>
      </w:r>
      <w:r w:rsidR="004E27FD" w:rsidRPr="00736119">
        <w:rPr>
          <w:color w:val="auto"/>
        </w:rPr>
        <w:fldChar w:fldCharType="end"/>
      </w:r>
      <w:r w:rsidR="004E27FD" w:rsidRPr="00736119">
        <w:rPr>
          <w:color w:val="auto"/>
        </w:rPr>
        <w:t xml:space="preserve">) </w:t>
      </w:r>
      <w:r w:rsidRPr="00736119">
        <w:rPr>
          <w:color w:val="auto"/>
        </w:rPr>
        <w:t>and during clinical experience wit</w:t>
      </w:r>
      <w:r w:rsidR="005F55EF" w:rsidRPr="00736119">
        <w:rPr>
          <w:color w:val="auto"/>
        </w:rPr>
        <w:t xml:space="preserve">h </w:t>
      </w:r>
      <w:r w:rsidR="00860393">
        <w:rPr>
          <w:color w:val="auto"/>
        </w:rPr>
        <w:t>Lantus (</w:t>
      </w:r>
      <w:r w:rsidR="004A27E8">
        <w:rPr>
          <w:color w:val="auto"/>
        </w:rPr>
        <w:t xml:space="preserve">100 </w:t>
      </w:r>
      <w:r w:rsidR="006B2D88">
        <w:rPr>
          <w:color w:val="auto"/>
        </w:rPr>
        <w:t>units</w:t>
      </w:r>
      <w:r w:rsidR="009C3EE0">
        <w:rPr>
          <w:color w:val="auto"/>
        </w:rPr>
        <w:t>/</w:t>
      </w:r>
      <w:r w:rsidR="00156455">
        <w:rPr>
          <w:color w:val="auto"/>
        </w:rPr>
        <w:t>mL</w:t>
      </w:r>
      <w:r w:rsidR="00860393">
        <w:rPr>
          <w:color w:val="auto"/>
        </w:rPr>
        <w:t>)</w:t>
      </w:r>
      <w:r w:rsidR="005F55EF" w:rsidRPr="00736119">
        <w:rPr>
          <w:color w:val="auto"/>
        </w:rPr>
        <w:t xml:space="preserve"> in the ORIGIN</w:t>
      </w:r>
      <w:r w:rsidR="004E27FD" w:rsidRPr="00736119">
        <w:rPr>
          <w:color w:val="auto"/>
        </w:rPr>
        <w:t xml:space="preserve"> clinical study</w:t>
      </w:r>
      <w:r w:rsidR="005C38CF">
        <w:rPr>
          <w:color w:val="auto"/>
        </w:rPr>
        <w:t xml:space="preserve"> </w:t>
      </w:r>
      <w:r w:rsidR="00FB6A5E" w:rsidRPr="00736119">
        <w:rPr>
          <w:color w:val="auto"/>
        </w:rPr>
        <w:t>(</w:t>
      </w:r>
      <w:r w:rsidR="004E27FD" w:rsidRPr="00736119">
        <w:rPr>
          <w:color w:val="auto"/>
        </w:rPr>
        <w:fldChar w:fldCharType="begin"/>
      </w:r>
      <w:r w:rsidR="004E27FD" w:rsidRPr="00736119">
        <w:rPr>
          <w:color w:val="auto"/>
        </w:rPr>
        <w:instrText xml:space="preserve"> REF _Ref386117682 \h  \* MERGEFORMAT </w:instrText>
      </w:r>
      <w:r w:rsidR="004E27FD" w:rsidRPr="00736119">
        <w:rPr>
          <w:color w:val="auto"/>
        </w:rPr>
      </w:r>
      <w:r w:rsidR="004E27FD" w:rsidRPr="00736119">
        <w:rPr>
          <w:color w:val="auto"/>
        </w:rPr>
        <w:fldChar w:fldCharType="separate"/>
      </w:r>
      <w:r w:rsidR="002C5256" w:rsidRPr="00A121E8">
        <w:t>Table </w:t>
      </w:r>
      <w:r w:rsidR="002C5256">
        <w:t>8</w:t>
      </w:r>
      <w:r w:rsidR="004E27FD" w:rsidRPr="00736119">
        <w:rPr>
          <w:color w:val="auto"/>
        </w:rPr>
        <w:fldChar w:fldCharType="end"/>
      </w:r>
      <w:r w:rsidR="00A02A12">
        <w:rPr>
          <w:color w:val="auto"/>
        </w:rPr>
        <w:t>)</w:t>
      </w:r>
      <w:r w:rsidR="005C38CF">
        <w:rPr>
          <w:color w:val="auto"/>
        </w:rPr>
        <w:t>.</w:t>
      </w:r>
    </w:p>
    <w:p w:rsidR="00860393" w:rsidRDefault="00835D23" w:rsidP="00CB0D24">
      <w:pPr>
        <w:rPr>
          <w:color w:val="auto"/>
        </w:rPr>
      </w:pPr>
      <w:r w:rsidRPr="00F6761B">
        <w:rPr>
          <w:color w:val="auto"/>
        </w:rPr>
        <w:t>The following</w:t>
      </w:r>
      <w:r w:rsidR="00CB0D24" w:rsidRPr="00F6761B">
        <w:rPr>
          <w:color w:val="auto"/>
        </w:rPr>
        <w:t xml:space="preserve"> adverse reactions</w:t>
      </w:r>
      <w:r w:rsidRPr="00F6761B">
        <w:rPr>
          <w:color w:val="auto"/>
        </w:rPr>
        <w:t xml:space="preserve"> </w:t>
      </w:r>
      <w:r w:rsidR="002B686C" w:rsidRPr="00F6761B">
        <w:rPr>
          <w:color w:val="auto"/>
        </w:rPr>
        <w:t>observed</w:t>
      </w:r>
      <w:r w:rsidRPr="00F6761B">
        <w:rPr>
          <w:color w:val="auto"/>
        </w:rPr>
        <w:t xml:space="preserve"> from </w:t>
      </w:r>
      <w:proofErr w:type="spellStart"/>
      <w:r w:rsidRPr="00F6761B">
        <w:rPr>
          <w:color w:val="auto"/>
        </w:rPr>
        <w:t>Toujeo</w:t>
      </w:r>
      <w:proofErr w:type="spellEnd"/>
      <w:r w:rsidR="008C60EB">
        <w:rPr>
          <w:color w:val="auto"/>
        </w:rPr>
        <w:t xml:space="preserve"> and Lantus</w:t>
      </w:r>
      <w:r w:rsidR="00CB0D24" w:rsidRPr="00F6761B">
        <w:rPr>
          <w:color w:val="auto"/>
        </w:rPr>
        <w:t xml:space="preserve"> from clinical investigations are listed below by system organ class and in</w:t>
      </w:r>
      <w:r w:rsidR="00ED4690" w:rsidRPr="00F6761B">
        <w:rPr>
          <w:color w:val="auto"/>
        </w:rPr>
        <w:t xml:space="preserve"> order of decreasing incidence </w:t>
      </w:r>
    </w:p>
    <w:p w:rsidR="00CB0D24" w:rsidRPr="00F6761B" w:rsidRDefault="00CB0D24" w:rsidP="00CB0D24">
      <w:pPr>
        <w:rPr>
          <w:i/>
          <w:color w:val="auto"/>
        </w:rPr>
      </w:pPr>
      <w:proofErr w:type="gramStart"/>
      <w:r w:rsidRPr="00F6761B">
        <w:rPr>
          <w:i/>
          <w:color w:val="auto"/>
        </w:rPr>
        <w:t>very</w:t>
      </w:r>
      <w:proofErr w:type="gramEnd"/>
      <w:r w:rsidRPr="00F6761B">
        <w:rPr>
          <w:i/>
          <w:color w:val="auto"/>
        </w:rPr>
        <w:t xml:space="preserve"> common: ≥1/10; </w:t>
      </w:r>
      <w:r w:rsidRPr="008C60EB">
        <w:rPr>
          <w:b/>
          <w:i/>
          <w:color w:val="auto"/>
        </w:rPr>
        <w:t>c</w:t>
      </w:r>
      <w:r w:rsidRPr="00F6761B">
        <w:rPr>
          <w:i/>
          <w:color w:val="auto"/>
        </w:rPr>
        <w:t>ommon: ≥1/100 to &lt;1/10; uncommon: ≥1/1,000 to &lt;1/100; rare: ≥1/10,000 to &lt;1/1,000; very rare: &lt;1/10,000; not known: cannot be estimated fr</w:t>
      </w:r>
      <w:r w:rsidR="00ED4690" w:rsidRPr="00F6761B">
        <w:rPr>
          <w:i/>
          <w:color w:val="auto"/>
        </w:rPr>
        <w:t>om the available data</w:t>
      </w:r>
      <w:r w:rsidRPr="00F6761B">
        <w:rPr>
          <w:i/>
          <w:color w:val="auto"/>
        </w:rPr>
        <w:t>.</w:t>
      </w:r>
    </w:p>
    <w:p w:rsidR="00CB0D24" w:rsidRPr="00F6761B" w:rsidRDefault="00CB0D24" w:rsidP="00CB0D24">
      <w:pPr>
        <w:rPr>
          <w:color w:val="auto"/>
        </w:rPr>
      </w:pPr>
      <w:r w:rsidRPr="00F6761B">
        <w:rPr>
          <w:color w:val="auto"/>
        </w:rPr>
        <w:t>Within each frequency grouping, adverse reactions are presented in order of decreasing seriousness.</w:t>
      </w:r>
    </w:p>
    <w:p w:rsidR="002B686C" w:rsidRPr="00F6761B" w:rsidRDefault="002B686C" w:rsidP="002B686C">
      <w:pPr>
        <w:rPr>
          <w:color w:val="auto"/>
        </w:rPr>
      </w:pPr>
      <w:proofErr w:type="spellStart"/>
      <w:r w:rsidRPr="00F6761B">
        <w:rPr>
          <w:color w:val="auto"/>
        </w:rPr>
        <w:t>Hypoglycaemia</w:t>
      </w:r>
      <w:proofErr w:type="spellEnd"/>
      <w:r w:rsidRPr="00F6761B">
        <w:rPr>
          <w:color w:val="auto"/>
        </w:rPr>
        <w:t>, in general the most frequent adverse reaction of insulin therapy, may occur if the insulin dose is too high in relation to the insulin requirement.</w:t>
      </w:r>
    </w:p>
    <w:p w:rsidR="00CB0D24" w:rsidRDefault="002B686C" w:rsidP="002B686C">
      <w:pPr>
        <w:pStyle w:val="Caption"/>
      </w:pPr>
      <w:bookmarkStart w:id="40" w:name="_Ref386117589"/>
      <w:r w:rsidRPr="00736119">
        <w:t>Table </w:t>
      </w:r>
      <w:r w:rsidR="0069078C">
        <w:fldChar w:fldCharType="begin"/>
      </w:r>
      <w:r w:rsidR="0069078C">
        <w:instrText xml:space="preserve"> SEQ Table \* ARABIC </w:instrText>
      </w:r>
      <w:r w:rsidR="0069078C">
        <w:fldChar w:fldCharType="separate"/>
      </w:r>
      <w:r w:rsidR="002C5256">
        <w:rPr>
          <w:noProof/>
        </w:rPr>
        <w:t>7</w:t>
      </w:r>
      <w:r w:rsidR="0069078C">
        <w:fldChar w:fldCharType="end"/>
      </w:r>
      <w:bookmarkEnd w:id="40"/>
      <w:r w:rsidRPr="00736119">
        <w:t xml:space="preserve"> ­Adverse reactions observed from </w:t>
      </w:r>
      <w:proofErr w:type="spellStart"/>
      <w:r w:rsidRPr="00736119">
        <w:t>Toujeo</w:t>
      </w:r>
      <w:proofErr w:type="spellEnd"/>
      <w:r w:rsidRPr="00736119">
        <w:t xml:space="preserve"> Clinical </w:t>
      </w:r>
      <w:r w:rsidRPr="00AD27F0">
        <w:t>investigations</w:t>
      </w:r>
    </w:p>
    <w:tbl>
      <w:tblPr>
        <w:tblW w:w="0" w:type="auto"/>
        <w:jc w:val="center"/>
        <w:tblBorders>
          <w:top w:val="single" w:sz="2" w:space="0" w:color="000000"/>
        </w:tblBorders>
        <w:tblLook w:val="01E0" w:firstRow="1" w:lastRow="1" w:firstColumn="1" w:lastColumn="1" w:noHBand="0" w:noVBand="0"/>
      </w:tblPr>
      <w:tblGrid>
        <w:gridCol w:w="2944"/>
        <w:gridCol w:w="1458"/>
        <w:gridCol w:w="1576"/>
        <w:gridCol w:w="1316"/>
        <w:gridCol w:w="1348"/>
        <w:gridCol w:w="1043"/>
      </w:tblGrid>
      <w:tr w:rsidR="00CB0D24" w:rsidRPr="00736119" w:rsidTr="00CB0D24">
        <w:trPr>
          <w:cantSplit/>
          <w:tblHeader/>
          <w:jc w:val="center"/>
        </w:trPr>
        <w:tc>
          <w:tcPr>
            <w:tcW w:w="0" w:type="auto"/>
            <w:tcBorders>
              <w:top w:val="single" w:sz="4" w:space="0" w:color="000000"/>
              <w:bottom w:val="single" w:sz="4" w:space="0" w:color="000000"/>
            </w:tcBorders>
            <w:shd w:val="clear" w:color="auto" w:fill="auto"/>
          </w:tcPr>
          <w:p w:rsidR="00CB0D24" w:rsidRPr="00736119" w:rsidRDefault="00CB0D24" w:rsidP="00CB0D24">
            <w:pPr>
              <w:pStyle w:val="TblHeadingCenter"/>
            </w:pPr>
            <w:r w:rsidRPr="00736119">
              <w:t>MedDRA system organ classes</w:t>
            </w:r>
          </w:p>
        </w:tc>
        <w:tc>
          <w:tcPr>
            <w:tcW w:w="0" w:type="auto"/>
            <w:tcBorders>
              <w:top w:val="single" w:sz="4" w:space="0" w:color="000000"/>
              <w:bottom w:val="single" w:sz="4" w:space="0" w:color="000000"/>
            </w:tcBorders>
            <w:shd w:val="clear" w:color="auto" w:fill="auto"/>
          </w:tcPr>
          <w:p w:rsidR="00CB0D24" w:rsidRPr="00736119" w:rsidRDefault="00CB0D24" w:rsidP="00CB0D24">
            <w:pPr>
              <w:pStyle w:val="TblHeadingCenter"/>
            </w:pPr>
            <w:r w:rsidRPr="00736119">
              <w:t>Very common</w:t>
            </w:r>
          </w:p>
        </w:tc>
        <w:tc>
          <w:tcPr>
            <w:tcW w:w="0" w:type="auto"/>
            <w:tcBorders>
              <w:top w:val="single" w:sz="4" w:space="0" w:color="000000"/>
              <w:bottom w:val="single" w:sz="4" w:space="0" w:color="000000"/>
            </w:tcBorders>
            <w:shd w:val="clear" w:color="auto" w:fill="auto"/>
          </w:tcPr>
          <w:p w:rsidR="00CB0D24" w:rsidRPr="00736119" w:rsidRDefault="00CB0D24" w:rsidP="00CB0D24">
            <w:pPr>
              <w:pStyle w:val="TblHeadingCenter"/>
            </w:pPr>
            <w:r w:rsidRPr="00736119">
              <w:t>Common</w:t>
            </w:r>
          </w:p>
        </w:tc>
        <w:tc>
          <w:tcPr>
            <w:tcW w:w="0" w:type="auto"/>
            <w:tcBorders>
              <w:top w:val="single" w:sz="4" w:space="0" w:color="000000"/>
              <w:bottom w:val="single" w:sz="4" w:space="0" w:color="000000"/>
            </w:tcBorders>
            <w:shd w:val="clear" w:color="auto" w:fill="auto"/>
          </w:tcPr>
          <w:p w:rsidR="00CB0D24" w:rsidRPr="00736119" w:rsidRDefault="00CB0D24" w:rsidP="00CB0D24">
            <w:pPr>
              <w:pStyle w:val="TblHeadingCenter"/>
            </w:pPr>
            <w:r w:rsidRPr="00736119">
              <w:t>Uncommon</w:t>
            </w:r>
          </w:p>
        </w:tc>
        <w:tc>
          <w:tcPr>
            <w:tcW w:w="0" w:type="auto"/>
            <w:tcBorders>
              <w:top w:val="single" w:sz="4" w:space="0" w:color="000000"/>
              <w:bottom w:val="single" w:sz="4" w:space="0" w:color="000000"/>
            </w:tcBorders>
            <w:shd w:val="clear" w:color="auto" w:fill="auto"/>
          </w:tcPr>
          <w:p w:rsidR="00CB0D24" w:rsidRPr="00736119" w:rsidRDefault="00CB0D24" w:rsidP="00CB0D24">
            <w:pPr>
              <w:pStyle w:val="TblHeadingCenter"/>
            </w:pPr>
            <w:r w:rsidRPr="00736119">
              <w:t>Rare</w:t>
            </w:r>
          </w:p>
        </w:tc>
        <w:tc>
          <w:tcPr>
            <w:tcW w:w="0" w:type="auto"/>
            <w:tcBorders>
              <w:top w:val="single" w:sz="4" w:space="0" w:color="000000"/>
              <w:bottom w:val="single" w:sz="4" w:space="0" w:color="000000"/>
            </w:tcBorders>
            <w:shd w:val="clear" w:color="auto" w:fill="auto"/>
          </w:tcPr>
          <w:p w:rsidR="00CB0D24" w:rsidRPr="00736119" w:rsidRDefault="00CB0D24" w:rsidP="00CB0D24">
            <w:pPr>
              <w:pStyle w:val="TblHeadingCenter"/>
            </w:pPr>
            <w:r w:rsidRPr="00736119">
              <w:t>Very rare</w:t>
            </w:r>
          </w:p>
        </w:tc>
      </w:tr>
      <w:tr w:rsidR="00CB0D24" w:rsidRPr="00736119" w:rsidTr="00CB0D24">
        <w:trPr>
          <w:cantSplit/>
          <w:jc w:val="center"/>
        </w:trPr>
        <w:tc>
          <w:tcPr>
            <w:tcW w:w="0" w:type="auto"/>
            <w:tcBorders>
              <w:top w:val="single" w:sz="4" w:space="0" w:color="000000"/>
            </w:tcBorders>
            <w:shd w:val="clear" w:color="auto" w:fill="auto"/>
          </w:tcPr>
          <w:p w:rsidR="00CB0D24" w:rsidRPr="00736119" w:rsidRDefault="00CB0D24" w:rsidP="00CB0D24">
            <w:pPr>
              <w:pStyle w:val="TblTextCenter"/>
            </w:pPr>
            <w:r w:rsidRPr="00736119">
              <w:t>Immune system disorders</w:t>
            </w:r>
          </w:p>
        </w:tc>
        <w:tc>
          <w:tcPr>
            <w:tcW w:w="0" w:type="auto"/>
            <w:tcBorders>
              <w:top w:val="single" w:sz="4" w:space="0" w:color="000000"/>
            </w:tcBorders>
            <w:shd w:val="clear" w:color="auto" w:fill="auto"/>
          </w:tcPr>
          <w:p w:rsidR="00CB0D24" w:rsidRPr="00736119" w:rsidRDefault="00CB0D24" w:rsidP="00CB0D24">
            <w:pPr>
              <w:pStyle w:val="TblTextCenter"/>
            </w:pPr>
          </w:p>
        </w:tc>
        <w:tc>
          <w:tcPr>
            <w:tcW w:w="0" w:type="auto"/>
            <w:tcBorders>
              <w:top w:val="single" w:sz="4" w:space="0" w:color="000000"/>
            </w:tcBorders>
            <w:shd w:val="clear" w:color="auto" w:fill="auto"/>
          </w:tcPr>
          <w:p w:rsidR="00CB0D24" w:rsidRPr="00736119" w:rsidRDefault="00CB0D24" w:rsidP="00CB0D24">
            <w:pPr>
              <w:pStyle w:val="TblTextCenter"/>
            </w:pPr>
          </w:p>
        </w:tc>
        <w:tc>
          <w:tcPr>
            <w:tcW w:w="0" w:type="auto"/>
            <w:tcBorders>
              <w:top w:val="single" w:sz="4" w:space="0" w:color="000000"/>
            </w:tcBorders>
            <w:shd w:val="clear" w:color="auto" w:fill="auto"/>
          </w:tcPr>
          <w:p w:rsidR="00CB0D24" w:rsidRPr="00736119" w:rsidRDefault="00CB0D24" w:rsidP="00CB0D24">
            <w:pPr>
              <w:pStyle w:val="TblTextCenter"/>
            </w:pPr>
          </w:p>
        </w:tc>
        <w:tc>
          <w:tcPr>
            <w:tcW w:w="0" w:type="auto"/>
            <w:tcBorders>
              <w:top w:val="single" w:sz="4" w:space="0" w:color="000000"/>
            </w:tcBorders>
            <w:shd w:val="clear" w:color="auto" w:fill="auto"/>
          </w:tcPr>
          <w:p w:rsidR="00CB0D24" w:rsidRPr="00736119" w:rsidRDefault="00CB0D24" w:rsidP="00CB0D24">
            <w:pPr>
              <w:pStyle w:val="TblTextCenter"/>
            </w:pPr>
            <w:r w:rsidRPr="00736119">
              <w:t>Allergic reactions</w:t>
            </w:r>
          </w:p>
        </w:tc>
        <w:tc>
          <w:tcPr>
            <w:tcW w:w="0" w:type="auto"/>
            <w:tcBorders>
              <w:top w:val="single" w:sz="4" w:space="0" w:color="000000"/>
            </w:tcBorders>
            <w:shd w:val="clear" w:color="auto" w:fill="auto"/>
          </w:tcPr>
          <w:p w:rsidR="00CB0D24" w:rsidRPr="00736119" w:rsidRDefault="00CB0D24" w:rsidP="00CB0D24">
            <w:pPr>
              <w:pStyle w:val="TblTextCenter"/>
            </w:pPr>
          </w:p>
        </w:tc>
      </w:tr>
      <w:tr w:rsidR="00CB0D24" w:rsidRPr="00736119" w:rsidTr="00CB0D24">
        <w:trPr>
          <w:cantSplit/>
          <w:jc w:val="center"/>
        </w:trPr>
        <w:tc>
          <w:tcPr>
            <w:tcW w:w="0" w:type="auto"/>
            <w:shd w:val="clear" w:color="auto" w:fill="auto"/>
          </w:tcPr>
          <w:p w:rsidR="00CB0D24" w:rsidRPr="00736119" w:rsidRDefault="00CB0D24" w:rsidP="00CB0D24">
            <w:pPr>
              <w:pStyle w:val="TblTextCenter"/>
            </w:pPr>
            <w:r w:rsidRPr="00736119">
              <w:t>Metabolism and nutrition disorders</w:t>
            </w:r>
          </w:p>
        </w:tc>
        <w:tc>
          <w:tcPr>
            <w:tcW w:w="0" w:type="auto"/>
            <w:shd w:val="clear" w:color="auto" w:fill="auto"/>
          </w:tcPr>
          <w:p w:rsidR="00CB0D24" w:rsidRPr="00736119" w:rsidRDefault="00CB0D24" w:rsidP="00CB0D24">
            <w:pPr>
              <w:pStyle w:val="TblTextCenter"/>
            </w:pPr>
            <w:proofErr w:type="spellStart"/>
            <w:r w:rsidRPr="00736119">
              <w:t>Hypoglycaemia</w:t>
            </w:r>
            <w:proofErr w:type="spellEnd"/>
          </w:p>
        </w:tc>
        <w:tc>
          <w:tcPr>
            <w:tcW w:w="0" w:type="auto"/>
            <w:shd w:val="clear" w:color="auto" w:fill="auto"/>
          </w:tcPr>
          <w:p w:rsidR="00CB0D24" w:rsidRPr="00736119" w:rsidRDefault="00CB0D24" w:rsidP="00CB0D24">
            <w:pPr>
              <w:pStyle w:val="TblTextCenter"/>
            </w:pPr>
          </w:p>
        </w:tc>
        <w:tc>
          <w:tcPr>
            <w:tcW w:w="0" w:type="auto"/>
            <w:shd w:val="clear" w:color="auto" w:fill="auto"/>
          </w:tcPr>
          <w:p w:rsidR="00CB0D24" w:rsidRPr="00736119" w:rsidRDefault="00CB0D24" w:rsidP="00CB0D24">
            <w:pPr>
              <w:pStyle w:val="TblTextCenter"/>
            </w:pPr>
          </w:p>
        </w:tc>
        <w:tc>
          <w:tcPr>
            <w:tcW w:w="0" w:type="auto"/>
            <w:shd w:val="clear" w:color="auto" w:fill="auto"/>
          </w:tcPr>
          <w:p w:rsidR="00CB0D24" w:rsidRPr="00736119" w:rsidRDefault="00CB0D24" w:rsidP="00CB0D24">
            <w:pPr>
              <w:pStyle w:val="TblTextCenter"/>
            </w:pPr>
          </w:p>
        </w:tc>
        <w:tc>
          <w:tcPr>
            <w:tcW w:w="0" w:type="auto"/>
            <w:shd w:val="clear" w:color="auto" w:fill="auto"/>
          </w:tcPr>
          <w:p w:rsidR="00CB0D24" w:rsidRPr="00736119" w:rsidRDefault="00CB0D24" w:rsidP="00CB0D24">
            <w:pPr>
              <w:pStyle w:val="TblTextCenter"/>
            </w:pPr>
          </w:p>
        </w:tc>
      </w:tr>
      <w:tr w:rsidR="00CB0D24" w:rsidRPr="00736119" w:rsidTr="00CB0D24">
        <w:trPr>
          <w:cantSplit/>
          <w:jc w:val="center"/>
        </w:trPr>
        <w:tc>
          <w:tcPr>
            <w:tcW w:w="0" w:type="auto"/>
            <w:shd w:val="clear" w:color="auto" w:fill="auto"/>
          </w:tcPr>
          <w:p w:rsidR="00CB0D24" w:rsidRPr="00736119" w:rsidRDefault="00CB0D24" w:rsidP="00CB0D24">
            <w:pPr>
              <w:pStyle w:val="TblTextCenter"/>
            </w:pPr>
            <w:r w:rsidRPr="00736119">
              <w:t>Nervous system disorders</w:t>
            </w:r>
          </w:p>
        </w:tc>
        <w:tc>
          <w:tcPr>
            <w:tcW w:w="0" w:type="auto"/>
            <w:shd w:val="clear" w:color="auto" w:fill="auto"/>
          </w:tcPr>
          <w:p w:rsidR="00CB0D24" w:rsidRPr="00736119" w:rsidRDefault="00CB0D24" w:rsidP="00CB0D24">
            <w:pPr>
              <w:pStyle w:val="TblTextCenter"/>
            </w:pPr>
          </w:p>
        </w:tc>
        <w:tc>
          <w:tcPr>
            <w:tcW w:w="0" w:type="auto"/>
            <w:shd w:val="clear" w:color="auto" w:fill="auto"/>
          </w:tcPr>
          <w:p w:rsidR="00CB0D24" w:rsidRPr="00736119" w:rsidRDefault="00CB0D24" w:rsidP="00CB0D24">
            <w:pPr>
              <w:pStyle w:val="TblTextCenter"/>
            </w:pPr>
          </w:p>
        </w:tc>
        <w:tc>
          <w:tcPr>
            <w:tcW w:w="0" w:type="auto"/>
            <w:shd w:val="clear" w:color="auto" w:fill="auto"/>
          </w:tcPr>
          <w:p w:rsidR="00CB0D24" w:rsidRPr="00736119" w:rsidRDefault="00CB0D24" w:rsidP="00CB0D24">
            <w:pPr>
              <w:pStyle w:val="TblTextCenter"/>
            </w:pPr>
          </w:p>
        </w:tc>
        <w:tc>
          <w:tcPr>
            <w:tcW w:w="0" w:type="auto"/>
            <w:shd w:val="clear" w:color="auto" w:fill="auto"/>
          </w:tcPr>
          <w:p w:rsidR="00CB0D24" w:rsidRPr="00736119" w:rsidRDefault="00CB0D24" w:rsidP="00CB0D24">
            <w:pPr>
              <w:pStyle w:val="TblTextCenter"/>
            </w:pPr>
          </w:p>
        </w:tc>
        <w:tc>
          <w:tcPr>
            <w:tcW w:w="0" w:type="auto"/>
            <w:shd w:val="clear" w:color="auto" w:fill="auto"/>
          </w:tcPr>
          <w:p w:rsidR="00CB0D24" w:rsidRPr="00736119" w:rsidRDefault="00CB0D24" w:rsidP="00CB0D24">
            <w:pPr>
              <w:pStyle w:val="TblTextCenter"/>
            </w:pPr>
            <w:proofErr w:type="spellStart"/>
            <w:r w:rsidRPr="00736119">
              <w:t>Dysgeusia</w:t>
            </w:r>
            <w:proofErr w:type="spellEnd"/>
          </w:p>
        </w:tc>
      </w:tr>
      <w:tr w:rsidR="00CB0D24" w:rsidRPr="00736119" w:rsidTr="00CB0D24">
        <w:trPr>
          <w:cantSplit/>
          <w:jc w:val="center"/>
        </w:trPr>
        <w:tc>
          <w:tcPr>
            <w:tcW w:w="0" w:type="auto"/>
            <w:shd w:val="clear" w:color="auto" w:fill="auto"/>
          </w:tcPr>
          <w:p w:rsidR="00CB0D24" w:rsidRPr="00736119" w:rsidRDefault="00CB0D24" w:rsidP="00CB0D24">
            <w:pPr>
              <w:pStyle w:val="TblTextCenter"/>
            </w:pPr>
            <w:r w:rsidRPr="00736119">
              <w:t>Eyes disorders</w:t>
            </w:r>
          </w:p>
        </w:tc>
        <w:tc>
          <w:tcPr>
            <w:tcW w:w="0" w:type="auto"/>
            <w:shd w:val="clear" w:color="auto" w:fill="auto"/>
          </w:tcPr>
          <w:p w:rsidR="00CB0D24" w:rsidRPr="00736119" w:rsidRDefault="00CB0D24" w:rsidP="00CB0D24">
            <w:pPr>
              <w:pStyle w:val="TblTextCenter"/>
            </w:pPr>
          </w:p>
        </w:tc>
        <w:tc>
          <w:tcPr>
            <w:tcW w:w="0" w:type="auto"/>
            <w:shd w:val="clear" w:color="auto" w:fill="auto"/>
          </w:tcPr>
          <w:p w:rsidR="00CB0D24" w:rsidRPr="00736119" w:rsidRDefault="00CB0D24" w:rsidP="00CB0D24">
            <w:pPr>
              <w:pStyle w:val="TblTextCenter"/>
            </w:pPr>
          </w:p>
        </w:tc>
        <w:tc>
          <w:tcPr>
            <w:tcW w:w="0" w:type="auto"/>
            <w:shd w:val="clear" w:color="auto" w:fill="auto"/>
          </w:tcPr>
          <w:p w:rsidR="00CB0D24" w:rsidRPr="00736119" w:rsidRDefault="00CB0D24" w:rsidP="00CB0D24">
            <w:pPr>
              <w:pStyle w:val="TblTextCenter"/>
            </w:pPr>
          </w:p>
        </w:tc>
        <w:tc>
          <w:tcPr>
            <w:tcW w:w="0" w:type="auto"/>
            <w:shd w:val="clear" w:color="auto" w:fill="auto"/>
          </w:tcPr>
          <w:p w:rsidR="00CB0D24" w:rsidRPr="00736119" w:rsidRDefault="00CB0D24" w:rsidP="00CB0D24">
            <w:pPr>
              <w:pStyle w:val="TblTextCenter"/>
            </w:pPr>
            <w:r w:rsidRPr="00736119">
              <w:t>Visual impairment</w:t>
            </w:r>
          </w:p>
          <w:p w:rsidR="00CB0D24" w:rsidRPr="00736119" w:rsidRDefault="00CB0D24" w:rsidP="00CB0D24">
            <w:pPr>
              <w:pStyle w:val="TblTextCenter"/>
            </w:pPr>
            <w:r w:rsidRPr="00736119">
              <w:t>Retinopathy</w:t>
            </w:r>
          </w:p>
        </w:tc>
        <w:tc>
          <w:tcPr>
            <w:tcW w:w="0" w:type="auto"/>
            <w:shd w:val="clear" w:color="auto" w:fill="auto"/>
          </w:tcPr>
          <w:p w:rsidR="00CB0D24" w:rsidRPr="00736119" w:rsidRDefault="00CB0D24" w:rsidP="00CB0D24">
            <w:pPr>
              <w:pStyle w:val="TblTextCenter"/>
            </w:pPr>
          </w:p>
        </w:tc>
      </w:tr>
      <w:tr w:rsidR="00CB0D24" w:rsidRPr="00736119" w:rsidTr="00CB0D24">
        <w:trPr>
          <w:cantSplit/>
          <w:jc w:val="center"/>
        </w:trPr>
        <w:tc>
          <w:tcPr>
            <w:tcW w:w="0" w:type="auto"/>
            <w:shd w:val="clear" w:color="auto" w:fill="auto"/>
          </w:tcPr>
          <w:p w:rsidR="00CB0D24" w:rsidRPr="00736119" w:rsidRDefault="00CB0D24" w:rsidP="00CB0D24">
            <w:pPr>
              <w:pStyle w:val="TblTextCenter"/>
            </w:pPr>
            <w:r w:rsidRPr="00736119">
              <w:t>Skin and subcutaneous tissue disorders</w:t>
            </w:r>
          </w:p>
        </w:tc>
        <w:tc>
          <w:tcPr>
            <w:tcW w:w="0" w:type="auto"/>
            <w:shd w:val="clear" w:color="auto" w:fill="auto"/>
          </w:tcPr>
          <w:p w:rsidR="00CB0D24" w:rsidRPr="00736119" w:rsidRDefault="00CB0D24" w:rsidP="00CB0D24">
            <w:pPr>
              <w:pStyle w:val="TblTextCenter"/>
            </w:pPr>
          </w:p>
        </w:tc>
        <w:tc>
          <w:tcPr>
            <w:tcW w:w="0" w:type="auto"/>
            <w:shd w:val="clear" w:color="auto" w:fill="auto"/>
          </w:tcPr>
          <w:p w:rsidR="00CB0D24" w:rsidRPr="00736119" w:rsidRDefault="00CB0D24" w:rsidP="00CB0D24">
            <w:pPr>
              <w:pStyle w:val="TblTextCenter"/>
            </w:pPr>
            <w:proofErr w:type="spellStart"/>
            <w:r w:rsidRPr="00736119">
              <w:t>Lipohypertro-phy</w:t>
            </w:r>
            <w:proofErr w:type="spellEnd"/>
          </w:p>
        </w:tc>
        <w:tc>
          <w:tcPr>
            <w:tcW w:w="0" w:type="auto"/>
            <w:shd w:val="clear" w:color="auto" w:fill="auto"/>
          </w:tcPr>
          <w:p w:rsidR="00CB0D24" w:rsidRPr="00736119" w:rsidRDefault="00CB0D24" w:rsidP="00CB0D24">
            <w:pPr>
              <w:pStyle w:val="TblTextCenter"/>
            </w:pPr>
            <w:r w:rsidRPr="00736119">
              <w:t>Lipoatrophy</w:t>
            </w:r>
          </w:p>
        </w:tc>
        <w:tc>
          <w:tcPr>
            <w:tcW w:w="0" w:type="auto"/>
            <w:shd w:val="clear" w:color="auto" w:fill="auto"/>
          </w:tcPr>
          <w:p w:rsidR="00CB0D24" w:rsidRPr="00736119" w:rsidRDefault="00CB0D24" w:rsidP="00CB0D24">
            <w:pPr>
              <w:pStyle w:val="TblTextCenter"/>
            </w:pPr>
          </w:p>
        </w:tc>
        <w:tc>
          <w:tcPr>
            <w:tcW w:w="0" w:type="auto"/>
            <w:shd w:val="clear" w:color="auto" w:fill="auto"/>
          </w:tcPr>
          <w:p w:rsidR="00CB0D24" w:rsidRPr="00736119" w:rsidRDefault="00CB0D24" w:rsidP="00CB0D24">
            <w:pPr>
              <w:pStyle w:val="TblTextCenter"/>
            </w:pPr>
          </w:p>
        </w:tc>
      </w:tr>
      <w:tr w:rsidR="00CB0D24" w:rsidRPr="00736119" w:rsidTr="00CB0D24">
        <w:trPr>
          <w:cantSplit/>
          <w:jc w:val="center"/>
        </w:trPr>
        <w:tc>
          <w:tcPr>
            <w:tcW w:w="0" w:type="auto"/>
            <w:shd w:val="clear" w:color="auto" w:fill="auto"/>
          </w:tcPr>
          <w:p w:rsidR="00CB0D24" w:rsidRPr="00736119" w:rsidRDefault="00CB0D24" w:rsidP="00CB0D24">
            <w:pPr>
              <w:pStyle w:val="TblTextCenter"/>
            </w:pPr>
            <w:r w:rsidRPr="00736119">
              <w:t>Musculoskeletal and connective tissue disorders</w:t>
            </w:r>
          </w:p>
        </w:tc>
        <w:tc>
          <w:tcPr>
            <w:tcW w:w="0" w:type="auto"/>
            <w:shd w:val="clear" w:color="auto" w:fill="auto"/>
          </w:tcPr>
          <w:p w:rsidR="00CB0D24" w:rsidRPr="00736119" w:rsidRDefault="00CB0D24" w:rsidP="00CB0D24">
            <w:pPr>
              <w:pStyle w:val="TblTextCenter"/>
            </w:pPr>
          </w:p>
        </w:tc>
        <w:tc>
          <w:tcPr>
            <w:tcW w:w="0" w:type="auto"/>
            <w:shd w:val="clear" w:color="auto" w:fill="auto"/>
          </w:tcPr>
          <w:p w:rsidR="00CB0D24" w:rsidRPr="00736119" w:rsidRDefault="00CB0D24" w:rsidP="00CB0D24">
            <w:pPr>
              <w:pStyle w:val="TblTextCenter"/>
            </w:pPr>
          </w:p>
        </w:tc>
        <w:tc>
          <w:tcPr>
            <w:tcW w:w="0" w:type="auto"/>
            <w:shd w:val="clear" w:color="auto" w:fill="auto"/>
          </w:tcPr>
          <w:p w:rsidR="00CB0D24" w:rsidRPr="00736119" w:rsidRDefault="00CB0D24" w:rsidP="00CB0D24">
            <w:pPr>
              <w:pStyle w:val="TblTextCenter"/>
            </w:pPr>
          </w:p>
        </w:tc>
        <w:tc>
          <w:tcPr>
            <w:tcW w:w="0" w:type="auto"/>
            <w:shd w:val="clear" w:color="auto" w:fill="auto"/>
          </w:tcPr>
          <w:p w:rsidR="00CB0D24" w:rsidRPr="00736119" w:rsidRDefault="00CB0D24" w:rsidP="00CB0D24">
            <w:pPr>
              <w:pStyle w:val="TblTextCenter"/>
            </w:pPr>
          </w:p>
        </w:tc>
        <w:tc>
          <w:tcPr>
            <w:tcW w:w="0" w:type="auto"/>
            <w:shd w:val="clear" w:color="auto" w:fill="auto"/>
          </w:tcPr>
          <w:p w:rsidR="00CB0D24" w:rsidRPr="00736119" w:rsidRDefault="00CB0D24" w:rsidP="00CB0D24">
            <w:pPr>
              <w:pStyle w:val="TblTextCenter"/>
            </w:pPr>
            <w:r w:rsidRPr="00736119">
              <w:t>Myalgia</w:t>
            </w:r>
          </w:p>
        </w:tc>
      </w:tr>
      <w:tr w:rsidR="00CB0D24" w:rsidRPr="00736119" w:rsidTr="00CB0D24">
        <w:trPr>
          <w:cantSplit/>
          <w:trHeight w:val="518"/>
          <w:jc w:val="center"/>
        </w:trPr>
        <w:tc>
          <w:tcPr>
            <w:tcW w:w="0" w:type="auto"/>
            <w:tcBorders>
              <w:bottom w:val="single" w:sz="12" w:space="0" w:color="auto"/>
            </w:tcBorders>
            <w:shd w:val="clear" w:color="auto" w:fill="auto"/>
          </w:tcPr>
          <w:p w:rsidR="00CB0D24" w:rsidRPr="00736119" w:rsidRDefault="00CB0D24" w:rsidP="00CB0D24">
            <w:pPr>
              <w:pStyle w:val="TblTextCenter"/>
            </w:pPr>
            <w:r w:rsidRPr="00736119">
              <w:t>General disorders and administration site conditions</w:t>
            </w:r>
          </w:p>
        </w:tc>
        <w:tc>
          <w:tcPr>
            <w:tcW w:w="0" w:type="auto"/>
            <w:tcBorders>
              <w:bottom w:val="single" w:sz="12" w:space="0" w:color="auto"/>
            </w:tcBorders>
            <w:shd w:val="clear" w:color="auto" w:fill="auto"/>
          </w:tcPr>
          <w:p w:rsidR="00CB0D24" w:rsidRPr="00736119" w:rsidRDefault="00CB0D24" w:rsidP="00CB0D24">
            <w:pPr>
              <w:pStyle w:val="TblTextCenter"/>
            </w:pPr>
          </w:p>
        </w:tc>
        <w:tc>
          <w:tcPr>
            <w:tcW w:w="0" w:type="auto"/>
            <w:tcBorders>
              <w:bottom w:val="single" w:sz="12" w:space="0" w:color="auto"/>
            </w:tcBorders>
            <w:shd w:val="clear" w:color="auto" w:fill="auto"/>
          </w:tcPr>
          <w:p w:rsidR="00CB0D24" w:rsidRPr="00736119" w:rsidRDefault="00CB0D24" w:rsidP="00CB0D24">
            <w:pPr>
              <w:pStyle w:val="TblTextCenter"/>
            </w:pPr>
            <w:r w:rsidRPr="00736119">
              <w:t>Injection site reactions</w:t>
            </w:r>
          </w:p>
        </w:tc>
        <w:tc>
          <w:tcPr>
            <w:tcW w:w="0" w:type="auto"/>
            <w:tcBorders>
              <w:bottom w:val="single" w:sz="12" w:space="0" w:color="auto"/>
            </w:tcBorders>
            <w:shd w:val="clear" w:color="auto" w:fill="auto"/>
          </w:tcPr>
          <w:p w:rsidR="00CB0D24" w:rsidRPr="00736119" w:rsidRDefault="00CB0D24" w:rsidP="00CB0D24">
            <w:pPr>
              <w:pStyle w:val="TblTextCenter"/>
            </w:pPr>
          </w:p>
        </w:tc>
        <w:tc>
          <w:tcPr>
            <w:tcW w:w="0" w:type="auto"/>
            <w:tcBorders>
              <w:bottom w:val="single" w:sz="12" w:space="0" w:color="auto"/>
            </w:tcBorders>
            <w:shd w:val="clear" w:color="auto" w:fill="auto"/>
          </w:tcPr>
          <w:p w:rsidR="00CB0D24" w:rsidRPr="00736119" w:rsidRDefault="00CB0D24" w:rsidP="00CB0D24">
            <w:pPr>
              <w:pStyle w:val="TblTextCenter"/>
            </w:pPr>
            <w:proofErr w:type="spellStart"/>
            <w:r w:rsidRPr="00736119">
              <w:t>Oedema</w:t>
            </w:r>
            <w:proofErr w:type="spellEnd"/>
          </w:p>
        </w:tc>
        <w:tc>
          <w:tcPr>
            <w:tcW w:w="0" w:type="auto"/>
            <w:tcBorders>
              <w:bottom w:val="single" w:sz="12" w:space="0" w:color="auto"/>
            </w:tcBorders>
            <w:shd w:val="clear" w:color="auto" w:fill="auto"/>
          </w:tcPr>
          <w:p w:rsidR="00CB0D24" w:rsidRPr="00736119" w:rsidRDefault="00CB0D24" w:rsidP="00CB0D24">
            <w:pPr>
              <w:pStyle w:val="TblTextCenter"/>
            </w:pPr>
          </w:p>
        </w:tc>
      </w:tr>
    </w:tbl>
    <w:p w:rsidR="00394B97" w:rsidRPr="00A121E8" w:rsidRDefault="00394B97" w:rsidP="00DA17AE">
      <w:pPr>
        <w:pStyle w:val="Caption"/>
        <w:pageBreakBefore/>
        <w:rPr>
          <w:sz w:val="22"/>
        </w:rPr>
      </w:pPr>
      <w:bookmarkStart w:id="41" w:name="_Ref386117682"/>
      <w:r w:rsidRPr="00A121E8">
        <w:lastRenderedPageBreak/>
        <w:t>Table </w:t>
      </w:r>
      <w:r w:rsidR="0069078C">
        <w:fldChar w:fldCharType="begin"/>
      </w:r>
      <w:r w:rsidR="0069078C">
        <w:instrText xml:space="preserve"> SEQ Table \* ARABIC </w:instrText>
      </w:r>
      <w:r w:rsidR="0069078C">
        <w:fldChar w:fldCharType="separate"/>
      </w:r>
      <w:r w:rsidR="002C5256">
        <w:rPr>
          <w:noProof/>
        </w:rPr>
        <w:t>8</w:t>
      </w:r>
      <w:r w:rsidR="0069078C">
        <w:fldChar w:fldCharType="end"/>
      </w:r>
      <w:bookmarkEnd w:id="41"/>
      <w:r w:rsidRPr="00A121E8">
        <w:t xml:space="preserve"> ­ Cardiovascular and Cancer Events in ORIGIN </w:t>
      </w:r>
    </w:p>
    <w:tbl>
      <w:tblPr>
        <w:tblW w:w="0" w:type="auto"/>
        <w:jc w:val="center"/>
        <w:tblBorders>
          <w:top w:val="single" w:sz="2" w:space="0" w:color="000000"/>
        </w:tblBorders>
        <w:tblLook w:val="04A0" w:firstRow="1" w:lastRow="0" w:firstColumn="1" w:lastColumn="0" w:noHBand="0" w:noVBand="1"/>
      </w:tblPr>
      <w:tblGrid>
        <w:gridCol w:w="3652"/>
        <w:gridCol w:w="1843"/>
        <w:gridCol w:w="2106"/>
        <w:gridCol w:w="2084"/>
      </w:tblGrid>
      <w:tr w:rsidR="00394B97" w:rsidRPr="00A121E8" w:rsidTr="005C38CF">
        <w:trPr>
          <w:cantSplit/>
          <w:tblHeader/>
          <w:jc w:val="center"/>
        </w:trPr>
        <w:tc>
          <w:tcPr>
            <w:tcW w:w="3652" w:type="dxa"/>
            <w:vMerge w:val="restart"/>
            <w:tcBorders>
              <w:top w:val="single" w:sz="4" w:space="0" w:color="000000"/>
              <w:bottom w:val="single" w:sz="4" w:space="0" w:color="auto"/>
              <w:right w:val="nil"/>
            </w:tcBorders>
            <w:shd w:val="clear" w:color="auto" w:fill="auto"/>
          </w:tcPr>
          <w:p w:rsidR="00394B97" w:rsidRPr="00A121E8" w:rsidRDefault="00394B97" w:rsidP="002403B2">
            <w:pPr>
              <w:pStyle w:val="TblHeadingCenter"/>
              <w:spacing w:before="0"/>
            </w:pPr>
          </w:p>
          <w:p w:rsidR="00394B97" w:rsidRPr="00A121E8" w:rsidRDefault="00394B97" w:rsidP="002403B2">
            <w:pPr>
              <w:pStyle w:val="TblHeadingCenter"/>
              <w:spacing w:before="0"/>
            </w:pPr>
          </w:p>
        </w:tc>
        <w:tc>
          <w:tcPr>
            <w:tcW w:w="1843" w:type="dxa"/>
            <w:tcBorders>
              <w:top w:val="single" w:sz="4" w:space="0" w:color="000000"/>
              <w:left w:val="nil"/>
              <w:bottom w:val="single" w:sz="4" w:space="0" w:color="auto"/>
              <w:right w:val="nil"/>
            </w:tcBorders>
            <w:shd w:val="clear" w:color="auto" w:fill="auto"/>
            <w:vAlign w:val="center"/>
          </w:tcPr>
          <w:p w:rsidR="00394B97" w:rsidRPr="00A121E8" w:rsidRDefault="00394B97" w:rsidP="002403B2">
            <w:pPr>
              <w:pStyle w:val="TblHeadingCenter"/>
              <w:spacing w:before="0"/>
            </w:pPr>
            <w:r w:rsidRPr="00A121E8">
              <w:t>LANTUS</w:t>
            </w:r>
          </w:p>
          <w:p w:rsidR="00394B97" w:rsidRPr="00A121E8" w:rsidRDefault="00394B97" w:rsidP="002403B2">
            <w:pPr>
              <w:pStyle w:val="TblHeadingCenter"/>
              <w:spacing w:before="0"/>
            </w:pPr>
            <w:r w:rsidRPr="00A121E8">
              <w:t>N=6264</w:t>
            </w:r>
          </w:p>
        </w:tc>
        <w:tc>
          <w:tcPr>
            <w:tcW w:w="2106" w:type="dxa"/>
            <w:tcBorders>
              <w:top w:val="single" w:sz="4" w:space="0" w:color="000000"/>
              <w:left w:val="nil"/>
              <w:bottom w:val="single" w:sz="4" w:space="0" w:color="auto"/>
              <w:right w:val="nil"/>
            </w:tcBorders>
            <w:shd w:val="clear" w:color="auto" w:fill="auto"/>
            <w:vAlign w:val="center"/>
          </w:tcPr>
          <w:p w:rsidR="00394B97" w:rsidRPr="00A121E8" w:rsidRDefault="00394B97" w:rsidP="002403B2">
            <w:pPr>
              <w:pStyle w:val="TblHeadingCenter"/>
              <w:spacing w:before="0"/>
            </w:pPr>
            <w:r w:rsidRPr="00A121E8">
              <w:t>STANDARD CARE</w:t>
            </w:r>
          </w:p>
          <w:p w:rsidR="00394B97" w:rsidRPr="00A121E8" w:rsidRDefault="00394B97" w:rsidP="002403B2">
            <w:pPr>
              <w:pStyle w:val="TblHeadingCenter"/>
              <w:spacing w:before="0"/>
            </w:pPr>
            <w:r w:rsidRPr="00A121E8">
              <w:t>N=6273</w:t>
            </w:r>
          </w:p>
        </w:tc>
        <w:tc>
          <w:tcPr>
            <w:tcW w:w="0" w:type="auto"/>
            <w:tcBorders>
              <w:top w:val="single" w:sz="4" w:space="0" w:color="000000"/>
              <w:left w:val="nil"/>
              <w:bottom w:val="single" w:sz="4" w:space="0" w:color="auto"/>
            </w:tcBorders>
            <w:shd w:val="clear" w:color="auto" w:fill="auto"/>
            <w:vAlign w:val="center"/>
          </w:tcPr>
          <w:p w:rsidR="00394B97" w:rsidRPr="00A121E8" w:rsidRDefault="00394B97" w:rsidP="002403B2">
            <w:pPr>
              <w:pStyle w:val="TblHeadingCenter"/>
              <w:spacing w:before="0"/>
            </w:pPr>
            <w:r w:rsidRPr="00A121E8">
              <w:t>LANTUS vs STANDARD CARE</w:t>
            </w:r>
          </w:p>
        </w:tc>
      </w:tr>
      <w:tr w:rsidR="00394B97" w:rsidRPr="00A121E8" w:rsidTr="005C38CF">
        <w:trPr>
          <w:cantSplit/>
          <w:tblHeader/>
          <w:jc w:val="center"/>
        </w:trPr>
        <w:tc>
          <w:tcPr>
            <w:tcW w:w="3652" w:type="dxa"/>
            <w:vMerge/>
            <w:tcBorders>
              <w:top w:val="single" w:sz="4" w:space="0" w:color="auto"/>
              <w:bottom w:val="single" w:sz="4" w:space="0" w:color="000000"/>
              <w:right w:val="nil"/>
            </w:tcBorders>
            <w:shd w:val="clear" w:color="auto" w:fill="auto"/>
          </w:tcPr>
          <w:p w:rsidR="00394B97" w:rsidRPr="00A121E8" w:rsidRDefault="00394B97" w:rsidP="005C38CF">
            <w:pPr>
              <w:spacing w:before="0"/>
              <w:rPr>
                <w:color w:val="auto"/>
              </w:rPr>
            </w:pPr>
          </w:p>
        </w:tc>
        <w:tc>
          <w:tcPr>
            <w:tcW w:w="1843" w:type="dxa"/>
            <w:tcBorders>
              <w:top w:val="single" w:sz="4" w:space="0" w:color="auto"/>
              <w:left w:val="nil"/>
              <w:bottom w:val="single" w:sz="4" w:space="0" w:color="auto"/>
              <w:right w:val="nil"/>
            </w:tcBorders>
            <w:shd w:val="clear" w:color="auto" w:fill="auto"/>
            <w:vAlign w:val="center"/>
          </w:tcPr>
          <w:p w:rsidR="00394B97" w:rsidRPr="00A121E8" w:rsidRDefault="00394B97" w:rsidP="00E65525">
            <w:pPr>
              <w:pStyle w:val="TblTextCenter"/>
              <w:spacing w:before="0"/>
            </w:pPr>
            <w:r w:rsidRPr="00A121E8">
              <w:t>n</w:t>
            </w:r>
            <w:r w:rsidR="00E65525">
              <w:t xml:space="preserve"> </w:t>
            </w:r>
            <w:r w:rsidR="00E65525">
              <w:br/>
            </w:r>
            <w:r w:rsidRPr="00A121E8">
              <w:t>(Events per 100 PY)</w:t>
            </w:r>
          </w:p>
        </w:tc>
        <w:tc>
          <w:tcPr>
            <w:tcW w:w="2106" w:type="dxa"/>
            <w:tcBorders>
              <w:top w:val="single" w:sz="4" w:space="0" w:color="auto"/>
              <w:left w:val="nil"/>
              <w:bottom w:val="single" w:sz="4" w:space="0" w:color="auto"/>
              <w:right w:val="nil"/>
            </w:tcBorders>
            <w:shd w:val="clear" w:color="auto" w:fill="auto"/>
            <w:vAlign w:val="center"/>
          </w:tcPr>
          <w:p w:rsidR="00394B97" w:rsidRPr="00A121E8" w:rsidRDefault="00E65525" w:rsidP="00E65525">
            <w:pPr>
              <w:pStyle w:val="TblTextCenter"/>
              <w:spacing w:before="0"/>
            </w:pPr>
            <w:r w:rsidRPr="00A121E8">
              <w:t>N</w:t>
            </w:r>
            <w:r>
              <w:br/>
            </w:r>
            <w:r w:rsidR="00394B97" w:rsidRPr="00A121E8">
              <w:t>(Events per 100 PY)</w:t>
            </w:r>
          </w:p>
        </w:tc>
        <w:tc>
          <w:tcPr>
            <w:tcW w:w="0" w:type="auto"/>
            <w:tcBorders>
              <w:top w:val="single" w:sz="4" w:space="0" w:color="auto"/>
              <w:left w:val="nil"/>
              <w:bottom w:val="single" w:sz="4" w:space="0" w:color="auto"/>
            </w:tcBorders>
            <w:shd w:val="clear" w:color="auto" w:fill="auto"/>
            <w:vAlign w:val="center"/>
          </w:tcPr>
          <w:p w:rsidR="00394B97" w:rsidRPr="00A121E8" w:rsidRDefault="00394B97" w:rsidP="005C38CF">
            <w:pPr>
              <w:pStyle w:val="TblTextCenter"/>
              <w:spacing w:before="0"/>
            </w:pPr>
            <w:r w:rsidRPr="00A121E8">
              <w:t>Hazard Ratio (95% CI)</w:t>
            </w:r>
          </w:p>
        </w:tc>
      </w:tr>
      <w:tr w:rsidR="00394B97" w:rsidRPr="00A121E8" w:rsidTr="000025D0">
        <w:trPr>
          <w:cantSplit/>
          <w:jc w:val="center"/>
        </w:trPr>
        <w:tc>
          <w:tcPr>
            <w:tcW w:w="0" w:type="auto"/>
            <w:gridSpan w:val="4"/>
            <w:shd w:val="clear" w:color="auto" w:fill="auto"/>
          </w:tcPr>
          <w:p w:rsidR="00394B97" w:rsidRPr="00A121E8" w:rsidRDefault="00394B97" w:rsidP="000025D0">
            <w:pPr>
              <w:pStyle w:val="TblTextCenter"/>
              <w:jc w:val="left"/>
              <w:rPr>
                <w:b/>
              </w:rPr>
            </w:pPr>
            <w:r w:rsidRPr="00A121E8">
              <w:rPr>
                <w:b/>
              </w:rPr>
              <w:t>Cardiovascular</w:t>
            </w:r>
          </w:p>
        </w:tc>
      </w:tr>
      <w:tr w:rsidR="00394B97" w:rsidRPr="00A121E8" w:rsidTr="000025D0">
        <w:trPr>
          <w:cantSplit/>
          <w:jc w:val="center"/>
        </w:trPr>
        <w:tc>
          <w:tcPr>
            <w:tcW w:w="0" w:type="auto"/>
            <w:gridSpan w:val="4"/>
            <w:shd w:val="clear" w:color="auto" w:fill="auto"/>
          </w:tcPr>
          <w:p w:rsidR="00394B97" w:rsidRPr="00A121E8" w:rsidRDefault="00394B97" w:rsidP="000025D0">
            <w:pPr>
              <w:pStyle w:val="TblTextCenter"/>
              <w:jc w:val="left"/>
              <w:rPr>
                <w:b/>
              </w:rPr>
            </w:pPr>
            <w:r w:rsidRPr="00A121E8">
              <w:rPr>
                <w:b/>
              </w:rPr>
              <w:t>Co-primary endpoints</w:t>
            </w:r>
          </w:p>
        </w:tc>
      </w:tr>
      <w:tr w:rsidR="00394B97" w:rsidRPr="00A121E8" w:rsidTr="005C38CF">
        <w:trPr>
          <w:cantSplit/>
          <w:jc w:val="center"/>
        </w:trPr>
        <w:tc>
          <w:tcPr>
            <w:tcW w:w="3652" w:type="dxa"/>
            <w:shd w:val="clear" w:color="auto" w:fill="auto"/>
          </w:tcPr>
          <w:p w:rsidR="00394B97" w:rsidRPr="00A121E8" w:rsidRDefault="00394B97" w:rsidP="000025D0">
            <w:pPr>
              <w:pStyle w:val="TblTextCenter"/>
              <w:jc w:val="left"/>
            </w:pPr>
            <w:r w:rsidRPr="00A121E8">
              <w:t>CV death, non-fatal myocardial infarction, or nonfatal stroke</w:t>
            </w:r>
          </w:p>
        </w:tc>
        <w:tc>
          <w:tcPr>
            <w:tcW w:w="1843" w:type="dxa"/>
            <w:shd w:val="clear" w:color="auto" w:fill="auto"/>
            <w:vAlign w:val="center"/>
          </w:tcPr>
          <w:p w:rsidR="00394B97" w:rsidRPr="00A121E8" w:rsidRDefault="00394B97" w:rsidP="000025D0">
            <w:pPr>
              <w:pStyle w:val="TblTextCenter"/>
            </w:pPr>
            <w:r w:rsidRPr="00A121E8">
              <w:t>1041</w:t>
            </w:r>
          </w:p>
          <w:p w:rsidR="00394B97" w:rsidRPr="00A121E8" w:rsidRDefault="00394B97" w:rsidP="000025D0">
            <w:pPr>
              <w:pStyle w:val="TblTextCenter"/>
            </w:pPr>
            <w:r w:rsidRPr="00A121E8">
              <w:t>(2.9)</w:t>
            </w:r>
          </w:p>
        </w:tc>
        <w:tc>
          <w:tcPr>
            <w:tcW w:w="2106" w:type="dxa"/>
            <w:shd w:val="clear" w:color="auto" w:fill="auto"/>
            <w:vAlign w:val="center"/>
          </w:tcPr>
          <w:p w:rsidR="00394B97" w:rsidRPr="00A121E8" w:rsidRDefault="00394B97" w:rsidP="000025D0">
            <w:pPr>
              <w:pStyle w:val="TblTextCenter"/>
            </w:pPr>
            <w:r w:rsidRPr="00A121E8">
              <w:t>1013</w:t>
            </w:r>
          </w:p>
          <w:p w:rsidR="00394B97" w:rsidRPr="00A121E8" w:rsidRDefault="00394B97" w:rsidP="000025D0">
            <w:pPr>
              <w:pStyle w:val="TblTextCenter"/>
            </w:pPr>
            <w:r w:rsidRPr="00A121E8">
              <w:t>(2.9)</w:t>
            </w:r>
          </w:p>
        </w:tc>
        <w:tc>
          <w:tcPr>
            <w:tcW w:w="0" w:type="auto"/>
            <w:shd w:val="clear" w:color="auto" w:fill="auto"/>
            <w:vAlign w:val="center"/>
          </w:tcPr>
          <w:p w:rsidR="00394B97" w:rsidRPr="00A121E8" w:rsidRDefault="00394B97" w:rsidP="000025D0">
            <w:pPr>
              <w:pStyle w:val="TblTextCenter"/>
            </w:pPr>
            <w:r w:rsidRPr="00A121E8">
              <w:t>1.02 (0.94, 1.11)</w:t>
            </w:r>
          </w:p>
        </w:tc>
      </w:tr>
      <w:tr w:rsidR="00394B97" w:rsidRPr="00A121E8" w:rsidTr="005C38CF">
        <w:trPr>
          <w:cantSplit/>
          <w:jc w:val="center"/>
        </w:trPr>
        <w:tc>
          <w:tcPr>
            <w:tcW w:w="3652" w:type="dxa"/>
            <w:shd w:val="clear" w:color="auto" w:fill="auto"/>
          </w:tcPr>
          <w:p w:rsidR="00394B97" w:rsidRPr="00A121E8" w:rsidRDefault="00394B97" w:rsidP="000025D0">
            <w:pPr>
              <w:pStyle w:val="TblTextCenter"/>
              <w:jc w:val="left"/>
            </w:pPr>
            <w:r w:rsidRPr="00A121E8">
              <w:t xml:space="preserve">CV death, non-fatal myocardial infarction, non-fatal stroke, </w:t>
            </w:r>
            <w:proofErr w:type="spellStart"/>
            <w:r w:rsidRPr="00A121E8">
              <w:t>hospitalisation</w:t>
            </w:r>
            <w:proofErr w:type="spellEnd"/>
            <w:r w:rsidRPr="00A121E8">
              <w:t xml:space="preserve"> for heart failure or </w:t>
            </w:r>
            <w:proofErr w:type="spellStart"/>
            <w:r w:rsidRPr="00A121E8">
              <w:t>revascularisation</w:t>
            </w:r>
            <w:proofErr w:type="spellEnd"/>
            <w:r w:rsidRPr="00A121E8">
              <w:t xml:space="preserve"> procedure</w:t>
            </w:r>
          </w:p>
        </w:tc>
        <w:tc>
          <w:tcPr>
            <w:tcW w:w="1843" w:type="dxa"/>
            <w:shd w:val="clear" w:color="auto" w:fill="auto"/>
            <w:vAlign w:val="center"/>
          </w:tcPr>
          <w:p w:rsidR="00394B97" w:rsidRPr="00A121E8" w:rsidRDefault="00394B97" w:rsidP="000025D0">
            <w:pPr>
              <w:pStyle w:val="TblTextCenter"/>
            </w:pPr>
            <w:r w:rsidRPr="00A121E8">
              <w:t>1792</w:t>
            </w:r>
          </w:p>
          <w:p w:rsidR="00394B97" w:rsidRPr="00A121E8" w:rsidRDefault="00394B97" w:rsidP="000025D0">
            <w:pPr>
              <w:pStyle w:val="TblTextCenter"/>
            </w:pPr>
            <w:r w:rsidRPr="00A121E8">
              <w:t>(5.5)</w:t>
            </w:r>
          </w:p>
        </w:tc>
        <w:tc>
          <w:tcPr>
            <w:tcW w:w="2106" w:type="dxa"/>
            <w:shd w:val="clear" w:color="auto" w:fill="auto"/>
            <w:vAlign w:val="center"/>
          </w:tcPr>
          <w:p w:rsidR="00394B97" w:rsidRPr="00A121E8" w:rsidRDefault="00394B97" w:rsidP="000025D0">
            <w:pPr>
              <w:pStyle w:val="TblTextCenter"/>
            </w:pPr>
            <w:r w:rsidRPr="00A121E8">
              <w:t>1727</w:t>
            </w:r>
          </w:p>
          <w:p w:rsidR="00394B97" w:rsidRPr="00A121E8" w:rsidRDefault="00394B97" w:rsidP="000025D0">
            <w:pPr>
              <w:pStyle w:val="TblTextCenter"/>
            </w:pPr>
            <w:r w:rsidRPr="00A121E8">
              <w:t>(5.3)</w:t>
            </w:r>
          </w:p>
        </w:tc>
        <w:tc>
          <w:tcPr>
            <w:tcW w:w="0" w:type="auto"/>
            <w:shd w:val="clear" w:color="auto" w:fill="auto"/>
            <w:vAlign w:val="center"/>
          </w:tcPr>
          <w:p w:rsidR="00394B97" w:rsidRPr="00A121E8" w:rsidRDefault="00394B97" w:rsidP="000025D0">
            <w:pPr>
              <w:pStyle w:val="TblTextCenter"/>
            </w:pPr>
            <w:r w:rsidRPr="00A121E8">
              <w:t>1.04 (0.97, 1.11)</w:t>
            </w:r>
          </w:p>
        </w:tc>
      </w:tr>
      <w:tr w:rsidR="00394B97" w:rsidRPr="00A121E8" w:rsidTr="000025D0">
        <w:trPr>
          <w:cantSplit/>
          <w:jc w:val="center"/>
        </w:trPr>
        <w:tc>
          <w:tcPr>
            <w:tcW w:w="0" w:type="auto"/>
            <w:gridSpan w:val="4"/>
            <w:shd w:val="clear" w:color="auto" w:fill="auto"/>
          </w:tcPr>
          <w:p w:rsidR="00394B97" w:rsidRPr="00A121E8" w:rsidRDefault="00394B97" w:rsidP="000025D0">
            <w:pPr>
              <w:pStyle w:val="TblTextCenter"/>
              <w:jc w:val="left"/>
            </w:pPr>
            <w:r w:rsidRPr="00A121E8">
              <w:t>Components of co-primary endpoints</w:t>
            </w:r>
          </w:p>
        </w:tc>
      </w:tr>
      <w:tr w:rsidR="00394B97" w:rsidRPr="00A121E8" w:rsidTr="005C38CF">
        <w:trPr>
          <w:cantSplit/>
          <w:jc w:val="center"/>
        </w:trPr>
        <w:tc>
          <w:tcPr>
            <w:tcW w:w="3652" w:type="dxa"/>
            <w:shd w:val="clear" w:color="auto" w:fill="auto"/>
          </w:tcPr>
          <w:p w:rsidR="00394B97" w:rsidRPr="00A121E8" w:rsidRDefault="00394B97" w:rsidP="000025D0">
            <w:pPr>
              <w:pStyle w:val="TblTextCenter"/>
              <w:jc w:val="left"/>
            </w:pPr>
            <w:r w:rsidRPr="00A121E8">
              <w:t>CV death</w:t>
            </w:r>
          </w:p>
        </w:tc>
        <w:tc>
          <w:tcPr>
            <w:tcW w:w="1843" w:type="dxa"/>
            <w:shd w:val="clear" w:color="auto" w:fill="auto"/>
            <w:vAlign w:val="center"/>
          </w:tcPr>
          <w:p w:rsidR="00394B97" w:rsidRPr="00A121E8" w:rsidRDefault="00394B97" w:rsidP="000025D0">
            <w:pPr>
              <w:pStyle w:val="TblTextCenter"/>
            </w:pPr>
            <w:r w:rsidRPr="00A121E8">
              <w:t>580</w:t>
            </w:r>
          </w:p>
        </w:tc>
        <w:tc>
          <w:tcPr>
            <w:tcW w:w="2106" w:type="dxa"/>
            <w:shd w:val="clear" w:color="auto" w:fill="auto"/>
            <w:vAlign w:val="center"/>
          </w:tcPr>
          <w:p w:rsidR="00394B97" w:rsidRPr="00A121E8" w:rsidRDefault="00394B97" w:rsidP="000025D0">
            <w:pPr>
              <w:pStyle w:val="TblTextCenter"/>
            </w:pPr>
            <w:r w:rsidRPr="00A121E8">
              <w:t>576</w:t>
            </w:r>
          </w:p>
        </w:tc>
        <w:tc>
          <w:tcPr>
            <w:tcW w:w="0" w:type="auto"/>
            <w:shd w:val="clear" w:color="auto" w:fill="auto"/>
            <w:vAlign w:val="center"/>
          </w:tcPr>
          <w:p w:rsidR="00394B97" w:rsidRPr="00A121E8" w:rsidRDefault="00394B97" w:rsidP="000025D0">
            <w:pPr>
              <w:pStyle w:val="TblTextCenter"/>
            </w:pPr>
            <w:r w:rsidRPr="00A121E8">
              <w:t>1.00 (0.89, 1.13)</w:t>
            </w:r>
          </w:p>
        </w:tc>
      </w:tr>
      <w:tr w:rsidR="00394B97" w:rsidRPr="00A121E8" w:rsidTr="005C38CF">
        <w:trPr>
          <w:cantSplit/>
          <w:jc w:val="center"/>
        </w:trPr>
        <w:tc>
          <w:tcPr>
            <w:tcW w:w="3652" w:type="dxa"/>
            <w:shd w:val="clear" w:color="auto" w:fill="auto"/>
          </w:tcPr>
          <w:p w:rsidR="00394B97" w:rsidRPr="00A121E8" w:rsidRDefault="00394B97" w:rsidP="000025D0">
            <w:pPr>
              <w:pStyle w:val="TblTextCenter"/>
              <w:jc w:val="left"/>
            </w:pPr>
            <w:r w:rsidRPr="00A121E8">
              <w:t>Myocardial Infarction (fatal or non-fatal)</w:t>
            </w:r>
          </w:p>
        </w:tc>
        <w:tc>
          <w:tcPr>
            <w:tcW w:w="1843" w:type="dxa"/>
            <w:shd w:val="clear" w:color="auto" w:fill="auto"/>
            <w:vAlign w:val="center"/>
          </w:tcPr>
          <w:p w:rsidR="00394B97" w:rsidRPr="00A121E8" w:rsidRDefault="00394B97" w:rsidP="000025D0">
            <w:pPr>
              <w:pStyle w:val="TblTextCenter"/>
            </w:pPr>
            <w:r w:rsidRPr="00A121E8">
              <w:t>336</w:t>
            </w:r>
          </w:p>
        </w:tc>
        <w:tc>
          <w:tcPr>
            <w:tcW w:w="2106" w:type="dxa"/>
            <w:shd w:val="clear" w:color="auto" w:fill="auto"/>
            <w:vAlign w:val="center"/>
          </w:tcPr>
          <w:p w:rsidR="00394B97" w:rsidRPr="00A121E8" w:rsidRDefault="00394B97" w:rsidP="000025D0">
            <w:pPr>
              <w:pStyle w:val="TblTextCenter"/>
            </w:pPr>
            <w:r w:rsidRPr="00A121E8">
              <w:t>326</w:t>
            </w:r>
          </w:p>
        </w:tc>
        <w:tc>
          <w:tcPr>
            <w:tcW w:w="0" w:type="auto"/>
            <w:shd w:val="clear" w:color="auto" w:fill="auto"/>
            <w:vAlign w:val="center"/>
          </w:tcPr>
          <w:p w:rsidR="00394B97" w:rsidRPr="00A121E8" w:rsidRDefault="00394B97" w:rsidP="000025D0">
            <w:pPr>
              <w:pStyle w:val="TblTextCenter"/>
            </w:pPr>
            <w:r w:rsidRPr="00A121E8">
              <w:t>1.03 (0.88, 1.19)</w:t>
            </w:r>
          </w:p>
        </w:tc>
      </w:tr>
      <w:tr w:rsidR="00394B97" w:rsidRPr="00A121E8" w:rsidTr="005C38CF">
        <w:trPr>
          <w:cantSplit/>
          <w:jc w:val="center"/>
        </w:trPr>
        <w:tc>
          <w:tcPr>
            <w:tcW w:w="3652" w:type="dxa"/>
            <w:shd w:val="clear" w:color="auto" w:fill="auto"/>
          </w:tcPr>
          <w:p w:rsidR="00394B97" w:rsidRPr="00A121E8" w:rsidRDefault="00394B97" w:rsidP="000025D0">
            <w:pPr>
              <w:pStyle w:val="TblTextCenter"/>
              <w:jc w:val="left"/>
            </w:pPr>
            <w:r w:rsidRPr="00A121E8">
              <w:t>Stroke (fatal or non-fatal)</w:t>
            </w:r>
          </w:p>
        </w:tc>
        <w:tc>
          <w:tcPr>
            <w:tcW w:w="1843" w:type="dxa"/>
            <w:shd w:val="clear" w:color="auto" w:fill="auto"/>
            <w:vAlign w:val="center"/>
          </w:tcPr>
          <w:p w:rsidR="00394B97" w:rsidRPr="00A121E8" w:rsidRDefault="00394B97" w:rsidP="000025D0">
            <w:pPr>
              <w:pStyle w:val="TblTextCenter"/>
            </w:pPr>
            <w:r w:rsidRPr="00A121E8">
              <w:t>331</w:t>
            </w:r>
          </w:p>
        </w:tc>
        <w:tc>
          <w:tcPr>
            <w:tcW w:w="2106" w:type="dxa"/>
            <w:shd w:val="clear" w:color="auto" w:fill="auto"/>
            <w:vAlign w:val="center"/>
          </w:tcPr>
          <w:p w:rsidR="00394B97" w:rsidRPr="00A121E8" w:rsidRDefault="00394B97" w:rsidP="000025D0">
            <w:pPr>
              <w:pStyle w:val="TblTextCenter"/>
            </w:pPr>
            <w:r w:rsidRPr="00A121E8">
              <w:t>319</w:t>
            </w:r>
          </w:p>
        </w:tc>
        <w:tc>
          <w:tcPr>
            <w:tcW w:w="0" w:type="auto"/>
            <w:shd w:val="clear" w:color="auto" w:fill="auto"/>
            <w:vAlign w:val="center"/>
          </w:tcPr>
          <w:p w:rsidR="00394B97" w:rsidRPr="00A121E8" w:rsidRDefault="00394B97" w:rsidP="000025D0">
            <w:pPr>
              <w:pStyle w:val="TblTextCenter"/>
            </w:pPr>
            <w:r w:rsidRPr="00A121E8">
              <w:t>1.03 (0.89, 1.21)</w:t>
            </w:r>
          </w:p>
        </w:tc>
      </w:tr>
      <w:tr w:rsidR="00394B97" w:rsidRPr="00A121E8" w:rsidTr="005C38CF">
        <w:trPr>
          <w:cantSplit/>
          <w:jc w:val="center"/>
        </w:trPr>
        <w:tc>
          <w:tcPr>
            <w:tcW w:w="3652" w:type="dxa"/>
            <w:shd w:val="clear" w:color="auto" w:fill="auto"/>
          </w:tcPr>
          <w:p w:rsidR="00394B97" w:rsidRPr="00A121E8" w:rsidRDefault="00394B97" w:rsidP="000025D0">
            <w:pPr>
              <w:pStyle w:val="TblTextCenter"/>
              <w:jc w:val="left"/>
            </w:pPr>
            <w:proofErr w:type="spellStart"/>
            <w:r w:rsidRPr="00A121E8">
              <w:t>Revascularisations</w:t>
            </w:r>
            <w:proofErr w:type="spellEnd"/>
          </w:p>
        </w:tc>
        <w:tc>
          <w:tcPr>
            <w:tcW w:w="1843" w:type="dxa"/>
            <w:shd w:val="clear" w:color="auto" w:fill="auto"/>
            <w:vAlign w:val="center"/>
          </w:tcPr>
          <w:p w:rsidR="00394B97" w:rsidRPr="00A121E8" w:rsidRDefault="00394B97" w:rsidP="000025D0">
            <w:pPr>
              <w:pStyle w:val="TblTextCenter"/>
            </w:pPr>
            <w:r w:rsidRPr="00A121E8">
              <w:t>908</w:t>
            </w:r>
          </w:p>
        </w:tc>
        <w:tc>
          <w:tcPr>
            <w:tcW w:w="2106" w:type="dxa"/>
            <w:shd w:val="clear" w:color="auto" w:fill="auto"/>
            <w:vAlign w:val="center"/>
          </w:tcPr>
          <w:p w:rsidR="00394B97" w:rsidRPr="00A121E8" w:rsidRDefault="00394B97" w:rsidP="000025D0">
            <w:pPr>
              <w:pStyle w:val="TblTextCenter"/>
            </w:pPr>
            <w:r w:rsidRPr="00A121E8">
              <w:t>860</w:t>
            </w:r>
          </w:p>
        </w:tc>
        <w:tc>
          <w:tcPr>
            <w:tcW w:w="0" w:type="auto"/>
            <w:shd w:val="clear" w:color="auto" w:fill="auto"/>
            <w:vAlign w:val="center"/>
          </w:tcPr>
          <w:p w:rsidR="00394B97" w:rsidRPr="00A121E8" w:rsidRDefault="00394B97" w:rsidP="000025D0">
            <w:pPr>
              <w:pStyle w:val="TblTextCenter"/>
            </w:pPr>
            <w:r w:rsidRPr="00A121E8">
              <w:t>1.06 (0.96, 1.16)</w:t>
            </w:r>
          </w:p>
        </w:tc>
      </w:tr>
      <w:tr w:rsidR="00394B97" w:rsidRPr="00A121E8" w:rsidTr="005C38CF">
        <w:trPr>
          <w:cantSplit/>
          <w:jc w:val="center"/>
        </w:trPr>
        <w:tc>
          <w:tcPr>
            <w:tcW w:w="3652" w:type="dxa"/>
            <w:shd w:val="clear" w:color="auto" w:fill="auto"/>
          </w:tcPr>
          <w:p w:rsidR="00394B97" w:rsidRPr="00A121E8" w:rsidRDefault="00394B97" w:rsidP="000025D0">
            <w:pPr>
              <w:pStyle w:val="TblTextCenter"/>
              <w:jc w:val="left"/>
            </w:pPr>
            <w:proofErr w:type="spellStart"/>
            <w:r w:rsidRPr="00A121E8">
              <w:t>Hospitalisation</w:t>
            </w:r>
            <w:proofErr w:type="spellEnd"/>
            <w:r w:rsidRPr="00A121E8">
              <w:t xml:space="preserve"> for heart failure</w:t>
            </w:r>
          </w:p>
        </w:tc>
        <w:tc>
          <w:tcPr>
            <w:tcW w:w="1843" w:type="dxa"/>
            <w:shd w:val="clear" w:color="auto" w:fill="auto"/>
            <w:vAlign w:val="center"/>
          </w:tcPr>
          <w:p w:rsidR="00394B97" w:rsidRPr="00A121E8" w:rsidRDefault="00394B97" w:rsidP="000025D0">
            <w:pPr>
              <w:pStyle w:val="TblTextCenter"/>
            </w:pPr>
            <w:r w:rsidRPr="00A121E8">
              <w:t>310</w:t>
            </w:r>
          </w:p>
        </w:tc>
        <w:tc>
          <w:tcPr>
            <w:tcW w:w="2106" w:type="dxa"/>
            <w:shd w:val="clear" w:color="auto" w:fill="auto"/>
            <w:vAlign w:val="center"/>
          </w:tcPr>
          <w:p w:rsidR="00394B97" w:rsidRPr="00A121E8" w:rsidRDefault="00394B97" w:rsidP="000025D0">
            <w:pPr>
              <w:pStyle w:val="TblTextCenter"/>
            </w:pPr>
            <w:r w:rsidRPr="00A121E8">
              <w:t>343</w:t>
            </w:r>
          </w:p>
        </w:tc>
        <w:tc>
          <w:tcPr>
            <w:tcW w:w="0" w:type="auto"/>
            <w:shd w:val="clear" w:color="auto" w:fill="auto"/>
            <w:vAlign w:val="center"/>
          </w:tcPr>
          <w:p w:rsidR="00394B97" w:rsidRPr="00A121E8" w:rsidRDefault="00394B97" w:rsidP="000025D0">
            <w:pPr>
              <w:pStyle w:val="TblTextCenter"/>
            </w:pPr>
            <w:r w:rsidRPr="00A121E8">
              <w:t>0.90 (0.77, 1.05)</w:t>
            </w:r>
          </w:p>
        </w:tc>
      </w:tr>
      <w:tr w:rsidR="00394B97" w:rsidRPr="00A121E8" w:rsidTr="000025D0">
        <w:trPr>
          <w:cantSplit/>
          <w:jc w:val="center"/>
        </w:trPr>
        <w:tc>
          <w:tcPr>
            <w:tcW w:w="0" w:type="auto"/>
            <w:gridSpan w:val="4"/>
            <w:shd w:val="clear" w:color="auto" w:fill="auto"/>
          </w:tcPr>
          <w:p w:rsidR="00394B97" w:rsidRPr="00A121E8" w:rsidRDefault="00394B97" w:rsidP="000025D0">
            <w:pPr>
              <w:pStyle w:val="TblTextCenter"/>
              <w:jc w:val="left"/>
              <w:rPr>
                <w:b/>
              </w:rPr>
            </w:pPr>
            <w:r w:rsidRPr="00A121E8">
              <w:rPr>
                <w:b/>
              </w:rPr>
              <w:t>Cancer</w:t>
            </w:r>
          </w:p>
        </w:tc>
      </w:tr>
      <w:tr w:rsidR="00394B97" w:rsidRPr="00A121E8" w:rsidTr="005C38CF">
        <w:trPr>
          <w:cantSplit/>
          <w:jc w:val="center"/>
        </w:trPr>
        <w:tc>
          <w:tcPr>
            <w:tcW w:w="3652" w:type="dxa"/>
            <w:shd w:val="clear" w:color="auto" w:fill="auto"/>
          </w:tcPr>
          <w:p w:rsidR="00394B97" w:rsidRPr="00A121E8" w:rsidRDefault="00394B97" w:rsidP="000025D0">
            <w:pPr>
              <w:pStyle w:val="TblTextCenter"/>
              <w:jc w:val="left"/>
              <w:rPr>
                <w:b/>
              </w:rPr>
            </w:pPr>
            <w:r w:rsidRPr="00A121E8">
              <w:rPr>
                <w:b/>
              </w:rPr>
              <w:t>Cancer endpoints</w:t>
            </w:r>
          </w:p>
        </w:tc>
        <w:tc>
          <w:tcPr>
            <w:tcW w:w="1843" w:type="dxa"/>
            <w:shd w:val="clear" w:color="auto" w:fill="auto"/>
          </w:tcPr>
          <w:p w:rsidR="00394B97" w:rsidRPr="00A121E8" w:rsidRDefault="00394B97" w:rsidP="000025D0">
            <w:pPr>
              <w:pStyle w:val="TblTextCenter"/>
            </w:pPr>
          </w:p>
        </w:tc>
        <w:tc>
          <w:tcPr>
            <w:tcW w:w="2106" w:type="dxa"/>
            <w:shd w:val="clear" w:color="auto" w:fill="auto"/>
          </w:tcPr>
          <w:p w:rsidR="00394B97" w:rsidRPr="00A121E8" w:rsidRDefault="00394B97" w:rsidP="000025D0">
            <w:pPr>
              <w:pStyle w:val="TblTextCenter"/>
            </w:pPr>
          </w:p>
        </w:tc>
        <w:tc>
          <w:tcPr>
            <w:tcW w:w="0" w:type="auto"/>
            <w:shd w:val="clear" w:color="auto" w:fill="auto"/>
          </w:tcPr>
          <w:p w:rsidR="00394B97" w:rsidRPr="00A121E8" w:rsidRDefault="00394B97" w:rsidP="000025D0">
            <w:pPr>
              <w:pStyle w:val="TblTextCenter"/>
            </w:pPr>
          </w:p>
        </w:tc>
      </w:tr>
      <w:tr w:rsidR="00394B97" w:rsidRPr="00A121E8" w:rsidTr="005C38CF">
        <w:trPr>
          <w:cantSplit/>
          <w:jc w:val="center"/>
        </w:trPr>
        <w:tc>
          <w:tcPr>
            <w:tcW w:w="3652" w:type="dxa"/>
            <w:shd w:val="clear" w:color="auto" w:fill="auto"/>
          </w:tcPr>
          <w:p w:rsidR="00394B97" w:rsidRPr="00A121E8" w:rsidRDefault="00394B97" w:rsidP="002403B2">
            <w:pPr>
              <w:pStyle w:val="TblTextCenter"/>
              <w:spacing w:before="0"/>
              <w:jc w:val="left"/>
            </w:pPr>
            <w:r w:rsidRPr="00A121E8">
              <w:t>Any cancer event (new or recurrent)</w:t>
            </w:r>
          </w:p>
        </w:tc>
        <w:tc>
          <w:tcPr>
            <w:tcW w:w="1843" w:type="dxa"/>
            <w:shd w:val="clear" w:color="auto" w:fill="auto"/>
            <w:vAlign w:val="center"/>
          </w:tcPr>
          <w:p w:rsidR="00394B97" w:rsidRPr="00A121E8" w:rsidRDefault="00394B97" w:rsidP="002403B2">
            <w:pPr>
              <w:pStyle w:val="TblTextCenter"/>
              <w:spacing w:before="0"/>
            </w:pPr>
            <w:r w:rsidRPr="00A121E8">
              <w:t>559</w:t>
            </w:r>
          </w:p>
          <w:p w:rsidR="00394B97" w:rsidRPr="00A121E8" w:rsidRDefault="00394B97" w:rsidP="002403B2">
            <w:pPr>
              <w:pStyle w:val="TblTextCenter"/>
              <w:spacing w:before="0"/>
            </w:pPr>
            <w:r w:rsidRPr="00A121E8">
              <w:t>(1.56)</w:t>
            </w:r>
          </w:p>
        </w:tc>
        <w:tc>
          <w:tcPr>
            <w:tcW w:w="2106" w:type="dxa"/>
            <w:shd w:val="clear" w:color="auto" w:fill="auto"/>
            <w:vAlign w:val="center"/>
          </w:tcPr>
          <w:p w:rsidR="00394B97" w:rsidRPr="00A121E8" w:rsidRDefault="00394B97" w:rsidP="002403B2">
            <w:pPr>
              <w:pStyle w:val="TblTextCenter"/>
              <w:spacing w:before="0"/>
            </w:pPr>
            <w:r w:rsidRPr="00A121E8">
              <w:t>561</w:t>
            </w:r>
          </w:p>
          <w:p w:rsidR="00394B97" w:rsidRPr="00A121E8" w:rsidRDefault="00394B97" w:rsidP="002403B2">
            <w:pPr>
              <w:pStyle w:val="TblTextCenter"/>
              <w:spacing w:before="0"/>
            </w:pPr>
            <w:r w:rsidRPr="00A121E8">
              <w:t>(1.56)</w:t>
            </w:r>
          </w:p>
        </w:tc>
        <w:tc>
          <w:tcPr>
            <w:tcW w:w="0" w:type="auto"/>
            <w:shd w:val="clear" w:color="auto" w:fill="auto"/>
            <w:vAlign w:val="center"/>
          </w:tcPr>
          <w:p w:rsidR="00394B97" w:rsidRPr="00A121E8" w:rsidRDefault="00394B97" w:rsidP="002403B2">
            <w:pPr>
              <w:pStyle w:val="TblTextCenter"/>
              <w:spacing w:before="0"/>
            </w:pPr>
            <w:r w:rsidRPr="00A121E8">
              <w:t>0.99 (0.88, 1.11)</w:t>
            </w:r>
          </w:p>
        </w:tc>
      </w:tr>
      <w:tr w:rsidR="00394B97" w:rsidRPr="00A121E8" w:rsidTr="005C38CF">
        <w:trPr>
          <w:cantSplit/>
          <w:jc w:val="center"/>
        </w:trPr>
        <w:tc>
          <w:tcPr>
            <w:tcW w:w="3652" w:type="dxa"/>
            <w:shd w:val="clear" w:color="auto" w:fill="auto"/>
          </w:tcPr>
          <w:p w:rsidR="00394B97" w:rsidRPr="00A121E8" w:rsidRDefault="00394B97" w:rsidP="002403B2">
            <w:pPr>
              <w:pStyle w:val="TblTextCenter"/>
              <w:spacing w:before="0"/>
              <w:jc w:val="left"/>
            </w:pPr>
            <w:r w:rsidRPr="00A121E8">
              <w:t>New cancer events</w:t>
            </w:r>
          </w:p>
        </w:tc>
        <w:tc>
          <w:tcPr>
            <w:tcW w:w="1843" w:type="dxa"/>
            <w:shd w:val="clear" w:color="auto" w:fill="auto"/>
            <w:vAlign w:val="center"/>
          </w:tcPr>
          <w:p w:rsidR="00394B97" w:rsidRPr="00A121E8" w:rsidRDefault="00394B97" w:rsidP="002403B2">
            <w:pPr>
              <w:pStyle w:val="TblTextCenter"/>
              <w:spacing w:before="0"/>
            </w:pPr>
            <w:r w:rsidRPr="00A121E8">
              <w:t>524</w:t>
            </w:r>
          </w:p>
          <w:p w:rsidR="00394B97" w:rsidRPr="00A121E8" w:rsidRDefault="00394B97" w:rsidP="002403B2">
            <w:pPr>
              <w:pStyle w:val="TblTextCenter"/>
              <w:spacing w:before="0"/>
            </w:pPr>
            <w:r w:rsidRPr="00A121E8">
              <w:t>(1.46)</w:t>
            </w:r>
          </w:p>
        </w:tc>
        <w:tc>
          <w:tcPr>
            <w:tcW w:w="2106" w:type="dxa"/>
            <w:shd w:val="clear" w:color="auto" w:fill="auto"/>
            <w:vAlign w:val="center"/>
          </w:tcPr>
          <w:p w:rsidR="00394B97" w:rsidRPr="00A121E8" w:rsidRDefault="00394B97" w:rsidP="002403B2">
            <w:pPr>
              <w:pStyle w:val="TblTextCenter"/>
              <w:spacing w:before="0"/>
            </w:pPr>
            <w:r w:rsidRPr="00A121E8">
              <w:t>535</w:t>
            </w:r>
          </w:p>
          <w:p w:rsidR="00394B97" w:rsidRPr="00A121E8" w:rsidRDefault="00394B97" w:rsidP="002403B2">
            <w:pPr>
              <w:pStyle w:val="TblTextCenter"/>
              <w:spacing w:before="0"/>
            </w:pPr>
            <w:r w:rsidRPr="00A121E8">
              <w:t>(1.49)</w:t>
            </w:r>
          </w:p>
        </w:tc>
        <w:tc>
          <w:tcPr>
            <w:tcW w:w="0" w:type="auto"/>
            <w:shd w:val="clear" w:color="auto" w:fill="auto"/>
            <w:vAlign w:val="center"/>
          </w:tcPr>
          <w:p w:rsidR="00394B97" w:rsidRPr="00A121E8" w:rsidRDefault="00394B97" w:rsidP="002403B2">
            <w:pPr>
              <w:pStyle w:val="TblTextCenter"/>
              <w:spacing w:before="0"/>
            </w:pPr>
            <w:r w:rsidRPr="00A121E8">
              <w:t>0.96 (0.85, 1.09)</w:t>
            </w:r>
          </w:p>
        </w:tc>
      </w:tr>
      <w:tr w:rsidR="00394B97" w:rsidRPr="00A121E8" w:rsidTr="005C38CF">
        <w:trPr>
          <w:cantSplit/>
          <w:jc w:val="center"/>
        </w:trPr>
        <w:tc>
          <w:tcPr>
            <w:tcW w:w="3652" w:type="dxa"/>
            <w:shd w:val="clear" w:color="auto" w:fill="auto"/>
          </w:tcPr>
          <w:p w:rsidR="00394B97" w:rsidRPr="00A121E8" w:rsidRDefault="00394B97" w:rsidP="002403B2">
            <w:pPr>
              <w:pStyle w:val="TblTextCenter"/>
              <w:spacing w:before="0"/>
              <w:jc w:val="left"/>
            </w:pPr>
            <w:r w:rsidRPr="00A121E8">
              <w:t>Death due to Cancer</w:t>
            </w:r>
          </w:p>
        </w:tc>
        <w:tc>
          <w:tcPr>
            <w:tcW w:w="1843" w:type="dxa"/>
            <w:shd w:val="clear" w:color="auto" w:fill="auto"/>
            <w:vAlign w:val="center"/>
          </w:tcPr>
          <w:p w:rsidR="00394B97" w:rsidRPr="00A121E8" w:rsidRDefault="00394B97" w:rsidP="002403B2">
            <w:pPr>
              <w:pStyle w:val="TblTextCenter"/>
              <w:spacing w:before="0"/>
            </w:pPr>
            <w:r w:rsidRPr="00A121E8">
              <w:t>189</w:t>
            </w:r>
          </w:p>
          <w:p w:rsidR="00394B97" w:rsidRPr="00A121E8" w:rsidRDefault="00394B97" w:rsidP="002403B2">
            <w:pPr>
              <w:pStyle w:val="TblTextCenter"/>
              <w:spacing w:before="0"/>
            </w:pPr>
            <w:r w:rsidRPr="00A121E8">
              <w:t>(0.51)</w:t>
            </w:r>
          </w:p>
        </w:tc>
        <w:tc>
          <w:tcPr>
            <w:tcW w:w="2106" w:type="dxa"/>
            <w:shd w:val="clear" w:color="auto" w:fill="auto"/>
            <w:vAlign w:val="center"/>
          </w:tcPr>
          <w:p w:rsidR="00394B97" w:rsidRPr="00A121E8" w:rsidRDefault="00394B97" w:rsidP="002403B2">
            <w:pPr>
              <w:pStyle w:val="TblTextCenter"/>
              <w:spacing w:before="0"/>
            </w:pPr>
            <w:r w:rsidRPr="00A121E8">
              <w:t>201</w:t>
            </w:r>
          </w:p>
          <w:p w:rsidR="00394B97" w:rsidRPr="00A121E8" w:rsidRDefault="00394B97" w:rsidP="002403B2">
            <w:pPr>
              <w:pStyle w:val="TblTextCenter"/>
              <w:spacing w:before="0"/>
            </w:pPr>
            <w:r w:rsidRPr="00A121E8">
              <w:t>(0.54)</w:t>
            </w:r>
          </w:p>
        </w:tc>
        <w:tc>
          <w:tcPr>
            <w:tcW w:w="0" w:type="auto"/>
            <w:shd w:val="clear" w:color="auto" w:fill="auto"/>
            <w:vAlign w:val="center"/>
          </w:tcPr>
          <w:p w:rsidR="00394B97" w:rsidRPr="00A121E8" w:rsidRDefault="00394B97" w:rsidP="002403B2">
            <w:pPr>
              <w:pStyle w:val="TblTextCenter"/>
              <w:spacing w:before="0"/>
            </w:pPr>
            <w:r w:rsidRPr="00A121E8">
              <w:t>0.94 (0.77, 1.15)</w:t>
            </w:r>
          </w:p>
        </w:tc>
      </w:tr>
      <w:tr w:rsidR="00394B97" w:rsidRPr="00A121E8" w:rsidTr="000025D0">
        <w:trPr>
          <w:cantSplit/>
          <w:jc w:val="center"/>
        </w:trPr>
        <w:tc>
          <w:tcPr>
            <w:tcW w:w="0" w:type="auto"/>
            <w:gridSpan w:val="4"/>
            <w:tcBorders>
              <w:top w:val="single" w:sz="12" w:space="0" w:color="auto"/>
            </w:tcBorders>
            <w:shd w:val="clear" w:color="auto" w:fill="auto"/>
          </w:tcPr>
          <w:p w:rsidR="00394B97" w:rsidRPr="00A121E8" w:rsidRDefault="00394B97" w:rsidP="000025D0">
            <w:pPr>
              <w:pStyle w:val="TblFigFootnote"/>
              <w:rPr>
                <w:u w:val="double"/>
              </w:rPr>
            </w:pPr>
          </w:p>
        </w:tc>
      </w:tr>
    </w:tbl>
    <w:p w:rsidR="00CB0D24" w:rsidRDefault="00CB0D24" w:rsidP="00E477C8">
      <w:pPr>
        <w:pStyle w:val="Heading2"/>
        <w:numPr>
          <w:ilvl w:val="0"/>
          <w:numId w:val="0"/>
        </w:numPr>
        <w:ind w:left="680" w:hanging="680"/>
      </w:pPr>
      <w:bookmarkStart w:id="42" w:name="_Toc381269233"/>
      <w:r w:rsidRPr="00CB0D24">
        <w:t>Metabolism and nutrition disorders</w:t>
      </w:r>
      <w:bookmarkEnd w:id="42"/>
    </w:p>
    <w:p w:rsidR="00CB0D24" w:rsidRPr="00A121E8" w:rsidRDefault="00CB0D24" w:rsidP="00CB0D24">
      <w:pPr>
        <w:rPr>
          <w:color w:val="auto"/>
        </w:rPr>
      </w:pPr>
      <w:r w:rsidRPr="00A121E8">
        <w:rPr>
          <w:color w:val="auto"/>
        </w:rPr>
        <w:t xml:space="preserve">Severe </w:t>
      </w:r>
      <w:proofErr w:type="spellStart"/>
      <w:r w:rsidRPr="00A121E8">
        <w:rPr>
          <w:color w:val="auto"/>
        </w:rPr>
        <w:t>hypoglycaemic</w:t>
      </w:r>
      <w:proofErr w:type="spellEnd"/>
      <w:r w:rsidRPr="00A121E8">
        <w:rPr>
          <w:color w:val="auto"/>
        </w:rPr>
        <w:t xml:space="preserve"> attacks, especially if recurrent, may lead to neurological damage. Prolonged or severe </w:t>
      </w:r>
      <w:proofErr w:type="spellStart"/>
      <w:r w:rsidRPr="00A121E8">
        <w:rPr>
          <w:color w:val="auto"/>
        </w:rPr>
        <w:t>hypoglycaemic</w:t>
      </w:r>
      <w:proofErr w:type="spellEnd"/>
      <w:r w:rsidRPr="00A121E8">
        <w:rPr>
          <w:color w:val="auto"/>
        </w:rPr>
        <w:t xml:space="preserve"> episodes may be life-threatening.</w:t>
      </w:r>
    </w:p>
    <w:p w:rsidR="00A51150" w:rsidRDefault="00CB0D24" w:rsidP="00CB0D24">
      <w:pPr>
        <w:rPr>
          <w:color w:val="auto"/>
        </w:rPr>
      </w:pPr>
      <w:r w:rsidRPr="00A121E8">
        <w:rPr>
          <w:color w:val="auto"/>
        </w:rPr>
        <w:t xml:space="preserve">In many patients, the signs and symptoms of </w:t>
      </w:r>
      <w:proofErr w:type="spellStart"/>
      <w:r w:rsidRPr="00A121E8">
        <w:rPr>
          <w:color w:val="auto"/>
        </w:rPr>
        <w:t>neuroglycopenia</w:t>
      </w:r>
      <w:proofErr w:type="spellEnd"/>
      <w:r w:rsidRPr="00A121E8">
        <w:rPr>
          <w:color w:val="auto"/>
        </w:rPr>
        <w:t xml:space="preserve"> are preceded by signs of adrenergic counter-regulation. Generally, the greater and more rapid the decline in blood glucose, the more marked is the phenomenon of counter-regulation and its symptoms</w:t>
      </w:r>
      <w:r w:rsidR="00065726" w:rsidRPr="00A121E8">
        <w:rPr>
          <w:color w:val="auto"/>
        </w:rPr>
        <w:t>.</w:t>
      </w:r>
      <w:r w:rsidR="00065726">
        <w:rPr>
          <w:color w:val="auto"/>
        </w:rPr>
        <w:t xml:space="preserve"> (See Clinical Trials) </w:t>
      </w:r>
      <w:r w:rsidR="00340145">
        <w:rPr>
          <w:color w:val="auto"/>
        </w:rPr>
        <w:t xml:space="preserve"> </w:t>
      </w:r>
    </w:p>
    <w:p w:rsidR="00CB0D24" w:rsidRDefault="0090356A" w:rsidP="0090356A">
      <w:pPr>
        <w:pStyle w:val="Heading2"/>
        <w:numPr>
          <w:ilvl w:val="0"/>
          <w:numId w:val="0"/>
        </w:numPr>
        <w:ind w:left="680" w:hanging="680"/>
      </w:pPr>
      <w:bookmarkStart w:id="43" w:name="_Toc381269234"/>
      <w:r w:rsidRPr="0090356A">
        <w:lastRenderedPageBreak/>
        <w:t>Immune system disorders</w:t>
      </w:r>
      <w:bookmarkEnd w:id="43"/>
    </w:p>
    <w:p w:rsidR="00ED4690" w:rsidRPr="00254B2D" w:rsidRDefault="00ED4690" w:rsidP="0090356A">
      <w:pPr>
        <w:rPr>
          <w:color w:val="auto"/>
        </w:rPr>
      </w:pPr>
      <w:r w:rsidRPr="00A121E8">
        <w:rPr>
          <w:color w:val="auto"/>
        </w:rPr>
        <w:t xml:space="preserve">Immediate-type </w:t>
      </w:r>
      <w:r w:rsidRPr="00736119">
        <w:rPr>
          <w:color w:val="auto"/>
        </w:rPr>
        <w:t xml:space="preserve">allergic reactions to insulin are rare. Such reactions to insulin (including insulin </w:t>
      </w:r>
      <w:proofErr w:type="spellStart"/>
      <w:r w:rsidRPr="00736119">
        <w:rPr>
          <w:color w:val="auto"/>
        </w:rPr>
        <w:t>glargine</w:t>
      </w:r>
      <w:proofErr w:type="spellEnd"/>
      <w:r w:rsidRPr="00736119">
        <w:rPr>
          <w:color w:val="auto"/>
        </w:rPr>
        <w:t xml:space="preserve">) or the excipients may, for example, be associated with </w:t>
      </w:r>
      <w:proofErr w:type="spellStart"/>
      <w:r w:rsidRPr="00736119">
        <w:rPr>
          <w:color w:val="auto"/>
        </w:rPr>
        <w:t>generalised</w:t>
      </w:r>
      <w:proofErr w:type="spellEnd"/>
      <w:r w:rsidRPr="00736119">
        <w:rPr>
          <w:color w:val="auto"/>
        </w:rPr>
        <w:t xml:space="preserve"> skin reactions, </w:t>
      </w:r>
      <w:proofErr w:type="spellStart"/>
      <w:r w:rsidRPr="00736119">
        <w:rPr>
          <w:color w:val="auto"/>
        </w:rPr>
        <w:t>angio</w:t>
      </w:r>
      <w:proofErr w:type="spellEnd"/>
      <w:r w:rsidRPr="00736119">
        <w:rPr>
          <w:color w:val="auto"/>
        </w:rPr>
        <w:t xml:space="preserve"> </w:t>
      </w:r>
      <w:proofErr w:type="spellStart"/>
      <w:r w:rsidRPr="00736119">
        <w:rPr>
          <w:color w:val="auto"/>
        </w:rPr>
        <w:t>oedema</w:t>
      </w:r>
      <w:proofErr w:type="spellEnd"/>
      <w:r w:rsidRPr="00736119">
        <w:rPr>
          <w:color w:val="auto"/>
        </w:rPr>
        <w:t>, bronchospasm, hypotension and shock, and may be life-threatening</w:t>
      </w:r>
      <w:r w:rsidR="00FC0EBC">
        <w:rPr>
          <w:color w:val="auto"/>
        </w:rPr>
        <w:t xml:space="preserve">. </w:t>
      </w:r>
      <w:r w:rsidR="00FC0EBC" w:rsidRPr="00254B2D">
        <w:rPr>
          <w:color w:val="auto"/>
        </w:rPr>
        <w:t xml:space="preserve">In </w:t>
      </w:r>
      <w:proofErr w:type="spellStart"/>
      <w:r w:rsidR="00FC0EBC" w:rsidRPr="00254B2D">
        <w:rPr>
          <w:color w:val="auto"/>
        </w:rPr>
        <w:t>Toujeo</w:t>
      </w:r>
      <w:proofErr w:type="spellEnd"/>
      <w:r w:rsidR="00FC0EBC" w:rsidRPr="00254B2D">
        <w:rPr>
          <w:color w:val="auto"/>
        </w:rPr>
        <w:t xml:space="preserve"> Clinical studies in Adult patients, the incidence of allergic reactions was similar in </w:t>
      </w:r>
      <w:proofErr w:type="spellStart"/>
      <w:r w:rsidR="00FC0EBC" w:rsidRPr="00254B2D">
        <w:rPr>
          <w:color w:val="auto"/>
        </w:rPr>
        <w:t>Toujeo</w:t>
      </w:r>
      <w:proofErr w:type="spellEnd"/>
      <w:r w:rsidR="00FC0EBC" w:rsidRPr="00254B2D">
        <w:rPr>
          <w:color w:val="auto"/>
        </w:rPr>
        <w:t xml:space="preserve"> – treated patients </w:t>
      </w:r>
      <w:proofErr w:type="gramStart"/>
      <w:r w:rsidR="00FC0EBC" w:rsidRPr="00254B2D">
        <w:rPr>
          <w:color w:val="auto"/>
        </w:rPr>
        <w:t>( 5.3</w:t>
      </w:r>
      <w:proofErr w:type="gramEnd"/>
      <w:r w:rsidR="00FC0EBC" w:rsidRPr="00254B2D">
        <w:rPr>
          <w:color w:val="auto"/>
        </w:rPr>
        <w:t xml:space="preserve">%) and insulin </w:t>
      </w:r>
      <w:proofErr w:type="spellStart"/>
      <w:r w:rsidR="00FC0EBC" w:rsidRPr="00254B2D">
        <w:rPr>
          <w:color w:val="auto"/>
        </w:rPr>
        <w:t>glargine</w:t>
      </w:r>
      <w:proofErr w:type="spellEnd"/>
      <w:r w:rsidR="00FC0EBC" w:rsidRPr="00254B2D">
        <w:rPr>
          <w:color w:val="auto"/>
        </w:rPr>
        <w:t xml:space="preserve"> 100units/</w:t>
      </w:r>
      <w:r w:rsidR="00156455" w:rsidRPr="00254B2D">
        <w:rPr>
          <w:color w:val="auto"/>
        </w:rPr>
        <w:t>mL</w:t>
      </w:r>
      <w:r w:rsidR="00FC0EBC" w:rsidRPr="00254B2D">
        <w:rPr>
          <w:color w:val="auto"/>
        </w:rPr>
        <w:t xml:space="preserve"> treated patients ( 4.5%) </w:t>
      </w:r>
    </w:p>
    <w:p w:rsidR="0090356A" w:rsidRDefault="0090356A" w:rsidP="0090356A">
      <w:pPr>
        <w:rPr>
          <w:color w:val="auto"/>
        </w:rPr>
      </w:pPr>
      <w:r w:rsidRPr="00670A6C">
        <w:rPr>
          <w:color w:val="auto"/>
        </w:rPr>
        <w:t xml:space="preserve">Insulin administration may cause insulin antibodies to form. In clinical studies comparing </w:t>
      </w:r>
      <w:proofErr w:type="spellStart"/>
      <w:r w:rsidR="00BB0644" w:rsidRPr="00670A6C">
        <w:rPr>
          <w:color w:val="auto"/>
        </w:rPr>
        <w:t>Toujeo</w:t>
      </w:r>
      <w:proofErr w:type="spellEnd"/>
      <w:r w:rsidRPr="00670A6C">
        <w:rPr>
          <w:color w:val="auto"/>
        </w:rPr>
        <w:t xml:space="preserve"> and </w:t>
      </w:r>
      <w:r w:rsidR="00ED4690" w:rsidRPr="00670A6C">
        <w:rPr>
          <w:color w:val="auto"/>
        </w:rPr>
        <w:t>Lantus</w:t>
      </w:r>
      <w:r w:rsidRPr="00670A6C">
        <w:rPr>
          <w:color w:val="auto"/>
        </w:rPr>
        <w:t xml:space="preserve">, antibodies to insulin were observed with similar frequencies in both treatment groups. In rare cases, the presence of such insulin antibodies may necessitate adjustment of the insulin dose in order to correct a tendency to hyper- or </w:t>
      </w:r>
      <w:proofErr w:type="spellStart"/>
      <w:r w:rsidRPr="00670A6C">
        <w:rPr>
          <w:color w:val="auto"/>
        </w:rPr>
        <w:t>hypoglycaemia</w:t>
      </w:r>
      <w:proofErr w:type="spellEnd"/>
      <w:r w:rsidRPr="00670A6C">
        <w:rPr>
          <w:color w:val="auto"/>
        </w:rPr>
        <w:t xml:space="preserve"> (see section PRECAUTIONS).</w:t>
      </w:r>
    </w:p>
    <w:p w:rsidR="00BE2B69" w:rsidRDefault="00BE2B69" w:rsidP="00BE2B69">
      <w:pPr>
        <w:pStyle w:val="Heading2"/>
        <w:numPr>
          <w:ilvl w:val="0"/>
          <w:numId w:val="0"/>
        </w:numPr>
        <w:ind w:left="680" w:hanging="680"/>
      </w:pPr>
      <w:bookmarkStart w:id="44" w:name="_Toc381269235"/>
      <w:r w:rsidRPr="00BE2B69">
        <w:t>Eye disorders</w:t>
      </w:r>
      <w:bookmarkEnd w:id="44"/>
    </w:p>
    <w:p w:rsidR="00BE2B69" w:rsidRPr="002E105D" w:rsidRDefault="00BE2B69" w:rsidP="00BE2B69">
      <w:r w:rsidRPr="002E105D">
        <w:t xml:space="preserve">A marked change in </w:t>
      </w:r>
      <w:proofErr w:type="spellStart"/>
      <w:r w:rsidRPr="002E105D">
        <w:t>glycaemic</w:t>
      </w:r>
      <w:proofErr w:type="spellEnd"/>
      <w:r w:rsidRPr="002E105D">
        <w:t xml:space="preserve"> control may cause temporary visual impairment, due to temporary alteration in the turgidity and refractive index of the lens.</w:t>
      </w:r>
    </w:p>
    <w:p w:rsidR="00C12182" w:rsidRPr="00151045" w:rsidRDefault="00BE2B69" w:rsidP="002006E9">
      <w:pPr>
        <w:rPr>
          <w:color w:val="auto"/>
        </w:rPr>
      </w:pPr>
      <w:r w:rsidRPr="002E105D">
        <w:t xml:space="preserve">Long-term improved </w:t>
      </w:r>
      <w:proofErr w:type="spellStart"/>
      <w:r w:rsidRPr="002E105D">
        <w:t>glycaemic</w:t>
      </w:r>
      <w:proofErr w:type="spellEnd"/>
      <w:r w:rsidRPr="002E105D">
        <w:t xml:space="preserve"> control decreases the risk of progression of diabetic retinopathy. </w:t>
      </w:r>
      <w:r w:rsidRPr="00151045">
        <w:rPr>
          <w:color w:val="auto"/>
        </w:rPr>
        <w:t xml:space="preserve">However, intensification of insulin therapy with abrupt improvement in </w:t>
      </w:r>
      <w:proofErr w:type="spellStart"/>
      <w:r w:rsidRPr="00151045">
        <w:rPr>
          <w:color w:val="auto"/>
        </w:rPr>
        <w:t>glycaemic</w:t>
      </w:r>
      <w:proofErr w:type="spellEnd"/>
      <w:r w:rsidRPr="00151045">
        <w:rPr>
          <w:color w:val="auto"/>
        </w:rPr>
        <w:t xml:space="preserve"> control may be associated with temporary worsening of diabetic retinopathy.</w:t>
      </w:r>
    </w:p>
    <w:p w:rsidR="00C12182" w:rsidRPr="00151045" w:rsidRDefault="00C12182" w:rsidP="00C12182">
      <w:pPr>
        <w:rPr>
          <w:color w:val="auto"/>
        </w:rPr>
      </w:pPr>
      <w:r w:rsidRPr="00151045">
        <w:rPr>
          <w:color w:val="auto"/>
        </w:rPr>
        <w:t xml:space="preserve">In patients with proliferative retinopathy, particularly if not treated with photocoagulation, severe </w:t>
      </w:r>
      <w:proofErr w:type="spellStart"/>
      <w:r w:rsidRPr="00151045">
        <w:rPr>
          <w:color w:val="auto"/>
        </w:rPr>
        <w:t>hypoglycaemic</w:t>
      </w:r>
      <w:proofErr w:type="spellEnd"/>
      <w:r w:rsidRPr="00151045">
        <w:rPr>
          <w:color w:val="auto"/>
        </w:rPr>
        <w:t xml:space="preserve"> episodes may result in transient partial or complete blindness.</w:t>
      </w:r>
    </w:p>
    <w:p w:rsidR="00C12182" w:rsidRDefault="00C12182" w:rsidP="00C12182">
      <w:pPr>
        <w:rPr>
          <w:color w:val="auto"/>
        </w:rPr>
      </w:pPr>
      <w:r w:rsidRPr="00151045">
        <w:rPr>
          <w:color w:val="auto"/>
        </w:rPr>
        <w:t xml:space="preserve">Retinopathy was evaluated in clinical studies by means of retinal adverse events reported and fundus photography. The numbers of retinal adverse events reported for Lantus and NPH treatment groups were similar for patients with type 1 and type 2 diabetes. Progression of retinopathy was investigated by fundus photography using a grading protocol derived from the Early Treatment Diabetic Retinopathy Study (ETDRS). In a 5-year NPH-controlled study, the primary outcome was progression by 3 or more steps on the ETDRS scale at study endpoint. The results of this analysis are shown in </w:t>
      </w:r>
      <w:r w:rsidR="002E661F" w:rsidRPr="00151045">
        <w:rPr>
          <w:color w:val="auto"/>
        </w:rPr>
        <w:fldChar w:fldCharType="begin"/>
      </w:r>
      <w:r w:rsidR="002E661F" w:rsidRPr="00151045">
        <w:rPr>
          <w:color w:val="auto"/>
        </w:rPr>
        <w:instrText xml:space="preserve"> REF _Ref383507109 \h  \* MERGEFORMAT </w:instrText>
      </w:r>
      <w:r w:rsidR="002E661F" w:rsidRPr="00151045">
        <w:rPr>
          <w:color w:val="auto"/>
        </w:rPr>
      </w:r>
      <w:r w:rsidR="002E661F" w:rsidRPr="00151045">
        <w:rPr>
          <w:color w:val="auto"/>
        </w:rPr>
        <w:fldChar w:fldCharType="separate"/>
      </w:r>
      <w:r w:rsidR="002C5256" w:rsidRPr="002C5256">
        <w:rPr>
          <w:color w:val="auto"/>
        </w:rPr>
        <w:t>Table 9</w:t>
      </w:r>
      <w:r w:rsidR="002E661F" w:rsidRPr="00151045">
        <w:rPr>
          <w:color w:val="auto"/>
        </w:rPr>
        <w:fldChar w:fldCharType="end"/>
      </w:r>
      <w:r w:rsidR="002E661F" w:rsidRPr="00151045">
        <w:rPr>
          <w:color w:val="auto"/>
        </w:rPr>
        <w:t xml:space="preserve"> </w:t>
      </w:r>
      <w:r w:rsidRPr="00151045">
        <w:rPr>
          <w:color w:val="auto"/>
        </w:rPr>
        <w:t>for both the per-protocol (primary) and Intent-to-Treat (ITT) populations, and indicate non-inferiority of Lantus to NPH in the progression of diabetic retinopathy as assessed by this outcome</w:t>
      </w:r>
      <w:r w:rsidR="006F2A30">
        <w:rPr>
          <w:color w:val="auto"/>
        </w:rPr>
        <w:t>.</w:t>
      </w:r>
    </w:p>
    <w:p w:rsidR="002E661F" w:rsidRPr="00151045" w:rsidRDefault="002E661F" w:rsidP="002E661F">
      <w:pPr>
        <w:pStyle w:val="Caption"/>
        <w:rPr>
          <w:sz w:val="22"/>
        </w:rPr>
      </w:pPr>
      <w:r w:rsidRPr="00151045">
        <w:rPr>
          <w:sz w:val="22"/>
        </w:rPr>
        <w:t xml:space="preserve"> </w:t>
      </w:r>
      <w:bookmarkStart w:id="45" w:name="_Ref383507109"/>
      <w:r w:rsidRPr="00151045">
        <w:t>Table </w:t>
      </w:r>
      <w:r w:rsidR="0069078C" w:rsidRPr="00151045">
        <w:fldChar w:fldCharType="begin"/>
      </w:r>
      <w:r w:rsidR="0069078C" w:rsidRPr="00151045">
        <w:instrText xml:space="preserve"> SEQ Table \* ARABIC </w:instrText>
      </w:r>
      <w:r w:rsidR="0069078C" w:rsidRPr="00151045">
        <w:fldChar w:fldCharType="separate"/>
      </w:r>
      <w:r w:rsidR="002C5256">
        <w:rPr>
          <w:noProof/>
        </w:rPr>
        <w:t>9</w:t>
      </w:r>
      <w:r w:rsidR="0069078C" w:rsidRPr="00151045">
        <w:fldChar w:fldCharType="end"/>
      </w:r>
      <w:bookmarkEnd w:id="45"/>
      <w:r w:rsidRPr="00151045">
        <w:t xml:space="preserve"> ­ Number (%) of Patients with 3 or More Step Progression on ETDRS Scale at Endpoint</w:t>
      </w:r>
    </w:p>
    <w:tbl>
      <w:tblPr>
        <w:tblW w:w="0" w:type="auto"/>
        <w:jc w:val="center"/>
        <w:tblBorders>
          <w:top w:val="single" w:sz="2" w:space="0" w:color="000000"/>
        </w:tblBorders>
        <w:tblLook w:val="0000" w:firstRow="0" w:lastRow="0" w:firstColumn="0" w:lastColumn="0" w:noHBand="0" w:noVBand="0"/>
      </w:tblPr>
      <w:tblGrid>
        <w:gridCol w:w="1510"/>
        <w:gridCol w:w="1623"/>
        <w:gridCol w:w="1593"/>
        <w:gridCol w:w="2381"/>
        <w:gridCol w:w="2578"/>
      </w:tblGrid>
      <w:tr w:rsidR="002E661F" w:rsidRPr="00151045" w:rsidTr="000025D0">
        <w:trPr>
          <w:cantSplit/>
          <w:tblHeader/>
          <w:jc w:val="center"/>
        </w:trPr>
        <w:tc>
          <w:tcPr>
            <w:tcW w:w="0" w:type="auto"/>
            <w:tcBorders>
              <w:top w:val="single" w:sz="4" w:space="0" w:color="000000"/>
              <w:bottom w:val="single" w:sz="4" w:space="0" w:color="000000"/>
            </w:tcBorders>
            <w:shd w:val="clear" w:color="auto" w:fill="auto"/>
          </w:tcPr>
          <w:p w:rsidR="002E661F" w:rsidRPr="00151045" w:rsidRDefault="002E661F" w:rsidP="000025D0">
            <w:pPr>
              <w:pStyle w:val="TblHeadingCenter"/>
              <w:rPr>
                <w:kern w:val="2"/>
                <w:lang w:val="en-US"/>
              </w:rPr>
            </w:pPr>
          </w:p>
        </w:tc>
        <w:tc>
          <w:tcPr>
            <w:tcW w:w="0" w:type="auto"/>
            <w:tcBorders>
              <w:top w:val="single" w:sz="4" w:space="0" w:color="000000"/>
              <w:bottom w:val="single" w:sz="4" w:space="0" w:color="000000"/>
            </w:tcBorders>
            <w:shd w:val="clear" w:color="auto" w:fill="auto"/>
          </w:tcPr>
          <w:p w:rsidR="002E661F" w:rsidRPr="00151045" w:rsidRDefault="002E661F" w:rsidP="000025D0">
            <w:pPr>
              <w:pStyle w:val="TblHeadingCenter"/>
            </w:pPr>
            <w:r w:rsidRPr="00151045">
              <w:t>Lantus (%)</w:t>
            </w:r>
          </w:p>
        </w:tc>
        <w:tc>
          <w:tcPr>
            <w:tcW w:w="0" w:type="auto"/>
            <w:tcBorders>
              <w:top w:val="single" w:sz="4" w:space="0" w:color="000000"/>
              <w:bottom w:val="single" w:sz="4" w:space="0" w:color="000000"/>
            </w:tcBorders>
            <w:shd w:val="clear" w:color="auto" w:fill="auto"/>
          </w:tcPr>
          <w:p w:rsidR="002E661F" w:rsidRPr="00151045" w:rsidRDefault="002E661F" w:rsidP="000025D0">
            <w:pPr>
              <w:pStyle w:val="TblHeadingCenter"/>
            </w:pPr>
            <w:r w:rsidRPr="00151045">
              <w:t>NPH (%)</w:t>
            </w:r>
          </w:p>
        </w:tc>
        <w:tc>
          <w:tcPr>
            <w:tcW w:w="0" w:type="auto"/>
            <w:tcBorders>
              <w:top w:val="single" w:sz="4" w:space="0" w:color="000000"/>
              <w:bottom w:val="single" w:sz="4" w:space="0" w:color="000000"/>
            </w:tcBorders>
            <w:shd w:val="clear" w:color="auto" w:fill="auto"/>
          </w:tcPr>
          <w:p w:rsidR="002E661F" w:rsidRPr="00151045" w:rsidRDefault="002E661F" w:rsidP="000025D0">
            <w:pPr>
              <w:pStyle w:val="TblHeadingCenter"/>
            </w:pPr>
            <w:r w:rsidRPr="00151045">
              <w:t>Difference a,b (SE)</w:t>
            </w:r>
          </w:p>
        </w:tc>
        <w:tc>
          <w:tcPr>
            <w:tcW w:w="0" w:type="auto"/>
            <w:tcBorders>
              <w:top w:val="single" w:sz="4" w:space="0" w:color="000000"/>
              <w:bottom w:val="single" w:sz="4" w:space="0" w:color="000000"/>
            </w:tcBorders>
            <w:shd w:val="clear" w:color="auto" w:fill="auto"/>
          </w:tcPr>
          <w:p w:rsidR="002E661F" w:rsidRPr="00151045" w:rsidRDefault="002E661F" w:rsidP="000025D0">
            <w:pPr>
              <w:pStyle w:val="TblHeadingCenter"/>
            </w:pPr>
            <w:r w:rsidRPr="00151045">
              <w:t>95% CI for difference</w:t>
            </w:r>
          </w:p>
        </w:tc>
      </w:tr>
      <w:tr w:rsidR="002E661F" w:rsidRPr="00151045" w:rsidTr="000025D0">
        <w:trPr>
          <w:cantSplit/>
          <w:jc w:val="center"/>
        </w:trPr>
        <w:tc>
          <w:tcPr>
            <w:tcW w:w="0" w:type="auto"/>
            <w:tcBorders>
              <w:top w:val="single" w:sz="4" w:space="0" w:color="000000"/>
            </w:tcBorders>
            <w:shd w:val="clear" w:color="auto" w:fill="auto"/>
          </w:tcPr>
          <w:p w:rsidR="002E661F" w:rsidRPr="00151045" w:rsidRDefault="002E661F" w:rsidP="000025D0">
            <w:pPr>
              <w:pStyle w:val="TblTextCenter"/>
            </w:pPr>
            <w:r w:rsidRPr="00151045">
              <w:t>Per-protocol</w:t>
            </w:r>
          </w:p>
        </w:tc>
        <w:tc>
          <w:tcPr>
            <w:tcW w:w="0" w:type="auto"/>
            <w:tcBorders>
              <w:top w:val="single" w:sz="4" w:space="0" w:color="000000"/>
            </w:tcBorders>
            <w:shd w:val="clear" w:color="auto" w:fill="auto"/>
          </w:tcPr>
          <w:p w:rsidR="002E661F" w:rsidRPr="00151045" w:rsidRDefault="002E661F" w:rsidP="000025D0">
            <w:pPr>
              <w:pStyle w:val="TblTextCenter"/>
            </w:pPr>
            <w:r w:rsidRPr="00151045">
              <w:t>53/374 (14.2%)</w:t>
            </w:r>
          </w:p>
        </w:tc>
        <w:tc>
          <w:tcPr>
            <w:tcW w:w="0" w:type="auto"/>
            <w:tcBorders>
              <w:top w:val="single" w:sz="4" w:space="0" w:color="000000"/>
            </w:tcBorders>
            <w:shd w:val="clear" w:color="auto" w:fill="auto"/>
          </w:tcPr>
          <w:p w:rsidR="002E661F" w:rsidRPr="00151045" w:rsidRDefault="002E661F" w:rsidP="000025D0">
            <w:pPr>
              <w:pStyle w:val="TblTextCenter"/>
            </w:pPr>
            <w:r w:rsidRPr="00151045">
              <w:t>57/363 (15.7%)</w:t>
            </w:r>
          </w:p>
        </w:tc>
        <w:tc>
          <w:tcPr>
            <w:tcW w:w="0" w:type="auto"/>
            <w:tcBorders>
              <w:top w:val="single" w:sz="4" w:space="0" w:color="000000"/>
            </w:tcBorders>
            <w:shd w:val="clear" w:color="auto" w:fill="auto"/>
          </w:tcPr>
          <w:p w:rsidR="002E661F" w:rsidRPr="00151045" w:rsidRDefault="002E661F" w:rsidP="000025D0">
            <w:pPr>
              <w:pStyle w:val="TblTextCenter"/>
            </w:pPr>
            <w:r w:rsidRPr="00151045">
              <w:t>-1.98% (2.57%)</w:t>
            </w:r>
          </w:p>
        </w:tc>
        <w:tc>
          <w:tcPr>
            <w:tcW w:w="0" w:type="auto"/>
            <w:tcBorders>
              <w:top w:val="single" w:sz="4" w:space="0" w:color="000000"/>
            </w:tcBorders>
            <w:shd w:val="clear" w:color="auto" w:fill="auto"/>
          </w:tcPr>
          <w:p w:rsidR="002E661F" w:rsidRPr="00151045" w:rsidRDefault="002E661F" w:rsidP="000025D0">
            <w:pPr>
              <w:pStyle w:val="TblTextCenter"/>
            </w:pPr>
            <w:r w:rsidRPr="00151045">
              <w:t>-7.02% to 3.06%</w:t>
            </w:r>
          </w:p>
        </w:tc>
      </w:tr>
      <w:tr w:rsidR="002E661F" w:rsidRPr="00151045" w:rsidTr="000025D0">
        <w:trPr>
          <w:cantSplit/>
          <w:jc w:val="center"/>
        </w:trPr>
        <w:tc>
          <w:tcPr>
            <w:tcW w:w="0" w:type="auto"/>
            <w:tcBorders>
              <w:bottom w:val="single" w:sz="12" w:space="0" w:color="auto"/>
            </w:tcBorders>
            <w:shd w:val="clear" w:color="auto" w:fill="auto"/>
          </w:tcPr>
          <w:p w:rsidR="002E661F" w:rsidRPr="00151045" w:rsidRDefault="002E661F" w:rsidP="000025D0">
            <w:pPr>
              <w:pStyle w:val="TblTextCenter"/>
            </w:pPr>
            <w:r w:rsidRPr="00151045">
              <w:t>Intent-to Treat</w:t>
            </w:r>
          </w:p>
        </w:tc>
        <w:tc>
          <w:tcPr>
            <w:tcW w:w="0" w:type="auto"/>
            <w:tcBorders>
              <w:bottom w:val="single" w:sz="12" w:space="0" w:color="auto"/>
            </w:tcBorders>
            <w:shd w:val="clear" w:color="auto" w:fill="auto"/>
          </w:tcPr>
          <w:p w:rsidR="002E661F" w:rsidRPr="00151045" w:rsidRDefault="002E661F" w:rsidP="000025D0">
            <w:pPr>
              <w:pStyle w:val="TblTextCenter"/>
            </w:pPr>
            <w:r w:rsidRPr="00151045">
              <w:t>63/502 (12.5%)</w:t>
            </w:r>
          </w:p>
        </w:tc>
        <w:tc>
          <w:tcPr>
            <w:tcW w:w="0" w:type="auto"/>
            <w:tcBorders>
              <w:bottom w:val="single" w:sz="12" w:space="0" w:color="auto"/>
            </w:tcBorders>
            <w:shd w:val="clear" w:color="auto" w:fill="auto"/>
          </w:tcPr>
          <w:p w:rsidR="002E661F" w:rsidRPr="00151045" w:rsidRDefault="002E661F" w:rsidP="000025D0">
            <w:pPr>
              <w:pStyle w:val="TblTextCenter"/>
            </w:pPr>
            <w:r w:rsidRPr="00151045">
              <w:t>71/487 (14.6%)</w:t>
            </w:r>
          </w:p>
        </w:tc>
        <w:tc>
          <w:tcPr>
            <w:tcW w:w="0" w:type="auto"/>
            <w:tcBorders>
              <w:bottom w:val="single" w:sz="12" w:space="0" w:color="auto"/>
            </w:tcBorders>
            <w:shd w:val="clear" w:color="auto" w:fill="auto"/>
          </w:tcPr>
          <w:p w:rsidR="002E661F" w:rsidRPr="00151045" w:rsidRDefault="002E661F" w:rsidP="000025D0">
            <w:pPr>
              <w:pStyle w:val="TblTextCenter"/>
            </w:pPr>
            <w:r w:rsidRPr="00151045">
              <w:t>-2.10% (2.14%)</w:t>
            </w:r>
          </w:p>
        </w:tc>
        <w:tc>
          <w:tcPr>
            <w:tcW w:w="0" w:type="auto"/>
            <w:tcBorders>
              <w:bottom w:val="single" w:sz="12" w:space="0" w:color="auto"/>
            </w:tcBorders>
            <w:shd w:val="clear" w:color="auto" w:fill="auto"/>
          </w:tcPr>
          <w:p w:rsidR="002E661F" w:rsidRPr="00151045" w:rsidRDefault="002E661F" w:rsidP="000025D0">
            <w:pPr>
              <w:pStyle w:val="TblTextCenter"/>
            </w:pPr>
            <w:r w:rsidRPr="00151045">
              <w:t>-6.29% to 2.09%</w:t>
            </w:r>
          </w:p>
        </w:tc>
      </w:tr>
      <w:tr w:rsidR="002E661F" w:rsidRPr="00151045" w:rsidTr="000025D0">
        <w:trPr>
          <w:cantSplit/>
          <w:jc w:val="center"/>
        </w:trPr>
        <w:tc>
          <w:tcPr>
            <w:tcW w:w="0" w:type="auto"/>
            <w:gridSpan w:val="5"/>
            <w:tcBorders>
              <w:top w:val="single" w:sz="12" w:space="0" w:color="auto"/>
            </w:tcBorders>
            <w:shd w:val="clear" w:color="auto" w:fill="auto"/>
          </w:tcPr>
          <w:p w:rsidR="002E661F" w:rsidRPr="00151045" w:rsidRDefault="002E661F" w:rsidP="000025D0">
            <w:pPr>
              <w:pStyle w:val="TblFigFootnote"/>
            </w:pPr>
            <w:r w:rsidRPr="00151045">
              <w:lastRenderedPageBreak/>
              <w:t>a Difference = Lantus - NPH</w:t>
            </w:r>
          </w:p>
          <w:p w:rsidR="002E661F" w:rsidRDefault="002E661F" w:rsidP="000025D0">
            <w:pPr>
              <w:pStyle w:val="TblFigFootnote"/>
            </w:pPr>
            <w:r w:rsidRPr="00151045">
              <w:t xml:space="preserve">b Using a </w:t>
            </w:r>
            <w:proofErr w:type="spellStart"/>
            <w:r w:rsidRPr="00151045">
              <w:t>generalised</w:t>
            </w:r>
            <w:proofErr w:type="spellEnd"/>
            <w:r w:rsidRPr="00151045">
              <w:t xml:space="preserve"> linear model (SAS GENMOD) with treatment and baseline HbA1c strata as the classified independent variables, and with binomial distribution and identity link function</w:t>
            </w:r>
          </w:p>
          <w:p w:rsidR="007D2B6A" w:rsidRPr="007D2B6A" w:rsidRDefault="007D2B6A" w:rsidP="000025D0">
            <w:pPr>
              <w:pStyle w:val="TblFigFootnote"/>
              <w:rPr>
                <w:color w:val="FF0000"/>
              </w:rPr>
            </w:pPr>
          </w:p>
        </w:tc>
      </w:tr>
    </w:tbl>
    <w:p w:rsidR="002006E9" w:rsidRDefault="002006E9" w:rsidP="002006E9">
      <w:pPr>
        <w:pStyle w:val="Heading2"/>
        <w:numPr>
          <w:ilvl w:val="0"/>
          <w:numId w:val="0"/>
        </w:numPr>
        <w:ind w:left="680" w:hanging="680"/>
      </w:pPr>
      <w:bookmarkStart w:id="46" w:name="_Toc381269236"/>
      <w:r w:rsidRPr="002006E9">
        <w:t>Skin and subcutaneous tissue disorders</w:t>
      </w:r>
      <w:bookmarkEnd w:id="46"/>
    </w:p>
    <w:p w:rsidR="002006E9" w:rsidRDefault="002006E9" w:rsidP="002006E9">
      <w:pPr>
        <w:rPr>
          <w:color w:val="auto"/>
        </w:rPr>
      </w:pPr>
      <w:r w:rsidRPr="00A121E8">
        <w:rPr>
          <w:color w:val="auto"/>
        </w:rPr>
        <w:t>As with any insulin therapy, lipodystrophy may occur at the injection site and delay local insulin absorption. Continuous rotation of the injection site within the given injection area may help to reduce or prevent these reactions.</w:t>
      </w:r>
    </w:p>
    <w:p w:rsidR="00334C27" w:rsidRPr="002006E9" w:rsidRDefault="00334C27" w:rsidP="00334C27">
      <w:pPr>
        <w:pStyle w:val="Heading2"/>
        <w:numPr>
          <w:ilvl w:val="0"/>
          <w:numId w:val="0"/>
        </w:numPr>
        <w:ind w:left="680" w:hanging="680"/>
      </w:pPr>
      <w:bookmarkStart w:id="47" w:name="_Toc381269237"/>
      <w:r w:rsidRPr="00334C27">
        <w:t>General disorders and administration site conditions</w:t>
      </w:r>
      <w:bookmarkEnd w:id="47"/>
    </w:p>
    <w:p w:rsidR="002006E9" w:rsidRDefault="002006E9" w:rsidP="002006E9">
      <w:pPr>
        <w:rPr>
          <w:color w:val="auto"/>
        </w:rPr>
      </w:pPr>
      <w:r w:rsidRPr="00A121E8">
        <w:rPr>
          <w:color w:val="auto"/>
        </w:rPr>
        <w:t xml:space="preserve">Injection site reactions include redness, pain, itching, hives, swelling, or inflammation. Most minor reactions to insulins at the injection site </w:t>
      </w:r>
      <w:r w:rsidRPr="00505624">
        <w:rPr>
          <w:color w:val="auto"/>
        </w:rPr>
        <w:t xml:space="preserve">resolve in a few days to a few weeks. In </w:t>
      </w:r>
      <w:proofErr w:type="spellStart"/>
      <w:r w:rsidR="00BB0644" w:rsidRPr="00505624">
        <w:rPr>
          <w:color w:val="auto"/>
        </w:rPr>
        <w:t>Toujeo</w:t>
      </w:r>
      <w:proofErr w:type="spellEnd"/>
      <w:r w:rsidRPr="00505624">
        <w:rPr>
          <w:color w:val="auto"/>
        </w:rPr>
        <w:t xml:space="preserve"> clinical studies in </w:t>
      </w:r>
      <w:proofErr w:type="gramStart"/>
      <w:r w:rsidRPr="00505624">
        <w:rPr>
          <w:color w:val="auto"/>
        </w:rPr>
        <w:t>adults</w:t>
      </w:r>
      <w:proofErr w:type="gramEnd"/>
      <w:r w:rsidRPr="00505624">
        <w:rPr>
          <w:color w:val="auto"/>
        </w:rPr>
        <w:t xml:space="preserve"> patients, the incidence of injection site reactions was similar in </w:t>
      </w:r>
      <w:proofErr w:type="spellStart"/>
      <w:r w:rsidR="00BB0644" w:rsidRPr="00505624">
        <w:rPr>
          <w:color w:val="auto"/>
        </w:rPr>
        <w:t>Toujeo</w:t>
      </w:r>
      <w:proofErr w:type="spellEnd"/>
      <w:r w:rsidRPr="00505624">
        <w:rPr>
          <w:color w:val="auto"/>
        </w:rPr>
        <w:t xml:space="preserve">-treated patients (2.5%) and </w:t>
      </w:r>
      <w:r w:rsidR="00655392" w:rsidRPr="00505624">
        <w:rPr>
          <w:color w:val="auto"/>
        </w:rPr>
        <w:t>Lantus</w:t>
      </w:r>
      <w:r w:rsidRPr="00505624">
        <w:rPr>
          <w:color w:val="auto"/>
        </w:rPr>
        <w:t>-treated patients (2.8 %).</w:t>
      </w:r>
    </w:p>
    <w:p w:rsidR="002006E9" w:rsidRPr="00A121E8" w:rsidRDefault="002006E9" w:rsidP="002006E9">
      <w:pPr>
        <w:rPr>
          <w:color w:val="auto"/>
        </w:rPr>
      </w:pPr>
      <w:r w:rsidRPr="00A121E8">
        <w:rPr>
          <w:color w:val="auto"/>
        </w:rPr>
        <w:t xml:space="preserve">Rarely, insulin may cause sodium retention and </w:t>
      </w:r>
      <w:proofErr w:type="spellStart"/>
      <w:r w:rsidRPr="00A121E8">
        <w:rPr>
          <w:color w:val="auto"/>
        </w:rPr>
        <w:t>oedema</w:t>
      </w:r>
      <w:proofErr w:type="spellEnd"/>
      <w:r w:rsidRPr="00A121E8">
        <w:rPr>
          <w:color w:val="auto"/>
        </w:rPr>
        <w:t xml:space="preserve"> particularly if previously poor metabolic control is improved by intensified insulin therapy.</w:t>
      </w:r>
    </w:p>
    <w:p w:rsidR="00334C27" w:rsidRPr="00505624" w:rsidRDefault="00334C27" w:rsidP="00334C27">
      <w:pPr>
        <w:pStyle w:val="Heading2"/>
        <w:numPr>
          <w:ilvl w:val="0"/>
          <w:numId w:val="0"/>
        </w:numPr>
        <w:ind w:left="680" w:hanging="680"/>
      </w:pPr>
      <w:bookmarkStart w:id="48" w:name="_Toc381269238"/>
      <w:r w:rsidRPr="00505624">
        <w:t>Paediatric population</w:t>
      </w:r>
      <w:bookmarkEnd w:id="48"/>
    </w:p>
    <w:p w:rsidR="00334C27" w:rsidRPr="00505624" w:rsidRDefault="00334C27" w:rsidP="004603C2">
      <w:pPr>
        <w:rPr>
          <w:color w:val="auto"/>
        </w:rPr>
      </w:pPr>
      <w:r w:rsidRPr="00505624">
        <w:rPr>
          <w:color w:val="auto"/>
        </w:rPr>
        <w:t xml:space="preserve">No clinical studies with </w:t>
      </w:r>
      <w:proofErr w:type="spellStart"/>
      <w:r w:rsidR="00BB0644" w:rsidRPr="00505624">
        <w:rPr>
          <w:color w:val="auto"/>
        </w:rPr>
        <w:t>Toujeo</w:t>
      </w:r>
      <w:proofErr w:type="spellEnd"/>
      <w:r w:rsidRPr="00505624">
        <w:rPr>
          <w:color w:val="auto"/>
        </w:rPr>
        <w:t xml:space="preserve"> have been conducted in the </w:t>
      </w:r>
      <w:proofErr w:type="spellStart"/>
      <w:r w:rsidRPr="00505624">
        <w:rPr>
          <w:color w:val="auto"/>
        </w:rPr>
        <w:t>paediatric</w:t>
      </w:r>
      <w:proofErr w:type="spellEnd"/>
      <w:r w:rsidRPr="00505624">
        <w:rPr>
          <w:color w:val="auto"/>
        </w:rPr>
        <w:t xml:space="preserve"> population. Therefore, the safety profile of </w:t>
      </w:r>
      <w:proofErr w:type="spellStart"/>
      <w:r w:rsidR="00BB0644" w:rsidRPr="00505624">
        <w:rPr>
          <w:color w:val="auto"/>
        </w:rPr>
        <w:t>Toujeo</w:t>
      </w:r>
      <w:proofErr w:type="spellEnd"/>
      <w:r w:rsidRPr="00505624">
        <w:rPr>
          <w:color w:val="auto"/>
        </w:rPr>
        <w:t xml:space="preserve"> has not been established.</w:t>
      </w:r>
    </w:p>
    <w:p w:rsidR="003020BF" w:rsidRDefault="003020BF" w:rsidP="003020BF">
      <w:pPr>
        <w:pStyle w:val="Heading1"/>
        <w:pageBreakBefore w:val="0"/>
        <w:numPr>
          <w:ilvl w:val="0"/>
          <w:numId w:val="0"/>
        </w:numPr>
      </w:pPr>
      <w:bookmarkStart w:id="49" w:name="_Toc381269240"/>
      <w:r>
        <w:t>dosage and administration</w:t>
      </w:r>
      <w:bookmarkEnd w:id="49"/>
      <w:r w:rsidR="004276CD">
        <w:t xml:space="preserve"> </w:t>
      </w:r>
    </w:p>
    <w:p w:rsidR="00016D7E" w:rsidRDefault="00D53EBA" w:rsidP="00D53EBA">
      <w:pPr>
        <w:rPr>
          <w:color w:val="auto"/>
        </w:rPr>
      </w:pPr>
      <w:proofErr w:type="spellStart"/>
      <w:r w:rsidRPr="00A121E8">
        <w:rPr>
          <w:color w:val="auto"/>
        </w:rPr>
        <w:t>Toujeo</w:t>
      </w:r>
      <w:proofErr w:type="spellEnd"/>
      <w:r w:rsidRPr="00A121E8">
        <w:rPr>
          <w:color w:val="auto"/>
        </w:rPr>
        <w:t xml:space="preserve"> is </w:t>
      </w:r>
      <w:proofErr w:type="gramStart"/>
      <w:r w:rsidRPr="00A121E8">
        <w:rPr>
          <w:color w:val="auto"/>
        </w:rPr>
        <w:t>a basal</w:t>
      </w:r>
      <w:proofErr w:type="gramEnd"/>
      <w:r w:rsidRPr="00A121E8">
        <w:rPr>
          <w:color w:val="auto"/>
        </w:rPr>
        <w:t xml:space="preserve"> insulin for once-daily subcutaneous administration at any time of the day, preferably at the same time every day.  </w:t>
      </w:r>
    </w:p>
    <w:p w:rsidR="00F1012D" w:rsidRPr="00505624" w:rsidRDefault="00F1012D" w:rsidP="00F1012D">
      <w:pPr>
        <w:pStyle w:val="Heading2"/>
        <w:numPr>
          <w:ilvl w:val="0"/>
          <w:numId w:val="0"/>
        </w:numPr>
      </w:pPr>
      <w:bookmarkStart w:id="50" w:name="_Toc381269241"/>
      <w:r w:rsidRPr="00505624">
        <w:t>Initiation Of Toujeo</w:t>
      </w:r>
      <w:bookmarkEnd w:id="50"/>
    </w:p>
    <w:p w:rsidR="004F7603" w:rsidRDefault="004F7603" w:rsidP="004F7603">
      <w:r w:rsidRPr="00A121E8">
        <w:rPr>
          <w:color w:val="auto"/>
        </w:rPr>
        <w:t xml:space="preserve">Before using </w:t>
      </w:r>
      <w:proofErr w:type="spellStart"/>
      <w:r w:rsidRPr="00A121E8">
        <w:rPr>
          <w:color w:val="auto"/>
        </w:rPr>
        <w:t>Toujeo</w:t>
      </w:r>
      <w:proofErr w:type="spellEnd"/>
      <w:r w:rsidRPr="00A121E8">
        <w:rPr>
          <w:color w:val="auto"/>
        </w:rPr>
        <w:t xml:space="preserve"> pre-filled pen, the instructions for use included in the package leaflet must be read carefully.</w:t>
      </w:r>
      <w:r w:rsidR="00267B40">
        <w:rPr>
          <w:color w:val="auto"/>
        </w:rPr>
        <w:t xml:space="preserve"> </w:t>
      </w:r>
      <w:r w:rsidRPr="006A1C9C">
        <w:t>Insulin label</w:t>
      </w:r>
      <w:r w:rsidR="00584739" w:rsidRPr="00DE71F7">
        <w:rPr>
          <w:color w:val="auto"/>
        </w:rPr>
        <w:t>s</w:t>
      </w:r>
      <w:r w:rsidRPr="006A1C9C">
        <w:t xml:space="preserve"> must always be checked before each injection to avoid medication errors between </w:t>
      </w:r>
      <w:proofErr w:type="spellStart"/>
      <w:r w:rsidRPr="006A1C9C">
        <w:t>Toujeo</w:t>
      </w:r>
      <w:proofErr w:type="spellEnd"/>
      <w:r w:rsidRPr="006A1C9C">
        <w:t xml:space="preserve"> and other insulins (see PRECAUTIONS).The “U300” is highlighted in honey gold on the label.</w:t>
      </w:r>
      <w:r>
        <w:t xml:space="preserve"> </w:t>
      </w:r>
    </w:p>
    <w:p w:rsidR="009F26C9" w:rsidRDefault="009F26C9" w:rsidP="004F7603">
      <w:pPr>
        <w:rPr>
          <w:color w:val="auto"/>
        </w:rPr>
      </w:pPr>
      <w:proofErr w:type="spellStart"/>
      <w:r w:rsidRPr="00A121E8">
        <w:rPr>
          <w:color w:val="auto"/>
        </w:rPr>
        <w:lastRenderedPageBreak/>
        <w:t>Toujeo</w:t>
      </w:r>
      <w:proofErr w:type="spellEnd"/>
      <w:r w:rsidRPr="00A121E8">
        <w:rPr>
          <w:color w:val="auto"/>
        </w:rPr>
        <w:t xml:space="preserve"> is for subcutaneous use only</w:t>
      </w:r>
      <w:r w:rsidR="00267B40">
        <w:rPr>
          <w:color w:val="auto"/>
        </w:rPr>
        <w:t xml:space="preserve"> and</w:t>
      </w:r>
      <w:r w:rsidRPr="00A121E8">
        <w:rPr>
          <w:color w:val="auto"/>
        </w:rPr>
        <w:t xml:space="preserve"> should be </w:t>
      </w:r>
      <w:r w:rsidR="00267B40">
        <w:rPr>
          <w:color w:val="auto"/>
        </w:rPr>
        <w:t>administered</w:t>
      </w:r>
      <w:r w:rsidRPr="00A121E8">
        <w:rPr>
          <w:color w:val="auto"/>
        </w:rPr>
        <w:t xml:space="preserve"> by injection in the abdominal wall, the deltoid or the thigh.</w:t>
      </w:r>
      <w:r w:rsidR="00267B40">
        <w:rPr>
          <w:color w:val="auto"/>
        </w:rPr>
        <w:t xml:space="preserve"> </w:t>
      </w:r>
      <w:r w:rsidR="00267B40" w:rsidRPr="00A121E8">
        <w:rPr>
          <w:color w:val="auto"/>
        </w:rPr>
        <w:t>Injection sites must be rotated within a given injection area from one inj</w:t>
      </w:r>
      <w:r w:rsidR="00267B40">
        <w:rPr>
          <w:color w:val="auto"/>
        </w:rPr>
        <w:t xml:space="preserve">ection to the next (see </w:t>
      </w:r>
      <w:r w:rsidR="00267B40" w:rsidRPr="00A121E8">
        <w:rPr>
          <w:color w:val="auto"/>
        </w:rPr>
        <w:t>ADVERSE EFFECTS).</w:t>
      </w:r>
    </w:p>
    <w:p w:rsidR="00267B40" w:rsidRDefault="00267B40" w:rsidP="004F7603">
      <w:pPr>
        <w:rPr>
          <w:color w:val="auto"/>
        </w:rPr>
      </w:pPr>
      <w:proofErr w:type="spellStart"/>
      <w:r w:rsidRPr="00A121E8">
        <w:rPr>
          <w:color w:val="auto"/>
        </w:rPr>
        <w:t>Toujeo</w:t>
      </w:r>
      <w:proofErr w:type="spellEnd"/>
      <w:r w:rsidRPr="00A121E8">
        <w:rPr>
          <w:color w:val="auto"/>
        </w:rPr>
        <w:t xml:space="preserve"> must not be administered intravenously. The prolonged duration of action of </w:t>
      </w:r>
      <w:proofErr w:type="spellStart"/>
      <w:r w:rsidRPr="00A121E8">
        <w:rPr>
          <w:color w:val="auto"/>
        </w:rPr>
        <w:t>Toujeo</w:t>
      </w:r>
      <w:proofErr w:type="spellEnd"/>
      <w:r w:rsidRPr="00A121E8">
        <w:rPr>
          <w:color w:val="auto"/>
        </w:rPr>
        <w:t xml:space="preserve"> is dependent on its injection into subcutaneous tissue. Intravenous administration of the usual subcutaneous dose could result in severe </w:t>
      </w:r>
      <w:proofErr w:type="spellStart"/>
      <w:r w:rsidRPr="00A121E8">
        <w:rPr>
          <w:color w:val="auto"/>
        </w:rPr>
        <w:t>hypoglycaemia</w:t>
      </w:r>
      <w:proofErr w:type="spellEnd"/>
      <w:r w:rsidRPr="00A121E8">
        <w:rPr>
          <w:color w:val="auto"/>
        </w:rPr>
        <w:t>.</w:t>
      </w:r>
    </w:p>
    <w:p w:rsidR="006B4D77" w:rsidRPr="006B7B9B" w:rsidRDefault="006B4D77" w:rsidP="006B4D77">
      <w:pPr>
        <w:pStyle w:val="Heading3"/>
        <w:numPr>
          <w:ilvl w:val="0"/>
          <w:numId w:val="0"/>
        </w:numPr>
      </w:pPr>
      <w:r w:rsidRPr="006B7B9B">
        <w:t>Before first use</w:t>
      </w:r>
    </w:p>
    <w:p w:rsidR="006B4D77" w:rsidRPr="00505624" w:rsidRDefault="006B4D77" w:rsidP="006B4D77">
      <w:pPr>
        <w:rPr>
          <w:color w:val="auto"/>
        </w:rPr>
      </w:pPr>
      <w:r>
        <w:rPr>
          <w:color w:val="984806"/>
        </w:rPr>
        <w:t xml:space="preserve"> </w:t>
      </w:r>
      <w:r w:rsidRPr="00505624">
        <w:rPr>
          <w:color w:val="auto"/>
        </w:rPr>
        <w:t>The pen must be stored at room temperature at least 1 hour before use.</w:t>
      </w:r>
      <w:r w:rsidR="00541CC9" w:rsidRPr="00505624">
        <w:rPr>
          <w:color w:val="auto"/>
        </w:rPr>
        <w:t xml:space="preserve"> After use</w:t>
      </w:r>
      <w:r w:rsidR="00C06722" w:rsidRPr="00505624">
        <w:rPr>
          <w:color w:val="auto"/>
        </w:rPr>
        <w:t xml:space="preserve"> it should be kept at room temperature </w:t>
      </w:r>
      <w:r w:rsidR="009B4F7A">
        <w:rPr>
          <w:color w:val="auto"/>
        </w:rPr>
        <w:t>(</w:t>
      </w:r>
      <w:r w:rsidR="00C06722" w:rsidRPr="00505624">
        <w:rPr>
          <w:color w:val="auto"/>
        </w:rPr>
        <w:t>b</w:t>
      </w:r>
      <w:r w:rsidR="009B4F7A">
        <w:rPr>
          <w:color w:val="auto"/>
        </w:rPr>
        <w:t xml:space="preserve">elow </w:t>
      </w:r>
      <w:r w:rsidR="00C06722" w:rsidRPr="00505624">
        <w:rPr>
          <w:color w:val="auto"/>
        </w:rPr>
        <w:t>30°C)</w:t>
      </w:r>
    </w:p>
    <w:p w:rsidR="006B4D77" w:rsidRPr="00505624" w:rsidRDefault="006B4D77" w:rsidP="006B4D77">
      <w:pPr>
        <w:rPr>
          <w:color w:val="auto"/>
        </w:rPr>
      </w:pPr>
      <w:r w:rsidRPr="00505624">
        <w:rPr>
          <w:color w:val="auto"/>
        </w:rPr>
        <w:t>Inspect the cartridge</w:t>
      </w:r>
      <w:r w:rsidR="009B4F7A">
        <w:rPr>
          <w:color w:val="auto"/>
        </w:rPr>
        <w:t xml:space="preserve">; </w:t>
      </w:r>
      <w:r w:rsidRPr="00505624">
        <w:rPr>
          <w:color w:val="auto"/>
        </w:rPr>
        <w:t xml:space="preserve">it must only be used if the solution is clear, </w:t>
      </w:r>
      <w:proofErr w:type="spellStart"/>
      <w:r w:rsidRPr="00505624">
        <w:rPr>
          <w:color w:val="auto"/>
        </w:rPr>
        <w:t>colourless</w:t>
      </w:r>
      <w:proofErr w:type="spellEnd"/>
      <w:r w:rsidRPr="00505624">
        <w:rPr>
          <w:color w:val="auto"/>
        </w:rPr>
        <w:t xml:space="preserve">, with no solid particles visible, and if it is of water-like consistency. Since </w:t>
      </w:r>
      <w:proofErr w:type="spellStart"/>
      <w:r w:rsidRPr="00505624">
        <w:rPr>
          <w:color w:val="auto"/>
        </w:rPr>
        <w:t>Toujeo</w:t>
      </w:r>
      <w:proofErr w:type="spellEnd"/>
      <w:r w:rsidRPr="00505624">
        <w:rPr>
          <w:color w:val="auto"/>
        </w:rPr>
        <w:t xml:space="preserve"> is a solution, it does not require </w:t>
      </w:r>
      <w:proofErr w:type="spellStart"/>
      <w:r w:rsidRPr="00505624">
        <w:rPr>
          <w:color w:val="auto"/>
        </w:rPr>
        <w:t>resuspension</w:t>
      </w:r>
      <w:proofErr w:type="spellEnd"/>
      <w:r w:rsidRPr="00505624">
        <w:rPr>
          <w:color w:val="auto"/>
        </w:rPr>
        <w:t xml:space="preserve"> before use.</w:t>
      </w:r>
    </w:p>
    <w:p w:rsidR="006B4D77" w:rsidRPr="00505624" w:rsidRDefault="006B4D77" w:rsidP="006B4D77">
      <w:pPr>
        <w:rPr>
          <w:color w:val="auto"/>
        </w:rPr>
      </w:pPr>
      <w:r w:rsidRPr="00505624">
        <w:rPr>
          <w:color w:val="auto"/>
        </w:rPr>
        <w:t>To prevent the possible transmission of disease, each pen must be used by one patient only.</w:t>
      </w:r>
    </w:p>
    <w:p w:rsidR="006B4D77" w:rsidRPr="00505624" w:rsidRDefault="006B4D77" w:rsidP="006B4D77">
      <w:pPr>
        <w:pStyle w:val="Heading3"/>
        <w:numPr>
          <w:ilvl w:val="0"/>
          <w:numId w:val="0"/>
        </w:numPr>
      </w:pPr>
      <w:r w:rsidRPr="00505624">
        <w:t>Dosing</w:t>
      </w:r>
    </w:p>
    <w:p w:rsidR="00F1012D" w:rsidRDefault="00F1012D" w:rsidP="00F1012D">
      <w:pPr>
        <w:rPr>
          <w:color w:val="auto"/>
        </w:rPr>
      </w:pPr>
      <w:r w:rsidRPr="00505624">
        <w:rPr>
          <w:b/>
          <w:color w:val="auto"/>
        </w:rPr>
        <w:t>Patients with type 1 diabetes mellitus</w:t>
      </w:r>
      <w:r w:rsidR="00153D8C" w:rsidRPr="00505624">
        <w:rPr>
          <w:b/>
          <w:color w:val="auto"/>
        </w:rPr>
        <w:br/>
      </w:r>
      <w:proofErr w:type="spellStart"/>
      <w:r w:rsidRPr="00505624">
        <w:rPr>
          <w:color w:val="auto"/>
        </w:rPr>
        <w:t>Toujeo</w:t>
      </w:r>
      <w:proofErr w:type="spellEnd"/>
      <w:r w:rsidRPr="00505624">
        <w:rPr>
          <w:color w:val="auto"/>
        </w:rPr>
        <w:t xml:space="preserve"> is to be used once -daily with meal -time insulin and requires subsequent individual dose adjustments.</w:t>
      </w:r>
    </w:p>
    <w:p w:rsidR="008C7B57" w:rsidRPr="00254B2D" w:rsidRDefault="008C7B57" w:rsidP="00F1012D">
      <w:pPr>
        <w:rPr>
          <w:color w:val="auto"/>
        </w:rPr>
      </w:pPr>
      <w:r w:rsidRPr="00254B2D">
        <w:rPr>
          <w:color w:val="auto"/>
        </w:rPr>
        <w:t xml:space="preserve">In type I diabetes mellitus, </w:t>
      </w:r>
      <w:proofErr w:type="spellStart"/>
      <w:r w:rsidRPr="00254B2D">
        <w:rPr>
          <w:color w:val="auto"/>
        </w:rPr>
        <w:t>Toujeo</w:t>
      </w:r>
      <w:proofErr w:type="spellEnd"/>
      <w:r w:rsidRPr="00254B2D">
        <w:rPr>
          <w:color w:val="auto"/>
        </w:rPr>
        <w:t xml:space="preserve"> must be combined with short/rapid- acting insulin to cover mealtime insulin requirements. </w:t>
      </w:r>
    </w:p>
    <w:p w:rsidR="00531947" w:rsidRDefault="00F1012D" w:rsidP="00F1012D">
      <w:r w:rsidRPr="00505624">
        <w:rPr>
          <w:b/>
          <w:color w:val="auto"/>
        </w:rPr>
        <w:t>Patients with type 2 diabetes mellitus</w:t>
      </w:r>
      <w:r w:rsidR="00153D8C" w:rsidRPr="00505624">
        <w:rPr>
          <w:color w:val="auto"/>
        </w:rPr>
        <w:br/>
      </w:r>
      <w:proofErr w:type="gramStart"/>
      <w:r w:rsidRPr="00505624">
        <w:rPr>
          <w:color w:val="auto"/>
        </w:rPr>
        <w:t>The</w:t>
      </w:r>
      <w:proofErr w:type="gramEnd"/>
      <w:r w:rsidRPr="00505624">
        <w:rPr>
          <w:color w:val="auto"/>
        </w:rPr>
        <w:t xml:space="preserve"> recommended daily starting dose is 0.2 U/kg followed by individual dosage adjustments.</w:t>
      </w:r>
      <w:r w:rsidR="009B4F7A" w:rsidRPr="009B4F7A">
        <w:t xml:space="preserve"> </w:t>
      </w:r>
      <w:r w:rsidR="00D53EBA" w:rsidRPr="00505624">
        <w:rPr>
          <w:color w:val="auto"/>
        </w:rPr>
        <w:t xml:space="preserve">In patients with type 2 diabetes mellitus, </w:t>
      </w:r>
      <w:proofErr w:type="spellStart"/>
      <w:r w:rsidR="00D53EBA" w:rsidRPr="00505624">
        <w:rPr>
          <w:color w:val="auto"/>
        </w:rPr>
        <w:t>Toujeo</w:t>
      </w:r>
      <w:proofErr w:type="spellEnd"/>
      <w:r w:rsidR="00D53EBA" w:rsidRPr="00505624">
        <w:rPr>
          <w:color w:val="auto"/>
        </w:rPr>
        <w:t xml:space="preserve"> can also be given together with orally active a</w:t>
      </w:r>
      <w:r w:rsidR="00267B40" w:rsidRPr="00505624">
        <w:rPr>
          <w:color w:val="auto"/>
        </w:rPr>
        <w:t>ntidiabetic medicinal products.</w:t>
      </w:r>
      <w:r w:rsidR="006B7B9B" w:rsidRPr="006B7B9B">
        <w:t xml:space="preserve"> </w:t>
      </w:r>
    </w:p>
    <w:p w:rsidR="00183957" w:rsidRPr="000E1751" w:rsidRDefault="00183957" w:rsidP="00F1012D">
      <w:pPr>
        <w:rPr>
          <w:color w:val="00B0F0"/>
        </w:rPr>
      </w:pPr>
      <w:r w:rsidRPr="00183957">
        <w:rPr>
          <w:b/>
          <w:color w:val="auto"/>
        </w:rPr>
        <w:t>General</w:t>
      </w:r>
    </w:p>
    <w:p w:rsidR="00F1012D" w:rsidRDefault="00F1012D" w:rsidP="00F1012D">
      <w:pPr>
        <w:rPr>
          <w:b/>
          <w:color w:val="auto"/>
        </w:rPr>
      </w:pPr>
      <w:r w:rsidRPr="00505624">
        <w:rPr>
          <w:color w:val="auto"/>
        </w:rPr>
        <w:t xml:space="preserve">With </w:t>
      </w:r>
      <w:proofErr w:type="spellStart"/>
      <w:r w:rsidRPr="00505624">
        <w:rPr>
          <w:color w:val="auto"/>
        </w:rPr>
        <w:t>Toujeo</w:t>
      </w:r>
      <w:proofErr w:type="spellEnd"/>
      <w:r w:rsidR="00D551DF">
        <w:rPr>
          <w:color w:val="auto"/>
        </w:rPr>
        <w:t>,</w:t>
      </w:r>
      <w:r w:rsidRPr="00505624">
        <w:rPr>
          <w:color w:val="auto"/>
        </w:rPr>
        <w:t xml:space="preserve"> a dose of 1 to 80 units per injection, in steps of 1 unit, can be injected. The dose counter shows the number of </w:t>
      </w:r>
      <w:proofErr w:type="spellStart"/>
      <w:r w:rsidRPr="00505624">
        <w:rPr>
          <w:color w:val="auto"/>
        </w:rPr>
        <w:t>Toujeo</w:t>
      </w:r>
      <w:proofErr w:type="spellEnd"/>
      <w:r w:rsidRPr="00505624">
        <w:rPr>
          <w:color w:val="auto"/>
        </w:rPr>
        <w:t xml:space="preserve"> units that are to be injected.  The </w:t>
      </w:r>
      <w:proofErr w:type="spellStart"/>
      <w:r w:rsidRPr="00505624">
        <w:rPr>
          <w:color w:val="auto"/>
        </w:rPr>
        <w:t>Toujeo</w:t>
      </w:r>
      <w:proofErr w:type="spellEnd"/>
      <w:r w:rsidRPr="00505624">
        <w:rPr>
          <w:color w:val="auto"/>
        </w:rPr>
        <w:t xml:space="preserve"> </w:t>
      </w:r>
      <w:proofErr w:type="spellStart"/>
      <w:r w:rsidRPr="00505624">
        <w:rPr>
          <w:color w:val="auto"/>
        </w:rPr>
        <w:t>SoloStar</w:t>
      </w:r>
      <w:proofErr w:type="spellEnd"/>
      <w:r w:rsidRPr="00505624">
        <w:rPr>
          <w:color w:val="auto"/>
        </w:rPr>
        <w:t xml:space="preserve"> pre-filled pen has been specifically designed for </w:t>
      </w:r>
      <w:proofErr w:type="spellStart"/>
      <w:proofErr w:type="gramStart"/>
      <w:r w:rsidRPr="00505624">
        <w:rPr>
          <w:color w:val="auto"/>
        </w:rPr>
        <w:t>Toujeo</w:t>
      </w:r>
      <w:proofErr w:type="spellEnd"/>
      <w:r w:rsidRPr="00505624">
        <w:rPr>
          <w:color w:val="auto"/>
        </w:rPr>
        <w:t>,</w:t>
      </w:r>
      <w:proofErr w:type="gramEnd"/>
      <w:r w:rsidRPr="00505624">
        <w:rPr>
          <w:color w:val="auto"/>
        </w:rPr>
        <w:t xml:space="preserve"> </w:t>
      </w:r>
      <w:r w:rsidRPr="00875823">
        <w:rPr>
          <w:b/>
          <w:color w:val="auto"/>
          <w:u w:val="single"/>
        </w:rPr>
        <w:t>therefore no dose re-calculation is required.</w:t>
      </w:r>
      <w:r w:rsidRPr="00505624">
        <w:rPr>
          <w:b/>
          <w:color w:val="auto"/>
        </w:rPr>
        <w:t xml:space="preserve"> </w:t>
      </w:r>
    </w:p>
    <w:p w:rsidR="00F1012D" w:rsidRPr="00EA75DE" w:rsidRDefault="00F1012D" w:rsidP="00F1012D">
      <w:pPr>
        <w:rPr>
          <w:color w:val="auto"/>
        </w:rPr>
      </w:pPr>
      <w:r w:rsidRPr="00A121E8">
        <w:rPr>
          <w:color w:val="auto"/>
        </w:rPr>
        <w:t>Dose adjustment may be required, for example , if the patient’s weight or life-style changes, if there is a change in timing of insulin dose or if other circumstances arise that increase</w:t>
      </w:r>
      <w:r w:rsidRPr="00FF1DE0">
        <w:rPr>
          <w:color w:val="00B050"/>
        </w:rPr>
        <w:t xml:space="preserve"> </w:t>
      </w:r>
      <w:r w:rsidRPr="00A121E8">
        <w:rPr>
          <w:color w:val="auto"/>
        </w:rPr>
        <w:t>susceptibility to hypo or hyperglycemia ( see PRECAUTIONS) . Any change of insulin dose should be made cautiously and only under medical supervision.</w:t>
      </w:r>
      <w:r w:rsidRPr="00EA75DE">
        <w:rPr>
          <w:color w:val="auto"/>
        </w:rPr>
        <w:t xml:space="preserve"> </w:t>
      </w:r>
    </w:p>
    <w:p w:rsidR="00CD2168" w:rsidRPr="00505624" w:rsidRDefault="00CD2168" w:rsidP="004603C2">
      <w:pPr>
        <w:rPr>
          <w:color w:val="auto"/>
        </w:rPr>
      </w:pPr>
      <w:proofErr w:type="gramStart"/>
      <w:r w:rsidRPr="00EA75DE">
        <w:rPr>
          <w:color w:val="auto"/>
        </w:rPr>
        <w:lastRenderedPageBreak/>
        <w:t>Patients</w:t>
      </w:r>
      <w:proofErr w:type="gramEnd"/>
      <w:r w:rsidRPr="00EA75DE">
        <w:rPr>
          <w:color w:val="auto"/>
        </w:rPr>
        <w:t xml:space="preserve"> who forget a dose, are advised to check their blood sugar frequently. Patients should be informed not to take a double dose to make up for a forgotten </w:t>
      </w:r>
      <w:r w:rsidR="00CC2266" w:rsidRPr="00EA75DE">
        <w:rPr>
          <w:color w:val="auto"/>
        </w:rPr>
        <w:t>dose.</w:t>
      </w:r>
    </w:p>
    <w:p w:rsidR="00965A38" w:rsidRDefault="00CF5117" w:rsidP="00965A38">
      <w:pPr>
        <w:rPr>
          <w:color w:val="auto"/>
        </w:rPr>
      </w:pPr>
      <w:r w:rsidRPr="00A121E8">
        <w:rPr>
          <w:color w:val="auto"/>
        </w:rPr>
        <w:t xml:space="preserve">The desired blood glucose levels as well as doses and timing of anti-diabetic medication must be determined and adjusted individually. </w:t>
      </w:r>
    </w:p>
    <w:p w:rsidR="00860393" w:rsidRDefault="003756D4" w:rsidP="003756D4">
      <w:pPr>
        <w:rPr>
          <w:color w:val="auto"/>
        </w:rPr>
      </w:pPr>
      <w:r w:rsidRPr="00875823">
        <w:rPr>
          <w:b/>
          <w:color w:val="auto"/>
          <w:u w:val="single"/>
        </w:rPr>
        <w:t xml:space="preserve">Patients </w:t>
      </w:r>
      <w:proofErr w:type="gramStart"/>
      <w:r w:rsidRPr="00875823">
        <w:rPr>
          <w:b/>
          <w:color w:val="auto"/>
          <w:u w:val="single"/>
        </w:rPr>
        <w:t>must  be</w:t>
      </w:r>
      <w:proofErr w:type="gramEnd"/>
      <w:r w:rsidRPr="00875823">
        <w:rPr>
          <w:b/>
          <w:color w:val="auto"/>
          <w:u w:val="single"/>
        </w:rPr>
        <w:t xml:space="preserve"> instructed to never re-use </w:t>
      </w:r>
      <w:r w:rsidR="009B4F7A" w:rsidRPr="00875823">
        <w:rPr>
          <w:b/>
          <w:color w:val="auto"/>
          <w:u w:val="single"/>
        </w:rPr>
        <w:t xml:space="preserve">a </w:t>
      </w:r>
      <w:r w:rsidRPr="00875823">
        <w:rPr>
          <w:b/>
          <w:color w:val="auto"/>
          <w:u w:val="single"/>
        </w:rPr>
        <w:t>needle.</w:t>
      </w:r>
      <w:r w:rsidRPr="00505624">
        <w:rPr>
          <w:color w:val="auto"/>
        </w:rPr>
        <w:t xml:space="preserve">  A new sterile needle must be attached before each injection.</w:t>
      </w:r>
      <w:r w:rsidR="00860393" w:rsidRPr="00860393">
        <w:rPr>
          <w:color w:val="auto"/>
        </w:rPr>
        <w:t xml:space="preserve"> Re-use of needles increases the risk of blocked needles which may cause under dosing or overdosing. Using a new sterile needle for each injection also minimizes the risk of contamination and </w:t>
      </w:r>
      <w:r w:rsidR="00CC2266" w:rsidRPr="00860393">
        <w:rPr>
          <w:color w:val="auto"/>
        </w:rPr>
        <w:t>infection</w:t>
      </w:r>
      <w:r w:rsidR="00CC2266" w:rsidRPr="00505624">
        <w:rPr>
          <w:color w:val="auto"/>
        </w:rPr>
        <w:t xml:space="preserve"> (</w:t>
      </w:r>
      <w:r w:rsidRPr="00505624">
        <w:rPr>
          <w:color w:val="auto"/>
        </w:rPr>
        <w:t>see PRECAUTIONS).</w:t>
      </w:r>
      <w:r w:rsidR="00C477C4">
        <w:rPr>
          <w:color w:val="auto"/>
        </w:rPr>
        <w:t xml:space="preserve"> </w:t>
      </w:r>
    </w:p>
    <w:p w:rsidR="003756D4" w:rsidRDefault="003756D4" w:rsidP="003756D4">
      <w:pPr>
        <w:rPr>
          <w:color w:val="auto"/>
        </w:rPr>
      </w:pPr>
      <w:proofErr w:type="spellStart"/>
      <w:r w:rsidRPr="00875823">
        <w:rPr>
          <w:b/>
          <w:color w:val="auto"/>
          <w:u w:val="single"/>
        </w:rPr>
        <w:t>Toujeo</w:t>
      </w:r>
      <w:proofErr w:type="spellEnd"/>
      <w:r w:rsidRPr="00875823">
        <w:rPr>
          <w:b/>
          <w:color w:val="auto"/>
          <w:u w:val="single"/>
        </w:rPr>
        <w:t xml:space="preserve"> must not be drawn from the cartridge of the pre-filled pen into a syringe</w:t>
      </w:r>
      <w:r w:rsidRPr="00DA17AE">
        <w:rPr>
          <w:color w:val="auto"/>
        </w:rPr>
        <w:t xml:space="preserve"> (</w:t>
      </w:r>
      <w:r w:rsidRPr="00505624">
        <w:rPr>
          <w:color w:val="auto"/>
        </w:rPr>
        <w:t xml:space="preserve">see PRECAUTIONS). </w:t>
      </w:r>
    </w:p>
    <w:p w:rsidR="003756D4" w:rsidRDefault="003756D4" w:rsidP="003756D4">
      <w:pPr>
        <w:rPr>
          <w:color w:val="auto"/>
        </w:rPr>
      </w:pPr>
      <w:r w:rsidRPr="00505624">
        <w:rPr>
          <w:color w:val="auto"/>
        </w:rPr>
        <w:t xml:space="preserve">Empty pens must never be reused and must be properly discarded. </w:t>
      </w:r>
      <w:proofErr w:type="spellStart"/>
      <w:r w:rsidRPr="00505624">
        <w:rPr>
          <w:color w:val="auto"/>
        </w:rPr>
        <w:t>Toujeo</w:t>
      </w:r>
      <w:proofErr w:type="spellEnd"/>
      <w:r w:rsidRPr="00505624">
        <w:rPr>
          <w:color w:val="auto"/>
        </w:rPr>
        <w:t xml:space="preserve"> must not be used in insulin infusion pumps.</w:t>
      </w:r>
    </w:p>
    <w:p w:rsidR="00793000" w:rsidRPr="00254B2D" w:rsidRDefault="00793000" w:rsidP="00793000">
      <w:pPr>
        <w:rPr>
          <w:color w:val="auto"/>
        </w:rPr>
      </w:pPr>
      <w:r w:rsidRPr="00254B2D">
        <w:rPr>
          <w:color w:val="auto"/>
        </w:rPr>
        <w:t xml:space="preserve">Insulin </w:t>
      </w:r>
      <w:proofErr w:type="spellStart"/>
      <w:r w:rsidRPr="00254B2D">
        <w:rPr>
          <w:color w:val="auto"/>
        </w:rPr>
        <w:t>glargine</w:t>
      </w:r>
      <w:proofErr w:type="spellEnd"/>
      <w:r w:rsidRPr="00254B2D">
        <w:rPr>
          <w:color w:val="auto"/>
        </w:rPr>
        <w:t xml:space="preserve"> </w:t>
      </w:r>
      <w:proofErr w:type="gramStart"/>
      <w:r w:rsidRPr="00254B2D">
        <w:rPr>
          <w:color w:val="auto"/>
        </w:rPr>
        <w:t>100</w:t>
      </w:r>
      <w:r w:rsidR="00316F9D" w:rsidRPr="00254B2D">
        <w:rPr>
          <w:color w:val="auto"/>
        </w:rPr>
        <w:t xml:space="preserve"> </w:t>
      </w:r>
      <w:r w:rsidRPr="00254B2D">
        <w:rPr>
          <w:color w:val="auto"/>
        </w:rPr>
        <w:t>units/</w:t>
      </w:r>
      <w:r w:rsidR="00156455" w:rsidRPr="00254B2D">
        <w:rPr>
          <w:color w:val="auto"/>
        </w:rPr>
        <w:t>mL</w:t>
      </w:r>
      <w:proofErr w:type="gramEnd"/>
      <w:r w:rsidRPr="00254B2D">
        <w:rPr>
          <w:color w:val="auto"/>
        </w:rPr>
        <w:t xml:space="preserve"> and </w:t>
      </w:r>
      <w:proofErr w:type="spellStart"/>
      <w:r w:rsidRPr="00254B2D">
        <w:rPr>
          <w:color w:val="auto"/>
        </w:rPr>
        <w:t>Toujeo</w:t>
      </w:r>
      <w:proofErr w:type="spellEnd"/>
      <w:r w:rsidRPr="00254B2D">
        <w:rPr>
          <w:color w:val="auto"/>
        </w:rPr>
        <w:t xml:space="preserve"> are not bioequivalent</w:t>
      </w:r>
      <w:r w:rsidR="00254B2D">
        <w:rPr>
          <w:color w:val="auto"/>
        </w:rPr>
        <w:t>.</w:t>
      </w:r>
      <w:r w:rsidRPr="00254B2D">
        <w:rPr>
          <w:color w:val="auto"/>
        </w:rPr>
        <w:t xml:space="preserve"> </w:t>
      </w:r>
    </w:p>
    <w:p w:rsidR="00141155" w:rsidRPr="002403B2" w:rsidRDefault="00E7562B" w:rsidP="002403B2">
      <w:pPr>
        <w:rPr>
          <w:b/>
        </w:rPr>
      </w:pPr>
      <w:r w:rsidRPr="002403B2">
        <w:rPr>
          <w:b/>
        </w:rPr>
        <w:t xml:space="preserve">Do not mix or Dilute </w:t>
      </w:r>
      <w:proofErr w:type="spellStart"/>
      <w:r w:rsidRPr="002403B2">
        <w:rPr>
          <w:b/>
        </w:rPr>
        <w:t>Toujeo</w:t>
      </w:r>
      <w:proofErr w:type="spellEnd"/>
      <w:r w:rsidRPr="002403B2">
        <w:rPr>
          <w:b/>
        </w:rPr>
        <w:t xml:space="preserve"> </w:t>
      </w:r>
    </w:p>
    <w:p w:rsidR="00141155" w:rsidRPr="00FA1321" w:rsidRDefault="00141155" w:rsidP="0098353A">
      <w:pPr>
        <w:pStyle w:val="ListBulletLevel1"/>
        <w:numPr>
          <w:ilvl w:val="0"/>
          <w:numId w:val="14"/>
        </w:numPr>
        <w:rPr>
          <w:color w:val="auto"/>
        </w:rPr>
      </w:pPr>
      <w:proofErr w:type="spellStart"/>
      <w:r w:rsidRPr="00FA1321">
        <w:rPr>
          <w:color w:val="auto"/>
        </w:rPr>
        <w:t>Toujeo</w:t>
      </w:r>
      <w:proofErr w:type="spellEnd"/>
      <w:r w:rsidRPr="00FA1321">
        <w:rPr>
          <w:color w:val="auto"/>
        </w:rPr>
        <w:t xml:space="preserve"> must not be mixed with any other insulin products. Mixing change</w:t>
      </w:r>
      <w:r w:rsidR="00A47395" w:rsidRPr="00FA1321">
        <w:rPr>
          <w:color w:val="auto"/>
        </w:rPr>
        <w:t xml:space="preserve">s the time/action profile of </w:t>
      </w:r>
      <w:proofErr w:type="spellStart"/>
      <w:r w:rsidR="00A47395" w:rsidRPr="00FA1321">
        <w:rPr>
          <w:color w:val="auto"/>
        </w:rPr>
        <w:t>Toujeo</w:t>
      </w:r>
      <w:proofErr w:type="spellEnd"/>
      <w:r w:rsidRPr="00FA1321">
        <w:rPr>
          <w:color w:val="auto"/>
        </w:rPr>
        <w:t xml:space="preserve"> and causes precipitation.</w:t>
      </w:r>
    </w:p>
    <w:p w:rsidR="00A47395" w:rsidRPr="00FA1321" w:rsidRDefault="00A47395" w:rsidP="0098353A">
      <w:pPr>
        <w:pStyle w:val="ListBulletLevel1"/>
        <w:numPr>
          <w:ilvl w:val="0"/>
          <w:numId w:val="14"/>
        </w:numPr>
        <w:rPr>
          <w:color w:val="auto"/>
        </w:rPr>
      </w:pPr>
      <w:proofErr w:type="spellStart"/>
      <w:r w:rsidRPr="00FA1321">
        <w:rPr>
          <w:color w:val="auto"/>
        </w:rPr>
        <w:t>Touje</w:t>
      </w:r>
      <w:r w:rsidR="004A27E8" w:rsidRPr="00FA1321">
        <w:rPr>
          <w:color w:val="auto"/>
        </w:rPr>
        <w:t>o</w:t>
      </w:r>
      <w:proofErr w:type="spellEnd"/>
      <w:r w:rsidR="004A27E8" w:rsidRPr="00FA1321">
        <w:rPr>
          <w:color w:val="auto"/>
        </w:rPr>
        <w:t xml:space="preserve"> and insulin </w:t>
      </w:r>
      <w:proofErr w:type="spellStart"/>
      <w:r w:rsidR="004A27E8" w:rsidRPr="00FA1321">
        <w:rPr>
          <w:color w:val="auto"/>
        </w:rPr>
        <w:t>glargine</w:t>
      </w:r>
      <w:proofErr w:type="spellEnd"/>
      <w:r w:rsidR="004A27E8" w:rsidRPr="00FA1321">
        <w:rPr>
          <w:color w:val="auto"/>
        </w:rPr>
        <w:t xml:space="preserve"> 100 </w:t>
      </w:r>
      <w:r w:rsidR="006B2D88" w:rsidRPr="00FA1321">
        <w:rPr>
          <w:color w:val="auto"/>
        </w:rPr>
        <w:t>units</w:t>
      </w:r>
      <w:r w:rsidR="009C3EE0">
        <w:rPr>
          <w:color w:val="auto"/>
        </w:rPr>
        <w:t>/</w:t>
      </w:r>
      <w:r w:rsidR="00156455">
        <w:rPr>
          <w:color w:val="auto"/>
        </w:rPr>
        <w:t>mL</w:t>
      </w:r>
      <w:r w:rsidRPr="00FA1321">
        <w:rPr>
          <w:color w:val="auto"/>
        </w:rPr>
        <w:t xml:space="preserve"> (Lantus) injection both contain the same active ingredient, insulin </w:t>
      </w:r>
      <w:proofErr w:type="spellStart"/>
      <w:r w:rsidRPr="00FA1321">
        <w:rPr>
          <w:color w:val="auto"/>
        </w:rPr>
        <w:t>glargine</w:t>
      </w:r>
      <w:proofErr w:type="spellEnd"/>
      <w:r w:rsidRPr="00FA1321">
        <w:rPr>
          <w:color w:val="auto"/>
        </w:rPr>
        <w:t>, and therefore should not be used together.</w:t>
      </w:r>
    </w:p>
    <w:p w:rsidR="00AC0DB8" w:rsidRPr="00FA1321" w:rsidRDefault="00141155" w:rsidP="0098353A">
      <w:pPr>
        <w:pStyle w:val="ListBulletLevel1"/>
        <w:numPr>
          <w:ilvl w:val="0"/>
          <w:numId w:val="14"/>
        </w:numPr>
        <w:rPr>
          <w:color w:val="auto"/>
        </w:rPr>
      </w:pPr>
      <w:proofErr w:type="spellStart"/>
      <w:r w:rsidRPr="00FA1321">
        <w:rPr>
          <w:color w:val="auto"/>
        </w:rPr>
        <w:t>Toujeo</w:t>
      </w:r>
      <w:proofErr w:type="spellEnd"/>
      <w:r w:rsidRPr="00FA1321">
        <w:rPr>
          <w:color w:val="auto"/>
        </w:rPr>
        <w:t xml:space="preserve"> must not be diluted. Diluting changes the time/action profile of </w:t>
      </w:r>
      <w:proofErr w:type="spellStart"/>
      <w:r w:rsidRPr="00FA1321">
        <w:rPr>
          <w:color w:val="auto"/>
        </w:rPr>
        <w:t>Toujeo</w:t>
      </w:r>
      <w:proofErr w:type="spellEnd"/>
      <w:r w:rsidRPr="00FA1321">
        <w:rPr>
          <w:color w:val="auto"/>
        </w:rPr>
        <w:t>.</w:t>
      </w:r>
    </w:p>
    <w:p w:rsidR="004F7603" w:rsidRPr="00505624" w:rsidRDefault="00C3315E" w:rsidP="004F7603">
      <w:pPr>
        <w:pStyle w:val="Heading2"/>
        <w:numPr>
          <w:ilvl w:val="0"/>
          <w:numId w:val="0"/>
        </w:numPr>
      </w:pPr>
      <w:bookmarkStart w:id="51" w:name="_Toc381269242"/>
      <w:bookmarkStart w:id="52" w:name="_Toc381269243"/>
      <w:r w:rsidRPr="00254B2D">
        <w:t xml:space="preserve">SWITCH </w:t>
      </w:r>
      <w:r w:rsidR="004F7603" w:rsidRPr="00254B2D">
        <w:t>f</w:t>
      </w:r>
      <w:r w:rsidR="004F7603" w:rsidRPr="00505624">
        <w:t xml:space="preserve">rom </w:t>
      </w:r>
      <w:bookmarkEnd w:id="51"/>
      <w:r w:rsidR="004F7603" w:rsidRPr="00505624">
        <w:t xml:space="preserve">lantus or other basal insulin products to Toujeo </w:t>
      </w:r>
    </w:p>
    <w:p w:rsidR="00254B2D" w:rsidRDefault="004F7603" w:rsidP="00027649">
      <w:pPr>
        <w:rPr>
          <w:color w:val="auto"/>
        </w:rPr>
      </w:pPr>
      <w:r w:rsidRPr="00027649">
        <w:rPr>
          <w:color w:val="auto"/>
        </w:rPr>
        <w:t xml:space="preserve">When changing from a treatment regimen with an intermediate-acting or another long-acting insulin product to a regimen with </w:t>
      </w:r>
      <w:proofErr w:type="spellStart"/>
      <w:r w:rsidRPr="00027649">
        <w:rPr>
          <w:color w:val="auto"/>
        </w:rPr>
        <w:t>Toujeo</w:t>
      </w:r>
      <w:proofErr w:type="spellEnd"/>
      <w:r w:rsidRPr="00027649">
        <w:rPr>
          <w:color w:val="auto"/>
        </w:rPr>
        <w:t>, the amount and timing of short-acting insulin or fast-acting insulin analogue product or of the dose of any antidiabetic drug may need to be adjusted.</w:t>
      </w:r>
    </w:p>
    <w:p w:rsidR="00027649" w:rsidRDefault="00FF416F" w:rsidP="00027649">
      <w:pPr>
        <w:rPr>
          <w:rFonts w:ascii="Times New Roman Bold" w:hAnsi="Times New Roman Bold" w:hint="eastAsia"/>
          <w:b/>
          <w:color w:val="auto"/>
        </w:rPr>
      </w:pPr>
      <w:r w:rsidRPr="00254B2D">
        <w:rPr>
          <w:rFonts w:ascii="Times New Roman Bold" w:hAnsi="Times New Roman Bold"/>
          <w:b/>
          <w:color w:val="auto"/>
        </w:rPr>
        <w:t xml:space="preserve">Switch between insulin </w:t>
      </w:r>
      <w:proofErr w:type="spellStart"/>
      <w:r w:rsidRPr="00254B2D">
        <w:rPr>
          <w:rFonts w:ascii="Times New Roman Bold" w:hAnsi="Times New Roman Bold"/>
          <w:b/>
          <w:color w:val="auto"/>
        </w:rPr>
        <w:t>glargine</w:t>
      </w:r>
      <w:proofErr w:type="spellEnd"/>
      <w:r w:rsidRPr="00254B2D">
        <w:rPr>
          <w:rFonts w:ascii="Times New Roman Bold" w:hAnsi="Times New Roman Bold"/>
          <w:b/>
          <w:color w:val="auto"/>
        </w:rPr>
        <w:t xml:space="preserve"> </w:t>
      </w:r>
      <w:proofErr w:type="gramStart"/>
      <w:r w:rsidRPr="00254B2D">
        <w:rPr>
          <w:rFonts w:ascii="Times New Roman Bold" w:hAnsi="Times New Roman Bold"/>
          <w:b/>
          <w:color w:val="auto"/>
        </w:rPr>
        <w:t>100 units/mL</w:t>
      </w:r>
      <w:proofErr w:type="gramEnd"/>
      <w:r w:rsidRPr="00254B2D">
        <w:rPr>
          <w:rFonts w:ascii="Times New Roman Bold" w:hAnsi="Times New Roman Bold"/>
          <w:b/>
          <w:color w:val="auto"/>
        </w:rPr>
        <w:t xml:space="preserve"> and </w:t>
      </w:r>
      <w:proofErr w:type="spellStart"/>
      <w:r w:rsidRPr="00254B2D">
        <w:rPr>
          <w:rFonts w:ascii="Times New Roman Bold" w:hAnsi="Times New Roman Bold"/>
          <w:b/>
          <w:color w:val="auto"/>
        </w:rPr>
        <w:t>Toujeo</w:t>
      </w:r>
      <w:proofErr w:type="spellEnd"/>
    </w:p>
    <w:p w:rsidR="0013065A" w:rsidRPr="00355FE2" w:rsidRDefault="0013065A" w:rsidP="0013065A">
      <w:pPr>
        <w:rPr>
          <w:color w:val="auto"/>
        </w:rPr>
      </w:pPr>
      <w:r>
        <w:rPr>
          <w:color w:val="auto"/>
        </w:rPr>
        <w:t xml:space="preserve">Insulin </w:t>
      </w:r>
      <w:proofErr w:type="spellStart"/>
      <w:r>
        <w:rPr>
          <w:color w:val="auto"/>
        </w:rPr>
        <w:t>glargine</w:t>
      </w:r>
      <w:proofErr w:type="spellEnd"/>
      <w:r>
        <w:rPr>
          <w:color w:val="auto"/>
        </w:rPr>
        <w:t xml:space="preserve"> </w:t>
      </w:r>
      <w:proofErr w:type="gramStart"/>
      <w:r>
        <w:rPr>
          <w:color w:val="auto"/>
        </w:rPr>
        <w:t>100 units/mL</w:t>
      </w:r>
      <w:proofErr w:type="gramEnd"/>
      <w:r>
        <w:rPr>
          <w:color w:val="auto"/>
        </w:rPr>
        <w:t xml:space="preserve"> and </w:t>
      </w:r>
      <w:proofErr w:type="spellStart"/>
      <w:r>
        <w:rPr>
          <w:color w:val="auto"/>
        </w:rPr>
        <w:t>Toujeo</w:t>
      </w:r>
      <w:proofErr w:type="spellEnd"/>
      <w:r>
        <w:rPr>
          <w:color w:val="auto"/>
        </w:rPr>
        <w:t xml:space="preserve"> are not </w:t>
      </w:r>
      <w:r w:rsidRPr="00355FE2">
        <w:rPr>
          <w:color w:val="auto"/>
        </w:rPr>
        <w:t>bioequivalent</w:t>
      </w:r>
      <w:r>
        <w:rPr>
          <w:color w:val="auto"/>
        </w:rPr>
        <w:t xml:space="preserve"> and are not directly interchangeable</w:t>
      </w:r>
      <w:r w:rsidRPr="00355FE2">
        <w:rPr>
          <w:color w:val="auto"/>
        </w:rPr>
        <w:t>.</w:t>
      </w:r>
    </w:p>
    <w:p w:rsidR="00FF416F" w:rsidRPr="00254B2D" w:rsidRDefault="00FF416F" w:rsidP="0098353A">
      <w:pPr>
        <w:numPr>
          <w:ilvl w:val="0"/>
          <w:numId w:val="12"/>
        </w:numPr>
        <w:rPr>
          <w:color w:val="auto"/>
        </w:rPr>
      </w:pPr>
      <w:r w:rsidRPr="00254B2D">
        <w:rPr>
          <w:color w:val="auto"/>
        </w:rPr>
        <w:t xml:space="preserve">When switching from insulin </w:t>
      </w:r>
      <w:proofErr w:type="spellStart"/>
      <w:r w:rsidRPr="00254B2D">
        <w:rPr>
          <w:color w:val="auto"/>
        </w:rPr>
        <w:t>glargine</w:t>
      </w:r>
      <w:proofErr w:type="spellEnd"/>
      <w:r w:rsidRPr="00254B2D">
        <w:rPr>
          <w:color w:val="auto"/>
        </w:rPr>
        <w:t xml:space="preserve"> 100 units/mL to </w:t>
      </w:r>
      <w:proofErr w:type="spellStart"/>
      <w:r w:rsidRPr="00254B2D">
        <w:rPr>
          <w:color w:val="auto"/>
        </w:rPr>
        <w:t>Toujeo</w:t>
      </w:r>
      <w:proofErr w:type="spellEnd"/>
      <w:r w:rsidRPr="00254B2D">
        <w:rPr>
          <w:color w:val="auto"/>
        </w:rPr>
        <w:t xml:space="preserve">, this can be done on a unit-to-unit basis, but a higher </w:t>
      </w:r>
      <w:proofErr w:type="spellStart"/>
      <w:r w:rsidRPr="00254B2D">
        <w:rPr>
          <w:color w:val="auto"/>
        </w:rPr>
        <w:t>Toujeo</w:t>
      </w:r>
      <w:proofErr w:type="spellEnd"/>
      <w:r w:rsidRPr="00254B2D">
        <w:rPr>
          <w:color w:val="auto"/>
        </w:rPr>
        <w:t xml:space="preserve"> dose (approximately 10-18%) may be needed to achieve target ranges for plasma glucose levels.</w:t>
      </w:r>
    </w:p>
    <w:p w:rsidR="00FF416F" w:rsidRPr="00254B2D" w:rsidRDefault="00FF416F" w:rsidP="0098353A">
      <w:pPr>
        <w:numPr>
          <w:ilvl w:val="0"/>
          <w:numId w:val="12"/>
        </w:numPr>
        <w:rPr>
          <w:color w:val="auto"/>
        </w:rPr>
      </w:pPr>
      <w:r w:rsidRPr="00254B2D">
        <w:rPr>
          <w:color w:val="auto"/>
        </w:rPr>
        <w:lastRenderedPageBreak/>
        <w:t xml:space="preserve">When switching from </w:t>
      </w:r>
      <w:proofErr w:type="spellStart"/>
      <w:r w:rsidRPr="00254B2D">
        <w:rPr>
          <w:color w:val="auto"/>
        </w:rPr>
        <w:t>Toujeo</w:t>
      </w:r>
      <w:proofErr w:type="spellEnd"/>
      <w:r w:rsidRPr="00254B2D">
        <w:rPr>
          <w:color w:val="auto"/>
        </w:rPr>
        <w:t xml:space="preserve"> to insulin </w:t>
      </w:r>
      <w:proofErr w:type="spellStart"/>
      <w:r w:rsidRPr="00254B2D">
        <w:rPr>
          <w:color w:val="auto"/>
        </w:rPr>
        <w:t>glargine</w:t>
      </w:r>
      <w:proofErr w:type="spellEnd"/>
      <w:r w:rsidRPr="00254B2D">
        <w:rPr>
          <w:color w:val="auto"/>
        </w:rPr>
        <w:t xml:space="preserve"> 100 units/mL, the dose should be </w:t>
      </w:r>
      <w:proofErr w:type="gramStart"/>
      <w:r w:rsidRPr="00254B2D">
        <w:rPr>
          <w:color w:val="auto"/>
        </w:rPr>
        <w:t>reduced(</w:t>
      </w:r>
      <w:proofErr w:type="gramEnd"/>
      <w:r w:rsidRPr="00254B2D">
        <w:rPr>
          <w:color w:val="auto"/>
        </w:rPr>
        <w:t xml:space="preserve">approximately by 20%) to reduce the risk of </w:t>
      </w:r>
      <w:proofErr w:type="spellStart"/>
      <w:r w:rsidRPr="00254B2D">
        <w:rPr>
          <w:color w:val="auto"/>
        </w:rPr>
        <w:t>hypoglycaemia</w:t>
      </w:r>
      <w:proofErr w:type="spellEnd"/>
      <w:r w:rsidRPr="00254B2D">
        <w:rPr>
          <w:color w:val="auto"/>
        </w:rPr>
        <w:t>.</w:t>
      </w:r>
    </w:p>
    <w:p w:rsidR="00FF416F" w:rsidRDefault="00FF416F" w:rsidP="000F2AEE">
      <w:pPr>
        <w:rPr>
          <w:color w:val="auto"/>
        </w:rPr>
      </w:pPr>
      <w:r w:rsidRPr="00254B2D">
        <w:rPr>
          <w:color w:val="auto"/>
        </w:rPr>
        <w:t>Close metabolic monitoring is recommended during the switch and in the initial weeks thereafter</w:t>
      </w:r>
      <w:r w:rsidR="00355FE2">
        <w:rPr>
          <w:color w:val="auto"/>
        </w:rPr>
        <w:t>.</w:t>
      </w:r>
    </w:p>
    <w:p w:rsidR="002D31E4" w:rsidRPr="00254B2D" w:rsidRDefault="002D31E4" w:rsidP="002D31E4">
      <w:pPr>
        <w:rPr>
          <w:b/>
          <w:color w:val="auto"/>
        </w:rPr>
      </w:pPr>
      <w:r w:rsidRPr="00254B2D">
        <w:rPr>
          <w:b/>
          <w:color w:val="auto"/>
        </w:rPr>
        <w:t xml:space="preserve">Switch from other basal insulins to </w:t>
      </w:r>
      <w:proofErr w:type="spellStart"/>
      <w:r w:rsidRPr="00254B2D">
        <w:rPr>
          <w:b/>
          <w:color w:val="auto"/>
        </w:rPr>
        <w:t>Toujeo</w:t>
      </w:r>
      <w:proofErr w:type="spellEnd"/>
    </w:p>
    <w:p w:rsidR="002D31E4" w:rsidRPr="00254B2D" w:rsidRDefault="002D31E4" w:rsidP="002D31E4">
      <w:pPr>
        <w:rPr>
          <w:color w:val="auto"/>
        </w:rPr>
      </w:pPr>
      <w:r w:rsidRPr="00254B2D">
        <w:rPr>
          <w:color w:val="auto"/>
        </w:rPr>
        <w:t xml:space="preserve">When switching from a treatment regimen with an intermediate or long-acting insulin to a regimen with </w:t>
      </w:r>
      <w:proofErr w:type="spellStart"/>
      <w:r w:rsidRPr="00254B2D">
        <w:rPr>
          <w:color w:val="auto"/>
        </w:rPr>
        <w:t>Toujeo</w:t>
      </w:r>
      <w:proofErr w:type="spellEnd"/>
      <w:r w:rsidRPr="00254B2D">
        <w:rPr>
          <w:color w:val="auto"/>
        </w:rPr>
        <w:t>, a change of the dose of the basal insulin may be required and the concomitant anti-</w:t>
      </w:r>
      <w:proofErr w:type="spellStart"/>
      <w:r w:rsidRPr="00254B2D">
        <w:rPr>
          <w:color w:val="auto"/>
        </w:rPr>
        <w:t>hyperglycaemic</w:t>
      </w:r>
      <w:proofErr w:type="spellEnd"/>
      <w:r w:rsidRPr="00254B2D">
        <w:rPr>
          <w:color w:val="auto"/>
        </w:rPr>
        <w:t xml:space="preserve"> treatment may need to be adjusted (dose and timing of additional regular insulins or fast-acting insulin analogues or the dose of non-insulin anti-</w:t>
      </w:r>
      <w:proofErr w:type="spellStart"/>
      <w:r w:rsidRPr="00254B2D">
        <w:rPr>
          <w:color w:val="auto"/>
        </w:rPr>
        <w:t>hyperglycaemic</w:t>
      </w:r>
      <w:proofErr w:type="spellEnd"/>
      <w:r w:rsidRPr="00254B2D">
        <w:rPr>
          <w:color w:val="auto"/>
        </w:rPr>
        <w:t xml:space="preserve"> medicinal products).</w:t>
      </w:r>
    </w:p>
    <w:p w:rsidR="002D31E4" w:rsidRPr="00254B2D" w:rsidRDefault="002D31E4" w:rsidP="0098353A">
      <w:pPr>
        <w:pStyle w:val="ListBulletLevel1"/>
        <w:numPr>
          <w:ilvl w:val="0"/>
          <w:numId w:val="15"/>
        </w:numPr>
        <w:rPr>
          <w:color w:val="auto"/>
        </w:rPr>
      </w:pPr>
      <w:r w:rsidRPr="00254B2D">
        <w:rPr>
          <w:color w:val="auto"/>
        </w:rPr>
        <w:t xml:space="preserve">Switching from once-daily basal insulins to once-daily </w:t>
      </w:r>
      <w:proofErr w:type="spellStart"/>
      <w:r w:rsidRPr="00254B2D">
        <w:rPr>
          <w:color w:val="auto"/>
        </w:rPr>
        <w:t>Toujeo</w:t>
      </w:r>
      <w:proofErr w:type="spellEnd"/>
      <w:r w:rsidRPr="00254B2D">
        <w:rPr>
          <w:color w:val="auto"/>
        </w:rPr>
        <w:t xml:space="preserve"> can be done unit-to-unit based on the previous basal insulin dose</w:t>
      </w:r>
    </w:p>
    <w:p w:rsidR="00B109DA" w:rsidRPr="00355FE2" w:rsidRDefault="00B109DA" w:rsidP="00355FE2">
      <w:pPr>
        <w:pStyle w:val="ListBulletLevel1"/>
        <w:numPr>
          <w:ilvl w:val="0"/>
          <w:numId w:val="16"/>
        </w:numPr>
        <w:rPr>
          <w:color w:val="auto"/>
        </w:rPr>
      </w:pPr>
      <w:r w:rsidRPr="00254B2D">
        <w:rPr>
          <w:color w:val="auto"/>
        </w:rPr>
        <w:t xml:space="preserve">Switching from twice-daily basal insulins to once-daily </w:t>
      </w:r>
      <w:proofErr w:type="spellStart"/>
      <w:r w:rsidRPr="00254B2D">
        <w:rPr>
          <w:color w:val="auto"/>
        </w:rPr>
        <w:t>Toujeo</w:t>
      </w:r>
      <w:proofErr w:type="spellEnd"/>
      <w:r w:rsidRPr="00254B2D">
        <w:rPr>
          <w:color w:val="auto"/>
        </w:rPr>
        <w:t xml:space="preserve">, the recommended initial </w:t>
      </w:r>
      <w:proofErr w:type="spellStart"/>
      <w:r w:rsidRPr="00254B2D">
        <w:rPr>
          <w:color w:val="auto"/>
        </w:rPr>
        <w:t>Toujeo</w:t>
      </w:r>
      <w:proofErr w:type="spellEnd"/>
      <w:r w:rsidRPr="00254B2D">
        <w:rPr>
          <w:color w:val="auto"/>
        </w:rPr>
        <w:t xml:space="preserve"> dose is 80% of the total daily dose of basal insulin that is being discontinued.</w:t>
      </w:r>
    </w:p>
    <w:p w:rsidR="0013065A" w:rsidRDefault="0013065A" w:rsidP="0013065A">
      <w:r>
        <w:t xml:space="preserve">Patients with high insulin doses because of antibodies to human insulin may experience an improved response with </w:t>
      </w:r>
      <w:proofErr w:type="spellStart"/>
      <w:r>
        <w:t>Toujeo</w:t>
      </w:r>
      <w:proofErr w:type="spellEnd"/>
      <w:r>
        <w:t>.</w:t>
      </w:r>
    </w:p>
    <w:p w:rsidR="0013065A" w:rsidRDefault="0013065A" w:rsidP="0013065A">
      <w:r>
        <w:t>Close metabolic monitoring is recommended during the switch and in the initial weeks thereafter.</w:t>
      </w:r>
    </w:p>
    <w:p w:rsidR="0013065A" w:rsidRDefault="0013065A" w:rsidP="0013065A">
      <w:r>
        <w:t xml:space="preserve">With improved metabolic control and resulting increase in insulin sensitivity a further adjustment in dose regimen may become necessary. Dose adjustment may also be required, for example, if the patient’s weight or life-style changes, if there is a change in the timing of insulin dose or if other circumstances </w:t>
      </w:r>
      <w:proofErr w:type="gramStart"/>
      <w:r>
        <w:t>arise</w:t>
      </w:r>
      <w:proofErr w:type="gramEnd"/>
      <w:r>
        <w:t xml:space="preserve"> that increase susceptibility to hypo- or </w:t>
      </w:r>
      <w:proofErr w:type="spellStart"/>
      <w:r>
        <w:t>hyperglycaemia</w:t>
      </w:r>
      <w:proofErr w:type="spellEnd"/>
      <w:r>
        <w:t xml:space="preserve"> (see Precautions).</w:t>
      </w:r>
    </w:p>
    <w:bookmarkEnd w:id="52"/>
    <w:p w:rsidR="0013065A" w:rsidRPr="0013065A" w:rsidRDefault="0013065A" w:rsidP="00307B39">
      <w:pPr>
        <w:rPr>
          <w:b/>
          <w:color w:val="auto"/>
        </w:rPr>
      </w:pPr>
      <w:r w:rsidRPr="0013065A">
        <w:rPr>
          <w:b/>
          <w:color w:val="auto"/>
        </w:rPr>
        <w:t xml:space="preserve">Switch from </w:t>
      </w:r>
      <w:proofErr w:type="spellStart"/>
      <w:r w:rsidRPr="0013065A">
        <w:rPr>
          <w:b/>
          <w:color w:val="auto"/>
        </w:rPr>
        <w:t>Toujeo</w:t>
      </w:r>
      <w:proofErr w:type="spellEnd"/>
      <w:r w:rsidRPr="0013065A">
        <w:rPr>
          <w:b/>
          <w:color w:val="auto"/>
        </w:rPr>
        <w:t xml:space="preserve"> to other basal insulins</w:t>
      </w:r>
    </w:p>
    <w:p w:rsidR="00307B39" w:rsidRDefault="0013065A" w:rsidP="00307B39">
      <w:pPr>
        <w:rPr>
          <w:color w:val="4F81BD"/>
          <w:u w:val="double"/>
        </w:rPr>
      </w:pPr>
      <w:r>
        <w:rPr>
          <w:color w:val="auto"/>
        </w:rPr>
        <w:t>M</w:t>
      </w:r>
      <w:r w:rsidR="00307B39" w:rsidRPr="00376F5F">
        <w:rPr>
          <w:color w:val="auto"/>
        </w:rPr>
        <w:t xml:space="preserve">edical supervision with close metabolic monitoring is recommended during the transfer and in the initial weeks thereafter. Please refer to the prescribing information of the medicinal product to which the patient is </w:t>
      </w:r>
      <w:r w:rsidR="005A0A02" w:rsidRPr="00254B2D">
        <w:rPr>
          <w:color w:val="auto"/>
        </w:rPr>
        <w:t>switching</w:t>
      </w:r>
      <w:r w:rsidR="00307B39" w:rsidRPr="00254B2D">
        <w:rPr>
          <w:color w:val="auto"/>
        </w:rPr>
        <w:t>.</w:t>
      </w:r>
    </w:p>
    <w:p w:rsidR="0083040A" w:rsidRPr="00027649" w:rsidRDefault="0083040A" w:rsidP="0083040A">
      <w:pPr>
        <w:pStyle w:val="Heading3"/>
        <w:numPr>
          <w:ilvl w:val="0"/>
          <w:numId w:val="0"/>
        </w:numPr>
        <w:ind w:left="680" w:hanging="680"/>
      </w:pPr>
      <w:bookmarkStart w:id="53" w:name="_Toc381269244"/>
      <w:r w:rsidRPr="00027649">
        <w:t>Special population</w:t>
      </w:r>
      <w:bookmarkEnd w:id="53"/>
    </w:p>
    <w:p w:rsidR="0083040A" w:rsidRPr="00027649" w:rsidRDefault="007D2FEA" w:rsidP="00D41857">
      <w:pPr>
        <w:pStyle w:val="Heading3"/>
        <w:numPr>
          <w:ilvl w:val="0"/>
          <w:numId w:val="0"/>
        </w:numPr>
        <w:ind w:left="680" w:hanging="680"/>
      </w:pPr>
      <w:bookmarkStart w:id="54" w:name="_Toc381269245"/>
      <w:r w:rsidRPr="00254B2D">
        <w:t xml:space="preserve">Use in the </w:t>
      </w:r>
      <w:proofErr w:type="gramStart"/>
      <w:r w:rsidRPr="00254B2D">
        <w:t>elderly</w:t>
      </w:r>
      <w:r>
        <w:rPr>
          <w:color w:val="FF0000"/>
        </w:rPr>
        <w:t xml:space="preserve"> </w:t>
      </w:r>
      <w:r w:rsidR="0083040A" w:rsidRPr="00027649">
        <w:t xml:space="preserve"> (</w:t>
      </w:r>
      <w:proofErr w:type="gramEnd"/>
      <w:r w:rsidR="0083040A" w:rsidRPr="00027649">
        <w:t>≥65 years old)</w:t>
      </w:r>
      <w:bookmarkEnd w:id="54"/>
    </w:p>
    <w:p w:rsidR="0083040A" w:rsidRDefault="00BB0644" w:rsidP="0065289A">
      <w:pPr>
        <w:rPr>
          <w:color w:val="auto"/>
        </w:rPr>
      </w:pPr>
      <w:proofErr w:type="spellStart"/>
      <w:r w:rsidRPr="00027649">
        <w:rPr>
          <w:color w:val="auto"/>
        </w:rPr>
        <w:t>Toujeo</w:t>
      </w:r>
      <w:proofErr w:type="spellEnd"/>
      <w:r w:rsidR="00307B39" w:rsidRPr="00027649">
        <w:rPr>
          <w:color w:val="auto"/>
        </w:rPr>
        <w:t xml:space="preserve"> ca</w:t>
      </w:r>
      <w:r w:rsidR="00303259" w:rsidRPr="00027649">
        <w:rPr>
          <w:color w:val="auto"/>
        </w:rPr>
        <w:t>n be used in elderly patients</w:t>
      </w:r>
      <w:r w:rsidR="00307B39" w:rsidRPr="00027649">
        <w:rPr>
          <w:color w:val="auto"/>
        </w:rPr>
        <w:t xml:space="preserve">. In elderly patients with diabetes, it is recommended that the initial dosing, dose increments, and maintenance dosage be conservative to avoid </w:t>
      </w:r>
      <w:proofErr w:type="spellStart"/>
      <w:r w:rsidR="00307B39" w:rsidRPr="00027649">
        <w:rPr>
          <w:color w:val="auto"/>
        </w:rPr>
        <w:t>hypoglycaemic</w:t>
      </w:r>
      <w:proofErr w:type="spellEnd"/>
      <w:r w:rsidR="00307B39" w:rsidRPr="00027649">
        <w:rPr>
          <w:color w:val="auto"/>
        </w:rPr>
        <w:t xml:space="preserve"> reactions. </w:t>
      </w:r>
      <w:proofErr w:type="spellStart"/>
      <w:r w:rsidR="00307B39" w:rsidRPr="00027649">
        <w:rPr>
          <w:color w:val="auto"/>
        </w:rPr>
        <w:t>Hypoglycaemia</w:t>
      </w:r>
      <w:proofErr w:type="spellEnd"/>
      <w:r w:rsidR="00307B39" w:rsidRPr="00027649">
        <w:rPr>
          <w:color w:val="auto"/>
        </w:rPr>
        <w:t xml:space="preserve"> may be difficult to recognize in the elderly </w:t>
      </w:r>
      <w:r w:rsidR="0083040A" w:rsidRPr="00027649">
        <w:rPr>
          <w:color w:val="auto"/>
        </w:rPr>
        <w:t>(see PHARMACOLOGY).</w:t>
      </w:r>
    </w:p>
    <w:p w:rsidR="0083040A" w:rsidRPr="00027649" w:rsidRDefault="0083040A" w:rsidP="00D41857">
      <w:pPr>
        <w:pStyle w:val="Heading3"/>
        <w:numPr>
          <w:ilvl w:val="0"/>
          <w:numId w:val="0"/>
        </w:numPr>
        <w:ind w:left="680" w:hanging="680"/>
      </w:pPr>
      <w:bookmarkStart w:id="55" w:name="_Toc381269246"/>
      <w:r w:rsidRPr="00027649">
        <w:lastRenderedPageBreak/>
        <w:t>Renal impairment</w:t>
      </w:r>
      <w:bookmarkEnd w:id="55"/>
      <w:r w:rsidR="00683182" w:rsidRPr="00027649">
        <w:t xml:space="preserve"> </w:t>
      </w:r>
      <w:r w:rsidR="00847DD1" w:rsidRPr="00027649">
        <w:t>and Hepatic impairment</w:t>
      </w:r>
    </w:p>
    <w:p w:rsidR="00070389" w:rsidRDefault="00BB0644" w:rsidP="0065289A">
      <w:pPr>
        <w:rPr>
          <w:color w:val="auto"/>
        </w:rPr>
      </w:pPr>
      <w:proofErr w:type="spellStart"/>
      <w:r w:rsidRPr="00027649">
        <w:rPr>
          <w:color w:val="auto"/>
        </w:rPr>
        <w:t>Toujeo</w:t>
      </w:r>
      <w:proofErr w:type="spellEnd"/>
      <w:r w:rsidR="00070389" w:rsidRPr="00027649">
        <w:rPr>
          <w:color w:val="auto"/>
        </w:rPr>
        <w:t xml:space="preserve"> can be used in patients with renal</w:t>
      </w:r>
      <w:r w:rsidR="00847DD1" w:rsidRPr="00027649">
        <w:rPr>
          <w:color w:val="auto"/>
        </w:rPr>
        <w:t xml:space="preserve"> and </w:t>
      </w:r>
      <w:r w:rsidR="00541CC9" w:rsidRPr="00027649">
        <w:rPr>
          <w:color w:val="auto"/>
        </w:rPr>
        <w:t>h</w:t>
      </w:r>
      <w:r w:rsidR="001C07A1" w:rsidRPr="00027649">
        <w:rPr>
          <w:color w:val="auto"/>
        </w:rPr>
        <w:t>epatic impairment</w:t>
      </w:r>
      <w:r w:rsidR="00070389" w:rsidRPr="00027649">
        <w:rPr>
          <w:color w:val="auto"/>
        </w:rPr>
        <w:t xml:space="preserve">. </w:t>
      </w:r>
      <w:r w:rsidR="00847DD1" w:rsidRPr="00027649">
        <w:rPr>
          <w:color w:val="auto"/>
        </w:rPr>
        <w:t xml:space="preserve">Careful glucose monitoring and dose adjustment of insulin, including </w:t>
      </w:r>
      <w:proofErr w:type="spellStart"/>
      <w:r w:rsidRPr="00027649">
        <w:rPr>
          <w:color w:val="auto"/>
        </w:rPr>
        <w:t>Toujeo</w:t>
      </w:r>
      <w:proofErr w:type="spellEnd"/>
      <w:r w:rsidR="00847DD1" w:rsidRPr="00027649">
        <w:rPr>
          <w:color w:val="auto"/>
        </w:rPr>
        <w:t xml:space="preserve"> may be necessary in patients with renal and hepatic im</w:t>
      </w:r>
      <w:r w:rsidR="00622222" w:rsidRPr="00027649">
        <w:rPr>
          <w:color w:val="auto"/>
        </w:rPr>
        <w:t xml:space="preserve">pairment </w:t>
      </w:r>
      <w:proofErr w:type="gramStart"/>
      <w:r w:rsidR="00622222" w:rsidRPr="00027649">
        <w:rPr>
          <w:color w:val="auto"/>
        </w:rPr>
        <w:t>( see</w:t>
      </w:r>
      <w:proofErr w:type="gramEnd"/>
      <w:r w:rsidR="00622222" w:rsidRPr="00027649">
        <w:rPr>
          <w:color w:val="auto"/>
        </w:rPr>
        <w:t xml:space="preserve"> PRECAUTIONS)</w:t>
      </w:r>
    </w:p>
    <w:p w:rsidR="0083040A" w:rsidRPr="00027649" w:rsidRDefault="0083040A" w:rsidP="00D41857">
      <w:pPr>
        <w:pStyle w:val="Heading3"/>
        <w:numPr>
          <w:ilvl w:val="0"/>
          <w:numId w:val="0"/>
        </w:numPr>
        <w:ind w:left="680" w:hanging="680"/>
      </w:pPr>
      <w:bookmarkStart w:id="56" w:name="_Toc381269248"/>
      <w:proofErr w:type="spellStart"/>
      <w:r w:rsidRPr="00027649">
        <w:t>Paediatric</w:t>
      </w:r>
      <w:proofErr w:type="spellEnd"/>
      <w:r w:rsidRPr="00027649">
        <w:t xml:space="preserve"> population</w:t>
      </w:r>
      <w:bookmarkEnd w:id="56"/>
    </w:p>
    <w:p w:rsidR="0083040A" w:rsidRPr="00027649" w:rsidRDefault="0083040A" w:rsidP="0083040A">
      <w:pPr>
        <w:rPr>
          <w:color w:val="auto"/>
        </w:rPr>
      </w:pPr>
      <w:r w:rsidRPr="00027649">
        <w:rPr>
          <w:color w:val="auto"/>
        </w:rPr>
        <w:t xml:space="preserve">Safety and efficacy of </w:t>
      </w:r>
      <w:proofErr w:type="spellStart"/>
      <w:r w:rsidR="00BB0644" w:rsidRPr="00027649">
        <w:rPr>
          <w:color w:val="auto"/>
        </w:rPr>
        <w:t>Toujeo</w:t>
      </w:r>
      <w:proofErr w:type="spellEnd"/>
      <w:r w:rsidRPr="00027649">
        <w:rPr>
          <w:color w:val="auto"/>
        </w:rPr>
        <w:t xml:space="preserve"> have not been established in children and adolescents below the age of 18 years.</w:t>
      </w:r>
    </w:p>
    <w:p w:rsidR="003020BF" w:rsidRPr="00ED3BEB" w:rsidRDefault="003020BF" w:rsidP="00ED3BEB">
      <w:pPr>
        <w:pStyle w:val="Heading1"/>
        <w:pageBreakBefore w:val="0"/>
        <w:numPr>
          <w:ilvl w:val="0"/>
          <w:numId w:val="0"/>
        </w:numPr>
        <w:ind w:left="680" w:hanging="680"/>
      </w:pPr>
      <w:bookmarkStart w:id="57" w:name="_Toc381269249"/>
      <w:r w:rsidRPr="00ED3BEB">
        <w:t>overdosage</w:t>
      </w:r>
      <w:bookmarkEnd w:id="57"/>
    </w:p>
    <w:p w:rsidR="00BB1FFB" w:rsidRPr="00A121E8" w:rsidRDefault="00BB1FFB" w:rsidP="00BB1FFB">
      <w:pPr>
        <w:pStyle w:val="Heading2"/>
        <w:numPr>
          <w:ilvl w:val="0"/>
          <w:numId w:val="0"/>
        </w:numPr>
        <w:ind w:left="680" w:hanging="680"/>
      </w:pPr>
      <w:bookmarkStart w:id="58" w:name="_Toc381269250"/>
      <w:r w:rsidRPr="00A121E8">
        <w:t>Symptoms</w:t>
      </w:r>
      <w:bookmarkEnd w:id="58"/>
    </w:p>
    <w:p w:rsidR="00BB1FFB" w:rsidRPr="00A121E8" w:rsidRDefault="00BB1FFB" w:rsidP="00BB1FFB">
      <w:pPr>
        <w:rPr>
          <w:color w:val="auto"/>
        </w:rPr>
      </w:pPr>
      <w:r w:rsidRPr="00A121E8">
        <w:rPr>
          <w:color w:val="auto"/>
        </w:rPr>
        <w:t xml:space="preserve">Insulin overdose may lead to severe and sometimes long-term and life-threatening </w:t>
      </w:r>
      <w:proofErr w:type="spellStart"/>
      <w:r w:rsidRPr="00A121E8">
        <w:rPr>
          <w:color w:val="auto"/>
        </w:rPr>
        <w:t>hypoglycaemia</w:t>
      </w:r>
      <w:proofErr w:type="spellEnd"/>
      <w:r w:rsidRPr="00A121E8">
        <w:rPr>
          <w:color w:val="auto"/>
        </w:rPr>
        <w:t>.</w:t>
      </w:r>
      <w:r w:rsidR="009057E9" w:rsidRPr="00A121E8">
        <w:rPr>
          <w:color w:val="auto"/>
        </w:rPr>
        <w:t xml:space="preserve"> </w:t>
      </w:r>
    </w:p>
    <w:p w:rsidR="00BB1FFB" w:rsidRPr="00A121E8" w:rsidRDefault="00BB1FFB" w:rsidP="00ED1CE2">
      <w:pPr>
        <w:pStyle w:val="Heading2"/>
        <w:numPr>
          <w:ilvl w:val="0"/>
          <w:numId w:val="0"/>
        </w:numPr>
        <w:ind w:left="680" w:hanging="680"/>
      </w:pPr>
      <w:bookmarkStart w:id="59" w:name="_Toc381269251"/>
      <w:r w:rsidRPr="00A121E8">
        <w:t>Management</w:t>
      </w:r>
      <w:bookmarkEnd w:id="59"/>
    </w:p>
    <w:p w:rsidR="00ED1CE2" w:rsidRPr="00A121E8" w:rsidRDefault="00ED1CE2" w:rsidP="00ED1CE2">
      <w:pPr>
        <w:rPr>
          <w:color w:val="auto"/>
        </w:rPr>
      </w:pPr>
      <w:r w:rsidRPr="00A121E8">
        <w:rPr>
          <w:color w:val="auto"/>
        </w:rPr>
        <w:t xml:space="preserve">Mild episodes of </w:t>
      </w:r>
      <w:proofErr w:type="spellStart"/>
      <w:r w:rsidRPr="00A121E8">
        <w:rPr>
          <w:color w:val="auto"/>
        </w:rPr>
        <w:t>hypoglycaemia</w:t>
      </w:r>
      <w:proofErr w:type="spellEnd"/>
      <w:r w:rsidRPr="00A121E8">
        <w:rPr>
          <w:color w:val="auto"/>
        </w:rPr>
        <w:t xml:space="preserve"> can usually be treated with oral carbohydrates. Adjustments in dose of the medicinal product, meal patterns, or physical activity may be needed.</w:t>
      </w:r>
    </w:p>
    <w:p w:rsidR="00ED1CE2" w:rsidRPr="00A121E8" w:rsidRDefault="00ED1CE2" w:rsidP="00ED1CE2">
      <w:pPr>
        <w:rPr>
          <w:color w:val="auto"/>
        </w:rPr>
      </w:pPr>
      <w:r w:rsidRPr="00A121E8">
        <w:rPr>
          <w:color w:val="auto"/>
        </w:rPr>
        <w:t xml:space="preserve">More severe episodes with coma, seizure, or neurologic impairment may be treated with intramuscular/subcutaneous glucagon or concentrated intravenous glucose. Sustained carbohydrate intake and observation may be necessary because </w:t>
      </w:r>
      <w:proofErr w:type="spellStart"/>
      <w:r w:rsidRPr="00A121E8">
        <w:rPr>
          <w:color w:val="auto"/>
        </w:rPr>
        <w:t>hypoglycaemia</w:t>
      </w:r>
      <w:proofErr w:type="spellEnd"/>
      <w:r w:rsidRPr="00A121E8">
        <w:rPr>
          <w:color w:val="auto"/>
        </w:rPr>
        <w:t xml:space="preserve"> may recur after apparent clinical recovery.</w:t>
      </w:r>
    </w:p>
    <w:p w:rsidR="003020BF" w:rsidRDefault="003020BF" w:rsidP="003020BF">
      <w:pPr>
        <w:rPr>
          <w:color w:val="auto"/>
        </w:rPr>
      </w:pPr>
      <w:r w:rsidRPr="00A121E8">
        <w:rPr>
          <w:color w:val="auto"/>
        </w:rPr>
        <w:t xml:space="preserve">For information on </w:t>
      </w:r>
      <w:r w:rsidRPr="00505624">
        <w:rPr>
          <w:color w:val="auto"/>
        </w:rPr>
        <w:t>the management of overdose, contact the Poison Information Centre on 131126.</w:t>
      </w:r>
      <w:r w:rsidR="009F38E2" w:rsidRPr="00505624">
        <w:rPr>
          <w:color w:val="auto"/>
          <w:sz w:val="23"/>
          <w:szCs w:val="23"/>
        </w:rPr>
        <w:t xml:space="preserve"> </w:t>
      </w:r>
      <w:proofErr w:type="gramStart"/>
      <w:r w:rsidR="009F38E2" w:rsidRPr="00505624">
        <w:rPr>
          <w:color w:val="auto"/>
        </w:rPr>
        <w:t>or</w:t>
      </w:r>
      <w:proofErr w:type="gramEnd"/>
      <w:r w:rsidR="009F38E2" w:rsidRPr="00505624">
        <w:rPr>
          <w:color w:val="auto"/>
        </w:rPr>
        <w:t xml:space="preserve"> the New Zealand National Poisons Information Centre (telephone 0800 POISON or 0800 764 766) for advice on overdose management.</w:t>
      </w:r>
    </w:p>
    <w:p w:rsidR="00DA17AE" w:rsidRDefault="00DA17AE" w:rsidP="003020BF">
      <w:pPr>
        <w:rPr>
          <w:color w:val="984806"/>
        </w:rPr>
      </w:pPr>
    </w:p>
    <w:p w:rsidR="00153CE9" w:rsidRPr="00505624" w:rsidRDefault="003020BF" w:rsidP="00153CE9">
      <w:pPr>
        <w:pStyle w:val="Heading1"/>
        <w:pageBreakBefore w:val="0"/>
        <w:numPr>
          <w:ilvl w:val="0"/>
          <w:numId w:val="0"/>
        </w:numPr>
      </w:pPr>
      <w:bookmarkStart w:id="60" w:name="_Toc381269252"/>
      <w:r w:rsidRPr="00505624">
        <w:lastRenderedPageBreak/>
        <w:t>presentation and storage conditions</w:t>
      </w:r>
      <w:bookmarkEnd w:id="60"/>
    </w:p>
    <w:p w:rsidR="00DB65E8" w:rsidRPr="00505624" w:rsidRDefault="002006FE" w:rsidP="00DB65E8">
      <w:pPr>
        <w:pStyle w:val="Heading6"/>
        <w:numPr>
          <w:ilvl w:val="0"/>
          <w:numId w:val="0"/>
        </w:numPr>
        <w:tabs>
          <w:tab w:val="left" w:pos="0"/>
        </w:tabs>
        <w:rPr>
          <w:rFonts w:ascii="Times New Roman" w:hAnsi="Times New Roman" w:cs="Times New Roman"/>
          <w:sz w:val="24"/>
          <w:szCs w:val="24"/>
        </w:rPr>
      </w:pPr>
      <w:proofErr w:type="spellStart"/>
      <w:r w:rsidRPr="00505624">
        <w:rPr>
          <w:rFonts w:ascii="Times New Roman" w:hAnsi="Times New Roman" w:cs="Times New Roman"/>
          <w:sz w:val="24"/>
          <w:szCs w:val="24"/>
        </w:rPr>
        <w:t>Toujeo</w:t>
      </w:r>
      <w:proofErr w:type="spellEnd"/>
      <w:r w:rsidR="009864E0" w:rsidRPr="00505624">
        <w:rPr>
          <w:rFonts w:ascii="Times New Roman" w:hAnsi="Times New Roman" w:cs="Times New Roman"/>
          <w:sz w:val="24"/>
          <w:szCs w:val="24"/>
        </w:rPr>
        <w:t xml:space="preserve"> </w:t>
      </w:r>
      <w:r w:rsidR="006A1C9C" w:rsidRPr="00505624">
        <w:rPr>
          <w:rFonts w:ascii="Times New Roman" w:hAnsi="Times New Roman" w:cs="Times New Roman"/>
          <w:sz w:val="24"/>
          <w:szCs w:val="24"/>
        </w:rPr>
        <w:t>(</w:t>
      </w:r>
      <w:r w:rsidR="004A27E8">
        <w:rPr>
          <w:rFonts w:ascii="Times New Roman" w:hAnsi="Times New Roman" w:cs="Times New Roman"/>
          <w:sz w:val="24"/>
          <w:szCs w:val="24"/>
        </w:rPr>
        <w:t xml:space="preserve">300 </w:t>
      </w:r>
      <w:r w:rsidR="006B2D88">
        <w:rPr>
          <w:rFonts w:ascii="Times New Roman" w:hAnsi="Times New Roman" w:cs="Times New Roman"/>
          <w:sz w:val="24"/>
          <w:szCs w:val="24"/>
        </w:rPr>
        <w:t>units</w:t>
      </w:r>
      <w:r w:rsidR="00037EA0" w:rsidRPr="00505624">
        <w:rPr>
          <w:rFonts w:ascii="Times New Roman" w:hAnsi="Times New Roman" w:cs="Times New Roman"/>
          <w:sz w:val="24"/>
          <w:szCs w:val="24"/>
        </w:rPr>
        <w:t>/</w:t>
      </w:r>
      <w:r w:rsidR="00156455">
        <w:rPr>
          <w:rFonts w:ascii="Times New Roman" w:hAnsi="Times New Roman" w:cs="Times New Roman"/>
          <w:sz w:val="24"/>
          <w:szCs w:val="24"/>
        </w:rPr>
        <w:t>mL</w:t>
      </w:r>
      <w:r w:rsidR="006A1C9C" w:rsidRPr="00505624">
        <w:rPr>
          <w:rFonts w:ascii="Times New Roman" w:hAnsi="Times New Roman" w:cs="Times New Roman"/>
          <w:sz w:val="24"/>
          <w:szCs w:val="24"/>
        </w:rPr>
        <w:t>)</w:t>
      </w:r>
      <w:r w:rsidR="009864E0" w:rsidRPr="00505624">
        <w:rPr>
          <w:rFonts w:ascii="Times New Roman" w:hAnsi="Times New Roman" w:cs="Times New Roman"/>
          <w:sz w:val="24"/>
          <w:szCs w:val="24"/>
        </w:rPr>
        <w:t xml:space="preserve"> is</w:t>
      </w:r>
      <w:r w:rsidR="005E719D" w:rsidRPr="00505624">
        <w:rPr>
          <w:rFonts w:ascii="Times New Roman" w:hAnsi="Times New Roman" w:cs="Times New Roman"/>
          <w:sz w:val="24"/>
          <w:szCs w:val="24"/>
        </w:rPr>
        <w:t xml:space="preserve"> available in </w:t>
      </w:r>
      <w:r w:rsidR="009864E0" w:rsidRPr="00505624">
        <w:rPr>
          <w:rFonts w:ascii="Times New Roman" w:hAnsi="Times New Roman" w:cs="Times New Roman"/>
          <w:sz w:val="24"/>
          <w:szCs w:val="24"/>
        </w:rPr>
        <w:t xml:space="preserve">a </w:t>
      </w:r>
      <w:proofErr w:type="spellStart"/>
      <w:r w:rsidR="009864E0" w:rsidRPr="00505624">
        <w:rPr>
          <w:rFonts w:ascii="Times New Roman" w:hAnsi="Times New Roman" w:cs="Times New Roman"/>
          <w:sz w:val="24"/>
          <w:szCs w:val="24"/>
        </w:rPr>
        <w:t>Solostar</w:t>
      </w:r>
      <w:proofErr w:type="spellEnd"/>
      <w:r w:rsidR="009864E0" w:rsidRPr="00505624">
        <w:rPr>
          <w:rFonts w:ascii="Times New Roman" w:hAnsi="Times New Roman" w:cs="Times New Roman"/>
          <w:sz w:val="24"/>
          <w:szCs w:val="24"/>
        </w:rPr>
        <w:t xml:space="preserve"> pre-filled pen. The </w:t>
      </w:r>
      <w:r w:rsidR="00541CC9" w:rsidRPr="00505624">
        <w:rPr>
          <w:rFonts w:ascii="Times New Roman" w:hAnsi="Times New Roman" w:cs="Times New Roman"/>
          <w:sz w:val="24"/>
          <w:szCs w:val="24"/>
        </w:rPr>
        <w:t>1.</w:t>
      </w:r>
      <w:r w:rsidR="009C3EE0">
        <w:rPr>
          <w:rFonts w:ascii="Times New Roman" w:hAnsi="Times New Roman" w:cs="Times New Roman"/>
          <w:sz w:val="24"/>
          <w:szCs w:val="24"/>
        </w:rPr>
        <w:t>5</w:t>
      </w:r>
      <w:r w:rsidR="00156455">
        <w:rPr>
          <w:rFonts w:ascii="Times New Roman" w:hAnsi="Times New Roman" w:cs="Times New Roman"/>
          <w:sz w:val="24"/>
          <w:szCs w:val="24"/>
        </w:rPr>
        <w:t>mL</w:t>
      </w:r>
      <w:r w:rsidR="009864E0" w:rsidRPr="00505624">
        <w:rPr>
          <w:rFonts w:ascii="Times New Roman" w:hAnsi="Times New Roman" w:cs="Times New Roman"/>
          <w:sz w:val="24"/>
          <w:szCs w:val="24"/>
        </w:rPr>
        <w:t xml:space="preserve"> </w:t>
      </w:r>
      <w:r w:rsidR="004C711C" w:rsidRPr="00505624">
        <w:rPr>
          <w:rFonts w:ascii="Times New Roman" w:hAnsi="Times New Roman" w:cs="Times New Roman"/>
          <w:sz w:val="24"/>
          <w:szCs w:val="24"/>
        </w:rPr>
        <w:t>cartridge</w:t>
      </w:r>
      <w:r w:rsidR="009864E0" w:rsidRPr="00505624">
        <w:rPr>
          <w:rFonts w:ascii="Times New Roman" w:hAnsi="Times New Roman" w:cs="Times New Roman"/>
          <w:sz w:val="24"/>
          <w:szCs w:val="24"/>
        </w:rPr>
        <w:t xml:space="preserve"> is sealed in </w:t>
      </w:r>
      <w:r w:rsidR="00622222" w:rsidRPr="00505624">
        <w:rPr>
          <w:rFonts w:ascii="Times New Roman" w:hAnsi="Times New Roman" w:cs="Times New Roman"/>
          <w:sz w:val="24"/>
          <w:szCs w:val="24"/>
        </w:rPr>
        <w:t xml:space="preserve">a </w:t>
      </w:r>
      <w:r w:rsidR="009864E0" w:rsidRPr="00505624">
        <w:rPr>
          <w:rFonts w:ascii="Times New Roman" w:hAnsi="Times New Roman" w:cs="Times New Roman"/>
          <w:sz w:val="24"/>
          <w:szCs w:val="24"/>
        </w:rPr>
        <w:t xml:space="preserve">disposal pen injector. </w:t>
      </w:r>
    </w:p>
    <w:p w:rsidR="00153CE9" w:rsidRPr="00505624" w:rsidRDefault="009C3EE0" w:rsidP="00153CE9">
      <w:pPr>
        <w:rPr>
          <w:color w:val="auto"/>
        </w:rPr>
      </w:pPr>
      <w:r>
        <w:rPr>
          <w:color w:val="auto"/>
        </w:rPr>
        <w:t xml:space="preserve">1.5 </w:t>
      </w:r>
      <w:r w:rsidR="00156455">
        <w:rPr>
          <w:color w:val="auto"/>
        </w:rPr>
        <w:t>mL</w:t>
      </w:r>
      <w:r w:rsidR="00153CE9" w:rsidRPr="00505624">
        <w:rPr>
          <w:color w:val="auto"/>
        </w:rPr>
        <w:t xml:space="preserve"> solution in a cartridge (type 1 </w:t>
      </w:r>
      <w:proofErr w:type="spellStart"/>
      <w:r w:rsidR="00153CE9" w:rsidRPr="00505624">
        <w:rPr>
          <w:color w:val="auto"/>
        </w:rPr>
        <w:t>colourless</w:t>
      </w:r>
      <w:proofErr w:type="spellEnd"/>
      <w:r w:rsidR="00153CE9" w:rsidRPr="00505624">
        <w:rPr>
          <w:color w:val="auto"/>
        </w:rPr>
        <w:t xml:space="preserve"> glass) with a black plunger (</w:t>
      </w:r>
      <w:proofErr w:type="spellStart"/>
      <w:r w:rsidR="00153CE9" w:rsidRPr="00505624">
        <w:rPr>
          <w:color w:val="auto"/>
        </w:rPr>
        <w:t>bromobutyl</w:t>
      </w:r>
      <w:proofErr w:type="spellEnd"/>
      <w:r w:rsidR="00153CE9" w:rsidRPr="00505624">
        <w:rPr>
          <w:color w:val="auto"/>
        </w:rPr>
        <w:t xml:space="preserve"> rubber) and a flanged cap (</w:t>
      </w:r>
      <w:proofErr w:type="spellStart"/>
      <w:r w:rsidR="00153CE9" w:rsidRPr="00505624">
        <w:rPr>
          <w:color w:val="auto"/>
        </w:rPr>
        <w:t>aluminium</w:t>
      </w:r>
      <w:proofErr w:type="spellEnd"/>
      <w:r w:rsidR="00153CE9" w:rsidRPr="00505624">
        <w:rPr>
          <w:color w:val="auto"/>
        </w:rPr>
        <w:t xml:space="preserve">) with a stopper (laminate of isoprene and </w:t>
      </w:r>
      <w:proofErr w:type="spellStart"/>
      <w:r w:rsidR="00153CE9" w:rsidRPr="00505624">
        <w:rPr>
          <w:color w:val="auto"/>
        </w:rPr>
        <w:t>bromobutyl</w:t>
      </w:r>
      <w:proofErr w:type="spellEnd"/>
      <w:r w:rsidR="00153CE9" w:rsidRPr="00505624">
        <w:rPr>
          <w:color w:val="auto"/>
        </w:rPr>
        <w:t xml:space="preserve"> rubber).</w:t>
      </w:r>
      <w:r w:rsidR="00037EA0" w:rsidRPr="00505624">
        <w:rPr>
          <w:color w:val="auto"/>
        </w:rPr>
        <w:t xml:space="preserve"> </w:t>
      </w:r>
      <w:r w:rsidR="00153CE9" w:rsidRPr="00505624">
        <w:rPr>
          <w:color w:val="auto"/>
        </w:rPr>
        <w:t>Needles are not included in the pack.</w:t>
      </w:r>
    </w:p>
    <w:p w:rsidR="00153CE9" w:rsidRDefault="00153CE9" w:rsidP="00153CE9">
      <w:pPr>
        <w:rPr>
          <w:color w:val="auto"/>
        </w:rPr>
      </w:pPr>
      <w:r w:rsidRPr="00505624">
        <w:rPr>
          <w:color w:val="auto"/>
        </w:rPr>
        <w:t xml:space="preserve">Packs of </w:t>
      </w:r>
      <w:r w:rsidR="00B96DF4" w:rsidRPr="00505624">
        <w:rPr>
          <w:color w:val="auto"/>
        </w:rPr>
        <w:t xml:space="preserve">1, </w:t>
      </w:r>
      <w:r w:rsidRPr="00505624">
        <w:rPr>
          <w:color w:val="auto"/>
        </w:rPr>
        <w:t>3 and 5 pens are available. Not all pack sizes may be marketed.</w:t>
      </w:r>
    </w:p>
    <w:p w:rsidR="00C663CA" w:rsidRPr="00875823" w:rsidRDefault="00C663CA" w:rsidP="00D41857">
      <w:pPr>
        <w:pStyle w:val="Heading3"/>
        <w:numPr>
          <w:ilvl w:val="0"/>
          <w:numId w:val="0"/>
        </w:numPr>
        <w:ind w:left="680" w:hanging="680"/>
        <w:rPr>
          <w:u w:val="single"/>
        </w:rPr>
      </w:pPr>
      <w:r w:rsidRPr="00875823">
        <w:rPr>
          <w:u w:val="single"/>
        </w:rPr>
        <w:t>Unopened/not in use pre-filled pen:</w:t>
      </w:r>
    </w:p>
    <w:p w:rsidR="00C663CA" w:rsidRPr="00505624" w:rsidRDefault="00BB0644" w:rsidP="00C663CA">
      <w:pPr>
        <w:rPr>
          <w:color w:val="auto"/>
        </w:rPr>
      </w:pPr>
      <w:proofErr w:type="spellStart"/>
      <w:r w:rsidRPr="00505624">
        <w:rPr>
          <w:color w:val="auto"/>
        </w:rPr>
        <w:t>Toujeo</w:t>
      </w:r>
      <w:proofErr w:type="spellEnd"/>
      <w:r w:rsidR="00C663CA" w:rsidRPr="00505624">
        <w:rPr>
          <w:color w:val="auto"/>
        </w:rPr>
        <w:t xml:space="preserve"> mu</w:t>
      </w:r>
      <w:r w:rsidR="009057E9" w:rsidRPr="00505624">
        <w:rPr>
          <w:color w:val="auto"/>
        </w:rPr>
        <w:t xml:space="preserve">st be stored between +2°C and +8 °C </w:t>
      </w:r>
      <w:r w:rsidR="00C663CA" w:rsidRPr="00505624">
        <w:rPr>
          <w:color w:val="auto"/>
        </w:rPr>
        <w:t xml:space="preserve">(in a refrigerator) and protected from light. </w:t>
      </w:r>
      <w:r w:rsidR="002C06AB" w:rsidRPr="00505624">
        <w:rPr>
          <w:color w:val="auto"/>
        </w:rPr>
        <w:t xml:space="preserve"> </w:t>
      </w:r>
      <w:r w:rsidR="00C663CA" w:rsidRPr="00505624">
        <w:rPr>
          <w:color w:val="auto"/>
        </w:rPr>
        <w:t xml:space="preserve">Do not allow the insulin to freeze, discard if frozen. </w:t>
      </w:r>
    </w:p>
    <w:p w:rsidR="00C663CA" w:rsidRPr="00505624" w:rsidRDefault="00C663CA" w:rsidP="00C663CA">
      <w:pPr>
        <w:rPr>
          <w:color w:val="auto"/>
        </w:rPr>
      </w:pPr>
      <w:r w:rsidRPr="00505624">
        <w:rPr>
          <w:color w:val="auto"/>
        </w:rPr>
        <w:t xml:space="preserve">Do not put </w:t>
      </w:r>
      <w:proofErr w:type="spellStart"/>
      <w:r w:rsidR="00BB0644" w:rsidRPr="00505624">
        <w:rPr>
          <w:color w:val="auto"/>
        </w:rPr>
        <w:t>Toujeo</w:t>
      </w:r>
      <w:proofErr w:type="spellEnd"/>
      <w:r w:rsidRPr="00505624">
        <w:rPr>
          <w:color w:val="auto"/>
        </w:rPr>
        <w:t xml:space="preserve"> next to the freezer compartment or a freezer pack.</w:t>
      </w:r>
    </w:p>
    <w:p w:rsidR="00C663CA" w:rsidRPr="00875823" w:rsidRDefault="00C663CA" w:rsidP="00D41857">
      <w:pPr>
        <w:pStyle w:val="Heading3"/>
        <w:numPr>
          <w:ilvl w:val="0"/>
          <w:numId w:val="0"/>
        </w:numPr>
        <w:ind w:left="680" w:hanging="680"/>
        <w:rPr>
          <w:u w:val="single"/>
        </w:rPr>
      </w:pPr>
      <w:r w:rsidRPr="00875823">
        <w:rPr>
          <w:u w:val="single"/>
        </w:rPr>
        <w:t xml:space="preserve">Opened/in use: </w:t>
      </w:r>
    </w:p>
    <w:p w:rsidR="00C663CA" w:rsidRPr="00505624" w:rsidRDefault="00C663CA" w:rsidP="00CC74A1">
      <w:pPr>
        <w:rPr>
          <w:color w:val="auto"/>
        </w:rPr>
      </w:pPr>
      <w:r w:rsidRPr="00505624">
        <w:rPr>
          <w:color w:val="auto"/>
        </w:rPr>
        <w:t>Do not allow the insulin to freeze, discard if frozen.</w:t>
      </w:r>
    </w:p>
    <w:p w:rsidR="00254B2D" w:rsidRDefault="00C663CA" w:rsidP="00CC74A1">
      <w:pPr>
        <w:rPr>
          <w:color w:val="auto"/>
        </w:rPr>
      </w:pPr>
      <w:r w:rsidRPr="00505624">
        <w:rPr>
          <w:color w:val="auto"/>
        </w:rPr>
        <w:t xml:space="preserve">Opened pre-filled pen must be discarded after </w:t>
      </w:r>
      <w:r w:rsidR="00972CB7" w:rsidRPr="006F2A30">
        <w:rPr>
          <w:color w:val="auto"/>
        </w:rPr>
        <w:t xml:space="preserve">28 </w:t>
      </w:r>
      <w:r w:rsidRPr="006F2A30">
        <w:rPr>
          <w:color w:val="auto"/>
        </w:rPr>
        <w:t xml:space="preserve">days </w:t>
      </w:r>
      <w:proofErr w:type="gramStart"/>
      <w:r w:rsidRPr="006F2A30">
        <w:rPr>
          <w:color w:val="auto"/>
        </w:rPr>
        <w:t xml:space="preserve">( </w:t>
      </w:r>
      <w:r w:rsidR="00972CB7" w:rsidRPr="006F2A30">
        <w:rPr>
          <w:color w:val="auto"/>
        </w:rPr>
        <w:t>4</w:t>
      </w:r>
      <w:proofErr w:type="gramEnd"/>
      <w:r w:rsidR="00972CB7" w:rsidRPr="0061208A">
        <w:rPr>
          <w:color w:val="1F497D"/>
        </w:rPr>
        <w:t xml:space="preserve"> </w:t>
      </w:r>
      <w:r w:rsidRPr="00505624">
        <w:rPr>
          <w:color w:val="auto"/>
        </w:rPr>
        <w:t xml:space="preserve">weeks) from the first use. The open pre-filled pen of </w:t>
      </w:r>
      <w:proofErr w:type="spellStart"/>
      <w:r w:rsidR="00BB0644" w:rsidRPr="00505624">
        <w:rPr>
          <w:color w:val="auto"/>
        </w:rPr>
        <w:t>Toujeo</w:t>
      </w:r>
      <w:proofErr w:type="spellEnd"/>
      <w:r w:rsidRPr="00505624">
        <w:rPr>
          <w:color w:val="auto"/>
        </w:rPr>
        <w:t xml:space="preserve"> should be kept away from direct heat and light, at room</w:t>
      </w:r>
      <w:r w:rsidR="00622222" w:rsidRPr="00505624">
        <w:rPr>
          <w:color w:val="auto"/>
        </w:rPr>
        <w:t xml:space="preserve"> temperature (below 30°</w:t>
      </w:r>
      <w:r w:rsidR="009310E5" w:rsidRPr="00505624">
        <w:rPr>
          <w:color w:val="auto"/>
        </w:rPr>
        <w:t>C</w:t>
      </w:r>
      <w:r w:rsidR="00541CC9" w:rsidRPr="00505624">
        <w:rPr>
          <w:color w:val="auto"/>
        </w:rPr>
        <w:t>)</w:t>
      </w:r>
      <w:r w:rsidR="009310E5" w:rsidRPr="00505624">
        <w:rPr>
          <w:color w:val="auto"/>
        </w:rPr>
        <w:t>.</w:t>
      </w:r>
    </w:p>
    <w:p w:rsidR="00C663CA" w:rsidRPr="00505624" w:rsidRDefault="004E16DC" w:rsidP="00CC74A1">
      <w:pPr>
        <w:rPr>
          <w:color w:val="auto"/>
        </w:rPr>
      </w:pPr>
      <w:r w:rsidRPr="00505624">
        <w:rPr>
          <w:color w:val="auto"/>
        </w:rPr>
        <w:t>These storage conditions are summarized in the following table:</w:t>
      </w:r>
    </w:p>
    <w:p w:rsidR="00CC74A1" w:rsidRPr="00044848" w:rsidRDefault="00CC74A1" w:rsidP="00CC74A1">
      <w:pPr>
        <w:rPr>
          <w:color w:val="auto"/>
          <w:sz w:val="6"/>
          <w:szCs w:val="6"/>
        </w:rPr>
      </w:pPr>
    </w:p>
    <w:tbl>
      <w:tblPr>
        <w:tblW w:w="0" w:type="auto"/>
        <w:jc w:val="center"/>
        <w:tblInd w:w="-1554" w:type="dxa"/>
        <w:tblBorders>
          <w:top w:val="single" w:sz="2" w:space="0" w:color="000000"/>
        </w:tblBorders>
        <w:tblLook w:val="01E0" w:firstRow="1" w:lastRow="1" w:firstColumn="1" w:lastColumn="1" w:noHBand="0" w:noVBand="0"/>
      </w:tblPr>
      <w:tblGrid>
        <w:gridCol w:w="1633"/>
        <w:gridCol w:w="2835"/>
        <w:gridCol w:w="236"/>
        <w:gridCol w:w="3211"/>
      </w:tblGrid>
      <w:tr w:rsidR="00CC74A1" w:rsidRPr="00505624" w:rsidTr="002403B2">
        <w:trPr>
          <w:cantSplit/>
          <w:tblHeader/>
          <w:jc w:val="center"/>
        </w:trPr>
        <w:tc>
          <w:tcPr>
            <w:tcW w:w="1633" w:type="dxa"/>
            <w:tcBorders>
              <w:top w:val="single" w:sz="4" w:space="0" w:color="000000"/>
              <w:bottom w:val="single" w:sz="4" w:space="0" w:color="000000"/>
            </w:tcBorders>
            <w:shd w:val="clear" w:color="auto" w:fill="auto"/>
          </w:tcPr>
          <w:p w:rsidR="004E16DC" w:rsidRPr="00505624" w:rsidRDefault="004E16DC" w:rsidP="00CC74A1">
            <w:pPr>
              <w:pStyle w:val="TblHeadingCenter"/>
            </w:pPr>
          </w:p>
        </w:tc>
        <w:tc>
          <w:tcPr>
            <w:tcW w:w="2835" w:type="dxa"/>
            <w:tcBorders>
              <w:top w:val="single" w:sz="4" w:space="0" w:color="000000"/>
              <w:bottom w:val="single" w:sz="4" w:space="0" w:color="000000"/>
            </w:tcBorders>
            <w:shd w:val="clear" w:color="auto" w:fill="auto"/>
          </w:tcPr>
          <w:p w:rsidR="004E16DC" w:rsidRPr="00044848" w:rsidRDefault="004E16DC" w:rsidP="00CC74A1">
            <w:pPr>
              <w:pStyle w:val="TblHeadingCenter"/>
              <w:rPr>
                <w:sz w:val="6"/>
                <w:szCs w:val="6"/>
              </w:rPr>
            </w:pPr>
          </w:p>
          <w:p w:rsidR="004E16DC" w:rsidRPr="00505624" w:rsidRDefault="004E16DC" w:rsidP="00CC74A1">
            <w:pPr>
              <w:pStyle w:val="TblHeadingCenter"/>
            </w:pPr>
            <w:r w:rsidRPr="00505624">
              <w:t>Not in-use (unopened)</w:t>
            </w:r>
          </w:p>
          <w:p w:rsidR="004E16DC" w:rsidRPr="00505624" w:rsidRDefault="004E16DC" w:rsidP="00CC74A1">
            <w:pPr>
              <w:pStyle w:val="TblHeadingCenter"/>
            </w:pPr>
            <w:r w:rsidRPr="00505624">
              <w:t>Refrigerated</w:t>
            </w:r>
          </w:p>
        </w:tc>
        <w:tc>
          <w:tcPr>
            <w:tcW w:w="236" w:type="dxa"/>
            <w:tcBorders>
              <w:top w:val="single" w:sz="4" w:space="0" w:color="000000"/>
              <w:bottom w:val="single" w:sz="4" w:space="0" w:color="000000"/>
            </w:tcBorders>
            <w:shd w:val="clear" w:color="auto" w:fill="auto"/>
          </w:tcPr>
          <w:p w:rsidR="004E16DC" w:rsidRPr="00505624" w:rsidRDefault="004E16DC" w:rsidP="00CC74A1">
            <w:pPr>
              <w:pStyle w:val="TblHeadingCenter"/>
            </w:pPr>
          </w:p>
          <w:p w:rsidR="004E16DC" w:rsidRPr="00505624" w:rsidRDefault="004E16DC" w:rsidP="00CC74A1">
            <w:pPr>
              <w:pStyle w:val="TblHeadingCenter"/>
            </w:pPr>
          </w:p>
        </w:tc>
        <w:tc>
          <w:tcPr>
            <w:tcW w:w="3211" w:type="dxa"/>
            <w:tcBorders>
              <w:top w:val="single" w:sz="4" w:space="0" w:color="000000"/>
              <w:bottom w:val="single" w:sz="4" w:space="0" w:color="000000"/>
            </w:tcBorders>
            <w:shd w:val="clear" w:color="auto" w:fill="auto"/>
          </w:tcPr>
          <w:p w:rsidR="004E16DC" w:rsidRPr="00044848" w:rsidRDefault="004E16DC" w:rsidP="00CC74A1">
            <w:pPr>
              <w:pStyle w:val="TblHeadingCenter"/>
              <w:rPr>
                <w:sz w:val="6"/>
                <w:szCs w:val="6"/>
              </w:rPr>
            </w:pPr>
          </w:p>
          <w:p w:rsidR="004E16DC" w:rsidRPr="00505624" w:rsidRDefault="004E16DC" w:rsidP="00CC74A1">
            <w:pPr>
              <w:pStyle w:val="TblHeadingCenter"/>
            </w:pPr>
            <w:r w:rsidRPr="00505624">
              <w:t>In-use (opened)</w:t>
            </w:r>
          </w:p>
          <w:p w:rsidR="004E16DC" w:rsidRPr="00505624" w:rsidRDefault="004E16DC" w:rsidP="00CC74A1">
            <w:pPr>
              <w:pStyle w:val="TblHeadingCenter"/>
            </w:pPr>
            <w:r w:rsidRPr="00505624">
              <w:t>(See Temperature Below)</w:t>
            </w:r>
          </w:p>
        </w:tc>
      </w:tr>
      <w:tr w:rsidR="00CC74A1" w:rsidRPr="00505624" w:rsidTr="002403B2">
        <w:trPr>
          <w:cantSplit/>
          <w:jc w:val="center"/>
        </w:trPr>
        <w:tc>
          <w:tcPr>
            <w:tcW w:w="1633" w:type="dxa"/>
            <w:tcBorders>
              <w:bottom w:val="single" w:sz="12" w:space="0" w:color="auto"/>
            </w:tcBorders>
            <w:shd w:val="clear" w:color="auto" w:fill="auto"/>
          </w:tcPr>
          <w:p w:rsidR="004E16DC" w:rsidRPr="00505624" w:rsidRDefault="004E16DC" w:rsidP="00CC74A1">
            <w:pPr>
              <w:pStyle w:val="TblTextCenter"/>
            </w:pPr>
            <w:r w:rsidRPr="00505624">
              <w:t>Pre-filled pen</w:t>
            </w:r>
          </w:p>
        </w:tc>
        <w:tc>
          <w:tcPr>
            <w:tcW w:w="2835" w:type="dxa"/>
            <w:tcBorders>
              <w:bottom w:val="single" w:sz="12" w:space="0" w:color="auto"/>
            </w:tcBorders>
            <w:shd w:val="clear" w:color="auto" w:fill="auto"/>
          </w:tcPr>
          <w:p w:rsidR="004E16DC" w:rsidRPr="00505624" w:rsidRDefault="004E16DC" w:rsidP="00CC74A1">
            <w:pPr>
              <w:pStyle w:val="TblTextCenter"/>
            </w:pPr>
            <w:r w:rsidRPr="00505624">
              <w:t>Until expiration date</w:t>
            </w:r>
          </w:p>
        </w:tc>
        <w:tc>
          <w:tcPr>
            <w:tcW w:w="236" w:type="dxa"/>
            <w:tcBorders>
              <w:bottom w:val="single" w:sz="12" w:space="0" w:color="auto"/>
            </w:tcBorders>
            <w:shd w:val="clear" w:color="auto" w:fill="auto"/>
          </w:tcPr>
          <w:p w:rsidR="004E16DC" w:rsidRPr="00505624" w:rsidRDefault="004E16DC" w:rsidP="00CC74A1">
            <w:pPr>
              <w:pStyle w:val="TblTextCenter"/>
            </w:pPr>
          </w:p>
        </w:tc>
        <w:tc>
          <w:tcPr>
            <w:tcW w:w="3211" w:type="dxa"/>
            <w:tcBorders>
              <w:bottom w:val="single" w:sz="12" w:space="0" w:color="auto"/>
            </w:tcBorders>
            <w:shd w:val="clear" w:color="auto" w:fill="auto"/>
          </w:tcPr>
          <w:p w:rsidR="004E16DC" w:rsidRPr="00505624" w:rsidRDefault="00972CB7" w:rsidP="00CC74A1">
            <w:pPr>
              <w:pStyle w:val="TblTextCenter"/>
            </w:pPr>
            <w:r w:rsidRPr="006F2A30">
              <w:t xml:space="preserve"> 28</w:t>
            </w:r>
            <w:r w:rsidR="004E16DC" w:rsidRPr="006F2A30">
              <w:t xml:space="preserve"> days ( </w:t>
            </w:r>
            <w:r w:rsidRPr="006F2A30">
              <w:t xml:space="preserve">4 </w:t>
            </w:r>
            <w:r w:rsidR="004E16DC" w:rsidRPr="00505624">
              <w:t>weeks)</w:t>
            </w:r>
          </w:p>
          <w:p w:rsidR="004E16DC" w:rsidRPr="00505624" w:rsidRDefault="004E16DC" w:rsidP="00CC74A1">
            <w:pPr>
              <w:pStyle w:val="TblTextCenter"/>
            </w:pPr>
            <w:r w:rsidRPr="00505624">
              <w:t xml:space="preserve">Room temperature only </w:t>
            </w:r>
          </w:p>
          <w:p w:rsidR="004E16DC" w:rsidRPr="00505624" w:rsidRDefault="004E16DC" w:rsidP="00CC74A1">
            <w:pPr>
              <w:pStyle w:val="TblTextCenter"/>
              <w:rPr>
                <w:b/>
                <w:u w:val="single"/>
              </w:rPr>
            </w:pPr>
            <w:r w:rsidRPr="00505624">
              <w:rPr>
                <w:b/>
                <w:u w:val="single"/>
              </w:rPr>
              <w:t>(Do not refrigerate)</w:t>
            </w:r>
          </w:p>
        </w:tc>
      </w:tr>
      <w:tr w:rsidR="00505624" w:rsidRPr="00505624" w:rsidTr="002403B2">
        <w:trPr>
          <w:cantSplit/>
          <w:jc w:val="center"/>
        </w:trPr>
        <w:tc>
          <w:tcPr>
            <w:tcW w:w="7915" w:type="dxa"/>
            <w:gridSpan w:val="4"/>
            <w:tcBorders>
              <w:top w:val="single" w:sz="12" w:space="0" w:color="auto"/>
            </w:tcBorders>
            <w:shd w:val="clear" w:color="auto" w:fill="auto"/>
          </w:tcPr>
          <w:p w:rsidR="00884590" w:rsidRPr="00505624" w:rsidRDefault="00884590" w:rsidP="00884590">
            <w:pPr>
              <w:pStyle w:val="TblFigFootnote"/>
              <w:rPr>
                <w:rFonts w:ascii="Times New Roman" w:hAnsi="Times New Roman"/>
                <w:sz w:val="22"/>
              </w:rPr>
            </w:pPr>
          </w:p>
        </w:tc>
      </w:tr>
    </w:tbl>
    <w:p w:rsidR="003020BF" w:rsidRDefault="003020BF" w:rsidP="003020BF">
      <w:pPr>
        <w:pStyle w:val="Heading1"/>
        <w:pageBreakBefore w:val="0"/>
        <w:numPr>
          <w:ilvl w:val="0"/>
          <w:numId w:val="0"/>
        </w:numPr>
      </w:pPr>
      <w:bookmarkStart w:id="61" w:name="_Toc381269255"/>
      <w:r>
        <w:t>name and address of the sponsor</w:t>
      </w:r>
      <w:bookmarkEnd w:id="61"/>
    </w:p>
    <w:p w:rsidR="003020BF" w:rsidRPr="003020BF" w:rsidRDefault="003020BF" w:rsidP="003020BF">
      <w:pPr>
        <w:rPr>
          <w:lang w:val="it-IT"/>
        </w:rPr>
      </w:pPr>
      <w:r w:rsidRPr="003020BF">
        <w:rPr>
          <w:lang w:val="it-IT"/>
        </w:rPr>
        <w:t>sanofi-aventis australia pty ltd</w:t>
      </w:r>
      <w:r w:rsidRPr="003020BF">
        <w:rPr>
          <w:lang w:val="it-IT"/>
        </w:rPr>
        <w:br/>
        <w:t>12-24 Talavera Road</w:t>
      </w:r>
      <w:r w:rsidRPr="003020BF">
        <w:rPr>
          <w:lang w:val="it-IT"/>
        </w:rPr>
        <w:br/>
        <w:t>Macquarie Park NSW 2113</w:t>
      </w:r>
    </w:p>
    <w:p w:rsidR="003020BF" w:rsidRDefault="003020BF" w:rsidP="003020BF">
      <w:pPr>
        <w:pStyle w:val="Heading1"/>
        <w:pageBreakBefore w:val="0"/>
        <w:numPr>
          <w:ilvl w:val="0"/>
          <w:numId w:val="0"/>
        </w:numPr>
      </w:pPr>
      <w:bookmarkStart w:id="62" w:name="_Toc381269256"/>
      <w:r>
        <w:lastRenderedPageBreak/>
        <w:t>poison schedule of the medicine</w:t>
      </w:r>
      <w:bookmarkEnd w:id="62"/>
    </w:p>
    <w:p w:rsidR="003020BF" w:rsidRDefault="003020BF" w:rsidP="003020BF">
      <w:r>
        <w:t>Schedule 4 (Prescription Only Medicine)</w:t>
      </w:r>
    </w:p>
    <w:p w:rsidR="003020BF" w:rsidRDefault="003020BF" w:rsidP="003020BF">
      <w:pPr>
        <w:pStyle w:val="Heading1"/>
        <w:pageBreakBefore w:val="0"/>
        <w:numPr>
          <w:ilvl w:val="0"/>
          <w:numId w:val="0"/>
        </w:numPr>
      </w:pPr>
      <w:bookmarkStart w:id="63" w:name="_Toc381269257"/>
      <w:r>
        <w:t>date of first inclusion in the artg</w:t>
      </w:r>
      <w:bookmarkEnd w:id="63"/>
    </w:p>
    <w:p w:rsidR="00BC52A5" w:rsidRDefault="00F5394F" w:rsidP="00BC52A5">
      <w:r>
        <w:t>30 June 2015</w:t>
      </w:r>
    </w:p>
    <w:sectPr w:rsidR="00BC52A5">
      <w:headerReference w:type="default" r:id="rId12"/>
      <w:footerReference w:type="default" r:id="rId13"/>
      <w:pgSz w:w="11906" w:h="16838" w:code="9"/>
      <w:pgMar w:top="1814" w:right="850" w:bottom="2154" w:left="1587" w:header="1134" w:footer="158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6B7" w:rsidRDefault="00D046B7">
      <w:r>
        <w:separator/>
      </w:r>
    </w:p>
  </w:endnote>
  <w:endnote w:type="continuationSeparator" w:id="0">
    <w:p w:rsidR="00D046B7" w:rsidRDefault="00D046B7">
      <w:r>
        <w:continuationSeparator/>
      </w:r>
    </w:p>
  </w:endnote>
  <w:endnote w:id="1">
    <w:p w:rsidR="002138C4" w:rsidRPr="00EA75DE" w:rsidRDefault="002138C4" w:rsidP="00EA75DE">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8C4" w:rsidRDefault="002138C4">
    <w:pPr>
      <w:pStyle w:val="Footer"/>
    </w:pPr>
    <w:r>
      <w:t>Property of the Sano</w:t>
    </w:r>
    <w:r w:rsidR="00555668">
      <w:t xml:space="preserve">fi group </w:t>
    </w:r>
  </w:p>
  <w:p w:rsidR="002138C4" w:rsidRPr="005D63AE" w:rsidRDefault="002138C4">
    <w:pPr>
      <w:pStyle w:val="Footer"/>
      <w:rPr>
        <w:lang w:val="fr-FR"/>
      </w:rPr>
    </w:pPr>
    <w:r w:rsidRPr="005D63AE">
      <w:rPr>
        <w:lang w:val="fr-FR"/>
      </w:rPr>
      <w:t>t</w:t>
    </w:r>
    <w:r w:rsidR="0057588C">
      <w:rPr>
        <w:lang w:val="fr-FR"/>
      </w:rPr>
      <w:t>oujeo-ccdsv1-piv1-</w:t>
    </w:r>
    <w:r w:rsidR="00F5394F">
      <w:rPr>
        <w:lang w:val="fr-FR"/>
      </w:rPr>
      <w:t>30jun15</w:t>
    </w:r>
    <w:r w:rsidRPr="005D63AE">
      <w:rPr>
        <w:lang w:val="fr-FR"/>
      </w:rPr>
      <w:tab/>
      <w:t xml:space="preserve">Page </w:t>
    </w:r>
    <w:r>
      <w:fldChar w:fldCharType="begin"/>
    </w:r>
    <w:r w:rsidRPr="005D63AE">
      <w:rPr>
        <w:lang w:val="fr-FR"/>
      </w:rPr>
      <w:instrText xml:space="preserve"> PAGE  \* MERGEFORMAT </w:instrText>
    </w:r>
    <w:r>
      <w:fldChar w:fldCharType="separate"/>
    </w:r>
    <w:r w:rsidR="004D0406">
      <w:rPr>
        <w:noProof/>
        <w:lang w:val="fr-FR"/>
      </w:rPr>
      <w:t>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6B7" w:rsidRDefault="00D046B7">
      <w:r>
        <w:separator/>
      </w:r>
    </w:p>
  </w:footnote>
  <w:footnote w:type="continuationSeparator" w:id="0">
    <w:p w:rsidR="00D046B7" w:rsidRDefault="00D04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4D0406" w:rsidRPr="0057111B" w:rsidTr="00C12669">
      <w:tc>
        <w:tcPr>
          <w:tcW w:w="8720" w:type="dxa"/>
          <w:shd w:val="clear" w:color="auto" w:fill="E4F2E0"/>
        </w:tcPr>
        <w:p w:rsidR="004D0406" w:rsidRPr="0057111B" w:rsidRDefault="004D0406" w:rsidP="00C12669">
          <w:pPr>
            <w:rPr>
              <w:b/>
              <w:sz w:val="20"/>
              <w:szCs w:val="20"/>
            </w:rPr>
          </w:pPr>
          <w:r w:rsidRPr="0057111B">
            <w:rPr>
              <w:b/>
              <w:sz w:val="20"/>
              <w:szCs w:val="20"/>
            </w:rPr>
            <w:t xml:space="preserve">Attachment 1: Product information for AusPAR </w:t>
          </w:r>
          <w:proofErr w:type="spellStart"/>
          <w:r w:rsidRPr="0057111B">
            <w:rPr>
              <w:b/>
              <w:sz w:val="20"/>
              <w:szCs w:val="20"/>
            </w:rPr>
            <w:t>Toujeo</w:t>
          </w:r>
          <w:proofErr w:type="spellEnd"/>
          <w:r w:rsidRPr="0057111B">
            <w:rPr>
              <w:b/>
              <w:sz w:val="20"/>
              <w:szCs w:val="20"/>
            </w:rPr>
            <w:t xml:space="preserve"> insulin </w:t>
          </w:r>
          <w:proofErr w:type="spellStart"/>
          <w:r w:rsidRPr="0057111B">
            <w:rPr>
              <w:b/>
              <w:sz w:val="20"/>
              <w:szCs w:val="20"/>
            </w:rPr>
            <w:t>glargine</w:t>
          </w:r>
          <w:proofErr w:type="spellEnd"/>
          <w:r w:rsidRPr="0057111B">
            <w:rPr>
              <w:b/>
              <w:sz w:val="20"/>
              <w:szCs w:val="20"/>
            </w:rPr>
            <w:t xml:space="preserve"> Sanofi Aventis Australia Pty Ltd PM-2014-00670-1-5 Final 6 January 2017. This Product Information was approved at the time this AusPAR was published.</w:t>
          </w:r>
        </w:p>
      </w:tc>
    </w:tr>
  </w:tbl>
  <w:p w:rsidR="004D0406" w:rsidRDefault="004D0406" w:rsidP="00B655F8">
    <w:pPr>
      <w:pStyle w:val="Header"/>
    </w:pPr>
  </w:p>
  <w:p w:rsidR="00B655F8" w:rsidRDefault="003B0618" w:rsidP="00B655F8">
    <w:pPr>
      <w:pStyle w:val="Header"/>
    </w:pPr>
    <w:r>
      <w:t>Product Information</w:t>
    </w:r>
    <w:r w:rsidR="00B015DE">
      <w:tab/>
      <w:t xml:space="preserve">June </w:t>
    </w:r>
    <w:r w:rsidR="00B655F8">
      <w:t>2015</w:t>
    </w:r>
  </w:p>
  <w:p w:rsidR="002138C4" w:rsidRDefault="003B0618">
    <w:pPr>
      <w:pStyle w:val="Header"/>
    </w:pPr>
    <w:proofErr w:type="gramStart"/>
    <w:r>
      <w:t>insulin</w:t>
    </w:r>
    <w:proofErr w:type="gramEnd"/>
    <w:r>
      <w:t xml:space="preserve"> </w:t>
    </w:r>
    <w:proofErr w:type="spellStart"/>
    <w:r>
      <w:t>glargine</w:t>
    </w:r>
    <w:proofErr w:type="spellEnd"/>
    <w:r>
      <w:t xml:space="preserve"> 300 units/mL</w:t>
    </w:r>
    <w:r w:rsidR="002138C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06B97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9310D5"/>
    <w:multiLevelType w:val="hybridMultilevel"/>
    <w:tmpl w:val="D206DE6A"/>
    <w:name w:val="LT_Heading3"/>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0268D4"/>
    <w:multiLevelType w:val="multilevel"/>
    <w:tmpl w:val="C420B638"/>
    <w:name w:val="LT_Heading"/>
    <w:lvl w:ilvl="0">
      <w:start w:val="1"/>
      <w:numFmt w:val="decimal"/>
      <w:lvlRestart w:val="0"/>
      <w:pStyle w:val="Heading1"/>
      <w:lvlText w:val="%1"/>
      <w:lvlJc w:val="left"/>
      <w:pPr>
        <w:tabs>
          <w:tab w:val="num" w:pos="680"/>
        </w:tabs>
        <w:ind w:left="680" w:hanging="680"/>
      </w:pPr>
    </w:lvl>
    <w:lvl w:ilvl="1">
      <w:start w:val="1"/>
      <w:numFmt w:val="decimal"/>
      <w:pStyle w:val="Heading2"/>
      <w:lvlText w:val="%1.%2"/>
      <w:lvlJc w:val="left"/>
      <w:pPr>
        <w:tabs>
          <w:tab w:val="num" w:pos="680"/>
        </w:tabs>
        <w:ind w:left="680" w:hanging="680"/>
      </w:pPr>
    </w:lvl>
    <w:lvl w:ilvl="2">
      <w:start w:val="1"/>
      <w:numFmt w:val="decimal"/>
      <w:pStyle w:val="Heading3"/>
      <w:lvlText w:val="%1.%2.%3"/>
      <w:lvlJc w:val="left"/>
      <w:pPr>
        <w:tabs>
          <w:tab w:val="num" w:pos="680"/>
        </w:tabs>
        <w:ind w:left="680" w:hanging="680"/>
      </w:pPr>
    </w:lvl>
    <w:lvl w:ilvl="3">
      <w:start w:val="1"/>
      <w:numFmt w:val="decimal"/>
      <w:pStyle w:val="Heading4"/>
      <w:lvlText w:val="%1.%2.%3.%4"/>
      <w:lvlJc w:val="left"/>
      <w:pPr>
        <w:tabs>
          <w:tab w:val="num" w:pos="862"/>
        </w:tabs>
        <w:ind w:left="862" w:hanging="862"/>
      </w:pPr>
    </w:lvl>
    <w:lvl w:ilvl="4">
      <w:start w:val="1"/>
      <w:numFmt w:val="decimal"/>
      <w:pStyle w:val="Heading5"/>
      <w:lvlText w:val="%1.%2.%3.%4.%5"/>
      <w:lvlJc w:val="left"/>
      <w:pPr>
        <w:tabs>
          <w:tab w:val="num" w:pos="1009"/>
        </w:tabs>
        <w:ind w:left="1009" w:hanging="1009"/>
      </w:pPr>
    </w:lvl>
    <w:lvl w:ilvl="5">
      <w:start w:val="1"/>
      <w:numFmt w:val="decimal"/>
      <w:pStyle w:val="Heading6"/>
      <w:lvlText w:val="%1.%2.%3.%4.%5.%6"/>
      <w:lvlJc w:val="left"/>
      <w:pPr>
        <w:tabs>
          <w:tab w:val="num" w:pos="1151"/>
        </w:tabs>
        <w:ind w:left="1151" w:hanging="1151"/>
      </w:pPr>
    </w:lvl>
    <w:lvl w:ilvl="6">
      <w:start w:val="1"/>
      <w:numFmt w:val="decimal"/>
      <w:pStyle w:val="Heading7"/>
      <w:lvlText w:val="%1.%2.%3.%4.%5.%6.%7"/>
      <w:lvlJc w:val="left"/>
      <w:pPr>
        <w:tabs>
          <w:tab w:val="num" w:pos="1298"/>
        </w:tabs>
        <w:ind w:left="1298" w:hanging="1298"/>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2"/>
        </w:tabs>
        <w:ind w:left="1582" w:hanging="1582"/>
      </w:pPr>
    </w:lvl>
  </w:abstractNum>
  <w:abstractNum w:abstractNumId="3">
    <w:nsid w:val="0E563DE3"/>
    <w:multiLevelType w:val="multilevel"/>
    <w:tmpl w:val="EA961A4C"/>
    <w:lvl w:ilvl="0">
      <w:start w:val="1"/>
      <w:numFmt w:val="lowerLetter"/>
      <w:lvlRestart w:val="0"/>
      <w:pStyle w:val="ListAlphabeticalLevel2"/>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0"/>
        </w:tabs>
        <w:ind w:left="3600" w:hanging="357"/>
      </w:pPr>
    </w:lvl>
    <w:lvl w:ilvl="8">
      <w:start w:val="1"/>
      <w:numFmt w:val="lowerLetter"/>
      <w:lvlText w:val="%9)"/>
      <w:lvlJc w:val="left"/>
      <w:pPr>
        <w:tabs>
          <w:tab w:val="num" w:pos="3957"/>
        </w:tabs>
        <w:ind w:left="3957" w:hanging="357"/>
      </w:pPr>
    </w:lvl>
  </w:abstractNum>
  <w:abstractNum w:abstractNumId="4">
    <w:nsid w:val="101E7B50"/>
    <w:multiLevelType w:val="singleLevel"/>
    <w:tmpl w:val="FD844A22"/>
    <w:lvl w:ilvl="0">
      <w:start w:val="1"/>
      <w:numFmt w:val="lowerLetter"/>
      <w:lvlRestart w:val="0"/>
      <w:lvlText w:val="%1"/>
      <w:lvlJc w:val="left"/>
      <w:pPr>
        <w:tabs>
          <w:tab w:val="num" w:pos="244"/>
        </w:tabs>
        <w:ind w:left="244" w:hanging="244"/>
      </w:pPr>
      <w:rPr>
        <w:rFonts w:ascii="Arial Narrow" w:hAnsi="Arial Narrow" w:hint="default"/>
        <w:b w:val="0"/>
        <w:i/>
        <w:caps w:val="0"/>
        <w:strike w:val="0"/>
        <w:dstrike w:val="0"/>
        <w:outline w:val="0"/>
        <w:shadow w:val="0"/>
        <w:emboss w:val="0"/>
        <w:imprint w:val="0"/>
        <w:vanish w:val="0"/>
        <w:color w:val="000000"/>
        <w:sz w:val="18"/>
        <w:u w:val="none"/>
        <w:vertAlign w:val="baseline"/>
      </w:rPr>
    </w:lvl>
  </w:abstractNum>
  <w:abstractNum w:abstractNumId="5">
    <w:nsid w:val="13CF1C02"/>
    <w:multiLevelType w:val="multilevel"/>
    <w:tmpl w:val="EC448D7A"/>
    <w:lvl w:ilvl="0">
      <w:start w:val="1"/>
      <w:numFmt w:val="none"/>
      <w:pStyle w:val="Heading1NoNumbering"/>
      <w:lvlText w:val=""/>
      <w:lvlJc w:val="left"/>
      <w:pPr>
        <w:tabs>
          <w:tab w:val="num" w:pos="0"/>
        </w:tabs>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14832C39"/>
    <w:multiLevelType w:val="multilevel"/>
    <w:tmpl w:val="08526A80"/>
    <w:name w:val="List_Alphabetical_Level_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7">
    <w:nsid w:val="150F27E3"/>
    <w:multiLevelType w:val="multilevel"/>
    <w:tmpl w:val="80E0916A"/>
    <w:name w:val="List_Alphabetical_Level_22"/>
    <w:lvl w:ilvl="0">
      <w:start w:val="1"/>
      <w:numFmt w:val="lowerLetter"/>
      <w:lvlRestart w:val="0"/>
      <w:lvlText w:val="%1)"/>
      <w:lvlJc w:val="left"/>
      <w:pPr>
        <w:tabs>
          <w:tab w:val="num" w:pos="1083"/>
        </w:tabs>
        <w:ind w:left="1083" w:hanging="363"/>
      </w:pPr>
    </w:lvl>
    <w:lvl w:ilvl="1">
      <w:start w:val="1"/>
      <w:numFmt w:val="lowerLetter"/>
      <w:lvlText w:val="%2)"/>
      <w:lvlJc w:val="left"/>
      <w:pPr>
        <w:tabs>
          <w:tab w:val="num" w:pos="1440"/>
        </w:tabs>
        <w:ind w:left="1440" w:hanging="357"/>
      </w:pPr>
    </w:lvl>
    <w:lvl w:ilvl="2">
      <w:start w:val="1"/>
      <w:numFmt w:val="lowerLetter"/>
      <w:lvlText w:val="%3)"/>
      <w:lvlJc w:val="left"/>
      <w:pPr>
        <w:tabs>
          <w:tab w:val="num" w:pos="1803"/>
        </w:tabs>
        <w:ind w:left="1803" w:hanging="363"/>
      </w:pPr>
    </w:lvl>
    <w:lvl w:ilvl="3">
      <w:start w:val="1"/>
      <w:numFmt w:val="lowerLetter"/>
      <w:lvlText w:val="%4)"/>
      <w:lvlJc w:val="left"/>
      <w:pPr>
        <w:tabs>
          <w:tab w:val="num" w:pos="2160"/>
        </w:tabs>
        <w:ind w:left="2160" w:hanging="357"/>
      </w:pPr>
    </w:lvl>
    <w:lvl w:ilvl="4">
      <w:start w:val="1"/>
      <w:numFmt w:val="lowerLetter"/>
      <w:lvlText w:val="%5)"/>
      <w:lvlJc w:val="left"/>
      <w:pPr>
        <w:tabs>
          <w:tab w:val="num" w:pos="2523"/>
        </w:tabs>
        <w:ind w:left="2523" w:hanging="363"/>
      </w:pPr>
    </w:lvl>
    <w:lvl w:ilvl="5">
      <w:start w:val="1"/>
      <w:numFmt w:val="lowerLetter"/>
      <w:lvlText w:val="%6)"/>
      <w:lvlJc w:val="left"/>
      <w:pPr>
        <w:tabs>
          <w:tab w:val="num" w:pos="2880"/>
        </w:tabs>
        <w:ind w:left="2880" w:hanging="357"/>
      </w:pPr>
    </w:lvl>
    <w:lvl w:ilvl="6">
      <w:start w:val="1"/>
      <w:numFmt w:val="lowerLetter"/>
      <w:lvlText w:val="%7)"/>
      <w:lvlJc w:val="left"/>
      <w:pPr>
        <w:tabs>
          <w:tab w:val="num" w:pos="3243"/>
        </w:tabs>
        <w:ind w:left="3243" w:hanging="363"/>
      </w:pPr>
    </w:lvl>
    <w:lvl w:ilvl="7">
      <w:start w:val="1"/>
      <w:numFmt w:val="lowerLetter"/>
      <w:lvlText w:val="%8)"/>
      <w:lvlJc w:val="left"/>
      <w:pPr>
        <w:tabs>
          <w:tab w:val="num" w:pos="3606"/>
        </w:tabs>
        <w:ind w:left="3606" w:hanging="363"/>
      </w:pPr>
    </w:lvl>
    <w:lvl w:ilvl="8">
      <w:start w:val="1"/>
      <w:numFmt w:val="decimal"/>
      <w:lvlText w:val="%1.%2.%3.%4.%5.%6.%7.%8.%9"/>
      <w:lvlJc w:val="left"/>
      <w:pPr>
        <w:tabs>
          <w:tab w:val="num" w:pos="1584"/>
        </w:tabs>
        <w:ind w:left="1584" w:hanging="1584"/>
      </w:pPr>
    </w:lvl>
  </w:abstractNum>
  <w:abstractNum w:abstractNumId="8">
    <w:nsid w:val="1DC41614"/>
    <w:multiLevelType w:val="multilevel"/>
    <w:tmpl w:val="56767712"/>
    <w:lvl w:ilvl="0">
      <w:start w:val="1"/>
      <w:numFmt w:val="decimal"/>
      <w:lvlRestart w:val="0"/>
      <w:pStyle w:val="ListNumbered"/>
      <w:lvlText w:val="%1."/>
      <w:lvlJc w:val="left"/>
      <w:pPr>
        <w:tabs>
          <w:tab w:val="num" w:pos="720"/>
        </w:tabs>
        <w:ind w:left="720" w:hanging="357"/>
      </w:pPr>
      <w:rPr>
        <w:rFonts w:hint="default"/>
      </w:rPr>
    </w:lvl>
    <w:lvl w:ilvl="1">
      <w:start w:val="1"/>
      <w:numFmt w:val="decimal"/>
      <w:lvlText w:val="%2."/>
      <w:lvlJc w:val="left"/>
      <w:pPr>
        <w:tabs>
          <w:tab w:val="num" w:pos="1083"/>
        </w:tabs>
        <w:ind w:left="1083" w:hanging="363"/>
      </w:pPr>
      <w:rPr>
        <w:rFonts w:hint="default"/>
      </w:rPr>
    </w:lvl>
    <w:lvl w:ilvl="2">
      <w:start w:val="1"/>
      <w:numFmt w:val="decimal"/>
      <w:lvlText w:val="%3."/>
      <w:lvlJc w:val="left"/>
      <w:pPr>
        <w:tabs>
          <w:tab w:val="num" w:pos="1440"/>
        </w:tabs>
        <w:ind w:left="1440" w:hanging="357"/>
      </w:pPr>
      <w:rPr>
        <w:rFonts w:hint="default"/>
      </w:rPr>
    </w:lvl>
    <w:lvl w:ilvl="3">
      <w:start w:val="1"/>
      <w:numFmt w:val="decimal"/>
      <w:lvlText w:val="%4."/>
      <w:lvlJc w:val="left"/>
      <w:pPr>
        <w:tabs>
          <w:tab w:val="num" w:pos="1803"/>
        </w:tabs>
        <w:ind w:left="1803" w:hanging="363"/>
      </w:pPr>
      <w:rPr>
        <w:rFonts w:hint="default"/>
      </w:rPr>
    </w:lvl>
    <w:lvl w:ilvl="4">
      <w:start w:val="1"/>
      <w:numFmt w:val="decimal"/>
      <w:lvlText w:val="%5."/>
      <w:lvlJc w:val="left"/>
      <w:pPr>
        <w:tabs>
          <w:tab w:val="num" w:pos="2160"/>
        </w:tabs>
        <w:ind w:left="2160" w:hanging="357"/>
      </w:pPr>
      <w:rPr>
        <w:rFonts w:hint="default"/>
      </w:rPr>
    </w:lvl>
    <w:lvl w:ilvl="5">
      <w:start w:val="1"/>
      <w:numFmt w:val="decimal"/>
      <w:lvlText w:val="%6."/>
      <w:lvlJc w:val="left"/>
      <w:pPr>
        <w:tabs>
          <w:tab w:val="num" w:pos="2523"/>
        </w:tabs>
        <w:ind w:left="2523" w:hanging="363"/>
      </w:pPr>
      <w:rPr>
        <w:rFonts w:hint="default"/>
      </w:rPr>
    </w:lvl>
    <w:lvl w:ilvl="6">
      <w:start w:val="1"/>
      <w:numFmt w:val="decimal"/>
      <w:lvlText w:val="%7."/>
      <w:lvlJc w:val="left"/>
      <w:pPr>
        <w:tabs>
          <w:tab w:val="num" w:pos="2880"/>
        </w:tabs>
        <w:ind w:left="2880" w:hanging="357"/>
      </w:pPr>
      <w:rPr>
        <w:rFonts w:hint="default"/>
      </w:rPr>
    </w:lvl>
    <w:lvl w:ilvl="7">
      <w:start w:val="1"/>
      <w:numFmt w:val="decimal"/>
      <w:lvlText w:val="%8."/>
      <w:lvlJc w:val="left"/>
      <w:pPr>
        <w:tabs>
          <w:tab w:val="num" w:pos="3243"/>
        </w:tabs>
        <w:ind w:left="3243" w:hanging="363"/>
      </w:pPr>
      <w:rPr>
        <w:rFonts w:hint="default"/>
      </w:rPr>
    </w:lvl>
    <w:lvl w:ilvl="8">
      <w:start w:val="1"/>
      <w:numFmt w:val="decimal"/>
      <w:lvlText w:val="%9."/>
      <w:lvlJc w:val="left"/>
      <w:pPr>
        <w:tabs>
          <w:tab w:val="num" w:pos="3600"/>
        </w:tabs>
        <w:ind w:left="3600" w:hanging="357"/>
      </w:pPr>
      <w:rPr>
        <w:rFonts w:hint="default"/>
      </w:rPr>
    </w:lvl>
  </w:abstractNum>
  <w:abstractNum w:abstractNumId="9">
    <w:nsid w:val="2E4D086B"/>
    <w:multiLevelType w:val="multilevel"/>
    <w:tmpl w:val="98FEE14A"/>
    <w:lvl w:ilvl="0">
      <w:start w:val="1"/>
      <w:numFmt w:val="upperLetter"/>
      <w:lvlRestart w:val="0"/>
      <w:pStyle w:val="ListAlphabeticalLevel1"/>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upperLetter"/>
      <w:lvlText w:val="%8)"/>
      <w:lvlJc w:val="left"/>
      <w:pPr>
        <w:tabs>
          <w:tab w:val="num" w:pos="3600"/>
        </w:tabs>
        <w:ind w:left="3600" w:hanging="357"/>
      </w:pPr>
    </w:lvl>
  </w:abstractNum>
  <w:abstractNum w:abstractNumId="10">
    <w:nsid w:val="311E02EA"/>
    <w:multiLevelType w:val="multilevel"/>
    <w:tmpl w:val="2B7ED206"/>
    <w:name w:val="List_Bulleted_level_1"/>
    <w:lvl w:ilvl="0">
      <w:start w:val="1"/>
      <w:numFmt w:val="bullet"/>
      <w:lvlRestart w:val="0"/>
      <w:lvlText w:val=""/>
      <w:lvlJc w:val="left"/>
      <w:pPr>
        <w:tabs>
          <w:tab w:val="num" w:pos="720"/>
        </w:tabs>
        <w:ind w:left="720" w:hanging="357"/>
      </w:pPr>
      <w:rPr>
        <w:rFonts w:ascii="Symbol" w:hAnsi="Symbol" w:hint="default"/>
      </w:rPr>
    </w:lvl>
    <w:lvl w:ilvl="1">
      <w:start w:val="1"/>
      <w:numFmt w:val="decimal"/>
      <w:lvlText w:val=""/>
      <w:lvlJc w:val="left"/>
      <w:pPr>
        <w:tabs>
          <w:tab w:val="num" w:pos="1083"/>
        </w:tabs>
        <w:ind w:left="1083" w:hanging="363"/>
      </w:pPr>
      <w:rPr>
        <w:rFonts w:hint="default"/>
      </w:rPr>
    </w:lvl>
    <w:lvl w:ilvl="2">
      <w:start w:val="1"/>
      <w:numFmt w:val="decimal"/>
      <w:lvlText w:val=""/>
      <w:lvlJc w:val="left"/>
      <w:pPr>
        <w:tabs>
          <w:tab w:val="num" w:pos="1440"/>
        </w:tabs>
        <w:ind w:left="1440" w:hanging="357"/>
      </w:pPr>
      <w:rPr>
        <w:rFonts w:hint="default"/>
      </w:rPr>
    </w:lvl>
    <w:lvl w:ilvl="3">
      <w:start w:val="1"/>
      <w:numFmt w:val="decimal"/>
      <w:lvlText w:val=""/>
      <w:lvlJc w:val="left"/>
      <w:pPr>
        <w:tabs>
          <w:tab w:val="num" w:pos="1803"/>
        </w:tabs>
        <w:ind w:left="1803" w:hanging="363"/>
      </w:pPr>
      <w:rPr>
        <w:rFonts w:hint="default"/>
      </w:rPr>
    </w:lvl>
    <w:lvl w:ilvl="4">
      <w:start w:val="1"/>
      <w:numFmt w:val="decimal"/>
      <w:lvlText w:val=""/>
      <w:lvlJc w:val="left"/>
      <w:pPr>
        <w:tabs>
          <w:tab w:val="num" w:pos="2160"/>
        </w:tabs>
        <w:ind w:left="2160" w:hanging="357"/>
      </w:pPr>
      <w:rPr>
        <w:rFonts w:hint="default"/>
      </w:rPr>
    </w:lvl>
    <w:lvl w:ilvl="5">
      <w:start w:val="1"/>
      <w:numFmt w:val="decimal"/>
      <w:lvlText w:val=""/>
      <w:lvlJc w:val="left"/>
      <w:pPr>
        <w:tabs>
          <w:tab w:val="num" w:pos="2523"/>
        </w:tabs>
        <w:ind w:left="2523" w:hanging="363"/>
      </w:pPr>
      <w:rPr>
        <w:rFonts w:hint="default"/>
      </w:rPr>
    </w:lvl>
    <w:lvl w:ilvl="6">
      <w:start w:val="1"/>
      <w:numFmt w:val="decimal"/>
      <w:lvlText w:val=""/>
      <w:lvlJc w:val="left"/>
      <w:pPr>
        <w:tabs>
          <w:tab w:val="num" w:pos="2880"/>
        </w:tabs>
        <w:ind w:left="2880" w:hanging="357"/>
      </w:pPr>
      <w:rPr>
        <w:rFonts w:hint="default"/>
      </w:rPr>
    </w:lvl>
    <w:lvl w:ilvl="7">
      <w:start w:val="1"/>
      <w:numFmt w:val="decimal"/>
      <w:lvlText w:val=""/>
      <w:lvlJc w:val="left"/>
      <w:pPr>
        <w:tabs>
          <w:tab w:val="num" w:pos="3243"/>
        </w:tabs>
        <w:ind w:left="3243" w:hanging="363"/>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6A76F60"/>
    <w:multiLevelType w:val="multilevel"/>
    <w:tmpl w:val="C71ABB6C"/>
    <w:lvl w:ilvl="0">
      <w:start w:val="1"/>
      <w:numFmt w:val="bullet"/>
      <w:lvlRestart w:val="0"/>
      <w:pStyle w:val="ListBulletLevel2"/>
      <w:lvlText w:val="-"/>
      <w:lvlJc w:val="left"/>
      <w:pPr>
        <w:tabs>
          <w:tab w:val="num" w:pos="1083"/>
        </w:tabs>
        <w:ind w:left="1083" w:hanging="363"/>
      </w:pPr>
      <w:rPr>
        <w:rFonts w:ascii="Times New Roman" w:hAnsi="Times New Roman" w:cs="Times New Roman" w:hint="default"/>
      </w:rPr>
    </w:lvl>
    <w:lvl w:ilvl="1">
      <w:start w:val="1"/>
      <w:numFmt w:val="bullet"/>
      <w:lvlText w:val="-"/>
      <w:lvlJc w:val="left"/>
      <w:pPr>
        <w:tabs>
          <w:tab w:val="num" w:pos="1440"/>
        </w:tabs>
        <w:ind w:left="1440" w:hanging="357"/>
      </w:pPr>
      <w:rPr>
        <w:rFonts w:ascii="Times New Roman" w:hAnsi="Times New Roman" w:cs="Times New Roman" w:hint="default"/>
      </w:rPr>
    </w:lvl>
    <w:lvl w:ilvl="2">
      <w:start w:val="1"/>
      <w:numFmt w:val="bullet"/>
      <w:lvlText w:val="-"/>
      <w:lvlJc w:val="left"/>
      <w:pPr>
        <w:tabs>
          <w:tab w:val="num" w:pos="1803"/>
        </w:tabs>
        <w:ind w:left="1803" w:hanging="363"/>
      </w:pPr>
      <w:rPr>
        <w:rFonts w:ascii="Times New Roman" w:hAnsi="Times New Roman" w:cs="Times New Roman" w:hint="default"/>
      </w:rPr>
    </w:lvl>
    <w:lvl w:ilvl="3">
      <w:start w:val="1"/>
      <w:numFmt w:val="bullet"/>
      <w:lvlText w:val="-"/>
      <w:lvlJc w:val="left"/>
      <w:pPr>
        <w:tabs>
          <w:tab w:val="num" w:pos="2160"/>
        </w:tabs>
        <w:ind w:left="2160" w:hanging="357"/>
      </w:pPr>
      <w:rPr>
        <w:rFonts w:ascii="Times New Roman" w:hAnsi="Times New Roman" w:cs="Times New Roman" w:hint="default"/>
      </w:rPr>
    </w:lvl>
    <w:lvl w:ilvl="4">
      <w:start w:val="1"/>
      <w:numFmt w:val="bullet"/>
      <w:lvlText w:val="-"/>
      <w:lvlJc w:val="left"/>
      <w:pPr>
        <w:tabs>
          <w:tab w:val="num" w:pos="2523"/>
        </w:tabs>
        <w:ind w:left="2523" w:hanging="363"/>
      </w:pPr>
      <w:rPr>
        <w:rFonts w:ascii="Times New Roman" w:hAnsi="Times New Roman" w:cs="Times New Roman" w:hint="default"/>
      </w:rPr>
    </w:lvl>
    <w:lvl w:ilvl="5">
      <w:start w:val="1"/>
      <w:numFmt w:val="bullet"/>
      <w:lvlText w:val="-"/>
      <w:lvlJc w:val="left"/>
      <w:pPr>
        <w:tabs>
          <w:tab w:val="num" w:pos="2880"/>
        </w:tabs>
        <w:ind w:left="2880" w:hanging="357"/>
      </w:pPr>
      <w:rPr>
        <w:rFonts w:ascii="Times New Roman" w:hAnsi="Times New Roman" w:cs="Times New Roman" w:hint="default"/>
      </w:rPr>
    </w:lvl>
    <w:lvl w:ilvl="6">
      <w:start w:val="1"/>
      <w:numFmt w:val="bullet"/>
      <w:lvlText w:val="-"/>
      <w:lvlJc w:val="left"/>
      <w:pPr>
        <w:tabs>
          <w:tab w:val="num" w:pos="3243"/>
        </w:tabs>
        <w:ind w:left="3243" w:hanging="363"/>
      </w:pPr>
      <w:rPr>
        <w:rFonts w:ascii="Times New Roman" w:hAnsi="Times New Roman" w:cs="Times New Roman" w:hint="default"/>
      </w:rPr>
    </w:lvl>
    <w:lvl w:ilvl="7">
      <w:start w:val="1"/>
      <w:numFmt w:val="bullet"/>
      <w:lvlText w:val="-"/>
      <w:lvlJc w:val="left"/>
      <w:pPr>
        <w:tabs>
          <w:tab w:val="num" w:pos="3600"/>
        </w:tabs>
        <w:ind w:left="3600" w:hanging="357"/>
      </w:pPr>
      <w:rPr>
        <w:rFonts w:ascii="Times New Roman" w:hAnsi="Times New Roman" w:cs="Times New Roman" w:hint="default"/>
      </w:rPr>
    </w:lvl>
    <w:lvl w:ilvl="8">
      <w:start w:val="1"/>
      <w:numFmt w:val="bullet"/>
      <w:lvlText w:val="-"/>
      <w:lvlJc w:val="left"/>
      <w:pPr>
        <w:tabs>
          <w:tab w:val="num" w:pos="3957"/>
        </w:tabs>
        <w:ind w:left="3957" w:hanging="357"/>
      </w:pPr>
      <w:rPr>
        <w:rFonts w:ascii="Times New Roman" w:hAnsi="Times New Roman" w:cs="Times New Roman" w:hint="default"/>
      </w:rPr>
    </w:lvl>
  </w:abstractNum>
  <w:abstractNum w:abstractNumId="12">
    <w:nsid w:val="39E128C6"/>
    <w:multiLevelType w:val="hybridMultilevel"/>
    <w:tmpl w:val="32F403B0"/>
    <w:name w:val="LT_Heading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742C01"/>
    <w:multiLevelType w:val="multilevel"/>
    <w:tmpl w:val="1AB28D80"/>
    <w:name w:val="List_Bulleted_level_1"/>
    <w:lvl w:ilvl="0">
      <w:start w:val="1"/>
      <w:numFmt w:val="bullet"/>
      <w:lvlRestart w:val="0"/>
      <w:lvlText w:val=""/>
      <w:lvlJc w:val="left"/>
      <w:pPr>
        <w:tabs>
          <w:tab w:val="num" w:pos="357"/>
        </w:tabs>
        <w:ind w:left="357" w:hanging="357"/>
      </w:pPr>
      <w:rPr>
        <w:rFonts w:ascii="Symbol" w:hAnsi="Symbol" w:hint="default"/>
      </w:rPr>
    </w:lvl>
    <w:lvl w:ilvl="1">
      <w:start w:val="1"/>
      <w:numFmt w:val="bullet"/>
      <w:lvlText w:val=""/>
      <w:lvlJc w:val="left"/>
      <w:pPr>
        <w:tabs>
          <w:tab w:val="num" w:pos="794"/>
        </w:tabs>
        <w:ind w:left="794" w:hanging="437"/>
      </w:pPr>
      <w:rPr>
        <w:rFonts w:ascii="Symbol" w:hAnsi="Symbol" w:hint="default"/>
      </w:rPr>
    </w:lvl>
    <w:lvl w:ilvl="2">
      <w:start w:val="1"/>
      <w:numFmt w:val="bullet"/>
      <w:lvlText w:val=""/>
      <w:lvlJc w:val="left"/>
      <w:pPr>
        <w:tabs>
          <w:tab w:val="num" w:pos="1440"/>
        </w:tabs>
        <w:ind w:left="1225" w:hanging="505"/>
      </w:pPr>
      <w:rPr>
        <w:rFonts w:ascii="Symbol" w:hAnsi="Symbol" w:hint="default"/>
      </w:rPr>
    </w:lvl>
    <w:lvl w:ilvl="3">
      <w:start w:val="1"/>
      <w:numFmt w:val="bullet"/>
      <w:lvlText w:val=""/>
      <w:lvlJc w:val="left"/>
      <w:pPr>
        <w:tabs>
          <w:tab w:val="num" w:pos="1797"/>
        </w:tabs>
        <w:ind w:left="1729" w:hanging="652"/>
      </w:pPr>
      <w:rPr>
        <w:rFonts w:ascii="Symbol" w:hAnsi="Symbol" w:hint="default"/>
      </w:rPr>
    </w:lvl>
    <w:lvl w:ilvl="4">
      <w:start w:val="1"/>
      <w:numFmt w:val="bullet"/>
      <w:lvlText w:val=""/>
      <w:lvlJc w:val="left"/>
      <w:pPr>
        <w:tabs>
          <w:tab w:val="num" w:pos="2517"/>
        </w:tabs>
        <w:ind w:left="2234" w:hanging="794"/>
      </w:pPr>
      <w:rPr>
        <w:rFonts w:ascii="Symbol" w:hAnsi="Symbol" w:hint="default"/>
      </w:rPr>
    </w:lvl>
    <w:lvl w:ilvl="5">
      <w:start w:val="1"/>
      <w:numFmt w:val="bullet"/>
      <w:lvlText w:val=""/>
      <w:lvlJc w:val="left"/>
      <w:pPr>
        <w:tabs>
          <w:tab w:val="num" w:pos="2880"/>
        </w:tabs>
        <w:ind w:left="2738" w:hanging="941"/>
      </w:pPr>
      <w:rPr>
        <w:rFonts w:ascii="Symbol" w:hAnsi="Symbol" w:hint="default"/>
      </w:rPr>
    </w:lvl>
    <w:lvl w:ilvl="6">
      <w:start w:val="1"/>
      <w:numFmt w:val="bullet"/>
      <w:lvlText w:val=""/>
      <w:lvlJc w:val="left"/>
      <w:pPr>
        <w:tabs>
          <w:tab w:val="num" w:pos="3600"/>
        </w:tabs>
        <w:ind w:left="3237" w:hanging="1077"/>
      </w:pPr>
      <w:rPr>
        <w:rFonts w:ascii="Symbol" w:hAnsi="Symbol" w:hint="default"/>
      </w:rPr>
    </w:lvl>
    <w:lvl w:ilvl="7">
      <w:start w:val="1"/>
      <w:numFmt w:val="bullet"/>
      <w:lvlText w:val=""/>
      <w:lvlJc w:val="left"/>
      <w:pPr>
        <w:tabs>
          <w:tab w:val="num" w:pos="3957"/>
        </w:tabs>
        <w:ind w:left="3742" w:hanging="1225"/>
      </w:pPr>
      <w:rPr>
        <w:rFonts w:ascii="Symbol" w:hAnsi="Symbol" w:hint="default"/>
      </w:rPr>
    </w:lvl>
    <w:lvl w:ilvl="8">
      <w:start w:val="1"/>
      <w:numFmt w:val="bullet"/>
      <w:lvlText w:val=""/>
      <w:lvlJc w:val="left"/>
      <w:pPr>
        <w:tabs>
          <w:tab w:val="num" w:pos="4677"/>
        </w:tabs>
        <w:ind w:left="4320" w:hanging="1440"/>
      </w:pPr>
      <w:rPr>
        <w:rFonts w:ascii="Symbol" w:hAnsi="Symbol" w:hint="default"/>
      </w:rPr>
    </w:lvl>
  </w:abstractNum>
  <w:abstractNum w:abstractNumId="14">
    <w:nsid w:val="60805D9E"/>
    <w:multiLevelType w:val="multilevel"/>
    <w:tmpl w:val="AE06BB0E"/>
    <w:name w:val="List_Alphabetical_Level_1"/>
    <w:lvl w:ilvl="0">
      <w:start w:val="1"/>
      <w:numFmt w:val="upperLetter"/>
      <w:lvlRestart w:val="0"/>
      <w:lvlText w:val="%1)"/>
      <w:lvlJc w:val="left"/>
      <w:pPr>
        <w:tabs>
          <w:tab w:val="num" w:pos="720"/>
        </w:tabs>
        <w:ind w:left="720" w:hanging="357"/>
      </w:pPr>
      <w:rPr>
        <w:rFonts w:hint="default"/>
      </w:rPr>
    </w:lvl>
    <w:lvl w:ilvl="1">
      <w:start w:val="1"/>
      <w:numFmt w:val="upperLetter"/>
      <w:lvlText w:val="%2)"/>
      <w:lvlJc w:val="left"/>
      <w:pPr>
        <w:tabs>
          <w:tab w:val="num" w:pos="1083"/>
        </w:tabs>
        <w:ind w:left="1083" w:hanging="363"/>
      </w:pPr>
      <w:rPr>
        <w:rFonts w:hint="default"/>
      </w:rPr>
    </w:lvl>
    <w:lvl w:ilvl="2">
      <w:start w:val="1"/>
      <w:numFmt w:val="upperLetter"/>
      <w:lvlText w:val="%3)"/>
      <w:lvlJc w:val="left"/>
      <w:pPr>
        <w:tabs>
          <w:tab w:val="num" w:pos="1440"/>
        </w:tabs>
        <w:ind w:left="1440" w:hanging="357"/>
      </w:pPr>
      <w:rPr>
        <w:rFonts w:hint="default"/>
      </w:rPr>
    </w:lvl>
    <w:lvl w:ilvl="3">
      <w:start w:val="1"/>
      <w:numFmt w:val="upperLetter"/>
      <w:lvlText w:val="%4)"/>
      <w:lvlJc w:val="left"/>
      <w:pPr>
        <w:tabs>
          <w:tab w:val="num" w:pos="1803"/>
        </w:tabs>
        <w:ind w:left="1803" w:hanging="363"/>
      </w:pPr>
      <w:rPr>
        <w:rFonts w:hint="default"/>
      </w:rPr>
    </w:lvl>
    <w:lvl w:ilvl="4">
      <w:start w:val="1"/>
      <w:numFmt w:val="upperLetter"/>
      <w:lvlText w:val="%5)"/>
      <w:lvlJc w:val="left"/>
      <w:pPr>
        <w:tabs>
          <w:tab w:val="num" w:pos="2160"/>
        </w:tabs>
        <w:ind w:left="2160" w:hanging="357"/>
      </w:pPr>
      <w:rPr>
        <w:rFonts w:hint="default"/>
      </w:rPr>
    </w:lvl>
    <w:lvl w:ilvl="5">
      <w:start w:val="1"/>
      <w:numFmt w:val="upperLetter"/>
      <w:lvlText w:val="%6)"/>
      <w:lvlJc w:val="left"/>
      <w:pPr>
        <w:tabs>
          <w:tab w:val="num" w:pos="2523"/>
        </w:tabs>
        <w:ind w:left="2523" w:hanging="363"/>
      </w:pPr>
      <w:rPr>
        <w:rFonts w:hint="default"/>
      </w:rPr>
    </w:lvl>
    <w:lvl w:ilvl="6">
      <w:start w:val="1"/>
      <w:numFmt w:val="upperLetter"/>
      <w:lvlText w:val="%7)"/>
      <w:lvlJc w:val="left"/>
      <w:pPr>
        <w:tabs>
          <w:tab w:val="num" w:pos="2880"/>
        </w:tabs>
        <w:ind w:left="2880" w:hanging="357"/>
      </w:pPr>
      <w:rPr>
        <w:rFonts w:hint="default"/>
      </w:rPr>
    </w:lvl>
    <w:lvl w:ilvl="7">
      <w:start w:val="1"/>
      <w:numFmt w:val="upperLetter"/>
      <w:lvlText w:val="%8)"/>
      <w:lvlJc w:val="left"/>
      <w:pPr>
        <w:tabs>
          <w:tab w:val="num" w:pos="3243"/>
        </w:tabs>
        <w:ind w:left="3243" w:hanging="363"/>
      </w:pPr>
      <w:rPr>
        <w:rFonts w:hint="default"/>
      </w:rPr>
    </w:lvl>
    <w:lvl w:ilvl="8">
      <w:start w:val="1"/>
      <w:numFmt w:val="lowerRoman"/>
      <w:lvlText w:val="%9."/>
      <w:lvlJc w:val="right"/>
      <w:pPr>
        <w:tabs>
          <w:tab w:val="num" w:pos="1584"/>
        </w:tabs>
        <w:ind w:left="1584" w:hanging="144"/>
      </w:pPr>
      <w:rPr>
        <w:rFonts w:hint="default"/>
      </w:rPr>
    </w:lvl>
  </w:abstractNum>
  <w:abstractNum w:abstractNumId="15">
    <w:nsid w:val="6E005698"/>
    <w:multiLevelType w:val="hybridMultilevel"/>
    <w:tmpl w:val="9E1E5400"/>
    <w:lvl w:ilvl="0" w:tplc="FD844A22">
      <w:start w:val="1"/>
      <w:numFmt w:val="lowerLetter"/>
      <w:lvlText w:val="%1"/>
      <w:lvlJc w:val="left"/>
      <w:pPr>
        <w:tabs>
          <w:tab w:val="num" w:pos="244"/>
        </w:tabs>
        <w:ind w:left="244" w:hanging="244"/>
      </w:pPr>
      <w:rPr>
        <w:rFonts w:ascii="Arial Narrow" w:hAnsi="Arial Narrow" w:hint="default"/>
        <w:b w:val="0"/>
        <w:i/>
        <w:caps w:val="0"/>
        <w:strike w:val="0"/>
        <w:dstrike w:val="0"/>
        <w:outline w:val="0"/>
        <w:shadow w:val="0"/>
        <w:emboss w:val="0"/>
        <w:imprint w:val="0"/>
        <w:vanish w:val="0"/>
        <w:webHidden w:val="0"/>
        <w:color w:val="000000"/>
        <w:sz w:val="18"/>
        <w:u w:val="none"/>
        <w:effect w:val="none"/>
        <w:vertAlign w:val="baseline"/>
        <w:specVanish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6">
    <w:nsid w:val="71CE414F"/>
    <w:multiLevelType w:val="hybridMultilevel"/>
    <w:tmpl w:val="99F61858"/>
    <w:lvl w:ilvl="0" w:tplc="ED465E08">
      <w:start w:val="1"/>
      <w:numFmt w:val="bullet"/>
      <w:pStyle w:val="TblTextbulletedlis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nsid w:val="7D6C59A9"/>
    <w:multiLevelType w:val="multilevel"/>
    <w:tmpl w:val="7AD47846"/>
    <w:lvl w:ilvl="0">
      <w:start w:val="1"/>
      <w:numFmt w:val="bullet"/>
      <w:lvlRestart w:val="0"/>
      <w:pStyle w:val="ListBulletLevel1"/>
      <w:lvlText w:val=""/>
      <w:lvlJc w:val="left"/>
      <w:pPr>
        <w:tabs>
          <w:tab w:val="num" w:pos="720"/>
        </w:tabs>
        <w:ind w:left="720" w:hanging="357"/>
      </w:pPr>
      <w:rPr>
        <w:rFonts w:ascii="Symbol" w:hAnsi="Symbol" w:hint="default"/>
        <w:sz w:val="24"/>
      </w:rPr>
    </w:lvl>
    <w:lvl w:ilvl="1">
      <w:start w:val="1"/>
      <w:numFmt w:val="bullet"/>
      <w:lvlText w:val=""/>
      <w:lvlJc w:val="left"/>
      <w:pPr>
        <w:tabs>
          <w:tab w:val="num" w:pos="1083"/>
        </w:tabs>
        <w:ind w:left="1083" w:hanging="363"/>
      </w:pPr>
      <w:rPr>
        <w:rFonts w:ascii="Symbol" w:hAnsi="Symbol" w:hint="default"/>
        <w:sz w:val="21"/>
      </w:rPr>
    </w:lvl>
    <w:lvl w:ilvl="2">
      <w:start w:val="1"/>
      <w:numFmt w:val="bullet"/>
      <w:lvlText w:val=""/>
      <w:lvlJc w:val="left"/>
      <w:pPr>
        <w:tabs>
          <w:tab w:val="num" w:pos="1440"/>
        </w:tabs>
        <w:ind w:left="1440" w:hanging="357"/>
      </w:pPr>
      <w:rPr>
        <w:rFonts w:ascii="Symbol" w:hAnsi="Symbol" w:hint="default"/>
        <w:sz w:val="21"/>
      </w:rPr>
    </w:lvl>
    <w:lvl w:ilvl="3">
      <w:start w:val="1"/>
      <w:numFmt w:val="bullet"/>
      <w:lvlText w:val=""/>
      <w:lvlJc w:val="left"/>
      <w:pPr>
        <w:tabs>
          <w:tab w:val="num" w:pos="1803"/>
        </w:tabs>
        <w:ind w:left="1803" w:hanging="363"/>
      </w:pPr>
      <w:rPr>
        <w:rFonts w:ascii="Symbol" w:hAnsi="Symbol" w:hint="default"/>
      </w:rPr>
    </w:lvl>
    <w:lvl w:ilvl="4">
      <w:start w:val="1"/>
      <w:numFmt w:val="bullet"/>
      <w:lvlText w:val=""/>
      <w:lvlJc w:val="left"/>
      <w:pPr>
        <w:tabs>
          <w:tab w:val="num" w:pos="2160"/>
        </w:tabs>
        <w:ind w:left="2160" w:hanging="357"/>
      </w:pPr>
      <w:rPr>
        <w:rFonts w:ascii="Symbol" w:hAnsi="Symbol" w:hint="default"/>
      </w:rPr>
    </w:lvl>
    <w:lvl w:ilvl="5">
      <w:start w:val="1"/>
      <w:numFmt w:val="bullet"/>
      <w:lvlText w:val=""/>
      <w:lvlJc w:val="left"/>
      <w:pPr>
        <w:tabs>
          <w:tab w:val="num" w:pos="2523"/>
        </w:tabs>
        <w:ind w:left="2523" w:hanging="363"/>
      </w:pPr>
      <w:rPr>
        <w:rFonts w:ascii="Symbol" w:hAnsi="Symbol" w:hint="default"/>
      </w:rPr>
    </w:lvl>
    <w:lvl w:ilvl="6">
      <w:start w:val="1"/>
      <w:numFmt w:val="bullet"/>
      <w:lvlText w:val=""/>
      <w:lvlJc w:val="left"/>
      <w:pPr>
        <w:tabs>
          <w:tab w:val="num" w:pos="2880"/>
        </w:tabs>
        <w:ind w:left="2880" w:hanging="357"/>
      </w:pPr>
      <w:rPr>
        <w:rFonts w:ascii="Symbol" w:hAnsi="Symbol" w:hint="default"/>
      </w:rPr>
    </w:lvl>
    <w:lvl w:ilvl="7">
      <w:start w:val="1"/>
      <w:numFmt w:val="bullet"/>
      <w:lvlText w:val=""/>
      <w:lvlJc w:val="left"/>
      <w:pPr>
        <w:tabs>
          <w:tab w:val="num" w:pos="3243"/>
        </w:tabs>
        <w:ind w:left="3243" w:hanging="363"/>
      </w:pPr>
      <w:rPr>
        <w:rFonts w:ascii="Symbol" w:hAnsi="Symbol" w:hint="default"/>
      </w:rPr>
    </w:lvl>
    <w:lvl w:ilvl="8">
      <w:start w:val="1"/>
      <w:numFmt w:val="bullet"/>
      <w:lvlText w:val=""/>
      <w:lvlJc w:val="left"/>
      <w:pPr>
        <w:tabs>
          <w:tab w:val="num" w:pos="3600"/>
        </w:tabs>
        <w:ind w:left="3600" w:hanging="357"/>
      </w:pPr>
      <w:rPr>
        <w:rFonts w:ascii="Symbol" w:hAnsi="Symbol" w:hint="default"/>
      </w:rPr>
    </w:lvl>
  </w:abstractNum>
  <w:abstractNum w:abstractNumId="18">
    <w:nsid w:val="7FD14CA0"/>
    <w:multiLevelType w:val="multilevel"/>
    <w:tmpl w:val="BF20D5B6"/>
    <w:name w:val="List_Alphabetical_Level_12"/>
    <w:lvl w:ilvl="0">
      <w:start w:val="1"/>
      <w:numFmt w:val="upperLetter"/>
      <w:lvlRestart w:val="0"/>
      <w:lvlText w:val="%1)"/>
      <w:lvlJc w:val="left"/>
      <w:pPr>
        <w:tabs>
          <w:tab w:val="num" w:pos="720"/>
        </w:tabs>
        <w:ind w:left="720" w:hanging="357"/>
      </w:pPr>
    </w:lvl>
    <w:lvl w:ilvl="1">
      <w:start w:val="1"/>
      <w:numFmt w:val="upperLetter"/>
      <w:lvlText w:val="%2)"/>
      <w:lvlJc w:val="left"/>
      <w:pPr>
        <w:tabs>
          <w:tab w:val="num" w:pos="1083"/>
        </w:tabs>
        <w:ind w:left="1083" w:hanging="363"/>
      </w:pPr>
    </w:lvl>
    <w:lvl w:ilvl="2">
      <w:start w:val="1"/>
      <w:numFmt w:val="upperLetter"/>
      <w:lvlText w:val="%3)"/>
      <w:lvlJc w:val="left"/>
      <w:pPr>
        <w:tabs>
          <w:tab w:val="num" w:pos="1440"/>
        </w:tabs>
        <w:ind w:left="1440" w:hanging="357"/>
      </w:pPr>
    </w:lvl>
    <w:lvl w:ilvl="3">
      <w:start w:val="1"/>
      <w:numFmt w:val="upperLetter"/>
      <w:lvlText w:val="%4)"/>
      <w:lvlJc w:val="left"/>
      <w:pPr>
        <w:tabs>
          <w:tab w:val="num" w:pos="1803"/>
        </w:tabs>
        <w:ind w:left="1803" w:hanging="363"/>
      </w:pPr>
    </w:lvl>
    <w:lvl w:ilvl="4">
      <w:start w:val="1"/>
      <w:numFmt w:val="upperLetter"/>
      <w:lvlText w:val="%5)"/>
      <w:lvlJc w:val="left"/>
      <w:pPr>
        <w:tabs>
          <w:tab w:val="num" w:pos="2160"/>
        </w:tabs>
        <w:ind w:left="2160" w:hanging="357"/>
      </w:pPr>
    </w:lvl>
    <w:lvl w:ilvl="5">
      <w:start w:val="1"/>
      <w:numFmt w:val="upperLetter"/>
      <w:lvlText w:val="%6)"/>
      <w:lvlJc w:val="left"/>
      <w:pPr>
        <w:tabs>
          <w:tab w:val="num" w:pos="2523"/>
        </w:tabs>
        <w:ind w:left="2523" w:hanging="363"/>
      </w:pPr>
    </w:lvl>
    <w:lvl w:ilvl="6">
      <w:start w:val="1"/>
      <w:numFmt w:val="upperLetter"/>
      <w:lvlText w:val="%7)"/>
      <w:lvlJc w:val="left"/>
      <w:pPr>
        <w:tabs>
          <w:tab w:val="num" w:pos="2880"/>
        </w:tabs>
        <w:ind w:left="2880" w:hanging="357"/>
      </w:pPr>
    </w:lvl>
    <w:lvl w:ilvl="7">
      <w:start w:val="1"/>
      <w:numFmt w:val="upperLetter"/>
      <w:lvlText w:val="%8)"/>
      <w:lvlJc w:val="left"/>
      <w:pPr>
        <w:tabs>
          <w:tab w:val="num" w:pos="3243"/>
        </w:tabs>
        <w:ind w:left="3243" w:hanging="363"/>
      </w:pPr>
    </w:lvl>
    <w:lvl w:ilvl="8">
      <w:start w:val="1"/>
      <w:numFmt w:val="lowerRoman"/>
      <w:lvlText w:val="%9."/>
      <w:lvlJc w:val="right"/>
      <w:pPr>
        <w:tabs>
          <w:tab w:val="num" w:pos="1584"/>
        </w:tabs>
        <w:ind w:left="1584" w:hanging="144"/>
      </w:pPr>
    </w:lvl>
  </w:abstractNum>
  <w:num w:numId="1">
    <w:abstractNumId w:val="9"/>
  </w:num>
  <w:num w:numId="2">
    <w:abstractNumId w:val="8"/>
  </w:num>
  <w:num w:numId="3">
    <w:abstractNumId w:val="3"/>
  </w:num>
  <w:num w:numId="4">
    <w:abstractNumId w:val="0"/>
  </w:num>
  <w:num w:numId="5">
    <w:abstractNumId w:val="11"/>
  </w:num>
  <w:num w:numId="6">
    <w:abstractNumId w:val="16"/>
  </w:num>
  <w:num w:numId="7">
    <w:abstractNumId w:val="5"/>
  </w:num>
  <w:num w:numId="8">
    <w:abstractNumId w:val="17"/>
  </w:num>
  <w:num w:numId="9">
    <w:abstractNumId w:val="2"/>
  </w:num>
  <w:num w:numId="10">
    <w:abstractNumId w:val="4"/>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AU"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FlagShowHiddenText" w:val="1"/>
  </w:docVars>
  <w:rsids>
    <w:rsidRoot w:val="004E23E5"/>
    <w:rsid w:val="00000AEE"/>
    <w:rsid w:val="000025D0"/>
    <w:rsid w:val="0001037F"/>
    <w:rsid w:val="0001160D"/>
    <w:rsid w:val="000128CA"/>
    <w:rsid w:val="00012B35"/>
    <w:rsid w:val="00015F8B"/>
    <w:rsid w:val="00016D7E"/>
    <w:rsid w:val="00017312"/>
    <w:rsid w:val="00021144"/>
    <w:rsid w:val="00024437"/>
    <w:rsid w:val="0002648F"/>
    <w:rsid w:val="00026972"/>
    <w:rsid w:val="00026C4D"/>
    <w:rsid w:val="00027649"/>
    <w:rsid w:val="00033F34"/>
    <w:rsid w:val="00035762"/>
    <w:rsid w:val="00037EA0"/>
    <w:rsid w:val="00040AE5"/>
    <w:rsid w:val="00041F04"/>
    <w:rsid w:val="00044848"/>
    <w:rsid w:val="00050942"/>
    <w:rsid w:val="000513C5"/>
    <w:rsid w:val="00051571"/>
    <w:rsid w:val="00055F2D"/>
    <w:rsid w:val="0005711F"/>
    <w:rsid w:val="00062EEC"/>
    <w:rsid w:val="00062FA9"/>
    <w:rsid w:val="00064661"/>
    <w:rsid w:val="00065726"/>
    <w:rsid w:val="00066046"/>
    <w:rsid w:val="00070389"/>
    <w:rsid w:val="000737D3"/>
    <w:rsid w:val="00073BF9"/>
    <w:rsid w:val="00074B04"/>
    <w:rsid w:val="000755A9"/>
    <w:rsid w:val="00076213"/>
    <w:rsid w:val="000800E0"/>
    <w:rsid w:val="0009331E"/>
    <w:rsid w:val="00093509"/>
    <w:rsid w:val="00096F1D"/>
    <w:rsid w:val="000A13E8"/>
    <w:rsid w:val="000B3262"/>
    <w:rsid w:val="000B786D"/>
    <w:rsid w:val="000C4A50"/>
    <w:rsid w:val="000D2153"/>
    <w:rsid w:val="000D4230"/>
    <w:rsid w:val="000D6099"/>
    <w:rsid w:val="000D6BA1"/>
    <w:rsid w:val="000D7EE0"/>
    <w:rsid w:val="000E1751"/>
    <w:rsid w:val="000E1B95"/>
    <w:rsid w:val="000E1E18"/>
    <w:rsid w:val="000E3564"/>
    <w:rsid w:val="000E4782"/>
    <w:rsid w:val="000F05A9"/>
    <w:rsid w:val="000F2020"/>
    <w:rsid w:val="000F2AEE"/>
    <w:rsid w:val="000F2B04"/>
    <w:rsid w:val="000F48DE"/>
    <w:rsid w:val="00100D14"/>
    <w:rsid w:val="00102696"/>
    <w:rsid w:val="00105B77"/>
    <w:rsid w:val="00112575"/>
    <w:rsid w:val="00113C4F"/>
    <w:rsid w:val="00115027"/>
    <w:rsid w:val="00122079"/>
    <w:rsid w:val="00123C6C"/>
    <w:rsid w:val="0013065A"/>
    <w:rsid w:val="0013196A"/>
    <w:rsid w:val="00133495"/>
    <w:rsid w:val="00136C7B"/>
    <w:rsid w:val="00141155"/>
    <w:rsid w:val="00141F3C"/>
    <w:rsid w:val="00142619"/>
    <w:rsid w:val="0014544E"/>
    <w:rsid w:val="00151045"/>
    <w:rsid w:val="00153CE9"/>
    <w:rsid w:val="00153D8C"/>
    <w:rsid w:val="00155B76"/>
    <w:rsid w:val="00155F0C"/>
    <w:rsid w:val="00156455"/>
    <w:rsid w:val="00156994"/>
    <w:rsid w:val="00156E91"/>
    <w:rsid w:val="001575FB"/>
    <w:rsid w:val="00161E97"/>
    <w:rsid w:val="001651FA"/>
    <w:rsid w:val="001760AC"/>
    <w:rsid w:val="001815DA"/>
    <w:rsid w:val="00183957"/>
    <w:rsid w:val="001931B3"/>
    <w:rsid w:val="0019414F"/>
    <w:rsid w:val="00196FAB"/>
    <w:rsid w:val="001974DE"/>
    <w:rsid w:val="0019780F"/>
    <w:rsid w:val="001A2833"/>
    <w:rsid w:val="001A4838"/>
    <w:rsid w:val="001A567C"/>
    <w:rsid w:val="001B1A58"/>
    <w:rsid w:val="001B78D7"/>
    <w:rsid w:val="001C07A1"/>
    <w:rsid w:val="001D1007"/>
    <w:rsid w:val="001D325B"/>
    <w:rsid w:val="001E398F"/>
    <w:rsid w:val="001F4729"/>
    <w:rsid w:val="001F6885"/>
    <w:rsid w:val="002006E9"/>
    <w:rsid w:val="002006FE"/>
    <w:rsid w:val="00202E97"/>
    <w:rsid w:val="00203479"/>
    <w:rsid w:val="00205D0B"/>
    <w:rsid w:val="00211F10"/>
    <w:rsid w:val="002138C4"/>
    <w:rsid w:val="00226CEC"/>
    <w:rsid w:val="00231433"/>
    <w:rsid w:val="00240114"/>
    <w:rsid w:val="0024031D"/>
    <w:rsid w:val="002403B2"/>
    <w:rsid w:val="00245744"/>
    <w:rsid w:val="002508CF"/>
    <w:rsid w:val="0025234F"/>
    <w:rsid w:val="00253428"/>
    <w:rsid w:val="00254B2D"/>
    <w:rsid w:val="0025530A"/>
    <w:rsid w:val="00265C19"/>
    <w:rsid w:val="00265EEF"/>
    <w:rsid w:val="002668B0"/>
    <w:rsid w:val="002677EB"/>
    <w:rsid w:val="00267B40"/>
    <w:rsid w:val="00273B40"/>
    <w:rsid w:val="00274B66"/>
    <w:rsid w:val="0027544A"/>
    <w:rsid w:val="0027792A"/>
    <w:rsid w:val="002812FA"/>
    <w:rsid w:val="002828E6"/>
    <w:rsid w:val="00284283"/>
    <w:rsid w:val="00285D40"/>
    <w:rsid w:val="002872F2"/>
    <w:rsid w:val="00287C58"/>
    <w:rsid w:val="002922ED"/>
    <w:rsid w:val="00293DCE"/>
    <w:rsid w:val="002A13C8"/>
    <w:rsid w:val="002A1907"/>
    <w:rsid w:val="002A296F"/>
    <w:rsid w:val="002A2BCF"/>
    <w:rsid w:val="002B0661"/>
    <w:rsid w:val="002B29E0"/>
    <w:rsid w:val="002B555F"/>
    <w:rsid w:val="002B686C"/>
    <w:rsid w:val="002B7E0E"/>
    <w:rsid w:val="002C06AB"/>
    <w:rsid w:val="002C35D2"/>
    <w:rsid w:val="002C4DED"/>
    <w:rsid w:val="002C5256"/>
    <w:rsid w:val="002C6187"/>
    <w:rsid w:val="002D31E4"/>
    <w:rsid w:val="002D4DD7"/>
    <w:rsid w:val="002D5057"/>
    <w:rsid w:val="002E022E"/>
    <w:rsid w:val="002E04C5"/>
    <w:rsid w:val="002E105D"/>
    <w:rsid w:val="002E26F5"/>
    <w:rsid w:val="002E380A"/>
    <w:rsid w:val="002E661F"/>
    <w:rsid w:val="002F373D"/>
    <w:rsid w:val="002F3C9D"/>
    <w:rsid w:val="003012C0"/>
    <w:rsid w:val="003020BF"/>
    <w:rsid w:val="003026CE"/>
    <w:rsid w:val="00303259"/>
    <w:rsid w:val="00304838"/>
    <w:rsid w:val="00307B39"/>
    <w:rsid w:val="00310246"/>
    <w:rsid w:val="0031072B"/>
    <w:rsid w:val="003142A2"/>
    <w:rsid w:val="00315850"/>
    <w:rsid w:val="00316F9D"/>
    <w:rsid w:val="00322097"/>
    <w:rsid w:val="00325FBD"/>
    <w:rsid w:val="00327B5D"/>
    <w:rsid w:val="00327E4A"/>
    <w:rsid w:val="003331BF"/>
    <w:rsid w:val="00334C27"/>
    <w:rsid w:val="00340145"/>
    <w:rsid w:val="00341664"/>
    <w:rsid w:val="00342346"/>
    <w:rsid w:val="0034254B"/>
    <w:rsid w:val="0034613F"/>
    <w:rsid w:val="00346FC5"/>
    <w:rsid w:val="003524AA"/>
    <w:rsid w:val="00352EDA"/>
    <w:rsid w:val="00355FE2"/>
    <w:rsid w:val="003560F3"/>
    <w:rsid w:val="003602D9"/>
    <w:rsid w:val="00360E65"/>
    <w:rsid w:val="00363299"/>
    <w:rsid w:val="00367305"/>
    <w:rsid w:val="003706AC"/>
    <w:rsid w:val="003721F0"/>
    <w:rsid w:val="003756D4"/>
    <w:rsid w:val="00376F5F"/>
    <w:rsid w:val="003776DF"/>
    <w:rsid w:val="003824DE"/>
    <w:rsid w:val="00383443"/>
    <w:rsid w:val="003867D0"/>
    <w:rsid w:val="0038790A"/>
    <w:rsid w:val="00387ABD"/>
    <w:rsid w:val="003948E2"/>
    <w:rsid w:val="00394B97"/>
    <w:rsid w:val="003956BC"/>
    <w:rsid w:val="003966B6"/>
    <w:rsid w:val="00396F5B"/>
    <w:rsid w:val="003A1A63"/>
    <w:rsid w:val="003A4151"/>
    <w:rsid w:val="003A7106"/>
    <w:rsid w:val="003B0618"/>
    <w:rsid w:val="003B181F"/>
    <w:rsid w:val="003B364A"/>
    <w:rsid w:val="003B6FDB"/>
    <w:rsid w:val="003B7CF6"/>
    <w:rsid w:val="003C6CC4"/>
    <w:rsid w:val="003C7ADE"/>
    <w:rsid w:val="003D0B2A"/>
    <w:rsid w:val="003D1765"/>
    <w:rsid w:val="003D20F4"/>
    <w:rsid w:val="003D233E"/>
    <w:rsid w:val="003D338C"/>
    <w:rsid w:val="003E2905"/>
    <w:rsid w:val="003E35A8"/>
    <w:rsid w:val="003E7CED"/>
    <w:rsid w:val="003F2996"/>
    <w:rsid w:val="003F6BD8"/>
    <w:rsid w:val="00401322"/>
    <w:rsid w:val="00401AA1"/>
    <w:rsid w:val="004143D8"/>
    <w:rsid w:val="004203BC"/>
    <w:rsid w:val="00421A20"/>
    <w:rsid w:val="004228E8"/>
    <w:rsid w:val="004232E8"/>
    <w:rsid w:val="0042348E"/>
    <w:rsid w:val="0042555A"/>
    <w:rsid w:val="004268FF"/>
    <w:rsid w:val="00426969"/>
    <w:rsid w:val="004276CD"/>
    <w:rsid w:val="00431E27"/>
    <w:rsid w:val="004322AC"/>
    <w:rsid w:val="0043304D"/>
    <w:rsid w:val="00436606"/>
    <w:rsid w:val="00444592"/>
    <w:rsid w:val="004455C5"/>
    <w:rsid w:val="00446B3E"/>
    <w:rsid w:val="00450200"/>
    <w:rsid w:val="00453270"/>
    <w:rsid w:val="00455E83"/>
    <w:rsid w:val="004603C2"/>
    <w:rsid w:val="00460961"/>
    <w:rsid w:val="00476F04"/>
    <w:rsid w:val="00481B12"/>
    <w:rsid w:val="004837AF"/>
    <w:rsid w:val="00484A7A"/>
    <w:rsid w:val="004862CC"/>
    <w:rsid w:val="0048703B"/>
    <w:rsid w:val="00487574"/>
    <w:rsid w:val="0049172D"/>
    <w:rsid w:val="00493E19"/>
    <w:rsid w:val="004951D0"/>
    <w:rsid w:val="00495CDF"/>
    <w:rsid w:val="004A25AD"/>
    <w:rsid w:val="004A27E8"/>
    <w:rsid w:val="004A6F49"/>
    <w:rsid w:val="004A7D60"/>
    <w:rsid w:val="004B3E74"/>
    <w:rsid w:val="004B47BF"/>
    <w:rsid w:val="004B5047"/>
    <w:rsid w:val="004B546B"/>
    <w:rsid w:val="004C06D0"/>
    <w:rsid w:val="004C2DAE"/>
    <w:rsid w:val="004C3057"/>
    <w:rsid w:val="004C711C"/>
    <w:rsid w:val="004D0406"/>
    <w:rsid w:val="004D26DB"/>
    <w:rsid w:val="004D3A5A"/>
    <w:rsid w:val="004D6EDC"/>
    <w:rsid w:val="004D73BF"/>
    <w:rsid w:val="004E16DC"/>
    <w:rsid w:val="004E1ABA"/>
    <w:rsid w:val="004E23E5"/>
    <w:rsid w:val="004E25DB"/>
    <w:rsid w:val="004E278D"/>
    <w:rsid w:val="004E27FD"/>
    <w:rsid w:val="004E78B4"/>
    <w:rsid w:val="004F30E7"/>
    <w:rsid w:val="004F45CF"/>
    <w:rsid w:val="004F4780"/>
    <w:rsid w:val="004F4EA2"/>
    <w:rsid w:val="004F6206"/>
    <w:rsid w:val="004F7603"/>
    <w:rsid w:val="004F7F6E"/>
    <w:rsid w:val="00500384"/>
    <w:rsid w:val="0050323A"/>
    <w:rsid w:val="005046EF"/>
    <w:rsid w:val="00504F9C"/>
    <w:rsid w:val="00505624"/>
    <w:rsid w:val="00505B4E"/>
    <w:rsid w:val="005071E9"/>
    <w:rsid w:val="005073AE"/>
    <w:rsid w:val="005110F5"/>
    <w:rsid w:val="0051320C"/>
    <w:rsid w:val="0051449F"/>
    <w:rsid w:val="005268EE"/>
    <w:rsid w:val="00531947"/>
    <w:rsid w:val="0053481E"/>
    <w:rsid w:val="00540CFB"/>
    <w:rsid w:val="00541CC9"/>
    <w:rsid w:val="0054342D"/>
    <w:rsid w:val="00543F9F"/>
    <w:rsid w:val="00544D71"/>
    <w:rsid w:val="00551FE9"/>
    <w:rsid w:val="005523A5"/>
    <w:rsid w:val="0055486B"/>
    <w:rsid w:val="00555668"/>
    <w:rsid w:val="0056245B"/>
    <w:rsid w:val="005737A9"/>
    <w:rsid w:val="0057588C"/>
    <w:rsid w:val="005805AE"/>
    <w:rsid w:val="00582FDF"/>
    <w:rsid w:val="005832FC"/>
    <w:rsid w:val="00583A18"/>
    <w:rsid w:val="00584084"/>
    <w:rsid w:val="0058433A"/>
    <w:rsid w:val="00584739"/>
    <w:rsid w:val="00590004"/>
    <w:rsid w:val="005901A0"/>
    <w:rsid w:val="00596377"/>
    <w:rsid w:val="005A0A02"/>
    <w:rsid w:val="005A0AA5"/>
    <w:rsid w:val="005A134C"/>
    <w:rsid w:val="005A41F0"/>
    <w:rsid w:val="005A6443"/>
    <w:rsid w:val="005B0A3B"/>
    <w:rsid w:val="005B646A"/>
    <w:rsid w:val="005C0A82"/>
    <w:rsid w:val="005C3820"/>
    <w:rsid w:val="005C38CF"/>
    <w:rsid w:val="005C3CB6"/>
    <w:rsid w:val="005C7FC5"/>
    <w:rsid w:val="005D0119"/>
    <w:rsid w:val="005D1997"/>
    <w:rsid w:val="005D3961"/>
    <w:rsid w:val="005D4013"/>
    <w:rsid w:val="005D63AE"/>
    <w:rsid w:val="005E1508"/>
    <w:rsid w:val="005E2218"/>
    <w:rsid w:val="005E57E4"/>
    <w:rsid w:val="005E719D"/>
    <w:rsid w:val="005F19EC"/>
    <w:rsid w:val="005F21E4"/>
    <w:rsid w:val="005F55EF"/>
    <w:rsid w:val="005F6ECC"/>
    <w:rsid w:val="0060755E"/>
    <w:rsid w:val="0061208A"/>
    <w:rsid w:val="00612827"/>
    <w:rsid w:val="00613191"/>
    <w:rsid w:val="00613AF2"/>
    <w:rsid w:val="00613B06"/>
    <w:rsid w:val="00614A0D"/>
    <w:rsid w:val="00622222"/>
    <w:rsid w:val="00622818"/>
    <w:rsid w:val="0062309B"/>
    <w:rsid w:val="00623645"/>
    <w:rsid w:val="00624441"/>
    <w:rsid w:val="00627538"/>
    <w:rsid w:val="00627995"/>
    <w:rsid w:val="006334D6"/>
    <w:rsid w:val="006347FE"/>
    <w:rsid w:val="006436FF"/>
    <w:rsid w:val="006464AF"/>
    <w:rsid w:val="006524B8"/>
    <w:rsid w:val="0065289A"/>
    <w:rsid w:val="00655392"/>
    <w:rsid w:val="0066222D"/>
    <w:rsid w:val="00670A6C"/>
    <w:rsid w:val="00670B37"/>
    <w:rsid w:val="0067404C"/>
    <w:rsid w:val="00682F85"/>
    <w:rsid w:val="00683182"/>
    <w:rsid w:val="0069078C"/>
    <w:rsid w:val="0069320B"/>
    <w:rsid w:val="00697147"/>
    <w:rsid w:val="00697417"/>
    <w:rsid w:val="006A1C9C"/>
    <w:rsid w:val="006A6FF7"/>
    <w:rsid w:val="006A7EEB"/>
    <w:rsid w:val="006B2D88"/>
    <w:rsid w:val="006B4D77"/>
    <w:rsid w:val="006B7B9B"/>
    <w:rsid w:val="006B7CDC"/>
    <w:rsid w:val="006C0BA8"/>
    <w:rsid w:val="006D2A38"/>
    <w:rsid w:val="006D497D"/>
    <w:rsid w:val="006E09CF"/>
    <w:rsid w:val="006E0CE2"/>
    <w:rsid w:val="006E1B49"/>
    <w:rsid w:val="006E692D"/>
    <w:rsid w:val="006F2745"/>
    <w:rsid w:val="006F2A30"/>
    <w:rsid w:val="006F47B7"/>
    <w:rsid w:val="006F5F5B"/>
    <w:rsid w:val="007017C1"/>
    <w:rsid w:val="007122F8"/>
    <w:rsid w:val="00712A57"/>
    <w:rsid w:val="007130B5"/>
    <w:rsid w:val="007167C6"/>
    <w:rsid w:val="00722F62"/>
    <w:rsid w:val="00723446"/>
    <w:rsid w:val="00725623"/>
    <w:rsid w:val="00725E79"/>
    <w:rsid w:val="00726B80"/>
    <w:rsid w:val="00727F14"/>
    <w:rsid w:val="00731562"/>
    <w:rsid w:val="00734751"/>
    <w:rsid w:val="00735818"/>
    <w:rsid w:val="00736119"/>
    <w:rsid w:val="007425C5"/>
    <w:rsid w:val="00742ED1"/>
    <w:rsid w:val="00743BA8"/>
    <w:rsid w:val="007466A4"/>
    <w:rsid w:val="00747FB9"/>
    <w:rsid w:val="00754C67"/>
    <w:rsid w:val="0075508B"/>
    <w:rsid w:val="00755AEB"/>
    <w:rsid w:val="00763FB8"/>
    <w:rsid w:val="007640B1"/>
    <w:rsid w:val="007646C0"/>
    <w:rsid w:val="00764BF2"/>
    <w:rsid w:val="00767DB4"/>
    <w:rsid w:val="00770E17"/>
    <w:rsid w:val="0077153B"/>
    <w:rsid w:val="007766FC"/>
    <w:rsid w:val="0078785D"/>
    <w:rsid w:val="00793000"/>
    <w:rsid w:val="00795D7F"/>
    <w:rsid w:val="007A37FC"/>
    <w:rsid w:val="007A6D33"/>
    <w:rsid w:val="007A6DC0"/>
    <w:rsid w:val="007A7D7E"/>
    <w:rsid w:val="007B2407"/>
    <w:rsid w:val="007B37AD"/>
    <w:rsid w:val="007B4B75"/>
    <w:rsid w:val="007B62F9"/>
    <w:rsid w:val="007B7E3D"/>
    <w:rsid w:val="007C4795"/>
    <w:rsid w:val="007C74C8"/>
    <w:rsid w:val="007D0CDE"/>
    <w:rsid w:val="007D2B6A"/>
    <w:rsid w:val="007D2FEA"/>
    <w:rsid w:val="007D5B9E"/>
    <w:rsid w:val="007E333B"/>
    <w:rsid w:val="007E497E"/>
    <w:rsid w:val="007E4B72"/>
    <w:rsid w:val="007E6065"/>
    <w:rsid w:val="007E636D"/>
    <w:rsid w:val="007E69A6"/>
    <w:rsid w:val="007F062B"/>
    <w:rsid w:val="007F1F09"/>
    <w:rsid w:val="008014E8"/>
    <w:rsid w:val="0080157C"/>
    <w:rsid w:val="0080323F"/>
    <w:rsid w:val="008048CB"/>
    <w:rsid w:val="00804B58"/>
    <w:rsid w:val="00806A75"/>
    <w:rsid w:val="00806E49"/>
    <w:rsid w:val="00812CBC"/>
    <w:rsid w:val="00813125"/>
    <w:rsid w:val="0081377F"/>
    <w:rsid w:val="00813890"/>
    <w:rsid w:val="00813DA0"/>
    <w:rsid w:val="00816837"/>
    <w:rsid w:val="00816E7A"/>
    <w:rsid w:val="00821171"/>
    <w:rsid w:val="008218D3"/>
    <w:rsid w:val="00822146"/>
    <w:rsid w:val="00824CF0"/>
    <w:rsid w:val="0083040A"/>
    <w:rsid w:val="00831219"/>
    <w:rsid w:val="008334F7"/>
    <w:rsid w:val="00835D23"/>
    <w:rsid w:val="0084143B"/>
    <w:rsid w:val="00845A92"/>
    <w:rsid w:val="0084672B"/>
    <w:rsid w:val="00847D6F"/>
    <w:rsid w:val="00847DD1"/>
    <w:rsid w:val="00853912"/>
    <w:rsid w:val="008539AF"/>
    <w:rsid w:val="00853E5E"/>
    <w:rsid w:val="00854CB0"/>
    <w:rsid w:val="00860393"/>
    <w:rsid w:val="00860FBA"/>
    <w:rsid w:val="008618B3"/>
    <w:rsid w:val="00874B6A"/>
    <w:rsid w:val="00875823"/>
    <w:rsid w:val="008758FC"/>
    <w:rsid w:val="0087759C"/>
    <w:rsid w:val="008828BE"/>
    <w:rsid w:val="00882A03"/>
    <w:rsid w:val="00883A94"/>
    <w:rsid w:val="00884590"/>
    <w:rsid w:val="008862A4"/>
    <w:rsid w:val="008917E7"/>
    <w:rsid w:val="00896368"/>
    <w:rsid w:val="00896A7C"/>
    <w:rsid w:val="008A253D"/>
    <w:rsid w:val="008B46BE"/>
    <w:rsid w:val="008B6272"/>
    <w:rsid w:val="008B7425"/>
    <w:rsid w:val="008C016F"/>
    <w:rsid w:val="008C0536"/>
    <w:rsid w:val="008C20CD"/>
    <w:rsid w:val="008C4B44"/>
    <w:rsid w:val="008C60EB"/>
    <w:rsid w:val="008C7B57"/>
    <w:rsid w:val="008D4248"/>
    <w:rsid w:val="008E2087"/>
    <w:rsid w:val="008E25CC"/>
    <w:rsid w:val="008F00AC"/>
    <w:rsid w:val="008F304F"/>
    <w:rsid w:val="008F58F7"/>
    <w:rsid w:val="008F65D3"/>
    <w:rsid w:val="0090356A"/>
    <w:rsid w:val="00904125"/>
    <w:rsid w:val="009057E9"/>
    <w:rsid w:val="009069E3"/>
    <w:rsid w:val="00910DF7"/>
    <w:rsid w:val="0091188C"/>
    <w:rsid w:val="0091451A"/>
    <w:rsid w:val="00916E8C"/>
    <w:rsid w:val="00917B4D"/>
    <w:rsid w:val="00922766"/>
    <w:rsid w:val="009240BD"/>
    <w:rsid w:val="00924654"/>
    <w:rsid w:val="00925AA3"/>
    <w:rsid w:val="00926D3E"/>
    <w:rsid w:val="009310E5"/>
    <w:rsid w:val="0093343E"/>
    <w:rsid w:val="00935806"/>
    <w:rsid w:val="00935B94"/>
    <w:rsid w:val="0094073C"/>
    <w:rsid w:val="009409F5"/>
    <w:rsid w:val="00943D9E"/>
    <w:rsid w:val="009446F7"/>
    <w:rsid w:val="00950069"/>
    <w:rsid w:val="009504EF"/>
    <w:rsid w:val="0095132D"/>
    <w:rsid w:val="0095740A"/>
    <w:rsid w:val="009608EB"/>
    <w:rsid w:val="009613F5"/>
    <w:rsid w:val="00965A38"/>
    <w:rsid w:val="00965E3E"/>
    <w:rsid w:val="0096775F"/>
    <w:rsid w:val="00970F85"/>
    <w:rsid w:val="009724F0"/>
    <w:rsid w:val="00972CB7"/>
    <w:rsid w:val="00975D50"/>
    <w:rsid w:val="0098126F"/>
    <w:rsid w:val="009815B2"/>
    <w:rsid w:val="0098353A"/>
    <w:rsid w:val="00983F72"/>
    <w:rsid w:val="0098622C"/>
    <w:rsid w:val="009864E0"/>
    <w:rsid w:val="00986C18"/>
    <w:rsid w:val="00986CA7"/>
    <w:rsid w:val="00987574"/>
    <w:rsid w:val="009A0BE7"/>
    <w:rsid w:val="009A1D9E"/>
    <w:rsid w:val="009A5458"/>
    <w:rsid w:val="009B4B08"/>
    <w:rsid w:val="009B4F7A"/>
    <w:rsid w:val="009C0C97"/>
    <w:rsid w:val="009C3EE0"/>
    <w:rsid w:val="009D1DB4"/>
    <w:rsid w:val="009D2899"/>
    <w:rsid w:val="009D31AE"/>
    <w:rsid w:val="009D410E"/>
    <w:rsid w:val="009D7EF1"/>
    <w:rsid w:val="009E2615"/>
    <w:rsid w:val="009E6EBE"/>
    <w:rsid w:val="009F0E64"/>
    <w:rsid w:val="009F26C9"/>
    <w:rsid w:val="009F31B6"/>
    <w:rsid w:val="009F38E2"/>
    <w:rsid w:val="00A02A12"/>
    <w:rsid w:val="00A10EFE"/>
    <w:rsid w:val="00A121E8"/>
    <w:rsid w:val="00A16B90"/>
    <w:rsid w:val="00A17896"/>
    <w:rsid w:val="00A2033D"/>
    <w:rsid w:val="00A2243C"/>
    <w:rsid w:val="00A22BE5"/>
    <w:rsid w:val="00A231FF"/>
    <w:rsid w:val="00A31444"/>
    <w:rsid w:val="00A31971"/>
    <w:rsid w:val="00A3281D"/>
    <w:rsid w:val="00A3324E"/>
    <w:rsid w:val="00A37D31"/>
    <w:rsid w:val="00A37D67"/>
    <w:rsid w:val="00A417AB"/>
    <w:rsid w:val="00A44B42"/>
    <w:rsid w:val="00A47395"/>
    <w:rsid w:val="00A47AF4"/>
    <w:rsid w:val="00A51150"/>
    <w:rsid w:val="00A565A0"/>
    <w:rsid w:val="00A56EAD"/>
    <w:rsid w:val="00A649ED"/>
    <w:rsid w:val="00A756B0"/>
    <w:rsid w:val="00A770CB"/>
    <w:rsid w:val="00A80F08"/>
    <w:rsid w:val="00A83AEB"/>
    <w:rsid w:val="00A8489F"/>
    <w:rsid w:val="00A85B16"/>
    <w:rsid w:val="00A85B53"/>
    <w:rsid w:val="00A86E83"/>
    <w:rsid w:val="00A92089"/>
    <w:rsid w:val="00A9403A"/>
    <w:rsid w:val="00A944E8"/>
    <w:rsid w:val="00A95B84"/>
    <w:rsid w:val="00AA5536"/>
    <w:rsid w:val="00AC0DB8"/>
    <w:rsid w:val="00AC47DE"/>
    <w:rsid w:val="00AC5173"/>
    <w:rsid w:val="00AC6613"/>
    <w:rsid w:val="00AC6CDD"/>
    <w:rsid w:val="00AD27F0"/>
    <w:rsid w:val="00AD55B9"/>
    <w:rsid w:val="00AE2D77"/>
    <w:rsid w:val="00AE5DAD"/>
    <w:rsid w:val="00AF4562"/>
    <w:rsid w:val="00AF6B6B"/>
    <w:rsid w:val="00B015DE"/>
    <w:rsid w:val="00B025B8"/>
    <w:rsid w:val="00B026C2"/>
    <w:rsid w:val="00B02E51"/>
    <w:rsid w:val="00B04764"/>
    <w:rsid w:val="00B04F60"/>
    <w:rsid w:val="00B07A0A"/>
    <w:rsid w:val="00B109DA"/>
    <w:rsid w:val="00B1194F"/>
    <w:rsid w:val="00B119B2"/>
    <w:rsid w:val="00B11F28"/>
    <w:rsid w:val="00B15E50"/>
    <w:rsid w:val="00B211DA"/>
    <w:rsid w:val="00B26F5C"/>
    <w:rsid w:val="00B272E9"/>
    <w:rsid w:val="00B316B7"/>
    <w:rsid w:val="00B322E7"/>
    <w:rsid w:val="00B357A3"/>
    <w:rsid w:val="00B40E15"/>
    <w:rsid w:val="00B45C64"/>
    <w:rsid w:val="00B46F52"/>
    <w:rsid w:val="00B52B39"/>
    <w:rsid w:val="00B53C53"/>
    <w:rsid w:val="00B55085"/>
    <w:rsid w:val="00B57BAF"/>
    <w:rsid w:val="00B62E44"/>
    <w:rsid w:val="00B655F8"/>
    <w:rsid w:val="00B6567D"/>
    <w:rsid w:val="00B669DC"/>
    <w:rsid w:val="00B7207B"/>
    <w:rsid w:val="00B74546"/>
    <w:rsid w:val="00B75737"/>
    <w:rsid w:val="00B85500"/>
    <w:rsid w:val="00B8600B"/>
    <w:rsid w:val="00B87D0E"/>
    <w:rsid w:val="00B92B6D"/>
    <w:rsid w:val="00B931D9"/>
    <w:rsid w:val="00B94AB1"/>
    <w:rsid w:val="00B9578E"/>
    <w:rsid w:val="00B95D1F"/>
    <w:rsid w:val="00B9635A"/>
    <w:rsid w:val="00B96DF4"/>
    <w:rsid w:val="00BA0FFE"/>
    <w:rsid w:val="00BA54C4"/>
    <w:rsid w:val="00BB0644"/>
    <w:rsid w:val="00BB1FFB"/>
    <w:rsid w:val="00BB314E"/>
    <w:rsid w:val="00BC396F"/>
    <w:rsid w:val="00BC52A5"/>
    <w:rsid w:val="00BC6805"/>
    <w:rsid w:val="00BC75C2"/>
    <w:rsid w:val="00BD13D7"/>
    <w:rsid w:val="00BE2B69"/>
    <w:rsid w:val="00BE33CE"/>
    <w:rsid w:val="00BE37EE"/>
    <w:rsid w:val="00BE4DB5"/>
    <w:rsid w:val="00BE7BB2"/>
    <w:rsid w:val="00BF3C38"/>
    <w:rsid w:val="00BF5345"/>
    <w:rsid w:val="00BF5986"/>
    <w:rsid w:val="00BF5B94"/>
    <w:rsid w:val="00C0330E"/>
    <w:rsid w:val="00C0644D"/>
    <w:rsid w:val="00C06722"/>
    <w:rsid w:val="00C12182"/>
    <w:rsid w:val="00C16068"/>
    <w:rsid w:val="00C218E6"/>
    <w:rsid w:val="00C2202E"/>
    <w:rsid w:val="00C24CCD"/>
    <w:rsid w:val="00C31026"/>
    <w:rsid w:val="00C320EC"/>
    <w:rsid w:val="00C323B4"/>
    <w:rsid w:val="00C3315E"/>
    <w:rsid w:val="00C35162"/>
    <w:rsid w:val="00C40B6A"/>
    <w:rsid w:val="00C41376"/>
    <w:rsid w:val="00C44F4A"/>
    <w:rsid w:val="00C477C4"/>
    <w:rsid w:val="00C51A35"/>
    <w:rsid w:val="00C53FC4"/>
    <w:rsid w:val="00C559ED"/>
    <w:rsid w:val="00C606A6"/>
    <w:rsid w:val="00C60905"/>
    <w:rsid w:val="00C663CA"/>
    <w:rsid w:val="00C70947"/>
    <w:rsid w:val="00C70C15"/>
    <w:rsid w:val="00C70D1E"/>
    <w:rsid w:val="00C71397"/>
    <w:rsid w:val="00C728D0"/>
    <w:rsid w:val="00C8208F"/>
    <w:rsid w:val="00C82CDA"/>
    <w:rsid w:val="00C834F9"/>
    <w:rsid w:val="00C901F8"/>
    <w:rsid w:val="00C93804"/>
    <w:rsid w:val="00C95056"/>
    <w:rsid w:val="00C975FF"/>
    <w:rsid w:val="00CA211B"/>
    <w:rsid w:val="00CA6937"/>
    <w:rsid w:val="00CA6EFC"/>
    <w:rsid w:val="00CB0D24"/>
    <w:rsid w:val="00CB4409"/>
    <w:rsid w:val="00CC2089"/>
    <w:rsid w:val="00CC2266"/>
    <w:rsid w:val="00CC3667"/>
    <w:rsid w:val="00CC664A"/>
    <w:rsid w:val="00CC74A1"/>
    <w:rsid w:val="00CD2168"/>
    <w:rsid w:val="00CD65DE"/>
    <w:rsid w:val="00CE005B"/>
    <w:rsid w:val="00CE0CB5"/>
    <w:rsid w:val="00CE4FEA"/>
    <w:rsid w:val="00CE51C6"/>
    <w:rsid w:val="00CE594E"/>
    <w:rsid w:val="00CE609A"/>
    <w:rsid w:val="00CF2374"/>
    <w:rsid w:val="00CF5117"/>
    <w:rsid w:val="00CF6B2B"/>
    <w:rsid w:val="00D046B7"/>
    <w:rsid w:val="00D05602"/>
    <w:rsid w:val="00D1400D"/>
    <w:rsid w:val="00D143F9"/>
    <w:rsid w:val="00D1441B"/>
    <w:rsid w:val="00D14F9A"/>
    <w:rsid w:val="00D22450"/>
    <w:rsid w:val="00D25C57"/>
    <w:rsid w:val="00D2699C"/>
    <w:rsid w:val="00D27947"/>
    <w:rsid w:val="00D27EC4"/>
    <w:rsid w:val="00D3042E"/>
    <w:rsid w:val="00D3254D"/>
    <w:rsid w:val="00D37419"/>
    <w:rsid w:val="00D41857"/>
    <w:rsid w:val="00D517B3"/>
    <w:rsid w:val="00D53EBA"/>
    <w:rsid w:val="00D551DF"/>
    <w:rsid w:val="00D5540B"/>
    <w:rsid w:val="00D559C7"/>
    <w:rsid w:val="00D57A45"/>
    <w:rsid w:val="00D67173"/>
    <w:rsid w:val="00D71FA2"/>
    <w:rsid w:val="00D726E9"/>
    <w:rsid w:val="00D73B47"/>
    <w:rsid w:val="00D76771"/>
    <w:rsid w:val="00D816BE"/>
    <w:rsid w:val="00D87AAC"/>
    <w:rsid w:val="00D927D8"/>
    <w:rsid w:val="00D9541A"/>
    <w:rsid w:val="00DA17AE"/>
    <w:rsid w:val="00DA3095"/>
    <w:rsid w:val="00DA3EAF"/>
    <w:rsid w:val="00DA4126"/>
    <w:rsid w:val="00DA5600"/>
    <w:rsid w:val="00DB2519"/>
    <w:rsid w:val="00DB32AD"/>
    <w:rsid w:val="00DB44EA"/>
    <w:rsid w:val="00DB503D"/>
    <w:rsid w:val="00DB65E8"/>
    <w:rsid w:val="00DB65EB"/>
    <w:rsid w:val="00DC228C"/>
    <w:rsid w:val="00DC56C9"/>
    <w:rsid w:val="00DD2482"/>
    <w:rsid w:val="00DD404D"/>
    <w:rsid w:val="00DE10B7"/>
    <w:rsid w:val="00DE71F7"/>
    <w:rsid w:val="00DE7331"/>
    <w:rsid w:val="00DF1EC5"/>
    <w:rsid w:val="00DF2EB7"/>
    <w:rsid w:val="00DF3D17"/>
    <w:rsid w:val="00DF3D34"/>
    <w:rsid w:val="00DF686D"/>
    <w:rsid w:val="00E040D5"/>
    <w:rsid w:val="00E05C6C"/>
    <w:rsid w:val="00E07205"/>
    <w:rsid w:val="00E13719"/>
    <w:rsid w:val="00E14414"/>
    <w:rsid w:val="00E20E66"/>
    <w:rsid w:val="00E2430B"/>
    <w:rsid w:val="00E257E3"/>
    <w:rsid w:val="00E25D88"/>
    <w:rsid w:val="00E25E12"/>
    <w:rsid w:val="00E3240A"/>
    <w:rsid w:val="00E36983"/>
    <w:rsid w:val="00E36D97"/>
    <w:rsid w:val="00E41BFA"/>
    <w:rsid w:val="00E444AF"/>
    <w:rsid w:val="00E477C8"/>
    <w:rsid w:val="00E505E4"/>
    <w:rsid w:val="00E52350"/>
    <w:rsid w:val="00E5531A"/>
    <w:rsid w:val="00E61D17"/>
    <w:rsid w:val="00E64B84"/>
    <w:rsid w:val="00E65525"/>
    <w:rsid w:val="00E65596"/>
    <w:rsid w:val="00E65D6F"/>
    <w:rsid w:val="00E67B6C"/>
    <w:rsid w:val="00E738B7"/>
    <w:rsid w:val="00E74226"/>
    <w:rsid w:val="00E74F89"/>
    <w:rsid w:val="00E7507B"/>
    <w:rsid w:val="00E7562B"/>
    <w:rsid w:val="00E76376"/>
    <w:rsid w:val="00E77437"/>
    <w:rsid w:val="00E83B25"/>
    <w:rsid w:val="00E84CD2"/>
    <w:rsid w:val="00E87B5A"/>
    <w:rsid w:val="00E919C6"/>
    <w:rsid w:val="00E952AF"/>
    <w:rsid w:val="00E968A5"/>
    <w:rsid w:val="00EA0849"/>
    <w:rsid w:val="00EA6EDA"/>
    <w:rsid w:val="00EA75DE"/>
    <w:rsid w:val="00EB2B3C"/>
    <w:rsid w:val="00EB5D32"/>
    <w:rsid w:val="00EC3D5A"/>
    <w:rsid w:val="00EC7011"/>
    <w:rsid w:val="00ED1CE2"/>
    <w:rsid w:val="00ED334D"/>
    <w:rsid w:val="00ED3BEB"/>
    <w:rsid w:val="00ED4690"/>
    <w:rsid w:val="00ED5F24"/>
    <w:rsid w:val="00ED7FAA"/>
    <w:rsid w:val="00EE3E2D"/>
    <w:rsid w:val="00EE6489"/>
    <w:rsid w:val="00EF0587"/>
    <w:rsid w:val="00EF08F5"/>
    <w:rsid w:val="00EF234E"/>
    <w:rsid w:val="00F03895"/>
    <w:rsid w:val="00F07C58"/>
    <w:rsid w:val="00F1012D"/>
    <w:rsid w:val="00F10ACC"/>
    <w:rsid w:val="00F11BBA"/>
    <w:rsid w:val="00F14F39"/>
    <w:rsid w:val="00F17C5B"/>
    <w:rsid w:val="00F24246"/>
    <w:rsid w:val="00F2761B"/>
    <w:rsid w:val="00F321C6"/>
    <w:rsid w:val="00F35411"/>
    <w:rsid w:val="00F36614"/>
    <w:rsid w:val="00F366E4"/>
    <w:rsid w:val="00F427E0"/>
    <w:rsid w:val="00F42ECA"/>
    <w:rsid w:val="00F44ED2"/>
    <w:rsid w:val="00F47213"/>
    <w:rsid w:val="00F526AF"/>
    <w:rsid w:val="00F5394F"/>
    <w:rsid w:val="00F55FAA"/>
    <w:rsid w:val="00F56F21"/>
    <w:rsid w:val="00F630C6"/>
    <w:rsid w:val="00F661DB"/>
    <w:rsid w:val="00F6761B"/>
    <w:rsid w:val="00F67C9B"/>
    <w:rsid w:val="00F71136"/>
    <w:rsid w:val="00F76B04"/>
    <w:rsid w:val="00F776D9"/>
    <w:rsid w:val="00F81E8E"/>
    <w:rsid w:val="00F83DA6"/>
    <w:rsid w:val="00F8552E"/>
    <w:rsid w:val="00F91214"/>
    <w:rsid w:val="00FA1321"/>
    <w:rsid w:val="00FA6514"/>
    <w:rsid w:val="00FA6F52"/>
    <w:rsid w:val="00FB2090"/>
    <w:rsid w:val="00FB26F8"/>
    <w:rsid w:val="00FB334F"/>
    <w:rsid w:val="00FB68E2"/>
    <w:rsid w:val="00FB6A5E"/>
    <w:rsid w:val="00FB6C36"/>
    <w:rsid w:val="00FC0EBC"/>
    <w:rsid w:val="00FC17B9"/>
    <w:rsid w:val="00FC2F8B"/>
    <w:rsid w:val="00FC51B4"/>
    <w:rsid w:val="00FC6652"/>
    <w:rsid w:val="00FC6698"/>
    <w:rsid w:val="00FD07BB"/>
    <w:rsid w:val="00FD757B"/>
    <w:rsid w:val="00FD7693"/>
    <w:rsid w:val="00FE5556"/>
    <w:rsid w:val="00FF1DE0"/>
    <w:rsid w:val="00FF2330"/>
    <w:rsid w:val="00FF416F"/>
    <w:rsid w:val="00FF4CCE"/>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locked="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atentStyles>
  <w:style w:type="paragraph" w:default="1" w:styleId="Normal">
    <w:name w:val="Normal"/>
    <w:qFormat/>
    <w:rsid w:val="00697417"/>
    <w:pPr>
      <w:spacing w:before="240"/>
    </w:pPr>
    <w:rPr>
      <w:rFonts w:eastAsia="MS Mincho"/>
      <w:color w:val="000000"/>
      <w:sz w:val="24"/>
      <w:szCs w:val="24"/>
      <w:lang w:val="en-US" w:eastAsia="en-US"/>
    </w:rPr>
  </w:style>
  <w:style w:type="paragraph" w:styleId="Heading1">
    <w:name w:val="heading 1"/>
    <w:next w:val="Normal"/>
    <w:qFormat/>
    <w:locked/>
    <w:rsid w:val="002C5256"/>
    <w:pPr>
      <w:keepNext/>
      <w:pageBreakBefore/>
      <w:numPr>
        <w:numId w:val="9"/>
      </w:numPr>
      <w:spacing w:before="480"/>
      <w:outlineLvl w:val="0"/>
    </w:pPr>
    <w:rPr>
      <w:rFonts w:ascii="Arial" w:eastAsia="MS Gothic" w:hAnsi="Arial" w:cs="Arial"/>
      <w:b/>
      <w:bCs/>
      <w:caps/>
      <w:kern w:val="32"/>
      <w:sz w:val="28"/>
      <w:szCs w:val="32"/>
      <w:lang w:val="en-US" w:eastAsia="en-US"/>
    </w:rPr>
  </w:style>
  <w:style w:type="paragraph" w:styleId="Heading2">
    <w:name w:val="heading 2"/>
    <w:basedOn w:val="Heading1"/>
    <w:next w:val="Normal"/>
    <w:qFormat/>
    <w:rsid w:val="002C5256"/>
    <w:pPr>
      <w:pageBreakBefore w:val="0"/>
      <w:numPr>
        <w:ilvl w:val="1"/>
      </w:numPr>
      <w:outlineLvl w:val="1"/>
    </w:pPr>
    <w:rPr>
      <w:bCs w:val="0"/>
      <w:iCs/>
      <w:sz w:val="22"/>
      <w:szCs w:val="28"/>
    </w:rPr>
  </w:style>
  <w:style w:type="paragraph" w:styleId="Heading3">
    <w:name w:val="heading 3"/>
    <w:basedOn w:val="Heading1"/>
    <w:next w:val="Normal"/>
    <w:qFormat/>
    <w:rsid w:val="002C5256"/>
    <w:pPr>
      <w:pageBreakBefore w:val="0"/>
      <w:numPr>
        <w:ilvl w:val="2"/>
      </w:numPr>
      <w:spacing w:before="360"/>
      <w:outlineLvl w:val="2"/>
    </w:pPr>
    <w:rPr>
      <w:bCs w:val="0"/>
      <w:caps w:val="0"/>
      <w:sz w:val="22"/>
      <w:szCs w:val="26"/>
    </w:rPr>
  </w:style>
  <w:style w:type="paragraph" w:styleId="Heading4">
    <w:name w:val="heading 4"/>
    <w:basedOn w:val="Heading1"/>
    <w:next w:val="Normal"/>
    <w:qFormat/>
    <w:rsid w:val="002C5256"/>
    <w:pPr>
      <w:pageBreakBefore w:val="0"/>
      <w:numPr>
        <w:ilvl w:val="3"/>
      </w:numPr>
      <w:spacing w:before="360"/>
      <w:outlineLvl w:val="3"/>
    </w:pPr>
    <w:rPr>
      <w:bCs w:val="0"/>
      <w:i/>
      <w:caps w:val="0"/>
      <w:sz w:val="22"/>
      <w:szCs w:val="28"/>
    </w:rPr>
  </w:style>
  <w:style w:type="paragraph" w:styleId="Heading5">
    <w:name w:val="heading 5"/>
    <w:basedOn w:val="Heading1"/>
    <w:next w:val="Normal"/>
    <w:qFormat/>
    <w:rsid w:val="002C5256"/>
    <w:pPr>
      <w:pageBreakBefore w:val="0"/>
      <w:numPr>
        <w:ilvl w:val="4"/>
      </w:numPr>
      <w:spacing w:before="360"/>
      <w:outlineLvl w:val="4"/>
    </w:pPr>
    <w:rPr>
      <w:b w:val="0"/>
      <w:bCs w:val="0"/>
      <w:i/>
      <w:iCs/>
      <w:caps w:val="0"/>
      <w:sz w:val="22"/>
      <w:szCs w:val="26"/>
    </w:rPr>
  </w:style>
  <w:style w:type="paragraph" w:styleId="Heading6">
    <w:name w:val="heading 6"/>
    <w:basedOn w:val="Heading1"/>
    <w:next w:val="Normal"/>
    <w:qFormat/>
    <w:rsid w:val="002C5256"/>
    <w:pPr>
      <w:pageBreakBefore w:val="0"/>
      <w:numPr>
        <w:ilvl w:val="5"/>
      </w:numPr>
      <w:spacing w:before="360"/>
      <w:outlineLvl w:val="5"/>
    </w:pPr>
    <w:rPr>
      <w:b w:val="0"/>
      <w:bCs w:val="0"/>
      <w:caps w:val="0"/>
      <w:sz w:val="22"/>
      <w:szCs w:val="22"/>
    </w:rPr>
  </w:style>
  <w:style w:type="paragraph" w:styleId="Heading7">
    <w:name w:val="heading 7"/>
    <w:basedOn w:val="Heading6"/>
    <w:next w:val="Normal"/>
    <w:qFormat/>
    <w:rsid w:val="002C5256"/>
    <w:pPr>
      <w:numPr>
        <w:ilvl w:val="6"/>
      </w:numPr>
      <w:outlineLvl w:val="6"/>
    </w:pPr>
  </w:style>
  <w:style w:type="paragraph" w:styleId="Heading8">
    <w:name w:val="heading 8"/>
    <w:basedOn w:val="Heading6"/>
    <w:next w:val="Normal"/>
    <w:qFormat/>
    <w:rsid w:val="002C5256"/>
    <w:pPr>
      <w:numPr>
        <w:ilvl w:val="7"/>
      </w:numPr>
      <w:outlineLvl w:val="7"/>
    </w:pPr>
    <w:rPr>
      <w:iCs/>
    </w:rPr>
  </w:style>
  <w:style w:type="paragraph" w:styleId="Heading9">
    <w:name w:val="heading 9"/>
    <w:basedOn w:val="Heading6"/>
    <w:next w:val="Normal"/>
    <w:qFormat/>
    <w:rsid w:val="002C5256"/>
    <w:pPr>
      <w:numPr>
        <w:ilvl w:val="8"/>
      </w:numPr>
      <w:tabs>
        <w:tab w:val="left" w:pos="1797"/>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697417"/>
    <w:pPr>
      <w:tabs>
        <w:tab w:val="left" w:pos="4536"/>
        <w:tab w:val="right" w:pos="9480"/>
      </w:tabs>
    </w:pPr>
    <w:rPr>
      <w:rFonts w:ascii="Arial" w:eastAsia="MS Gothic" w:hAnsi="Arial"/>
      <w:sz w:val="18"/>
      <w:lang w:val="en-US" w:eastAsia="en-US"/>
    </w:rPr>
  </w:style>
  <w:style w:type="paragraph" w:styleId="Footer">
    <w:name w:val="footer"/>
    <w:rsid w:val="00697417"/>
    <w:pPr>
      <w:tabs>
        <w:tab w:val="right" w:pos="9469"/>
      </w:tabs>
    </w:pPr>
    <w:rPr>
      <w:rFonts w:ascii="Arial" w:eastAsia="MS Gothic" w:hAnsi="Arial"/>
      <w:sz w:val="18"/>
      <w:lang w:val="en-US" w:eastAsia="en-US"/>
    </w:rPr>
  </w:style>
  <w:style w:type="paragraph" w:customStyle="1" w:styleId="Heading1NoTOC">
    <w:name w:val="Heading 1 NoTOC"/>
    <w:basedOn w:val="Heading1"/>
    <w:rsid w:val="00697417"/>
    <w:pPr>
      <w:numPr>
        <w:numId w:val="0"/>
      </w:numPr>
      <w:outlineLvl w:val="9"/>
    </w:pPr>
  </w:style>
  <w:style w:type="paragraph" w:styleId="Title">
    <w:name w:val="Title"/>
    <w:next w:val="Normal"/>
    <w:qFormat/>
    <w:rsid w:val="00697417"/>
    <w:pPr>
      <w:keepNext/>
      <w:spacing w:before="600" w:after="480"/>
      <w:jc w:val="center"/>
      <w:outlineLvl w:val="0"/>
    </w:pPr>
    <w:rPr>
      <w:rFonts w:ascii="Arial" w:eastAsia="MS Gothic" w:hAnsi="Arial" w:cs="Arial"/>
      <w:b/>
      <w:bCs/>
      <w:caps/>
      <w:sz w:val="22"/>
      <w:szCs w:val="32"/>
      <w:lang w:val="en-US" w:eastAsia="en-US"/>
    </w:rPr>
  </w:style>
  <w:style w:type="paragraph" w:customStyle="1" w:styleId="TitleNoToc">
    <w:name w:val="Title NoToc"/>
    <w:basedOn w:val="Title"/>
    <w:next w:val="Normal"/>
    <w:rsid w:val="00697417"/>
    <w:pPr>
      <w:outlineLvl w:val="9"/>
    </w:pPr>
  </w:style>
  <w:style w:type="character" w:customStyle="1" w:styleId="InstructionsTextChar">
    <w:name w:val="Instructions Text Char"/>
    <w:link w:val="InstructionsText"/>
    <w:rsid w:val="00697417"/>
    <w:rPr>
      <w:rFonts w:eastAsia="MS Mincho"/>
      <w:color w:val="000000"/>
      <w:sz w:val="24"/>
      <w:szCs w:val="24"/>
      <w:shd w:val="clear" w:color="auto" w:fill="FFCC66"/>
      <w:lang w:val="en-US" w:eastAsia="en-US"/>
    </w:rPr>
  </w:style>
  <w:style w:type="paragraph" w:customStyle="1" w:styleId="ListNumbered">
    <w:name w:val="List Numbered"/>
    <w:basedOn w:val="Normal"/>
    <w:rsid w:val="00697417"/>
    <w:pPr>
      <w:numPr>
        <w:numId w:val="2"/>
      </w:numPr>
      <w:spacing w:before="120"/>
    </w:pPr>
  </w:style>
  <w:style w:type="paragraph" w:customStyle="1" w:styleId="ListBulletLevel1">
    <w:name w:val="List Bullet Level 1"/>
    <w:basedOn w:val="Normal"/>
    <w:rsid w:val="00697417"/>
    <w:pPr>
      <w:numPr>
        <w:numId w:val="8"/>
      </w:numPr>
      <w:spacing w:before="120"/>
    </w:pPr>
  </w:style>
  <w:style w:type="paragraph" w:customStyle="1" w:styleId="ListAlphabeticalLevel1">
    <w:name w:val="List Alphabetical Level 1"/>
    <w:basedOn w:val="Normal"/>
    <w:rsid w:val="00697417"/>
    <w:pPr>
      <w:numPr>
        <w:numId w:val="1"/>
      </w:numPr>
      <w:spacing w:before="120"/>
    </w:pPr>
  </w:style>
  <w:style w:type="paragraph" w:styleId="DocumentMap">
    <w:name w:val="Document Map"/>
    <w:basedOn w:val="Normal"/>
    <w:semiHidden/>
    <w:rsid w:val="00383443"/>
    <w:pPr>
      <w:shd w:val="clear" w:color="auto" w:fill="000080"/>
    </w:pPr>
    <w:rPr>
      <w:rFonts w:ascii="Tahoma" w:hAnsi="Tahoma" w:cs="Tahoma"/>
      <w:sz w:val="20"/>
      <w:szCs w:val="20"/>
    </w:rPr>
  </w:style>
  <w:style w:type="paragraph" w:customStyle="1" w:styleId="ListBulletLevel2">
    <w:name w:val="List Bullet Level 2"/>
    <w:basedOn w:val="Normal"/>
    <w:rsid w:val="00697417"/>
    <w:pPr>
      <w:numPr>
        <w:numId w:val="5"/>
      </w:numPr>
      <w:spacing w:before="120"/>
    </w:pPr>
    <w:rPr>
      <w:szCs w:val="20"/>
    </w:rPr>
  </w:style>
  <w:style w:type="paragraph" w:styleId="Caption">
    <w:name w:val="caption"/>
    <w:next w:val="Normal"/>
    <w:qFormat/>
    <w:rsid w:val="00697417"/>
    <w:pPr>
      <w:keepNext/>
      <w:spacing w:before="360" w:after="120"/>
      <w:jc w:val="center"/>
    </w:pPr>
    <w:rPr>
      <w:rFonts w:ascii="Arial" w:eastAsia="MS Gothic" w:hAnsi="Arial" w:cs="Arial"/>
      <w:b/>
      <w:bCs/>
      <w:lang w:val="en-US" w:eastAsia="en-US"/>
    </w:rPr>
  </w:style>
  <w:style w:type="paragraph" w:customStyle="1" w:styleId="InstructionsText">
    <w:name w:val="Instructions Text"/>
    <w:basedOn w:val="Normal"/>
    <w:next w:val="Normal"/>
    <w:link w:val="InstructionsTextChar"/>
    <w:rsid w:val="00697417"/>
    <w:pPr>
      <w:shd w:val="clear" w:color="auto" w:fill="FFCC66"/>
      <w:spacing w:before="40" w:after="40"/>
    </w:pPr>
  </w:style>
  <w:style w:type="character" w:styleId="FootnoteReference">
    <w:name w:val="footnote reference"/>
    <w:rsid w:val="00697417"/>
    <w:rPr>
      <w:rFonts w:ascii="Times New Roman" w:eastAsia="MS Mincho" w:hAnsi="Times New Roman"/>
      <w:color w:val="0000FF"/>
      <w:sz w:val="18"/>
      <w:vertAlign w:val="superscript"/>
    </w:rPr>
  </w:style>
  <w:style w:type="paragraph" w:styleId="FootnoteText">
    <w:name w:val="footnote text"/>
    <w:basedOn w:val="Normal"/>
    <w:rsid w:val="00697417"/>
    <w:pPr>
      <w:spacing w:before="20"/>
      <w:ind w:left="113" w:hanging="113"/>
    </w:pPr>
    <w:rPr>
      <w:sz w:val="22"/>
      <w:szCs w:val="20"/>
    </w:rPr>
  </w:style>
  <w:style w:type="paragraph" w:customStyle="1" w:styleId="Heading1NoNumbering">
    <w:name w:val="Heading 1 NoNumbering"/>
    <w:basedOn w:val="Heading1"/>
    <w:next w:val="Normal"/>
    <w:rsid w:val="00697417"/>
    <w:pPr>
      <w:numPr>
        <w:numId w:val="7"/>
      </w:numPr>
    </w:pPr>
  </w:style>
  <w:style w:type="paragraph" w:customStyle="1" w:styleId="TblTextCenter">
    <w:name w:val="Tbl Text Center"/>
    <w:basedOn w:val="TblTextLeft"/>
    <w:rsid w:val="00697417"/>
    <w:pPr>
      <w:jc w:val="center"/>
    </w:pPr>
  </w:style>
  <w:style w:type="paragraph" w:customStyle="1" w:styleId="TblTextLeft">
    <w:name w:val="Tbl Text Left"/>
    <w:rsid w:val="00697417"/>
    <w:pPr>
      <w:spacing w:before="60" w:after="60"/>
    </w:pPr>
    <w:rPr>
      <w:rFonts w:ascii="Arial Narrow" w:eastAsia="MS Gothic" w:hAnsi="Arial Narrow"/>
      <w:lang w:val="en-US" w:eastAsia="en-US"/>
    </w:rPr>
  </w:style>
  <w:style w:type="paragraph" w:customStyle="1" w:styleId="TblHeadingLeft">
    <w:name w:val="Tbl Heading Left"/>
    <w:rsid w:val="00697417"/>
    <w:pPr>
      <w:spacing w:before="60" w:after="60"/>
    </w:pPr>
    <w:rPr>
      <w:rFonts w:ascii="Arial" w:eastAsia="MS Gothic" w:hAnsi="Arial" w:cs="Arial"/>
      <w:b/>
      <w:noProof/>
      <w:lang w:val="de-DE" w:eastAsia="en-US"/>
    </w:rPr>
  </w:style>
  <w:style w:type="paragraph" w:customStyle="1" w:styleId="TblFigFootnote">
    <w:name w:val="Tbl Fig Footnote"/>
    <w:rsid w:val="00697417"/>
    <w:pPr>
      <w:keepLines/>
      <w:adjustRightInd w:val="0"/>
      <w:snapToGrid w:val="0"/>
      <w:spacing w:before="20" w:after="20"/>
    </w:pPr>
    <w:rPr>
      <w:rFonts w:ascii="Arial Narrow" w:eastAsia="MS Gothic" w:hAnsi="Arial Narrow"/>
      <w:sz w:val="18"/>
      <w:lang w:val="en-US" w:eastAsia="en-US"/>
    </w:rPr>
  </w:style>
  <w:style w:type="paragraph" w:customStyle="1" w:styleId="TblHeadingCenter">
    <w:name w:val="Tbl Heading Center"/>
    <w:basedOn w:val="TblHeadingLeft"/>
    <w:rsid w:val="00697417"/>
    <w:pPr>
      <w:jc w:val="center"/>
    </w:pPr>
  </w:style>
  <w:style w:type="paragraph" w:customStyle="1" w:styleId="HeaderLandscape">
    <w:name w:val="Header Landscape"/>
    <w:basedOn w:val="Header"/>
    <w:rsid w:val="00697417"/>
    <w:pPr>
      <w:tabs>
        <w:tab w:val="clear" w:pos="4536"/>
        <w:tab w:val="clear" w:pos="9480"/>
        <w:tab w:val="left" w:pos="6804"/>
        <w:tab w:val="right" w:pos="14118"/>
      </w:tabs>
    </w:pPr>
  </w:style>
  <w:style w:type="paragraph" w:customStyle="1" w:styleId="FooterLandscape">
    <w:name w:val="Footer Landscape"/>
    <w:basedOn w:val="Footer"/>
    <w:rsid w:val="00697417"/>
    <w:pPr>
      <w:tabs>
        <w:tab w:val="clear" w:pos="9469"/>
        <w:tab w:val="right" w:pos="14118"/>
      </w:tabs>
    </w:pPr>
  </w:style>
  <w:style w:type="character" w:customStyle="1" w:styleId="TblFigFootnoteReference">
    <w:name w:val="Tbl Fig Footnote Reference"/>
    <w:rsid w:val="00697417"/>
    <w:rPr>
      <w:rFonts w:ascii="Arial Narrow" w:eastAsia="MS Gothic" w:hAnsi="Arial Narrow"/>
      <w:i/>
      <w:dstrike w:val="0"/>
      <w:noProof w:val="0"/>
      <w:position w:val="6"/>
      <w:sz w:val="18"/>
      <w:vertAlign w:val="baseline"/>
      <w:lang w:val="en-US"/>
    </w:rPr>
  </w:style>
  <w:style w:type="paragraph" w:customStyle="1" w:styleId="xCover">
    <w:name w:val="xCover"/>
    <w:rsid w:val="00697417"/>
    <w:pPr>
      <w:spacing w:before="120"/>
    </w:pPr>
    <w:rPr>
      <w:rFonts w:ascii="Arial" w:eastAsia="MS Gothic" w:hAnsi="Arial"/>
      <w:lang w:val="en-US" w:eastAsia="en-US"/>
    </w:rPr>
  </w:style>
  <w:style w:type="paragraph" w:customStyle="1" w:styleId="xCoverAddress">
    <w:name w:val="xCoverAddress"/>
    <w:basedOn w:val="xCover"/>
    <w:rsid w:val="00697417"/>
    <w:pPr>
      <w:spacing w:before="0"/>
    </w:pPr>
  </w:style>
  <w:style w:type="paragraph" w:customStyle="1" w:styleId="xCoverDocType">
    <w:name w:val="xCoverDocType"/>
    <w:basedOn w:val="xCover"/>
    <w:rsid w:val="00697417"/>
    <w:pPr>
      <w:spacing w:before="360"/>
      <w:jc w:val="center"/>
    </w:pPr>
    <w:rPr>
      <w:b/>
      <w:caps/>
      <w:sz w:val="28"/>
    </w:rPr>
  </w:style>
  <w:style w:type="paragraph" w:customStyle="1" w:styleId="xCoverDocTitle">
    <w:name w:val="xCoverDocTitle"/>
    <w:basedOn w:val="xCover"/>
    <w:rsid w:val="00697417"/>
    <w:pPr>
      <w:spacing w:before="240"/>
      <w:jc w:val="center"/>
    </w:pPr>
    <w:rPr>
      <w:b/>
      <w:sz w:val="24"/>
    </w:rPr>
  </w:style>
  <w:style w:type="character" w:styleId="CommentReference">
    <w:name w:val="annotation reference"/>
    <w:rsid w:val="005110F5"/>
    <w:rPr>
      <w:sz w:val="16"/>
      <w:szCs w:val="16"/>
    </w:rPr>
  </w:style>
  <w:style w:type="paragraph" w:styleId="EndnoteText">
    <w:name w:val="endnote text"/>
    <w:basedOn w:val="Normal"/>
    <w:semiHidden/>
    <w:rsid w:val="00697417"/>
    <w:rPr>
      <w:sz w:val="22"/>
      <w:szCs w:val="20"/>
    </w:rPr>
  </w:style>
  <w:style w:type="character" w:styleId="EndnoteReference">
    <w:name w:val="endnote reference"/>
    <w:semiHidden/>
    <w:rsid w:val="00697417"/>
    <w:rPr>
      <w:vertAlign w:val="superscript"/>
    </w:rPr>
  </w:style>
  <w:style w:type="paragraph" w:styleId="MacroText">
    <w:name w:val="macro"/>
    <w:semiHidden/>
    <w:rsid w:val="00697417"/>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TableofFigures">
    <w:name w:val="table of figures"/>
    <w:next w:val="Normal"/>
    <w:uiPriority w:val="99"/>
    <w:rsid w:val="00697417"/>
    <w:pPr>
      <w:tabs>
        <w:tab w:val="right" w:leader="dot" w:pos="9468"/>
      </w:tabs>
      <w:spacing w:before="120"/>
    </w:pPr>
    <w:rPr>
      <w:rFonts w:ascii="Arial" w:hAnsi="Arial"/>
      <w:lang w:val="en-US" w:eastAsia="en-US"/>
    </w:rPr>
  </w:style>
  <w:style w:type="paragraph" w:styleId="TableofAuthorities">
    <w:name w:val="table of authorities"/>
    <w:basedOn w:val="Normal"/>
    <w:next w:val="Normal"/>
    <w:semiHidden/>
    <w:rsid w:val="00697417"/>
    <w:pPr>
      <w:ind w:left="240" w:hanging="240"/>
    </w:pPr>
  </w:style>
  <w:style w:type="character" w:styleId="Hyperlink">
    <w:name w:val="Hyperlink"/>
    <w:uiPriority w:val="99"/>
    <w:rsid w:val="00697417"/>
    <w:rPr>
      <w:color w:val="0000FF"/>
      <w:u w:val="single"/>
    </w:rPr>
  </w:style>
  <w:style w:type="paragraph" w:styleId="Bibliography">
    <w:name w:val="Bibliography"/>
    <w:basedOn w:val="Normal"/>
    <w:next w:val="Normal"/>
    <w:rsid w:val="00697417"/>
    <w:pPr>
      <w:ind w:left="357" w:hanging="357"/>
    </w:pPr>
  </w:style>
  <w:style w:type="character" w:customStyle="1" w:styleId="ReplaceText">
    <w:name w:val="Replace Text"/>
    <w:rsid w:val="00697417"/>
    <w:rPr>
      <w:color w:val="FF00FF"/>
    </w:rPr>
  </w:style>
  <w:style w:type="paragraph" w:styleId="TOC1">
    <w:name w:val="toc 1"/>
    <w:next w:val="Normal"/>
    <w:uiPriority w:val="39"/>
    <w:rsid w:val="00697417"/>
    <w:pPr>
      <w:tabs>
        <w:tab w:val="right" w:leader="dot" w:pos="9468"/>
      </w:tabs>
      <w:spacing w:before="240"/>
      <w:ind w:left="851" w:right="567" w:hanging="851"/>
    </w:pPr>
    <w:rPr>
      <w:rFonts w:ascii="Arial" w:hAnsi="Arial"/>
      <w:b/>
      <w:caps/>
      <w:lang w:val="en-US" w:eastAsia="en-US"/>
    </w:rPr>
  </w:style>
  <w:style w:type="paragraph" w:customStyle="1" w:styleId="ListAlphabeticalLevel2">
    <w:name w:val="List Alphabetical Level 2"/>
    <w:basedOn w:val="ListNumbered"/>
    <w:rsid w:val="00697417"/>
    <w:pPr>
      <w:numPr>
        <w:numId w:val="3"/>
      </w:numPr>
    </w:pPr>
  </w:style>
  <w:style w:type="paragraph" w:styleId="Index1">
    <w:name w:val="index 1"/>
    <w:basedOn w:val="Normal"/>
    <w:next w:val="Normal"/>
    <w:semiHidden/>
    <w:rsid w:val="00697417"/>
    <w:pPr>
      <w:tabs>
        <w:tab w:val="left" w:pos="1701"/>
        <w:tab w:val="left" w:pos="3402"/>
        <w:tab w:val="left" w:pos="5103"/>
      </w:tabs>
      <w:spacing w:before="0"/>
      <w:ind w:left="1701" w:hanging="1701"/>
    </w:pPr>
  </w:style>
  <w:style w:type="paragraph" w:styleId="TOAHeading">
    <w:name w:val="toa heading"/>
    <w:basedOn w:val="Normal"/>
    <w:next w:val="Normal"/>
    <w:semiHidden/>
    <w:rsid w:val="00697417"/>
    <w:pPr>
      <w:spacing w:before="120"/>
    </w:pPr>
    <w:rPr>
      <w:rFonts w:ascii="Arial" w:hAnsi="Arial" w:cs="Arial"/>
      <w:b/>
      <w:bCs/>
    </w:rPr>
  </w:style>
  <w:style w:type="character" w:customStyle="1" w:styleId="Reference">
    <w:name w:val="Reference"/>
    <w:rsid w:val="00697417"/>
    <w:rPr>
      <w:color w:val="0000FF"/>
    </w:rPr>
  </w:style>
  <w:style w:type="paragraph" w:customStyle="1" w:styleId="TblTextbulletedlist">
    <w:name w:val="Tbl Text bulleted list"/>
    <w:basedOn w:val="TblTextLeft"/>
    <w:rsid w:val="00697417"/>
    <w:pPr>
      <w:numPr>
        <w:numId w:val="6"/>
      </w:numPr>
      <w:tabs>
        <w:tab w:val="clear" w:pos="360"/>
        <w:tab w:val="left" w:pos="216"/>
      </w:tabs>
      <w:spacing w:before="0" w:after="0"/>
      <w:ind w:left="216" w:hanging="216"/>
    </w:pPr>
  </w:style>
  <w:style w:type="paragraph" w:styleId="TOC2">
    <w:name w:val="toc 2"/>
    <w:basedOn w:val="TOC1"/>
    <w:next w:val="Normal"/>
    <w:uiPriority w:val="39"/>
    <w:rsid w:val="00697417"/>
    <w:rPr>
      <w:b w:val="0"/>
    </w:rPr>
  </w:style>
  <w:style w:type="character" w:styleId="PageNumber">
    <w:name w:val="page number"/>
    <w:basedOn w:val="DefaultParagraphFont"/>
    <w:rsid w:val="00697417"/>
  </w:style>
  <w:style w:type="paragraph" w:styleId="ListBullet">
    <w:name w:val="List Bullet"/>
    <w:basedOn w:val="Normal"/>
    <w:rsid w:val="00697417"/>
    <w:pPr>
      <w:numPr>
        <w:numId w:val="4"/>
      </w:numPr>
    </w:pPr>
  </w:style>
  <w:style w:type="paragraph" w:styleId="TOC3">
    <w:name w:val="toc 3"/>
    <w:basedOn w:val="TOC1"/>
    <w:next w:val="Normal"/>
    <w:uiPriority w:val="39"/>
    <w:rsid w:val="00697417"/>
    <w:pPr>
      <w:spacing w:before="120"/>
    </w:pPr>
    <w:rPr>
      <w:b w:val="0"/>
      <w:caps w:val="0"/>
    </w:rPr>
  </w:style>
  <w:style w:type="paragraph" w:styleId="TOC4">
    <w:name w:val="toc 4"/>
    <w:basedOn w:val="TOC1"/>
    <w:next w:val="Normal"/>
    <w:uiPriority w:val="39"/>
    <w:rsid w:val="00697417"/>
    <w:pPr>
      <w:spacing w:before="40"/>
    </w:pPr>
    <w:rPr>
      <w:b w:val="0"/>
      <w:caps w:val="0"/>
      <w:szCs w:val="22"/>
    </w:rPr>
  </w:style>
  <w:style w:type="paragraph" w:styleId="TOC5">
    <w:name w:val="toc 5"/>
    <w:basedOn w:val="TOC1"/>
    <w:next w:val="Normal"/>
    <w:semiHidden/>
    <w:rsid w:val="00697417"/>
    <w:pPr>
      <w:spacing w:before="0"/>
    </w:pPr>
    <w:rPr>
      <w:b w:val="0"/>
      <w:caps w:val="0"/>
    </w:rPr>
  </w:style>
  <w:style w:type="paragraph" w:styleId="TOC6">
    <w:name w:val="toc 6"/>
    <w:basedOn w:val="TOC1"/>
    <w:next w:val="Normal"/>
    <w:semiHidden/>
    <w:rsid w:val="00697417"/>
    <w:pPr>
      <w:spacing w:before="0"/>
    </w:pPr>
    <w:rPr>
      <w:b w:val="0"/>
      <w:caps w:val="0"/>
    </w:rPr>
  </w:style>
  <w:style w:type="paragraph" w:styleId="TOC7">
    <w:name w:val="toc 7"/>
    <w:basedOn w:val="TOC6"/>
    <w:next w:val="Normal"/>
    <w:semiHidden/>
    <w:rsid w:val="00697417"/>
  </w:style>
  <w:style w:type="paragraph" w:styleId="TOC8">
    <w:name w:val="toc 8"/>
    <w:basedOn w:val="TOC6"/>
    <w:next w:val="Normal"/>
    <w:semiHidden/>
    <w:rsid w:val="00697417"/>
  </w:style>
  <w:style w:type="paragraph" w:styleId="TOC9">
    <w:name w:val="toc 9"/>
    <w:basedOn w:val="TOC6"/>
    <w:next w:val="Normal"/>
    <w:semiHidden/>
    <w:rsid w:val="00697417"/>
  </w:style>
  <w:style w:type="character" w:customStyle="1" w:styleId="TblFigFootnoteChar">
    <w:name w:val="Tbl Fig Footnote Char"/>
    <w:rsid w:val="00697417"/>
    <w:rPr>
      <w:rFonts w:ascii="Arial Narrow" w:eastAsia="MS Gothic" w:hAnsi="Arial Narrow"/>
      <w:sz w:val="18"/>
      <w:lang w:val="en-US" w:eastAsia="en-US" w:bidi="ar-SA"/>
    </w:rPr>
  </w:style>
  <w:style w:type="character" w:styleId="FollowedHyperlink">
    <w:name w:val="FollowedHyperlink"/>
    <w:rsid w:val="00697417"/>
    <w:rPr>
      <w:color w:val="800080"/>
      <w:u w:val="single"/>
    </w:rPr>
  </w:style>
  <w:style w:type="paragraph" w:styleId="CommentText">
    <w:name w:val="annotation text"/>
    <w:basedOn w:val="Normal"/>
    <w:link w:val="CommentTextChar"/>
    <w:rsid w:val="005110F5"/>
    <w:pPr>
      <w:spacing w:before="0" w:line="260" w:lineRule="exact"/>
    </w:pPr>
    <w:rPr>
      <w:color w:val="auto"/>
      <w:sz w:val="20"/>
      <w:szCs w:val="20"/>
      <w:lang w:val="en-GB"/>
    </w:rPr>
  </w:style>
  <w:style w:type="character" w:customStyle="1" w:styleId="CommentTextChar">
    <w:name w:val="Comment Text Char"/>
    <w:link w:val="CommentText"/>
    <w:rsid w:val="005110F5"/>
    <w:rPr>
      <w:rFonts w:eastAsia="MS Mincho"/>
      <w:lang w:val="en-GB"/>
    </w:rPr>
  </w:style>
  <w:style w:type="paragraph" w:styleId="BalloonText">
    <w:name w:val="Balloon Text"/>
    <w:basedOn w:val="Normal"/>
    <w:link w:val="BalloonTextChar"/>
    <w:rsid w:val="005110F5"/>
    <w:pPr>
      <w:spacing w:before="0"/>
    </w:pPr>
    <w:rPr>
      <w:rFonts w:ascii="Tahoma" w:hAnsi="Tahoma" w:cs="Tahoma"/>
      <w:sz w:val="16"/>
      <w:szCs w:val="16"/>
    </w:rPr>
  </w:style>
  <w:style w:type="character" w:customStyle="1" w:styleId="BalloonTextChar">
    <w:name w:val="Balloon Text Char"/>
    <w:link w:val="BalloonText"/>
    <w:rsid w:val="005110F5"/>
    <w:rPr>
      <w:rFonts w:ascii="Tahoma" w:eastAsia="MS Mincho" w:hAnsi="Tahoma" w:cs="Tahoma"/>
      <w:color w:val="000000"/>
      <w:sz w:val="16"/>
      <w:szCs w:val="16"/>
    </w:rPr>
  </w:style>
  <w:style w:type="paragraph" w:styleId="CommentSubject">
    <w:name w:val="annotation subject"/>
    <w:basedOn w:val="CommentText"/>
    <w:next w:val="CommentText"/>
    <w:link w:val="CommentSubjectChar"/>
    <w:rsid w:val="00155F0C"/>
    <w:pPr>
      <w:spacing w:before="240" w:line="240" w:lineRule="auto"/>
    </w:pPr>
    <w:rPr>
      <w:b/>
      <w:bCs/>
      <w:color w:val="000000"/>
      <w:lang w:val="en-US"/>
    </w:rPr>
  </w:style>
  <w:style w:type="character" w:customStyle="1" w:styleId="CommentSubjectChar">
    <w:name w:val="Comment Subject Char"/>
    <w:link w:val="CommentSubject"/>
    <w:rsid w:val="00155F0C"/>
    <w:rPr>
      <w:rFonts w:eastAsia="MS Mincho"/>
      <w:b/>
      <w:bCs/>
      <w:color w:val="000000"/>
      <w:lang w:val="en-US" w:eastAsia="en-US"/>
    </w:rPr>
  </w:style>
  <w:style w:type="paragraph" w:styleId="Revision">
    <w:name w:val="Revision"/>
    <w:hidden/>
    <w:uiPriority w:val="99"/>
    <w:semiHidden/>
    <w:rsid w:val="007766FC"/>
    <w:rPr>
      <w:rFonts w:eastAsia="MS Mincho"/>
      <w:color w:val="000000"/>
      <w:sz w:val="24"/>
      <w:szCs w:val="24"/>
      <w:lang w:val="en-US" w:eastAsia="en-US"/>
    </w:rPr>
  </w:style>
  <w:style w:type="paragraph" w:styleId="NoSpacing">
    <w:name w:val="No Spacing"/>
    <w:uiPriority w:val="1"/>
    <w:qFormat/>
    <w:rsid w:val="00F11BBA"/>
    <w:rPr>
      <w:rFonts w:eastAsia="Calibri"/>
      <w:sz w:val="24"/>
      <w:szCs w:val="22"/>
      <w:lang w:eastAsia="en-US"/>
    </w:rPr>
  </w:style>
  <w:style w:type="table" w:styleId="TableGrid">
    <w:name w:val="Table Grid"/>
    <w:basedOn w:val="TableNormal"/>
    <w:uiPriority w:val="59"/>
    <w:rsid w:val="004D0406"/>
    <w:rPr>
      <w:rFonts w:ascii="Cambria" w:eastAsia="Cambria" w:hAnsi="Cambria"/>
      <w:sz w:val="22"/>
      <w:szCs w:val="22"/>
      <w:lang w:eastAsia="en-US"/>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15904">
      <w:bodyDiv w:val="1"/>
      <w:marLeft w:val="0"/>
      <w:marRight w:val="0"/>
      <w:marTop w:val="0"/>
      <w:marBottom w:val="0"/>
      <w:divBdr>
        <w:top w:val="none" w:sz="0" w:space="0" w:color="auto"/>
        <w:left w:val="none" w:sz="0" w:space="0" w:color="auto"/>
        <w:bottom w:val="none" w:sz="0" w:space="0" w:color="auto"/>
        <w:right w:val="none" w:sz="0" w:space="0" w:color="auto"/>
      </w:divBdr>
    </w:div>
    <w:div w:id="2048411958">
      <w:bodyDiv w:val="1"/>
      <w:marLeft w:val="0"/>
      <w:marRight w:val="0"/>
      <w:marTop w:val="0"/>
      <w:marBottom w:val="0"/>
      <w:divBdr>
        <w:top w:val="none" w:sz="0" w:space="0" w:color="auto"/>
        <w:left w:val="none" w:sz="0" w:space="0" w:color="auto"/>
        <w:bottom w:val="none" w:sz="0" w:space="0" w:color="auto"/>
        <w:right w:val="none" w:sz="0" w:space="0" w:color="auto"/>
      </w:divBdr>
    </w:div>
    <w:div w:id="207384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0143270\Desktop\domasys\DOMASYS_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07984-C7E7-49C4-9CCF-F4B1E8402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DOMASYS_Standard</Template>
  <TotalTime>6</TotalTime>
  <Pages>29</Pages>
  <Words>7610</Words>
  <Characters>44257</Characters>
  <Application>Microsoft Office Word</Application>
  <DocSecurity>0</DocSecurity>
  <Lines>885</Lines>
  <Paragraphs>439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DOMASYS Standard</vt:lpstr>
      <vt:lpstr>DOMASYS Standard</vt:lpstr>
    </vt:vector>
  </TitlesOfParts>
  <Manager/>
  <Company>sanofi-aventis</Company>
  <LinksUpToDate>false</LinksUpToDate>
  <CharactersWithSpaces>51428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insulin glargine (rbe)</dc:title>
  <dc:subject>prescription medicines</dc:subject>
  <dc:creator>sanofi-aventis</dc:creator>
  <cp:keywords>AusPARs</cp:keywords>
  <cp:lastModifiedBy>LACK, Janet</cp:lastModifiedBy>
  <cp:revision>3</cp:revision>
  <cp:lastPrinted>2015-05-22T12:46:00Z</cp:lastPrinted>
  <dcterms:created xsi:type="dcterms:W3CDTF">2017-01-03T04:09:00Z</dcterms:created>
  <dcterms:modified xsi:type="dcterms:W3CDTF">2017-01-23T05:12:00Z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ANNOTATED PRODUCT INFORMATION</vt:lpwstr>
  </property>
  <property fmtid="{D5CDD505-2E9C-101B-9397-08002B2CF9AE}" pid="3" name="INN">
    <vt:lpwstr>insulin glargine 300 U/mL solution for injection</vt:lpwstr>
  </property>
  <property fmtid="{D5CDD505-2E9C-101B-9397-08002B2CF9AE}" pid="4" name="Date">
    <vt:lpwstr>May 2014</vt:lpwstr>
  </property>
  <property fmtid="{D5CDD505-2E9C-101B-9397-08002B2CF9AE}" pid="5" name="Product Code">
    <vt:lpwstr>Toujeo</vt:lpwstr>
  </property>
  <property fmtid="{D5CDD505-2E9C-101B-9397-08002B2CF9AE}" pid="6" name="LastRefNum">
    <vt:i4>0</vt:i4>
  </property>
  <property fmtid="{D5CDD505-2E9C-101B-9397-08002B2CF9AE}" pid="7" name="Custom1">
    <vt:lpwstr/>
  </property>
  <property fmtid="{D5CDD505-2E9C-101B-9397-08002B2CF9AE}" pid="8" name="Custom2">
    <vt:lpwstr/>
  </property>
  <property fmtid="{D5CDD505-2E9C-101B-9397-08002B2CF9AE}" pid="9" name="Custom3">
    <vt:lpwstr/>
  </property>
  <property fmtid="{D5CDD505-2E9C-101B-9397-08002B2CF9AE}" pid="10" name="Custom4">
    <vt:lpwstr/>
  </property>
  <property fmtid="{D5CDD505-2E9C-101B-9397-08002B2CF9AE}" pid="11" name="REFLIST_SORT">
    <vt:bool>false</vt:bool>
  </property>
  <property fmtid="{D5CDD505-2E9C-101B-9397-08002B2CF9AE}" pid="12" name="_AdHocReviewCycleID">
    <vt:i4>1121710986</vt:i4>
  </property>
  <property fmtid="{D5CDD505-2E9C-101B-9397-08002B2CF9AE}" pid="13" name="_NewReviewCycle">
    <vt:lpwstr/>
  </property>
  <property fmtid="{D5CDD505-2E9C-101B-9397-08002B2CF9AE}" pid="14" name="_EmailSubject">
    <vt:lpwstr>re Draft AusPAR for TOUJEO, EDOMLUS, LAMBETO - insulin glargine (rbe)-  PM-2014-00670-1-5 [SEC=UNCLASSIFIED]</vt:lpwstr>
  </property>
  <property fmtid="{D5CDD505-2E9C-101B-9397-08002B2CF9AE}" pid="15" name="_AuthorEmail">
    <vt:lpwstr>Farah.Demehri@sanofi.com</vt:lpwstr>
  </property>
  <property fmtid="{D5CDD505-2E9C-101B-9397-08002B2CF9AE}" pid="16" name="_AuthorEmailDisplayName">
    <vt:lpwstr>Demehri, Farah PH/AU</vt:lpwstr>
  </property>
  <property fmtid="{D5CDD505-2E9C-101B-9397-08002B2CF9AE}" pid="17" name="_PreviousAdHocReviewCycleID">
    <vt:i4>1713795023</vt:i4>
  </property>
  <property fmtid="{D5CDD505-2E9C-101B-9397-08002B2CF9AE}" pid="18" name="_ReviewingToolsShownOnce">
    <vt:lpwstr/>
  </property>
</Properties>
</file>