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C77EB" w:rsidP="00B00796">
            <w:pPr>
              <w:rPr>
                <w:rFonts w:ascii="Arial" w:hAnsi="Arial" w:cs="Arial"/>
                <w:b/>
                <w:color w:val="002C47"/>
                <w:sz w:val="36"/>
                <w:szCs w:val="36"/>
              </w:rPr>
            </w:pPr>
            <w:r>
              <w:rPr>
                <w:rFonts w:ascii="Arial" w:hAnsi="Arial" w:cs="Arial"/>
                <w:b/>
                <w:color w:val="002C47"/>
                <w:sz w:val="36"/>
                <w:szCs w:val="36"/>
              </w:rPr>
              <w:t xml:space="preserve">August </w:t>
            </w:r>
            <w:r w:rsidR="00B00796">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212EF9" w:rsidRDefault="0032583B" w:rsidP="00FD5ED4">
            <w:pPr>
              <w:pStyle w:val="Title"/>
              <w:framePr w:hSpace="0" w:wrap="auto" w:vAnchor="margin" w:yAlign="inline"/>
            </w:pPr>
            <w:r w:rsidRPr="00212EF9">
              <w:t xml:space="preserve">Australian Public Assessment Report for </w:t>
            </w:r>
            <w:r w:rsidR="00FD5ED4">
              <w:t>I</w:t>
            </w:r>
            <w:r w:rsidR="00B8798F" w:rsidRPr="00212EF9">
              <w:t xml:space="preserve">nsulin </w:t>
            </w:r>
            <w:proofErr w:type="spellStart"/>
            <w:r w:rsidR="00B8798F" w:rsidRPr="00212EF9">
              <w:t>glargine</w:t>
            </w:r>
            <w:proofErr w:type="spellEnd"/>
          </w:p>
        </w:tc>
      </w:tr>
      <w:tr w:rsidR="0032583B" w:rsidRPr="00B64760" w:rsidTr="0032583B">
        <w:tc>
          <w:tcPr>
            <w:tcW w:w="9079" w:type="dxa"/>
          </w:tcPr>
          <w:p w:rsidR="0032583B" w:rsidRPr="00212EF9" w:rsidRDefault="0032583B" w:rsidP="00212EF9">
            <w:pPr>
              <w:pStyle w:val="Subtitle"/>
              <w:framePr w:hSpace="0" w:wrap="auto" w:vAnchor="margin" w:yAlign="inline"/>
            </w:pPr>
            <w:r w:rsidRPr="00212EF9">
              <w:t xml:space="preserve">Proprietary Product Name: </w:t>
            </w:r>
            <w:proofErr w:type="spellStart"/>
            <w:r w:rsidR="00B8798F" w:rsidRPr="00212EF9">
              <w:t>Abasria</w:t>
            </w:r>
            <w:proofErr w:type="spellEnd"/>
            <w:r w:rsidR="00FD5ED4">
              <w:t xml:space="preserve"> </w:t>
            </w:r>
            <w:r w:rsidR="00B8798F" w:rsidRPr="00212EF9">
              <w:t xml:space="preserve">/ </w:t>
            </w:r>
            <w:proofErr w:type="spellStart"/>
            <w:r w:rsidR="00B8798F" w:rsidRPr="00212EF9">
              <w:t>Abas</w:t>
            </w:r>
            <w:r w:rsidR="00876B5F" w:rsidRPr="00212EF9">
              <w:t>r</w:t>
            </w:r>
            <w:r w:rsidR="00B8798F" w:rsidRPr="00212EF9">
              <w:t>ia</w:t>
            </w:r>
            <w:proofErr w:type="spellEnd"/>
            <w:r w:rsidR="00B8798F" w:rsidRPr="00212EF9">
              <w:t xml:space="preserve"> </w:t>
            </w:r>
            <w:proofErr w:type="spellStart"/>
            <w:r w:rsidR="00B8798F" w:rsidRPr="00212EF9">
              <w:t>KwikPen</w:t>
            </w:r>
            <w:proofErr w:type="spellEnd"/>
            <w:r w:rsidR="000E40C1" w:rsidRPr="00212EF9">
              <w:rPr>
                <w:rStyle w:val="FootnoteReference"/>
              </w:rPr>
              <w:footnoteReference w:id="1"/>
            </w:r>
          </w:p>
        </w:tc>
      </w:tr>
      <w:tr w:rsidR="0032583B" w:rsidRPr="00B64760" w:rsidTr="0032583B">
        <w:trPr>
          <w:trHeight w:val="486"/>
        </w:trPr>
        <w:tc>
          <w:tcPr>
            <w:tcW w:w="9079" w:type="dxa"/>
          </w:tcPr>
          <w:p w:rsidR="0032583B" w:rsidRPr="00212EF9" w:rsidRDefault="0032583B" w:rsidP="00212EF9">
            <w:pPr>
              <w:pStyle w:val="Subtitle"/>
              <w:framePr w:hSpace="0" w:wrap="auto" w:vAnchor="margin" w:yAlign="inline"/>
              <w:rPr>
                <w:rFonts w:cs="Arial"/>
                <w:szCs w:val="40"/>
                <w:lang w:eastAsia="en-AU"/>
              </w:rPr>
            </w:pPr>
            <w:r w:rsidRPr="00B8798F">
              <w:rPr>
                <w:rFonts w:cs="Arial"/>
                <w:szCs w:val="40"/>
              </w:rPr>
              <w:t xml:space="preserve">Sponsor: </w:t>
            </w:r>
            <w:r w:rsidR="00212EF9">
              <w:rPr>
                <w:rFonts w:cs="Arial"/>
                <w:szCs w:val="40"/>
                <w:lang w:eastAsia="en-AU"/>
              </w:rPr>
              <w:t>Eli Lilly Australia Pty Ltd</w:t>
            </w:r>
          </w:p>
        </w:tc>
      </w:tr>
    </w:tbl>
    <w:p w:rsidR="008E7846" w:rsidRPr="0085156D" w:rsidRDefault="008E7846" w:rsidP="0085156D">
      <w:r w:rsidRPr="0085156D">
        <w:br w:type="page"/>
      </w:r>
    </w:p>
    <w:p w:rsidR="008E7846" w:rsidRPr="00212EF9" w:rsidRDefault="008E7846" w:rsidP="00212EF9">
      <w:pPr>
        <w:pStyle w:val="NonTOCHeading2"/>
      </w:pPr>
      <w:r w:rsidRPr="00212EF9">
        <w:lastRenderedPageBreak/>
        <w:t>About the Therapeutic Goods Administration (TGA)</w:t>
      </w:r>
    </w:p>
    <w:p w:rsidR="008E7846" w:rsidRPr="004565E4" w:rsidRDefault="008E7846" w:rsidP="004565E4">
      <w:pPr>
        <w:pStyle w:val="ListBullet"/>
      </w:pPr>
      <w:r w:rsidRPr="004565E4">
        <w:t xml:space="preserve">The Therapeutic Goods Administration (TGA) is </w:t>
      </w:r>
      <w:r w:rsidR="00E624A5" w:rsidRPr="004565E4">
        <w:t xml:space="preserve">part </w:t>
      </w:r>
      <w:r w:rsidRPr="004565E4">
        <w:t>of the Australian Government Department of Health and is responsible for regulating medicines and medical devices.</w:t>
      </w:r>
    </w:p>
    <w:p w:rsidR="008E7846" w:rsidRPr="004565E4" w:rsidRDefault="00C80137" w:rsidP="004565E4">
      <w:pPr>
        <w:pStyle w:val="ListBullet"/>
      </w:pPr>
      <w:r w:rsidRPr="004565E4">
        <w:t xml:space="preserve">The </w:t>
      </w:r>
      <w:r w:rsidR="008E7846" w:rsidRPr="004565E4">
        <w:t xml:space="preserve">TGA administers the </w:t>
      </w:r>
      <w:r w:rsidR="008E7846" w:rsidRPr="004565E4">
        <w:rPr>
          <w:i/>
        </w:rPr>
        <w:t>Therapeutic Goods Act 1989</w:t>
      </w:r>
      <w:r w:rsidR="008E7846" w:rsidRPr="004565E4">
        <w:t xml:space="preserve"> (the Act), applying a risk management approach designed to ensure therapeutic goods supplied in Australia meet acceptable standards of quality, safety and efficacy (performance), when necessary.</w:t>
      </w:r>
    </w:p>
    <w:p w:rsidR="008E7846" w:rsidRPr="004565E4" w:rsidRDefault="008E7846" w:rsidP="004565E4">
      <w:pPr>
        <w:pStyle w:val="ListBullet"/>
      </w:pPr>
      <w:r w:rsidRPr="004565E4">
        <w:t>The work of the TGA is based on applying scientific and clinical expertise to decision-making, to ensure that the benefits to consumers outweigh any risks associated with the use of medicines and medical devices.</w:t>
      </w:r>
    </w:p>
    <w:p w:rsidR="008E7846" w:rsidRPr="004565E4" w:rsidRDefault="008E7846" w:rsidP="004565E4">
      <w:pPr>
        <w:pStyle w:val="ListBullet"/>
      </w:pPr>
      <w:r w:rsidRPr="004565E4">
        <w:t>The TGA relies on the public, healthcare professionals and industry to report problems with medicines or medical devices. TGA investigates reports received by it to determine any necessary regulatory action.</w:t>
      </w:r>
    </w:p>
    <w:p w:rsidR="008E7846" w:rsidRPr="004565E4" w:rsidRDefault="008E7846" w:rsidP="004565E4">
      <w:pPr>
        <w:pStyle w:val="ListBullet"/>
      </w:pPr>
      <w:r w:rsidRPr="004565E4">
        <w:t>To report a problem with a medicine or medical device, please see the information on the TGA website</w:t>
      </w:r>
      <w:r w:rsidR="00112F56" w:rsidRPr="004565E4">
        <w:t xml:space="preserve"> &lt;</w:t>
      </w:r>
      <w:hyperlink r:id="rId10" w:history="1">
        <w:r w:rsidR="004F47D6" w:rsidRPr="00405646">
          <w:rPr>
            <w:rStyle w:val="Hyperlink"/>
          </w:rPr>
          <w:t>https://www.tga.gov.au</w:t>
        </w:r>
      </w:hyperlink>
      <w:r w:rsidR="00112F56" w:rsidRPr="004565E4">
        <w:t>&gt;</w:t>
      </w:r>
      <w:r w:rsidRPr="004565E4">
        <w:t>.</w:t>
      </w:r>
    </w:p>
    <w:p w:rsidR="008E7846" w:rsidRDefault="008E7846" w:rsidP="004565E4">
      <w:pPr>
        <w:pStyle w:val="NonTOCHeading2"/>
      </w:pPr>
      <w:r>
        <w:t xml:space="preserve">About </w:t>
      </w:r>
      <w:proofErr w:type="spellStart"/>
      <w:r w:rsidRPr="004565E4">
        <w:t>AusPARs</w:t>
      </w:r>
      <w:proofErr w:type="spellEnd"/>
    </w:p>
    <w:p w:rsidR="008E7846" w:rsidRPr="004565E4" w:rsidRDefault="008E7846" w:rsidP="004565E4">
      <w:pPr>
        <w:pStyle w:val="ListBullet"/>
      </w:pPr>
      <w:r w:rsidRPr="004565E4">
        <w:t>An Australian Public Assessment Record (</w:t>
      </w:r>
      <w:proofErr w:type="spellStart"/>
      <w:r w:rsidRPr="004565E4">
        <w:t>AusPAR</w:t>
      </w:r>
      <w:proofErr w:type="spellEnd"/>
      <w:r w:rsidRPr="004565E4">
        <w:t xml:space="preserve">) provides information about the evaluation of a prescription medicine and the considerations that led the TGA to approve or not approve a prescription medicine submission. </w:t>
      </w:r>
    </w:p>
    <w:p w:rsidR="008E7846" w:rsidRPr="004565E4" w:rsidRDefault="008E7846" w:rsidP="004565E4">
      <w:pPr>
        <w:pStyle w:val="ListBullet"/>
      </w:pPr>
      <w:proofErr w:type="spellStart"/>
      <w:r w:rsidRPr="004565E4">
        <w:t>AusPARs</w:t>
      </w:r>
      <w:proofErr w:type="spellEnd"/>
      <w:r w:rsidRPr="004565E4">
        <w:t xml:space="preserve"> are prepared and published by the TGA.</w:t>
      </w:r>
      <w:bookmarkStart w:id="0" w:name="_GoBack"/>
      <w:bookmarkEnd w:id="0"/>
    </w:p>
    <w:p w:rsidR="008E7846" w:rsidRPr="004565E4" w:rsidRDefault="008E7846" w:rsidP="004565E4">
      <w:pPr>
        <w:pStyle w:val="ListBullet"/>
      </w:pPr>
      <w:r w:rsidRPr="004565E4">
        <w:t xml:space="preserve">An </w:t>
      </w:r>
      <w:proofErr w:type="spellStart"/>
      <w:r w:rsidRPr="004565E4">
        <w:t>AusPAR</w:t>
      </w:r>
      <w:proofErr w:type="spellEnd"/>
      <w:r w:rsidRPr="004565E4">
        <w:t xml:space="preserve"> is prepared for submissions that relate to new chemical entities, generic medicines, major variations, and extensions of indications.</w:t>
      </w:r>
    </w:p>
    <w:p w:rsidR="008E7846" w:rsidRPr="004565E4" w:rsidRDefault="008E7846" w:rsidP="004565E4">
      <w:pPr>
        <w:pStyle w:val="ListBullet"/>
      </w:pPr>
      <w:r w:rsidRPr="004565E4">
        <w:t xml:space="preserve">An </w:t>
      </w:r>
      <w:proofErr w:type="spellStart"/>
      <w:r w:rsidRPr="004565E4">
        <w:t>AusPAR</w:t>
      </w:r>
      <w:proofErr w:type="spellEnd"/>
      <w:r w:rsidRPr="004565E4">
        <w:t xml:space="preserve"> is a static document, in that it will provide information that relates to a submission at a particular point in time.</w:t>
      </w:r>
    </w:p>
    <w:p w:rsidR="00B452CE" w:rsidRPr="004565E4" w:rsidRDefault="008E7846" w:rsidP="004565E4">
      <w:pPr>
        <w:pStyle w:val="ListBullet"/>
      </w:pPr>
      <w:r w:rsidRPr="004565E4">
        <w:t xml:space="preserve">A new </w:t>
      </w:r>
      <w:proofErr w:type="spellStart"/>
      <w:r w:rsidRPr="004565E4">
        <w:t>AusPAR</w:t>
      </w:r>
      <w:proofErr w:type="spellEnd"/>
      <w:r w:rsidRPr="004565E4">
        <w:t xml:space="preserve"> will be developed to reflect changes to indications and/or major variations to a prescription medicine subject to evaluation by the TGA.</w:t>
      </w:r>
    </w:p>
    <w:p w:rsidR="00924482" w:rsidRPr="00DF1D7F" w:rsidRDefault="00924482" w:rsidP="004565E4">
      <w:pPr>
        <w:pStyle w:val="LegalSubheading"/>
      </w:pPr>
      <w:r w:rsidRPr="004565E4">
        <w:t>Copyright</w:t>
      </w:r>
    </w:p>
    <w:p w:rsidR="00924482" w:rsidRDefault="00924482" w:rsidP="004565E4">
      <w:pPr>
        <w:pStyle w:val="LegalCopy"/>
      </w:pPr>
      <w:r w:rsidRPr="00191B3B">
        <w:rPr>
          <w:lang w:val="en-GB"/>
        </w:rPr>
        <w:t>© Comm</w:t>
      </w:r>
      <w:r>
        <w:rPr>
          <w:lang w:val="en-GB"/>
        </w:rPr>
        <w:t>onwealth of Australia 201</w:t>
      </w:r>
      <w:r w:rsidR="003E0B99">
        <w:rPr>
          <w:lang w:val="en-GB"/>
        </w:rPr>
        <w:t>5</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w:t>
      </w:r>
      <w:r w:rsidRPr="004565E4">
        <w:t>organisation</w:t>
      </w:r>
      <w:r w:rsidRPr="00191B3B">
        <w:rPr>
          <w:lang w:val="en-GB"/>
        </w:rPr>
        <w:t xml:space="preserve">,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&lt;</w:t>
      </w:r>
      <w:hyperlink r:id="rId11" w:history="1">
        <w:r w:rsidRPr="00191B3B">
          <w:rPr>
            <w:rStyle w:val="Hyperlink"/>
            <w:rFonts w:cs="Arial"/>
            <w:lang w:val="en-GB"/>
          </w:rPr>
          <w:t>tga.copyright@tga.gov.au</w:t>
        </w:r>
      </w:hyperlink>
      <w:r w:rsidRPr="00191B3B">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E5FF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8796462" w:history="1">
            <w:r w:rsidR="007E5FF7" w:rsidRPr="00D566D4">
              <w:rPr>
                <w:rStyle w:val="Hyperlink"/>
                <w:noProof/>
              </w:rPr>
              <w:t>List of the most common abbreviations used in this AusPAR</w:t>
            </w:r>
            <w:r w:rsidR="007E5FF7">
              <w:rPr>
                <w:noProof/>
                <w:webHidden/>
              </w:rPr>
              <w:tab/>
            </w:r>
            <w:r w:rsidR="007E5FF7">
              <w:rPr>
                <w:noProof/>
                <w:webHidden/>
              </w:rPr>
              <w:fldChar w:fldCharType="begin"/>
            </w:r>
            <w:r w:rsidR="007E5FF7">
              <w:rPr>
                <w:noProof/>
                <w:webHidden/>
              </w:rPr>
              <w:instrText xml:space="preserve"> PAGEREF _Toc428796462 \h </w:instrText>
            </w:r>
            <w:r w:rsidR="007E5FF7">
              <w:rPr>
                <w:noProof/>
                <w:webHidden/>
              </w:rPr>
            </w:r>
            <w:r w:rsidR="007E5FF7">
              <w:rPr>
                <w:noProof/>
                <w:webHidden/>
              </w:rPr>
              <w:fldChar w:fldCharType="separate"/>
            </w:r>
            <w:r w:rsidR="007E5FF7">
              <w:rPr>
                <w:noProof/>
                <w:webHidden/>
              </w:rPr>
              <w:t>5</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463" w:history="1">
            <w:r w:rsidR="007E5FF7" w:rsidRPr="00D566D4">
              <w:rPr>
                <w:rStyle w:val="Hyperlink"/>
                <w:noProof/>
              </w:rPr>
              <w:t>I. Introduction to product submission</w:t>
            </w:r>
            <w:r w:rsidR="007E5FF7">
              <w:rPr>
                <w:noProof/>
                <w:webHidden/>
              </w:rPr>
              <w:tab/>
            </w:r>
            <w:r w:rsidR="007E5FF7">
              <w:rPr>
                <w:noProof/>
                <w:webHidden/>
              </w:rPr>
              <w:fldChar w:fldCharType="begin"/>
            </w:r>
            <w:r w:rsidR="007E5FF7">
              <w:rPr>
                <w:noProof/>
                <w:webHidden/>
              </w:rPr>
              <w:instrText xml:space="preserve"> PAGEREF _Toc428796463 \h </w:instrText>
            </w:r>
            <w:r w:rsidR="007E5FF7">
              <w:rPr>
                <w:noProof/>
                <w:webHidden/>
              </w:rPr>
            </w:r>
            <w:r w:rsidR="007E5FF7">
              <w:rPr>
                <w:noProof/>
                <w:webHidden/>
              </w:rPr>
              <w:fldChar w:fldCharType="separate"/>
            </w:r>
            <w:r w:rsidR="007E5FF7">
              <w:rPr>
                <w:noProof/>
                <w:webHidden/>
              </w:rPr>
              <w:t>7</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64" w:history="1">
            <w:r w:rsidR="007E5FF7" w:rsidRPr="00D566D4">
              <w:rPr>
                <w:rStyle w:val="Hyperlink"/>
                <w:noProof/>
                <w:lang w:eastAsia="en-AU"/>
              </w:rPr>
              <w:t xml:space="preserve">Submission </w:t>
            </w:r>
            <w:r w:rsidR="007E5FF7" w:rsidRPr="00D566D4">
              <w:rPr>
                <w:rStyle w:val="Hyperlink"/>
                <w:noProof/>
              </w:rPr>
              <w:t>details</w:t>
            </w:r>
            <w:r w:rsidR="007E5FF7">
              <w:rPr>
                <w:noProof/>
                <w:webHidden/>
              </w:rPr>
              <w:tab/>
            </w:r>
            <w:r w:rsidR="007E5FF7">
              <w:rPr>
                <w:noProof/>
                <w:webHidden/>
              </w:rPr>
              <w:fldChar w:fldCharType="begin"/>
            </w:r>
            <w:r w:rsidR="007E5FF7">
              <w:rPr>
                <w:noProof/>
                <w:webHidden/>
              </w:rPr>
              <w:instrText xml:space="preserve"> PAGEREF _Toc428796464 \h </w:instrText>
            </w:r>
            <w:r w:rsidR="007E5FF7">
              <w:rPr>
                <w:noProof/>
                <w:webHidden/>
              </w:rPr>
            </w:r>
            <w:r w:rsidR="007E5FF7">
              <w:rPr>
                <w:noProof/>
                <w:webHidden/>
              </w:rPr>
              <w:fldChar w:fldCharType="separate"/>
            </w:r>
            <w:r w:rsidR="007E5FF7">
              <w:rPr>
                <w:noProof/>
                <w:webHidden/>
              </w:rPr>
              <w:t>7</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65" w:history="1">
            <w:r w:rsidR="007E5FF7" w:rsidRPr="00D566D4">
              <w:rPr>
                <w:rStyle w:val="Hyperlink"/>
                <w:noProof/>
              </w:rPr>
              <w:t>Product background</w:t>
            </w:r>
            <w:r w:rsidR="007E5FF7">
              <w:rPr>
                <w:noProof/>
                <w:webHidden/>
              </w:rPr>
              <w:tab/>
            </w:r>
            <w:r w:rsidR="007E5FF7">
              <w:rPr>
                <w:noProof/>
                <w:webHidden/>
              </w:rPr>
              <w:fldChar w:fldCharType="begin"/>
            </w:r>
            <w:r w:rsidR="007E5FF7">
              <w:rPr>
                <w:noProof/>
                <w:webHidden/>
              </w:rPr>
              <w:instrText xml:space="preserve"> PAGEREF _Toc428796465 \h </w:instrText>
            </w:r>
            <w:r w:rsidR="007E5FF7">
              <w:rPr>
                <w:noProof/>
                <w:webHidden/>
              </w:rPr>
            </w:r>
            <w:r w:rsidR="007E5FF7">
              <w:rPr>
                <w:noProof/>
                <w:webHidden/>
              </w:rPr>
              <w:fldChar w:fldCharType="separate"/>
            </w:r>
            <w:r w:rsidR="007E5FF7">
              <w:rPr>
                <w:noProof/>
                <w:webHidden/>
              </w:rPr>
              <w:t>7</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66" w:history="1">
            <w:r w:rsidR="007E5FF7" w:rsidRPr="00D566D4">
              <w:rPr>
                <w:rStyle w:val="Hyperlink"/>
                <w:noProof/>
              </w:rPr>
              <w:t>Regulatory status</w:t>
            </w:r>
            <w:r w:rsidR="007E5FF7">
              <w:rPr>
                <w:noProof/>
                <w:webHidden/>
              </w:rPr>
              <w:tab/>
            </w:r>
            <w:r w:rsidR="007E5FF7">
              <w:rPr>
                <w:noProof/>
                <w:webHidden/>
              </w:rPr>
              <w:fldChar w:fldCharType="begin"/>
            </w:r>
            <w:r w:rsidR="007E5FF7">
              <w:rPr>
                <w:noProof/>
                <w:webHidden/>
              </w:rPr>
              <w:instrText xml:space="preserve"> PAGEREF _Toc428796466 \h </w:instrText>
            </w:r>
            <w:r w:rsidR="007E5FF7">
              <w:rPr>
                <w:noProof/>
                <w:webHidden/>
              </w:rPr>
            </w:r>
            <w:r w:rsidR="007E5FF7">
              <w:rPr>
                <w:noProof/>
                <w:webHidden/>
              </w:rPr>
              <w:fldChar w:fldCharType="separate"/>
            </w:r>
            <w:r w:rsidR="007E5FF7">
              <w:rPr>
                <w:noProof/>
                <w:webHidden/>
              </w:rPr>
              <w:t>9</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67" w:history="1">
            <w:r w:rsidR="007E5FF7" w:rsidRPr="00D566D4">
              <w:rPr>
                <w:rStyle w:val="Hyperlink"/>
                <w:noProof/>
              </w:rPr>
              <w:t>Product information</w:t>
            </w:r>
            <w:r w:rsidR="007E5FF7">
              <w:rPr>
                <w:noProof/>
                <w:webHidden/>
              </w:rPr>
              <w:tab/>
            </w:r>
            <w:r w:rsidR="007E5FF7">
              <w:rPr>
                <w:noProof/>
                <w:webHidden/>
              </w:rPr>
              <w:fldChar w:fldCharType="begin"/>
            </w:r>
            <w:r w:rsidR="007E5FF7">
              <w:rPr>
                <w:noProof/>
                <w:webHidden/>
              </w:rPr>
              <w:instrText xml:space="preserve"> PAGEREF _Toc428796467 \h </w:instrText>
            </w:r>
            <w:r w:rsidR="007E5FF7">
              <w:rPr>
                <w:noProof/>
                <w:webHidden/>
              </w:rPr>
            </w:r>
            <w:r w:rsidR="007E5FF7">
              <w:rPr>
                <w:noProof/>
                <w:webHidden/>
              </w:rPr>
              <w:fldChar w:fldCharType="separate"/>
            </w:r>
            <w:r w:rsidR="007E5FF7">
              <w:rPr>
                <w:noProof/>
                <w:webHidden/>
              </w:rPr>
              <w:t>10</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468" w:history="1">
            <w:r w:rsidR="007E5FF7" w:rsidRPr="00D566D4">
              <w:rPr>
                <w:rStyle w:val="Hyperlink"/>
                <w:noProof/>
              </w:rPr>
              <w:t>II. Quality findings</w:t>
            </w:r>
            <w:r w:rsidR="007E5FF7">
              <w:rPr>
                <w:noProof/>
                <w:webHidden/>
              </w:rPr>
              <w:tab/>
            </w:r>
            <w:r w:rsidR="007E5FF7">
              <w:rPr>
                <w:noProof/>
                <w:webHidden/>
              </w:rPr>
              <w:fldChar w:fldCharType="begin"/>
            </w:r>
            <w:r w:rsidR="007E5FF7">
              <w:rPr>
                <w:noProof/>
                <w:webHidden/>
              </w:rPr>
              <w:instrText xml:space="preserve"> PAGEREF _Toc428796468 \h </w:instrText>
            </w:r>
            <w:r w:rsidR="007E5FF7">
              <w:rPr>
                <w:noProof/>
                <w:webHidden/>
              </w:rPr>
            </w:r>
            <w:r w:rsidR="007E5FF7">
              <w:rPr>
                <w:noProof/>
                <w:webHidden/>
              </w:rPr>
              <w:fldChar w:fldCharType="separate"/>
            </w:r>
            <w:r w:rsidR="007E5FF7">
              <w:rPr>
                <w:noProof/>
                <w:webHidden/>
              </w:rPr>
              <w:t>10</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69" w:history="1">
            <w:r w:rsidR="007E5FF7" w:rsidRPr="00D566D4">
              <w:rPr>
                <w:rStyle w:val="Hyperlink"/>
                <w:noProof/>
              </w:rPr>
              <w:t>Drug substance (active ingredient)</w:t>
            </w:r>
            <w:r w:rsidR="007E5FF7">
              <w:rPr>
                <w:noProof/>
                <w:webHidden/>
              </w:rPr>
              <w:tab/>
            </w:r>
            <w:r w:rsidR="007E5FF7">
              <w:rPr>
                <w:noProof/>
                <w:webHidden/>
              </w:rPr>
              <w:fldChar w:fldCharType="begin"/>
            </w:r>
            <w:r w:rsidR="007E5FF7">
              <w:rPr>
                <w:noProof/>
                <w:webHidden/>
              </w:rPr>
              <w:instrText xml:space="preserve"> PAGEREF _Toc428796469 \h </w:instrText>
            </w:r>
            <w:r w:rsidR="007E5FF7">
              <w:rPr>
                <w:noProof/>
                <w:webHidden/>
              </w:rPr>
            </w:r>
            <w:r w:rsidR="007E5FF7">
              <w:rPr>
                <w:noProof/>
                <w:webHidden/>
              </w:rPr>
              <w:fldChar w:fldCharType="separate"/>
            </w:r>
            <w:r w:rsidR="007E5FF7">
              <w:rPr>
                <w:noProof/>
                <w:webHidden/>
              </w:rPr>
              <w:t>10</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0" w:history="1">
            <w:r w:rsidR="007E5FF7" w:rsidRPr="00D566D4">
              <w:rPr>
                <w:rStyle w:val="Hyperlink"/>
                <w:noProof/>
              </w:rPr>
              <w:t>Drug product</w:t>
            </w:r>
            <w:r w:rsidR="007E5FF7">
              <w:rPr>
                <w:noProof/>
                <w:webHidden/>
              </w:rPr>
              <w:tab/>
            </w:r>
            <w:r w:rsidR="007E5FF7">
              <w:rPr>
                <w:noProof/>
                <w:webHidden/>
              </w:rPr>
              <w:fldChar w:fldCharType="begin"/>
            </w:r>
            <w:r w:rsidR="007E5FF7">
              <w:rPr>
                <w:noProof/>
                <w:webHidden/>
              </w:rPr>
              <w:instrText xml:space="preserve"> PAGEREF _Toc428796470 \h </w:instrText>
            </w:r>
            <w:r w:rsidR="007E5FF7">
              <w:rPr>
                <w:noProof/>
                <w:webHidden/>
              </w:rPr>
            </w:r>
            <w:r w:rsidR="007E5FF7">
              <w:rPr>
                <w:noProof/>
                <w:webHidden/>
              </w:rPr>
              <w:fldChar w:fldCharType="separate"/>
            </w:r>
            <w:r w:rsidR="007E5FF7">
              <w:rPr>
                <w:noProof/>
                <w:webHidden/>
              </w:rPr>
              <w:t>11</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1" w:history="1">
            <w:r w:rsidR="007E5FF7" w:rsidRPr="00D566D4">
              <w:rPr>
                <w:rStyle w:val="Hyperlink"/>
                <w:noProof/>
              </w:rPr>
              <w:t>Biopharmaceutics</w:t>
            </w:r>
            <w:r w:rsidR="007E5FF7">
              <w:rPr>
                <w:noProof/>
                <w:webHidden/>
              </w:rPr>
              <w:tab/>
            </w:r>
            <w:r w:rsidR="007E5FF7">
              <w:rPr>
                <w:noProof/>
                <w:webHidden/>
              </w:rPr>
              <w:fldChar w:fldCharType="begin"/>
            </w:r>
            <w:r w:rsidR="007E5FF7">
              <w:rPr>
                <w:noProof/>
                <w:webHidden/>
              </w:rPr>
              <w:instrText xml:space="preserve"> PAGEREF _Toc428796471 \h </w:instrText>
            </w:r>
            <w:r w:rsidR="007E5FF7">
              <w:rPr>
                <w:noProof/>
                <w:webHidden/>
              </w:rPr>
            </w:r>
            <w:r w:rsidR="007E5FF7">
              <w:rPr>
                <w:noProof/>
                <w:webHidden/>
              </w:rPr>
              <w:fldChar w:fldCharType="separate"/>
            </w:r>
            <w:r w:rsidR="007E5FF7">
              <w:rPr>
                <w:noProof/>
                <w:webHidden/>
              </w:rPr>
              <w:t>11</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2" w:history="1">
            <w:r w:rsidR="007E5FF7" w:rsidRPr="00D566D4">
              <w:rPr>
                <w:rStyle w:val="Hyperlink"/>
                <w:noProof/>
              </w:rPr>
              <w:t>Quality summary and conclusions</w:t>
            </w:r>
            <w:r w:rsidR="007E5FF7">
              <w:rPr>
                <w:noProof/>
                <w:webHidden/>
              </w:rPr>
              <w:tab/>
            </w:r>
            <w:r w:rsidR="007E5FF7">
              <w:rPr>
                <w:noProof/>
                <w:webHidden/>
              </w:rPr>
              <w:fldChar w:fldCharType="begin"/>
            </w:r>
            <w:r w:rsidR="007E5FF7">
              <w:rPr>
                <w:noProof/>
                <w:webHidden/>
              </w:rPr>
              <w:instrText xml:space="preserve"> PAGEREF _Toc428796472 \h </w:instrText>
            </w:r>
            <w:r w:rsidR="007E5FF7">
              <w:rPr>
                <w:noProof/>
                <w:webHidden/>
              </w:rPr>
            </w:r>
            <w:r w:rsidR="007E5FF7">
              <w:rPr>
                <w:noProof/>
                <w:webHidden/>
              </w:rPr>
              <w:fldChar w:fldCharType="separate"/>
            </w:r>
            <w:r w:rsidR="007E5FF7">
              <w:rPr>
                <w:noProof/>
                <w:webHidden/>
              </w:rPr>
              <w:t>11</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473" w:history="1">
            <w:r w:rsidR="007E5FF7" w:rsidRPr="00D566D4">
              <w:rPr>
                <w:rStyle w:val="Hyperlink"/>
                <w:noProof/>
              </w:rPr>
              <w:t>III. Nonclinical findings</w:t>
            </w:r>
            <w:r w:rsidR="007E5FF7">
              <w:rPr>
                <w:noProof/>
                <w:webHidden/>
              </w:rPr>
              <w:tab/>
            </w:r>
            <w:r w:rsidR="007E5FF7">
              <w:rPr>
                <w:noProof/>
                <w:webHidden/>
              </w:rPr>
              <w:fldChar w:fldCharType="begin"/>
            </w:r>
            <w:r w:rsidR="007E5FF7">
              <w:rPr>
                <w:noProof/>
                <w:webHidden/>
              </w:rPr>
              <w:instrText xml:space="preserve"> PAGEREF _Toc428796473 \h </w:instrText>
            </w:r>
            <w:r w:rsidR="007E5FF7">
              <w:rPr>
                <w:noProof/>
                <w:webHidden/>
              </w:rPr>
            </w:r>
            <w:r w:rsidR="007E5FF7">
              <w:rPr>
                <w:noProof/>
                <w:webHidden/>
              </w:rPr>
              <w:fldChar w:fldCharType="separate"/>
            </w:r>
            <w:r w:rsidR="007E5FF7">
              <w:rPr>
                <w:noProof/>
                <w:webHidden/>
              </w:rPr>
              <w:t>12</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4" w:history="1">
            <w:r w:rsidR="007E5FF7" w:rsidRPr="00D566D4">
              <w:rPr>
                <w:rStyle w:val="Hyperlink"/>
                <w:noProof/>
              </w:rPr>
              <w:t>Introduction</w:t>
            </w:r>
            <w:r w:rsidR="007E5FF7">
              <w:rPr>
                <w:noProof/>
                <w:webHidden/>
              </w:rPr>
              <w:tab/>
            </w:r>
            <w:r w:rsidR="007E5FF7">
              <w:rPr>
                <w:noProof/>
                <w:webHidden/>
              </w:rPr>
              <w:fldChar w:fldCharType="begin"/>
            </w:r>
            <w:r w:rsidR="007E5FF7">
              <w:rPr>
                <w:noProof/>
                <w:webHidden/>
              </w:rPr>
              <w:instrText xml:space="preserve"> PAGEREF _Toc428796474 \h </w:instrText>
            </w:r>
            <w:r w:rsidR="007E5FF7">
              <w:rPr>
                <w:noProof/>
                <w:webHidden/>
              </w:rPr>
            </w:r>
            <w:r w:rsidR="007E5FF7">
              <w:rPr>
                <w:noProof/>
                <w:webHidden/>
              </w:rPr>
              <w:fldChar w:fldCharType="separate"/>
            </w:r>
            <w:r w:rsidR="007E5FF7">
              <w:rPr>
                <w:noProof/>
                <w:webHidden/>
              </w:rPr>
              <w:t>12</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5" w:history="1">
            <w:r w:rsidR="007E5FF7" w:rsidRPr="00D566D4">
              <w:rPr>
                <w:rStyle w:val="Hyperlink"/>
                <w:noProof/>
              </w:rPr>
              <w:t>Pharmacology</w:t>
            </w:r>
            <w:r w:rsidR="007E5FF7">
              <w:rPr>
                <w:noProof/>
                <w:webHidden/>
              </w:rPr>
              <w:tab/>
            </w:r>
            <w:r w:rsidR="007E5FF7">
              <w:rPr>
                <w:noProof/>
                <w:webHidden/>
              </w:rPr>
              <w:fldChar w:fldCharType="begin"/>
            </w:r>
            <w:r w:rsidR="007E5FF7">
              <w:rPr>
                <w:noProof/>
                <w:webHidden/>
              </w:rPr>
              <w:instrText xml:space="preserve"> PAGEREF _Toc428796475 \h </w:instrText>
            </w:r>
            <w:r w:rsidR="007E5FF7">
              <w:rPr>
                <w:noProof/>
                <w:webHidden/>
              </w:rPr>
            </w:r>
            <w:r w:rsidR="007E5FF7">
              <w:rPr>
                <w:noProof/>
                <w:webHidden/>
              </w:rPr>
              <w:fldChar w:fldCharType="separate"/>
            </w:r>
            <w:r w:rsidR="007E5FF7">
              <w:rPr>
                <w:noProof/>
                <w:webHidden/>
              </w:rPr>
              <w:t>12</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6" w:history="1">
            <w:r w:rsidR="007E5FF7" w:rsidRPr="00D566D4">
              <w:rPr>
                <w:rStyle w:val="Hyperlink"/>
                <w:noProof/>
              </w:rPr>
              <w:t>Pharmacokinetics</w:t>
            </w:r>
            <w:r w:rsidR="007E5FF7">
              <w:rPr>
                <w:noProof/>
                <w:webHidden/>
              </w:rPr>
              <w:tab/>
            </w:r>
            <w:r w:rsidR="007E5FF7">
              <w:rPr>
                <w:noProof/>
                <w:webHidden/>
              </w:rPr>
              <w:fldChar w:fldCharType="begin"/>
            </w:r>
            <w:r w:rsidR="007E5FF7">
              <w:rPr>
                <w:noProof/>
                <w:webHidden/>
              </w:rPr>
              <w:instrText xml:space="preserve"> PAGEREF _Toc428796476 \h </w:instrText>
            </w:r>
            <w:r w:rsidR="007E5FF7">
              <w:rPr>
                <w:noProof/>
                <w:webHidden/>
              </w:rPr>
            </w:r>
            <w:r w:rsidR="007E5FF7">
              <w:rPr>
                <w:noProof/>
                <w:webHidden/>
              </w:rPr>
              <w:fldChar w:fldCharType="separate"/>
            </w:r>
            <w:r w:rsidR="007E5FF7">
              <w:rPr>
                <w:noProof/>
                <w:webHidden/>
              </w:rPr>
              <w:t>12</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7" w:history="1">
            <w:r w:rsidR="007E5FF7" w:rsidRPr="00D566D4">
              <w:rPr>
                <w:rStyle w:val="Hyperlink"/>
                <w:noProof/>
              </w:rPr>
              <w:t>Toxicology</w:t>
            </w:r>
            <w:r w:rsidR="007E5FF7">
              <w:rPr>
                <w:noProof/>
                <w:webHidden/>
              </w:rPr>
              <w:tab/>
            </w:r>
            <w:r w:rsidR="007E5FF7">
              <w:rPr>
                <w:noProof/>
                <w:webHidden/>
              </w:rPr>
              <w:fldChar w:fldCharType="begin"/>
            </w:r>
            <w:r w:rsidR="007E5FF7">
              <w:rPr>
                <w:noProof/>
                <w:webHidden/>
              </w:rPr>
              <w:instrText xml:space="preserve"> PAGEREF _Toc428796477 \h </w:instrText>
            </w:r>
            <w:r w:rsidR="007E5FF7">
              <w:rPr>
                <w:noProof/>
                <w:webHidden/>
              </w:rPr>
            </w:r>
            <w:r w:rsidR="007E5FF7">
              <w:rPr>
                <w:noProof/>
                <w:webHidden/>
              </w:rPr>
              <w:fldChar w:fldCharType="separate"/>
            </w:r>
            <w:r w:rsidR="007E5FF7">
              <w:rPr>
                <w:noProof/>
                <w:webHidden/>
              </w:rPr>
              <w:t>13</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78" w:history="1">
            <w:r w:rsidR="007E5FF7" w:rsidRPr="00D566D4">
              <w:rPr>
                <w:rStyle w:val="Hyperlink"/>
                <w:noProof/>
              </w:rPr>
              <w:t>Nonclinical summary and conclusions</w:t>
            </w:r>
            <w:r w:rsidR="007E5FF7">
              <w:rPr>
                <w:noProof/>
                <w:webHidden/>
              </w:rPr>
              <w:tab/>
            </w:r>
            <w:r w:rsidR="007E5FF7">
              <w:rPr>
                <w:noProof/>
                <w:webHidden/>
              </w:rPr>
              <w:fldChar w:fldCharType="begin"/>
            </w:r>
            <w:r w:rsidR="007E5FF7">
              <w:rPr>
                <w:noProof/>
                <w:webHidden/>
              </w:rPr>
              <w:instrText xml:space="preserve"> PAGEREF _Toc428796478 \h </w:instrText>
            </w:r>
            <w:r w:rsidR="007E5FF7">
              <w:rPr>
                <w:noProof/>
                <w:webHidden/>
              </w:rPr>
            </w:r>
            <w:r w:rsidR="007E5FF7">
              <w:rPr>
                <w:noProof/>
                <w:webHidden/>
              </w:rPr>
              <w:fldChar w:fldCharType="separate"/>
            </w:r>
            <w:r w:rsidR="007E5FF7">
              <w:rPr>
                <w:noProof/>
                <w:webHidden/>
              </w:rPr>
              <w:t>14</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479" w:history="1">
            <w:r w:rsidR="007E5FF7" w:rsidRPr="00D566D4">
              <w:rPr>
                <w:rStyle w:val="Hyperlink"/>
                <w:noProof/>
              </w:rPr>
              <w:t>IV. Clinical findings</w:t>
            </w:r>
            <w:r w:rsidR="007E5FF7">
              <w:rPr>
                <w:noProof/>
                <w:webHidden/>
              </w:rPr>
              <w:tab/>
            </w:r>
            <w:r w:rsidR="007E5FF7">
              <w:rPr>
                <w:noProof/>
                <w:webHidden/>
              </w:rPr>
              <w:fldChar w:fldCharType="begin"/>
            </w:r>
            <w:r w:rsidR="007E5FF7">
              <w:rPr>
                <w:noProof/>
                <w:webHidden/>
              </w:rPr>
              <w:instrText xml:space="preserve"> PAGEREF _Toc428796479 \h </w:instrText>
            </w:r>
            <w:r w:rsidR="007E5FF7">
              <w:rPr>
                <w:noProof/>
                <w:webHidden/>
              </w:rPr>
            </w:r>
            <w:r w:rsidR="007E5FF7">
              <w:rPr>
                <w:noProof/>
                <w:webHidden/>
              </w:rPr>
              <w:fldChar w:fldCharType="separate"/>
            </w:r>
            <w:r w:rsidR="007E5FF7">
              <w:rPr>
                <w:noProof/>
                <w:webHidden/>
              </w:rPr>
              <w:t>14</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0" w:history="1">
            <w:r w:rsidR="007E5FF7" w:rsidRPr="00D566D4">
              <w:rPr>
                <w:rStyle w:val="Hyperlink"/>
                <w:noProof/>
              </w:rPr>
              <w:t>Introduction</w:t>
            </w:r>
            <w:r w:rsidR="007E5FF7">
              <w:rPr>
                <w:noProof/>
                <w:webHidden/>
              </w:rPr>
              <w:tab/>
            </w:r>
            <w:r w:rsidR="007E5FF7">
              <w:rPr>
                <w:noProof/>
                <w:webHidden/>
              </w:rPr>
              <w:fldChar w:fldCharType="begin"/>
            </w:r>
            <w:r w:rsidR="007E5FF7">
              <w:rPr>
                <w:noProof/>
                <w:webHidden/>
              </w:rPr>
              <w:instrText xml:space="preserve"> PAGEREF _Toc428796480 \h </w:instrText>
            </w:r>
            <w:r w:rsidR="007E5FF7">
              <w:rPr>
                <w:noProof/>
                <w:webHidden/>
              </w:rPr>
            </w:r>
            <w:r w:rsidR="007E5FF7">
              <w:rPr>
                <w:noProof/>
                <w:webHidden/>
              </w:rPr>
              <w:fldChar w:fldCharType="separate"/>
            </w:r>
            <w:r w:rsidR="007E5FF7">
              <w:rPr>
                <w:noProof/>
                <w:webHidden/>
              </w:rPr>
              <w:t>14</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1" w:history="1">
            <w:r w:rsidR="007E5FF7" w:rsidRPr="00D566D4">
              <w:rPr>
                <w:rStyle w:val="Hyperlink"/>
                <w:noProof/>
              </w:rPr>
              <w:t>Clinical rationale</w:t>
            </w:r>
            <w:r w:rsidR="007E5FF7">
              <w:rPr>
                <w:noProof/>
                <w:webHidden/>
              </w:rPr>
              <w:tab/>
            </w:r>
            <w:r w:rsidR="007E5FF7">
              <w:rPr>
                <w:noProof/>
                <w:webHidden/>
              </w:rPr>
              <w:fldChar w:fldCharType="begin"/>
            </w:r>
            <w:r w:rsidR="007E5FF7">
              <w:rPr>
                <w:noProof/>
                <w:webHidden/>
              </w:rPr>
              <w:instrText xml:space="preserve"> PAGEREF _Toc428796481 \h </w:instrText>
            </w:r>
            <w:r w:rsidR="007E5FF7">
              <w:rPr>
                <w:noProof/>
                <w:webHidden/>
              </w:rPr>
            </w:r>
            <w:r w:rsidR="007E5FF7">
              <w:rPr>
                <w:noProof/>
                <w:webHidden/>
              </w:rPr>
              <w:fldChar w:fldCharType="separate"/>
            </w:r>
            <w:r w:rsidR="007E5FF7">
              <w:rPr>
                <w:noProof/>
                <w:webHidden/>
              </w:rPr>
              <w:t>14</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2" w:history="1">
            <w:r w:rsidR="007E5FF7" w:rsidRPr="00D566D4">
              <w:rPr>
                <w:rStyle w:val="Hyperlink"/>
                <w:noProof/>
              </w:rPr>
              <w:t>Guidance</w:t>
            </w:r>
            <w:r w:rsidR="007E5FF7">
              <w:rPr>
                <w:noProof/>
                <w:webHidden/>
              </w:rPr>
              <w:tab/>
            </w:r>
            <w:r w:rsidR="007E5FF7">
              <w:rPr>
                <w:noProof/>
                <w:webHidden/>
              </w:rPr>
              <w:fldChar w:fldCharType="begin"/>
            </w:r>
            <w:r w:rsidR="007E5FF7">
              <w:rPr>
                <w:noProof/>
                <w:webHidden/>
              </w:rPr>
              <w:instrText xml:space="preserve"> PAGEREF _Toc428796482 \h </w:instrText>
            </w:r>
            <w:r w:rsidR="007E5FF7">
              <w:rPr>
                <w:noProof/>
                <w:webHidden/>
              </w:rPr>
            </w:r>
            <w:r w:rsidR="007E5FF7">
              <w:rPr>
                <w:noProof/>
                <w:webHidden/>
              </w:rPr>
              <w:fldChar w:fldCharType="separate"/>
            </w:r>
            <w:r w:rsidR="007E5FF7">
              <w:rPr>
                <w:noProof/>
                <w:webHidden/>
              </w:rPr>
              <w:t>15</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3" w:history="1">
            <w:r w:rsidR="007E5FF7" w:rsidRPr="00D566D4">
              <w:rPr>
                <w:rStyle w:val="Hyperlink"/>
                <w:noProof/>
              </w:rPr>
              <w:t>Contents of the clinical dossier</w:t>
            </w:r>
            <w:r w:rsidR="007E5FF7">
              <w:rPr>
                <w:noProof/>
                <w:webHidden/>
              </w:rPr>
              <w:tab/>
            </w:r>
            <w:r w:rsidR="007E5FF7">
              <w:rPr>
                <w:noProof/>
                <w:webHidden/>
              </w:rPr>
              <w:fldChar w:fldCharType="begin"/>
            </w:r>
            <w:r w:rsidR="007E5FF7">
              <w:rPr>
                <w:noProof/>
                <w:webHidden/>
              </w:rPr>
              <w:instrText xml:space="preserve"> PAGEREF _Toc428796483 \h </w:instrText>
            </w:r>
            <w:r w:rsidR="007E5FF7">
              <w:rPr>
                <w:noProof/>
                <w:webHidden/>
              </w:rPr>
            </w:r>
            <w:r w:rsidR="007E5FF7">
              <w:rPr>
                <w:noProof/>
                <w:webHidden/>
              </w:rPr>
              <w:fldChar w:fldCharType="separate"/>
            </w:r>
            <w:r w:rsidR="007E5FF7">
              <w:rPr>
                <w:noProof/>
                <w:webHidden/>
              </w:rPr>
              <w:t>15</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4" w:history="1">
            <w:r w:rsidR="007E5FF7" w:rsidRPr="00D566D4">
              <w:rPr>
                <w:rStyle w:val="Hyperlink"/>
                <w:noProof/>
              </w:rPr>
              <w:t>Pharmacokinetics</w:t>
            </w:r>
            <w:r w:rsidR="007E5FF7">
              <w:rPr>
                <w:noProof/>
                <w:webHidden/>
              </w:rPr>
              <w:tab/>
            </w:r>
            <w:r w:rsidR="007E5FF7">
              <w:rPr>
                <w:noProof/>
                <w:webHidden/>
              </w:rPr>
              <w:fldChar w:fldCharType="begin"/>
            </w:r>
            <w:r w:rsidR="007E5FF7">
              <w:rPr>
                <w:noProof/>
                <w:webHidden/>
              </w:rPr>
              <w:instrText xml:space="preserve"> PAGEREF _Toc428796484 \h </w:instrText>
            </w:r>
            <w:r w:rsidR="007E5FF7">
              <w:rPr>
                <w:noProof/>
                <w:webHidden/>
              </w:rPr>
            </w:r>
            <w:r w:rsidR="007E5FF7">
              <w:rPr>
                <w:noProof/>
                <w:webHidden/>
              </w:rPr>
              <w:fldChar w:fldCharType="separate"/>
            </w:r>
            <w:r w:rsidR="007E5FF7">
              <w:rPr>
                <w:noProof/>
                <w:webHidden/>
              </w:rPr>
              <w:t>16</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5" w:history="1">
            <w:r w:rsidR="007E5FF7" w:rsidRPr="00D566D4">
              <w:rPr>
                <w:rStyle w:val="Hyperlink"/>
                <w:noProof/>
              </w:rPr>
              <w:t>Pharmacodynamics</w:t>
            </w:r>
            <w:r w:rsidR="007E5FF7">
              <w:rPr>
                <w:noProof/>
                <w:webHidden/>
              </w:rPr>
              <w:tab/>
            </w:r>
            <w:r w:rsidR="007E5FF7">
              <w:rPr>
                <w:noProof/>
                <w:webHidden/>
              </w:rPr>
              <w:fldChar w:fldCharType="begin"/>
            </w:r>
            <w:r w:rsidR="007E5FF7">
              <w:rPr>
                <w:noProof/>
                <w:webHidden/>
              </w:rPr>
              <w:instrText xml:space="preserve"> PAGEREF _Toc428796485 \h </w:instrText>
            </w:r>
            <w:r w:rsidR="007E5FF7">
              <w:rPr>
                <w:noProof/>
                <w:webHidden/>
              </w:rPr>
            </w:r>
            <w:r w:rsidR="007E5FF7">
              <w:rPr>
                <w:noProof/>
                <w:webHidden/>
              </w:rPr>
              <w:fldChar w:fldCharType="separate"/>
            </w:r>
            <w:r w:rsidR="007E5FF7">
              <w:rPr>
                <w:noProof/>
                <w:webHidden/>
              </w:rPr>
              <w:t>19</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6" w:history="1">
            <w:r w:rsidR="007E5FF7" w:rsidRPr="00D566D4">
              <w:rPr>
                <w:rStyle w:val="Hyperlink"/>
                <w:noProof/>
              </w:rPr>
              <w:t>Dosage selection for the pivotal studies</w:t>
            </w:r>
            <w:r w:rsidR="007E5FF7">
              <w:rPr>
                <w:noProof/>
                <w:webHidden/>
              </w:rPr>
              <w:tab/>
            </w:r>
            <w:r w:rsidR="007E5FF7">
              <w:rPr>
                <w:noProof/>
                <w:webHidden/>
              </w:rPr>
              <w:fldChar w:fldCharType="begin"/>
            </w:r>
            <w:r w:rsidR="007E5FF7">
              <w:rPr>
                <w:noProof/>
                <w:webHidden/>
              </w:rPr>
              <w:instrText xml:space="preserve"> PAGEREF _Toc428796486 \h </w:instrText>
            </w:r>
            <w:r w:rsidR="007E5FF7">
              <w:rPr>
                <w:noProof/>
                <w:webHidden/>
              </w:rPr>
            </w:r>
            <w:r w:rsidR="007E5FF7">
              <w:rPr>
                <w:noProof/>
                <w:webHidden/>
              </w:rPr>
              <w:fldChar w:fldCharType="separate"/>
            </w:r>
            <w:r w:rsidR="007E5FF7">
              <w:rPr>
                <w:noProof/>
                <w:webHidden/>
              </w:rPr>
              <w:t>21</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7" w:history="1">
            <w:r w:rsidR="007E5FF7" w:rsidRPr="00D566D4">
              <w:rPr>
                <w:rStyle w:val="Hyperlink"/>
                <w:noProof/>
              </w:rPr>
              <w:t>Efficacy</w:t>
            </w:r>
            <w:r w:rsidR="007E5FF7">
              <w:rPr>
                <w:noProof/>
                <w:webHidden/>
              </w:rPr>
              <w:tab/>
            </w:r>
            <w:r w:rsidR="007E5FF7">
              <w:rPr>
                <w:noProof/>
                <w:webHidden/>
              </w:rPr>
              <w:fldChar w:fldCharType="begin"/>
            </w:r>
            <w:r w:rsidR="007E5FF7">
              <w:rPr>
                <w:noProof/>
                <w:webHidden/>
              </w:rPr>
              <w:instrText xml:space="preserve"> PAGEREF _Toc428796487 \h </w:instrText>
            </w:r>
            <w:r w:rsidR="007E5FF7">
              <w:rPr>
                <w:noProof/>
                <w:webHidden/>
              </w:rPr>
            </w:r>
            <w:r w:rsidR="007E5FF7">
              <w:rPr>
                <w:noProof/>
                <w:webHidden/>
              </w:rPr>
              <w:fldChar w:fldCharType="separate"/>
            </w:r>
            <w:r w:rsidR="007E5FF7">
              <w:rPr>
                <w:noProof/>
                <w:webHidden/>
              </w:rPr>
              <w:t>21</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8" w:history="1">
            <w:r w:rsidR="007E5FF7" w:rsidRPr="00D566D4">
              <w:rPr>
                <w:rStyle w:val="Hyperlink"/>
                <w:noProof/>
              </w:rPr>
              <w:t>Safety</w:t>
            </w:r>
            <w:r w:rsidR="007E5FF7">
              <w:rPr>
                <w:noProof/>
                <w:webHidden/>
              </w:rPr>
              <w:tab/>
            </w:r>
            <w:r w:rsidR="007E5FF7">
              <w:rPr>
                <w:noProof/>
                <w:webHidden/>
              </w:rPr>
              <w:fldChar w:fldCharType="begin"/>
            </w:r>
            <w:r w:rsidR="007E5FF7">
              <w:rPr>
                <w:noProof/>
                <w:webHidden/>
              </w:rPr>
              <w:instrText xml:space="preserve"> PAGEREF _Toc428796488 \h </w:instrText>
            </w:r>
            <w:r w:rsidR="007E5FF7">
              <w:rPr>
                <w:noProof/>
                <w:webHidden/>
              </w:rPr>
            </w:r>
            <w:r w:rsidR="007E5FF7">
              <w:rPr>
                <w:noProof/>
                <w:webHidden/>
              </w:rPr>
              <w:fldChar w:fldCharType="separate"/>
            </w:r>
            <w:r w:rsidR="007E5FF7">
              <w:rPr>
                <w:noProof/>
                <w:webHidden/>
              </w:rPr>
              <w:t>23</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89" w:history="1">
            <w:r w:rsidR="007E5FF7" w:rsidRPr="00D566D4">
              <w:rPr>
                <w:rStyle w:val="Hyperlink"/>
                <w:noProof/>
              </w:rPr>
              <w:t>First round benefit-risk assessment</w:t>
            </w:r>
            <w:r w:rsidR="007E5FF7">
              <w:rPr>
                <w:noProof/>
                <w:webHidden/>
              </w:rPr>
              <w:tab/>
            </w:r>
            <w:r w:rsidR="007E5FF7">
              <w:rPr>
                <w:noProof/>
                <w:webHidden/>
              </w:rPr>
              <w:fldChar w:fldCharType="begin"/>
            </w:r>
            <w:r w:rsidR="007E5FF7">
              <w:rPr>
                <w:noProof/>
                <w:webHidden/>
              </w:rPr>
              <w:instrText xml:space="preserve"> PAGEREF _Toc428796489 \h </w:instrText>
            </w:r>
            <w:r w:rsidR="007E5FF7">
              <w:rPr>
                <w:noProof/>
                <w:webHidden/>
              </w:rPr>
            </w:r>
            <w:r w:rsidR="007E5FF7">
              <w:rPr>
                <w:noProof/>
                <w:webHidden/>
              </w:rPr>
              <w:fldChar w:fldCharType="separate"/>
            </w:r>
            <w:r w:rsidR="007E5FF7">
              <w:rPr>
                <w:noProof/>
                <w:webHidden/>
              </w:rPr>
              <w:t>27</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0" w:history="1">
            <w:r w:rsidR="007E5FF7" w:rsidRPr="00D566D4">
              <w:rPr>
                <w:rStyle w:val="Hyperlink"/>
                <w:noProof/>
              </w:rPr>
              <w:t>First round recommendation regarding authorisation</w:t>
            </w:r>
            <w:r w:rsidR="007E5FF7">
              <w:rPr>
                <w:noProof/>
                <w:webHidden/>
              </w:rPr>
              <w:tab/>
            </w:r>
            <w:r w:rsidR="007E5FF7">
              <w:rPr>
                <w:noProof/>
                <w:webHidden/>
              </w:rPr>
              <w:fldChar w:fldCharType="begin"/>
            </w:r>
            <w:r w:rsidR="007E5FF7">
              <w:rPr>
                <w:noProof/>
                <w:webHidden/>
              </w:rPr>
              <w:instrText xml:space="preserve"> PAGEREF _Toc428796490 \h </w:instrText>
            </w:r>
            <w:r w:rsidR="007E5FF7">
              <w:rPr>
                <w:noProof/>
                <w:webHidden/>
              </w:rPr>
            </w:r>
            <w:r w:rsidR="007E5FF7">
              <w:rPr>
                <w:noProof/>
                <w:webHidden/>
              </w:rPr>
              <w:fldChar w:fldCharType="separate"/>
            </w:r>
            <w:r w:rsidR="007E5FF7">
              <w:rPr>
                <w:noProof/>
                <w:webHidden/>
              </w:rPr>
              <w:t>27</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1" w:history="1">
            <w:r w:rsidR="007E5FF7" w:rsidRPr="00D566D4">
              <w:rPr>
                <w:rStyle w:val="Hyperlink"/>
                <w:noProof/>
              </w:rPr>
              <w:t>Clinical questions</w:t>
            </w:r>
            <w:r w:rsidR="007E5FF7">
              <w:rPr>
                <w:noProof/>
                <w:webHidden/>
              </w:rPr>
              <w:tab/>
            </w:r>
            <w:r w:rsidR="007E5FF7">
              <w:rPr>
                <w:noProof/>
                <w:webHidden/>
              </w:rPr>
              <w:fldChar w:fldCharType="begin"/>
            </w:r>
            <w:r w:rsidR="007E5FF7">
              <w:rPr>
                <w:noProof/>
                <w:webHidden/>
              </w:rPr>
              <w:instrText xml:space="preserve"> PAGEREF _Toc428796491 \h </w:instrText>
            </w:r>
            <w:r w:rsidR="007E5FF7">
              <w:rPr>
                <w:noProof/>
                <w:webHidden/>
              </w:rPr>
            </w:r>
            <w:r w:rsidR="007E5FF7">
              <w:rPr>
                <w:noProof/>
                <w:webHidden/>
              </w:rPr>
              <w:fldChar w:fldCharType="separate"/>
            </w:r>
            <w:r w:rsidR="007E5FF7">
              <w:rPr>
                <w:noProof/>
                <w:webHidden/>
              </w:rPr>
              <w:t>27</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2" w:history="1">
            <w:r w:rsidR="007E5FF7" w:rsidRPr="00D566D4">
              <w:rPr>
                <w:rStyle w:val="Hyperlink"/>
                <w:noProof/>
              </w:rPr>
              <w:t>Second round evaluation of clinical data submitted in response to questions</w:t>
            </w:r>
            <w:r w:rsidR="007E5FF7">
              <w:rPr>
                <w:noProof/>
                <w:webHidden/>
              </w:rPr>
              <w:tab/>
            </w:r>
            <w:r w:rsidR="007E5FF7">
              <w:rPr>
                <w:noProof/>
                <w:webHidden/>
              </w:rPr>
              <w:fldChar w:fldCharType="begin"/>
            </w:r>
            <w:r w:rsidR="007E5FF7">
              <w:rPr>
                <w:noProof/>
                <w:webHidden/>
              </w:rPr>
              <w:instrText xml:space="preserve"> PAGEREF _Toc428796492 \h </w:instrText>
            </w:r>
            <w:r w:rsidR="007E5FF7">
              <w:rPr>
                <w:noProof/>
                <w:webHidden/>
              </w:rPr>
            </w:r>
            <w:r w:rsidR="007E5FF7">
              <w:rPr>
                <w:noProof/>
                <w:webHidden/>
              </w:rPr>
              <w:fldChar w:fldCharType="separate"/>
            </w:r>
            <w:r w:rsidR="007E5FF7">
              <w:rPr>
                <w:noProof/>
                <w:webHidden/>
              </w:rPr>
              <w:t>28</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493" w:history="1">
            <w:r w:rsidR="007E5FF7" w:rsidRPr="00D566D4">
              <w:rPr>
                <w:rStyle w:val="Hyperlink"/>
                <w:noProof/>
              </w:rPr>
              <w:t>V. Pharmacovigilance findings</w:t>
            </w:r>
            <w:r w:rsidR="007E5FF7">
              <w:rPr>
                <w:noProof/>
                <w:webHidden/>
              </w:rPr>
              <w:tab/>
            </w:r>
            <w:r w:rsidR="007E5FF7">
              <w:rPr>
                <w:noProof/>
                <w:webHidden/>
              </w:rPr>
              <w:fldChar w:fldCharType="begin"/>
            </w:r>
            <w:r w:rsidR="007E5FF7">
              <w:rPr>
                <w:noProof/>
                <w:webHidden/>
              </w:rPr>
              <w:instrText xml:space="preserve"> PAGEREF _Toc428796493 \h </w:instrText>
            </w:r>
            <w:r w:rsidR="007E5FF7">
              <w:rPr>
                <w:noProof/>
                <w:webHidden/>
              </w:rPr>
            </w:r>
            <w:r w:rsidR="007E5FF7">
              <w:rPr>
                <w:noProof/>
                <w:webHidden/>
              </w:rPr>
              <w:fldChar w:fldCharType="separate"/>
            </w:r>
            <w:r w:rsidR="007E5FF7">
              <w:rPr>
                <w:noProof/>
                <w:webHidden/>
              </w:rPr>
              <w:t>28</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4" w:history="1">
            <w:r w:rsidR="007E5FF7" w:rsidRPr="00D566D4">
              <w:rPr>
                <w:rStyle w:val="Hyperlink"/>
                <w:noProof/>
                <w:lang w:eastAsia="en-AU"/>
              </w:rPr>
              <w:t>Risk management plan</w:t>
            </w:r>
            <w:r w:rsidR="007E5FF7">
              <w:rPr>
                <w:noProof/>
                <w:webHidden/>
              </w:rPr>
              <w:tab/>
            </w:r>
            <w:r w:rsidR="007E5FF7">
              <w:rPr>
                <w:noProof/>
                <w:webHidden/>
              </w:rPr>
              <w:fldChar w:fldCharType="begin"/>
            </w:r>
            <w:r w:rsidR="007E5FF7">
              <w:rPr>
                <w:noProof/>
                <w:webHidden/>
              </w:rPr>
              <w:instrText xml:space="preserve"> PAGEREF _Toc428796494 \h </w:instrText>
            </w:r>
            <w:r w:rsidR="007E5FF7">
              <w:rPr>
                <w:noProof/>
                <w:webHidden/>
              </w:rPr>
            </w:r>
            <w:r w:rsidR="007E5FF7">
              <w:rPr>
                <w:noProof/>
                <w:webHidden/>
              </w:rPr>
              <w:fldChar w:fldCharType="separate"/>
            </w:r>
            <w:r w:rsidR="007E5FF7">
              <w:rPr>
                <w:noProof/>
                <w:webHidden/>
              </w:rPr>
              <w:t>28</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495" w:history="1">
            <w:r w:rsidR="007E5FF7" w:rsidRPr="00D566D4">
              <w:rPr>
                <w:rStyle w:val="Hyperlink"/>
                <w:noProof/>
              </w:rPr>
              <w:t>VI. Overall conclusion and risk/benefit assessment</w:t>
            </w:r>
            <w:r w:rsidR="007E5FF7">
              <w:rPr>
                <w:noProof/>
                <w:webHidden/>
              </w:rPr>
              <w:tab/>
            </w:r>
            <w:r w:rsidR="007E5FF7">
              <w:rPr>
                <w:noProof/>
                <w:webHidden/>
              </w:rPr>
              <w:fldChar w:fldCharType="begin"/>
            </w:r>
            <w:r w:rsidR="007E5FF7">
              <w:rPr>
                <w:noProof/>
                <w:webHidden/>
              </w:rPr>
              <w:instrText xml:space="preserve"> PAGEREF _Toc428796495 \h </w:instrText>
            </w:r>
            <w:r w:rsidR="007E5FF7">
              <w:rPr>
                <w:noProof/>
                <w:webHidden/>
              </w:rPr>
            </w:r>
            <w:r w:rsidR="007E5FF7">
              <w:rPr>
                <w:noProof/>
                <w:webHidden/>
              </w:rPr>
              <w:fldChar w:fldCharType="separate"/>
            </w:r>
            <w:r w:rsidR="007E5FF7">
              <w:rPr>
                <w:noProof/>
                <w:webHidden/>
              </w:rPr>
              <w:t>34</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6" w:history="1">
            <w:r w:rsidR="007E5FF7" w:rsidRPr="00D566D4">
              <w:rPr>
                <w:rStyle w:val="Hyperlink"/>
                <w:noProof/>
              </w:rPr>
              <w:t>Quality</w:t>
            </w:r>
            <w:r w:rsidR="007E5FF7">
              <w:rPr>
                <w:noProof/>
                <w:webHidden/>
              </w:rPr>
              <w:tab/>
            </w:r>
            <w:r w:rsidR="007E5FF7">
              <w:rPr>
                <w:noProof/>
                <w:webHidden/>
              </w:rPr>
              <w:fldChar w:fldCharType="begin"/>
            </w:r>
            <w:r w:rsidR="007E5FF7">
              <w:rPr>
                <w:noProof/>
                <w:webHidden/>
              </w:rPr>
              <w:instrText xml:space="preserve"> PAGEREF _Toc428796496 \h </w:instrText>
            </w:r>
            <w:r w:rsidR="007E5FF7">
              <w:rPr>
                <w:noProof/>
                <w:webHidden/>
              </w:rPr>
            </w:r>
            <w:r w:rsidR="007E5FF7">
              <w:rPr>
                <w:noProof/>
                <w:webHidden/>
              </w:rPr>
              <w:fldChar w:fldCharType="separate"/>
            </w:r>
            <w:r w:rsidR="007E5FF7">
              <w:rPr>
                <w:noProof/>
                <w:webHidden/>
              </w:rPr>
              <w:t>34</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7" w:history="1">
            <w:r w:rsidR="007E5FF7" w:rsidRPr="00D566D4">
              <w:rPr>
                <w:rStyle w:val="Hyperlink"/>
                <w:noProof/>
              </w:rPr>
              <w:t>Nonclinical</w:t>
            </w:r>
            <w:r w:rsidR="007E5FF7">
              <w:rPr>
                <w:noProof/>
                <w:webHidden/>
              </w:rPr>
              <w:tab/>
            </w:r>
            <w:r w:rsidR="007E5FF7">
              <w:rPr>
                <w:noProof/>
                <w:webHidden/>
              </w:rPr>
              <w:fldChar w:fldCharType="begin"/>
            </w:r>
            <w:r w:rsidR="007E5FF7">
              <w:rPr>
                <w:noProof/>
                <w:webHidden/>
              </w:rPr>
              <w:instrText xml:space="preserve"> PAGEREF _Toc428796497 \h </w:instrText>
            </w:r>
            <w:r w:rsidR="007E5FF7">
              <w:rPr>
                <w:noProof/>
                <w:webHidden/>
              </w:rPr>
            </w:r>
            <w:r w:rsidR="007E5FF7">
              <w:rPr>
                <w:noProof/>
                <w:webHidden/>
              </w:rPr>
              <w:fldChar w:fldCharType="separate"/>
            </w:r>
            <w:r w:rsidR="007E5FF7">
              <w:rPr>
                <w:noProof/>
                <w:webHidden/>
              </w:rPr>
              <w:t>35</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8" w:history="1">
            <w:r w:rsidR="007E5FF7" w:rsidRPr="00D566D4">
              <w:rPr>
                <w:rStyle w:val="Hyperlink"/>
                <w:noProof/>
              </w:rPr>
              <w:t>Clinical</w:t>
            </w:r>
            <w:r w:rsidR="007E5FF7">
              <w:rPr>
                <w:noProof/>
                <w:webHidden/>
              </w:rPr>
              <w:tab/>
            </w:r>
            <w:r w:rsidR="007E5FF7">
              <w:rPr>
                <w:noProof/>
                <w:webHidden/>
              </w:rPr>
              <w:fldChar w:fldCharType="begin"/>
            </w:r>
            <w:r w:rsidR="007E5FF7">
              <w:rPr>
                <w:noProof/>
                <w:webHidden/>
              </w:rPr>
              <w:instrText xml:space="preserve"> PAGEREF _Toc428796498 \h </w:instrText>
            </w:r>
            <w:r w:rsidR="007E5FF7">
              <w:rPr>
                <w:noProof/>
                <w:webHidden/>
              </w:rPr>
            </w:r>
            <w:r w:rsidR="007E5FF7">
              <w:rPr>
                <w:noProof/>
                <w:webHidden/>
              </w:rPr>
              <w:fldChar w:fldCharType="separate"/>
            </w:r>
            <w:r w:rsidR="007E5FF7">
              <w:rPr>
                <w:noProof/>
                <w:webHidden/>
              </w:rPr>
              <w:t>35</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499" w:history="1">
            <w:r w:rsidR="007E5FF7" w:rsidRPr="00D566D4">
              <w:rPr>
                <w:rStyle w:val="Hyperlink"/>
                <w:noProof/>
                <w:lang w:eastAsia="en-AU"/>
              </w:rPr>
              <w:t>Risk management plan</w:t>
            </w:r>
            <w:r w:rsidR="007E5FF7">
              <w:rPr>
                <w:noProof/>
                <w:webHidden/>
              </w:rPr>
              <w:tab/>
            </w:r>
            <w:r w:rsidR="007E5FF7">
              <w:rPr>
                <w:noProof/>
                <w:webHidden/>
              </w:rPr>
              <w:fldChar w:fldCharType="begin"/>
            </w:r>
            <w:r w:rsidR="007E5FF7">
              <w:rPr>
                <w:noProof/>
                <w:webHidden/>
              </w:rPr>
              <w:instrText xml:space="preserve"> PAGEREF _Toc428796499 \h </w:instrText>
            </w:r>
            <w:r w:rsidR="007E5FF7">
              <w:rPr>
                <w:noProof/>
                <w:webHidden/>
              </w:rPr>
            </w:r>
            <w:r w:rsidR="007E5FF7">
              <w:rPr>
                <w:noProof/>
                <w:webHidden/>
              </w:rPr>
              <w:fldChar w:fldCharType="separate"/>
            </w:r>
            <w:r w:rsidR="007E5FF7">
              <w:rPr>
                <w:noProof/>
                <w:webHidden/>
              </w:rPr>
              <w:t>41</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500" w:history="1">
            <w:r w:rsidR="007E5FF7" w:rsidRPr="00D566D4">
              <w:rPr>
                <w:rStyle w:val="Hyperlink"/>
                <w:noProof/>
              </w:rPr>
              <w:t>Risk-benefit analysis</w:t>
            </w:r>
            <w:r w:rsidR="007E5FF7">
              <w:rPr>
                <w:noProof/>
                <w:webHidden/>
              </w:rPr>
              <w:tab/>
            </w:r>
            <w:r w:rsidR="007E5FF7">
              <w:rPr>
                <w:noProof/>
                <w:webHidden/>
              </w:rPr>
              <w:fldChar w:fldCharType="begin"/>
            </w:r>
            <w:r w:rsidR="007E5FF7">
              <w:rPr>
                <w:noProof/>
                <w:webHidden/>
              </w:rPr>
              <w:instrText xml:space="preserve"> PAGEREF _Toc428796500 \h </w:instrText>
            </w:r>
            <w:r w:rsidR="007E5FF7">
              <w:rPr>
                <w:noProof/>
                <w:webHidden/>
              </w:rPr>
            </w:r>
            <w:r w:rsidR="007E5FF7">
              <w:rPr>
                <w:noProof/>
                <w:webHidden/>
              </w:rPr>
              <w:fldChar w:fldCharType="separate"/>
            </w:r>
            <w:r w:rsidR="007E5FF7">
              <w:rPr>
                <w:noProof/>
                <w:webHidden/>
              </w:rPr>
              <w:t>41</w:t>
            </w:r>
            <w:r w:rsidR="007E5FF7">
              <w:rPr>
                <w:noProof/>
                <w:webHidden/>
              </w:rPr>
              <w:fldChar w:fldCharType="end"/>
            </w:r>
          </w:hyperlink>
        </w:p>
        <w:p w:rsidR="007E5FF7" w:rsidRDefault="00405646">
          <w:pPr>
            <w:pStyle w:val="TOC3"/>
            <w:rPr>
              <w:rFonts w:asciiTheme="minorHAnsi" w:eastAsiaTheme="minorEastAsia" w:hAnsiTheme="minorHAnsi" w:cstheme="minorBidi"/>
              <w:noProof/>
              <w:lang w:eastAsia="en-AU"/>
            </w:rPr>
          </w:pPr>
          <w:hyperlink w:anchor="_Toc428796501" w:history="1">
            <w:r w:rsidR="007E5FF7" w:rsidRPr="00D566D4">
              <w:rPr>
                <w:rStyle w:val="Hyperlink"/>
                <w:noProof/>
              </w:rPr>
              <w:t>Outcome</w:t>
            </w:r>
            <w:r w:rsidR="007E5FF7">
              <w:rPr>
                <w:noProof/>
                <w:webHidden/>
              </w:rPr>
              <w:tab/>
            </w:r>
            <w:r w:rsidR="007E5FF7">
              <w:rPr>
                <w:noProof/>
                <w:webHidden/>
              </w:rPr>
              <w:fldChar w:fldCharType="begin"/>
            </w:r>
            <w:r w:rsidR="007E5FF7">
              <w:rPr>
                <w:noProof/>
                <w:webHidden/>
              </w:rPr>
              <w:instrText xml:space="preserve"> PAGEREF _Toc428796501 \h </w:instrText>
            </w:r>
            <w:r w:rsidR="007E5FF7">
              <w:rPr>
                <w:noProof/>
                <w:webHidden/>
              </w:rPr>
            </w:r>
            <w:r w:rsidR="007E5FF7">
              <w:rPr>
                <w:noProof/>
                <w:webHidden/>
              </w:rPr>
              <w:fldChar w:fldCharType="separate"/>
            </w:r>
            <w:r w:rsidR="007E5FF7">
              <w:rPr>
                <w:noProof/>
                <w:webHidden/>
              </w:rPr>
              <w:t>46</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502" w:history="1">
            <w:r w:rsidR="007E5FF7" w:rsidRPr="00D566D4">
              <w:rPr>
                <w:rStyle w:val="Hyperlink"/>
                <w:noProof/>
              </w:rPr>
              <w:t>Attachment 1. Product Information</w:t>
            </w:r>
            <w:r w:rsidR="007E5FF7">
              <w:rPr>
                <w:noProof/>
                <w:webHidden/>
              </w:rPr>
              <w:tab/>
            </w:r>
            <w:r w:rsidR="007E5FF7">
              <w:rPr>
                <w:noProof/>
                <w:webHidden/>
              </w:rPr>
              <w:fldChar w:fldCharType="begin"/>
            </w:r>
            <w:r w:rsidR="007E5FF7">
              <w:rPr>
                <w:noProof/>
                <w:webHidden/>
              </w:rPr>
              <w:instrText xml:space="preserve"> PAGEREF _Toc428796502 \h </w:instrText>
            </w:r>
            <w:r w:rsidR="007E5FF7">
              <w:rPr>
                <w:noProof/>
                <w:webHidden/>
              </w:rPr>
            </w:r>
            <w:r w:rsidR="007E5FF7">
              <w:rPr>
                <w:noProof/>
                <w:webHidden/>
              </w:rPr>
              <w:fldChar w:fldCharType="separate"/>
            </w:r>
            <w:r w:rsidR="007E5FF7">
              <w:rPr>
                <w:noProof/>
                <w:webHidden/>
              </w:rPr>
              <w:t>47</w:t>
            </w:r>
            <w:r w:rsidR="007E5FF7">
              <w:rPr>
                <w:noProof/>
                <w:webHidden/>
              </w:rPr>
              <w:fldChar w:fldCharType="end"/>
            </w:r>
          </w:hyperlink>
        </w:p>
        <w:p w:rsidR="007E5FF7" w:rsidRDefault="00405646">
          <w:pPr>
            <w:pStyle w:val="TOC2"/>
            <w:rPr>
              <w:rFonts w:asciiTheme="minorHAnsi" w:eastAsiaTheme="minorEastAsia" w:hAnsiTheme="minorHAnsi" w:cstheme="minorBidi"/>
              <w:b w:val="0"/>
              <w:noProof/>
              <w:sz w:val="22"/>
              <w:lang w:eastAsia="en-AU"/>
            </w:rPr>
          </w:pPr>
          <w:hyperlink w:anchor="_Toc428796503" w:history="1">
            <w:r w:rsidR="007E5FF7" w:rsidRPr="00D566D4">
              <w:rPr>
                <w:rStyle w:val="Hyperlink"/>
                <w:noProof/>
                <w:lang w:eastAsia="en-AU"/>
              </w:rPr>
              <w:t>Attachment 2. Extract from the Clinical Evaluation Report</w:t>
            </w:r>
            <w:r w:rsidR="007E5FF7">
              <w:rPr>
                <w:noProof/>
                <w:webHidden/>
              </w:rPr>
              <w:tab/>
            </w:r>
            <w:r w:rsidR="007E5FF7">
              <w:rPr>
                <w:noProof/>
                <w:webHidden/>
              </w:rPr>
              <w:fldChar w:fldCharType="begin"/>
            </w:r>
            <w:r w:rsidR="007E5FF7">
              <w:rPr>
                <w:noProof/>
                <w:webHidden/>
              </w:rPr>
              <w:instrText xml:space="preserve"> PAGEREF _Toc428796503 \h </w:instrText>
            </w:r>
            <w:r w:rsidR="007E5FF7">
              <w:rPr>
                <w:noProof/>
                <w:webHidden/>
              </w:rPr>
            </w:r>
            <w:r w:rsidR="007E5FF7">
              <w:rPr>
                <w:noProof/>
                <w:webHidden/>
              </w:rPr>
              <w:fldChar w:fldCharType="separate"/>
            </w:r>
            <w:r w:rsidR="007E5FF7">
              <w:rPr>
                <w:noProof/>
                <w:webHidden/>
              </w:rPr>
              <w:t>47</w:t>
            </w:r>
            <w:r w:rsidR="007E5FF7">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428796462"/>
      <w:r w:rsidRPr="00FD119B">
        <w:lastRenderedPageBreak/>
        <w:t>List of the most common abbreviations</w:t>
      </w:r>
      <w:bookmarkEnd w:id="4"/>
      <w:bookmarkEnd w:id="5"/>
      <w:bookmarkEnd w:id="6"/>
      <w:bookmarkEnd w:id="7"/>
      <w:r w:rsidRPr="00FD119B">
        <w:t xml:space="preserve"> used in this </w:t>
      </w:r>
      <w:proofErr w:type="spellStart"/>
      <w:r w:rsidRPr="004F0C4A">
        <w:t>AusPAR</w:t>
      </w:r>
      <w:bookmarkEnd w:id="8"/>
      <w:proofErr w:type="spellEnd"/>
    </w:p>
    <w:tbl>
      <w:tblPr>
        <w:tblStyle w:val="TableTGAblue"/>
        <w:tblW w:w="0" w:type="auto"/>
        <w:tblLook w:val="04A0" w:firstRow="1" w:lastRow="0" w:firstColumn="1" w:lastColumn="0" w:noHBand="0" w:noVBand="1"/>
      </w:tblPr>
      <w:tblGrid>
        <w:gridCol w:w="1809"/>
        <w:gridCol w:w="6911"/>
      </w:tblGrid>
      <w:tr w:rsidR="00FD119B" w:rsidRPr="00FD119B" w:rsidTr="00FD5ED4">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4F2F71" w:rsidRDefault="00FD119B" w:rsidP="00FD119B">
            <w:pPr>
              <w:keepNext w:val="0"/>
              <w:ind w:left="0" w:right="0"/>
              <w:rPr>
                <w:szCs w:val="22"/>
                <w:lang w:eastAsia="en-US"/>
              </w:rPr>
            </w:pPr>
            <w:r w:rsidRPr="004F2F71">
              <w:rPr>
                <w:szCs w:val="22"/>
                <w:lang w:eastAsia="en-US"/>
              </w:rPr>
              <w:t>Abbreviation</w:t>
            </w:r>
          </w:p>
        </w:tc>
        <w:tc>
          <w:tcPr>
            <w:tcW w:w="6911" w:type="dxa"/>
          </w:tcPr>
          <w:p w:rsidR="00FD119B" w:rsidRPr="004F2F71" w:rsidRDefault="00FD119B" w:rsidP="00FD119B">
            <w:pPr>
              <w:keepNext w:val="0"/>
              <w:ind w:left="0" w:right="0"/>
              <w:rPr>
                <w:szCs w:val="22"/>
                <w:lang w:eastAsia="en-US"/>
              </w:rPr>
            </w:pPr>
            <w:r w:rsidRPr="004F2F71">
              <w:rPr>
                <w:szCs w:val="22"/>
                <w:lang w:eastAsia="en-US"/>
              </w:rPr>
              <w:t>Meaning</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ACE</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angiotensin converting enzyme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ALAT</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alanine aminotransferase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ASR</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annual safety report</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CCDS</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company core data sheet</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CHMP</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Committee for Medicinal Products for Human Use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DCCT</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Diabetes Control and Complications Trial</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DSUR</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development safety update report</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EEA</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European Economic Area</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EMA</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European Medicines Agency</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EU</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European Union</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FDA</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Food and Drug Administration</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GLP-1</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glucagon-like peptide-1</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GPRD</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General Practice Research Database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GW</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gestational week</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HMEC</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human mammary epithelial cells</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HIV</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human immunodeficiency virus</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IBD</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international birth date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ICH</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International Conference on Harmonisation</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L6-hIR</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L6 myoblasts from ATTC transfected with human insulin receptors</w:t>
            </w:r>
          </w:p>
        </w:tc>
      </w:tr>
      <w:tr w:rsidR="00B8798F" w:rsidRPr="00FD119B" w:rsidTr="00FD5ED4">
        <w:tc>
          <w:tcPr>
            <w:tcW w:w="1809"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MAH</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market authorisation holder</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MAOI</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monoamine oxidase inhibitors</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proofErr w:type="spellStart"/>
            <w:r>
              <w:rPr>
                <w:rFonts w:asciiTheme="minorHAnsi" w:hAnsiTheme="minorHAnsi" w:cstheme="minorHAnsi"/>
                <w:szCs w:val="22"/>
              </w:rPr>
              <w:t>MedDRA</w:t>
            </w:r>
            <w:proofErr w:type="spellEnd"/>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Medical Dictionary for Regulatory Activities</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NPH</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 xml:space="preserve">neutral protamine </w:t>
            </w:r>
            <w:proofErr w:type="spellStart"/>
            <w:r w:rsidRPr="004F2F71">
              <w:rPr>
                <w:rFonts w:asciiTheme="minorHAnsi" w:hAnsiTheme="minorHAnsi" w:cstheme="minorHAnsi"/>
                <w:szCs w:val="22"/>
              </w:rPr>
              <w:t>Hagedorn</w:t>
            </w:r>
            <w:proofErr w:type="spellEnd"/>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NYHA</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New York Heart Association</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lastRenderedPageBreak/>
              <w:t>PD</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pharmacodynamics</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PK</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pharmacokinetics</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PSUR</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periodic safety update report</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PT</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preferred term</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PYE</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patient years of exposure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RR</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reporting rate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RMP</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risk management plan</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RSI</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request for supplementary information</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proofErr w:type="spellStart"/>
            <w:r>
              <w:rPr>
                <w:rFonts w:asciiTheme="minorHAnsi" w:hAnsiTheme="minorHAnsi" w:cstheme="minorHAnsi"/>
                <w:szCs w:val="22"/>
              </w:rPr>
              <w:t>SmPC</w:t>
            </w:r>
            <w:proofErr w:type="spellEnd"/>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summary of product characteristics</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SMQ</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 xml:space="preserve">standardised </w:t>
            </w:r>
            <w:proofErr w:type="spellStart"/>
            <w:r w:rsidRPr="004F2F71">
              <w:rPr>
                <w:rFonts w:asciiTheme="minorHAnsi" w:hAnsiTheme="minorHAnsi" w:cstheme="minorHAnsi"/>
                <w:szCs w:val="22"/>
              </w:rPr>
              <w:t>MedDRA</w:t>
            </w:r>
            <w:proofErr w:type="spellEnd"/>
            <w:r w:rsidRPr="004F2F71">
              <w:rPr>
                <w:rFonts w:asciiTheme="minorHAnsi" w:hAnsiTheme="minorHAnsi" w:cstheme="minorHAnsi"/>
                <w:szCs w:val="22"/>
              </w:rPr>
              <w:t xml:space="preserve"> query</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TZD</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thiazolidinedione</w:t>
            </w:r>
          </w:p>
        </w:tc>
      </w:tr>
      <w:tr w:rsidR="00B8798F" w:rsidRPr="00FD119B" w:rsidTr="00FD5ED4">
        <w:tc>
          <w:tcPr>
            <w:tcW w:w="1809" w:type="dxa"/>
          </w:tcPr>
          <w:p w:rsidR="00B8798F" w:rsidRPr="004F2F71" w:rsidRDefault="00725817" w:rsidP="00D54BAC">
            <w:pPr>
              <w:rPr>
                <w:rFonts w:asciiTheme="minorHAnsi" w:hAnsiTheme="minorHAnsi" w:cstheme="minorHAnsi"/>
                <w:szCs w:val="22"/>
              </w:rPr>
            </w:pPr>
            <w:r>
              <w:rPr>
                <w:rFonts w:asciiTheme="minorHAnsi" w:hAnsiTheme="minorHAnsi" w:cstheme="minorHAnsi"/>
                <w:szCs w:val="22"/>
              </w:rPr>
              <w:t>WHO</w:t>
            </w:r>
          </w:p>
        </w:tc>
        <w:tc>
          <w:tcPr>
            <w:tcW w:w="6911" w:type="dxa"/>
          </w:tcPr>
          <w:p w:rsidR="00B8798F" w:rsidRPr="004F2F71" w:rsidRDefault="00B8798F" w:rsidP="00D54BAC">
            <w:pPr>
              <w:rPr>
                <w:rFonts w:asciiTheme="minorHAnsi" w:hAnsiTheme="minorHAnsi" w:cstheme="minorHAnsi"/>
                <w:szCs w:val="22"/>
              </w:rPr>
            </w:pPr>
            <w:r w:rsidRPr="004F2F71">
              <w:rPr>
                <w:rFonts w:asciiTheme="minorHAnsi" w:hAnsiTheme="minorHAnsi" w:cstheme="minorHAnsi"/>
                <w:szCs w:val="22"/>
              </w:rPr>
              <w:t>World Health Organization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28796463"/>
      <w:r>
        <w:lastRenderedPageBreak/>
        <w:t>I.</w:t>
      </w:r>
      <w:r w:rsidR="008E7846">
        <w:t xml:space="preserve"> Introduction to product submission</w:t>
      </w:r>
      <w:bookmarkEnd w:id="9"/>
      <w:bookmarkEnd w:id="3"/>
      <w:bookmarkEnd w:id="1"/>
    </w:p>
    <w:p w:rsidR="008E7846" w:rsidRDefault="008E7846" w:rsidP="00156B3F">
      <w:pPr>
        <w:pStyle w:val="Heading3"/>
        <w:rPr>
          <w:lang w:eastAsia="en-AU"/>
        </w:rPr>
      </w:pPr>
      <w:bookmarkStart w:id="10" w:name="_Toc247691502"/>
      <w:bookmarkStart w:id="11" w:name="_Toc314842483"/>
      <w:bookmarkStart w:id="12" w:name="_Toc428796464"/>
      <w:r>
        <w:rPr>
          <w:lang w:eastAsia="en-AU"/>
        </w:rPr>
        <w:t xml:space="preserve">Submission </w:t>
      </w:r>
      <w:r w:rsidRPr="00156B3F">
        <w:t>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7830F3">
        <w:trPr>
          <w:trHeight w:hRule="exact" w:val="454"/>
        </w:trPr>
        <w:tc>
          <w:tcPr>
            <w:tcW w:w="2907" w:type="dxa"/>
          </w:tcPr>
          <w:p w:rsidR="008E7846" w:rsidRPr="003D1E62" w:rsidRDefault="001B5C90" w:rsidP="008E5C53">
            <w:r>
              <w:t>Type of s</w:t>
            </w:r>
            <w:r w:rsidR="008E7846" w:rsidRPr="003D1E62">
              <w:t>ubmission</w:t>
            </w:r>
            <w:r>
              <w:t>:</w:t>
            </w:r>
          </w:p>
        </w:tc>
        <w:tc>
          <w:tcPr>
            <w:tcW w:w="6590" w:type="dxa"/>
            <w:gridSpan w:val="2"/>
          </w:tcPr>
          <w:p w:rsidR="008E7846" w:rsidRPr="003D1E62" w:rsidRDefault="008E5C53" w:rsidP="008E5C53">
            <w:r>
              <w:t>Biosimilar (</w:t>
            </w:r>
            <w:r>
              <w:rPr>
                <w:rFonts w:asciiTheme="minorHAnsi" w:hAnsiTheme="minorHAnsi" w:cs="Arial"/>
                <w:szCs w:val="24"/>
              </w:rPr>
              <w:t>Insulin analogue</w:t>
            </w:r>
            <w:r>
              <w:t>)</w:t>
            </w:r>
          </w:p>
        </w:tc>
      </w:tr>
      <w:tr w:rsidR="008E7846" w:rsidRPr="003D1E62" w:rsidTr="007830F3">
        <w:trPr>
          <w:trHeight w:hRule="exact" w:val="454"/>
        </w:trPr>
        <w:tc>
          <w:tcPr>
            <w:tcW w:w="2907" w:type="dxa"/>
          </w:tcPr>
          <w:p w:rsidR="008E7846" w:rsidRPr="003D1E62" w:rsidRDefault="008E7846" w:rsidP="008E5C53">
            <w:r w:rsidRPr="003D1E62">
              <w:t>Decision:</w:t>
            </w:r>
          </w:p>
        </w:tc>
        <w:tc>
          <w:tcPr>
            <w:tcW w:w="6590" w:type="dxa"/>
            <w:gridSpan w:val="2"/>
          </w:tcPr>
          <w:p w:rsidR="008E7846" w:rsidRPr="003D1E62" w:rsidRDefault="008E7846" w:rsidP="007830F3">
            <w:r w:rsidRPr="003D1E62">
              <w:t xml:space="preserve">Approved </w:t>
            </w:r>
          </w:p>
        </w:tc>
      </w:tr>
      <w:tr w:rsidR="008E7846" w:rsidRPr="003D1E62" w:rsidTr="007830F3">
        <w:trPr>
          <w:trHeight w:hRule="exact" w:val="454"/>
        </w:trPr>
        <w:tc>
          <w:tcPr>
            <w:tcW w:w="2907" w:type="dxa"/>
          </w:tcPr>
          <w:p w:rsidR="008E7846" w:rsidRPr="003D1E62" w:rsidRDefault="008E7846" w:rsidP="008E5C53">
            <w:r w:rsidRPr="003D1E62">
              <w:t xml:space="preserve">Date of </w:t>
            </w:r>
            <w:r w:rsidR="001B5C90">
              <w:t>d</w:t>
            </w:r>
            <w:r w:rsidRPr="003D1E62">
              <w:t>ecision:</w:t>
            </w:r>
          </w:p>
        </w:tc>
        <w:tc>
          <w:tcPr>
            <w:tcW w:w="6590" w:type="dxa"/>
            <w:gridSpan w:val="2"/>
          </w:tcPr>
          <w:p w:rsidR="008E7846" w:rsidRPr="003D1E62" w:rsidRDefault="007830F3" w:rsidP="008E5C53">
            <w:r>
              <w:t>10 November 2014</w:t>
            </w:r>
          </w:p>
        </w:tc>
      </w:tr>
      <w:tr w:rsidR="008E7846" w:rsidRPr="00487162" w:rsidTr="007830F3">
        <w:trPr>
          <w:gridAfter w:val="1"/>
          <w:wAfter w:w="283" w:type="dxa"/>
        </w:trPr>
        <w:tc>
          <w:tcPr>
            <w:tcW w:w="2907" w:type="dxa"/>
          </w:tcPr>
          <w:p w:rsidR="008E7846" w:rsidRPr="00487162" w:rsidRDefault="001B5C90" w:rsidP="008E5C53">
            <w:r>
              <w:t>Active ingredient(s):</w:t>
            </w:r>
          </w:p>
        </w:tc>
        <w:tc>
          <w:tcPr>
            <w:tcW w:w="6307" w:type="dxa"/>
          </w:tcPr>
          <w:p w:rsidR="008E7846" w:rsidRPr="00487162" w:rsidRDefault="00156B3F" w:rsidP="008E5C53">
            <w:r>
              <w:t xml:space="preserve">Insulin </w:t>
            </w:r>
            <w:proofErr w:type="spellStart"/>
            <w:r>
              <w:t>glargine</w:t>
            </w:r>
            <w:proofErr w:type="spellEnd"/>
          </w:p>
        </w:tc>
      </w:tr>
      <w:tr w:rsidR="008E7846" w:rsidRPr="00487162" w:rsidTr="007830F3">
        <w:trPr>
          <w:gridAfter w:val="1"/>
          <w:wAfter w:w="283" w:type="dxa"/>
        </w:trPr>
        <w:tc>
          <w:tcPr>
            <w:tcW w:w="2907" w:type="dxa"/>
          </w:tcPr>
          <w:p w:rsidR="008E7846" w:rsidRPr="00487162" w:rsidRDefault="008E7846" w:rsidP="008E5C53">
            <w:r w:rsidRPr="00487162">
              <w:t>Product</w:t>
            </w:r>
            <w:r w:rsidR="001B5C90">
              <w:t xml:space="preserve"> name(s):</w:t>
            </w:r>
          </w:p>
        </w:tc>
        <w:tc>
          <w:tcPr>
            <w:tcW w:w="6307" w:type="dxa"/>
          </w:tcPr>
          <w:p w:rsidR="008E7846" w:rsidRPr="00487162" w:rsidRDefault="007830F3" w:rsidP="008E5C53">
            <w:proofErr w:type="spellStart"/>
            <w:r>
              <w:t>Abasria</w:t>
            </w:r>
            <w:proofErr w:type="spellEnd"/>
            <w:r>
              <w:t xml:space="preserve">, </w:t>
            </w:r>
            <w:proofErr w:type="spellStart"/>
            <w:r>
              <w:t>Abasria</w:t>
            </w:r>
            <w:proofErr w:type="spellEnd"/>
            <w:r>
              <w:t xml:space="preserve"> </w:t>
            </w:r>
            <w:proofErr w:type="spellStart"/>
            <w:r w:rsidR="008E5C53">
              <w:t>KwikPen</w:t>
            </w:r>
            <w:proofErr w:type="spellEnd"/>
            <w:r w:rsidR="000E40C1">
              <w:rPr>
                <w:rStyle w:val="FootnoteReference"/>
              </w:rPr>
              <w:footnoteReference w:id="2"/>
            </w:r>
          </w:p>
        </w:tc>
      </w:tr>
      <w:tr w:rsidR="008E7846" w:rsidRPr="00487162" w:rsidTr="007830F3">
        <w:trPr>
          <w:gridAfter w:val="1"/>
          <w:wAfter w:w="283" w:type="dxa"/>
        </w:trPr>
        <w:tc>
          <w:tcPr>
            <w:tcW w:w="2907" w:type="dxa"/>
          </w:tcPr>
          <w:p w:rsidR="008E7846" w:rsidRPr="00487162" w:rsidRDefault="008E7846" w:rsidP="008E5C53">
            <w:r w:rsidRPr="00487162">
              <w:t xml:space="preserve">Sponsor’s </w:t>
            </w:r>
            <w:r w:rsidR="001B5C90">
              <w:t>n</w:t>
            </w:r>
            <w:r w:rsidRPr="00487162">
              <w:t xml:space="preserve">ame and </w:t>
            </w:r>
            <w:r w:rsidR="001B5C90">
              <w:t>a</w:t>
            </w:r>
            <w:r w:rsidRPr="00487162">
              <w:t>ddress:</w:t>
            </w:r>
          </w:p>
        </w:tc>
        <w:tc>
          <w:tcPr>
            <w:tcW w:w="6307" w:type="dxa"/>
          </w:tcPr>
          <w:p w:rsidR="00156B3F" w:rsidRDefault="008E5C53" w:rsidP="00156B3F">
            <w:pPr>
              <w:rPr>
                <w:rFonts w:asciiTheme="minorHAnsi" w:hAnsiTheme="minorHAnsi"/>
                <w:lang w:eastAsia="en-AU"/>
              </w:rPr>
            </w:pPr>
            <w:r w:rsidRPr="008A59F9">
              <w:rPr>
                <w:rFonts w:asciiTheme="minorHAnsi" w:hAnsiTheme="minorHAnsi"/>
                <w:lang w:eastAsia="en-AU"/>
              </w:rPr>
              <w:t>Eli Lilly Australia P</w:t>
            </w:r>
            <w:r>
              <w:rPr>
                <w:rFonts w:asciiTheme="minorHAnsi" w:hAnsiTheme="minorHAnsi"/>
                <w:lang w:eastAsia="en-AU"/>
              </w:rPr>
              <w:t>ty Ltd</w:t>
            </w:r>
          </w:p>
          <w:p w:rsidR="008E7846" w:rsidRPr="00487162" w:rsidRDefault="008E5C53" w:rsidP="00156B3F">
            <w:r w:rsidRPr="008A59F9">
              <w:rPr>
                <w:rFonts w:asciiTheme="minorHAnsi" w:hAnsiTheme="minorHAnsi"/>
                <w:lang w:eastAsia="en-AU"/>
              </w:rPr>
              <w:t>112 Wharf Road, West Ryde, NSW 2114</w:t>
            </w:r>
          </w:p>
        </w:tc>
      </w:tr>
      <w:tr w:rsidR="008E7846" w:rsidRPr="00487162" w:rsidTr="007830F3">
        <w:trPr>
          <w:gridAfter w:val="1"/>
          <w:wAfter w:w="283" w:type="dxa"/>
        </w:trPr>
        <w:tc>
          <w:tcPr>
            <w:tcW w:w="2907" w:type="dxa"/>
          </w:tcPr>
          <w:p w:rsidR="008E7846" w:rsidRPr="00487162" w:rsidRDefault="001B5C90" w:rsidP="008E5C53">
            <w:r>
              <w:t>Dose form(s):</w:t>
            </w:r>
          </w:p>
        </w:tc>
        <w:tc>
          <w:tcPr>
            <w:tcW w:w="6307" w:type="dxa"/>
          </w:tcPr>
          <w:p w:rsidR="008E7846" w:rsidRPr="00487162" w:rsidRDefault="008E5C53" w:rsidP="008E5C53">
            <w:r>
              <w:rPr>
                <w:rFonts w:asciiTheme="minorHAnsi" w:hAnsiTheme="minorHAnsi"/>
              </w:rPr>
              <w:t>S</w:t>
            </w:r>
            <w:r w:rsidRPr="008A59F9">
              <w:rPr>
                <w:rFonts w:asciiTheme="minorHAnsi" w:hAnsiTheme="minorHAnsi"/>
              </w:rPr>
              <w:t>olution for injection</w:t>
            </w:r>
          </w:p>
        </w:tc>
      </w:tr>
      <w:tr w:rsidR="008E7846" w:rsidRPr="00487162" w:rsidTr="007830F3">
        <w:trPr>
          <w:gridAfter w:val="1"/>
          <w:wAfter w:w="283" w:type="dxa"/>
        </w:trPr>
        <w:tc>
          <w:tcPr>
            <w:tcW w:w="2907" w:type="dxa"/>
          </w:tcPr>
          <w:p w:rsidR="008E7846" w:rsidRPr="00487162" w:rsidRDefault="00156B3F" w:rsidP="008E5C53">
            <w:r>
              <w:t>Strength(s):</w:t>
            </w:r>
          </w:p>
        </w:tc>
        <w:tc>
          <w:tcPr>
            <w:tcW w:w="6307" w:type="dxa"/>
          </w:tcPr>
          <w:p w:rsidR="008E7846" w:rsidRPr="00487162" w:rsidRDefault="008E5C53" w:rsidP="008E5C53">
            <w:r w:rsidRPr="008A59F9">
              <w:rPr>
                <w:rFonts w:asciiTheme="minorHAnsi" w:hAnsiTheme="minorHAnsi"/>
              </w:rPr>
              <w:t>100</w:t>
            </w:r>
            <w:r w:rsidR="000C77EB">
              <w:rPr>
                <w:rFonts w:asciiTheme="minorHAnsi" w:hAnsiTheme="minorHAnsi"/>
              </w:rPr>
              <w:t xml:space="preserve"> </w:t>
            </w:r>
            <w:r w:rsidRPr="008A59F9">
              <w:rPr>
                <w:rFonts w:asciiTheme="minorHAnsi" w:hAnsiTheme="minorHAnsi"/>
              </w:rPr>
              <w:t>U/mL</w:t>
            </w:r>
          </w:p>
        </w:tc>
      </w:tr>
      <w:tr w:rsidR="008E7846" w:rsidRPr="00487162" w:rsidTr="007830F3">
        <w:trPr>
          <w:gridAfter w:val="1"/>
          <w:wAfter w:w="283" w:type="dxa"/>
        </w:trPr>
        <w:tc>
          <w:tcPr>
            <w:tcW w:w="2907" w:type="dxa"/>
          </w:tcPr>
          <w:p w:rsidR="008E7846" w:rsidRPr="00487162" w:rsidRDefault="008E7846" w:rsidP="008E5C53">
            <w:r w:rsidRPr="00487162">
              <w:t>Container(s):</w:t>
            </w:r>
          </w:p>
        </w:tc>
        <w:tc>
          <w:tcPr>
            <w:tcW w:w="6307" w:type="dxa"/>
          </w:tcPr>
          <w:p w:rsidR="008E7846" w:rsidRPr="00487162" w:rsidRDefault="008E5C53" w:rsidP="008E5C53">
            <w:r>
              <w:rPr>
                <w:rFonts w:asciiTheme="minorHAnsi" w:hAnsiTheme="minorHAnsi"/>
              </w:rPr>
              <w:t>C</w:t>
            </w:r>
            <w:r w:rsidRPr="008A59F9">
              <w:rPr>
                <w:rFonts w:asciiTheme="minorHAnsi" w:hAnsiTheme="minorHAnsi"/>
              </w:rPr>
              <w:t>artridge</w:t>
            </w:r>
            <w:r>
              <w:rPr>
                <w:rFonts w:asciiTheme="minorHAnsi" w:hAnsiTheme="minorHAnsi"/>
              </w:rPr>
              <w:t xml:space="preserve"> and </w:t>
            </w:r>
            <w:r w:rsidRPr="008A59F9">
              <w:rPr>
                <w:rFonts w:asciiTheme="minorHAnsi" w:hAnsiTheme="minorHAnsi"/>
              </w:rPr>
              <w:t>prefilled pen</w:t>
            </w:r>
          </w:p>
        </w:tc>
      </w:tr>
      <w:tr w:rsidR="008E7846" w:rsidRPr="00487162" w:rsidTr="007830F3">
        <w:trPr>
          <w:gridAfter w:val="1"/>
          <w:wAfter w:w="283" w:type="dxa"/>
        </w:trPr>
        <w:tc>
          <w:tcPr>
            <w:tcW w:w="2907" w:type="dxa"/>
          </w:tcPr>
          <w:p w:rsidR="008E7846" w:rsidRPr="00487162" w:rsidRDefault="008E7846" w:rsidP="008E5C53">
            <w:r w:rsidRPr="00487162">
              <w:t>Pack size(s):</w:t>
            </w:r>
          </w:p>
        </w:tc>
        <w:tc>
          <w:tcPr>
            <w:tcW w:w="6307" w:type="dxa"/>
          </w:tcPr>
          <w:p w:rsidR="008E7846" w:rsidRPr="00487162" w:rsidRDefault="008E5C53" w:rsidP="008E5C53">
            <w:r>
              <w:rPr>
                <w:rFonts w:asciiTheme="minorHAnsi" w:hAnsiTheme="minorHAnsi" w:cs="Arial"/>
                <w:szCs w:val="24"/>
              </w:rPr>
              <w:t>1, 2, 5 and 10</w:t>
            </w:r>
          </w:p>
        </w:tc>
      </w:tr>
      <w:tr w:rsidR="008E7846" w:rsidRPr="00487162" w:rsidTr="007830F3">
        <w:trPr>
          <w:gridAfter w:val="1"/>
          <w:wAfter w:w="283" w:type="dxa"/>
        </w:trPr>
        <w:tc>
          <w:tcPr>
            <w:tcW w:w="2907" w:type="dxa"/>
          </w:tcPr>
          <w:p w:rsidR="008E7846" w:rsidRPr="00487162" w:rsidRDefault="008E7846" w:rsidP="008E5C53">
            <w:r w:rsidRPr="00487162">
              <w:t xml:space="preserve">Approved </w:t>
            </w:r>
            <w:r w:rsidR="001B5C90">
              <w:t>t</w:t>
            </w:r>
            <w:r w:rsidRPr="00487162">
              <w:t>herapeutic use:</w:t>
            </w:r>
          </w:p>
        </w:tc>
        <w:tc>
          <w:tcPr>
            <w:tcW w:w="6307" w:type="dxa"/>
          </w:tcPr>
          <w:p w:rsidR="008E7846" w:rsidRPr="007830F3" w:rsidRDefault="007830F3" w:rsidP="008E5C53">
            <w:pPr>
              <w:rPr>
                <w:i/>
              </w:rPr>
            </w:pPr>
            <w:r w:rsidRPr="00AC5DD8">
              <w:rPr>
                <w:i/>
              </w:rPr>
              <w:t xml:space="preserve">Insulin </w:t>
            </w:r>
            <w:proofErr w:type="spellStart"/>
            <w:r w:rsidRPr="00AC5DD8">
              <w:rPr>
                <w:i/>
              </w:rPr>
              <w:t>glargine</w:t>
            </w:r>
            <w:proofErr w:type="spellEnd"/>
            <w:r w:rsidRPr="00AC5DD8">
              <w:rPr>
                <w:i/>
              </w:rPr>
              <w:t xml:space="preserve"> an insulin analogue indicated for once-daily subcutaneous administration in the treatment of </w:t>
            </w:r>
            <w:r w:rsidR="00D54BAC">
              <w:rPr>
                <w:i/>
              </w:rPr>
              <w:t xml:space="preserve">Type 1 diabetes </w:t>
            </w:r>
            <w:r w:rsidRPr="00AC5DD8">
              <w:rPr>
                <w:i/>
              </w:rPr>
              <w:t xml:space="preserve">mellitus, in adults and children and </w:t>
            </w:r>
            <w:r w:rsidR="00D54BAC">
              <w:rPr>
                <w:i/>
              </w:rPr>
              <w:t xml:space="preserve">Type 2 diabetes </w:t>
            </w:r>
            <w:r w:rsidRPr="00AC5DD8">
              <w:rPr>
                <w:i/>
              </w:rPr>
              <w:t>mellitus in adults who require insulin for the control of hyperglycaemia.</w:t>
            </w:r>
          </w:p>
        </w:tc>
      </w:tr>
      <w:tr w:rsidR="008E7846" w:rsidRPr="00487162" w:rsidTr="007830F3">
        <w:trPr>
          <w:gridAfter w:val="1"/>
          <w:wAfter w:w="283" w:type="dxa"/>
        </w:trPr>
        <w:tc>
          <w:tcPr>
            <w:tcW w:w="2907" w:type="dxa"/>
          </w:tcPr>
          <w:p w:rsidR="008E7846" w:rsidRPr="00487162" w:rsidRDefault="008E7846" w:rsidP="008E5C53">
            <w:r w:rsidRPr="00487162">
              <w:t>Route(s) of administration:</w:t>
            </w:r>
          </w:p>
        </w:tc>
        <w:tc>
          <w:tcPr>
            <w:tcW w:w="6307" w:type="dxa"/>
          </w:tcPr>
          <w:p w:rsidR="008E7846" w:rsidRPr="00487162" w:rsidRDefault="008E5C53" w:rsidP="008E5C53">
            <w:r>
              <w:t>Subcutaneous (SC) injection</w:t>
            </w:r>
          </w:p>
        </w:tc>
      </w:tr>
      <w:tr w:rsidR="008E7846" w:rsidRPr="00487162" w:rsidTr="007830F3">
        <w:trPr>
          <w:gridAfter w:val="1"/>
          <w:wAfter w:w="283" w:type="dxa"/>
        </w:trPr>
        <w:tc>
          <w:tcPr>
            <w:tcW w:w="2907" w:type="dxa"/>
          </w:tcPr>
          <w:p w:rsidR="008E7846" w:rsidRPr="00487162" w:rsidRDefault="008E7846" w:rsidP="008E5C53">
            <w:r w:rsidRPr="00487162">
              <w:t>Dosage:</w:t>
            </w:r>
          </w:p>
        </w:tc>
        <w:tc>
          <w:tcPr>
            <w:tcW w:w="6307" w:type="dxa"/>
          </w:tcPr>
          <w:p w:rsidR="008E7846" w:rsidRPr="00487162" w:rsidRDefault="008E5C53" w:rsidP="008E5C53">
            <w:r>
              <w:t>Adjusted to the individual patient.</w:t>
            </w:r>
          </w:p>
        </w:tc>
      </w:tr>
      <w:tr w:rsidR="008E7846" w:rsidRPr="00487162" w:rsidTr="007830F3">
        <w:trPr>
          <w:gridAfter w:val="1"/>
          <w:wAfter w:w="283" w:type="dxa"/>
        </w:trPr>
        <w:tc>
          <w:tcPr>
            <w:tcW w:w="2907" w:type="dxa"/>
          </w:tcPr>
          <w:p w:rsidR="008E7846" w:rsidRPr="00487162" w:rsidRDefault="008E7846" w:rsidP="008E5C53">
            <w:r w:rsidRPr="00487162">
              <w:t xml:space="preserve">ARTG </w:t>
            </w:r>
            <w:r w:rsidR="001B5C90">
              <w:t>n</w:t>
            </w:r>
            <w:r w:rsidRPr="00487162">
              <w:t>umber (s)</w:t>
            </w:r>
            <w:r w:rsidR="001B5C90">
              <w:t>:</w:t>
            </w:r>
          </w:p>
        </w:tc>
        <w:tc>
          <w:tcPr>
            <w:tcW w:w="6307" w:type="dxa"/>
          </w:tcPr>
          <w:p w:rsidR="008E7846" w:rsidRPr="00487162" w:rsidRDefault="007830F3" w:rsidP="008E5C53">
            <w:r>
              <w:t>215551</w:t>
            </w:r>
            <w:r w:rsidR="00EE5020">
              <w:t xml:space="preserve"> </w:t>
            </w:r>
            <w:r w:rsidR="00EE5020" w:rsidRPr="00EE5020">
              <w:t xml:space="preserve">and </w:t>
            </w:r>
            <w:r w:rsidR="00EE5020" w:rsidRPr="00EE5020">
              <w:rPr>
                <w:rFonts w:asciiTheme="minorHAnsi" w:hAnsiTheme="minorHAnsi"/>
              </w:rPr>
              <w:t>215552</w:t>
            </w:r>
          </w:p>
        </w:tc>
      </w:tr>
    </w:tbl>
    <w:p w:rsidR="008E7846" w:rsidRDefault="008E7846" w:rsidP="003B1621">
      <w:pPr>
        <w:pStyle w:val="Heading3"/>
        <w:spacing w:after="120"/>
      </w:pPr>
      <w:bookmarkStart w:id="13" w:name="_Toc247691503"/>
      <w:bookmarkStart w:id="14" w:name="_Toc314842484"/>
      <w:bookmarkStart w:id="15" w:name="_Toc428796465"/>
      <w:r>
        <w:t>Product background</w:t>
      </w:r>
      <w:bookmarkEnd w:id="13"/>
      <w:bookmarkEnd w:id="14"/>
      <w:bookmarkEnd w:id="15"/>
    </w:p>
    <w:p w:rsidR="00D54BAC" w:rsidRDefault="00D54BAC" w:rsidP="007830F3">
      <w:pPr>
        <w:pStyle w:val="Standard"/>
        <w:spacing w:after="200"/>
      </w:pPr>
      <w:r w:rsidRPr="00940A89">
        <w:t xml:space="preserve">This </w:t>
      </w:r>
      <w:proofErr w:type="spellStart"/>
      <w:r w:rsidRPr="00940A89">
        <w:t>AusPAR</w:t>
      </w:r>
      <w:proofErr w:type="spellEnd"/>
      <w:r w:rsidRPr="00940A89">
        <w:t xml:space="preserve"> describes the application by the sponsor </w:t>
      </w:r>
      <w:r w:rsidR="007830F3">
        <w:t xml:space="preserve">Eli Lilly Australia Pty Ltd to register </w:t>
      </w:r>
      <w:proofErr w:type="spellStart"/>
      <w:r w:rsidR="007830F3" w:rsidRPr="00D54BAC">
        <w:t>Abasria</w:t>
      </w:r>
      <w:proofErr w:type="spellEnd"/>
      <w:r w:rsidR="007830F3">
        <w:t xml:space="preserve">, containing insulin </w:t>
      </w:r>
      <w:proofErr w:type="spellStart"/>
      <w:r w:rsidR="007830F3">
        <w:t>glargine</w:t>
      </w:r>
      <w:proofErr w:type="spellEnd"/>
      <w:r w:rsidR="007830F3">
        <w:t xml:space="preserve"> as the active ingredient, as a biosimilar. The proposed indicati</w:t>
      </w:r>
      <w:r w:rsidR="00156B3F">
        <w:t>ons</w:t>
      </w:r>
    </w:p>
    <w:p w:rsidR="00D54BAC" w:rsidRPr="00156B3F" w:rsidRDefault="00D54BAC" w:rsidP="00156B3F">
      <w:pPr>
        <w:ind w:left="720"/>
        <w:rPr>
          <w:i/>
        </w:rPr>
      </w:pPr>
      <w:r w:rsidRPr="00156B3F">
        <w:rPr>
          <w:i/>
        </w:rPr>
        <w:t>O</w:t>
      </w:r>
      <w:r w:rsidR="007830F3" w:rsidRPr="00156B3F">
        <w:rPr>
          <w:i/>
        </w:rPr>
        <w:t xml:space="preserve">nce-daily subcutaneous treatment of </w:t>
      </w:r>
      <w:r w:rsidRPr="00156B3F">
        <w:rPr>
          <w:i/>
        </w:rPr>
        <w:t xml:space="preserve">Type 1 diabetes </w:t>
      </w:r>
      <w:r w:rsidR="007830F3" w:rsidRPr="00156B3F">
        <w:rPr>
          <w:i/>
        </w:rPr>
        <w:t xml:space="preserve">in adults and children and </w:t>
      </w:r>
      <w:r w:rsidRPr="00156B3F">
        <w:rPr>
          <w:i/>
        </w:rPr>
        <w:t xml:space="preserve">Type 2 diabetes </w:t>
      </w:r>
      <w:r w:rsidR="007830F3" w:rsidRPr="00156B3F">
        <w:rPr>
          <w:i/>
        </w:rPr>
        <w:t>mellitus in adults who require insulin fo</w:t>
      </w:r>
      <w:r w:rsidR="00156B3F" w:rsidRPr="00156B3F">
        <w:rPr>
          <w:i/>
        </w:rPr>
        <w:t>r the control of hyperglycaemia</w:t>
      </w:r>
    </w:p>
    <w:p w:rsidR="00D54BAC" w:rsidRDefault="007830F3" w:rsidP="00D54BAC">
      <w:pPr>
        <w:pStyle w:val="Standard"/>
        <w:spacing w:after="200"/>
      </w:pPr>
      <w:proofErr w:type="gramStart"/>
      <w:r>
        <w:t>match</w:t>
      </w:r>
      <w:proofErr w:type="gramEnd"/>
      <w:r>
        <w:t xml:space="preserve"> those of the reference product, </w:t>
      </w:r>
      <w:r w:rsidRPr="00D54BAC">
        <w:t>Lantus</w:t>
      </w:r>
      <w:r w:rsidRPr="00C2419D">
        <w:rPr>
          <w:b/>
          <w:smallCaps/>
          <w:kern w:val="2"/>
          <w:position w:val="5"/>
          <w:sz w:val="13"/>
          <w:szCs w:val="13"/>
        </w:rPr>
        <w:t>®</w:t>
      </w:r>
      <w:r>
        <w:t>. The strength of the active ingredient (100 </w:t>
      </w:r>
      <w:r w:rsidRPr="0010602E">
        <w:t>I</w:t>
      </w:r>
      <w:r>
        <w:t xml:space="preserve">U/mL) is the same and the excipient profile is similar to that of </w:t>
      </w:r>
      <w:r w:rsidRPr="00D54BAC">
        <w:t>Lantus</w:t>
      </w:r>
      <w:r w:rsidRPr="00C2419D">
        <w:rPr>
          <w:b/>
          <w:smallCaps/>
          <w:kern w:val="2"/>
          <w:position w:val="5"/>
          <w:sz w:val="13"/>
          <w:szCs w:val="13"/>
        </w:rPr>
        <w:t>®</w:t>
      </w:r>
      <w:r>
        <w:t xml:space="preserve">, except that </w:t>
      </w:r>
      <w:r>
        <w:lastRenderedPageBreak/>
        <w:t xml:space="preserve">zinc oxide is used in this product instead of zinc chloride; the resultant concentration of </w:t>
      </w:r>
      <w:r w:rsidR="00D54BAC">
        <w:t>zinc ion (</w:t>
      </w:r>
      <w:r>
        <w:t>Zn</w:t>
      </w:r>
      <w:r w:rsidRPr="00363C79">
        <w:rPr>
          <w:vertAlign w:val="superscript"/>
        </w:rPr>
        <w:t>2+</w:t>
      </w:r>
      <w:r w:rsidR="00D54BAC">
        <w:t xml:space="preserve">) </w:t>
      </w:r>
      <w:r>
        <w:t xml:space="preserve">is </w:t>
      </w:r>
      <w:r w:rsidR="00D54BAC">
        <w:t xml:space="preserve">however </w:t>
      </w:r>
      <w:r>
        <w:t>identical.</w:t>
      </w:r>
    </w:p>
    <w:p w:rsidR="008E5C53" w:rsidRDefault="008E5C53" w:rsidP="00D54BAC">
      <w:pPr>
        <w:pStyle w:val="Standard"/>
        <w:spacing w:after="200"/>
      </w:pPr>
      <w:r>
        <w:t xml:space="preserve">Insulin </w:t>
      </w:r>
      <w:proofErr w:type="spellStart"/>
      <w:r>
        <w:t>glargine</w:t>
      </w:r>
      <w:proofErr w:type="spellEnd"/>
      <w:r>
        <w:t xml:space="preserve"> is an insulin analogue indicated for once</w:t>
      </w:r>
      <w:r w:rsidR="00D54BAC">
        <w:t xml:space="preserve"> </w:t>
      </w:r>
      <w:r>
        <w:t xml:space="preserve">daily subcutaneous administration in the treatment of </w:t>
      </w:r>
      <w:r w:rsidR="00D54BAC">
        <w:t>T</w:t>
      </w:r>
      <w:r>
        <w:t>ype 1 diabetes melli</w:t>
      </w:r>
      <w:r w:rsidR="00D54BAC">
        <w:t xml:space="preserve">tus in adults and children and Type 2 diabetes </w:t>
      </w:r>
      <w:r>
        <w:t>mellitus in adults who require insulin for the control of hyperglycaemia.</w:t>
      </w:r>
    </w:p>
    <w:p w:rsidR="008E5C53" w:rsidRDefault="00D54BAC" w:rsidP="007830F3">
      <w:r>
        <w:t>The a</w:t>
      </w:r>
      <w:r w:rsidR="008E5C53">
        <w:t xml:space="preserve">pproval </w:t>
      </w:r>
      <w:r>
        <w:t xml:space="preserve">sought </w:t>
      </w:r>
      <w:r w:rsidR="008E5C53">
        <w:t>is for adults, adolescents, and children 2 years and above.</w:t>
      </w:r>
    </w:p>
    <w:p w:rsidR="008E5C53" w:rsidRDefault="00D54BAC" w:rsidP="007830F3">
      <w:bookmarkStart w:id="16" w:name="_Toc314842485"/>
      <w:bookmarkStart w:id="17" w:name="_Toc247691504"/>
      <w:proofErr w:type="spellStart"/>
      <w:r w:rsidRPr="00DF3E42">
        <w:t>Abasria</w:t>
      </w:r>
      <w:proofErr w:type="spellEnd"/>
      <w:r>
        <w:t xml:space="preserve"> </w:t>
      </w:r>
      <w:r w:rsidR="008E5C53">
        <w:t>is proposed for marketing</w:t>
      </w:r>
      <w:r w:rsidR="00156B3F">
        <w:t xml:space="preserve"> in 2 presentations:</w:t>
      </w:r>
    </w:p>
    <w:p w:rsidR="008E5C53" w:rsidRPr="00156B3F" w:rsidRDefault="008E5C53" w:rsidP="00156B3F">
      <w:pPr>
        <w:pStyle w:val="ListBullet"/>
      </w:pPr>
      <w:r w:rsidRPr="00156B3F">
        <w:t xml:space="preserve">a 3 mL cartridge, for delivery by a compatible CE-marked </w:t>
      </w:r>
      <w:r w:rsidR="00156B3F">
        <w:t>reusable pen injector, and</w:t>
      </w:r>
    </w:p>
    <w:p w:rsidR="008E5C53" w:rsidRPr="00156B3F" w:rsidRDefault="008E5C53" w:rsidP="00156B3F">
      <w:pPr>
        <w:pStyle w:val="ListBullet"/>
      </w:pPr>
      <w:proofErr w:type="gramStart"/>
      <w:r w:rsidRPr="00156B3F">
        <w:t>the</w:t>
      </w:r>
      <w:proofErr w:type="gramEnd"/>
      <w:r w:rsidRPr="00156B3F">
        <w:t xml:space="preserve"> same 3 mL cartridge sealed in a prefilled pen injector (</w:t>
      </w:r>
      <w:proofErr w:type="spellStart"/>
      <w:r w:rsidRPr="00156B3F">
        <w:t>KwikPen</w:t>
      </w:r>
      <w:proofErr w:type="spellEnd"/>
      <w:r w:rsidR="00156B3F">
        <w:t>).</w:t>
      </w:r>
    </w:p>
    <w:p w:rsidR="008E5C53" w:rsidRDefault="008E5C53" w:rsidP="007830F3">
      <w:r w:rsidRPr="0086481A">
        <w:t xml:space="preserve">The </w:t>
      </w:r>
      <w:r w:rsidR="00991E9F">
        <w:t xml:space="preserve">pack sizes and </w:t>
      </w:r>
      <w:r w:rsidRPr="0086481A">
        <w:t>pen injectors differ from those available to administer</w:t>
      </w:r>
      <w:r>
        <w:t xml:space="preserve"> </w:t>
      </w:r>
      <w:r w:rsidR="00D54BAC">
        <w:t>Lantus</w:t>
      </w:r>
      <w:r w:rsidR="00D54BAC" w:rsidRPr="0086481A">
        <w:t xml:space="preserve"> </w:t>
      </w:r>
      <w:r>
        <w:t xml:space="preserve">(Sanofi-Aventis) </w:t>
      </w:r>
      <w:r w:rsidRPr="0086481A">
        <w:t xml:space="preserve">cartridges but are appropriate for use with </w:t>
      </w:r>
      <w:r>
        <w:t xml:space="preserve">Eli </w:t>
      </w:r>
      <w:r w:rsidRPr="0086481A">
        <w:t>Lilly insulin cartridges.</w:t>
      </w:r>
    </w:p>
    <w:p w:rsidR="008E5C53" w:rsidRDefault="008E5C53" w:rsidP="007830F3">
      <w:r w:rsidRPr="00722754">
        <w:t xml:space="preserve">Long-acting insulin analogues, such as insulin </w:t>
      </w:r>
      <w:proofErr w:type="spellStart"/>
      <w:r w:rsidRPr="00722754">
        <w:t>glargine</w:t>
      </w:r>
      <w:proofErr w:type="spellEnd"/>
      <w:r w:rsidRPr="00722754">
        <w:t xml:space="preserve">, provide smooth, </w:t>
      </w:r>
      <w:proofErr w:type="spellStart"/>
      <w:r w:rsidRPr="00722754">
        <w:t>peakless</w:t>
      </w:r>
      <w:proofErr w:type="spellEnd"/>
      <w:r w:rsidRPr="00722754">
        <w:t xml:space="preserve"> basal insulin profiles. The putative benefits over agents such as neutral protamine </w:t>
      </w:r>
      <w:proofErr w:type="spellStart"/>
      <w:r w:rsidRPr="00722754">
        <w:t>Hagedorn</w:t>
      </w:r>
      <w:proofErr w:type="spellEnd"/>
      <w:r w:rsidRPr="00722754">
        <w:t xml:space="preserve"> (NPH) include reduced frequency of hypoglycaemia and better fasting blood glucose control.</w:t>
      </w:r>
    </w:p>
    <w:p w:rsidR="008E5C53" w:rsidRDefault="008E5C53" w:rsidP="007830F3">
      <w:pPr>
        <w:rPr>
          <w:lang w:eastAsia="en-AU"/>
        </w:rPr>
      </w:pPr>
      <w:r>
        <w:rPr>
          <w:lang w:eastAsia="en-AU"/>
        </w:rPr>
        <w:t xml:space="preserve">Under the EU guidelines (see </w:t>
      </w:r>
      <w:r w:rsidR="00722754">
        <w:rPr>
          <w:lang w:eastAsia="en-AU"/>
        </w:rPr>
        <w:t>below</w:t>
      </w:r>
      <w:r>
        <w:rPr>
          <w:lang w:eastAsia="en-AU"/>
        </w:rPr>
        <w:t>), the primary role of Phase</w:t>
      </w:r>
      <w:r w:rsidR="00722754">
        <w:rPr>
          <w:lang w:eastAsia="en-AU"/>
        </w:rPr>
        <w:t xml:space="preserve"> III</w:t>
      </w:r>
      <w:r>
        <w:rPr>
          <w:lang w:eastAsia="en-AU"/>
        </w:rPr>
        <w:t xml:space="preserve"> </w:t>
      </w:r>
      <w:r w:rsidR="00991E9F">
        <w:rPr>
          <w:lang w:eastAsia="en-AU"/>
        </w:rPr>
        <w:t xml:space="preserve">clinical </w:t>
      </w:r>
      <w:r>
        <w:rPr>
          <w:lang w:eastAsia="en-AU"/>
        </w:rPr>
        <w:t>studies is to assess immunogenicity.</w:t>
      </w:r>
    </w:p>
    <w:p w:rsidR="008E5C53" w:rsidRDefault="008E5C53" w:rsidP="00156B3F">
      <w:r>
        <w:t xml:space="preserve">The Committee for Medicinal Products for Human Use (CHMP) of the EMA produced the first overarching biosimilar guideline, </w:t>
      </w:r>
      <w:r w:rsidR="00722754">
        <w:t>‘</w:t>
      </w:r>
      <w:r>
        <w:t xml:space="preserve">Guideline on similar biological medicinal products. </w:t>
      </w:r>
      <w:proofErr w:type="gramStart"/>
      <w:r>
        <w:t>CHMP/437/04</w:t>
      </w:r>
      <w:r w:rsidR="00722754">
        <w:t>’</w:t>
      </w:r>
      <w:r w:rsidR="00156B3F">
        <w:t>, in 2005.</w:t>
      </w:r>
      <w:proofErr w:type="gramEnd"/>
    </w:p>
    <w:p w:rsidR="008E5C53" w:rsidRDefault="008E5C53" w:rsidP="00156B3F">
      <w:r>
        <w:t xml:space="preserve">The Biosimilar Medicinal Products Working Group (BMWG) produced a concept paper for revision of the guideline in 2011; and a revised guideline </w:t>
      </w:r>
      <w:r w:rsidR="00784946">
        <w:t>was</w:t>
      </w:r>
      <w:r>
        <w:t xml:space="preserve"> produced</w:t>
      </w:r>
      <w:r w:rsidR="003020F4">
        <w:rPr>
          <w:rStyle w:val="FootnoteReference"/>
          <w:bCs/>
        </w:rPr>
        <w:footnoteReference w:id="3"/>
      </w:r>
      <w:r>
        <w:t xml:space="preserve">, with </w:t>
      </w:r>
      <w:r w:rsidR="00784946">
        <w:t xml:space="preserve">a </w:t>
      </w:r>
      <w:r>
        <w:t>deadline for comments set as 31 July 2014.</w:t>
      </w:r>
      <w:r w:rsidR="00784946">
        <w:t xml:space="preserve"> The TGA evaluated </w:t>
      </w:r>
      <w:proofErr w:type="spellStart"/>
      <w:r w:rsidR="00784946">
        <w:t>biosimilarity</w:t>
      </w:r>
      <w:proofErr w:type="spellEnd"/>
      <w:r w:rsidR="00784946">
        <w:t xml:space="preserve"> using this adopted guideline which states ‘</w:t>
      </w:r>
      <w:r w:rsidR="00784946" w:rsidRPr="00B6521B">
        <w:rPr>
          <w:i/>
        </w:rPr>
        <w:t xml:space="preserve">acceptance of claim of </w:t>
      </w:r>
      <w:proofErr w:type="spellStart"/>
      <w:r w:rsidR="00784946" w:rsidRPr="00B6521B">
        <w:rPr>
          <w:i/>
        </w:rPr>
        <w:t>biosimilarity</w:t>
      </w:r>
      <w:proofErr w:type="spellEnd"/>
      <w:r w:rsidR="00784946" w:rsidRPr="00B6521B">
        <w:rPr>
          <w:i/>
        </w:rPr>
        <w:t xml:space="preserve"> means the product can be marketed and prescribed by medical practitioners. </w:t>
      </w:r>
      <w:proofErr w:type="gramStart"/>
      <w:r w:rsidR="00784946">
        <w:rPr>
          <w:i/>
        </w:rPr>
        <w:t xml:space="preserve">‘ </w:t>
      </w:r>
      <w:r w:rsidR="001E6215">
        <w:t>S</w:t>
      </w:r>
      <w:r w:rsidR="00784946" w:rsidRPr="00784946">
        <w:t>ubstitution</w:t>
      </w:r>
      <w:proofErr w:type="gramEnd"/>
      <w:r w:rsidR="00784946" w:rsidRPr="00784946">
        <w:t xml:space="preserve"> by </w:t>
      </w:r>
      <w:r w:rsidR="001E6215">
        <w:t xml:space="preserve">the </w:t>
      </w:r>
      <w:r w:rsidR="00784946" w:rsidRPr="00784946">
        <w:t>pharmacist without consulting the treating medical practitioner is not addressed in the relevant adopted EMA Gu</w:t>
      </w:r>
      <w:r w:rsidR="00784946" w:rsidRPr="00BD1BD9">
        <w:t>idelines</w:t>
      </w:r>
      <w:r w:rsidR="00784946">
        <w:t>.</w:t>
      </w:r>
    </w:p>
    <w:p w:rsidR="001E6215" w:rsidRDefault="00BD1BD9" w:rsidP="00156B3F">
      <w:r w:rsidRPr="00945A4F">
        <w:t>The TGA also followed</w:t>
      </w:r>
      <w:r>
        <w:t xml:space="preserve"> </w:t>
      </w:r>
      <w:r w:rsidR="001E6215">
        <w:t xml:space="preserve">the </w:t>
      </w:r>
      <w:r>
        <w:t xml:space="preserve">guideline </w:t>
      </w:r>
      <w:r w:rsidRPr="00945A4F">
        <w:t xml:space="preserve">’Evaluation </w:t>
      </w:r>
      <w:r w:rsidR="001E6215">
        <w:t>o</w:t>
      </w:r>
      <w:r w:rsidRPr="00945A4F">
        <w:t xml:space="preserve">f </w:t>
      </w:r>
      <w:proofErr w:type="spellStart"/>
      <w:r w:rsidRPr="00945A4F">
        <w:t>biosimilars</w:t>
      </w:r>
      <w:proofErr w:type="spellEnd"/>
      <w:r>
        <w:t>,</w:t>
      </w:r>
      <w:r w:rsidRPr="00945A4F">
        <w:t xml:space="preserve"> Version 1.0, TGA July 2013’</w:t>
      </w:r>
      <w:r>
        <w:t xml:space="preserve"> when evaluating this submission. This guideline state</w:t>
      </w:r>
      <w:r w:rsidR="001E6215">
        <w:t>d at the time of the evaluation that:</w:t>
      </w:r>
    </w:p>
    <w:p w:rsidR="00BD1BD9" w:rsidRPr="00093AC0" w:rsidRDefault="00BD1BD9" w:rsidP="004E78D9">
      <w:pPr>
        <w:ind w:left="284"/>
        <w:rPr>
          <w:i/>
        </w:rPr>
      </w:pPr>
      <w:r w:rsidRPr="00BD1BD9">
        <w:t>‘</w:t>
      </w:r>
      <w:r w:rsidRPr="00093AC0">
        <w:rPr>
          <w:i/>
          <w:lang w:val="en"/>
        </w:rPr>
        <w:t>A</w:t>
      </w:r>
      <w:r w:rsidRPr="00093AC0">
        <w:rPr>
          <w:i/>
        </w:rPr>
        <w:t xml:space="preserve">s </w:t>
      </w:r>
      <w:proofErr w:type="spellStart"/>
      <w:r w:rsidRPr="00093AC0">
        <w:rPr>
          <w:i/>
        </w:rPr>
        <w:t>biosimilars</w:t>
      </w:r>
      <w:proofErr w:type="spellEnd"/>
      <w:r w:rsidRPr="00093AC0">
        <w:rPr>
          <w:i/>
        </w:rPr>
        <w:t xml:space="preserve"> are not generic versions of their reference products, to inform the prescriber the text of the PI should include words to the effect of:</w:t>
      </w:r>
    </w:p>
    <w:p w:rsidR="004E78D9" w:rsidRDefault="001E6215" w:rsidP="004E78D9">
      <w:pPr>
        <w:ind w:left="567"/>
      </w:pPr>
      <w:r>
        <w:rPr>
          <w:i/>
        </w:rPr>
        <w:t>‘</w:t>
      </w:r>
      <w:r w:rsidR="00BD1BD9" w:rsidRPr="00093AC0">
        <w:rPr>
          <w:i/>
        </w:rPr>
        <w:t>The comparability of [biosimilar product name] with [Reference product name (</w:t>
      </w:r>
      <w:proofErr w:type="spellStart"/>
      <w:r w:rsidR="00BD1BD9" w:rsidRPr="00093AC0">
        <w:rPr>
          <w:i/>
        </w:rPr>
        <w:t>AustR</w:t>
      </w:r>
      <w:proofErr w:type="spellEnd"/>
      <w:r w:rsidR="00BD1BD9" w:rsidRPr="00093AC0">
        <w:rPr>
          <w:i/>
        </w:rPr>
        <w:t xml:space="preserve"> </w:t>
      </w:r>
      <w:proofErr w:type="spellStart"/>
      <w:r w:rsidR="00BD1BD9" w:rsidRPr="00093AC0">
        <w:rPr>
          <w:i/>
        </w:rPr>
        <w:t>nnnnnn</w:t>
      </w:r>
      <w:proofErr w:type="spellEnd"/>
      <w:r w:rsidR="00BD1BD9" w:rsidRPr="00093AC0">
        <w:rPr>
          <w:i/>
        </w:rPr>
        <w:t>)] has been demonstrated, with regard to particular physicochemical characteristics and efficacy and safety outcomes [see PHARMACOLOGY and CLINICAL TRIALS]. The level of comparability that has been shown supports the use of [biosimilar product name] for the listed indication[s]. The level of comparability that has been shown is not sufficient to designate this product as a generic version of [Reference product name]. Replacement of [Reference product name] with [biosimilar product name], or vice versa, should take place only under the supervision of the prescribing medical practitioner</w:t>
      </w:r>
      <w:r w:rsidR="00BD1BD9" w:rsidRPr="00093AC0">
        <w:t>.</w:t>
      </w:r>
      <w:r>
        <w:t>’</w:t>
      </w:r>
    </w:p>
    <w:p w:rsidR="00BD1BD9" w:rsidRPr="00093AC0" w:rsidRDefault="001E6215" w:rsidP="003B1621">
      <w:pPr>
        <w:ind w:left="284"/>
      </w:pPr>
      <w:proofErr w:type="gramStart"/>
      <w:r w:rsidRPr="003B1621">
        <w:t>as</w:t>
      </w:r>
      <w:proofErr w:type="gramEnd"/>
      <w:r w:rsidRPr="003B1621">
        <w:t xml:space="preserve"> the first paragraph under</w:t>
      </w:r>
      <w:r>
        <w:rPr>
          <w:i/>
        </w:rPr>
        <w:t xml:space="preserve"> Precautions’.</w:t>
      </w:r>
    </w:p>
    <w:p w:rsidR="00BD1BD9" w:rsidRDefault="00BD1BD9" w:rsidP="00BD1BD9">
      <w:pPr>
        <w:pStyle w:val="Heading4"/>
        <w:spacing w:before="120"/>
        <w:rPr>
          <w:b w:val="0"/>
        </w:rPr>
      </w:pPr>
      <w:r>
        <w:rPr>
          <w:b w:val="0"/>
        </w:rPr>
        <w:lastRenderedPageBreak/>
        <w:t>This TGA guideline</w:t>
      </w:r>
      <w:r w:rsidRPr="00945A4F">
        <w:rPr>
          <w:b w:val="0"/>
        </w:rPr>
        <w:t xml:space="preserve"> is currently under review.</w:t>
      </w:r>
    </w:p>
    <w:p w:rsidR="008E5C53" w:rsidRDefault="00BD1BD9" w:rsidP="00156B3F">
      <w:r>
        <w:rPr>
          <w:bCs/>
        </w:rPr>
        <w:t>CHMP released an insulin-specific guideline in 2006.</w:t>
      </w:r>
      <w:bookmarkStart w:id="18" w:name="_Ref426540215"/>
      <w:r>
        <w:rPr>
          <w:rStyle w:val="FootnoteReference"/>
          <w:bCs/>
        </w:rPr>
        <w:footnoteReference w:id="4"/>
      </w:r>
      <w:bookmarkEnd w:id="18"/>
      <w:r>
        <w:rPr>
          <w:bCs/>
        </w:rPr>
        <w:t xml:space="preserve"> </w:t>
      </w:r>
      <w:r w:rsidR="008E5C53">
        <w:t>Two particular issues that the insulin guidelines</w:t>
      </w:r>
      <w:r w:rsidRPr="001E6215">
        <w:rPr>
          <w:vertAlign w:val="superscript"/>
        </w:rPr>
        <w:fldChar w:fldCharType="begin"/>
      </w:r>
      <w:r w:rsidRPr="001E6215">
        <w:rPr>
          <w:vertAlign w:val="superscript"/>
        </w:rPr>
        <w:instrText xml:space="preserve"> NOTEREF _Ref426540215 \h </w:instrText>
      </w:r>
      <w:r>
        <w:rPr>
          <w:vertAlign w:val="superscript"/>
        </w:rPr>
        <w:instrText xml:space="preserve"> \* MERGEFORMAT </w:instrText>
      </w:r>
      <w:r w:rsidRPr="001E6215">
        <w:rPr>
          <w:vertAlign w:val="superscript"/>
        </w:rPr>
      </w:r>
      <w:r w:rsidRPr="001E6215">
        <w:rPr>
          <w:vertAlign w:val="superscript"/>
        </w:rPr>
        <w:fldChar w:fldCharType="separate"/>
      </w:r>
      <w:r w:rsidR="00EC70D0">
        <w:rPr>
          <w:vertAlign w:val="superscript"/>
        </w:rPr>
        <w:t>4</w:t>
      </w:r>
      <w:r w:rsidRPr="001E6215">
        <w:rPr>
          <w:vertAlign w:val="superscript"/>
        </w:rPr>
        <w:fldChar w:fldCharType="end"/>
      </w:r>
      <w:r w:rsidR="008E5C53">
        <w:t xml:space="preserve"> seek to address are:</w:t>
      </w:r>
    </w:p>
    <w:p w:rsidR="008E5C53" w:rsidRDefault="008E5C53" w:rsidP="00156B3F">
      <w:pPr>
        <w:pStyle w:val="Numberbullet0"/>
      </w:pPr>
      <w:r w:rsidRPr="00722754">
        <w:rPr>
          <w:i/>
        </w:rPr>
        <w:t>Hypoglycaemia</w:t>
      </w:r>
      <w:r>
        <w:t xml:space="preserve"> (possibly caused by differences in activity of different brands). PK and PD (</w:t>
      </w:r>
      <w:proofErr w:type="spellStart"/>
      <w:r>
        <w:t>euglycaemic</w:t>
      </w:r>
      <w:proofErr w:type="spellEnd"/>
      <w:r>
        <w:t xml:space="preserve"> clamp) </w:t>
      </w:r>
      <w:r w:rsidRPr="00156B3F">
        <w:t>studies</w:t>
      </w:r>
      <w:r>
        <w:t xml:space="preserve"> are required to show that the efficacy of the biosimilar insulin</w:t>
      </w:r>
      <w:r w:rsidR="00156B3F">
        <w:t xml:space="preserve"> is predictable and consistent.</w:t>
      </w:r>
    </w:p>
    <w:p w:rsidR="00046EDA" w:rsidRDefault="008E5C53" w:rsidP="00156B3F">
      <w:pPr>
        <w:pStyle w:val="Numberbullet0"/>
      </w:pPr>
      <w:r w:rsidRPr="00046EDA">
        <w:t xml:space="preserve">Immunogenicity. The draft guidance states that </w:t>
      </w:r>
      <w:r w:rsidR="00722754" w:rsidRPr="00046EDA">
        <w:t>‘</w:t>
      </w:r>
      <w:r w:rsidRPr="00046EDA">
        <w:t xml:space="preserve">the issue of immunogenicity can only be settled through clinical trials of sufficient duration, </w:t>
      </w:r>
      <w:r w:rsidR="00722754" w:rsidRPr="00046EDA">
        <w:t>that is,</w:t>
      </w:r>
      <w:r w:rsidRPr="00046EDA">
        <w:t xml:space="preserve"> at least 12 months using subcutaneous administration, with a 6-month comparative phase to be completed pre-approval while data at the end of 12 months could be presented as part of the post-marketing commitment.</w:t>
      </w:r>
      <w:r w:rsidR="00722754" w:rsidRPr="00046EDA">
        <w:t>’</w:t>
      </w:r>
      <w:r w:rsidRPr="00046EDA">
        <w:t xml:space="preserve"> The sponsor should also design a pharmacovigilance program that will rapidly detect any clinically significant immunogenicity that may emerge over extended time periods.</w:t>
      </w:r>
    </w:p>
    <w:p w:rsidR="003020F4" w:rsidRDefault="003020F4" w:rsidP="00156B3F">
      <w:r>
        <w:t>The following three EU guidelines which have been adopted by the TGA are also relevant to this application:</w:t>
      </w:r>
    </w:p>
    <w:p w:rsidR="003020F4" w:rsidRPr="00156B3F" w:rsidRDefault="003020F4" w:rsidP="00156B3F">
      <w:pPr>
        <w:pStyle w:val="ListBullet"/>
      </w:pPr>
      <w:r w:rsidRPr="00156B3F">
        <w:t>Guideline On Similar Biological Medicinal Products Containing Biotechnology-Derived Proteins As Active Substance: Non-Clinical And Clinical Issues (EMEA/CHMP/BMWP/42832/2005)</w:t>
      </w:r>
    </w:p>
    <w:p w:rsidR="003020F4" w:rsidRPr="00156B3F" w:rsidRDefault="003020F4" w:rsidP="00156B3F">
      <w:pPr>
        <w:pStyle w:val="ListBullet"/>
      </w:pPr>
      <w:r w:rsidRPr="00156B3F">
        <w:t>Guideline on the Investigation of Bioequivalence (CPMP/EWP/QWP/1401/98 Rev. 1/ 2010)</w:t>
      </w:r>
    </w:p>
    <w:p w:rsidR="003020F4" w:rsidRPr="00156B3F" w:rsidRDefault="003020F4" w:rsidP="00156B3F">
      <w:pPr>
        <w:pStyle w:val="ListBullet"/>
      </w:pPr>
      <w:r w:rsidRPr="00156B3F">
        <w:t xml:space="preserve">Guideline </w:t>
      </w:r>
      <w:proofErr w:type="gramStart"/>
      <w:r w:rsidRPr="00156B3F">
        <w:t>On</w:t>
      </w:r>
      <w:proofErr w:type="gramEnd"/>
      <w:r w:rsidRPr="00156B3F">
        <w:t xml:space="preserve"> Immunogenicity Assessment Of Biotechnology-Derived Therapeutic Proteins (EMEA/CHMP/BMWP/14327/2006).</w:t>
      </w:r>
    </w:p>
    <w:p w:rsidR="008E7846" w:rsidRPr="003F31A2" w:rsidRDefault="00386150" w:rsidP="008E7846">
      <w:pPr>
        <w:pStyle w:val="Heading3"/>
      </w:pPr>
      <w:bookmarkStart w:id="19" w:name="_Toc428796466"/>
      <w:r>
        <w:t>Regulatory s</w:t>
      </w:r>
      <w:r w:rsidR="008E7846">
        <w:t>tatus</w:t>
      </w:r>
      <w:bookmarkEnd w:id="16"/>
      <w:bookmarkEnd w:id="17"/>
      <w:bookmarkEnd w:id="19"/>
    </w:p>
    <w:p w:rsidR="00722754" w:rsidRDefault="007830F3" w:rsidP="00D54BAC">
      <w:bookmarkStart w:id="20" w:name="_Toc247691505"/>
      <w:bookmarkStart w:id="21" w:name="_Toc314842486"/>
      <w:r>
        <w:t>The product has no</w:t>
      </w:r>
      <w:r w:rsidR="00156B3F">
        <w:t>t been registered in Australia.</w:t>
      </w:r>
    </w:p>
    <w:p w:rsidR="007B4353" w:rsidRDefault="00D54BAC" w:rsidP="00156B3F">
      <w:proofErr w:type="spellStart"/>
      <w:r>
        <w:t>Abasria</w:t>
      </w:r>
      <w:proofErr w:type="spellEnd"/>
      <w:r w:rsidRPr="0086481A">
        <w:t xml:space="preserve"> is </w:t>
      </w:r>
      <w:r>
        <w:t xml:space="preserve">the first </w:t>
      </w:r>
      <w:r w:rsidRPr="0086481A">
        <w:t>biosimilar version</w:t>
      </w:r>
      <w:r>
        <w:t xml:space="preserve"> </w:t>
      </w:r>
      <w:r w:rsidRPr="0086481A">
        <w:t xml:space="preserve">of </w:t>
      </w:r>
      <w:r>
        <w:t xml:space="preserve">the long-acting insulin analogue, insulin </w:t>
      </w:r>
      <w:proofErr w:type="spellStart"/>
      <w:r>
        <w:t>glargine</w:t>
      </w:r>
      <w:proofErr w:type="spellEnd"/>
      <w:r>
        <w:t xml:space="preserve"> (Lantus; Sanofi-Aventis), which was first r</w:t>
      </w:r>
      <w:r w:rsidR="00156B3F">
        <w:t>egistered in Australia in 2001.</w:t>
      </w:r>
    </w:p>
    <w:p w:rsidR="007B4353" w:rsidRDefault="007B4353" w:rsidP="00156B3F">
      <w:r>
        <w:t>Although insulin-specific guidelines have been in place in Europe since 2006, no biosimilar insulin has been registered in Europe or Australia. Three products were submitted (</w:t>
      </w:r>
      <w:proofErr w:type="spellStart"/>
      <w:r>
        <w:t>biosimilars</w:t>
      </w:r>
      <w:proofErr w:type="spellEnd"/>
      <w:r>
        <w:t xml:space="preserve"> of Humalog) to the European medicines Agency (EMA) in 2007 (from the MJ Group, Mumbai, India) but all were withdrawn in 2008 prior to opinion. Concerns included, inter alia, the lack of </w:t>
      </w:r>
      <w:proofErr w:type="spellStart"/>
      <w:r>
        <w:t>euglycaemic</w:t>
      </w:r>
      <w:proofErr w:type="spellEnd"/>
      <w:r>
        <w:t xml:space="preserve"> clamp studies, differential loss to follow-up in the Phase III study and inadequacies in the assessment of immunogenicity in the Phase III study.</w:t>
      </w:r>
      <w:r>
        <w:rPr>
          <w:rStyle w:val="FootnoteReference"/>
        </w:rPr>
        <w:footnoteReference w:id="5"/>
      </w:r>
    </w:p>
    <w:p w:rsidR="00940A89" w:rsidRDefault="00940A89" w:rsidP="00156B3F">
      <w:r w:rsidRPr="00940A89">
        <w:t>At the time the TGA considered this application</w:t>
      </w:r>
      <w:r w:rsidR="00631F83">
        <w:t xml:space="preserve"> (in 2014)</w:t>
      </w:r>
      <w:proofErr w:type="gramStart"/>
      <w:r w:rsidRPr="00940A89">
        <w:t>,</w:t>
      </w:r>
      <w:proofErr w:type="gramEnd"/>
      <w:r w:rsidRPr="00940A89">
        <w:t xml:space="preserve"> a similar application had been approved </w:t>
      </w:r>
      <w:r w:rsidR="007830F3">
        <w:t xml:space="preserve">in the European Union (EU) </w:t>
      </w:r>
      <w:r w:rsidR="000A787B">
        <w:t xml:space="preserve">and </w:t>
      </w:r>
      <w:r w:rsidRPr="00940A89">
        <w:t>was under co</w:t>
      </w:r>
      <w:r>
        <w:t xml:space="preserve">nsideration in </w:t>
      </w:r>
      <w:r w:rsidR="007830F3">
        <w:t>the USA</w:t>
      </w:r>
      <w:r>
        <w:t>.</w:t>
      </w:r>
    </w:p>
    <w:p w:rsidR="00E50E1B" w:rsidRDefault="00E50E1B" w:rsidP="00156B3F">
      <w:pPr>
        <w:pStyle w:val="TableTitle"/>
      </w:pPr>
      <w:r>
        <w:t>Table 1: International regulatory status</w:t>
      </w:r>
      <w:r w:rsidR="00E52D66">
        <w:t xml:space="preserve"> (</w:t>
      </w:r>
      <w:r w:rsidR="000A787B">
        <w:t xml:space="preserve">as </w:t>
      </w:r>
      <w:r w:rsidR="000A787B" w:rsidRPr="00156B3F">
        <w:t>at</w:t>
      </w:r>
      <w:r w:rsidR="000A787B">
        <w:t xml:space="preserve"> </w:t>
      </w:r>
      <w:r w:rsidR="00631F83">
        <w:t>September 2014</w:t>
      </w:r>
      <w:r w:rsidR="00E52D66">
        <w:t>)</w:t>
      </w:r>
    </w:p>
    <w:tbl>
      <w:tblPr>
        <w:tblStyle w:val="TableTGAblue"/>
        <w:tblW w:w="0" w:type="auto"/>
        <w:tblLook w:val="04A0" w:firstRow="1" w:lastRow="0" w:firstColumn="1" w:lastColumn="0" w:noHBand="0" w:noVBand="1"/>
      </w:tblPr>
      <w:tblGrid>
        <w:gridCol w:w="2906"/>
        <w:gridCol w:w="2907"/>
        <w:gridCol w:w="2907"/>
      </w:tblGrid>
      <w:tr w:rsidR="00E50E1B" w:rsidTr="00156B3F">
        <w:trPr>
          <w:cnfStyle w:val="100000000000" w:firstRow="1" w:lastRow="0" w:firstColumn="0" w:lastColumn="0" w:oddVBand="0" w:evenVBand="0" w:oddHBand="0" w:evenHBand="0" w:firstRowFirstColumn="0" w:firstRowLastColumn="0" w:lastRowFirstColumn="0" w:lastRowLastColumn="0"/>
        </w:trPr>
        <w:tc>
          <w:tcPr>
            <w:tcW w:w="2906" w:type="dxa"/>
          </w:tcPr>
          <w:p w:rsidR="00E50E1B" w:rsidRDefault="00E50E1B" w:rsidP="00156B3F">
            <w:r>
              <w:t>Country</w:t>
            </w:r>
          </w:p>
        </w:tc>
        <w:tc>
          <w:tcPr>
            <w:tcW w:w="2907" w:type="dxa"/>
          </w:tcPr>
          <w:p w:rsidR="00E50E1B" w:rsidRDefault="00E50E1B" w:rsidP="00156B3F">
            <w:r>
              <w:t>Decision</w:t>
            </w:r>
          </w:p>
        </w:tc>
        <w:tc>
          <w:tcPr>
            <w:tcW w:w="2907" w:type="dxa"/>
          </w:tcPr>
          <w:p w:rsidR="00E50E1B" w:rsidRDefault="00E50E1B" w:rsidP="00156B3F">
            <w:r>
              <w:t>Approved indication</w:t>
            </w:r>
          </w:p>
        </w:tc>
      </w:tr>
      <w:tr w:rsidR="00E50E1B" w:rsidTr="00156B3F">
        <w:tc>
          <w:tcPr>
            <w:tcW w:w="2906" w:type="dxa"/>
          </w:tcPr>
          <w:p w:rsidR="00E50E1B" w:rsidRPr="00631F83" w:rsidRDefault="00E50E1B" w:rsidP="00156B3F">
            <w:r w:rsidRPr="00631F83">
              <w:t>USA</w:t>
            </w:r>
          </w:p>
        </w:tc>
        <w:tc>
          <w:tcPr>
            <w:tcW w:w="2907" w:type="dxa"/>
          </w:tcPr>
          <w:p w:rsidR="00E50E1B" w:rsidRPr="00631F83" w:rsidRDefault="00E50E1B" w:rsidP="00156B3F">
            <w:r w:rsidRPr="00631F83">
              <w:t>Under consideration</w:t>
            </w:r>
            <w:r w:rsidR="004F0136">
              <w:t>.</w:t>
            </w:r>
          </w:p>
        </w:tc>
        <w:tc>
          <w:tcPr>
            <w:tcW w:w="2907" w:type="dxa"/>
          </w:tcPr>
          <w:p w:rsidR="00E50E1B" w:rsidRPr="00631F83" w:rsidRDefault="000A787B" w:rsidP="00156B3F">
            <w:r>
              <w:t>Not applicable</w:t>
            </w:r>
            <w:r w:rsidR="004F0136">
              <w:t>.</w:t>
            </w:r>
          </w:p>
        </w:tc>
      </w:tr>
      <w:tr w:rsidR="00E50E1B" w:rsidTr="00156B3F">
        <w:tc>
          <w:tcPr>
            <w:tcW w:w="2906" w:type="dxa"/>
          </w:tcPr>
          <w:p w:rsidR="00E50E1B" w:rsidRDefault="00E50E1B" w:rsidP="00156B3F">
            <w:r>
              <w:lastRenderedPageBreak/>
              <w:t>European Union (EU)</w:t>
            </w:r>
          </w:p>
        </w:tc>
        <w:tc>
          <w:tcPr>
            <w:tcW w:w="2907" w:type="dxa"/>
          </w:tcPr>
          <w:p w:rsidR="00E50E1B" w:rsidRDefault="00E50E1B" w:rsidP="00156B3F">
            <w:r>
              <w:t>Approved 9 September 2014</w:t>
            </w:r>
            <w:r w:rsidR="004F0136">
              <w:t>.</w:t>
            </w:r>
          </w:p>
        </w:tc>
        <w:tc>
          <w:tcPr>
            <w:tcW w:w="2907" w:type="dxa"/>
          </w:tcPr>
          <w:p w:rsidR="00E50E1B" w:rsidRPr="004F0136" w:rsidRDefault="000A787B" w:rsidP="00156B3F">
            <w:pPr>
              <w:rPr>
                <w:i/>
              </w:rPr>
            </w:pPr>
            <w:r w:rsidRPr="004F0136">
              <w:rPr>
                <w:i/>
                <w:lang w:val="en"/>
              </w:rPr>
              <w:t>Treatment of diabetes mellitus in adults, adolescents and children aged 2 years and above</w:t>
            </w:r>
            <w:r w:rsidR="004F0136">
              <w:rPr>
                <w:i/>
                <w:lang w:val="en"/>
              </w:rPr>
              <w:t>.</w:t>
            </w:r>
          </w:p>
        </w:tc>
      </w:tr>
    </w:tbl>
    <w:p w:rsidR="008E7846" w:rsidRDefault="008E7846" w:rsidP="00156B3F">
      <w:pPr>
        <w:pStyle w:val="Heading3"/>
      </w:pPr>
      <w:bookmarkStart w:id="22" w:name="_Toc428796467"/>
      <w:r>
        <w:t xml:space="preserve">Product </w:t>
      </w:r>
      <w:r w:rsidR="00156B3F">
        <w:t>i</w:t>
      </w:r>
      <w:r w:rsidRPr="00156B3F">
        <w:t>nformation</w:t>
      </w:r>
      <w:bookmarkEnd w:id="20"/>
      <w:bookmarkEnd w:id="21"/>
      <w:bookmarkEnd w:id="22"/>
    </w:p>
    <w:p w:rsidR="00940A89" w:rsidRDefault="00940A89" w:rsidP="00156B3F">
      <w:pPr>
        <w:rPr>
          <w:b/>
          <w:bCs/>
        </w:rPr>
      </w:pPr>
      <w:bookmarkStart w:id="23" w:name="_Toc247691506"/>
      <w:bookmarkStart w:id="24"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Product Information please refer to the TGA website at &lt;</w:t>
      </w:r>
      <w:hyperlink r:id="rId15" w:history="1">
        <w:r w:rsidR="00383221">
          <w:rPr>
            <w:rStyle w:val="Hyperlink"/>
          </w:rPr>
          <w:t>https://www.tga.gov.au/product-information-pi</w:t>
        </w:r>
      </w:hyperlink>
      <w:r w:rsidRPr="00940A89">
        <w:t>&gt;.</w:t>
      </w:r>
    </w:p>
    <w:p w:rsidR="008E7846" w:rsidRPr="003602A9" w:rsidRDefault="008E7846" w:rsidP="00156B3F">
      <w:pPr>
        <w:pStyle w:val="Heading2"/>
      </w:pPr>
      <w:bookmarkStart w:id="25" w:name="_Toc428796468"/>
      <w:r>
        <w:t xml:space="preserve">II. </w:t>
      </w:r>
      <w:r w:rsidRPr="00156B3F">
        <w:t>Quality</w:t>
      </w:r>
      <w:bookmarkEnd w:id="2"/>
      <w:r>
        <w:t xml:space="preserve"> findings</w:t>
      </w:r>
      <w:bookmarkEnd w:id="23"/>
      <w:bookmarkEnd w:id="24"/>
      <w:bookmarkEnd w:id="25"/>
    </w:p>
    <w:p w:rsidR="008E7846" w:rsidRDefault="008E7846" w:rsidP="00156B3F">
      <w:pPr>
        <w:pStyle w:val="Heading3"/>
      </w:pPr>
      <w:bookmarkStart w:id="26" w:name="_Toc247691507"/>
      <w:bookmarkStart w:id="27" w:name="_Toc314842488"/>
      <w:bookmarkStart w:id="28" w:name="_Toc428796469"/>
      <w:r w:rsidRPr="008751DC">
        <w:t xml:space="preserve">Drug </w:t>
      </w:r>
      <w:r w:rsidRPr="00156B3F">
        <w:t>substance</w:t>
      </w:r>
      <w:r>
        <w:t xml:space="preserve"> (active ingredient)</w:t>
      </w:r>
      <w:bookmarkEnd w:id="26"/>
      <w:bookmarkEnd w:id="27"/>
      <w:bookmarkEnd w:id="28"/>
    </w:p>
    <w:p w:rsidR="008E5C53" w:rsidRDefault="008E5C53" w:rsidP="00156B3F">
      <w:r w:rsidRPr="00991E9F">
        <w:rPr>
          <w:lang w:eastAsia="en-AU"/>
        </w:rPr>
        <w:t xml:space="preserve">Insulin </w:t>
      </w:r>
      <w:proofErr w:type="spellStart"/>
      <w:r w:rsidRPr="00991E9F">
        <w:rPr>
          <w:lang w:eastAsia="en-AU"/>
        </w:rPr>
        <w:t>glargine</w:t>
      </w:r>
      <w:proofErr w:type="spellEnd"/>
      <w:r w:rsidRPr="00991E9F">
        <w:rPr>
          <w:lang w:eastAsia="en-AU"/>
        </w:rPr>
        <w:t xml:space="preserve"> is a 2-chain peptide containing 53 amino acids. The A-chain is composed of 21 amino acids and the B-chain is composed of 32 amino acids. As in human insulin, insulin </w:t>
      </w:r>
      <w:proofErr w:type="spellStart"/>
      <w:r w:rsidRPr="00991E9F">
        <w:rPr>
          <w:lang w:eastAsia="en-AU"/>
        </w:rPr>
        <w:t>glargine</w:t>
      </w:r>
      <w:proofErr w:type="spellEnd"/>
      <w:r w:rsidRPr="00991E9F">
        <w:rPr>
          <w:lang w:eastAsia="en-AU"/>
        </w:rPr>
        <w:t xml:space="preserve"> contains 2 </w:t>
      </w:r>
      <w:proofErr w:type="spellStart"/>
      <w:r w:rsidRPr="00991E9F">
        <w:rPr>
          <w:lang w:eastAsia="en-AU"/>
        </w:rPr>
        <w:t>interchain</w:t>
      </w:r>
      <w:proofErr w:type="spellEnd"/>
      <w:r w:rsidRPr="00991E9F">
        <w:rPr>
          <w:lang w:eastAsia="en-AU"/>
        </w:rPr>
        <w:t xml:space="preserve"> </w:t>
      </w:r>
      <w:proofErr w:type="spellStart"/>
      <w:r w:rsidRPr="00991E9F">
        <w:rPr>
          <w:lang w:eastAsia="en-AU"/>
        </w:rPr>
        <w:t>disulfide</w:t>
      </w:r>
      <w:proofErr w:type="spellEnd"/>
      <w:r w:rsidRPr="00991E9F">
        <w:rPr>
          <w:lang w:eastAsia="en-AU"/>
        </w:rPr>
        <w:t xml:space="preserve"> bonds and one </w:t>
      </w:r>
      <w:proofErr w:type="spellStart"/>
      <w:r w:rsidRPr="00991E9F">
        <w:rPr>
          <w:lang w:eastAsia="en-AU"/>
        </w:rPr>
        <w:t>intrachain</w:t>
      </w:r>
      <w:proofErr w:type="spellEnd"/>
      <w:r w:rsidRPr="00991E9F">
        <w:rPr>
          <w:lang w:eastAsia="en-AU"/>
        </w:rPr>
        <w:t xml:space="preserve"> </w:t>
      </w:r>
      <w:proofErr w:type="spellStart"/>
      <w:r w:rsidRPr="00991E9F">
        <w:rPr>
          <w:lang w:eastAsia="en-AU"/>
        </w:rPr>
        <w:t>disulfide</w:t>
      </w:r>
      <w:proofErr w:type="spellEnd"/>
      <w:r w:rsidRPr="00991E9F">
        <w:rPr>
          <w:lang w:eastAsia="en-AU"/>
        </w:rPr>
        <w:t xml:space="preserve"> bond. Insulin </w:t>
      </w:r>
      <w:proofErr w:type="spellStart"/>
      <w:r w:rsidRPr="00991E9F">
        <w:rPr>
          <w:lang w:eastAsia="en-AU"/>
        </w:rPr>
        <w:t>glargine</w:t>
      </w:r>
      <w:proofErr w:type="spellEnd"/>
      <w:r w:rsidRPr="00991E9F">
        <w:rPr>
          <w:lang w:eastAsia="en-AU"/>
        </w:rPr>
        <w:t xml:space="preserve"> differs from human insulin in that the amino acid asparagine at position A21 is replaced by glycine and</w:t>
      </w:r>
      <w:r w:rsidRPr="00B81420">
        <w:rPr>
          <w:lang w:eastAsia="en-AU"/>
        </w:rPr>
        <w:t xml:space="preserve"> 2 </w:t>
      </w:r>
      <w:proofErr w:type="spellStart"/>
      <w:r w:rsidRPr="00B81420">
        <w:rPr>
          <w:lang w:eastAsia="en-AU"/>
        </w:rPr>
        <w:t>arginines</w:t>
      </w:r>
      <w:proofErr w:type="spellEnd"/>
      <w:r w:rsidRPr="00B81420">
        <w:rPr>
          <w:lang w:eastAsia="en-AU"/>
        </w:rPr>
        <w:t xml:space="preserve"> are added to the C-terminus of the B-chain.</w:t>
      </w:r>
      <w:r>
        <w:rPr>
          <w:lang w:eastAsia="en-AU"/>
        </w:rPr>
        <w:t xml:space="preserve"> </w:t>
      </w:r>
      <w:r w:rsidRPr="00E00659">
        <w:t>The drug substance has the following structure:</w:t>
      </w:r>
    </w:p>
    <w:p w:rsidR="007830F3" w:rsidRPr="00156B3F" w:rsidRDefault="007830F3" w:rsidP="00156B3F">
      <w:pPr>
        <w:pStyle w:val="FigureTitle"/>
      </w:pPr>
      <w:r w:rsidRPr="00156B3F">
        <w:t>Figure 1: Structure</w:t>
      </w:r>
    </w:p>
    <w:p w:rsidR="008E5C53" w:rsidRPr="00722754" w:rsidRDefault="001A1024" w:rsidP="008E5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szCs w:val="24"/>
          <w:lang w:eastAsia="en-AU"/>
        </w:rPr>
      </w:pPr>
      <w:r>
        <w:rPr>
          <w:rFonts w:asciiTheme="minorHAnsi" w:hAnsiTheme="minorHAnsi" w:cs="Courier New"/>
          <w:szCs w:val="24"/>
          <w:lang w:eastAsia="en-AU"/>
        </w:rPr>
        <w:t xml:space="preserve">    </w:t>
      </w:r>
      <w:r w:rsidR="008E5C53" w:rsidRPr="00722754">
        <w:rPr>
          <w:rFonts w:asciiTheme="minorHAnsi" w:hAnsiTheme="minorHAnsi" w:cs="Courier New"/>
          <w:szCs w:val="24"/>
          <w:lang w:eastAsia="en-AU"/>
        </w:rPr>
        <w:t>┌─────┐</w:t>
      </w:r>
    </w:p>
    <w:p w:rsidR="008E5C53" w:rsidRPr="00722754" w:rsidRDefault="008E5C53" w:rsidP="008E5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szCs w:val="24"/>
          <w:lang w:eastAsia="en-AU"/>
        </w:rPr>
      </w:pPr>
      <w:r w:rsidRPr="00722754">
        <w:rPr>
          <w:rFonts w:asciiTheme="minorHAnsi" w:hAnsiTheme="minorHAnsi" w:cs="Courier New"/>
          <w:szCs w:val="24"/>
          <w:lang w:eastAsia="en-AU"/>
        </w:rPr>
        <w:t>A1 GIVEQCCTSI CSLYQLENYC G A21</w:t>
      </w:r>
    </w:p>
    <w:p w:rsidR="008E5C53" w:rsidRPr="001A1024" w:rsidRDefault="001A1024" w:rsidP="008E5C53">
      <w:r>
        <w:rPr>
          <w:rFonts w:asciiTheme="minorHAnsi" w:hAnsiTheme="minorHAnsi" w:cs="Courier New"/>
          <w:szCs w:val="24"/>
          <w:lang w:eastAsia="en-AU"/>
        </w:rPr>
        <w:t xml:space="preserve">    </w:t>
      </w:r>
      <w:r w:rsidR="008E5C53" w:rsidRPr="00722754">
        <w:rPr>
          <w:rFonts w:asciiTheme="minorHAnsi" w:hAnsiTheme="minorHAnsi" w:cs="Courier New"/>
          <w:szCs w:val="24"/>
          <w:lang w:eastAsia="en-AU"/>
        </w:rPr>
        <w:t>│</w:t>
      </w:r>
      <w:r>
        <w:rPr>
          <w:rFonts w:asciiTheme="minorHAnsi" w:hAnsiTheme="minorHAnsi" w:cs="Courier New"/>
          <w:szCs w:val="24"/>
          <w:lang w:eastAsia="en-AU"/>
        </w:rPr>
        <w:t xml:space="preserve">      </w:t>
      </w:r>
      <w:r w:rsidR="00306421">
        <w:rPr>
          <w:rFonts w:asciiTheme="minorHAnsi" w:hAnsiTheme="minorHAnsi" w:cs="Courier New"/>
          <w:szCs w:val="24"/>
          <w:lang w:eastAsia="en-AU"/>
        </w:rPr>
        <w:t xml:space="preserve">      </w:t>
      </w:r>
      <w:r w:rsidR="008E5C53" w:rsidRPr="00722754">
        <w:rPr>
          <w:rFonts w:asciiTheme="minorHAnsi" w:hAnsiTheme="minorHAnsi" w:cs="Courier New"/>
          <w:szCs w:val="24"/>
          <w:lang w:eastAsia="en-AU"/>
        </w:rPr>
        <w:t>┌┘</w:t>
      </w:r>
    </w:p>
    <w:p w:rsidR="008E5C53" w:rsidRPr="00722754" w:rsidRDefault="008E5C53" w:rsidP="008E5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szCs w:val="24"/>
          <w:lang w:eastAsia="en-AU"/>
        </w:rPr>
      </w:pPr>
      <w:r w:rsidRPr="00722754">
        <w:rPr>
          <w:rFonts w:asciiTheme="minorHAnsi" w:hAnsiTheme="minorHAnsi" w:cs="Courier New"/>
          <w:szCs w:val="24"/>
          <w:lang w:eastAsia="en-AU"/>
        </w:rPr>
        <w:t>B1 FVNQHLCGSH LVEALYLVCG ERGFFYTPKT RR B32</w:t>
      </w:r>
    </w:p>
    <w:p w:rsidR="008E5C53" w:rsidRPr="00B81420" w:rsidRDefault="008E5C53" w:rsidP="008E5C53">
      <w:pPr>
        <w:rPr>
          <w:rFonts w:asciiTheme="minorHAnsi" w:hAnsiTheme="minorHAnsi" w:cs="Arial"/>
          <w:szCs w:val="24"/>
        </w:rPr>
      </w:pPr>
    </w:p>
    <w:p w:rsidR="008E5C53" w:rsidRDefault="008E5C53" w:rsidP="008E5C53">
      <w:pPr>
        <w:rPr>
          <w:rFonts w:asciiTheme="minorHAnsi" w:hAnsiTheme="minorHAnsi" w:cs="Arial"/>
        </w:rPr>
      </w:pPr>
      <w:r w:rsidRPr="000A787B">
        <w:rPr>
          <w:rFonts w:asciiTheme="minorHAnsi" w:hAnsiTheme="minorHAnsi" w:cs="Arial"/>
        </w:rPr>
        <w:t xml:space="preserve">The amino acid sequence of this product is </w:t>
      </w:r>
      <w:r w:rsidR="000A787B" w:rsidRPr="000A787B">
        <w:rPr>
          <w:rFonts w:asciiTheme="minorHAnsi" w:hAnsiTheme="minorHAnsi" w:cs="Arial"/>
        </w:rPr>
        <w:t>the same as that</w:t>
      </w:r>
      <w:r w:rsidR="007830F3" w:rsidRPr="000A787B">
        <w:rPr>
          <w:rFonts w:asciiTheme="minorHAnsi" w:hAnsiTheme="minorHAnsi" w:cs="Arial"/>
        </w:rPr>
        <w:t xml:space="preserve"> of </w:t>
      </w:r>
      <w:r w:rsidRPr="000A787B">
        <w:rPr>
          <w:rFonts w:asciiTheme="minorHAnsi" w:hAnsiTheme="minorHAnsi" w:cs="Arial"/>
        </w:rPr>
        <w:t>Lantus.</w:t>
      </w:r>
    </w:p>
    <w:p w:rsidR="00722754" w:rsidRDefault="008E5C53" w:rsidP="008E5C53">
      <w:pPr>
        <w:rPr>
          <w:rFonts w:asciiTheme="minorHAnsi" w:hAnsiTheme="minorHAnsi"/>
        </w:rPr>
      </w:pPr>
      <w:r>
        <w:rPr>
          <w:rFonts w:asciiTheme="minorHAnsi" w:hAnsiTheme="minorHAnsi"/>
        </w:rPr>
        <w:t xml:space="preserve">Synthesis of the gene and vector, development and characterisation of the cell line were satisfactorily described and validated. </w:t>
      </w:r>
      <w:r w:rsidRPr="00E00659">
        <w:rPr>
          <w:rFonts w:asciiTheme="minorHAnsi" w:hAnsiTheme="minorHAnsi"/>
        </w:rPr>
        <w:t>Cel</w:t>
      </w:r>
      <w:r>
        <w:rPr>
          <w:rFonts w:asciiTheme="minorHAnsi" w:hAnsiTheme="minorHAnsi"/>
        </w:rPr>
        <w:t xml:space="preserve">l banking processes are </w:t>
      </w:r>
      <w:r w:rsidRPr="00E00659">
        <w:rPr>
          <w:rFonts w:asciiTheme="minorHAnsi" w:hAnsiTheme="minorHAnsi"/>
        </w:rPr>
        <w:t>satisfactory.</w:t>
      </w:r>
    </w:p>
    <w:p w:rsidR="008E5C53" w:rsidRPr="00E00659" w:rsidRDefault="008E5C53" w:rsidP="008E5C53">
      <w:pPr>
        <w:rPr>
          <w:rFonts w:asciiTheme="minorHAnsi" w:hAnsiTheme="minorHAnsi"/>
        </w:rPr>
      </w:pPr>
      <w:r>
        <w:rPr>
          <w:rFonts w:asciiTheme="minorHAnsi" w:hAnsiTheme="minorHAnsi"/>
        </w:rPr>
        <w:t>The fermentation processes are at large scale but are relatively simple. The monitoring and acceptance criteria satisfactorily control the quality and consistency of the harvest. Purification is relatively intensive and complex. The acceptance criteria for the various steps and the drug substance specifications adequately control the quality and consistency of the drug substance.</w:t>
      </w:r>
    </w:p>
    <w:p w:rsidR="008E5C53" w:rsidRPr="00E00659" w:rsidRDefault="008E5C53" w:rsidP="008E5C53">
      <w:pPr>
        <w:rPr>
          <w:rFonts w:asciiTheme="minorHAnsi" w:hAnsiTheme="minorHAnsi"/>
        </w:rPr>
      </w:pPr>
      <w:r>
        <w:rPr>
          <w:rFonts w:asciiTheme="minorHAnsi" w:hAnsiTheme="minorHAnsi"/>
        </w:rPr>
        <w:t xml:space="preserve">All characteristics of the product of the product were investigated with multiple orthogonal techniques. These confirmed the expected primary, secondary and tertiary structure. Bioactivity was demonstrated by </w:t>
      </w:r>
      <w:r w:rsidRPr="00EE5020">
        <w:rPr>
          <w:rFonts w:asciiTheme="minorHAnsi" w:hAnsiTheme="minorHAnsi"/>
        </w:rPr>
        <w:t>multiple in vitro and in vivo methodologies</w:t>
      </w:r>
      <w:r>
        <w:rPr>
          <w:rFonts w:asciiTheme="minorHAnsi" w:hAnsiTheme="minorHAnsi"/>
        </w:rPr>
        <w:t>. Impurities were low and adequately controlled.</w:t>
      </w:r>
    </w:p>
    <w:p w:rsidR="008E5C53" w:rsidRPr="00E00659" w:rsidRDefault="00722754" w:rsidP="008E5C53">
      <w:pPr>
        <w:rPr>
          <w:rFonts w:asciiTheme="minorHAnsi" w:hAnsiTheme="minorHAnsi"/>
        </w:rPr>
      </w:pPr>
      <w:r w:rsidRPr="00E00659">
        <w:rPr>
          <w:rFonts w:asciiTheme="minorHAnsi" w:hAnsiTheme="minorHAnsi"/>
        </w:rPr>
        <w:t>Appropriate validation data have been submitted in support of the test procedures</w:t>
      </w:r>
      <w:r>
        <w:rPr>
          <w:rFonts w:asciiTheme="minorHAnsi" w:hAnsiTheme="minorHAnsi"/>
        </w:rPr>
        <w:t>; that is, t</w:t>
      </w:r>
      <w:r w:rsidR="008E5C53" w:rsidRPr="00E00659">
        <w:rPr>
          <w:rFonts w:asciiTheme="minorHAnsi" w:hAnsiTheme="minorHAnsi"/>
        </w:rPr>
        <w:t>he proposed specifications, which control identity, content, potency, purity and other biological and physical properties of the drug substance relevant to the dose for</w:t>
      </w:r>
      <w:r w:rsidR="008E5C53">
        <w:rPr>
          <w:rFonts w:asciiTheme="minorHAnsi" w:hAnsiTheme="minorHAnsi"/>
        </w:rPr>
        <w:t>m and its intended clinical use.</w:t>
      </w:r>
    </w:p>
    <w:p w:rsidR="008E7846" w:rsidRDefault="008E7846" w:rsidP="001A1024">
      <w:pPr>
        <w:pStyle w:val="Heading3"/>
      </w:pPr>
      <w:bookmarkStart w:id="29" w:name="_Toc247691508"/>
      <w:bookmarkStart w:id="30" w:name="_Toc314842490"/>
      <w:bookmarkStart w:id="31" w:name="_Toc428796470"/>
      <w:r w:rsidRPr="008751DC">
        <w:lastRenderedPageBreak/>
        <w:t xml:space="preserve">Drug </w:t>
      </w:r>
      <w:r w:rsidRPr="001A1024">
        <w:t>product</w:t>
      </w:r>
      <w:bookmarkEnd w:id="29"/>
      <w:bookmarkEnd w:id="30"/>
      <w:bookmarkEnd w:id="31"/>
    </w:p>
    <w:p w:rsidR="007830F3" w:rsidRDefault="008E5C53" w:rsidP="001A1024">
      <w:pPr>
        <w:rPr>
          <w:lang w:eastAsia="en-AU"/>
        </w:rPr>
      </w:pPr>
      <w:r w:rsidRPr="001E19C9">
        <w:rPr>
          <w:lang w:eastAsia="en-AU"/>
        </w:rPr>
        <w:t xml:space="preserve">The drug product, </w:t>
      </w:r>
      <w:proofErr w:type="spellStart"/>
      <w:r w:rsidRPr="001E19C9">
        <w:rPr>
          <w:lang w:eastAsia="en-AU"/>
        </w:rPr>
        <w:t>Abasria</w:t>
      </w:r>
      <w:proofErr w:type="spellEnd"/>
      <w:r w:rsidRPr="001E19C9">
        <w:rPr>
          <w:lang w:eastAsia="en-AU"/>
        </w:rPr>
        <w:t xml:space="preserve"> </w:t>
      </w:r>
      <w:r>
        <w:rPr>
          <w:lang w:eastAsia="en-AU"/>
        </w:rPr>
        <w:t>100</w:t>
      </w:r>
      <w:r w:rsidR="0004374B">
        <w:rPr>
          <w:lang w:eastAsia="en-AU"/>
        </w:rPr>
        <w:t xml:space="preserve"> </w:t>
      </w:r>
      <w:r>
        <w:rPr>
          <w:lang w:eastAsia="en-AU"/>
        </w:rPr>
        <w:t xml:space="preserve">U/mL </w:t>
      </w:r>
      <w:r w:rsidRPr="001E19C9">
        <w:rPr>
          <w:lang w:eastAsia="en-AU"/>
        </w:rPr>
        <w:t>solution for injection is a clear and colourless solution supplied in a 3 mL glass cartridge with elastomeric</w:t>
      </w:r>
      <w:r>
        <w:rPr>
          <w:lang w:eastAsia="en-AU"/>
        </w:rPr>
        <w:t xml:space="preserve"> </w:t>
      </w:r>
      <w:r w:rsidRPr="001E19C9">
        <w:rPr>
          <w:lang w:eastAsia="en-AU"/>
        </w:rPr>
        <w:t>disc seal and plunger for administration via subcutaneous injection.</w:t>
      </w:r>
      <w:r>
        <w:rPr>
          <w:lang w:eastAsia="en-AU"/>
        </w:rPr>
        <w:t xml:space="preserve"> It is supplied as a cartridge or as a </w:t>
      </w:r>
      <w:proofErr w:type="spellStart"/>
      <w:r>
        <w:rPr>
          <w:lang w:eastAsia="en-AU"/>
        </w:rPr>
        <w:t>Kwikpen</w:t>
      </w:r>
      <w:proofErr w:type="spellEnd"/>
      <w:r>
        <w:rPr>
          <w:lang w:eastAsia="en-AU"/>
        </w:rPr>
        <w:t xml:space="preserve"> in packs of 1, 2, 5 or 10. </w:t>
      </w:r>
      <w:r w:rsidRPr="001E19C9">
        <w:rPr>
          <w:lang w:eastAsia="en-AU"/>
        </w:rPr>
        <w:t>The formulation</w:t>
      </w:r>
      <w:r w:rsidR="00722754">
        <w:rPr>
          <w:lang w:eastAsia="en-AU"/>
        </w:rPr>
        <w:t xml:space="preserve"> includes glycerine, </w:t>
      </w:r>
      <w:proofErr w:type="spellStart"/>
      <w:r w:rsidR="00722754">
        <w:rPr>
          <w:lang w:eastAsia="en-AU"/>
        </w:rPr>
        <w:t>metacresol</w:t>
      </w:r>
      <w:proofErr w:type="spellEnd"/>
      <w:r w:rsidR="00722754">
        <w:rPr>
          <w:lang w:eastAsia="en-AU"/>
        </w:rPr>
        <w:t xml:space="preserve"> and zinc oxide</w:t>
      </w:r>
      <w:r w:rsidR="0004374B">
        <w:rPr>
          <w:lang w:eastAsia="en-AU"/>
        </w:rPr>
        <w:t>.</w:t>
      </w:r>
    </w:p>
    <w:p w:rsidR="002F3857" w:rsidRDefault="008E5C53" w:rsidP="001A1024">
      <w:r w:rsidRPr="00E00659">
        <w:t>The proposed specifications, which control identity, potency, purity, dose delivery and other physical, chemical and microbiological properties relevant to the clinical use of the product</w:t>
      </w:r>
      <w:r w:rsidR="002F3857">
        <w:t xml:space="preserve"> were submitted</w:t>
      </w:r>
      <w:r w:rsidR="001A1024">
        <w:t>.</w:t>
      </w:r>
    </w:p>
    <w:p w:rsidR="008E5C53" w:rsidRPr="00E00659" w:rsidRDefault="008E5C53" w:rsidP="001A1024">
      <w:r w:rsidRPr="00E00659">
        <w:t>Stability data have been generated under stressed and real time conditions to characterise the stability profile of the product.</w:t>
      </w:r>
      <w:r w:rsidR="001A1024">
        <w:t xml:space="preserve"> </w:t>
      </w:r>
      <w:proofErr w:type="spellStart"/>
      <w:r w:rsidRPr="00E00659">
        <w:t>Photostability</w:t>
      </w:r>
      <w:proofErr w:type="spellEnd"/>
      <w:r w:rsidRPr="00E00659">
        <w:t xml:space="preserve"> data </w:t>
      </w:r>
      <w:r>
        <w:t xml:space="preserve">indicate </w:t>
      </w:r>
      <w:r w:rsidRPr="00E00659">
        <w:t xml:space="preserve">the product is not </w:t>
      </w:r>
      <w:proofErr w:type="spellStart"/>
      <w:r w:rsidRPr="00E00659">
        <w:t>photostable</w:t>
      </w:r>
      <w:proofErr w:type="spellEnd"/>
      <w:r w:rsidRPr="00E00659">
        <w:t>.</w:t>
      </w:r>
    </w:p>
    <w:p w:rsidR="008E5C53" w:rsidRPr="00E00659" w:rsidRDefault="008E5C53" w:rsidP="001A1024">
      <w:r w:rsidRPr="00E00659">
        <w:t xml:space="preserve">The </w:t>
      </w:r>
      <w:r w:rsidRPr="0010602E">
        <w:t>proposed shelf life is 12 months</w:t>
      </w:r>
      <w:r>
        <w:t xml:space="preserve"> when stored at 2</w:t>
      </w:r>
      <w:r w:rsidR="002F3857">
        <w:t xml:space="preserve"> to </w:t>
      </w:r>
      <w:r>
        <w:t>8</w:t>
      </w:r>
      <w:r w:rsidRPr="00E00659">
        <w:sym w:font="Symbol" w:char="F0B0"/>
      </w:r>
      <w:r w:rsidRPr="00E00659">
        <w:t>C.</w:t>
      </w:r>
    </w:p>
    <w:p w:rsidR="008E5C53" w:rsidRPr="00E00659" w:rsidRDefault="008E5C53" w:rsidP="001A1024">
      <w:r w:rsidRPr="00E00659">
        <w:t xml:space="preserve">In-use stability data have also been submitted. The proposed shelf life and storage conditions </w:t>
      </w:r>
      <w:r>
        <w:t>after first use</w:t>
      </w:r>
      <w:r w:rsidRPr="00E00659">
        <w:t xml:space="preserve"> are</w:t>
      </w:r>
      <w:r>
        <w:t xml:space="preserve"> 28 </w:t>
      </w:r>
      <w:r w:rsidRPr="00E00659">
        <w:t>days when stored at</w:t>
      </w:r>
      <w:r>
        <w:t xml:space="preserve"> less than 30</w:t>
      </w:r>
      <w:r w:rsidRPr="00E00659">
        <w:sym w:font="Symbol" w:char="F0B0"/>
      </w:r>
      <w:r w:rsidR="001A1024">
        <w:t>C.</w:t>
      </w:r>
    </w:p>
    <w:p w:rsidR="008E5C53" w:rsidRPr="00E00659" w:rsidRDefault="008E5C53" w:rsidP="001A1024">
      <w:r>
        <w:t>T</w:t>
      </w:r>
      <w:r w:rsidRPr="00E00659">
        <w:t xml:space="preserve">he stability data </w:t>
      </w:r>
      <w:r>
        <w:t xml:space="preserve">also </w:t>
      </w:r>
      <w:r w:rsidRPr="00E00659">
        <w:t xml:space="preserve">allow excursions from storage conditions </w:t>
      </w:r>
      <w:r>
        <w:t>of up to 25°C for 21 days during shipping.</w:t>
      </w:r>
    </w:p>
    <w:p w:rsidR="008E7846" w:rsidRDefault="008E7846" w:rsidP="001A1024">
      <w:pPr>
        <w:pStyle w:val="Heading3"/>
      </w:pPr>
      <w:bookmarkStart w:id="32" w:name="_Toc314842491"/>
      <w:bookmarkStart w:id="33" w:name="_Toc428796471"/>
      <w:r w:rsidRPr="001A1024">
        <w:t>Biopharmaceutics</w:t>
      </w:r>
      <w:bookmarkEnd w:id="32"/>
      <w:bookmarkEnd w:id="33"/>
    </w:p>
    <w:p w:rsidR="008E5C53" w:rsidRPr="00E00659" w:rsidRDefault="008E5C53" w:rsidP="001A1024">
      <w:bookmarkStart w:id="34" w:name="_Toc314842492"/>
      <w:r>
        <w:t>Pharmacokinetic</w:t>
      </w:r>
      <w:r w:rsidRPr="00E00659">
        <w:t xml:space="preserve"> data </w:t>
      </w:r>
      <w:r>
        <w:t>following a single subcutaneous injection have been submitted and all issues resolved.</w:t>
      </w:r>
    </w:p>
    <w:p w:rsidR="008E7846" w:rsidRPr="008751DC" w:rsidRDefault="008E7846" w:rsidP="001A1024">
      <w:pPr>
        <w:pStyle w:val="Heading3"/>
      </w:pPr>
      <w:bookmarkStart w:id="35" w:name="_Toc247691509"/>
      <w:bookmarkStart w:id="36" w:name="_Toc314842493"/>
      <w:bookmarkStart w:id="37" w:name="_Toc428796472"/>
      <w:bookmarkEnd w:id="34"/>
      <w:r>
        <w:t>Quality s</w:t>
      </w:r>
      <w:r w:rsidRPr="008751DC">
        <w:t>ummary</w:t>
      </w:r>
      <w:r>
        <w:t xml:space="preserve"> and </w:t>
      </w:r>
      <w:r w:rsidRPr="001A1024">
        <w:t>conclusions</w:t>
      </w:r>
      <w:bookmarkEnd w:id="35"/>
      <w:bookmarkEnd w:id="36"/>
      <w:bookmarkEnd w:id="37"/>
    </w:p>
    <w:p w:rsidR="00EE5020" w:rsidRDefault="008E5C53" w:rsidP="001A1024">
      <w:pPr>
        <w:rPr>
          <w:rFonts w:asciiTheme="minorHAnsi" w:hAnsiTheme="minorHAnsi"/>
          <w:b/>
        </w:rPr>
      </w:pPr>
      <w:r>
        <w:t xml:space="preserve">The administrative, product usage, chemical, pharmaceutical, microbiological data submitted in support of this application have been evaluated in accordance with the Australian legislation, </w:t>
      </w:r>
      <w:proofErr w:type="spellStart"/>
      <w:r>
        <w:t>pharmacopoeial</w:t>
      </w:r>
      <w:proofErr w:type="spellEnd"/>
      <w:r>
        <w:t xml:space="preserve"> standards and relevant technical guidelines adopted by the TGA.</w:t>
      </w:r>
    </w:p>
    <w:p w:rsidR="008E5C53" w:rsidRPr="00EE5020" w:rsidRDefault="00EE5020" w:rsidP="001A1024">
      <w:r>
        <w:t>The quality evaluator recommend</w:t>
      </w:r>
      <w:r w:rsidR="002F3857">
        <w:t>s</w:t>
      </w:r>
      <w:r>
        <w:t xml:space="preserve"> that </w:t>
      </w:r>
      <w:proofErr w:type="spellStart"/>
      <w:r w:rsidRPr="008A59F9">
        <w:t>Abasria</w:t>
      </w:r>
      <w:proofErr w:type="spellEnd"/>
      <w:r w:rsidRPr="008A59F9">
        <w:t xml:space="preserve"> (insulin </w:t>
      </w:r>
      <w:proofErr w:type="spellStart"/>
      <w:r w:rsidRPr="008A59F9">
        <w:t>glargine</w:t>
      </w:r>
      <w:proofErr w:type="spellEnd"/>
      <w:r w:rsidRPr="008A59F9">
        <w:t xml:space="preserve"> </w:t>
      </w:r>
      <w:r>
        <w:t>(</w:t>
      </w:r>
      <w:proofErr w:type="spellStart"/>
      <w:proofErr w:type="gramStart"/>
      <w:r>
        <w:t>rbe</w:t>
      </w:r>
      <w:proofErr w:type="spellEnd"/>
      <w:proofErr w:type="gramEnd"/>
      <w:r>
        <w:t>)</w:t>
      </w:r>
      <w:r w:rsidRPr="008A59F9">
        <w:t>) solution for injection in cartridge</w:t>
      </w:r>
      <w:r>
        <w:t xml:space="preserve"> and </w:t>
      </w:r>
      <w:r w:rsidRPr="008A59F9">
        <w:t>prefilled pen 100</w:t>
      </w:r>
      <w:r w:rsidR="0004374B">
        <w:t xml:space="preserve"> </w:t>
      </w:r>
      <w:r w:rsidRPr="008A59F9">
        <w:t>U/mL</w:t>
      </w:r>
      <w:r>
        <w:t xml:space="preserve"> should be approved with the following </w:t>
      </w:r>
      <w:r w:rsidR="002F3857">
        <w:t>c</w:t>
      </w:r>
      <w:r w:rsidRPr="00EE5020">
        <w:t xml:space="preserve">onditions of </w:t>
      </w:r>
      <w:r w:rsidR="00991E9F">
        <w:t>r</w:t>
      </w:r>
      <w:r w:rsidRPr="00EE5020">
        <w:t>egistration:</w:t>
      </w:r>
    </w:p>
    <w:p w:rsidR="00EE5020" w:rsidRPr="001A1024" w:rsidRDefault="008E5C53" w:rsidP="001A1024">
      <w:pPr>
        <w:pStyle w:val="Numberbullet0"/>
        <w:numPr>
          <w:ilvl w:val="0"/>
          <w:numId w:val="10"/>
        </w:numPr>
        <w:ind w:left="709"/>
        <w:rPr>
          <w:i/>
        </w:rPr>
      </w:pPr>
      <w:r w:rsidRPr="001A1024">
        <w:rPr>
          <w:i/>
        </w:rPr>
        <w:t xml:space="preserve">Batch </w:t>
      </w:r>
      <w:r w:rsidR="001A1024" w:rsidRPr="001A1024">
        <w:rPr>
          <w:i/>
        </w:rPr>
        <w:t>r</w:t>
      </w:r>
      <w:r w:rsidRPr="001A1024">
        <w:rPr>
          <w:i/>
        </w:rPr>
        <w:t xml:space="preserve">elease </w:t>
      </w:r>
      <w:r w:rsidR="001A1024" w:rsidRPr="001A1024">
        <w:rPr>
          <w:i/>
        </w:rPr>
        <w:t>t</w:t>
      </w:r>
      <w:r w:rsidRPr="001A1024">
        <w:rPr>
          <w:i/>
        </w:rPr>
        <w:t xml:space="preserve">esting </w:t>
      </w:r>
      <w:r w:rsidR="00EE5020" w:rsidRPr="001A1024">
        <w:rPr>
          <w:i/>
        </w:rPr>
        <w:t>by the TGA</w:t>
      </w:r>
    </w:p>
    <w:p w:rsidR="008E5C53" w:rsidRPr="00AE7D3D" w:rsidRDefault="008E5C53" w:rsidP="002F3857">
      <w:pPr>
        <w:ind w:left="709"/>
        <w:rPr>
          <w:rFonts w:asciiTheme="minorHAnsi" w:hAnsiTheme="minorHAnsi"/>
        </w:rPr>
      </w:pPr>
      <w:r w:rsidRPr="00EE5020">
        <w:rPr>
          <w:rFonts w:asciiTheme="minorHAnsi" w:hAnsiTheme="minorHAnsi"/>
        </w:rPr>
        <w:t>It is a condition of registration that, as a minimum, the first five independent batches of</w:t>
      </w:r>
      <w:r w:rsidR="001A1024">
        <w:rPr>
          <w:rFonts w:asciiTheme="minorHAnsi" w:hAnsiTheme="minorHAnsi"/>
        </w:rPr>
        <w:t xml:space="preserve"> </w:t>
      </w:r>
      <w:proofErr w:type="spellStart"/>
      <w:r w:rsidRPr="002F39DE">
        <w:t>Abasria</w:t>
      </w:r>
      <w:proofErr w:type="spellEnd"/>
      <w:r w:rsidRPr="002F39DE">
        <w:t xml:space="preserve"> (insulin </w:t>
      </w:r>
      <w:proofErr w:type="spellStart"/>
      <w:r w:rsidRPr="002F39DE">
        <w:t>glargine</w:t>
      </w:r>
      <w:proofErr w:type="spellEnd"/>
      <w:r w:rsidRPr="002F39DE">
        <w:t xml:space="preserve"> (</w:t>
      </w:r>
      <w:proofErr w:type="spellStart"/>
      <w:r w:rsidRPr="002F39DE">
        <w:t>rbe</w:t>
      </w:r>
      <w:proofErr w:type="spellEnd"/>
      <w:r w:rsidRPr="002F39DE">
        <w:t>)) solution for injection in cartridge and prefilled pen 100U/mL</w:t>
      </w:r>
      <w:r w:rsidR="002F3857">
        <w:t xml:space="preserve">) </w:t>
      </w:r>
      <w:r w:rsidRPr="002F39DE">
        <w:rPr>
          <w:rFonts w:asciiTheme="minorHAnsi" w:hAnsiTheme="minorHAnsi"/>
        </w:rPr>
        <w:t xml:space="preserve">imported into Australia are not released for sale until samples and/or the manufacturer’s release data have been assessed and endorsed for release by the TGA. </w:t>
      </w:r>
      <w:r w:rsidRPr="00AE7D3D">
        <w:rPr>
          <w:rFonts w:asciiTheme="minorHAnsi" w:hAnsiTheme="minorHAnsi"/>
        </w:rPr>
        <w:t>This batch release condition will be reviewed and may be modified on the basis of actual batch quality and consistency.</w:t>
      </w:r>
    </w:p>
    <w:p w:rsidR="008E5C53" w:rsidRPr="001A1024" w:rsidRDefault="008E5C53" w:rsidP="001A1024">
      <w:pPr>
        <w:pStyle w:val="Numberbullet0"/>
        <w:ind w:left="709"/>
        <w:rPr>
          <w:i/>
        </w:rPr>
      </w:pPr>
      <w:r w:rsidRPr="001A1024">
        <w:rPr>
          <w:i/>
        </w:rPr>
        <w:t xml:space="preserve">Certified </w:t>
      </w:r>
      <w:r w:rsidR="001A1024">
        <w:rPr>
          <w:i/>
        </w:rPr>
        <w:t>P</w:t>
      </w:r>
      <w:r w:rsidRPr="001A1024">
        <w:rPr>
          <w:i/>
        </w:rPr>
        <w:t xml:space="preserve">roduct </w:t>
      </w:r>
      <w:r w:rsidR="001A1024">
        <w:rPr>
          <w:i/>
        </w:rPr>
        <w:t>D</w:t>
      </w:r>
      <w:r w:rsidRPr="001A1024">
        <w:rPr>
          <w:i/>
        </w:rPr>
        <w:t>etails</w:t>
      </w:r>
    </w:p>
    <w:p w:rsidR="008E5C53" w:rsidRPr="00973237" w:rsidRDefault="008E5C53" w:rsidP="002F3857">
      <w:pPr>
        <w:ind w:left="709"/>
        <w:rPr>
          <w:rFonts w:asciiTheme="minorHAnsi" w:hAnsiTheme="minorHAnsi"/>
        </w:rPr>
      </w:pPr>
      <w:r w:rsidRPr="00AE7D3D">
        <w:rPr>
          <w:rFonts w:asciiTheme="minorHAnsi" w:hAnsiTheme="minorHAnsi" w:cs="Arial"/>
        </w:rPr>
        <w:t xml:space="preserve">An electronic draft of the </w:t>
      </w:r>
      <w:r w:rsidRPr="00AE7D3D">
        <w:rPr>
          <w:rFonts w:asciiTheme="minorHAnsi" w:hAnsiTheme="minorHAnsi"/>
        </w:rPr>
        <w:t>Certified Product Details (CPD), as described in Guidance 7: Certified Product Details of the Australian Regulatory Guidelines for Prescription</w:t>
      </w:r>
      <w:r w:rsidRPr="00973237">
        <w:rPr>
          <w:rFonts w:asciiTheme="minorHAnsi" w:hAnsiTheme="minorHAnsi"/>
        </w:rPr>
        <w:t xml:space="preserve"> Medicines (ARGPM</w:t>
      </w:r>
      <w:proofErr w:type="gramStart"/>
      <w:r w:rsidRPr="00973237">
        <w:rPr>
          <w:rFonts w:asciiTheme="minorHAnsi" w:hAnsiTheme="minorHAnsi"/>
        </w:rPr>
        <w:t>)</w:t>
      </w:r>
      <w:r w:rsidRPr="00903364">
        <w:rPr>
          <w:rFonts w:asciiTheme="minorHAnsi" w:hAnsiTheme="minorHAnsi"/>
        </w:rPr>
        <w:t>,</w:t>
      </w:r>
      <w:proofErr w:type="gramEnd"/>
      <w:r>
        <w:rPr>
          <w:rFonts w:asciiTheme="minorHAnsi" w:hAnsiTheme="minorHAnsi"/>
        </w:rPr>
        <w:t xml:space="preserve"> </w:t>
      </w:r>
      <w:r w:rsidRPr="00973237">
        <w:rPr>
          <w:rFonts w:asciiTheme="minorHAnsi" w:hAnsiTheme="minorHAnsi"/>
        </w:rPr>
        <w:t>should be provided upon registration of these therapeutic goods.</w:t>
      </w:r>
      <w:r w:rsidR="001A1024">
        <w:rPr>
          <w:rFonts w:asciiTheme="minorHAnsi" w:hAnsiTheme="minorHAnsi"/>
        </w:rPr>
        <w:t xml:space="preserve"> </w:t>
      </w:r>
      <w:r w:rsidRPr="00973237">
        <w:rPr>
          <w:rFonts w:asciiTheme="minorHAnsi" w:hAnsiTheme="minorHAnsi"/>
        </w:rPr>
        <w:t>In addition, an updated CPD should be provided when changes to finished product specifications and test methods are approved in a Category 3 application or notified through a self-assessable change.</w:t>
      </w:r>
    </w:p>
    <w:p w:rsidR="008E7846" w:rsidRDefault="008E7846" w:rsidP="00871242">
      <w:pPr>
        <w:pStyle w:val="Heading2"/>
      </w:pPr>
      <w:bookmarkStart w:id="38" w:name="_Toc196046439"/>
      <w:bookmarkStart w:id="39" w:name="_Toc247691510"/>
      <w:bookmarkStart w:id="40" w:name="_Toc314842494"/>
      <w:bookmarkStart w:id="41" w:name="_Toc428796473"/>
      <w:r>
        <w:lastRenderedPageBreak/>
        <w:t xml:space="preserve">III. </w:t>
      </w:r>
      <w:r w:rsidRPr="00871242">
        <w:t>Nonclinical</w:t>
      </w:r>
      <w:bookmarkEnd w:id="38"/>
      <w:r>
        <w:t xml:space="preserve"> findings</w:t>
      </w:r>
      <w:bookmarkEnd w:id="39"/>
      <w:bookmarkEnd w:id="40"/>
      <w:bookmarkEnd w:id="41"/>
    </w:p>
    <w:p w:rsidR="008E7846" w:rsidRDefault="008E7846" w:rsidP="00871242">
      <w:pPr>
        <w:pStyle w:val="Heading3"/>
      </w:pPr>
      <w:bookmarkStart w:id="42" w:name="_Toc247691511"/>
      <w:bookmarkStart w:id="43" w:name="_Toc314842495"/>
      <w:bookmarkStart w:id="44" w:name="_Toc428796474"/>
      <w:r w:rsidRPr="00871242">
        <w:t>Introduction</w:t>
      </w:r>
      <w:bookmarkEnd w:id="42"/>
      <w:bookmarkEnd w:id="43"/>
      <w:bookmarkEnd w:id="44"/>
    </w:p>
    <w:p w:rsidR="0067304A" w:rsidRDefault="002F3857" w:rsidP="00871242">
      <w:r>
        <w:t>The nonclinical submission</w:t>
      </w:r>
      <w:r w:rsidR="0067304A">
        <w:t xml:space="preserve"> contained comparative studies on primary pharmacology and repeat-dose toxicity. The scope of the nonclinical program was in accordance with the relevant TGA</w:t>
      </w:r>
      <w:r>
        <w:t xml:space="preserve"> adopted EU guideline</w:t>
      </w:r>
      <w:r w:rsidR="0067304A">
        <w:t>.</w:t>
      </w:r>
      <w:r>
        <w:rPr>
          <w:rStyle w:val="FootnoteReference"/>
        </w:rPr>
        <w:footnoteReference w:id="6"/>
      </w:r>
    </w:p>
    <w:p w:rsidR="0067304A" w:rsidRDefault="0067304A" w:rsidP="00871242">
      <w:r>
        <w:t>EU and US</w:t>
      </w:r>
      <w:r w:rsidR="00991E9F">
        <w:t>A</w:t>
      </w:r>
      <w:r w:rsidR="002F3857">
        <w:t xml:space="preserve"> </w:t>
      </w:r>
      <w:r>
        <w:t xml:space="preserve">sourced batches of </w:t>
      </w:r>
      <w:r w:rsidRPr="002F3857">
        <w:t>Lantus</w:t>
      </w:r>
      <w:r w:rsidRPr="00C2419D">
        <w:rPr>
          <w:b/>
          <w:smallCaps/>
          <w:kern w:val="2"/>
          <w:position w:val="5"/>
          <w:sz w:val="13"/>
          <w:szCs w:val="13"/>
        </w:rPr>
        <w:t>®</w:t>
      </w:r>
      <w:r>
        <w:t xml:space="preserve"> were used as the comparator (reference) product in separate experiments/studies. </w:t>
      </w:r>
    </w:p>
    <w:p w:rsidR="008E7846" w:rsidRDefault="008E7846" w:rsidP="00871242">
      <w:pPr>
        <w:pStyle w:val="Heading3"/>
      </w:pPr>
      <w:bookmarkStart w:id="45" w:name="_Toc247691512"/>
      <w:bookmarkStart w:id="46" w:name="_Toc314842496"/>
      <w:bookmarkStart w:id="47" w:name="_Toc428796475"/>
      <w:r w:rsidRPr="00871242">
        <w:t>Pharmacology</w:t>
      </w:r>
      <w:bookmarkEnd w:id="45"/>
      <w:bookmarkEnd w:id="46"/>
      <w:bookmarkEnd w:id="47"/>
    </w:p>
    <w:p w:rsidR="0067304A" w:rsidRDefault="0067304A" w:rsidP="00871242">
      <w:r>
        <w:t xml:space="preserve">No statistically significant differences were identified between the form of insulin </w:t>
      </w:r>
      <w:proofErr w:type="spellStart"/>
      <w:r>
        <w:t>glargine</w:t>
      </w:r>
      <w:proofErr w:type="spellEnd"/>
      <w:r>
        <w:t xml:space="preserve"> in </w:t>
      </w:r>
      <w:proofErr w:type="spellStart"/>
      <w:r w:rsidRPr="002F3857">
        <w:t>Abasria</w:t>
      </w:r>
      <w:proofErr w:type="spellEnd"/>
      <w:r>
        <w:t xml:space="preserve"> (</w:t>
      </w:r>
      <w:r w:rsidR="00722754">
        <w:t>‘</w:t>
      </w:r>
      <w:r>
        <w:t>LY2963016</w:t>
      </w:r>
      <w:r w:rsidR="00722754">
        <w:t>’</w:t>
      </w:r>
      <w:r>
        <w:t xml:space="preserve">) and that in </w:t>
      </w:r>
      <w:r w:rsidRPr="002F3857">
        <w:t>Lantus</w:t>
      </w:r>
      <w:r w:rsidRPr="00C2419D">
        <w:rPr>
          <w:b/>
          <w:smallCaps/>
          <w:kern w:val="2"/>
          <w:position w:val="5"/>
          <w:sz w:val="13"/>
          <w:szCs w:val="13"/>
        </w:rPr>
        <w:t>®</w:t>
      </w:r>
      <w:r>
        <w:t xml:space="preserve"> in </w:t>
      </w:r>
      <w:r w:rsidRPr="002F3857">
        <w:t>in vitro</w:t>
      </w:r>
      <w:r>
        <w:t xml:space="preserve"> assays examining:</w:t>
      </w:r>
    </w:p>
    <w:p w:rsidR="0067304A" w:rsidRPr="00871242" w:rsidRDefault="0067304A" w:rsidP="00871242">
      <w:pPr>
        <w:pStyle w:val="ListBullet"/>
      </w:pPr>
      <w:r w:rsidRPr="00871242">
        <w:t>binding affinity for recombinant human insulin receptors and the human IGF-1 receptor;</w:t>
      </w:r>
    </w:p>
    <w:p w:rsidR="0067304A" w:rsidRPr="00871242" w:rsidRDefault="0067304A" w:rsidP="00871242">
      <w:pPr>
        <w:pStyle w:val="ListBullet"/>
      </w:pPr>
      <w:r w:rsidRPr="00871242">
        <w:t xml:space="preserve">metabolic activity (assessed as stimulation of </w:t>
      </w:r>
      <w:proofErr w:type="spellStart"/>
      <w:r w:rsidRPr="00871242">
        <w:t>lipogenesis</w:t>
      </w:r>
      <w:proofErr w:type="spellEnd"/>
      <w:r w:rsidRPr="00871242">
        <w:t xml:space="preserve"> in mouse adipocytes); and</w:t>
      </w:r>
    </w:p>
    <w:p w:rsidR="0067304A" w:rsidRPr="00871242" w:rsidRDefault="0067304A" w:rsidP="00871242">
      <w:pPr>
        <w:pStyle w:val="ListBullet"/>
      </w:pPr>
      <w:proofErr w:type="spellStart"/>
      <w:proofErr w:type="gramStart"/>
      <w:r w:rsidRPr="00871242">
        <w:t>mitogenic</w:t>
      </w:r>
      <w:proofErr w:type="spellEnd"/>
      <w:proofErr w:type="gramEnd"/>
      <w:r w:rsidRPr="00871242">
        <w:t xml:space="preserve"> potency (assessed in rat and human cell lines with varying relative IGF</w:t>
      </w:r>
      <w:r w:rsidRPr="00871242">
        <w:noBreakHyphen/>
        <w:t>1 receptor : insulin receptor expression levels).</w:t>
      </w:r>
    </w:p>
    <w:p w:rsidR="0067304A" w:rsidRDefault="0067304A" w:rsidP="00871242">
      <w:r>
        <w:t xml:space="preserve">A statistically significant difference was observed between </w:t>
      </w:r>
      <w:proofErr w:type="spellStart"/>
      <w:r w:rsidRPr="002F3857">
        <w:t>Abasria</w:t>
      </w:r>
      <w:proofErr w:type="spellEnd"/>
      <w:r w:rsidRPr="002F3857">
        <w:t xml:space="preserve"> and Lantus</w:t>
      </w:r>
      <w:r w:rsidRPr="003F2278">
        <w:rPr>
          <w:b/>
          <w:smallCaps/>
          <w:kern w:val="2"/>
          <w:position w:val="5"/>
          <w:sz w:val="13"/>
          <w:szCs w:val="13"/>
        </w:rPr>
        <w:t>®</w:t>
      </w:r>
      <w:r w:rsidRPr="003F2278">
        <w:t xml:space="preserve"> forms of insulin </w:t>
      </w:r>
      <w:proofErr w:type="spellStart"/>
      <w:r w:rsidRPr="003F2278">
        <w:t>glargine</w:t>
      </w:r>
      <w:proofErr w:type="spellEnd"/>
      <w:r w:rsidRPr="003F2278">
        <w:t xml:space="preserve"> </w:t>
      </w:r>
      <w:r>
        <w:t xml:space="preserve">by pairwise analysis in assays examining stimulation of </w:t>
      </w:r>
      <w:r w:rsidRPr="003F2278">
        <w:t>human insulin receptor auto-phosphorylation</w:t>
      </w:r>
      <w:r>
        <w:t>. The magnitude of the difference</w:t>
      </w:r>
      <w:r w:rsidR="002F3857">
        <w:t>,</w:t>
      </w:r>
      <w:r w:rsidRPr="001A3057">
        <w:rPr>
          <w:w w:val="50"/>
        </w:rPr>
        <w:t xml:space="preserve"> </w:t>
      </w:r>
      <w:r>
        <w:t xml:space="preserve">with </w:t>
      </w:r>
      <w:r w:rsidRPr="003F2278">
        <w:t xml:space="preserve">the </w:t>
      </w:r>
      <w:proofErr w:type="spellStart"/>
      <w:r w:rsidRPr="002F3857">
        <w:t>Abasria</w:t>
      </w:r>
      <w:proofErr w:type="spellEnd"/>
      <w:r w:rsidRPr="003F2278">
        <w:t xml:space="preserve"> form being </w:t>
      </w:r>
      <w:r w:rsidR="002F3857">
        <w:t xml:space="preserve">approximately </w:t>
      </w:r>
      <w:r w:rsidRPr="003F2278">
        <w:t>22% more poten</w:t>
      </w:r>
      <w:r>
        <w:t>t</w:t>
      </w:r>
      <w:r w:rsidR="002F3857">
        <w:t>,</w:t>
      </w:r>
      <w:r w:rsidRPr="001A3057">
        <w:rPr>
          <w:w w:val="50"/>
        </w:rPr>
        <w:t xml:space="preserve"> </w:t>
      </w:r>
      <w:r>
        <w:t>is not so large as to indicate a difference that is likely to be biologically significant. Furthermore, the finding was not confirmed in a second similar study or evident in the other assays. The sponsor also raised the absence of statistical significance after allowing for multiple comparison adjustment, reflecting that native human insulin and another analogue (AspB10) were also employed in the assays. This is not a compelling argument given that these additional comparisons are not necessary to establish the comparability of the sponsor’s form of the drug and the reference product and they only act to diminish the sensitivity of the assays to reliably detect small differences in activity between the two. The studies are considered to have established pharmacological comparability.</w:t>
      </w:r>
    </w:p>
    <w:p w:rsidR="0067304A" w:rsidRDefault="0067304A" w:rsidP="00871242">
      <w:r>
        <w:t xml:space="preserve">No specialised </w:t>
      </w:r>
      <w:r w:rsidRPr="002F3857">
        <w:t>in vivo</w:t>
      </w:r>
      <w:r>
        <w:t xml:space="preserve"> pharmacology assay was conducted (consistent with the applicable guideline) but relevant information was obtained as part of the toxicity studies conducted in rats, with the </w:t>
      </w:r>
      <w:proofErr w:type="spellStart"/>
      <w:r w:rsidRPr="002F3857">
        <w:t>Abasria</w:t>
      </w:r>
      <w:proofErr w:type="spellEnd"/>
      <w:r w:rsidRPr="003F2278">
        <w:t xml:space="preserve"> and </w:t>
      </w:r>
      <w:r w:rsidRPr="002F3857">
        <w:t>Lantus</w:t>
      </w:r>
      <w:r w:rsidRPr="003F2278">
        <w:rPr>
          <w:b/>
          <w:smallCaps/>
          <w:kern w:val="2"/>
          <w:position w:val="5"/>
          <w:sz w:val="13"/>
          <w:szCs w:val="13"/>
        </w:rPr>
        <w:t>®</w:t>
      </w:r>
      <w:r w:rsidRPr="003F2278">
        <w:t xml:space="preserve"> forms of insulin </w:t>
      </w:r>
      <w:proofErr w:type="spellStart"/>
      <w:r w:rsidRPr="003F2278">
        <w:t>glargine</w:t>
      </w:r>
      <w:proofErr w:type="spellEnd"/>
      <w:r>
        <w:t xml:space="preserve"> shown to display comparable </w:t>
      </w:r>
      <w:proofErr w:type="spellStart"/>
      <w:r>
        <w:t>glucodynamic</w:t>
      </w:r>
      <w:proofErr w:type="spellEnd"/>
      <w:r>
        <w:t xml:space="preserve"> profiles following SC administration.</w:t>
      </w:r>
    </w:p>
    <w:p w:rsidR="008E7846" w:rsidRDefault="008E7846" w:rsidP="00871242">
      <w:pPr>
        <w:pStyle w:val="Heading3"/>
      </w:pPr>
      <w:bookmarkStart w:id="48" w:name="_Toc247691513"/>
      <w:bookmarkStart w:id="49" w:name="_Toc314842497"/>
      <w:bookmarkStart w:id="50" w:name="_Toc428796476"/>
      <w:r w:rsidRPr="00871242">
        <w:t>Pharmacokinetics</w:t>
      </w:r>
      <w:bookmarkEnd w:id="48"/>
      <w:bookmarkEnd w:id="49"/>
      <w:bookmarkEnd w:id="50"/>
    </w:p>
    <w:p w:rsidR="0067304A" w:rsidRDefault="0067304A" w:rsidP="00871242">
      <w:bookmarkStart w:id="51" w:name="_Toc247691514"/>
      <w:bookmarkStart w:id="52" w:name="_Toc314842498"/>
      <w:proofErr w:type="spellStart"/>
      <w:r>
        <w:t>Toxicokinetic</w:t>
      </w:r>
      <w:proofErr w:type="spellEnd"/>
      <w:r>
        <w:t xml:space="preserve"> data in rats showed comparable systemic exposure following SC administration of </w:t>
      </w:r>
      <w:r w:rsidRPr="002F3857">
        <w:t xml:space="preserve">the </w:t>
      </w:r>
      <w:proofErr w:type="spellStart"/>
      <w:r w:rsidRPr="002F3857">
        <w:t>Abasria</w:t>
      </w:r>
      <w:proofErr w:type="spellEnd"/>
      <w:r w:rsidRPr="002F3857">
        <w:t xml:space="preserve"> and Lantus</w:t>
      </w:r>
      <w:r w:rsidRPr="003F2278">
        <w:rPr>
          <w:b/>
          <w:smallCaps/>
          <w:kern w:val="2"/>
          <w:position w:val="5"/>
          <w:sz w:val="13"/>
          <w:szCs w:val="13"/>
        </w:rPr>
        <w:t>®</w:t>
      </w:r>
      <w:r w:rsidRPr="003F2278">
        <w:t xml:space="preserve"> forms of insulin </w:t>
      </w:r>
      <w:proofErr w:type="spellStart"/>
      <w:r w:rsidRPr="003F2278">
        <w:t>glargine</w:t>
      </w:r>
      <w:proofErr w:type="spellEnd"/>
      <w:r>
        <w:t>. Bioequivalence in humans was claimed.</w:t>
      </w:r>
    </w:p>
    <w:p w:rsidR="001B5C90" w:rsidRDefault="008E7846" w:rsidP="00871242">
      <w:pPr>
        <w:pStyle w:val="Heading3"/>
      </w:pPr>
      <w:bookmarkStart w:id="53" w:name="_Toc428796477"/>
      <w:r w:rsidRPr="00871242">
        <w:lastRenderedPageBreak/>
        <w:t>Toxicology</w:t>
      </w:r>
      <w:bookmarkEnd w:id="51"/>
      <w:bookmarkEnd w:id="52"/>
      <w:bookmarkEnd w:id="53"/>
    </w:p>
    <w:p w:rsidR="0067304A" w:rsidRDefault="0067304A" w:rsidP="00871242">
      <w:bookmarkStart w:id="54" w:name="_Toc247691515"/>
      <w:bookmarkStart w:id="55" w:name="_Toc314842499"/>
      <w:r w:rsidRPr="000A2DF0">
        <w:t xml:space="preserve">Repeat-dose toxicity studies of 4 weeks duration were conducted in rats. These were performed </w:t>
      </w:r>
      <w:r w:rsidRPr="008D630B">
        <w:t xml:space="preserve">according to </w:t>
      </w:r>
      <w:r w:rsidR="002F3857">
        <w:t>Good Laboratory practice (</w:t>
      </w:r>
      <w:r w:rsidRPr="008D630B">
        <w:t>GLP</w:t>
      </w:r>
      <w:r w:rsidR="002F3857">
        <w:t>)</w:t>
      </w:r>
      <w:r w:rsidRPr="008D630B">
        <w:t>, involved once daily injection by the clinical (SC) route, and featured comprehensive histopathological examination. Group sizes were appropriate.</w:t>
      </w:r>
      <w:r>
        <w:t xml:space="preserve"> Dose selection was generally appropriate; the high</w:t>
      </w:r>
      <w:r w:rsidR="002F3857">
        <w:t xml:space="preserve"> </w:t>
      </w:r>
      <w:r>
        <w:t xml:space="preserve">dose level selected in the first study (comparing </w:t>
      </w:r>
      <w:proofErr w:type="spellStart"/>
      <w:r w:rsidRPr="002F3857">
        <w:t>Abasria</w:t>
      </w:r>
      <w:proofErr w:type="spellEnd"/>
      <w:r>
        <w:t xml:space="preserve"> to US-sourced</w:t>
      </w:r>
      <w:r w:rsidR="001A1024">
        <w:t xml:space="preserve"> </w:t>
      </w:r>
      <w:r w:rsidRPr="002F3857">
        <w:t>Lantus</w:t>
      </w:r>
      <w:r w:rsidRPr="00CD5B70">
        <w:rPr>
          <w:b/>
          <w:smallCaps/>
          <w:kern w:val="2"/>
          <w:position w:val="5"/>
          <w:sz w:val="13"/>
          <w:szCs w:val="13"/>
        </w:rPr>
        <w:t>®</w:t>
      </w:r>
      <w:r>
        <w:t xml:space="preserve">; 3 mg/kg/day) required lowering during the course of the study (to 2 mg/kg/day) due to excessive mortality. </w:t>
      </w:r>
      <w:r w:rsidRPr="008D630B">
        <w:t xml:space="preserve">Systemic exposure in groups of animals treated with the </w:t>
      </w:r>
      <w:proofErr w:type="spellStart"/>
      <w:r w:rsidRPr="002F3857">
        <w:t>Abasria</w:t>
      </w:r>
      <w:proofErr w:type="spellEnd"/>
      <w:r w:rsidRPr="008D630B">
        <w:t xml:space="preserve"> form of insulin </w:t>
      </w:r>
      <w:proofErr w:type="spellStart"/>
      <w:r w:rsidRPr="008D630B">
        <w:t>glargine</w:t>
      </w:r>
      <w:proofErr w:type="spellEnd"/>
      <w:r w:rsidRPr="008D630B">
        <w:t xml:space="preserve"> ranged from 44</w:t>
      </w:r>
      <w:r w:rsidR="002F3857">
        <w:t xml:space="preserve"> to </w:t>
      </w:r>
      <w:r w:rsidRPr="008D630B">
        <w:t>404</w:t>
      </w:r>
      <w:r w:rsidR="0005136E">
        <w:t xml:space="preserve"> </w:t>
      </w:r>
      <w:r w:rsidRPr="008D630B">
        <w:t xml:space="preserve">times (in terms of serum </w:t>
      </w:r>
      <w:r w:rsidR="002F3857">
        <w:t>peak concentration (</w:t>
      </w:r>
      <w:proofErr w:type="spellStart"/>
      <w:r w:rsidRPr="008D630B">
        <w:t>C</w:t>
      </w:r>
      <w:r w:rsidRPr="008D630B">
        <w:rPr>
          <w:vertAlign w:val="subscript"/>
        </w:rPr>
        <w:t>max</w:t>
      </w:r>
      <w:proofErr w:type="spellEnd"/>
      <w:r w:rsidRPr="008D630B">
        <w:t>)</w:t>
      </w:r>
      <w:r w:rsidR="002F3857">
        <w:t>)</w:t>
      </w:r>
      <w:r w:rsidRPr="008D630B">
        <w:t xml:space="preserve"> and 8</w:t>
      </w:r>
      <w:r w:rsidR="002F3857">
        <w:t xml:space="preserve"> to </w:t>
      </w:r>
      <w:r w:rsidRPr="008D630B">
        <w:t>171</w:t>
      </w:r>
      <w:r w:rsidR="0004374B">
        <w:t xml:space="preserve"> </w:t>
      </w:r>
      <w:r w:rsidRPr="008D630B">
        <w:t xml:space="preserve">times (in terms of serum </w:t>
      </w:r>
      <w:r w:rsidR="002F3857">
        <w:t>area under the serum concentration versus time curve (</w:t>
      </w:r>
      <w:r w:rsidRPr="008D630B">
        <w:t>AUC</w:t>
      </w:r>
      <w:r w:rsidRPr="008D630B">
        <w:rPr>
          <w:vertAlign w:val="subscript"/>
        </w:rPr>
        <w:t>0–24</w:t>
      </w:r>
      <w:r w:rsidRPr="008D630B">
        <w:rPr>
          <w:w w:val="50"/>
          <w:vertAlign w:val="subscript"/>
        </w:rPr>
        <w:t xml:space="preserve"> </w:t>
      </w:r>
      <w:r w:rsidRPr="008D630B">
        <w:rPr>
          <w:vertAlign w:val="subscript"/>
        </w:rPr>
        <w:t>h</w:t>
      </w:r>
      <w:r w:rsidRPr="008D630B">
        <w:t>)</w:t>
      </w:r>
      <w:r w:rsidR="002F3857">
        <w:t>)</w:t>
      </w:r>
      <w:r w:rsidRPr="008D630B">
        <w:t xml:space="preserve"> that obtained in humans</w:t>
      </w:r>
      <w:r w:rsidRPr="00A60495">
        <w:t xml:space="preserve"> following administration of a 0.6 IU/kg dose.</w:t>
      </w:r>
    </w:p>
    <w:p w:rsidR="0067304A" w:rsidRDefault="0067304A" w:rsidP="00871242">
      <w:r>
        <w:t>Notable findings in the studies comprised:</w:t>
      </w:r>
    </w:p>
    <w:p w:rsidR="0067304A" w:rsidRPr="00871242" w:rsidRDefault="0067304A" w:rsidP="00871242">
      <w:pPr>
        <w:pStyle w:val="ListBullet"/>
      </w:pPr>
      <w:r w:rsidRPr="00871242">
        <w:t>mortality, occurring secondary to hypoglycaemia;</w:t>
      </w:r>
    </w:p>
    <w:p w:rsidR="0067304A" w:rsidRPr="00871242" w:rsidRDefault="0067304A" w:rsidP="00871242">
      <w:pPr>
        <w:pStyle w:val="ListBullet"/>
      </w:pPr>
      <w:r w:rsidRPr="00871242">
        <w:t>increased body weight gain, which was accompanied by increased food consumption</w:t>
      </w:r>
      <w:r w:rsidRPr="00871242">
        <w:br/>
        <w:t>(to compensate for reduced glucose levels); and</w:t>
      </w:r>
    </w:p>
    <w:p w:rsidR="00EE5020" w:rsidRPr="00871242" w:rsidRDefault="0067304A" w:rsidP="00871242">
      <w:pPr>
        <w:pStyle w:val="ListBullet"/>
      </w:pPr>
      <w:r w:rsidRPr="00871242">
        <w:t>histopathological changes in the</w:t>
      </w:r>
    </w:p>
    <w:p w:rsidR="002F3857" w:rsidRPr="00871242" w:rsidRDefault="0067304A" w:rsidP="00871242">
      <w:pPr>
        <w:pStyle w:val="ListBullet2"/>
      </w:pPr>
      <w:r w:rsidRPr="00871242">
        <w:t>sciatic nerve (axonal degeneration)</w:t>
      </w:r>
    </w:p>
    <w:p w:rsidR="002F3857" w:rsidRPr="00871242" w:rsidRDefault="0067304A" w:rsidP="00871242">
      <w:pPr>
        <w:pStyle w:val="ListBullet2"/>
      </w:pPr>
      <w:r w:rsidRPr="00871242">
        <w:t>skin and SC injection sites (increased adipose tissue), and</w:t>
      </w:r>
    </w:p>
    <w:p w:rsidR="0067304A" w:rsidRPr="00871242" w:rsidRDefault="0067304A" w:rsidP="00871242">
      <w:pPr>
        <w:pStyle w:val="ListBullet2"/>
      </w:pPr>
      <w:proofErr w:type="gramStart"/>
      <w:r w:rsidRPr="00871242">
        <w:t>pancreas</w:t>
      </w:r>
      <w:proofErr w:type="gramEnd"/>
      <w:r w:rsidRPr="00871242">
        <w:t xml:space="preserve"> (decreased cytoplasm/ </w:t>
      </w:r>
      <w:proofErr w:type="spellStart"/>
      <w:r w:rsidRPr="00871242">
        <w:t>vacuolation</w:t>
      </w:r>
      <w:proofErr w:type="spellEnd"/>
      <w:r w:rsidRPr="00871242">
        <w:t xml:space="preserve"> of islet cells, consistent with atrophy).</w:t>
      </w:r>
    </w:p>
    <w:p w:rsidR="0067304A" w:rsidRDefault="0067304A" w:rsidP="00871242">
      <w:r w:rsidRPr="00CD5B70">
        <w:t>These findings are consistent with the pharmacolog</w:t>
      </w:r>
      <w:r>
        <w:t>ical activity</w:t>
      </w:r>
      <w:r w:rsidRPr="00CD5B70">
        <w:t xml:space="preserve"> of insulin</w:t>
      </w:r>
      <w:r w:rsidR="002F3857">
        <w:rPr>
          <w:rStyle w:val="FootnoteReference"/>
        </w:rPr>
        <w:footnoteReference w:id="7"/>
      </w:r>
      <w:r>
        <w:t xml:space="preserve"> and were minimal or absent at the low-dose level (0.3 mg/kg/day), which yielded a high multiple of the clinical exposure.</w:t>
      </w:r>
    </w:p>
    <w:p w:rsidR="0067304A" w:rsidRPr="005F6821" w:rsidRDefault="0067304A" w:rsidP="00871242">
      <w:r w:rsidRPr="0004374B">
        <w:t xml:space="preserve">The nature, incidence and severity of findings with </w:t>
      </w:r>
      <w:proofErr w:type="spellStart"/>
      <w:r w:rsidRPr="0004374B">
        <w:t>Abasria</w:t>
      </w:r>
      <w:proofErr w:type="spellEnd"/>
      <w:r w:rsidRPr="0004374B">
        <w:rPr>
          <w:b/>
          <w:smallCaps/>
          <w:kern w:val="2"/>
          <w:position w:val="5"/>
          <w:sz w:val="13"/>
          <w:szCs w:val="13"/>
        </w:rPr>
        <w:t>®</w:t>
      </w:r>
      <w:r w:rsidRPr="0004374B">
        <w:t xml:space="preserve"> were comparable to those observed with both EU and US</w:t>
      </w:r>
      <w:r w:rsidR="002F3857" w:rsidRPr="0004374B">
        <w:t xml:space="preserve"> </w:t>
      </w:r>
      <w:r w:rsidRPr="0004374B">
        <w:t>sourced Lantus</w:t>
      </w:r>
      <w:r w:rsidRPr="0004374B">
        <w:rPr>
          <w:b/>
          <w:smallCaps/>
          <w:kern w:val="2"/>
          <w:position w:val="5"/>
          <w:sz w:val="13"/>
          <w:szCs w:val="13"/>
        </w:rPr>
        <w:t>®</w:t>
      </w:r>
      <w:r w:rsidRPr="0004374B">
        <w:t>.</w:t>
      </w:r>
    </w:p>
    <w:p w:rsidR="0067304A" w:rsidRPr="005F6821" w:rsidRDefault="0067304A" w:rsidP="00871242">
      <w:pPr>
        <w:pStyle w:val="Heading5"/>
      </w:pPr>
      <w:r w:rsidRPr="005F6821">
        <w:t xml:space="preserve">Pregnancy </w:t>
      </w:r>
      <w:r w:rsidRPr="00871242">
        <w:t>classification</w:t>
      </w:r>
    </w:p>
    <w:p w:rsidR="0067304A" w:rsidRDefault="0067304A" w:rsidP="00871242">
      <w:pPr>
        <w:pStyle w:val="Standard"/>
      </w:pPr>
      <w:r w:rsidRPr="005F6821">
        <w:t xml:space="preserve">The sponsor has proposed </w:t>
      </w:r>
      <w:r w:rsidRPr="00871242">
        <w:t>Pregnancy</w:t>
      </w:r>
      <w:r>
        <w:t xml:space="preserve"> Category B3.</w:t>
      </w:r>
      <w:r w:rsidR="0005136E">
        <w:rPr>
          <w:rStyle w:val="FootnoteReference"/>
          <w:kern w:val="2"/>
          <w:szCs w:val="20"/>
        </w:rPr>
        <w:footnoteReference w:id="8"/>
      </w:r>
      <w:r>
        <w:t xml:space="preserve"> </w:t>
      </w:r>
      <w:r w:rsidRPr="005F6821">
        <w:t xml:space="preserve">This matches the existing category for </w:t>
      </w:r>
      <w:r w:rsidRPr="002F3857">
        <w:t>Lantus</w:t>
      </w:r>
      <w:r w:rsidRPr="005F6821">
        <w:rPr>
          <w:b/>
          <w:smallCaps/>
          <w:position w:val="5"/>
          <w:sz w:val="13"/>
          <w:szCs w:val="13"/>
        </w:rPr>
        <w:t>®</w:t>
      </w:r>
      <w:r w:rsidRPr="005F6821">
        <w:t xml:space="preserve"> and is considered appropriate.</w:t>
      </w:r>
    </w:p>
    <w:p w:rsidR="008E7846" w:rsidRDefault="008E7846" w:rsidP="00871242">
      <w:pPr>
        <w:pStyle w:val="Heading3"/>
      </w:pPr>
      <w:bookmarkStart w:id="56" w:name="_Toc428796478"/>
      <w:r>
        <w:lastRenderedPageBreak/>
        <w:t xml:space="preserve">Nonclinical summary and </w:t>
      </w:r>
      <w:r w:rsidRPr="00871242">
        <w:t>conclusions</w:t>
      </w:r>
      <w:bookmarkEnd w:id="54"/>
      <w:bookmarkEnd w:id="55"/>
      <w:bookmarkEnd w:id="56"/>
    </w:p>
    <w:p w:rsidR="0067304A" w:rsidRDefault="0067304A" w:rsidP="00EE5020">
      <w:pPr>
        <w:pStyle w:val="ListBullet"/>
      </w:pPr>
      <w:bookmarkStart w:id="57" w:name="_Toc196046462"/>
      <w:bookmarkStart w:id="58" w:name="_Toc247691516"/>
      <w:bookmarkStart w:id="59" w:name="_Toc314842500"/>
      <w:bookmarkStart w:id="60" w:name="_Toc163441353"/>
      <w:bookmarkStart w:id="61" w:name="_Toc163441348"/>
      <w:r>
        <w:t>The nonclinical dossier contained comparative studies on primary pharmacology and repeat-dose toxicity. The scope of the nonclinical program complies with the relevant EU guideline.</w:t>
      </w:r>
    </w:p>
    <w:p w:rsidR="0067304A" w:rsidRDefault="0067304A" w:rsidP="00EE5020">
      <w:pPr>
        <w:pStyle w:val="ListBullet"/>
      </w:pPr>
      <w:r>
        <w:t xml:space="preserve">Comparability between the form of insulin </w:t>
      </w:r>
      <w:proofErr w:type="spellStart"/>
      <w:r>
        <w:t>glargine</w:t>
      </w:r>
      <w:proofErr w:type="spellEnd"/>
      <w:r>
        <w:t xml:space="preserve"> in </w:t>
      </w:r>
      <w:proofErr w:type="spellStart"/>
      <w:r w:rsidRPr="002F3857">
        <w:t>Abasria</w:t>
      </w:r>
      <w:proofErr w:type="spellEnd"/>
      <w:r w:rsidRPr="00C2419D">
        <w:rPr>
          <w:b/>
          <w:smallCaps/>
          <w:kern w:val="2"/>
          <w:position w:val="5"/>
          <w:sz w:val="13"/>
          <w:szCs w:val="13"/>
        </w:rPr>
        <w:t>®</w:t>
      </w:r>
      <w:r>
        <w:t xml:space="preserve"> and the form of the drug in EU</w:t>
      </w:r>
      <w:r w:rsidR="001A1024">
        <w:t xml:space="preserve"> </w:t>
      </w:r>
      <w:r>
        <w:t>and US</w:t>
      </w:r>
      <w:r w:rsidR="002F3857">
        <w:t xml:space="preserve"> </w:t>
      </w:r>
      <w:r>
        <w:t xml:space="preserve">sourced batches of </w:t>
      </w:r>
      <w:r w:rsidRPr="002F3857">
        <w:t>Lantus</w:t>
      </w:r>
      <w:r w:rsidRPr="00C2419D">
        <w:rPr>
          <w:b/>
          <w:smallCaps/>
          <w:kern w:val="2"/>
          <w:position w:val="5"/>
          <w:sz w:val="13"/>
          <w:szCs w:val="13"/>
        </w:rPr>
        <w:t>®</w:t>
      </w:r>
      <w:r>
        <w:t xml:space="preserve"> was shown in terms of pharmacological activity (receptor binding affinity and functional activity in cell-based assays; </w:t>
      </w:r>
      <w:proofErr w:type="spellStart"/>
      <w:r>
        <w:t>glucodynamic</w:t>
      </w:r>
      <w:proofErr w:type="spellEnd"/>
      <w:r>
        <w:t xml:space="preserve"> profile </w:t>
      </w:r>
      <w:r w:rsidRPr="00EE5020">
        <w:t>in vivo</w:t>
      </w:r>
      <w:r>
        <w:t xml:space="preserve"> in rats) and toxicity profile (assessed in 4</w:t>
      </w:r>
      <w:r w:rsidR="002F3857">
        <w:t xml:space="preserve"> </w:t>
      </w:r>
      <w:r>
        <w:t>week, GLP-compliant studies in rats).</w:t>
      </w:r>
    </w:p>
    <w:p w:rsidR="0067304A" w:rsidRDefault="0067304A" w:rsidP="00EE5020">
      <w:pPr>
        <w:pStyle w:val="ListBullet"/>
      </w:pPr>
      <w:r>
        <w:t xml:space="preserve">The ability of the nonclinical studies to support comparability to Australian </w:t>
      </w:r>
      <w:r w:rsidRPr="002F3857">
        <w:t>Lantus</w:t>
      </w:r>
      <w:r w:rsidRPr="00C2419D">
        <w:rPr>
          <w:b/>
          <w:smallCaps/>
          <w:kern w:val="2"/>
          <w:position w:val="5"/>
          <w:sz w:val="13"/>
          <w:szCs w:val="13"/>
        </w:rPr>
        <w:t>®</w:t>
      </w:r>
      <w:r>
        <w:t xml:space="preserve"> depends on the conclusion of the </w:t>
      </w:r>
      <w:r w:rsidR="002F3857">
        <w:t>quality e</w:t>
      </w:r>
      <w:r>
        <w:t xml:space="preserve">valuator regarding the identity of </w:t>
      </w:r>
      <w:r w:rsidRPr="002F3857">
        <w:t>Lantus</w:t>
      </w:r>
      <w:r w:rsidRPr="00C2419D">
        <w:rPr>
          <w:b/>
          <w:smallCaps/>
          <w:kern w:val="2"/>
          <w:position w:val="5"/>
          <w:sz w:val="13"/>
          <w:szCs w:val="13"/>
        </w:rPr>
        <w:t>®</w:t>
      </w:r>
      <w:r>
        <w:t xml:space="preserve"> products across jurisdictions. Provided that EU and/or US</w:t>
      </w:r>
      <w:r w:rsidR="002F3857">
        <w:t xml:space="preserve"> </w:t>
      </w:r>
      <w:r>
        <w:t xml:space="preserve">sourced </w:t>
      </w:r>
      <w:r w:rsidRPr="002F3857">
        <w:t>Lantus</w:t>
      </w:r>
      <w:r w:rsidRPr="00C2419D">
        <w:rPr>
          <w:b/>
          <w:smallCaps/>
          <w:kern w:val="2"/>
          <w:position w:val="5"/>
          <w:sz w:val="13"/>
          <w:szCs w:val="13"/>
        </w:rPr>
        <w:t>®</w:t>
      </w:r>
      <w:r>
        <w:t xml:space="preserve"> is considered to be identical or highly comparable to the Australian product, there are no nonclinical objections to the registration of </w:t>
      </w:r>
      <w:proofErr w:type="spellStart"/>
      <w:r w:rsidRPr="002F3857">
        <w:t>Abasria</w:t>
      </w:r>
      <w:proofErr w:type="spellEnd"/>
      <w:r>
        <w:t xml:space="preserve"> for the proposed indications.</w:t>
      </w:r>
    </w:p>
    <w:p w:rsidR="0067304A" w:rsidRDefault="0067304A" w:rsidP="00EE5020">
      <w:pPr>
        <w:pStyle w:val="ListBullet"/>
      </w:pPr>
      <w:r>
        <w:t xml:space="preserve">The </w:t>
      </w:r>
      <w:r w:rsidR="00EE5020">
        <w:t xml:space="preserve">nonclinical evaluator also recommended amendments to the </w:t>
      </w:r>
      <w:r>
        <w:t xml:space="preserve">draft </w:t>
      </w:r>
      <w:r w:rsidR="0004374B">
        <w:t>PI</w:t>
      </w:r>
      <w:r>
        <w:t xml:space="preserve"> document </w:t>
      </w:r>
      <w:r w:rsidR="00EE5020">
        <w:t xml:space="preserve">but </w:t>
      </w:r>
      <w:r w:rsidR="002F3857">
        <w:t xml:space="preserve">the details of </w:t>
      </w:r>
      <w:r w:rsidR="00EE5020">
        <w:t xml:space="preserve">these are beyond the scope of this </w:t>
      </w:r>
      <w:proofErr w:type="spellStart"/>
      <w:r w:rsidR="00EE5020">
        <w:t>AusPAR</w:t>
      </w:r>
      <w:proofErr w:type="spellEnd"/>
      <w:r>
        <w:t>.</w:t>
      </w:r>
    </w:p>
    <w:p w:rsidR="008E7846" w:rsidRPr="00254787" w:rsidRDefault="008E7846" w:rsidP="00871242">
      <w:pPr>
        <w:pStyle w:val="Heading2"/>
      </w:pPr>
      <w:bookmarkStart w:id="62" w:name="_Toc428796479"/>
      <w:r>
        <w:t xml:space="preserve">IV. </w:t>
      </w:r>
      <w:r w:rsidRPr="00871242">
        <w:t>Clinical</w:t>
      </w:r>
      <w:bookmarkEnd w:id="57"/>
      <w:r>
        <w:t xml:space="preserve"> </w:t>
      </w:r>
      <w:r w:rsidR="003A7F6C" w:rsidRPr="00871242">
        <w:t>f</w:t>
      </w:r>
      <w:r w:rsidRPr="00871242">
        <w:t>indings</w:t>
      </w:r>
      <w:bookmarkEnd w:id="58"/>
      <w:bookmarkEnd w:id="59"/>
      <w:bookmarkEnd w:id="62"/>
    </w:p>
    <w:p w:rsidR="008E7846" w:rsidRDefault="008E7846" w:rsidP="00871242">
      <w:pPr>
        <w:pStyle w:val="Heading3"/>
      </w:pPr>
      <w:bookmarkStart w:id="63" w:name="_Toc196046463"/>
      <w:bookmarkStart w:id="64" w:name="_Toc247691517"/>
      <w:bookmarkStart w:id="65" w:name="_Toc314842501"/>
      <w:bookmarkStart w:id="66" w:name="_Toc428796480"/>
      <w:r w:rsidRPr="00871242">
        <w:t>Introduction</w:t>
      </w:r>
      <w:bookmarkEnd w:id="63"/>
      <w:bookmarkEnd w:id="64"/>
      <w:bookmarkEnd w:id="65"/>
      <w:bookmarkEnd w:id="66"/>
    </w:p>
    <w:p w:rsidR="004F0136" w:rsidRDefault="004F0136" w:rsidP="004F0136">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Pr="0005136E" w:rsidRDefault="00605AD4" w:rsidP="00871242">
      <w:pPr>
        <w:pStyle w:val="Heading3"/>
      </w:pPr>
      <w:bookmarkStart w:id="67" w:name="_Toc428796481"/>
      <w:bookmarkStart w:id="68" w:name="_Toc196046464"/>
      <w:bookmarkStart w:id="69" w:name="_Toc247691518"/>
      <w:bookmarkStart w:id="70" w:name="_Toc314842502"/>
      <w:r w:rsidRPr="00605AD4">
        <w:t xml:space="preserve">Clinical </w:t>
      </w:r>
      <w:r w:rsidR="00871242">
        <w:t>r</w:t>
      </w:r>
      <w:r w:rsidRPr="000A787B">
        <w:t>ationale</w:t>
      </w:r>
      <w:bookmarkEnd w:id="67"/>
    </w:p>
    <w:p w:rsidR="00031D05" w:rsidRDefault="00031D05" w:rsidP="00031D05">
      <w:r>
        <w:t xml:space="preserve">The rationale for the drug development program is stated </w:t>
      </w:r>
      <w:r w:rsidR="0005136E">
        <w:t>by the sponsor as</w:t>
      </w:r>
      <w:r>
        <w:t>:</w:t>
      </w:r>
    </w:p>
    <w:p w:rsidR="00031D05" w:rsidRPr="00871242" w:rsidRDefault="00722754" w:rsidP="00871242">
      <w:pPr>
        <w:ind w:left="720"/>
        <w:rPr>
          <w:i/>
        </w:rPr>
      </w:pPr>
      <w:r w:rsidRPr="00871242">
        <w:rPr>
          <w:i/>
        </w:rPr>
        <w:t>‘</w:t>
      </w:r>
      <w:r w:rsidR="00031D05" w:rsidRPr="00871242">
        <w:rPr>
          <w:i/>
        </w:rPr>
        <w:t xml:space="preserve">The development plan for </w:t>
      </w:r>
      <w:proofErr w:type="spellStart"/>
      <w:r w:rsidR="00EC7E12" w:rsidRPr="00871242">
        <w:rPr>
          <w:i/>
        </w:rPr>
        <w:t>Abasria</w:t>
      </w:r>
      <w:proofErr w:type="spellEnd"/>
      <w:r w:rsidR="00031D05" w:rsidRPr="00871242">
        <w:rPr>
          <w:i/>
        </w:rPr>
        <w:t xml:space="preserve">, informed by the scientific principles set forth in the Committee for Medicinal Products (CHMP) </w:t>
      </w:r>
      <w:proofErr w:type="spellStart"/>
      <w:r w:rsidR="00031D05" w:rsidRPr="00871242">
        <w:rPr>
          <w:i/>
        </w:rPr>
        <w:t>guidances</w:t>
      </w:r>
      <w:proofErr w:type="spellEnd"/>
      <w:r w:rsidR="00031D05" w:rsidRPr="00871242">
        <w:rPr>
          <w:i/>
        </w:rPr>
        <w:t xml:space="preserve"> on </w:t>
      </w:r>
      <w:proofErr w:type="spellStart"/>
      <w:r w:rsidR="00031D05" w:rsidRPr="00871242">
        <w:rPr>
          <w:i/>
        </w:rPr>
        <w:t>biosimilars</w:t>
      </w:r>
      <w:proofErr w:type="spellEnd"/>
      <w:r w:rsidR="00031D05" w:rsidRPr="00871242">
        <w:rPr>
          <w:i/>
        </w:rPr>
        <w:t xml:space="preserve"> and adopted by the TGA, reflects a stepwise approach to demonstrating the similarity of ABASR1A to the reference medicinal product (</w:t>
      </w:r>
      <w:r w:rsidR="00D54BAC" w:rsidRPr="00871242">
        <w:rPr>
          <w:i/>
        </w:rPr>
        <w:t>Lantus</w:t>
      </w:r>
      <w:r w:rsidR="00031D05" w:rsidRPr="00871242">
        <w:rPr>
          <w:i/>
        </w:rPr>
        <w:t xml:space="preserve">). The aim of the </w:t>
      </w:r>
      <w:proofErr w:type="spellStart"/>
      <w:r w:rsidR="00EC7E12" w:rsidRPr="00871242">
        <w:rPr>
          <w:i/>
        </w:rPr>
        <w:t>Abasria</w:t>
      </w:r>
      <w:proofErr w:type="spellEnd"/>
      <w:r w:rsidR="00031D05" w:rsidRPr="00871242">
        <w:rPr>
          <w:i/>
        </w:rPr>
        <w:t xml:space="preserve"> development program was to demonstrate that </w:t>
      </w:r>
      <w:proofErr w:type="spellStart"/>
      <w:r w:rsidR="00EC7E12" w:rsidRPr="00871242">
        <w:rPr>
          <w:i/>
        </w:rPr>
        <w:t>Abasria</w:t>
      </w:r>
      <w:proofErr w:type="spellEnd"/>
      <w:r w:rsidR="00031D05" w:rsidRPr="00871242">
        <w:rPr>
          <w:i/>
        </w:rPr>
        <w:t xml:space="preserve"> has a highly similar profile to </w:t>
      </w:r>
      <w:r w:rsidR="00D54BAC" w:rsidRPr="00871242">
        <w:rPr>
          <w:i/>
        </w:rPr>
        <w:t>Lantus</w:t>
      </w:r>
      <w:r w:rsidR="00031D05" w:rsidRPr="00871242">
        <w:rPr>
          <w:i/>
        </w:rPr>
        <w:t xml:space="preserve"> in terms of quality, nonclinical, pharmacokinetics and pharmacodynamics, and clinical safety and efficacy aspects, allowing </w:t>
      </w:r>
      <w:proofErr w:type="spellStart"/>
      <w:r w:rsidR="00EC7E12" w:rsidRPr="00871242">
        <w:rPr>
          <w:i/>
        </w:rPr>
        <w:t>Abasria</w:t>
      </w:r>
      <w:proofErr w:type="spellEnd"/>
      <w:r w:rsidR="00031D05" w:rsidRPr="00871242">
        <w:rPr>
          <w:i/>
        </w:rPr>
        <w:t xml:space="preserve"> to adopt the data generated with </w:t>
      </w:r>
      <w:r w:rsidR="00D54BAC" w:rsidRPr="00871242">
        <w:rPr>
          <w:i/>
        </w:rPr>
        <w:t>Lantus</w:t>
      </w:r>
      <w:r w:rsidR="00031D05" w:rsidRPr="00871242">
        <w:rPr>
          <w:i/>
        </w:rPr>
        <w:t xml:space="preserve"> and thus the Australian Product Information (AUPI) for </w:t>
      </w:r>
      <w:r w:rsidR="00D54BAC" w:rsidRPr="00871242">
        <w:rPr>
          <w:i/>
        </w:rPr>
        <w:t>Lantus</w:t>
      </w:r>
      <w:r w:rsidR="00031D05" w:rsidRPr="00871242">
        <w:rPr>
          <w:i/>
        </w:rPr>
        <w:t>.</w:t>
      </w:r>
      <w:r w:rsidRPr="00871242">
        <w:rPr>
          <w:i/>
        </w:rPr>
        <w:t>’</w:t>
      </w:r>
    </w:p>
    <w:p w:rsidR="00031D05" w:rsidRPr="00DD7DC6" w:rsidRDefault="00031D05" w:rsidP="00031D05">
      <w:r w:rsidRPr="00BB73CF">
        <w:t>The drug development program is described in these terms:</w:t>
      </w:r>
    </w:p>
    <w:p w:rsidR="00031D05" w:rsidRPr="00871242" w:rsidRDefault="00722754" w:rsidP="00871242">
      <w:pPr>
        <w:ind w:left="720"/>
        <w:rPr>
          <w:i/>
        </w:rPr>
      </w:pPr>
      <w:r w:rsidRPr="00871242">
        <w:rPr>
          <w:i/>
        </w:rPr>
        <w:t>‘</w:t>
      </w:r>
      <w:r w:rsidR="00031D05" w:rsidRPr="00871242">
        <w:rPr>
          <w:i/>
        </w:rPr>
        <w:t>The totality of data presented in this application, specifically the clinical data</w:t>
      </w:r>
      <w:r w:rsidR="00EE5020" w:rsidRPr="00871242">
        <w:rPr>
          <w:i/>
        </w:rPr>
        <w:t xml:space="preserve"> </w:t>
      </w:r>
      <w:r w:rsidR="00031D05" w:rsidRPr="00871242">
        <w:rPr>
          <w:i/>
        </w:rPr>
        <w:t xml:space="preserve">summarised in Module 2, support a sufficient demonstration of similarity of </w:t>
      </w:r>
      <w:proofErr w:type="spellStart"/>
      <w:r w:rsidR="00EC7E12" w:rsidRPr="00871242">
        <w:rPr>
          <w:i/>
        </w:rPr>
        <w:t>Abasria</w:t>
      </w:r>
      <w:proofErr w:type="spellEnd"/>
      <w:r w:rsidR="00031D05" w:rsidRPr="00871242">
        <w:rPr>
          <w:i/>
        </w:rPr>
        <w:t xml:space="preserve"> to</w:t>
      </w:r>
      <w:r w:rsidR="00EE5020" w:rsidRPr="00871242">
        <w:rPr>
          <w:i/>
        </w:rPr>
        <w:t xml:space="preserve"> </w:t>
      </w:r>
      <w:r w:rsidR="00D54BAC" w:rsidRPr="00871242">
        <w:rPr>
          <w:i/>
        </w:rPr>
        <w:t>Lantus</w:t>
      </w:r>
      <w:r w:rsidR="00031D05" w:rsidRPr="00871242">
        <w:rPr>
          <w:i/>
        </w:rPr>
        <w:t>:</w:t>
      </w:r>
    </w:p>
    <w:p w:rsidR="00031D05" w:rsidRPr="00871242" w:rsidRDefault="00031D05" w:rsidP="00871242">
      <w:pPr>
        <w:ind w:left="720"/>
        <w:rPr>
          <w:i/>
        </w:rPr>
      </w:pPr>
      <w:r w:rsidRPr="00871242">
        <w:rPr>
          <w:i/>
        </w:rPr>
        <w:t xml:space="preserve">The primary goal of the development program was achieved: Comparative PK and PD studies demonstrated highly similar PK and PD of </w:t>
      </w:r>
      <w:proofErr w:type="spellStart"/>
      <w:r w:rsidR="00EC7E12" w:rsidRPr="00871242">
        <w:rPr>
          <w:i/>
        </w:rPr>
        <w:t>Abasria</w:t>
      </w:r>
      <w:proofErr w:type="spellEnd"/>
      <w:r w:rsidRPr="00871242">
        <w:rPr>
          <w:i/>
        </w:rPr>
        <w:t xml:space="preserve"> to </w:t>
      </w:r>
      <w:r w:rsidR="00D54BAC" w:rsidRPr="00871242">
        <w:rPr>
          <w:i/>
        </w:rPr>
        <w:t>Lantus</w:t>
      </w:r>
      <w:r w:rsidRPr="00871242">
        <w:rPr>
          <w:i/>
        </w:rPr>
        <w:t xml:space="preserve"> (Study ABEA) and of EU-approved </w:t>
      </w:r>
      <w:r w:rsidR="00D54BAC" w:rsidRPr="00871242">
        <w:rPr>
          <w:i/>
        </w:rPr>
        <w:t>Lantus</w:t>
      </w:r>
      <w:r w:rsidRPr="00871242">
        <w:rPr>
          <w:i/>
        </w:rPr>
        <w:t xml:space="preserve"> to US-approved </w:t>
      </w:r>
      <w:r w:rsidR="00D54BAC" w:rsidRPr="00871242">
        <w:rPr>
          <w:i/>
        </w:rPr>
        <w:t>Lantus</w:t>
      </w:r>
      <w:r w:rsidRPr="00871242">
        <w:rPr>
          <w:i/>
        </w:rPr>
        <w:t xml:space="preserve"> (Study ABEN) within predefined bioequivalence acceptance limits.</w:t>
      </w:r>
    </w:p>
    <w:p w:rsidR="00031D05" w:rsidRPr="00871242" w:rsidRDefault="00031D05" w:rsidP="00871242">
      <w:pPr>
        <w:ind w:left="720"/>
        <w:rPr>
          <w:i/>
        </w:rPr>
      </w:pPr>
      <w:r w:rsidRPr="00871242">
        <w:rPr>
          <w:i/>
        </w:rPr>
        <w:t xml:space="preserve">Study ABEN established a scientific bridge that justified presenting the analyses of clinical efficacy and safety with a comparator group comprising EU- and US approved </w:t>
      </w:r>
      <w:r w:rsidR="00D54BAC" w:rsidRPr="00871242">
        <w:rPr>
          <w:i/>
        </w:rPr>
        <w:t>Lantus</w:t>
      </w:r>
      <w:r w:rsidRPr="00871242">
        <w:rPr>
          <w:i/>
        </w:rPr>
        <w:t xml:space="preserve"> in the multinational </w:t>
      </w:r>
      <w:r w:rsidR="00BE23D9" w:rsidRPr="00871242">
        <w:rPr>
          <w:i/>
        </w:rPr>
        <w:t>Phase III</w:t>
      </w:r>
      <w:r w:rsidRPr="00871242">
        <w:rPr>
          <w:i/>
        </w:rPr>
        <w:t xml:space="preserve"> clinical studies (ABEB and ABEC).</w:t>
      </w:r>
      <w:r w:rsidR="001A1024" w:rsidRPr="00871242">
        <w:rPr>
          <w:i/>
        </w:rPr>
        <w:t xml:space="preserve"> </w:t>
      </w:r>
      <w:r w:rsidRPr="00871242">
        <w:rPr>
          <w:i/>
        </w:rPr>
        <w:t xml:space="preserve">The scientific bridge was supported by subgroup analyses in the </w:t>
      </w:r>
      <w:r w:rsidR="00BE23D9" w:rsidRPr="00871242">
        <w:rPr>
          <w:i/>
        </w:rPr>
        <w:t>Phase III</w:t>
      </w:r>
      <w:r w:rsidRPr="00871242">
        <w:rPr>
          <w:i/>
        </w:rPr>
        <w:t xml:space="preserve"> studies comparing the treatment effect of </w:t>
      </w:r>
      <w:proofErr w:type="spellStart"/>
      <w:r w:rsidR="00EC7E12" w:rsidRPr="00871242">
        <w:rPr>
          <w:i/>
        </w:rPr>
        <w:t>Abasria</w:t>
      </w:r>
      <w:proofErr w:type="spellEnd"/>
      <w:r w:rsidRPr="00871242">
        <w:rPr>
          <w:i/>
        </w:rPr>
        <w:t xml:space="preserve"> to either EU- or US-approved </w:t>
      </w:r>
      <w:r w:rsidR="00D54BAC" w:rsidRPr="00871242">
        <w:rPr>
          <w:i/>
        </w:rPr>
        <w:t>Lantus</w:t>
      </w:r>
      <w:r w:rsidRPr="00871242">
        <w:rPr>
          <w:i/>
        </w:rPr>
        <w:t xml:space="preserve"> for </w:t>
      </w:r>
      <w:r w:rsidRPr="00871242">
        <w:rPr>
          <w:i/>
        </w:rPr>
        <w:lastRenderedPageBreak/>
        <w:t xml:space="preserve">selected efficacy and safety parameters, which showed no clinically meaningful differential treatment effects between </w:t>
      </w:r>
      <w:proofErr w:type="spellStart"/>
      <w:r w:rsidR="00EC7E12" w:rsidRPr="00871242">
        <w:rPr>
          <w:i/>
        </w:rPr>
        <w:t>Abasria</w:t>
      </w:r>
      <w:proofErr w:type="spellEnd"/>
      <w:r w:rsidRPr="00871242">
        <w:rPr>
          <w:i/>
        </w:rPr>
        <w:t xml:space="preserve"> and </w:t>
      </w:r>
      <w:r w:rsidR="00D54BAC" w:rsidRPr="00871242">
        <w:rPr>
          <w:i/>
        </w:rPr>
        <w:t>Lantus</w:t>
      </w:r>
      <w:r w:rsidRPr="00871242">
        <w:rPr>
          <w:i/>
        </w:rPr>
        <w:t xml:space="preserve"> (irrespective of source).</w:t>
      </w:r>
    </w:p>
    <w:p w:rsidR="00031D05" w:rsidRPr="00871242" w:rsidRDefault="00031D05" w:rsidP="00871242">
      <w:pPr>
        <w:ind w:left="720"/>
        <w:rPr>
          <w:i/>
        </w:rPr>
      </w:pPr>
      <w:r w:rsidRPr="00871242">
        <w:rPr>
          <w:i/>
        </w:rPr>
        <w:t xml:space="preserve">Clinical data from Studies ABEB (T1DM) and ABEC (T2DM) provide evidence that </w:t>
      </w:r>
      <w:proofErr w:type="spellStart"/>
      <w:r w:rsidR="00EC7E12" w:rsidRPr="00871242">
        <w:rPr>
          <w:i/>
        </w:rPr>
        <w:t>Abasria</w:t>
      </w:r>
      <w:proofErr w:type="spellEnd"/>
      <w:r w:rsidRPr="00871242">
        <w:rPr>
          <w:i/>
        </w:rPr>
        <w:t xml:space="preserve"> and </w:t>
      </w:r>
      <w:r w:rsidR="00D54BAC" w:rsidRPr="00871242">
        <w:rPr>
          <w:i/>
        </w:rPr>
        <w:t>Lantus</w:t>
      </w:r>
      <w:r w:rsidRPr="00871242">
        <w:rPr>
          <w:i/>
        </w:rPr>
        <w:t xml:space="preserve"> have equivalent efficacy by meeting the primary test of the </w:t>
      </w:r>
      <w:proofErr w:type="spellStart"/>
      <w:r w:rsidRPr="00871242">
        <w:rPr>
          <w:i/>
        </w:rPr>
        <w:t>noninferiority</w:t>
      </w:r>
      <w:proofErr w:type="spellEnd"/>
      <w:r w:rsidRPr="00871242">
        <w:rPr>
          <w:i/>
        </w:rPr>
        <w:t xml:space="preserve"> of ABASR1A to </w:t>
      </w:r>
      <w:r w:rsidR="00D54BAC" w:rsidRPr="00871242">
        <w:rPr>
          <w:i/>
        </w:rPr>
        <w:t>Lantus</w:t>
      </w:r>
      <w:r w:rsidRPr="00871242">
        <w:rPr>
          <w:i/>
        </w:rPr>
        <w:t xml:space="preserve"> as well as the secondary, complementary test of the </w:t>
      </w:r>
      <w:proofErr w:type="spellStart"/>
      <w:r w:rsidRPr="00871242">
        <w:rPr>
          <w:i/>
        </w:rPr>
        <w:t>noninferiority</w:t>
      </w:r>
      <w:proofErr w:type="spellEnd"/>
      <w:r w:rsidRPr="00871242">
        <w:rPr>
          <w:i/>
        </w:rPr>
        <w:t xml:space="preserve"> of </w:t>
      </w:r>
      <w:r w:rsidR="00D54BAC" w:rsidRPr="00871242">
        <w:rPr>
          <w:i/>
        </w:rPr>
        <w:t>Lantus</w:t>
      </w:r>
      <w:r w:rsidRPr="00871242">
        <w:rPr>
          <w:i/>
        </w:rPr>
        <w:t xml:space="preserve"> to </w:t>
      </w:r>
      <w:proofErr w:type="spellStart"/>
      <w:r w:rsidR="00EC7E12" w:rsidRPr="00871242">
        <w:rPr>
          <w:i/>
        </w:rPr>
        <w:t>Abasria</w:t>
      </w:r>
      <w:proofErr w:type="spellEnd"/>
      <w:r w:rsidRPr="00871242">
        <w:rPr>
          <w:i/>
        </w:rPr>
        <w:t xml:space="preserve"> with respect to change in HbA1c, and with no statistically significant difference between treatment groups for key secondary measures of efficacy.</w:t>
      </w:r>
    </w:p>
    <w:p w:rsidR="00031D05" w:rsidRPr="00871242" w:rsidRDefault="00031D05" w:rsidP="00871242">
      <w:pPr>
        <w:ind w:left="720"/>
        <w:rPr>
          <w:i/>
        </w:rPr>
      </w:pPr>
      <w:r w:rsidRPr="00871242">
        <w:rPr>
          <w:i/>
        </w:rPr>
        <w:t xml:space="preserve">Clinical safety data from the </w:t>
      </w:r>
      <w:r w:rsidR="00BE23D9" w:rsidRPr="00871242">
        <w:rPr>
          <w:i/>
        </w:rPr>
        <w:t>Phase III</w:t>
      </w:r>
      <w:r w:rsidRPr="00871242">
        <w:rPr>
          <w:i/>
        </w:rPr>
        <w:t xml:space="preserve"> studies demonstrate a highly similar safety profile (including immunogenicity, allergic reactions, and </w:t>
      </w:r>
      <w:proofErr w:type="spellStart"/>
      <w:r w:rsidRPr="00871242">
        <w:rPr>
          <w:i/>
        </w:rPr>
        <w:t>hypoglycemia</w:t>
      </w:r>
      <w:proofErr w:type="spellEnd"/>
      <w:r w:rsidRPr="00871242">
        <w:rPr>
          <w:i/>
        </w:rPr>
        <w:t xml:space="preserve">) of </w:t>
      </w:r>
      <w:proofErr w:type="spellStart"/>
      <w:r w:rsidR="00EC7E12" w:rsidRPr="00871242">
        <w:rPr>
          <w:i/>
        </w:rPr>
        <w:t>Abasria</w:t>
      </w:r>
      <w:proofErr w:type="spellEnd"/>
      <w:r w:rsidRPr="00871242">
        <w:rPr>
          <w:i/>
        </w:rPr>
        <w:t xml:space="preserve"> to </w:t>
      </w:r>
      <w:r w:rsidR="00D54BAC" w:rsidRPr="00871242">
        <w:rPr>
          <w:i/>
        </w:rPr>
        <w:t>Lantus</w:t>
      </w:r>
      <w:r w:rsidRPr="00871242">
        <w:rPr>
          <w:i/>
        </w:rPr>
        <w:t xml:space="preserve">. Importantly, the development of anti-insulin </w:t>
      </w:r>
      <w:proofErr w:type="spellStart"/>
      <w:r w:rsidRPr="00871242">
        <w:rPr>
          <w:i/>
        </w:rPr>
        <w:t>glargine</w:t>
      </w:r>
      <w:proofErr w:type="spellEnd"/>
      <w:r w:rsidRPr="00871242">
        <w:rPr>
          <w:i/>
        </w:rPr>
        <w:t xml:space="preserve"> antibodies (as measured by TEAR) was not associated with any detrimental effect on efficacy and safety outcomes in patients with 11DM or T2DM.</w:t>
      </w:r>
      <w:r w:rsidR="00722754" w:rsidRPr="00871242">
        <w:rPr>
          <w:i/>
        </w:rPr>
        <w:t>’</w:t>
      </w:r>
    </w:p>
    <w:p w:rsidR="00031D05" w:rsidRPr="00DD7DC6" w:rsidRDefault="00031D05" w:rsidP="00871242">
      <w:pPr>
        <w:ind w:left="720"/>
      </w:pPr>
      <w:r w:rsidRPr="00871242">
        <w:rPr>
          <w:b/>
        </w:rPr>
        <w:t>Comment</w:t>
      </w:r>
      <w:r w:rsidRPr="00DD7DC6">
        <w:t xml:space="preserve">: As is evident from the </w:t>
      </w:r>
      <w:r w:rsidR="0005136E" w:rsidRPr="00DD7DC6">
        <w:t>submission</w:t>
      </w:r>
      <w:r w:rsidRPr="00DD7DC6">
        <w:t>, the drug development program was informed by discussions with the FDA and with the EMA.</w:t>
      </w:r>
    </w:p>
    <w:p w:rsidR="00605AD4" w:rsidRDefault="00605AD4" w:rsidP="00871242">
      <w:pPr>
        <w:pStyle w:val="Heading3"/>
      </w:pPr>
      <w:bookmarkStart w:id="71" w:name="_Toc428796482"/>
      <w:r w:rsidRPr="00605AD4">
        <w:t>Guidance</w:t>
      </w:r>
      <w:bookmarkEnd w:id="71"/>
    </w:p>
    <w:p w:rsidR="00031D05" w:rsidRDefault="00031D05" w:rsidP="00871242">
      <w:r>
        <w:t>Adopted guidelines and statements apply to this submission.</w:t>
      </w:r>
    </w:p>
    <w:p w:rsidR="00031D05" w:rsidRDefault="00031D05" w:rsidP="0004374B">
      <w:pPr>
        <w:pStyle w:val="ListBullet"/>
      </w:pPr>
      <w:r w:rsidRPr="009A74CC">
        <w:t>EMEA/CHMP/BMWP/32775/2005</w:t>
      </w:r>
      <w:r>
        <w:t xml:space="preserve"> </w:t>
      </w:r>
      <w:r w:rsidR="00991E9F">
        <w:t xml:space="preserve">Annex </w:t>
      </w:r>
      <w:proofErr w:type="gramStart"/>
      <w:r w:rsidR="00991E9F">
        <w:t>To</w:t>
      </w:r>
      <w:proofErr w:type="gramEnd"/>
      <w:r w:rsidR="00991E9F">
        <w:t xml:space="preserve"> Guideline On Similar Biological Medicinal Products Containing Biotechnology-Derived Proteins As Active Substance</w:t>
      </w:r>
      <w:r>
        <w:t xml:space="preserve">: </w:t>
      </w:r>
      <w:r w:rsidR="00991E9F">
        <w:t>Non-Clinical And Clinical Issues Guidance On Similar Medicinal Products Containing Recombinant Human Soluble Insulin</w:t>
      </w:r>
      <w:r w:rsidR="0004374B">
        <w:t>.</w:t>
      </w:r>
    </w:p>
    <w:p w:rsidR="00031D05" w:rsidRDefault="00991E9F" w:rsidP="00EE5020">
      <w:pPr>
        <w:pStyle w:val="ListBullet"/>
      </w:pPr>
      <w:r>
        <w:t>Guideline On Similar Biological Medicinal Products Containing</w:t>
      </w:r>
    </w:p>
    <w:p w:rsidR="00031D05" w:rsidRDefault="00991E9F" w:rsidP="00991E9F">
      <w:pPr>
        <w:pStyle w:val="ListBullet"/>
        <w:numPr>
          <w:ilvl w:val="0"/>
          <w:numId w:val="0"/>
        </w:numPr>
        <w:ind w:left="360"/>
      </w:pPr>
      <w:r>
        <w:t>Biotechnology-Derived Proteins As Active Substance:</w:t>
      </w:r>
      <w:r w:rsidR="004F0136">
        <w:t xml:space="preserve"> </w:t>
      </w:r>
    </w:p>
    <w:p w:rsidR="00031D05" w:rsidRDefault="00991E9F" w:rsidP="00991E9F">
      <w:pPr>
        <w:pStyle w:val="ListBullet"/>
        <w:numPr>
          <w:ilvl w:val="0"/>
          <w:numId w:val="0"/>
        </w:numPr>
        <w:ind w:left="360"/>
      </w:pPr>
      <w:r>
        <w:t xml:space="preserve">Non-Clinical And Clinical Issues </w:t>
      </w:r>
    </w:p>
    <w:p w:rsidR="00031D05" w:rsidRDefault="00031D05" w:rsidP="004F0136">
      <w:pPr>
        <w:pStyle w:val="ListBullet"/>
      </w:pPr>
      <w:r w:rsidRPr="009A74CC">
        <w:t xml:space="preserve">Guideline on the Investigation of Bioequivalence (CPMP/EWP/QWP/1401/98 Rev. 1/ 2010) (CHMP 2010 </w:t>
      </w:r>
      <w:r w:rsidR="00991E9F">
        <w:t xml:space="preserve">Guideline </w:t>
      </w:r>
      <w:r w:rsidR="003E68DA">
        <w:t>o</w:t>
      </w:r>
      <w:r w:rsidR="00991E9F">
        <w:t xml:space="preserve">n Immunogenicity Assessment </w:t>
      </w:r>
      <w:proofErr w:type="gramStart"/>
      <w:r w:rsidR="00991E9F">
        <w:t>Of</w:t>
      </w:r>
      <w:proofErr w:type="gramEnd"/>
      <w:r w:rsidR="00991E9F">
        <w:t xml:space="preserve"> Biotechnology-Derived</w:t>
      </w:r>
      <w:r w:rsidR="00631F83">
        <w:t xml:space="preserve"> </w:t>
      </w:r>
      <w:r w:rsidR="00991E9F">
        <w:t>Therapeutic Proteins</w:t>
      </w:r>
      <w:r w:rsidR="00D81C25">
        <w:t>)</w:t>
      </w:r>
      <w:r w:rsidR="0004374B">
        <w:t>.</w:t>
      </w:r>
    </w:p>
    <w:p w:rsidR="00D81C25" w:rsidRDefault="00D81C25" w:rsidP="00D81C25">
      <w:pPr>
        <w:pStyle w:val="ListBullet"/>
      </w:pPr>
      <w:r>
        <w:t>Guideline On Immunogenicity Assessment Of Biotechnology-Derived</w:t>
      </w:r>
    </w:p>
    <w:p w:rsidR="00D81C25" w:rsidRDefault="00D81C25" w:rsidP="00D81C25">
      <w:pPr>
        <w:pStyle w:val="ListBullet"/>
        <w:numPr>
          <w:ilvl w:val="0"/>
          <w:numId w:val="0"/>
        </w:numPr>
        <w:ind w:left="360"/>
      </w:pPr>
      <w:r>
        <w:t>Therapeutic Proteins</w:t>
      </w:r>
    </w:p>
    <w:p w:rsidR="00031D05" w:rsidRPr="003B1621" w:rsidRDefault="00031D05" w:rsidP="003E68DA">
      <w:pPr>
        <w:pStyle w:val="ListBullet"/>
      </w:pPr>
      <w:r w:rsidRPr="007773C6">
        <w:t xml:space="preserve">Evaluation of </w:t>
      </w:r>
      <w:proofErr w:type="spellStart"/>
      <w:r w:rsidRPr="007773C6">
        <w:t>biosimilars</w:t>
      </w:r>
      <w:proofErr w:type="spellEnd"/>
      <w:r w:rsidR="003E68DA">
        <w:t xml:space="preserve"> Version 1.0</w:t>
      </w:r>
      <w:r w:rsidR="00D81C25">
        <w:t>,</w:t>
      </w:r>
      <w:r w:rsidR="003E68DA">
        <w:t xml:space="preserve"> TGA July </w:t>
      </w:r>
      <w:r w:rsidR="003E68DA" w:rsidRPr="003B1621">
        <w:t xml:space="preserve">2013 (now </w:t>
      </w:r>
      <w:r w:rsidR="00AE6BE2" w:rsidRPr="003B1621">
        <w:t>under review</w:t>
      </w:r>
      <w:r w:rsidR="003E68DA" w:rsidRPr="003B1621">
        <w:t>).</w:t>
      </w:r>
    </w:p>
    <w:p w:rsidR="00605AD4" w:rsidRDefault="00605AD4" w:rsidP="00871242">
      <w:pPr>
        <w:pStyle w:val="Heading3"/>
      </w:pPr>
      <w:bookmarkStart w:id="72" w:name="_Toc428796483"/>
      <w:r w:rsidRPr="00605AD4">
        <w:t>Contents of the clinical dossier</w:t>
      </w:r>
      <w:bookmarkEnd w:id="72"/>
    </w:p>
    <w:p w:rsidR="00031D05" w:rsidRDefault="00031D05" w:rsidP="00871242">
      <w:r>
        <w:t>The submission contained the clinical information as outlined in the table above.</w:t>
      </w:r>
    </w:p>
    <w:p w:rsidR="00031D05" w:rsidRPr="0005136E" w:rsidRDefault="00031D05" w:rsidP="0005136E">
      <w:pPr>
        <w:pStyle w:val="ListBullet"/>
      </w:pPr>
      <w:proofErr w:type="gramStart"/>
      <w:r w:rsidRPr="0005136E">
        <w:t>five</w:t>
      </w:r>
      <w:proofErr w:type="gramEnd"/>
      <w:r w:rsidRPr="0005136E">
        <w:t xml:space="preserve"> clinical pharmacology studies, all of which generated pharmacokinetic data and also </w:t>
      </w:r>
      <w:proofErr w:type="spellStart"/>
      <w:r w:rsidRPr="0005136E">
        <w:t>pharmacodynamic</w:t>
      </w:r>
      <w:proofErr w:type="spellEnd"/>
      <w:r w:rsidRPr="0005136E">
        <w:t xml:space="preserve"> data.</w:t>
      </w:r>
    </w:p>
    <w:p w:rsidR="00031D05" w:rsidRPr="0005136E" w:rsidRDefault="00031D05" w:rsidP="0005136E">
      <w:pPr>
        <w:pStyle w:val="ListBullet"/>
      </w:pPr>
      <w:proofErr w:type="gramStart"/>
      <w:r w:rsidRPr="0005136E">
        <w:t>no</w:t>
      </w:r>
      <w:proofErr w:type="gramEnd"/>
      <w:r w:rsidRPr="0005136E">
        <w:t xml:space="preserve"> population pharmacokinetic analyses.</w:t>
      </w:r>
    </w:p>
    <w:p w:rsidR="00031D05" w:rsidRPr="0005136E" w:rsidRDefault="00031D05" w:rsidP="0005136E">
      <w:pPr>
        <w:pStyle w:val="ListBullet"/>
      </w:pPr>
      <w:proofErr w:type="gramStart"/>
      <w:r w:rsidRPr="0005136E">
        <w:t>one</w:t>
      </w:r>
      <w:proofErr w:type="gramEnd"/>
      <w:r w:rsidRPr="0005136E">
        <w:t xml:space="preserve"> pivotal efficacy/safety study (ABEC).</w:t>
      </w:r>
    </w:p>
    <w:p w:rsidR="00031D05" w:rsidRPr="0005136E" w:rsidRDefault="00031D05" w:rsidP="0005136E">
      <w:pPr>
        <w:pStyle w:val="ListBullet"/>
      </w:pPr>
      <w:proofErr w:type="gramStart"/>
      <w:r w:rsidRPr="0005136E">
        <w:t>no</w:t>
      </w:r>
      <w:proofErr w:type="gramEnd"/>
      <w:r w:rsidRPr="0005136E">
        <w:t xml:space="preserve"> dose-finding studies.</w:t>
      </w:r>
    </w:p>
    <w:p w:rsidR="00031D05" w:rsidRPr="0005136E" w:rsidRDefault="00031D05" w:rsidP="0005136E">
      <w:pPr>
        <w:pStyle w:val="ListBullet"/>
      </w:pPr>
      <w:proofErr w:type="gramStart"/>
      <w:r w:rsidRPr="0005136E">
        <w:t>one</w:t>
      </w:r>
      <w:proofErr w:type="gramEnd"/>
      <w:r w:rsidRPr="0005136E">
        <w:t xml:space="preserve"> other efficacy/safety study (ABEB).</w:t>
      </w:r>
    </w:p>
    <w:p w:rsidR="00031D05" w:rsidRPr="0005136E" w:rsidRDefault="00031D05" w:rsidP="0005136E">
      <w:pPr>
        <w:pStyle w:val="ListBullet"/>
      </w:pPr>
      <w:r w:rsidRPr="0005136E">
        <w:t>Literature references.</w:t>
      </w:r>
    </w:p>
    <w:p w:rsidR="00605AD4" w:rsidRDefault="00605AD4" w:rsidP="00871242">
      <w:pPr>
        <w:pStyle w:val="Heading4"/>
      </w:pPr>
      <w:r w:rsidRPr="00605AD4">
        <w:lastRenderedPageBreak/>
        <w:t xml:space="preserve">Paediatric </w:t>
      </w:r>
      <w:r w:rsidRPr="00871242">
        <w:t>data</w:t>
      </w:r>
    </w:p>
    <w:p w:rsidR="00031D05" w:rsidRDefault="00031D05" w:rsidP="00031D05">
      <w:r>
        <w:t>The submission d</w:t>
      </w:r>
      <w:r w:rsidR="00A80256">
        <w:t>id not include paediatric data.</w:t>
      </w:r>
    </w:p>
    <w:p w:rsidR="00605AD4" w:rsidRDefault="00605AD4" w:rsidP="00605AD4">
      <w:pPr>
        <w:pStyle w:val="Heading4"/>
      </w:pPr>
      <w:r w:rsidRPr="00605AD4">
        <w:t xml:space="preserve">Good </w:t>
      </w:r>
      <w:r w:rsidR="00871242">
        <w:t>c</w:t>
      </w:r>
      <w:r w:rsidRPr="00605AD4">
        <w:t xml:space="preserve">linical </w:t>
      </w:r>
      <w:r w:rsidR="00871242">
        <w:t>p</w:t>
      </w:r>
      <w:r w:rsidRPr="00605AD4">
        <w:t>ractice</w:t>
      </w:r>
      <w:r w:rsidR="00EA6421">
        <w:t xml:space="preserve"> (GCP)</w:t>
      </w:r>
    </w:p>
    <w:p w:rsidR="00031D05" w:rsidRDefault="00031D05" w:rsidP="00031D05">
      <w:bookmarkStart w:id="73" w:name="_Toc241374282"/>
      <w:r>
        <w:t>As appended to the letter of application:</w:t>
      </w:r>
    </w:p>
    <w:p w:rsidR="00031D05" w:rsidRPr="00871242" w:rsidRDefault="00722754" w:rsidP="00871242">
      <w:pPr>
        <w:ind w:left="720"/>
        <w:rPr>
          <w:i/>
        </w:rPr>
      </w:pPr>
      <w:r w:rsidRPr="00871242">
        <w:rPr>
          <w:i/>
        </w:rPr>
        <w:t>‘</w:t>
      </w:r>
      <w:r w:rsidR="00031D05" w:rsidRPr="00871242">
        <w:rPr>
          <w:i/>
        </w:rPr>
        <w:t xml:space="preserve">I certify that Eli Lilly Australia Pty. Limited is in possession of documentation to demonstrate that the clinical studies accompanying the letter of 01 October 2013 were carried out in accordance with the principles of the Declaration of Helsinki and, if conducted in Australia, in accordance with the NH&amp;MRC </w:t>
      </w:r>
      <w:r w:rsidRPr="00871242">
        <w:rPr>
          <w:i/>
        </w:rPr>
        <w:t>‘</w:t>
      </w:r>
      <w:r w:rsidR="00031D05" w:rsidRPr="00871242">
        <w:rPr>
          <w:i/>
        </w:rPr>
        <w:t>Statement on Human Experimentation</w:t>
      </w:r>
      <w:r w:rsidRPr="00871242">
        <w:rPr>
          <w:i/>
        </w:rPr>
        <w:t>’</w:t>
      </w:r>
      <w:r w:rsidR="00031D05" w:rsidRPr="00871242">
        <w:rPr>
          <w:i/>
        </w:rPr>
        <w:t>.</w:t>
      </w:r>
    </w:p>
    <w:p w:rsidR="00031D05" w:rsidRPr="00871242" w:rsidRDefault="00031D05" w:rsidP="00871242">
      <w:pPr>
        <w:ind w:left="720"/>
        <w:rPr>
          <w:i/>
        </w:rPr>
      </w:pPr>
      <w:r w:rsidRPr="00871242">
        <w:rPr>
          <w:i/>
        </w:rPr>
        <w:t>I further certify that such documentation will be provided to the Department of Human Services and Health within three months of any request.</w:t>
      </w:r>
    </w:p>
    <w:p w:rsidR="00031D05" w:rsidRPr="00871242" w:rsidRDefault="00031D05" w:rsidP="00871242">
      <w:pPr>
        <w:ind w:left="720"/>
        <w:rPr>
          <w:i/>
        </w:rPr>
      </w:pPr>
      <w:r w:rsidRPr="00871242">
        <w:rPr>
          <w:i/>
        </w:rPr>
        <w:t>I understand that the documentation referred to includes Ethics Review Committee approval letters, signed subject consent forms and the patient information sheet if there is one.</w:t>
      </w:r>
      <w:r w:rsidR="00722754" w:rsidRPr="00871242">
        <w:rPr>
          <w:i/>
        </w:rPr>
        <w:t>’</w:t>
      </w:r>
    </w:p>
    <w:bookmarkEnd w:id="73"/>
    <w:p w:rsidR="00031D05" w:rsidRDefault="00031D05" w:rsidP="00871242">
      <w:r>
        <w:t>The evaluator mention</w:t>
      </w:r>
      <w:r w:rsidR="00EA6421">
        <w:t>ed</w:t>
      </w:r>
      <w:r>
        <w:t xml:space="preserve"> in the discussion of each study any relevant matters in regard to GCP, ethical certification and auditing. In brief, no major concerns were noted but </w:t>
      </w:r>
      <w:r w:rsidRPr="000B59D5">
        <w:t>some clarifications from the applicant might be needed.</w:t>
      </w:r>
    </w:p>
    <w:p w:rsidR="008E7846" w:rsidRPr="00871242" w:rsidRDefault="008E7846" w:rsidP="00871242">
      <w:pPr>
        <w:pStyle w:val="Heading3"/>
      </w:pPr>
      <w:bookmarkStart w:id="74" w:name="_Toc428796484"/>
      <w:r w:rsidRPr="00871242">
        <w:t>Pharmacokinetics</w:t>
      </w:r>
      <w:bookmarkEnd w:id="60"/>
      <w:bookmarkEnd w:id="68"/>
      <w:bookmarkEnd w:id="69"/>
      <w:bookmarkEnd w:id="70"/>
      <w:bookmarkEnd w:id="74"/>
    </w:p>
    <w:p w:rsidR="00031D05" w:rsidRPr="00871242" w:rsidRDefault="00031D05" w:rsidP="00871242">
      <w:pPr>
        <w:pStyle w:val="Heading4"/>
      </w:pPr>
      <w:bookmarkStart w:id="75" w:name="_Ref271017296"/>
      <w:bookmarkStart w:id="76" w:name="_Ref271018924"/>
      <w:bookmarkStart w:id="77" w:name="_Ref271018934"/>
      <w:bookmarkStart w:id="78" w:name="_Toc272414614"/>
      <w:bookmarkStart w:id="79" w:name="_Toc290846238"/>
      <w:bookmarkStart w:id="80" w:name="_Toc378790149"/>
      <w:r w:rsidRPr="00871242">
        <w:t>Studies</w:t>
      </w:r>
      <w:r w:rsidR="00871242">
        <w:t xml:space="preserve"> providing pharmacokinetic data</w:t>
      </w:r>
    </w:p>
    <w:bookmarkEnd w:id="75"/>
    <w:bookmarkEnd w:id="76"/>
    <w:bookmarkEnd w:id="77"/>
    <w:bookmarkEnd w:id="78"/>
    <w:bookmarkEnd w:id="79"/>
    <w:bookmarkEnd w:id="80"/>
    <w:p w:rsidR="00031D05" w:rsidRDefault="00EA6421" w:rsidP="00871242">
      <w:r>
        <w:t xml:space="preserve">Table 2 </w:t>
      </w:r>
      <w:r w:rsidR="00031D05">
        <w:t>shows the studies relating to each pharmacokinetic topic and the location of each study summary.</w:t>
      </w:r>
    </w:p>
    <w:p w:rsidR="002D3019" w:rsidRDefault="002D3019" w:rsidP="00871242">
      <w:pPr>
        <w:pStyle w:val="TableTitle"/>
      </w:pPr>
      <w:proofErr w:type="gramStart"/>
      <w:r>
        <w:lastRenderedPageBreak/>
        <w:t>Table 2.</w:t>
      </w:r>
      <w:proofErr w:type="gramEnd"/>
      <w:r>
        <w:t xml:space="preserve"> </w:t>
      </w:r>
      <w:proofErr w:type="gramStart"/>
      <w:r>
        <w:t xml:space="preserve">Submitted </w:t>
      </w:r>
      <w:r w:rsidRPr="00871242">
        <w:t>pharmacokinetic</w:t>
      </w:r>
      <w:r>
        <w:t xml:space="preserve"> studies.</w:t>
      </w:r>
      <w:proofErr w:type="gramEnd"/>
    </w:p>
    <w:tbl>
      <w:tblPr>
        <w:tblStyle w:val="TableTGAblue"/>
        <w:tblW w:w="0" w:type="auto"/>
        <w:tblLook w:val="04A0" w:firstRow="1" w:lastRow="0" w:firstColumn="1" w:lastColumn="0" w:noHBand="0" w:noVBand="1"/>
      </w:tblPr>
      <w:tblGrid>
        <w:gridCol w:w="1809"/>
        <w:gridCol w:w="2551"/>
        <w:gridCol w:w="2180"/>
        <w:gridCol w:w="2180"/>
      </w:tblGrid>
      <w:tr w:rsidR="002D3019" w:rsidTr="00871242">
        <w:trPr>
          <w:cnfStyle w:val="100000000000" w:firstRow="1" w:lastRow="0" w:firstColumn="0" w:lastColumn="0" w:oddVBand="0" w:evenVBand="0" w:oddHBand="0" w:evenHBand="0" w:firstRowFirstColumn="0" w:firstRowLastColumn="0" w:lastRowFirstColumn="0" w:lastRowLastColumn="0"/>
        </w:trPr>
        <w:tc>
          <w:tcPr>
            <w:tcW w:w="1809" w:type="dxa"/>
          </w:tcPr>
          <w:p w:rsidR="002D3019" w:rsidRPr="00EE5020" w:rsidRDefault="002D3019" w:rsidP="00A42490">
            <w:pPr>
              <w:pStyle w:val="Tabletext"/>
            </w:pPr>
            <w:r w:rsidRPr="00EE5020">
              <w:t>PK topic</w:t>
            </w:r>
          </w:p>
        </w:tc>
        <w:tc>
          <w:tcPr>
            <w:tcW w:w="2551" w:type="dxa"/>
          </w:tcPr>
          <w:p w:rsidR="002D3019" w:rsidRPr="00EE5020" w:rsidRDefault="002D3019" w:rsidP="00A42490">
            <w:pPr>
              <w:pStyle w:val="Tabletext"/>
            </w:pPr>
            <w:r w:rsidRPr="00EE5020">
              <w:t>Subtopic</w:t>
            </w:r>
          </w:p>
        </w:tc>
        <w:tc>
          <w:tcPr>
            <w:tcW w:w="2180" w:type="dxa"/>
          </w:tcPr>
          <w:p w:rsidR="002D3019" w:rsidRPr="00EE5020" w:rsidRDefault="002D3019" w:rsidP="00A42490">
            <w:pPr>
              <w:pStyle w:val="Tabletext"/>
            </w:pPr>
            <w:r w:rsidRPr="00EE5020">
              <w:t>Study ID</w:t>
            </w:r>
          </w:p>
        </w:tc>
        <w:tc>
          <w:tcPr>
            <w:tcW w:w="2180" w:type="dxa"/>
          </w:tcPr>
          <w:p w:rsidR="002D3019" w:rsidRPr="00EE5020" w:rsidRDefault="002D3019" w:rsidP="00A42490">
            <w:pPr>
              <w:pStyle w:val="Tabletext"/>
              <w:jc w:val="center"/>
            </w:pPr>
            <w:r w:rsidRPr="00EE5020">
              <w:t>*</w:t>
            </w:r>
          </w:p>
        </w:tc>
      </w:tr>
      <w:tr w:rsidR="002D3019" w:rsidTr="00871242">
        <w:tc>
          <w:tcPr>
            <w:tcW w:w="1809" w:type="dxa"/>
            <w:vMerge w:val="restart"/>
          </w:tcPr>
          <w:p w:rsidR="002D3019" w:rsidRPr="008625DD" w:rsidRDefault="002D3019" w:rsidP="00871242">
            <w:pPr>
              <w:pStyle w:val="Tabletext"/>
              <w:keepNext/>
              <w:rPr>
                <w:b/>
              </w:rPr>
            </w:pPr>
            <w:r w:rsidRPr="008625DD">
              <w:rPr>
                <w:b/>
              </w:rPr>
              <w:t>PK in healthy adults</w:t>
            </w:r>
          </w:p>
        </w:tc>
        <w:tc>
          <w:tcPr>
            <w:tcW w:w="2551" w:type="dxa"/>
          </w:tcPr>
          <w:p w:rsidR="002D3019" w:rsidRPr="000800CC" w:rsidRDefault="002D3019" w:rsidP="00A42490">
            <w:pPr>
              <w:pStyle w:val="Tabletext"/>
              <w:keepNext/>
            </w:pPr>
            <w:r>
              <w:t>General PK</w:t>
            </w:r>
            <w:r w:rsidRPr="000800CC">
              <w:t>- Single dose</w:t>
            </w:r>
          </w:p>
        </w:tc>
        <w:tc>
          <w:tcPr>
            <w:tcW w:w="2180" w:type="dxa"/>
          </w:tcPr>
          <w:p w:rsidR="002D3019" w:rsidRDefault="002D3019" w:rsidP="00A42490">
            <w:pPr>
              <w:pStyle w:val="Tabletext"/>
              <w:keepNext/>
            </w:pPr>
            <w:r>
              <w:t>ABEA</w:t>
            </w:r>
          </w:p>
          <w:p w:rsidR="002D3019" w:rsidRDefault="002D3019" w:rsidP="00A42490">
            <w:pPr>
              <w:pStyle w:val="Tabletext"/>
              <w:keepNext/>
            </w:pPr>
            <w:r>
              <w:t>ABEM</w:t>
            </w:r>
          </w:p>
          <w:p w:rsidR="002D3019" w:rsidRPr="000800CC" w:rsidRDefault="002D3019" w:rsidP="00A42490">
            <w:pPr>
              <w:pStyle w:val="Tabletext"/>
              <w:keepNext/>
            </w:pPr>
            <w:r>
              <w:t>ABEI</w:t>
            </w:r>
          </w:p>
        </w:tc>
        <w:tc>
          <w:tcPr>
            <w:tcW w:w="2180" w:type="dxa"/>
          </w:tcPr>
          <w:p w:rsidR="002D3019" w:rsidRDefault="002D3019" w:rsidP="00A42490">
            <w:pPr>
              <w:pStyle w:val="Tabletext"/>
              <w:keepNext/>
              <w:jc w:val="center"/>
            </w:pPr>
            <w:r>
              <w:t>PK &amp; PD</w:t>
            </w:r>
          </w:p>
          <w:p w:rsidR="002D3019" w:rsidRDefault="002D3019" w:rsidP="00A42490">
            <w:pPr>
              <w:pStyle w:val="Tabletext"/>
              <w:keepNext/>
              <w:jc w:val="center"/>
            </w:pPr>
            <w:r>
              <w:t>PK &amp; PD</w:t>
            </w:r>
          </w:p>
          <w:p w:rsidR="002D3019" w:rsidRPr="000800CC" w:rsidRDefault="002D3019" w:rsidP="00A80256">
            <w:pPr>
              <w:pStyle w:val="Tabletext"/>
              <w:keepNext/>
              <w:jc w:val="center"/>
            </w:pPr>
            <w:r>
              <w:t>PK &amp; PD</w:t>
            </w:r>
          </w:p>
        </w:tc>
      </w:tr>
      <w:tr w:rsidR="002D3019" w:rsidTr="00871242">
        <w:tc>
          <w:tcPr>
            <w:tcW w:w="1809" w:type="dxa"/>
            <w:vMerge/>
          </w:tcPr>
          <w:p w:rsidR="002D3019" w:rsidRPr="000800CC" w:rsidRDefault="002D3019" w:rsidP="00A42490">
            <w:pPr>
              <w:pStyle w:val="Tabletext"/>
              <w:keepNext/>
            </w:pPr>
          </w:p>
        </w:tc>
        <w:tc>
          <w:tcPr>
            <w:tcW w:w="2551" w:type="dxa"/>
          </w:tcPr>
          <w:p w:rsidR="002D3019" w:rsidRPr="000800CC" w:rsidRDefault="002D3019" w:rsidP="002D3019">
            <w:pPr>
              <w:pStyle w:val="Tabletext"/>
              <w:keepNext/>
            </w:pPr>
            <w:r w:rsidRPr="000800CC">
              <w:t>Multi-dose</w:t>
            </w:r>
          </w:p>
        </w:tc>
        <w:tc>
          <w:tcPr>
            <w:tcW w:w="2180" w:type="dxa"/>
          </w:tcPr>
          <w:p w:rsidR="002D3019" w:rsidRPr="000800CC" w:rsidRDefault="002D3019" w:rsidP="00A42490">
            <w:pPr>
              <w:pStyle w:val="Tabletext"/>
              <w:keepNext/>
            </w:pPr>
          </w:p>
        </w:tc>
        <w:tc>
          <w:tcPr>
            <w:tcW w:w="2180" w:type="dxa"/>
          </w:tcPr>
          <w:p w:rsidR="002D3019" w:rsidRPr="000800CC" w:rsidRDefault="002D3019" w:rsidP="00A42490">
            <w:pPr>
              <w:pStyle w:val="Tabletext"/>
              <w:keepNext/>
              <w:jc w:val="center"/>
            </w:pPr>
          </w:p>
        </w:tc>
      </w:tr>
      <w:tr w:rsidR="002D3019" w:rsidTr="00871242">
        <w:tc>
          <w:tcPr>
            <w:tcW w:w="1809" w:type="dxa"/>
            <w:vMerge/>
          </w:tcPr>
          <w:p w:rsidR="002D3019" w:rsidRPr="000800CC" w:rsidRDefault="002D3019" w:rsidP="00A42490">
            <w:pPr>
              <w:pStyle w:val="Tabletext"/>
              <w:keepNext/>
            </w:pPr>
          </w:p>
        </w:tc>
        <w:tc>
          <w:tcPr>
            <w:tcW w:w="2551" w:type="dxa"/>
          </w:tcPr>
          <w:p w:rsidR="002D3019" w:rsidRPr="000800CC" w:rsidRDefault="002D3019" w:rsidP="00A42490">
            <w:pPr>
              <w:pStyle w:val="Tabletext"/>
              <w:keepNext/>
            </w:pPr>
            <w:r w:rsidRPr="000800CC">
              <w:t>Bioequivalence† - Single dose</w:t>
            </w:r>
          </w:p>
        </w:tc>
        <w:tc>
          <w:tcPr>
            <w:tcW w:w="2180" w:type="dxa"/>
          </w:tcPr>
          <w:p w:rsidR="00871242" w:rsidRDefault="002D3019" w:rsidP="00871242">
            <w:pPr>
              <w:pStyle w:val="Tabletext"/>
              <w:keepNext/>
            </w:pPr>
            <w:r w:rsidRPr="009A2209">
              <w:t>ABEN</w:t>
            </w:r>
            <w:r w:rsidR="00871242">
              <w:br/>
            </w:r>
          </w:p>
          <w:p w:rsidR="002D3019" w:rsidRDefault="002D3019" w:rsidP="00871242">
            <w:pPr>
              <w:pStyle w:val="Tabletext"/>
              <w:keepNext/>
            </w:pPr>
            <w:r>
              <w:t>ABEA</w:t>
            </w:r>
          </w:p>
          <w:p w:rsidR="002D3019" w:rsidRDefault="002D3019" w:rsidP="00A42490">
            <w:pPr>
              <w:pStyle w:val="Tabletext"/>
              <w:keepNext/>
            </w:pPr>
            <w:r>
              <w:t>ABEM</w:t>
            </w:r>
          </w:p>
          <w:p w:rsidR="002D3019" w:rsidRPr="000800CC" w:rsidRDefault="002D3019" w:rsidP="00A42490">
            <w:pPr>
              <w:pStyle w:val="Tabletext"/>
              <w:keepNext/>
            </w:pPr>
            <w:r>
              <w:t>ABEI</w:t>
            </w:r>
          </w:p>
        </w:tc>
        <w:tc>
          <w:tcPr>
            <w:tcW w:w="2180" w:type="dxa"/>
          </w:tcPr>
          <w:p w:rsidR="002D3019" w:rsidRDefault="00871242" w:rsidP="00A42490">
            <w:pPr>
              <w:pStyle w:val="Tabletext"/>
              <w:keepNext/>
              <w:jc w:val="center"/>
            </w:pPr>
            <w:r>
              <w:t xml:space="preserve">PK &amp; PD of Lantus </w:t>
            </w:r>
            <w:r w:rsidR="002D3019">
              <w:t>US v. Lantus EU</w:t>
            </w:r>
          </w:p>
          <w:p w:rsidR="002D3019" w:rsidRDefault="002D3019" w:rsidP="00A42490">
            <w:pPr>
              <w:pStyle w:val="Tabletext"/>
              <w:keepNext/>
              <w:jc w:val="center"/>
            </w:pPr>
            <w:r>
              <w:t>PK comparisons</w:t>
            </w:r>
          </w:p>
          <w:p w:rsidR="002D3019" w:rsidRDefault="002D3019" w:rsidP="00A42490">
            <w:pPr>
              <w:pStyle w:val="Tabletext"/>
              <w:keepNext/>
              <w:jc w:val="center"/>
            </w:pPr>
            <w:r>
              <w:t>PK comparisons</w:t>
            </w:r>
          </w:p>
          <w:p w:rsidR="002D3019" w:rsidRPr="000800CC" w:rsidRDefault="002D3019" w:rsidP="00A42490">
            <w:pPr>
              <w:pStyle w:val="Tabletext"/>
              <w:keepNext/>
              <w:jc w:val="center"/>
            </w:pPr>
            <w:r>
              <w:t>PK comparisons</w:t>
            </w:r>
          </w:p>
        </w:tc>
      </w:tr>
      <w:tr w:rsidR="002D3019" w:rsidTr="00871242">
        <w:tc>
          <w:tcPr>
            <w:tcW w:w="1809" w:type="dxa"/>
            <w:vMerge/>
          </w:tcPr>
          <w:p w:rsidR="002D3019" w:rsidRPr="000800CC" w:rsidRDefault="002D3019" w:rsidP="00A42490">
            <w:pPr>
              <w:pStyle w:val="Tabletext"/>
              <w:keepNext/>
            </w:pPr>
          </w:p>
        </w:tc>
        <w:tc>
          <w:tcPr>
            <w:tcW w:w="2551" w:type="dxa"/>
          </w:tcPr>
          <w:p w:rsidR="002D3019" w:rsidRPr="000800CC" w:rsidRDefault="002D3019" w:rsidP="002D3019">
            <w:pPr>
              <w:pStyle w:val="Tabletext"/>
              <w:keepNext/>
            </w:pPr>
            <w:r w:rsidRPr="000800CC">
              <w:t>- Multi-dose</w:t>
            </w:r>
          </w:p>
        </w:tc>
        <w:tc>
          <w:tcPr>
            <w:tcW w:w="2180" w:type="dxa"/>
          </w:tcPr>
          <w:p w:rsidR="002D3019" w:rsidRPr="000800CC" w:rsidRDefault="002D3019" w:rsidP="00A42490">
            <w:pPr>
              <w:pStyle w:val="Tabletext"/>
              <w:keepNext/>
            </w:pPr>
            <w:r>
              <w:t>Not submitted.</w:t>
            </w:r>
          </w:p>
        </w:tc>
        <w:tc>
          <w:tcPr>
            <w:tcW w:w="2180" w:type="dxa"/>
          </w:tcPr>
          <w:p w:rsidR="002D3019" w:rsidRPr="000800CC" w:rsidRDefault="002D3019" w:rsidP="00A42490">
            <w:pPr>
              <w:pStyle w:val="Tabletext"/>
              <w:keepNext/>
              <w:jc w:val="center"/>
            </w:pPr>
          </w:p>
        </w:tc>
      </w:tr>
      <w:tr w:rsidR="002D3019" w:rsidTr="00871242">
        <w:tc>
          <w:tcPr>
            <w:tcW w:w="1809" w:type="dxa"/>
            <w:vMerge/>
          </w:tcPr>
          <w:p w:rsidR="002D3019" w:rsidRPr="000800CC" w:rsidRDefault="002D3019" w:rsidP="00A42490">
            <w:pPr>
              <w:pStyle w:val="Tabletext"/>
              <w:keepNext/>
            </w:pPr>
          </w:p>
        </w:tc>
        <w:tc>
          <w:tcPr>
            <w:tcW w:w="2551" w:type="dxa"/>
          </w:tcPr>
          <w:p w:rsidR="002D3019" w:rsidRPr="000800CC" w:rsidRDefault="002D3019" w:rsidP="00A42490">
            <w:pPr>
              <w:pStyle w:val="Tabletext"/>
              <w:keepNext/>
            </w:pPr>
            <w:r w:rsidRPr="000800CC">
              <w:t>Food effect</w:t>
            </w:r>
          </w:p>
        </w:tc>
        <w:tc>
          <w:tcPr>
            <w:tcW w:w="2180" w:type="dxa"/>
          </w:tcPr>
          <w:p w:rsidR="002D3019" w:rsidRPr="000800CC" w:rsidRDefault="002D3019" w:rsidP="00A42490">
            <w:pPr>
              <w:pStyle w:val="Tabletext"/>
              <w:keepNext/>
            </w:pPr>
            <w:r>
              <w:t>Not applicable.</w:t>
            </w:r>
          </w:p>
        </w:tc>
        <w:tc>
          <w:tcPr>
            <w:tcW w:w="2180" w:type="dxa"/>
          </w:tcPr>
          <w:p w:rsidR="002D3019" w:rsidRPr="000800CC" w:rsidRDefault="002D3019" w:rsidP="00A42490">
            <w:pPr>
              <w:pStyle w:val="Tabletext"/>
              <w:keepNext/>
              <w:jc w:val="center"/>
            </w:pPr>
          </w:p>
        </w:tc>
      </w:tr>
      <w:tr w:rsidR="002D3019" w:rsidTr="00871242">
        <w:tc>
          <w:tcPr>
            <w:tcW w:w="1809" w:type="dxa"/>
          </w:tcPr>
          <w:p w:rsidR="002D3019" w:rsidRPr="008625DD" w:rsidRDefault="002D3019" w:rsidP="00871242">
            <w:pPr>
              <w:pStyle w:val="Tabletext"/>
              <w:keepNext/>
              <w:rPr>
                <w:b/>
              </w:rPr>
            </w:pPr>
            <w:r w:rsidRPr="008625DD">
              <w:rPr>
                <w:b/>
              </w:rPr>
              <w:t>PK in special populations</w:t>
            </w:r>
          </w:p>
        </w:tc>
        <w:tc>
          <w:tcPr>
            <w:tcW w:w="2551" w:type="dxa"/>
          </w:tcPr>
          <w:p w:rsidR="002D3019" w:rsidRPr="000800CC" w:rsidRDefault="002D3019" w:rsidP="00A42490">
            <w:pPr>
              <w:pStyle w:val="Tabletext"/>
              <w:keepNext/>
            </w:pPr>
            <w:r w:rsidRPr="000800CC">
              <w:t>Target population - Single dose</w:t>
            </w:r>
          </w:p>
        </w:tc>
        <w:tc>
          <w:tcPr>
            <w:tcW w:w="2180" w:type="dxa"/>
          </w:tcPr>
          <w:p w:rsidR="002D3019" w:rsidRPr="000800CC" w:rsidRDefault="002D3019" w:rsidP="00A42490">
            <w:pPr>
              <w:pStyle w:val="Tabletext"/>
              <w:keepNext/>
            </w:pPr>
            <w:r>
              <w:t>ABEE</w:t>
            </w:r>
          </w:p>
        </w:tc>
        <w:tc>
          <w:tcPr>
            <w:tcW w:w="2180" w:type="dxa"/>
          </w:tcPr>
          <w:p w:rsidR="002D3019" w:rsidRPr="000800CC" w:rsidRDefault="002D3019" w:rsidP="00A42490">
            <w:pPr>
              <w:pStyle w:val="Tabletext"/>
              <w:keepNext/>
              <w:jc w:val="center"/>
            </w:pPr>
            <w:r>
              <w:t>PK &amp; PD</w:t>
            </w:r>
          </w:p>
        </w:tc>
      </w:tr>
    </w:tbl>
    <w:p w:rsidR="00031D05" w:rsidRDefault="00031D05" w:rsidP="00871242">
      <w:pPr>
        <w:pStyle w:val="TableDescription"/>
        <w:rPr>
          <w:szCs w:val="20"/>
        </w:rPr>
      </w:pPr>
      <w:r>
        <w:t>* Indicates the primary aim of the study.</w:t>
      </w:r>
      <w:r w:rsidR="002D3019">
        <w:t xml:space="preserve"> </w:t>
      </w:r>
      <w:r w:rsidRPr="00AF6927">
        <w:t>†</w:t>
      </w:r>
      <w:r>
        <w:t xml:space="preserve"> Bioequivalence of different formulations.</w:t>
      </w:r>
      <w:r w:rsidR="002D3019">
        <w:t xml:space="preserve"> </w:t>
      </w:r>
      <w:r w:rsidRPr="00BF3808">
        <w:t>§</w:t>
      </w:r>
      <w:r>
        <w:rPr>
          <w:szCs w:val="20"/>
        </w:rPr>
        <w:t xml:space="preserve"> Subjects with </w:t>
      </w:r>
      <w:r w:rsidR="00F51F59">
        <w:rPr>
          <w:szCs w:val="20"/>
        </w:rPr>
        <w:t>Type 1 Diabetes Mellitus (</w:t>
      </w:r>
      <w:r>
        <w:rPr>
          <w:szCs w:val="20"/>
        </w:rPr>
        <w:t>T1DM</w:t>
      </w:r>
      <w:r w:rsidR="00F51F59">
        <w:rPr>
          <w:szCs w:val="20"/>
        </w:rPr>
        <w:t>)</w:t>
      </w:r>
      <w:r>
        <w:rPr>
          <w:szCs w:val="20"/>
        </w:rPr>
        <w:t>.</w:t>
      </w:r>
    </w:p>
    <w:p w:rsidR="00031D05" w:rsidRPr="00007806" w:rsidRDefault="00031D05" w:rsidP="00871242">
      <w:r w:rsidRPr="00007806">
        <w:t xml:space="preserve">None of the pharmacokinetic studies in healthy volunteers had deficiencies that excluded their results from consideration. However, some studies are considered to be less relevant than others for the reasons briefly stated in Table </w:t>
      </w:r>
      <w:r w:rsidR="00EA6421">
        <w:t>3</w:t>
      </w:r>
      <w:r w:rsidR="00871242">
        <w:t>.</w:t>
      </w:r>
    </w:p>
    <w:p w:rsidR="00031D05" w:rsidRDefault="00EA6421" w:rsidP="00031D05">
      <w:r>
        <w:t>Table 3</w:t>
      </w:r>
      <w:r w:rsidR="00031D05" w:rsidRPr="00007806">
        <w:t xml:space="preserve"> lists pharmacokinetic results that are considered to be less rele</w:t>
      </w:r>
      <w:r w:rsidR="00871242">
        <w:t>vant due to study deficiencies.</w:t>
      </w:r>
    </w:p>
    <w:p w:rsidR="00031D05" w:rsidRDefault="00031D05" w:rsidP="00871242">
      <w:pPr>
        <w:pStyle w:val="TableTitle"/>
      </w:pPr>
      <w:bookmarkStart w:id="81" w:name="_Ref271031346"/>
      <w:bookmarkStart w:id="82" w:name="_Toc378791312"/>
      <w:proofErr w:type="gramStart"/>
      <w:r>
        <w:t xml:space="preserve">Table </w:t>
      </w:r>
      <w:r w:rsidR="00EA6421">
        <w:t>3</w:t>
      </w:r>
      <w:bookmarkEnd w:id="81"/>
      <w:r>
        <w:t>.</w:t>
      </w:r>
      <w:proofErr w:type="gramEnd"/>
      <w:r>
        <w:t xml:space="preserve"> Pharmacokinetic results excluded from </w:t>
      </w:r>
      <w:r w:rsidRPr="00871242">
        <w:t>consideration</w:t>
      </w:r>
      <w:r>
        <w:t>.</w:t>
      </w:r>
      <w:bookmarkEnd w:id="82"/>
    </w:p>
    <w:tbl>
      <w:tblPr>
        <w:tblStyle w:val="TableTGAblue"/>
        <w:tblW w:w="7905" w:type="dxa"/>
        <w:tblLayout w:type="fixed"/>
        <w:tblLook w:val="04A0" w:firstRow="1" w:lastRow="0" w:firstColumn="1" w:lastColumn="0" w:noHBand="0" w:noVBand="1"/>
      </w:tblPr>
      <w:tblGrid>
        <w:gridCol w:w="1384"/>
        <w:gridCol w:w="3260"/>
        <w:gridCol w:w="3261"/>
      </w:tblGrid>
      <w:tr w:rsidR="00EE5020" w:rsidTr="00871242">
        <w:trPr>
          <w:cnfStyle w:val="100000000000" w:firstRow="1" w:lastRow="0" w:firstColumn="0" w:lastColumn="0" w:oddVBand="0" w:evenVBand="0" w:oddHBand="0" w:evenHBand="0" w:firstRowFirstColumn="0" w:firstRowLastColumn="0" w:lastRowFirstColumn="0" w:lastRowLastColumn="0"/>
        </w:trPr>
        <w:tc>
          <w:tcPr>
            <w:tcW w:w="1384" w:type="dxa"/>
          </w:tcPr>
          <w:p w:rsidR="00EE5020" w:rsidRPr="00EE5020" w:rsidRDefault="00EE5020" w:rsidP="00031D05">
            <w:pPr>
              <w:rPr>
                <w:sz w:val="20"/>
                <w:szCs w:val="20"/>
              </w:rPr>
            </w:pPr>
            <w:r w:rsidRPr="00EE5020">
              <w:rPr>
                <w:sz w:val="20"/>
                <w:szCs w:val="20"/>
              </w:rPr>
              <w:t>Study ID</w:t>
            </w:r>
          </w:p>
        </w:tc>
        <w:tc>
          <w:tcPr>
            <w:tcW w:w="3260" w:type="dxa"/>
          </w:tcPr>
          <w:p w:rsidR="00EE5020" w:rsidRPr="00EE5020" w:rsidRDefault="00EE5020" w:rsidP="00031D05">
            <w:pPr>
              <w:rPr>
                <w:sz w:val="20"/>
                <w:szCs w:val="20"/>
              </w:rPr>
            </w:pPr>
            <w:r w:rsidRPr="00EE5020">
              <w:rPr>
                <w:sz w:val="20"/>
                <w:szCs w:val="20"/>
              </w:rPr>
              <w:t>Subtopic(s)</w:t>
            </w:r>
          </w:p>
        </w:tc>
        <w:tc>
          <w:tcPr>
            <w:tcW w:w="3261" w:type="dxa"/>
          </w:tcPr>
          <w:p w:rsidR="00EE5020" w:rsidRPr="00EE5020" w:rsidRDefault="00EE5020" w:rsidP="00031D05">
            <w:pPr>
              <w:rPr>
                <w:sz w:val="20"/>
                <w:szCs w:val="20"/>
              </w:rPr>
            </w:pPr>
            <w:r w:rsidRPr="00EE5020">
              <w:rPr>
                <w:sz w:val="20"/>
                <w:szCs w:val="20"/>
              </w:rPr>
              <w:t>PK results excluded</w:t>
            </w:r>
          </w:p>
        </w:tc>
      </w:tr>
      <w:tr w:rsidR="00EE5020" w:rsidTr="00871242">
        <w:tc>
          <w:tcPr>
            <w:tcW w:w="1384" w:type="dxa"/>
          </w:tcPr>
          <w:p w:rsidR="00EE5020" w:rsidRPr="000800CC" w:rsidRDefault="00EE5020" w:rsidP="00031D05">
            <w:pPr>
              <w:keepNext/>
              <w:rPr>
                <w:sz w:val="20"/>
                <w:szCs w:val="20"/>
              </w:rPr>
            </w:pPr>
            <w:r>
              <w:rPr>
                <w:sz w:val="20"/>
                <w:szCs w:val="20"/>
              </w:rPr>
              <w:t>ABEE</w:t>
            </w:r>
          </w:p>
        </w:tc>
        <w:tc>
          <w:tcPr>
            <w:tcW w:w="3260" w:type="dxa"/>
          </w:tcPr>
          <w:p w:rsidR="00EE5020" w:rsidRPr="000800CC" w:rsidRDefault="00EE5020" w:rsidP="00031D05">
            <w:pPr>
              <w:keepNext/>
              <w:rPr>
                <w:sz w:val="20"/>
                <w:szCs w:val="20"/>
              </w:rPr>
            </w:pPr>
            <w:r w:rsidRPr="001D2BA3">
              <w:rPr>
                <w:sz w:val="20"/>
                <w:szCs w:val="20"/>
              </w:rPr>
              <w:t xml:space="preserve">Pharmacodynamics of </w:t>
            </w:r>
            <w:proofErr w:type="spellStart"/>
            <w:r w:rsidR="00EC7E12">
              <w:rPr>
                <w:sz w:val="20"/>
                <w:szCs w:val="20"/>
              </w:rPr>
              <w:t>Abasria</w:t>
            </w:r>
            <w:proofErr w:type="spellEnd"/>
            <w:r w:rsidRPr="001D2BA3">
              <w:rPr>
                <w:sz w:val="20"/>
                <w:szCs w:val="20"/>
              </w:rPr>
              <w:t xml:space="preserve"> Compared to </w:t>
            </w:r>
            <w:r w:rsidR="00D54BAC">
              <w:rPr>
                <w:sz w:val="20"/>
                <w:szCs w:val="20"/>
              </w:rPr>
              <w:t>Lantus</w:t>
            </w:r>
            <w:r w:rsidRPr="001D2BA3">
              <w:rPr>
                <w:sz w:val="20"/>
                <w:szCs w:val="20"/>
                <w:vertAlign w:val="superscript"/>
              </w:rPr>
              <w:t>®</w:t>
            </w:r>
            <w:r w:rsidRPr="001D2BA3">
              <w:rPr>
                <w:sz w:val="20"/>
                <w:szCs w:val="20"/>
              </w:rPr>
              <w:t xml:space="preserve"> in Subjects with Type 1 Diabetes Mellitus</w:t>
            </w:r>
          </w:p>
        </w:tc>
        <w:tc>
          <w:tcPr>
            <w:tcW w:w="3261" w:type="dxa"/>
          </w:tcPr>
          <w:p w:rsidR="00EE5020" w:rsidRPr="000800CC" w:rsidRDefault="00EE5020" w:rsidP="00031D05">
            <w:pPr>
              <w:keepNext/>
              <w:rPr>
                <w:sz w:val="20"/>
                <w:szCs w:val="20"/>
              </w:rPr>
            </w:pPr>
            <w:r>
              <w:rPr>
                <w:sz w:val="20"/>
                <w:szCs w:val="20"/>
              </w:rPr>
              <w:t xml:space="preserve">All results – assay insensitivity led to incomplete characterisation of the PK attributes of </w:t>
            </w:r>
            <w:proofErr w:type="spellStart"/>
            <w:r w:rsidR="00EC7E12">
              <w:rPr>
                <w:sz w:val="20"/>
                <w:szCs w:val="20"/>
              </w:rPr>
              <w:t>Abasria</w:t>
            </w:r>
            <w:proofErr w:type="spellEnd"/>
            <w:r>
              <w:rPr>
                <w:sz w:val="20"/>
                <w:szCs w:val="20"/>
              </w:rPr>
              <w:t xml:space="preserve"> in this study.</w:t>
            </w:r>
          </w:p>
        </w:tc>
      </w:tr>
    </w:tbl>
    <w:p w:rsidR="00031D05" w:rsidRDefault="00031D05" w:rsidP="00871242">
      <w:r>
        <w:t>The design of ABEE is briefly described in the tabulation below</w:t>
      </w:r>
      <w:r w:rsidR="00EA6421">
        <w:t>.</w:t>
      </w:r>
      <w:r w:rsidR="001A1024">
        <w:t xml:space="preserve"> </w:t>
      </w:r>
      <w:r>
        <w:t xml:space="preserve">The study did generate useful </w:t>
      </w:r>
      <w:proofErr w:type="spellStart"/>
      <w:r w:rsidR="00A80256">
        <w:t>pharmacodynamic</w:t>
      </w:r>
      <w:proofErr w:type="spellEnd"/>
      <w:r w:rsidR="00A80256">
        <w:t xml:space="preserve"> data.</w:t>
      </w:r>
    </w:p>
    <w:p w:rsidR="00EA6421" w:rsidRDefault="00BE23D9" w:rsidP="004B7069">
      <w:pPr>
        <w:pStyle w:val="TableTitle"/>
      </w:pPr>
      <w:r>
        <w:lastRenderedPageBreak/>
        <w:t>Table 4:</w:t>
      </w:r>
      <w:r w:rsidR="00EA6421">
        <w:t xml:space="preserve"> Design of </w:t>
      </w:r>
      <w:r w:rsidR="004B7069">
        <w:t>s</w:t>
      </w:r>
      <w:r w:rsidR="00EA6421">
        <w:t xml:space="preserve">tudy </w:t>
      </w:r>
      <w:r w:rsidR="00EA6421" w:rsidRPr="004B7069">
        <w:t>ABEE</w:t>
      </w:r>
    </w:p>
    <w:p w:rsidR="002D3019" w:rsidRDefault="002D3019" w:rsidP="004B7069">
      <w:r>
        <w:rPr>
          <w:noProof/>
          <w:lang w:eastAsia="en-AU"/>
        </w:rPr>
        <w:drawing>
          <wp:inline distT="0" distB="0" distL="0" distR="0" wp14:anchorId="6107A46A" wp14:editId="7D3B71FC">
            <wp:extent cx="5364051" cy="2112135"/>
            <wp:effectExtent l="0" t="0" r="8255" b="2540"/>
            <wp:docPr id="8" name="Picture 8" descr="Table 4: Design of Study 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 b="4483"/>
                    <a:stretch/>
                  </pic:blipFill>
                  <pic:spPr bwMode="auto">
                    <a:xfrm>
                      <a:off x="0" y="0"/>
                      <a:ext cx="5369233" cy="2114175"/>
                    </a:xfrm>
                    <a:prstGeom prst="rect">
                      <a:avLst/>
                    </a:prstGeom>
                    <a:ln>
                      <a:noFill/>
                    </a:ln>
                    <a:extLst>
                      <a:ext uri="{53640926-AAD7-44D8-BBD7-CCE9431645EC}">
                        <a14:shadowObscured xmlns:a14="http://schemas.microsoft.com/office/drawing/2010/main"/>
                      </a:ext>
                    </a:extLst>
                  </pic:spPr>
                </pic:pic>
              </a:graphicData>
            </a:graphic>
          </wp:inline>
        </w:drawing>
      </w:r>
    </w:p>
    <w:p w:rsidR="00605AD4" w:rsidRDefault="00605AD4" w:rsidP="004B7069">
      <w:pPr>
        <w:pStyle w:val="Heading4"/>
      </w:pPr>
      <w:r>
        <w:t xml:space="preserve">Evaluator’s conclusions on </w:t>
      </w:r>
      <w:r w:rsidRPr="004B7069">
        <w:t>pharmacokinetics</w:t>
      </w:r>
    </w:p>
    <w:p w:rsidR="00031D05" w:rsidRDefault="00031D05" w:rsidP="004B7069">
      <w:r>
        <w:t>An important assumption that this evaluator makes is that the analytical method will be found to be satisfactory by the chemistry evaluator.</w:t>
      </w:r>
    </w:p>
    <w:p w:rsidR="00031D05" w:rsidRDefault="00031D05" w:rsidP="004B7069">
      <w:r>
        <w:t xml:space="preserve">The Phase </w:t>
      </w:r>
      <w:r w:rsidR="00EA6421">
        <w:t xml:space="preserve">I </w:t>
      </w:r>
      <w:r>
        <w:t xml:space="preserve">studies marginally address the requirements of the adopted EU guideline EMEA/CHMP/BMWP/32775/2005 </w:t>
      </w:r>
      <w:r w:rsidR="00BE23D9">
        <w:t>annex to guideline on similar biological medicinal products containing biotechnology-derive</w:t>
      </w:r>
      <w:r w:rsidR="004B7069">
        <w:t>d proteins as active substance:</w:t>
      </w:r>
    </w:p>
    <w:p w:rsidR="00031D05" w:rsidRDefault="00BE23D9" w:rsidP="004B7069">
      <w:r>
        <w:t>Non-</w:t>
      </w:r>
      <w:r w:rsidR="004B7069">
        <w:t>c</w:t>
      </w:r>
      <w:r>
        <w:t xml:space="preserve">linical and </w:t>
      </w:r>
      <w:r w:rsidR="004B7069">
        <w:t>c</w:t>
      </w:r>
      <w:r>
        <w:t xml:space="preserve">linical </w:t>
      </w:r>
      <w:r w:rsidR="004B7069">
        <w:t>i</w:t>
      </w:r>
      <w:r>
        <w:t xml:space="preserve">ssues - Guidance </w:t>
      </w:r>
      <w:r w:rsidR="004B7069">
        <w:t>o</w:t>
      </w:r>
      <w:r>
        <w:t xml:space="preserve">n </w:t>
      </w:r>
      <w:r w:rsidR="004B7069">
        <w:t>similar medicinal products containing recombinant human soluble insulin</w:t>
      </w:r>
      <w:r w:rsidR="00031D05">
        <w:t>,</w:t>
      </w:r>
    </w:p>
    <w:p w:rsidR="00031D05" w:rsidRPr="004B7069" w:rsidRDefault="00722754" w:rsidP="004B7069">
      <w:pPr>
        <w:ind w:left="720"/>
        <w:rPr>
          <w:i/>
        </w:rPr>
      </w:pPr>
      <w:r w:rsidRPr="004B7069">
        <w:rPr>
          <w:i/>
        </w:rPr>
        <w:t>‘</w:t>
      </w:r>
      <w:r w:rsidR="00031D05" w:rsidRPr="004B7069">
        <w:rPr>
          <w:i/>
        </w:rPr>
        <w:t>The relative pharmacokinetic properties of the similar biological medicinal product and the reference medicinal</w:t>
      </w:r>
      <w:r w:rsidR="001A1024" w:rsidRPr="004B7069">
        <w:rPr>
          <w:i/>
        </w:rPr>
        <w:t xml:space="preserve"> </w:t>
      </w:r>
      <w:r w:rsidR="00031D05" w:rsidRPr="004B7069">
        <w:rPr>
          <w:i/>
        </w:rPr>
        <w:t>product</w:t>
      </w:r>
      <w:r w:rsidR="001A1024" w:rsidRPr="004B7069">
        <w:rPr>
          <w:i/>
        </w:rPr>
        <w:t xml:space="preserve"> </w:t>
      </w:r>
      <w:r w:rsidR="00031D05" w:rsidRPr="004B7069">
        <w:rPr>
          <w:i/>
        </w:rPr>
        <w:t>should</w:t>
      </w:r>
      <w:r w:rsidR="001A1024" w:rsidRPr="004B7069">
        <w:rPr>
          <w:i/>
        </w:rPr>
        <w:t xml:space="preserve"> </w:t>
      </w:r>
      <w:r w:rsidR="00031D05" w:rsidRPr="004B7069">
        <w:rPr>
          <w:i/>
        </w:rPr>
        <w:t>be</w:t>
      </w:r>
      <w:r w:rsidR="001A1024" w:rsidRPr="004B7069">
        <w:rPr>
          <w:i/>
        </w:rPr>
        <w:t xml:space="preserve"> </w:t>
      </w:r>
      <w:r w:rsidR="00031D05" w:rsidRPr="004B7069">
        <w:rPr>
          <w:i/>
        </w:rPr>
        <w:t>determined</w:t>
      </w:r>
      <w:r w:rsidR="001A1024" w:rsidRPr="004B7069">
        <w:rPr>
          <w:i/>
        </w:rPr>
        <w:t xml:space="preserve"> </w:t>
      </w:r>
      <w:r w:rsidR="00031D05" w:rsidRPr="004B7069">
        <w:rPr>
          <w:i/>
        </w:rPr>
        <w:t>in</w:t>
      </w:r>
      <w:r w:rsidR="001A1024" w:rsidRPr="004B7069">
        <w:rPr>
          <w:i/>
        </w:rPr>
        <w:t xml:space="preserve"> </w:t>
      </w:r>
      <w:r w:rsidR="00031D05" w:rsidRPr="004B7069">
        <w:rPr>
          <w:i/>
        </w:rPr>
        <w:t>a</w:t>
      </w:r>
      <w:r w:rsidR="001A1024" w:rsidRPr="004B7069">
        <w:rPr>
          <w:i/>
        </w:rPr>
        <w:t xml:space="preserve"> </w:t>
      </w:r>
      <w:r w:rsidR="00031D05" w:rsidRPr="004B7069">
        <w:rPr>
          <w:i/>
        </w:rPr>
        <w:t>single</w:t>
      </w:r>
      <w:r w:rsidR="001A1024" w:rsidRPr="004B7069">
        <w:rPr>
          <w:i/>
        </w:rPr>
        <w:t xml:space="preserve"> </w:t>
      </w:r>
      <w:r w:rsidR="00031D05" w:rsidRPr="004B7069">
        <w:rPr>
          <w:i/>
        </w:rPr>
        <w:t>dose</w:t>
      </w:r>
      <w:r w:rsidR="001A1024" w:rsidRPr="004B7069">
        <w:rPr>
          <w:i/>
        </w:rPr>
        <w:t xml:space="preserve"> </w:t>
      </w:r>
      <w:r w:rsidR="00031D05" w:rsidRPr="004B7069">
        <w:rPr>
          <w:i/>
        </w:rPr>
        <w:t>crossover</w:t>
      </w:r>
      <w:r w:rsidR="001A1024" w:rsidRPr="004B7069">
        <w:rPr>
          <w:i/>
        </w:rPr>
        <w:t xml:space="preserve"> </w:t>
      </w:r>
      <w:r w:rsidR="00031D05" w:rsidRPr="004B7069">
        <w:rPr>
          <w:i/>
        </w:rPr>
        <w:t>study</w:t>
      </w:r>
      <w:r w:rsidR="001A1024" w:rsidRPr="004B7069">
        <w:rPr>
          <w:i/>
        </w:rPr>
        <w:t xml:space="preserve"> </w:t>
      </w:r>
      <w:r w:rsidR="00031D05" w:rsidRPr="004B7069">
        <w:rPr>
          <w:i/>
        </w:rPr>
        <w:t>using</w:t>
      </w:r>
      <w:r w:rsidR="001A1024" w:rsidRPr="004B7069">
        <w:rPr>
          <w:i/>
        </w:rPr>
        <w:t xml:space="preserve"> </w:t>
      </w:r>
      <w:r w:rsidR="00031D05" w:rsidRPr="004B7069">
        <w:rPr>
          <w:i/>
        </w:rPr>
        <w:t>subcutaneous administration.</w:t>
      </w:r>
      <w:r w:rsidR="001A1024" w:rsidRPr="004B7069">
        <w:rPr>
          <w:i/>
        </w:rPr>
        <w:t xml:space="preserve"> </w:t>
      </w:r>
      <w:r w:rsidR="00031D05" w:rsidRPr="004B7069">
        <w:rPr>
          <w:i/>
        </w:rPr>
        <w:t xml:space="preserve"> Comprehensive comparative data should be provided on the time-concentration profile (AUC as the primary endpoint and </w:t>
      </w:r>
      <w:proofErr w:type="spellStart"/>
      <w:r w:rsidR="00031D05" w:rsidRPr="004B7069">
        <w:rPr>
          <w:i/>
        </w:rPr>
        <w:t>Cmax</w:t>
      </w:r>
      <w:proofErr w:type="spellEnd"/>
      <w:r w:rsidR="00031D05" w:rsidRPr="004B7069">
        <w:rPr>
          <w:i/>
        </w:rPr>
        <w:t xml:space="preserve">, </w:t>
      </w:r>
      <w:proofErr w:type="spellStart"/>
      <w:r w:rsidR="00031D05" w:rsidRPr="004B7069">
        <w:rPr>
          <w:i/>
        </w:rPr>
        <w:t>Tmax</w:t>
      </w:r>
      <w:proofErr w:type="spellEnd"/>
      <w:r w:rsidR="00031D05" w:rsidRPr="004B7069">
        <w:rPr>
          <w:i/>
        </w:rPr>
        <w:t>, and T1/2 as secondary endpoints).</w:t>
      </w:r>
      <w:r w:rsidR="001A1024" w:rsidRPr="004B7069">
        <w:rPr>
          <w:i/>
        </w:rPr>
        <w:t xml:space="preserve"> </w:t>
      </w:r>
      <w:r w:rsidR="00031D05" w:rsidRPr="004B7069">
        <w:rPr>
          <w:i/>
        </w:rPr>
        <w:t>Studies should be performed preferably in patients with type1 diabetes.</w:t>
      </w:r>
      <w:r w:rsidR="001A1024" w:rsidRPr="004B7069">
        <w:rPr>
          <w:i/>
        </w:rPr>
        <w:t xml:space="preserve"> </w:t>
      </w:r>
      <w:r w:rsidR="00031D05" w:rsidRPr="004B7069">
        <w:rPr>
          <w:i/>
        </w:rPr>
        <w:t>Factors contributing to PK variability e.g. insulin dose and site of injection / thickness of subcutaneous fat should be taken into account.</w:t>
      </w:r>
      <w:r w:rsidRPr="004B7069">
        <w:rPr>
          <w:i/>
        </w:rPr>
        <w:t>’</w:t>
      </w:r>
    </w:p>
    <w:p w:rsidR="00031D05" w:rsidRDefault="00031D05" w:rsidP="004B7069">
      <w:r>
        <w:t xml:space="preserve">The </w:t>
      </w:r>
      <w:r w:rsidR="00BE23D9">
        <w:t>Phase I</w:t>
      </w:r>
      <w:r>
        <w:t xml:space="preserve"> studies used consistent methods and appear to have been conducted diligently.</w:t>
      </w:r>
      <w:r w:rsidR="001A1024">
        <w:t xml:space="preserve"> </w:t>
      </w:r>
      <w:r>
        <w:t xml:space="preserve">The one study in subjects with </w:t>
      </w:r>
      <w:r w:rsidR="00BE23D9">
        <w:t>Type 1 Diabetes Mellitus (</w:t>
      </w:r>
      <w:r>
        <w:t>T1DM</w:t>
      </w:r>
      <w:r w:rsidR="00BE23D9">
        <w:t>)</w:t>
      </w:r>
      <w:r>
        <w:t xml:space="preserve"> (Study ABEE) yielded uninterpretable PK results.</w:t>
      </w:r>
      <w:r w:rsidR="001A1024">
        <w:t xml:space="preserve"> </w:t>
      </w:r>
      <w:r>
        <w:t xml:space="preserve">Hence the useful data came from studies in healthy volunteers – the analytical method required C-peptide correction; the assay method was not specific to insulin </w:t>
      </w:r>
      <w:proofErr w:type="spellStart"/>
      <w:r>
        <w:t>glargine</w:t>
      </w:r>
      <w:proofErr w:type="spellEnd"/>
      <w:r>
        <w:t xml:space="preserve"> and its principal metabolite.</w:t>
      </w:r>
    </w:p>
    <w:p w:rsidR="00031D05" w:rsidRDefault="00031D05" w:rsidP="004B7069">
      <w:r>
        <w:t xml:space="preserve">C-peptide correction is essential in studies involving healthy volunteers and it is accord with the need to have some form of baseline correction as articulated in the adopted guideline CPMP/EWP/QWP/1401/98 Rev. 1/ </w:t>
      </w:r>
      <w:proofErr w:type="spellStart"/>
      <w:r>
        <w:t>Corr</w:t>
      </w:r>
      <w:proofErr w:type="spellEnd"/>
      <w:r>
        <w:t xml:space="preserve"> ** </w:t>
      </w:r>
      <w:r w:rsidR="00BE23D9">
        <w:t>Guideline On The Investigation Of Bioequivalence</w:t>
      </w:r>
    </w:p>
    <w:p w:rsidR="00031D05" w:rsidRDefault="00031D05" w:rsidP="004B7069">
      <w:pPr>
        <w:ind w:left="284"/>
      </w:pPr>
      <w:r w:rsidRPr="004B7069">
        <w:rPr>
          <w:i/>
        </w:rPr>
        <w:t>Sampling</w:t>
      </w:r>
      <w:r>
        <w:t xml:space="preserve"> </w:t>
      </w:r>
      <w:r w:rsidRPr="004B7069">
        <w:rPr>
          <w:i/>
        </w:rPr>
        <w:t>times</w:t>
      </w:r>
    </w:p>
    <w:p w:rsidR="00031D05" w:rsidRPr="004B7069" w:rsidRDefault="00722754" w:rsidP="004B7069">
      <w:pPr>
        <w:ind w:left="284"/>
        <w:rPr>
          <w:i/>
        </w:rPr>
      </w:pPr>
      <w:r w:rsidRPr="004B7069">
        <w:rPr>
          <w:i/>
        </w:rPr>
        <w:t>‘</w:t>
      </w:r>
      <w:r w:rsidR="00031D05" w:rsidRPr="004B7069">
        <w:rPr>
          <w:i/>
        </w:rPr>
        <w:t xml:space="preserve">A sufficient number of samples to adequately describe the plasma concentration-time profile should be collected. The sampling schedule should include frequent sampling around predicted </w:t>
      </w:r>
      <w:proofErr w:type="spellStart"/>
      <w:r w:rsidR="00031D05" w:rsidRPr="004B7069">
        <w:rPr>
          <w:i/>
        </w:rPr>
        <w:t>tmax</w:t>
      </w:r>
      <w:proofErr w:type="spellEnd"/>
      <w:r w:rsidR="00031D05" w:rsidRPr="004B7069">
        <w:rPr>
          <w:i/>
        </w:rPr>
        <w:t xml:space="preserve"> to provide a reliable estimate of peak exposure. In particular, the sampling schedule should be planned to avoid </w:t>
      </w:r>
      <w:proofErr w:type="spellStart"/>
      <w:r w:rsidR="00031D05" w:rsidRPr="004B7069">
        <w:rPr>
          <w:i/>
        </w:rPr>
        <w:t>Cmax</w:t>
      </w:r>
      <w:proofErr w:type="spellEnd"/>
      <w:r w:rsidR="00031D05" w:rsidRPr="004B7069">
        <w:rPr>
          <w:i/>
        </w:rPr>
        <w:t xml:space="preserve"> being the first point of a concentration time curve. The sampling schedule should also cover the plasma concentration time curve long enough to provide a reliable estimate of the extent of exposure which is achieved if AUC(0-t) covers at least 80% of AUC(0-∞). At least three to four samples are needed during the terminal log-linear phase in order to reliably estimate the terminal rate constant (which is needed for a reliable estimate of AUC(0-∞))…</w:t>
      </w:r>
      <w:r w:rsidRPr="004B7069">
        <w:rPr>
          <w:i/>
        </w:rPr>
        <w:t>’</w:t>
      </w:r>
    </w:p>
    <w:p w:rsidR="00031D05" w:rsidRPr="004B7069" w:rsidRDefault="00722754" w:rsidP="004B7069">
      <w:pPr>
        <w:ind w:left="284"/>
        <w:rPr>
          <w:i/>
        </w:rPr>
      </w:pPr>
      <w:r w:rsidRPr="004B7069">
        <w:rPr>
          <w:i/>
        </w:rPr>
        <w:lastRenderedPageBreak/>
        <w:t>‘</w:t>
      </w:r>
      <w:r w:rsidR="00031D05" w:rsidRPr="004B7069">
        <w:rPr>
          <w:i/>
        </w:rPr>
        <w:t>For endogenous substances, the sampling schedule should allow characterisation of the endogenous baseline profile for each subject in each period. Often, a baseline is determined from 2-3 samples taken before the drug products are administered…</w:t>
      </w:r>
      <w:r w:rsidRPr="004B7069">
        <w:rPr>
          <w:i/>
        </w:rPr>
        <w:t>’</w:t>
      </w:r>
    </w:p>
    <w:p w:rsidR="00031D05" w:rsidRDefault="00031D05" w:rsidP="004B7069">
      <w:r>
        <w:t xml:space="preserve">It is noted that the studies did not always achieve enough duration of sampling to achieve 80% of </w:t>
      </w:r>
      <w:r w:rsidR="00BE23D9">
        <w:t>AUC from time 0 to infinity (</w:t>
      </w:r>
      <w:proofErr w:type="gramStart"/>
      <w:r>
        <w:t>AUC</w:t>
      </w:r>
      <w:r w:rsidRPr="00BE23D9">
        <w:rPr>
          <w:vertAlign w:val="subscript"/>
        </w:rPr>
        <w:t>(</w:t>
      </w:r>
      <w:proofErr w:type="gramEnd"/>
      <w:r w:rsidRPr="00BE23D9">
        <w:rPr>
          <w:vertAlign w:val="subscript"/>
        </w:rPr>
        <w:t>0-∞)</w:t>
      </w:r>
      <w:r w:rsidR="00BE23D9">
        <w:t>).</w:t>
      </w:r>
      <w:r w:rsidR="001A1024">
        <w:t xml:space="preserve"> </w:t>
      </w:r>
      <w:r>
        <w:t xml:space="preserve">The extrapolation of AUC exceeded 20% in </w:t>
      </w:r>
      <w:r w:rsidRPr="00172C45">
        <w:t xml:space="preserve">ABEA, ABEI, ABEM </w:t>
      </w:r>
      <w:r w:rsidR="00BE23D9" w:rsidRPr="00172C45">
        <w:t>and</w:t>
      </w:r>
      <w:r w:rsidRPr="00172C45">
        <w:t xml:space="preserve"> ABEN.</w:t>
      </w:r>
    </w:p>
    <w:p w:rsidR="00031D05" w:rsidRPr="004B7069" w:rsidRDefault="00722754" w:rsidP="004B7069">
      <w:pPr>
        <w:ind w:left="720"/>
        <w:rPr>
          <w:i/>
        </w:rPr>
      </w:pPr>
      <w:r w:rsidRPr="004B7069">
        <w:rPr>
          <w:i/>
        </w:rPr>
        <w:t>‘</w:t>
      </w:r>
      <w:r w:rsidR="00031D05" w:rsidRPr="004B7069">
        <w:rPr>
          <w:i/>
        </w:rPr>
        <w:t>Endogenous substances</w:t>
      </w:r>
    </w:p>
    <w:p w:rsidR="00031D05" w:rsidRPr="004B7069" w:rsidRDefault="00031D05" w:rsidP="004B7069">
      <w:pPr>
        <w:ind w:left="720"/>
        <w:rPr>
          <w:i/>
        </w:rPr>
      </w:pPr>
      <w:r w:rsidRPr="004B7069">
        <w:rPr>
          <w:i/>
        </w:rPr>
        <w:t>If the substance being studied is endogenous, the calculation of pharmacokinetic parameters should be performed using baseline correction so that the calculated pharmacokinetic parameters refer to the additional concentrations provided by the treatment.</w:t>
      </w:r>
      <w:r w:rsidR="001A1024" w:rsidRPr="004B7069">
        <w:rPr>
          <w:i/>
        </w:rPr>
        <w:t xml:space="preserve"> </w:t>
      </w:r>
      <w:r w:rsidRPr="004B7069">
        <w:rPr>
          <w:i/>
        </w:rPr>
        <w:t>Administration of supra-therapeutic doses can be considered in bioequivalence studies of endogenous drugs, provided that the dose is well tolerated, so that the additional concentrations over baseline provided by the treatment may be reliably determined.</w:t>
      </w:r>
    </w:p>
    <w:p w:rsidR="00031D05" w:rsidRPr="004B7069" w:rsidRDefault="00031D05" w:rsidP="004B7069">
      <w:pPr>
        <w:ind w:left="720"/>
        <w:rPr>
          <w:i/>
        </w:rPr>
      </w:pPr>
      <w:r w:rsidRPr="004B7069">
        <w:rPr>
          <w:i/>
        </w:rPr>
        <w:t>If a separation in exposure following administration of different doses of a particular endogenous substance has not been previously established this should be demonstrated, either in a pilot study or as part of the pivotal bioequivalence study using different doses of the reference formulation, in order to ensure that the dose used for the bioequivalence comparison is sensitive to detect potential differences between formulations.</w:t>
      </w:r>
    </w:p>
    <w:p w:rsidR="00031D05" w:rsidRPr="004B7069" w:rsidRDefault="00031D05" w:rsidP="004B7069">
      <w:pPr>
        <w:ind w:left="720"/>
        <w:rPr>
          <w:i/>
        </w:rPr>
      </w:pPr>
      <w:r w:rsidRPr="004B7069">
        <w:rPr>
          <w:i/>
        </w:rPr>
        <w:t>The exact method for baseline correction should be pre-specified and justified in the study protocol.</w:t>
      </w:r>
      <w:r w:rsidR="001A1024" w:rsidRPr="004B7069">
        <w:rPr>
          <w:i/>
        </w:rPr>
        <w:t xml:space="preserve"> </w:t>
      </w:r>
      <w:r w:rsidRPr="004B7069">
        <w:rPr>
          <w:i/>
        </w:rPr>
        <w:t xml:space="preserve">In general, the standard subtractive baseline correction method, meaning either subtraction of the mean of individual endogenous pre-dose concentrations or subtraction of the individual endogenous </w:t>
      </w:r>
      <w:proofErr w:type="spellStart"/>
      <w:r w:rsidRPr="004B7069">
        <w:rPr>
          <w:i/>
        </w:rPr>
        <w:t>predose</w:t>
      </w:r>
      <w:proofErr w:type="spellEnd"/>
      <w:r w:rsidRPr="004B7069">
        <w:rPr>
          <w:i/>
        </w:rPr>
        <w:t xml:space="preserve"> AUC, is preferred. In rare cases where substantial increases over baseline endogenous levels are seen, baseline correction may not be needed.</w:t>
      </w:r>
    </w:p>
    <w:p w:rsidR="00031D05" w:rsidRPr="004B7069" w:rsidRDefault="00031D05" w:rsidP="004B7069">
      <w:pPr>
        <w:ind w:left="720"/>
        <w:rPr>
          <w:i/>
        </w:rPr>
      </w:pPr>
      <w:r w:rsidRPr="004B7069">
        <w:rPr>
          <w:i/>
        </w:rPr>
        <w:t>In bioequivalence studies with endogenous substances, it cannot be directly assessed whether carryover has occurred, so extra care should be taken to ensure that the washout period is of an adequate duration.</w:t>
      </w:r>
      <w:r w:rsidR="00722754" w:rsidRPr="004B7069">
        <w:rPr>
          <w:i/>
        </w:rPr>
        <w:t>’</w:t>
      </w:r>
    </w:p>
    <w:p w:rsidR="00031D05" w:rsidRDefault="00031D05" w:rsidP="00031D05">
      <w:r>
        <w:t>The use of C-peptide correction is in principle reasonable owing to the lack of a specific assay.</w:t>
      </w:r>
    </w:p>
    <w:p w:rsidR="008E7846" w:rsidRDefault="008E7846" w:rsidP="004B7069">
      <w:pPr>
        <w:pStyle w:val="Heading3"/>
      </w:pPr>
      <w:bookmarkStart w:id="83" w:name="_Toc196046481"/>
      <w:bookmarkStart w:id="84" w:name="_Toc247691520"/>
      <w:bookmarkStart w:id="85" w:name="_Toc314842503"/>
      <w:bookmarkStart w:id="86" w:name="_Toc428796485"/>
      <w:r w:rsidRPr="004B7069">
        <w:t>Pharmacodynamics</w:t>
      </w:r>
      <w:bookmarkEnd w:id="61"/>
      <w:bookmarkEnd w:id="83"/>
      <w:bookmarkEnd w:id="84"/>
      <w:bookmarkEnd w:id="85"/>
      <w:bookmarkEnd w:id="86"/>
    </w:p>
    <w:p w:rsidR="00605AD4" w:rsidRDefault="00605AD4" w:rsidP="00605AD4">
      <w:pPr>
        <w:pStyle w:val="Heading4"/>
      </w:pPr>
      <w:r>
        <w:t xml:space="preserve">Studies providing </w:t>
      </w:r>
      <w:proofErr w:type="spellStart"/>
      <w:r>
        <w:t>pharmacodynamic</w:t>
      </w:r>
      <w:proofErr w:type="spellEnd"/>
      <w:r>
        <w:t xml:space="preserve"> data</w:t>
      </w:r>
    </w:p>
    <w:p w:rsidR="00031D05" w:rsidRDefault="00EA6421" w:rsidP="004B7069">
      <w:r>
        <w:t xml:space="preserve">Table </w:t>
      </w:r>
      <w:r w:rsidR="00BE23D9">
        <w:t>5</w:t>
      </w:r>
      <w:r>
        <w:t xml:space="preserve"> </w:t>
      </w:r>
      <w:r w:rsidR="00031D05">
        <w:t xml:space="preserve">shows the studies relating to each </w:t>
      </w:r>
      <w:proofErr w:type="spellStart"/>
      <w:r w:rsidR="00031D05">
        <w:t>pharmacodynamic</w:t>
      </w:r>
      <w:proofErr w:type="spellEnd"/>
      <w:r w:rsidR="00031D05">
        <w:t xml:space="preserve"> topic.</w:t>
      </w:r>
    </w:p>
    <w:p w:rsidR="00031D05" w:rsidRDefault="00031D05" w:rsidP="004B7069">
      <w:r w:rsidRPr="00172C45">
        <w:t xml:space="preserve">The studies are the same Phase </w:t>
      </w:r>
      <w:r w:rsidR="00EA6421" w:rsidRPr="00172C45">
        <w:t>I</w:t>
      </w:r>
      <w:r w:rsidRPr="00172C45">
        <w:t xml:space="preserve"> studies that have been considered in regard to pharmaco</w:t>
      </w:r>
      <w:r w:rsidR="00172C45" w:rsidRPr="00172C45">
        <w:t>kinetics</w:t>
      </w:r>
      <w:r w:rsidRPr="00172C45">
        <w:t>.</w:t>
      </w:r>
      <w:r w:rsidR="001A1024">
        <w:t xml:space="preserve"> </w:t>
      </w:r>
      <w:r w:rsidRPr="00172C45">
        <w:t xml:space="preserve">The used the same </w:t>
      </w:r>
      <w:proofErr w:type="spellStart"/>
      <w:r w:rsidRPr="00172C45">
        <w:t>euglycaemic</w:t>
      </w:r>
      <w:proofErr w:type="spellEnd"/>
      <w:r w:rsidRPr="00172C45">
        <w:t xml:space="preserve"> clamp method with the same sampling times and data management, excepting that those studies in healthy volunteers ran for only 24 hours. The results across studies </w:t>
      </w:r>
      <w:r w:rsidR="00172C45" w:rsidRPr="00172C45">
        <w:t>were</w:t>
      </w:r>
      <w:r w:rsidRPr="00172C45">
        <w:t xml:space="preserve"> </w:t>
      </w:r>
      <w:r w:rsidR="00172C45" w:rsidRPr="00172C45">
        <w:t xml:space="preserve">as expected </w:t>
      </w:r>
      <w:r w:rsidRPr="00172C45">
        <w:t>consistent and comparable.</w:t>
      </w:r>
    </w:p>
    <w:p w:rsidR="00031D05" w:rsidRDefault="00031D05" w:rsidP="004B7069">
      <w:pPr>
        <w:pStyle w:val="TableTitle"/>
      </w:pPr>
      <w:bookmarkStart w:id="87" w:name="_Ref269985397"/>
      <w:bookmarkStart w:id="88" w:name="_Toc378791313"/>
      <w:proofErr w:type="gramStart"/>
      <w:r>
        <w:lastRenderedPageBreak/>
        <w:t>Table</w:t>
      </w:r>
      <w:bookmarkEnd w:id="87"/>
      <w:r w:rsidR="00BE23D9">
        <w:t xml:space="preserve"> 5:</w:t>
      </w:r>
      <w:r>
        <w:t xml:space="preserve"> Submitted </w:t>
      </w:r>
      <w:proofErr w:type="spellStart"/>
      <w:r w:rsidRPr="004B7069">
        <w:t>pharmacodynamic</w:t>
      </w:r>
      <w:proofErr w:type="spellEnd"/>
      <w:r>
        <w:t xml:space="preserve"> studies.</w:t>
      </w:r>
      <w:bookmarkEnd w:id="88"/>
      <w:proofErr w:type="gramEnd"/>
    </w:p>
    <w:tbl>
      <w:tblPr>
        <w:tblStyle w:val="TableTGAblue"/>
        <w:tblW w:w="7621" w:type="dxa"/>
        <w:tblLayout w:type="fixed"/>
        <w:tblCellMar>
          <w:left w:w="0" w:type="dxa"/>
          <w:right w:w="0" w:type="dxa"/>
        </w:tblCellMar>
        <w:tblLook w:val="04A0" w:firstRow="1" w:lastRow="0" w:firstColumn="1" w:lastColumn="0" w:noHBand="0" w:noVBand="1"/>
      </w:tblPr>
      <w:tblGrid>
        <w:gridCol w:w="1951"/>
        <w:gridCol w:w="2552"/>
        <w:gridCol w:w="1134"/>
        <w:gridCol w:w="1984"/>
      </w:tblGrid>
      <w:tr w:rsidR="00EE5020" w:rsidRPr="004B7069" w:rsidTr="004B7069">
        <w:trPr>
          <w:cnfStyle w:val="100000000000" w:firstRow="1" w:lastRow="0" w:firstColumn="0" w:lastColumn="0" w:oddVBand="0" w:evenVBand="0" w:oddHBand="0" w:evenHBand="0" w:firstRowFirstColumn="0" w:firstRowLastColumn="0" w:lastRowFirstColumn="0" w:lastRowLastColumn="0"/>
          <w:cantSplit/>
        </w:trPr>
        <w:tc>
          <w:tcPr>
            <w:tcW w:w="1951" w:type="dxa"/>
          </w:tcPr>
          <w:p w:rsidR="00EE5020" w:rsidRPr="004B7069" w:rsidRDefault="00EE5020" w:rsidP="004B7069">
            <w:pPr>
              <w:rPr>
                <w:sz w:val="20"/>
              </w:rPr>
            </w:pPr>
            <w:r w:rsidRPr="004B7069">
              <w:rPr>
                <w:sz w:val="20"/>
              </w:rPr>
              <w:t>PD Topic</w:t>
            </w:r>
          </w:p>
        </w:tc>
        <w:tc>
          <w:tcPr>
            <w:tcW w:w="2552" w:type="dxa"/>
          </w:tcPr>
          <w:p w:rsidR="00EE5020" w:rsidRPr="004B7069" w:rsidRDefault="00EE5020" w:rsidP="004B7069">
            <w:pPr>
              <w:rPr>
                <w:sz w:val="20"/>
              </w:rPr>
            </w:pPr>
            <w:r w:rsidRPr="004B7069">
              <w:rPr>
                <w:sz w:val="20"/>
              </w:rPr>
              <w:t>Subtopic</w:t>
            </w:r>
          </w:p>
        </w:tc>
        <w:tc>
          <w:tcPr>
            <w:tcW w:w="1134" w:type="dxa"/>
          </w:tcPr>
          <w:p w:rsidR="00EE5020" w:rsidRPr="004B7069" w:rsidRDefault="00EE5020" w:rsidP="004B7069">
            <w:pPr>
              <w:rPr>
                <w:sz w:val="20"/>
              </w:rPr>
            </w:pPr>
            <w:r w:rsidRPr="004B7069">
              <w:rPr>
                <w:sz w:val="20"/>
              </w:rPr>
              <w:t>Study ID</w:t>
            </w:r>
          </w:p>
        </w:tc>
        <w:tc>
          <w:tcPr>
            <w:tcW w:w="1984" w:type="dxa"/>
          </w:tcPr>
          <w:p w:rsidR="00EE5020" w:rsidRPr="004B7069" w:rsidRDefault="00EE5020" w:rsidP="004B7069">
            <w:pPr>
              <w:rPr>
                <w:sz w:val="20"/>
              </w:rPr>
            </w:pPr>
            <w:r w:rsidRPr="004B7069">
              <w:rPr>
                <w:sz w:val="20"/>
              </w:rPr>
              <w:t>*Aim of Study</w:t>
            </w:r>
          </w:p>
        </w:tc>
      </w:tr>
      <w:tr w:rsidR="00EE5020" w:rsidRPr="004B7069" w:rsidTr="004B7069">
        <w:trPr>
          <w:cantSplit/>
        </w:trPr>
        <w:tc>
          <w:tcPr>
            <w:tcW w:w="1951" w:type="dxa"/>
          </w:tcPr>
          <w:p w:rsidR="00EE5020" w:rsidRPr="004B7069" w:rsidRDefault="00EE5020" w:rsidP="004B7069">
            <w:pPr>
              <w:rPr>
                <w:sz w:val="20"/>
              </w:rPr>
            </w:pPr>
            <w:r w:rsidRPr="004B7069">
              <w:rPr>
                <w:sz w:val="20"/>
              </w:rPr>
              <w:t>Primary Pharmacology</w:t>
            </w:r>
          </w:p>
        </w:tc>
        <w:tc>
          <w:tcPr>
            <w:tcW w:w="2552" w:type="dxa"/>
          </w:tcPr>
          <w:p w:rsidR="00EE5020" w:rsidRPr="004B7069" w:rsidRDefault="00EE5020" w:rsidP="004B7069">
            <w:pPr>
              <w:rPr>
                <w:sz w:val="20"/>
              </w:rPr>
            </w:pPr>
            <w:r w:rsidRPr="004B7069">
              <w:rPr>
                <w:sz w:val="20"/>
              </w:rPr>
              <w:t xml:space="preserve">Effect on </w:t>
            </w:r>
            <w:proofErr w:type="spellStart"/>
            <w:r w:rsidRPr="004B7069">
              <w:rPr>
                <w:sz w:val="20"/>
              </w:rPr>
              <w:t>glucodynamics</w:t>
            </w:r>
            <w:proofErr w:type="spellEnd"/>
            <w:r w:rsidRPr="004B7069">
              <w:rPr>
                <w:sz w:val="20"/>
              </w:rPr>
              <w:t xml:space="preserve"> in a </w:t>
            </w:r>
            <w:proofErr w:type="spellStart"/>
            <w:r w:rsidRPr="004B7069">
              <w:rPr>
                <w:sz w:val="20"/>
              </w:rPr>
              <w:t>euglycaemic</w:t>
            </w:r>
            <w:proofErr w:type="spellEnd"/>
            <w:r w:rsidRPr="004B7069">
              <w:rPr>
                <w:sz w:val="20"/>
              </w:rPr>
              <w:t xml:space="preserve"> clamp study</w:t>
            </w:r>
          </w:p>
        </w:tc>
        <w:tc>
          <w:tcPr>
            <w:tcW w:w="1134" w:type="dxa"/>
          </w:tcPr>
          <w:p w:rsidR="00EE5020" w:rsidRPr="004B7069" w:rsidRDefault="00EE5020" w:rsidP="004B7069">
            <w:pPr>
              <w:rPr>
                <w:sz w:val="20"/>
              </w:rPr>
            </w:pPr>
            <w:r w:rsidRPr="004B7069">
              <w:rPr>
                <w:sz w:val="20"/>
              </w:rPr>
              <w:t>ABEA</w:t>
            </w:r>
          </w:p>
          <w:p w:rsidR="00EE5020" w:rsidRPr="004B7069" w:rsidRDefault="00EE5020" w:rsidP="004B7069">
            <w:pPr>
              <w:rPr>
                <w:sz w:val="20"/>
              </w:rPr>
            </w:pPr>
            <w:r w:rsidRPr="004B7069">
              <w:rPr>
                <w:sz w:val="20"/>
              </w:rPr>
              <w:t>ABEM</w:t>
            </w:r>
          </w:p>
          <w:p w:rsidR="00EE5020" w:rsidRPr="004B7069" w:rsidRDefault="00EE5020" w:rsidP="004B7069">
            <w:pPr>
              <w:rPr>
                <w:sz w:val="20"/>
              </w:rPr>
            </w:pPr>
            <w:r w:rsidRPr="004B7069">
              <w:rPr>
                <w:sz w:val="20"/>
              </w:rPr>
              <w:t>ABEI</w:t>
            </w:r>
          </w:p>
          <w:p w:rsidR="00EE5020" w:rsidRPr="004B7069" w:rsidRDefault="00EE5020" w:rsidP="004B7069">
            <w:pPr>
              <w:rPr>
                <w:sz w:val="20"/>
              </w:rPr>
            </w:pPr>
            <w:r w:rsidRPr="004B7069">
              <w:rPr>
                <w:sz w:val="20"/>
              </w:rPr>
              <w:t>ABEE</w:t>
            </w:r>
          </w:p>
        </w:tc>
        <w:tc>
          <w:tcPr>
            <w:tcW w:w="1984" w:type="dxa"/>
          </w:tcPr>
          <w:p w:rsidR="00EE5020" w:rsidRPr="004B7069" w:rsidRDefault="00EE5020" w:rsidP="004B7069">
            <w:pPr>
              <w:rPr>
                <w:sz w:val="20"/>
              </w:rPr>
            </w:pPr>
            <w:r w:rsidRPr="004B7069">
              <w:rPr>
                <w:sz w:val="20"/>
              </w:rPr>
              <w:t xml:space="preserve">PK </w:t>
            </w:r>
            <w:r w:rsidR="00E50E1B" w:rsidRPr="004B7069">
              <w:rPr>
                <w:sz w:val="20"/>
              </w:rPr>
              <w:t>and</w:t>
            </w:r>
            <w:r w:rsidRPr="004B7069">
              <w:rPr>
                <w:sz w:val="20"/>
              </w:rPr>
              <w:t xml:space="preserve"> PD</w:t>
            </w:r>
          </w:p>
          <w:p w:rsidR="00EE5020" w:rsidRPr="004B7069" w:rsidRDefault="00EE5020" w:rsidP="004B7069">
            <w:pPr>
              <w:rPr>
                <w:sz w:val="20"/>
              </w:rPr>
            </w:pPr>
            <w:r w:rsidRPr="004B7069">
              <w:rPr>
                <w:sz w:val="20"/>
              </w:rPr>
              <w:t xml:space="preserve">PK </w:t>
            </w:r>
            <w:r w:rsidR="00E50E1B" w:rsidRPr="004B7069">
              <w:rPr>
                <w:sz w:val="20"/>
              </w:rPr>
              <w:t>and</w:t>
            </w:r>
            <w:r w:rsidRPr="004B7069">
              <w:rPr>
                <w:sz w:val="20"/>
              </w:rPr>
              <w:t xml:space="preserve"> PD</w:t>
            </w:r>
          </w:p>
          <w:p w:rsidR="00EE5020" w:rsidRPr="004B7069" w:rsidRDefault="00EE5020" w:rsidP="004B7069">
            <w:pPr>
              <w:rPr>
                <w:sz w:val="20"/>
              </w:rPr>
            </w:pPr>
            <w:r w:rsidRPr="004B7069">
              <w:rPr>
                <w:sz w:val="20"/>
              </w:rPr>
              <w:t xml:space="preserve">PK </w:t>
            </w:r>
            <w:r w:rsidR="00E50E1B" w:rsidRPr="004B7069">
              <w:rPr>
                <w:sz w:val="20"/>
              </w:rPr>
              <w:t>and</w:t>
            </w:r>
            <w:r w:rsidRPr="004B7069">
              <w:rPr>
                <w:sz w:val="20"/>
              </w:rPr>
              <w:t xml:space="preserve"> PD</w:t>
            </w:r>
          </w:p>
          <w:p w:rsidR="00EE5020" w:rsidRPr="004B7069" w:rsidRDefault="00EE5020" w:rsidP="004B7069">
            <w:pPr>
              <w:rPr>
                <w:sz w:val="20"/>
              </w:rPr>
            </w:pPr>
            <w:r w:rsidRPr="004B7069">
              <w:rPr>
                <w:sz w:val="20"/>
              </w:rPr>
              <w:t xml:space="preserve">PK </w:t>
            </w:r>
            <w:r w:rsidR="00E50E1B" w:rsidRPr="004B7069">
              <w:rPr>
                <w:sz w:val="20"/>
              </w:rPr>
              <w:t>and</w:t>
            </w:r>
            <w:r w:rsidRPr="004B7069">
              <w:rPr>
                <w:sz w:val="20"/>
              </w:rPr>
              <w:t xml:space="preserve"> PD</w:t>
            </w:r>
          </w:p>
        </w:tc>
      </w:tr>
      <w:tr w:rsidR="00EE5020" w:rsidRPr="004B7069" w:rsidTr="004B7069">
        <w:trPr>
          <w:cantSplit/>
        </w:trPr>
        <w:tc>
          <w:tcPr>
            <w:tcW w:w="1951" w:type="dxa"/>
          </w:tcPr>
          <w:p w:rsidR="00EE5020" w:rsidRPr="004B7069" w:rsidRDefault="00EE5020" w:rsidP="004B7069">
            <w:pPr>
              <w:rPr>
                <w:sz w:val="20"/>
              </w:rPr>
            </w:pPr>
            <w:r w:rsidRPr="004B7069">
              <w:rPr>
                <w:sz w:val="20"/>
              </w:rPr>
              <w:t>Secondary Pharmacology</w:t>
            </w:r>
          </w:p>
        </w:tc>
        <w:tc>
          <w:tcPr>
            <w:tcW w:w="2552" w:type="dxa"/>
          </w:tcPr>
          <w:p w:rsidR="00EE5020" w:rsidRPr="004B7069" w:rsidRDefault="00EE5020" w:rsidP="004B7069">
            <w:pPr>
              <w:rPr>
                <w:sz w:val="20"/>
              </w:rPr>
            </w:pPr>
            <w:r w:rsidRPr="004B7069">
              <w:rPr>
                <w:sz w:val="20"/>
              </w:rPr>
              <w:t>Effect on C-peptide levels in healthy volunteers#</w:t>
            </w:r>
          </w:p>
        </w:tc>
        <w:tc>
          <w:tcPr>
            <w:tcW w:w="1134" w:type="dxa"/>
          </w:tcPr>
          <w:p w:rsidR="00EE5020" w:rsidRPr="004B7069" w:rsidRDefault="00EE5020" w:rsidP="004B7069">
            <w:pPr>
              <w:rPr>
                <w:sz w:val="20"/>
              </w:rPr>
            </w:pPr>
            <w:r w:rsidRPr="004B7069">
              <w:rPr>
                <w:sz w:val="20"/>
              </w:rPr>
              <w:t>ABEA</w:t>
            </w:r>
          </w:p>
          <w:p w:rsidR="00EE5020" w:rsidRPr="004B7069" w:rsidRDefault="00EE5020" w:rsidP="004B7069">
            <w:pPr>
              <w:rPr>
                <w:sz w:val="20"/>
              </w:rPr>
            </w:pPr>
            <w:r w:rsidRPr="004B7069">
              <w:rPr>
                <w:sz w:val="20"/>
              </w:rPr>
              <w:t>ABEM</w:t>
            </w:r>
          </w:p>
          <w:p w:rsidR="00EE5020" w:rsidRPr="004B7069" w:rsidRDefault="00EE5020" w:rsidP="004B7069">
            <w:pPr>
              <w:rPr>
                <w:sz w:val="20"/>
              </w:rPr>
            </w:pPr>
            <w:r w:rsidRPr="004B7069">
              <w:rPr>
                <w:sz w:val="20"/>
              </w:rPr>
              <w:t>ABEI</w:t>
            </w:r>
          </w:p>
        </w:tc>
        <w:tc>
          <w:tcPr>
            <w:tcW w:w="1984" w:type="dxa"/>
          </w:tcPr>
          <w:p w:rsidR="00EE5020" w:rsidRPr="004B7069" w:rsidRDefault="00EE5020" w:rsidP="004B7069">
            <w:pPr>
              <w:rPr>
                <w:sz w:val="20"/>
              </w:rPr>
            </w:pPr>
            <w:r w:rsidRPr="004B7069">
              <w:rPr>
                <w:sz w:val="20"/>
              </w:rPr>
              <w:t>PK</w:t>
            </w:r>
          </w:p>
          <w:p w:rsidR="00EE5020" w:rsidRPr="004B7069" w:rsidRDefault="00EE5020" w:rsidP="004B7069">
            <w:pPr>
              <w:rPr>
                <w:sz w:val="20"/>
              </w:rPr>
            </w:pPr>
            <w:r w:rsidRPr="004B7069">
              <w:rPr>
                <w:sz w:val="20"/>
              </w:rPr>
              <w:t>PK</w:t>
            </w:r>
          </w:p>
          <w:p w:rsidR="00EE5020" w:rsidRPr="004B7069" w:rsidRDefault="00EE5020" w:rsidP="004B7069">
            <w:pPr>
              <w:rPr>
                <w:sz w:val="20"/>
              </w:rPr>
            </w:pPr>
            <w:r w:rsidRPr="004B7069">
              <w:rPr>
                <w:sz w:val="20"/>
              </w:rPr>
              <w:t>PK</w:t>
            </w:r>
          </w:p>
        </w:tc>
      </w:tr>
      <w:tr w:rsidR="00EE5020" w:rsidRPr="004B7069" w:rsidTr="004B7069">
        <w:trPr>
          <w:cantSplit/>
        </w:trPr>
        <w:tc>
          <w:tcPr>
            <w:tcW w:w="1951" w:type="dxa"/>
            <w:vMerge w:val="restart"/>
          </w:tcPr>
          <w:p w:rsidR="00EE5020" w:rsidRPr="004B7069" w:rsidRDefault="00EE5020" w:rsidP="004B7069">
            <w:pPr>
              <w:rPr>
                <w:sz w:val="20"/>
              </w:rPr>
            </w:pPr>
            <w:r w:rsidRPr="004B7069">
              <w:rPr>
                <w:sz w:val="20"/>
              </w:rPr>
              <w:t>Gender other genetic and Age-Related Differences in PD Response</w:t>
            </w:r>
          </w:p>
        </w:tc>
        <w:tc>
          <w:tcPr>
            <w:tcW w:w="2552" w:type="dxa"/>
          </w:tcPr>
          <w:p w:rsidR="00EE5020" w:rsidRPr="004B7069" w:rsidRDefault="00EE5020" w:rsidP="004B7069">
            <w:pPr>
              <w:rPr>
                <w:sz w:val="20"/>
              </w:rPr>
            </w:pPr>
            <w:r w:rsidRPr="004B7069">
              <w:rPr>
                <w:sz w:val="20"/>
              </w:rPr>
              <w:t>Effect of gender</w:t>
            </w:r>
          </w:p>
        </w:tc>
        <w:tc>
          <w:tcPr>
            <w:tcW w:w="1134" w:type="dxa"/>
          </w:tcPr>
          <w:p w:rsidR="00EE5020" w:rsidRPr="004B7069" w:rsidRDefault="00EE5020" w:rsidP="004B7069">
            <w:pPr>
              <w:rPr>
                <w:sz w:val="20"/>
              </w:rPr>
            </w:pPr>
            <w:r w:rsidRPr="004B7069">
              <w:rPr>
                <w:sz w:val="20"/>
              </w:rPr>
              <w:t>Not done</w:t>
            </w:r>
          </w:p>
        </w:tc>
        <w:tc>
          <w:tcPr>
            <w:tcW w:w="1984" w:type="dxa"/>
          </w:tcPr>
          <w:p w:rsidR="00EE5020" w:rsidRPr="004B7069" w:rsidRDefault="00EE5020" w:rsidP="004B7069">
            <w:pPr>
              <w:rPr>
                <w:sz w:val="20"/>
              </w:rPr>
            </w:pPr>
          </w:p>
        </w:tc>
      </w:tr>
      <w:tr w:rsidR="00EE5020" w:rsidRPr="004B7069" w:rsidTr="004B7069">
        <w:trPr>
          <w:cantSplit/>
        </w:trPr>
        <w:tc>
          <w:tcPr>
            <w:tcW w:w="1951" w:type="dxa"/>
            <w:vMerge/>
          </w:tcPr>
          <w:p w:rsidR="00EE5020" w:rsidRPr="004B7069" w:rsidRDefault="00EE5020" w:rsidP="004B7069">
            <w:pPr>
              <w:rPr>
                <w:sz w:val="20"/>
              </w:rPr>
            </w:pPr>
          </w:p>
        </w:tc>
        <w:tc>
          <w:tcPr>
            <w:tcW w:w="2552" w:type="dxa"/>
          </w:tcPr>
          <w:p w:rsidR="00EE5020" w:rsidRPr="004B7069" w:rsidRDefault="00EE5020" w:rsidP="004B7069">
            <w:pPr>
              <w:rPr>
                <w:sz w:val="20"/>
              </w:rPr>
            </w:pPr>
            <w:r w:rsidRPr="004B7069">
              <w:rPr>
                <w:sz w:val="20"/>
              </w:rPr>
              <w:t>Effect of age</w:t>
            </w:r>
          </w:p>
        </w:tc>
        <w:tc>
          <w:tcPr>
            <w:tcW w:w="1134" w:type="dxa"/>
          </w:tcPr>
          <w:p w:rsidR="00EE5020" w:rsidRPr="004B7069" w:rsidRDefault="00EE5020" w:rsidP="004B7069">
            <w:pPr>
              <w:rPr>
                <w:sz w:val="20"/>
              </w:rPr>
            </w:pPr>
            <w:r w:rsidRPr="004B7069">
              <w:rPr>
                <w:sz w:val="20"/>
              </w:rPr>
              <w:t>Not done</w:t>
            </w:r>
          </w:p>
        </w:tc>
        <w:tc>
          <w:tcPr>
            <w:tcW w:w="1984" w:type="dxa"/>
          </w:tcPr>
          <w:p w:rsidR="00EE5020" w:rsidRPr="004B7069" w:rsidRDefault="00EE5020" w:rsidP="004B7069">
            <w:pPr>
              <w:rPr>
                <w:sz w:val="20"/>
              </w:rPr>
            </w:pPr>
          </w:p>
        </w:tc>
      </w:tr>
      <w:tr w:rsidR="00EE5020" w:rsidRPr="004B7069" w:rsidTr="004B7069">
        <w:trPr>
          <w:cantSplit/>
        </w:trPr>
        <w:tc>
          <w:tcPr>
            <w:tcW w:w="1951" w:type="dxa"/>
          </w:tcPr>
          <w:p w:rsidR="00EE5020" w:rsidRPr="004B7069" w:rsidRDefault="00EE5020" w:rsidP="004B7069">
            <w:pPr>
              <w:rPr>
                <w:sz w:val="20"/>
              </w:rPr>
            </w:pPr>
            <w:r w:rsidRPr="004B7069">
              <w:rPr>
                <w:sz w:val="20"/>
              </w:rPr>
              <w:t xml:space="preserve">Comparison of Lantus EU </w:t>
            </w:r>
            <w:proofErr w:type="spellStart"/>
            <w:r w:rsidRPr="004B7069">
              <w:rPr>
                <w:sz w:val="20"/>
              </w:rPr>
              <w:t>v</w:t>
            </w:r>
            <w:r w:rsidR="002D3019" w:rsidRPr="004B7069">
              <w:rPr>
                <w:sz w:val="20"/>
              </w:rPr>
              <w:t>ersu</w:t>
            </w:r>
            <w:proofErr w:type="spellEnd"/>
            <w:r w:rsidRPr="004B7069">
              <w:rPr>
                <w:sz w:val="20"/>
              </w:rPr>
              <w:t xml:space="preserve"> Lantus US</w:t>
            </w:r>
          </w:p>
        </w:tc>
        <w:tc>
          <w:tcPr>
            <w:tcW w:w="2552" w:type="dxa"/>
          </w:tcPr>
          <w:p w:rsidR="00EE5020" w:rsidRPr="004B7069" w:rsidRDefault="00EE5020" w:rsidP="004B7069">
            <w:pPr>
              <w:rPr>
                <w:sz w:val="20"/>
              </w:rPr>
            </w:pPr>
            <w:r w:rsidRPr="004B7069">
              <w:rPr>
                <w:sz w:val="20"/>
              </w:rPr>
              <w:t xml:space="preserve">‘Scientific Bridge’ to support </w:t>
            </w:r>
            <w:r w:rsidR="00BE23D9" w:rsidRPr="004B7069">
              <w:rPr>
                <w:sz w:val="20"/>
              </w:rPr>
              <w:t>Phase III</w:t>
            </w:r>
            <w:r w:rsidRPr="004B7069">
              <w:rPr>
                <w:sz w:val="20"/>
              </w:rPr>
              <w:t xml:space="preserve"> studies use of both sources of Lantus</w:t>
            </w:r>
          </w:p>
        </w:tc>
        <w:tc>
          <w:tcPr>
            <w:tcW w:w="1134" w:type="dxa"/>
          </w:tcPr>
          <w:p w:rsidR="00EE5020" w:rsidRPr="004B7069" w:rsidRDefault="00EE5020" w:rsidP="004B7069">
            <w:pPr>
              <w:rPr>
                <w:sz w:val="20"/>
              </w:rPr>
            </w:pPr>
            <w:r w:rsidRPr="004B7069">
              <w:rPr>
                <w:sz w:val="20"/>
              </w:rPr>
              <w:t>ABEN</w:t>
            </w:r>
          </w:p>
        </w:tc>
        <w:tc>
          <w:tcPr>
            <w:tcW w:w="1984" w:type="dxa"/>
          </w:tcPr>
          <w:p w:rsidR="00EE5020" w:rsidRPr="004B7069" w:rsidRDefault="00E50E1B" w:rsidP="004B7069">
            <w:pPr>
              <w:rPr>
                <w:sz w:val="20"/>
              </w:rPr>
            </w:pPr>
            <w:r w:rsidRPr="004B7069">
              <w:rPr>
                <w:sz w:val="20"/>
              </w:rPr>
              <w:t>PK and</w:t>
            </w:r>
            <w:r w:rsidR="00EE5020" w:rsidRPr="004B7069">
              <w:rPr>
                <w:sz w:val="20"/>
              </w:rPr>
              <w:t xml:space="preserve"> PD</w:t>
            </w:r>
          </w:p>
        </w:tc>
      </w:tr>
      <w:tr w:rsidR="00EE5020" w:rsidRPr="004B7069" w:rsidTr="004B7069">
        <w:trPr>
          <w:cantSplit/>
        </w:trPr>
        <w:tc>
          <w:tcPr>
            <w:tcW w:w="1951" w:type="dxa"/>
            <w:vMerge w:val="restart"/>
          </w:tcPr>
          <w:p w:rsidR="00EE5020" w:rsidRPr="004B7069" w:rsidRDefault="00EE5020" w:rsidP="004B7069">
            <w:pPr>
              <w:rPr>
                <w:sz w:val="20"/>
              </w:rPr>
            </w:pPr>
            <w:r w:rsidRPr="004B7069">
              <w:rPr>
                <w:sz w:val="20"/>
              </w:rPr>
              <w:t>Population PD and PK-PD analyses</w:t>
            </w:r>
          </w:p>
        </w:tc>
        <w:tc>
          <w:tcPr>
            <w:tcW w:w="2552" w:type="dxa"/>
          </w:tcPr>
          <w:p w:rsidR="00EE5020" w:rsidRPr="004B7069" w:rsidRDefault="00EE5020" w:rsidP="004B7069">
            <w:pPr>
              <w:rPr>
                <w:sz w:val="20"/>
              </w:rPr>
            </w:pPr>
            <w:r w:rsidRPr="004B7069">
              <w:rPr>
                <w:sz w:val="20"/>
              </w:rPr>
              <w:t>Healthy subjects</w:t>
            </w:r>
          </w:p>
        </w:tc>
        <w:tc>
          <w:tcPr>
            <w:tcW w:w="1134" w:type="dxa"/>
          </w:tcPr>
          <w:p w:rsidR="00EE5020" w:rsidRPr="004B7069" w:rsidRDefault="00EE5020" w:rsidP="004B7069">
            <w:pPr>
              <w:rPr>
                <w:sz w:val="20"/>
              </w:rPr>
            </w:pPr>
            <w:r w:rsidRPr="004B7069">
              <w:rPr>
                <w:sz w:val="20"/>
              </w:rPr>
              <w:t>Not done</w:t>
            </w:r>
          </w:p>
        </w:tc>
        <w:tc>
          <w:tcPr>
            <w:tcW w:w="1984" w:type="dxa"/>
          </w:tcPr>
          <w:p w:rsidR="00EE5020" w:rsidRPr="004B7069" w:rsidRDefault="00EE5020" w:rsidP="004B7069">
            <w:pPr>
              <w:rPr>
                <w:sz w:val="20"/>
              </w:rPr>
            </w:pPr>
          </w:p>
        </w:tc>
      </w:tr>
      <w:tr w:rsidR="00EE5020" w:rsidRPr="004B7069" w:rsidTr="004B7069">
        <w:trPr>
          <w:cantSplit/>
        </w:trPr>
        <w:tc>
          <w:tcPr>
            <w:tcW w:w="1951" w:type="dxa"/>
            <w:vMerge/>
          </w:tcPr>
          <w:p w:rsidR="00EE5020" w:rsidRPr="004B7069" w:rsidRDefault="00EE5020" w:rsidP="004B7069">
            <w:pPr>
              <w:rPr>
                <w:sz w:val="20"/>
              </w:rPr>
            </w:pPr>
          </w:p>
        </w:tc>
        <w:tc>
          <w:tcPr>
            <w:tcW w:w="2552" w:type="dxa"/>
          </w:tcPr>
          <w:p w:rsidR="00EE5020" w:rsidRPr="004B7069" w:rsidRDefault="00EE5020" w:rsidP="004B7069">
            <w:pPr>
              <w:rPr>
                <w:sz w:val="20"/>
              </w:rPr>
            </w:pPr>
            <w:r w:rsidRPr="004B7069">
              <w:rPr>
                <w:sz w:val="20"/>
              </w:rPr>
              <w:t>Target population</w:t>
            </w:r>
          </w:p>
        </w:tc>
        <w:tc>
          <w:tcPr>
            <w:tcW w:w="1134" w:type="dxa"/>
          </w:tcPr>
          <w:p w:rsidR="00EE5020" w:rsidRPr="004B7069" w:rsidRDefault="00EE5020" w:rsidP="004B7069">
            <w:pPr>
              <w:rPr>
                <w:sz w:val="20"/>
              </w:rPr>
            </w:pPr>
            <w:r w:rsidRPr="004B7069">
              <w:rPr>
                <w:sz w:val="20"/>
              </w:rPr>
              <w:t>Not done</w:t>
            </w:r>
          </w:p>
        </w:tc>
        <w:tc>
          <w:tcPr>
            <w:tcW w:w="1984" w:type="dxa"/>
          </w:tcPr>
          <w:p w:rsidR="00EE5020" w:rsidRPr="004B7069" w:rsidRDefault="00EE5020" w:rsidP="004B7069">
            <w:pPr>
              <w:rPr>
                <w:sz w:val="20"/>
              </w:rPr>
            </w:pPr>
          </w:p>
        </w:tc>
      </w:tr>
    </w:tbl>
    <w:p w:rsidR="00031D05" w:rsidRPr="00D1559C" w:rsidRDefault="00031D05" w:rsidP="00D1559C">
      <w:pPr>
        <w:pStyle w:val="TableDescription"/>
      </w:pPr>
      <w:r w:rsidRPr="00D1559C">
        <w:t>* Indicates the primary aim of the study.</w:t>
      </w:r>
    </w:p>
    <w:p w:rsidR="00031D05" w:rsidRPr="00D1559C" w:rsidRDefault="00031D05" w:rsidP="00D1559C">
      <w:pPr>
        <w:pStyle w:val="TableDescription"/>
      </w:pPr>
      <w:r w:rsidRPr="00D1559C">
        <w:t>§ Subjects who would be eligible to receive the drug if approved for the proposed indication.</w:t>
      </w:r>
    </w:p>
    <w:p w:rsidR="00031D05" w:rsidRPr="00D1559C" w:rsidRDefault="00031D05" w:rsidP="00D1559C">
      <w:pPr>
        <w:pStyle w:val="TableDescription"/>
      </w:pPr>
      <w:r w:rsidRPr="00D1559C">
        <w:t># C-peptide levels are presented graphically as Figures only.</w:t>
      </w:r>
    </w:p>
    <w:p w:rsidR="00031D05" w:rsidRPr="00D1559C" w:rsidRDefault="00031D05" w:rsidP="00D1559C">
      <w:pPr>
        <w:pStyle w:val="TableDescription"/>
      </w:pPr>
      <w:r w:rsidRPr="00D1559C">
        <w:t xml:space="preserve">None of the </w:t>
      </w:r>
      <w:proofErr w:type="spellStart"/>
      <w:r w:rsidRPr="00D1559C">
        <w:t>pharmacodynamic</w:t>
      </w:r>
      <w:proofErr w:type="spellEnd"/>
      <w:r w:rsidRPr="00D1559C">
        <w:t xml:space="preserve"> studies had deficiencies that excluded their results from consideration.</w:t>
      </w:r>
    </w:p>
    <w:p w:rsidR="00605AD4" w:rsidRDefault="00605AD4" w:rsidP="00605AD4">
      <w:pPr>
        <w:pStyle w:val="Heading4"/>
      </w:pPr>
      <w:r>
        <w:t>Evaluator’s conclusions on pharmacodynamics</w:t>
      </w:r>
    </w:p>
    <w:p w:rsidR="00031D05" w:rsidRPr="00D41FD5" w:rsidRDefault="00031D05" w:rsidP="00BE23D9">
      <w:r w:rsidRPr="00D41FD5">
        <w:t xml:space="preserve">The </w:t>
      </w:r>
      <w:r w:rsidR="00BE23D9">
        <w:t>Phase I</w:t>
      </w:r>
      <w:r w:rsidRPr="00D41FD5">
        <w:t xml:space="preserve"> studies were more successful as PD studies than as PK studies</w:t>
      </w:r>
      <w:r>
        <w:t xml:space="preserve"> notwithstanding the duration of most studies (24 hours)</w:t>
      </w:r>
      <w:r w:rsidRPr="00D41FD5">
        <w:t>.</w:t>
      </w:r>
    </w:p>
    <w:p w:rsidR="00031D05" w:rsidRDefault="00031D05" w:rsidP="00BE23D9">
      <w:r w:rsidRPr="005D0E49">
        <w:t xml:space="preserve">The </w:t>
      </w:r>
      <w:r w:rsidR="00BE23D9">
        <w:t>Phase I</w:t>
      </w:r>
      <w:r w:rsidRPr="005D0E49">
        <w:t xml:space="preserve"> studies adequately </w:t>
      </w:r>
      <w:r>
        <w:t xml:space="preserve">address the requirements of the adopted EU guideline </w:t>
      </w:r>
      <w:r w:rsidRPr="00327C47">
        <w:rPr>
          <w:rFonts w:cs="Times-Roman"/>
        </w:rPr>
        <w:t xml:space="preserve">EMEA/CHMP/BMWP/32775/2005 </w:t>
      </w:r>
      <w:r w:rsidR="00BE23D9">
        <w:rPr>
          <w:rFonts w:cs="Times-Roman"/>
        </w:rPr>
        <w:t>A</w:t>
      </w:r>
      <w:r w:rsidR="00BE23D9" w:rsidRPr="00327C47">
        <w:rPr>
          <w:rFonts w:cs="Times-Roman"/>
        </w:rPr>
        <w:t>nnex to guideline on similar biological medicinal products containing biotechnology-derived proteins as active substance</w:t>
      </w:r>
      <w:r w:rsidRPr="00327C47">
        <w:rPr>
          <w:rFonts w:cs="Times-Roman"/>
        </w:rPr>
        <w:t xml:space="preserve">: </w:t>
      </w:r>
      <w:r w:rsidR="00BE23D9" w:rsidRPr="00327C47">
        <w:rPr>
          <w:rFonts w:cs="Times-Roman"/>
        </w:rPr>
        <w:t>Non-Clinical And Clinical Issues - Guidance On Similar Medicinal Products Containing Recombinant Human Soluble Insulin</w:t>
      </w:r>
      <w:r w:rsidRPr="00327C47">
        <w:t>,</w:t>
      </w:r>
      <w:r>
        <w:t xml:space="preserve"> noting that the short duration of studies in healthy volunteers could not capture the full duration of action of insulin </w:t>
      </w:r>
      <w:proofErr w:type="spellStart"/>
      <w:r>
        <w:t>glargine</w:t>
      </w:r>
      <w:proofErr w:type="spellEnd"/>
      <w:r>
        <w:t xml:space="preserve"> and that the study in patients with T1DM did not capture the </w:t>
      </w:r>
      <w:r w:rsidRPr="005D0E49">
        <w:t xml:space="preserve">full duration of action of insulin </w:t>
      </w:r>
      <w:proofErr w:type="spellStart"/>
      <w:r w:rsidRPr="005D0E49">
        <w:t>glargine</w:t>
      </w:r>
      <w:proofErr w:type="spellEnd"/>
      <w:r>
        <w:t xml:space="preserve"> in a minority of subjec</w:t>
      </w:r>
      <w:r w:rsidR="00FE14F0">
        <w:t>ts in each and/or both periods:</w:t>
      </w:r>
    </w:p>
    <w:p w:rsidR="00031D05" w:rsidRPr="00FE14F0" w:rsidRDefault="00722754" w:rsidP="00FE14F0">
      <w:pPr>
        <w:ind w:left="720"/>
        <w:rPr>
          <w:i/>
        </w:rPr>
      </w:pPr>
      <w:r w:rsidRPr="00FE14F0">
        <w:rPr>
          <w:i/>
        </w:rPr>
        <w:t>‘</w:t>
      </w:r>
      <w:r w:rsidR="00031D05" w:rsidRPr="00FE14F0">
        <w:rPr>
          <w:i/>
        </w:rPr>
        <w:t>The</w:t>
      </w:r>
      <w:r w:rsidR="001A1024" w:rsidRPr="00FE14F0">
        <w:rPr>
          <w:i/>
        </w:rPr>
        <w:t xml:space="preserve"> </w:t>
      </w:r>
      <w:r w:rsidR="00031D05" w:rsidRPr="00FE14F0">
        <w:rPr>
          <w:i/>
        </w:rPr>
        <w:t>clinical</w:t>
      </w:r>
      <w:r w:rsidR="001A1024" w:rsidRPr="00FE14F0">
        <w:rPr>
          <w:i/>
        </w:rPr>
        <w:t xml:space="preserve"> </w:t>
      </w:r>
      <w:r w:rsidR="00031D05" w:rsidRPr="00FE14F0">
        <w:rPr>
          <w:i/>
        </w:rPr>
        <w:t>activity</w:t>
      </w:r>
      <w:r w:rsidR="001A1024" w:rsidRPr="00FE14F0">
        <w:rPr>
          <w:i/>
        </w:rPr>
        <w:t xml:space="preserve"> </w:t>
      </w:r>
      <w:r w:rsidR="00031D05" w:rsidRPr="00FE14F0">
        <w:rPr>
          <w:i/>
        </w:rPr>
        <w:t>of</w:t>
      </w:r>
      <w:r w:rsidR="001A1024" w:rsidRPr="00FE14F0">
        <w:rPr>
          <w:i/>
        </w:rPr>
        <w:t xml:space="preserve"> </w:t>
      </w:r>
      <w:r w:rsidR="00031D05" w:rsidRPr="00FE14F0">
        <w:rPr>
          <w:i/>
        </w:rPr>
        <w:t>an</w:t>
      </w:r>
      <w:r w:rsidR="001A1024" w:rsidRPr="00FE14F0">
        <w:rPr>
          <w:i/>
        </w:rPr>
        <w:t xml:space="preserve"> </w:t>
      </w:r>
      <w:r w:rsidR="00031D05" w:rsidRPr="00FE14F0">
        <w:rPr>
          <w:i/>
        </w:rPr>
        <w:t>insulin</w:t>
      </w:r>
      <w:r w:rsidR="001A1024" w:rsidRPr="00FE14F0">
        <w:rPr>
          <w:i/>
        </w:rPr>
        <w:t xml:space="preserve"> </w:t>
      </w:r>
      <w:r w:rsidR="00031D05" w:rsidRPr="00FE14F0">
        <w:rPr>
          <w:i/>
        </w:rPr>
        <w:t>preparation</w:t>
      </w:r>
      <w:r w:rsidR="001A1024" w:rsidRPr="00FE14F0">
        <w:rPr>
          <w:i/>
        </w:rPr>
        <w:t xml:space="preserve"> </w:t>
      </w:r>
      <w:r w:rsidR="00031D05" w:rsidRPr="00FE14F0">
        <w:rPr>
          <w:i/>
        </w:rPr>
        <w:t>is</w:t>
      </w:r>
      <w:r w:rsidR="001A1024" w:rsidRPr="00FE14F0">
        <w:rPr>
          <w:i/>
        </w:rPr>
        <w:t xml:space="preserve"> </w:t>
      </w:r>
      <w:r w:rsidR="00031D05" w:rsidRPr="00FE14F0">
        <w:rPr>
          <w:i/>
        </w:rPr>
        <w:t>determined</w:t>
      </w:r>
      <w:r w:rsidR="001A1024" w:rsidRPr="00FE14F0">
        <w:rPr>
          <w:i/>
        </w:rPr>
        <w:t xml:space="preserve"> </w:t>
      </w:r>
      <w:r w:rsidR="00031D05" w:rsidRPr="00FE14F0">
        <w:rPr>
          <w:i/>
        </w:rPr>
        <w:t>by</w:t>
      </w:r>
      <w:r w:rsidR="001A1024" w:rsidRPr="00FE14F0">
        <w:rPr>
          <w:i/>
        </w:rPr>
        <w:t xml:space="preserve"> </w:t>
      </w:r>
      <w:r w:rsidR="00031D05" w:rsidRPr="00FE14F0">
        <w:rPr>
          <w:i/>
        </w:rPr>
        <w:t>its</w:t>
      </w:r>
      <w:r w:rsidR="001A1024" w:rsidRPr="00FE14F0">
        <w:rPr>
          <w:i/>
        </w:rPr>
        <w:t xml:space="preserve"> </w:t>
      </w:r>
      <w:r w:rsidR="00031D05" w:rsidRPr="00FE14F0">
        <w:rPr>
          <w:i/>
        </w:rPr>
        <w:t>time-effect</w:t>
      </w:r>
      <w:r w:rsidR="001A1024" w:rsidRPr="00FE14F0">
        <w:rPr>
          <w:i/>
        </w:rPr>
        <w:t xml:space="preserve"> </w:t>
      </w:r>
      <w:r w:rsidR="00031D05" w:rsidRPr="00FE14F0">
        <w:rPr>
          <w:i/>
        </w:rPr>
        <w:t>profile</w:t>
      </w:r>
      <w:r w:rsidR="001A1024" w:rsidRPr="00FE14F0">
        <w:rPr>
          <w:i/>
        </w:rPr>
        <w:t xml:space="preserve"> </w:t>
      </w:r>
      <w:r w:rsidR="00031D05" w:rsidRPr="00FE14F0">
        <w:rPr>
          <w:i/>
        </w:rPr>
        <w:t>of hypoglycaemic</w:t>
      </w:r>
      <w:r w:rsidR="001A1024" w:rsidRPr="00FE14F0">
        <w:rPr>
          <w:i/>
        </w:rPr>
        <w:t xml:space="preserve"> </w:t>
      </w:r>
      <w:r w:rsidR="00031D05" w:rsidRPr="00FE14F0">
        <w:rPr>
          <w:i/>
        </w:rPr>
        <w:t>response,</w:t>
      </w:r>
      <w:r w:rsidR="001A1024" w:rsidRPr="00FE14F0">
        <w:rPr>
          <w:i/>
        </w:rPr>
        <w:t xml:space="preserve"> </w:t>
      </w:r>
      <w:r w:rsidR="00031D05" w:rsidRPr="00FE14F0">
        <w:rPr>
          <w:i/>
        </w:rPr>
        <w:t>which</w:t>
      </w:r>
      <w:r w:rsidR="001A1024" w:rsidRPr="00FE14F0">
        <w:rPr>
          <w:i/>
        </w:rPr>
        <w:t xml:space="preserve"> </w:t>
      </w:r>
      <w:r w:rsidR="00031D05" w:rsidRPr="00FE14F0">
        <w:rPr>
          <w:i/>
        </w:rPr>
        <w:t>incorporates</w:t>
      </w:r>
      <w:r w:rsidR="001A1024" w:rsidRPr="00FE14F0">
        <w:rPr>
          <w:i/>
        </w:rPr>
        <w:t xml:space="preserve"> </w:t>
      </w:r>
      <w:r w:rsidR="00031D05" w:rsidRPr="00FE14F0">
        <w:rPr>
          <w:i/>
        </w:rPr>
        <w:t>components</w:t>
      </w:r>
      <w:r w:rsidR="001A1024" w:rsidRPr="00FE14F0">
        <w:rPr>
          <w:i/>
        </w:rPr>
        <w:t xml:space="preserve"> </w:t>
      </w:r>
      <w:r w:rsidR="00031D05" w:rsidRPr="00FE14F0">
        <w:rPr>
          <w:i/>
        </w:rPr>
        <w:t>of</w:t>
      </w:r>
      <w:r w:rsidR="001A1024" w:rsidRPr="00FE14F0">
        <w:rPr>
          <w:i/>
        </w:rPr>
        <w:t xml:space="preserve"> </w:t>
      </w:r>
      <w:r w:rsidR="00031D05" w:rsidRPr="00FE14F0">
        <w:rPr>
          <w:i/>
        </w:rPr>
        <w:t>pharmacodynamics</w:t>
      </w:r>
      <w:r w:rsidR="001A1024" w:rsidRPr="00FE14F0">
        <w:rPr>
          <w:i/>
        </w:rPr>
        <w:t xml:space="preserve"> </w:t>
      </w:r>
      <w:r w:rsidR="00031D05" w:rsidRPr="00FE14F0">
        <w:rPr>
          <w:i/>
        </w:rPr>
        <w:t xml:space="preserve">and pharmacokinetics. </w:t>
      </w:r>
      <w:proofErr w:type="spellStart"/>
      <w:r w:rsidR="00031D05" w:rsidRPr="00FE14F0">
        <w:rPr>
          <w:i/>
        </w:rPr>
        <w:t>Pharmacodynamic</w:t>
      </w:r>
      <w:proofErr w:type="spellEnd"/>
      <w:r w:rsidR="00031D05" w:rsidRPr="00FE14F0">
        <w:rPr>
          <w:i/>
        </w:rPr>
        <w:t xml:space="preserve"> data are of primary importance to demonstrate comparability of a similar </w:t>
      </w:r>
      <w:proofErr w:type="spellStart"/>
      <w:r w:rsidR="00031D05" w:rsidRPr="00FE14F0">
        <w:rPr>
          <w:i/>
        </w:rPr>
        <w:t>rh</w:t>
      </w:r>
      <w:proofErr w:type="spellEnd"/>
      <w:r w:rsidR="00031D05" w:rsidRPr="00FE14F0">
        <w:rPr>
          <w:i/>
        </w:rPr>
        <w:t>-insulin.</w:t>
      </w:r>
      <w:r w:rsidR="001A1024" w:rsidRPr="00FE14F0">
        <w:rPr>
          <w:i/>
        </w:rPr>
        <w:t xml:space="preserve"> </w:t>
      </w:r>
      <w:r w:rsidR="00031D05" w:rsidRPr="00FE14F0">
        <w:rPr>
          <w:i/>
        </w:rPr>
        <w:t>The</w:t>
      </w:r>
      <w:r w:rsidR="001A1024" w:rsidRPr="00FE14F0">
        <w:rPr>
          <w:i/>
        </w:rPr>
        <w:t xml:space="preserve"> </w:t>
      </w:r>
      <w:r w:rsidR="00031D05" w:rsidRPr="00FE14F0">
        <w:rPr>
          <w:i/>
        </w:rPr>
        <w:t>double-blind,</w:t>
      </w:r>
      <w:r w:rsidR="001A1024" w:rsidRPr="00FE14F0">
        <w:rPr>
          <w:i/>
        </w:rPr>
        <w:t xml:space="preserve"> </w:t>
      </w:r>
      <w:r w:rsidR="00031D05" w:rsidRPr="00FE14F0">
        <w:rPr>
          <w:i/>
        </w:rPr>
        <w:t>crossover</w:t>
      </w:r>
      <w:r w:rsidR="001A1024" w:rsidRPr="00FE14F0">
        <w:rPr>
          <w:i/>
        </w:rPr>
        <w:t xml:space="preserve"> </w:t>
      </w:r>
      <w:proofErr w:type="spellStart"/>
      <w:r w:rsidR="00031D05" w:rsidRPr="00FE14F0">
        <w:rPr>
          <w:i/>
        </w:rPr>
        <w:t>hyperinsulinaemic</w:t>
      </w:r>
      <w:proofErr w:type="spellEnd"/>
      <w:r w:rsidR="001A1024" w:rsidRPr="00FE14F0">
        <w:rPr>
          <w:i/>
        </w:rPr>
        <w:t xml:space="preserve"> </w:t>
      </w:r>
      <w:proofErr w:type="spellStart"/>
      <w:r w:rsidR="00031D05" w:rsidRPr="00FE14F0">
        <w:rPr>
          <w:i/>
        </w:rPr>
        <w:t>euglycaemic</w:t>
      </w:r>
      <w:proofErr w:type="spellEnd"/>
      <w:r w:rsidR="001A1024" w:rsidRPr="00FE14F0">
        <w:rPr>
          <w:i/>
        </w:rPr>
        <w:t xml:space="preserve"> </w:t>
      </w:r>
      <w:r w:rsidR="00031D05" w:rsidRPr="00FE14F0">
        <w:rPr>
          <w:i/>
        </w:rPr>
        <w:t>clamp</w:t>
      </w:r>
      <w:r w:rsidR="001A1024" w:rsidRPr="00FE14F0">
        <w:rPr>
          <w:i/>
        </w:rPr>
        <w:t xml:space="preserve"> </w:t>
      </w:r>
      <w:r w:rsidR="00031D05" w:rsidRPr="00FE14F0">
        <w:rPr>
          <w:i/>
        </w:rPr>
        <w:t>study</w:t>
      </w:r>
      <w:r w:rsidR="001A1024" w:rsidRPr="00FE14F0">
        <w:rPr>
          <w:i/>
        </w:rPr>
        <w:t xml:space="preserve"> </w:t>
      </w:r>
      <w:r w:rsidR="00031D05" w:rsidRPr="00FE14F0">
        <w:rPr>
          <w:i/>
        </w:rPr>
        <w:t>is suitable</w:t>
      </w:r>
      <w:r w:rsidR="001A1024" w:rsidRPr="00FE14F0">
        <w:rPr>
          <w:i/>
        </w:rPr>
        <w:t xml:space="preserve"> </w:t>
      </w:r>
      <w:r w:rsidR="00031D05" w:rsidRPr="00FE14F0">
        <w:rPr>
          <w:i/>
        </w:rPr>
        <w:t>for</w:t>
      </w:r>
      <w:r w:rsidR="001A1024" w:rsidRPr="00FE14F0">
        <w:rPr>
          <w:i/>
        </w:rPr>
        <w:t xml:space="preserve"> </w:t>
      </w:r>
      <w:r w:rsidR="00031D05" w:rsidRPr="00FE14F0">
        <w:rPr>
          <w:i/>
        </w:rPr>
        <w:t>this</w:t>
      </w:r>
      <w:r w:rsidR="001A1024" w:rsidRPr="00FE14F0">
        <w:rPr>
          <w:i/>
        </w:rPr>
        <w:t xml:space="preserve"> </w:t>
      </w:r>
      <w:r w:rsidR="00031D05" w:rsidRPr="00FE14F0">
        <w:rPr>
          <w:i/>
        </w:rPr>
        <w:t xml:space="preserve">characterisation. Data on comparability regarding glucose infusion rate and serum insulin </w:t>
      </w:r>
      <w:r w:rsidR="00031D05" w:rsidRPr="00FE14F0">
        <w:rPr>
          <w:i/>
        </w:rPr>
        <w:lastRenderedPageBreak/>
        <w:t>concentrations should be made available. The choice of study population and study duration should be justified. Plasma glucose levels should be obtained as part of the PK study following subcutaneous administration</w:t>
      </w:r>
      <w:proofErr w:type="gramStart"/>
      <w:r w:rsidR="00FE14F0">
        <w:rPr>
          <w:i/>
        </w:rPr>
        <w:t>.</w:t>
      </w:r>
      <w:r w:rsidRPr="00FE14F0">
        <w:rPr>
          <w:i/>
        </w:rPr>
        <w:t>‘</w:t>
      </w:r>
      <w:proofErr w:type="gramEnd"/>
    </w:p>
    <w:p w:rsidR="00031D05" w:rsidRPr="00770528" w:rsidRDefault="00BE23D9" w:rsidP="00FE14F0">
      <w:proofErr w:type="spellStart"/>
      <w:r w:rsidRPr="00D41FD5">
        <w:t>Abasria</w:t>
      </w:r>
      <w:proofErr w:type="spellEnd"/>
      <w:r w:rsidRPr="00D41FD5">
        <w:t xml:space="preserve"> </w:t>
      </w:r>
      <w:r w:rsidR="00031D05" w:rsidRPr="00D41FD5">
        <w:t>ha</w:t>
      </w:r>
      <w:r>
        <w:t>s a PD profile</w:t>
      </w:r>
      <w:r w:rsidR="00031D05" w:rsidRPr="00D41FD5">
        <w:t xml:space="preserve"> equivalent to </w:t>
      </w:r>
      <w:r w:rsidR="00D54BAC">
        <w:t>Lantus</w:t>
      </w:r>
      <w:r>
        <w:t xml:space="preserve"> and </w:t>
      </w:r>
      <w:r w:rsidR="00031D05">
        <w:t xml:space="preserve">this is shown directly by </w:t>
      </w:r>
      <w:proofErr w:type="spellStart"/>
      <w:r w:rsidR="00031D05">
        <w:t>glucodynamic</w:t>
      </w:r>
      <w:proofErr w:type="spellEnd"/>
      <w:r w:rsidR="00031D05">
        <w:t xml:space="preserve"> parameters and by the influence on C-peptide levels in healthy volunteers. The Lantus used was </w:t>
      </w:r>
      <w:r>
        <w:t xml:space="preserve">EU derived </w:t>
      </w:r>
      <w:r w:rsidR="00031D05">
        <w:t>Lantus.</w:t>
      </w:r>
    </w:p>
    <w:p w:rsidR="008E7846" w:rsidRDefault="00605AD4" w:rsidP="00FE14F0">
      <w:pPr>
        <w:pStyle w:val="Heading3"/>
      </w:pPr>
      <w:bookmarkStart w:id="89" w:name="_Toc428796486"/>
      <w:r>
        <w:t>Dosage selection for the pivotal studies</w:t>
      </w:r>
      <w:bookmarkEnd w:id="89"/>
    </w:p>
    <w:p w:rsidR="00031D05" w:rsidRDefault="00BE23D9" w:rsidP="00FE14F0">
      <w:proofErr w:type="spellStart"/>
      <w:r>
        <w:t>Abasria</w:t>
      </w:r>
      <w:proofErr w:type="spellEnd"/>
      <w:r>
        <w:t xml:space="preserve"> </w:t>
      </w:r>
      <w:r w:rsidR="00031D05">
        <w:t xml:space="preserve">is modelled as a biosimilar version of Lantus, and the nonclinical (preclinical) data supported comparability of Lantus and </w:t>
      </w:r>
      <w:proofErr w:type="spellStart"/>
      <w:r>
        <w:t>Abasria</w:t>
      </w:r>
      <w:proofErr w:type="spellEnd"/>
      <w:r w:rsidR="00031D05">
        <w:t>.</w:t>
      </w:r>
      <w:r w:rsidR="001A1024">
        <w:t xml:space="preserve"> </w:t>
      </w:r>
      <w:r w:rsidR="00031D05">
        <w:t xml:space="preserve">Therefore, the </w:t>
      </w:r>
      <w:r>
        <w:t>Phase III</w:t>
      </w:r>
      <w:r w:rsidR="00031D05">
        <w:t xml:space="preserve"> Studies treated the enrolled patients according to the locally approved PI of Lantus and according to a reasonable treatment algorithm (Study ABEC) or reasonable principles (Study ABEB).</w:t>
      </w:r>
    </w:p>
    <w:p w:rsidR="008E7846" w:rsidRPr="00254787" w:rsidRDefault="008E7846" w:rsidP="008E7846">
      <w:pPr>
        <w:pStyle w:val="Heading3"/>
      </w:pPr>
      <w:bookmarkStart w:id="90" w:name="_Toc163441372"/>
      <w:bookmarkStart w:id="91" w:name="_Toc196046485"/>
      <w:bookmarkStart w:id="92" w:name="_Toc247691521"/>
      <w:bookmarkStart w:id="93" w:name="_Toc314842504"/>
      <w:bookmarkStart w:id="94" w:name="_Toc428796487"/>
      <w:r w:rsidRPr="00254787">
        <w:t>Efficacy</w:t>
      </w:r>
      <w:bookmarkEnd w:id="90"/>
      <w:bookmarkEnd w:id="91"/>
      <w:bookmarkEnd w:id="92"/>
      <w:bookmarkEnd w:id="93"/>
      <w:bookmarkEnd w:id="94"/>
    </w:p>
    <w:p w:rsidR="00605AD4" w:rsidRDefault="00605AD4" w:rsidP="00605AD4">
      <w:pPr>
        <w:pStyle w:val="Heading4"/>
      </w:pPr>
      <w:bookmarkStart w:id="95" w:name="_Toc184439992"/>
      <w:bookmarkStart w:id="96" w:name="_Toc184440279"/>
      <w:bookmarkStart w:id="97" w:name="_Toc184444657"/>
      <w:bookmarkStart w:id="98" w:name="_Toc196046487"/>
      <w:r>
        <w:t>Studies providing efficacy data</w:t>
      </w:r>
    </w:p>
    <w:p w:rsidR="00031D05" w:rsidRDefault="00031D05" w:rsidP="00031D05">
      <w:r>
        <w:t>Lantus is registered with the following composite indica</w:t>
      </w:r>
      <w:r w:rsidR="00F7595A">
        <w:t>tion, as represented in the PI:</w:t>
      </w:r>
    </w:p>
    <w:p w:rsidR="00031D05" w:rsidRPr="00F7595A" w:rsidRDefault="00722754" w:rsidP="00F7595A">
      <w:pPr>
        <w:ind w:left="720"/>
        <w:rPr>
          <w:i/>
        </w:rPr>
      </w:pPr>
      <w:r w:rsidRPr="00F7595A">
        <w:rPr>
          <w:i/>
        </w:rPr>
        <w:t>‘</w:t>
      </w:r>
      <w:r w:rsidR="00031D05" w:rsidRPr="00F7595A">
        <w:rPr>
          <w:i/>
        </w:rPr>
        <w:t xml:space="preserve">Insulin </w:t>
      </w:r>
      <w:proofErr w:type="spellStart"/>
      <w:r w:rsidR="00031D05" w:rsidRPr="00F7595A">
        <w:rPr>
          <w:i/>
        </w:rPr>
        <w:t>glargine</w:t>
      </w:r>
      <w:proofErr w:type="spellEnd"/>
      <w:r w:rsidR="00031D05" w:rsidRPr="00F7595A">
        <w:rPr>
          <w:i/>
        </w:rPr>
        <w:t xml:space="preserve"> is an insulin analogue indicated for once-daily subcutaneous administration in the treatment of </w:t>
      </w:r>
      <w:r w:rsidR="00D54BAC" w:rsidRPr="00F7595A">
        <w:rPr>
          <w:i/>
        </w:rPr>
        <w:t xml:space="preserve">Type 1 diabetes </w:t>
      </w:r>
      <w:r w:rsidR="00031D05" w:rsidRPr="00F7595A">
        <w:rPr>
          <w:i/>
        </w:rPr>
        <w:t xml:space="preserve">mellitus in adults and children and </w:t>
      </w:r>
      <w:r w:rsidR="00D54BAC" w:rsidRPr="00F7595A">
        <w:rPr>
          <w:i/>
        </w:rPr>
        <w:t xml:space="preserve">Type 2 diabetes </w:t>
      </w:r>
      <w:r w:rsidR="00031D05" w:rsidRPr="00F7595A">
        <w:rPr>
          <w:i/>
        </w:rPr>
        <w:t>mellitus in adults who require insulin for the control of hyperglycaemia.</w:t>
      </w:r>
      <w:r w:rsidRPr="00F7595A">
        <w:rPr>
          <w:i/>
        </w:rPr>
        <w:t>’</w:t>
      </w:r>
    </w:p>
    <w:p w:rsidR="00031D05" w:rsidRDefault="00031D05" w:rsidP="00031D05">
      <w:r>
        <w:t>The first indication is subdivided in to adults and children; the second is limited to adults.</w:t>
      </w:r>
    </w:p>
    <w:p w:rsidR="00031D05" w:rsidRDefault="00031D05" w:rsidP="00031D05">
      <w:r>
        <w:t xml:space="preserve">There are two </w:t>
      </w:r>
      <w:r w:rsidR="00BE23D9">
        <w:t>Phase III</w:t>
      </w:r>
      <w:r>
        <w:t xml:space="preserve"> studies in this submiss</w:t>
      </w:r>
      <w:r w:rsidR="00F7595A">
        <w:t>ion, Study ABEC and Study ABEB.</w:t>
      </w:r>
    </w:p>
    <w:p w:rsidR="00031D05" w:rsidRDefault="00031D05" w:rsidP="00F7595A">
      <w:pPr>
        <w:pStyle w:val="TableTitle"/>
      </w:pPr>
      <w:bookmarkStart w:id="99" w:name="_Toc378791314"/>
      <w:proofErr w:type="gramStart"/>
      <w:r>
        <w:lastRenderedPageBreak/>
        <w:t>Table</w:t>
      </w:r>
      <w:r w:rsidR="00EC7E12">
        <w:t xml:space="preserve"> 6: B</w:t>
      </w:r>
      <w:r w:rsidRPr="002C26CD">
        <w:t xml:space="preserve">rief description of the </w:t>
      </w:r>
      <w:r w:rsidR="00BE23D9" w:rsidRPr="00F7595A">
        <w:t>Phase</w:t>
      </w:r>
      <w:r w:rsidR="00BE23D9">
        <w:t xml:space="preserve"> III</w:t>
      </w:r>
      <w:r>
        <w:t xml:space="preserve"> </w:t>
      </w:r>
      <w:r w:rsidRPr="002C26CD">
        <w:t>studies</w:t>
      </w:r>
      <w:bookmarkEnd w:id="99"/>
      <w:r w:rsidR="00EC7E12">
        <w:t>.</w:t>
      </w:r>
      <w:proofErr w:type="gramEnd"/>
      <w:r w:rsidR="00EC7E12">
        <w:t xml:space="preserve"> Phase III Efficacy and Safety studies supporting the use of LY2963016 in patients with T1DM and T2DM</w:t>
      </w:r>
    </w:p>
    <w:p w:rsidR="00172C45" w:rsidRDefault="00172C45" w:rsidP="00F7595A">
      <w:r>
        <w:rPr>
          <w:noProof/>
          <w:lang w:eastAsia="en-AU"/>
        </w:rPr>
        <w:drawing>
          <wp:inline distT="0" distB="0" distL="0" distR="0" wp14:anchorId="4E5B3794" wp14:editId="1C6FF92B">
            <wp:extent cx="5183747" cy="4037527"/>
            <wp:effectExtent l="0" t="0" r="0" b="1270"/>
            <wp:docPr id="6" name="Picture 6" descr="Table 6: Brief description of the Phase III studies. Phase III Efficacy and Safety studies supporting the use of LY2963016 in patients with T1DM and T2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3687"/>
                    <a:stretch/>
                  </pic:blipFill>
                  <pic:spPr bwMode="auto">
                    <a:xfrm>
                      <a:off x="0" y="0"/>
                      <a:ext cx="5190756" cy="4042986"/>
                    </a:xfrm>
                    <a:prstGeom prst="rect">
                      <a:avLst/>
                    </a:prstGeom>
                    <a:ln>
                      <a:noFill/>
                    </a:ln>
                    <a:extLst>
                      <a:ext uri="{53640926-AAD7-44D8-BBD7-CCE9431645EC}">
                        <a14:shadowObscured xmlns:a14="http://schemas.microsoft.com/office/drawing/2010/main"/>
                      </a:ext>
                    </a:extLst>
                  </pic:spPr>
                </pic:pic>
              </a:graphicData>
            </a:graphic>
          </wp:inline>
        </w:drawing>
      </w:r>
    </w:p>
    <w:p w:rsidR="008E7846" w:rsidRDefault="00605AD4" w:rsidP="00F7595A">
      <w:pPr>
        <w:pStyle w:val="Heading4"/>
      </w:pPr>
      <w:r>
        <w:t>Evaluator’s conclusions on efficacy</w:t>
      </w:r>
    </w:p>
    <w:p w:rsidR="00031D05" w:rsidRDefault="00031D05" w:rsidP="00031D05">
      <w:r w:rsidRPr="00C50835">
        <w:t>The first indication is subdivided in to adults and children; the second is limited to adults.</w:t>
      </w:r>
    </w:p>
    <w:p w:rsidR="00031D05" w:rsidRDefault="00031D05" w:rsidP="00031D05">
      <w:r>
        <w:t>In regard to T1DM, Study ABEB satisfied the requirements of its a priori sample size calculations and analytical plan.</w:t>
      </w:r>
      <w:r w:rsidR="001A1024">
        <w:t xml:space="preserve"> </w:t>
      </w:r>
      <w:r>
        <w:t>It was conducted in the light of advice received from the FDA and from the EMA.</w:t>
      </w:r>
      <w:r w:rsidR="001A1024">
        <w:t xml:space="preserve"> </w:t>
      </w:r>
      <w:r>
        <w:t>The study groups were well</w:t>
      </w:r>
      <w:r w:rsidR="000D31EB">
        <w:t xml:space="preserve"> </w:t>
      </w:r>
      <w:r>
        <w:t>matched.</w:t>
      </w:r>
      <w:r w:rsidR="001A1024">
        <w:t xml:space="preserve"> </w:t>
      </w:r>
      <w:r>
        <w:t xml:space="preserve">However, Study ABEB was of open label design and it is uncertain as to how much this might have affected the </w:t>
      </w:r>
      <w:r w:rsidRPr="00EC7E12">
        <w:t xml:space="preserve">behaviour of investigators in order to achieve similar improvements in both groups against baseline </w:t>
      </w:r>
      <w:proofErr w:type="spellStart"/>
      <w:r w:rsidR="00EC7E12" w:rsidRPr="00EC7E12">
        <w:t>glycated</w:t>
      </w:r>
      <w:proofErr w:type="spellEnd"/>
      <w:r w:rsidR="00EC7E12" w:rsidRPr="00EC7E12">
        <w:t xml:space="preserve"> haemoglobin (</w:t>
      </w:r>
      <w:r w:rsidRPr="00EC7E12">
        <w:t>HbA1c</w:t>
      </w:r>
      <w:r w:rsidR="00EC7E12">
        <w:t>)</w:t>
      </w:r>
      <w:r>
        <w:t xml:space="preserve"> readings.</w:t>
      </w:r>
      <w:r w:rsidR="001A1024">
        <w:t xml:space="preserve"> </w:t>
      </w:r>
      <w:r>
        <w:t xml:space="preserve">Within this major limitation, Study ABEB supports </w:t>
      </w:r>
      <w:proofErr w:type="spellStart"/>
      <w:r>
        <w:t>equi</w:t>
      </w:r>
      <w:proofErr w:type="spellEnd"/>
      <w:r>
        <w:t xml:space="preserve">-efficaciousness of </w:t>
      </w:r>
      <w:proofErr w:type="spellStart"/>
      <w:r w:rsidR="00EC7E12">
        <w:t>Abasria</w:t>
      </w:r>
      <w:proofErr w:type="spellEnd"/>
      <w:r>
        <w:t xml:space="preserve"> and Lantus as the basal insulin component in the treatment regimen of patients with T1DM.</w:t>
      </w:r>
      <w:r w:rsidR="001A1024">
        <w:t xml:space="preserve"> </w:t>
      </w:r>
      <w:r>
        <w:t>The supportive efficacy outcomes in Study ABEB are of doubtful clinical value.</w:t>
      </w:r>
    </w:p>
    <w:p w:rsidR="00031D05" w:rsidRDefault="00031D05" w:rsidP="00031D05">
      <w:r w:rsidRPr="00186C27">
        <w:t xml:space="preserve">In regard to </w:t>
      </w:r>
      <w:r w:rsidR="00186C27" w:rsidRPr="00186C27">
        <w:t xml:space="preserve">Type 2 Diabetes Mellitus </w:t>
      </w:r>
      <w:r w:rsidR="00186C27">
        <w:t>(</w:t>
      </w:r>
      <w:r w:rsidRPr="00186C27">
        <w:t>T2DM</w:t>
      </w:r>
      <w:r w:rsidR="00186C27">
        <w:t>)</w:t>
      </w:r>
      <w:r w:rsidRPr="00186C27">
        <w:t xml:space="preserve">, </w:t>
      </w:r>
      <w:r w:rsidR="00EC7E12" w:rsidRPr="00186C27">
        <w:t>t</w:t>
      </w:r>
      <w:r w:rsidRPr="00186C27">
        <w:t xml:space="preserve">he evaluator accepts that comparable efficacy to Lantus EU and Lantus US was shown in </w:t>
      </w:r>
      <w:r w:rsidR="00EC7E12" w:rsidRPr="00186C27">
        <w:t>S</w:t>
      </w:r>
      <w:r w:rsidRPr="00186C27">
        <w:t xml:space="preserve">tudy </w:t>
      </w:r>
      <w:proofErr w:type="gramStart"/>
      <w:r w:rsidRPr="00186C27">
        <w:t>ABEC,</w:t>
      </w:r>
      <w:proofErr w:type="gramEnd"/>
      <w:r w:rsidRPr="00186C27">
        <w:t xml:space="preserve"> a study</w:t>
      </w:r>
      <w:r>
        <w:t xml:space="preserve"> that exceeded the predetermined sample size and that had a modest dropout rate. The results of the study show comparable efficacy</w:t>
      </w:r>
      <w:r w:rsidR="00EC7E12">
        <w:t xml:space="preserve">, </w:t>
      </w:r>
      <w:r>
        <w:t>including comparable improvement from baseline in both treatment groups that is comparable also in terms of subgroups of previous Lantus use or insulin-naïve patients. The patient population was reasonably representative of patients with T2DM who require basal insulin, matching Lantus’ registered indication.</w:t>
      </w:r>
      <w:r w:rsidR="001A1024">
        <w:t xml:space="preserve"> </w:t>
      </w:r>
      <w:r>
        <w:t>It is clear that a large majority of subjects was not tightly controlled at study entry.</w:t>
      </w:r>
    </w:p>
    <w:p w:rsidR="008E7846" w:rsidRPr="002E238E" w:rsidRDefault="008E7846" w:rsidP="008E7846">
      <w:pPr>
        <w:pStyle w:val="Heading3"/>
      </w:pPr>
      <w:bookmarkStart w:id="100" w:name="_Toc163441378"/>
      <w:bookmarkStart w:id="101" w:name="_Toc196046495"/>
      <w:bookmarkStart w:id="102" w:name="_Toc247691522"/>
      <w:bookmarkStart w:id="103" w:name="_Toc314842505"/>
      <w:bookmarkStart w:id="104" w:name="_Toc428796488"/>
      <w:bookmarkEnd w:id="95"/>
      <w:bookmarkEnd w:id="96"/>
      <w:bookmarkEnd w:id="97"/>
      <w:bookmarkEnd w:id="98"/>
      <w:r w:rsidRPr="002E238E">
        <w:lastRenderedPageBreak/>
        <w:t>Safety</w:t>
      </w:r>
      <w:bookmarkEnd w:id="100"/>
      <w:bookmarkEnd w:id="101"/>
      <w:bookmarkEnd w:id="102"/>
      <w:bookmarkEnd w:id="103"/>
      <w:bookmarkEnd w:id="104"/>
    </w:p>
    <w:p w:rsidR="00605AD4" w:rsidRDefault="00605AD4" w:rsidP="00605AD4">
      <w:pPr>
        <w:pStyle w:val="Heading4"/>
      </w:pPr>
      <w:bookmarkStart w:id="105" w:name="_Toc247691524"/>
      <w:bookmarkStart w:id="106" w:name="_Toc314842508"/>
      <w:bookmarkStart w:id="107" w:name="_Toc196046504"/>
      <w:bookmarkStart w:id="108" w:name="_Toc163441390"/>
      <w:r w:rsidRPr="00605AD4">
        <w:t>Studies providing safety data</w:t>
      </w:r>
    </w:p>
    <w:p w:rsidR="00031D05" w:rsidRDefault="00031D05" w:rsidP="00031D05">
      <w:bookmarkStart w:id="109" w:name="_Ref268776745"/>
      <w:r>
        <w:t>The following types of studies provided evaluable safety data:</w:t>
      </w:r>
    </w:p>
    <w:p w:rsidR="00031D05" w:rsidRPr="00EC7E12" w:rsidRDefault="00BE23D9" w:rsidP="00EC7E12">
      <w:pPr>
        <w:pStyle w:val="ListBullet"/>
      </w:pPr>
      <w:r w:rsidRPr="00EC7E12">
        <w:t>Phase I</w:t>
      </w:r>
      <w:r w:rsidR="00031D05" w:rsidRPr="00EC7E12">
        <w:t xml:space="preserve"> Studies</w:t>
      </w:r>
    </w:p>
    <w:p w:rsidR="00031D05" w:rsidRPr="00EC7E12" w:rsidRDefault="00BE23D9" w:rsidP="00EC7E12">
      <w:pPr>
        <w:pStyle w:val="ListBullet"/>
      </w:pPr>
      <w:r w:rsidRPr="00EC7E12">
        <w:t>Phase III</w:t>
      </w:r>
      <w:r w:rsidR="00031D05" w:rsidRPr="00EC7E12">
        <w:t xml:space="preserve"> Studies</w:t>
      </w:r>
    </w:p>
    <w:p w:rsidR="00EC7E12" w:rsidRDefault="00031D05" w:rsidP="00031D05">
      <w:r w:rsidRPr="00EC7E12">
        <w:rPr>
          <w:rStyle w:val="Heading5Char"/>
          <w:rFonts w:eastAsia="Cambria"/>
        </w:rPr>
        <w:t xml:space="preserve">The </w:t>
      </w:r>
      <w:r w:rsidR="00BE23D9" w:rsidRPr="00EC7E12">
        <w:rPr>
          <w:rStyle w:val="Heading5Char"/>
          <w:rFonts w:eastAsia="Cambria"/>
        </w:rPr>
        <w:t>Phase I</w:t>
      </w:r>
      <w:r w:rsidRPr="00EC7E12">
        <w:rPr>
          <w:rStyle w:val="Heading5Char"/>
          <w:rFonts w:eastAsia="Cambria"/>
        </w:rPr>
        <w:t xml:space="preserve"> Studies </w:t>
      </w:r>
      <w:r>
        <w:t>were numerically dominated by the use of healthy volunteers, so most adverse events were procedure related (invasive procedures, inter</w:t>
      </w:r>
      <w:r w:rsidR="000D31EB">
        <w:t>-</w:t>
      </w:r>
      <w:r>
        <w:t>current illnesses</w:t>
      </w:r>
      <w:r w:rsidR="00EC7E12">
        <w:t xml:space="preserve"> and</w:t>
      </w:r>
      <w:r>
        <w:t xml:space="preserve"> hypoglycaemia).</w:t>
      </w:r>
      <w:r w:rsidR="001A1024">
        <w:t xml:space="preserve"> </w:t>
      </w:r>
      <w:r w:rsidRPr="00AE3AD9">
        <w:t xml:space="preserve">No new safety concerns arose from these </w:t>
      </w:r>
      <w:r w:rsidR="00BE23D9">
        <w:t>Phase I</w:t>
      </w:r>
      <w:r w:rsidR="00F7595A">
        <w:t xml:space="preserve"> studies.</w:t>
      </w:r>
    </w:p>
    <w:p w:rsidR="00031D05" w:rsidRDefault="00031D05" w:rsidP="00031D05">
      <w:r w:rsidRPr="00AE3AD9">
        <w:t>The erratic absorption of insulin</w:t>
      </w:r>
      <w:r>
        <w:t>,</w:t>
      </w:r>
      <w:r w:rsidRPr="00AE3AD9">
        <w:t xml:space="preserve"> in some individuals in </w:t>
      </w:r>
      <w:r>
        <w:t xml:space="preserve">at least </w:t>
      </w:r>
      <w:r w:rsidRPr="00AE3AD9">
        <w:t>one period of the replicate studies</w:t>
      </w:r>
      <w:r>
        <w:t>,</w:t>
      </w:r>
      <w:r w:rsidRPr="00AE3AD9">
        <w:t xml:space="preserve"> </w:t>
      </w:r>
      <w:r>
        <w:t xml:space="preserve">suggests limits to the reliability of insulin </w:t>
      </w:r>
      <w:proofErr w:type="spellStart"/>
      <w:r>
        <w:t>glargine</w:t>
      </w:r>
      <w:proofErr w:type="spellEnd"/>
      <w:r>
        <w:t xml:space="preserve"> (whether as </w:t>
      </w:r>
      <w:proofErr w:type="spellStart"/>
      <w:r w:rsidR="00EC7E12">
        <w:t>Abasria</w:t>
      </w:r>
      <w:proofErr w:type="spellEnd"/>
      <w:r>
        <w:t xml:space="preserve"> or Lantus) as a slow release pharmaceutical</w:t>
      </w:r>
      <w:r w:rsidRPr="00AE3AD9">
        <w:t>.</w:t>
      </w:r>
    </w:p>
    <w:p w:rsidR="00EC7E12" w:rsidRDefault="00031D05" w:rsidP="00031D05">
      <w:r w:rsidRPr="00EC7E12">
        <w:rPr>
          <w:rStyle w:val="Heading5Char"/>
          <w:rFonts w:eastAsia="Cambria"/>
        </w:rPr>
        <w:t xml:space="preserve">The </w:t>
      </w:r>
      <w:r w:rsidR="00BE23D9" w:rsidRPr="00EC7E12">
        <w:rPr>
          <w:rStyle w:val="Heading5Char"/>
          <w:rFonts w:eastAsia="Cambria"/>
        </w:rPr>
        <w:t>Phase III</w:t>
      </w:r>
      <w:r w:rsidRPr="00EC7E12">
        <w:rPr>
          <w:rStyle w:val="Heading5Char"/>
          <w:rFonts w:eastAsia="Cambria"/>
        </w:rPr>
        <w:t xml:space="preserve"> Studies</w:t>
      </w:r>
      <w:r>
        <w:t xml:space="preserve"> are of uneven quality (ABEC was blinded; ABEB was open) but both were large enough to define common adverse events and both included a blinded centralised review of possible immunological adverse events as well as binding </w:t>
      </w:r>
      <w:r w:rsidR="00F7595A">
        <w:t>activity of insulin antibodies.</w:t>
      </w:r>
    </w:p>
    <w:p w:rsidR="00031D05" w:rsidRDefault="00EC7E12" w:rsidP="00031D05">
      <w:r>
        <w:t>The evaluator has</w:t>
      </w:r>
      <w:r w:rsidR="00031D05">
        <w:t xml:space="preserve"> referred to ABEB and ABEC as </w:t>
      </w:r>
      <w:r w:rsidR="00722754">
        <w:t>‘</w:t>
      </w:r>
      <w:r w:rsidR="00BE23D9">
        <w:t>Phase III</w:t>
      </w:r>
      <w:r w:rsidR="00031D05">
        <w:t xml:space="preserve"> Studies</w:t>
      </w:r>
      <w:r w:rsidR="00722754">
        <w:t>’</w:t>
      </w:r>
      <w:r w:rsidR="00031D05">
        <w:t xml:space="preserve"> rather than </w:t>
      </w:r>
      <w:r w:rsidR="00722754">
        <w:t>‘</w:t>
      </w:r>
      <w:r w:rsidR="00031D05">
        <w:t>pivotal</w:t>
      </w:r>
      <w:r w:rsidR="00722754">
        <w:t>’</w:t>
      </w:r>
      <w:r w:rsidR="00031D05">
        <w:t xml:space="preserve"> studies in this section because </w:t>
      </w:r>
      <w:r>
        <w:t xml:space="preserve">it was not considered that </w:t>
      </w:r>
      <w:r w:rsidR="00F7595A">
        <w:t>ABEB is a pivotal study.</w:t>
      </w:r>
    </w:p>
    <w:p w:rsidR="00031D05" w:rsidRPr="00027276" w:rsidRDefault="00BE23D9" w:rsidP="00EC7E12">
      <w:pPr>
        <w:pStyle w:val="Heading5"/>
      </w:pPr>
      <w:r>
        <w:t>Phase III</w:t>
      </w:r>
      <w:r w:rsidR="00031D05" w:rsidRPr="00027276">
        <w:t xml:space="preserve"> efficacy studie</w:t>
      </w:r>
      <w:bookmarkEnd w:id="109"/>
      <w:r w:rsidR="00F7595A">
        <w:t>s</w:t>
      </w:r>
    </w:p>
    <w:p w:rsidR="00570559" w:rsidRDefault="00031D05" w:rsidP="00031D05">
      <w:r>
        <w:t xml:space="preserve">In the </w:t>
      </w:r>
      <w:r w:rsidR="00BE23D9">
        <w:t>Phase III</w:t>
      </w:r>
      <w:r>
        <w:t xml:space="preserve"> efficacy studies, the safety data were collected according to this tabulation:</w:t>
      </w:r>
    </w:p>
    <w:p w:rsidR="00EC7E12" w:rsidRDefault="00EC7E12" w:rsidP="00F7595A">
      <w:pPr>
        <w:pStyle w:val="TableTitle"/>
      </w:pPr>
      <w:proofErr w:type="gramStart"/>
      <w:r>
        <w:lastRenderedPageBreak/>
        <w:t>Table 7: Study schedule.</w:t>
      </w:r>
      <w:proofErr w:type="gramEnd"/>
      <w:r>
        <w:t xml:space="preserve"> Protocol I14L-MC-</w:t>
      </w:r>
      <w:r w:rsidRPr="00F7595A">
        <w:t>ABEC</w:t>
      </w:r>
    </w:p>
    <w:p w:rsidR="00172C45" w:rsidRDefault="00172C45" w:rsidP="00D1559C">
      <w:r>
        <w:rPr>
          <w:noProof/>
          <w:lang w:eastAsia="en-AU"/>
        </w:rPr>
        <w:drawing>
          <wp:inline distT="0" distB="0" distL="0" distR="0" wp14:anchorId="39A8CF49" wp14:editId="1C25005C">
            <wp:extent cx="5460642" cy="6001554"/>
            <wp:effectExtent l="0" t="0" r="6985" b="0"/>
            <wp:docPr id="5" name="Picture 5" descr="Table 7: Study schedule. Protocol I14L-MC-A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1246" cy="6002218"/>
                    </a:xfrm>
                    <a:prstGeom prst="rect">
                      <a:avLst/>
                    </a:prstGeom>
                  </pic:spPr>
                </pic:pic>
              </a:graphicData>
            </a:graphic>
          </wp:inline>
        </w:drawing>
      </w:r>
    </w:p>
    <w:p w:rsidR="00031D05" w:rsidRPr="00840122" w:rsidRDefault="00BE23D9" w:rsidP="00F7595A">
      <w:pPr>
        <w:pStyle w:val="Heading5"/>
      </w:pPr>
      <w:r>
        <w:t>Phase III</w:t>
      </w:r>
      <w:r w:rsidR="00031D05" w:rsidRPr="00027276">
        <w:t xml:space="preserve"> studies that assessed </w:t>
      </w:r>
      <w:r w:rsidR="00031D05">
        <w:t xml:space="preserve">safety as a </w:t>
      </w:r>
      <w:r w:rsidR="00031D05" w:rsidRPr="00F7595A">
        <w:t>primary</w:t>
      </w:r>
      <w:r w:rsidR="00031D05">
        <w:t xml:space="preserve"> outcome</w:t>
      </w:r>
    </w:p>
    <w:p w:rsidR="007657CB" w:rsidRDefault="00031D05" w:rsidP="00031D05">
      <w:r>
        <w:t>Neither Study ABEC nor Study ABEB had specific safety objectives as primary outcomes.</w:t>
      </w:r>
      <w:r w:rsidR="001A1024">
        <w:t xml:space="preserve"> </w:t>
      </w:r>
      <w:r>
        <w:t xml:space="preserve"> It is noted that both had one secondary outcome t</w:t>
      </w:r>
      <w:r w:rsidR="00F7595A">
        <w:t>hat is arguably safety-related,</w:t>
      </w:r>
    </w:p>
    <w:p w:rsidR="00031D05" w:rsidRDefault="00722754" w:rsidP="00031D05">
      <w:r>
        <w:t>‘</w:t>
      </w:r>
      <w:r w:rsidR="00031D05" w:rsidRPr="00EC7E12">
        <w:rPr>
          <w:i/>
        </w:rPr>
        <w:t xml:space="preserve">To compare LY2963016 relative to </w:t>
      </w:r>
      <w:r w:rsidR="00D54BAC" w:rsidRPr="00EC7E12">
        <w:rPr>
          <w:i/>
        </w:rPr>
        <w:t>Lantus</w:t>
      </w:r>
      <w:r w:rsidR="00031D05" w:rsidRPr="00EC7E12">
        <w:rPr>
          <w:i/>
          <w:vertAlign w:val="superscript"/>
        </w:rPr>
        <w:t>®</w:t>
      </w:r>
      <w:r w:rsidR="00031D05" w:rsidRPr="00EC7E12">
        <w:rPr>
          <w:i/>
        </w:rPr>
        <w:t xml:space="preserve"> with regard to </w:t>
      </w:r>
      <w:proofErr w:type="spellStart"/>
      <w:r w:rsidR="00031D05" w:rsidRPr="00EC7E12">
        <w:rPr>
          <w:i/>
        </w:rPr>
        <w:t>intrapatient</w:t>
      </w:r>
      <w:proofErr w:type="spellEnd"/>
      <w:r w:rsidR="00031D05" w:rsidRPr="00EC7E12">
        <w:rPr>
          <w:i/>
        </w:rPr>
        <w:t xml:space="preserve"> blood-glucose (BG) variability; basal and prandial (separately and as total daily) insulin dose; and weight when used in combination with pre-meal insulin </w:t>
      </w:r>
      <w:proofErr w:type="spellStart"/>
      <w:r w:rsidR="00031D05" w:rsidRPr="00EC7E12">
        <w:rPr>
          <w:i/>
        </w:rPr>
        <w:t>lispro</w:t>
      </w:r>
      <w:proofErr w:type="spellEnd"/>
      <w:r w:rsidR="00031D05" w:rsidRPr="00EC7E12">
        <w:rPr>
          <w:i/>
        </w:rPr>
        <w:t>.</w:t>
      </w:r>
      <w:r w:rsidRPr="00EC7E12">
        <w:rPr>
          <w:i/>
        </w:rPr>
        <w:t>’</w:t>
      </w:r>
      <w:r w:rsidR="00031D05" w:rsidRPr="00EC7E12">
        <w:rPr>
          <w:i/>
        </w:rPr>
        <w:t xml:space="preserve"> This outcome has been presented in the efficacy discussion of each study (See sections 21.7 and 22.4.1.3 of this report).</w:t>
      </w:r>
      <w:r w:rsidR="001A1024">
        <w:rPr>
          <w:i/>
        </w:rPr>
        <w:t xml:space="preserve"> </w:t>
      </w:r>
      <w:r w:rsidR="00031D05" w:rsidRPr="00EC7E12">
        <w:rPr>
          <w:i/>
        </w:rPr>
        <w:t xml:space="preserve">Study ABEC had also this secondary outcome: </w:t>
      </w:r>
      <w:r w:rsidRPr="00EC7E12">
        <w:rPr>
          <w:i/>
        </w:rPr>
        <w:t>‘</w:t>
      </w:r>
      <w:proofErr w:type="gramStart"/>
      <w:r w:rsidR="00031D05" w:rsidRPr="00EC7E12">
        <w:rPr>
          <w:i/>
        </w:rPr>
        <w:t>To</w:t>
      </w:r>
      <w:proofErr w:type="gramEnd"/>
      <w:r w:rsidR="00031D05" w:rsidRPr="00EC7E12">
        <w:rPr>
          <w:i/>
        </w:rPr>
        <w:t xml:space="preserve"> compare the safety of LY2963016 relative to </w:t>
      </w:r>
      <w:r w:rsidR="00D54BAC" w:rsidRPr="00EC7E12">
        <w:rPr>
          <w:i/>
        </w:rPr>
        <w:t>Lantus</w:t>
      </w:r>
      <w:r w:rsidR="00031D05" w:rsidRPr="00EC7E12">
        <w:rPr>
          <w:i/>
          <w:vertAlign w:val="superscript"/>
        </w:rPr>
        <w:t>®</w:t>
      </w:r>
      <w:r w:rsidR="00031D05" w:rsidRPr="00EC7E12">
        <w:rPr>
          <w:i/>
        </w:rPr>
        <w:t xml:space="preserve"> (</w:t>
      </w:r>
      <w:proofErr w:type="spellStart"/>
      <w:r w:rsidR="00031D05" w:rsidRPr="00EC7E12">
        <w:rPr>
          <w:i/>
        </w:rPr>
        <w:t>eg</w:t>
      </w:r>
      <w:proofErr w:type="spellEnd"/>
      <w:r w:rsidR="00031D05" w:rsidRPr="00EC7E12">
        <w:rPr>
          <w:i/>
        </w:rPr>
        <w:t xml:space="preserve">, incidence of anti-insulin antibodies, </w:t>
      </w:r>
      <w:proofErr w:type="spellStart"/>
      <w:r w:rsidR="00031D05" w:rsidRPr="00EC7E12">
        <w:rPr>
          <w:i/>
        </w:rPr>
        <w:t>hypoglycemia</w:t>
      </w:r>
      <w:proofErr w:type="spellEnd"/>
      <w:r w:rsidR="00031D05" w:rsidRPr="00EC7E12">
        <w:rPr>
          <w:i/>
        </w:rPr>
        <w:t>, adverse events [AEs]) when used in combination with OAMs</w:t>
      </w:r>
      <w:r>
        <w:t>’</w:t>
      </w:r>
      <w:r w:rsidR="00031D05">
        <w:t>.</w:t>
      </w:r>
    </w:p>
    <w:p w:rsidR="00031D05" w:rsidRDefault="00031D05" w:rsidP="00EC7E12">
      <w:pPr>
        <w:pStyle w:val="Heading5"/>
      </w:pPr>
      <w:r>
        <w:t>Dose-response and non-pivotal efficacy studies</w:t>
      </w:r>
    </w:p>
    <w:p w:rsidR="00031D05" w:rsidRDefault="00031D05" w:rsidP="00031D05">
      <w:pPr>
        <w:pStyle w:val="Bullet1"/>
        <w:numPr>
          <w:ilvl w:val="0"/>
          <w:numId w:val="0"/>
        </w:numPr>
        <w:ind w:left="284" w:hanging="284"/>
      </w:pPr>
      <w:r>
        <w:t>Not applicable.</w:t>
      </w:r>
    </w:p>
    <w:p w:rsidR="00031D05" w:rsidRDefault="00031D05" w:rsidP="00EC7E12">
      <w:pPr>
        <w:pStyle w:val="Heading5"/>
      </w:pPr>
      <w:r>
        <w:lastRenderedPageBreak/>
        <w:t>Other studies evaluable for safety only</w:t>
      </w:r>
    </w:p>
    <w:p w:rsidR="00031D05" w:rsidRDefault="00031D05" w:rsidP="00031D05">
      <w:r>
        <w:t>Not applicable.</w:t>
      </w:r>
    </w:p>
    <w:p w:rsidR="00031D05" w:rsidRDefault="00031D05" w:rsidP="00EC7E12">
      <w:pPr>
        <w:pStyle w:val="Heading5"/>
      </w:pPr>
      <w:bookmarkStart w:id="110" w:name="_Ref269204367"/>
      <w:bookmarkStart w:id="111" w:name="_Ref271195835"/>
      <w:bookmarkStart w:id="112" w:name="_Ref271195841"/>
      <w:bookmarkStart w:id="113" w:name="_Toc272414660"/>
      <w:bookmarkStart w:id="114" w:name="_Toc290846285"/>
      <w:bookmarkStart w:id="115" w:name="_Toc378790196"/>
      <w:r>
        <w:t xml:space="preserve">Phase three studies </w:t>
      </w:r>
      <w:r w:rsidRPr="00027276">
        <w:t xml:space="preserve">that assessed </w:t>
      </w:r>
      <w:r>
        <w:t>safety as a primary outcome</w:t>
      </w:r>
      <w:bookmarkEnd w:id="110"/>
      <w:bookmarkEnd w:id="111"/>
      <w:bookmarkEnd w:id="112"/>
      <w:bookmarkEnd w:id="113"/>
      <w:bookmarkEnd w:id="114"/>
      <w:bookmarkEnd w:id="115"/>
    </w:p>
    <w:p w:rsidR="00031D05" w:rsidRDefault="00031D05" w:rsidP="00031D05">
      <w:r>
        <w:t>Not applicable.</w:t>
      </w:r>
    </w:p>
    <w:p w:rsidR="00605AD4" w:rsidRDefault="00605AD4" w:rsidP="00605AD4">
      <w:pPr>
        <w:pStyle w:val="Heading4"/>
      </w:pPr>
      <w:r w:rsidRPr="00605AD4">
        <w:t>Patient exposure</w:t>
      </w:r>
    </w:p>
    <w:p w:rsidR="00031D05" w:rsidRDefault="00031D05" w:rsidP="00B00796">
      <w:pPr>
        <w:pStyle w:val="Heading5"/>
      </w:pPr>
      <w:bookmarkStart w:id="116" w:name="_Toc378790197"/>
      <w:r>
        <w:t xml:space="preserve">Phase </w:t>
      </w:r>
      <w:r w:rsidR="00EC7E12">
        <w:t>III</w:t>
      </w:r>
      <w:r>
        <w:t xml:space="preserve"> studies</w:t>
      </w:r>
      <w:bookmarkEnd w:id="116"/>
    </w:p>
    <w:p w:rsidR="00031D05" w:rsidRDefault="00031D05" w:rsidP="00031D05">
      <w:pPr>
        <w:autoSpaceDE w:val="0"/>
        <w:autoSpaceDN w:val="0"/>
        <w:adjustRightInd w:val="0"/>
      </w:pPr>
      <w:r>
        <w:t xml:space="preserve">As noted in the </w:t>
      </w:r>
      <w:r w:rsidR="00EC7E12">
        <w:t>sponsor’s S</w:t>
      </w:r>
      <w:r>
        <w:t>afety summary, a total of 536 patients with T1DM and 759 patients with T2DM were randomly assigned to treatment in Studies ABEB and ABEC, respectively.</w:t>
      </w:r>
      <w:r w:rsidR="001A1024">
        <w:t xml:space="preserve"> </w:t>
      </w:r>
      <w:r>
        <w:t xml:space="preserve">Of these patients, a total of 535 patients with T1DM and 756 patients with T2DM received at least </w:t>
      </w:r>
      <w:r w:rsidR="000D31EB">
        <w:t xml:space="preserve">one </w:t>
      </w:r>
      <w:r>
        <w:t xml:space="preserve">dose of randomly assigned study drug, comprising the Full Analysis Sets (FAS) and serving as the populations of interest for analyses in the applicant’s safety analyses. The mean duration of exposure for patients in Study ABEB was 23.32 weeks and 23.66 weeks for the </w:t>
      </w:r>
      <w:proofErr w:type="spellStart"/>
      <w:r w:rsidR="00EC7E12">
        <w:t>Abasria</w:t>
      </w:r>
      <w:proofErr w:type="spellEnd"/>
      <w:r>
        <w:t xml:space="preserve"> and </w:t>
      </w:r>
      <w:r w:rsidR="00D54BAC">
        <w:t>Lantus</w:t>
      </w:r>
      <w:r w:rsidRPr="005B400D">
        <w:rPr>
          <w:vertAlign w:val="superscript"/>
        </w:rPr>
        <w:t>®</w:t>
      </w:r>
      <w:r>
        <w:t xml:space="preserve"> groups, respectively; mean duration of exposure in Study ABEC was 22.38 and 22.13 weeks, respectively.</w:t>
      </w:r>
      <w:r w:rsidR="001A1024">
        <w:t xml:space="preserve"> </w:t>
      </w:r>
      <w:r>
        <w:t xml:space="preserve">The dose of insulin </w:t>
      </w:r>
      <w:proofErr w:type="spellStart"/>
      <w:r>
        <w:t>glargine</w:t>
      </w:r>
      <w:proofErr w:type="spellEnd"/>
      <w:r>
        <w:t xml:space="preserve"> was according to the same treatment paradigm in each study; the locally approved PI inform</w:t>
      </w:r>
      <w:r w:rsidR="00B00796">
        <w:t xml:space="preserve">ed the use of insulin </w:t>
      </w:r>
      <w:proofErr w:type="spellStart"/>
      <w:r w:rsidR="00B00796">
        <w:t>glargine</w:t>
      </w:r>
      <w:proofErr w:type="spellEnd"/>
      <w:r w:rsidR="00B00796">
        <w:t>.</w:t>
      </w:r>
    </w:p>
    <w:p w:rsidR="00031D05" w:rsidRDefault="00031D05" w:rsidP="00031D05">
      <w:pPr>
        <w:autoSpaceDE w:val="0"/>
        <w:autoSpaceDN w:val="0"/>
        <w:adjustRightInd w:val="0"/>
      </w:pPr>
      <w:r>
        <w:t xml:space="preserve">The following comparative table is from </w:t>
      </w:r>
      <w:r w:rsidR="00EC7E12">
        <w:t>sponsor’s S</w:t>
      </w:r>
      <w:r>
        <w:t xml:space="preserve">afety </w:t>
      </w:r>
      <w:r w:rsidR="000D31EB">
        <w:t>Summary</w:t>
      </w:r>
      <w:r>
        <w:t>; it matches the patient numbers in the study reports.</w:t>
      </w:r>
    </w:p>
    <w:p w:rsidR="00031D05" w:rsidRDefault="00031D05" w:rsidP="00F7595A">
      <w:pPr>
        <w:pStyle w:val="TableTitle"/>
      </w:pPr>
      <w:bookmarkStart w:id="117" w:name="_Toc378791315"/>
      <w:proofErr w:type="gramStart"/>
      <w:r>
        <w:t>Table</w:t>
      </w:r>
      <w:r w:rsidR="00570559">
        <w:t xml:space="preserve"> 8</w:t>
      </w:r>
      <w:r w:rsidR="00570559">
        <w:rPr>
          <w:noProof/>
        </w:rPr>
        <w:t>:</w:t>
      </w:r>
      <w:r w:rsidR="001A1024">
        <w:t xml:space="preserve"> </w:t>
      </w:r>
      <w:r>
        <w:t xml:space="preserve">Exposure (by duration) to </w:t>
      </w:r>
      <w:proofErr w:type="spellStart"/>
      <w:r w:rsidR="00EC7E12">
        <w:t>Abasria</w:t>
      </w:r>
      <w:proofErr w:type="spellEnd"/>
      <w:r>
        <w:t xml:space="preserve"> and Lantus in </w:t>
      </w:r>
      <w:r w:rsidR="00BE23D9">
        <w:t>Phase III</w:t>
      </w:r>
      <w:r>
        <w:t xml:space="preserve"> </w:t>
      </w:r>
      <w:r w:rsidRPr="00F7595A">
        <w:t>clinical</w:t>
      </w:r>
      <w:r>
        <w:t xml:space="preserve"> studies.</w:t>
      </w:r>
      <w:bookmarkEnd w:id="117"/>
      <w:proofErr w:type="gramEnd"/>
    </w:p>
    <w:p w:rsidR="00172C45" w:rsidRDefault="00172C45" w:rsidP="00F7595A">
      <w:r>
        <w:rPr>
          <w:noProof/>
          <w:lang w:eastAsia="en-AU"/>
        </w:rPr>
        <w:drawing>
          <wp:inline distT="0" distB="0" distL="0" distR="0" wp14:anchorId="528B7EEB" wp14:editId="4C90F1BC">
            <wp:extent cx="5376930" cy="1769500"/>
            <wp:effectExtent l="0" t="0" r="0" b="2540"/>
            <wp:docPr id="7" name="Picture 7" descr="Table 8: Exposure (by duration) to Abasria and Lantus in Phase III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92"/>
                    <a:stretch/>
                  </pic:blipFill>
                  <pic:spPr bwMode="auto">
                    <a:xfrm>
                      <a:off x="0" y="0"/>
                      <a:ext cx="5378490" cy="1770013"/>
                    </a:xfrm>
                    <a:prstGeom prst="rect">
                      <a:avLst/>
                    </a:prstGeom>
                    <a:ln>
                      <a:noFill/>
                    </a:ln>
                    <a:extLst>
                      <a:ext uri="{53640926-AAD7-44D8-BBD7-CCE9431645EC}">
                        <a14:shadowObscured xmlns:a14="http://schemas.microsoft.com/office/drawing/2010/main"/>
                      </a:ext>
                    </a:extLst>
                  </pic:spPr>
                </pic:pic>
              </a:graphicData>
            </a:graphic>
          </wp:inline>
        </w:drawing>
      </w:r>
    </w:p>
    <w:p w:rsidR="00031D05" w:rsidRDefault="00031D05" w:rsidP="00031D05">
      <w:pPr>
        <w:autoSpaceDE w:val="0"/>
        <w:autoSpaceDN w:val="0"/>
        <w:adjustRightInd w:val="0"/>
      </w:pPr>
      <w:r>
        <w:t>There is no experience beyond the cut-off point of Studies ABEB and ABEC</w:t>
      </w:r>
      <w:r w:rsidR="00570559">
        <w:t>, that is,</w:t>
      </w:r>
      <w:r>
        <w:t xml:space="preserve"> 24 weeks on treatment.</w:t>
      </w:r>
    </w:p>
    <w:p w:rsidR="00605AD4" w:rsidRDefault="00605AD4" w:rsidP="00B00796">
      <w:pPr>
        <w:pStyle w:val="Heading4"/>
      </w:pPr>
      <w:r w:rsidRPr="00605AD4">
        <w:t xml:space="preserve">Safety </w:t>
      </w:r>
      <w:r w:rsidRPr="00B00796">
        <w:t>issues</w:t>
      </w:r>
      <w:r w:rsidRPr="00605AD4">
        <w:t xml:space="preserve"> with the potential for major regulatory impact</w:t>
      </w:r>
    </w:p>
    <w:p w:rsidR="00031D05" w:rsidRPr="007A7F89" w:rsidRDefault="00031D05" w:rsidP="00B00796">
      <w:pPr>
        <w:pStyle w:val="Heading5"/>
      </w:pPr>
      <w:bookmarkStart w:id="118" w:name="_Toc378790208"/>
      <w:r w:rsidRPr="007A7F89">
        <w:t>Neoplasms</w:t>
      </w:r>
      <w:bookmarkEnd w:id="118"/>
    </w:p>
    <w:p w:rsidR="00031D05" w:rsidRDefault="00570559" w:rsidP="00031D05">
      <w:pPr>
        <w:autoSpaceDE w:val="0"/>
        <w:autoSpaceDN w:val="0"/>
        <w:adjustRightInd w:val="0"/>
      </w:pPr>
      <w:r>
        <w:t>A</w:t>
      </w:r>
      <w:r w:rsidR="00031D05">
        <w:t xml:space="preserve"> few neoplasms were reported in both studies. The matter deserves long term targeted surveillance because:</w:t>
      </w:r>
    </w:p>
    <w:p w:rsidR="00031D05" w:rsidRDefault="00031D05" w:rsidP="00570559">
      <w:pPr>
        <w:pStyle w:val="ListBullet"/>
      </w:pPr>
      <w:r>
        <w:t xml:space="preserve">Insulin </w:t>
      </w:r>
      <w:proofErr w:type="spellStart"/>
      <w:r>
        <w:t>glargine</w:t>
      </w:r>
      <w:proofErr w:type="spellEnd"/>
      <w:r>
        <w:t xml:space="preserve"> is agonistic at the </w:t>
      </w:r>
      <w:r w:rsidR="00570559">
        <w:t>Insulin-like Growth factor (</w:t>
      </w:r>
      <w:r>
        <w:t>IGF-1</w:t>
      </w:r>
      <w:r w:rsidR="00570559">
        <w:t>)</w:t>
      </w:r>
      <w:r w:rsidR="00F7595A">
        <w:t xml:space="preserve"> receptor</w:t>
      </w:r>
    </w:p>
    <w:p w:rsidR="00031D05" w:rsidRPr="00A52927" w:rsidRDefault="00031D05" w:rsidP="00570559">
      <w:pPr>
        <w:pStyle w:val="ListBullet"/>
      </w:pPr>
      <w:r>
        <w:t>Th</w:t>
      </w:r>
      <w:r w:rsidR="00D1559C">
        <w:t>e approved PI of Lantus states,</w:t>
      </w:r>
      <w:r w:rsidR="007657CB">
        <w:br/>
      </w:r>
      <w:r w:rsidR="00722754">
        <w:t>‘</w:t>
      </w:r>
      <w:r w:rsidRPr="00570559">
        <w:rPr>
          <w:i/>
        </w:rPr>
        <w:t xml:space="preserve">IGF-1 receptor binding: The affinity of insulin </w:t>
      </w:r>
      <w:proofErr w:type="spellStart"/>
      <w:r w:rsidRPr="00570559">
        <w:rPr>
          <w:i/>
        </w:rPr>
        <w:t>glargine</w:t>
      </w:r>
      <w:proofErr w:type="spellEnd"/>
      <w:r w:rsidRPr="00570559">
        <w:rPr>
          <w:i/>
        </w:rPr>
        <w:t xml:space="preserve"> for the human IGF-1 receptor is approximately 5 to 8-fold greater than that of human insulin (but approximately 70 to 80-fold lower than the one of IGF-1), whereas M1 and M2 bind the IGF-1 receptor with slightly lower affinity compared to human insulin.</w:t>
      </w:r>
      <w:r w:rsidR="001A1024">
        <w:rPr>
          <w:i/>
        </w:rPr>
        <w:t xml:space="preserve"> </w:t>
      </w:r>
      <w:r w:rsidRPr="00570559">
        <w:rPr>
          <w:i/>
        </w:rPr>
        <w:t>The total therapeutic insulin concentration</w:t>
      </w:r>
      <w:r w:rsidR="007657CB">
        <w:rPr>
          <w:i/>
        </w:rPr>
        <w:t>s</w:t>
      </w:r>
      <w:r w:rsidRPr="00570559">
        <w:rPr>
          <w:i/>
        </w:rPr>
        <w:t xml:space="preserve"> (insulin </w:t>
      </w:r>
      <w:proofErr w:type="spellStart"/>
      <w:r w:rsidRPr="00570559">
        <w:rPr>
          <w:i/>
        </w:rPr>
        <w:t>glargine</w:t>
      </w:r>
      <w:proofErr w:type="spellEnd"/>
      <w:r w:rsidRPr="00570559">
        <w:rPr>
          <w:i/>
        </w:rPr>
        <w:t xml:space="preserve"> and its metabolites) found in type 1 diabetic patients was markedly lower than what would be required for a half maximal occupation of the IGF-1 receptor and the subsequent activation of the </w:t>
      </w:r>
      <w:proofErr w:type="spellStart"/>
      <w:r w:rsidRPr="00570559">
        <w:rPr>
          <w:i/>
        </w:rPr>
        <w:t>mitogenic</w:t>
      </w:r>
      <w:proofErr w:type="spellEnd"/>
      <w:r w:rsidRPr="00570559">
        <w:rPr>
          <w:i/>
        </w:rPr>
        <w:t xml:space="preserve">-proliferative pathway </w:t>
      </w:r>
      <w:r w:rsidRPr="00570559">
        <w:rPr>
          <w:i/>
        </w:rPr>
        <w:lastRenderedPageBreak/>
        <w:t xml:space="preserve">initiated by the IGF-1 receptor. Physiological concentrations of endogenous IGF-1 may activate the </w:t>
      </w:r>
      <w:proofErr w:type="spellStart"/>
      <w:r w:rsidRPr="00570559">
        <w:rPr>
          <w:i/>
        </w:rPr>
        <w:t>mitogenic</w:t>
      </w:r>
      <w:proofErr w:type="spellEnd"/>
      <w:r w:rsidRPr="00570559">
        <w:rPr>
          <w:i/>
        </w:rPr>
        <w:t xml:space="preserve"> proliferative pathway; however, the therapeutic concentrations found in insulin therapy, including in Lantus therapy, are considerably lower than the pharmacological concentrations required </w:t>
      </w:r>
      <w:proofErr w:type="gramStart"/>
      <w:r w:rsidRPr="00570559">
        <w:rPr>
          <w:i/>
        </w:rPr>
        <w:t>to activate</w:t>
      </w:r>
      <w:proofErr w:type="gramEnd"/>
      <w:r w:rsidRPr="00570559">
        <w:rPr>
          <w:i/>
        </w:rPr>
        <w:t xml:space="preserve"> the IGF-1 pathway</w:t>
      </w:r>
      <w:r w:rsidRPr="00A52927">
        <w:t>.</w:t>
      </w:r>
      <w:r w:rsidR="00722754">
        <w:t>’</w:t>
      </w:r>
    </w:p>
    <w:p w:rsidR="00031D05" w:rsidRPr="00A52927" w:rsidRDefault="00031D05" w:rsidP="00570559">
      <w:pPr>
        <w:pStyle w:val="ListBullet"/>
      </w:pPr>
      <w:r>
        <w:t xml:space="preserve">The above might not always apply </w:t>
      </w:r>
      <w:r w:rsidR="00570559">
        <w:t xml:space="preserve">for example, </w:t>
      </w:r>
      <w:r>
        <w:t xml:space="preserve">when early release of insulin </w:t>
      </w:r>
      <w:proofErr w:type="spellStart"/>
      <w:r>
        <w:t>glargine</w:t>
      </w:r>
      <w:proofErr w:type="spellEnd"/>
      <w:r>
        <w:t xml:space="preserve"> occurs from the site of injection, as happened in the </w:t>
      </w:r>
      <w:r w:rsidR="00BE23D9">
        <w:t>Phase I</w:t>
      </w:r>
      <w:r>
        <w:t xml:space="preserve"> studies. A non-selective assay was used but it is likely that insulin </w:t>
      </w:r>
      <w:proofErr w:type="spellStart"/>
      <w:r>
        <w:t>glargine</w:t>
      </w:r>
      <w:proofErr w:type="spellEnd"/>
      <w:r>
        <w:t xml:space="preserve">, not M1 was released. Consequently, intermittent release of insulin </w:t>
      </w:r>
      <w:proofErr w:type="spellStart"/>
      <w:r>
        <w:t>glargine</w:t>
      </w:r>
      <w:proofErr w:type="spellEnd"/>
      <w:r>
        <w:t xml:space="preserve"> from the site of injection, in a setting of long term use, has not been excluded.</w:t>
      </w:r>
    </w:p>
    <w:p w:rsidR="00031D05" w:rsidRDefault="00031D05" w:rsidP="00570559">
      <w:pPr>
        <w:pStyle w:val="ListBullet"/>
      </w:pPr>
      <w:r>
        <w:t xml:space="preserve">The matter has been discussed in the literature since the publication of a retrospective cohort study of </w:t>
      </w:r>
      <w:r w:rsidRPr="00612CEF">
        <w:t xml:space="preserve">German health insurance </w:t>
      </w:r>
      <w:r w:rsidRPr="00EF096E">
        <w:t>fund records.</w:t>
      </w:r>
      <w:r w:rsidR="00EF096E" w:rsidRPr="00EF096E">
        <w:rPr>
          <w:rStyle w:val="FootnoteReference"/>
        </w:rPr>
        <w:footnoteReference w:id="9"/>
      </w:r>
      <w:r w:rsidR="001A1024">
        <w:t xml:space="preserve"> </w:t>
      </w:r>
      <w:r w:rsidRPr="00EF096E">
        <w:t>A dose-dependent</w:t>
      </w:r>
      <w:r>
        <w:t xml:space="preserve"> increase in cancer risk was found for treatment with insulin </w:t>
      </w:r>
      <w:proofErr w:type="spellStart"/>
      <w:r>
        <w:t>glargine</w:t>
      </w:r>
      <w:proofErr w:type="spellEnd"/>
      <w:r>
        <w:t xml:space="preserve"> compared with human insulin. The matter has been kept under review by the EMA. The most recent statement was published on </w:t>
      </w:r>
      <w:r w:rsidRPr="00BA7CD9">
        <w:t>31 May 2013</w:t>
      </w:r>
      <w:r>
        <w:t xml:space="preserve"> (EMA/329790/2013 EMEA/H/C/000309)</w:t>
      </w:r>
      <w:r w:rsidR="00B83F7D">
        <w:t>. The statement commenced with,</w:t>
      </w:r>
    </w:p>
    <w:p w:rsidR="00031D05" w:rsidRPr="00F864F4" w:rsidRDefault="00722754" w:rsidP="00031D05">
      <w:pPr>
        <w:pStyle w:val="Bullet2"/>
        <w:numPr>
          <w:ilvl w:val="0"/>
          <w:numId w:val="0"/>
        </w:numPr>
        <w:ind w:left="1134"/>
        <w:rPr>
          <w:i/>
        </w:rPr>
      </w:pPr>
      <w:r>
        <w:rPr>
          <w:i/>
        </w:rPr>
        <w:t>‘</w:t>
      </w:r>
      <w:r w:rsidR="00031D05" w:rsidRPr="00F864F4">
        <w:rPr>
          <w:i/>
        </w:rPr>
        <w:t xml:space="preserve">On 30 May 2013, the European Medicines Agency completed a review of new data on the cancer risk with insulin </w:t>
      </w:r>
      <w:proofErr w:type="spellStart"/>
      <w:r w:rsidR="00031D05" w:rsidRPr="00F864F4">
        <w:rPr>
          <w:i/>
        </w:rPr>
        <w:t>glargine</w:t>
      </w:r>
      <w:proofErr w:type="spellEnd"/>
      <w:r w:rsidR="00031D05" w:rsidRPr="00F864F4">
        <w:rPr>
          <w:i/>
        </w:rPr>
        <w:t>-containing medicines. The Agency’s Committee for Medicinal Products for Human Use (CHMP) concluded that the data do not show an increased risk of cancer and that the balance of the medicine’s benefits and risks remains unchanged.</w:t>
      </w:r>
      <w:r>
        <w:rPr>
          <w:i/>
        </w:rPr>
        <w:t>’</w:t>
      </w:r>
    </w:p>
    <w:p w:rsidR="00031D05" w:rsidRDefault="00031D05" w:rsidP="00031D05">
      <w:pPr>
        <w:pStyle w:val="Bullet2"/>
        <w:numPr>
          <w:ilvl w:val="0"/>
          <w:numId w:val="0"/>
        </w:numPr>
        <w:ind w:left="567"/>
      </w:pPr>
      <w:r>
        <w:t xml:space="preserve">New information was derived from two further cohort studies and from a </w:t>
      </w:r>
      <w:r w:rsidRPr="00BA7CD9">
        <w:t>case-control study</w:t>
      </w:r>
      <w:r>
        <w:t>.</w:t>
      </w:r>
    </w:p>
    <w:p w:rsidR="00031D05" w:rsidRPr="00F864F4" w:rsidRDefault="00031D05" w:rsidP="00031D05">
      <w:pPr>
        <w:pStyle w:val="Bullet2"/>
        <w:numPr>
          <w:ilvl w:val="0"/>
          <w:numId w:val="0"/>
        </w:numPr>
        <w:ind w:left="1134"/>
        <w:rPr>
          <w:i/>
        </w:rPr>
      </w:pPr>
      <w:r w:rsidRPr="00F864F4">
        <w:rPr>
          <w:i/>
        </w:rPr>
        <w:t xml:space="preserve"> </w:t>
      </w:r>
      <w:r w:rsidR="00722754">
        <w:rPr>
          <w:i/>
        </w:rPr>
        <w:t>‘</w:t>
      </w:r>
      <w:r w:rsidRPr="00F864F4">
        <w:rPr>
          <w:i/>
        </w:rPr>
        <w:t xml:space="preserve">Based on the assessment of the population-based studies, the CHMP concluded that overall the data did not indicate an increased risk of cancer with insulin </w:t>
      </w:r>
      <w:proofErr w:type="spellStart"/>
      <w:r w:rsidRPr="00F864F4">
        <w:rPr>
          <w:i/>
        </w:rPr>
        <w:t>glargine</w:t>
      </w:r>
      <w:proofErr w:type="spellEnd"/>
      <w:r w:rsidRPr="00F864F4">
        <w:rPr>
          <w:i/>
        </w:rPr>
        <w:t xml:space="preserve">, noting that there is no known mechanism by which the insulin </w:t>
      </w:r>
      <w:proofErr w:type="spellStart"/>
      <w:r w:rsidRPr="00F864F4">
        <w:rPr>
          <w:i/>
        </w:rPr>
        <w:t>glargine</w:t>
      </w:r>
      <w:proofErr w:type="spellEnd"/>
      <w:r w:rsidRPr="00F864F4">
        <w:rPr>
          <w:i/>
        </w:rPr>
        <w:t xml:space="preserve"> would cause cancer and that a cancer risk has not been seen in laboratory studies.</w:t>
      </w:r>
      <w:r w:rsidR="001A1024">
        <w:rPr>
          <w:i/>
        </w:rPr>
        <w:t xml:space="preserve"> </w:t>
      </w:r>
      <w:r w:rsidRPr="00F864F4">
        <w:rPr>
          <w:i/>
        </w:rPr>
        <w:t>As for all medicines, the Agency will continue to assess any new data that become available in this area, as part of the routine monitoring of the medicine.</w:t>
      </w:r>
      <w:r w:rsidR="00722754">
        <w:rPr>
          <w:i/>
        </w:rPr>
        <w:t>’</w:t>
      </w:r>
    </w:p>
    <w:p w:rsidR="00031D05" w:rsidRDefault="00570559" w:rsidP="00570559">
      <w:pPr>
        <w:pStyle w:val="ListBullet"/>
      </w:pPr>
      <w:r>
        <w:t>T</w:t>
      </w:r>
      <w:r w:rsidR="00031D05">
        <w:t xml:space="preserve">here is difference between </w:t>
      </w:r>
      <w:r w:rsidR="00722754">
        <w:t>‘</w:t>
      </w:r>
      <w:r w:rsidR="00031D05" w:rsidRPr="000D31EB">
        <w:rPr>
          <w:i/>
        </w:rPr>
        <w:t xml:space="preserve">no known mechanism by which the insulin </w:t>
      </w:r>
      <w:proofErr w:type="spellStart"/>
      <w:r w:rsidR="00031D05" w:rsidRPr="000D31EB">
        <w:rPr>
          <w:i/>
        </w:rPr>
        <w:t>glargine</w:t>
      </w:r>
      <w:proofErr w:type="spellEnd"/>
      <w:r w:rsidR="00031D05" w:rsidRPr="000D31EB">
        <w:rPr>
          <w:i/>
        </w:rPr>
        <w:t xml:space="preserve"> would cause cancer</w:t>
      </w:r>
      <w:r w:rsidR="00722754">
        <w:t>’</w:t>
      </w:r>
      <w:r w:rsidR="00031D05">
        <w:t xml:space="preserve"> (there is no suggestion that insulin </w:t>
      </w:r>
      <w:proofErr w:type="spellStart"/>
      <w:r w:rsidR="00031D05">
        <w:t>glargine</w:t>
      </w:r>
      <w:proofErr w:type="spellEnd"/>
      <w:r w:rsidR="00031D05">
        <w:t xml:space="preserve"> is for example </w:t>
      </w:r>
      <w:proofErr w:type="spellStart"/>
      <w:r w:rsidR="00031D05">
        <w:t>genotoxic</w:t>
      </w:r>
      <w:proofErr w:type="spellEnd"/>
      <w:r w:rsidR="00031D05">
        <w:t xml:space="preserve">) and a potential to promote tumours by an agonistic effect at IGF-1 receptors. Consequently, </w:t>
      </w:r>
      <w:proofErr w:type="spellStart"/>
      <w:r w:rsidR="00031D05">
        <w:t>postmarketing</w:t>
      </w:r>
      <w:proofErr w:type="spellEnd"/>
      <w:r w:rsidR="00031D05">
        <w:t xml:space="preserve"> surveillance will possibly be contributory but the studies would need to be long term and be capable of dealing with confounders such as HMG CoA reductase inhibitors and low dose aspirin, both of which are commonly p</w:t>
      </w:r>
      <w:r w:rsidR="00B83F7D">
        <w:t>rescribed to diabetic patients.</w:t>
      </w:r>
    </w:p>
    <w:p w:rsidR="00031D05" w:rsidRDefault="00031D05" w:rsidP="00570559">
      <w:pPr>
        <w:pStyle w:val="ListBullet"/>
      </w:pPr>
      <w:r>
        <w:t xml:space="preserve">Nonetheless, there is no basis for suggesting that </w:t>
      </w:r>
      <w:proofErr w:type="spellStart"/>
      <w:r w:rsidR="00EC7E12">
        <w:t>Abasria</w:t>
      </w:r>
      <w:proofErr w:type="spellEnd"/>
      <w:r>
        <w:t xml:space="preserve"> presents a different degree of risk from Lantus, so registration of </w:t>
      </w:r>
      <w:proofErr w:type="spellStart"/>
      <w:r w:rsidR="00EC7E12">
        <w:t>Abasria</w:t>
      </w:r>
      <w:proofErr w:type="spellEnd"/>
      <w:r>
        <w:t xml:space="preserve"> cannot be opposed on the </w:t>
      </w:r>
      <w:r w:rsidR="00B83F7D">
        <w:t>grounds of potential neoplasia.</w:t>
      </w:r>
    </w:p>
    <w:p w:rsidR="00605AD4" w:rsidRDefault="00605AD4" w:rsidP="00605AD4">
      <w:pPr>
        <w:pStyle w:val="Heading4"/>
      </w:pPr>
      <w:proofErr w:type="spellStart"/>
      <w:r w:rsidRPr="00605AD4">
        <w:t>Postmarketing</w:t>
      </w:r>
      <w:proofErr w:type="spellEnd"/>
      <w:r w:rsidRPr="00605AD4">
        <w:t xml:space="preserve"> data</w:t>
      </w:r>
    </w:p>
    <w:p w:rsidR="00D56684" w:rsidRDefault="008E3073" w:rsidP="00D56684">
      <w:pPr>
        <w:autoSpaceDE w:val="0"/>
        <w:autoSpaceDN w:val="0"/>
        <w:adjustRightInd w:val="0"/>
      </w:pPr>
      <w:r>
        <w:t xml:space="preserve">At the time </w:t>
      </w:r>
      <w:r w:rsidR="00D81C25">
        <w:t xml:space="preserve">the </w:t>
      </w:r>
      <w:r>
        <w:t>TGA assessed this application, m</w:t>
      </w:r>
      <w:r w:rsidR="00D56684">
        <w:t>arketing ha</w:t>
      </w:r>
      <w:r>
        <w:t>d</w:t>
      </w:r>
      <w:r w:rsidR="00D56684">
        <w:t xml:space="preserve"> not yet occurred in any country.</w:t>
      </w:r>
    </w:p>
    <w:p w:rsidR="00605AD4" w:rsidRPr="00605AD4" w:rsidRDefault="00605AD4" w:rsidP="00605AD4">
      <w:pPr>
        <w:pStyle w:val="Heading4"/>
      </w:pPr>
      <w:r w:rsidRPr="00605AD4">
        <w:lastRenderedPageBreak/>
        <w:t>Evaluator’s conclusions on safety</w:t>
      </w:r>
    </w:p>
    <w:p w:rsidR="00D56684" w:rsidRDefault="00D56684" w:rsidP="00D56684">
      <w:pPr>
        <w:autoSpaceDE w:val="0"/>
        <w:autoSpaceDN w:val="0"/>
        <w:adjustRightInd w:val="0"/>
      </w:pPr>
      <w:r w:rsidRPr="0064624F">
        <w:t xml:space="preserve">The </w:t>
      </w:r>
      <w:r w:rsidR="00BE23D9">
        <w:t>Phase III</w:t>
      </w:r>
      <w:r w:rsidRPr="0064624F">
        <w:t xml:space="preserve"> studies are of sufficient size and duration to establish </w:t>
      </w:r>
      <w:r>
        <w:t xml:space="preserve">in terms </w:t>
      </w:r>
      <w:r w:rsidRPr="0064624F">
        <w:t>of common adverse events.</w:t>
      </w:r>
      <w:r w:rsidR="001A1024">
        <w:t xml:space="preserve"> </w:t>
      </w:r>
      <w:r w:rsidRPr="0064624F">
        <w:t>They enrolled reasonably representative populations of Type 1 and Type 2 diabetics that were using treatment regimens relevant to recommended clinical practice in this country.</w:t>
      </w:r>
      <w:r w:rsidR="001A1024">
        <w:t xml:space="preserve"> </w:t>
      </w:r>
      <w:r w:rsidRPr="0064624F">
        <w:t xml:space="preserve">The study in Type 1 diabetics has an ongoing extension phase that should be submitted as a </w:t>
      </w:r>
      <w:proofErr w:type="spellStart"/>
      <w:r w:rsidRPr="0064624F">
        <w:t>postregistration</w:t>
      </w:r>
      <w:proofErr w:type="spellEnd"/>
      <w:r w:rsidRPr="0064624F">
        <w:t xml:space="preserve"> commitment.</w:t>
      </w:r>
      <w:r w:rsidR="001A1024">
        <w:t xml:space="preserve"> </w:t>
      </w:r>
      <w:r>
        <w:t>Its open design admits the possibility of bias.</w:t>
      </w:r>
    </w:p>
    <w:p w:rsidR="00D56684" w:rsidRDefault="00D56684" w:rsidP="00D56684">
      <w:pPr>
        <w:autoSpaceDE w:val="0"/>
        <w:autoSpaceDN w:val="0"/>
        <w:adjustRightInd w:val="0"/>
      </w:pPr>
      <w:r>
        <w:t xml:space="preserve">No new safety signals emerged and </w:t>
      </w:r>
      <w:proofErr w:type="spellStart"/>
      <w:r w:rsidR="00EC7E12">
        <w:t>Abasria</w:t>
      </w:r>
      <w:proofErr w:type="spellEnd"/>
      <w:r>
        <w:t xml:space="preserve"> was not worse than Lantus in terms of the frequency of serious adverse events. </w:t>
      </w:r>
      <w:proofErr w:type="spellStart"/>
      <w:r w:rsidR="00EC7E12">
        <w:t>Abasria</w:t>
      </w:r>
      <w:proofErr w:type="spellEnd"/>
      <w:r>
        <w:t xml:space="preserve"> appears to be registrable on clinical safety grounds. The 12 month data on Study ABEB should be submitted for evaluation when they become available.</w:t>
      </w:r>
    </w:p>
    <w:p w:rsidR="00605AD4" w:rsidRPr="00605AD4" w:rsidRDefault="00605AD4" w:rsidP="00605AD4">
      <w:pPr>
        <w:pStyle w:val="Heading3"/>
        <w:rPr>
          <w:rFonts w:eastAsia="Cambria"/>
        </w:rPr>
      </w:pPr>
      <w:bookmarkStart w:id="119" w:name="_Toc428796489"/>
      <w:r w:rsidRPr="00605AD4">
        <w:rPr>
          <w:rFonts w:eastAsia="Cambria"/>
        </w:rPr>
        <w:t xml:space="preserve">First </w:t>
      </w:r>
      <w:r w:rsidR="00750EE5">
        <w:rPr>
          <w:rFonts w:eastAsia="Cambria"/>
        </w:rPr>
        <w:t>r</w:t>
      </w:r>
      <w:r w:rsidRPr="00605AD4">
        <w:rPr>
          <w:rFonts w:eastAsia="Cambria"/>
        </w:rPr>
        <w:t xml:space="preserve">ound </w:t>
      </w:r>
      <w:r w:rsidR="00750EE5">
        <w:rPr>
          <w:rFonts w:eastAsia="Cambria"/>
        </w:rPr>
        <w:t>b</w:t>
      </w:r>
      <w:r w:rsidRPr="00605AD4">
        <w:rPr>
          <w:rFonts w:eastAsia="Cambria"/>
        </w:rPr>
        <w:t>enefit-</w:t>
      </w:r>
      <w:r w:rsidR="00750EE5">
        <w:rPr>
          <w:rFonts w:eastAsia="Cambria"/>
        </w:rPr>
        <w:t>r</w:t>
      </w:r>
      <w:r w:rsidRPr="00605AD4">
        <w:rPr>
          <w:rFonts w:eastAsia="Cambria"/>
        </w:rPr>
        <w:t xml:space="preserve">isk </w:t>
      </w:r>
      <w:r w:rsidR="00750EE5">
        <w:rPr>
          <w:rFonts w:eastAsia="Cambria"/>
        </w:rPr>
        <w:t>a</w:t>
      </w:r>
      <w:r w:rsidRPr="00605AD4">
        <w:rPr>
          <w:rFonts w:eastAsia="Cambria"/>
        </w:rPr>
        <w:t>ssessment</w:t>
      </w:r>
      <w:bookmarkEnd w:id="119"/>
    </w:p>
    <w:p w:rsidR="00605AD4" w:rsidRDefault="00605AD4" w:rsidP="00605AD4">
      <w:pPr>
        <w:pStyle w:val="Heading4"/>
      </w:pPr>
      <w:r w:rsidRPr="00605AD4">
        <w:t>First round assessment of benefits</w:t>
      </w:r>
    </w:p>
    <w:p w:rsidR="00D56684" w:rsidRDefault="00D56684" w:rsidP="00D56684">
      <w:r>
        <w:t xml:space="preserve">The benefits of </w:t>
      </w:r>
      <w:proofErr w:type="spellStart"/>
      <w:r w:rsidR="00EC7E12">
        <w:t>Abasria</w:t>
      </w:r>
      <w:proofErr w:type="spellEnd"/>
      <w:r>
        <w:t xml:space="preserve"> in the proposed usage are:</w:t>
      </w:r>
    </w:p>
    <w:p w:rsidR="00D56684" w:rsidRDefault="00D56684" w:rsidP="00B00796">
      <w:pPr>
        <w:pStyle w:val="ListBullet"/>
      </w:pPr>
      <w:r>
        <w:t xml:space="preserve">Not different from those of Lantus EU and Lantus US based on two way non-inferiority in two </w:t>
      </w:r>
      <w:r w:rsidR="00BE23D9">
        <w:t>Phase III</w:t>
      </w:r>
      <w:r>
        <w:t xml:space="preserve"> studies.</w:t>
      </w:r>
    </w:p>
    <w:p w:rsidR="00605AD4" w:rsidRDefault="00605AD4" w:rsidP="00605AD4">
      <w:pPr>
        <w:pStyle w:val="Heading4"/>
      </w:pPr>
      <w:r w:rsidRPr="00605AD4">
        <w:t>First round assessment of risks</w:t>
      </w:r>
    </w:p>
    <w:p w:rsidR="00D56684" w:rsidRDefault="00D56684" w:rsidP="00D56684">
      <w:r>
        <w:t xml:space="preserve">The risks of </w:t>
      </w:r>
      <w:proofErr w:type="spellStart"/>
      <w:r w:rsidR="00EC7E12">
        <w:t>Abasria</w:t>
      </w:r>
      <w:proofErr w:type="spellEnd"/>
      <w:r>
        <w:t xml:space="preserve"> in the proposed usage are:</w:t>
      </w:r>
    </w:p>
    <w:p w:rsidR="00D56684" w:rsidRPr="00C50835" w:rsidRDefault="00D56684" w:rsidP="00B00796">
      <w:pPr>
        <w:pStyle w:val="ListBullet"/>
      </w:pPr>
      <w:r w:rsidRPr="00C50835">
        <w:t>Not different from those of Lantus EU and Lantus US</w:t>
      </w:r>
      <w:r w:rsidR="000D31EB">
        <w:t xml:space="preserve"> </w:t>
      </w:r>
      <w:r w:rsidRPr="00C50835">
        <w:t xml:space="preserve">based on </w:t>
      </w:r>
      <w:r>
        <w:t xml:space="preserve">the experience in two </w:t>
      </w:r>
      <w:r w:rsidR="00BE23D9">
        <w:t>Phase III</w:t>
      </w:r>
      <w:r w:rsidRPr="00C50835">
        <w:t xml:space="preserve"> studies.</w:t>
      </w:r>
    </w:p>
    <w:p w:rsidR="00D56684" w:rsidRDefault="00D56684" w:rsidP="00B00796">
      <w:pPr>
        <w:pStyle w:val="ListBullet"/>
      </w:pPr>
      <w:r>
        <w:t xml:space="preserve">There is an unresolved potential problem about the safety in use of the cartridge in an unspecified pen injector device (possibly </w:t>
      </w:r>
      <w:proofErr w:type="spellStart"/>
      <w:r>
        <w:t>HumaPen</w:t>
      </w:r>
      <w:proofErr w:type="spellEnd"/>
      <w:r>
        <w:t>).</w:t>
      </w:r>
      <w:r w:rsidR="001A1024">
        <w:t xml:space="preserve"> </w:t>
      </w:r>
      <w:r>
        <w:t xml:space="preserve">There is in addition an unresolved issue concerning clinical data to support the </w:t>
      </w:r>
      <w:proofErr w:type="spellStart"/>
      <w:r>
        <w:t>KwikPen</w:t>
      </w:r>
      <w:proofErr w:type="spellEnd"/>
      <w:r>
        <w:t xml:space="preserve"> device. No data are able to be located by the evaluator to address these concerns.</w:t>
      </w:r>
    </w:p>
    <w:p w:rsidR="00605AD4" w:rsidRPr="00605AD4" w:rsidRDefault="00605AD4" w:rsidP="00605AD4">
      <w:pPr>
        <w:pStyle w:val="Heading4"/>
      </w:pPr>
      <w:r w:rsidRPr="00605AD4">
        <w:t>First round assessment of benefit-risk balance</w:t>
      </w:r>
    </w:p>
    <w:p w:rsidR="00D56684" w:rsidRDefault="00D56684" w:rsidP="00D56684">
      <w:r>
        <w:t xml:space="preserve">The benefit-risk balance of </w:t>
      </w:r>
      <w:proofErr w:type="spellStart"/>
      <w:r w:rsidR="00EC7E12">
        <w:t>Abasria</w:t>
      </w:r>
      <w:proofErr w:type="spellEnd"/>
      <w:r>
        <w:t xml:space="preserve"> cartridges is unfavourable given the proposed usage, but would become favourable if the uncerta</w:t>
      </w:r>
      <w:r w:rsidR="00B83F7D">
        <w:t>inty raised should be resolved.</w:t>
      </w:r>
    </w:p>
    <w:p w:rsidR="00605AD4" w:rsidRPr="00605AD4" w:rsidRDefault="00605AD4" w:rsidP="00605AD4">
      <w:pPr>
        <w:pStyle w:val="Heading3"/>
        <w:rPr>
          <w:rFonts w:eastAsia="Cambria"/>
        </w:rPr>
      </w:pPr>
      <w:bookmarkStart w:id="120" w:name="_Toc428796490"/>
      <w:r w:rsidRPr="00605AD4">
        <w:rPr>
          <w:rFonts w:eastAsia="Cambria"/>
        </w:rPr>
        <w:t xml:space="preserve">First </w:t>
      </w:r>
      <w:r w:rsidR="00750EE5">
        <w:rPr>
          <w:rFonts w:eastAsia="Cambria"/>
        </w:rPr>
        <w:t>r</w:t>
      </w:r>
      <w:r w:rsidRPr="00605AD4">
        <w:rPr>
          <w:rFonts w:eastAsia="Cambria"/>
        </w:rPr>
        <w:t xml:space="preserve">ound </w:t>
      </w:r>
      <w:r w:rsidR="00750EE5">
        <w:rPr>
          <w:rFonts w:eastAsia="Cambria"/>
        </w:rPr>
        <w:t>r</w:t>
      </w:r>
      <w:r w:rsidRPr="00605AD4">
        <w:rPr>
          <w:rFonts w:eastAsia="Cambria"/>
        </w:rPr>
        <w:t xml:space="preserve">ecommendation </w:t>
      </w:r>
      <w:r w:rsidR="00750EE5">
        <w:rPr>
          <w:rFonts w:eastAsia="Cambria"/>
        </w:rPr>
        <w:t>r</w:t>
      </w:r>
      <w:r w:rsidRPr="00605AD4">
        <w:rPr>
          <w:rFonts w:eastAsia="Cambria"/>
        </w:rPr>
        <w:t xml:space="preserve">egarding </w:t>
      </w:r>
      <w:r w:rsidR="00750EE5">
        <w:rPr>
          <w:rFonts w:eastAsia="Cambria"/>
        </w:rPr>
        <w:t>a</w:t>
      </w:r>
      <w:r w:rsidRPr="00605AD4">
        <w:rPr>
          <w:rFonts w:eastAsia="Cambria"/>
        </w:rPr>
        <w:t>uthorisation</w:t>
      </w:r>
      <w:bookmarkEnd w:id="120"/>
    </w:p>
    <w:p w:rsidR="00D56684" w:rsidRDefault="00D56684" w:rsidP="00D56684">
      <w:r w:rsidRPr="0006468C">
        <w:t>Registration should not proceed at present, pending resolution of the matters raised.</w:t>
      </w:r>
    </w:p>
    <w:p w:rsidR="00605AD4" w:rsidRPr="00605AD4" w:rsidRDefault="00D56684" w:rsidP="00D56684">
      <w:r>
        <w:t>Submission of the completed (52 weeks of data) Study ABEB should be a condition of registration.</w:t>
      </w:r>
    </w:p>
    <w:p w:rsidR="00605AD4" w:rsidRPr="00605AD4" w:rsidRDefault="00605AD4" w:rsidP="00605AD4">
      <w:pPr>
        <w:pStyle w:val="Heading3"/>
        <w:rPr>
          <w:rFonts w:eastAsia="Cambria"/>
        </w:rPr>
      </w:pPr>
      <w:bookmarkStart w:id="121" w:name="_Toc428796491"/>
      <w:r w:rsidRPr="00605AD4">
        <w:rPr>
          <w:rFonts w:eastAsia="Cambria"/>
        </w:rPr>
        <w:t xml:space="preserve">Clinical </w:t>
      </w:r>
      <w:r w:rsidR="00750EE5">
        <w:rPr>
          <w:rFonts w:eastAsia="Cambria"/>
        </w:rPr>
        <w:t>q</w:t>
      </w:r>
      <w:r w:rsidRPr="00605AD4">
        <w:rPr>
          <w:rFonts w:eastAsia="Cambria"/>
        </w:rPr>
        <w:t>uestions</w:t>
      </w:r>
      <w:bookmarkEnd w:id="121"/>
    </w:p>
    <w:p w:rsidR="00D56684" w:rsidRPr="002C41DB" w:rsidRDefault="00D56684" w:rsidP="00B00796">
      <w:pPr>
        <w:pStyle w:val="Heading4"/>
      </w:pPr>
      <w:bookmarkStart w:id="122" w:name="_Toc272414702"/>
      <w:bookmarkStart w:id="123" w:name="_Toc290846342"/>
      <w:bookmarkStart w:id="124" w:name="_Toc378790223"/>
      <w:r w:rsidRPr="002C41DB">
        <w:t>Pharmacokinetics</w:t>
      </w:r>
      <w:bookmarkEnd w:id="122"/>
      <w:bookmarkEnd w:id="123"/>
      <w:bookmarkEnd w:id="124"/>
    </w:p>
    <w:p w:rsidR="00D56684" w:rsidRPr="00011A6D" w:rsidRDefault="00D56684" w:rsidP="002D3019">
      <w:pPr>
        <w:pStyle w:val="Numberbullet0"/>
        <w:numPr>
          <w:ilvl w:val="0"/>
          <w:numId w:val="11"/>
        </w:numPr>
      </w:pPr>
      <w:r w:rsidRPr="00011A6D">
        <w:t xml:space="preserve">In </w:t>
      </w:r>
      <w:r w:rsidR="00011A6D" w:rsidRPr="00011A6D">
        <w:t>S</w:t>
      </w:r>
      <w:r w:rsidRPr="00011A6D">
        <w:t>tudy ABEN, the source of the US Lantus in unclear.</w:t>
      </w:r>
      <w:r w:rsidR="001A1024">
        <w:t xml:space="preserve"> </w:t>
      </w:r>
      <w:r w:rsidRPr="00011A6D">
        <w:t>The applicant should confirm and clarify how this can be correct.</w:t>
      </w:r>
    </w:p>
    <w:p w:rsidR="00D56684" w:rsidRPr="00011A6D" w:rsidRDefault="00D56684" w:rsidP="002D3019">
      <w:pPr>
        <w:pStyle w:val="Numberbullet0"/>
        <w:numPr>
          <w:ilvl w:val="0"/>
          <w:numId w:val="11"/>
        </w:numPr>
      </w:pPr>
      <w:r w:rsidRPr="00011A6D">
        <w:t xml:space="preserve">The applicant should clarify </w:t>
      </w:r>
      <w:r w:rsidR="00011A6D">
        <w:t>who was</w:t>
      </w:r>
      <w:r w:rsidRPr="00011A6D">
        <w:t xml:space="preserve"> the investigator and whose signature appears on I4L-MC-ABEI CSR Appendix Signature. The applicant should also confirm that Lantus EU was used in Study ABEI.</w:t>
      </w:r>
    </w:p>
    <w:p w:rsidR="00605AD4" w:rsidRDefault="00605AD4" w:rsidP="00605AD4">
      <w:pPr>
        <w:pStyle w:val="Heading3"/>
        <w:rPr>
          <w:rFonts w:eastAsia="Cambria"/>
        </w:rPr>
      </w:pPr>
      <w:bookmarkStart w:id="125" w:name="_Toc428796492"/>
      <w:r w:rsidRPr="00605AD4">
        <w:rPr>
          <w:rFonts w:eastAsia="Cambria"/>
        </w:rPr>
        <w:lastRenderedPageBreak/>
        <w:t xml:space="preserve">Second </w:t>
      </w:r>
      <w:r w:rsidR="00750EE5">
        <w:rPr>
          <w:rFonts w:eastAsia="Cambria"/>
        </w:rPr>
        <w:t>r</w:t>
      </w:r>
      <w:r w:rsidRPr="00605AD4">
        <w:rPr>
          <w:rFonts w:eastAsia="Cambria"/>
        </w:rPr>
        <w:t xml:space="preserve">ound </w:t>
      </w:r>
      <w:r w:rsidR="00750EE5">
        <w:rPr>
          <w:rFonts w:eastAsia="Cambria"/>
        </w:rPr>
        <w:t>e</w:t>
      </w:r>
      <w:r w:rsidRPr="00605AD4">
        <w:rPr>
          <w:rFonts w:eastAsia="Cambria"/>
        </w:rPr>
        <w:t>valuation of clinical data submitted in response to questions</w:t>
      </w:r>
      <w:bookmarkEnd w:id="125"/>
    </w:p>
    <w:p w:rsidR="003E68DA" w:rsidRDefault="003E68DA" w:rsidP="00011A6D">
      <w:r>
        <w:t xml:space="preserve">The sponsor responded to the issues raised about the </w:t>
      </w:r>
      <w:proofErr w:type="spellStart"/>
      <w:r>
        <w:t>KwikPen</w:t>
      </w:r>
      <w:proofErr w:type="spellEnd"/>
      <w:r>
        <w:t xml:space="preserve"> as follows:</w:t>
      </w:r>
    </w:p>
    <w:p w:rsidR="003E68DA" w:rsidRPr="003E68DA" w:rsidRDefault="003E68DA" w:rsidP="00011A6D">
      <w:pPr>
        <w:rPr>
          <w:i/>
        </w:rPr>
      </w:pPr>
      <w:r>
        <w:rPr>
          <w:i/>
        </w:rPr>
        <w:t>‘</w:t>
      </w:r>
      <w:r w:rsidRPr="003E68DA">
        <w:rPr>
          <w:i/>
        </w:rPr>
        <w:t xml:space="preserve">There is no basis for the assumption that medication error is more likely to occur with </w:t>
      </w:r>
      <w:proofErr w:type="spellStart"/>
      <w:r w:rsidRPr="003E68DA">
        <w:rPr>
          <w:i/>
        </w:rPr>
        <w:t>Abasria</w:t>
      </w:r>
      <w:proofErr w:type="spellEnd"/>
      <w:r w:rsidRPr="003E68DA">
        <w:rPr>
          <w:i/>
        </w:rPr>
        <w:t xml:space="preserve"> compared </w:t>
      </w:r>
      <w:r>
        <w:rPr>
          <w:i/>
        </w:rPr>
        <w:t>to</w:t>
      </w:r>
      <w:r w:rsidRPr="003E68DA">
        <w:rPr>
          <w:i/>
        </w:rPr>
        <w:t xml:space="preserve"> other insulins currently av</w:t>
      </w:r>
      <w:r w:rsidR="00D81C25">
        <w:rPr>
          <w:i/>
        </w:rPr>
        <w:t>a</w:t>
      </w:r>
      <w:r w:rsidRPr="003E68DA">
        <w:rPr>
          <w:i/>
        </w:rPr>
        <w:t>ilable, including the reference product in this application, without a de</w:t>
      </w:r>
      <w:r w:rsidR="00D81C25">
        <w:rPr>
          <w:i/>
        </w:rPr>
        <w:t>d</w:t>
      </w:r>
      <w:r w:rsidRPr="003E68DA">
        <w:rPr>
          <w:i/>
        </w:rPr>
        <w:t xml:space="preserve">icated pen and should therefore be removed from the evaluation report. The evaluator also states no information is available on the </w:t>
      </w:r>
      <w:proofErr w:type="spellStart"/>
      <w:r w:rsidRPr="003E68DA">
        <w:rPr>
          <w:i/>
        </w:rPr>
        <w:t>KwikPen</w:t>
      </w:r>
      <w:proofErr w:type="spellEnd"/>
      <w:r w:rsidRPr="003E68DA">
        <w:rPr>
          <w:i/>
        </w:rPr>
        <w:t xml:space="preserve"> device with res</w:t>
      </w:r>
      <w:r>
        <w:rPr>
          <w:i/>
        </w:rPr>
        <w:t>p</w:t>
      </w:r>
      <w:r w:rsidRPr="003E68DA">
        <w:rPr>
          <w:i/>
        </w:rPr>
        <w:t>ect to dose accuracy. This statement is incorrect as Module 3.2R.3 includes the required device testing information.</w:t>
      </w:r>
      <w:r>
        <w:rPr>
          <w:i/>
        </w:rPr>
        <w:t>’</w:t>
      </w:r>
    </w:p>
    <w:p w:rsidR="008E7846" w:rsidRPr="00E41208" w:rsidRDefault="008E7846" w:rsidP="00546154">
      <w:pPr>
        <w:pStyle w:val="Heading2"/>
      </w:pPr>
      <w:bookmarkStart w:id="126" w:name="_Toc428796493"/>
      <w:r w:rsidRPr="00E41208">
        <w:t xml:space="preserve">V. Pharmacovigilance </w:t>
      </w:r>
      <w:r>
        <w:t>f</w:t>
      </w:r>
      <w:r w:rsidRPr="00E41208">
        <w:t>indings</w:t>
      </w:r>
      <w:bookmarkEnd w:id="105"/>
      <w:bookmarkEnd w:id="106"/>
      <w:bookmarkEnd w:id="126"/>
    </w:p>
    <w:p w:rsidR="008E7846" w:rsidRDefault="00386150" w:rsidP="008E7846">
      <w:pPr>
        <w:pStyle w:val="Heading3"/>
        <w:rPr>
          <w:lang w:eastAsia="en-AU"/>
        </w:rPr>
      </w:pPr>
      <w:bookmarkStart w:id="127" w:name="_Toc247691526"/>
      <w:bookmarkStart w:id="128" w:name="_Toc314842509"/>
      <w:bookmarkStart w:id="129" w:name="_Toc428796494"/>
      <w:r>
        <w:rPr>
          <w:lang w:eastAsia="en-AU"/>
        </w:rPr>
        <w:t>Risk m</w:t>
      </w:r>
      <w:r w:rsidR="008E7846">
        <w:rPr>
          <w:lang w:eastAsia="en-AU"/>
        </w:rPr>
        <w:t xml:space="preserve">anagement </w:t>
      </w:r>
      <w:r>
        <w:rPr>
          <w:lang w:eastAsia="en-AU"/>
        </w:rPr>
        <w:t>p</w:t>
      </w:r>
      <w:r w:rsidR="008E7846">
        <w:rPr>
          <w:lang w:eastAsia="en-AU"/>
        </w:rPr>
        <w:t>lan</w:t>
      </w:r>
      <w:bookmarkEnd w:id="127"/>
      <w:bookmarkEnd w:id="128"/>
      <w:bookmarkEnd w:id="129"/>
    </w:p>
    <w:p w:rsidR="008E7846" w:rsidRDefault="008E7846" w:rsidP="007B4353">
      <w:pPr>
        <w:rPr>
          <w:lang w:eastAsia="en-AU"/>
        </w:rPr>
      </w:pPr>
      <w:r>
        <w:rPr>
          <w:lang w:eastAsia="en-AU"/>
        </w:rPr>
        <w:t>The sponsor submitted a Risk Management Plan</w:t>
      </w:r>
      <w:r w:rsidR="006F25B8">
        <w:rPr>
          <w:lang w:eastAsia="en-AU"/>
        </w:rPr>
        <w:t xml:space="preserve"> </w:t>
      </w:r>
      <w:r w:rsidR="00D56684" w:rsidRPr="00FF1C25">
        <w:t>EU Risk Management Plan Version 1.0 (dated 22</w:t>
      </w:r>
      <w:r w:rsidR="00011A6D">
        <w:t xml:space="preserve"> May </w:t>
      </w:r>
      <w:r w:rsidR="00D56684" w:rsidRPr="00FF1C25">
        <w:t>2013, D</w:t>
      </w:r>
      <w:r w:rsidR="00011A6D">
        <w:t xml:space="preserve">ata-lock point </w:t>
      </w:r>
      <w:r w:rsidR="00D56684" w:rsidRPr="00FF1C25">
        <w:t>01</w:t>
      </w:r>
      <w:r w:rsidR="00011A6D">
        <w:t xml:space="preserve"> April </w:t>
      </w:r>
      <w:r w:rsidR="00D56684" w:rsidRPr="00FF1C25">
        <w:t>2013) and Australian Specific Annex Version 2 (dated 21</w:t>
      </w:r>
      <w:r w:rsidR="00011A6D">
        <w:t xml:space="preserve"> May </w:t>
      </w:r>
      <w:r w:rsidR="00D56684" w:rsidRPr="00FF1C25">
        <w:t>2014)</w:t>
      </w:r>
      <w:r w:rsidR="00D56684">
        <w:t xml:space="preserve"> </w:t>
      </w:r>
      <w:r>
        <w:rPr>
          <w:lang w:eastAsia="en-AU"/>
        </w:rPr>
        <w:t xml:space="preserve">which was reviewed by the TGA’s </w:t>
      </w:r>
      <w:r w:rsidR="000D31EB">
        <w:rPr>
          <w:lang w:eastAsia="en-AU"/>
        </w:rPr>
        <w:t>Post-Market Surveillance Branch (PMSB)</w:t>
      </w:r>
      <w:r>
        <w:rPr>
          <w:lang w:eastAsia="en-AU"/>
        </w:rPr>
        <w: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B0079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000D31EB">
        <w:rPr>
          <w:lang w:eastAsia="en-AU"/>
        </w:rPr>
        <w:t xml:space="preserve">in </w:t>
      </w:r>
      <w:r>
        <w:rPr>
          <w:lang w:eastAsia="en-AU"/>
        </w:rPr>
        <w:t xml:space="preserve">Table </w:t>
      </w:r>
      <w:r w:rsidR="00011A6D">
        <w:rPr>
          <w:lang w:eastAsia="en-AU"/>
        </w:rPr>
        <w:t>9</w:t>
      </w:r>
      <w:r>
        <w:rPr>
          <w:lang w:eastAsia="en-AU"/>
        </w:rPr>
        <w:t>.</w:t>
      </w:r>
    </w:p>
    <w:p w:rsidR="00D1559C" w:rsidRDefault="00AC5DD8" w:rsidP="00B00796">
      <w:pPr>
        <w:pStyle w:val="TableTitle"/>
      </w:pPr>
      <w:r>
        <w:t xml:space="preserve">Table </w:t>
      </w:r>
      <w:r w:rsidR="00011A6D">
        <w:t>9:</w:t>
      </w:r>
      <w:r>
        <w:t xml:space="preserve"> Ongoing safety concerns provided by the sponsor in their RMP submission.</w:t>
      </w:r>
    </w:p>
    <w:p w:rsidR="00AC5DD8" w:rsidRDefault="00AC5DD8" w:rsidP="00D1559C">
      <w:r>
        <w:rPr>
          <w:noProof/>
          <w:lang w:eastAsia="en-AU"/>
        </w:rPr>
        <w:drawing>
          <wp:inline distT="0" distB="0" distL="0" distR="0" wp14:anchorId="6F969681" wp14:editId="7F18D190">
            <wp:extent cx="5396545" cy="1446398"/>
            <wp:effectExtent l="0" t="0" r="0" b="1905"/>
            <wp:docPr id="21" name="Picture 21" descr="Table 9: Ongoing safety concerns provided by the sponsor in their RMP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970" b="4082"/>
                    <a:stretch/>
                  </pic:blipFill>
                  <pic:spPr bwMode="auto">
                    <a:xfrm>
                      <a:off x="0" y="0"/>
                      <a:ext cx="5394487" cy="1445846"/>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E7846" w:rsidRDefault="00AC5DD8" w:rsidP="007B4353">
      <w:pPr>
        <w:rPr>
          <w:lang w:eastAsia="en-AU"/>
        </w:rPr>
      </w:pPr>
      <w:r>
        <w:t>The sponsor proposes only routine pharmacovigilance activities for all ongoing safety concerns.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F25B8" w:rsidRDefault="00AC5DD8" w:rsidP="007B4353">
      <w:pPr>
        <w:rPr>
          <w:lang w:eastAsia="en-AU"/>
        </w:rPr>
      </w:pPr>
      <w:bookmarkStart w:id="130" w:name="_Toc247691527"/>
      <w:r>
        <w:t xml:space="preserve">The sponsor proposes only routine risk minimisation activities </w:t>
      </w:r>
      <w:r w:rsidR="00B00796">
        <w:t>for all ongoing safety concerns</w:t>
      </w:r>
      <w:r>
        <w:t>.</w:t>
      </w:r>
    </w:p>
    <w:p w:rsidR="006F25B8" w:rsidRDefault="006F25B8" w:rsidP="006F25B8">
      <w:pPr>
        <w:pStyle w:val="Heading4"/>
        <w:rPr>
          <w:lang w:eastAsia="en-AU"/>
        </w:rPr>
      </w:pPr>
      <w:r w:rsidRPr="006F25B8">
        <w:rPr>
          <w:lang w:eastAsia="en-AU"/>
        </w:rPr>
        <w:t>Reconciliation of is</w:t>
      </w:r>
      <w:r w:rsidR="00306421">
        <w:rPr>
          <w:lang w:eastAsia="en-AU"/>
        </w:rPr>
        <w:t>sues outlined in the RMP report</w:t>
      </w:r>
    </w:p>
    <w:p w:rsidR="006F25B8" w:rsidRDefault="006F25B8" w:rsidP="007B4353">
      <w:pPr>
        <w:rPr>
          <w:lang w:eastAsia="en-AU"/>
        </w:rPr>
      </w:pPr>
      <w:r>
        <w:rPr>
          <w:lang w:eastAsia="en-AU"/>
        </w:rPr>
        <w:t xml:space="preserve">Table </w:t>
      </w:r>
      <w:r w:rsidR="00011A6D">
        <w:rPr>
          <w:lang w:eastAsia="en-AU"/>
        </w:rPr>
        <w:t>10</w:t>
      </w:r>
      <w:r>
        <w:rPr>
          <w:lang w:eastAsia="en-AU"/>
        </w:rPr>
        <w:t xml:space="preserve"> summarises the </w:t>
      </w:r>
      <w:r w:rsidR="000D31EB">
        <w:rPr>
          <w:lang w:eastAsia="en-AU"/>
        </w:rPr>
        <w:t xml:space="preserve">PMSB’s </w:t>
      </w:r>
      <w:r>
        <w:rPr>
          <w:lang w:eastAsia="en-AU"/>
        </w:rPr>
        <w:t xml:space="preserve">first round evaluation of the RMP, the sponsor’s responses to issues raised by the </w:t>
      </w:r>
      <w:r w:rsidR="000D31EB">
        <w:rPr>
          <w:lang w:eastAsia="en-AU"/>
        </w:rPr>
        <w:t xml:space="preserve">PMSB </w:t>
      </w:r>
      <w:r>
        <w:rPr>
          <w:lang w:eastAsia="en-AU"/>
        </w:rPr>
        <w:t xml:space="preserve">and the </w:t>
      </w:r>
      <w:r w:rsidR="000D31EB">
        <w:rPr>
          <w:lang w:eastAsia="en-AU"/>
        </w:rPr>
        <w:t xml:space="preserve">PSMB’s </w:t>
      </w:r>
      <w:r>
        <w:rPr>
          <w:lang w:eastAsia="en-AU"/>
        </w:rPr>
        <w:t>evaluation of the sponsor’s responses.</w:t>
      </w:r>
      <w:r w:rsidR="00722754">
        <w:rPr>
          <w:lang w:eastAsia="en-AU"/>
        </w:rPr>
        <w:t>’</w:t>
      </w:r>
    </w:p>
    <w:p w:rsidR="00D56684" w:rsidRPr="00153319" w:rsidRDefault="00B00796" w:rsidP="00B00796">
      <w:pPr>
        <w:pStyle w:val="TableTitle"/>
      </w:pPr>
      <w:r>
        <w:lastRenderedPageBreak/>
        <w:t xml:space="preserve">Table </w:t>
      </w:r>
      <w:r w:rsidR="00011A6D">
        <w:t xml:space="preserve">10: </w:t>
      </w:r>
      <w:r w:rsidR="00D56684" w:rsidRPr="00C31998">
        <w:t xml:space="preserve">Reconciliation of issues outlined in the RMP </w:t>
      </w:r>
      <w:r w:rsidR="007E5FF7">
        <w:t>e</w:t>
      </w:r>
      <w:r w:rsidR="00D56684">
        <w:t xml:space="preserve">valuation </w:t>
      </w:r>
      <w:r w:rsidR="007E5FF7">
        <w:t>r</w:t>
      </w:r>
      <w:r w:rsidR="00D56684">
        <w:t>eport (Round 1)</w:t>
      </w:r>
    </w:p>
    <w:tbl>
      <w:tblPr>
        <w:tblStyle w:val="TableTGAblue"/>
        <w:tblW w:w="5000" w:type="pct"/>
        <w:jc w:val="center"/>
        <w:tblLayout w:type="fixed"/>
        <w:tblLook w:val="04A0" w:firstRow="1" w:lastRow="0" w:firstColumn="1" w:lastColumn="0" w:noHBand="0" w:noVBand="1"/>
      </w:tblPr>
      <w:tblGrid>
        <w:gridCol w:w="3227"/>
        <w:gridCol w:w="3404"/>
        <w:gridCol w:w="2089"/>
      </w:tblGrid>
      <w:tr w:rsidR="00D56684" w:rsidRPr="0025169D" w:rsidTr="004858F5">
        <w:trPr>
          <w:cnfStyle w:val="100000000000" w:firstRow="1" w:lastRow="0" w:firstColumn="0" w:lastColumn="0" w:oddVBand="0" w:evenVBand="0" w:oddHBand="0" w:evenHBand="0" w:firstRowFirstColumn="0" w:firstRowLastColumn="0" w:lastRowFirstColumn="0" w:lastRowLastColumn="0"/>
          <w:jc w:val="center"/>
        </w:trPr>
        <w:tc>
          <w:tcPr>
            <w:tcW w:w="1850" w:type="pct"/>
            <w:noWrap/>
          </w:tcPr>
          <w:p w:rsidR="00D56684" w:rsidRPr="0025169D" w:rsidRDefault="00D56684" w:rsidP="00EE5020">
            <w:pPr>
              <w:jc w:val="center"/>
              <w:rPr>
                <w:rFonts w:asciiTheme="minorHAnsi" w:hAnsiTheme="minorHAnsi"/>
                <w:sz w:val="20"/>
                <w:szCs w:val="20"/>
              </w:rPr>
            </w:pPr>
            <w:r w:rsidRPr="0025169D">
              <w:rPr>
                <w:rFonts w:asciiTheme="minorHAnsi" w:hAnsiTheme="minorHAnsi"/>
                <w:sz w:val="20"/>
                <w:szCs w:val="20"/>
              </w:rPr>
              <w:t>Recommendation in RMP evaluation report</w:t>
            </w:r>
          </w:p>
        </w:tc>
        <w:tc>
          <w:tcPr>
            <w:tcW w:w="1952" w:type="pct"/>
            <w:noWrap/>
          </w:tcPr>
          <w:p w:rsidR="00D56684" w:rsidRPr="0025169D" w:rsidRDefault="00D56684" w:rsidP="00D1559C">
            <w:pPr>
              <w:jc w:val="center"/>
              <w:rPr>
                <w:rFonts w:asciiTheme="minorHAnsi" w:hAnsiTheme="minorHAnsi"/>
                <w:sz w:val="20"/>
                <w:szCs w:val="20"/>
              </w:rPr>
            </w:pPr>
            <w:r w:rsidRPr="0025169D">
              <w:rPr>
                <w:rFonts w:asciiTheme="minorHAnsi" w:hAnsiTheme="minorHAnsi"/>
                <w:sz w:val="20"/>
                <w:szCs w:val="20"/>
              </w:rPr>
              <w:t>Sponsor’s response (or summary of the response)</w:t>
            </w:r>
          </w:p>
        </w:tc>
        <w:tc>
          <w:tcPr>
            <w:tcW w:w="1198" w:type="pct"/>
            <w:noWrap/>
          </w:tcPr>
          <w:p w:rsidR="00D56684" w:rsidRPr="0025169D" w:rsidRDefault="000D31EB" w:rsidP="00EE5020">
            <w:pPr>
              <w:jc w:val="center"/>
              <w:rPr>
                <w:rFonts w:asciiTheme="minorHAnsi" w:hAnsiTheme="minorHAnsi"/>
                <w:sz w:val="20"/>
                <w:szCs w:val="20"/>
              </w:rPr>
            </w:pPr>
            <w:r>
              <w:rPr>
                <w:rFonts w:asciiTheme="minorHAnsi" w:hAnsiTheme="minorHAnsi"/>
                <w:sz w:val="20"/>
                <w:szCs w:val="20"/>
              </w:rPr>
              <w:t>PSMB</w:t>
            </w:r>
            <w:r w:rsidRPr="0025169D">
              <w:rPr>
                <w:rFonts w:asciiTheme="minorHAnsi" w:hAnsiTheme="minorHAnsi"/>
                <w:sz w:val="20"/>
                <w:szCs w:val="20"/>
              </w:rPr>
              <w:t xml:space="preserve"> </w:t>
            </w:r>
            <w:r w:rsidR="00D56684" w:rsidRPr="0025169D">
              <w:rPr>
                <w:rFonts w:asciiTheme="minorHAnsi" w:hAnsiTheme="minorHAnsi"/>
                <w:sz w:val="20"/>
                <w:szCs w:val="20"/>
              </w:rPr>
              <w:t>evaluator’s comment</w:t>
            </w: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4858F5">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t>Safety considerations may be raised by the nonclinical and clinical evaluators through the consolidated section 31 request and/or the Nonclinical and Clinical Evaluation Reports respectively.</w:t>
            </w:r>
            <w:r w:rsidR="001A1024">
              <w:rPr>
                <w:rFonts w:asciiTheme="minorHAnsi" w:hAnsiTheme="minorHAnsi" w:cstheme="minorHAnsi"/>
                <w:sz w:val="20"/>
                <w:szCs w:val="20"/>
              </w:rPr>
              <w:t xml:space="preserve"> </w:t>
            </w:r>
            <w:r w:rsidRPr="0025169D">
              <w:rPr>
                <w:rFonts w:asciiTheme="minorHAnsi" w:hAnsiTheme="minorHAnsi" w:cstheme="minorHAnsi"/>
                <w:sz w:val="20"/>
                <w:szCs w:val="20"/>
              </w:rPr>
              <w:t>It is important to ensure that the information provided in response to these includes a consideration of the relevance for the Risk Management Plan, and any specific information needed to address this issue in the RMP.</w:t>
            </w:r>
            <w:r w:rsidR="001A1024">
              <w:rPr>
                <w:rFonts w:asciiTheme="minorHAnsi" w:hAnsiTheme="minorHAnsi" w:cstheme="minorHAnsi"/>
                <w:sz w:val="20"/>
                <w:szCs w:val="20"/>
              </w:rPr>
              <w:t xml:space="preserve"> </w:t>
            </w:r>
            <w:r w:rsidRPr="0025169D">
              <w:rPr>
                <w:rFonts w:asciiTheme="minorHAnsi" w:hAnsiTheme="minorHAnsi" w:cstheme="minorHAnsi"/>
                <w:sz w:val="20"/>
                <w:szCs w:val="20"/>
              </w:rPr>
              <w:t>For any safety considerations so raised, please provide information that is relevant and necessary to address the issue in the RMP.</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EE5020">
            <w:pPr>
              <w:rPr>
                <w:rFonts w:asciiTheme="minorHAnsi" w:hAnsiTheme="minorHAnsi"/>
                <w:i/>
                <w:sz w:val="20"/>
                <w:szCs w:val="20"/>
              </w:rPr>
            </w:pPr>
            <w:r w:rsidRPr="0025169D">
              <w:rPr>
                <w:rFonts w:asciiTheme="minorHAnsi" w:hAnsiTheme="minorHAnsi"/>
                <w:i/>
                <w:sz w:val="20"/>
                <w:szCs w:val="20"/>
              </w:rPr>
              <w:t>‘The questions received did not require an amendment to the Risk Management Plan (RMP).’</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EE5020">
            <w:pPr>
              <w:rPr>
                <w:rFonts w:asciiTheme="minorHAnsi" w:hAnsiTheme="minorHAnsi"/>
                <w:sz w:val="20"/>
                <w:szCs w:val="20"/>
              </w:rPr>
            </w:pP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4858F5">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t>The sponsor is advi</w:t>
            </w:r>
            <w:r w:rsidR="00D1559C">
              <w:rPr>
                <w:rFonts w:asciiTheme="minorHAnsi" w:hAnsiTheme="minorHAnsi" w:cstheme="minorHAnsi"/>
                <w:sz w:val="20"/>
                <w:szCs w:val="20"/>
              </w:rPr>
              <w:t>sed to revise the ASA document.</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2D3019">
            <w:pPr>
              <w:spacing w:before="0" w:after="0"/>
              <w:rPr>
                <w:rFonts w:asciiTheme="minorHAnsi" w:hAnsiTheme="minorHAnsi"/>
                <w:i/>
                <w:sz w:val="20"/>
                <w:szCs w:val="20"/>
              </w:rPr>
            </w:pPr>
            <w:r>
              <w:rPr>
                <w:rFonts w:asciiTheme="minorHAnsi" w:hAnsiTheme="minorHAnsi"/>
                <w:i/>
                <w:sz w:val="20"/>
                <w:szCs w:val="20"/>
              </w:rPr>
              <w:t>‘</w:t>
            </w:r>
            <w:r w:rsidRPr="00F84DB2">
              <w:rPr>
                <w:rFonts w:asciiTheme="minorHAnsi" w:hAnsiTheme="minorHAnsi"/>
                <w:i/>
                <w:sz w:val="20"/>
                <w:szCs w:val="20"/>
              </w:rPr>
              <w:t xml:space="preserve">The </w:t>
            </w:r>
            <w:r w:rsidR="00011A6D">
              <w:rPr>
                <w:rFonts w:asciiTheme="minorHAnsi" w:hAnsiTheme="minorHAnsi"/>
                <w:i/>
                <w:sz w:val="20"/>
                <w:szCs w:val="20"/>
              </w:rPr>
              <w:t>s</w:t>
            </w:r>
            <w:r w:rsidRPr="00F84DB2">
              <w:rPr>
                <w:rFonts w:asciiTheme="minorHAnsi" w:hAnsiTheme="minorHAnsi"/>
                <w:i/>
                <w:sz w:val="20"/>
                <w:szCs w:val="20"/>
              </w:rPr>
              <w:t>ponsor has revised the Australian Specific Annex doc</w:t>
            </w:r>
            <w:r>
              <w:rPr>
                <w:rFonts w:asciiTheme="minorHAnsi" w:hAnsiTheme="minorHAnsi"/>
                <w:i/>
                <w:sz w:val="20"/>
                <w:szCs w:val="20"/>
              </w:rPr>
              <w:t xml:space="preserve">ument according to the guidance </w:t>
            </w:r>
            <w:r w:rsidRPr="00F84DB2">
              <w:rPr>
                <w:rFonts w:asciiTheme="minorHAnsi" w:hAnsiTheme="minorHAnsi"/>
                <w:i/>
                <w:sz w:val="20"/>
                <w:szCs w:val="20"/>
              </w:rPr>
              <w:t>received.</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EE5020">
            <w:pPr>
              <w:rPr>
                <w:rFonts w:asciiTheme="minorHAnsi" w:hAnsiTheme="minorHAnsi"/>
                <w:sz w:val="20"/>
                <w:szCs w:val="20"/>
              </w:rPr>
            </w:pP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D1559C">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t>The sponsor should add these Ongoing Safety Concerns to the risk management plan: Cardiovascular events; Lipodystrophy; and Oedema.</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DC14AC" w:rsidRDefault="00D56684" w:rsidP="00EE5020">
            <w:pPr>
              <w:rPr>
                <w:rFonts w:asciiTheme="minorHAnsi" w:hAnsiTheme="minorHAnsi"/>
                <w:i/>
                <w:sz w:val="20"/>
                <w:szCs w:val="20"/>
              </w:rPr>
            </w:pPr>
            <w:r>
              <w:rPr>
                <w:rFonts w:asciiTheme="minorHAnsi" w:hAnsiTheme="minorHAnsi"/>
                <w:i/>
                <w:sz w:val="20"/>
                <w:szCs w:val="20"/>
              </w:rPr>
              <w:t>‘</w:t>
            </w:r>
            <w:r w:rsidRPr="00DC14AC">
              <w:rPr>
                <w:rFonts w:asciiTheme="minorHAnsi" w:hAnsiTheme="minorHAnsi"/>
                <w:i/>
                <w:sz w:val="20"/>
                <w:szCs w:val="20"/>
              </w:rPr>
              <w:t>Cardiovascular (CV) events</w:t>
            </w:r>
          </w:p>
          <w:p w:rsidR="00D56684" w:rsidRDefault="00D56684" w:rsidP="00EE5020">
            <w:pPr>
              <w:rPr>
                <w:rFonts w:asciiTheme="minorHAnsi" w:hAnsiTheme="minorHAnsi"/>
                <w:i/>
                <w:sz w:val="20"/>
                <w:szCs w:val="20"/>
              </w:rPr>
            </w:pPr>
            <w:r w:rsidRPr="00DC14AC">
              <w:rPr>
                <w:rFonts w:asciiTheme="minorHAnsi" w:hAnsiTheme="minorHAnsi"/>
                <w:i/>
                <w:sz w:val="20"/>
                <w:szCs w:val="20"/>
              </w:rPr>
              <w:t xml:space="preserve">The </w:t>
            </w:r>
            <w:r w:rsidR="00011A6D">
              <w:rPr>
                <w:rFonts w:asciiTheme="minorHAnsi" w:hAnsiTheme="minorHAnsi"/>
                <w:i/>
                <w:sz w:val="20"/>
                <w:szCs w:val="20"/>
              </w:rPr>
              <w:t>s</w:t>
            </w:r>
            <w:r w:rsidRPr="00DC14AC">
              <w:rPr>
                <w:rFonts w:asciiTheme="minorHAnsi" w:hAnsiTheme="minorHAnsi"/>
                <w:i/>
                <w:sz w:val="20"/>
                <w:szCs w:val="20"/>
              </w:rPr>
              <w:t>ponsor believes that the data from the ORIGIN study preclude</w:t>
            </w:r>
            <w:r>
              <w:rPr>
                <w:rFonts w:asciiTheme="minorHAnsi" w:hAnsiTheme="minorHAnsi"/>
                <w:i/>
                <w:sz w:val="20"/>
                <w:szCs w:val="20"/>
              </w:rPr>
              <w:t xml:space="preserve">s the need for adding CV events </w:t>
            </w:r>
            <w:r w:rsidRPr="00DC14AC">
              <w:rPr>
                <w:rFonts w:asciiTheme="minorHAnsi" w:hAnsiTheme="minorHAnsi"/>
                <w:i/>
                <w:sz w:val="20"/>
                <w:szCs w:val="20"/>
              </w:rPr>
              <w:t>(The ORIGIN Trial Investigators, 2012). Cardiovascular events will be part of routine</w:t>
            </w:r>
            <w:r w:rsidR="00011A6D">
              <w:rPr>
                <w:rFonts w:asciiTheme="minorHAnsi" w:hAnsiTheme="minorHAnsi"/>
                <w:i/>
                <w:sz w:val="20"/>
                <w:szCs w:val="20"/>
              </w:rPr>
              <w:t xml:space="preserve"> </w:t>
            </w:r>
            <w:proofErr w:type="spellStart"/>
            <w:r w:rsidRPr="00DC14AC">
              <w:rPr>
                <w:rFonts w:asciiTheme="minorHAnsi" w:hAnsiTheme="minorHAnsi"/>
                <w:i/>
                <w:sz w:val="20"/>
                <w:szCs w:val="20"/>
              </w:rPr>
              <w:t>pharamacovigilance</w:t>
            </w:r>
            <w:proofErr w:type="spellEnd"/>
            <w:r w:rsidRPr="00DC14AC">
              <w:rPr>
                <w:rFonts w:asciiTheme="minorHAnsi" w:hAnsiTheme="minorHAnsi"/>
                <w:i/>
                <w:sz w:val="20"/>
                <w:szCs w:val="20"/>
              </w:rPr>
              <w:t xml:space="preserve"> monitoring and automated si</w:t>
            </w:r>
            <w:r>
              <w:rPr>
                <w:rFonts w:asciiTheme="minorHAnsi" w:hAnsiTheme="minorHAnsi"/>
                <w:i/>
                <w:sz w:val="20"/>
                <w:szCs w:val="20"/>
              </w:rPr>
              <w:t xml:space="preserve">gnal detection would ensure any untoward </w:t>
            </w:r>
            <w:r w:rsidRPr="00DC14AC">
              <w:rPr>
                <w:rFonts w:asciiTheme="minorHAnsi" w:hAnsiTheme="minorHAnsi"/>
                <w:i/>
                <w:sz w:val="20"/>
                <w:szCs w:val="20"/>
              </w:rPr>
              <w:t>increase in frequency or severit</w:t>
            </w:r>
            <w:r>
              <w:rPr>
                <w:rFonts w:asciiTheme="minorHAnsi" w:hAnsiTheme="minorHAnsi"/>
                <w:i/>
                <w:sz w:val="20"/>
                <w:szCs w:val="20"/>
              </w:rPr>
              <w:t>y would be noted and evaluated.</w:t>
            </w:r>
          </w:p>
          <w:p w:rsidR="00D56684" w:rsidRPr="00DC14AC" w:rsidRDefault="00D56684" w:rsidP="00EE5020">
            <w:pPr>
              <w:rPr>
                <w:rFonts w:asciiTheme="minorHAnsi" w:hAnsiTheme="minorHAnsi"/>
                <w:i/>
                <w:sz w:val="20"/>
                <w:szCs w:val="20"/>
              </w:rPr>
            </w:pPr>
            <w:r w:rsidRPr="00DC14AC">
              <w:rPr>
                <w:rFonts w:asciiTheme="minorHAnsi" w:hAnsiTheme="minorHAnsi"/>
                <w:i/>
                <w:sz w:val="20"/>
                <w:szCs w:val="20"/>
              </w:rPr>
              <w:t>Lipodystrophy</w:t>
            </w:r>
          </w:p>
          <w:p w:rsidR="00D56684" w:rsidRPr="00DC14AC" w:rsidRDefault="00D56684" w:rsidP="00EE5020">
            <w:pPr>
              <w:rPr>
                <w:rFonts w:asciiTheme="minorHAnsi" w:hAnsiTheme="minorHAnsi"/>
                <w:i/>
                <w:sz w:val="20"/>
                <w:szCs w:val="20"/>
              </w:rPr>
            </w:pPr>
            <w:r w:rsidRPr="00DC14AC">
              <w:rPr>
                <w:rFonts w:asciiTheme="minorHAnsi" w:hAnsiTheme="minorHAnsi"/>
                <w:i/>
                <w:sz w:val="20"/>
                <w:szCs w:val="20"/>
              </w:rPr>
              <w:t xml:space="preserve">Lipodystrophy is a risk for </w:t>
            </w:r>
            <w:proofErr w:type="spellStart"/>
            <w:r w:rsidR="00EC7E12">
              <w:rPr>
                <w:rFonts w:asciiTheme="minorHAnsi" w:hAnsiTheme="minorHAnsi"/>
                <w:i/>
                <w:sz w:val="20"/>
                <w:szCs w:val="20"/>
              </w:rPr>
              <w:t>Abasria</w:t>
            </w:r>
            <w:proofErr w:type="spellEnd"/>
            <w:r w:rsidRPr="00DC14AC">
              <w:rPr>
                <w:rFonts w:asciiTheme="minorHAnsi" w:hAnsiTheme="minorHAnsi"/>
                <w:i/>
                <w:sz w:val="20"/>
                <w:szCs w:val="20"/>
              </w:rPr>
              <w:t>; however, it does not rise to th</w:t>
            </w:r>
            <w:r>
              <w:rPr>
                <w:rFonts w:asciiTheme="minorHAnsi" w:hAnsiTheme="minorHAnsi"/>
                <w:i/>
                <w:sz w:val="20"/>
                <w:szCs w:val="20"/>
              </w:rPr>
              <w:t xml:space="preserve">e level of important as defined </w:t>
            </w:r>
            <w:r w:rsidRPr="00DC14AC">
              <w:rPr>
                <w:rFonts w:asciiTheme="minorHAnsi" w:hAnsiTheme="minorHAnsi"/>
                <w:i/>
                <w:sz w:val="20"/>
                <w:szCs w:val="20"/>
              </w:rPr>
              <w:t>in Good Pharmacovigilance Practice) Module V (Rev</w:t>
            </w:r>
            <w:r>
              <w:rPr>
                <w:rFonts w:asciiTheme="minorHAnsi" w:hAnsiTheme="minorHAnsi"/>
                <w:i/>
                <w:sz w:val="20"/>
                <w:szCs w:val="20"/>
              </w:rPr>
              <w:t xml:space="preserve"> 1). This risk does not have an impact on the </w:t>
            </w:r>
            <w:r w:rsidRPr="00DC14AC">
              <w:rPr>
                <w:rFonts w:asciiTheme="minorHAnsi" w:hAnsiTheme="minorHAnsi"/>
                <w:i/>
                <w:sz w:val="20"/>
                <w:szCs w:val="20"/>
              </w:rPr>
              <w:t xml:space="preserve">benefit-risk balance of the product or have implications for public health and </w:t>
            </w:r>
            <w:r>
              <w:rPr>
                <w:rFonts w:asciiTheme="minorHAnsi" w:hAnsiTheme="minorHAnsi"/>
                <w:i/>
                <w:sz w:val="20"/>
                <w:szCs w:val="20"/>
              </w:rPr>
              <w:t xml:space="preserve">thus should not be </w:t>
            </w:r>
            <w:r w:rsidRPr="00DC14AC">
              <w:rPr>
                <w:rFonts w:asciiTheme="minorHAnsi" w:hAnsiTheme="minorHAnsi"/>
                <w:i/>
                <w:sz w:val="20"/>
                <w:szCs w:val="20"/>
              </w:rPr>
              <w:t>included in the RMP.</w:t>
            </w:r>
          </w:p>
          <w:p w:rsidR="00D56684" w:rsidRPr="00DC14AC" w:rsidRDefault="00D56684" w:rsidP="00EE5020">
            <w:pPr>
              <w:rPr>
                <w:rFonts w:asciiTheme="minorHAnsi" w:hAnsiTheme="minorHAnsi"/>
                <w:i/>
                <w:sz w:val="20"/>
                <w:szCs w:val="20"/>
              </w:rPr>
            </w:pPr>
            <w:r w:rsidRPr="00DC14AC">
              <w:rPr>
                <w:rFonts w:asciiTheme="minorHAnsi" w:hAnsiTheme="minorHAnsi"/>
                <w:i/>
                <w:sz w:val="20"/>
                <w:szCs w:val="20"/>
              </w:rPr>
              <w:lastRenderedPageBreak/>
              <w:t>Oedema</w:t>
            </w:r>
          </w:p>
          <w:p w:rsidR="00D56684" w:rsidRPr="0025169D" w:rsidRDefault="00D56684" w:rsidP="00011A6D">
            <w:pPr>
              <w:rPr>
                <w:rFonts w:asciiTheme="minorHAnsi" w:hAnsiTheme="minorHAnsi"/>
                <w:i/>
                <w:sz w:val="20"/>
                <w:szCs w:val="20"/>
              </w:rPr>
            </w:pPr>
            <w:proofErr w:type="spellStart"/>
            <w:r w:rsidRPr="00DC14AC">
              <w:rPr>
                <w:rFonts w:asciiTheme="minorHAnsi" w:hAnsiTheme="minorHAnsi"/>
                <w:i/>
                <w:sz w:val="20"/>
                <w:szCs w:val="20"/>
              </w:rPr>
              <w:t>Oedma</w:t>
            </w:r>
            <w:proofErr w:type="spellEnd"/>
            <w:r w:rsidRPr="00DC14AC">
              <w:rPr>
                <w:rFonts w:asciiTheme="minorHAnsi" w:hAnsiTheme="minorHAnsi"/>
                <w:i/>
                <w:sz w:val="20"/>
                <w:szCs w:val="20"/>
              </w:rPr>
              <w:t xml:space="preserve"> based on insulin-related sodium retention is identifi</w:t>
            </w:r>
            <w:r>
              <w:rPr>
                <w:rFonts w:asciiTheme="minorHAnsi" w:hAnsiTheme="minorHAnsi"/>
                <w:i/>
                <w:sz w:val="20"/>
                <w:szCs w:val="20"/>
              </w:rPr>
              <w:t xml:space="preserve">ed in the PI within the adverse event </w:t>
            </w:r>
            <w:r w:rsidRPr="00DC14AC">
              <w:rPr>
                <w:rFonts w:asciiTheme="minorHAnsi" w:hAnsiTheme="minorHAnsi"/>
                <w:i/>
                <w:sz w:val="20"/>
                <w:szCs w:val="20"/>
              </w:rPr>
              <w:t>(AE) table as a recognised event; however, it does not ri</w:t>
            </w:r>
            <w:r>
              <w:rPr>
                <w:rFonts w:asciiTheme="minorHAnsi" w:hAnsiTheme="minorHAnsi"/>
                <w:i/>
                <w:sz w:val="20"/>
                <w:szCs w:val="20"/>
              </w:rPr>
              <w:t xml:space="preserve">se to the level of an important identified </w:t>
            </w:r>
            <w:r w:rsidRPr="00DC14AC">
              <w:rPr>
                <w:rFonts w:asciiTheme="minorHAnsi" w:hAnsiTheme="minorHAnsi"/>
                <w:i/>
                <w:sz w:val="20"/>
                <w:szCs w:val="20"/>
              </w:rPr>
              <w:t xml:space="preserve">risk. Oedema in conjunction with </w:t>
            </w:r>
            <w:proofErr w:type="spellStart"/>
            <w:r w:rsidRPr="00DC14AC">
              <w:rPr>
                <w:rFonts w:asciiTheme="minorHAnsi" w:hAnsiTheme="minorHAnsi"/>
                <w:i/>
                <w:sz w:val="20"/>
                <w:szCs w:val="20"/>
              </w:rPr>
              <w:t>thioazolidinedione</w:t>
            </w:r>
            <w:proofErr w:type="spellEnd"/>
            <w:r w:rsidRPr="00DC14AC">
              <w:rPr>
                <w:rFonts w:asciiTheme="minorHAnsi" w:hAnsiTheme="minorHAnsi"/>
                <w:i/>
                <w:sz w:val="20"/>
                <w:szCs w:val="20"/>
              </w:rPr>
              <w:t xml:space="preserve"> is already incl</w:t>
            </w:r>
            <w:r>
              <w:rPr>
                <w:rFonts w:asciiTheme="minorHAnsi" w:hAnsiTheme="minorHAnsi"/>
                <w:i/>
                <w:sz w:val="20"/>
                <w:szCs w:val="20"/>
              </w:rPr>
              <w:t xml:space="preserve">uded as a safety concern, as it </w:t>
            </w:r>
            <w:r w:rsidRPr="00DC14AC">
              <w:rPr>
                <w:rFonts w:asciiTheme="minorHAnsi" w:hAnsiTheme="minorHAnsi"/>
                <w:i/>
                <w:sz w:val="20"/>
                <w:szCs w:val="20"/>
              </w:rPr>
              <w:t>appears to be a more severe outcome for this drug-drug interaction.</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Default="00D56684" w:rsidP="00EE5020">
            <w:pPr>
              <w:rPr>
                <w:rFonts w:asciiTheme="minorHAnsi" w:hAnsiTheme="minorHAnsi"/>
                <w:sz w:val="20"/>
                <w:szCs w:val="20"/>
              </w:rPr>
            </w:pPr>
            <w:r>
              <w:rPr>
                <w:rFonts w:asciiTheme="minorHAnsi" w:hAnsiTheme="minorHAnsi"/>
                <w:sz w:val="20"/>
                <w:szCs w:val="20"/>
              </w:rPr>
              <w:lastRenderedPageBreak/>
              <w:t>This is considered acceptable in the context of this application.</w:t>
            </w:r>
          </w:p>
          <w:p w:rsidR="00D56684" w:rsidRPr="0025169D" w:rsidRDefault="00D56684" w:rsidP="00D1559C">
            <w:pPr>
              <w:rPr>
                <w:rFonts w:asciiTheme="minorHAnsi" w:hAnsiTheme="minorHAnsi"/>
                <w:sz w:val="20"/>
                <w:szCs w:val="20"/>
              </w:rPr>
            </w:pPr>
            <w:r>
              <w:rPr>
                <w:rFonts w:asciiTheme="minorHAnsi" w:hAnsiTheme="minorHAnsi"/>
                <w:sz w:val="20"/>
                <w:szCs w:val="20"/>
              </w:rPr>
              <w:t xml:space="preserve">However, the </w:t>
            </w:r>
            <w:r w:rsidRPr="003E2C59">
              <w:rPr>
                <w:rFonts w:asciiTheme="minorHAnsi" w:hAnsiTheme="minorHAnsi"/>
                <w:sz w:val="20"/>
                <w:szCs w:val="20"/>
              </w:rPr>
              <w:t>EU Guideline on good pharmacovigilance practices (GVP) Modu</w:t>
            </w:r>
            <w:r>
              <w:rPr>
                <w:rFonts w:asciiTheme="minorHAnsi" w:hAnsiTheme="minorHAnsi"/>
                <w:sz w:val="20"/>
                <w:szCs w:val="20"/>
              </w:rPr>
              <w:t xml:space="preserve">le V – Risk management systems also states that </w:t>
            </w:r>
            <w:r w:rsidRPr="003E2C59">
              <w:rPr>
                <w:rFonts w:asciiTheme="minorHAnsi" w:hAnsiTheme="minorHAnsi"/>
                <w:sz w:val="20"/>
                <w:szCs w:val="20"/>
              </w:rPr>
              <w:t>Important Identified Risks include conditions which can substantially aff</w:t>
            </w:r>
            <w:r>
              <w:rPr>
                <w:rFonts w:asciiTheme="minorHAnsi" w:hAnsiTheme="minorHAnsi"/>
                <w:sz w:val="20"/>
                <w:szCs w:val="20"/>
              </w:rPr>
              <w:t>ect a person’s quality of life.</w:t>
            </w: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306421">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lastRenderedPageBreak/>
              <w:t>Unless the sponsor can provide a compelling justification, children below 18 years of age should be added as important missing information and a relevant and appropriate PI change should be made.</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B927EB" w:rsidRDefault="00D56684" w:rsidP="00EE5020">
            <w:pPr>
              <w:rPr>
                <w:rFonts w:asciiTheme="minorHAnsi" w:hAnsiTheme="minorHAnsi"/>
                <w:i/>
                <w:sz w:val="20"/>
                <w:szCs w:val="20"/>
              </w:rPr>
            </w:pPr>
            <w:r>
              <w:rPr>
                <w:rFonts w:asciiTheme="minorHAnsi" w:hAnsiTheme="minorHAnsi"/>
                <w:i/>
                <w:sz w:val="20"/>
                <w:szCs w:val="20"/>
              </w:rPr>
              <w:t>‘</w:t>
            </w:r>
            <w:r w:rsidRPr="00B927EB">
              <w:rPr>
                <w:rFonts w:asciiTheme="minorHAnsi" w:hAnsiTheme="minorHAnsi"/>
                <w:i/>
                <w:sz w:val="20"/>
                <w:szCs w:val="20"/>
              </w:rPr>
              <w:t xml:space="preserve">The </w:t>
            </w:r>
            <w:r w:rsidR="00011A6D">
              <w:rPr>
                <w:rFonts w:asciiTheme="minorHAnsi" w:hAnsiTheme="minorHAnsi"/>
                <w:i/>
                <w:sz w:val="20"/>
                <w:szCs w:val="20"/>
              </w:rPr>
              <w:t>s</w:t>
            </w:r>
            <w:r w:rsidRPr="00B927EB">
              <w:rPr>
                <w:rFonts w:asciiTheme="minorHAnsi" w:hAnsiTheme="minorHAnsi"/>
                <w:i/>
                <w:sz w:val="20"/>
                <w:szCs w:val="20"/>
              </w:rPr>
              <w:t>ponsor believes that children younger than 18 years have</w:t>
            </w:r>
            <w:r>
              <w:rPr>
                <w:rFonts w:asciiTheme="minorHAnsi" w:hAnsiTheme="minorHAnsi"/>
                <w:i/>
                <w:sz w:val="20"/>
                <w:szCs w:val="20"/>
              </w:rPr>
              <w:t xml:space="preserve"> been adequately studied by the </w:t>
            </w:r>
            <w:r w:rsidRPr="00B927EB">
              <w:rPr>
                <w:rFonts w:asciiTheme="minorHAnsi" w:hAnsiTheme="minorHAnsi"/>
                <w:i/>
                <w:sz w:val="20"/>
                <w:szCs w:val="20"/>
              </w:rPr>
              <w:t>innovator product and are included in the approved indications in th</w:t>
            </w:r>
            <w:r>
              <w:rPr>
                <w:rFonts w:asciiTheme="minorHAnsi" w:hAnsiTheme="minorHAnsi"/>
                <w:i/>
                <w:sz w:val="20"/>
                <w:szCs w:val="20"/>
              </w:rPr>
              <w:t xml:space="preserve">e US (age 6 and older), EU (age </w:t>
            </w:r>
            <w:r w:rsidRPr="00B927EB">
              <w:rPr>
                <w:rFonts w:asciiTheme="minorHAnsi" w:hAnsiTheme="minorHAnsi"/>
                <w:i/>
                <w:sz w:val="20"/>
                <w:szCs w:val="20"/>
              </w:rPr>
              <w:t>2 and older) and in Australia (age 2 and older). The use of insuli</w:t>
            </w:r>
            <w:r>
              <w:rPr>
                <w:rFonts w:asciiTheme="minorHAnsi" w:hAnsiTheme="minorHAnsi"/>
                <w:i/>
                <w:sz w:val="20"/>
                <w:szCs w:val="20"/>
              </w:rPr>
              <w:t xml:space="preserve">n </w:t>
            </w:r>
            <w:proofErr w:type="spellStart"/>
            <w:r>
              <w:rPr>
                <w:rFonts w:asciiTheme="minorHAnsi" w:hAnsiTheme="minorHAnsi"/>
                <w:i/>
                <w:sz w:val="20"/>
                <w:szCs w:val="20"/>
              </w:rPr>
              <w:t>glargine</w:t>
            </w:r>
            <w:proofErr w:type="spellEnd"/>
            <w:r>
              <w:rPr>
                <w:rFonts w:asciiTheme="minorHAnsi" w:hAnsiTheme="minorHAnsi"/>
                <w:i/>
                <w:sz w:val="20"/>
                <w:szCs w:val="20"/>
              </w:rPr>
              <w:t xml:space="preserve"> for the treatment of </w:t>
            </w:r>
            <w:r w:rsidRPr="00B927EB">
              <w:rPr>
                <w:rFonts w:asciiTheme="minorHAnsi" w:hAnsiTheme="minorHAnsi"/>
                <w:i/>
                <w:sz w:val="20"/>
                <w:szCs w:val="20"/>
              </w:rPr>
              <w:t xml:space="preserve">T1DM in a </w:t>
            </w:r>
            <w:proofErr w:type="spellStart"/>
            <w:r w:rsidRPr="00B927EB">
              <w:rPr>
                <w:rFonts w:asciiTheme="minorHAnsi" w:hAnsiTheme="minorHAnsi"/>
                <w:i/>
                <w:sz w:val="20"/>
                <w:szCs w:val="20"/>
              </w:rPr>
              <w:t>pediatric</w:t>
            </w:r>
            <w:proofErr w:type="spellEnd"/>
            <w:r w:rsidRPr="00B927EB">
              <w:rPr>
                <w:rFonts w:asciiTheme="minorHAnsi" w:hAnsiTheme="minorHAnsi"/>
                <w:i/>
                <w:sz w:val="20"/>
                <w:szCs w:val="20"/>
              </w:rPr>
              <w:t xml:space="preserve"> population was originally supported by</w:t>
            </w:r>
            <w:r w:rsidR="00011A6D">
              <w:rPr>
                <w:rFonts w:asciiTheme="minorHAnsi" w:hAnsiTheme="minorHAnsi"/>
                <w:i/>
                <w:sz w:val="20"/>
                <w:szCs w:val="20"/>
              </w:rPr>
              <w:t xml:space="preserve"> </w:t>
            </w:r>
            <w:r w:rsidRPr="00B927EB">
              <w:rPr>
                <w:rFonts w:asciiTheme="minorHAnsi" w:hAnsiTheme="minorHAnsi"/>
                <w:i/>
                <w:sz w:val="20"/>
                <w:szCs w:val="20"/>
              </w:rPr>
              <w:t>data esta</w:t>
            </w:r>
            <w:r>
              <w:rPr>
                <w:rFonts w:asciiTheme="minorHAnsi" w:hAnsiTheme="minorHAnsi"/>
                <w:i/>
                <w:sz w:val="20"/>
                <w:szCs w:val="20"/>
              </w:rPr>
              <w:t xml:space="preserve">blishing the safety and </w:t>
            </w:r>
            <w:r w:rsidRPr="00B927EB">
              <w:rPr>
                <w:rFonts w:asciiTheme="minorHAnsi" w:hAnsiTheme="minorHAnsi"/>
                <w:i/>
                <w:sz w:val="20"/>
                <w:szCs w:val="20"/>
              </w:rPr>
              <w:t xml:space="preserve">effectiveness of subcutaneous injections of insulin </w:t>
            </w:r>
            <w:proofErr w:type="spellStart"/>
            <w:r w:rsidRPr="00B927EB">
              <w:rPr>
                <w:rFonts w:asciiTheme="minorHAnsi" w:hAnsiTheme="minorHAnsi"/>
                <w:i/>
                <w:sz w:val="20"/>
                <w:szCs w:val="20"/>
              </w:rPr>
              <w:t>glargine</w:t>
            </w:r>
            <w:proofErr w:type="spellEnd"/>
            <w:r w:rsidRPr="00B927EB">
              <w:rPr>
                <w:rFonts w:asciiTheme="minorHAnsi" w:hAnsiTheme="minorHAnsi"/>
                <w:i/>
                <w:sz w:val="20"/>
                <w:szCs w:val="20"/>
              </w:rPr>
              <w:t xml:space="preserve"> (</w:t>
            </w:r>
            <w:r w:rsidR="00D54BAC">
              <w:rPr>
                <w:rFonts w:asciiTheme="minorHAnsi" w:hAnsiTheme="minorHAnsi"/>
                <w:i/>
                <w:sz w:val="20"/>
                <w:szCs w:val="20"/>
              </w:rPr>
              <w:t>Lantus</w:t>
            </w:r>
            <w:r>
              <w:rPr>
                <w:rFonts w:asciiTheme="minorHAnsi" w:hAnsiTheme="minorHAnsi"/>
                <w:i/>
                <w:sz w:val="20"/>
                <w:szCs w:val="20"/>
              </w:rPr>
              <w:t xml:space="preserve">®) in patients aged 6 years </w:t>
            </w:r>
            <w:r w:rsidRPr="00B927EB">
              <w:rPr>
                <w:rFonts w:asciiTheme="minorHAnsi" w:hAnsiTheme="minorHAnsi"/>
                <w:i/>
                <w:sz w:val="20"/>
                <w:szCs w:val="20"/>
              </w:rPr>
              <w:t>and older</w:t>
            </w:r>
            <w:r w:rsidR="0006468C">
              <w:rPr>
                <w:rFonts w:asciiTheme="minorHAnsi" w:hAnsiTheme="minorHAnsi"/>
                <w:i/>
                <w:sz w:val="20"/>
                <w:szCs w:val="20"/>
              </w:rPr>
              <w:t>.</w:t>
            </w:r>
            <w:r w:rsidR="00EF6E06">
              <w:rPr>
                <w:rStyle w:val="FootnoteReference"/>
                <w:rFonts w:asciiTheme="minorHAnsi" w:hAnsiTheme="minorHAnsi"/>
                <w:i/>
                <w:sz w:val="20"/>
                <w:szCs w:val="20"/>
              </w:rPr>
              <w:footnoteReference w:id="10"/>
            </w:r>
            <w:r w:rsidRPr="00B927EB">
              <w:rPr>
                <w:rFonts w:asciiTheme="minorHAnsi" w:hAnsiTheme="minorHAnsi"/>
                <w:i/>
                <w:sz w:val="20"/>
                <w:szCs w:val="20"/>
              </w:rPr>
              <w:t xml:space="preserve"> The data for children be</w:t>
            </w:r>
            <w:r>
              <w:rPr>
                <w:rFonts w:asciiTheme="minorHAnsi" w:hAnsiTheme="minorHAnsi"/>
                <w:i/>
                <w:sz w:val="20"/>
                <w:szCs w:val="20"/>
              </w:rPr>
              <w:t xml:space="preserve">tween 2 and 6 years of age (the </w:t>
            </w:r>
            <w:r w:rsidRPr="00B927EB">
              <w:rPr>
                <w:rFonts w:asciiTheme="minorHAnsi" w:hAnsiTheme="minorHAnsi"/>
                <w:i/>
                <w:sz w:val="20"/>
                <w:szCs w:val="20"/>
              </w:rPr>
              <w:t xml:space="preserve">PRESCHOOL study) was recently published and shows clinical </w:t>
            </w:r>
            <w:r>
              <w:rPr>
                <w:rFonts w:asciiTheme="minorHAnsi" w:hAnsiTheme="minorHAnsi"/>
                <w:i/>
                <w:sz w:val="20"/>
                <w:szCs w:val="20"/>
              </w:rPr>
              <w:t xml:space="preserve">outcomes in children similar to </w:t>
            </w:r>
            <w:r w:rsidRPr="00B927EB">
              <w:rPr>
                <w:rFonts w:asciiTheme="minorHAnsi" w:hAnsiTheme="minorHAnsi"/>
                <w:i/>
                <w:sz w:val="20"/>
                <w:szCs w:val="20"/>
              </w:rPr>
              <w:t>those of adults.</w:t>
            </w:r>
            <w:r w:rsidR="0006468C">
              <w:rPr>
                <w:rStyle w:val="FootnoteReference"/>
                <w:rFonts w:asciiTheme="minorHAnsi" w:hAnsiTheme="minorHAnsi"/>
                <w:i/>
                <w:sz w:val="20"/>
                <w:szCs w:val="20"/>
              </w:rPr>
              <w:footnoteReference w:id="11"/>
            </w:r>
            <w:r w:rsidRPr="00B927EB">
              <w:rPr>
                <w:rFonts w:asciiTheme="minorHAnsi" w:hAnsiTheme="minorHAnsi"/>
                <w:i/>
                <w:sz w:val="20"/>
                <w:szCs w:val="20"/>
              </w:rPr>
              <w:t xml:space="preserve"> Assessments of plasma </w:t>
            </w:r>
            <w:r w:rsidR="00722754">
              <w:rPr>
                <w:rFonts w:asciiTheme="minorHAnsi" w:hAnsiTheme="minorHAnsi"/>
                <w:i/>
                <w:sz w:val="20"/>
                <w:szCs w:val="20"/>
              </w:rPr>
              <w:t>‘</w:t>
            </w:r>
            <w:r w:rsidRPr="00B927EB">
              <w:rPr>
                <w:rFonts w:asciiTheme="minorHAnsi" w:hAnsiTheme="minorHAnsi"/>
                <w:i/>
                <w:sz w:val="20"/>
                <w:szCs w:val="20"/>
              </w:rPr>
              <w:t>trough</w:t>
            </w:r>
            <w:r w:rsidR="00722754">
              <w:rPr>
                <w:rFonts w:asciiTheme="minorHAnsi" w:hAnsiTheme="minorHAnsi"/>
                <w:i/>
                <w:sz w:val="20"/>
                <w:szCs w:val="20"/>
              </w:rPr>
              <w:t>’</w:t>
            </w:r>
            <w:r w:rsidRPr="00B927EB">
              <w:rPr>
                <w:rFonts w:asciiTheme="minorHAnsi" w:hAnsiTheme="minorHAnsi"/>
                <w:i/>
                <w:sz w:val="20"/>
                <w:szCs w:val="20"/>
              </w:rPr>
              <w:t xml:space="preserve"> leve</w:t>
            </w:r>
            <w:r>
              <w:rPr>
                <w:rFonts w:asciiTheme="minorHAnsi" w:hAnsiTheme="minorHAnsi"/>
                <w:i/>
                <w:sz w:val="20"/>
                <w:szCs w:val="20"/>
              </w:rPr>
              <w:t xml:space="preserve">ls of insulin </w:t>
            </w:r>
            <w:proofErr w:type="spellStart"/>
            <w:r>
              <w:rPr>
                <w:rFonts w:asciiTheme="minorHAnsi" w:hAnsiTheme="minorHAnsi"/>
                <w:i/>
                <w:sz w:val="20"/>
                <w:szCs w:val="20"/>
              </w:rPr>
              <w:t>glargine</w:t>
            </w:r>
            <w:proofErr w:type="spellEnd"/>
            <w:r>
              <w:rPr>
                <w:rFonts w:asciiTheme="minorHAnsi" w:hAnsiTheme="minorHAnsi"/>
                <w:i/>
                <w:sz w:val="20"/>
                <w:szCs w:val="20"/>
              </w:rPr>
              <w:t xml:space="preserve"> revealed </w:t>
            </w:r>
            <w:r w:rsidRPr="00B927EB">
              <w:rPr>
                <w:rFonts w:asciiTheme="minorHAnsi" w:hAnsiTheme="minorHAnsi"/>
                <w:i/>
                <w:sz w:val="20"/>
                <w:szCs w:val="20"/>
              </w:rPr>
              <w:t>plasma concentration patterns similar to adults. Assuming the TG</w:t>
            </w:r>
            <w:r>
              <w:rPr>
                <w:rFonts w:asciiTheme="minorHAnsi" w:hAnsiTheme="minorHAnsi"/>
                <w:i/>
                <w:sz w:val="20"/>
                <w:szCs w:val="20"/>
              </w:rPr>
              <w:t xml:space="preserve">A, upon review of the marketing </w:t>
            </w:r>
            <w:r w:rsidRPr="00B927EB">
              <w:rPr>
                <w:rFonts w:asciiTheme="minorHAnsi" w:hAnsiTheme="minorHAnsi"/>
                <w:i/>
                <w:sz w:val="20"/>
                <w:szCs w:val="20"/>
              </w:rPr>
              <w:t xml:space="preserve">authorisation application concludes that </w:t>
            </w:r>
            <w:proofErr w:type="spellStart"/>
            <w:r w:rsidR="00EC7E12">
              <w:rPr>
                <w:rFonts w:asciiTheme="minorHAnsi" w:hAnsiTheme="minorHAnsi"/>
                <w:i/>
                <w:sz w:val="20"/>
                <w:szCs w:val="20"/>
              </w:rPr>
              <w:t>Abasria</w:t>
            </w:r>
            <w:proofErr w:type="spellEnd"/>
            <w:r w:rsidRPr="00B927EB">
              <w:rPr>
                <w:rFonts w:asciiTheme="minorHAnsi" w:hAnsiTheme="minorHAnsi"/>
                <w:i/>
                <w:sz w:val="20"/>
                <w:szCs w:val="20"/>
              </w:rPr>
              <w:t xml:space="preserve"> is biosimi</w:t>
            </w:r>
            <w:r>
              <w:rPr>
                <w:rFonts w:asciiTheme="minorHAnsi" w:hAnsiTheme="minorHAnsi"/>
                <w:i/>
                <w:sz w:val="20"/>
                <w:szCs w:val="20"/>
              </w:rPr>
              <w:t xml:space="preserve">lar to </w:t>
            </w:r>
            <w:r w:rsidR="00D54BAC">
              <w:rPr>
                <w:rFonts w:asciiTheme="minorHAnsi" w:hAnsiTheme="minorHAnsi"/>
                <w:i/>
                <w:sz w:val="20"/>
                <w:szCs w:val="20"/>
              </w:rPr>
              <w:t>Lantus</w:t>
            </w:r>
            <w:r>
              <w:rPr>
                <w:rFonts w:asciiTheme="minorHAnsi" w:hAnsiTheme="minorHAnsi"/>
                <w:i/>
                <w:sz w:val="20"/>
                <w:szCs w:val="20"/>
              </w:rPr>
              <w:t xml:space="preserve">®, that conclusion </w:t>
            </w:r>
            <w:r w:rsidRPr="00B927EB">
              <w:rPr>
                <w:rFonts w:asciiTheme="minorHAnsi" w:hAnsiTheme="minorHAnsi"/>
                <w:i/>
                <w:sz w:val="20"/>
                <w:szCs w:val="20"/>
              </w:rPr>
              <w:t xml:space="preserve">should carry over to the </w:t>
            </w:r>
            <w:proofErr w:type="spellStart"/>
            <w:r w:rsidRPr="00B927EB">
              <w:rPr>
                <w:rFonts w:asciiTheme="minorHAnsi" w:hAnsiTheme="minorHAnsi"/>
                <w:i/>
                <w:sz w:val="20"/>
                <w:szCs w:val="20"/>
              </w:rPr>
              <w:t>pediatric</w:t>
            </w:r>
            <w:proofErr w:type="spellEnd"/>
            <w:r w:rsidRPr="00B927EB">
              <w:rPr>
                <w:rFonts w:asciiTheme="minorHAnsi" w:hAnsiTheme="minorHAnsi"/>
                <w:i/>
                <w:sz w:val="20"/>
                <w:szCs w:val="20"/>
              </w:rPr>
              <w:t xml:space="preserve"> population as well </w:t>
            </w:r>
            <w:r w:rsidRPr="00B927EB">
              <w:rPr>
                <w:rFonts w:asciiTheme="minorHAnsi" w:hAnsiTheme="minorHAnsi"/>
                <w:i/>
                <w:sz w:val="20"/>
                <w:szCs w:val="20"/>
              </w:rPr>
              <w:lastRenderedPageBreak/>
              <w:t xml:space="preserve">for the purpose of </w:t>
            </w:r>
            <w:proofErr w:type="spellStart"/>
            <w:r w:rsidRPr="00B927EB">
              <w:rPr>
                <w:rFonts w:asciiTheme="minorHAnsi" w:hAnsiTheme="minorHAnsi"/>
                <w:i/>
                <w:sz w:val="20"/>
                <w:szCs w:val="20"/>
              </w:rPr>
              <w:t>labeling</w:t>
            </w:r>
            <w:proofErr w:type="spellEnd"/>
            <w:r w:rsidRPr="00B927EB">
              <w:rPr>
                <w:rFonts w:asciiTheme="minorHAnsi" w:hAnsiTheme="minorHAnsi"/>
                <w:i/>
                <w:sz w:val="20"/>
                <w:szCs w:val="20"/>
              </w:rPr>
              <w:t>.</w:t>
            </w:r>
          </w:p>
          <w:p w:rsidR="00D56684" w:rsidRPr="0025169D" w:rsidRDefault="00D56684" w:rsidP="00011A6D">
            <w:pPr>
              <w:rPr>
                <w:rFonts w:asciiTheme="minorHAnsi" w:hAnsiTheme="minorHAnsi"/>
                <w:i/>
                <w:sz w:val="20"/>
                <w:szCs w:val="20"/>
              </w:rPr>
            </w:pPr>
            <w:r w:rsidRPr="00B927EB">
              <w:rPr>
                <w:rFonts w:asciiTheme="minorHAnsi" w:hAnsiTheme="minorHAnsi"/>
                <w:i/>
                <w:sz w:val="20"/>
                <w:szCs w:val="20"/>
              </w:rPr>
              <w:t xml:space="preserve">The </w:t>
            </w:r>
            <w:r w:rsidR="00011A6D">
              <w:rPr>
                <w:rFonts w:asciiTheme="minorHAnsi" w:hAnsiTheme="minorHAnsi"/>
                <w:i/>
                <w:sz w:val="20"/>
                <w:szCs w:val="20"/>
              </w:rPr>
              <w:t>s</w:t>
            </w:r>
            <w:r w:rsidRPr="00B927EB">
              <w:rPr>
                <w:rFonts w:asciiTheme="minorHAnsi" w:hAnsiTheme="minorHAnsi"/>
                <w:i/>
                <w:sz w:val="20"/>
                <w:szCs w:val="20"/>
              </w:rPr>
              <w:t xml:space="preserve">ponsor agrees that adequate data are not available for children younger than </w:t>
            </w:r>
            <w:r>
              <w:rPr>
                <w:rFonts w:asciiTheme="minorHAnsi" w:hAnsiTheme="minorHAnsi"/>
                <w:i/>
                <w:sz w:val="20"/>
                <w:szCs w:val="20"/>
              </w:rPr>
              <w:t xml:space="preserve">2 years and will </w:t>
            </w:r>
            <w:r w:rsidRPr="00B927EB">
              <w:rPr>
                <w:rFonts w:asciiTheme="minorHAnsi" w:hAnsiTheme="minorHAnsi"/>
                <w:i/>
                <w:sz w:val="20"/>
                <w:szCs w:val="20"/>
              </w:rPr>
              <w:t>include this age category as important missing data in the RMP.</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306421">
            <w:pPr>
              <w:rPr>
                <w:rFonts w:asciiTheme="minorHAnsi" w:hAnsiTheme="minorHAnsi"/>
                <w:sz w:val="20"/>
                <w:szCs w:val="20"/>
              </w:rPr>
            </w:pPr>
            <w:r>
              <w:rPr>
                <w:rFonts w:asciiTheme="minorHAnsi" w:hAnsiTheme="minorHAnsi"/>
                <w:sz w:val="20"/>
                <w:szCs w:val="20"/>
              </w:rPr>
              <w:lastRenderedPageBreak/>
              <w:t xml:space="preserve">This is considered acceptable in the context of this application, if the Delegate has no objections to accept the </w:t>
            </w:r>
            <w:r w:rsidR="00D54BAC">
              <w:rPr>
                <w:rFonts w:asciiTheme="minorHAnsi" w:hAnsiTheme="minorHAnsi"/>
                <w:sz w:val="20"/>
                <w:szCs w:val="20"/>
              </w:rPr>
              <w:t>Lantus</w:t>
            </w:r>
            <w:r>
              <w:rPr>
                <w:rFonts w:asciiTheme="minorHAnsi" w:hAnsiTheme="minorHAnsi"/>
                <w:sz w:val="20"/>
                <w:szCs w:val="20"/>
              </w:rPr>
              <w:t xml:space="preserve"> data for ABRASIA.</w:t>
            </w: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D1559C">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lastRenderedPageBreak/>
              <w:t>The sponsor should conduct a study (or assign an existing study) to investigate the potential risk of malignancies further, in particular in children.</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785891" w:rsidRDefault="00D56684" w:rsidP="00EE5020">
            <w:pPr>
              <w:rPr>
                <w:rFonts w:asciiTheme="minorHAnsi" w:hAnsiTheme="minorHAnsi"/>
                <w:i/>
                <w:sz w:val="20"/>
                <w:szCs w:val="20"/>
              </w:rPr>
            </w:pPr>
            <w:r>
              <w:rPr>
                <w:rFonts w:asciiTheme="minorHAnsi" w:hAnsiTheme="minorHAnsi"/>
                <w:i/>
                <w:sz w:val="20"/>
                <w:szCs w:val="20"/>
              </w:rPr>
              <w:t>‘</w:t>
            </w:r>
            <w:r w:rsidRPr="00785891">
              <w:rPr>
                <w:rFonts w:asciiTheme="minorHAnsi" w:hAnsiTheme="minorHAnsi"/>
                <w:i/>
                <w:sz w:val="20"/>
                <w:szCs w:val="20"/>
              </w:rPr>
              <w:t xml:space="preserve">The initial concern over the relationship of insulin </w:t>
            </w:r>
            <w:proofErr w:type="spellStart"/>
            <w:r w:rsidRPr="00785891">
              <w:rPr>
                <w:rFonts w:asciiTheme="minorHAnsi" w:hAnsiTheme="minorHAnsi"/>
                <w:i/>
                <w:sz w:val="20"/>
                <w:szCs w:val="20"/>
              </w:rPr>
              <w:t>glargine</w:t>
            </w:r>
            <w:proofErr w:type="spellEnd"/>
            <w:r w:rsidRPr="00785891">
              <w:rPr>
                <w:rFonts w:asciiTheme="minorHAnsi" w:hAnsiTheme="minorHAnsi"/>
                <w:i/>
                <w:sz w:val="20"/>
                <w:szCs w:val="20"/>
              </w:rPr>
              <w:t xml:space="preserve"> and mal</w:t>
            </w:r>
            <w:r>
              <w:rPr>
                <w:rFonts w:asciiTheme="minorHAnsi" w:hAnsiTheme="minorHAnsi"/>
                <w:i/>
                <w:sz w:val="20"/>
                <w:szCs w:val="20"/>
              </w:rPr>
              <w:t xml:space="preserve">ignancy was raised in 2009 in a </w:t>
            </w:r>
            <w:r w:rsidRPr="00785891">
              <w:rPr>
                <w:rFonts w:asciiTheme="minorHAnsi" w:hAnsiTheme="minorHAnsi"/>
                <w:i/>
                <w:sz w:val="20"/>
                <w:szCs w:val="20"/>
              </w:rPr>
              <w:t xml:space="preserve">published </w:t>
            </w:r>
            <w:proofErr w:type="spellStart"/>
            <w:r w:rsidRPr="00785891">
              <w:rPr>
                <w:rFonts w:asciiTheme="minorHAnsi" w:hAnsiTheme="minorHAnsi"/>
                <w:i/>
                <w:sz w:val="20"/>
                <w:szCs w:val="20"/>
              </w:rPr>
              <w:t>Pharmacoepidemiology</w:t>
            </w:r>
            <w:proofErr w:type="spellEnd"/>
            <w:r w:rsidRPr="00785891">
              <w:rPr>
                <w:rFonts w:asciiTheme="minorHAnsi" w:hAnsiTheme="minorHAnsi"/>
                <w:i/>
                <w:sz w:val="20"/>
                <w:szCs w:val="20"/>
              </w:rPr>
              <w:t xml:space="preserve"> survey. Sanofi-Aventis, the </w:t>
            </w:r>
            <w:r w:rsidR="00D54BAC">
              <w:rPr>
                <w:rFonts w:asciiTheme="minorHAnsi" w:hAnsiTheme="minorHAnsi"/>
                <w:i/>
                <w:sz w:val="20"/>
                <w:szCs w:val="20"/>
              </w:rPr>
              <w:t>Lantus</w:t>
            </w:r>
            <w:r w:rsidRPr="00785891">
              <w:rPr>
                <w:rFonts w:asciiTheme="minorHAnsi" w:hAnsiTheme="minorHAnsi"/>
                <w:i/>
                <w:sz w:val="20"/>
                <w:szCs w:val="20"/>
              </w:rPr>
              <w:t>® sponsor,</w:t>
            </w:r>
            <w:r>
              <w:rPr>
                <w:rFonts w:asciiTheme="minorHAnsi" w:hAnsiTheme="minorHAnsi"/>
                <w:i/>
                <w:sz w:val="20"/>
                <w:szCs w:val="20"/>
              </w:rPr>
              <w:t xml:space="preserve"> conducted 3 </w:t>
            </w:r>
            <w:r w:rsidRPr="00785891">
              <w:rPr>
                <w:rFonts w:asciiTheme="minorHAnsi" w:hAnsiTheme="minorHAnsi"/>
                <w:i/>
                <w:sz w:val="20"/>
                <w:szCs w:val="20"/>
              </w:rPr>
              <w:t>additional surveys, covering a total of almost 2 million patient lives,</w:t>
            </w:r>
            <w:r>
              <w:rPr>
                <w:rFonts w:asciiTheme="minorHAnsi" w:hAnsiTheme="minorHAnsi"/>
                <w:i/>
                <w:sz w:val="20"/>
                <w:szCs w:val="20"/>
              </w:rPr>
              <w:t xml:space="preserve"> to explore this question, with </w:t>
            </w:r>
            <w:r w:rsidRPr="00785891">
              <w:rPr>
                <w:rFonts w:asciiTheme="minorHAnsi" w:hAnsiTheme="minorHAnsi"/>
                <w:i/>
                <w:sz w:val="20"/>
                <w:szCs w:val="20"/>
              </w:rPr>
              <w:t>conflicting results. In addition, Sanofi altered the secondary e</w:t>
            </w:r>
            <w:r>
              <w:rPr>
                <w:rFonts w:asciiTheme="minorHAnsi" w:hAnsiTheme="minorHAnsi"/>
                <w:i/>
                <w:sz w:val="20"/>
                <w:szCs w:val="20"/>
              </w:rPr>
              <w:t xml:space="preserve">ndpoints of the ORIGIN study, a </w:t>
            </w:r>
            <w:r w:rsidRPr="00785891">
              <w:rPr>
                <w:rFonts w:asciiTheme="minorHAnsi" w:hAnsiTheme="minorHAnsi"/>
                <w:i/>
                <w:sz w:val="20"/>
                <w:szCs w:val="20"/>
              </w:rPr>
              <w:t>12,000-patient, prospective, 6</w:t>
            </w:r>
            <w:r w:rsidR="00011A6D">
              <w:rPr>
                <w:rFonts w:asciiTheme="minorHAnsi" w:hAnsiTheme="minorHAnsi"/>
                <w:i/>
                <w:sz w:val="20"/>
                <w:szCs w:val="20"/>
              </w:rPr>
              <w:t xml:space="preserve"> </w:t>
            </w:r>
            <w:r w:rsidRPr="00785891">
              <w:rPr>
                <w:rFonts w:asciiTheme="minorHAnsi" w:hAnsiTheme="minorHAnsi"/>
                <w:i/>
                <w:sz w:val="20"/>
                <w:szCs w:val="20"/>
              </w:rPr>
              <w:t xml:space="preserve">year longitudinal study in </w:t>
            </w:r>
            <w:proofErr w:type="spellStart"/>
            <w:r w:rsidRPr="00785891">
              <w:rPr>
                <w:rFonts w:asciiTheme="minorHAnsi" w:hAnsiTheme="minorHAnsi"/>
                <w:i/>
                <w:sz w:val="20"/>
                <w:szCs w:val="20"/>
              </w:rPr>
              <w:t>prediabetic</w:t>
            </w:r>
            <w:proofErr w:type="spellEnd"/>
            <w:r w:rsidRPr="00785891">
              <w:rPr>
                <w:rFonts w:asciiTheme="minorHAnsi" w:hAnsiTheme="minorHAnsi"/>
                <w:i/>
                <w:sz w:val="20"/>
                <w:szCs w:val="20"/>
              </w:rPr>
              <w:t xml:space="preserve"> a</w:t>
            </w:r>
            <w:r>
              <w:rPr>
                <w:rFonts w:asciiTheme="minorHAnsi" w:hAnsiTheme="minorHAnsi"/>
                <w:i/>
                <w:sz w:val="20"/>
                <w:szCs w:val="20"/>
              </w:rPr>
              <w:t xml:space="preserve">nd diabetic patients to explore </w:t>
            </w:r>
            <w:r w:rsidRPr="00785891">
              <w:rPr>
                <w:rFonts w:asciiTheme="minorHAnsi" w:hAnsiTheme="minorHAnsi"/>
                <w:i/>
                <w:sz w:val="20"/>
                <w:szCs w:val="20"/>
              </w:rPr>
              <w:t>the incidence of malignancy and also conducted a prospective study</w:t>
            </w:r>
            <w:r>
              <w:rPr>
                <w:rFonts w:asciiTheme="minorHAnsi" w:hAnsiTheme="minorHAnsi"/>
                <w:i/>
                <w:sz w:val="20"/>
                <w:szCs w:val="20"/>
              </w:rPr>
              <w:t xml:space="preserve"> in patients with breast cancer </w:t>
            </w:r>
            <w:r w:rsidRPr="00785891">
              <w:rPr>
                <w:rFonts w:asciiTheme="minorHAnsi" w:hAnsiTheme="minorHAnsi"/>
                <w:i/>
                <w:sz w:val="20"/>
                <w:szCs w:val="20"/>
              </w:rPr>
              <w:t>who were newly diagnosed as diabetic and were insulin naïv</w:t>
            </w:r>
            <w:r>
              <w:rPr>
                <w:rFonts w:asciiTheme="minorHAnsi" w:hAnsiTheme="minorHAnsi"/>
                <w:i/>
                <w:sz w:val="20"/>
                <w:szCs w:val="20"/>
              </w:rPr>
              <w:t xml:space="preserve">e. This study was planned after </w:t>
            </w:r>
            <w:r w:rsidRPr="00785891">
              <w:rPr>
                <w:rFonts w:asciiTheme="minorHAnsi" w:hAnsiTheme="minorHAnsi"/>
                <w:i/>
                <w:sz w:val="20"/>
                <w:szCs w:val="20"/>
              </w:rPr>
              <w:t>Committee for Medicinal Products for Human Use (CHMP) concluded</w:t>
            </w:r>
            <w:r>
              <w:rPr>
                <w:rFonts w:asciiTheme="minorHAnsi" w:hAnsiTheme="minorHAnsi"/>
                <w:i/>
                <w:sz w:val="20"/>
                <w:szCs w:val="20"/>
              </w:rPr>
              <w:t xml:space="preserve"> that the other potential risks </w:t>
            </w:r>
            <w:r w:rsidRPr="00785891">
              <w:rPr>
                <w:rFonts w:asciiTheme="minorHAnsi" w:hAnsiTheme="minorHAnsi"/>
                <w:i/>
                <w:sz w:val="20"/>
                <w:szCs w:val="20"/>
              </w:rPr>
              <w:t>of a causal relationship between the use of insulin analogues and</w:t>
            </w:r>
            <w:r>
              <w:rPr>
                <w:rFonts w:asciiTheme="minorHAnsi" w:hAnsiTheme="minorHAnsi"/>
                <w:i/>
                <w:sz w:val="20"/>
                <w:szCs w:val="20"/>
              </w:rPr>
              <w:t xml:space="preserve"> malignancy had apparently been </w:t>
            </w:r>
            <w:r w:rsidRPr="00785891">
              <w:rPr>
                <w:rFonts w:asciiTheme="minorHAnsi" w:hAnsiTheme="minorHAnsi"/>
                <w:i/>
                <w:sz w:val="20"/>
                <w:szCs w:val="20"/>
              </w:rPr>
              <w:t xml:space="preserve">discharged. The CHMP report from 31 May 2013 concluded </w:t>
            </w:r>
            <w:r w:rsidR="00722754">
              <w:rPr>
                <w:rFonts w:asciiTheme="minorHAnsi" w:hAnsiTheme="minorHAnsi"/>
                <w:i/>
                <w:sz w:val="20"/>
                <w:szCs w:val="20"/>
              </w:rPr>
              <w:t>‘</w:t>
            </w:r>
            <w:r w:rsidRPr="00785891">
              <w:rPr>
                <w:rFonts w:asciiTheme="minorHAnsi" w:hAnsiTheme="minorHAnsi"/>
                <w:i/>
                <w:sz w:val="20"/>
                <w:szCs w:val="20"/>
              </w:rPr>
              <w:t xml:space="preserve">that overall the </w:t>
            </w:r>
            <w:r>
              <w:rPr>
                <w:rFonts w:asciiTheme="minorHAnsi" w:hAnsiTheme="minorHAnsi"/>
                <w:i/>
                <w:sz w:val="20"/>
                <w:szCs w:val="20"/>
              </w:rPr>
              <w:t xml:space="preserve">data did not indicate </w:t>
            </w:r>
            <w:r w:rsidRPr="00785891">
              <w:rPr>
                <w:rFonts w:asciiTheme="minorHAnsi" w:hAnsiTheme="minorHAnsi"/>
                <w:i/>
                <w:sz w:val="20"/>
                <w:szCs w:val="20"/>
              </w:rPr>
              <w:t xml:space="preserve">an increased risk of cancer with insulin </w:t>
            </w:r>
            <w:proofErr w:type="spellStart"/>
            <w:r w:rsidRPr="00785891">
              <w:rPr>
                <w:rFonts w:asciiTheme="minorHAnsi" w:hAnsiTheme="minorHAnsi"/>
                <w:i/>
                <w:sz w:val="20"/>
                <w:szCs w:val="20"/>
              </w:rPr>
              <w:t>glargine</w:t>
            </w:r>
            <w:proofErr w:type="spellEnd"/>
            <w:r w:rsidRPr="00785891">
              <w:rPr>
                <w:rFonts w:asciiTheme="minorHAnsi" w:hAnsiTheme="minorHAnsi"/>
                <w:i/>
                <w:sz w:val="20"/>
                <w:szCs w:val="20"/>
              </w:rPr>
              <w:t>, noting that</w:t>
            </w:r>
            <w:r>
              <w:rPr>
                <w:rFonts w:asciiTheme="minorHAnsi" w:hAnsiTheme="minorHAnsi"/>
                <w:i/>
                <w:sz w:val="20"/>
                <w:szCs w:val="20"/>
              </w:rPr>
              <w:t xml:space="preserve"> there is no known mechanism by </w:t>
            </w:r>
            <w:r w:rsidRPr="00785891">
              <w:rPr>
                <w:rFonts w:asciiTheme="minorHAnsi" w:hAnsiTheme="minorHAnsi"/>
                <w:i/>
                <w:sz w:val="20"/>
                <w:szCs w:val="20"/>
              </w:rPr>
              <w:t xml:space="preserve">which the insulin </w:t>
            </w:r>
            <w:proofErr w:type="spellStart"/>
            <w:r w:rsidRPr="00785891">
              <w:rPr>
                <w:rFonts w:asciiTheme="minorHAnsi" w:hAnsiTheme="minorHAnsi"/>
                <w:i/>
                <w:sz w:val="20"/>
                <w:szCs w:val="20"/>
              </w:rPr>
              <w:t>glargine</w:t>
            </w:r>
            <w:proofErr w:type="spellEnd"/>
            <w:r w:rsidRPr="00785891">
              <w:rPr>
                <w:rFonts w:asciiTheme="minorHAnsi" w:hAnsiTheme="minorHAnsi"/>
                <w:i/>
                <w:sz w:val="20"/>
                <w:szCs w:val="20"/>
              </w:rPr>
              <w:t xml:space="preserve"> would cause cancer and that a cancer risk </w:t>
            </w:r>
            <w:r>
              <w:rPr>
                <w:rFonts w:asciiTheme="minorHAnsi" w:hAnsiTheme="minorHAnsi"/>
                <w:i/>
                <w:sz w:val="20"/>
                <w:szCs w:val="20"/>
              </w:rPr>
              <w:t xml:space="preserve">has not been seen in laboratory </w:t>
            </w:r>
            <w:r w:rsidRPr="00785891">
              <w:rPr>
                <w:rFonts w:asciiTheme="minorHAnsi" w:hAnsiTheme="minorHAnsi"/>
                <w:i/>
                <w:sz w:val="20"/>
                <w:szCs w:val="20"/>
              </w:rPr>
              <w:t>studies.</w:t>
            </w:r>
            <w:r w:rsidR="00722754">
              <w:rPr>
                <w:rFonts w:asciiTheme="minorHAnsi" w:hAnsiTheme="minorHAnsi"/>
                <w:i/>
                <w:sz w:val="20"/>
                <w:szCs w:val="20"/>
              </w:rPr>
              <w:t>’</w:t>
            </w:r>
          </w:p>
          <w:p w:rsidR="00D56684" w:rsidRPr="00785891" w:rsidRDefault="00D56684" w:rsidP="00EE5020">
            <w:pPr>
              <w:rPr>
                <w:rFonts w:asciiTheme="minorHAnsi" w:hAnsiTheme="minorHAnsi"/>
                <w:i/>
                <w:sz w:val="20"/>
                <w:szCs w:val="20"/>
              </w:rPr>
            </w:pPr>
            <w:r w:rsidRPr="00785891">
              <w:rPr>
                <w:rFonts w:asciiTheme="minorHAnsi" w:hAnsiTheme="minorHAnsi"/>
                <w:i/>
                <w:sz w:val="20"/>
                <w:szCs w:val="20"/>
              </w:rPr>
              <w:t xml:space="preserve">Neither the initial report nor any subsequent reports have reported </w:t>
            </w:r>
            <w:r>
              <w:rPr>
                <w:rFonts w:asciiTheme="minorHAnsi" w:hAnsiTheme="minorHAnsi"/>
                <w:i/>
                <w:sz w:val="20"/>
                <w:szCs w:val="20"/>
              </w:rPr>
              <w:t xml:space="preserve">an increased risk of malignancy </w:t>
            </w:r>
            <w:r w:rsidRPr="00785891">
              <w:rPr>
                <w:rFonts w:asciiTheme="minorHAnsi" w:hAnsiTheme="minorHAnsi"/>
                <w:i/>
                <w:sz w:val="20"/>
                <w:szCs w:val="20"/>
              </w:rPr>
              <w:t>in children using insulin analogues. The p</w:t>
            </w:r>
            <w:r w:rsidR="00011A6D">
              <w:rPr>
                <w:rFonts w:asciiTheme="minorHAnsi" w:hAnsiTheme="minorHAnsi"/>
                <w:i/>
                <w:sz w:val="20"/>
                <w:szCs w:val="20"/>
              </w:rPr>
              <w:t>a</w:t>
            </w:r>
            <w:r w:rsidRPr="00785891">
              <w:rPr>
                <w:rFonts w:asciiTheme="minorHAnsi" w:hAnsiTheme="minorHAnsi"/>
                <w:i/>
                <w:sz w:val="20"/>
                <w:szCs w:val="20"/>
              </w:rPr>
              <w:t>ediatric diabetic populat</w:t>
            </w:r>
            <w:r>
              <w:rPr>
                <w:rFonts w:asciiTheme="minorHAnsi" w:hAnsiTheme="minorHAnsi"/>
                <w:i/>
                <w:sz w:val="20"/>
                <w:szCs w:val="20"/>
              </w:rPr>
              <w:t xml:space="preserve">ion is increasing in prevalence </w:t>
            </w:r>
            <w:r w:rsidRPr="00785891">
              <w:rPr>
                <w:rFonts w:asciiTheme="minorHAnsi" w:hAnsiTheme="minorHAnsi"/>
                <w:i/>
                <w:sz w:val="20"/>
                <w:szCs w:val="20"/>
              </w:rPr>
              <w:t xml:space="preserve">but remains small, and </w:t>
            </w:r>
            <w:r w:rsidRPr="00785891">
              <w:rPr>
                <w:rFonts w:asciiTheme="minorHAnsi" w:hAnsiTheme="minorHAnsi"/>
                <w:i/>
                <w:sz w:val="20"/>
                <w:szCs w:val="20"/>
              </w:rPr>
              <w:lastRenderedPageBreak/>
              <w:t>the number of diabetic children who either have or are likely t</w:t>
            </w:r>
            <w:r>
              <w:rPr>
                <w:rFonts w:asciiTheme="minorHAnsi" w:hAnsiTheme="minorHAnsi"/>
                <w:i/>
                <w:sz w:val="20"/>
                <w:szCs w:val="20"/>
              </w:rPr>
              <w:t xml:space="preserve">o develop a </w:t>
            </w:r>
            <w:r w:rsidRPr="00785891">
              <w:rPr>
                <w:rFonts w:asciiTheme="minorHAnsi" w:hAnsiTheme="minorHAnsi"/>
                <w:i/>
                <w:sz w:val="20"/>
                <w:szCs w:val="20"/>
              </w:rPr>
              <w:t>malignancy is also quite small. To collect the number of subjects ne</w:t>
            </w:r>
            <w:r>
              <w:rPr>
                <w:rFonts w:asciiTheme="minorHAnsi" w:hAnsiTheme="minorHAnsi"/>
                <w:i/>
                <w:sz w:val="20"/>
                <w:szCs w:val="20"/>
              </w:rPr>
              <w:t xml:space="preserve">eded to reach a conclusion with </w:t>
            </w:r>
            <w:r w:rsidRPr="00785891">
              <w:rPr>
                <w:rFonts w:asciiTheme="minorHAnsi" w:hAnsiTheme="minorHAnsi"/>
                <w:i/>
                <w:sz w:val="20"/>
                <w:szCs w:val="20"/>
              </w:rPr>
              <w:t xml:space="preserve">any degree of reliability would </w:t>
            </w:r>
            <w:r w:rsidR="00011A6D">
              <w:rPr>
                <w:rFonts w:asciiTheme="minorHAnsi" w:hAnsiTheme="minorHAnsi"/>
                <w:i/>
                <w:sz w:val="20"/>
                <w:szCs w:val="20"/>
              </w:rPr>
              <w:t>require several decades of enro</w:t>
            </w:r>
            <w:r w:rsidRPr="00785891">
              <w:rPr>
                <w:rFonts w:asciiTheme="minorHAnsi" w:hAnsiTheme="minorHAnsi"/>
                <w:i/>
                <w:sz w:val="20"/>
                <w:szCs w:val="20"/>
              </w:rPr>
              <w:t xml:space="preserve">lment </w:t>
            </w:r>
            <w:r>
              <w:rPr>
                <w:rFonts w:asciiTheme="minorHAnsi" w:hAnsiTheme="minorHAnsi"/>
                <w:i/>
                <w:sz w:val="20"/>
                <w:szCs w:val="20"/>
              </w:rPr>
              <w:t xml:space="preserve">in a prospective clinical trial </w:t>
            </w:r>
            <w:r w:rsidRPr="00785891">
              <w:rPr>
                <w:rFonts w:asciiTheme="minorHAnsi" w:hAnsiTheme="minorHAnsi"/>
                <w:i/>
                <w:sz w:val="20"/>
                <w:szCs w:val="20"/>
              </w:rPr>
              <w:t>or an epidemiology survey to collect sufficient sample size to be abl</w:t>
            </w:r>
            <w:r>
              <w:rPr>
                <w:rFonts w:asciiTheme="minorHAnsi" w:hAnsiTheme="minorHAnsi"/>
                <w:i/>
                <w:sz w:val="20"/>
                <w:szCs w:val="20"/>
              </w:rPr>
              <w:t xml:space="preserve">e to reach reliable conclusions </w:t>
            </w:r>
            <w:r w:rsidRPr="00785891">
              <w:rPr>
                <w:rFonts w:asciiTheme="minorHAnsi" w:hAnsiTheme="minorHAnsi"/>
                <w:i/>
                <w:sz w:val="20"/>
                <w:szCs w:val="20"/>
              </w:rPr>
              <w:t>or the availability of many hundreds of thousands of children with exposure to insulin analogues.</w:t>
            </w:r>
          </w:p>
          <w:p w:rsidR="00D56684" w:rsidRPr="0025169D" w:rsidRDefault="00D56684" w:rsidP="00011A6D">
            <w:pPr>
              <w:rPr>
                <w:rFonts w:asciiTheme="minorHAnsi" w:hAnsiTheme="minorHAnsi"/>
                <w:i/>
                <w:sz w:val="20"/>
                <w:szCs w:val="20"/>
              </w:rPr>
            </w:pPr>
            <w:r w:rsidRPr="00785891">
              <w:rPr>
                <w:rFonts w:asciiTheme="minorHAnsi" w:hAnsiTheme="minorHAnsi"/>
                <w:i/>
                <w:sz w:val="20"/>
                <w:szCs w:val="20"/>
              </w:rPr>
              <w:t xml:space="preserve">Accordingly, the </w:t>
            </w:r>
            <w:r w:rsidR="00011A6D">
              <w:rPr>
                <w:rFonts w:asciiTheme="minorHAnsi" w:hAnsiTheme="minorHAnsi"/>
                <w:i/>
                <w:sz w:val="20"/>
                <w:szCs w:val="20"/>
              </w:rPr>
              <w:t>s</w:t>
            </w:r>
            <w:r w:rsidRPr="00785891">
              <w:rPr>
                <w:rFonts w:asciiTheme="minorHAnsi" w:hAnsiTheme="minorHAnsi"/>
                <w:i/>
                <w:sz w:val="20"/>
                <w:szCs w:val="20"/>
              </w:rPr>
              <w:t xml:space="preserve">ponsor believes that the demonstration of </w:t>
            </w:r>
            <w:proofErr w:type="spellStart"/>
            <w:r w:rsidRPr="00785891">
              <w:rPr>
                <w:rFonts w:asciiTheme="minorHAnsi" w:hAnsiTheme="minorHAnsi"/>
                <w:i/>
                <w:sz w:val="20"/>
                <w:szCs w:val="20"/>
              </w:rPr>
              <w:t>biosim</w:t>
            </w:r>
            <w:r>
              <w:rPr>
                <w:rFonts w:asciiTheme="minorHAnsi" w:hAnsiTheme="minorHAnsi"/>
                <w:i/>
                <w:sz w:val="20"/>
                <w:szCs w:val="20"/>
              </w:rPr>
              <w:t>ilarity</w:t>
            </w:r>
            <w:proofErr w:type="spellEnd"/>
            <w:r>
              <w:rPr>
                <w:rFonts w:asciiTheme="minorHAnsi" w:hAnsiTheme="minorHAnsi"/>
                <w:i/>
                <w:sz w:val="20"/>
                <w:szCs w:val="20"/>
              </w:rPr>
              <w:t xml:space="preserve"> in the adult population </w:t>
            </w:r>
            <w:r w:rsidRPr="00785891">
              <w:rPr>
                <w:rFonts w:asciiTheme="minorHAnsi" w:hAnsiTheme="minorHAnsi"/>
                <w:i/>
                <w:sz w:val="20"/>
                <w:szCs w:val="20"/>
              </w:rPr>
              <w:t xml:space="preserve">should extend </w:t>
            </w:r>
            <w:proofErr w:type="spellStart"/>
            <w:r w:rsidRPr="00785891">
              <w:rPr>
                <w:rFonts w:asciiTheme="minorHAnsi" w:hAnsiTheme="minorHAnsi"/>
                <w:i/>
                <w:sz w:val="20"/>
                <w:szCs w:val="20"/>
              </w:rPr>
              <w:t>biosimilarity</w:t>
            </w:r>
            <w:proofErr w:type="spellEnd"/>
            <w:r w:rsidRPr="00785891">
              <w:rPr>
                <w:rFonts w:asciiTheme="minorHAnsi" w:hAnsiTheme="minorHAnsi"/>
                <w:i/>
                <w:sz w:val="20"/>
                <w:szCs w:val="20"/>
              </w:rPr>
              <w:t xml:space="preserve"> to the </w:t>
            </w:r>
            <w:proofErr w:type="spellStart"/>
            <w:r w:rsidRPr="00785891">
              <w:rPr>
                <w:rFonts w:asciiTheme="minorHAnsi" w:hAnsiTheme="minorHAnsi"/>
                <w:i/>
                <w:sz w:val="20"/>
                <w:szCs w:val="20"/>
              </w:rPr>
              <w:t>pediatric</w:t>
            </w:r>
            <w:proofErr w:type="spellEnd"/>
            <w:r>
              <w:rPr>
                <w:rFonts w:asciiTheme="minorHAnsi" w:hAnsiTheme="minorHAnsi"/>
                <w:i/>
                <w:sz w:val="20"/>
                <w:szCs w:val="20"/>
              </w:rPr>
              <w:t xml:space="preserve"> population on the basis of the </w:t>
            </w:r>
            <w:r w:rsidRPr="00785891">
              <w:rPr>
                <w:rFonts w:asciiTheme="minorHAnsi" w:hAnsiTheme="minorHAnsi"/>
                <w:i/>
                <w:sz w:val="20"/>
                <w:szCs w:val="20"/>
              </w:rPr>
              <w:t>innovator’s p</w:t>
            </w:r>
            <w:r w:rsidR="00011A6D">
              <w:rPr>
                <w:rFonts w:asciiTheme="minorHAnsi" w:hAnsiTheme="minorHAnsi"/>
                <w:i/>
                <w:sz w:val="20"/>
                <w:szCs w:val="20"/>
              </w:rPr>
              <w:t>a</w:t>
            </w:r>
            <w:r w:rsidRPr="00785891">
              <w:rPr>
                <w:rFonts w:asciiTheme="minorHAnsi" w:hAnsiTheme="minorHAnsi"/>
                <w:i/>
                <w:sz w:val="20"/>
                <w:szCs w:val="20"/>
              </w:rPr>
              <w:t>ediatric data,</w:t>
            </w:r>
            <w:r>
              <w:rPr>
                <w:rFonts w:asciiTheme="minorHAnsi" w:hAnsiTheme="minorHAnsi"/>
                <w:i/>
                <w:sz w:val="20"/>
                <w:szCs w:val="20"/>
              </w:rPr>
              <w:t xml:space="preserve"> </w:t>
            </w:r>
            <w:r w:rsidRPr="00785891">
              <w:rPr>
                <w:rFonts w:asciiTheme="minorHAnsi" w:hAnsiTheme="minorHAnsi"/>
                <w:i/>
                <w:sz w:val="20"/>
                <w:szCs w:val="20"/>
              </w:rPr>
              <w:t>and furthermore, the ability to conduct any epidemiologic su</w:t>
            </w:r>
            <w:r>
              <w:rPr>
                <w:rFonts w:asciiTheme="minorHAnsi" w:hAnsiTheme="minorHAnsi"/>
                <w:i/>
                <w:sz w:val="20"/>
                <w:szCs w:val="20"/>
              </w:rPr>
              <w:t xml:space="preserve">rvey or prospective study would </w:t>
            </w:r>
            <w:r w:rsidRPr="00785891">
              <w:rPr>
                <w:rFonts w:asciiTheme="minorHAnsi" w:hAnsiTheme="minorHAnsi"/>
                <w:i/>
                <w:sz w:val="20"/>
                <w:szCs w:val="20"/>
              </w:rPr>
              <w:t>require a prolonged period to accumulate the population exposure req</w:t>
            </w:r>
            <w:r>
              <w:rPr>
                <w:rFonts w:asciiTheme="minorHAnsi" w:hAnsiTheme="minorHAnsi"/>
                <w:i/>
                <w:sz w:val="20"/>
                <w:szCs w:val="20"/>
              </w:rPr>
              <w:t xml:space="preserve">uired for a statistically valid </w:t>
            </w:r>
            <w:r w:rsidRPr="00785891">
              <w:rPr>
                <w:rFonts w:asciiTheme="minorHAnsi" w:hAnsiTheme="minorHAnsi"/>
                <w:i/>
                <w:sz w:val="20"/>
                <w:szCs w:val="20"/>
              </w:rPr>
              <w:t>analysis. In the entire 14-year period since the innovator product fi</w:t>
            </w:r>
            <w:r>
              <w:rPr>
                <w:rFonts w:asciiTheme="minorHAnsi" w:hAnsiTheme="minorHAnsi"/>
                <w:i/>
                <w:sz w:val="20"/>
                <w:szCs w:val="20"/>
              </w:rPr>
              <w:t xml:space="preserve">rst became available, there has </w:t>
            </w:r>
            <w:r w:rsidRPr="00785891">
              <w:rPr>
                <w:rFonts w:asciiTheme="minorHAnsi" w:hAnsiTheme="minorHAnsi"/>
                <w:i/>
                <w:sz w:val="20"/>
                <w:szCs w:val="20"/>
              </w:rPr>
              <w:t>been no signal suggesting a malignancy risk in the p</w:t>
            </w:r>
            <w:r w:rsidR="00011A6D">
              <w:rPr>
                <w:rFonts w:asciiTheme="minorHAnsi" w:hAnsiTheme="minorHAnsi"/>
                <w:i/>
                <w:sz w:val="20"/>
                <w:szCs w:val="20"/>
              </w:rPr>
              <w:t>a</w:t>
            </w:r>
            <w:r w:rsidRPr="00785891">
              <w:rPr>
                <w:rFonts w:asciiTheme="minorHAnsi" w:hAnsiTheme="minorHAnsi"/>
                <w:i/>
                <w:sz w:val="20"/>
                <w:szCs w:val="20"/>
              </w:rPr>
              <w:t>ediatric populat</w:t>
            </w:r>
            <w:r>
              <w:rPr>
                <w:rFonts w:asciiTheme="minorHAnsi" w:hAnsiTheme="minorHAnsi"/>
                <w:i/>
                <w:sz w:val="20"/>
                <w:szCs w:val="20"/>
              </w:rPr>
              <w:t xml:space="preserve">ion. On this basis, the </w:t>
            </w:r>
            <w:r w:rsidR="00011A6D">
              <w:rPr>
                <w:rFonts w:asciiTheme="minorHAnsi" w:hAnsiTheme="minorHAnsi"/>
                <w:i/>
                <w:sz w:val="20"/>
                <w:szCs w:val="20"/>
              </w:rPr>
              <w:t>s</w:t>
            </w:r>
            <w:r>
              <w:rPr>
                <w:rFonts w:asciiTheme="minorHAnsi" w:hAnsiTheme="minorHAnsi"/>
                <w:i/>
                <w:sz w:val="20"/>
                <w:szCs w:val="20"/>
              </w:rPr>
              <w:t xml:space="preserve">ponsor </w:t>
            </w:r>
            <w:r w:rsidRPr="00785891">
              <w:rPr>
                <w:rFonts w:asciiTheme="minorHAnsi" w:hAnsiTheme="minorHAnsi"/>
                <w:i/>
                <w:sz w:val="20"/>
                <w:szCs w:val="20"/>
              </w:rPr>
              <w:t>would decline acting on the recommendation.</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4A4555" w:rsidRDefault="00D56684" w:rsidP="00EE5020">
            <w:pPr>
              <w:rPr>
                <w:sz w:val="20"/>
                <w:szCs w:val="20"/>
              </w:rPr>
            </w:pPr>
            <w:r w:rsidRPr="004A4555">
              <w:rPr>
                <w:sz w:val="20"/>
                <w:szCs w:val="20"/>
              </w:rPr>
              <w:lastRenderedPageBreak/>
              <w:t>This is not considered acceptable.</w:t>
            </w:r>
          </w:p>
          <w:p w:rsidR="00D56684" w:rsidRDefault="00D56684" w:rsidP="00EE5020">
            <w:pPr>
              <w:rPr>
                <w:sz w:val="20"/>
                <w:szCs w:val="20"/>
              </w:rPr>
            </w:pPr>
            <w:r w:rsidRPr="004A4555">
              <w:rPr>
                <w:sz w:val="20"/>
                <w:szCs w:val="20"/>
              </w:rPr>
              <w:t xml:space="preserve">The OPR evaluator acknowledges that the reported </w:t>
            </w:r>
            <w:r>
              <w:rPr>
                <w:sz w:val="20"/>
                <w:szCs w:val="20"/>
              </w:rPr>
              <w:t xml:space="preserve">incidence of malignancy is low and </w:t>
            </w:r>
            <w:r w:rsidRPr="004A4555">
              <w:rPr>
                <w:sz w:val="20"/>
                <w:szCs w:val="20"/>
              </w:rPr>
              <w:t xml:space="preserve">that a paediatric diabetic population is receiving more medical monitoring. </w:t>
            </w:r>
          </w:p>
          <w:p w:rsidR="00D56684" w:rsidRDefault="00D56684" w:rsidP="00D1559C">
            <w:pPr>
              <w:ind w:right="-1"/>
              <w:rPr>
                <w:sz w:val="20"/>
                <w:szCs w:val="20"/>
              </w:rPr>
            </w:pPr>
            <w:r w:rsidRPr="004A4555">
              <w:rPr>
                <w:sz w:val="20"/>
                <w:szCs w:val="20"/>
              </w:rPr>
              <w:t>However, considering that many paediatric malignancies may be discovered</w:t>
            </w:r>
            <w:r>
              <w:rPr>
                <w:sz w:val="20"/>
                <w:szCs w:val="20"/>
              </w:rPr>
              <w:t xml:space="preserve"> late</w:t>
            </w:r>
            <w:r w:rsidRPr="004A4555">
              <w:rPr>
                <w:sz w:val="20"/>
                <w:szCs w:val="20"/>
              </w:rPr>
              <w:t xml:space="preserve">, that medical monitoring for diabetes would not necessarily increase the probability of detecting a malignancy, and that insulin </w:t>
            </w:r>
            <w:proofErr w:type="spellStart"/>
            <w:r w:rsidRPr="004A4555">
              <w:rPr>
                <w:sz w:val="20"/>
                <w:szCs w:val="20"/>
              </w:rPr>
              <w:t>glargine</w:t>
            </w:r>
            <w:proofErr w:type="spellEnd"/>
            <w:r w:rsidRPr="004A4555">
              <w:rPr>
                <w:sz w:val="20"/>
                <w:szCs w:val="20"/>
              </w:rPr>
              <w:t xml:space="preserve"> is a widely used medicine, the sponsor should conduct a study (or assign an existing study) to investigate the potential risk of malignancies in children further.</w:t>
            </w:r>
          </w:p>
          <w:p w:rsidR="00D56684" w:rsidRPr="004A4555" w:rsidRDefault="00D56684" w:rsidP="00D1559C">
            <w:pPr>
              <w:rPr>
                <w:rFonts w:asciiTheme="minorHAnsi" w:hAnsiTheme="minorHAnsi"/>
                <w:sz w:val="20"/>
                <w:szCs w:val="20"/>
              </w:rPr>
            </w:pPr>
            <w:r w:rsidRPr="004A4555">
              <w:rPr>
                <w:sz w:val="20"/>
                <w:szCs w:val="20"/>
              </w:rPr>
              <w:t xml:space="preserve">This recommendation </w:t>
            </w:r>
            <w:r>
              <w:rPr>
                <w:sz w:val="20"/>
                <w:szCs w:val="20"/>
              </w:rPr>
              <w:t>remains.</w:t>
            </w: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D1559C">
            <w:pPr>
              <w:pStyle w:val="ListParagraph"/>
              <w:numPr>
                <w:ilvl w:val="0"/>
                <w:numId w:val="8"/>
              </w:numPr>
              <w:tabs>
                <w:tab w:val="left" w:pos="284"/>
                <w:tab w:val="left" w:pos="851"/>
                <w:tab w:val="left" w:pos="1134"/>
                <w:tab w:val="left" w:pos="1418"/>
                <w:tab w:val="left" w:pos="1701"/>
                <w:tab w:val="left" w:pos="1985"/>
                <w:tab w:val="left" w:pos="2268"/>
                <w:tab w:val="left" w:pos="2552"/>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right="34" w:hanging="426"/>
              <w:rPr>
                <w:rFonts w:asciiTheme="minorHAnsi" w:hAnsiTheme="minorHAnsi" w:cstheme="minorHAnsi"/>
                <w:sz w:val="20"/>
                <w:szCs w:val="20"/>
              </w:rPr>
            </w:pPr>
            <w:r w:rsidRPr="0025169D">
              <w:rPr>
                <w:rFonts w:asciiTheme="minorHAnsi" w:hAnsiTheme="minorHAnsi" w:cstheme="minorHAnsi"/>
                <w:sz w:val="20"/>
                <w:szCs w:val="20"/>
              </w:rPr>
              <w:lastRenderedPageBreak/>
              <w:t>The sponsor recognises that this product is indicated for patients that are 2 years of age or older. This is not reflected in the proposed PI, as the PI refers to an age of 6 years and older. The sponsor is advised to remove this inconsistency. Furthermore, unless the sponsor has a compelling justification, children below the age of 18 years of age constitute important missing information which needs to be reflected in the PI.</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6F7AE0" w:rsidRDefault="00D56684" w:rsidP="00EE5020">
            <w:pPr>
              <w:rPr>
                <w:rFonts w:asciiTheme="minorHAnsi" w:hAnsiTheme="minorHAnsi"/>
                <w:i/>
                <w:sz w:val="20"/>
                <w:szCs w:val="20"/>
              </w:rPr>
            </w:pPr>
            <w:r>
              <w:rPr>
                <w:rFonts w:asciiTheme="minorHAnsi" w:hAnsiTheme="minorHAnsi"/>
                <w:i/>
                <w:sz w:val="20"/>
                <w:szCs w:val="20"/>
              </w:rPr>
              <w:t>‘</w:t>
            </w:r>
            <w:r w:rsidRPr="006F7AE0">
              <w:rPr>
                <w:rFonts w:asciiTheme="minorHAnsi" w:hAnsiTheme="minorHAnsi"/>
                <w:i/>
                <w:sz w:val="20"/>
                <w:szCs w:val="20"/>
              </w:rPr>
              <w:t xml:space="preserve">The </w:t>
            </w:r>
            <w:r w:rsidR="00011A6D">
              <w:rPr>
                <w:rFonts w:asciiTheme="minorHAnsi" w:hAnsiTheme="minorHAnsi"/>
                <w:i/>
                <w:sz w:val="20"/>
                <w:szCs w:val="20"/>
              </w:rPr>
              <w:t>s</w:t>
            </w:r>
            <w:r w:rsidRPr="006F7AE0">
              <w:rPr>
                <w:rFonts w:asciiTheme="minorHAnsi" w:hAnsiTheme="minorHAnsi"/>
                <w:i/>
                <w:sz w:val="20"/>
                <w:szCs w:val="20"/>
              </w:rPr>
              <w:t>ponsor has corrected the inconsistency. This product is indicate</w:t>
            </w:r>
            <w:r>
              <w:rPr>
                <w:rFonts w:asciiTheme="minorHAnsi" w:hAnsiTheme="minorHAnsi"/>
                <w:i/>
                <w:sz w:val="20"/>
                <w:szCs w:val="20"/>
              </w:rPr>
              <w:t xml:space="preserve">d for patients that are 2 years </w:t>
            </w:r>
            <w:r w:rsidRPr="006F7AE0">
              <w:rPr>
                <w:rFonts w:asciiTheme="minorHAnsi" w:hAnsiTheme="minorHAnsi"/>
                <w:i/>
                <w:sz w:val="20"/>
                <w:szCs w:val="20"/>
              </w:rPr>
              <w:t>of age and older.</w:t>
            </w:r>
          </w:p>
          <w:p w:rsidR="00D56684" w:rsidRPr="0025169D" w:rsidRDefault="00D56684" w:rsidP="00011A6D">
            <w:pPr>
              <w:rPr>
                <w:rFonts w:asciiTheme="minorHAnsi" w:hAnsiTheme="minorHAnsi"/>
                <w:i/>
                <w:sz w:val="20"/>
                <w:szCs w:val="20"/>
              </w:rPr>
            </w:pPr>
            <w:r w:rsidRPr="006F7AE0">
              <w:rPr>
                <w:rFonts w:asciiTheme="minorHAnsi" w:hAnsiTheme="minorHAnsi"/>
                <w:i/>
                <w:sz w:val="20"/>
                <w:szCs w:val="20"/>
              </w:rPr>
              <w:t xml:space="preserve">Regarding the important missing information statement in the PI, the </w:t>
            </w:r>
            <w:r w:rsidR="00011A6D">
              <w:rPr>
                <w:rFonts w:asciiTheme="minorHAnsi" w:hAnsiTheme="minorHAnsi"/>
                <w:i/>
                <w:sz w:val="20"/>
                <w:szCs w:val="20"/>
              </w:rPr>
              <w:t>s</w:t>
            </w:r>
            <w:r w:rsidRPr="006F7AE0">
              <w:rPr>
                <w:rFonts w:asciiTheme="minorHAnsi" w:hAnsiTheme="minorHAnsi"/>
                <w:i/>
                <w:sz w:val="20"/>
                <w:szCs w:val="20"/>
              </w:rPr>
              <w:t>ponsor agrees that there</w:t>
            </w:r>
            <w:r>
              <w:rPr>
                <w:rFonts w:asciiTheme="minorHAnsi" w:hAnsiTheme="minorHAnsi"/>
                <w:i/>
                <w:sz w:val="20"/>
                <w:szCs w:val="20"/>
              </w:rPr>
              <w:t xml:space="preserve"> are </w:t>
            </w:r>
            <w:r w:rsidRPr="006F7AE0">
              <w:rPr>
                <w:rFonts w:asciiTheme="minorHAnsi" w:hAnsiTheme="minorHAnsi"/>
                <w:i/>
                <w:sz w:val="20"/>
                <w:szCs w:val="20"/>
              </w:rPr>
              <w:t>inadequate data on children younger than 2 years of age and will inc</w:t>
            </w:r>
            <w:r>
              <w:rPr>
                <w:rFonts w:asciiTheme="minorHAnsi" w:hAnsiTheme="minorHAnsi"/>
                <w:i/>
                <w:sz w:val="20"/>
                <w:szCs w:val="20"/>
              </w:rPr>
              <w:t xml:space="preserve">lude that statement in the RMP. </w:t>
            </w:r>
            <w:r w:rsidRPr="006F7AE0">
              <w:rPr>
                <w:rFonts w:asciiTheme="minorHAnsi" w:hAnsiTheme="minorHAnsi"/>
                <w:i/>
                <w:sz w:val="20"/>
                <w:szCs w:val="20"/>
              </w:rPr>
              <w:t>The rationale for this response is provided in the response to Recommendation 1.4.</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D1559C">
            <w:pPr>
              <w:rPr>
                <w:rFonts w:asciiTheme="minorHAnsi" w:hAnsiTheme="minorHAnsi"/>
                <w:sz w:val="20"/>
                <w:szCs w:val="20"/>
              </w:rPr>
            </w:pPr>
            <w:r>
              <w:rPr>
                <w:rFonts w:asciiTheme="minorHAnsi" w:hAnsiTheme="minorHAnsi"/>
                <w:sz w:val="20"/>
                <w:szCs w:val="20"/>
              </w:rPr>
              <w:t>This is considered acceptable in the context of this application. This is qualified in the comment in response to recommendation 1.4.</w:t>
            </w: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4858F5">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lastRenderedPageBreak/>
              <w:t>In the ‘Precautions’ section, under the ‘Hepatic Impairment’ heading, the sponsor should include a statement that use in patients with rapidly deteriorating hepatic function is not recommended and the increased risk of hypoglycaemia in these patients (or a statement to that effect).</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011A6D">
            <w:pPr>
              <w:rPr>
                <w:rFonts w:asciiTheme="minorHAnsi" w:hAnsiTheme="minorHAnsi"/>
                <w:i/>
                <w:sz w:val="20"/>
                <w:szCs w:val="20"/>
              </w:rPr>
            </w:pPr>
            <w:r>
              <w:rPr>
                <w:rFonts w:asciiTheme="minorHAnsi" w:hAnsiTheme="minorHAnsi"/>
                <w:i/>
                <w:sz w:val="20"/>
                <w:szCs w:val="20"/>
              </w:rPr>
              <w:t>‘</w:t>
            </w:r>
            <w:r w:rsidRPr="003450D8">
              <w:rPr>
                <w:rFonts w:asciiTheme="minorHAnsi" w:hAnsiTheme="minorHAnsi"/>
                <w:i/>
                <w:sz w:val="20"/>
                <w:szCs w:val="20"/>
              </w:rPr>
              <w:t xml:space="preserve">The </w:t>
            </w:r>
            <w:r w:rsidR="00011A6D">
              <w:rPr>
                <w:rFonts w:asciiTheme="minorHAnsi" w:hAnsiTheme="minorHAnsi"/>
                <w:i/>
                <w:sz w:val="20"/>
                <w:szCs w:val="20"/>
              </w:rPr>
              <w:t>s</w:t>
            </w:r>
            <w:r w:rsidRPr="003450D8">
              <w:rPr>
                <w:rFonts w:asciiTheme="minorHAnsi" w:hAnsiTheme="minorHAnsi"/>
                <w:i/>
                <w:sz w:val="20"/>
                <w:szCs w:val="20"/>
              </w:rPr>
              <w:t xml:space="preserve">ponsor believes that a biosimilar and the innovator </w:t>
            </w:r>
            <w:r>
              <w:rPr>
                <w:rFonts w:asciiTheme="minorHAnsi" w:hAnsiTheme="minorHAnsi"/>
                <w:i/>
                <w:sz w:val="20"/>
                <w:szCs w:val="20"/>
              </w:rPr>
              <w:t xml:space="preserve">product should present the same </w:t>
            </w:r>
            <w:r w:rsidRPr="003450D8">
              <w:rPr>
                <w:rFonts w:asciiTheme="minorHAnsi" w:hAnsiTheme="minorHAnsi"/>
                <w:i/>
                <w:sz w:val="20"/>
                <w:szCs w:val="20"/>
              </w:rPr>
              <w:t>information and declines acting on the recommendation.</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Default="00D56684" w:rsidP="00EE5020">
            <w:pPr>
              <w:rPr>
                <w:rFonts w:asciiTheme="minorHAnsi" w:hAnsiTheme="minorHAnsi" w:cstheme="minorHAnsi"/>
                <w:sz w:val="20"/>
                <w:szCs w:val="20"/>
              </w:rPr>
            </w:pPr>
            <w:r>
              <w:rPr>
                <w:rFonts w:asciiTheme="minorHAnsi" w:hAnsiTheme="minorHAnsi" w:cstheme="minorHAnsi"/>
                <w:sz w:val="20"/>
                <w:szCs w:val="20"/>
              </w:rPr>
              <w:t>The reason given by the sponsor is not sufficient to warrant non-inclusion. Each submission is assessed individually.</w:t>
            </w:r>
          </w:p>
          <w:p w:rsidR="00D56684" w:rsidRDefault="00D56684" w:rsidP="00EE5020">
            <w:pPr>
              <w:rPr>
                <w:rFonts w:asciiTheme="minorHAnsi" w:hAnsiTheme="minorHAnsi" w:cstheme="minorHAnsi"/>
                <w:sz w:val="20"/>
                <w:szCs w:val="20"/>
              </w:rPr>
            </w:pPr>
            <w:r>
              <w:rPr>
                <w:rFonts w:asciiTheme="minorHAnsi" w:hAnsiTheme="minorHAnsi" w:cstheme="minorHAnsi"/>
                <w:sz w:val="20"/>
                <w:szCs w:val="20"/>
              </w:rPr>
              <w:t>The recommendation to the Delegate remains.</w:t>
            </w:r>
          </w:p>
          <w:p w:rsidR="00D56684" w:rsidRPr="0025169D" w:rsidRDefault="00D56684" w:rsidP="00EE5020">
            <w:pPr>
              <w:rPr>
                <w:rFonts w:asciiTheme="minorHAnsi" w:hAnsiTheme="minorHAnsi"/>
                <w:sz w:val="20"/>
                <w:szCs w:val="20"/>
              </w:rPr>
            </w:pP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4858F5">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t>In regard to the proposed routine risk minimisation activities, it is recommended to the Delegate that the draft consumer medicine information document be revised to accommodate the changes made to the product information document.</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011A6D">
            <w:pPr>
              <w:rPr>
                <w:rFonts w:asciiTheme="minorHAnsi" w:hAnsiTheme="minorHAnsi"/>
                <w:i/>
                <w:sz w:val="20"/>
                <w:szCs w:val="20"/>
              </w:rPr>
            </w:pPr>
            <w:r>
              <w:rPr>
                <w:rFonts w:asciiTheme="minorHAnsi" w:hAnsiTheme="minorHAnsi"/>
                <w:i/>
                <w:sz w:val="20"/>
                <w:szCs w:val="20"/>
              </w:rPr>
              <w:t>‘</w:t>
            </w:r>
            <w:r w:rsidRPr="00B9770F">
              <w:rPr>
                <w:rFonts w:asciiTheme="minorHAnsi" w:hAnsiTheme="minorHAnsi"/>
                <w:i/>
                <w:sz w:val="20"/>
                <w:szCs w:val="20"/>
              </w:rPr>
              <w:t xml:space="preserve">The </w:t>
            </w:r>
            <w:r w:rsidR="00011A6D">
              <w:rPr>
                <w:rFonts w:asciiTheme="minorHAnsi" w:hAnsiTheme="minorHAnsi"/>
                <w:i/>
                <w:sz w:val="20"/>
                <w:szCs w:val="20"/>
              </w:rPr>
              <w:t>s</w:t>
            </w:r>
            <w:r w:rsidRPr="00B9770F">
              <w:rPr>
                <w:rFonts w:asciiTheme="minorHAnsi" w:hAnsiTheme="minorHAnsi"/>
                <w:i/>
                <w:sz w:val="20"/>
                <w:szCs w:val="20"/>
              </w:rPr>
              <w:t>ponsor has revised the draft CMI and provided it in Module 1.3.2.</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Default="00D56684" w:rsidP="00EE5020">
            <w:pPr>
              <w:rPr>
                <w:rFonts w:asciiTheme="minorHAnsi" w:hAnsiTheme="minorHAnsi"/>
                <w:sz w:val="20"/>
                <w:szCs w:val="20"/>
              </w:rPr>
            </w:pPr>
            <w:r>
              <w:rPr>
                <w:rFonts w:asciiTheme="minorHAnsi" w:hAnsiTheme="minorHAnsi"/>
                <w:sz w:val="20"/>
                <w:szCs w:val="20"/>
              </w:rPr>
              <w:t>This is considered acceptable.</w:t>
            </w:r>
          </w:p>
          <w:p w:rsidR="00D56684" w:rsidRPr="0025169D" w:rsidRDefault="00D56684" w:rsidP="00EE5020">
            <w:pPr>
              <w:rPr>
                <w:rFonts w:asciiTheme="minorHAnsi" w:hAnsiTheme="minorHAnsi"/>
                <w:sz w:val="20"/>
                <w:szCs w:val="20"/>
              </w:rPr>
            </w:pPr>
          </w:p>
        </w:tc>
      </w:tr>
      <w:tr w:rsidR="00D56684" w:rsidRPr="0025169D" w:rsidTr="004858F5">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4858F5">
            <w:pPr>
              <w:pStyle w:val="ListParagraph"/>
              <w:numPr>
                <w:ilvl w:val="0"/>
                <w:numId w:val="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426" w:hanging="426"/>
              <w:rPr>
                <w:rFonts w:asciiTheme="minorHAnsi" w:hAnsiTheme="minorHAnsi" w:cstheme="minorHAnsi"/>
                <w:sz w:val="20"/>
                <w:szCs w:val="20"/>
              </w:rPr>
            </w:pPr>
            <w:r w:rsidRPr="0025169D">
              <w:rPr>
                <w:rFonts w:asciiTheme="minorHAnsi" w:hAnsiTheme="minorHAnsi" w:cstheme="minorHAnsi"/>
                <w:sz w:val="20"/>
                <w:szCs w:val="20"/>
              </w:rPr>
              <w:t xml:space="preserve">In the ‘How to use </w:t>
            </w:r>
            <w:proofErr w:type="spellStart"/>
            <w:r w:rsidR="00EC7E12">
              <w:rPr>
                <w:rFonts w:asciiTheme="minorHAnsi" w:hAnsiTheme="minorHAnsi" w:cstheme="minorHAnsi"/>
                <w:sz w:val="20"/>
                <w:szCs w:val="20"/>
              </w:rPr>
              <w:t>Abasria</w:t>
            </w:r>
            <w:proofErr w:type="spellEnd"/>
            <w:r w:rsidRPr="0025169D">
              <w:rPr>
                <w:rFonts w:asciiTheme="minorHAnsi" w:hAnsiTheme="minorHAnsi" w:cstheme="minorHAnsi"/>
                <w:sz w:val="20"/>
                <w:szCs w:val="20"/>
              </w:rPr>
              <w:t>’ section, the PI should contain a statement regarding the compatibility of the supplied cartridge with other insulin pens (if any) (or a statement to that effect).</w:t>
            </w:r>
          </w:p>
        </w:tc>
        <w:tc>
          <w:tcPr>
            <w:tcW w:w="195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Pr="0025169D" w:rsidRDefault="00D56684" w:rsidP="00EE5020">
            <w:pPr>
              <w:rPr>
                <w:rFonts w:asciiTheme="minorHAnsi" w:hAnsiTheme="minorHAnsi"/>
                <w:i/>
                <w:sz w:val="20"/>
                <w:szCs w:val="20"/>
              </w:rPr>
            </w:pPr>
            <w:r>
              <w:rPr>
                <w:rFonts w:asciiTheme="minorHAnsi" w:hAnsiTheme="minorHAnsi"/>
                <w:i/>
                <w:sz w:val="20"/>
                <w:szCs w:val="20"/>
              </w:rPr>
              <w:t>‘</w:t>
            </w:r>
            <w:r w:rsidRPr="009258BD">
              <w:rPr>
                <w:rFonts w:asciiTheme="minorHAnsi" w:hAnsiTheme="minorHAnsi"/>
                <w:i/>
                <w:sz w:val="20"/>
                <w:szCs w:val="20"/>
              </w:rPr>
              <w:t xml:space="preserve">The requested information is already provided in the </w:t>
            </w:r>
            <w:r w:rsidR="00722754">
              <w:rPr>
                <w:rFonts w:asciiTheme="minorHAnsi" w:hAnsiTheme="minorHAnsi"/>
                <w:i/>
                <w:sz w:val="20"/>
                <w:szCs w:val="20"/>
              </w:rPr>
              <w:t>‘</w:t>
            </w:r>
            <w:r w:rsidRPr="009258BD">
              <w:rPr>
                <w:rFonts w:asciiTheme="minorHAnsi" w:hAnsiTheme="minorHAnsi"/>
                <w:i/>
                <w:sz w:val="20"/>
                <w:szCs w:val="20"/>
              </w:rPr>
              <w:t xml:space="preserve">preparing a </w:t>
            </w:r>
            <w:r>
              <w:rPr>
                <w:rFonts w:asciiTheme="minorHAnsi" w:hAnsiTheme="minorHAnsi"/>
                <w:i/>
                <w:sz w:val="20"/>
                <w:szCs w:val="20"/>
              </w:rPr>
              <w:t>dose</w:t>
            </w:r>
            <w:r w:rsidR="00722754">
              <w:rPr>
                <w:rFonts w:asciiTheme="minorHAnsi" w:hAnsiTheme="minorHAnsi"/>
                <w:i/>
                <w:sz w:val="20"/>
                <w:szCs w:val="20"/>
              </w:rPr>
              <w:t>’</w:t>
            </w:r>
            <w:r>
              <w:rPr>
                <w:rFonts w:asciiTheme="minorHAnsi" w:hAnsiTheme="minorHAnsi"/>
                <w:i/>
                <w:sz w:val="20"/>
                <w:szCs w:val="20"/>
              </w:rPr>
              <w:t xml:space="preserve"> section and this does not </w:t>
            </w:r>
            <w:r w:rsidRPr="009258BD">
              <w:rPr>
                <w:rFonts w:asciiTheme="minorHAnsi" w:hAnsiTheme="minorHAnsi"/>
                <w:i/>
                <w:sz w:val="20"/>
                <w:szCs w:val="20"/>
              </w:rPr>
              <w:t>need to be duplicated.</w:t>
            </w:r>
            <w:r>
              <w:rPr>
                <w:rFonts w:asciiTheme="minorHAnsi" w:hAnsiTheme="minorHAnsi"/>
                <w:i/>
                <w:sz w:val="20"/>
                <w:szCs w:val="20"/>
              </w:rPr>
              <w:t>’</w:t>
            </w:r>
          </w:p>
        </w:tc>
        <w:tc>
          <w:tcPr>
            <w:tcW w:w="119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56684" w:rsidRDefault="00D56684" w:rsidP="00EE5020">
            <w:pPr>
              <w:rPr>
                <w:rFonts w:asciiTheme="minorHAnsi" w:hAnsiTheme="minorHAnsi"/>
                <w:sz w:val="20"/>
                <w:szCs w:val="20"/>
              </w:rPr>
            </w:pPr>
            <w:r>
              <w:rPr>
                <w:rFonts w:asciiTheme="minorHAnsi" w:hAnsiTheme="minorHAnsi"/>
                <w:sz w:val="20"/>
                <w:szCs w:val="20"/>
              </w:rPr>
              <w:t>This is considered acceptable.</w:t>
            </w:r>
          </w:p>
          <w:p w:rsidR="00D56684" w:rsidRPr="0025169D" w:rsidRDefault="00D56684" w:rsidP="00EE5020">
            <w:pPr>
              <w:rPr>
                <w:rFonts w:asciiTheme="minorHAnsi" w:hAnsiTheme="minorHAnsi"/>
                <w:sz w:val="20"/>
                <w:szCs w:val="20"/>
              </w:rPr>
            </w:pPr>
          </w:p>
        </w:tc>
      </w:tr>
    </w:tbl>
    <w:p w:rsidR="00D56684" w:rsidRDefault="008E7846" w:rsidP="008E7846">
      <w:pPr>
        <w:pStyle w:val="Heading4"/>
        <w:rPr>
          <w:rFonts w:asciiTheme="minorHAnsi" w:hAnsiTheme="minorHAnsi" w:cstheme="majorHAnsi"/>
          <w:sz w:val="24"/>
          <w:szCs w:val="24"/>
        </w:rPr>
      </w:pPr>
      <w:r>
        <w:rPr>
          <w:lang w:eastAsia="en-AU"/>
        </w:rPr>
        <w:t xml:space="preserve">Summary of </w:t>
      </w:r>
      <w:r w:rsidR="003A7F6C">
        <w:rPr>
          <w:lang w:eastAsia="en-AU"/>
        </w:rPr>
        <w:t>r</w:t>
      </w:r>
      <w:r>
        <w:rPr>
          <w:lang w:eastAsia="en-AU"/>
        </w:rPr>
        <w:t>ecommendations</w:t>
      </w:r>
    </w:p>
    <w:p w:rsidR="00D56684" w:rsidRDefault="00D56684" w:rsidP="00D56684">
      <w:r w:rsidRPr="007C5855">
        <w:t>It is considered that the</w:t>
      </w:r>
      <w:r>
        <w:t xml:space="preserve"> sponsor’s response to the TGA </w:t>
      </w:r>
      <w:r w:rsidR="00011A6D">
        <w:t>re</w:t>
      </w:r>
      <w:r w:rsidRPr="007C5855">
        <w:t xml:space="preserve">quest </w:t>
      </w:r>
      <w:r w:rsidR="00011A6D">
        <w:t xml:space="preserve">for further information </w:t>
      </w:r>
      <w:r>
        <w:t xml:space="preserve">has </w:t>
      </w:r>
      <w:r w:rsidRPr="007C5855">
        <w:t xml:space="preserve">adequately addressed </w:t>
      </w:r>
      <w:r>
        <w:t xml:space="preserve">most of </w:t>
      </w:r>
      <w:r w:rsidRPr="007C5855">
        <w:t>the issues identifie</w:t>
      </w:r>
      <w:r>
        <w:t>d in the RMP evaluation report (</w:t>
      </w:r>
      <w:r w:rsidR="00D1559C">
        <w:t>other than PI recommendations).</w:t>
      </w:r>
    </w:p>
    <w:p w:rsidR="00D56684" w:rsidRPr="007C5855" w:rsidRDefault="00D56684" w:rsidP="00B00796">
      <w:pPr>
        <w:pStyle w:val="Heading5"/>
      </w:pPr>
      <w:r w:rsidRPr="007C5855">
        <w:t>Outstanding issues</w:t>
      </w:r>
    </w:p>
    <w:p w:rsidR="00D56684" w:rsidRDefault="00D56684" w:rsidP="007B4353">
      <w:r w:rsidRPr="00521F41">
        <w:t xml:space="preserve">It is considered that the sponsor’s response to the TGA </w:t>
      </w:r>
      <w:r w:rsidR="00011A6D">
        <w:t>r</w:t>
      </w:r>
      <w:r w:rsidRPr="00521F41">
        <w:t xml:space="preserve">equest </w:t>
      </w:r>
      <w:r w:rsidR="00011A6D">
        <w:t xml:space="preserve">for further information </w:t>
      </w:r>
      <w:r w:rsidRPr="00521F41">
        <w:t xml:space="preserve">has adequately addressed </w:t>
      </w:r>
      <w:r>
        <w:t xml:space="preserve">most </w:t>
      </w:r>
      <w:r w:rsidRPr="00521F41">
        <w:t>the issues identifie</w:t>
      </w:r>
      <w:r>
        <w:t>d in the RMP evaluation report (</w:t>
      </w:r>
      <w:r w:rsidR="00D1559C">
        <w:t>other than PI recommendations).</w:t>
      </w:r>
    </w:p>
    <w:p w:rsidR="00D56684" w:rsidRPr="007B4353" w:rsidRDefault="00D56684" w:rsidP="0006468C">
      <w:pPr>
        <w:pStyle w:val="Heading5"/>
      </w:pPr>
      <w:r w:rsidRPr="007B4353">
        <w:t>Summary of outstanding issues (including additional recommendations)</w:t>
      </w:r>
    </w:p>
    <w:p w:rsidR="00D56684" w:rsidRPr="007B4353" w:rsidRDefault="00D56684" w:rsidP="007B4353">
      <w:r w:rsidRPr="007B4353">
        <w:t>The sponsor should conduct a study (or assign an existing study) to investigate the potential risk of malignancies further, in particular in children.</w:t>
      </w:r>
    </w:p>
    <w:p w:rsidR="00D56684" w:rsidRPr="007B4353" w:rsidRDefault="00D56684" w:rsidP="007B4353">
      <w:r w:rsidRPr="007B4353">
        <w:t>In regard to the proposed routine risk minimisation activities, it is recommended to the Delegate that the draft product information document be revised</w:t>
      </w:r>
      <w:r w:rsidR="0012755E" w:rsidRPr="007B4353">
        <w:t>.</w:t>
      </w:r>
    </w:p>
    <w:p w:rsidR="00011A6D" w:rsidRPr="007B4353" w:rsidRDefault="00D56684" w:rsidP="007B4353">
      <w:r w:rsidRPr="007B4353">
        <w:lastRenderedPageBreak/>
        <w:t xml:space="preserve">Advice from </w:t>
      </w:r>
      <w:r w:rsidR="000D31EB">
        <w:t>Advisory Committee on the Safety of Medicines (</w:t>
      </w:r>
      <w:r w:rsidRPr="007B4353">
        <w:t>ACSOM</w:t>
      </w:r>
      <w:r w:rsidR="000D31EB">
        <w:t>)</w:t>
      </w:r>
      <w:r w:rsidRPr="007B4353">
        <w:t xml:space="preserve"> has been sought </w:t>
      </w:r>
      <w:r w:rsidR="00D1559C">
        <w:t>at the request of the Delegate.</w:t>
      </w:r>
    </w:p>
    <w:p w:rsidR="00D56684" w:rsidRPr="00E61D24" w:rsidRDefault="00D1559C" w:rsidP="00011A6D">
      <w:pPr>
        <w:pStyle w:val="Heading5"/>
      </w:pPr>
      <w:r>
        <w:t>Key changes to the updated RMP</w:t>
      </w:r>
    </w:p>
    <w:p w:rsidR="0006468C" w:rsidRDefault="00D56684" w:rsidP="007B4353">
      <w:pPr>
        <w:pStyle w:val="ListBullet"/>
      </w:pPr>
      <w:r w:rsidRPr="00E61D24">
        <w:t>EU Risk Management Plan Version 1.0 (dated 22</w:t>
      </w:r>
      <w:r w:rsidR="0012755E">
        <w:t xml:space="preserve"> May </w:t>
      </w:r>
      <w:r w:rsidRPr="00E61D24">
        <w:t>2013, D</w:t>
      </w:r>
      <w:r w:rsidR="0012755E">
        <w:t>ata Lock Point (D</w:t>
      </w:r>
      <w:r w:rsidRPr="00E61D24">
        <w:t>LP</w:t>
      </w:r>
      <w:r w:rsidR="0012755E">
        <w:t>)</w:t>
      </w:r>
      <w:r w:rsidRPr="00E61D24">
        <w:t xml:space="preserve"> 01</w:t>
      </w:r>
      <w:r w:rsidR="0012755E">
        <w:t xml:space="preserve"> April </w:t>
      </w:r>
      <w:r w:rsidRPr="00E61D24">
        <w:t>2013) and Australian Specific Annex Version (no version given, undated)</w:t>
      </w:r>
    </w:p>
    <w:p w:rsidR="00D56684" w:rsidRPr="00E61D24" w:rsidRDefault="00D56684" w:rsidP="007B4353">
      <w:proofErr w:type="gramStart"/>
      <w:r w:rsidRPr="00E61D24">
        <w:t>has</w:t>
      </w:r>
      <w:proofErr w:type="gramEnd"/>
      <w:r w:rsidRPr="00E61D24">
        <w:t xml:space="preserve"> been superseded </w:t>
      </w:r>
      <w:r w:rsidR="00D1559C">
        <w:t>by:</w:t>
      </w:r>
    </w:p>
    <w:p w:rsidR="00D56684" w:rsidRPr="00E61D24" w:rsidRDefault="00D56684" w:rsidP="007B4353">
      <w:pPr>
        <w:pStyle w:val="ListBullet"/>
      </w:pPr>
      <w:r w:rsidRPr="00E61D24">
        <w:t>EU Risk Management Plan Version 1.0 (dated 22</w:t>
      </w:r>
      <w:r w:rsidR="0012755E">
        <w:t xml:space="preserve"> May 2</w:t>
      </w:r>
      <w:r w:rsidRPr="00E61D24">
        <w:t xml:space="preserve">013, </w:t>
      </w:r>
      <w:r w:rsidR="0012755E" w:rsidRPr="00E61D24">
        <w:t>D</w:t>
      </w:r>
      <w:r w:rsidR="0012755E">
        <w:t>ata Lock Point (D</w:t>
      </w:r>
      <w:r w:rsidR="0012755E" w:rsidRPr="00E61D24">
        <w:t>LP</w:t>
      </w:r>
      <w:r w:rsidR="0012755E">
        <w:t>)</w:t>
      </w:r>
      <w:r w:rsidR="0012755E" w:rsidRPr="00E61D24">
        <w:t xml:space="preserve"> 01</w:t>
      </w:r>
      <w:r w:rsidR="0012755E">
        <w:t xml:space="preserve"> April</w:t>
      </w:r>
      <w:r w:rsidR="0012755E" w:rsidRPr="00E61D24">
        <w:t>2013</w:t>
      </w:r>
      <w:r w:rsidRPr="00E61D24">
        <w:t>) and Australian Specific Annex Version 2 (dated 21</w:t>
      </w:r>
      <w:r w:rsidR="0012755E">
        <w:t xml:space="preserve"> May </w:t>
      </w:r>
      <w:r w:rsidRPr="00E61D24">
        <w:t>2014).</w:t>
      </w:r>
    </w:p>
    <w:p w:rsidR="00D56684" w:rsidRPr="00E61D24" w:rsidRDefault="00D56684" w:rsidP="007B4353">
      <w:r w:rsidRPr="00E61D24">
        <w:t>It is noted that in the Australian Specific Annex Version 2 (dated 21</w:t>
      </w:r>
      <w:r w:rsidR="0012755E">
        <w:t xml:space="preserve"> May </w:t>
      </w:r>
      <w:r w:rsidRPr="00E61D24">
        <w:t xml:space="preserve">2014), the sponsor </w:t>
      </w:r>
      <w:r>
        <w:t>seems to refer</w:t>
      </w:r>
      <w:r w:rsidRPr="00E61D24">
        <w:t xml:space="preserve"> to a</w:t>
      </w:r>
      <w:r w:rsidR="0006468C">
        <w:t>n</w:t>
      </w:r>
      <w:r w:rsidRPr="00E61D24">
        <w:t xml:space="preserve"> EU Risk Management Plan Version 2.0. However, after consulting with the sponsor, </w:t>
      </w:r>
      <w:r>
        <w:t>it was found that t</w:t>
      </w:r>
      <w:r w:rsidRPr="00E61D24">
        <w:t>he updated ASA also refers to EU Risk Management Plan Version 1.0.</w:t>
      </w:r>
    </w:p>
    <w:p w:rsidR="00D56684" w:rsidRPr="00E61D24" w:rsidRDefault="0012755E" w:rsidP="0012755E">
      <w:pPr>
        <w:pStyle w:val="TableTitle"/>
      </w:pPr>
      <w:r>
        <w:t>Table 11: Key changes to the ASA</w:t>
      </w:r>
    </w:p>
    <w:tbl>
      <w:tblPr>
        <w:tblStyle w:val="TableTGAblue1"/>
        <w:tblW w:w="0" w:type="auto"/>
        <w:tblLook w:val="04A0" w:firstRow="1" w:lastRow="0" w:firstColumn="1" w:lastColumn="0" w:noHBand="0" w:noVBand="1"/>
      </w:tblPr>
      <w:tblGrid>
        <w:gridCol w:w="2123"/>
        <w:gridCol w:w="6597"/>
      </w:tblGrid>
      <w:tr w:rsidR="00D56684" w:rsidRPr="00E61D24" w:rsidTr="00EE5020">
        <w:trPr>
          <w:cnfStyle w:val="100000000000" w:firstRow="1" w:lastRow="0" w:firstColumn="0" w:lastColumn="0" w:oddVBand="0" w:evenVBand="0" w:oddHBand="0" w:evenHBand="0" w:firstRowFirstColumn="0" w:firstRowLastColumn="0" w:lastRowFirstColumn="0" w:lastRowLastColumn="0"/>
          <w:cantSplit/>
          <w:trHeight w:val="274"/>
          <w:tblHeader/>
        </w:trPr>
        <w:tc>
          <w:tcPr>
            <w:tcW w:w="9854" w:type="dxa"/>
            <w:gridSpan w:val="2"/>
          </w:tcPr>
          <w:p w:rsidR="00D56684" w:rsidRPr="00E61D24" w:rsidRDefault="00D56684" w:rsidP="0012755E">
            <w:pPr>
              <w:pStyle w:val="Numberbullet0"/>
              <w:numPr>
                <w:ilvl w:val="0"/>
                <w:numId w:val="0"/>
              </w:numPr>
              <w:rPr>
                <w:rFonts w:asciiTheme="minorHAnsi" w:hAnsiTheme="minorHAnsi"/>
                <w:sz w:val="20"/>
                <w:szCs w:val="20"/>
              </w:rPr>
            </w:pPr>
            <w:r w:rsidRPr="00E61D24">
              <w:rPr>
                <w:rFonts w:asciiTheme="minorHAnsi" w:hAnsiTheme="minorHAnsi"/>
                <w:sz w:val="20"/>
                <w:szCs w:val="20"/>
                <w:lang w:eastAsia="en-AU"/>
              </w:rPr>
              <w:t>Summary of</w:t>
            </w:r>
            <w:r w:rsidR="001A1024">
              <w:rPr>
                <w:rFonts w:asciiTheme="minorHAnsi" w:hAnsiTheme="minorHAnsi"/>
                <w:sz w:val="20"/>
                <w:szCs w:val="20"/>
                <w:lang w:eastAsia="en-AU"/>
              </w:rPr>
              <w:t xml:space="preserve"> </w:t>
            </w:r>
            <w:r w:rsidRPr="00E61D24">
              <w:rPr>
                <w:rFonts w:asciiTheme="minorHAnsi" w:hAnsiTheme="minorHAnsi"/>
                <w:sz w:val="20"/>
                <w:szCs w:val="20"/>
                <w:lang w:eastAsia="en-AU"/>
              </w:rPr>
              <w:t xml:space="preserve">key changes between </w:t>
            </w:r>
            <w:r w:rsidRPr="00E61D24">
              <w:rPr>
                <w:rFonts w:asciiTheme="minorHAnsi" w:hAnsiTheme="minorHAnsi"/>
                <w:sz w:val="20"/>
                <w:szCs w:val="20"/>
              </w:rPr>
              <w:t xml:space="preserve">Australian Specific Annex </w:t>
            </w:r>
            <w:r w:rsidRPr="00E61D24">
              <w:rPr>
                <w:rFonts w:asciiTheme="minorHAnsi" w:hAnsiTheme="minorHAnsi"/>
                <w:sz w:val="20"/>
                <w:szCs w:val="20"/>
                <w:lang w:eastAsia="en-AU"/>
              </w:rPr>
              <w:t>(no version given, undated) and Australian Specific Annex Version 2</w:t>
            </w:r>
            <w:r>
              <w:rPr>
                <w:rFonts w:asciiTheme="minorHAnsi" w:hAnsiTheme="minorHAnsi"/>
                <w:sz w:val="20"/>
                <w:szCs w:val="20"/>
                <w:lang w:eastAsia="en-AU"/>
              </w:rPr>
              <w:t xml:space="preserve"> (dated 21</w:t>
            </w:r>
            <w:r w:rsidR="0012755E">
              <w:rPr>
                <w:rFonts w:asciiTheme="minorHAnsi" w:hAnsiTheme="minorHAnsi"/>
                <w:sz w:val="20"/>
                <w:szCs w:val="20"/>
                <w:lang w:eastAsia="en-AU"/>
              </w:rPr>
              <w:t xml:space="preserve"> May </w:t>
            </w:r>
            <w:r>
              <w:rPr>
                <w:rFonts w:asciiTheme="minorHAnsi" w:hAnsiTheme="minorHAnsi"/>
                <w:sz w:val="20"/>
                <w:szCs w:val="20"/>
                <w:lang w:eastAsia="en-AU"/>
              </w:rPr>
              <w:t>2014)</w:t>
            </w:r>
          </w:p>
        </w:tc>
      </w:tr>
      <w:tr w:rsidR="00D56684" w:rsidRPr="00E61D24" w:rsidTr="00EE5020">
        <w:trPr>
          <w:cantSplit/>
          <w:trHeight w:val="270"/>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D56684" w:rsidRPr="00E61D24" w:rsidRDefault="00D56684" w:rsidP="00D1559C">
            <w:pPr>
              <w:rPr>
                <w:rFonts w:asciiTheme="minorHAnsi" w:hAnsiTheme="minorHAnsi"/>
                <w:b/>
                <w:sz w:val="20"/>
                <w:szCs w:val="20"/>
                <w:lang w:eastAsia="en-AU"/>
              </w:rPr>
            </w:pPr>
            <w:r w:rsidRPr="00E61D24">
              <w:rPr>
                <w:rFonts w:asciiTheme="minorHAnsi" w:hAnsiTheme="minorHAnsi"/>
                <w:b/>
                <w:sz w:val="20"/>
                <w:szCs w:val="20"/>
                <w:lang w:eastAsia="en-AU"/>
              </w:rPr>
              <w:t>Safety specification</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D56684" w:rsidRPr="00E61D24" w:rsidRDefault="00D56684" w:rsidP="00EE5020">
            <w:pPr>
              <w:tabs>
                <w:tab w:val="left" w:pos="720"/>
              </w:tabs>
              <w:adjustRightInd w:val="0"/>
              <w:snapToGrid w:val="0"/>
              <w:rPr>
                <w:rFonts w:asciiTheme="minorHAnsi" w:hAnsiTheme="minorHAnsi"/>
                <w:sz w:val="20"/>
                <w:szCs w:val="20"/>
              </w:rPr>
            </w:pPr>
            <w:r w:rsidRPr="00E61D24">
              <w:rPr>
                <w:rFonts w:asciiTheme="minorHAnsi" w:hAnsiTheme="minorHAnsi"/>
                <w:sz w:val="20"/>
                <w:szCs w:val="20"/>
              </w:rPr>
              <w:t>Part II:SI, SII, SIII, SVII added</w:t>
            </w:r>
          </w:p>
          <w:p w:rsidR="00D56684" w:rsidRPr="00E61D24" w:rsidRDefault="00D56684" w:rsidP="00EE5020">
            <w:pPr>
              <w:tabs>
                <w:tab w:val="left" w:pos="720"/>
              </w:tabs>
              <w:adjustRightInd w:val="0"/>
              <w:snapToGrid w:val="0"/>
              <w:ind w:left="360"/>
              <w:rPr>
                <w:rFonts w:asciiTheme="minorHAnsi" w:hAnsiTheme="minorHAnsi"/>
                <w:sz w:val="20"/>
                <w:szCs w:val="20"/>
              </w:rPr>
            </w:pPr>
          </w:p>
        </w:tc>
      </w:tr>
      <w:tr w:rsidR="00D56684" w:rsidRPr="00E61D24" w:rsidTr="00EE5020">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D56684" w:rsidRPr="00E61D24" w:rsidRDefault="00D56684" w:rsidP="00EE5020">
            <w:pPr>
              <w:rPr>
                <w:rFonts w:asciiTheme="minorHAnsi" w:hAnsiTheme="minorHAnsi"/>
                <w:b/>
                <w:sz w:val="20"/>
                <w:szCs w:val="20"/>
                <w:lang w:eastAsia="en-AU"/>
              </w:rPr>
            </w:pPr>
            <w:r w:rsidRPr="00E61D24">
              <w:rPr>
                <w:rFonts w:asciiTheme="minorHAnsi" w:hAnsiTheme="minorHAnsi"/>
                <w:b/>
                <w:sz w:val="20"/>
                <w:szCs w:val="20"/>
                <w:lang w:eastAsia="en-AU"/>
              </w:rPr>
              <w:t>Pharmacovigilance activities</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D56684" w:rsidRPr="00E61D24" w:rsidRDefault="00D56684" w:rsidP="00EE5020">
            <w:pPr>
              <w:tabs>
                <w:tab w:val="left" w:pos="720"/>
              </w:tabs>
              <w:adjustRightInd w:val="0"/>
              <w:snapToGrid w:val="0"/>
              <w:rPr>
                <w:rFonts w:asciiTheme="minorHAnsi" w:hAnsiTheme="minorHAnsi"/>
                <w:sz w:val="20"/>
                <w:szCs w:val="20"/>
              </w:rPr>
            </w:pPr>
            <w:r w:rsidRPr="00E61D24">
              <w:rPr>
                <w:rFonts w:asciiTheme="minorHAnsi" w:hAnsiTheme="minorHAnsi"/>
                <w:sz w:val="20"/>
                <w:szCs w:val="20"/>
              </w:rPr>
              <w:t>Part III: III.1 added</w:t>
            </w:r>
          </w:p>
          <w:p w:rsidR="00D56684" w:rsidRPr="00E61D24" w:rsidRDefault="00D56684" w:rsidP="00EE5020">
            <w:pPr>
              <w:tabs>
                <w:tab w:val="left" w:pos="5076"/>
              </w:tabs>
              <w:adjustRightInd w:val="0"/>
              <w:snapToGrid w:val="0"/>
              <w:rPr>
                <w:rFonts w:asciiTheme="minorHAnsi" w:hAnsiTheme="minorHAnsi"/>
                <w:sz w:val="20"/>
                <w:szCs w:val="20"/>
              </w:rPr>
            </w:pPr>
            <w:r w:rsidRPr="00E61D24">
              <w:rPr>
                <w:rFonts w:asciiTheme="minorHAnsi" w:hAnsiTheme="minorHAnsi"/>
                <w:sz w:val="20"/>
                <w:szCs w:val="20"/>
              </w:rPr>
              <w:t>Updated Table V.1 Use in children to reflect changes in the reference label; from less than 6 years to less than 2 years</w:t>
            </w:r>
          </w:p>
        </w:tc>
      </w:tr>
    </w:tbl>
    <w:p w:rsidR="00D56684" w:rsidRPr="00E61D24" w:rsidRDefault="00D56684" w:rsidP="0012755E">
      <w:pPr>
        <w:pStyle w:val="Heading5"/>
      </w:pPr>
      <w:r w:rsidRPr="00E61D24">
        <w:t>Suggested wording</w:t>
      </w:r>
      <w:r w:rsidR="002B1767">
        <w:t xml:space="preserve"> for conditions of registration</w:t>
      </w:r>
    </w:p>
    <w:p w:rsidR="00D56684" w:rsidRPr="00E61D24" w:rsidRDefault="00D56684" w:rsidP="007B4353">
      <w:pPr>
        <w:rPr>
          <w:rFonts w:asciiTheme="minorHAnsi" w:hAnsiTheme="minorHAnsi"/>
          <w:kern w:val="2"/>
          <w:sz w:val="24"/>
          <w:szCs w:val="24"/>
        </w:rPr>
      </w:pPr>
      <w:r w:rsidRPr="00E61D24">
        <w:t>Any changes to the RMP that were agreed to by the sponsor become part of the RMP, whether they are included in the currently available version of the RMP document, or not included, inadvertently or otherwise.</w:t>
      </w:r>
      <w:r w:rsidR="007B4353">
        <w:t xml:space="preserve"> </w:t>
      </w:r>
      <w:r w:rsidRPr="00E61D24">
        <w:rPr>
          <w:rFonts w:asciiTheme="minorHAnsi" w:hAnsiTheme="minorHAnsi"/>
          <w:kern w:val="2"/>
          <w:sz w:val="24"/>
          <w:szCs w:val="24"/>
        </w:rPr>
        <w:t>The suggested wording is:</w:t>
      </w:r>
    </w:p>
    <w:p w:rsidR="00D56684" w:rsidRPr="00E61D24" w:rsidRDefault="00D56684" w:rsidP="0012755E">
      <w:pPr>
        <w:pStyle w:val="ListBullet"/>
      </w:pPr>
      <w:r w:rsidRPr="00E61D24">
        <w:t>Implement EU Risk Management Plan Version 1.0 (dated 22/05/2013, DLP 01/04/2013) and Australian Specific Annex Version 2 (dated 21/05/2014), and any future updates (where TGA approved) as a condition of registration.</w:t>
      </w:r>
    </w:p>
    <w:p w:rsidR="008E7846" w:rsidRPr="00792A32" w:rsidRDefault="008E7846" w:rsidP="008E7846">
      <w:pPr>
        <w:pStyle w:val="Heading2"/>
      </w:pPr>
      <w:bookmarkStart w:id="131" w:name="_Toc314842510"/>
      <w:bookmarkStart w:id="132" w:name="_Toc42879649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7"/>
      <w:bookmarkEnd w:id="130"/>
      <w:bookmarkEnd w:id="131"/>
      <w:bookmarkEnd w:id="132"/>
    </w:p>
    <w:p w:rsidR="008E7846" w:rsidRDefault="008E7846" w:rsidP="008E7846">
      <w:bookmarkStart w:id="13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34" w:name="_Toc314842511"/>
      <w:bookmarkStart w:id="135" w:name="_Toc428796496"/>
      <w:r>
        <w:t>Quality</w:t>
      </w:r>
      <w:bookmarkEnd w:id="133"/>
      <w:bookmarkEnd w:id="134"/>
      <w:bookmarkEnd w:id="135"/>
    </w:p>
    <w:p w:rsidR="00E8388F" w:rsidRDefault="00EC7E12" w:rsidP="006524B2">
      <w:bookmarkStart w:id="136" w:name="_Toc314842512"/>
      <w:proofErr w:type="spellStart"/>
      <w:r>
        <w:t>Abasria</w:t>
      </w:r>
      <w:proofErr w:type="spellEnd"/>
      <w:r w:rsidR="00E8388F">
        <w:t xml:space="preserve"> has the same pharmaceutical form and strength as the reference product, </w:t>
      </w:r>
      <w:r w:rsidR="00D54BAC">
        <w:t>Lantus</w:t>
      </w:r>
      <w:r w:rsidR="002B1767">
        <w:t>.</w:t>
      </w:r>
    </w:p>
    <w:p w:rsidR="00E8388F" w:rsidRDefault="00E8388F" w:rsidP="006524B2">
      <w:r>
        <w:t xml:space="preserve">The primary amino acid sequence of the active ingredient for </w:t>
      </w:r>
      <w:proofErr w:type="spellStart"/>
      <w:r w:rsidR="00EC7E12">
        <w:t>Abasria</w:t>
      </w:r>
      <w:proofErr w:type="spellEnd"/>
      <w:r>
        <w:t xml:space="preserve"> is the same as that for </w:t>
      </w:r>
      <w:r w:rsidR="00D54BAC">
        <w:t>Lantus</w:t>
      </w:r>
      <w:r>
        <w:t>.</w:t>
      </w:r>
    </w:p>
    <w:p w:rsidR="00E8388F" w:rsidRDefault="00E8388F" w:rsidP="006524B2">
      <w:r>
        <w:t xml:space="preserve">Each mL of </w:t>
      </w:r>
      <w:proofErr w:type="spellStart"/>
      <w:r w:rsidR="00EC7E12">
        <w:t>Abasria</w:t>
      </w:r>
      <w:proofErr w:type="spellEnd"/>
      <w:r>
        <w:t xml:space="preserve"> contains: 100 units of insulin </w:t>
      </w:r>
      <w:proofErr w:type="spellStart"/>
      <w:r>
        <w:t>glargine</w:t>
      </w:r>
      <w:proofErr w:type="spellEnd"/>
      <w:r>
        <w:t xml:space="preserve">, zinc oxide, </w:t>
      </w:r>
      <w:proofErr w:type="spellStart"/>
      <w:r>
        <w:t>metacresol</w:t>
      </w:r>
      <w:proofErr w:type="spellEnd"/>
      <w:r>
        <w:t>, glycerol and water for injections</w:t>
      </w:r>
      <w:r w:rsidR="00EC70D0">
        <w:t>;</w:t>
      </w:r>
      <w:r>
        <w:t xml:space="preserve"> as well as hydrochloric acid and sodium hydroxide for pH adjustment.</w:t>
      </w:r>
    </w:p>
    <w:p w:rsidR="00E8388F" w:rsidRDefault="00E8388F" w:rsidP="006524B2">
      <w:r>
        <w:t>There are some differences in excipients: zinc oxide replaces zinc chloride, 100% glycerol replaces 85% glycerol.</w:t>
      </w:r>
    </w:p>
    <w:p w:rsidR="00E8388F" w:rsidRDefault="00E8388F" w:rsidP="006524B2">
      <w:r>
        <w:lastRenderedPageBreak/>
        <w:t>The biosimilar comparability testing included structural characterisation, physicochemical characterisation, biological potency, impurity characterisation and stability assessment. Impurities were</w:t>
      </w:r>
      <w:r w:rsidR="002B1767">
        <w:t xml:space="preserve"> low and adequately controlled.</w:t>
      </w:r>
    </w:p>
    <w:p w:rsidR="00E8388F" w:rsidRDefault="00E8388F" w:rsidP="006524B2">
      <w:r>
        <w:t xml:space="preserve">The biological chemistry evaluator concluded that comparability between </w:t>
      </w:r>
      <w:proofErr w:type="spellStart"/>
      <w:r w:rsidR="00EC7E12">
        <w:t>Abasria</w:t>
      </w:r>
      <w:proofErr w:type="spellEnd"/>
      <w:r>
        <w:t xml:space="preserve"> and EU</w:t>
      </w:r>
      <w:r w:rsidR="0012755E">
        <w:t xml:space="preserve"> </w:t>
      </w:r>
      <w:r>
        <w:t xml:space="preserve">approved </w:t>
      </w:r>
      <w:r w:rsidR="00D54BAC">
        <w:t>Lantus</w:t>
      </w:r>
      <w:r>
        <w:t xml:space="preserve"> has b</w:t>
      </w:r>
      <w:r w:rsidR="002B1767">
        <w:t>een satisfactorily established.</w:t>
      </w:r>
    </w:p>
    <w:p w:rsidR="00177E0F" w:rsidRDefault="00177E0F" w:rsidP="006524B2">
      <w:r>
        <w:t>The biological chemistry evaluator accepted the sponsor’s justification for use of the EU sourced Lantus for Australian registration.</w:t>
      </w:r>
    </w:p>
    <w:p w:rsidR="008E7846" w:rsidRDefault="008E7846" w:rsidP="003F76E8">
      <w:pPr>
        <w:pStyle w:val="Heading3"/>
      </w:pPr>
      <w:bookmarkStart w:id="137" w:name="_Toc428796497"/>
      <w:r>
        <w:t>Nonclinical</w:t>
      </w:r>
      <w:bookmarkEnd w:id="136"/>
      <w:bookmarkEnd w:id="137"/>
    </w:p>
    <w:p w:rsidR="00E8388F" w:rsidRDefault="00E8388F" w:rsidP="00B00796">
      <w:bookmarkStart w:id="138" w:name="_Toc247691530"/>
      <w:bookmarkStart w:id="139" w:name="_Toc314842513"/>
      <w:r>
        <w:t xml:space="preserve">The nonclinical evaluator had no objections to registration. The scope of the nonclinical program complied </w:t>
      </w:r>
      <w:r w:rsidR="002B1767">
        <w:t>with the relevant EU guideline.</w:t>
      </w:r>
    </w:p>
    <w:p w:rsidR="00E8388F" w:rsidRDefault="00E8388F" w:rsidP="00B00796">
      <w:r>
        <w:t xml:space="preserve">Comparability was shown between </w:t>
      </w:r>
      <w:proofErr w:type="spellStart"/>
      <w:r w:rsidR="00EC7E12">
        <w:t>Abasria</w:t>
      </w:r>
      <w:proofErr w:type="spellEnd"/>
      <w:r>
        <w:t xml:space="preserve"> and EU</w:t>
      </w:r>
      <w:r w:rsidR="0012755E">
        <w:t xml:space="preserve"> </w:t>
      </w:r>
      <w:r>
        <w:t xml:space="preserve">sourced </w:t>
      </w:r>
      <w:r w:rsidR="00D54BAC">
        <w:t>Lantus</w:t>
      </w:r>
      <w:r>
        <w:t xml:space="preserve"> (and depending on the study, US</w:t>
      </w:r>
      <w:r w:rsidR="0012755E">
        <w:t xml:space="preserve"> </w:t>
      </w:r>
      <w:r>
        <w:t xml:space="preserve">sourced </w:t>
      </w:r>
      <w:r w:rsidR="00D54BAC">
        <w:t>Lantus</w:t>
      </w:r>
      <w:r>
        <w:t>) on:</w:t>
      </w:r>
    </w:p>
    <w:p w:rsidR="00E8388F" w:rsidRDefault="00E8388F" w:rsidP="0012755E">
      <w:pPr>
        <w:pStyle w:val="ListBullet"/>
      </w:pPr>
      <w:r>
        <w:t xml:space="preserve">pharmacological activity (receptor binding affinity and functional activity in cell-based assays; </w:t>
      </w:r>
      <w:proofErr w:type="spellStart"/>
      <w:r>
        <w:t>glucodynamic</w:t>
      </w:r>
      <w:proofErr w:type="spellEnd"/>
      <w:r>
        <w:t xml:space="preserve"> profile </w:t>
      </w:r>
      <w:r w:rsidRPr="00F51F59">
        <w:t>in vivo</w:t>
      </w:r>
      <w:r w:rsidR="002B1767">
        <w:t xml:space="preserve"> in rats);</w:t>
      </w:r>
    </w:p>
    <w:p w:rsidR="00E8388F" w:rsidRPr="00B82368" w:rsidRDefault="00E8388F" w:rsidP="0012755E">
      <w:pPr>
        <w:pStyle w:val="ListBullet"/>
      </w:pPr>
      <w:proofErr w:type="gramStart"/>
      <w:r>
        <w:t>toxicity</w:t>
      </w:r>
      <w:proofErr w:type="gramEnd"/>
      <w:r>
        <w:t xml:space="preserve"> profile (assessed in 4</w:t>
      </w:r>
      <w:r w:rsidR="0012755E">
        <w:t xml:space="preserve"> </w:t>
      </w:r>
      <w:r>
        <w:t>week, GLP</w:t>
      </w:r>
      <w:r w:rsidR="0012755E">
        <w:t xml:space="preserve"> </w:t>
      </w:r>
      <w:r>
        <w:t>compliant studies in rats).</w:t>
      </w:r>
    </w:p>
    <w:p w:rsidR="008E7846" w:rsidRDefault="008E7846" w:rsidP="008E7846">
      <w:pPr>
        <w:pStyle w:val="Heading3"/>
      </w:pPr>
      <w:bookmarkStart w:id="140" w:name="_Toc428796498"/>
      <w:r>
        <w:t>Clinical</w:t>
      </w:r>
      <w:bookmarkEnd w:id="138"/>
      <w:bookmarkEnd w:id="139"/>
      <w:bookmarkEnd w:id="140"/>
    </w:p>
    <w:p w:rsidR="00E8388F" w:rsidRPr="00B82368" w:rsidRDefault="00E8388F" w:rsidP="00B00796">
      <w:pPr>
        <w:pStyle w:val="Heading4"/>
      </w:pPr>
      <w:bookmarkStart w:id="141" w:name="_Toc314842514"/>
      <w:r w:rsidRPr="00B82368">
        <w:t>Phar</w:t>
      </w:r>
      <w:r>
        <w:t xml:space="preserve">macokinetic and </w:t>
      </w:r>
      <w:proofErr w:type="spellStart"/>
      <w:r>
        <w:t>pharmacodynamic</w:t>
      </w:r>
      <w:proofErr w:type="spellEnd"/>
      <w:r>
        <w:t xml:space="preserve"> studies</w:t>
      </w:r>
    </w:p>
    <w:p w:rsidR="00E8388F" w:rsidRDefault="00E8388F" w:rsidP="00B00796">
      <w:pPr>
        <w:rPr>
          <w:lang w:eastAsia="en-AU"/>
        </w:rPr>
      </w:pPr>
      <w:r>
        <w:rPr>
          <w:lang w:eastAsia="en-AU"/>
        </w:rPr>
        <w:t xml:space="preserve">For </w:t>
      </w:r>
      <w:proofErr w:type="gramStart"/>
      <w:r>
        <w:rPr>
          <w:lang w:eastAsia="en-AU"/>
        </w:rPr>
        <w:t>a biosimilar</w:t>
      </w:r>
      <w:proofErr w:type="gramEnd"/>
      <w:r>
        <w:rPr>
          <w:lang w:eastAsia="en-AU"/>
        </w:rPr>
        <w:t xml:space="preserve"> insulin, the </w:t>
      </w:r>
      <w:r w:rsidRPr="00F51F59">
        <w:t xml:space="preserve">draft </w:t>
      </w:r>
      <w:r w:rsidR="00F51F59" w:rsidRPr="00F51F59">
        <w:t>Committee for Medicinal Products for Human Use (CHMP)</w:t>
      </w:r>
      <w:r w:rsidR="001A1024">
        <w:t xml:space="preserve"> </w:t>
      </w:r>
      <w:r w:rsidRPr="00F51F59">
        <w:t>guidance</w:t>
      </w:r>
      <w:bookmarkStart w:id="142" w:name="_Ref414883136"/>
      <w:r w:rsidR="0012755E" w:rsidRPr="00F51F59">
        <w:footnoteReference w:id="12"/>
      </w:r>
      <w:bookmarkEnd w:id="142"/>
      <w:r w:rsidRPr="00F51F59">
        <w:t>, states that</w:t>
      </w:r>
      <w:r>
        <w:rPr>
          <w:lang w:eastAsia="en-AU"/>
        </w:rPr>
        <w:t xml:space="preserve"> PK/PD insulin clamp studies represent the mainstay of the proof of similar efficacy of the biosimilar insulin and the reference product. The guidance further states that Phase</w:t>
      </w:r>
      <w:r w:rsidR="0012755E">
        <w:rPr>
          <w:lang w:eastAsia="en-AU"/>
        </w:rPr>
        <w:t xml:space="preserve"> III</w:t>
      </w:r>
      <w:r>
        <w:rPr>
          <w:lang w:eastAsia="en-AU"/>
        </w:rPr>
        <w:t xml:space="preserve"> efficacy studies cannot be used to establish efficacy because the endpoints HbA1c are not sufficiently sensitive for the purposes of showing </w:t>
      </w:r>
      <w:proofErr w:type="spellStart"/>
      <w:r>
        <w:rPr>
          <w:lang w:eastAsia="en-AU"/>
        </w:rPr>
        <w:t>biosimilarity</w:t>
      </w:r>
      <w:proofErr w:type="spellEnd"/>
      <w:r>
        <w:rPr>
          <w:lang w:eastAsia="en-AU"/>
        </w:rPr>
        <w:t>. In other words, Phase</w:t>
      </w:r>
      <w:r w:rsidR="0012755E">
        <w:rPr>
          <w:lang w:eastAsia="en-AU"/>
        </w:rPr>
        <w:t xml:space="preserve"> III</w:t>
      </w:r>
      <w:r>
        <w:rPr>
          <w:lang w:eastAsia="en-AU"/>
        </w:rPr>
        <w:t xml:space="preserve"> studies (endpoint: HbA1c) only provide supportive evidence of efficacy; the pivotal evidence for claims of equivalent efficacy must come from the PK/PD studies. (The main role of the Phase</w:t>
      </w:r>
      <w:r w:rsidR="0012755E">
        <w:rPr>
          <w:lang w:eastAsia="en-AU"/>
        </w:rPr>
        <w:t xml:space="preserve"> III</w:t>
      </w:r>
      <w:r>
        <w:rPr>
          <w:lang w:eastAsia="en-AU"/>
        </w:rPr>
        <w:t xml:space="preserve"> studies is to establish safety [and exclude any reduction in efficacy]; by measuring immunogenicity endpoints.)</w:t>
      </w:r>
    </w:p>
    <w:p w:rsidR="00E8388F" w:rsidRDefault="00E8388F" w:rsidP="00B00796">
      <w:pPr>
        <w:rPr>
          <w:lang w:eastAsia="en-AU"/>
        </w:rPr>
      </w:pPr>
      <w:r>
        <w:rPr>
          <w:lang w:eastAsia="en-AU"/>
        </w:rPr>
        <w:t>The CHMP agreed with the sponsor that studies in healthy volunteers provide a more homogeneous and sensitive PK comparability model than studies in patients with diabetes. Consequently, all PK/PD studies were done in healthy volunteers; except of ABEE, which was done in patients with T1D</w:t>
      </w:r>
      <w:r w:rsidR="00F51F59">
        <w:rPr>
          <w:lang w:eastAsia="en-AU"/>
        </w:rPr>
        <w:t>M</w:t>
      </w:r>
      <w:r>
        <w:rPr>
          <w:lang w:eastAsia="en-AU"/>
        </w:rPr>
        <w:t>.</w:t>
      </w:r>
    </w:p>
    <w:p w:rsidR="00E8388F" w:rsidRDefault="00E8388F" w:rsidP="00B00796">
      <w:pPr>
        <w:rPr>
          <w:lang w:eastAsia="en-AU"/>
        </w:rPr>
      </w:pPr>
      <w:r>
        <w:rPr>
          <w:lang w:eastAsia="en-AU"/>
        </w:rPr>
        <w:t xml:space="preserve">PK studies used C-peptide-corrected insulin concentration-time data. Given the flat time-concentration profile, AUC is the most sensitive measure; </w:t>
      </w:r>
      <w:proofErr w:type="spellStart"/>
      <w:r>
        <w:rPr>
          <w:lang w:eastAsia="en-AU"/>
        </w:rPr>
        <w:t>C</w:t>
      </w:r>
      <w:r w:rsidRPr="007E28FF">
        <w:rPr>
          <w:vertAlign w:val="subscript"/>
          <w:lang w:eastAsia="en-AU"/>
        </w:rPr>
        <w:t>max</w:t>
      </w:r>
      <w:proofErr w:type="spellEnd"/>
      <w:r>
        <w:rPr>
          <w:lang w:eastAsia="en-AU"/>
        </w:rPr>
        <w:t xml:space="preserve"> is less sensitive.</w:t>
      </w:r>
    </w:p>
    <w:p w:rsidR="00E8388F" w:rsidRDefault="00E8388F" w:rsidP="00B00796">
      <w:pPr>
        <w:rPr>
          <w:lang w:eastAsia="en-AU"/>
        </w:rPr>
      </w:pPr>
      <w:r>
        <w:rPr>
          <w:lang w:eastAsia="en-AU"/>
        </w:rPr>
        <w:t>For the PD measurements, the draft CHMP guideline</w:t>
      </w:r>
      <w:r w:rsidR="0012755E" w:rsidRPr="0012755E">
        <w:rPr>
          <w:vertAlign w:val="superscript"/>
          <w:lang w:eastAsia="en-AU"/>
        </w:rPr>
        <w:fldChar w:fldCharType="begin"/>
      </w:r>
      <w:r w:rsidR="0012755E" w:rsidRPr="0012755E">
        <w:rPr>
          <w:vertAlign w:val="superscript"/>
          <w:lang w:eastAsia="en-AU"/>
        </w:rPr>
        <w:instrText xml:space="preserve"> NOTEREF _Ref414883136 \h </w:instrText>
      </w:r>
      <w:r w:rsidR="0012755E">
        <w:rPr>
          <w:vertAlign w:val="superscript"/>
          <w:lang w:eastAsia="en-AU"/>
        </w:rPr>
        <w:instrText xml:space="preserve"> \* MERGEFORMAT </w:instrText>
      </w:r>
      <w:r w:rsidR="0012755E" w:rsidRPr="0012755E">
        <w:rPr>
          <w:vertAlign w:val="superscript"/>
          <w:lang w:eastAsia="en-AU"/>
        </w:rPr>
      </w:r>
      <w:r w:rsidR="0012755E" w:rsidRPr="0012755E">
        <w:rPr>
          <w:vertAlign w:val="superscript"/>
          <w:lang w:eastAsia="en-AU"/>
        </w:rPr>
        <w:fldChar w:fldCharType="separate"/>
      </w:r>
      <w:r w:rsidR="00EC70D0">
        <w:rPr>
          <w:vertAlign w:val="superscript"/>
          <w:lang w:eastAsia="en-AU"/>
        </w:rPr>
        <w:t>12</w:t>
      </w:r>
      <w:r w:rsidR="0012755E" w:rsidRPr="0012755E">
        <w:rPr>
          <w:vertAlign w:val="superscript"/>
          <w:lang w:eastAsia="en-AU"/>
        </w:rPr>
        <w:fldChar w:fldCharType="end"/>
      </w:r>
      <w:r>
        <w:rPr>
          <w:lang w:eastAsia="en-AU"/>
        </w:rPr>
        <w:t xml:space="preserve"> states that the </w:t>
      </w:r>
      <w:proofErr w:type="spellStart"/>
      <w:r>
        <w:rPr>
          <w:lang w:eastAsia="en-AU"/>
        </w:rPr>
        <w:t>euglycaemic</w:t>
      </w:r>
      <w:proofErr w:type="spellEnd"/>
      <w:r>
        <w:rPr>
          <w:lang w:eastAsia="en-AU"/>
        </w:rPr>
        <w:t xml:space="preserve"> clamp technique is the best available method for measurement of insulin action. In these clamp studies, the plasma insulin concentration is raised (by subcutaneous injection of insulin) and the blood-glucose level maintained (</w:t>
      </w:r>
      <w:r w:rsidR="00722754">
        <w:rPr>
          <w:lang w:eastAsia="en-AU"/>
        </w:rPr>
        <w:t>‘</w:t>
      </w:r>
      <w:r>
        <w:rPr>
          <w:lang w:eastAsia="en-AU"/>
        </w:rPr>
        <w:t>clamped</w:t>
      </w:r>
      <w:r w:rsidR="00722754">
        <w:rPr>
          <w:lang w:eastAsia="en-AU"/>
        </w:rPr>
        <w:t>’</w:t>
      </w:r>
      <w:r>
        <w:rPr>
          <w:lang w:eastAsia="en-AU"/>
        </w:rPr>
        <w:t xml:space="preserve">) at a pre-defined level by means of variable infusion of glucose. The main variable of interest is the time profile for the glucose infusion rate: AUC and </w:t>
      </w:r>
      <w:proofErr w:type="spellStart"/>
      <w:r>
        <w:rPr>
          <w:lang w:eastAsia="en-AU"/>
        </w:rPr>
        <w:t>C</w:t>
      </w:r>
      <w:r w:rsidRPr="009361F5">
        <w:rPr>
          <w:vertAlign w:val="subscript"/>
          <w:lang w:eastAsia="en-AU"/>
        </w:rPr>
        <w:t>max</w:t>
      </w:r>
      <w:proofErr w:type="spellEnd"/>
      <w:r>
        <w:rPr>
          <w:lang w:eastAsia="en-AU"/>
        </w:rPr>
        <w:t xml:space="preserve">; denoted </w:t>
      </w:r>
      <w:proofErr w:type="spellStart"/>
      <w:r>
        <w:rPr>
          <w:lang w:eastAsia="en-AU"/>
        </w:rPr>
        <w:t>G</w:t>
      </w:r>
      <w:r>
        <w:rPr>
          <w:vertAlign w:val="subscript"/>
          <w:lang w:eastAsia="en-AU"/>
        </w:rPr>
        <w:t>tot</w:t>
      </w:r>
      <w:proofErr w:type="spellEnd"/>
      <w:r>
        <w:rPr>
          <w:lang w:eastAsia="en-AU"/>
        </w:rPr>
        <w:t xml:space="preserve"> and </w:t>
      </w:r>
      <w:proofErr w:type="spellStart"/>
      <w:r>
        <w:rPr>
          <w:lang w:eastAsia="en-AU"/>
        </w:rPr>
        <w:t>R</w:t>
      </w:r>
      <w:r>
        <w:rPr>
          <w:vertAlign w:val="subscript"/>
          <w:lang w:eastAsia="en-AU"/>
        </w:rPr>
        <w:t>max</w:t>
      </w:r>
      <w:proofErr w:type="spellEnd"/>
      <w:r>
        <w:rPr>
          <w:lang w:eastAsia="en-AU"/>
        </w:rPr>
        <w:t>, below.</w:t>
      </w:r>
    </w:p>
    <w:p w:rsidR="00E8388F" w:rsidRPr="009B475F" w:rsidRDefault="0012755E" w:rsidP="0012755E">
      <w:pPr>
        <w:pStyle w:val="TableTitle"/>
      </w:pPr>
      <w:r>
        <w:lastRenderedPageBreak/>
        <w:t xml:space="preserve">Table 12: </w:t>
      </w:r>
      <w:r w:rsidR="002B1767">
        <w:t>PK/PD studies</w:t>
      </w:r>
    </w:p>
    <w:tbl>
      <w:tblPr>
        <w:tblStyle w:val="TableTGAblue"/>
        <w:tblW w:w="0" w:type="auto"/>
        <w:tblInd w:w="108" w:type="dxa"/>
        <w:tblLook w:val="04A0" w:firstRow="1" w:lastRow="0" w:firstColumn="1" w:lastColumn="0" w:noHBand="0" w:noVBand="1"/>
      </w:tblPr>
      <w:tblGrid>
        <w:gridCol w:w="973"/>
        <w:gridCol w:w="5736"/>
        <w:gridCol w:w="1475"/>
      </w:tblGrid>
      <w:tr w:rsidR="00E8388F" w:rsidTr="0046589D">
        <w:trPr>
          <w:cnfStyle w:val="100000000000" w:firstRow="1" w:lastRow="0" w:firstColumn="0" w:lastColumn="0" w:oddVBand="0" w:evenVBand="0" w:oddHBand="0" w:evenHBand="0" w:firstRowFirstColumn="0" w:firstRowLastColumn="0" w:lastRowFirstColumn="0" w:lastRowLastColumn="0"/>
        </w:trPr>
        <w:tc>
          <w:tcPr>
            <w:tcW w:w="973"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Study</w:t>
            </w:r>
          </w:p>
        </w:tc>
        <w:tc>
          <w:tcPr>
            <w:tcW w:w="5736"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Comparison</w:t>
            </w:r>
          </w:p>
        </w:tc>
        <w:tc>
          <w:tcPr>
            <w:tcW w:w="1475" w:type="dxa"/>
          </w:tcPr>
          <w:p w:rsidR="00E8388F" w:rsidRPr="00E00C40" w:rsidRDefault="00E8388F" w:rsidP="004858F5">
            <w:pPr>
              <w:pStyle w:val="table"/>
              <w:spacing w:line="360" w:lineRule="auto"/>
              <w:ind w:left="57" w:right="57"/>
              <w:jc w:val="center"/>
              <w:rPr>
                <w:rFonts w:asciiTheme="minorHAnsi" w:hAnsiTheme="minorHAnsi"/>
                <w:sz w:val="20"/>
                <w:lang w:eastAsia="en-AU"/>
              </w:rPr>
            </w:pPr>
            <w:r w:rsidRPr="00E00C40">
              <w:rPr>
                <w:rFonts w:asciiTheme="minorHAnsi" w:hAnsiTheme="minorHAnsi"/>
                <w:sz w:val="20"/>
                <w:lang w:eastAsia="en-AU"/>
              </w:rPr>
              <w:t>n (planned)</w:t>
            </w:r>
          </w:p>
        </w:tc>
      </w:tr>
      <w:tr w:rsidR="00E8388F" w:rsidTr="0046589D">
        <w:tc>
          <w:tcPr>
            <w:tcW w:w="973"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ABEA</w:t>
            </w:r>
          </w:p>
        </w:tc>
        <w:tc>
          <w:tcPr>
            <w:tcW w:w="5736" w:type="dxa"/>
          </w:tcPr>
          <w:p w:rsidR="00E8388F" w:rsidRPr="00E00C40" w:rsidRDefault="00EC7E12" w:rsidP="004858F5">
            <w:pPr>
              <w:pStyle w:val="table"/>
              <w:spacing w:line="360" w:lineRule="auto"/>
              <w:ind w:left="57" w:right="57"/>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versus EU-approved </w:t>
            </w:r>
            <w:r w:rsidR="00D54BAC" w:rsidRPr="00E00C40">
              <w:rPr>
                <w:rFonts w:asciiTheme="minorHAnsi" w:hAnsiTheme="minorHAnsi"/>
                <w:sz w:val="20"/>
                <w:lang w:eastAsia="en-AU"/>
              </w:rPr>
              <w:t>Lantus</w:t>
            </w:r>
            <w:r w:rsidR="00E8388F" w:rsidRPr="00E00C40">
              <w:rPr>
                <w:rFonts w:asciiTheme="minorHAnsi" w:hAnsiTheme="minorHAnsi"/>
                <w:sz w:val="20"/>
                <w:lang w:eastAsia="en-AU"/>
              </w:rPr>
              <w:t xml:space="preserve"> (pivotal)</w:t>
            </w:r>
          </w:p>
        </w:tc>
        <w:tc>
          <w:tcPr>
            <w:tcW w:w="1475" w:type="dxa"/>
          </w:tcPr>
          <w:p w:rsidR="00E8388F" w:rsidRPr="00E00C40" w:rsidRDefault="00E8388F" w:rsidP="004858F5">
            <w:pPr>
              <w:pStyle w:val="table"/>
              <w:spacing w:line="360" w:lineRule="auto"/>
              <w:ind w:left="57" w:right="57"/>
              <w:jc w:val="center"/>
              <w:rPr>
                <w:rFonts w:asciiTheme="minorHAnsi" w:hAnsiTheme="minorHAnsi"/>
                <w:sz w:val="20"/>
                <w:lang w:eastAsia="en-AU"/>
              </w:rPr>
            </w:pPr>
            <w:r w:rsidRPr="00E00C40">
              <w:rPr>
                <w:rFonts w:asciiTheme="minorHAnsi" w:hAnsiTheme="minorHAnsi"/>
                <w:sz w:val="20"/>
                <w:lang w:eastAsia="en-AU"/>
              </w:rPr>
              <w:t>80</w:t>
            </w:r>
          </w:p>
        </w:tc>
      </w:tr>
      <w:tr w:rsidR="00E8388F" w:rsidTr="0046589D">
        <w:tc>
          <w:tcPr>
            <w:tcW w:w="973"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ABEI</w:t>
            </w:r>
          </w:p>
        </w:tc>
        <w:tc>
          <w:tcPr>
            <w:tcW w:w="5736" w:type="dxa"/>
          </w:tcPr>
          <w:p w:rsidR="00E8388F" w:rsidRPr="00E00C40" w:rsidRDefault="00EC7E12" w:rsidP="004858F5">
            <w:pPr>
              <w:pStyle w:val="table"/>
              <w:spacing w:line="360" w:lineRule="auto"/>
              <w:ind w:left="57" w:right="57"/>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versus EU-approved </w:t>
            </w:r>
            <w:r w:rsidR="00D54BAC" w:rsidRPr="00E00C40">
              <w:rPr>
                <w:rFonts w:asciiTheme="minorHAnsi" w:hAnsiTheme="minorHAnsi"/>
                <w:sz w:val="20"/>
                <w:lang w:eastAsia="en-AU"/>
              </w:rPr>
              <w:t>Lantus</w:t>
            </w:r>
            <w:r w:rsidR="00E8388F" w:rsidRPr="00E00C40">
              <w:rPr>
                <w:rFonts w:asciiTheme="minorHAnsi" w:hAnsiTheme="minorHAnsi"/>
                <w:sz w:val="20"/>
                <w:lang w:eastAsia="en-AU"/>
              </w:rPr>
              <w:t xml:space="preserve"> (pilot)</w:t>
            </w:r>
          </w:p>
        </w:tc>
        <w:tc>
          <w:tcPr>
            <w:tcW w:w="1475" w:type="dxa"/>
          </w:tcPr>
          <w:p w:rsidR="00E8388F" w:rsidRPr="00E00C40" w:rsidRDefault="00E8388F" w:rsidP="004858F5">
            <w:pPr>
              <w:pStyle w:val="table"/>
              <w:spacing w:line="360" w:lineRule="auto"/>
              <w:ind w:left="57" w:right="57"/>
              <w:jc w:val="center"/>
              <w:rPr>
                <w:rFonts w:asciiTheme="minorHAnsi" w:hAnsiTheme="minorHAnsi"/>
                <w:sz w:val="20"/>
                <w:lang w:eastAsia="en-AU"/>
              </w:rPr>
            </w:pPr>
            <w:r w:rsidRPr="00E00C40">
              <w:rPr>
                <w:rFonts w:asciiTheme="minorHAnsi" w:hAnsiTheme="minorHAnsi"/>
                <w:sz w:val="20"/>
                <w:lang w:eastAsia="en-AU"/>
              </w:rPr>
              <w:t>16</w:t>
            </w:r>
          </w:p>
        </w:tc>
      </w:tr>
      <w:tr w:rsidR="00E8388F" w:rsidTr="0046589D">
        <w:tc>
          <w:tcPr>
            <w:tcW w:w="973"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ABEM</w:t>
            </w:r>
          </w:p>
        </w:tc>
        <w:tc>
          <w:tcPr>
            <w:tcW w:w="5736" w:type="dxa"/>
          </w:tcPr>
          <w:p w:rsidR="00E8388F" w:rsidRPr="00E00C40" w:rsidRDefault="00EC7E12" w:rsidP="004858F5">
            <w:pPr>
              <w:pStyle w:val="table"/>
              <w:spacing w:line="360" w:lineRule="auto"/>
              <w:ind w:left="57" w:right="57"/>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versus EU-approved </w:t>
            </w:r>
            <w:r w:rsidR="00D54BAC" w:rsidRPr="00E00C40">
              <w:rPr>
                <w:rFonts w:asciiTheme="minorHAnsi" w:hAnsiTheme="minorHAnsi"/>
                <w:sz w:val="20"/>
                <w:lang w:eastAsia="en-AU"/>
              </w:rPr>
              <w:t>Lantus</w:t>
            </w:r>
            <w:r w:rsidR="00E8388F" w:rsidRPr="00E00C40">
              <w:rPr>
                <w:rFonts w:asciiTheme="minorHAnsi" w:hAnsiTheme="minorHAnsi"/>
                <w:sz w:val="20"/>
                <w:lang w:eastAsia="en-AU"/>
              </w:rPr>
              <w:t xml:space="preserve"> (2 doses)</w:t>
            </w:r>
          </w:p>
        </w:tc>
        <w:tc>
          <w:tcPr>
            <w:tcW w:w="1475" w:type="dxa"/>
          </w:tcPr>
          <w:p w:rsidR="00E8388F" w:rsidRPr="00E00C40" w:rsidRDefault="00E8388F" w:rsidP="004858F5">
            <w:pPr>
              <w:pStyle w:val="table"/>
              <w:spacing w:line="360" w:lineRule="auto"/>
              <w:ind w:left="57" w:right="57"/>
              <w:jc w:val="center"/>
              <w:rPr>
                <w:rFonts w:asciiTheme="minorHAnsi" w:hAnsiTheme="minorHAnsi"/>
                <w:sz w:val="20"/>
                <w:lang w:eastAsia="en-AU"/>
              </w:rPr>
            </w:pPr>
            <w:r w:rsidRPr="00E00C40">
              <w:rPr>
                <w:rFonts w:asciiTheme="minorHAnsi" w:hAnsiTheme="minorHAnsi"/>
                <w:sz w:val="20"/>
                <w:lang w:eastAsia="en-AU"/>
              </w:rPr>
              <w:t>24</w:t>
            </w:r>
          </w:p>
        </w:tc>
      </w:tr>
      <w:tr w:rsidR="00E8388F" w:rsidTr="0046589D">
        <w:tc>
          <w:tcPr>
            <w:tcW w:w="973"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ABEE</w:t>
            </w:r>
          </w:p>
        </w:tc>
        <w:tc>
          <w:tcPr>
            <w:tcW w:w="5736" w:type="dxa"/>
          </w:tcPr>
          <w:p w:rsidR="00E8388F" w:rsidRPr="00E00C40" w:rsidRDefault="00EC7E12" w:rsidP="004858F5">
            <w:pPr>
              <w:pStyle w:val="table"/>
              <w:spacing w:line="360" w:lineRule="auto"/>
              <w:ind w:left="57" w:right="57"/>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versus EU-approved </w:t>
            </w:r>
            <w:r w:rsidR="00D54BAC" w:rsidRPr="00E00C40">
              <w:rPr>
                <w:rFonts w:asciiTheme="minorHAnsi" w:hAnsiTheme="minorHAnsi"/>
                <w:sz w:val="20"/>
                <w:lang w:eastAsia="en-AU"/>
              </w:rPr>
              <w:t>Lantus</w:t>
            </w:r>
            <w:r w:rsidR="00E8388F" w:rsidRPr="00E00C40">
              <w:rPr>
                <w:rFonts w:asciiTheme="minorHAnsi" w:hAnsiTheme="minorHAnsi"/>
                <w:sz w:val="20"/>
                <w:lang w:eastAsia="en-AU"/>
              </w:rPr>
              <w:t xml:space="preserve"> (T1D)</w:t>
            </w:r>
          </w:p>
        </w:tc>
        <w:tc>
          <w:tcPr>
            <w:tcW w:w="1475" w:type="dxa"/>
          </w:tcPr>
          <w:p w:rsidR="00E8388F" w:rsidRPr="00E00C40" w:rsidRDefault="00E8388F" w:rsidP="004858F5">
            <w:pPr>
              <w:pStyle w:val="table"/>
              <w:spacing w:line="360" w:lineRule="auto"/>
              <w:ind w:left="57" w:right="57"/>
              <w:jc w:val="center"/>
              <w:rPr>
                <w:rFonts w:asciiTheme="minorHAnsi" w:hAnsiTheme="minorHAnsi"/>
                <w:sz w:val="20"/>
                <w:lang w:eastAsia="en-AU"/>
              </w:rPr>
            </w:pPr>
            <w:r w:rsidRPr="00E00C40">
              <w:rPr>
                <w:rFonts w:asciiTheme="minorHAnsi" w:hAnsiTheme="minorHAnsi"/>
                <w:sz w:val="20"/>
                <w:lang w:eastAsia="en-AU"/>
              </w:rPr>
              <w:t>20</w:t>
            </w:r>
          </w:p>
        </w:tc>
      </w:tr>
      <w:tr w:rsidR="00E8388F" w:rsidTr="0046589D">
        <w:tc>
          <w:tcPr>
            <w:tcW w:w="973"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ABEN</w:t>
            </w:r>
          </w:p>
        </w:tc>
        <w:tc>
          <w:tcPr>
            <w:tcW w:w="5736"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 xml:space="preserve">EU-approved </w:t>
            </w:r>
            <w:r w:rsidR="00D54BAC" w:rsidRPr="00E00C40">
              <w:rPr>
                <w:rFonts w:asciiTheme="minorHAnsi" w:hAnsiTheme="minorHAnsi"/>
                <w:sz w:val="20"/>
                <w:lang w:eastAsia="en-AU"/>
              </w:rPr>
              <w:t>Lantus</w:t>
            </w:r>
            <w:r w:rsidRPr="00E00C40">
              <w:rPr>
                <w:rFonts w:asciiTheme="minorHAnsi" w:hAnsiTheme="minorHAnsi"/>
                <w:sz w:val="20"/>
                <w:lang w:eastAsia="en-AU"/>
              </w:rPr>
              <w:t xml:space="preserve"> versus US-approved </w:t>
            </w:r>
            <w:r w:rsidR="00D54BAC" w:rsidRPr="00E00C40">
              <w:rPr>
                <w:rFonts w:asciiTheme="minorHAnsi" w:hAnsiTheme="minorHAnsi"/>
                <w:sz w:val="20"/>
                <w:lang w:eastAsia="en-AU"/>
              </w:rPr>
              <w:t>Lantus</w:t>
            </w:r>
            <w:r w:rsidRPr="00E00C40">
              <w:rPr>
                <w:rFonts w:asciiTheme="minorHAnsi" w:hAnsiTheme="minorHAnsi"/>
                <w:sz w:val="20"/>
                <w:lang w:eastAsia="en-AU"/>
              </w:rPr>
              <w:t xml:space="preserve"> (</w:t>
            </w:r>
            <w:proofErr w:type="spellStart"/>
            <w:r w:rsidR="00EC7E12" w:rsidRPr="00E00C40">
              <w:rPr>
                <w:rFonts w:asciiTheme="minorHAnsi" w:hAnsiTheme="minorHAnsi"/>
                <w:sz w:val="20"/>
                <w:lang w:eastAsia="en-AU"/>
              </w:rPr>
              <w:t>Abasria</w:t>
            </w:r>
            <w:proofErr w:type="spellEnd"/>
            <w:r w:rsidRPr="00E00C40">
              <w:rPr>
                <w:rFonts w:asciiTheme="minorHAnsi" w:hAnsiTheme="minorHAnsi"/>
                <w:sz w:val="20"/>
                <w:lang w:eastAsia="en-AU"/>
              </w:rPr>
              <w:t xml:space="preserve"> not studied)</w:t>
            </w:r>
          </w:p>
        </w:tc>
        <w:tc>
          <w:tcPr>
            <w:tcW w:w="1475" w:type="dxa"/>
          </w:tcPr>
          <w:p w:rsidR="00E8388F" w:rsidRPr="00E00C40" w:rsidRDefault="00E8388F" w:rsidP="004858F5">
            <w:pPr>
              <w:pStyle w:val="table"/>
              <w:spacing w:line="360" w:lineRule="auto"/>
              <w:ind w:left="57" w:right="57"/>
              <w:jc w:val="center"/>
              <w:rPr>
                <w:rFonts w:asciiTheme="minorHAnsi" w:hAnsiTheme="minorHAnsi"/>
                <w:sz w:val="20"/>
                <w:lang w:eastAsia="en-AU"/>
              </w:rPr>
            </w:pPr>
            <w:r w:rsidRPr="00E00C40">
              <w:rPr>
                <w:rFonts w:asciiTheme="minorHAnsi" w:hAnsiTheme="minorHAnsi"/>
                <w:sz w:val="20"/>
                <w:lang w:eastAsia="en-AU"/>
              </w:rPr>
              <w:t>40</w:t>
            </w:r>
          </w:p>
        </w:tc>
      </w:tr>
      <w:tr w:rsidR="00E8388F" w:rsidTr="0046589D">
        <w:tc>
          <w:tcPr>
            <w:tcW w:w="973"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ABEO</w:t>
            </w:r>
          </w:p>
        </w:tc>
        <w:tc>
          <w:tcPr>
            <w:tcW w:w="5736" w:type="dxa"/>
          </w:tcPr>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 xml:space="preserve">PK/PD similarity of </w:t>
            </w:r>
            <w:proofErr w:type="spellStart"/>
            <w:r w:rsidR="00EC7E12" w:rsidRPr="00E00C40">
              <w:rPr>
                <w:rFonts w:asciiTheme="minorHAnsi" w:hAnsiTheme="minorHAnsi"/>
                <w:sz w:val="20"/>
                <w:lang w:eastAsia="en-AU"/>
              </w:rPr>
              <w:t>Abasria</w:t>
            </w:r>
            <w:proofErr w:type="spellEnd"/>
            <w:r w:rsidRPr="00E00C40">
              <w:rPr>
                <w:rFonts w:asciiTheme="minorHAnsi" w:hAnsiTheme="minorHAnsi"/>
                <w:sz w:val="20"/>
                <w:lang w:eastAsia="en-AU"/>
              </w:rPr>
              <w:t xml:space="preserve"> and EU-approved </w:t>
            </w:r>
            <w:r w:rsidR="00D54BAC" w:rsidRPr="00E00C40">
              <w:rPr>
                <w:rFonts w:asciiTheme="minorHAnsi" w:hAnsiTheme="minorHAnsi"/>
                <w:sz w:val="20"/>
                <w:lang w:eastAsia="en-AU"/>
              </w:rPr>
              <w:t>Lantus</w:t>
            </w:r>
          </w:p>
          <w:p w:rsidR="00E8388F" w:rsidRPr="00E00C40" w:rsidRDefault="00E8388F" w:rsidP="004858F5">
            <w:pPr>
              <w:pStyle w:val="table"/>
              <w:spacing w:line="360" w:lineRule="auto"/>
              <w:ind w:left="57" w:right="57"/>
              <w:rPr>
                <w:rFonts w:asciiTheme="minorHAnsi" w:hAnsiTheme="minorHAnsi"/>
                <w:sz w:val="20"/>
                <w:lang w:eastAsia="en-AU"/>
              </w:rPr>
            </w:pPr>
            <w:r w:rsidRPr="00E00C40">
              <w:rPr>
                <w:rFonts w:asciiTheme="minorHAnsi" w:hAnsiTheme="minorHAnsi"/>
                <w:sz w:val="20"/>
                <w:lang w:eastAsia="en-AU"/>
              </w:rPr>
              <w:t>[no completed at time of submission; to support the application to the FDA]</w:t>
            </w:r>
          </w:p>
        </w:tc>
        <w:tc>
          <w:tcPr>
            <w:tcW w:w="1475" w:type="dxa"/>
          </w:tcPr>
          <w:p w:rsidR="00E8388F" w:rsidRPr="00E00C40" w:rsidRDefault="00E8388F" w:rsidP="004858F5">
            <w:pPr>
              <w:pStyle w:val="table"/>
              <w:spacing w:line="360" w:lineRule="auto"/>
              <w:ind w:left="57" w:right="57"/>
              <w:jc w:val="center"/>
              <w:rPr>
                <w:rFonts w:asciiTheme="minorHAnsi" w:hAnsiTheme="minorHAnsi"/>
                <w:sz w:val="20"/>
                <w:lang w:eastAsia="en-AU"/>
              </w:rPr>
            </w:pPr>
            <w:r w:rsidRPr="00E00C40">
              <w:rPr>
                <w:rFonts w:asciiTheme="minorHAnsi" w:hAnsiTheme="minorHAnsi"/>
                <w:sz w:val="20"/>
                <w:lang w:eastAsia="en-AU"/>
              </w:rPr>
              <w:t>91</w:t>
            </w:r>
          </w:p>
        </w:tc>
      </w:tr>
    </w:tbl>
    <w:p w:rsidR="00E8388F" w:rsidRPr="009B475F" w:rsidRDefault="0012755E" w:rsidP="0012755E">
      <w:pPr>
        <w:pStyle w:val="TableTitle"/>
      </w:pPr>
      <w:r>
        <w:t xml:space="preserve">Table 13: </w:t>
      </w:r>
      <w:r w:rsidR="00E8388F" w:rsidRPr="009B475F">
        <w:t>Results for pivotal ABEA study, healthy volunteers, ratio of least squares geometric means, dose=0.5 U/kg, completers</w:t>
      </w:r>
    </w:p>
    <w:tbl>
      <w:tblPr>
        <w:tblStyle w:val="TableTGAblue"/>
        <w:tblW w:w="0" w:type="auto"/>
        <w:tblInd w:w="108" w:type="dxa"/>
        <w:tblLook w:val="04A0" w:firstRow="1" w:lastRow="0" w:firstColumn="1" w:lastColumn="0" w:noHBand="0" w:noVBand="1"/>
      </w:tblPr>
      <w:tblGrid>
        <w:gridCol w:w="1434"/>
        <w:gridCol w:w="1293"/>
        <w:gridCol w:w="1293"/>
        <w:gridCol w:w="1293"/>
      </w:tblGrid>
      <w:tr w:rsidR="00E8388F" w:rsidTr="0046589D">
        <w:trPr>
          <w:cnfStyle w:val="100000000000" w:firstRow="1" w:lastRow="0" w:firstColumn="0" w:lastColumn="0" w:oddVBand="0" w:evenVBand="0" w:oddHBand="0" w:evenHBand="0" w:firstRowFirstColumn="0" w:firstRowLastColumn="0" w:lastRowFirstColumn="0" w:lastRowLastColumn="0"/>
        </w:trPr>
        <w:tc>
          <w:tcPr>
            <w:tcW w:w="2619" w:type="dxa"/>
            <w:gridSpan w:val="2"/>
          </w:tcPr>
          <w:p w:rsidR="00E8388F" w:rsidRPr="00E00C40" w:rsidRDefault="00E8388F" w:rsidP="00E00C40">
            <w:pPr>
              <w:pStyle w:val="table"/>
              <w:jc w:val="center"/>
              <w:rPr>
                <w:rFonts w:ascii="Cambria" w:hAnsi="Cambria"/>
                <w:sz w:val="20"/>
                <w:lang w:eastAsia="en-AU"/>
              </w:rPr>
            </w:pPr>
            <w:r w:rsidRPr="00E00C40">
              <w:rPr>
                <w:rFonts w:ascii="Cambria" w:hAnsi="Cambria"/>
                <w:sz w:val="20"/>
                <w:lang w:eastAsia="en-AU"/>
              </w:rPr>
              <w:t>PK parameters</w:t>
            </w:r>
          </w:p>
        </w:tc>
        <w:tc>
          <w:tcPr>
            <w:tcW w:w="2586" w:type="dxa"/>
            <w:gridSpan w:val="2"/>
          </w:tcPr>
          <w:p w:rsidR="00E8388F" w:rsidRPr="00E00C40" w:rsidRDefault="00E8388F" w:rsidP="00E00C40">
            <w:pPr>
              <w:pStyle w:val="table"/>
              <w:jc w:val="center"/>
              <w:rPr>
                <w:rFonts w:ascii="Cambria" w:hAnsi="Cambria"/>
                <w:sz w:val="20"/>
                <w:lang w:eastAsia="en-AU"/>
              </w:rPr>
            </w:pPr>
            <w:r w:rsidRPr="00E00C40">
              <w:rPr>
                <w:rFonts w:ascii="Cambria" w:hAnsi="Cambria"/>
                <w:sz w:val="20"/>
                <w:lang w:eastAsia="en-AU"/>
              </w:rPr>
              <w:t>PD parameters</w:t>
            </w:r>
          </w:p>
        </w:tc>
      </w:tr>
      <w:tr w:rsidR="00E8388F" w:rsidTr="0046589D">
        <w:tc>
          <w:tcPr>
            <w:tcW w:w="1326" w:type="dxa"/>
          </w:tcPr>
          <w:p w:rsidR="00E8388F" w:rsidRPr="00E00C40" w:rsidRDefault="00E8388F" w:rsidP="00E00C40">
            <w:pPr>
              <w:pStyle w:val="table"/>
              <w:keepNext/>
              <w:jc w:val="center"/>
              <w:rPr>
                <w:rFonts w:ascii="Cambria" w:hAnsi="Cambria"/>
                <w:sz w:val="20"/>
                <w:vertAlign w:val="subscript"/>
                <w:lang w:eastAsia="en-AU"/>
              </w:rPr>
            </w:pPr>
            <w:r w:rsidRPr="00E00C40">
              <w:rPr>
                <w:rFonts w:ascii="Cambria" w:hAnsi="Cambria"/>
                <w:sz w:val="20"/>
                <w:lang w:eastAsia="en-AU"/>
              </w:rPr>
              <w:t>AUC</w:t>
            </w:r>
            <w:r w:rsidRPr="00E00C40">
              <w:rPr>
                <w:rFonts w:ascii="Cambria" w:hAnsi="Cambria"/>
                <w:sz w:val="20"/>
                <w:vertAlign w:val="subscript"/>
                <w:lang w:eastAsia="en-AU"/>
              </w:rPr>
              <w:t>[0-24]</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pmol.hr/L</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Point estimate</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(90% CI)</w:t>
            </w:r>
          </w:p>
        </w:tc>
        <w:tc>
          <w:tcPr>
            <w:tcW w:w="1293" w:type="dxa"/>
          </w:tcPr>
          <w:p w:rsidR="00E8388F" w:rsidRPr="00E00C40" w:rsidRDefault="00E8388F" w:rsidP="00E00C40">
            <w:pPr>
              <w:pStyle w:val="table"/>
              <w:keepNext/>
              <w:jc w:val="center"/>
              <w:rPr>
                <w:rFonts w:ascii="Cambria" w:hAnsi="Cambria"/>
                <w:sz w:val="20"/>
                <w:vertAlign w:val="subscript"/>
                <w:lang w:eastAsia="en-AU"/>
              </w:rPr>
            </w:pPr>
            <w:proofErr w:type="spellStart"/>
            <w:r w:rsidRPr="00E00C40">
              <w:rPr>
                <w:rFonts w:ascii="Cambria" w:hAnsi="Cambria"/>
                <w:sz w:val="20"/>
                <w:lang w:eastAsia="en-AU"/>
              </w:rPr>
              <w:t>C</w:t>
            </w:r>
            <w:r w:rsidRPr="00E00C40">
              <w:rPr>
                <w:rFonts w:ascii="Cambria" w:hAnsi="Cambria"/>
                <w:sz w:val="20"/>
                <w:vertAlign w:val="subscript"/>
                <w:lang w:eastAsia="en-AU"/>
              </w:rPr>
              <w:t>max</w:t>
            </w:r>
            <w:proofErr w:type="spellEnd"/>
          </w:p>
          <w:p w:rsidR="00E8388F" w:rsidRPr="00E00C40" w:rsidRDefault="00E8388F" w:rsidP="00E00C40">
            <w:pPr>
              <w:pStyle w:val="table"/>
              <w:keepNext/>
              <w:jc w:val="center"/>
              <w:rPr>
                <w:rFonts w:ascii="Cambria" w:hAnsi="Cambria"/>
                <w:sz w:val="20"/>
                <w:lang w:eastAsia="en-AU"/>
              </w:rPr>
            </w:pPr>
            <w:proofErr w:type="spellStart"/>
            <w:r w:rsidRPr="00E00C40">
              <w:rPr>
                <w:rFonts w:ascii="Cambria" w:hAnsi="Cambria"/>
                <w:sz w:val="20"/>
                <w:lang w:eastAsia="en-AU"/>
              </w:rPr>
              <w:t>pmol</w:t>
            </w:r>
            <w:proofErr w:type="spellEnd"/>
            <w:r w:rsidRPr="00E00C40">
              <w:rPr>
                <w:rFonts w:ascii="Cambria" w:hAnsi="Cambria"/>
                <w:sz w:val="20"/>
                <w:lang w:eastAsia="en-AU"/>
              </w:rPr>
              <w:t>/L</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Point estimate</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(90% CI)</w:t>
            </w:r>
          </w:p>
        </w:tc>
        <w:tc>
          <w:tcPr>
            <w:tcW w:w="1293" w:type="dxa"/>
          </w:tcPr>
          <w:p w:rsidR="00E8388F" w:rsidRPr="00E00C40" w:rsidRDefault="00E8388F" w:rsidP="00E00C40">
            <w:pPr>
              <w:pStyle w:val="table"/>
              <w:keepNext/>
              <w:jc w:val="center"/>
              <w:rPr>
                <w:rFonts w:ascii="Cambria" w:hAnsi="Cambria"/>
                <w:sz w:val="20"/>
                <w:vertAlign w:val="subscript"/>
                <w:lang w:eastAsia="en-AU"/>
              </w:rPr>
            </w:pPr>
            <w:proofErr w:type="spellStart"/>
            <w:r w:rsidRPr="00E00C40">
              <w:rPr>
                <w:rFonts w:ascii="Cambria" w:hAnsi="Cambria"/>
                <w:sz w:val="20"/>
                <w:lang w:eastAsia="en-AU"/>
              </w:rPr>
              <w:t>G</w:t>
            </w:r>
            <w:r w:rsidRPr="00E00C40">
              <w:rPr>
                <w:rFonts w:ascii="Cambria" w:hAnsi="Cambria"/>
                <w:sz w:val="20"/>
                <w:vertAlign w:val="subscript"/>
                <w:lang w:eastAsia="en-AU"/>
              </w:rPr>
              <w:t>tot</w:t>
            </w:r>
            <w:proofErr w:type="spellEnd"/>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mg/Kg</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Point estimate</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[95% CI]</w:t>
            </w:r>
          </w:p>
        </w:tc>
        <w:tc>
          <w:tcPr>
            <w:tcW w:w="1293" w:type="dxa"/>
          </w:tcPr>
          <w:p w:rsidR="00E8388F" w:rsidRPr="00E00C40" w:rsidRDefault="00E8388F" w:rsidP="00E00C40">
            <w:pPr>
              <w:pStyle w:val="table"/>
              <w:keepNext/>
              <w:jc w:val="center"/>
              <w:rPr>
                <w:rFonts w:ascii="Cambria" w:hAnsi="Cambria"/>
                <w:sz w:val="20"/>
                <w:vertAlign w:val="subscript"/>
                <w:lang w:eastAsia="en-AU"/>
              </w:rPr>
            </w:pPr>
            <w:proofErr w:type="spellStart"/>
            <w:r w:rsidRPr="00E00C40">
              <w:rPr>
                <w:rFonts w:ascii="Cambria" w:hAnsi="Cambria"/>
                <w:sz w:val="20"/>
                <w:lang w:eastAsia="en-AU"/>
              </w:rPr>
              <w:t>R</w:t>
            </w:r>
            <w:r w:rsidRPr="00E00C40">
              <w:rPr>
                <w:rFonts w:ascii="Cambria" w:hAnsi="Cambria"/>
                <w:sz w:val="20"/>
                <w:vertAlign w:val="subscript"/>
                <w:lang w:eastAsia="en-AU"/>
              </w:rPr>
              <w:t>max</w:t>
            </w:r>
            <w:proofErr w:type="spellEnd"/>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mg/Kg</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Point estimate</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[95% CI]</w:t>
            </w:r>
          </w:p>
        </w:tc>
      </w:tr>
      <w:tr w:rsidR="00E8388F" w:rsidTr="0046589D">
        <w:tc>
          <w:tcPr>
            <w:tcW w:w="1326" w:type="dxa"/>
          </w:tcPr>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n=76</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0.91</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(0.87, 0.96)</w:t>
            </w:r>
          </w:p>
        </w:tc>
        <w:tc>
          <w:tcPr>
            <w:tcW w:w="1293" w:type="dxa"/>
          </w:tcPr>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n=78</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0.95</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(0.91, 1.00)</w:t>
            </w:r>
          </w:p>
        </w:tc>
        <w:tc>
          <w:tcPr>
            <w:tcW w:w="1293" w:type="dxa"/>
          </w:tcPr>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n=78</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0.95</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[0.90, 1.01]</w:t>
            </w:r>
          </w:p>
        </w:tc>
        <w:tc>
          <w:tcPr>
            <w:tcW w:w="1293" w:type="dxa"/>
          </w:tcPr>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n=78</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0.99</w:t>
            </w:r>
          </w:p>
          <w:p w:rsidR="00E8388F" w:rsidRPr="00E00C40" w:rsidRDefault="00E8388F" w:rsidP="00E00C40">
            <w:pPr>
              <w:pStyle w:val="table"/>
              <w:keepNext/>
              <w:jc w:val="center"/>
              <w:rPr>
                <w:rFonts w:ascii="Cambria" w:hAnsi="Cambria"/>
                <w:sz w:val="20"/>
                <w:lang w:eastAsia="en-AU"/>
              </w:rPr>
            </w:pPr>
            <w:r w:rsidRPr="00E00C40">
              <w:rPr>
                <w:rFonts w:ascii="Cambria" w:hAnsi="Cambria"/>
                <w:sz w:val="20"/>
                <w:lang w:eastAsia="en-AU"/>
              </w:rPr>
              <w:t>[0.93, 1.05]</w:t>
            </w:r>
          </w:p>
        </w:tc>
      </w:tr>
    </w:tbl>
    <w:p w:rsidR="00E8388F" w:rsidRPr="004858F5" w:rsidRDefault="00E8388F" w:rsidP="004858F5">
      <w:pPr>
        <w:pStyle w:val="Tabletext"/>
      </w:pPr>
      <w:proofErr w:type="spellStart"/>
      <w:proofErr w:type="gramStart"/>
      <w:r w:rsidRPr="004858F5">
        <w:t>Gtot</w:t>
      </w:r>
      <w:proofErr w:type="spellEnd"/>
      <w:r w:rsidRPr="004858F5">
        <w:t xml:space="preserve"> (total amount of glucose infused during the </w:t>
      </w:r>
      <w:proofErr w:type="spellStart"/>
      <w:r w:rsidRPr="004858F5">
        <w:t>euglycaemic</w:t>
      </w:r>
      <w:proofErr w:type="spellEnd"/>
      <w:r w:rsidRPr="004858F5">
        <w:t xml:space="preserve"> clamp procedure)</w:t>
      </w:r>
      <w:r w:rsidR="00F51F59" w:rsidRPr="004858F5">
        <w:t>.</w:t>
      </w:r>
      <w:proofErr w:type="gramEnd"/>
      <w:r w:rsidR="00F51F59" w:rsidRPr="004858F5">
        <w:t xml:space="preserve"> </w:t>
      </w:r>
      <w:proofErr w:type="spellStart"/>
      <w:r w:rsidRPr="004858F5">
        <w:t>Rmax</w:t>
      </w:r>
      <w:proofErr w:type="spellEnd"/>
      <w:r w:rsidRPr="004858F5">
        <w:t xml:space="preserve"> (maximum glucose infusion rate)</w:t>
      </w:r>
    </w:p>
    <w:p w:rsidR="00E8388F" w:rsidRDefault="00E8388F" w:rsidP="00B00796">
      <w:r>
        <w:t>Summary of other PK/PD studies</w:t>
      </w:r>
    </w:p>
    <w:p w:rsidR="00E8388F" w:rsidRPr="0012755E" w:rsidRDefault="00E8388F" w:rsidP="0012755E">
      <w:pPr>
        <w:pStyle w:val="ListBullet"/>
      </w:pPr>
      <w:r w:rsidRPr="0012755E">
        <w:t xml:space="preserve">ABEI (n=16); this pilot assessed the relative bioavailability and PD response of </w:t>
      </w:r>
      <w:proofErr w:type="spellStart"/>
      <w:r w:rsidR="00EC7E12" w:rsidRPr="0012755E">
        <w:t>Abasria</w:t>
      </w:r>
      <w:proofErr w:type="spellEnd"/>
      <w:r w:rsidRPr="0012755E">
        <w:t xml:space="preserve"> versus EU</w:t>
      </w:r>
      <w:r w:rsidR="0012755E">
        <w:t xml:space="preserve"> </w:t>
      </w:r>
      <w:r w:rsidRPr="0012755E">
        <w:t xml:space="preserve">approved </w:t>
      </w:r>
      <w:r w:rsidR="00D54BAC" w:rsidRPr="0012755E">
        <w:t>Lantus</w:t>
      </w:r>
      <w:r w:rsidRPr="0012755E">
        <w:t xml:space="preserve">. This was a single-dose (0.5 U/kg), open label study in normal-weight healthy volunteers; insulin levels were corrected for baseline C-peptide level; results were supportive; point estimates for insulin (AUC, </w:t>
      </w:r>
      <w:proofErr w:type="spellStart"/>
      <w:r w:rsidRPr="0012755E">
        <w:t>C</w:t>
      </w:r>
      <w:r w:rsidRPr="0012755E">
        <w:rPr>
          <w:vertAlign w:val="subscript"/>
        </w:rPr>
        <w:t>max</w:t>
      </w:r>
      <w:proofErr w:type="spellEnd"/>
      <w:r w:rsidRPr="0012755E">
        <w:t>) and glucose infusion (</w:t>
      </w:r>
      <w:proofErr w:type="spellStart"/>
      <w:r w:rsidRPr="0012755E">
        <w:t>G</w:t>
      </w:r>
      <w:r w:rsidRPr="0012755E">
        <w:rPr>
          <w:vertAlign w:val="subscript"/>
        </w:rPr>
        <w:t>tot</w:t>
      </w:r>
      <w:proofErr w:type="spellEnd"/>
      <w:r w:rsidRPr="0012755E">
        <w:t xml:space="preserve">, </w:t>
      </w:r>
      <w:proofErr w:type="spellStart"/>
      <w:r w:rsidRPr="0012755E">
        <w:t>R</w:t>
      </w:r>
      <w:r w:rsidRPr="0012755E">
        <w:rPr>
          <w:vertAlign w:val="subscript"/>
        </w:rPr>
        <w:t>max</w:t>
      </w:r>
      <w:proofErr w:type="spellEnd"/>
      <w:r w:rsidRPr="0012755E">
        <w:t xml:space="preserve">) were indicative of </w:t>
      </w:r>
      <w:proofErr w:type="spellStart"/>
      <w:r w:rsidRPr="0012755E">
        <w:t>biosimilarity</w:t>
      </w:r>
      <w:proofErr w:type="spellEnd"/>
      <w:r w:rsidR="0012755E">
        <w:t>. S</w:t>
      </w:r>
      <w:r w:rsidRPr="0012755E">
        <w:t>ome of the 90% confidence limits did not meet the 80%-125% acceptance limits but this is not surprising, given the small sample size.</w:t>
      </w:r>
    </w:p>
    <w:p w:rsidR="00E8388F" w:rsidRPr="0012755E" w:rsidRDefault="00E8388F" w:rsidP="0012755E">
      <w:pPr>
        <w:pStyle w:val="ListBullet"/>
      </w:pPr>
      <w:r w:rsidRPr="0012755E">
        <w:t xml:space="preserve">ABEM (n=24) assessed the relative bioavailability and PD response of </w:t>
      </w:r>
      <w:proofErr w:type="spellStart"/>
      <w:r w:rsidR="00EC7E12" w:rsidRPr="0012755E">
        <w:t>Abasria</w:t>
      </w:r>
      <w:proofErr w:type="spellEnd"/>
      <w:r w:rsidRPr="0012755E">
        <w:t xml:space="preserve"> versus EU</w:t>
      </w:r>
      <w:r w:rsidR="00E00C40">
        <w:t xml:space="preserve"> </w:t>
      </w:r>
      <w:r w:rsidRPr="0012755E">
        <w:t xml:space="preserve">approved </w:t>
      </w:r>
      <w:r w:rsidR="00D54BAC" w:rsidRPr="0012755E">
        <w:t>Lantus</w:t>
      </w:r>
      <w:r w:rsidRPr="0012755E">
        <w:t xml:space="preserve"> at two single doses: 0.3 U/kg and 0.6 U/kg. At both doses, results were supportive.</w:t>
      </w:r>
    </w:p>
    <w:p w:rsidR="00E8388F" w:rsidRPr="0012755E" w:rsidRDefault="00E8388F" w:rsidP="0012755E">
      <w:pPr>
        <w:pStyle w:val="ListBullet"/>
      </w:pPr>
      <w:r w:rsidRPr="0012755E">
        <w:t xml:space="preserve">ABEE (n=20) assessed the duration of action of </w:t>
      </w:r>
      <w:proofErr w:type="spellStart"/>
      <w:r w:rsidR="00EC7E12" w:rsidRPr="0012755E">
        <w:t>Abasria</w:t>
      </w:r>
      <w:proofErr w:type="spellEnd"/>
      <w:r w:rsidRPr="0012755E">
        <w:t xml:space="preserve"> versus EU</w:t>
      </w:r>
      <w:r w:rsidR="00E00C40">
        <w:t xml:space="preserve"> </w:t>
      </w:r>
      <w:r w:rsidRPr="0012755E">
        <w:t xml:space="preserve">approved </w:t>
      </w:r>
      <w:r w:rsidR="00D54BAC" w:rsidRPr="0012755E">
        <w:t>Lantus</w:t>
      </w:r>
      <w:r w:rsidRPr="0012755E">
        <w:t xml:space="preserve"> (0.3 U/kg) in patients with T1D (mean age=42 years) (all the other studies were in healthy volunteers). These were stable T1D patients who were receiving baseline insulin treatment. The study was primarily PD in nature and its main objective was to compare the duration of action of </w:t>
      </w:r>
      <w:proofErr w:type="spellStart"/>
      <w:r w:rsidR="00EC7E12" w:rsidRPr="0012755E">
        <w:t>Abasria</w:t>
      </w:r>
      <w:proofErr w:type="spellEnd"/>
      <w:r w:rsidRPr="0012755E">
        <w:t xml:space="preserve"> and EU</w:t>
      </w:r>
      <w:r w:rsidR="00E00C40">
        <w:t xml:space="preserve"> </w:t>
      </w:r>
      <w:r w:rsidRPr="0012755E">
        <w:t xml:space="preserve">sourced </w:t>
      </w:r>
      <w:r w:rsidR="00D54BAC" w:rsidRPr="0012755E">
        <w:t>Lantus</w:t>
      </w:r>
      <w:r w:rsidRPr="0012755E">
        <w:t xml:space="preserve">. The median duration of action was estimated to be 37.1 and 40.0 hours for </w:t>
      </w:r>
      <w:proofErr w:type="spellStart"/>
      <w:r w:rsidR="00EC7E12" w:rsidRPr="0012755E">
        <w:t>Abasria</w:t>
      </w:r>
      <w:proofErr w:type="spellEnd"/>
      <w:r w:rsidRPr="0012755E">
        <w:t xml:space="preserve"> and </w:t>
      </w:r>
      <w:r w:rsidR="00D54BAC" w:rsidRPr="0012755E">
        <w:t>Lantus</w:t>
      </w:r>
      <w:r w:rsidRPr="0012755E">
        <w:t>, respectively. A survival analysis was carried out with a Cox PH model;</w:t>
      </w:r>
      <w:r w:rsidR="00E00C40">
        <w:t xml:space="preserve"> Hazard ratio (</w:t>
      </w:r>
      <w:r w:rsidRPr="0012755E">
        <w:t>HR</w:t>
      </w:r>
      <w:proofErr w:type="gramStart"/>
      <w:r w:rsidR="00E00C40">
        <w:t>)</w:t>
      </w:r>
      <w:r w:rsidRPr="0012755E">
        <w:t>=</w:t>
      </w:r>
      <w:proofErr w:type="gramEnd"/>
      <w:r w:rsidRPr="0012755E">
        <w:t xml:space="preserve">1.063, p=0.8777; supporting the conclusion that there does not seem to be a significant difference in duration of action between </w:t>
      </w:r>
      <w:proofErr w:type="spellStart"/>
      <w:r w:rsidR="00EC7E12" w:rsidRPr="0012755E">
        <w:t>Abasria</w:t>
      </w:r>
      <w:proofErr w:type="spellEnd"/>
      <w:r w:rsidRPr="0012755E">
        <w:t xml:space="preserve"> and </w:t>
      </w:r>
      <w:r w:rsidR="00D54BAC" w:rsidRPr="0012755E">
        <w:t>Lantus</w:t>
      </w:r>
      <w:r w:rsidRPr="0012755E">
        <w:t>.</w:t>
      </w:r>
    </w:p>
    <w:p w:rsidR="00E8388F" w:rsidRDefault="00E8388F" w:rsidP="0012755E">
      <w:pPr>
        <w:pStyle w:val="ListBullet"/>
      </w:pPr>
      <w:r w:rsidRPr="0012755E">
        <w:lastRenderedPageBreak/>
        <w:t>ABEN (n=40; 34 completers) showed similarity of EU</w:t>
      </w:r>
      <w:r w:rsidR="00E00C40">
        <w:t xml:space="preserve"> </w:t>
      </w:r>
      <w:r w:rsidRPr="0012755E">
        <w:t xml:space="preserve">sourced and US-sourced </w:t>
      </w:r>
      <w:r w:rsidR="00D54BAC" w:rsidRPr="0012755E">
        <w:t>Lantus</w:t>
      </w:r>
      <w:r w:rsidRPr="0012755E">
        <w:t>.</w:t>
      </w:r>
    </w:p>
    <w:p w:rsidR="00E00C40" w:rsidRPr="0012755E" w:rsidRDefault="00E00C40" w:rsidP="00E00C40">
      <w:pPr>
        <w:pStyle w:val="TableTitle"/>
      </w:pPr>
      <w:r>
        <w:t>Table 14: PK results from Study ABEN</w:t>
      </w:r>
    </w:p>
    <w:tbl>
      <w:tblPr>
        <w:tblStyle w:val="TableTGAblue"/>
        <w:tblW w:w="0" w:type="auto"/>
        <w:tblInd w:w="108" w:type="dxa"/>
        <w:tblLook w:val="04A0" w:firstRow="1" w:lastRow="0" w:firstColumn="1" w:lastColumn="0" w:noHBand="0" w:noVBand="1"/>
      </w:tblPr>
      <w:tblGrid>
        <w:gridCol w:w="1434"/>
        <w:gridCol w:w="1293"/>
        <w:gridCol w:w="1293"/>
        <w:gridCol w:w="1293"/>
      </w:tblGrid>
      <w:tr w:rsidR="00E8388F" w:rsidTr="0046589D">
        <w:trPr>
          <w:cnfStyle w:val="100000000000" w:firstRow="1" w:lastRow="0" w:firstColumn="0" w:lastColumn="0" w:oddVBand="0" w:evenVBand="0" w:oddHBand="0" w:evenHBand="0" w:firstRowFirstColumn="0" w:firstRowLastColumn="0" w:lastRowFirstColumn="0" w:lastRowLastColumn="0"/>
        </w:trPr>
        <w:tc>
          <w:tcPr>
            <w:tcW w:w="2619" w:type="dxa"/>
            <w:gridSpan w:val="2"/>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PK parameters</w:t>
            </w:r>
          </w:p>
        </w:tc>
        <w:tc>
          <w:tcPr>
            <w:tcW w:w="2586" w:type="dxa"/>
            <w:gridSpan w:val="2"/>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PD parameters</w:t>
            </w:r>
          </w:p>
        </w:tc>
      </w:tr>
      <w:tr w:rsidR="00E8388F" w:rsidTr="0046589D">
        <w:tc>
          <w:tcPr>
            <w:tcW w:w="1326" w:type="dxa"/>
          </w:tcPr>
          <w:p w:rsidR="00E8388F" w:rsidRPr="00E00C40" w:rsidRDefault="00E8388F" w:rsidP="00E8388F">
            <w:pPr>
              <w:pStyle w:val="table"/>
              <w:jc w:val="center"/>
              <w:rPr>
                <w:rFonts w:asciiTheme="minorHAnsi" w:hAnsiTheme="minorHAnsi"/>
                <w:sz w:val="20"/>
                <w:vertAlign w:val="subscript"/>
                <w:lang w:eastAsia="en-AU"/>
              </w:rPr>
            </w:pPr>
            <w:r w:rsidRPr="00E00C40">
              <w:rPr>
                <w:rFonts w:asciiTheme="minorHAnsi" w:hAnsiTheme="minorHAnsi"/>
                <w:sz w:val="20"/>
                <w:lang w:eastAsia="en-AU"/>
              </w:rPr>
              <w:t>AUC</w:t>
            </w:r>
            <w:r w:rsidRPr="00E00C40">
              <w:rPr>
                <w:rFonts w:asciiTheme="minorHAnsi" w:hAnsiTheme="minorHAnsi"/>
                <w:sz w:val="20"/>
                <w:vertAlign w:val="subscript"/>
                <w:lang w:eastAsia="en-AU"/>
              </w:rPr>
              <w:t>[0-24]</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pmol.hr/L</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Point estimate</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(90% CI)</w:t>
            </w:r>
          </w:p>
        </w:tc>
        <w:tc>
          <w:tcPr>
            <w:tcW w:w="1293" w:type="dxa"/>
          </w:tcPr>
          <w:p w:rsidR="00E8388F" w:rsidRPr="00E00C40" w:rsidRDefault="00E8388F" w:rsidP="00E8388F">
            <w:pPr>
              <w:pStyle w:val="table"/>
              <w:jc w:val="center"/>
              <w:rPr>
                <w:rFonts w:asciiTheme="minorHAnsi" w:hAnsiTheme="minorHAnsi"/>
                <w:sz w:val="20"/>
                <w:vertAlign w:val="subscript"/>
                <w:lang w:eastAsia="en-AU"/>
              </w:rPr>
            </w:pPr>
            <w:proofErr w:type="spellStart"/>
            <w:r w:rsidRPr="00E00C40">
              <w:rPr>
                <w:rFonts w:asciiTheme="minorHAnsi" w:hAnsiTheme="minorHAnsi"/>
                <w:sz w:val="20"/>
                <w:lang w:eastAsia="en-AU"/>
              </w:rPr>
              <w:t>C</w:t>
            </w:r>
            <w:r w:rsidRPr="00E00C40">
              <w:rPr>
                <w:rFonts w:asciiTheme="minorHAnsi" w:hAnsiTheme="minorHAnsi"/>
                <w:sz w:val="20"/>
                <w:vertAlign w:val="subscript"/>
                <w:lang w:eastAsia="en-AU"/>
              </w:rPr>
              <w:t>max</w:t>
            </w:r>
            <w:proofErr w:type="spellEnd"/>
          </w:p>
          <w:p w:rsidR="00E8388F" w:rsidRPr="00E00C40" w:rsidRDefault="00E8388F" w:rsidP="00E8388F">
            <w:pPr>
              <w:pStyle w:val="table"/>
              <w:jc w:val="center"/>
              <w:rPr>
                <w:rFonts w:asciiTheme="minorHAnsi" w:hAnsiTheme="minorHAnsi"/>
                <w:sz w:val="20"/>
                <w:lang w:eastAsia="en-AU"/>
              </w:rPr>
            </w:pPr>
            <w:proofErr w:type="spellStart"/>
            <w:r w:rsidRPr="00E00C40">
              <w:rPr>
                <w:rFonts w:asciiTheme="minorHAnsi" w:hAnsiTheme="minorHAnsi"/>
                <w:sz w:val="20"/>
                <w:lang w:eastAsia="en-AU"/>
              </w:rPr>
              <w:t>pmol</w:t>
            </w:r>
            <w:proofErr w:type="spellEnd"/>
            <w:r w:rsidRPr="00E00C40">
              <w:rPr>
                <w:rFonts w:asciiTheme="minorHAnsi" w:hAnsiTheme="minorHAnsi"/>
                <w:sz w:val="20"/>
                <w:lang w:eastAsia="en-AU"/>
              </w:rPr>
              <w:t>/L</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Point estimate</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(90% CI)</w:t>
            </w:r>
          </w:p>
        </w:tc>
        <w:tc>
          <w:tcPr>
            <w:tcW w:w="1293" w:type="dxa"/>
          </w:tcPr>
          <w:p w:rsidR="00E8388F" w:rsidRPr="00E00C40" w:rsidRDefault="00E8388F" w:rsidP="00E8388F">
            <w:pPr>
              <w:pStyle w:val="table"/>
              <w:jc w:val="center"/>
              <w:rPr>
                <w:rFonts w:asciiTheme="minorHAnsi" w:hAnsiTheme="minorHAnsi"/>
                <w:sz w:val="20"/>
                <w:vertAlign w:val="subscript"/>
                <w:lang w:eastAsia="en-AU"/>
              </w:rPr>
            </w:pPr>
            <w:proofErr w:type="spellStart"/>
            <w:r w:rsidRPr="00E00C40">
              <w:rPr>
                <w:rFonts w:asciiTheme="minorHAnsi" w:hAnsiTheme="minorHAnsi"/>
                <w:sz w:val="20"/>
                <w:lang w:eastAsia="en-AU"/>
              </w:rPr>
              <w:t>G</w:t>
            </w:r>
            <w:r w:rsidRPr="00E00C40">
              <w:rPr>
                <w:rFonts w:asciiTheme="minorHAnsi" w:hAnsiTheme="minorHAnsi"/>
                <w:sz w:val="20"/>
                <w:vertAlign w:val="subscript"/>
                <w:lang w:eastAsia="en-AU"/>
              </w:rPr>
              <w:t>tot</w:t>
            </w:r>
            <w:proofErr w:type="spellEnd"/>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mg/Kg</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Point estimate</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[95% CI]</w:t>
            </w:r>
          </w:p>
        </w:tc>
        <w:tc>
          <w:tcPr>
            <w:tcW w:w="1293" w:type="dxa"/>
          </w:tcPr>
          <w:p w:rsidR="00E8388F" w:rsidRPr="00E00C40" w:rsidRDefault="00E8388F" w:rsidP="00E8388F">
            <w:pPr>
              <w:pStyle w:val="table"/>
              <w:jc w:val="center"/>
              <w:rPr>
                <w:rFonts w:asciiTheme="minorHAnsi" w:hAnsiTheme="minorHAnsi"/>
                <w:sz w:val="20"/>
                <w:vertAlign w:val="subscript"/>
                <w:lang w:eastAsia="en-AU"/>
              </w:rPr>
            </w:pPr>
            <w:proofErr w:type="spellStart"/>
            <w:r w:rsidRPr="00E00C40">
              <w:rPr>
                <w:rFonts w:asciiTheme="minorHAnsi" w:hAnsiTheme="minorHAnsi"/>
                <w:sz w:val="20"/>
                <w:lang w:eastAsia="en-AU"/>
              </w:rPr>
              <w:t>R</w:t>
            </w:r>
            <w:r w:rsidRPr="00E00C40">
              <w:rPr>
                <w:rFonts w:asciiTheme="minorHAnsi" w:hAnsiTheme="minorHAnsi"/>
                <w:sz w:val="20"/>
                <w:vertAlign w:val="subscript"/>
                <w:lang w:eastAsia="en-AU"/>
              </w:rPr>
              <w:t>max</w:t>
            </w:r>
            <w:proofErr w:type="spellEnd"/>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mg/Kg</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Point estimate</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[95% CI]</w:t>
            </w:r>
          </w:p>
        </w:tc>
      </w:tr>
      <w:tr w:rsidR="00E8388F" w:rsidTr="0046589D">
        <w:tc>
          <w:tcPr>
            <w:tcW w:w="1326"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n=32</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0.97</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(0.89, 1.04)</w:t>
            </w:r>
          </w:p>
        </w:tc>
        <w:tc>
          <w:tcPr>
            <w:tcW w:w="1293"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n=34</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0.97</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(0.90, 1.04)</w:t>
            </w:r>
          </w:p>
        </w:tc>
        <w:tc>
          <w:tcPr>
            <w:tcW w:w="1293"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n=34</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1.02</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[0.88, 1.19]</w:t>
            </w:r>
          </w:p>
        </w:tc>
        <w:tc>
          <w:tcPr>
            <w:tcW w:w="1293"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n=34</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0.98</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[0.87, 1.11]</w:t>
            </w:r>
          </w:p>
        </w:tc>
      </w:tr>
    </w:tbl>
    <w:p w:rsidR="00E8388F" w:rsidRDefault="00E8388F" w:rsidP="00B00796">
      <w:pPr>
        <w:pStyle w:val="ListBullet"/>
        <w:rPr>
          <w:lang w:eastAsia="en-AU"/>
        </w:rPr>
      </w:pPr>
      <w:r>
        <w:rPr>
          <w:lang w:eastAsia="en-AU"/>
        </w:rPr>
        <w:t>ABEO (n=91) was requested by the FDA (</w:t>
      </w:r>
      <w:proofErr w:type="spellStart"/>
      <w:r w:rsidR="00EC7E12">
        <w:rPr>
          <w:lang w:eastAsia="en-AU"/>
        </w:rPr>
        <w:t>Abasria</w:t>
      </w:r>
      <w:proofErr w:type="spellEnd"/>
      <w:r>
        <w:rPr>
          <w:lang w:eastAsia="en-AU"/>
        </w:rPr>
        <w:t xml:space="preserve"> versus US</w:t>
      </w:r>
      <w:r w:rsidR="00E00C40">
        <w:rPr>
          <w:lang w:eastAsia="en-AU"/>
        </w:rPr>
        <w:t xml:space="preserve"> </w:t>
      </w:r>
      <w:r>
        <w:rPr>
          <w:lang w:eastAsia="en-AU"/>
        </w:rPr>
        <w:t xml:space="preserve">sourced </w:t>
      </w:r>
      <w:r w:rsidR="00D54BAC">
        <w:rPr>
          <w:lang w:eastAsia="en-AU"/>
        </w:rPr>
        <w:t>Lantus</w:t>
      </w:r>
      <w:r>
        <w:rPr>
          <w:lang w:eastAsia="en-AU"/>
        </w:rPr>
        <w:t>). Results were not available at the time the dossier was submitted.</w:t>
      </w:r>
    </w:p>
    <w:p w:rsidR="00E8388F" w:rsidRPr="009361F5" w:rsidRDefault="00E8388F" w:rsidP="00E00C40">
      <w:pPr>
        <w:pStyle w:val="Heading4"/>
        <w:rPr>
          <w:lang w:eastAsia="en-AU"/>
        </w:rPr>
      </w:pPr>
      <w:r w:rsidRPr="009361F5">
        <w:rPr>
          <w:lang w:eastAsia="en-AU"/>
        </w:rPr>
        <w:t>Phase</w:t>
      </w:r>
      <w:r w:rsidR="00E00C40">
        <w:rPr>
          <w:lang w:eastAsia="en-AU"/>
        </w:rPr>
        <w:t xml:space="preserve"> III</w:t>
      </w:r>
      <w:r w:rsidRPr="009361F5">
        <w:rPr>
          <w:lang w:eastAsia="en-AU"/>
        </w:rPr>
        <w:t xml:space="preserve"> studies</w:t>
      </w:r>
    </w:p>
    <w:p w:rsidR="00E8388F" w:rsidRDefault="00E8388F" w:rsidP="00B00796">
      <w:r>
        <w:t>T</w:t>
      </w:r>
      <w:r w:rsidRPr="0086481A">
        <w:t xml:space="preserve">he primary focus of the </w:t>
      </w:r>
      <w:r>
        <w:t xml:space="preserve">two </w:t>
      </w:r>
      <w:r w:rsidR="00BE23D9">
        <w:t>Phase III</w:t>
      </w:r>
      <w:r>
        <w:t xml:space="preserve"> studies (ABEB, ABEC) wa</w:t>
      </w:r>
      <w:r w:rsidRPr="0086481A">
        <w:t>s the evaluation of</w:t>
      </w:r>
      <w:r>
        <w:t xml:space="preserve"> </w:t>
      </w:r>
      <w:r w:rsidRPr="0086481A">
        <w:t>immunogenicity and implications this might h</w:t>
      </w:r>
      <w:r>
        <w:t>ave for safety (or any reduction in efficacy). T</w:t>
      </w:r>
      <w:r w:rsidRPr="0086481A">
        <w:t xml:space="preserve">he </w:t>
      </w:r>
      <w:r>
        <w:t>EMA</w:t>
      </w:r>
      <w:r w:rsidRPr="0086481A">
        <w:t xml:space="preserve"> advised </w:t>
      </w:r>
      <w:r>
        <w:t>the sponsor</w:t>
      </w:r>
      <w:r w:rsidRPr="0086481A">
        <w:t xml:space="preserve"> that formal demonstration of non</w:t>
      </w:r>
      <w:r>
        <w:t>-</w:t>
      </w:r>
      <w:r w:rsidRPr="0086481A">
        <w:t>inferiority in</w:t>
      </w:r>
      <w:r>
        <w:t xml:space="preserve"> </w:t>
      </w:r>
      <w:r w:rsidRPr="0086481A">
        <w:t>terms of anti</w:t>
      </w:r>
      <w:r w:rsidR="002B1767">
        <w:t>body response was not required.</w:t>
      </w:r>
    </w:p>
    <w:p w:rsidR="00E8388F" w:rsidRDefault="00E8388F" w:rsidP="00B00796">
      <w:r>
        <w:t>The EMA considered that HbA1c is not a sensitive enough endpoint on which to establish similar efficacy. For the purposes of establishing efficacy, the results for HbA1c were considered supportive to the PK/PD studies.</w:t>
      </w:r>
    </w:p>
    <w:p w:rsidR="00E8388F" w:rsidRDefault="00E8388F" w:rsidP="00B00796">
      <w:pPr>
        <w:rPr>
          <w:lang w:eastAsia="en-AU"/>
        </w:rPr>
      </w:pPr>
      <w:r>
        <w:rPr>
          <w:lang w:eastAsia="en-AU"/>
        </w:rPr>
        <w:t xml:space="preserve">Both studies were multinational (ABEB: 59 centres in 9 countries; ABEC: 88 centres in 13 countries). Patients in the comparison group either received EU-approved </w:t>
      </w:r>
      <w:r w:rsidR="00D54BAC">
        <w:rPr>
          <w:lang w:eastAsia="en-AU"/>
        </w:rPr>
        <w:t>Lantus</w:t>
      </w:r>
      <w:r>
        <w:rPr>
          <w:lang w:eastAsia="en-AU"/>
        </w:rPr>
        <w:t xml:space="preserve"> or US</w:t>
      </w:r>
      <w:r w:rsidR="00E00C40">
        <w:rPr>
          <w:lang w:eastAsia="en-AU"/>
        </w:rPr>
        <w:t xml:space="preserve"> </w:t>
      </w:r>
      <w:r>
        <w:rPr>
          <w:lang w:eastAsia="en-AU"/>
        </w:rPr>
        <w:t xml:space="preserve">approved </w:t>
      </w:r>
      <w:r w:rsidR="00D54BAC">
        <w:rPr>
          <w:lang w:eastAsia="en-AU"/>
        </w:rPr>
        <w:t>Lantus</w:t>
      </w:r>
      <w:r>
        <w:rPr>
          <w:lang w:eastAsia="en-AU"/>
        </w:rPr>
        <w:t xml:space="preserve"> depending on the site (EU</w:t>
      </w:r>
      <w:r w:rsidR="00E00C40">
        <w:rPr>
          <w:lang w:eastAsia="en-AU"/>
        </w:rPr>
        <w:t xml:space="preserve"> </w:t>
      </w:r>
      <w:r>
        <w:rPr>
          <w:lang w:eastAsia="en-AU"/>
        </w:rPr>
        <w:t xml:space="preserve">approved </w:t>
      </w:r>
      <w:r w:rsidR="00D54BAC">
        <w:rPr>
          <w:lang w:eastAsia="en-AU"/>
        </w:rPr>
        <w:t>Lantus</w:t>
      </w:r>
      <w:r>
        <w:rPr>
          <w:lang w:eastAsia="en-AU"/>
        </w:rPr>
        <w:t>: EU, Mexico, Japan, South Korea, Taiwan; US</w:t>
      </w:r>
      <w:r w:rsidR="00E00C40">
        <w:rPr>
          <w:lang w:eastAsia="en-AU"/>
        </w:rPr>
        <w:t xml:space="preserve"> </w:t>
      </w:r>
      <w:r>
        <w:rPr>
          <w:lang w:eastAsia="en-AU"/>
        </w:rPr>
        <w:t xml:space="preserve">approved </w:t>
      </w:r>
      <w:r w:rsidR="00D54BAC">
        <w:rPr>
          <w:lang w:eastAsia="en-AU"/>
        </w:rPr>
        <w:t>Lantus</w:t>
      </w:r>
      <w:r>
        <w:rPr>
          <w:lang w:eastAsia="en-AU"/>
        </w:rPr>
        <w:t>: US, Puerto Rico). The sponsor argued that given the scientific bridge demonstrated in the PK/PD studies, it was not necessary to stratify the results by EU-</w:t>
      </w:r>
      <w:r w:rsidR="00D54BAC">
        <w:rPr>
          <w:lang w:eastAsia="en-AU"/>
        </w:rPr>
        <w:t>Lantus</w:t>
      </w:r>
      <w:r>
        <w:rPr>
          <w:lang w:eastAsia="en-AU"/>
        </w:rPr>
        <w:t xml:space="preserve"> versus US-</w:t>
      </w:r>
      <w:r w:rsidR="00D54BAC">
        <w:rPr>
          <w:lang w:eastAsia="en-AU"/>
        </w:rPr>
        <w:t>Lantus</w:t>
      </w:r>
      <w:r w:rsidR="002B1767">
        <w:rPr>
          <w:lang w:eastAsia="en-AU"/>
        </w:rPr>
        <w:t>.</w:t>
      </w:r>
    </w:p>
    <w:p w:rsidR="00E8388F" w:rsidRPr="00241831" w:rsidRDefault="00E00C40" w:rsidP="00E00C40">
      <w:pPr>
        <w:pStyle w:val="TableTitle"/>
        <w:rPr>
          <w:lang w:eastAsia="en-AU"/>
        </w:rPr>
      </w:pPr>
      <w:r>
        <w:rPr>
          <w:lang w:eastAsia="en-AU"/>
        </w:rPr>
        <w:t>Table 1</w:t>
      </w:r>
      <w:r w:rsidR="00E50E1B">
        <w:rPr>
          <w:lang w:eastAsia="en-AU"/>
        </w:rPr>
        <w:t>5</w:t>
      </w:r>
      <w:r>
        <w:rPr>
          <w:lang w:eastAsia="en-AU"/>
        </w:rPr>
        <w:t xml:space="preserve">: </w:t>
      </w:r>
      <w:r w:rsidR="00E8388F" w:rsidRPr="00241831">
        <w:rPr>
          <w:lang w:eastAsia="en-AU"/>
        </w:rPr>
        <w:t xml:space="preserve">Characteristics of </w:t>
      </w:r>
      <w:r w:rsidR="00E8388F">
        <w:rPr>
          <w:lang w:eastAsia="en-AU"/>
        </w:rPr>
        <w:t xml:space="preserve">studies </w:t>
      </w:r>
      <w:r w:rsidR="00E8388F" w:rsidRPr="00241831">
        <w:rPr>
          <w:lang w:eastAsia="en-AU"/>
        </w:rPr>
        <w:t>ABEB and ABEC</w:t>
      </w:r>
    </w:p>
    <w:tbl>
      <w:tblPr>
        <w:tblStyle w:val="TableTGAblue"/>
        <w:tblW w:w="0" w:type="auto"/>
        <w:tblLook w:val="04A0" w:firstRow="1" w:lastRow="0" w:firstColumn="1" w:lastColumn="0" w:noHBand="0" w:noVBand="1"/>
      </w:tblPr>
      <w:tblGrid>
        <w:gridCol w:w="1345"/>
        <w:gridCol w:w="3593"/>
        <w:gridCol w:w="3778"/>
      </w:tblGrid>
      <w:tr w:rsidR="00E8388F" w:rsidTr="00F94BE4">
        <w:trPr>
          <w:cnfStyle w:val="100000000000" w:firstRow="1" w:lastRow="0" w:firstColumn="0" w:lastColumn="0" w:oddVBand="0" w:evenVBand="0" w:oddHBand="0" w:evenHBand="0" w:firstRowFirstColumn="0" w:firstRowLastColumn="0" w:lastRowFirstColumn="0" w:lastRowLastColumn="0"/>
        </w:trPr>
        <w:tc>
          <w:tcPr>
            <w:tcW w:w="1241" w:type="dxa"/>
          </w:tcPr>
          <w:p w:rsidR="00E8388F" w:rsidRPr="00E00C40" w:rsidRDefault="00E8388F" w:rsidP="00E8388F">
            <w:pPr>
              <w:pStyle w:val="table"/>
              <w:rPr>
                <w:rFonts w:ascii="Cambria" w:hAnsi="Cambria"/>
                <w:b w:val="0"/>
                <w:sz w:val="20"/>
              </w:rPr>
            </w:pPr>
          </w:p>
        </w:tc>
        <w:tc>
          <w:tcPr>
            <w:tcW w:w="3593" w:type="dxa"/>
          </w:tcPr>
          <w:p w:rsidR="00E8388F" w:rsidRPr="00E00C40" w:rsidRDefault="00E8388F" w:rsidP="00E8388F">
            <w:pPr>
              <w:pStyle w:val="table"/>
              <w:jc w:val="center"/>
              <w:rPr>
                <w:rFonts w:ascii="Cambria" w:hAnsi="Cambria"/>
                <w:b w:val="0"/>
                <w:sz w:val="20"/>
              </w:rPr>
            </w:pPr>
            <w:r w:rsidRPr="00E00C40">
              <w:rPr>
                <w:rFonts w:ascii="Cambria" w:hAnsi="Cambria"/>
                <w:b w:val="0"/>
                <w:sz w:val="20"/>
              </w:rPr>
              <w:t>ABEB, n=535</w:t>
            </w:r>
          </w:p>
        </w:tc>
        <w:tc>
          <w:tcPr>
            <w:tcW w:w="3778" w:type="dxa"/>
          </w:tcPr>
          <w:p w:rsidR="00E8388F" w:rsidRPr="00E00C40" w:rsidRDefault="00E8388F" w:rsidP="00E8388F">
            <w:pPr>
              <w:pStyle w:val="table"/>
              <w:jc w:val="center"/>
              <w:rPr>
                <w:rFonts w:ascii="Cambria" w:hAnsi="Cambria"/>
                <w:b w:val="0"/>
                <w:sz w:val="20"/>
              </w:rPr>
            </w:pPr>
            <w:r w:rsidRPr="00E00C40">
              <w:rPr>
                <w:rFonts w:ascii="Cambria" w:hAnsi="Cambria"/>
                <w:b w:val="0"/>
                <w:sz w:val="20"/>
              </w:rPr>
              <w:t>ABEC, n=756</w:t>
            </w:r>
          </w:p>
        </w:tc>
      </w:tr>
      <w:tr w:rsidR="00E8388F" w:rsidTr="00F94BE4">
        <w:tc>
          <w:tcPr>
            <w:tcW w:w="1241" w:type="dxa"/>
          </w:tcPr>
          <w:p w:rsidR="00E8388F" w:rsidRPr="00E00C40" w:rsidRDefault="00E8388F" w:rsidP="00E8388F">
            <w:pPr>
              <w:pStyle w:val="table"/>
              <w:rPr>
                <w:rFonts w:ascii="Cambria" w:hAnsi="Cambria"/>
                <w:sz w:val="20"/>
              </w:rPr>
            </w:pPr>
            <w:r w:rsidRPr="00E00C40">
              <w:rPr>
                <w:rFonts w:ascii="Cambria" w:hAnsi="Cambria"/>
                <w:sz w:val="20"/>
              </w:rPr>
              <w:t>T1/T2</w:t>
            </w:r>
          </w:p>
        </w:tc>
        <w:tc>
          <w:tcPr>
            <w:tcW w:w="3593" w:type="dxa"/>
          </w:tcPr>
          <w:p w:rsidR="00E8388F" w:rsidRPr="00E00C40" w:rsidRDefault="00E8388F" w:rsidP="00E8388F">
            <w:pPr>
              <w:pStyle w:val="table"/>
              <w:rPr>
                <w:rFonts w:ascii="Cambria" w:hAnsi="Cambria"/>
                <w:sz w:val="20"/>
              </w:rPr>
            </w:pPr>
            <w:r w:rsidRPr="00E00C40">
              <w:rPr>
                <w:rFonts w:ascii="Cambria" w:hAnsi="Cambria"/>
                <w:sz w:val="20"/>
              </w:rPr>
              <w:t>T1DM</w:t>
            </w:r>
          </w:p>
        </w:tc>
        <w:tc>
          <w:tcPr>
            <w:tcW w:w="3778" w:type="dxa"/>
          </w:tcPr>
          <w:p w:rsidR="00E8388F" w:rsidRPr="00E00C40" w:rsidRDefault="00E8388F" w:rsidP="00E8388F">
            <w:pPr>
              <w:pStyle w:val="table"/>
              <w:rPr>
                <w:rFonts w:ascii="Cambria" w:hAnsi="Cambria"/>
                <w:sz w:val="20"/>
              </w:rPr>
            </w:pPr>
            <w:r w:rsidRPr="00E00C40">
              <w:rPr>
                <w:rFonts w:ascii="Cambria" w:hAnsi="Cambria"/>
                <w:sz w:val="20"/>
              </w:rPr>
              <w:t>T2DM</w:t>
            </w:r>
          </w:p>
        </w:tc>
      </w:tr>
      <w:tr w:rsidR="00E8388F" w:rsidTr="00F94BE4">
        <w:tc>
          <w:tcPr>
            <w:tcW w:w="1241" w:type="dxa"/>
          </w:tcPr>
          <w:p w:rsidR="00E8388F" w:rsidRPr="00E00C40" w:rsidRDefault="00E8388F" w:rsidP="00E8388F">
            <w:pPr>
              <w:pStyle w:val="table"/>
              <w:rPr>
                <w:rFonts w:ascii="Cambria" w:hAnsi="Cambria"/>
                <w:sz w:val="20"/>
              </w:rPr>
            </w:pPr>
            <w:r w:rsidRPr="00E00C40">
              <w:rPr>
                <w:rFonts w:ascii="Cambria" w:hAnsi="Cambria"/>
                <w:sz w:val="20"/>
              </w:rPr>
              <w:t>Time period</w:t>
            </w:r>
          </w:p>
        </w:tc>
        <w:tc>
          <w:tcPr>
            <w:tcW w:w="3593" w:type="dxa"/>
          </w:tcPr>
          <w:p w:rsidR="00E8388F" w:rsidRPr="00E00C40" w:rsidRDefault="00E8388F" w:rsidP="00E8388F">
            <w:pPr>
              <w:pStyle w:val="table"/>
              <w:rPr>
                <w:rFonts w:ascii="Cambria" w:hAnsi="Cambria"/>
                <w:sz w:val="20"/>
              </w:rPr>
            </w:pPr>
            <w:r w:rsidRPr="00E00C40">
              <w:rPr>
                <w:rFonts w:ascii="Cambria" w:hAnsi="Cambria"/>
                <w:sz w:val="20"/>
                <w:lang w:eastAsia="en-AU"/>
              </w:rPr>
              <w:t>Sep</w:t>
            </w:r>
            <w:r w:rsidR="00F51F59">
              <w:rPr>
                <w:rFonts w:ascii="Cambria" w:hAnsi="Cambria"/>
                <w:sz w:val="20"/>
                <w:lang w:eastAsia="en-AU"/>
              </w:rPr>
              <w:t xml:space="preserve">tember </w:t>
            </w:r>
            <w:r w:rsidRPr="00E00C40">
              <w:rPr>
                <w:rFonts w:ascii="Cambria" w:hAnsi="Cambria"/>
                <w:sz w:val="20"/>
                <w:lang w:eastAsia="en-AU"/>
              </w:rPr>
              <w:t>2011- Aug</w:t>
            </w:r>
            <w:r w:rsidR="00F51F59">
              <w:rPr>
                <w:rFonts w:ascii="Cambria" w:hAnsi="Cambria"/>
                <w:sz w:val="20"/>
                <w:lang w:eastAsia="en-AU"/>
              </w:rPr>
              <w:t xml:space="preserve">ust </w:t>
            </w:r>
            <w:r w:rsidRPr="00E00C40">
              <w:rPr>
                <w:rFonts w:ascii="Cambria" w:hAnsi="Cambria"/>
                <w:sz w:val="20"/>
                <w:lang w:eastAsia="en-AU"/>
              </w:rPr>
              <w:t>2012</w:t>
            </w:r>
          </w:p>
        </w:tc>
        <w:tc>
          <w:tcPr>
            <w:tcW w:w="3778" w:type="dxa"/>
          </w:tcPr>
          <w:p w:rsidR="00E8388F" w:rsidRPr="00E00C40" w:rsidRDefault="00E8388F" w:rsidP="00E8388F">
            <w:pPr>
              <w:pStyle w:val="table"/>
              <w:rPr>
                <w:rFonts w:ascii="Cambria" w:hAnsi="Cambria"/>
                <w:sz w:val="20"/>
              </w:rPr>
            </w:pPr>
            <w:r w:rsidRPr="00E00C40">
              <w:rPr>
                <w:rFonts w:ascii="Cambria" w:hAnsi="Cambria"/>
                <w:sz w:val="20"/>
                <w:lang w:eastAsia="en-AU"/>
              </w:rPr>
              <w:t>Sep</w:t>
            </w:r>
            <w:r w:rsidR="00F51F59">
              <w:rPr>
                <w:rFonts w:ascii="Cambria" w:hAnsi="Cambria"/>
                <w:sz w:val="20"/>
                <w:lang w:eastAsia="en-AU"/>
              </w:rPr>
              <w:t xml:space="preserve">tember </w:t>
            </w:r>
            <w:r w:rsidRPr="00E00C40">
              <w:rPr>
                <w:rFonts w:ascii="Cambria" w:hAnsi="Cambria"/>
                <w:sz w:val="20"/>
                <w:lang w:eastAsia="en-AU"/>
              </w:rPr>
              <w:t>2011-Sep</w:t>
            </w:r>
            <w:r w:rsidR="00F51F59">
              <w:rPr>
                <w:rFonts w:ascii="Cambria" w:hAnsi="Cambria"/>
                <w:sz w:val="20"/>
                <w:lang w:eastAsia="en-AU"/>
              </w:rPr>
              <w:t xml:space="preserve">tember </w:t>
            </w:r>
            <w:r w:rsidRPr="00E00C40">
              <w:rPr>
                <w:rFonts w:ascii="Cambria" w:hAnsi="Cambria"/>
                <w:sz w:val="20"/>
                <w:lang w:eastAsia="en-AU"/>
              </w:rPr>
              <w:t>2012</w:t>
            </w:r>
          </w:p>
        </w:tc>
      </w:tr>
      <w:tr w:rsidR="00E8388F" w:rsidTr="00F94BE4">
        <w:tc>
          <w:tcPr>
            <w:tcW w:w="1241" w:type="dxa"/>
          </w:tcPr>
          <w:p w:rsidR="00E8388F" w:rsidRPr="00E00C40" w:rsidRDefault="00E8388F" w:rsidP="00E8388F">
            <w:pPr>
              <w:pStyle w:val="table"/>
              <w:rPr>
                <w:rFonts w:ascii="Cambria" w:hAnsi="Cambria"/>
                <w:sz w:val="20"/>
              </w:rPr>
            </w:pPr>
            <w:r w:rsidRPr="00E00C40">
              <w:rPr>
                <w:rFonts w:ascii="Cambria" w:hAnsi="Cambria"/>
                <w:sz w:val="20"/>
              </w:rPr>
              <w:t>Time horizon</w:t>
            </w:r>
          </w:p>
        </w:tc>
        <w:tc>
          <w:tcPr>
            <w:tcW w:w="3593" w:type="dxa"/>
          </w:tcPr>
          <w:p w:rsidR="00E8388F" w:rsidRPr="00E00C40" w:rsidRDefault="00E8388F" w:rsidP="00F51F59">
            <w:pPr>
              <w:pStyle w:val="table"/>
              <w:rPr>
                <w:rFonts w:ascii="Cambria" w:hAnsi="Cambria"/>
                <w:sz w:val="20"/>
              </w:rPr>
            </w:pPr>
            <w:r w:rsidRPr="00E00C40">
              <w:rPr>
                <w:rFonts w:ascii="Cambria" w:hAnsi="Cambria"/>
                <w:sz w:val="20"/>
                <w:lang w:eastAsia="en-AU"/>
              </w:rPr>
              <w:t>24</w:t>
            </w:r>
            <w:r w:rsidR="00F51F59">
              <w:rPr>
                <w:rFonts w:ascii="Cambria" w:hAnsi="Cambria"/>
                <w:sz w:val="20"/>
                <w:lang w:eastAsia="en-AU"/>
              </w:rPr>
              <w:t xml:space="preserve"> </w:t>
            </w:r>
            <w:r w:rsidRPr="00E00C40">
              <w:rPr>
                <w:rFonts w:ascii="Cambria" w:hAnsi="Cambria"/>
                <w:sz w:val="20"/>
                <w:lang w:eastAsia="en-AU"/>
              </w:rPr>
              <w:t>week; 28</w:t>
            </w:r>
            <w:r w:rsidR="00F51F59">
              <w:rPr>
                <w:rFonts w:ascii="Cambria" w:hAnsi="Cambria"/>
                <w:sz w:val="20"/>
                <w:lang w:eastAsia="en-AU"/>
              </w:rPr>
              <w:t xml:space="preserve"> </w:t>
            </w:r>
            <w:r w:rsidRPr="00E00C40">
              <w:rPr>
                <w:rFonts w:ascii="Cambria" w:hAnsi="Cambria"/>
                <w:sz w:val="20"/>
                <w:lang w:eastAsia="en-AU"/>
              </w:rPr>
              <w:t>week extension</w:t>
            </w:r>
          </w:p>
        </w:tc>
        <w:tc>
          <w:tcPr>
            <w:tcW w:w="3778" w:type="dxa"/>
          </w:tcPr>
          <w:p w:rsidR="00E8388F" w:rsidRPr="00E00C40" w:rsidRDefault="00E8388F" w:rsidP="00F51F59">
            <w:pPr>
              <w:pStyle w:val="table"/>
              <w:rPr>
                <w:rFonts w:ascii="Cambria" w:hAnsi="Cambria"/>
                <w:sz w:val="20"/>
              </w:rPr>
            </w:pPr>
            <w:r w:rsidRPr="00E00C40">
              <w:rPr>
                <w:rFonts w:ascii="Cambria" w:hAnsi="Cambria"/>
                <w:sz w:val="20"/>
                <w:lang w:eastAsia="en-AU"/>
              </w:rPr>
              <w:t>24</w:t>
            </w:r>
            <w:r w:rsidR="00F51F59">
              <w:rPr>
                <w:rFonts w:ascii="Cambria" w:hAnsi="Cambria"/>
                <w:sz w:val="20"/>
                <w:lang w:eastAsia="en-AU"/>
              </w:rPr>
              <w:t xml:space="preserve"> </w:t>
            </w:r>
            <w:r w:rsidRPr="00E00C40">
              <w:rPr>
                <w:rFonts w:ascii="Cambria" w:hAnsi="Cambria"/>
                <w:sz w:val="20"/>
                <w:lang w:eastAsia="en-AU"/>
              </w:rPr>
              <w:t>week</w:t>
            </w:r>
          </w:p>
        </w:tc>
      </w:tr>
      <w:tr w:rsidR="00E8388F" w:rsidTr="00F94BE4">
        <w:tc>
          <w:tcPr>
            <w:tcW w:w="1241" w:type="dxa"/>
          </w:tcPr>
          <w:p w:rsidR="00E8388F" w:rsidRPr="00E00C40" w:rsidRDefault="00E8388F" w:rsidP="00E8388F">
            <w:pPr>
              <w:pStyle w:val="table"/>
              <w:rPr>
                <w:rFonts w:ascii="Cambria" w:hAnsi="Cambria"/>
                <w:sz w:val="20"/>
              </w:rPr>
            </w:pPr>
            <w:r w:rsidRPr="00E00C40">
              <w:rPr>
                <w:rFonts w:ascii="Cambria" w:hAnsi="Cambria"/>
                <w:sz w:val="20"/>
              </w:rPr>
              <w:t>Blinding</w:t>
            </w:r>
          </w:p>
        </w:tc>
        <w:tc>
          <w:tcPr>
            <w:tcW w:w="3593" w:type="dxa"/>
          </w:tcPr>
          <w:p w:rsidR="00E8388F" w:rsidRPr="00E00C40" w:rsidRDefault="00E8388F" w:rsidP="00E8388F">
            <w:pPr>
              <w:pStyle w:val="table"/>
              <w:rPr>
                <w:rFonts w:ascii="Cambria" w:hAnsi="Cambria"/>
                <w:sz w:val="20"/>
              </w:rPr>
            </w:pPr>
            <w:r w:rsidRPr="00E00C40">
              <w:rPr>
                <w:rFonts w:ascii="Cambria" w:hAnsi="Cambria"/>
                <w:sz w:val="20"/>
              </w:rPr>
              <w:t>Open-label</w:t>
            </w:r>
          </w:p>
        </w:tc>
        <w:tc>
          <w:tcPr>
            <w:tcW w:w="3778" w:type="dxa"/>
          </w:tcPr>
          <w:p w:rsidR="00E8388F" w:rsidRPr="00E00C40" w:rsidRDefault="00E8388F" w:rsidP="00E8388F">
            <w:pPr>
              <w:pStyle w:val="table"/>
              <w:rPr>
                <w:rFonts w:ascii="Cambria" w:hAnsi="Cambria"/>
                <w:sz w:val="20"/>
              </w:rPr>
            </w:pPr>
            <w:r w:rsidRPr="00E00C40">
              <w:rPr>
                <w:rFonts w:ascii="Cambria" w:hAnsi="Cambria"/>
                <w:sz w:val="20"/>
              </w:rPr>
              <w:t>Blinded</w:t>
            </w:r>
          </w:p>
        </w:tc>
      </w:tr>
      <w:tr w:rsidR="00E8388F" w:rsidTr="00F94BE4">
        <w:tc>
          <w:tcPr>
            <w:tcW w:w="1241" w:type="dxa"/>
          </w:tcPr>
          <w:p w:rsidR="00E8388F" w:rsidRPr="00E00C40" w:rsidRDefault="00E8388F" w:rsidP="00E8388F">
            <w:pPr>
              <w:pStyle w:val="table"/>
              <w:rPr>
                <w:rFonts w:ascii="Cambria" w:hAnsi="Cambria"/>
                <w:sz w:val="20"/>
              </w:rPr>
            </w:pPr>
            <w:r w:rsidRPr="00E00C40">
              <w:rPr>
                <w:rFonts w:ascii="Cambria" w:hAnsi="Cambria"/>
                <w:sz w:val="20"/>
              </w:rPr>
              <w:t>Dose regimen</w:t>
            </w:r>
          </w:p>
        </w:tc>
        <w:tc>
          <w:tcPr>
            <w:tcW w:w="3593" w:type="dxa"/>
          </w:tcPr>
          <w:p w:rsidR="00E8388F" w:rsidRPr="00E00C40" w:rsidRDefault="00E8388F" w:rsidP="00E8388F">
            <w:pPr>
              <w:pStyle w:val="table"/>
              <w:rPr>
                <w:rFonts w:ascii="Cambria" w:hAnsi="Cambria"/>
                <w:sz w:val="20"/>
              </w:rPr>
            </w:pPr>
            <w:r w:rsidRPr="00E00C40">
              <w:rPr>
                <w:rFonts w:ascii="Cambria" w:hAnsi="Cambria"/>
                <w:sz w:val="20"/>
                <w:lang w:eastAsia="en-AU"/>
              </w:rPr>
              <w:t>Starting dose was same dose as patient’s pre-study basal insulin</w:t>
            </w:r>
          </w:p>
        </w:tc>
        <w:tc>
          <w:tcPr>
            <w:tcW w:w="3778" w:type="dxa"/>
          </w:tcPr>
          <w:p w:rsidR="00E8388F" w:rsidRPr="00E00C40" w:rsidRDefault="00E8388F" w:rsidP="00E8388F">
            <w:pPr>
              <w:pStyle w:val="table"/>
              <w:rPr>
                <w:rFonts w:ascii="Cambria" w:hAnsi="Cambria"/>
                <w:sz w:val="20"/>
                <w:lang w:eastAsia="en-AU"/>
              </w:rPr>
            </w:pPr>
            <w:r w:rsidRPr="00E00C40">
              <w:rPr>
                <w:rFonts w:ascii="Cambria" w:hAnsi="Cambria"/>
                <w:sz w:val="20"/>
                <w:lang w:eastAsia="en-AU"/>
              </w:rPr>
              <w:t>Starting dose was same dose as patient’s pre-study basal insulin; or</w:t>
            </w:r>
          </w:p>
          <w:p w:rsidR="00E8388F" w:rsidRPr="00E00C40" w:rsidRDefault="00E8388F" w:rsidP="00E8388F">
            <w:pPr>
              <w:pStyle w:val="table"/>
              <w:rPr>
                <w:rFonts w:ascii="Cambria" w:hAnsi="Cambria"/>
                <w:sz w:val="20"/>
              </w:rPr>
            </w:pPr>
            <w:r w:rsidRPr="00E00C40">
              <w:rPr>
                <w:rFonts w:ascii="Cambria" w:hAnsi="Cambria"/>
                <w:sz w:val="20"/>
                <w:lang w:eastAsia="en-AU"/>
              </w:rPr>
              <w:t>if insulin naive: 10 U QD</w:t>
            </w:r>
          </w:p>
        </w:tc>
      </w:tr>
      <w:tr w:rsidR="00E8388F" w:rsidTr="00F94BE4">
        <w:tc>
          <w:tcPr>
            <w:tcW w:w="1241" w:type="dxa"/>
          </w:tcPr>
          <w:p w:rsidR="00E8388F" w:rsidRPr="00E00C40" w:rsidRDefault="00E8388F" w:rsidP="00E8388F">
            <w:pPr>
              <w:pStyle w:val="table"/>
              <w:rPr>
                <w:rFonts w:ascii="Cambria" w:hAnsi="Cambria"/>
                <w:sz w:val="20"/>
              </w:rPr>
            </w:pPr>
            <w:r w:rsidRPr="00E00C40">
              <w:rPr>
                <w:rFonts w:ascii="Cambria" w:hAnsi="Cambria"/>
                <w:sz w:val="20"/>
              </w:rPr>
              <w:t>Inclusion criteria</w:t>
            </w:r>
          </w:p>
        </w:tc>
        <w:tc>
          <w:tcPr>
            <w:tcW w:w="3593" w:type="dxa"/>
          </w:tcPr>
          <w:p w:rsidR="00E8388F" w:rsidRPr="00E00C40" w:rsidRDefault="00E8388F" w:rsidP="00E8388F">
            <w:pPr>
              <w:pStyle w:val="table"/>
              <w:rPr>
                <w:rFonts w:ascii="Cambria" w:hAnsi="Cambria"/>
                <w:sz w:val="20"/>
                <w:lang w:eastAsia="en-AU"/>
              </w:rPr>
            </w:pPr>
            <w:r w:rsidRPr="00E00C40">
              <w:rPr>
                <w:rFonts w:ascii="Cambria" w:hAnsi="Cambria"/>
                <w:sz w:val="20"/>
                <w:lang w:eastAsia="en-AU"/>
              </w:rPr>
              <w:t>men and women</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18+ years</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BMI&lt;35 kg/m</w:t>
            </w:r>
            <w:r w:rsidRPr="00E00C40">
              <w:rPr>
                <w:rFonts w:ascii="Cambria" w:hAnsi="Cambria"/>
                <w:sz w:val="20"/>
                <w:vertAlign w:val="superscript"/>
                <w:lang w:eastAsia="en-AU"/>
              </w:rPr>
              <w:t>2</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HbA1c&lt;11%</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On basal-bolus insulin&gt;1 year</w:t>
            </w:r>
          </w:p>
          <w:p w:rsidR="00E8388F" w:rsidRPr="00E00C40" w:rsidRDefault="00E8388F" w:rsidP="00E8388F">
            <w:pPr>
              <w:pStyle w:val="table"/>
              <w:rPr>
                <w:rFonts w:ascii="Cambria" w:hAnsi="Cambria"/>
                <w:sz w:val="20"/>
                <w:lang w:eastAsia="en-AU"/>
              </w:rPr>
            </w:pPr>
          </w:p>
          <w:p w:rsidR="00E8388F" w:rsidRPr="00E00C40" w:rsidRDefault="00F51F59" w:rsidP="00F51F59">
            <w:pPr>
              <w:pStyle w:val="table"/>
              <w:rPr>
                <w:rFonts w:ascii="Cambria" w:hAnsi="Cambria"/>
                <w:sz w:val="20"/>
                <w:lang w:eastAsia="en-AU"/>
              </w:rPr>
            </w:pPr>
            <w:r>
              <w:rPr>
                <w:rFonts w:ascii="Cambria" w:hAnsi="Cambria"/>
                <w:sz w:val="20"/>
                <w:lang w:eastAsia="en-AU"/>
              </w:rPr>
              <w:t>That is</w:t>
            </w:r>
            <w:r w:rsidR="00E8388F" w:rsidRPr="00E00C40">
              <w:rPr>
                <w:rFonts w:ascii="Cambria" w:hAnsi="Cambria"/>
                <w:sz w:val="20"/>
                <w:lang w:eastAsia="en-AU"/>
              </w:rPr>
              <w:t xml:space="preserve">, well-controlled T1D patients managed on </w:t>
            </w:r>
            <w:r w:rsidR="00D54BAC" w:rsidRPr="00E00C40">
              <w:rPr>
                <w:rFonts w:ascii="Cambria" w:hAnsi="Cambria"/>
                <w:sz w:val="20"/>
                <w:lang w:eastAsia="en-AU"/>
              </w:rPr>
              <w:t>Lantus</w:t>
            </w:r>
            <w:r w:rsidR="00E8388F" w:rsidRPr="00E00C40">
              <w:rPr>
                <w:rFonts w:ascii="Cambria" w:hAnsi="Cambria"/>
                <w:sz w:val="20"/>
                <w:lang w:eastAsia="en-AU"/>
              </w:rPr>
              <w:t xml:space="preserve">, NPH insulin or insulin </w:t>
            </w:r>
            <w:proofErr w:type="spellStart"/>
            <w:r w:rsidR="00E8388F" w:rsidRPr="00E00C40">
              <w:rPr>
                <w:rFonts w:ascii="Cambria" w:hAnsi="Cambria"/>
                <w:sz w:val="20"/>
                <w:lang w:eastAsia="en-AU"/>
              </w:rPr>
              <w:t>detemir</w:t>
            </w:r>
            <w:proofErr w:type="spellEnd"/>
          </w:p>
        </w:tc>
        <w:tc>
          <w:tcPr>
            <w:tcW w:w="3778" w:type="dxa"/>
          </w:tcPr>
          <w:p w:rsidR="00E8388F" w:rsidRPr="00E00C40" w:rsidRDefault="00E8388F" w:rsidP="00E8388F">
            <w:pPr>
              <w:pStyle w:val="table"/>
              <w:rPr>
                <w:rFonts w:ascii="Cambria" w:hAnsi="Cambria"/>
                <w:sz w:val="20"/>
                <w:lang w:eastAsia="en-AU"/>
              </w:rPr>
            </w:pPr>
            <w:r w:rsidRPr="00E00C40">
              <w:rPr>
                <w:rFonts w:ascii="Cambria" w:hAnsi="Cambria"/>
                <w:sz w:val="20"/>
                <w:lang w:eastAsia="en-AU"/>
              </w:rPr>
              <w:t>men and women</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18+ years</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BMI&lt;45 kg/m</w:t>
            </w:r>
            <w:r w:rsidRPr="00E00C40">
              <w:rPr>
                <w:rFonts w:ascii="Cambria" w:hAnsi="Cambria"/>
                <w:sz w:val="20"/>
                <w:vertAlign w:val="superscript"/>
                <w:lang w:eastAsia="en-AU"/>
              </w:rPr>
              <w:t>2</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HbA1c: 7%-11%, if insulin naïve</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 xml:space="preserve">HbA1c&lt;11% if pre-study </w:t>
            </w:r>
            <w:r w:rsidR="00D54BAC" w:rsidRPr="00E00C40">
              <w:rPr>
                <w:rFonts w:ascii="Cambria" w:hAnsi="Cambria"/>
                <w:sz w:val="20"/>
                <w:lang w:eastAsia="en-AU"/>
              </w:rPr>
              <w:t>Lantus</w:t>
            </w:r>
          </w:p>
          <w:p w:rsidR="00E8388F" w:rsidRPr="00E00C40" w:rsidRDefault="00E8388F" w:rsidP="00E8388F">
            <w:pPr>
              <w:pStyle w:val="table"/>
              <w:rPr>
                <w:rFonts w:ascii="Cambria" w:hAnsi="Cambria"/>
                <w:sz w:val="20"/>
                <w:lang w:eastAsia="en-AU"/>
              </w:rPr>
            </w:pPr>
            <w:r w:rsidRPr="00E00C40">
              <w:rPr>
                <w:rFonts w:ascii="Cambria" w:hAnsi="Cambria"/>
                <w:sz w:val="20"/>
                <w:lang w:eastAsia="en-AU"/>
              </w:rPr>
              <w:t>2+ oral anti-diabetic medications</w:t>
            </w:r>
          </w:p>
          <w:p w:rsidR="00E8388F" w:rsidRPr="00E00C40" w:rsidRDefault="00F51F59" w:rsidP="00F51F59">
            <w:pPr>
              <w:pStyle w:val="table"/>
              <w:rPr>
                <w:rFonts w:ascii="Cambria" w:hAnsi="Cambria"/>
                <w:sz w:val="20"/>
                <w:lang w:eastAsia="en-AU"/>
              </w:rPr>
            </w:pPr>
            <w:r>
              <w:rPr>
                <w:rFonts w:ascii="Cambria" w:hAnsi="Cambria"/>
                <w:sz w:val="20"/>
                <w:lang w:eastAsia="en-AU"/>
              </w:rPr>
              <w:t>That is</w:t>
            </w:r>
            <w:r w:rsidR="00E8388F" w:rsidRPr="00E00C40">
              <w:rPr>
                <w:rFonts w:ascii="Cambria" w:hAnsi="Cambria"/>
                <w:sz w:val="20"/>
                <w:lang w:eastAsia="en-AU"/>
              </w:rPr>
              <w:t xml:space="preserve">, well-controlled T2D patients managed on 2+ oral anti-diabetic medications and who were either insulin naïve or treated with </w:t>
            </w:r>
            <w:r w:rsidR="00D54BAC" w:rsidRPr="00E00C40">
              <w:rPr>
                <w:rFonts w:ascii="Cambria" w:hAnsi="Cambria"/>
                <w:sz w:val="20"/>
                <w:lang w:eastAsia="en-AU"/>
              </w:rPr>
              <w:t>Lantus</w:t>
            </w:r>
          </w:p>
        </w:tc>
      </w:tr>
    </w:tbl>
    <w:p w:rsidR="00E8388F" w:rsidRPr="00241831" w:rsidRDefault="00E00C40" w:rsidP="00E00C40">
      <w:pPr>
        <w:pStyle w:val="TableTitle"/>
        <w:rPr>
          <w:lang w:eastAsia="en-AU"/>
        </w:rPr>
      </w:pPr>
      <w:r>
        <w:rPr>
          <w:lang w:eastAsia="en-AU"/>
        </w:rPr>
        <w:lastRenderedPageBreak/>
        <w:t>Table 1</w:t>
      </w:r>
      <w:r w:rsidR="00E50E1B">
        <w:rPr>
          <w:lang w:eastAsia="en-AU"/>
        </w:rPr>
        <w:t>6</w:t>
      </w:r>
      <w:r>
        <w:rPr>
          <w:lang w:eastAsia="en-AU"/>
        </w:rPr>
        <w:t xml:space="preserve">: </w:t>
      </w:r>
      <w:r w:rsidR="00E8388F" w:rsidRPr="00241831">
        <w:rPr>
          <w:lang w:eastAsia="en-AU"/>
        </w:rPr>
        <w:t>Baseline characteristics</w:t>
      </w:r>
    </w:p>
    <w:tbl>
      <w:tblPr>
        <w:tblStyle w:val="TableTGAblue"/>
        <w:tblW w:w="0" w:type="auto"/>
        <w:tblLook w:val="04A0" w:firstRow="1" w:lastRow="0" w:firstColumn="1" w:lastColumn="0" w:noHBand="0" w:noVBand="1"/>
      </w:tblPr>
      <w:tblGrid>
        <w:gridCol w:w="1560"/>
        <w:gridCol w:w="1210"/>
        <w:gridCol w:w="1137"/>
        <w:gridCol w:w="1210"/>
        <w:gridCol w:w="1204"/>
      </w:tblGrid>
      <w:tr w:rsidR="00E8388F" w:rsidTr="00F94BE4">
        <w:trPr>
          <w:cnfStyle w:val="100000000000" w:firstRow="1" w:lastRow="0" w:firstColumn="0" w:lastColumn="0" w:oddVBand="0" w:evenVBand="0" w:oddHBand="0" w:evenHBand="0" w:firstRowFirstColumn="0" w:firstRowLastColumn="0" w:lastRowFirstColumn="0" w:lastRowLastColumn="0"/>
        </w:trPr>
        <w:tc>
          <w:tcPr>
            <w:tcW w:w="1560" w:type="dxa"/>
          </w:tcPr>
          <w:p w:rsidR="00E8388F" w:rsidRPr="00E00C40" w:rsidRDefault="00E8388F" w:rsidP="00E8388F">
            <w:pPr>
              <w:pStyle w:val="table"/>
              <w:rPr>
                <w:rFonts w:asciiTheme="minorHAnsi" w:hAnsiTheme="minorHAnsi"/>
                <w:b w:val="0"/>
                <w:sz w:val="20"/>
              </w:rPr>
            </w:pPr>
          </w:p>
        </w:tc>
        <w:tc>
          <w:tcPr>
            <w:tcW w:w="234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ABEB (T1DM) n=535</w:t>
            </w:r>
          </w:p>
        </w:tc>
        <w:tc>
          <w:tcPr>
            <w:tcW w:w="2414"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ABEC (T2DM) n=756</w:t>
            </w:r>
          </w:p>
        </w:tc>
      </w:tr>
      <w:tr w:rsidR="00E8388F" w:rsidTr="00F94BE4">
        <w:tc>
          <w:tcPr>
            <w:tcW w:w="1560" w:type="dxa"/>
          </w:tcPr>
          <w:p w:rsidR="00E8388F" w:rsidRPr="00E00C40" w:rsidRDefault="00E8388F" w:rsidP="00E8388F">
            <w:pPr>
              <w:pStyle w:val="table"/>
              <w:rPr>
                <w:rFonts w:asciiTheme="minorHAnsi" w:hAnsiTheme="minorHAnsi"/>
                <w:sz w:val="20"/>
              </w:rPr>
            </w:pPr>
          </w:p>
        </w:tc>
        <w:tc>
          <w:tcPr>
            <w:tcW w:w="1210" w:type="dxa"/>
          </w:tcPr>
          <w:p w:rsidR="00E8388F" w:rsidRPr="00E00C40" w:rsidRDefault="00EC7E12" w:rsidP="00E8388F">
            <w:pPr>
              <w:pStyle w:val="table"/>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n=268</w:t>
            </w:r>
          </w:p>
        </w:tc>
        <w:tc>
          <w:tcPr>
            <w:tcW w:w="1137"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Lantus n=267</w:t>
            </w:r>
          </w:p>
        </w:tc>
        <w:tc>
          <w:tcPr>
            <w:tcW w:w="1210" w:type="dxa"/>
          </w:tcPr>
          <w:p w:rsidR="00E8388F" w:rsidRPr="00E00C40" w:rsidRDefault="00EC7E12" w:rsidP="00E8388F">
            <w:pPr>
              <w:pStyle w:val="table"/>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n=376</w:t>
            </w:r>
          </w:p>
        </w:tc>
        <w:tc>
          <w:tcPr>
            <w:tcW w:w="1204"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Lantus n=380</w:t>
            </w:r>
          </w:p>
        </w:tc>
      </w:tr>
      <w:tr w:rsidR="00E8388F" w:rsidTr="00F94BE4">
        <w:tc>
          <w:tcPr>
            <w:tcW w:w="156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Age (years)</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Mean</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Min, Max</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41</w:t>
            </w:r>
          </w:p>
          <w:p w:rsidR="00E8388F" w:rsidRPr="00E00C40" w:rsidRDefault="00E8388F" w:rsidP="00E8388F">
            <w:pPr>
              <w:pStyle w:val="table"/>
              <w:rPr>
                <w:rFonts w:asciiTheme="minorHAnsi" w:hAnsiTheme="minorHAnsi"/>
                <w:sz w:val="20"/>
              </w:rPr>
            </w:pPr>
            <w:r w:rsidRPr="00E00C40">
              <w:rPr>
                <w:rFonts w:asciiTheme="minorHAnsi" w:hAnsiTheme="minorHAnsi"/>
                <w:sz w:val="20"/>
              </w:rPr>
              <w:t>18, 81</w:t>
            </w:r>
          </w:p>
        </w:tc>
        <w:tc>
          <w:tcPr>
            <w:tcW w:w="1137"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41</w:t>
            </w:r>
          </w:p>
          <w:p w:rsidR="00E8388F" w:rsidRPr="00E00C40" w:rsidRDefault="00E8388F" w:rsidP="00E8388F">
            <w:pPr>
              <w:pStyle w:val="table"/>
              <w:rPr>
                <w:rFonts w:asciiTheme="minorHAnsi" w:hAnsiTheme="minorHAnsi"/>
                <w:sz w:val="20"/>
              </w:rPr>
            </w:pPr>
            <w:r w:rsidRPr="00E00C40">
              <w:rPr>
                <w:rFonts w:asciiTheme="minorHAnsi" w:hAnsiTheme="minorHAnsi"/>
                <w:sz w:val="20"/>
              </w:rPr>
              <w:t>20, 72</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59</w:t>
            </w:r>
          </w:p>
          <w:p w:rsidR="00E8388F" w:rsidRPr="00E00C40" w:rsidRDefault="00E8388F" w:rsidP="00E8388F">
            <w:pPr>
              <w:pStyle w:val="table"/>
              <w:rPr>
                <w:rFonts w:asciiTheme="minorHAnsi" w:hAnsiTheme="minorHAnsi"/>
                <w:sz w:val="20"/>
              </w:rPr>
            </w:pPr>
            <w:r w:rsidRPr="00E00C40">
              <w:rPr>
                <w:rFonts w:asciiTheme="minorHAnsi" w:hAnsiTheme="minorHAnsi"/>
                <w:sz w:val="20"/>
              </w:rPr>
              <w:t>23, 84</w:t>
            </w:r>
          </w:p>
        </w:tc>
        <w:tc>
          <w:tcPr>
            <w:tcW w:w="1204"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59</w:t>
            </w:r>
          </w:p>
          <w:p w:rsidR="00E8388F" w:rsidRPr="00E00C40" w:rsidRDefault="00E8388F" w:rsidP="00E8388F">
            <w:pPr>
              <w:pStyle w:val="table"/>
              <w:rPr>
                <w:rFonts w:asciiTheme="minorHAnsi" w:hAnsiTheme="minorHAnsi"/>
                <w:sz w:val="20"/>
              </w:rPr>
            </w:pPr>
            <w:r w:rsidRPr="00E00C40">
              <w:rPr>
                <w:rFonts w:asciiTheme="minorHAnsi" w:hAnsiTheme="minorHAnsi"/>
                <w:sz w:val="20"/>
              </w:rPr>
              <w:t>27, 82</w:t>
            </w:r>
          </w:p>
        </w:tc>
      </w:tr>
      <w:tr w:rsidR="00E8388F" w:rsidTr="00F94BE4">
        <w:tc>
          <w:tcPr>
            <w:tcW w:w="156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Men (%)</w:t>
            </w:r>
          </w:p>
        </w:tc>
        <w:tc>
          <w:tcPr>
            <w:tcW w:w="121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58%</w:t>
            </w:r>
          </w:p>
        </w:tc>
        <w:tc>
          <w:tcPr>
            <w:tcW w:w="1137"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58%</w:t>
            </w:r>
          </w:p>
        </w:tc>
        <w:tc>
          <w:tcPr>
            <w:tcW w:w="121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48%</w:t>
            </w:r>
          </w:p>
        </w:tc>
        <w:tc>
          <w:tcPr>
            <w:tcW w:w="1204"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52%</w:t>
            </w:r>
          </w:p>
        </w:tc>
      </w:tr>
      <w:tr w:rsidR="00E8388F" w:rsidTr="00F94BE4">
        <w:tc>
          <w:tcPr>
            <w:tcW w:w="156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Duration of diabetes (years)</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Mean</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Min, Max</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16</w:t>
            </w:r>
          </w:p>
          <w:p w:rsidR="00E8388F" w:rsidRPr="00E00C40" w:rsidRDefault="00E8388F" w:rsidP="00E8388F">
            <w:pPr>
              <w:pStyle w:val="table"/>
              <w:rPr>
                <w:rFonts w:asciiTheme="minorHAnsi" w:hAnsiTheme="minorHAnsi"/>
                <w:sz w:val="20"/>
              </w:rPr>
            </w:pPr>
            <w:r w:rsidRPr="00E00C40">
              <w:rPr>
                <w:rFonts w:asciiTheme="minorHAnsi" w:hAnsiTheme="minorHAnsi"/>
                <w:sz w:val="20"/>
              </w:rPr>
              <w:t>1, 54</w:t>
            </w:r>
          </w:p>
        </w:tc>
        <w:tc>
          <w:tcPr>
            <w:tcW w:w="1137"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17</w:t>
            </w:r>
          </w:p>
          <w:p w:rsidR="00E8388F" w:rsidRPr="00E00C40" w:rsidRDefault="00E8388F" w:rsidP="00E8388F">
            <w:pPr>
              <w:pStyle w:val="table"/>
              <w:rPr>
                <w:rFonts w:asciiTheme="minorHAnsi" w:hAnsiTheme="minorHAnsi"/>
                <w:sz w:val="20"/>
              </w:rPr>
            </w:pPr>
            <w:r w:rsidRPr="00E00C40">
              <w:rPr>
                <w:rFonts w:asciiTheme="minorHAnsi" w:hAnsiTheme="minorHAnsi"/>
                <w:sz w:val="20"/>
              </w:rPr>
              <w:t>1,55</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12</w:t>
            </w:r>
          </w:p>
          <w:p w:rsidR="00E8388F" w:rsidRPr="00E00C40" w:rsidRDefault="00E8388F" w:rsidP="00E8388F">
            <w:pPr>
              <w:pStyle w:val="table"/>
              <w:rPr>
                <w:rFonts w:asciiTheme="minorHAnsi" w:hAnsiTheme="minorHAnsi"/>
                <w:sz w:val="20"/>
              </w:rPr>
            </w:pPr>
            <w:r w:rsidRPr="00E00C40">
              <w:rPr>
                <w:rFonts w:asciiTheme="minorHAnsi" w:hAnsiTheme="minorHAnsi"/>
                <w:sz w:val="20"/>
              </w:rPr>
              <w:t>0.5, 40</w:t>
            </w:r>
          </w:p>
        </w:tc>
        <w:tc>
          <w:tcPr>
            <w:tcW w:w="1204"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11</w:t>
            </w:r>
          </w:p>
          <w:p w:rsidR="00E8388F" w:rsidRPr="00E00C40" w:rsidRDefault="00E8388F" w:rsidP="00E8388F">
            <w:pPr>
              <w:pStyle w:val="table"/>
              <w:rPr>
                <w:rFonts w:asciiTheme="minorHAnsi" w:hAnsiTheme="minorHAnsi"/>
                <w:sz w:val="20"/>
              </w:rPr>
            </w:pPr>
            <w:r w:rsidRPr="00E00C40">
              <w:rPr>
                <w:rFonts w:asciiTheme="minorHAnsi" w:hAnsiTheme="minorHAnsi"/>
                <w:sz w:val="20"/>
              </w:rPr>
              <w:t>0.4, 34</w:t>
            </w:r>
          </w:p>
        </w:tc>
      </w:tr>
      <w:tr w:rsidR="00E8388F" w:rsidTr="00F94BE4">
        <w:tc>
          <w:tcPr>
            <w:tcW w:w="156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BMI (kg/m</w:t>
            </w:r>
            <w:r w:rsidRPr="00E00C40">
              <w:rPr>
                <w:rFonts w:asciiTheme="minorHAnsi" w:hAnsiTheme="minorHAnsi"/>
                <w:sz w:val="20"/>
                <w:vertAlign w:val="superscript"/>
              </w:rPr>
              <w:t>2</w:t>
            </w:r>
            <w:r w:rsidRPr="00E00C40">
              <w:rPr>
                <w:rFonts w:asciiTheme="minorHAnsi" w:hAnsiTheme="minorHAnsi"/>
                <w:sz w:val="20"/>
              </w:rPr>
              <w:t>)</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Mean</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Min, Max</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26</w:t>
            </w:r>
          </w:p>
          <w:p w:rsidR="00E8388F" w:rsidRPr="00E00C40" w:rsidRDefault="00E8388F" w:rsidP="00E8388F">
            <w:pPr>
              <w:pStyle w:val="table"/>
              <w:rPr>
                <w:rFonts w:asciiTheme="minorHAnsi" w:hAnsiTheme="minorHAnsi"/>
                <w:sz w:val="20"/>
              </w:rPr>
            </w:pPr>
            <w:r w:rsidRPr="00E00C40">
              <w:rPr>
                <w:rFonts w:asciiTheme="minorHAnsi" w:hAnsiTheme="minorHAnsi"/>
                <w:sz w:val="20"/>
              </w:rPr>
              <w:t>17, 38</w:t>
            </w:r>
          </w:p>
        </w:tc>
        <w:tc>
          <w:tcPr>
            <w:tcW w:w="1137"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25</w:t>
            </w:r>
          </w:p>
          <w:p w:rsidR="00E8388F" w:rsidRPr="00E00C40" w:rsidRDefault="00E8388F" w:rsidP="00E8388F">
            <w:pPr>
              <w:pStyle w:val="table"/>
              <w:rPr>
                <w:rFonts w:asciiTheme="minorHAnsi" w:hAnsiTheme="minorHAnsi"/>
                <w:sz w:val="20"/>
              </w:rPr>
            </w:pPr>
            <w:r w:rsidRPr="00E00C40">
              <w:rPr>
                <w:rFonts w:asciiTheme="minorHAnsi" w:hAnsiTheme="minorHAnsi"/>
                <w:sz w:val="20"/>
              </w:rPr>
              <w:t>19, 36</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32</w:t>
            </w:r>
          </w:p>
          <w:p w:rsidR="00E8388F" w:rsidRPr="00E00C40" w:rsidRDefault="00E8388F" w:rsidP="00E8388F">
            <w:pPr>
              <w:pStyle w:val="table"/>
              <w:rPr>
                <w:rFonts w:asciiTheme="minorHAnsi" w:hAnsiTheme="minorHAnsi"/>
                <w:sz w:val="20"/>
              </w:rPr>
            </w:pPr>
            <w:r w:rsidRPr="00E00C40">
              <w:rPr>
                <w:rFonts w:asciiTheme="minorHAnsi" w:hAnsiTheme="minorHAnsi"/>
                <w:sz w:val="20"/>
              </w:rPr>
              <w:t>20, 46</w:t>
            </w:r>
          </w:p>
        </w:tc>
        <w:tc>
          <w:tcPr>
            <w:tcW w:w="1204"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32</w:t>
            </w:r>
          </w:p>
          <w:p w:rsidR="00E8388F" w:rsidRPr="00E00C40" w:rsidRDefault="00E8388F" w:rsidP="00E8388F">
            <w:pPr>
              <w:pStyle w:val="table"/>
              <w:rPr>
                <w:rFonts w:asciiTheme="minorHAnsi" w:hAnsiTheme="minorHAnsi"/>
                <w:sz w:val="20"/>
              </w:rPr>
            </w:pPr>
            <w:r w:rsidRPr="00E00C40">
              <w:rPr>
                <w:rFonts w:asciiTheme="minorHAnsi" w:hAnsiTheme="minorHAnsi"/>
                <w:sz w:val="20"/>
              </w:rPr>
              <w:t>20, 46</w:t>
            </w:r>
          </w:p>
        </w:tc>
      </w:tr>
      <w:tr w:rsidR="00E8388F" w:rsidTr="00F94BE4">
        <w:tc>
          <w:tcPr>
            <w:tcW w:w="156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HbA1c (%)</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Mean</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Min, Max</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7.8</w:t>
            </w:r>
          </w:p>
          <w:p w:rsidR="00E8388F" w:rsidRPr="00E00C40" w:rsidRDefault="00E8388F" w:rsidP="00E8388F">
            <w:pPr>
              <w:pStyle w:val="table"/>
              <w:rPr>
                <w:rFonts w:asciiTheme="minorHAnsi" w:hAnsiTheme="minorHAnsi"/>
                <w:sz w:val="20"/>
              </w:rPr>
            </w:pPr>
            <w:r w:rsidRPr="00E00C40">
              <w:rPr>
                <w:rFonts w:asciiTheme="minorHAnsi" w:hAnsiTheme="minorHAnsi"/>
                <w:sz w:val="20"/>
              </w:rPr>
              <w:t>4.8, 11.5</w:t>
            </w:r>
          </w:p>
        </w:tc>
        <w:tc>
          <w:tcPr>
            <w:tcW w:w="1137"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7.8</w:t>
            </w:r>
          </w:p>
          <w:p w:rsidR="00E8388F" w:rsidRPr="00E00C40" w:rsidRDefault="00E8388F" w:rsidP="00E8388F">
            <w:pPr>
              <w:pStyle w:val="table"/>
              <w:rPr>
                <w:rFonts w:asciiTheme="minorHAnsi" w:hAnsiTheme="minorHAnsi"/>
                <w:sz w:val="20"/>
              </w:rPr>
            </w:pPr>
            <w:r w:rsidRPr="00E00C40">
              <w:rPr>
                <w:rFonts w:asciiTheme="minorHAnsi" w:hAnsiTheme="minorHAnsi"/>
                <w:sz w:val="20"/>
              </w:rPr>
              <w:t>5.2, 10.3</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8.3</w:t>
            </w:r>
          </w:p>
          <w:p w:rsidR="00E8388F" w:rsidRPr="00E00C40" w:rsidRDefault="00E8388F" w:rsidP="00E8388F">
            <w:pPr>
              <w:pStyle w:val="table"/>
              <w:rPr>
                <w:rFonts w:asciiTheme="minorHAnsi" w:hAnsiTheme="minorHAnsi"/>
                <w:sz w:val="20"/>
              </w:rPr>
            </w:pPr>
            <w:r w:rsidRPr="00E00C40">
              <w:rPr>
                <w:rFonts w:asciiTheme="minorHAnsi" w:hAnsiTheme="minorHAnsi"/>
                <w:sz w:val="20"/>
              </w:rPr>
              <w:t>4.9, 11.3</w:t>
            </w:r>
          </w:p>
        </w:tc>
        <w:tc>
          <w:tcPr>
            <w:tcW w:w="1204"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8.3</w:t>
            </w:r>
          </w:p>
          <w:p w:rsidR="00E8388F" w:rsidRPr="00E00C40" w:rsidRDefault="00E8388F" w:rsidP="00E8388F">
            <w:pPr>
              <w:pStyle w:val="table"/>
              <w:rPr>
                <w:rFonts w:asciiTheme="minorHAnsi" w:hAnsiTheme="minorHAnsi"/>
                <w:sz w:val="20"/>
              </w:rPr>
            </w:pPr>
            <w:r w:rsidRPr="00E00C40">
              <w:rPr>
                <w:rFonts w:asciiTheme="minorHAnsi" w:hAnsiTheme="minorHAnsi"/>
                <w:sz w:val="20"/>
              </w:rPr>
              <w:t>5.9, 11.2</w:t>
            </w:r>
          </w:p>
        </w:tc>
      </w:tr>
      <w:tr w:rsidR="00E8388F" w:rsidTr="00F94BE4">
        <w:tc>
          <w:tcPr>
            <w:tcW w:w="156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Entry basal insulin (%)</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D54BAC" w:rsidRPr="00E00C40">
              <w:rPr>
                <w:rFonts w:asciiTheme="minorHAnsi" w:hAnsiTheme="minorHAnsi"/>
                <w:sz w:val="20"/>
              </w:rPr>
              <w:t>Lantus</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None</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Other</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81</w:t>
            </w:r>
          </w:p>
          <w:p w:rsidR="00E8388F" w:rsidRPr="00E00C40" w:rsidRDefault="00E8388F" w:rsidP="00E8388F">
            <w:pPr>
              <w:pStyle w:val="table"/>
              <w:rPr>
                <w:rFonts w:asciiTheme="minorHAnsi" w:hAnsiTheme="minorHAnsi"/>
                <w:sz w:val="20"/>
              </w:rPr>
            </w:pPr>
            <w:r w:rsidRPr="00E00C40">
              <w:rPr>
                <w:rFonts w:asciiTheme="minorHAnsi" w:hAnsiTheme="minorHAnsi"/>
                <w:sz w:val="20"/>
              </w:rPr>
              <w:t>0</w:t>
            </w:r>
          </w:p>
          <w:p w:rsidR="00E8388F" w:rsidRPr="00E00C40" w:rsidRDefault="00E8388F" w:rsidP="00E8388F">
            <w:pPr>
              <w:pStyle w:val="table"/>
              <w:rPr>
                <w:rFonts w:asciiTheme="minorHAnsi" w:hAnsiTheme="minorHAnsi"/>
                <w:sz w:val="20"/>
              </w:rPr>
            </w:pPr>
            <w:r w:rsidRPr="00E00C40">
              <w:rPr>
                <w:rFonts w:asciiTheme="minorHAnsi" w:hAnsiTheme="minorHAnsi"/>
                <w:sz w:val="20"/>
              </w:rPr>
              <w:t>19</w:t>
            </w:r>
          </w:p>
        </w:tc>
        <w:tc>
          <w:tcPr>
            <w:tcW w:w="1137"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88</w:t>
            </w:r>
          </w:p>
          <w:p w:rsidR="00E8388F" w:rsidRPr="00E00C40" w:rsidRDefault="00E8388F" w:rsidP="00E8388F">
            <w:pPr>
              <w:pStyle w:val="table"/>
              <w:rPr>
                <w:rFonts w:asciiTheme="minorHAnsi" w:hAnsiTheme="minorHAnsi"/>
                <w:sz w:val="20"/>
              </w:rPr>
            </w:pPr>
            <w:r w:rsidRPr="00E00C40">
              <w:rPr>
                <w:rFonts w:asciiTheme="minorHAnsi" w:hAnsiTheme="minorHAnsi"/>
                <w:sz w:val="20"/>
              </w:rPr>
              <w:t>0</w:t>
            </w:r>
          </w:p>
          <w:p w:rsidR="00E8388F" w:rsidRPr="00E00C40" w:rsidRDefault="00E8388F" w:rsidP="00E8388F">
            <w:pPr>
              <w:pStyle w:val="table"/>
              <w:rPr>
                <w:rFonts w:asciiTheme="minorHAnsi" w:hAnsiTheme="minorHAnsi"/>
                <w:sz w:val="20"/>
              </w:rPr>
            </w:pPr>
            <w:r w:rsidRPr="00E00C40">
              <w:rPr>
                <w:rFonts w:asciiTheme="minorHAnsi" w:hAnsiTheme="minorHAnsi"/>
                <w:sz w:val="20"/>
              </w:rPr>
              <w:t>12</w:t>
            </w:r>
          </w:p>
        </w:tc>
        <w:tc>
          <w:tcPr>
            <w:tcW w:w="1210"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41</w:t>
            </w:r>
          </w:p>
          <w:p w:rsidR="00E8388F" w:rsidRPr="00E00C40" w:rsidRDefault="00E8388F" w:rsidP="00E8388F">
            <w:pPr>
              <w:pStyle w:val="table"/>
              <w:rPr>
                <w:rFonts w:asciiTheme="minorHAnsi" w:hAnsiTheme="minorHAnsi"/>
                <w:sz w:val="20"/>
              </w:rPr>
            </w:pPr>
            <w:r w:rsidRPr="00E00C40">
              <w:rPr>
                <w:rFonts w:asciiTheme="minorHAnsi" w:hAnsiTheme="minorHAnsi"/>
                <w:sz w:val="20"/>
              </w:rPr>
              <w:t>59</w:t>
            </w:r>
          </w:p>
          <w:p w:rsidR="00E8388F" w:rsidRPr="00E00C40" w:rsidRDefault="00E8388F" w:rsidP="00E8388F">
            <w:pPr>
              <w:pStyle w:val="table"/>
              <w:rPr>
                <w:rFonts w:asciiTheme="minorHAnsi" w:hAnsiTheme="minorHAnsi"/>
                <w:sz w:val="20"/>
              </w:rPr>
            </w:pPr>
            <w:r w:rsidRPr="00E00C40">
              <w:rPr>
                <w:rFonts w:asciiTheme="minorHAnsi" w:hAnsiTheme="minorHAnsi"/>
                <w:sz w:val="20"/>
              </w:rPr>
              <w:t>0</w:t>
            </w:r>
          </w:p>
        </w:tc>
        <w:tc>
          <w:tcPr>
            <w:tcW w:w="1204" w:type="dxa"/>
          </w:tcPr>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p>
          <w:p w:rsidR="00E8388F" w:rsidRPr="00E00C40" w:rsidRDefault="00E8388F" w:rsidP="00E8388F">
            <w:pPr>
              <w:pStyle w:val="table"/>
              <w:rPr>
                <w:rFonts w:asciiTheme="minorHAnsi" w:hAnsiTheme="minorHAnsi"/>
                <w:sz w:val="20"/>
              </w:rPr>
            </w:pPr>
            <w:r w:rsidRPr="00E00C40">
              <w:rPr>
                <w:rFonts w:asciiTheme="minorHAnsi" w:hAnsiTheme="minorHAnsi"/>
                <w:sz w:val="20"/>
              </w:rPr>
              <w:t>38</w:t>
            </w:r>
          </w:p>
          <w:p w:rsidR="00E8388F" w:rsidRPr="00E00C40" w:rsidRDefault="00E8388F" w:rsidP="00E8388F">
            <w:pPr>
              <w:pStyle w:val="table"/>
              <w:rPr>
                <w:rFonts w:asciiTheme="minorHAnsi" w:hAnsiTheme="minorHAnsi"/>
                <w:sz w:val="20"/>
              </w:rPr>
            </w:pPr>
            <w:r w:rsidRPr="00E00C40">
              <w:rPr>
                <w:rFonts w:asciiTheme="minorHAnsi" w:hAnsiTheme="minorHAnsi"/>
                <w:sz w:val="20"/>
              </w:rPr>
              <w:t>62</w:t>
            </w:r>
          </w:p>
          <w:p w:rsidR="00E8388F" w:rsidRPr="00E00C40" w:rsidRDefault="00E8388F" w:rsidP="00E8388F">
            <w:pPr>
              <w:pStyle w:val="table"/>
              <w:rPr>
                <w:rFonts w:asciiTheme="minorHAnsi" w:hAnsiTheme="minorHAnsi"/>
                <w:sz w:val="20"/>
              </w:rPr>
            </w:pPr>
            <w:r w:rsidRPr="00E00C40">
              <w:rPr>
                <w:rFonts w:asciiTheme="minorHAnsi" w:hAnsiTheme="minorHAnsi"/>
                <w:sz w:val="20"/>
              </w:rPr>
              <w:t>0</w:t>
            </w:r>
          </w:p>
        </w:tc>
      </w:tr>
    </w:tbl>
    <w:p w:rsidR="00E8388F" w:rsidRPr="006717A5" w:rsidRDefault="00E8388F" w:rsidP="00B00796">
      <w:pPr>
        <w:pStyle w:val="Heading5"/>
        <w:rPr>
          <w:lang w:eastAsia="en-AU"/>
        </w:rPr>
      </w:pPr>
      <w:r w:rsidRPr="006717A5">
        <w:rPr>
          <w:lang w:eastAsia="en-AU"/>
        </w:rPr>
        <w:t xml:space="preserve"> Insulin antibodies</w:t>
      </w:r>
    </w:p>
    <w:p w:rsidR="00E8388F" w:rsidRDefault="00E8388F" w:rsidP="00E8388F">
      <w:pPr>
        <w:rPr>
          <w:lang w:eastAsia="en-AU"/>
        </w:rPr>
      </w:pPr>
      <w:r>
        <w:rPr>
          <w:lang w:eastAsia="en-AU"/>
        </w:rPr>
        <w:t>The proportions of patients with detectable antibodies and treatment-emergent antibody</w:t>
      </w:r>
      <w:r w:rsidR="002B1767">
        <w:rPr>
          <w:lang w:eastAsia="en-AU"/>
        </w:rPr>
        <w:t xml:space="preserve"> response (TEAR) were reported.</w:t>
      </w:r>
    </w:p>
    <w:p w:rsidR="00E8388F" w:rsidRDefault="00E8388F" w:rsidP="00E8388F">
      <w:pPr>
        <w:rPr>
          <w:lang w:eastAsia="en-AU"/>
        </w:rPr>
      </w:pPr>
      <w:r>
        <w:rPr>
          <w:lang w:eastAsia="en-AU"/>
        </w:rPr>
        <w:t>Definition of TEAR: 1+% increase (absolute) in insulin antibody levels (measured in percent binding) and a 30+% relative increase from baseline for patients who were insulin antibody-positive at baseline, or changed from insulin antibody-negative status at baseline to antibody-positive during the course of the study.</w:t>
      </w:r>
    </w:p>
    <w:p w:rsidR="00E8388F" w:rsidRDefault="00E8388F" w:rsidP="00E8388F">
      <w:pPr>
        <w:rPr>
          <w:lang w:eastAsia="en-AU"/>
        </w:rPr>
      </w:pPr>
      <w:r>
        <w:rPr>
          <w:lang w:eastAsia="en-AU"/>
        </w:rPr>
        <w:t xml:space="preserve">The proportions of patients with detectable antibodies were similar for </w:t>
      </w:r>
      <w:proofErr w:type="spellStart"/>
      <w:r w:rsidR="00EC7E12">
        <w:rPr>
          <w:lang w:eastAsia="en-AU"/>
        </w:rPr>
        <w:t>Abasria</w:t>
      </w:r>
      <w:proofErr w:type="spellEnd"/>
      <w:r>
        <w:rPr>
          <w:lang w:eastAsia="en-AU"/>
        </w:rPr>
        <w:t xml:space="preserve"> and </w:t>
      </w:r>
      <w:r w:rsidR="00D54BAC">
        <w:rPr>
          <w:lang w:eastAsia="en-AU"/>
        </w:rPr>
        <w:t>Lantus</w:t>
      </w:r>
      <w:r>
        <w:rPr>
          <w:lang w:eastAsia="en-AU"/>
        </w:rPr>
        <w:t xml:space="preserve"> in both ABEB and ABEC.</w:t>
      </w:r>
    </w:p>
    <w:p w:rsidR="00E8388F" w:rsidRPr="003260B6" w:rsidRDefault="00E00C40" w:rsidP="00E00C40">
      <w:pPr>
        <w:pStyle w:val="TableTitle"/>
        <w:rPr>
          <w:lang w:eastAsia="en-AU"/>
        </w:rPr>
      </w:pPr>
      <w:r>
        <w:rPr>
          <w:lang w:eastAsia="en-AU"/>
        </w:rPr>
        <w:t>Table 1</w:t>
      </w:r>
      <w:r w:rsidR="00E50E1B">
        <w:rPr>
          <w:lang w:eastAsia="en-AU"/>
        </w:rPr>
        <w:t>7</w:t>
      </w:r>
      <w:r>
        <w:rPr>
          <w:lang w:eastAsia="en-AU"/>
        </w:rPr>
        <w:t xml:space="preserve">: </w:t>
      </w:r>
      <w:r w:rsidR="00E8388F" w:rsidRPr="003260B6">
        <w:rPr>
          <w:lang w:eastAsia="en-AU"/>
        </w:rPr>
        <w:t>Proportion of patients with detectable insulin antibodies at baseline, endpoint, and overall (anytime), ABEB, ABEC, to 24 weeks</w:t>
      </w:r>
    </w:p>
    <w:tbl>
      <w:tblPr>
        <w:tblStyle w:val="TableTGAblue"/>
        <w:tblW w:w="0" w:type="auto"/>
        <w:tblInd w:w="108" w:type="dxa"/>
        <w:tblLook w:val="04A0" w:firstRow="1" w:lastRow="0" w:firstColumn="1" w:lastColumn="0" w:noHBand="0" w:noVBand="1"/>
      </w:tblPr>
      <w:tblGrid>
        <w:gridCol w:w="1560"/>
        <w:gridCol w:w="1210"/>
        <w:gridCol w:w="1137"/>
        <w:gridCol w:w="1276"/>
        <w:gridCol w:w="1137"/>
      </w:tblGrid>
      <w:tr w:rsidR="00E8388F" w:rsidTr="0046589D">
        <w:trPr>
          <w:cnfStyle w:val="100000000000" w:firstRow="1" w:lastRow="0" w:firstColumn="0" w:lastColumn="0" w:oddVBand="0" w:evenVBand="0" w:oddHBand="0" w:evenHBand="0" w:firstRowFirstColumn="0" w:firstRowLastColumn="0" w:lastRowFirstColumn="0" w:lastRowLastColumn="0"/>
        </w:trPr>
        <w:tc>
          <w:tcPr>
            <w:tcW w:w="1560" w:type="dxa"/>
          </w:tcPr>
          <w:p w:rsidR="00E8388F" w:rsidRPr="00E00C40" w:rsidRDefault="00E8388F" w:rsidP="00E8388F">
            <w:pPr>
              <w:pStyle w:val="table"/>
              <w:rPr>
                <w:rFonts w:asciiTheme="minorHAnsi" w:hAnsiTheme="minorHAnsi"/>
                <w:sz w:val="20"/>
                <w:lang w:eastAsia="en-AU"/>
              </w:rPr>
            </w:pPr>
          </w:p>
        </w:tc>
        <w:tc>
          <w:tcPr>
            <w:tcW w:w="2347" w:type="dxa"/>
            <w:gridSpan w:val="2"/>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ABEB (T1DM) N=535</w:t>
            </w:r>
          </w:p>
        </w:tc>
        <w:tc>
          <w:tcPr>
            <w:tcW w:w="2413" w:type="dxa"/>
            <w:gridSpan w:val="2"/>
          </w:tcPr>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ABEC (T2DM) N=756</w:t>
            </w:r>
          </w:p>
        </w:tc>
      </w:tr>
      <w:tr w:rsidR="00E8388F" w:rsidTr="0046589D">
        <w:tc>
          <w:tcPr>
            <w:tcW w:w="1560" w:type="dxa"/>
          </w:tcPr>
          <w:p w:rsidR="00E8388F" w:rsidRPr="00E00C40" w:rsidRDefault="00E8388F" w:rsidP="00E8388F">
            <w:pPr>
              <w:pStyle w:val="table"/>
              <w:rPr>
                <w:rFonts w:asciiTheme="minorHAnsi" w:hAnsiTheme="minorHAnsi"/>
                <w:sz w:val="20"/>
                <w:lang w:eastAsia="en-AU"/>
              </w:rPr>
            </w:pPr>
          </w:p>
        </w:tc>
        <w:tc>
          <w:tcPr>
            <w:tcW w:w="1210" w:type="dxa"/>
          </w:tcPr>
          <w:p w:rsidR="00E8388F" w:rsidRPr="00E00C40" w:rsidRDefault="00EC7E12" w:rsidP="00E8388F">
            <w:pPr>
              <w:pStyle w:val="table"/>
              <w:jc w:val="center"/>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N=265</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Lantus N=267</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c>
          <w:tcPr>
            <w:tcW w:w="1276" w:type="dxa"/>
          </w:tcPr>
          <w:p w:rsidR="00E8388F" w:rsidRPr="00E00C40" w:rsidRDefault="00EC7E12" w:rsidP="00E8388F">
            <w:pPr>
              <w:pStyle w:val="table"/>
              <w:jc w:val="center"/>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N=365</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Lantus N=365</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r>
      <w:tr w:rsidR="00E8388F" w:rsidTr="0046589D">
        <w:tc>
          <w:tcPr>
            <w:tcW w:w="1560" w:type="dxa"/>
          </w:tcPr>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Baseline</w:t>
            </w:r>
          </w:p>
        </w:tc>
        <w:tc>
          <w:tcPr>
            <w:tcW w:w="1210"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45 (17)</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55 (21)</w:t>
            </w:r>
          </w:p>
        </w:tc>
        <w:tc>
          <w:tcPr>
            <w:tcW w:w="1276"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20 (6)</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13 (4)</w:t>
            </w:r>
          </w:p>
        </w:tc>
      </w:tr>
      <w:tr w:rsidR="00E8388F" w:rsidTr="0046589D">
        <w:tc>
          <w:tcPr>
            <w:tcW w:w="1560" w:type="dxa"/>
          </w:tcPr>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Endpoint (LOCF)</w:t>
            </w:r>
          </w:p>
        </w:tc>
        <w:tc>
          <w:tcPr>
            <w:tcW w:w="1210"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50 (19)</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51 (19)</w:t>
            </w:r>
          </w:p>
        </w:tc>
        <w:tc>
          <w:tcPr>
            <w:tcW w:w="1276"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30 (8)</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22 (6)</w:t>
            </w:r>
          </w:p>
        </w:tc>
      </w:tr>
      <w:tr w:rsidR="00E8388F" w:rsidTr="0046589D">
        <w:tc>
          <w:tcPr>
            <w:tcW w:w="1560" w:type="dxa"/>
          </w:tcPr>
          <w:p w:rsidR="00E8388F" w:rsidRPr="00E00C40" w:rsidRDefault="00E8388F" w:rsidP="00E8388F">
            <w:pPr>
              <w:pStyle w:val="table"/>
              <w:rPr>
                <w:rFonts w:asciiTheme="minorHAnsi" w:hAnsiTheme="minorHAnsi"/>
                <w:sz w:val="20"/>
                <w:vertAlign w:val="superscript"/>
                <w:lang w:eastAsia="en-AU"/>
              </w:rPr>
            </w:pPr>
            <w:r w:rsidRPr="00E00C40">
              <w:rPr>
                <w:rFonts w:asciiTheme="minorHAnsi" w:hAnsiTheme="minorHAnsi"/>
                <w:sz w:val="20"/>
                <w:lang w:eastAsia="en-AU"/>
              </w:rPr>
              <w:t>Overall (anytime)</w:t>
            </w:r>
            <w:r w:rsidRPr="00E00C40">
              <w:rPr>
                <w:rFonts w:asciiTheme="minorHAnsi" w:hAnsiTheme="minorHAnsi"/>
                <w:sz w:val="20"/>
                <w:vertAlign w:val="superscript"/>
                <w:lang w:eastAsia="en-AU"/>
              </w:rPr>
              <w:t>a</w:t>
            </w:r>
          </w:p>
        </w:tc>
        <w:tc>
          <w:tcPr>
            <w:tcW w:w="1210"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79 (30)</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90 (34)</w:t>
            </w:r>
          </w:p>
        </w:tc>
        <w:tc>
          <w:tcPr>
            <w:tcW w:w="1276"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56 (15)</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40 (11)</w:t>
            </w:r>
          </w:p>
        </w:tc>
      </w:tr>
    </w:tbl>
    <w:p w:rsidR="00E8388F" w:rsidRPr="003260B6" w:rsidRDefault="00E8388F" w:rsidP="00F51F59">
      <w:pPr>
        <w:pStyle w:val="Tabletext"/>
        <w:rPr>
          <w:lang w:eastAsia="en-AU"/>
        </w:rPr>
      </w:pPr>
      <w:r w:rsidRPr="003260B6">
        <w:rPr>
          <w:lang w:eastAsia="en-AU"/>
        </w:rPr>
        <w:t>a</w:t>
      </w:r>
      <w:r>
        <w:rPr>
          <w:lang w:eastAsia="en-AU"/>
        </w:rPr>
        <w:t>)</w:t>
      </w:r>
      <w:r w:rsidRPr="003260B6">
        <w:rPr>
          <w:lang w:eastAsia="en-AU"/>
        </w:rPr>
        <w:t xml:space="preserve"> </w:t>
      </w:r>
      <w:proofErr w:type="gramStart"/>
      <w:r w:rsidRPr="003260B6">
        <w:rPr>
          <w:lang w:eastAsia="en-AU"/>
        </w:rPr>
        <w:t>overall</w:t>
      </w:r>
      <w:proofErr w:type="gramEnd"/>
      <w:r w:rsidRPr="003260B6">
        <w:rPr>
          <w:lang w:eastAsia="en-AU"/>
        </w:rPr>
        <w:t xml:space="preserve"> (anytime) during treatment period, not including baseline</w:t>
      </w:r>
    </w:p>
    <w:p w:rsidR="00E8388F" w:rsidRDefault="00E8388F" w:rsidP="00E8388F">
      <w:pPr>
        <w:rPr>
          <w:lang w:eastAsia="en-AU"/>
        </w:rPr>
      </w:pPr>
      <w:r>
        <w:rPr>
          <w:lang w:eastAsia="en-AU"/>
        </w:rPr>
        <w:lastRenderedPageBreak/>
        <w:t xml:space="preserve">For ABEB, at 52 weeks, the proportion of patients with detectable antibodies was similar. For example, for overall (anytime) the proportions were: </w:t>
      </w:r>
      <w:proofErr w:type="spellStart"/>
      <w:r w:rsidR="00EC7E12">
        <w:rPr>
          <w:lang w:eastAsia="en-AU"/>
        </w:rPr>
        <w:t>Abasria</w:t>
      </w:r>
      <w:proofErr w:type="spellEnd"/>
      <w:r>
        <w:rPr>
          <w:lang w:eastAsia="en-AU"/>
        </w:rPr>
        <w:t xml:space="preserve"> (38%) versus </w:t>
      </w:r>
      <w:r w:rsidR="00D54BAC">
        <w:rPr>
          <w:lang w:eastAsia="en-AU"/>
        </w:rPr>
        <w:t>Lantus</w:t>
      </w:r>
      <w:r>
        <w:rPr>
          <w:lang w:eastAsia="en-AU"/>
        </w:rPr>
        <w:t xml:space="preserve"> (39%).</w:t>
      </w:r>
    </w:p>
    <w:p w:rsidR="00E8388F" w:rsidRDefault="00E8388F" w:rsidP="00E8388F">
      <w:pPr>
        <w:rPr>
          <w:lang w:eastAsia="en-AU"/>
        </w:rPr>
      </w:pPr>
      <w:r>
        <w:rPr>
          <w:lang w:eastAsia="en-AU"/>
        </w:rPr>
        <w:t xml:space="preserve">Stratified analyses by TEAR did not show any differences for </w:t>
      </w:r>
      <w:proofErr w:type="spellStart"/>
      <w:r w:rsidR="00EC7E12">
        <w:rPr>
          <w:lang w:eastAsia="en-AU"/>
        </w:rPr>
        <w:t>Abasria</w:t>
      </w:r>
      <w:proofErr w:type="spellEnd"/>
      <w:r>
        <w:rPr>
          <w:lang w:eastAsia="en-AU"/>
        </w:rPr>
        <w:t xml:space="preserve"> versus </w:t>
      </w:r>
      <w:r w:rsidR="00D54BAC">
        <w:rPr>
          <w:lang w:eastAsia="en-AU"/>
        </w:rPr>
        <w:t>Lantus</w:t>
      </w:r>
      <w:r>
        <w:rPr>
          <w:lang w:eastAsia="en-AU"/>
        </w:rPr>
        <w:t xml:space="preserve"> by HbA1c, basal insulin dose, or hypoglycaemia.</w:t>
      </w:r>
    </w:p>
    <w:p w:rsidR="00E8388F" w:rsidRPr="00E00C40" w:rsidRDefault="00E00C40" w:rsidP="00E00C40">
      <w:pPr>
        <w:pStyle w:val="TableTitle"/>
      </w:pPr>
      <w:proofErr w:type="gramStart"/>
      <w:r>
        <w:t>Table 1</w:t>
      </w:r>
      <w:r w:rsidR="00E50E1B">
        <w:t>8</w:t>
      </w:r>
      <w:r>
        <w:t xml:space="preserve">: </w:t>
      </w:r>
      <w:r w:rsidR="00E8388F" w:rsidRPr="005B692B">
        <w:t>Relationship between overall TEAR status and clinical outcomes</w:t>
      </w:r>
      <w:r w:rsidRPr="00E00C40">
        <w:t>.</w:t>
      </w:r>
      <w:proofErr w:type="gramEnd"/>
      <w:r w:rsidRPr="00E00C40">
        <w:t xml:space="preserve"> </w:t>
      </w:r>
      <w:r w:rsidR="00E8388F" w:rsidRPr="00E00C40">
        <w:t>Change from baseline to week-24</w:t>
      </w:r>
    </w:p>
    <w:tbl>
      <w:tblPr>
        <w:tblStyle w:val="TableTGAblue"/>
        <w:tblW w:w="0" w:type="auto"/>
        <w:tblInd w:w="108" w:type="dxa"/>
        <w:tblLook w:val="04A0" w:firstRow="1" w:lastRow="0" w:firstColumn="1" w:lastColumn="0" w:noHBand="0" w:noVBand="1"/>
      </w:tblPr>
      <w:tblGrid>
        <w:gridCol w:w="2268"/>
        <w:gridCol w:w="1210"/>
        <w:gridCol w:w="1137"/>
        <w:gridCol w:w="1210"/>
        <w:gridCol w:w="1344"/>
      </w:tblGrid>
      <w:tr w:rsidR="00E8388F" w:rsidTr="0046589D">
        <w:trPr>
          <w:cnfStyle w:val="100000000000" w:firstRow="1" w:lastRow="0" w:firstColumn="0" w:lastColumn="0" w:oddVBand="0" w:evenVBand="0" w:oddHBand="0" w:evenHBand="0" w:firstRowFirstColumn="0" w:firstRowLastColumn="0" w:lastRowFirstColumn="0" w:lastRowLastColumn="0"/>
        </w:trPr>
        <w:tc>
          <w:tcPr>
            <w:tcW w:w="2268" w:type="dxa"/>
          </w:tcPr>
          <w:p w:rsidR="00E8388F" w:rsidRPr="00E00C40" w:rsidRDefault="00E8388F" w:rsidP="00E8388F">
            <w:pPr>
              <w:pStyle w:val="table"/>
              <w:rPr>
                <w:rFonts w:asciiTheme="minorHAnsi" w:hAnsiTheme="minorHAnsi"/>
                <w:sz w:val="20"/>
                <w:lang w:eastAsia="en-AU"/>
              </w:rPr>
            </w:pPr>
          </w:p>
        </w:tc>
        <w:tc>
          <w:tcPr>
            <w:tcW w:w="2347" w:type="dxa"/>
            <w:gridSpan w:val="2"/>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ABEB (T1DM) N=535</w:t>
            </w:r>
          </w:p>
        </w:tc>
        <w:tc>
          <w:tcPr>
            <w:tcW w:w="2554" w:type="dxa"/>
            <w:gridSpan w:val="2"/>
          </w:tcPr>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ABEC (T2DM) N=756</w:t>
            </w:r>
          </w:p>
        </w:tc>
      </w:tr>
      <w:tr w:rsidR="00E8388F" w:rsidTr="0046589D">
        <w:tc>
          <w:tcPr>
            <w:tcW w:w="2268" w:type="dxa"/>
          </w:tcPr>
          <w:p w:rsidR="00E8388F" w:rsidRPr="00E00C40" w:rsidRDefault="00E8388F" w:rsidP="00E8388F">
            <w:pPr>
              <w:pStyle w:val="table"/>
              <w:rPr>
                <w:rFonts w:asciiTheme="minorHAnsi" w:hAnsiTheme="minorHAnsi"/>
                <w:sz w:val="20"/>
                <w:lang w:eastAsia="en-AU"/>
              </w:rPr>
            </w:pPr>
          </w:p>
        </w:tc>
        <w:tc>
          <w:tcPr>
            <w:tcW w:w="1210" w:type="dxa"/>
          </w:tcPr>
          <w:p w:rsidR="00E8388F" w:rsidRPr="00E00C40" w:rsidRDefault="00EC7E12" w:rsidP="00E8388F">
            <w:pPr>
              <w:pStyle w:val="table"/>
              <w:jc w:val="center"/>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N=265</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c>
          <w:tcPr>
            <w:tcW w:w="1137"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Lantus N=267</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c>
          <w:tcPr>
            <w:tcW w:w="1210" w:type="dxa"/>
          </w:tcPr>
          <w:p w:rsidR="00E8388F" w:rsidRPr="00E00C40" w:rsidRDefault="00EC7E12" w:rsidP="00E8388F">
            <w:pPr>
              <w:pStyle w:val="table"/>
              <w:jc w:val="center"/>
              <w:rPr>
                <w:rFonts w:asciiTheme="minorHAnsi" w:hAnsiTheme="minorHAnsi"/>
                <w:sz w:val="20"/>
                <w:lang w:eastAsia="en-AU"/>
              </w:rPr>
            </w:pPr>
            <w:proofErr w:type="spellStart"/>
            <w:r w:rsidRPr="00E00C40">
              <w:rPr>
                <w:rFonts w:asciiTheme="minorHAnsi" w:hAnsiTheme="minorHAnsi"/>
                <w:sz w:val="20"/>
                <w:lang w:eastAsia="en-AU"/>
              </w:rPr>
              <w:t>Abasria</w:t>
            </w:r>
            <w:proofErr w:type="spellEnd"/>
            <w:r w:rsidR="00E8388F" w:rsidRPr="00E00C40">
              <w:rPr>
                <w:rFonts w:asciiTheme="minorHAnsi" w:hAnsiTheme="minorHAnsi"/>
                <w:sz w:val="20"/>
                <w:lang w:eastAsia="en-AU"/>
              </w:rPr>
              <w:t xml:space="preserve"> N=365</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c>
          <w:tcPr>
            <w:tcW w:w="1344" w:type="dxa"/>
          </w:tcPr>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Lantus N=365</w:t>
            </w:r>
          </w:p>
          <w:p w:rsidR="00E8388F" w:rsidRPr="00E00C40" w:rsidRDefault="00E8388F" w:rsidP="00E8388F">
            <w:pPr>
              <w:pStyle w:val="table"/>
              <w:jc w:val="center"/>
              <w:rPr>
                <w:rFonts w:asciiTheme="minorHAnsi" w:hAnsiTheme="minorHAnsi"/>
                <w:sz w:val="20"/>
                <w:lang w:eastAsia="en-AU"/>
              </w:rPr>
            </w:pPr>
            <w:proofErr w:type="gramStart"/>
            <w:r w:rsidRPr="00E00C40">
              <w:rPr>
                <w:rFonts w:asciiTheme="minorHAnsi" w:hAnsiTheme="minorHAnsi"/>
                <w:sz w:val="20"/>
                <w:lang w:eastAsia="en-AU"/>
              </w:rPr>
              <w:t>n</w:t>
            </w:r>
            <w:proofErr w:type="gramEnd"/>
            <w:r w:rsidRPr="00E00C40">
              <w:rPr>
                <w:rFonts w:asciiTheme="minorHAnsi" w:hAnsiTheme="minorHAnsi"/>
                <w:sz w:val="20"/>
                <w:lang w:eastAsia="en-AU"/>
              </w:rPr>
              <w:t xml:space="preserve"> (%)</w:t>
            </w:r>
          </w:p>
        </w:tc>
      </w:tr>
      <w:tr w:rsidR="00E8388F" w:rsidTr="0046589D">
        <w:tc>
          <w:tcPr>
            <w:tcW w:w="2268" w:type="dxa"/>
          </w:tcPr>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HbA1c (%)</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TEAR</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Number of patients</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LS change </w:t>
            </w:r>
          </w:p>
          <w:p w:rsidR="00E8388F" w:rsidRPr="00E00C40" w:rsidRDefault="00E8388F" w:rsidP="00E8388F">
            <w:pPr>
              <w:pStyle w:val="table"/>
              <w:rPr>
                <w:rFonts w:asciiTheme="minorHAnsi" w:hAnsiTheme="minorHAnsi"/>
                <w:sz w:val="20"/>
                <w:lang w:eastAsia="en-AU"/>
              </w:rPr>
            </w:pPr>
          </w:p>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 xml:space="preserve"> No TEAR</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Number of patients</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LS change </w:t>
            </w:r>
          </w:p>
          <w:p w:rsidR="00E8388F" w:rsidRPr="00E00C40" w:rsidRDefault="00E8388F" w:rsidP="00E8388F">
            <w:pPr>
              <w:pStyle w:val="table"/>
              <w:rPr>
                <w:rFonts w:asciiTheme="minorHAnsi" w:hAnsiTheme="minorHAnsi"/>
                <w:sz w:val="20"/>
                <w:lang w:eastAsia="en-AU"/>
              </w:rPr>
            </w:pPr>
          </w:p>
        </w:tc>
        <w:tc>
          <w:tcPr>
            <w:tcW w:w="1210" w:type="dxa"/>
          </w:tcPr>
          <w:p w:rsidR="00E8388F" w:rsidRPr="00E00C40" w:rsidRDefault="001A1024" w:rsidP="00E8388F">
            <w:pPr>
              <w:pStyle w:val="table"/>
              <w:jc w:val="center"/>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56</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-0.24</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209</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-0.37</w:t>
            </w:r>
          </w:p>
        </w:tc>
        <w:tc>
          <w:tcPr>
            <w:tcW w:w="1137"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52</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-0.48</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215</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-0.44</w:t>
            </w:r>
          </w:p>
        </w:tc>
        <w:tc>
          <w:tcPr>
            <w:tcW w:w="1210"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45</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-1.26</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320</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-1.27</w:t>
            </w:r>
          </w:p>
        </w:tc>
        <w:tc>
          <w:tcPr>
            <w:tcW w:w="1344"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34</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-1.49</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331</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-1.31</w:t>
            </w:r>
          </w:p>
        </w:tc>
      </w:tr>
      <w:tr w:rsidR="00E8388F" w:rsidTr="0046589D">
        <w:tc>
          <w:tcPr>
            <w:tcW w:w="2268" w:type="dxa"/>
          </w:tcPr>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Basal insulin dose (U/day)</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TEAR</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Number of patients</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LS change </w:t>
            </w:r>
          </w:p>
          <w:p w:rsidR="00E8388F" w:rsidRPr="00E00C40" w:rsidRDefault="00E8388F" w:rsidP="00E8388F">
            <w:pPr>
              <w:pStyle w:val="table"/>
              <w:rPr>
                <w:rFonts w:asciiTheme="minorHAnsi" w:hAnsiTheme="minorHAnsi"/>
                <w:sz w:val="20"/>
                <w:lang w:eastAsia="en-AU"/>
              </w:rPr>
            </w:pPr>
          </w:p>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 xml:space="preserve"> No TEAR</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Number of patients</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LS change </w:t>
            </w:r>
          </w:p>
          <w:p w:rsidR="00E8388F" w:rsidRPr="00E00C40" w:rsidRDefault="00E8388F" w:rsidP="00E8388F">
            <w:pPr>
              <w:pStyle w:val="table"/>
              <w:rPr>
                <w:rFonts w:asciiTheme="minorHAnsi" w:hAnsiTheme="minorHAnsi"/>
                <w:sz w:val="20"/>
                <w:lang w:eastAsia="en-AU"/>
              </w:rPr>
            </w:pPr>
          </w:p>
        </w:tc>
        <w:tc>
          <w:tcPr>
            <w:tcW w:w="1210" w:type="dxa"/>
          </w:tcPr>
          <w:p w:rsidR="00E8388F" w:rsidRPr="00E00C40" w:rsidRDefault="001A1024" w:rsidP="00E8388F">
            <w:pPr>
              <w:pStyle w:val="table"/>
              <w:jc w:val="center"/>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w:t>
            </w: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56</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1.19</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209</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2.30</w:t>
            </w:r>
          </w:p>
        </w:tc>
        <w:tc>
          <w:tcPr>
            <w:tcW w:w="1137"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52</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2.04</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215</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2.04</w:t>
            </w:r>
          </w:p>
        </w:tc>
        <w:tc>
          <w:tcPr>
            <w:tcW w:w="1210"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45</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34.66</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320</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31.85</w:t>
            </w:r>
          </w:p>
        </w:tc>
        <w:tc>
          <w:tcPr>
            <w:tcW w:w="1344"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34</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35.99</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331</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31.95</w:t>
            </w:r>
          </w:p>
        </w:tc>
      </w:tr>
      <w:tr w:rsidR="00E8388F" w:rsidTr="0046589D">
        <w:tc>
          <w:tcPr>
            <w:tcW w:w="2268" w:type="dxa"/>
          </w:tcPr>
          <w:p w:rsidR="00E8388F" w:rsidRPr="00E00C40" w:rsidRDefault="00E8388F" w:rsidP="00E8388F">
            <w:pPr>
              <w:pStyle w:val="table"/>
              <w:rPr>
                <w:rFonts w:asciiTheme="minorHAnsi" w:hAnsiTheme="minorHAnsi"/>
                <w:sz w:val="20"/>
                <w:lang w:eastAsia="en-AU"/>
              </w:rPr>
            </w:pPr>
            <w:proofErr w:type="spellStart"/>
            <w:r w:rsidRPr="00E00C40">
              <w:rPr>
                <w:rFonts w:asciiTheme="minorHAnsi" w:hAnsiTheme="minorHAnsi"/>
                <w:sz w:val="20"/>
                <w:lang w:eastAsia="en-AU"/>
              </w:rPr>
              <w:t>Hypogylcaemia</w:t>
            </w:r>
            <w:proofErr w:type="spellEnd"/>
            <w:r w:rsidRPr="00E00C40">
              <w:rPr>
                <w:rFonts w:asciiTheme="minorHAnsi" w:hAnsiTheme="minorHAnsi"/>
                <w:sz w:val="20"/>
                <w:lang w:eastAsia="en-AU"/>
              </w:rPr>
              <w:t xml:space="preserve"> </w:t>
            </w:r>
          </w:p>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(episodes/30-days)</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TEAR</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Number of patients</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LS change </w:t>
            </w:r>
          </w:p>
          <w:p w:rsidR="00E8388F" w:rsidRPr="00E00C40" w:rsidRDefault="00E8388F" w:rsidP="00E8388F">
            <w:pPr>
              <w:pStyle w:val="table"/>
              <w:rPr>
                <w:rFonts w:asciiTheme="minorHAnsi" w:hAnsiTheme="minorHAnsi"/>
                <w:sz w:val="20"/>
                <w:lang w:eastAsia="en-AU"/>
              </w:rPr>
            </w:pPr>
          </w:p>
          <w:p w:rsidR="00E8388F" w:rsidRPr="00E00C40" w:rsidRDefault="00E8388F" w:rsidP="00E8388F">
            <w:pPr>
              <w:pStyle w:val="table"/>
              <w:rPr>
                <w:rFonts w:asciiTheme="minorHAnsi" w:hAnsiTheme="minorHAnsi"/>
                <w:sz w:val="20"/>
                <w:lang w:eastAsia="en-AU"/>
              </w:rPr>
            </w:pPr>
            <w:r w:rsidRPr="00E00C40">
              <w:rPr>
                <w:rFonts w:asciiTheme="minorHAnsi" w:hAnsiTheme="minorHAnsi"/>
                <w:sz w:val="20"/>
                <w:lang w:eastAsia="en-AU"/>
              </w:rPr>
              <w:t xml:space="preserve"> No TEAR</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Number of patients</w:t>
            </w:r>
          </w:p>
          <w:p w:rsidR="00E8388F" w:rsidRPr="00E00C40" w:rsidRDefault="001A1024" w:rsidP="00E8388F">
            <w:pPr>
              <w:pStyle w:val="table"/>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LS change </w:t>
            </w:r>
          </w:p>
          <w:p w:rsidR="00E8388F" w:rsidRPr="00E00C40" w:rsidRDefault="00E8388F" w:rsidP="00E8388F">
            <w:pPr>
              <w:pStyle w:val="table"/>
              <w:rPr>
                <w:rFonts w:asciiTheme="minorHAnsi" w:hAnsiTheme="minorHAnsi"/>
                <w:sz w:val="20"/>
                <w:lang w:eastAsia="en-AU"/>
              </w:rPr>
            </w:pPr>
          </w:p>
        </w:tc>
        <w:tc>
          <w:tcPr>
            <w:tcW w:w="1210" w:type="dxa"/>
          </w:tcPr>
          <w:p w:rsidR="00E8388F" w:rsidRPr="00E00C40" w:rsidRDefault="001A1024" w:rsidP="00E8388F">
            <w:pPr>
              <w:pStyle w:val="table"/>
              <w:jc w:val="center"/>
              <w:rPr>
                <w:rFonts w:asciiTheme="minorHAnsi" w:hAnsiTheme="minorHAnsi"/>
                <w:sz w:val="20"/>
                <w:lang w:eastAsia="en-AU"/>
              </w:rPr>
            </w:pPr>
            <w:r>
              <w:rPr>
                <w:rFonts w:asciiTheme="minorHAnsi" w:hAnsiTheme="minorHAnsi"/>
                <w:sz w:val="20"/>
                <w:lang w:eastAsia="en-AU"/>
              </w:rPr>
              <w:t xml:space="preserve"> </w:t>
            </w:r>
            <w:r w:rsidR="00E8388F" w:rsidRPr="00E00C40">
              <w:rPr>
                <w:rFonts w:asciiTheme="minorHAnsi" w:hAnsiTheme="minorHAnsi"/>
                <w:sz w:val="20"/>
                <w:lang w:eastAsia="en-AU"/>
              </w:rPr>
              <w:t xml:space="preserve"> </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56</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-1.16</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209</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-1.94</w:t>
            </w:r>
          </w:p>
        </w:tc>
        <w:tc>
          <w:tcPr>
            <w:tcW w:w="1137"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52</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-0.93</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215</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-2.53</w:t>
            </w:r>
          </w:p>
        </w:tc>
        <w:tc>
          <w:tcPr>
            <w:tcW w:w="1210"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45</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0.40</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320</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0.62</w:t>
            </w:r>
          </w:p>
        </w:tc>
        <w:tc>
          <w:tcPr>
            <w:tcW w:w="1344" w:type="dxa"/>
          </w:tcPr>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34</w:t>
            </w: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1.22</w:t>
            </w:r>
          </w:p>
          <w:p w:rsidR="00E8388F" w:rsidRPr="00E00C40" w:rsidRDefault="00E8388F"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p>
          <w:p w:rsidR="00F51F59" w:rsidRDefault="00F51F59" w:rsidP="00E8388F">
            <w:pPr>
              <w:pStyle w:val="table"/>
              <w:jc w:val="center"/>
              <w:rPr>
                <w:rFonts w:asciiTheme="minorHAnsi" w:hAnsiTheme="minorHAnsi"/>
                <w:sz w:val="20"/>
                <w:lang w:eastAsia="en-AU"/>
              </w:rPr>
            </w:pP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331</w:t>
            </w:r>
          </w:p>
          <w:p w:rsidR="00E8388F" w:rsidRPr="00E00C40" w:rsidRDefault="00E8388F" w:rsidP="00E8388F">
            <w:pPr>
              <w:pStyle w:val="table"/>
              <w:jc w:val="center"/>
              <w:rPr>
                <w:rFonts w:asciiTheme="minorHAnsi" w:hAnsiTheme="minorHAnsi"/>
                <w:sz w:val="20"/>
                <w:lang w:eastAsia="en-AU"/>
              </w:rPr>
            </w:pPr>
            <w:r w:rsidRPr="00E00C40">
              <w:rPr>
                <w:rFonts w:asciiTheme="minorHAnsi" w:hAnsiTheme="minorHAnsi"/>
                <w:sz w:val="20"/>
                <w:lang w:eastAsia="en-AU"/>
              </w:rPr>
              <w:t>0.96</w:t>
            </w:r>
          </w:p>
        </w:tc>
      </w:tr>
    </w:tbl>
    <w:p w:rsidR="00E8388F" w:rsidRPr="00521100" w:rsidRDefault="00E8388F" w:rsidP="00B00796">
      <w:pPr>
        <w:pStyle w:val="Heading5"/>
        <w:rPr>
          <w:lang w:eastAsia="en-AU"/>
        </w:rPr>
      </w:pPr>
      <w:r w:rsidRPr="00521100">
        <w:rPr>
          <w:lang w:eastAsia="en-AU"/>
        </w:rPr>
        <w:t>Hypoglycaemia</w:t>
      </w:r>
    </w:p>
    <w:p w:rsidR="00E8388F" w:rsidRDefault="00E8388F" w:rsidP="00B00796">
      <w:pPr>
        <w:rPr>
          <w:lang w:eastAsia="en-AU"/>
        </w:rPr>
      </w:pPr>
      <w:r>
        <w:rPr>
          <w:lang w:eastAsia="en-AU"/>
        </w:rPr>
        <w:t xml:space="preserve">Not surprisingly, the rate of hypoglycaemic attacks was greater in </w:t>
      </w:r>
      <w:r w:rsidR="00E00C40">
        <w:rPr>
          <w:lang w:eastAsia="en-AU"/>
        </w:rPr>
        <w:t>S</w:t>
      </w:r>
      <w:r>
        <w:rPr>
          <w:lang w:eastAsia="en-AU"/>
        </w:rPr>
        <w:t xml:space="preserve">tudy ABEB (T1D, all patients </w:t>
      </w:r>
      <w:r w:rsidR="003F76E8">
        <w:rPr>
          <w:lang w:eastAsia="en-AU"/>
        </w:rPr>
        <w:t xml:space="preserve">were </w:t>
      </w:r>
      <w:r>
        <w:rPr>
          <w:lang w:eastAsia="en-AU"/>
        </w:rPr>
        <w:t xml:space="preserve">insulin dependent at study entry) than study ABEC (T2D, </w:t>
      </w:r>
      <w:r w:rsidR="00E00C40">
        <w:rPr>
          <w:lang w:eastAsia="en-AU"/>
        </w:rPr>
        <w:t xml:space="preserve">approximately </w:t>
      </w:r>
      <w:r>
        <w:rPr>
          <w:lang w:eastAsia="en-AU"/>
        </w:rPr>
        <w:t>60% of patients</w:t>
      </w:r>
      <w:r w:rsidR="00F108A4">
        <w:rPr>
          <w:lang w:eastAsia="en-AU"/>
        </w:rPr>
        <w:t xml:space="preserve"> insulin-naïve at study entry).</w:t>
      </w:r>
    </w:p>
    <w:p w:rsidR="00E8388F" w:rsidRDefault="00E8388F" w:rsidP="00B00796">
      <w:pPr>
        <w:rPr>
          <w:lang w:eastAsia="en-AU"/>
        </w:rPr>
      </w:pPr>
      <w:r>
        <w:rPr>
          <w:lang w:eastAsia="en-AU"/>
        </w:rPr>
        <w:t xml:space="preserve">There were no clinically meaningful differences in total, severe or nocturnal hypoglycaemia for </w:t>
      </w:r>
      <w:proofErr w:type="spellStart"/>
      <w:r w:rsidR="00EC7E12">
        <w:rPr>
          <w:lang w:eastAsia="en-AU"/>
        </w:rPr>
        <w:t>Abasria</w:t>
      </w:r>
      <w:proofErr w:type="spellEnd"/>
      <w:r>
        <w:rPr>
          <w:lang w:eastAsia="en-AU"/>
        </w:rPr>
        <w:t xml:space="preserve"> versus </w:t>
      </w:r>
      <w:r w:rsidR="00D54BAC">
        <w:rPr>
          <w:lang w:eastAsia="en-AU"/>
        </w:rPr>
        <w:t>Lantus</w:t>
      </w:r>
      <w:r>
        <w:rPr>
          <w:lang w:eastAsia="en-AU"/>
        </w:rPr>
        <w:t xml:space="preserve"> (or relative or symptomatic or other categories hypoglycaemia, not included in the above summary table).</w:t>
      </w:r>
    </w:p>
    <w:p w:rsidR="00E8388F" w:rsidRPr="00E60641" w:rsidRDefault="00E00C40" w:rsidP="00E00C40">
      <w:pPr>
        <w:pStyle w:val="TableTitle"/>
        <w:rPr>
          <w:lang w:eastAsia="en-AU"/>
        </w:rPr>
      </w:pPr>
      <w:r>
        <w:rPr>
          <w:lang w:eastAsia="en-AU"/>
        </w:rPr>
        <w:lastRenderedPageBreak/>
        <w:t>Table 1</w:t>
      </w:r>
      <w:r w:rsidR="00E50E1B">
        <w:rPr>
          <w:lang w:eastAsia="en-AU"/>
        </w:rPr>
        <w:t>9</w:t>
      </w:r>
      <w:r>
        <w:rPr>
          <w:lang w:eastAsia="en-AU"/>
        </w:rPr>
        <w:t xml:space="preserve">: </w:t>
      </w:r>
      <w:r w:rsidR="00E8388F" w:rsidRPr="00E60641">
        <w:rPr>
          <w:lang w:eastAsia="en-AU"/>
        </w:rPr>
        <w:t>Incidence of hypoglycaemia</w:t>
      </w:r>
      <w:r w:rsidR="00E8388F">
        <w:rPr>
          <w:lang w:eastAsia="en-AU"/>
        </w:rPr>
        <w:t xml:space="preserve"> to 24 weeks</w:t>
      </w:r>
    </w:p>
    <w:tbl>
      <w:tblPr>
        <w:tblStyle w:val="TableTGAblue"/>
        <w:tblW w:w="0" w:type="auto"/>
        <w:tblInd w:w="108" w:type="dxa"/>
        <w:tblLook w:val="04A0" w:firstRow="1" w:lastRow="0" w:firstColumn="1" w:lastColumn="0" w:noHBand="0" w:noVBand="1"/>
      </w:tblPr>
      <w:tblGrid>
        <w:gridCol w:w="2268"/>
        <w:gridCol w:w="1276"/>
        <w:gridCol w:w="1276"/>
        <w:gridCol w:w="1210"/>
        <w:gridCol w:w="1150"/>
      </w:tblGrid>
      <w:tr w:rsidR="00E8388F" w:rsidTr="0046589D">
        <w:trPr>
          <w:cnfStyle w:val="100000000000" w:firstRow="1" w:lastRow="0" w:firstColumn="0" w:lastColumn="0" w:oddVBand="0" w:evenVBand="0" w:oddHBand="0" w:evenHBand="0" w:firstRowFirstColumn="0" w:firstRowLastColumn="0" w:lastRowFirstColumn="0" w:lastRowLastColumn="0"/>
        </w:trPr>
        <w:tc>
          <w:tcPr>
            <w:tcW w:w="2268" w:type="dxa"/>
          </w:tcPr>
          <w:p w:rsidR="00E8388F" w:rsidRPr="00E00C40" w:rsidRDefault="00E8388F" w:rsidP="00E8388F">
            <w:pPr>
              <w:pStyle w:val="table"/>
              <w:rPr>
                <w:rFonts w:asciiTheme="minorHAnsi" w:hAnsiTheme="minorHAnsi"/>
                <w:sz w:val="20"/>
              </w:rPr>
            </w:pPr>
          </w:p>
        </w:tc>
        <w:tc>
          <w:tcPr>
            <w:tcW w:w="2552" w:type="dxa"/>
            <w:gridSpan w:val="2"/>
          </w:tcPr>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ABEB (T1DM) n=535</w:t>
            </w:r>
          </w:p>
        </w:tc>
        <w:tc>
          <w:tcPr>
            <w:tcW w:w="2360" w:type="dxa"/>
            <w:gridSpan w:val="2"/>
          </w:tcPr>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ABEC (T2DM) n=756</w:t>
            </w:r>
          </w:p>
        </w:tc>
      </w:tr>
      <w:tr w:rsidR="00E8388F" w:rsidTr="0046589D">
        <w:tc>
          <w:tcPr>
            <w:tcW w:w="2268" w:type="dxa"/>
          </w:tcPr>
          <w:p w:rsidR="00E8388F" w:rsidRPr="00E00C40" w:rsidRDefault="00E8388F" w:rsidP="00E8388F">
            <w:pPr>
              <w:pStyle w:val="table"/>
              <w:rPr>
                <w:rFonts w:asciiTheme="minorHAnsi" w:hAnsiTheme="minorHAnsi"/>
                <w:sz w:val="20"/>
              </w:rPr>
            </w:pPr>
          </w:p>
        </w:tc>
        <w:tc>
          <w:tcPr>
            <w:tcW w:w="1276" w:type="dxa"/>
          </w:tcPr>
          <w:p w:rsidR="00E8388F" w:rsidRPr="00E00C40" w:rsidRDefault="00EC7E12" w:rsidP="00E8388F">
            <w:pPr>
              <w:pStyle w:val="table"/>
              <w:jc w:val="center"/>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n=268</w:t>
            </w:r>
          </w:p>
        </w:tc>
        <w:tc>
          <w:tcPr>
            <w:tcW w:w="1276" w:type="dxa"/>
          </w:tcPr>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Lantus</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n=267</w:t>
            </w:r>
          </w:p>
        </w:tc>
        <w:tc>
          <w:tcPr>
            <w:tcW w:w="1210" w:type="dxa"/>
          </w:tcPr>
          <w:p w:rsidR="00E8388F" w:rsidRPr="00E00C40" w:rsidRDefault="00EC7E12" w:rsidP="00E8388F">
            <w:pPr>
              <w:pStyle w:val="table"/>
              <w:jc w:val="center"/>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n=376</w:t>
            </w:r>
          </w:p>
        </w:tc>
        <w:tc>
          <w:tcPr>
            <w:tcW w:w="1150" w:type="dxa"/>
          </w:tcPr>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Lantus n=380</w:t>
            </w:r>
          </w:p>
        </w:tc>
      </w:tr>
      <w:tr w:rsidR="00E8388F" w:rsidTr="0046589D">
        <w:tc>
          <w:tcPr>
            <w:tcW w:w="2268"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Total hypoglycaemia</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proofErr w:type="gramStart"/>
            <w:r w:rsidR="00E8388F" w:rsidRPr="00E00C40">
              <w:rPr>
                <w:rFonts w:asciiTheme="minorHAnsi" w:hAnsiTheme="minorHAnsi"/>
                <w:sz w:val="20"/>
              </w:rPr>
              <w:t>Patients</w:t>
            </w:r>
            <w:proofErr w:type="gramEnd"/>
            <w:r w:rsidR="00E8388F" w:rsidRPr="00E00C40">
              <w:rPr>
                <w:rFonts w:asciiTheme="minorHAnsi" w:hAnsiTheme="minorHAnsi"/>
                <w:sz w:val="20"/>
              </w:rPr>
              <w:t xml:space="preserve"> n (%)</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Events</w:t>
            </w:r>
          </w:p>
        </w:tc>
        <w:tc>
          <w:tcPr>
            <w:tcW w:w="1276"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252 (94%)</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10404</w:t>
            </w:r>
          </w:p>
        </w:tc>
        <w:tc>
          <w:tcPr>
            <w:tcW w:w="1276"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254 (95%)</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10985</w:t>
            </w:r>
          </w:p>
        </w:tc>
        <w:tc>
          <w:tcPr>
            <w:tcW w:w="1210"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296 (79%)</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3564</w:t>
            </w:r>
          </w:p>
        </w:tc>
        <w:tc>
          <w:tcPr>
            <w:tcW w:w="1150"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292 (78%)</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3845</w:t>
            </w:r>
          </w:p>
        </w:tc>
      </w:tr>
      <w:tr w:rsidR="00E8388F" w:rsidTr="0046589D">
        <w:tc>
          <w:tcPr>
            <w:tcW w:w="2268"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Severe hypoglycaemia</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proofErr w:type="gramStart"/>
            <w:r w:rsidR="00E8388F" w:rsidRPr="00E00C40">
              <w:rPr>
                <w:rFonts w:asciiTheme="minorHAnsi" w:hAnsiTheme="minorHAnsi"/>
                <w:sz w:val="20"/>
              </w:rPr>
              <w:t>Patients</w:t>
            </w:r>
            <w:proofErr w:type="gramEnd"/>
            <w:r w:rsidR="00E8388F" w:rsidRPr="00E00C40">
              <w:rPr>
                <w:rFonts w:asciiTheme="minorHAnsi" w:hAnsiTheme="minorHAnsi"/>
                <w:sz w:val="20"/>
              </w:rPr>
              <w:t xml:space="preserve"> n (%)</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Events</w:t>
            </w:r>
          </w:p>
        </w:tc>
        <w:tc>
          <w:tcPr>
            <w:tcW w:w="1276"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4 (1.5%)</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6</w:t>
            </w:r>
          </w:p>
        </w:tc>
        <w:tc>
          <w:tcPr>
            <w:tcW w:w="1276"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8 (3.0%)</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9</w:t>
            </w:r>
          </w:p>
        </w:tc>
        <w:tc>
          <w:tcPr>
            <w:tcW w:w="1210"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 (0.5%)</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7</w:t>
            </w:r>
          </w:p>
        </w:tc>
        <w:tc>
          <w:tcPr>
            <w:tcW w:w="1150"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 (0.5%)</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w:t>
            </w:r>
          </w:p>
        </w:tc>
      </w:tr>
      <w:tr w:rsidR="00E8388F" w:rsidTr="0046589D">
        <w:tc>
          <w:tcPr>
            <w:tcW w:w="2268"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Nocturnal hypoglycaemia</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proofErr w:type="gramStart"/>
            <w:r w:rsidR="00E8388F" w:rsidRPr="00E00C40">
              <w:rPr>
                <w:rFonts w:asciiTheme="minorHAnsi" w:hAnsiTheme="minorHAnsi"/>
                <w:sz w:val="20"/>
              </w:rPr>
              <w:t>Patients</w:t>
            </w:r>
            <w:proofErr w:type="gramEnd"/>
            <w:r w:rsidR="00E8388F" w:rsidRPr="00E00C40">
              <w:rPr>
                <w:rFonts w:asciiTheme="minorHAnsi" w:hAnsiTheme="minorHAnsi"/>
                <w:sz w:val="20"/>
              </w:rPr>
              <w:t xml:space="preserve"> n (%)</w:t>
            </w:r>
          </w:p>
          <w:p w:rsidR="00E8388F" w:rsidRPr="00E00C40" w:rsidRDefault="001A1024" w:rsidP="00E8388F">
            <w:pPr>
              <w:pStyle w:val="table"/>
              <w:rPr>
                <w:rFonts w:asciiTheme="minorHAnsi" w:hAnsiTheme="minorHAnsi"/>
                <w:sz w:val="20"/>
              </w:rPr>
            </w:pPr>
            <w:r>
              <w:rPr>
                <w:rFonts w:asciiTheme="minorHAnsi" w:hAnsiTheme="minorHAnsi"/>
                <w:sz w:val="20"/>
              </w:rPr>
              <w:t xml:space="preserve"> </w:t>
            </w:r>
            <w:r w:rsidR="00E8388F" w:rsidRPr="00E00C40">
              <w:rPr>
                <w:rFonts w:asciiTheme="minorHAnsi" w:hAnsiTheme="minorHAnsi"/>
                <w:sz w:val="20"/>
              </w:rPr>
              <w:t>Events</w:t>
            </w:r>
          </w:p>
        </w:tc>
        <w:tc>
          <w:tcPr>
            <w:tcW w:w="1276"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222 (83%)</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2301</w:t>
            </w:r>
          </w:p>
        </w:tc>
        <w:tc>
          <w:tcPr>
            <w:tcW w:w="1276"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216 (81%)</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2347</w:t>
            </w:r>
          </w:p>
        </w:tc>
        <w:tc>
          <w:tcPr>
            <w:tcW w:w="1210"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212 (57%)</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1248</w:t>
            </w:r>
          </w:p>
        </w:tc>
        <w:tc>
          <w:tcPr>
            <w:tcW w:w="1150" w:type="dxa"/>
          </w:tcPr>
          <w:p w:rsidR="00E8388F" w:rsidRPr="00E00C40" w:rsidRDefault="00E8388F" w:rsidP="00E8388F">
            <w:pPr>
              <w:pStyle w:val="table"/>
              <w:jc w:val="center"/>
              <w:rPr>
                <w:rFonts w:asciiTheme="minorHAnsi" w:hAnsiTheme="minorHAnsi"/>
                <w:sz w:val="20"/>
              </w:rPr>
            </w:pP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203 (54%)</w:t>
            </w:r>
          </w:p>
          <w:p w:rsidR="00E8388F" w:rsidRPr="00E00C40" w:rsidRDefault="00E8388F" w:rsidP="00E8388F">
            <w:pPr>
              <w:pStyle w:val="table"/>
              <w:jc w:val="center"/>
              <w:rPr>
                <w:rFonts w:asciiTheme="minorHAnsi" w:hAnsiTheme="minorHAnsi"/>
                <w:sz w:val="20"/>
              </w:rPr>
            </w:pPr>
            <w:r w:rsidRPr="00E00C40">
              <w:rPr>
                <w:rFonts w:asciiTheme="minorHAnsi" w:hAnsiTheme="minorHAnsi"/>
                <w:sz w:val="20"/>
              </w:rPr>
              <w:t>1386</w:t>
            </w:r>
          </w:p>
        </w:tc>
      </w:tr>
    </w:tbl>
    <w:p w:rsidR="00F108A4" w:rsidRDefault="00E8388F" w:rsidP="00F108A4">
      <w:r w:rsidRPr="003B1621">
        <w:t xml:space="preserve">A hypoglycaemic event was defined as: any time a patient felt that he/she was experiencing a symptom or sign associated with hypoglycaemia or blood glucose ≤3.9 </w:t>
      </w:r>
      <w:proofErr w:type="spellStart"/>
      <w:r w:rsidRPr="003B1621">
        <w:t>mmol</w:t>
      </w:r>
      <w:proofErr w:type="spellEnd"/>
      <w:r w:rsidRPr="003B1621">
        <w:t>/L (≤70 mg/</w:t>
      </w:r>
      <w:proofErr w:type="spellStart"/>
      <w:r w:rsidRPr="003B1621">
        <w:t>dL</w:t>
      </w:r>
      <w:proofErr w:type="spellEnd"/>
      <w:r w:rsidRPr="003B1621">
        <w:t>).</w:t>
      </w:r>
    </w:p>
    <w:p w:rsidR="00E8388F" w:rsidRPr="003B1621" w:rsidRDefault="00E8388F" w:rsidP="00F108A4">
      <w:r w:rsidRPr="003B1621">
        <w:t xml:space="preserve">Severe </w:t>
      </w:r>
      <w:proofErr w:type="spellStart"/>
      <w:r w:rsidRPr="003B1621">
        <w:t>hypoglycemia</w:t>
      </w:r>
      <w:proofErr w:type="spellEnd"/>
      <w:r w:rsidRPr="003B1621">
        <w:t xml:space="preserve"> was defined as a </w:t>
      </w:r>
      <w:proofErr w:type="spellStart"/>
      <w:r w:rsidRPr="003B1621">
        <w:t>hypoglycemic</w:t>
      </w:r>
      <w:proofErr w:type="spellEnd"/>
      <w:r w:rsidRPr="003B1621">
        <w:t xml:space="preserve"> event that required assistance of another person to actively administer carbohydrate, </w:t>
      </w:r>
      <w:proofErr w:type="spellStart"/>
      <w:r w:rsidRPr="003B1621">
        <w:t>glucagons</w:t>
      </w:r>
      <w:proofErr w:type="spellEnd"/>
      <w:r w:rsidRPr="003B1621">
        <w:t xml:space="preserve">, or other resuscitative actions. These episodes may have been associated with sufficient </w:t>
      </w:r>
      <w:proofErr w:type="spellStart"/>
      <w:r w:rsidRPr="003B1621">
        <w:t>neuroglycopenia</w:t>
      </w:r>
      <w:proofErr w:type="spellEnd"/>
      <w:r w:rsidRPr="003B1621">
        <w:t xml:space="preserve"> to induce seizure or coma. Blood glucose measurements may not have been available during such an event, but neurological recovery attributable to the restoration of BG to normal was considered sufficient evidence that the event was induced by low plasma glucose. Nocturnal </w:t>
      </w:r>
      <w:proofErr w:type="spellStart"/>
      <w:r w:rsidRPr="003B1621">
        <w:t>hypoglycemia</w:t>
      </w:r>
      <w:proofErr w:type="spellEnd"/>
      <w:r w:rsidRPr="003B1621">
        <w:t xml:space="preserve"> was defined as any </w:t>
      </w:r>
      <w:proofErr w:type="spellStart"/>
      <w:r w:rsidRPr="003B1621">
        <w:t>hypoglycemic</w:t>
      </w:r>
      <w:proofErr w:type="spellEnd"/>
      <w:r w:rsidRPr="003B1621">
        <w:t xml:space="preserve"> event that occurred between bedtime and waking.</w:t>
      </w:r>
    </w:p>
    <w:p w:rsidR="00E8388F" w:rsidRDefault="00E8388F" w:rsidP="00F108A4">
      <w:pPr>
        <w:rPr>
          <w:lang w:eastAsia="en-AU"/>
        </w:rPr>
      </w:pPr>
      <w:r>
        <w:rPr>
          <w:lang w:eastAsia="en-AU"/>
        </w:rPr>
        <w:t>The 52</w:t>
      </w:r>
      <w:r w:rsidR="00E00C40">
        <w:rPr>
          <w:lang w:eastAsia="en-AU"/>
        </w:rPr>
        <w:t xml:space="preserve"> </w:t>
      </w:r>
      <w:r>
        <w:rPr>
          <w:lang w:eastAsia="en-AU"/>
        </w:rPr>
        <w:t>week report for ABEB also did not show any clinically meaningful differences in hypoglycaemia.</w:t>
      </w:r>
    </w:p>
    <w:p w:rsidR="00E8388F" w:rsidRPr="006717A5" w:rsidRDefault="00E8388F" w:rsidP="00B00796">
      <w:pPr>
        <w:pStyle w:val="Heading5"/>
        <w:rPr>
          <w:lang w:eastAsia="en-AU"/>
        </w:rPr>
      </w:pPr>
      <w:r w:rsidRPr="006717A5">
        <w:rPr>
          <w:lang w:eastAsia="en-AU"/>
        </w:rPr>
        <w:t>Other safety data</w:t>
      </w:r>
    </w:p>
    <w:p w:rsidR="00E8388F" w:rsidRDefault="00E8388F" w:rsidP="00B00796">
      <w:pPr>
        <w:rPr>
          <w:lang w:eastAsia="en-AU"/>
        </w:rPr>
      </w:pPr>
      <w:r>
        <w:rPr>
          <w:lang w:eastAsia="en-AU"/>
        </w:rPr>
        <w:t>There were no imbalances in serious adverse events or deaths.</w:t>
      </w:r>
    </w:p>
    <w:p w:rsidR="00E8388F" w:rsidRDefault="00E8388F" w:rsidP="00B00796">
      <w:pPr>
        <w:rPr>
          <w:lang w:eastAsia="en-AU"/>
        </w:rPr>
      </w:pPr>
      <w:r>
        <w:rPr>
          <w:lang w:eastAsia="en-AU"/>
        </w:rPr>
        <w:t>There were no differences in treatment-emergent allergic events (</w:t>
      </w:r>
      <w:r w:rsidR="00E00C40">
        <w:rPr>
          <w:lang w:eastAsia="en-AU"/>
        </w:rPr>
        <w:t xml:space="preserve">for example, </w:t>
      </w:r>
      <w:r>
        <w:rPr>
          <w:lang w:eastAsia="en-AU"/>
        </w:rPr>
        <w:t>arthralgia, pruritus, rash, asthma</w:t>
      </w:r>
      <w:r w:rsidR="00E00C40">
        <w:rPr>
          <w:lang w:eastAsia="en-AU"/>
        </w:rPr>
        <w:t xml:space="preserve"> and</w:t>
      </w:r>
      <w:r>
        <w:rPr>
          <w:lang w:eastAsia="en-AU"/>
        </w:rPr>
        <w:t xml:space="preserve"> injection-site reactions). The majority of these events were mild and none led to discontinuation.</w:t>
      </w:r>
    </w:p>
    <w:p w:rsidR="00E8388F" w:rsidRPr="00A71500" w:rsidRDefault="00E8388F" w:rsidP="00B00796">
      <w:pPr>
        <w:pStyle w:val="Heading5"/>
        <w:rPr>
          <w:lang w:eastAsia="en-AU"/>
        </w:rPr>
      </w:pPr>
      <w:r w:rsidRPr="00A71500">
        <w:rPr>
          <w:lang w:eastAsia="en-AU"/>
        </w:rPr>
        <w:t>Efficacy</w:t>
      </w:r>
      <w:r>
        <w:rPr>
          <w:lang w:eastAsia="en-AU"/>
        </w:rPr>
        <w:t xml:space="preserve"> from Phase</w:t>
      </w:r>
      <w:r w:rsidR="00E00C40">
        <w:rPr>
          <w:lang w:eastAsia="en-AU"/>
        </w:rPr>
        <w:t xml:space="preserve"> III</w:t>
      </w:r>
      <w:r>
        <w:rPr>
          <w:lang w:eastAsia="en-AU"/>
        </w:rPr>
        <w:t xml:space="preserve"> studies</w:t>
      </w:r>
    </w:p>
    <w:p w:rsidR="00E8388F" w:rsidRPr="00241831" w:rsidRDefault="00E00C40" w:rsidP="00E00C40">
      <w:pPr>
        <w:pStyle w:val="TableTitle"/>
        <w:rPr>
          <w:lang w:eastAsia="en-AU"/>
        </w:rPr>
      </w:pPr>
      <w:r>
        <w:rPr>
          <w:lang w:eastAsia="en-AU"/>
        </w:rPr>
        <w:t xml:space="preserve">Table </w:t>
      </w:r>
      <w:r w:rsidR="00E50E1B">
        <w:rPr>
          <w:lang w:eastAsia="en-AU"/>
        </w:rPr>
        <w:t>20</w:t>
      </w:r>
      <w:r>
        <w:rPr>
          <w:lang w:eastAsia="en-AU"/>
        </w:rPr>
        <w:t xml:space="preserve">: </w:t>
      </w:r>
      <w:r w:rsidR="00E8388F" w:rsidRPr="00241831">
        <w:rPr>
          <w:lang w:eastAsia="en-AU"/>
        </w:rPr>
        <w:t>Results for HbA1c, 24 weeks</w:t>
      </w:r>
    </w:p>
    <w:tbl>
      <w:tblPr>
        <w:tblStyle w:val="TableTGAblue"/>
        <w:tblW w:w="0" w:type="auto"/>
        <w:tblInd w:w="108" w:type="dxa"/>
        <w:tblLook w:val="04A0" w:firstRow="1" w:lastRow="0" w:firstColumn="1" w:lastColumn="0" w:noHBand="0" w:noVBand="1"/>
      </w:tblPr>
      <w:tblGrid>
        <w:gridCol w:w="3402"/>
        <w:gridCol w:w="1210"/>
        <w:gridCol w:w="1056"/>
        <w:gridCol w:w="81"/>
        <w:gridCol w:w="1210"/>
        <w:gridCol w:w="1137"/>
      </w:tblGrid>
      <w:tr w:rsidR="00E8388F" w:rsidRPr="00241831" w:rsidTr="00DD7DC6">
        <w:trPr>
          <w:cnfStyle w:val="100000000000" w:firstRow="1" w:lastRow="0" w:firstColumn="0" w:lastColumn="0" w:oddVBand="0" w:evenVBand="0" w:oddHBand="0" w:evenHBand="0" w:firstRowFirstColumn="0" w:firstRowLastColumn="0" w:lastRowFirstColumn="0" w:lastRowLastColumn="0"/>
        </w:trPr>
        <w:tc>
          <w:tcPr>
            <w:tcW w:w="3402" w:type="dxa"/>
          </w:tcPr>
          <w:p w:rsidR="00E8388F" w:rsidRPr="00E00C40" w:rsidRDefault="00E8388F" w:rsidP="00E8388F">
            <w:pPr>
              <w:pStyle w:val="table"/>
              <w:rPr>
                <w:rFonts w:asciiTheme="minorHAnsi" w:hAnsiTheme="minorHAnsi"/>
                <w:sz w:val="20"/>
              </w:rPr>
            </w:pPr>
          </w:p>
        </w:tc>
        <w:tc>
          <w:tcPr>
            <w:tcW w:w="2266"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ABEB (T1DM) n=535</w:t>
            </w:r>
          </w:p>
        </w:tc>
        <w:tc>
          <w:tcPr>
            <w:tcW w:w="2428" w:type="dxa"/>
            <w:gridSpan w:val="3"/>
          </w:tcPr>
          <w:p w:rsidR="00E8388F" w:rsidRPr="00E00C40" w:rsidRDefault="00E8388F" w:rsidP="00E8388F">
            <w:pPr>
              <w:pStyle w:val="table"/>
              <w:rPr>
                <w:rFonts w:asciiTheme="minorHAnsi" w:hAnsiTheme="minorHAnsi"/>
                <w:sz w:val="20"/>
              </w:rPr>
            </w:pPr>
            <w:r w:rsidRPr="00E00C40">
              <w:rPr>
                <w:rFonts w:asciiTheme="minorHAnsi" w:hAnsiTheme="minorHAnsi"/>
                <w:sz w:val="20"/>
              </w:rPr>
              <w:t>ABEC (T2DM) n=756</w:t>
            </w:r>
          </w:p>
        </w:tc>
      </w:tr>
      <w:tr w:rsidR="00E8388F" w:rsidRPr="00241831" w:rsidTr="00DD7DC6">
        <w:tc>
          <w:tcPr>
            <w:tcW w:w="8096" w:type="dxa"/>
            <w:gridSpan w:val="6"/>
          </w:tcPr>
          <w:p w:rsidR="00E8388F" w:rsidRPr="00E00C40" w:rsidRDefault="00E8388F" w:rsidP="00E8388F">
            <w:pPr>
              <w:pStyle w:val="table"/>
              <w:rPr>
                <w:rFonts w:asciiTheme="minorHAnsi" w:hAnsiTheme="minorHAnsi"/>
                <w:sz w:val="20"/>
              </w:rPr>
            </w:pPr>
            <w:r w:rsidRPr="00E00C40">
              <w:rPr>
                <w:rFonts w:asciiTheme="minorHAnsi" w:hAnsiTheme="minorHAnsi"/>
                <w:sz w:val="20"/>
              </w:rPr>
              <w:t>Full analysis set</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HbA1c (%)</w:t>
            </w:r>
          </w:p>
        </w:tc>
        <w:tc>
          <w:tcPr>
            <w:tcW w:w="1210" w:type="dxa"/>
          </w:tcPr>
          <w:p w:rsidR="00E8388F" w:rsidRPr="00E00C40" w:rsidRDefault="00EC7E12" w:rsidP="00E8388F">
            <w:pPr>
              <w:pStyle w:val="table"/>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n=268</w:t>
            </w:r>
          </w:p>
        </w:tc>
        <w:tc>
          <w:tcPr>
            <w:tcW w:w="113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Lantus n=267</w:t>
            </w:r>
          </w:p>
        </w:tc>
        <w:tc>
          <w:tcPr>
            <w:tcW w:w="1210" w:type="dxa"/>
          </w:tcPr>
          <w:p w:rsidR="00E8388F" w:rsidRPr="00E00C40" w:rsidRDefault="00EC7E12" w:rsidP="00E8388F">
            <w:pPr>
              <w:pStyle w:val="table"/>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n=376</w:t>
            </w:r>
          </w:p>
        </w:tc>
        <w:tc>
          <w:tcPr>
            <w:tcW w:w="1137"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Lantus n=380</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Least squares mean change from baseline (LOCF)</w:t>
            </w:r>
          </w:p>
        </w:tc>
        <w:tc>
          <w:tcPr>
            <w:tcW w:w="121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-0.350</w:t>
            </w:r>
          </w:p>
        </w:tc>
        <w:tc>
          <w:tcPr>
            <w:tcW w:w="113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-0.456</w:t>
            </w:r>
          </w:p>
        </w:tc>
        <w:tc>
          <w:tcPr>
            <w:tcW w:w="121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-1.286</w:t>
            </w:r>
          </w:p>
        </w:tc>
        <w:tc>
          <w:tcPr>
            <w:tcW w:w="1137"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-1.338</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Difference, point estimate (LOCF)</w:t>
            </w:r>
          </w:p>
        </w:tc>
        <w:tc>
          <w:tcPr>
            <w:tcW w:w="2347" w:type="dxa"/>
            <w:gridSpan w:val="3"/>
          </w:tcPr>
          <w:p w:rsidR="00E8388F" w:rsidRPr="00E00C40" w:rsidRDefault="00E8388F" w:rsidP="00E8388F">
            <w:pPr>
              <w:pStyle w:val="table"/>
              <w:rPr>
                <w:rFonts w:asciiTheme="minorHAnsi" w:hAnsiTheme="minorHAnsi"/>
                <w:sz w:val="20"/>
              </w:rPr>
            </w:pPr>
            <w:r w:rsidRPr="00E00C40">
              <w:rPr>
                <w:rFonts w:asciiTheme="minorHAnsi" w:hAnsiTheme="minorHAnsi"/>
                <w:sz w:val="20"/>
              </w:rPr>
              <w:t>0.106</w:t>
            </w:r>
          </w:p>
        </w:tc>
        <w:tc>
          <w:tcPr>
            <w:tcW w:w="234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0.052</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Difference, 95% CI (LOCF)</w:t>
            </w:r>
          </w:p>
        </w:tc>
        <w:tc>
          <w:tcPr>
            <w:tcW w:w="2347" w:type="dxa"/>
            <w:gridSpan w:val="3"/>
          </w:tcPr>
          <w:p w:rsidR="00E8388F" w:rsidRPr="00E00C40" w:rsidRDefault="00E8388F" w:rsidP="00E8388F">
            <w:pPr>
              <w:pStyle w:val="table"/>
              <w:rPr>
                <w:rFonts w:asciiTheme="minorHAnsi" w:hAnsiTheme="minorHAnsi"/>
                <w:sz w:val="20"/>
              </w:rPr>
            </w:pPr>
            <w:r w:rsidRPr="00E00C40">
              <w:rPr>
                <w:rFonts w:asciiTheme="minorHAnsi" w:hAnsiTheme="minorHAnsi"/>
                <w:sz w:val="20"/>
              </w:rPr>
              <w:t>(-0.005, 0.217)</w:t>
            </w:r>
          </w:p>
        </w:tc>
        <w:tc>
          <w:tcPr>
            <w:tcW w:w="234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(-0.070, 0.175)</w:t>
            </w:r>
          </w:p>
        </w:tc>
      </w:tr>
      <w:tr w:rsidR="00E8388F" w:rsidRPr="00241831" w:rsidTr="00DD7DC6">
        <w:tc>
          <w:tcPr>
            <w:tcW w:w="8096" w:type="dxa"/>
            <w:gridSpan w:val="6"/>
          </w:tcPr>
          <w:p w:rsidR="00E8388F" w:rsidRPr="00E00C40" w:rsidRDefault="00E8388F" w:rsidP="00E8388F">
            <w:pPr>
              <w:pStyle w:val="table"/>
              <w:rPr>
                <w:rFonts w:asciiTheme="minorHAnsi" w:hAnsiTheme="minorHAnsi"/>
                <w:sz w:val="20"/>
              </w:rPr>
            </w:pPr>
            <w:r w:rsidRPr="00E00C40">
              <w:rPr>
                <w:rFonts w:asciiTheme="minorHAnsi" w:hAnsiTheme="minorHAnsi"/>
                <w:sz w:val="20"/>
              </w:rPr>
              <w:t>Per protocol analysis set</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HbA1c (%)</w:t>
            </w:r>
          </w:p>
        </w:tc>
        <w:tc>
          <w:tcPr>
            <w:tcW w:w="1210" w:type="dxa"/>
          </w:tcPr>
          <w:p w:rsidR="00E8388F" w:rsidRPr="00E00C40" w:rsidRDefault="00EC7E12" w:rsidP="00E8388F">
            <w:pPr>
              <w:pStyle w:val="table"/>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n=251</w:t>
            </w:r>
          </w:p>
        </w:tc>
        <w:tc>
          <w:tcPr>
            <w:tcW w:w="113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Lantus n=256</w:t>
            </w:r>
          </w:p>
        </w:tc>
        <w:tc>
          <w:tcPr>
            <w:tcW w:w="1210" w:type="dxa"/>
          </w:tcPr>
          <w:p w:rsidR="00E8388F" w:rsidRPr="00E00C40" w:rsidRDefault="00EC7E12" w:rsidP="00E8388F">
            <w:pPr>
              <w:pStyle w:val="table"/>
              <w:rPr>
                <w:rFonts w:asciiTheme="minorHAnsi" w:hAnsiTheme="minorHAnsi"/>
                <w:sz w:val="20"/>
              </w:rPr>
            </w:pPr>
            <w:proofErr w:type="spellStart"/>
            <w:r w:rsidRPr="00E00C40">
              <w:rPr>
                <w:rFonts w:asciiTheme="minorHAnsi" w:hAnsiTheme="minorHAnsi"/>
                <w:sz w:val="20"/>
              </w:rPr>
              <w:t>Abasria</w:t>
            </w:r>
            <w:proofErr w:type="spellEnd"/>
            <w:r w:rsidR="00E8388F" w:rsidRPr="00E00C40">
              <w:rPr>
                <w:rFonts w:asciiTheme="minorHAnsi" w:hAnsiTheme="minorHAnsi"/>
                <w:sz w:val="20"/>
              </w:rPr>
              <w:t xml:space="preserve"> n=314</w:t>
            </w:r>
          </w:p>
        </w:tc>
        <w:tc>
          <w:tcPr>
            <w:tcW w:w="1137"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Lantus n=308</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 xml:space="preserve">Least squares mean change from </w:t>
            </w:r>
            <w:r w:rsidRPr="00E00C40">
              <w:rPr>
                <w:rFonts w:asciiTheme="minorHAnsi" w:hAnsiTheme="minorHAnsi"/>
                <w:sz w:val="20"/>
              </w:rPr>
              <w:lastRenderedPageBreak/>
              <w:t>baseline (LOCF)</w:t>
            </w:r>
          </w:p>
        </w:tc>
        <w:tc>
          <w:tcPr>
            <w:tcW w:w="121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lastRenderedPageBreak/>
              <w:t>-0.370</w:t>
            </w:r>
          </w:p>
        </w:tc>
        <w:tc>
          <w:tcPr>
            <w:tcW w:w="113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-0.468</w:t>
            </w:r>
          </w:p>
        </w:tc>
        <w:tc>
          <w:tcPr>
            <w:tcW w:w="1210"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-1.286</w:t>
            </w:r>
          </w:p>
        </w:tc>
        <w:tc>
          <w:tcPr>
            <w:tcW w:w="1137"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-1.338</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lastRenderedPageBreak/>
              <w:t>Difference, point estimate (LOCF)</w:t>
            </w:r>
          </w:p>
        </w:tc>
        <w:tc>
          <w:tcPr>
            <w:tcW w:w="2347" w:type="dxa"/>
            <w:gridSpan w:val="3"/>
          </w:tcPr>
          <w:p w:rsidR="00E8388F" w:rsidRPr="00E00C40" w:rsidRDefault="00E8388F" w:rsidP="00E8388F">
            <w:pPr>
              <w:pStyle w:val="table"/>
              <w:rPr>
                <w:rFonts w:asciiTheme="minorHAnsi" w:hAnsiTheme="minorHAnsi"/>
                <w:sz w:val="20"/>
              </w:rPr>
            </w:pPr>
            <w:r w:rsidRPr="00E00C40">
              <w:rPr>
                <w:rFonts w:asciiTheme="minorHAnsi" w:hAnsiTheme="minorHAnsi"/>
                <w:sz w:val="20"/>
              </w:rPr>
              <w:t>0.098</w:t>
            </w:r>
          </w:p>
        </w:tc>
        <w:tc>
          <w:tcPr>
            <w:tcW w:w="234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0.116</w:t>
            </w:r>
          </w:p>
        </w:tc>
      </w:tr>
      <w:tr w:rsidR="00E8388F" w:rsidRPr="00241831" w:rsidTr="00DD7DC6">
        <w:tc>
          <w:tcPr>
            <w:tcW w:w="3402" w:type="dxa"/>
          </w:tcPr>
          <w:p w:rsidR="00E8388F" w:rsidRPr="00E00C40" w:rsidRDefault="00E8388F" w:rsidP="00E8388F">
            <w:pPr>
              <w:pStyle w:val="table"/>
              <w:rPr>
                <w:rFonts w:asciiTheme="minorHAnsi" w:hAnsiTheme="minorHAnsi"/>
                <w:sz w:val="20"/>
              </w:rPr>
            </w:pPr>
            <w:r w:rsidRPr="00E00C40">
              <w:rPr>
                <w:rFonts w:asciiTheme="minorHAnsi" w:hAnsiTheme="minorHAnsi"/>
                <w:sz w:val="20"/>
              </w:rPr>
              <w:t>Difference, 95% CI (LOCF)</w:t>
            </w:r>
          </w:p>
        </w:tc>
        <w:tc>
          <w:tcPr>
            <w:tcW w:w="2347" w:type="dxa"/>
            <w:gridSpan w:val="3"/>
          </w:tcPr>
          <w:p w:rsidR="00E8388F" w:rsidRPr="00E00C40" w:rsidRDefault="00E8388F" w:rsidP="00E8388F">
            <w:pPr>
              <w:pStyle w:val="table"/>
              <w:rPr>
                <w:rFonts w:asciiTheme="minorHAnsi" w:hAnsiTheme="minorHAnsi"/>
                <w:sz w:val="20"/>
              </w:rPr>
            </w:pPr>
            <w:r w:rsidRPr="00E00C40">
              <w:rPr>
                <w:rFonts w:asciiTheme="minorHAnsi" w:hAnsiTheme="minorHAnsi"/>
                <w:sz w:val="20"/>
              </w:rPr>
              <w:t>(-0.014, 0.209)</w:t>
            </w:r>
          </w:p>
        </w:tc>
        <w:tc>
          <w:tcPr>
            <w:tcW w:w="2347" w:type="dxa"/>
            <w:gridSpan w:val="2"/>
          </w:tcPr>
          <w:p w:rsidR="00E8388F" w:rsidRPr="00E00C40" w:rsidRDefault="00E8388F" w:rsidP="00E8388F">
            <w:pPr>
              <w:pStyle w:val="table"/>
              <w:rPr>
                <w:rFonts w:asciiTheme="minorHAnsi" w:hAnsiTheme="minorHAnsi"/>
                <w:sz w:val="20"/>
              </w:rPr>
            </w:pPr>
            <w:r w:rsidRPr="00E00C40">
              <w:rPr>
                <w:rFonts w:asciiTheme="minorHAnsi" w:hAnsiTheme="minorHAnsi"/>
                <w:sz w:val="20"/>
              </w:rPr>
              <w:t>(-0.010, 0.242)</w:t>
            </w:r>
          </w:p>
        </w:tc>
      </w:tr>
    </w:tbl>
    <w:p w:rsidR="00E8388F" w:rsidRDefault="00E8388F" w:rsidP="00B00796">
      <w:r>
        <w:t xml:space="preserve">These results meet the non-inferiority margin of 0.3% at 24 weeks for the endpoint of </w:t>
      </w:r>
      <w:r w:rsidR="00722754">
        <w:t>‘</w:t>
      </w:r>
      <w:r>
        <w:t>change in HbA1c</w:t>
      </w:r>
      <w:r w:rsidR="00722754">
        <w:t>’</w:t>
      </w:r>
      <w:r>
        <w:t xml:space="preserve">; although the point estimates show that </w:t>
      </w:r>
      <w:proofErr w:type="spellStart"/>
      <w:r w:rsidR="00EC7E12">
        <w:t>Abasria</w:t>
      </w:r>
      <w:proofErr w:type="spellEnd"/>
      <w:r>
        <w:t xml:space="preserve"> was slightly worse than </w:t>
      </w:r>
      <w:r w:rsidR="00D54BAC">
        <w:t>Lantus</w:t>
      </w:r>
      <w:r>
        <w:t>, in terms of HbA1c.</w:t>
      </w:r>
    </w:p>
    <w:p w:rsidR="00E8388F" w:rsidRDefault="00E8388F" w:rsidP="00B00796">
      <w:r>
        <w:t xml:space="preserve">The updated analysis at 52 weeks for ABEB (T1D) also met the non-inferiority margin of 0.3%. For example, for the full analysis set, </w:t>
      </w:r>
      <w:r w:rsidR="00E00C40">
        <w:t>last observation carried forward (</w:t>
      </w:r>
      <w:r>
        <w:t>LOCF</w:t>
      </w:r>
      <w:r w:rsidR="00E00C40">
        <w:t>)</w:t>
      </w:r>
      <w:r>
        <w:t xml:space="preserve">, </w:t>
      </w:r>
      <w:proofErr w:type="spellStart"/>
      <w:r w:rsidR="00EC7E12">
        <w:t>Abasria</w:t>
      </w:r>
      <w:proofErr w:type="spellEnd"/>
      <w:r>
        <w:t xml:space="preserve"> -0.256%, </w:t>
      </w:r>
      <w:r w:rsidR="00D54BAC">
        <w:t>Lantus</w:t>
      </w:r>
      <w:r>
        <w:t xml:space="preserve"> -0.276%, </w:t>
      </w:r>
      <w:r w:rsidR="00E00C40">
        <w:t>least squares (</w:t>
      </w:r>
      <w:r>
        <w:t>LS</w:t>
      </w:r>
      <w:r w:rsidR="00E00C40">
        <w:t>)</w:t>
      </w:r>
      <w:r>
        <w:t xml:space="preserve"> mean difference: 0.020%, (95% </w:t>
      </w:r>
      <w:r w:rsidR="00E00C40">
        <w:t>confidence interval (</w:t>
      </w:r>
      <w:r>
        <w:t>CI</w:t>
      </w:r>
      <w:r w:rsidR="00E00C40">
        <w:t>)</w:t>
      </w:r>
      <w:r>
        <w:t>: 0.099%, 0.140%).</w:t>
      </w:r>
    </w:p>
    <w:p w:rsidR="00E8388F" w:rsidRDefault="00E8388F" w:rsidP="00B00796">
      <w:r>
        <w:t>Results for secondary efficacy endpoints (</w:t>
      </w:r>
      <w:r w:rsidR="00E00C40">
        <w:t>such as</w:t>
      </w:r>
      <w:r>
        <w:t xml:space="preserve"> fasting blood glucose</w:t>
      </w:r>
      <w:r w:rsidR="00E00C40">
        <w:t xml:space="preserve"> and</w:t>
      </w:r>
      <w:r>
        <w:t xml:space="preserve"> insulin dose) were consisten</w:t>
      </w:r>
      <w:r w:rsidR="00F108A4">
        <w:t>t with those for HbA1c.</w:t>
      </w:r>
    </w:p>
    <w:p w:rsidR="008E7846" w:rsidRDefault="00386150" w:rsidP="007B6132">
      <w:pPr>
        <w:pStyle w:val="Heading3"/>
        <w:rPr>
          <w:lang w:eastAsia="en-AU"/>
        </w:rPr>
      </w:pPr>
      <w:bookmarkStart w:id="143" w:name="_Toc428796499"/>
      <w:r>
        <w:rPr>
          <w:lang w:eastAsia="en-AU"/>
        </w:rPr>
        <w:t>Risk m</w:t>
      </w:r>
      <w:r w:rsidR="008E7846">
        <w:rPr>
          <w:lang w:eastAsia="en-AU"/>
        </w:rPr>
        <w:t xml:space="preserve">anagement </w:t>
      </w:r>
      <w:r>
        <w:rPr>
          <w:lang w:eastAsia="en-AU"/>
        </w:rPr>
        <w:t>p</w:t>
      </w:r>
      <w:r w:rsidR="008E7846">
        <w:rPr>
          <w:lang w:eastAsia="en-AU"/>
        </w:rPr>
        <w:t>lan</w:t>
      </w:r>
      <w:bookmarkEnd w:id="141"/>
      <w:bookmarkEnd w:id="143"/>
    </w:p>
    <w:p w:rsidR="00E8388F" w:rsidRDefault="00E8388F" w:rsidP="00B00796">
      <w:pPr>
        <w:rPr>
          <w:lang w:eastAsia="en-AU"/>
        </w:rPr>
      </w:pPr>
      <w:r>
        <w:rPr>
          <w:lang w:eastAsia="en-AU"/>
        </w:rPr>
        <w:t xml:space="preserve">No new risks were identified for </w:t>
      </w:r>
      <w:proofErr w:type="spellStart"/>
      <w:r w:rsidR="00EC7E12">
        <w:rPr>
          <w:lang w:eastAsia="en-AU"/>
        </w:rPr>
        <w:t>Abasria</w:t>
      </w:r>
      <w:proofErr w:type="spellEnd"/>
      <w:r>
        <w:rPr>
          <w:lang w:eastAsia="en-AU"/>
        </w:rPr>
        <w:t xml:space="preserve"> and the risk management plan is based on that for </w:t>
      </w:r>
      <w:r w:rsidR="00D54BAC">
        <w:rPr>
          <w:lang w:eastAsia="en-AU"/>
        </w:rPr>
        <w:t>Lantus</w:t>
      </w:r>
      <w:r>
        <w:rPr>
          <w:lang w:eastAsia="en-AU"/>
        </w:rPr>
        <w:t xml:space="preserve">. Important identified risks for </w:t>
      </w:r>
      <w:proofErr w:type="spellStart"/>
      <w:r w:rsidR="00EC7E12">
        <w:rPr>
          <w:lang w:eastAsia="en-AU"/>
        </w:rPr>
        <w:t>Abasria</w:t>
      </w:r>
      <w:proofErr w:type="spellEnd"/>
      <w:r>
        <w:rPr>
          <w:lang w:eastAsia="en-AU"/>
        </w:rPr>
        <w:t>/</w:t>
      </w:r>
      <w:r w:rsidR="00D54BAC">
        <w:rPr>
          <w:lang w:eastAsia="en-AU"/>
        </w:rPr>
        <w:t>Lantus</w:t>
      </w:r>
      <w:r>
        <w:rPr>
          <w:lang w:eastAsia="en-AU"/>
        </w:rPr>
        <w:t xml:space="preserve"> include hypoglycaemia, hypersensitivity reactions, injection site reactions, medication errors. Important potential risks include malignancies and immunogenicity. The plan is to mitigate these risks through routine risk minimisation measures (</w:t>
      </w:r>
      <w:r w:rsidR="00E00C40">
        <w:rPr>
          <w:lang w:eastAsia="en-AU"/>
        </w:rPr>
        <w:t>for example</w:t>
      </w:r>
      <w:r>
        <w:rPr>
          <w:lang w:eastAsia="en-AU"/>
        </w:rPr>
        <w:t>, education for prescribers through the PI</w:t>
      </w:r>
      <w:r w:rsidR="00E00C40">
        <w:rPr>
          <w:lang w:eastAsia="en-AU"/>
        </w:rPr>
        <w:t xml:space="preserve"> and</w:t>
      </w:r>
      <w:r>
        <w:rPr>
          <w:lang w:eastAsia="en-AU"/>
        </w:rPr>
        <w:t xml:space="preserve"> spontaneous reportin</w:t>
      </w:r>
      <w:r w:rsidR="00F108A4">
        <w:rPr>
          <w:lang w:eastAsia="en-AU"/>
        </w:rPr>
        <w:t>g of adverse events).</w:t>
      </w:r>
    </w:p>
    <w:p w:rsidR="008E7846" w:rsidRDefault="00AA0ED0" w:rsidP="008E7846">
      <w:pPr>
        <w:pStyle w:val="Heading3"/>
      </w:pPr>
      <w:bookmarkStart w:id="144" w:name="_Toc247691531"/>
      <w:bookmarkStart w:id="145" w:name="_Toc314842515"/>
      <w:bookmarkStart w:id="146" w:name="_Toc428796500"/>
      <w:bookmarkStart w:id="147" w:name="_Toc196046505"/>
      <w:bookmarkStart w:id="148" w:name="_Toc196046949"/>
      <w:r>
        <w:t>Risk-benefit a</w:t>
      </w:r>
      <w:r w:rsidR="008E7846">
        <w:t>nalysis</w:t>
      </w:r>
      <w:bookmarkEnd w:id="144"/>
      <w:bookmarkEnd w:id="145"/>
      <w:bookmarkEnd w:id="146"/>
    </w:p>
    <w:p w:rsidR="00D23139" w:rsidRDefault="00F108A4" w:rsidP="00D23139">
      <w:pPr>
        <w:pStyle w:val="Heading4"/>
      </w:pPr>
      <w:r>
        <w:t>Delegate’s considerations</w:t>
      </w:r>
    </w:p>
    <w:p w:rsidR="00E8388F" w:rsidRDefault="00E8388F" w:rsidP="00B00796">
      <w:r>
        <w:t>The sponsor’s clinical development program was conducted according to EMA guidelines and after discussion with EMA.</w:t>
      </w:r>
    </w:p>
    <w:p w:rsidR="00E8388F" w:rsidRDefault="00E8388F" w:rsidP="00B00796">
      <w:r>
        <w:t xml:space="preserve">The PK/PD profiles of </w:t>
      </w:r>
      <w:proofErr w:type="spellStart"/>
      <w:r w:rsidR="00EC7E12">
        <w:t>Abasria</w:t>
      </w:r>
      <w:proofErr w:type="spellEnd"/>
      <w:r>
        <w:t xml:space="preserve"> and </w:t>
      </w:r>
      <w:r w:rsidR="00D54BAC">
        <w:t>Lantus</w:t>
      </w:r>
      <w:r>
        <w:t xml:space="preserve"> are similar. Two Phase</w:t>
      </w:r>
      <w:r w:rsidR="00E00C40">
        <w:t xml:space="preserve"> III</w:t>
      </w:r>
      <w:r>
        <w:t xml:space="preserve"> studies have shown that the immunogenicity profiles of </w:t>
      </w:r>
      <w:proofErr w:type="spellStart"/>
      <w:r w:rsidR="00EC7E12">
        <w:t>Abasria</w:t>
      </w:r>
      <w:proofErr w:type="spellEnd"/>
      <w:r>
        <w:t xml:space="preserve"> and </w:t>
      </w:r>
      <w:r w:rsidR="00D54BAC">
        <w:t>Lantus</w:t>
      </w:r>
      <w:r w:rsidR="00F108A4">
        <w:t xml:space="preserve"> are similar.</w:t>
      </w:r>
    </w:p>
    <w:p w:rsidR="00E8388F" w:rsidRPr="00C905A7" w:rsidRDefault="00E8388F" w:rsidP="00B00796">
      <w:pPr>
        <w:rPr>
          <w:lang w:eastAsia="en-AU"/>
        </w:rPr>
      </w:pPr>
      <w:r>
        <w:rPr>
          <w:lang w:eastAsia="en-AU"/>
        </w:rPr>
        <w:t>Establishment of non-inferior (similar) efficacy was not the primary aim of the Phase</w:t>
      </w:r>
      <w:r w:rsidR="00E00C40">
        <w:rPr>
          <w:lang w:eastAsia="en-AU"/>
        </w:rPr>
        <w:t xml:space="preserve"> III</w:t>
      </w:r>
      <w:r>
        <w:rPr>
          <w:lang w:eastAsia="en-AU"/>
        </w:rPr>
        <w:t xml:space="preserve"> studies (</w:t>
      </w:r>
      <w:r w:rsidR="00E00C40">
        <w:rPr>
          <w:lang w:eastAsia="en-AU"/>
        </w:rPr>
        <w:t>that is,</w:t>
      </w:r>
      <w:r>
        <w:rPr>
          <w:lang w:eastAsia="en-AU"/>
        </w:rPr>
        <w:t xml:space="preserve"> the primary aim was to show that the immunogenicity profiles were similar). Point estimates for change in HbA1c were similar but slightly in favour of </w:t>
      </w:r>
      <w:r w:rsidR="00D54BAC">
        <w:rPr>
          <w:lang w:eastAsia="en-AU"/>
        </w:rPr>
        <w:t>Lantus</w:t>
      </w:r>
      <w:r>
        <w:rPr>
          <w:lang w:eastAsia="en-AU"/>
        </w:rPr>
        <w:t>. (The 95% CI did not include the non-inferiority margin of 0.3%). These results are broadly supportive of the PK/PD data, which are the primary data that esta</w:t>
      </w:r>
      <w:r w:rsidR="00F108A4">
        <w:rPr>
          <w:lang w:eastAsia="en-AU"/>
        </w:rPr>
        <w:t>blish similar efficacy.</w:t>
      </w:r>
    </w:p>
    <w:p w:rsidR="00E8388F" w:rsidRDefault="00E8388F" w:rsidP="00B00796">
      <w:r>
        <w:t xml:space="preserve">If the </w:t>
      </w:r>
      <w:r w:rsidR="00E00C40">
        <w:t>TGA’s Advisory Committee on Prescription Medicines (</w:t>
      </w:r>
      <w:r>
        <w:t>ACPM</w:t>
      </w:r>
      <w:r w:rsidR="00E00C40">
        <w:t>)</w:t>
      </w:r>
      <w:r>
        <w:t xml:space="preserve"> is satisfied that the submitted data show that </w:t>
      </w:r>
      <w:proofErr w:type="spellStart"/>
      <w:r w:rsidR="00EC7E12">
        <w:t>Abasria</w:t>
      </w:r>
      <w:proofErr w:type="spellEnd"/>
      <w:r>
        <w:t xml:space="preserve"> is similar to </w:t>
      </w:r>
      <w:r w:rsidR="00D54BAC">
        <w:t>Lantus</w:t>
      </w:r>
      <w:r>
        <w:t xml:space="preserve">, then the efficacy and safety of </w:t>
      </w:r>
      <w:proofErr w:type="spellStart"/>
      <w:r w:rsidR="00EC7E12">
        <w:t>Abasria</w:t>
      </w:r>
      <w:proofErr w:type="spellEnd"/>
      <w:r>
        <w:t xml:space="preserve"> ca</w:t>
      </w:r>
      <w:r w:rsidR="00E00C40">
        <w:t xml:space="preserve">n be inferred from the evidence </w:t>
      </w:r>
      <w:r>
        <w:t xml:space="preserve">base for </w:t>
      </w:r>
      <w:r w:rsidR="00D54BAC">
        <w:t>Lantus</w:t>
      </w:r>
      <w:r w:rsidR="00F108A4">
        <w:t>.</w:t>
      </w:r>
    </w:p>
    <w:p w:rsidR="00E8388F" w:rsidRPr="009870FD" w:rsidRDefault="00E8388F" w:rsidP="00B00796">
      <w:pPr>
        <w:pStyle w:val="Heading4"/>
        <w:rPr>
          <w:lang w:eastAsia="en-AU"/>
        </w:rPr>
      </w:pPr>
      <w:r w:rsidRPr="009870FD">
        <w:rPr>
          <w:lang w:eastAsia="en-AU"/>
        </w:rPr>
        <w:t>Conditions of registration</w:t>
      </w:r>
    </w:p>
    <w:p w:rsidR="00E8388F" w:rsidRPr="00F51F59" w:rsidRDefault="00E8388F" w:rsidP="00F51F59">
      <w:r w:rsidRPr="00F51F59">
        <w:t>Implement EU Risk Management Plan Version 1.0 (dated 22</w:t>
      </w:r>
      <w:r w:rsidR="00441438" w:rsidRPr="00F51F59">
        <w:t xml:space="preserve"> May </w:t>
      </w:r>
      <w:r w:rsidRPr="00F51F59">
        <w:t xml:space="preserve">2013, </w:t>
      </w:r>
      <w:r w:rsidR="00441438" w:rsidRPr="00F51F59">
        <w:rPr>
          <w:rFonts w:asciiTheme="minorHAnsi" w:hAnsiTheme="minorHAnsi"/>
        </w:rPr>
        <w:t>Data Lock Point (DLP) 01 April 2013</w:t>
      </w:r>
      <w:r w:rsidRPr="00F51F59">
        <w:t>) and Australian Specific Annex Version 2 (dated 21</w:t>
      </w:r>
      <w:r w:rsidR="00441438" w:rsidRPr="00F51F59">
        <w:t xml:space="preserve"> May </w:t>
      </w:r>
      <w:r w:rsidRPr="00F51F59">
        <w:t>2014), and any future updates (where TGA approved) as a condition of registration.</w:t>
      </w:r>
    </w:p>
    <w:p w:rsidR="00E8388F" w:rsidRPr="00E8388F" w:rsidRDefault="00E8388F" w:rsidP="00F51F59">
      <w:r w:rsidRPr="00F51F59">
        <w:t xml:space="preserve">The Australian Biological Name of the reference product may be used as the non-proprietary name of </w:t>
      </w:r>
      <w:proofErr w:type="spellStart"/>
      <w:r w:rsidR="00EC7E12" w:rsidRPr="00F51F59">
        <w:t>Abasria</w:t>
      </w:r>
      <w:proofErr w:type="spellEnd"/>
      <w:r w:rsidRPr="00F51F59">
        <w:t xml:space="preserve">, however it is a condition of registration that when the </w:t>
      </w:r>
      <w:r w:rsidR="00441438" w:rsidRPr="00F51F59">
        <w:t xml:space="preserve">International </w:t>
      </w:r>
      <w:proofErr w:type="spellStart"/>
      <w:r w:rsidR="00441438" w:rsidRPr="00F51F59">
        <w:t>Nonproprietary</w:t>
      </w:r>
      <w:proofErr w:type="spellEnd"/>
      <w:r w:rsidR="00441438" w:rsidRPr="00F51F59">
        <w:t xml:space="preserve"> Names (</w:t>
      </w:r>
      <w:r w:rsidRPr="00F51F59">
        <w:t>INN</w:t>
      </w:r>
      <w:r w:rsidR="00441438" w:rsidRPr="00F51F59">
        <w:t>)</w:t>
      </w:r>
      <w:r w:rsidRPr="00F51F59">
        <w:t xml:space="preserve"> Biological Qualifier proposal is ado</w:t>
      </w:r>
      <w:r w:rsidR="00441438" w:rsidRPr="00F51F59">
        <w:t xml:space="preserve">pted by the </w:t>
      </w:r>
      <w:r w:rsidR="00441438" w:rsidRPr="00F51F59">
        <w:lastRenderedPageBreak/>
        <w:t>World Health Organiz</w:t>
      </w:r>
      <w:r w:rsidRPr="00F51F59">
        <w:t>ation, that the biosimilar identifier is used in all references to the product in the labelling, PI and CMI. When this change is made, the TGA should be informed and the labels, PI and CMI submitted for assessment and updating of the website</w:t>
      </w:r>
      <w:r w:rsidRPr="00A71500">
        <w:t>.</w:t>
      </w:r>
    </w:p>
    <w:p w:rsidR="00D23139" w:rsidRDefault="00D23139" w:rsidP="00D23139">
      <w:pPr>
        <w:pStyle w:val="Heading4"/>
      </w:pPr>
      <w:r w:rsidRPr="00D23139">
        <w:t>Proposed action</w:t>
      </w:r>
    </w:p>
    <w:p w:rsidR="00E8388F" w:rsidRDefault="00441438" w:rsidP="00B00796">
      <w:r>
        <w:t>The Delegate had</w:t>
      </w:r>
      <w:r w:rsidR="00E8388F" w:rsidRPr="00C80339">
        <w:t xml:space="preserve"> no reason to say, at this time, that the application for </w:t>
      </w:r>
      <w:proofErr w:type="spellStart"/>
      <w:r w:rsidR="00EC7E12">
        <w:t>Abasria</w:t>
      </w:r>
      <w:proofErr w:type="spellEnd"/>
      <w:r w:rsidR="00E8388F" w:rsidRPr="00C80339">
        <w:t xml:space="preserve"> should not be approved for registration</w:t>
      </w:r>
      <w:r w:rsidR="00E8388F">
        <w:t>.</w:t>
      </w:r>
    </w:p>
    <w:p w:rsidR="00D23139" w:rsidRDefault="00D23139" w:rsidP="00D23139">
      <w:pPr>
        <w:pStyle w:val="Heading4"/>
      </w:pPr>
      <w:r w:rsidRPr="00D23139">
        <w:t>Request for ACPM advice</w:t>
      </w:r>
    </w:p>
    <w:p w:rsidR="00E8388F" w:rsidRDefault="00E8388F" w:rsidP="00B00796">
      <w:pPr>
        <w:pStyle w:val="ListBullet"/>
      </w:pPr>
      <w:r>
        <w:t xml:space="preserve">Does the ACPM consider that the PK/PD studies provide sufficient evidence to establish that </w:t>
      </w:r>
      <w:proofErr w:type="spellStart"/>
      <w:r w:rsidR="00EC7E12">
        <w:t>Abasria</w:t>
      </w:r>
      <w:proofErr w:type="spellEnd"/>
      <w:r>
        <w:t xml:space="preserve"> has a PK/PD profile similar to that of </w:t>
      </w:r>
      <w:r w:rsidR="00D54BAC">
        <w:t>Lantus</w:t>
      </w:r>
      <w:r>
        <w:t>?</w:t>
      </w:r>
    </w:p>
    <w:p w:rsidR="00E8388F" w:rsidRDefault="00E8388F" w:rsidP="00B00796">
      <w:pPr>
        <w:pStyle w:val="ListBullet"/>
      </w:pPr>
      <w:r>
        <w:t>Does the ACPM consider that the Phase</w:t>
      </w:r>
      <w:r w:rsidR="00441438">
        <w:t xml:space="preserve"> III</w:t>
      </w:r>
      <w:r>
        <w:t xml:space="preserve"> studies provide sufficient evidence to establish that immunogenicity is similar to </w:t>
      </w:r>
      <w:r w:rsidR="00D54BAC">
        <w:t>Lantus</w:t>
      </w:r>
      <w:r>
        <w:t>?</w:t>
      </w:r>
    </w:p>
    <w:p w:rsidR="00E8388F" w:rsidRPr="00727665" w:rsidRDefault="00E8388F" w:rsidP="00B00796">
      <w:pPr>
        <w:pStyle w:val="ListBullet"/>
      </w:pPr>
      <w:r>
        <w:t xml:space="preserve">Studies of similarity between </w:t>
      </w:r>
      <w:proofErr w:type="spellStart"/>
      <w:r w:rsidR="00EC7E12">
        <w:t>Abasria</w:t>
      </w:r>
      <w:proofErr w:type="spellEnd"/>
      <w:r>
        <w:t xml:space="preserve"> and </w:t>
      </w:r>
      <w:r w:rsidR="00D54BAC">
        <w:t>Lantus</w:t>
      </w:r>
      <w:r>
        <w:t xml:space="preserve"> have been conducted in adults. Does the ACPM consider that these allow extrapolation of the similarity to children, 2 years </w:t>
      </w:r>
      <w:r w:rsidRPr="00727665">
        <w:t>and older?</w:t>
      </w:r>
    </w:p>
    <w:p w:rsidR="00E8388F" w:rsidRPr="00727665" w:rsidRDefault="00E8388F" w:rsidP="00441438">
      <w:pPr>
        <w:pStyle w:val="ListBullet"/>
      </w:pPr>
      <w:proofErr w:type="spellStart"/>
      <w:r w:rsidRPr="00727665">
        <w:t>Biosimilars</w:t>
      </w:r>
      <w:proofErr w:type="spellEnd"/>
      <w:r w:rsidRPr="00727665">
        <w:t xml:space="preserve"> are not regarded as interchangeable on a same-dose basis with the reference product. That is, any switch from </w:t>
      </w:r>
      <w:r w:rsidR="00D54BAC" w:rsidRPr="00727665">
        <w:t>Lantus</w:t>
      </w:r>
      <w:r w:rsidRPr="00727665">
        <w:t xml:space="preserve"> to </w:t>
      </w:r>
      <w:proofErr w:type="spellStart"/>
      <w:r w:rsidR="00EC7E12" w:rsidRPr="00727665">
        <w:t>Abasria</w:t>
      </w:r>
      <w:proofErr w:type="spellEnd"/>
      <w:r w:rsidRPr="00727665">
        <w:t xml:space="preserve"> should only be done under medical supervision and may require different dosing and particular caution regarding </w:t>
      </w:r>
      <w:proofErr w:type="spellStart"/>
      <w:r w:rsidRPr="00727665">
        <w:t>hypogylcaemia</w:t>
      </w:r>
      <w:proofErr w:type="spellEnd"/>
      <w:r w:rsidRPr="00727665">
        <w:t>. Does the ACPM consider that the information provided in the PI is appropriate?</w:t>
      </w:r>
    </w:p>
    <w:p w:rsidR="00D23139" w:rsidRDefault="00D23139" w:rsidP="00D23139">
      <w:pPr>
        <w:pStyle w:val="Heading4"/>
      </w:pPr>
      <w:r w:rsidRPr="00D23139">
        <w:t xml:space="preserve">Response from </w:t>
      </w:r>
      <w:r w:rsidR="00441438">
        <w:t>s</w:t>
      </w:r>
      <w:r w:rsidR="00F108A4">
        <w:t>ponsor</w:t>
      </w:r>
    </w:p>
    <w:p w:rsidR="00441438" w:rsidRDefault="00AC5DD8" w:rsidP="00B00796">
      <w:r>
        <w:t>Th</w:t>
      </w:r>
      <w:r w:rsidR="00441438">
        <w:t>e sponsor’s</w:t>
      </w:r>
      <w:r>
        <w:t xml:space="preserve"> response </w:t>
      </w:r>
      <w:r w:rsidR="00F108A4">
        <w:t>will focus on the key areas of:</w:t>
      </w:r>
    </w:p>
    <w:p w:rsidR="00441438" w:rsidRDefault="002D3019" w:rsidP="002D3019">
      <w:pPr>
        <w:pStyle w:val="Numberbullet0"/>
        <w:numPr>
          <w:ilvl w:val="0"/>
          <w:numId w:val="12"/>
        </w:numPr>
      </w:pPr>
      <w:r>
        <w:t>P</w:t>
      </w:r>
      <w:r w:rsidR="00F108A4">
        <w:t>aediatric population;</w:t>
      </w:r>
    </w:p>
    <w:p w:rsidR="00441438" w:rsidRDefault="002D3019" w:rsidP="002D3019">
      <w:pPr>
        <w:pStyle w:val="Numberbullet0"/>
        <w:numPr>
          <w:ilvl w:val="0"/>
          <w:numId w:val="12"/>
        </w:numPr>
      </w:pPr>
      <w:r>
        <w:t>I</w:t>
      </w:r>
      <w:r w:rsidR="00F108A4">
        <w:t>nterchangeability; and</w:t>
      </w:r>
    </w:p>
    <w:p w:rsidR="00AC5DD8" w:rsidRDefault="002D3019" w:rsidP="002D3019">
      <w:pPr>
        <w:pStyle w:val="Numberbullet0"/>
        <w:numPr>
          <w:ilvl w:val="0"/>
          <w:numId w:val="12"/>
        </w:numPr>
      </w:pPr>
      <w:r>
        <w:t>O</w:t>
      </w:r>
      <w:r w:rsidR="00AC5DD8">
        <w:t>ther matters for clarification for the bene</w:t>
      </w:r>
      <w:r w:rsidR="00F108A4">
        <w:t>fit of committee deliberations.</w:t>
      </w:r>
      <w:r w:rsidR="00F108A4">
        <w:br/>
      </w:r>
    </w:p>
    <w:p w:rsidR="00AC5DD8" w:rsidRPr="002D3019" w:rsidRDefault="00F108A4" w:rsidP="002D3019">
      <w:pPr>
        <w:pStyle w:val="Numberbullet0"/>
        <w:numPr>
          <w:ilvl w:val="0"/>
          <w:numId w:val="13"/>
        </w:numPr>
        <w:rPr>
          <w:b/>
          <w:i/>
        </w:rPr>
      </w:pPr>
      <w:r>
        <w:rPr>
          <w:b/>
          <w:i/>
        </w:rPr>
        <w:t>Paediatric Population</w:t>
      </w:r>
    </w:p>
    <w:p w:rsidR="00AC5DD8" w:rsidRDefault="00441438" w:rsidP="00B00796">
      <w:r>
        <w:t>The s</w:t>
      </w:r>
      <w:r w:rsidR="00AC5DD8">
        <w:t xml:space="preserve">ponsor of the reference product </w:t>
      </w:r>
      <w:r w:rsidR="00D54BAC">
        <w:t>Lantus</w:t>
      </w:r>
      <w:r w:rsidR="00AC5DD8">
        <w:rPr>
          <w:sz w:val="16"/>
          <w:szCs w:val="16"/>
        </w:rPr>
        <w:t xml:space="preserve">® </w:t>
      </w:r>
      <w:r w:rsidR="00AC5DD8">
        <w:t xml:space="preserve">has conducted studies in children aged 2 years and older. The Australian package insert (PI) for </w:t>
      </w:r>
      <w:r w:rsidR="00D54BAC">
        <w:t>Lantus</w:t>
      </w:r>
      <w:r w:rsidR="00AC5DD8">
        <w:rPr>
          <w:sz w:val="16"/>
          <w:szCs w:val="16"/>
        </w:rPr>
        <w:t xml:space="preserve"> </w:t>
      </w:r>
      <w:r w:rsidR="00AC5DD8">
        <w:t>contains the following statement regard</w:t>
      </w:r>
      <w:r w:rsidR="00F108A4">
        <w:t>ing use in paediatric patients:</w:t>
      </w:r>
    </w:p>
    <w:p w:rsidR="00AC5DD8" w:rsidRDefault="00AC5DD8" w:rsidP="00441438">
      <w:pPr>
        <w:ind w:left="720"/>
      </w:pPr>
      <w:r>
        <w:rPr>
          <w:i/>
          <w:iCs/>
        </w:rPr>
        <w:t>In general the safety profile for patients ≤18 years of age is similar to the safety profile f</w:t>
      </w:r>
      <w:r w:rsidR="00F108A4">
        <w:rPr>
          <w:i/>
          <w:iCs/>
        </w:rPr>
        <w:t>or patients &gt;18 years.</w:t>
      </w:r>
    </w:p>
    <w:p w:rsidR="00AC5DD8" w:rsidRDefault="00AC5DD8" w:rsidP="00B00796">
      <w:r>
        <w:t xml:space="preserve">Based upon the accepted similar safety of insulin </w:t>
      </w:r>
      <w:proofErr w:type="spellStart"/>
      <w:r>
        <w:t>glargine</w:t>
      </w:r>
      <w:proofErr w:type="spellEnd"/>
      <w:r>
        <w:t xml:space="preserve"> in adults and paediatric patients, the extensive </w:t>
      </w:r>
      <w:proofErr w:type="spellStart"/>
      <w:r>
        <w:t>postmarketing</w:t>
      </w:r>
      <w:proofErr w:type="spellEnd"/>
      <w:r>
        <w:t xml:space="preserve"> experience of the reference product in both populations, and the demonstrated comparability of </w:t>
      </w:r>
      <w:proofErr w:type="spellStart"/>
      <w:r w:rsidR="00EC7E12">
        <w:t>Abasria</w:t>
      </w:r>
      <w:proofErr w:type="spellEnd"/>
      <w:r>
        <w:t xml:space="preserve"> to </w:t>
      </w:r>
      <w:r w:rsidR="00D54BAC">
        <w:t>Lantus</w:t>
      </w:r>
      <w:r>
        <w:rPr>
          <w:sz w:val="16"/>
          <w:szCs w:val="16"/>
        </w:rPr>
        <w:t>®</w:t>
      </w:r>
      <w:r>
        <w:t xml:space="preserve">, </w:t>
      </w:r>
      <w:r w:rsidR="00441438">
        <w:t>the sponsor</w:t>
      </w:r>
      <w:r>
        <w:t xml:space="preserve"> concludes that </w:t>
      </w:r>
      <w:proofErr w:type="spellStart"/>
      <w:r w:rsidR="00EC7E12">
        <w:t>Abasria</w:t>
      </w:r>
      <w:proofErr w:type="spellEnd"/>
      <w:r>
        <w:t xml:space="preserve"> is appropriate for</w:t>
      </w:r>
      <w:r w:rsidR="00F108A4">
        <w:t xml:space="preserve"> use in the paediatric setting.</w:t>
      </w:r>
    </w:p>
    <w:p w:rsidR="00AC5DD8" w:rsidRDefault="00AC5DD8" w:rsidP="00B00796">
      <w:r>
        <w:t xml:space="preserve">The </w:t>
      </w:r>
      <w:proofErr w:type="spellStart"/>
      <w:r w:rsidR="00EC7E12">
        <w:t>Abasria</w:t>
      </w:r>
      <w:proofErr w:type="spellEnd"/>
      <w:r>
        <w:t xml:space="preserve"> PI proposes the following information for paediatric use co</w:t>
      </w:r>
      <w:r w:rsidR="00F108A4">
        <w:t>nsistent with the reference PI:</w:t>
      </w:r>
    </w:p>
    <w:p w:rsidR="00AC5DD8" w:rsidRDefault="00AC5DD8" w:rsidP="00441438">
      <w:pPr>
        <w:ind w:left="720"/>
      </w:pPr>
      <w:r>
        <w:rPr>
          <w:i/>
          <w:iCs/>
        </w:rPr>
        <w:t xml:space="preserve">In general, the safety profile for patients ≤18 years of age is similar to the safety profile for patients &gt;18 years. The adverse events reports received from Post Marketing Surveillance included relatively more frequent injection site reactions (injection site pain, injection site reaction) and skin reactions (rash, urticarial) in patients ≤18 years of </w:t>
      </w:r>
      <w:r w:rsidR="00F108A4">
        <w:rPr>
          <w:i/>
          <w:iCs/>
        </w:rPr>
        <w:t>age than in patients &gt;18 years.</w:t>
      </w:r>
    </w:p>
    <w:p w:rsidR="00AC5DD8" w:rsidRDefault="00AC5DD8" w:rsidP="00441438">
      <w:pPr>
        <w:ind w:left="720"/>
      </w:pPr>
      <w:r>
        <w:rPr>
          <w:i/>
          <w:iCs/>
        </w:rPr>
        <w:lastRenderedPageBreak/>
        <w:t>Data from pooled clinical trials in adults and children aged 6 to 18 years did not show a greater incidence of either injection site reaction or skin reactions in the paediatric popula</w:t>
      </w:r>
      <w:r w:rsidR="00F108A4">
        <w:rPr>
          <w:i/>
          <w:iCs/>
        </w:rPr>
        <w:t>tion compared to adults.</w:t>
      </w:r>
    </w:p>
    <w:p w:rsidR="00AC5DD8" w:rsidRDefault="00AC5DD8" w:rsidP="00441438">
      <w:pPr>
        <w:ind w:left="720"/>
      </w:pPr>
      <w:r>
        <w:rPr>
          <w:i/>
          <w:iCs/>
        </w:rPr>
        <w:t xml:space="preserve">Pharmacokinetics in children aged 2 to less than 6 years of age with </w:t>
      </w:r>
      <w:r w:rsidR="00D54BAC">
        <w:rPr>
          <w:i/>
          <w:iCs/>
        </w:rPr>
        <w:t xml:space="preserve">Type 1 diabetes </w:t>
      </w:r>
      <w:r>
        <w:rPr>
          <w:i/>
          <w:iCs/>
        </w:rPr>
        <w:t xml:space="preserve">mellitus was assessed in one clinical study. Plasma </w:t>
      </w:r>
      <w:r w:rsidR="00722754">
        <w:rPr>
          <w:i/>
          <w:iCs/>
        </w:rPr>
        <w:t>‘</w:t>
      </w:r>
      <w:r>
        <w:rPr>
          <w:i/>
          <w:iCs/>
        </w:rPr>
        <w:t>trough</w:t>
      </w:r>
      <w:r w:rsidR="00722754">
        <w:rPr>
          <w:i/>
          <w:iCs/>
        </w:rPr>
        <w:t>’</w:t>
      </w:r>
      <w:r>
        <w:rPr>
          <w:i/>
          <w:iCs/>
        </w:rPr>
        <w:t xml:space="preserve"> levels of insulin </w:t>
      </w:r>
      <w:proofErr w:type="spellStart"/>
      <w:r>
        <w:rPr>
          <w:i/>
          <w:iCs/>
        </w:rPr>
        <w:t>glargine</w:t>
      </w:r>
      <w:proofErr w:type="spellEnd"/>
      <w:r>
        <w:rPr>
          <w:i/>
          <w:iCs/>
        </w:rPr>
        <w:t xml:space="preserve"> and its main metabolites M1 and M2 were measured in children treated with insulin </w:t>
      </w:r>
      <w:proofErr w:type="spellStart"/>
      <w:r>
        <w:rPr>
          <w:i/>
          <w:iCs/>
        </w:rPr>
        <w:t>glargine</w:t>
      </w:r>
      <w:proofErr w:type="spellEnd"/>
      <w:r>
        <w:rPr>
          <w:i/>
          <w:iCs/>
        </w:rPr>
        <w:t xml:space="preserve">, revealing plasma concentration patterns similar to adults, and providing no evidence for accumulation of insulin </w:t>
      </w:r>
      <w:proofErr w:type="spellStart"/>
      <w:r>
        <w:rPr>
          <w:i/>
          <w:iCs/>
        </w:rPr>
        <w:t>glargine</w:t>
      </w:r>
      <w:proofErr w:type="spellEnd"/>
      <w:r>
        <w:rPr>
          <w:i/>
          <w:iCs/>
        </w:rPr>
        <w:t xml:space="preserve"> or its m</w:t>
      </w:r>
      <w:r w:rsidR="00F108A4">
        <w:rPr>
          <w:i/>
          <w:iCs/>
        </w:rPr>
        <w:t>etabolites with chronic dosing.</w:t>
      </w:r>
    </w:p>
    <w:p w:rsidR="00AC5DD8" w:rsidRDefault="00AC5DD8" w:rsidP="00B00796">
      <w:r>
        <w:t>The practice of adopting the reference product label following demonstration of comparability is consistent with the approach ag</w:t>
      </w:r>
      <w:r w:rsidR="00F108A4">
        <w:t>reed to by the EMA and the FDA.</w:t>
      </w:r>
    </w:p>
    <w:p w:rsidR="00AC5DD8" w:rsidRDefault="00AC5DD8" w:rsidP="00B00796">
      <w:r>
        <w:t xml:space="preserve">According to EU regulations, paediatric investigation has been waived for </w:t>
      </w:r>
      <w:proofErr w:type="spellStart"/>
      <w:r w:rsidR="00EC7E12">
        <w:t>Abasria</w:t>
      </w:r>
      <w:proofErr w:type="spellEnd"/>
      <w:r>
        <w:t xml:space="preserve"> because the safety and efficacy of the reference product (</w:t>
      </w:r>
      <w:r w:rsidR="00D54BAC">
        <w:t>Lantus</w:t>
      </w:r>
      <w:r>
        <w:t xml:space="preserve">) has been investigated in the paediatric population. Data on </w:t>
      </w:r>
      <w:r w:rsidR="00D54BAC">
        <w:t>Lantus</w:t>
      </w:r>
      <w:r>
        <w:rPr>
          <w:sz w:val="16"/>
          <w:szCs w:val="16"/>
        </w:rPr>
        <w:t xml:space="preserve"> </w:t>
      </w:r>
      <w:r>
        <w:t xml:space="preserve">in paediatric populations have been </w:t>
      </w:r>
      <w:r w:rsidRPr="0006468C">
        <w:t>published.</w:t>
      </w:r>
      <w:r w:rsidR="0006468C" w:rsidRPr="0006468C">
        <w:rPr>
          <w:rStyle w:val="FootnoteReference"/>
        </w:rPr>
        <w:footnoteReference w:id="13"/>
      </w:r>
      <w:r w:rsidRPr="0006468C">
        <w:t xml:space="preserve"> The</w:t>
      </w:r>
      <w:r>
        <w:t xml:space="preserve"> EMA approved </w:t>
      </w:r>
      <w:proofErr w:type="spellStart"/>
      <w:r w:rsidR="00EC7E12">
        <w:t>Abasria</w:t>
      </w:r>
      <w:proofErr w:type="spellEnd"/>
      <w:r>
        <w:t xml:space="preserve"> on 9 September 2014, including the </w:t>
      </w:r>
      <w:proofErr w:type="spellStart"/>
      <w:r w:rsidR="00EC7E12">
        <w:t>Abasria</w:t>
      </w:r>
      <w:proofErr w:type="spellEnd"/>
      <w:r>
        <w:t xml:space="preserve"> Summary of Product Characteristics (</w:t>
      </w:r>
      <w:proofErr w:type="spellStart"/>
      <w:r>
        <w:t>SmPC</w:t>
      </w:r>
      <w:proofErr w:type="spellEnd"/>
      <w:r>
        <w:t xml:space="preserve">) text based on the </w:t>
      </w:r>
      <w:r w:rsidR="00D54BAC">
        <w:t>Lantus</w:t>
      </w:r>
      <w:r>
        <w:rPr>
          <w:sz w:val="16"/>
          <w:szCs w:val="16"/>
        </w:rPr>
        <w:t xml:space="preserve">® </w:t>
      </w:r>
      <w:proofErr w:type="spellStart"/>
      <w:r>
        <w:t>SmPC</w:t>
      </w:r>
      <w:proofErr w:type="spellEnd"/>
      <w:r>
        <w:t xml:space="preserve"> shown</w:t>
      </w:r>
      <w:r w:rsidR="00F108A4">
        <w:t xml:space="preserve"> below.</w:t>
      </w:r>
    </w:p>
    <w:p w:rsidR="00AC5DD8" w:rsidRDefault="00D54BAC" w:rsidP="00B00796">
      <w:r>
        <w:t>Lantus</w:t>
      </w:r>
      <w:r w:rsidR="00AC5DD8">
        <w:rPr>
          <w:sz w:val="16"/>
          <w:szCs w:val="16"/>
        </w:rPr>
        <w:t xml:space="preserve">® </w:t>
      </w:r>
      <w:proofErr w:type="spellStart"/>
      <w:r w:rsidR="00F108A4">
        <w:t>SmPC</w:t>
      </w:r>
      <w:proofErr w:type="spellEnd"/>
      <w:r w:rsidR="00F108A4">
        <w:t xml:space="preserve"> Section 5.1 states:</w:t>
      </w:r>
    </w:p>
    <w:p w:rsidR="00AC5DD8" w:rsidRPr="00441438" w:rsidRDefault="00AC5DD8" w:rsidP="00441438">
      <w:pPr>
        <w:ind w:left="720"/>
        <w:rPr>
          <w:i/>
        </w:rPr>
      </w:pPr>
      <w:r w:rsidRPr="00441438">
        <w:rPr>
          <w:i/>
        </w:rPr>
        <w:t xml:space="preserve">Safety and efficacy of </w:t>
      </w:r>
      <w:r w:rsidR="00D54BAC" w:rsidRPr="00441438">
        <w:rPr>
          <w:i/>
        </w:rPr>
        <w:t>Lantus</w:t>
      </w:r>
      <w:r w:rsidRPr="00441438">
        <w:rPr>
          <w:i/>
          <w:sz w:val="16"/>
          <w:szCs w:val="16"/>
        </w:rPr>
        <w:t xml:space="preserve">® </w:t>
      </w:r>
      <w:r w:rsidRPr="00441438">
        <w:rPr>
          <w:i/>
        </w:rPr>
        <w:t xml:space="preserve">(insulin </w:t>
      </w:r>
      <w:proofErr w:type="spellStart"/>
      <w:r w:rsidRPr="00441438">
        <w:rPr>
          <w:i/>
        </w:rPr>
        <w:t>glargine</w:t>
      </w:r>
      <w:proofErr w:type="spellEnd"/>
      <w:r w:rsidRPr="00441438">
        <w:rPr>
          <w:i/>
        </w:rPr>
        <w:t xml:space="preserve">, Sanofi-Aventis) have been established in adolescents and children aged 2 years and older. Safety and efficacy of </w:t>
      </w:r>
      <w:r w:rsidR="00D54BAC" w:rsidRPr="00441438">
        <w:rPr>
          <w:i/>
        </w:rPr>
        <w:t>Lantus</w:t>
      </w:r>
      <w:r w:rsidRPr="00441438">
        <w:rPr>
          <w:i/>
        </w:rPr>
        <w:t>® have not been established in children below the age of 2 years.</w:t>
      </w:r>
    </w:p>
    <w:p w:rsidR="00AC5DD8" w:rsidRDefault="00D54BAC" w:rsidP="00B00796">
      <w:r>
        <w:t>Lantus</w:t>
      </w:r>
      <w:r w:rsidR="00AC5DD8">
        <w:rPr>
          <w:sz w:val="16"/>
          <w:szCs w:val="16"/>
        </w:rPr>
        <w:t xml:space="preserve">® </w:t>
      </w:r>
      <w:proofErr w:type="spellStart"/>
      <w:r w:rsidR="00AC5DD8">
        <w:t>SmPC</w:t>
      </w:r>
      <w:proofErr w:type="spellEnd"/>
      <w:r w:rsidR="00AC5DD8">
        <w:t xml:space="preserve"> Section 4.8 (Undesirable Effects) include</w:t>
      </w:r>
      <w:r w:rsidR="00F108A4">
        <w:t>s the following safety summary:</w:t>
      </w:r>
    </w:p>
    <w:p w:rsidR="00AC5DD8" w:rsidRPr="00441438" w:rsidRDefault="00AC5DD8" w:rsidP="00441438">
      <w:pPr>
        <w:ind w:left="720"/>
        <w:rPr>
          <w:i/>
        </w:rPr>
      </w:pPr>
      <w:r w:rsidRPr="00441438">
        <w:rPr>
          <w:i/>
        </w:rPr>
        <w:t xml:space="preserve">In general, the safety profile for children and adolescents (≤18 years of age) is similar to the safety profile for adults. The adverse reaction reports received from </w:t>
      </w:r>
      <w:proofErr w:type="spellStart"/>
      <w:r w:rsidRPr="00441438">
        <w:rPr>
          <w:i/>
        </w:rPr>
        <w:t>postmarketing</w:t>
      </w:r>
      <w:proofErr w:type="spellEnd"/>
      <w:r w:rsidRPr="00441438">
        <w:rPr>
          <w:i/>
        </w:rPr>
        <w:t xml:space="preserve"> surveillance included relatively more frequent injection site reactions (injection site pain, injection site reaction) and skin reactions (rash, </w:t>
      </w:r>
      <w:proofErr w:type="spellStart"/>
      <w:r w:rsidRPr="00441438">
        <w:rPr>
          <w:i/>
        </w:rPr>
        <w:t>urticaria</w:t>
      </w:r>
      <w:proofErr w:type="spellEnd"/>
      <w:r w:rsidRPr="00441438">
        <w:rPr>
          <w:i/>
        </w:rPr>
        <w:t>) in children and adolescents (≤18 years of age) than in adults. Clinical study safety data are not availa</w:t>
      </w:r>
      <w:r w:rsidR="00F108A4">
        <w:rPr>
          <w:i/>
        </w:rPr>
        <w:t>ble for children under 2 years.</w:t>
      </w:r>
    </w:p>
    <w:p w:rsidR="00AC5DD8" w:rsidRPr="00441438" w:rsidRDefault="00AC5DD8" w:rsidP="00441438">
      <w:pPr>
        <w:ind w:left="720"/>
        <w:rPr>
          <w:i/>
        </w:rPr>
      </w:pPr>
      <w:r w:rsidRPr="00441438">
        <w:rPr>
          <w:i/>
        </w:rPr>
        <w:t xml:space="preserve">Additionally, the USPI will contain similar statements for paediatrics based on the findings of the reference product. The following is tentatively approved in the US PI (Note: The </w:t>
      </w:r>
      <w:proofErr w:type="spellStart"/>
      <w:r w:rsidRPr="00441438">
        <w:rPr>
          <w:i/>
        </w:rPr>
        <w:t>tradename</w:t>
      </w:r>
      <w:proofErr w:type="spellEnd"/>
      <w:r w:rsidRPr="00441438">
        <w:rPr>
          <w:i/>
        </w:rPr>
        <w:t xml:space="preserve"> for </w:t>
      </w:r>
      <w:proofErr w:type="spellStart"/>
      <w:r w:rsidR="00EC7E12" w:rsidRPr="00441438">
        <w:rPr>
          <w:i/>
        </w:rPr>
        <w:t>Abasria</w:t>
      </w:r>
      <w:proofErr w:type="spellEnd"/>
      <w:r w:rsidRPr="00441438">
        <w:rPr>
          <w:i/>
        </w:rPr>
        <w:t xml:space="preserve"> in t</w:t>
      </w:r>
      <w:r w:rsidR="00F108A4">
        <w:rPr>
          <w:i/>
        </w:rPr>
        <w:t>he US is proposed as BASAGLAR):</w:t>
      </w:r>
    </w:p>
    <w:p w:rsidR="00AC5DD8" w:rsidRPr="00441438" w:rsidRDefault="00AC5DD8" w:rsidP="00441438">
      <w:pPr>
        <w:ind w:left="720"/>
        <w:rPr>
          <w:i/>
        </w:rPr>
      </w:pPr>
      <w:r w:rsidRPr="00441438">
        <w:rPr>
          <w:i/>
        </w:rPr>
        <w:t xml:space="preserve">The safety and effectiveness of BASAGLAR have been established in </w:t>
      </w:r>
      <w:proofErr w:type="spellStart"/>
      <w:r w:rsidRPr="00441438">
        <w:rPr>
          <w:i/>
        </w:rPr>
        <w:t>pediatric</w:t>
      </w:r>
      <w:proofErr w:type="spellEnd"/>
      <w:r w:rsidRPr="00441438">
        <w:rPr>
          <w:i/>
        </w:rPr>
        <w:t xml:space="preserve"> patients (age 6 to 15 years) with </w:t>
      </w:r>
      <w:r w:rsidR="00D54BAC" w:rsidRPr="00441438">
        <w:rPr>
          <w:i/>
        </w:rPr>
        <w:t xml:space="preserve">Type 1 diabetes </w:t>
      </w:r>
      <w:r w:rsidRPr="00441438">
        <w:rPr>
          <w:i/>
        </w:rPr>
        <w:t xml:space="preserve">based on an adequate and well-controlled trial of another insulin </w:t>
      </w:r>
      <w:proofErr w:type="spellStart"/>
      <w:r w:rsidRPr="00441438">
        <w:rPr>
          <w:i/>
        </w:rPr>
        <w:t>glargine</w:t>
      </w:r>
      <w:proofErr w:type="spellEnd"/>
      <w:r w:rsidRPr="00441438">
        <w:rPr>
          <w:i/>
        </w:rPr>
        <w:t xml:space="preserve"> product in </w:t>
      </w:r>
      <w:proofErr w:type="spellStart"/>
      <w:r w:rsidRPr="00441438">
        <w:rPr>
          <w:i/>
        </w:rPr>
        <w:t>pediatric</w:t>
      </w:r>
      <w:proofErr w:type="spellEnd"/>
      <w:r w:rsidRPr="00441438">
        <w:rPr>
          <w:i/>
        </w:rPr>
        <w:t xml:space="preserve"> patients (age 6 to 15 years) with </w:t>
      </w:r>
      <w:r w:rsidR="00D54BAC" w:rsidRPr="00441438">
        <w:rPr>
          <w:i/>
        </w:rPr>
        <w:t xml:space="preserve">Type 1 diabetes </w:t>
      </w:r>
      <w:r w:rsidRPr="00441438">
        <w:rPr>
          <w:i/>
        </w:rPr>
        <w:t>and additional data in adults with type 1 diabetes. [</w:t>
      </w:r>
      <w:proofErr w:type="gramStart"/>
      <w:r w:rsidRPr="00441438">
        <w:rPr>
          <w:i/>
        </w:rPr>
        <w:t>see</w:t>
      </w:r>
      <w:proofErr w:type="gramEnd"/>
      <w:r w:rsidRPr="00441438">
        <w:rPr>
          <w:i/>
        </w:rPr>
        <w:t xml:space="preserve"> Clinical Studies (14.2)]. The safety and effectiveness of BASAGLAR in </w:t>
      </w:r>
      <w:proofErr w:type="spellStart"/>
      <w:r w:rsidRPr="00441438">
        <w:rPr>
          <w:i/>
        </w:rPr>
        <w:t>pediatric</w:t>
      </w:r>
      <w:proofErr w:type="spellEnd"/>
      <w:r w:rsidRPr="00441438">
        <w:rPr>
          <w:i/>
        </w:rPr>
        <w:t xml:space="preserve"> patients younger than 6 years of age with </w:t>
      </w:r>
      <w:r w:rsidR="00D54BAC" w:rsidRPr="00441438">
        <w:rPr>
          <w:i/>
        </w:rPr>
        <w:t xml:space="preserve">Type 1 diabetes </w:t>
      </w:r>
      <w:r w:rsidRPr="00441438">
        <w:rPr>
          <w:i/>
        </w:rPr>
        <w:t xml:space="preserve">and </w:t>
      </w:r>
      <w:proofErr w:type="spellStart"/>
      <w:r w:rsidRPr="00441438">
        <w:rPr>
          <w:i/>
        </w:rPr>
        <w:t>pediatric</w:t>
      </w:r>
      <w:proofErr w:type="spellEnd"/>
      <w:r w:rsidRPr="00441438">
        <w:rPr>
          <w:i/>
        </w:rPr>
        <w:t xml:space="preserve"> patients with </w:t>
      </w:r>
      <w:r w:rsidR="00D54BAC" w:rsidRPr="00441438">
        <w:rPr>
          <w:i/>
        </w:rPr>
        <w:t xml:space="preserve">Type 2 diabetes </w:t>
      </w:r>
      <w:r w:rsidR="00F108A4">
        <w:rPr>
          <w:i/>
        </w:rPr>
        <w:t>has not been established.</w:t>
      </w:r>
    </w:p>
    <w:p w:rsidR="00AC5DD8" w:rsidRPr="00441438" w:rsidRDefault="00AC5DD8" w:rsidP="00441438">
      <w:pPr>
        <w:ind w:left="720"/>
        <w:rPr>
          <w:i/>
        </w:rPr>
      </w:pPr>
      <w:r w:rsidRPr="00441438">
        <w:rPr>
          <w:i/>
        </w:rPr>
        <w:lastRenderedPageBreak/>
        <w:t xml:space="preserve">The dosage recommendation when changing to BASAGLAR in </w:t>
      </w:r>
      <w:proofErr w:type="spellStart"/>
      <w:r w:rsidRPr="00441438">
        <w:rPr>
          <w:i/>
        </w:rPr>
        <w:t>pediatric</w:t>
      </w:r>
      <w:proofErr w:type="spellEnd"/>
      <w:r w:rsidRPr="00441438">
        <w:rPr>
          <w:i/>
        </w:rPr>
        <w:t xml:space="preserve"> patients (age 6 to 15 years) with </w:t>
      </w:r>
      <w:r w:rsidR="00D54BAC" w:rsidRPr="00441438">
        <w:rPr>
          <w:i/>
        </w:rPr>
        <w:t xml:space="preserve">Type 1 diabetes </w:t>
      </w:r>
      <w:r w:rsidRPr="00441438">
        <w:rPr>
          <w:i/>
        </w:rPr>
        <w:t xml:space="preserve">is the same as that described for adults [see Dosage and Administration (2.2, 2.3) and Clinical Studies (14)]. As in adults, the dosage of BASAGLAR must be individualized in </w:t>
      </w:r>
      <w:proofErr w:type="spellStart"/>
      <w:r w:rsidRPr="00441438">
        <w:rPr>
          <w:i/>
        </w:rPr>
        <w:t>pediatric</w:t>
      </w:r>
      <w:proofErr w:type="spellEnd"/>
      <w:r w:rsidRPr="00441438">
        <w:rPr>
          <w:i/>
        </w:rPr>
        <w:t xml:space="preserve"> patients (age 6 to 15 years) with </w:t>
      </w:r>
      <w:r w:rsidR="00D54BAC" w:rsidRPr="00441438">
        <w:rPr>
          <w:i/>
        </w:rPr>
        <w:t xml:space="preserve">Type 1 diabetes </w:t>
      </w:r>
      <w:r w:rsidRPr="00441438">
        <w:rPr>
          <w:i/>
        </w:rPr>
        <w:t>based on metabolic needs and freque</w:t>
      </w:r>
      <w:r w:rsidR="00F108A4">
        <w:rPr>
          <w:i/>
        </w:rPr>
        <w:t>nt monitoring of blood glucose.</w:t>
      </w:r>
    </w:p>
    <w:p w:rsidR="00AC5DD8" w:rsidRPr="00441438" w:rsidRDefault="00AC5DD8" w:rsidP="00441438">
      <w:pPr>
        <w:ind w:left="720"/>
        <w:rPr>
          <w:i/>
        </w:rPr>
      </w:pPr>
      <w:r w:rsidRPr="00441438">
        <w:rPr>
          <w:i/>
        </w:rPr>
        <w:t xml:space="preserve">In the </w:t>
      </w:r>
      <w:proofErr w:type="spellStart"/>
      <w:r w:rsidRPr="00441438">
        <w:rPr>
          <w:i/>
        </w:rPr>
        <w:t>pediatric</w:t>
      </w:r>
      <w:proofErr w:type="spellEnd"/>
      <w:r w:rsidRPr="00441438">
        <w:rPr>
          <w:i/>
        </w:rPr>
        <w:t xml:space="preserve"> clinical trial, </w:t>
      </w:r>
      <w:proofErr w:type="spellStart"/>
      <w:r w:rsidRPr="00441438">
        <w:rPr>
          <w:i/>
        </w:rPr>
        <w:t>pediatric</w:t>
      </w:r>
      <w:proofErr w:type="spellEnd"/>
      <w:r w:rsidRPr="00441438">
        <w:rPr>
          <w:i/>
        </w:rPr>
        <w:t xml:space="preserve"> patients (age 6 to 15 years) with </w:t>
      </w:r>
      <w:r w:rsidR="00D54BAC" w:rsidRPr="00441438">
        <w:rPr>
          <w:i/>
        </w:rPr>
        <w:t xml:space="preserve">Type 1 diabetes </w:t>
      </w:r>
      <w:r w:rsidRPr="00441438">
        <w:rPr>
          <w:i/>
        </w:rPr>
        <w:t xml:space="preserve">had a higher incidence of severe symptomatic </w:t>
      </w:r>
      <w:proofErr w:type="spellStart"/>
      <w:r w:rsidRPr="00441438">
        <w:rPr>
          <w:i/>
        </w:rPr>
        <w:t>hypoglycemia</w:t>
      </w:r>
      <w:proofErr w:type="spellEnd"/>
      <w:r w:rsidRPr="00441438">
        <w:rPr>
          <w:i/>
        </w:rPr>
        <w:t xml:space="preserve"> compared to the adults in trials with </w:t>
      </w:r>
      <w:r w:rsidR="00D54BAC" w:rsidRPr="00441438">
        <w:rPr>
          <w:i/>
        </w:rPr>
        <w:t xml:space="preserve">Type 1 diabetes </w:t>
      </w:r>
      <w:r w:rsidR="00F108A4">
        <w:rPr>
          <w:i/>
        </w:rPr>
        <w:t>[see Adverse Reactions (6.1)].</w:t>
      </w:r>
    </w:p>
    <w:p w:rsidR="00AC5DD8" w:rsidRPr="002D3019" w:rsidRDefault="00F108A4" w:rsidP="002D3019">
      <w:pPr>
        <w:pStyle w:val="Numberbullet0"/>
        <w:rPr>
          <w:b/>
          <w:i/>
        </w:rPr>
      </w:pPr>
      <w:r>
        <w:rPr>
          <w:b/>
          <w:i/>
        </w:rPr>
        <w:t>Interchangeability</w:t>
      </w:r>
    </w:p>
    <w:p w:rsidR="00AC5DD8" w:rsidRPr="00727665" w:rsidRDefault="00441438" w:rsidP="00B00796">
      <w:r w:rsidRPr="00727665">
        <w:t>The sponsor</w:t>
      </w:r>
      <w:r w:rsidR="00AC5DD8" w:rsidRPr="00727665">
        <w:t xml:space="preserve"> agrees that </w:t>
      </w:r>
      <w:proofErr w:type="spellStart"/>
      <w:r w:rsidR="00EC7E12" w:rsidRPr="00727665">
        <w:t>Abasria</w:t>
      </w:r>
      <w:proofErr w:type="spellEnd"/>
      <w:r w:rsidR="00AC5DD8" w:rsidRPr="00727665">
        <w:t xml:space="preserve"> and </w:t>
      </w:r>
      <w:r w:rsidR="00D54BAC" w:rsidRPr="00727665">
        <w:t>Lantus</w:t>
      </w:r>
      <w:r w:rsidR="00AC5DD8" w:rsidRPr="00727665">
        <w:rPr>
          <w:sz w:val="16"/>
          <w:szCs w:val="16"/>
        </w:rPr>
        <w:t xml:space="preserve">® </w:t>
      </w:r>
      <w:r w:rsidR="00AC5DD8" w:rsidRPr="00727665">
        <w:t>are not interchangeable</w:t>
      </w:r>
      <w:r w:rsidR="00F51F59" w:rsidRPr="00727665">
        <w:t xml:space="preserve"> ()</w:t>
      </w:r>
      <w:r w:rsidR="00AC5DD8" w:rsidRPr="00727665">
        <w:t xml:space="preserve">. As stated in the Precautions section of the proposed </w:t>
      </w:r>
      <w:proofErr w:type="spellStart"/>
      <w:r w:rsidR="00EC7E12" w:rsidRPr="00727665">
        <w:t>Abasria</w:t>
      </w:r>
      <w:proofErr w:type="spellEnd"/>
      <w:r w:rsidR="00F108A4">
        <w:t xml:space="preserve"> PI:</w:t>
      </w:r>
    </w:p>
    <w:p w:rsidR="00AC5DD8" w:rsidRPr="00727665" w:rsidRDefault="00AC5DD8" w:rsidP="00441438">
      <w:pPr>
        <w:ind w:left="720"/>
      </w:pPr>
      <w:r w:rsidRPr="00727665">
        <w:rPr>
          <w:i/>
          <w:iCs/>
        </w:rPr>
        <w:t xml:space="preserve">The level of comparability that has been shown is not sufficient to designate this product as a generic version of Lantus. Replacement of Lantus with </w:t>
      </w:r>
      <w:proofErr w:type="spellStart"/>
      <w:r w:rsidR="00EC7E12" w:rsidRPr="00727665">
        <w:rPr>
          <w:i/>
          <w:iCs/>
        </w:rPr>
        <w:t>Abasria</w:t>
      </w:r>
      <w:proofErr w:type="spellEnd"/>
      <w:r w:rsidRPr="00727665">
        <w:rPr>
          <w:i/>
          <w:iCs/>
        </w:rPr>
        <w:t>, or vice versa, should take place only under the supervision of a health care prof</w:t>
      </w:r>
      <w:r w:rsidR="00F108A4">
        <w:rPr>
          <w:i/>
          <w:iCs/>
        </w:rPr>
        <w:t>essional.</w:t>
      </w:r>
    </w:p>
    <w:p w:rsidR="00AC5DD8" w:rsidRPr="00727665" w:rsidRDefault="00AC5DD8" w:rsidP="00B00796">
      <w:r w:rsidRPr="00727665">
        <w:t xml:space="preserve">What is being referenced in the topic for discussion is switching and </w:t>
      </w:r>
      <w:r w:rsidR="00441438" w:rsidRPr="00727665">
        <w:t>the sponsor</w:t>
      </w:r>
      <w:r w:rsidRPr="00727665">
        <w:t xml:space="preserve"> agrees that any change of insulin should be done under medical supervision as per the Precautions section of the proposed </w:t>
      </w:r>
      <w:proofErr w:type="spellStart"/>
      <w:r w:rsidR="00EC7E12" w:rsidRPr="00727665">
        <w:t>Abasria</w:t>
      </w:r>
      <w:proofErr w:type="spellEnd"/>
      <w:r w:rsidR="00F108A4">
        <w:t xml:space="preserve"> PI:</w:t>
      </w:r>
    </w:p>
    <w:p w:rsidR="00AC5DD8" w:rsidRPr="00727665" w:rsidRDefault="00AC5DD8" w:rsidP="00441438">
      <w:pPr>
        <w:ind w:left="720"/>
      </w:pPr>
      <w:r w:rsidRPr="00727665">
        <w:rPr>
          <w:i/>
          <w:iCs/>
        </w:rPr>
        <w:t xml:space="preserve">Transferring a patient to another type or brand of insulin should be done under strict medical supervision. Changes in strength, brand (manufacturer), type (regular, NPH, </w:t>
      </w:r>
      <w:proofErr w:type="spellStart"/>
      <w:r w:rsidRPr="00727665">
        <w:rPr>
          <w:i/>
          <w:iCs/>
        </w:rPr>
        <w:t>lente</w:t>
      </w:r>
      <w:proofErr w:type="spellEnd"/>
      <w:r w:rsidRPr="00727665">
        <w:rPr>
          <w:i/>
          <w:iCs/>
        </w:rPr>
        <w:t>, long-acting, etc.), origin (animal, human, human insulin analogue), or method of manufacture may result in</w:t>
      </w:r>
      <w:r w:rsidR="00F108A4">
        <w:rPr>
          <w:i/>
          <w:iCs/>
        </w:rPr>
        <w:t xml:space="preserve"> the need for a change in dose.</w:t>
      </w:r>
    </w:p>
    <w:p w:rsidR="00AC5DD8" w:rsidRDefault="00AC5DD8" w:rsidP="00B00796">
      <w:pPr>
        <w:rPr>
          <w:i/>
          <w:iCs/>
        </w:rPr>
      </w:pPr>
      <w:r w:rsidRPr="00727665">
        <w:t xml:space="preserve">Importantly, both </w:t>
      </w:r>
      <w:r w:rsidR="00BE23D9" w:rsidRPr="00727665">
        <w:t>Phase III</w:t>
      </w:r>
      <w:r w:rsidRPr="00727665">
        <w:t xml:space="preserve"> studies provided data on patients switching from </w:t>
      </w:r>
      <w:r w:rsidR="00D54BAC" w:rsidRPr="00727665">
        <w:t>Lantus</w:t>
      </w:r>
      <w:r w:rsidRPr="00727665">
        <w:rPr>
          <w:sz w:val="16"/>
          <w:szCs w:val="16"/>
        </w:rPr>
        <w:t xml:space="preserve"> </w:t>
      </w:r>
      <w:r w:rsidRPr="00727665">
        <w:t xml:space="preserve">to </w:t>
      </w:r>
      <w:proofErr w:type="spellStart"/>
      <w:r w:rsidR="00EC7E12" w:rsidRPr="00727665">
        <w:t>Abasria</w:t>
      </w:r>
      <w:proofErr w:type="spellEnd"/>
      <w:r w:rsidRPr="00727665">
        <w:t xml:space="preserve"> at the same dose regimen; no difference in dose changes after titration to tighten glucose blood control was reported between the 2 treatment arms. Subgroup analyses based on </w:t>
      </w:r>
      <w:proofErr w:type="spellStart"/>
      <w:r w:rsidRPr="00727665">
        <w:t>prestudy</w:t>
      </w:r>
      <w:proofErr w:type="spellEnd"/>
      <w:r w:rsidRPr="00727665">
        <w:t xml:space="preserve"> insulin indicated no clinically relevant effect on selected safety and efficacy outcomes</w:t>
      </w:r>
      <w:r w:rsidRPr="00727665">
        <w:rPr>
          <w:i/>
          <w:iCs/>
        </w:rPr>
        <w:t>.</w:t>
      </w:r>
    </w:p>
    <w:p w:rsidR="00AC5DD8" w:rsidRPr="00727665" w:rsidRDefault="00F108A4" w:rsidP="002D3019">
      <w:pPr>
        <w:pStyle w:val="Numberbullet0"/>
        <w:rPr>
          <w:b/>
          <w:i/>
        </w:rPr>
      </w:pPr>
      <w:r>
        <w:rPr>
          <w:b/>
          <w:i/>
        </w:rPr>
        <w:t>Clarifications</w:t>
      </w:r>
    </w:p>
    <w:p w:rsidR="00AC5DD8" w:rsidRPr="00727665" w:rsidRDefault="00441438" w:rsidP="00B00796">
      <w:r w:rsidRPr="00727665">
        <w:t>The sponsor</w:t>
      </w:r>
      <w:r w:rsidR="00AC5DD8" w:rsidRPr="00727665">
        <w:t xml:space="preserve"> notes 2 corrections that should be made to the Request for ACPM’s Advice document:</w:t>
      </w:r>
    </w:p>
    <w:p w:rsidR="00AC5DD8" w:rsidRPr="00727665" w:rsidRDefault="00AC5DD8" w:rsidP="00B00796">
      <w:r w:rsidRPr="00727665">
        <w:t xml:space="preserve">• In Section </w:t>
      </w:r>
      <w:r w:rsidRPr="00727665">
        <w:rPr>
          <w:i/>
        </w:rPr>
        <w:t>Insulin Antibodies</w:t>
      </w:r>
      <w:r w:rsidRPr="00727665">
        <w:t xml:space="preserve">, it is incorrectly stated that there was a difference in the proportion of patients with detectable antibodies for insulin-naïve patients (e.g., overall [anytime] at 24 weeks: </w:t>
      </w:r>
      <w:proofErr w:type="spellStart"/>
      <w:r w:rsidR="00EC7E12" w:rsidRPr="00727665">
        <w:t>Abasria</w:t>
      </w:r>
      <w:proofErr w:type="spellEnd"/>
      <w:r w:rsidRPr="00727665">
        <w:t xml:space="preserve"> 19% versus </w:t>
      </w:r>
      <w:r w:rsidR="00D54BAC" w:rsidRPr="00727665">
        <w:t>Lantus</w:t>
      </w:r>
      <w:r w:rsidRPr="00727665">
        <w:t xml:space="preserve"> 8%) in Study I4L-MC-ABEC (ABEC). This difference was observed in the subgroup of prior </w:t>
      </w:r>
      <w:r w:rsidR="00D54BAC" w:rsidRPr="00727665">
        <w:t>Lantus</w:t>
      </w:r>
      <w:r w:rsidRPr="00727665">
        <w:rPr>
          <w:sz w:val="16"/>
          <w:szCs w:val="16"/>
        </w:rPr>
        <w:t xml:space="preserve">® </w:t>
      </w:r>
      <w:r w:rsidRPr="00727665">
        <w:t xml:space="preserve">patients in Study ABEC. The difference in the prior </w:t>
      </w:r>
      <w:r w:rsidR="00D54BAC" w:rsidRPr="00727665">
        <w:t>Lantus</w:t>
      </w:r>
      <w:r w:rsidRPr="00727665">
        <w:rPr>
          <w:sz w:val="16"/>
          <w:szCs w:val="16"/>
        </w:rPr>
        <w:t xml:space="preserve">® </w:t>
      </w:r>
      <w:r w:rsidRPr="00727665">
        <w:t>subgroup is difficult to interpret given the small number of patients in this subgroup who had detectable antibodies at any point during the study (n=40). It is noteworthy to mention that this difference was not observed in the entire Full Analysis Set population or in the subgroup of insulin-naïve patients in Study ABEC. Also, no difference was found in Study I4L-MC-ABEB, which was the study with the most sensitive population for detecting immunogenicity (</w:t>
      </w:r>
      <w:r w:rsidR="00D54BAC" w:rsidRPr="00727665">
        <w:t xml:space="preserve">Type 1 diabetes </w:t>
      </w:r>
      <w:r w:rsidR="00F108A4">
        <w:t>mellitus).</w:t>
      </w:r>
    </w:p>
    <w:p w:rsidR="00AC5DD8" w:rsidRPr="00AC5DD8" w:rsidRDefault="00AC5DD8" w:rsidP="00B00796">
      <w:r w:rsidRPr="00727665">
        <w:t xml:space="preserve">• In </w:t>
      </w:r>
      <w:r w:rsidRPr="00727665">
        <w:rPr>
          <w:i/>
        </w:rPr>
        <w:t>Discussion</w:t>
      </w:r>
      <w:r w:rsidR="0006468C" w:rsidRPr="00727665">
        <w:t>;</w:t>
      </w:r>
      <w:r w:rsidRPr="00727665">
        <w:t xml:space="preserve"> regarding the topic of non</w:t>
      </w:r>
      <w:r w:rsidR="0046589D" w:rsidRPr="00727665">
        <w:t>-</w:t>
      </w:r>
      <w:r w:rsidRPr="00727665">
        <w:t>inferiority, it is correctly stated that the 95% confidence interval did not include the non</w:t>
      </w:r>
      <w:r w:rsidR="0046589D" w:rsidRPr="00727665">
        <w:t>-</w:t>
      </w:r>
      <w:r w:rsidRPr="00727665">
        <w:t>inferiority margin of 0.3%; however, it is not entirely accurate to state that these were not corrected for multiplicity. It was not necessary to adjust for multiplicity due to the gatekeeping procedure for non</w:t>
      </w:r>
      <w:r w:rsidR="0046589D" w:rsidRPr="00727665">
        <w:t>-</w:t>
      </w:r>
      <w:r w:rsidRPr="00727665">
        <w:t>inferiority for the 24-week endpoint of both studies.</w:t>
      </w:r>
    </w:p>
    <w:p w:rsidR="008E7846" w:rsidRDefault="008E7846" w:rsidP="00AC5DD8">
      <w:pPr>
        <w:pStyle w:val="Heading4"/>
      </w:pPr>
      <w:r>
        <w:lastRenderedPageBreak/>
        <w:t>Advisory Committee Considerations</w:t>
      </w:r>
    </w:p>
    <w:p w:rsidR="008E7846" w:rsidRDefault="00D23139" w:rsidP="008E7846">
      <w:pPr>
        <w:rPr>
          <w:bCs/>
        </w:rPr>
      </w:pPr>
      <w:r w:rsidRPr="00D23139">
        <w:rPr>
          <w:bCs/>
        </w:rPr>
        <w:t>The ACPM, having considered the evaluations and the Delegate’s overview, as well as the sponsor’s response to these documents, advised the following:</w:t>
      </w:r>
    </w:p>
    <w:p w:rsidR="00AC5DD8" w:rsidRPr="00F04209" w:rsidRDefault="00AC5DD8" w:rsidP="00AC5DD8">
      <w:pPr>
        <w:rPr>
          <w:rFonts w:cs="Calibri"/>
          <w:bCs/>
        </w:rPr>
      </w:pPr>
      <w:r w:rsidRPr="00F04209">
        <w:rPr>
          <w:rFonts w:cs="Calibri"/>
          <w:bCs/>
        </w:rPr>
        <w:t>The submission seeks to register a new biosimilar medicine.</w:t>
      </w:r>
    </w:p>
    <w:p w:rsidR="00AC5DD8" w:rsidRPr="00F04209" w:rsidRDefault="00AC5DD8" w:rsidP="00AC5DD8">
      <w:pPr>
        <w:rPr>
          <w:rFonts w:cs="Calibri"/>
          <w:b/>
          <w:color w:val="000000" w:themeColor="text1"/>
        </w:rPr>
      </w:pPr>
      <w:r w:rsidRPr="00F04209">
        <w:rPr>
          <w:rFonts w:cs="Calibri"/>
        </w:rPr>
        <w:t xml:space="preserve">The ACPM, taking into account the submitted evidence of efficacy, safety and quality, agreed with the </w:t>
      </w:r>
      <w:r w:rsidR="00441438">
        <w:rPr>
          <w:rFonts w:cs="Calibri"/>
        </w:rPr>
        <w:t>D</w:t>
      </w:r>
      <w:r w:rsidRPr="00F04209">
        <w:rPr>
          <w:rFonts w:cs="Calibri"/>
        </w:rPr>
        <w:t xml:space="preserve">elegate and considered </w:t>
      </w:r>
      <w:proofErr w:type="spellStart"/>
      <w:r w:rsidR="00EC7E12">
        <w:rPr>
          <w:bCs/>
        </w:rPr>
        <w:t>Abasria</w:t>
      </w:r>
      <w:proofErr w:type="spellEnd"/>
      <w:r w:rsidRPr="00F04209">
        <w:rPr>
          <w:bCs/>
        </w:rPr>
        <w:t xml:space="preserve">, </w:t>
      </w:r>
      <w:proofErr w:type="spellStart"/>
      <w:r w:rsidR="00EC7E12">
        <w:rPr>
          <w:bCs/>
        </w:rPr>
        <w:t>Abasria</w:t>
      </w:r>
      <w:proofErr w:type="spellEnd"/>
      <w:r w:rsidRPr="00F04209">
        <w:rPr>
          <w:bCs/>
        </w:rPr>
        <w:t xml:space="preserve"> </w:t>
      </w:r>
      <w:r w:rsidRPr="00F04209">
        <w:rPr>
          <w:bCs/>
          <w:caps/>
        </w:rPr>
        <w:t>KwikPen,</w:t>
      </w:r>
      <w:r w:rsidRPr="00F04209">
        <w:t xml:space="preserve"> </w:t>
      </w:r>
      <w:r w:rsidRPr="00F04209">
        <w:rPr>
          <w:bCs/>
        </w:rPr>
        <w:t xml:space="preserve">solution for injection as pre-filled syringe or pre-filled pen, containing 100 IU/mL of insulin </w:t>
      </w:r>
      <w:proofErr w:type="spellStart"/>
      <w:r w:rsidRPr="00F04209">
        <w:rPr>
          <w:bCs/>
        </w:rPr>
        <w:t>glargine</w:t>
      </w:r>
      <w:proofErr w:type="spellEnd"/>
      <w:r w:rsidRPr="00F04209">
        <w:rPr>
          <w:b/>
          <w:bCs/>
        </w:rPr>
        <w:t xml:space="preserve"> </w:t>
      </w:r>
      <w:r w:rsidRPr="00F04209">
        <w:rPr>
          <w:rFonts w:cs="Calibri"/>
        </w:rPr>
        <w:t>to have an overall positive benefit–risk profile for the indication</w:t>
      </w:r>
      <w:r w:rsidRPr="00F04209">
        <w:rPr>
          <w:rFonts w:cs="Calibri"/>
          <w:b/>
          <w:color w:val="000000" w:themeColor="text1"/>
        </w:rPr>
        <w:t>:</w:t>
      </w:r>
    </w:p>
    <w:p w:rsidR="00AC5DD8" w:rsidRPr="00F04209" w:rsidRDefault="00AC5DD8" w:rsidP="00AC5DD8">
      <w:pPr>
        <w:ind w:left="567"/>
        <w:rPr>
          <w:rFonts w:cs="Calibri"/>
        </w:rPr>
      </w:pPr>
      <w:r w:rsidRPr="00F04209">
        <w:rPr>
          <w:rFonts w:cs="Calibri"/>
          <w:i/>
        </w:rPr>
        <w:t xml:space="preserve">For the treatment of </w:t>
      </w:r>
      <w:r w:rsidR="00D54BAC">
        <w:rPr>
          <w:rFonts w:cs="Calibri"/>
          <w:i/>
        </w:rPr>
        <w:t xml:space="preserve">Type 1 diabetes </w:t>
      </w:r>
      <w:r w:rsidRPr="00F04209">
        <w:rPr>
          <w:rFonts w:cs="Calibri"/>
          <w:i/>
        </w:rPr>
        <w:t xml:space="preserve">mellitus in adults and children 2 years and above and </w:t>
      </w:r>
      <w:r w:rsidR="00D54BAC">
        <w:rPr>
          <w:rFonts w:cs="Calibri"/>
          <w:i/>
        </w:rPr>
        <w:t xml:space="preserve">Type 2 diabetes </w:t>
      </w:r>
      <w:r w:rsidRPr="00F04209">
        <w:rPr>
          <w:rFonts w:cs="Calibri"/>
          <w:i/>
        </w:rPr>
        <w:t>mellitus in adults who require insulin for the control of hyperglycaemia.</w:t>
      </w:r>
    </w:p>
    <w:p w:rsidR="00AC5DD8" w:rsidRPr="00F04209" w:rsidRDefault="00AC5DD8" w:rsidP="00441438">
      <w:pPr>
        <w:keepNext/>
        <w:spacing w:after="0"/>
        <w:rPr>
          <w:b/>
          <w:bCs/>
          <w:i/>
        </w:rPr>
      </w:pPr>
      <w:r w:rsidRPr="00F04209">
        <w:rPr>
          <w:b/>
          <w:bCs/>
          <w:i/>
        </w:rPr>
        <w:t>Proposed conditions of registration</w:t>
      </w:r>
    </w:p>
    <w:p w:rsidR="00AC5DD8" w:rsidRPr="00F04209" w:rsidRDefault="00AC5DD8" w:rsidP="00441438">
      <w:pPr>
        <w:keepNext/>
        <w:rPr>
          <w:bCs/>
          <w:highlight w:val="yellow"/>
        </w:rPr>
      </w:pPr>
      <w:r w:rsidRPr="00F04209">
        <w:rPr>
          <w:rFonts w:cs="Calibri"/>
          <w:color w:val="000000" w:themeColor="text1"/>
        </w:rPr>
        <w:t>T</w:t>
      </w:r>
      <w:r w:rsidRPr="00F04209">
        <w:rPr>
          <w:bCs/>
        </w:rPr>
        <w:t xml:space="preserve">he ACPM agreed with the </w:t>
      </w:r>
      <w:r w:rsidR="00441438">
        <w:rPr>
          <w:bCs/>
        </w:rPr>
        <w:t>D</w:t>
      </w:r>
      <w:r w:rsidRPr="00F04209">
        <w:rPr>
          <w:bCs/>
        </w:rPr>
        <w:t>elegate on the proposed conditions of registration and specifically advised on the inclusion of the following:</w:t>
      </w:r>
    </w:p>
    <w:p w:rsidR="00AC5DD8" w:rsidRPr="00F04209" w:rsidRDefault="00AC5DD8" w:rsidP="00B00796">
      <w:pPr>
        <w:pStyle w:val="ListBullet"/>
        <w:rPr>
          <w:rFonts w:cs="Arial"/>
          <w:bCs/>
          <w:iCs/>
          <w:lang w:val="en-GB"/>
        </w:rPr>
      </w:pPr>
      <w:r w:rsidRPr="00F04209">
        <w:rPr>
          <w:lang w:val="en-GB"/>
        </w:rPr>
        <w:t>Subject to satisfactory implementation of the Risk Management Plan most recently negotiated by the TGA</w:t>
      </w:r>
      <w:r w:rsidR="00626DCE">
        <w:rPr>
          <w:rFonts w:cs="Arial"/>
          <w:bCs/>
          <w:iCs/>
          <w:lang w:val="en-GB"/>
        </w:rPr>
        <w:t>,</w:t>
      </w:r>
    </w:p>
    <w:p w:rsidR="00AC5DD8" w:rsidRPr="00F04209" w:rsidRDefault="00AC5DD8" w:rsidP="00B00796">
      <w:pPr>
        <w:pStyle w:val="ListBullet"/>
        <w:rPr>
          <w:lang w:val="en-GB"/>
        </w:rPr>
      </w:pPr>
      <w:r w:rsidRPr="00F04209">
        <w:rPr>
          <w:lang w:val="en-GB"/>
        </w:rPr>
        <w:t xml:space="preserve">Negotiation of Product Information and Consumer Medicines Information </w:t>
      </w:r>
      <w:r w:rsidR="00626DCE">
        <w:rPr>
          <w:lang w:val="en-GB"/>
        </w:rPr>
        <w:t>to the satisfaction of the TGA.</w:t>
      </w:r>
    </w:p>
    <w:p w:rsidR="00AC5DD8" w:rsidRPr="003D5244" w:rsidRDefault="00AC5DD8" w:rsidP="00727665">
      <w:pPr>
        <w:keepNext/>
        <w:spacing w:after="0" w:line="240" w:lineRule="auto"/>
        <w:rPr>
          <w:b/>
          <w:bCs/>
          <w:i/>
          <w:u w:val="single"/>
        </w:rPr>
      </w:pPr>
      <w:r w:rsidRPr="003D5244">
        <w:rPr>
          <w:b/>
          <w:bCs/>
          <w:i/>
        </w:rPr>
        <w:t>Proposed Product Information (PI)/Consumer Medicine Information (CMI) amendments</w:t>
      </w:r>
    </w:p>
    <w:p w:rsidR="00AC5DD8" w:rsidRPr="00F04209" w:rsidRDefault="00AC5DD8" w:rsidP="00727665">
      <w:pPr>
        <w:keepNext/>
        <w:rPr>
          <w:bCs/>
        </w:rPr>
      </w:pPr>
      <w:r w:rsidRPr="00F04209">
        <w:rPr>
          <w:bCs/>
        </w:rPr>
        <w:t xml:space="preserve">The ACPM agreed with the </w:t>
      </w:r>
      <w:r w:rsidR="00441438">
        <w:rPr>
          <w:bCs/>
        </w:rPr>
        <w:t>D</w:t>
      </w:r>
      <w:r w:rsidRPr="00F04209">
        <w:rPr>
          <w:bCs/>
        </w:rPr>
        <w:t xml:space="preserve">elegate to the proposed amendments to the Product Information (PI) and Consumer Medicine Information (CMI) and specifically advised on </w:t>
      </w:r>
      <w:r w:rsidR="00626DCE">
        <w:rPr>
          <w:bCs/>
        </w:rPr>
        <w:t>the inclusion of the following:</w:t>
      </w:r>
    </w:p>
    <w:p w:rsidR="00441438" w:rsidRDefault="00AC5DD8" w:rsidP="00B00796">
      <w:pPr>
        <w:pStyle w:val="ListBullet"/>
        <w:rPr>
          <w:lang w:val="en-GB"/>
        </w:rPr>
      </w:pPr>
      <w:r w:rsidRPr="00F04209">
        <w:rPr>
          <w:lang w:val="en-GB"/>
        </w:rPr>
        <w:t xml:space="preserve">Change the wording in the CMI under </w:t>
      </w:r>
      <w:r w:rsidRPr="00F04209">
        <w:rPr>
          <w:i/>
          <w:lang w:val="en-GB"/>
        </w:rPr>
        <w:t>How Much to Use,</w:t>
      </w:r>
      <w:r w:rsidR="00626DCE">
        <w:rPr>
          <w:lang w:val="en-GB"/>
        </w:rPr>
        <w:t xml:space="preserve"> which states;</w:t>
      </w:r>
    </w:p>
    <w:p w:rsidR="00441438" w:rsidRDefault="00722754" w:rsidP="00441438">
      <w:pPr>
        <w:pStyle w:val="ListBullet"/>
        <w:numPr>
          <w:ilvl w:val="0"/>
          <w:numId w:val="0"/>
        </w:numPr>
        <w:ind w:left="360"/>
        <w:rPr>
          <w:lang w:val="en-GB"/>
        </w:rPr>
      </w:pPr>
      <w:r>
        <w:rPr>
          <w:lang w:val="en-GB"/>
        </w:rPr>
        <w:t>‘</w:t>
      </w:r>
      <w:r w:rsidR="00AC5DD8" w:rsidRPr="00F04209">
        <w:rPr>
          <w:lang w:val="en-GB"/>
        </w:rPr>
        <w:t>…</w:t>
      </w:r>
      <w:r w:rsidR="00AC5DD8" w:rsidRPr="00441438">
        <w:rPr>
          <w:i/>
          <w:lang w:val="en-GB"/>
        </w:rPr>
        <w:t>do not change your insulin unless your doctor tells you. Be very careful if you do change insulin</w:t>
      </w:r>
      <w:r>
        <w:rPr>
          <w:lang w:val="en-GB"/>
        </w:rPr>
        <w:t>’</w:t>
      </w:r>
    </w:p>
    <w:p w:rsidR="00441438" w:rsidRDefault="00AC5DD8" w:rsidP="00441438">
      <w:pPr>
        <w:pStyle w:val="ListBullet"/>
        <w:numPr>
          <w:ilvl w:val="0"/>
          <w:numId w:val="0"/>
        </w:numPr>
        <w:ind w:left="360"/>
        <w:rPr>
          <w:lang w:val="en-GB"/>
        </w:rPr>
      </w:pPr>
      <w:r w:rsidRPr="00F04209">
        <w:rPr>
          <w:lang w:val="en-GB"/>
        </w:rPr>
        <w:t xml:space="preserve">to the wording in the </w:t>
      </w:r>
      <w:r w:rsidR="00D54BAC">
        <w:rPr>
          <w:lang w:val="en-GB"/>
        </w:rPr>
        <w:t>Lantus</w:t>
      </w:r>
      <w:r w:rsidR="00626DCE">
        <w:rPr>
          <w:lang w:val="en-GB"/>
        </w:rPr>
        <w:t xml:space="preserve"> CMI:</w:t>
      </w:r>
    </w:p>
    <w:p w:rsidR="00441438" w:rsidRDefault="00722754" w:rsidP="00441438">
      <w:pPr>
        <w:pStyle w:val="ListBullet"/>
        <w:numPr>
          <w:ilvl w:val="0"/>
          <w:numId w:val="0"/>
        </w:numPr>
        <w:ind w:left="360"/>
        <w:rPr>
          <w:i/>
          <w:lang w:val="en-GB"/>
        </w:rPr>
      </w:pPr>
      <w:r>
        <w:rPr>
          <w:lang w:val="en-GB"/>
        </w:rPr>
        <w:t>‘</w:t>
      </w:r>
      <w:r w:rsidR="00AC5DD8" w:rsidRPr="00F04209">
        <w:rPr>
          <w:i/>
          <w:lang w:val="en-GB"/>
        </w:rPr>
        <w:t>It is very important that you manage your diabetes carefully. Too much or too little insulin can cause serious effects</w:t>
      </w:r>
      <w:r>
        <w:rPr>
          <w:i/>
          <w:lang w:val="en-GB"/>
        </w:rPr>
        <w:t>’</w:t>
      </w:r>
      <w:r w:rsidR="00626DCE">
        <w:rPr>
          <w:i/>
          <w:lang w:val="en-GB"/>
        </w:rPr>
        <w:t>.</w:t>
      </w:r>
    </w:p>
    <w:p w:rsidR="00AC5DD8" w:rsidRPr="00F04209" w:rsidRDefault="00AC5DD8" w:rsidP="00441438">
      <w:pPr>
        <w:pStyle w:val="ListBullet"/>
        <w:numPr>
          <w:ilvl w:val="0"/>
          <w:numId w:val="0"/>
        </w:numPr>
        <w:ind w:left="360"/>
        <w:rPr>
          <w:lang w:val="en-GB"/>
        </w:rPr>
      </w:pPr>
      <w:r w:rsidRPr="00F04209">
        <w:rPr>
          <w:lang w:val="en-GB"/>
        </w:rPr>
        <w:t xml:space="preserve">The ACPM considered that the current wording is unclear whether the change is referring to the dose or the brand of insulin. It is clear in the </w:t>
      </w:r>
      <w:r w:rsidR="00D54BAC">
        <w:rPr>
          <w:lang w:val="en-GB"/>
        </w:rPr>
        <w:t>Lantus</w:t>
      </w:r>
      <w:r w:rsidRPr="00F04209">
        <w:rPr>
          <w:lang w:val="en-GB"/>
        </w:rPr>
        <w:t xml:space="preserve"> CMI that change is referring to dose, which is appropriate as it is under ‘</w:t>
      </w:r>
      <w:r w:rsidRPr="00F04209">
        <w:rPr>
          <w:i/>
          <w:lang w:val="en-GB"/>
        </w:rPr>
        <w:t>How Much to Use</w:t>
      </w:r>
      <w:r w:rsidRPr="00F04209">
        <w:rPr>
          <w:lang w:val="en-GB"/>
        </w:rPr>
        <w:t xml:space="preserve">’. However, consumers should also be made aware that they should not switch brands of insulin </w:t>
      </w:r>
      <w:proofErr w:type="spellStart"/>
      <w:r w:rsidRPr="00F04209">
        <w:rPr>
          <w:lang w:val="en-GB"/>
        </w:rPr>
        <w:t>glargine</w:t>
      </w:r>
      <w:proofErr w:type="spellEnd"/>
      <w:r w:rsidRPr="00F04209">
        <w:rPr>
          <w:lang w:val="en-GB"/>
        </w:rPr>
        <w:t xml:space="preserve"> unless under proper supervision as products are not equivalent.</w:t>
      </w:r>
    </w:p>
    <w:p w:rsidR="00AC5DD8" w:rsidRPr="00F04209" w:rsidRDefault="00AC5DD8" w:rsidP="00441438">
      <w:pPr>
        <w:pStyle w:val="Heading5"/>
        <w:rPr>
          <w:rFonts w:cs="Arial"/>
          <w:lang w:val="en-GB"/>
        </w:rPr>
      </w:pPr>
      <w:r w:rsidRPr="00F04209">
        <w:rPr>
          <w:lang w:val="en-GB"/>
        </w:rPr>
        <w:t xml:space="preserve">Specific </w:t>
      </w:r>
      <w:r w:rsidR="00626DCE">
        <w:rPr>
          <w:lang w:val="en-GB"/>
        </w:rPr>
        <w:t>a</w:t>
      </w:r>
      <w:r w:rsidRPr="00F04209">
        <w:rPr>
          <w:lang w:val="en-GB"/>
        </w:rPr>
        <w:t>dvice</w:t>
      </w:r>
    </w:p>
    <w:p w:rsidR="00AC5DD8" w:rsidRPr="00F04209" w:rsidRDefault="00AC5DD8" w:rsidP="00AC5DD8">
      <w:pPr>
        <w:rPr>
          <w:b/>
          <w:bCs/>
          <w:iCs/>
          <w:highlight w:val="yellow"/>
        </w:rPr>
      </w:pPr>
      <w:r w:rsidRPr="00F04209">
        <w:rPr>
          <w:rFonts w:cs="Arial"/>
        </w:rPr>
        <w:t>The ACPM advised the following in resp</w:t>
      </w:r>
      <w:r w:rsidR="00441438">
        <w:rPr>
          <w:rFonts w:cs="Arial"/>
        </w:rPr>
        <w:t>onse to the D</w:t>
      </w:r>
      <w:r w:rsidRPr="00F04209">
        <w:rPr>
          <w:rFonts w:cs="Arial"/>
        </w:rPr>
        <w:t>elegate’s specific questions on this submission:</w:t>
      </w:r>
    </w:p>
    <w:p w:rsidR="00AC5DD8" w:rsidRPr="00DD7DC6" w:rsidRDefault="00AC5DD8" w:rsidP="00DD7DC6">
      <w:pPr>
        <w:pStyle w:val="ListBullet"/>
      </w:pPr>
      <w:r w:rsidRPr="00193D92">
        <w:rPr>
          <w:i/>
        </w:rPr>
        <w:t xml:space="preserve">Does the ACPM consider that the PK/PD studies provide sufficient evidence to establish that </w:t>
      </w:r>
      <w:proofErr w:type="spellStart"/>
      <w:r w:rsidR="00EC7E12" w:rsidRPr="00193D92">
        <w:rPr>
          <w:i/>
        </w:rPr>
        <w:t>Abasria</w:t>
      </w:r>
      <w:proofErr w:type="spellEnd"/>
      <w:r w:rsidRPr="00193D92">
        <w:rPr>
          <w:i/>
        </w:rPr>
        <w:t xml:space="preserve"> has a PK/PD profile similar to that of </w:t>
      </w:r>
      <w:r w:rsidR="00D54BAC" w:rsidRPr="00193D92">
        <w:rPr>
          <w:i/>
        </w:rPr>
        <w:t>Lantus</w:t>
      </w:r>
      <w:r w:rsidRPr="00DD7DC6">
        <w:t>?</w:t>
      </w:r>
    </w:p>
    <w:p w:rsidR="00AC5DD8" w:rsidRPr="00193D92" w:rsidRDefault="00AC5DD8" w:rsidP="00193D92">
      <w:pPr>
        <w:ind w:left="426"/>
        <w:rPr>
          <w:bCs/>
          <w:iCs/>
        </w:rPr>
      </w:pPr>
      <w:r w:rsidRPr="00193D92">
        <w:rPr>
          <w:bCs/>
          <w:iCs/>
        </w:rPr>
        <w:t xml:space="preserve">The ACPM advised that acceptable similarity between </w:t>
      </w:r>
      <w:proofErr w:type="spellStart"/>
      <w:r w:rsidR="00EC7E12" w:rsidRPr="00193D92">
        <w:rPr>
          <w:bCs/>
          <w:iCs/>
        </w:rPr>
        <w:t>Abasria</w:t>
      </w:r>
      <w:proofErr w:type="spellEnd"/>
      <w:r w:rsidRPr="00193D92">
        <w:rPr>
          <w:bCs/>
          <w:iCs/>
        </w:rPr>
        <w:t xml:space="preserve"> and </w:t>
      </w:r>
      <w:r w:rsidR="00D54BAC" w:rsidRPr="00193D92">
        <w:rPr>
          <w:bCs/>
          <w:iCs/>
        </w:rPr>
        <w:t>Lantus</w:t>
      </w:r>
      <w:r w:rsidRPr="00193D92">
        <w:rPr>
          <w:bCs/>
          <w:iCs/>
        </w:rPr>
        <w:t xml:space="preserve"> has been demonstrated by the PK and PD studies.</w:t>
      </w:r>
    </w:p>
    <w:p w:rsidR="00AC5DD8" w:rsidRPr="00F04209" w:rsidRDefault="00AC5DD8" w:rsidP="00B00796">
      <w:pPr>
        <w:pStyle w:val="ListBullet"/>
        <w:rPr>
          <w:lang w:val="en-GB"/>
        </w:rPr>
      </w:pPr>
      <w:r w:rsidRPr="00193D92">
        <w:rPr>
          <w:i/>
          <w:lang w:val="en-GB"/>
        </w:rPr>
        <w:t>Does the ACPM consider that the Phase</w:t>
      </w:r>
      <w:r w:rsidR="00441438" w:rsidRPr="00193D92">
        <w:rPr>
          <w:i/>
          <w:lang w:val="en-GB"/>
        </w:rPr>
        <w:t xml:space="preserve"> III</w:t>
      </w:r>
      <w:r w:rsidRPr="00193D92">
        <w:rPr>
          <w:i/>
          <w:lang w:val="en-GB"/>
        </w:rPr>
        <w:t xml:space="preserve"> studies provide sufficient evidence to establish that immunogenicity is similar to </w:t>
      </w:r>
      <w:r w:rsidR="00D54BAC" w:rsidRPr="00193D92">
        <w:rPr>
          <w:i/>
          <w:lang w:val="en-GB"/>
        </w:rPr>
        <w:t>Lantus</w:t>
      </w:r>
      <w:r w:rsidRPr="00F04209">
        <w:rPr>
          <w:lang w:val="en-GB"/>
        </w:rPr>
        <w:t>?</w:t>
      </w:r>
    </w:p>
    <w:p w:rsidR="00AC5DD8" w:rsidRPr="00193D92" w:rsidRDefault="00AC5DD8" w:rsidP="007C64A9">
      <w:pPr>
        <w:ind w:left="360"/>
      </w:pPr>
      <w:r w:rsidRPr="00193D92">
        <w:lastRenderedPageBreak/>
        <w:t xml:space="preserve">The ACPM advised that the results from the two </w:t>
      </w:r>
      <w:r w:rsidR="00441438" w:rsidRPr="00193D92">
        <w:t>P</w:t>
      </w:r>
      <w:r w:rsidRPr="00193D92">
        <w:t>hase III clinical trials (ABEC and ABEB) demonstrated similarity of the two products, including for immunogenicity.</w:t>
      </w:r>
    </w:p>
    <w:p w:rsidR="00AC5DD8" w:rsidRPr="00193D92" w:rsidRDefault="00AC5DD8" w:rsidP="00B00796">
      <w:pPr>
        <w:pStyle w:val="ListBullet"/>
        <w:rPr>
          <w:i/>
          <w:lang w:val="en-GB"/>
        </w:rPr>
      </w:pPr>
      <w:r w:rsidRPr="00193D92">
        <w:rPr>
          <w:i/>
          <w:lang w:val="en-GB"/>
        </w:rPr>
        <w:t xml:space="preserve">Studies of similarity between </w:t>
      </w:r>
      <w:proofErr w:type="spellStart"/>
      <w:r w:rsidR="00EC7E12" w:rsidRPr="00193D92">
        <w:rPr>
          <w:i/>
          <w:lang w:val="en-GB"/>
        </w:rPr>
        <w:t>Abasria</w:t>
      </w:r>
      <w:proofErr w:type="spellEnd"/>
      <w:r w:rsidRPr="00193D92">
        <w:rPr>
          <w:i/>
          <w:lang w:val="en-GB"/>
        </w:rPr>
        <w:t xml:space="preserve"> and </w:t>
      </w:r>
      <w:r w:rsidR="00D54BAC" w:rsidRPr="00193D92">
        <w:rPr>
          <w:i/>
          <w:lang w:val="en-GB"/>
        </w:rPr>
        <w:t>Lantus</w:t>
      </w:r>
      <w:r w:rsidRPr="00193D92">
        <w:rPr>
          <w:i/>
          <w:lang w:val="en-GB"/>
        </w:rPr>
        <w:t xml:space="preserve"> have been conducted in adults. Does the ACPM consider that these allow extrapolation of the similarity to children, 2 years and older?</w:t>
      </w:r>
    </w:p>
    <w:p w:rsidR="00AC5DD8" w:rsidRPr="00727665" w:rsidRDefault="00AC5DD8" w:rsidP="007C64A9">
      <w:pPr>
        <w:ind w:left="360"/>
      </w:pPr>
      <w:r w:rsidRPr="00193D92">
        <w:t xml:space="preserve">The ACPM noted that </w:t>
      </w:r>
      <w:r w:rsidR="00D54BAC" w:rsidRPr="00193D92">
        <w:t>Lantus</w:t>
      </w:r>
      <w:r w:rsidRPr="00193D92">
        <w:t xml:space="preserve"> is registered for use in children from the age of 2 years but has not been studied in children less than 2 years of age. Therefore, as </w:t>
      </w:r>
      <w:proofErr w:type="spellStart"/>
      <w:r w:rsidR="00EC7E12" w:rsidRPr="00193D92">
        <w:t>Abasria</w:t>
      </w:r>
      <w:proofErr w:type="spellEnd"/>
      <w:r w:rsidRPr="00193D92">
        <w:t xml:space="preserve"> has been accepted as similar to </w:t>
      </w:r>
      <w:r w:rsidR="00D54BAC" w:rsidRPr="00193D92">
        <w:t>Lantus</w:t>
      </w:r>
      <w:r w:rsidRPr="00193D92">
        <w:t xml:space="preserve">, the ACPM advised that extrapolation can be </w:t>
      </w:r>
      <w:r w:rsidRPr="00727665">
        <w:t>allowed for use in children 2 years and older.</w:t>
      </w:r>
    </w:p>
    <w:p w:rsidR="00AC5DD8" w:rsidRPr="00727665" w:rsidRDefault="00AC5DD8" w:rsidP="00B00796">
      <w:pPr>
        <w:pStyle w:val="ListBullet"/>
        <w:rPr>
          <w:i/>
          <w:lang w:val="en-GB"/>
        </w:rPr>
      </w:pPr>
      <w:proofErr w:type="spellStart"/>
      <w:r w:rsidRPr="00727665">
        <w:rPr>
          <w:i/>
          <w:lang w:val="en-GB"/>
        </w:rPr>
        <w:t>Biosimilars</w:t>
      </w:r>
      <w:proofErr w:type="spellEnd"/>
      <w:r w:rsidRPr="00727665">
        <w:rPr>
          <w:i/>
          <w:lang w:val="en-GB"/>
        </w:rPr>
        <w:t xml:space="preserve"> are not regarded as interchangeable on a same-dose basis with the reference product. That is, any switch from </w:t>
      </w:r>
      <w:r w:rsidR="00D54BAC" w:rsidRPr="00727665">
        <w:rPr>
          <w:i/>
          <w:lang w:val="en-GB"/>
        </w:rPr>
        <w:t>Lantus</w:t>
      </w:r>
      <w:r w:rsidRPr="00727665">
        <w:rPr>
          <w:i/>
          <w:lang w:val="en-GB"/>
        </w:rPr>
        <w:t xml:space="preserve"> to </w:t>
      </w:r>
      <w:proofErr w:type="spellStart"/>
      <w:r w:rsidR="00EC7E12" w:rsidRPr="00727665">
        <w:rPr>
          <w:i/>
          <w:lang w:val="en-GB"/>
        </w:rPr>
        <w:t>Abasria</w:t>
      </w:r>
      <w:proofErr w:type="spellEnd"/>
      <w:r w:rsidRPr="00727665">
        <w:rPr>
          <w:i/>
          <w:lang w:val="en-GB"/>
        </w:rPr>
        <w:t xml:space="preserve"> should only be done under medical supervision and may require different dosing and particular caution regarding hypoglycaemia. Does the ACPM consider that the information provided in the PI is appropriate?</w:t>
      </w:r>
    </w:p>
    <w:p w:rsidR="00AC5DD8" w:rsidRPr="00727665" w:rsidRDefault="00AC5DD8" w:rsidP="007C64A9">
      <w:pPr>
        <w:ind w:left="360"/>
      </w:pPr>
      <w:r w:rsidRPr="00727665">
        <w:t>The ACPM advised that the statement regarding switching between t</w:t>
      </w:r>
      <w:r w:rsidR="000D4C43">
        <w:t>he two products is appropriate.</w:t>
      </w:r>
    </w:p>
    <w:p w:rsidR="00AC5DD8" w:rsidRPr="00727665" w:rsidRDefault="00AC5DD8" w:rsidP="007C64A9">
      <w:pPr>
        <w:ind w:left="360"/>
      </w:pPr>
      <w:r w:rsidRPr="00727665">
        <w:t>The ACPM also considered that an educational program for health professionals may be needed to highlight that any product switching must be supervised and dose equivalence should not be assu</w:t>
      </w:r>
      <w:r w:rsidR="000D4C43">
        <w:t>med for any individual patient.</w:t>
      </w:r>
    </w:p>
    <w:p w:rsidR="00AC5DD8" w:rsidRPr="00F04209" w:rsidRDefault="00AC5DD8" w:rsidP="007C64A9">
      <w:pPr>
        <w:ind w:left="360"/>
        <w:rPr>
          <w:bCs/>
        </w:rPr>
      </w:pPr>
      <w:r w:rsidRPr="00727665">
        <w:rPr>
          <w:bCs/>
        </w:rPr>
        <w:t>The ACPM advised that the implementation by the sponsor of the recommendations outlined above to the satisfaction of the TGA, in a</w:t>
      </w:r>
      <w:r w:rsidRPr="00F04209">
        <w:rPr>
          <w:bCs/>
        </w:rPr>
        <w:t>ddition to the evidence of efficacy and safety provided would support the safe and e</w:t>
      </w:r>
      <w:r w:rsidR="000D4C43">
        <w:rPr>
          <w:bCs/>
        </w:rPr>
        <w:t>ffective use of these products.</w:t>
      </w:r>
    </w:p>
    <w:p w:rsidR="008E7846" w:rsidRPr="002E238E" w:rsidRDefault="008E7846" w:rsidP="008E7846">
      <w:pPr>
        <w:pStyle w:val="Heading3"/>
      </w:pPr>
      <w:bookmarkStart w:id="149" w:name="_Toc247691532"/>
      <w:bookmarkStart w:id="150" w:name="_Toc314842516"/>
      <w:bookmarkStart w:id="151" w:name="_Toc428796501"/>
      <w:bookmarkEnd w:id="108"/>
      <w:bookmarkEnd w:id="147"/>
      <w:bookmarkEnd w:id="148"/>
      <w:r>
        <w:t>Outcome</w:t>
      </w:r>
      <w:bookmarkEnd w:id="149"/>
      <w:bookmarkEnd w:id="150"/>
      <w:bookmarkEnd w:id="151"/>
    </w:p>
    <w:p w:rsidR="00D23139" w:rsidRPr="00D23139" w:rsidRDefault="00D23139" w:rsidP="00441438">
      <w:bookmarkStart w:id="152" w:name="_Toc247691533"/>
      <w:bookmarkStart w:id="153" w:name="_Toc314842517"/>
      <w:r w:rsidRPr="00D23139">
        <w:t xml:space="preserve">Based on a review of quality, safety and efficacy, TGA approved the registration of </w:t>
      </w:r>
      <w:r w:rsidR="00AC5DD8">
        <w:t xml:space="preserve">to approve the registration of </w:t>
      </w:r>
      <w:proofErr w:type="spellStart"/>
      <w:r w:rsidR="007830F3">
        <w:t>Abasria</w:t>
      </w:r>
      <w:proofErr w:type="spellEnd"/>
      <w:r w:rsidR="007830F3">
        <w:t xml:space="preserve"> </w:t>
      </w:r>
      <w:r w:rsidR="00AC5DD8">
        <w:t xml:space="preserve">insulin </w:t>
      </w:r>
      <w:proofErr w:type="spellStart"/>
      <w:r w:rsidR="00AC5DD8">
        <w:t>glargine</w:t>
      </w:r>
      <w:proofErr w:type="spellEnd"/>
      <w:r w:rsidR="00AC5DD8">
        <w:t xml:space="preserve"> (the) 100 IU/</w:t>
      </w:r>
      <w:r w:rsidR="007830F3">
        <w:t>m</w:t>
      </w:r>
      <w:r w:rsidR="00AC5DD8">
        <w:t xml:space="preserve">L solution for Injection cartridge </w:t>
      </w:r>
      <w:proofErr w:type="spellStart"/>
      <w:r w:rsidR="007830F3">
        <w:t>Abasria</w:t>
      </w:r>
      <w:proofErr w:type="spellEnd"/>
      <w:r w:rsidR="007830F3">
        <w:t xml:space="preserve"> </w:t>
      </w:r>
      <w:proofErr w:type="spellStart"/>
      <w:r w:rsidR="00AC5DD8">
        <w:t>KwikPen</w:t>
      </w:r>
      <w:proofErr w:type="spellEnd"/>
      <w:r w:rsidR="00AC5DD8">
        <w:t xml:space="preserve"> insulin </w:t>
      </w:r>
      <w:proofErr w:type="spellStart"/>
      <w:r w:rsidR="00AC5DD8">
        <w:t>glargine</w:t>
      </w:r>
      <w:proofErr w:type="spellEnd"/>
      <w:r w:rsidR="00AC5DD8">
        <w:t xml:space="preserve"> (the) 100 IU/</w:t>
      </w:r>
      <w:r w:rsidR="007830F3">
        <w:t>m</w:t>
      </w:r>
      <w:r w:rsidR="00AC5DD8">
        <w:t>L solution for</w:t>
      </w:r>
      <w:r w:rsidR="007830F3">
        <w:t xml:space="preserve"> inj</w:t>
      </w:r>
      <w:r w:rsidR="00AC5DD8">
        <w:t xml:space="preserve">ection </w:t>
      </w:r>
      <w:r w:rsidR="007830F3">
        <w:t>cartridge</w:t>
      </w:r>
      <w:r w:rsidRPr="00D23139">
        <w:t xml:space="preserve"> </w:t>
      </w:r>
      <w:r w:rsidR="007830F3">
        <w:t xml:space="preserve">for subcutaneous injection, </w:t>
      </w:r>
      <w:r w:rsidRPr="00D23139">
        <w:t>indicated for:</w:t>
      </w:r>
    </w:p>
    <w:p w:rsidR="00D23139" w:rsidRPr="00441438" w:rsidRDefault="00AC5DD8" w:rsidP="00441438">
      <w:pPr>
        <w:ind w:left="720"/>
        <w:rPr>
          <w:i/>
        </w:rPr>
      </w:pPr>
      <w:r w:rsidRPr="00441438">
        <w:rPr>
          <w:i/>
        </w:rPr>
        <w:t xml:space="preserve">Insulin </w:t>
      </w:r>
      <w:proofErr w:type="spellStart"/>
      <w:r w:rsidRPr="00441438">
        <w:rPr>
          <w:i/>
        </w:rPr>
        <w:t>glargine</w:t>
      </w:r>
      <w:proofErr w:type="spellEnd"/>
      <w:r w:rsidRPr="00441438">
        <w:rPr>
          <w:i/>
        </w:rPr>
        <w:t xml:space="preserve"> an insulin analogue indicated for once-daily subcutaneous administration in the treatment of </w:t>
      </w:r>
      <w:r w:rsidR="00D54BAC" w:rsidRPr="00441438">
        <w:rPr>
          <w:i/>
        </w:rPr>
        <w:t xml:space="preserve">Type 1 diabetes </w:t>
      </w:r>
      <w:r w:rsidRPr="00441438">
        <w:rPr>
          <w:i/>
        </w:rPr>
        <w:t xml:space="preserve">mellitus, in adults and children and </w:t>
      </w:r>
      <w:r w:rsidR="00D54BAC" w:rsidRPr="00441438">
        <w:rPr>
          <w:i/>
        </w:rPr>
        <w:t xml:space="preserve">Type 2 diabetes </w:t>
      </w:r>
      <w:r w:rsidRPr="00441438">
        <w:rPr>
          <w:i/>
        </w:rPr>
        <w:t>mellitus in adults who require insulin for the control of hyperglycaemia.</w:t>
      </w:r>
    </w:p>
    <w:p w:rsidR="00D23139" w:rsidRPr="00D23139" w:rsidRDefault="00D23139" w:rsidP="00D23139">
      <w:pPr>
        <w:pStyle w:val="Heading4"/>
      </w:pPr>
      <w:r w:rsidRPr="00D23139">
        <w:t>Specific conditions of registration applying to these goods</w:t>
      </w:r>
    </w:p>
    <w:p w:rsidR="00AC5DD8" w:rsidRPr="002D760B" w:rsidRDefault="00AC5DD8" w:rsidP="002D760B">
      <w:pPr>
        <w:pStyle w:val="Numberbullet0"/>
        <w:numPr>
          <w:ilvl w:val="0"/>
          <w:numId w:val="9"/>
        </w:numPr>
      </w:pPr>
      <w:r w:rsidRPr="002D760B">
        <w:t xml:space="preserve">The </w:t>
      </w:r>
      <w:proofErr w:type="spellStart"/>
      <w:r w:rsidRPr="002D760B">
        <w:t>Abasria</w:t>
      </w:r>
      <w:proofErr w:type="spellEnd"/>
      <w:r w:rsidRPr="002D760B">
        <w:t xml:space="preserve"> (insulin </w:t>
      </w:r>
      <w:proofErr w:type="spellStart"/>
      <w:r w:rsidRPr="002D760B">
        <w:t>glargine</w:t>
      </w:r>
      <w:proofErr w:type="spellEnd"/>
      <w:r w:rsidRPr="002D760B">
        <w:t>) EU Risk Management Plan Version 1.0 dated 22 May 2013, [data lock point (DLP) 01 April 2013] and Australian Specific Annex Version 2 dated 21 May 2014, and any subsequent revisions, as agreed with the TGA will be implemented in Australia.</w:t>
      </w:r>
    </w:p>
    <w:p w:rsidR="00AC5DD8" w:rsidRPr="002D760B" w:rsidRDefault="00AC5DD8" w:rsidP="002D760B">
      <w:pPr>
        <w:pStyle w:val="Numberbullet0"/>
      </w:pPr>
      <w:r w:rsidRPr="002D760B">
        <w:t xml:space="preserve">As a minimum, the first five independent batches of </w:t>
      </w:r>
      <w:proofErr w:type="spellStart"/>
      <w:r w:rsidR="007830F3" w:rsidRPr="002D760B">
        <w:t>Abasria</w:t>
      </w:r>
      <w:proofErr w:type="spellEnd"/>
      <w:r w:rsidR="007830F3" w:rsidRPr="002D760B">
        <w:t xml:space="preserve"> </w:t>
      </w:r>
      <w:r w:rsidRPr="002D760B">
        <w:t xml:space="preserve">(insulin </w:t>
      </w:r>
      <w:proofErr w:type="spellStart"/>
      <w:r w:rsidRPr="002D760B">
        <w:t>glargine</w:t>
      </w:r>
      <w:proofErr w:type="spellEnd"/>
      <w:r w:rsidRPr="002D760B">
        <w:t xml:space="preserve"> (</w:t>
      </w:r>
      <w:proofErr w:type="spellStart"/>
      <w:proofErr w:type="gramStart"/>
      <w:r w:rsidRPr="002D760B">
        <w:t>rbe</w:t>
      </w:r>
      <w:proofErr w:type="spellEnd"/>
      <w:proofErr w:type="gramEnd"/>
      <w:r w:rsidRPr="002D760B">
        <w:t>)) solution for injection in cartridge and prefilled pen 100 IU/mL imported into Australia are not released for sale until samples and/or the manufacturer’s release data have been assessed and endorsed for release by the TGA Office of Laboratories and Scientific Services (OLSS).</w:t>
      </w:r>
    </w:p>
    <w:p w:rsidR="008E7846" w:rsidRDefault="00A80B5B" w:rsidP="00AC5DD8">
      <w:pPr>
        <w:pStyle w:val="Heading2"/>
      </w:pPr>
      <w:bookmarkStart w:id="154" w:name="_Toc428796502"/>
      <w:proofErr w:type="gramStart"/>
      <w:r>
        <w:lastRenderedPageBreak/>
        <w:t>Attachment 1.</w:t>
      </w:r>
      <w:proofErr w:type="gramEnd"/>
      <w:r>
        <w:t xml:space="preserve"> </w:t>
      </w:r>
      <w:r w:rsidR="008E7846">
        <w:t xml:space="preserve">Product </w:t>
      </w:r>
      <w:r w:rsidR="00AA0ED0">
        <w:t>I</w:t>
      </w:r>
      <w:r w:rsidR="008E7846">
        <w:t>nformation</w:t>
      </w:r>
      <w:bookmarkEnd w:id="152"/>
      <w:bookmarkEnd w:id="153"/>
      <w:bookmarkEnd w:id="154"/>
    </w:p>
    <w:p w:rsidR="00C80137" w:rsidRDefault="002B3624" w:rsidP="00C80137">
      <w:pPr>
        <w:rPr>
          <w:color w:val="000000"/>
          <w:lang w:eastAsia="en-AU"/>
        </w:rPr>
      </w:pPr>
      <w:r w:rsidRPr="002B3624">
        <w:t xml:space="preserve">The Product Information approved for main </w:t>
      </w:r>
      <w:proofErr w:type="spellStart"/>
      <w:r w:rsidR="00B00796">
        <w:t>Abasria</w:t>
      </w:r>
      <w:proofErr w:type="spellEnd"/>
      <w:r w:rsidRPr="002B3624">
        <w:t xml:space="preserve"> at the time this </w:t>
      </w:r>
      <w:proofErr w:type="spellStart"/>
      <w:r w:rsidRPr="002B3624">
        <w:t>AusPAR</w:t>
      </w:r>
      <w:proofErr w:type="spellEnd"/>
      <w:r w:rsidRPr="002B3624">
        <w:t xml:space="preserve"> was published is at Attachment 1. For the most recent Product Information please refer to the TGA website at &lt;</w:t>
      </w:r>
      <w:hyperlink r:id="rId21" w:history="1">
        <w:r w:rsidR="00383221">
          <w:rPr>
            <w:rStyle w:val="Hyperlink"/>
          </w:rPr>
          <w:t>https://www.tga.gov.au/product-information-pi</w:t>
        </w:r>
      </w:hyperlink>
      <w:r w:rsidRPr="002B3624">
        <w:t xml:space="preserve">&gt;. </w:t>
      </w:r>
    </w:p>
    <w:p w:rsidR="001C32CD" w:rsidRDefault="00C80137" w:rsidP="00441438">
      <w:pPr>
        <w:pStyle w:val="Heading2"/>
        <w:rPr>
          <w:lang w:eastAsia="ja-JP"/>
        </w:rPr>
      </w:pPr>
      <w:bookmarkStart w:id="155" w:name="_Toc428796503"/>
      <w:proofErr w:type="gramStart"/>
      <w:r>
        <w:rPr>
          <w:lang w:eastAsia="en-AU"/>
        </w:rPr>
        <w:t>Attachment 2.</w:t>
      </w:r>
      <w:proofErr w:type="gramEnd"/>
      <w:r w:rsidR="00A80B5B">
        <w:rPr>
          <w:lang w:eastAsia="en-AU"/>
        </w:rPr>
        <w:t xml:space="preserve"> </w:t>
      </w:r>
      <w:r>
        <w:rPr>
          <w:lang w:eastAsia="en-AU"/>
        </w:rPr>
        <w:t>Extract from the Clinical Evaluation Report</w:t>
      </w:r>
      <w:bookmarkEnd w:id="155"/>
      <w:r w:rsidR="00AD0083">
        <w:rPr>
          <w:lang w:eastAsia="ja-JP"/>
        </w:rPr>
        <w:t xml:space="preserve"> </w:t>
      </w:r>
    </w:p>
    <w:p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5A0287">
        <w:trPr>
          <w:trHeight w:hRule="exact" w:val="704"/>
        </w:trPr>
        <w:tc>
          <w:tcPr>
            <w:tcW w:w="9175" w:type="dxa"/>
          </w:tcPr>
          <w:p w:rsidR="001C32CD" w:rsidRPr="00487162" w:rsidRDefault="001C32CD" w:rsidP="005A0287">
            <w:pPr>
              <w:pStyle w:val="TGASignoff"/>
            </w:pPr>
            <w:r w:rsidRPr="00487162">
              <w:lastRenderedPageBreak/>
              <w:t>Therapeutic Goods Administration</w:t>
            </w:r>
          </w:p>
        </w:tc>
      </w:tr>
      <w:tr w:rsidR="001C32CD" w:rsidRPr="004C239D" w:rsidTr="005A0287">
        <w:trPr>
          <w:trHeight w:val="1221"/>
        </w:trPr>
        <w:tc>
          <w:tcPr>
            <w:tcW w:w="9175" w:type="dxa"/>
            <w:tcMar>
              <w:top w:w="28" w:type="dxa"/>
            </w:tcMar>
          </w:tcPr>
          <w:p w:rsidR="001C32CD" w:rsidRPr="00487162" w:rsidRDefault="001C32CD" w:rsidP="005A0287">
            <w:pPr>
              <w:pStyle w:val="Address"/>
            </w:pPr>
            <w:r w:rsidRPr="00487162">
              <w:t>PO Box 100 Woden ACT 2606 Australia</w:t>
            </w:r>
          </w:p>
          <w:p w:rsidR="001C32CD" w:rsidRPr="00487162" w:rsidRDefault="001C32CD" w:rsidP="005A0287">
            <w:pPr>
              <w:pStyle w:val="Address"/>
            </w:pPr>
            <w:r w:rsidRPr="00487162">
              <w:t xml:space="preserve">Email: </w:t>
            </w:r>
            <w:hyperlink r:id="rId26" w:history="1">
              <w:r w:rsidRPr="004C239D">
                <w:rPr>
                  <w:rStyle w:val="Hyperlink"/>
                </w:rPr>
                <w:t>info@tga.gov.au</w:t>
              </w:r>
            </w:hyperlink>
            <w:r w:rsidR="001A1024">
              <w:t xml:space="preserve"> </w:t>
            </w:r>
            <w:r w:rsidRPr="00487162">
              <w:t>Phone: 1800 020 653</w:t>
            </w:r>
            <w:r w:rsidR="001A1024">
              <w:t xml:space="preserve"> </w:t>
            </w:r>
            <w:r w:rsidRPr="00487162">
              <w:t>Fax: 02 6232 8605</w:t>
            </w:r>
          </w:p>
          <w:p w:rsidR="001C32CD" w:rsidRPr="004C239D" w:rsidRDefault="00405646" w:rsidP="005A0287">
            <w:pPr>
              <w:pStyle w:val="Address"/>
              <w:spacing w:line="260" w:lineRule="atLeast"/>
              <w:rPr>
                <w:b/>
                <w:color w:val="0000FF"/>
                <w:u w:val="single"/>
              </w:rPr>
            </w:pPr>
            <w:hyperlink r:id="rId27" w:history="1">
              <w:r w:rsidR="004F47D6">
                <w:rPr>
                  <w:rStyle w:val="Hyperlink"/>
                  <w:b/>
                </w:rPr>
                <w:t>https://www.tga.gov.au</w:t>
              </w:r>
            </w:hyperlink>
          </w:p>
        </w:tc>
      </w:tr>
    </w:tbl>
    <w:p w:rsidR="00774E1D" w:rsidRPr="008A5E0B" w:rsidRDefault="00774E1D" w:rsidP="004C239D"/>
    <w:sectPr w:rsidR="00774E1D" w:rsidRPr="008A5E0B"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256" w:rsidRDefault="00A80256" w:rsidP="00C40A36">
      <w:pPr>
        <w:spacing w:after="0"/>
      </w:pPr>
      <w:r>
        <w:separator/>
      </w:r>
    </w:p>
  </w:endnote>
  <w:endnote w:type="continuationSeparator" w:id="0">
    <w:p w:rsidR="00A80256" w:rsidRDefault="00A8025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80256" w:rsidRPr="00487162" w:rsidTr="00DB750B">
      <w:trPr>
        <w:trHeight w:val="269"/>
      </w:trPr>
      <w:tc>
        <w:tcPr>
          <w:tcW w:w="7371" w:type="dxa"/>
          <w:tcMar>
            <w:top w:w="142" w:type="dxa"/>
            <w:bottom w:w="0" w:type="dxa"/>
          </w:tcMar>
        </w:tcPr>
        <w:p w:rsidR="00A80256" w:rsidRPr="00487162" w:rsidRDefault="00A80256" w:rsidP="003B1621">
          <w:pPr>
            <w:pStyle w:val="Footer"/>
          </w:pPr>
          <w:proofErr w:type="spellStart"/>
          <w:r w:rsidRPr="00487162">
            <w:t>AusPAR</w:t>
          </w:r>
          <w:proofErr w:type="spellEnd"/>
          <w:r w:rsidRPr="00487162">
            <w:t xml:space="preserve"> </w:t>
          </w:r>
          <w:proofErr w:type="spellStart"/>
          <w:r>
            <w:t>Abasria</w:t>
          </w:r>
          <w:proofErr w:type="spellEnd"/>
          <w:r>
            <w:t>/</w:t>
          </w:r>
          <w:proofErr w:type="spellStart"/>
          <w:r>
            <w:t>Abasria</w:t>
          </w:r>
          <w:proofErr w:type="spellEnd"/>
          <w:r>
            <w:t xml:space="preserve"> </w:t>
          </w:r>
          <w:proofErr w:type="spellStart"/>
          <w:r>
            <w:t>KwikPen</w:t>
          </w:r>
          <w:proofErr w:type="spellEnd"/>
          <w:r>
            <w:t xml:space="preserve"> Insulin </w:t>
          </w:r>
          <w:proofErr w:type="spellStart"/>
          <w:r>
            <w:t>Glargine</w:t>
          </w:r>
          <w:proofErr w:type="spellEnd"/>
          <w:r>
            <w:t>, Eli Lilly Australia Pty Ltd</w:t>
          </w:r>
          <w:r w:rsidRPr="00487162">
            <w:t xml:space="preserve"> PM-20</w:t>
          </w:r>
          <w:r>
            <w:t>13</w:t>
          </w:r>
          <w:r w:rsidRPr="00487162">
            <w:t>-</w:t>
          </w:r>
          <w:r>
            <w:t>02802-1-5 Final 20 August 2015</w:t>
          </w:r>
        </w:p>
      </w:tc>
      <w:tc>
        <w:tcPr>
          <w:tcW w:w="1490" w:type="dxa"/>
          <w:tcMar>
            <w:top w:w="142" w:type="dxa"/>
            <w:bottom w:w="0" w:type="dxa"/>
          </w:tcMar>
        </w:tcPr>
        <w:p w:rsidR="00A80256" w:rsidRPr="00487162" w:rsidRDefault="00A80256" w:rsidP="00DB750B">
          <w:pPr>
            <w:pStyle w:val="Footer"/>
            <w:jc w:val="right"/>
          </w:pPr>
          <w:r w:rsidRPr="00487162">
            <w:t xml:space="preserve">Page </w:t>
          </w:r>
          <w:r>
            <w:fldChar w:fldCharType="begin"/>
          </w:r>
          <w:r>
            <w:instrText xml:space="preserve"> PAGE  \* Arabic </w:instrText>
          </w:r>
          <w:r>
            <w:fldChar w:fldCharType="separate"/>
          </w:r>
          <w:r w:rsidR="00405646">
            <w:rPr>
              <w:noProof/>
            </w:rPr>
            <w:t>2</w:t>
          </w:r>
          <w:r>
            <w:fldChar w:fldCharType="end"/>
          </w:r>
          <w:r w:rsidRPr="00487162">
            <w:t xml:space="preserve"> of </w:t>
          </w:r>
          <w:r w:rsidR="00405646">
            <w:fldChar w:fldCharType="begin"/>
          </w:r>
          <w:r w:rsidR="00405646">
            <w:instrText xml:space="preserve"> NUMPAGES  \* Arabic </w:instrText>
          </w:r>
          <w:r w:rsidR="00405646">
            <w:fldChar w:fldCharType="separate"/>
          </w:r>
          <w:r w:rsidR="00405646">
            <w:rPr>
              <w:noProof/>
            </w:rPr>
            <w:t>48</w:t>
          </w:r>
          <w:r w:rsidR="00405646">
            <w:rPr>
              <w:noProof/>
            </w:rPr>
            <w:fldChar w:fldCharType="end"/>
          </w:r>
        </w:p>
      </w:tc>
    </w:tr>
  </w:tbl>
  <w:p w:rsidR="00A80256" w:rsidRDefault="00A8025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80256" w:rsidRPr="00487162" w:rsidTr="00E45619">
      <w:trPr>
        <w:trHeight w:val="269"/>
      </w:trPr>
      <w:tc>
        <w:tcPr>
          <w:tcW w:w="4519" w:type="dxa"/>
          <w:tcBorders>
            <w:top w:val="single" w:sz="4" w:space="0" w:color="auto"/>
          </w:tcBorders>
          <w:tcMar>
            <w:top w:w="142" w:type="dxa"/>
            <w:bottom w:w="0" w:type="dxa"/>
          </w:tcMar>
        </w:tcPr>
        <w:p w:rsidR="00A80256" w:rsidRPr="00487162" w:rsidRDefault="00A80256" w:rsidP="00FE1DEE">
          <w:pPr>
            <w:pStyle w:val="Footer"/>
          </w:pPr>
          <w:r w:rsidRPr="00487162">
            <w:t>Document title, Part #, Section # - Section title</w:t>
          </w:r>
        </w:p>
        <w:p w:rsidR="00A80256" w:rsidRPr="00487162" w:rsidRDefault="00A80256" w:rsidP="00FE1DEE">
          <w:pPr>
            <w:pStyle w:val="Footer"/>
          </w:pPr>
          <w:r w:rsidRPr="00487162">
            <w:t>V1.0 October 2010</w:t>
          </w:r>
        </w:p>
      </w:tc>
      <w:tc>
        <w:tcPr>
          <w:tcW w:w="4342" w:type="dxa"/>
          <w:tcBorders>
            <w:top w:val="single" w:sz="4" w:space="0" w:color="auto"/>
          </w:tcBorders>
          <w:tcMar>
            <w:top w:w="142" w:type="dxa"/>
            <w:bottom w:w="0" w:type="dxa"/>
          </w:tcMar>
        </w:tcPr>
        <w:p w:rsidR="00A80256" w:rsidRPr="00487162" w:rsidRDefault="00A8025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05646">
            <w:fldChar w:fldCharType="begin"/>
          </w:r>
          <w:r w:rsidR="00405646">
            <w:instrText xml:space="preserve"> NUMPAGES  </w:instrText>
          </w:r>
          <w:r w:rsidR="00405646">
            <w:fldChar w:fldCharType="separate"/>
          </w:r>
          <w:r>
            <w:rPr>
              <w:noProof/>
            </w:rPr>
            <w:t>48</w:t>
          </w:r>
          <w:r w:rsidR="00405646">
            <w:rPr>
              <w:noProof/>
            </w:rPr>
            <w:fldChar w:fldCharType="end"/>
          </w:r>
        </w:p>
      </w:tc>
    </w:tr>
  </w:tbl>
  <w:p w:rsidR="00A80256" w:rsidRDefault="00A802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Pr="001C32CD" w:rsidRDefault="00A8025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80256" w:rsidTr="0010601F">
      <w:trPr>
        <w:trHeight w:val="108"/>
      </w:trPr>
      <w:tc>
        <w:tcPr>
          <w:tcW w:w="8875" w:type="dxa"/>
          <w:gridSpan w:val="2"/>
          <w:tcBorders>
            <w:bottom w:val="single" w:sz="4" w:space="0" w:color="auto"/>
          </w:tcBorders>
          <w:tcMar>
            <w:right w:w="284" w:type="dxa"/>
          </w:tcMar>
        </w:tcPr>
        <w:p w:rsidR="00A80256" w:rsidRDefault="00A80256" w:rsidP="006E08B3">
          <w:pPr>
            <w:pStyle w:val="Heading3"/>
          </w:pPr>
          <w:r>
            <w:t>Copyright</w:t>
          </w:r>
        </w:p>
        <w:p w:rsidR="00A80256" w:rsidRDefault="00A80256" w:rsidP="006E08B3">
          <w:r>
            <w:rPr>
              <w:rFonts w:cs="Arial"/>
            </w:rPr>
            <w:t>©</w:t>
          </w:r>
          <w:r>
            <w:t xml:space="preserve"> Commonwealth of Australia [add year]</w:t>
          </w:r>
        </w:p>
        <w:p w:rsidR="00A80256" w:rsidRDefault="00A80256" w:rsidP="006E08B3"/>
        <w:p w:rsidR="00A80256" w:rsidRDefault="00A8025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80256" w:rsidRDefault="00A80256" w:rsidP="006E08B3"/>
        <w:p w:rsidR="00A80256" w:rsidRDefault="00A80256" w:rsidP="006E08B3">
          <w:pPr>
            <w:pStyle w:val="Heading3"/>
          </w:pPr>
          <w:r>
            <w:t>Confidentiality</w:t>
          </w:r>
        </w:p>
        <w:p w:rsidR="00A80256" w:rsidRDefault="00A8025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80256" w:rsidRDefault="00A80256" w:rsidP="006E08B3"/>
        <w:p w:rsidR="00A80256" w:rsidRDefault="00A80256" w:rsidP="006E08B3">
          <w:r>
            <w:t>For submission made by individuals, all personal details, other than your name, will be removed from your submission before it is published on the TGA’s Internet site.</w:t>
          </w:r>
        </w:p>
        <w:p w:rsidR="00A80256" w:rsidRDefault="00A80256" w:rsidP="006E08B3"/>
        <w:p w:rsidR="00A80256" w:rsidRDefault="00A8025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80256" w:rsidTr="0010601F">
      <w:trPr>
        <w:trHeight w:val="417"/>
      </w:trPr>
      <w:tc>
        <w:tcPr>
          <w:tcW w:w="4519" w:type="dxa"/>
          <w:tcBorders>
            <w:top w:val="single" w:sz="4" w:space="0" w:color="auto"/>
          </w:tcBorders>
          <w:tcMar>
            <w:top w:w="142" w:type="dxa"/>
            <w:bottom w:w="0" w:type="dxa"/>
          </w:tcMar>
        </w:tcPr>
        <w:p w:rsidR="00A80256" w:rsidRDefault="00A80256" w:rsidP="006E08B3">
          <w:r>
            <w:t>Document title, Part #, Section # - Section title</w:t>
          </w:r>
        </w:p>
        <w:p w:rsidR="00A80256" w:rsidRDefault="00A80256" w:rsidP="006E08B3">
          <w:r>
            <w:t>V1.0 October 2010</w:t>
          </w:r>
        </w:p>
      </w:tc>
      <w:tc>
        <w:tcPr>
          <w:tcW w:w="4356" w:type="dxa"/>
          <w:tcBorders>
            <w:top w:val="single" w:sz="4" w:space="0" w:color="auto"/>
          </w:tcBorders>
          <w:tcMar>
            <w:top w:w="142" w:type="dxa"/>
            <w:bottom w:w="0" w:type="dxa"/>
          </w:tcMar>
        </w:tcPr>
        <w:p w:rsidR="00A80256" w:rsidRDefault="00A8025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05646">
            <w:fldChar w:fldCharType="begin"/>
          </w:r>
          <w:r w:rsidR="00405646">
            <w:instrText xml:space="preserve"> NUMPAGES  \* Arabic </w:instrText>
          </w:r>
          <w:r w:rsidR="00405646">
            <w:fldChar w:fldCharType="separate"/>
          </w:r>
          <w:r>
            <w:rPr>
              <w:noProof/>
            </w:rPr>
            <w:t>48</w:t>
          </w:r>
          <w:r w:rsidR="00405646">
            <w:rPr>
              <w:noProof/>
            </w:rPr>
            <w:fldChar w:fldCharType="end"/>
          </w:r>
          <w:r>
            <w:t xml:space="preserve"> </w:t>
          </w:r>
        </w:p>
      </w:tc>
    </w:tr>
  </w:tbl>
  <w:p w:rsidR="00A80256" w:rsidRDefault="00A802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256" w:rsidRDefault="00A80256" w:rsidP="00C40A36">
      <w:pPr>
        <w:spacing w:after="0"/>
      </w:pPr>
      <w:r>
        <w:separator/>
      </w:r>
    </w:p>
  </w:footnote>
  <w:footnote w:type="continuationSeparator" w:id="0">
    <w:p w:rsidR="00A80256" w:rsidRDefault="00A80256" w:rsidP="00C40A36">
      <w:pPr>
        <w:spacing w:after="0"/>
      </w:pPr>
      <w:r>
        <w:continuationSeparator/>
      </w:r>
    </w:p>
  </w:footnote>
  <w:footnote w:id="1">
    <w:p w:rsidR="00A80256" w:rsidRPr="00E530B6" w:rsidRDefault="00A80256" w:rsidP="00212EF9">
      <w:pPr>
        <w:pStyle w:val="FootnoteText"/>
      </w:pPr>
      <w:r w:rsidRPr="00E530B6">
        <w:rPr>
          <w:rStyle w:val="FootnoteReference"/>
          <w:rFonts w:asciiTheme="minorHAnsi" w:hAnsiTheme="minorHAnsi"/>
          <w:sz w:val="20"/>
        </w:rPr>
        <w:footnoteRef/>
      </w:r>
      <w:r w:rsidRPr="00E530B6">
        <w:t xml:space="preserve">With a subsequent application, which followed the TGA’s evaluation and approval of this application, the registered names were amended on the </w:t>
      </w:r>
      <w:r>
        <w:t>Australian Register of Therapeutic Goods (</w:t>
      </w:r>
      <w:r w:rsidRPr="00E530B6">
        <w:t>ARTG</w:t>
      </w:r>
      <w:r>
        <w:t>)</w:t>
      </w:r>
      <w:r w:rsidRPr="00E530B6">
        <w:t xml:space="preserve"> to: </w:t>
      </w:r>
    </w:p>
    <w:p w:rsidR="00A80256" w:rsidRPr="001E4031" w:rsidRDefault="00A80256" w:rsidP="00212EF9">
      <w:pPr>
        <w:pStyle w:val="FootnoteText"/>
        <w:numPr>
          <w:ilvl w:val="0"/>
          <w:numId w:val="24"/>
        </w:numPr>
      </w:pPr>
      <w:proofErr w:type="spellStart"/>
      <w:r w:rsidRPr="001E4031">
        <w:t>Basaglar</w:t>
      </w:r>
      <w:proofErr w:type="spellEnd"/>
      <w:r w:rsidRPr="001E4031">
        <w:t xml:space="preserve"> </w:t>
      </w:r>
      <w:proofErr w:type="spellStart"/>
      <w:r w:rsidRPr="001E4031">
        <w:t>KwikPen</w:t>
      </w:r>
      <w:proofErr w:type="spellEnd"/>
      <w:r w:rsidRPr="001E4031">
        <w:t xml:space="preserve"> insulin </w:t>
      </w:r>
      <w:proofErr w:type="spellStart"/>
      <w:r w:rsidRPr="001E4031">
        <w:t>glargine</w:t>
      </w:r>
      <w:proofErr w:type="spellEnd"/>
      <w:r w:rsidRPr="001E4031">
        <w:t xml:space="preserve"> (</w:t>
      </w:r>
      <w:proofErr w:type="spellStart"/>
      <w:r w:rsidRPr="001E4031">
        <w:t>rbe</w:t>
      </w:r>
      <w:proofErr w:type="spellEnd"/>
      <w:r w:rsidRPr="001E4031">
        <w:t>) 100 IU/mL solution for injection cartridge ARTG 2155552</w:t>
      </w:r>
    </w:p>
    <w:p w:rsidR="00A80256" w:rsidRPr="001E4031" w:rsidRDefault="00A80256" w:rsidP="00212EF9">
      <w:pPr>
        <w:pStyle w:val="FootnoteText"/>
        <w:numPr>
          <w:ilvl w:val="0"/>
          <w:numId w:val="24"/>
        </w:numPr>
      </w:pPr>
      <w:proofErr w:type="spellStart"/>
      <w:r w:rsidRPr="001E4031">
        <w:t>Basaglar</w:t>
      </w:r>
      <w:proofErr w:type="spellEnd"/>
      <w:r w:rsidRPr="001E4031">
        <w:t xml:space="preserve"> insulin </w:t>
      </w:r>
      <w:proofErr w:type="spellStart"/>
      <w:r w:rsidRPr="001E4031">
        <w:t>glargine</w:t>
      </w:r>
      <w:proofErr w:type="spellEnd"/>
      <w:r w:rsidRPr="001E4031">
        <w:t xml:space="preserve"> (</w:t>
      </w:r>
      <w:proofErr w:type="spellStart"/>
      <w:proofErr w:type="gramStart"/>
      <w:r w:rsidRPr="001E4031">
        <w:t>rbe</w:t>
      </w:r>
      <w:proofErr w:type="spellEnd"/>
      <w:proofErr w:type="gramEnd"/>
      <w:r w:rsidRPr="001E4031">
        <w:t>) 100 IU/mL solution for injection cartridge</w:t>
      </w:r>
      <w:r w:rsidRPr="004A40D8">
        <w:t xml:space="preserve"> </w:t>
      </w:r>
      <w:r w:rsidRPr="001E4031">
        <w:t>ARTG 215551.</w:t>
      </w:r>
    </w:p>
  </w:footnote>
  <w:footnote w:id="2">
    <w:p w:rsidR="00A80256" w:rsidRPr="00186D16" w:rsidRDefault="00A80256" w:rsidP="00156B3F">
      <w:pPr>
        <w:pStyle w:val="FootnoteText"/>
      </w:pPr>
      <w:r w:rsidRPr="00186D16">
        <w:rPr>
          <w:rStyle w:val="FootnoteReference"/>
          <w:sz w:val="20"/>
        </w:rPr>
        <w:footnoteRef/>
      </w:r>
      <w:r w:rsidRPr="00186D16">
        <w:t xml:space="preserve">With a subsequent application, which followed the TGA’s evaluation and approval of this application, the registered names were amended on the Australian Register </w:t>
      </w:r>
      <w:r>
        <w:t>of Therapeutic Goods (ARTG) to:</w:t>
      </w:r>
    </w:p>
    <w:p w:rsidR="00A80256" w:rsidRPr="00186D16" w:rsidRDefault="00A80256" w:rsidP="00156B3F">
      <w:pPr>
        <w:pStyle w:val="FootnoteText"/>
        <w:numPr>
          <w:ilvl w:val="0"/>
          <w:numId w:val="24"/>
        </w:numPr>
      </w:pPr>
      <w:proofErr w:type="spellStart"/>
      <w:r w:rsidRPr="00186D16">
        <w:t>Basaglar</w:t>
      </w:r>
      <w:proofErr w:type="spellEnd"/>
      <w:r w:rsidRPr="00186D16">
        <w:t xml:space="preserve"> </w:t>
      </w:r>
      <w:proofErr w:type="spellStart"/>
      <w:r w:rsidRPr="00186D16">
        <w:t>KwikPen</w:t>
      </w:r>
      <w:proofErr w:type="spellEnd"/>
      <w:r w:rsidRPr="00186D16">
        <w:t xml:space="preserve"> insulin </w:t>
      </w:r>
      <w:proofErr w:type="spellStart"/>
      <w:r w:rsidRPr="00186D16">
        <w:t>glargine</w:t>
      </w:r>
      <w:proofErr w:type="spellEnd"/>
      <w:r w:rsidRPr="00186D16">
        <w:t xml:space="preserve"> (</w:t>
      </w:r>
      <w:proofErr w:type="spellStart"/>
      <w:r w:rsidRPr="00186D16">
        <w:t>rbe</w:t>
      </w:r>
      <w:proofErr w:type="spellEnd"/>
      <w:r w:rsidRPr="00186D16">
        <w:t>) 100 IU/mL solution for injec</w:t>
      </w:r>
      <w:r>
        <w:t>tion ARTG 2155552 cartridge and</w:t>
      </w:r>
    </w:p>
    <w:p w:rsidR="00A80256" w:rsidRPr="00186D16" w:rsidRDefault="00A80256" w:rsidP="00156B3F">
      <w:pPr>
        <w:pStyle w:val="FootnoteText"/>
        <w:numPr>
          <w:ilvl w:val="0"/>
          <w:numId w:val="24"/>
        </w:numPr>
      </w:pPr>
      <w:proofErr w:type="spellStart"/>
      <w:r w:rsidRPr="00186D16">
        <w:t>Basaglar</w:t>
      </w:r>
      <w:proofErr w:type="spellEnd"/>
      <w:r w:rsidRPr="00186D16">
        <w:t xml:space="preserve"> insulin </w:t>
      </w:r>
      <w:proofErr w:type="spellStart"/>
      <w:r w:rsidRPr="00186D16">
        <w:t>glargine</w:t>
      </w:r>
      <w:proofErr w:type="spellEnd"/>
      <w:r w:rsidRPr="00186D16">
        <w:t xml:space="preserve"> (</w:t>
      </w:r>
      <w:proofErr w:type="spellStart"/>
      <w:proofErr w:type="gramStart"/>
      <w:r w:rsidRPr="00186D16">
        <w:t>rbe</w:t>
      </w:r>
      <w:proofErr w:type="spellEnd"/>
      <w:proofErr w:type="gramEnd"/>
      <w:r w:rsidRPr="00186D16">
        <w:t>) 100 IU/mL solution for injection cartridge ARTG 215551.</w:t>
      </w:r>
    </w:p>
  </w:footnote>
  <w:footnote w:id="3">
    <w:p w:rsidR="00A80256" w:rsidRDefault="00A80256">
      <w:pPr>
        <w:pStyle w:val="FootnoteText"/>
      </w:pPr>
      <w:r>
        <w:rPr>
          <w:rStyle w:val="FootnoteReference"/>
        </w:rPr>
        <w:footnoteRef/>
      </w:r>
      <w:r>
        <w:t xml:space="preserve"> </w:t>
      </w:r>
      <w:r w:rsidRPr="00156B3F">
        <w:t>EMEA/CHMP/BMWP/32775/2005_Rev.2 Draft guideline on non-clinical and clinical development of similar biological medicinal products containing recombinant human insulin and insulin analogues</w:t>
      </w:r>
    </w:p>
  </w:footnote>
  <w:footnote w:id="4">
    <w:p w:rsidR="00A80256" w:rsidRPr="00156B3F" w:rsidRDefault="00A80256" w:rsidP="00156B3F">
      <w:pPr>
        <w:pStyle w:val="FootnoteText"/>
      </w:pPr>
      <w:r>
        <w:rPr>
          <w:rStyle w:val="FootnoteReference"/>
        </w:rPr>
        <w:footnoteRef/>
      </w:r>
      <w:proofErr w:type="gramStart"/>
      <w:r w:rsidRPr="00156B3F">
        <w:t>EMEA/CHMP/BMWP/32775/2005 Rev 1.</w:t>
      </w:r>
      <w:proofErr w:type="gramEnd"/>
      <w:r w:rsidRPr="00156B3F">
        <w:t xml:space="preserve"> Guideline on non-clinical and clinical development of similar biological medicinal products containing recombinant human insulin and insulin analogues</w:t>
      </w:r>
    </w:p>
  </w:footnote>
  <w:footnote w:id="5">
    <w:p w:rsidR="00A80256" w:rsidRDefault="00A80256" w:rsidP="00156B3F">
      <w:pPr>
        <w:pStyle w:val="FootnoteText"/>
      </w:pPr>
      <w:r w:rsidRPr="00156B3F">
        <w:rPr>
          <w:rStyle w:val="FootnoteReference"/>
        </w:rPr>
        <w:footnoteRef/>
      </w:r>
      <w:proofErr w:type="gramStart"/>
      <w:r w:rsidRPr="00156B3F">
        <w:t>European Medicines Agency.</w:t>
      </w:r>
      <w:proofErr w:type="gramEnd"/>
      <w:r w:rsidRPr="00156B3F">
        <w:t xml:space="preserve"> Press release: Marvel Life Sciences Ltd withdraws its marketing authorisation applications for Insulin Human Rapid Marvel, Insulin Human Long Marvel and Insulin Human 30/70 Mix Marvel. 16 January 2008. </w:t>
      </w:r>
      <w:proofErr w:type="gramStart"/>
      <w:r w:rsidRPr="00156B3F">
        <w:t>EMEA/2435/2008.</w:t>
      </w:r>
      <w:proofErr w:type="gramEnd"/>
      <w:r w:rsidRPr="00156B3F">
        <w:t xml:space="preserve"> London: EMA, 2008</w:t>
      </w:r>
    </w:p>
  </w:footnote>
  <w:footnote w:id="6">
    <w:p w:rsidR="00A80256" w:rsidRPr="002F3857" w:rsidRDefault="00A80256">
      <w:pPr>
        <w:pStyle w:val="FootnoteText"/>
      </w:pPr>
      <w:r>
        <w:rPr>
          <w:rStyle w:val="FootnoteReference"/>
        </w:rPr>
        <w:footnoteRef/>
      </w:r>
      <w:r>
        <w:t xml:space="preserve"> </w:t>
      </w:r>
      <w:r w:rsidRPr="00871242">
        <w:t>Annex to Guideline on Similar Biological Medicinal Products Containing Biotechnology-Derived Proteins as Active Substance: Non-clinical and Clinical Issues. Guidance on Similar Medicinal Products Containing Recombinant Human Insulin EMEA/CHMP/BMWP/32775/2005</w:t>
      </w:r>
    </w:p>
  </w:footnote>
  <w:footnote w:id="7">
    <w:p w:rsidR="00A80256" w:rsidRPr="00871242" w:rsidRDefault="00A80256" w:rsidP="00871242">
      <w:pPr>
        <w:pStyle w:val="FootnoteText"/>
      </w:pPr>
      <w:r w:rsidRPr="00871242">
        <w:rPr>
          <w:rStyle w:val="FootnoteReference"/>
          <w:szCs w:val="18"/>
        </w:rPr>
        <w:footnoteRef/>
      </w:r>
      <w:proofErr w:type="spellStart"/>
      <w:proofErr w:type="gramStart"/>
      <w:r w:rsidRPr="00871242">
        <w:t>Yasaki</w:t>
      </w:r>
      <w:proofErr w:type="spellEnd"/>
      <w:r w:rsidRPr="00871242">
        <w:t xml:space="preserve"> S. and </w:t>
      </w:r>
      <w:proofErr w:type="spellStart"/>
      <w:r w:rsidRPr="00871242">
        <w:t>Dyck</w:t>
      </w:r>
      <w:proofErr w:type="spellEnd"/>
      <w:r w:rsidRPr="00871242">
        <w:t xml:space="preserve"> PJ.</w:t>
      </w:r>
      <w:proofErr w:type="gramEnd"/>
      <w:r w:rsidRPr="00871242">
        <w:t xml:space="preserve"> (1990) Duration and severity of </w:t>
      </w:r>
      <w:proofErr w:type="spellStart"/>
      <w:r w:rsidRPr="00871242">
        <w:t>hypoglycemia</w:t>
      </w:r>
      <w:proofErr w:type="spellEnd"/>
      <w:r w:rsidRPr="00871242">
        <w:t xml:space="preserve"> needed to induce neuropathy. </w:t>
      </w:r>
      <w:r w:rsidRPr="00871242">
        <w:rPr>
          <w:i/>
        </w:rPr>
        <w:t>Brain Res.</w:t>
      </w:r>
      <w:r w:rsidRPr="00871242">
        <w:t xml:space="preserve"> 531:</w:t>
      </w:r>
      <w:r w:rsidRPr="00871242">
        <w:rPr>
          <w:w w:val="50"/>
        </w:rPr>
        <w:t xml:space="preserve"> </w:t>
      </w:r>
      <w:r w:rsidRPr="00871242">
        <w:t>8–15.</w:t>
      </w:r>
    </w:p>
    <w:p w:rsidR="00A80256" w:rsidRPr="00871242" w:rsidRDefault="00A80256" w:rsidP="00871242">
      <w:pPr>
        <w:pStyle w:val="FootnoteText"/>
      </w:pPr>
      <w:proofErr w:type="gramStart"/>
      <w:r w:rsidRPr="00871242">
        <w:t xml:space="preserve">Sugimoto K., Baba M., </w:t>
      </w:r>
      <w:proofErr w:type="spellStart"/>
      <w:r w:rsidRPr="00871242">
        <w:t>Suda</w:t>
      </w:r>
      <w:proofErr w:type="spellEnd"/>
      <w:r w:rsidRPr="00871242">
        <w:t xml:space="preserve"> T., </w:t>
      </w:r>
      <w:proofErr w:type="spellStart"/>
      <w:r w:rsidRPr="00871242">
        <w:t>Yasujima</w:t>
      </w:r>
      <w:proofErr w:type="spellEnd"/>
      <w:r w:rsidRPr="00871242">
        <w:t xml:space="preserve"> M. and </w:t>
      </w:r>
      <w:proofErr w:type="spellStart"/>
      <w:r w:rsidRPr="00871242">
        <w:t>Yagihashi</w:t>
      </w:r>
      <w:proofErr w:type="spellEnd"/>
      <w:r w:rsidRPr="00871242">
        <w:t xml:space="preserve"> S. (2003) Peripheral neuropathy and </w:t>
      </w:r>
      <w:proofErr w:type="spellStart"/>
      <w:r w:rsidRPr="00871242">
        <w:t>microangiopathy</w:t>
      </w:r>
      <w:proofErr w:type="spellEnd"/>
      <w:r w:rsidRPr="00871242">
        <w:t xml:space="preserve"> in rats with </w:t>
      </w:r>
      <w:proofErr w:type="spellStart"/>
      <w:r w:rsidRPr="00871242">
        <w:t>insulinoma</w:t>
      </w:r>
      <w:proofErr w:type="spellEnd"/>
      <w:r w:rsidRPr="00871242">
        <w:t xml:space="preserve">: association with chronic </w:t>
      </w:r>
      <w:proofErr w:type="spellStart"/>
      <w:r w:rsidRPr="00871242">
        <w:t>hyperinsulinemia</w:t>
      </w:r>
      <w:proofErr w:type="spellEnd"/>
      <w:r w:rsidRPr="00871242">
        <w:t>.</w:t>
      </w:r>
      <w:proofErr w:type="gramEnd"/>
      <w:r w:rsidRPr="00871242">
        <w:t xml:space="preserve"> </w:t>
      </w:r>
      <w:proofErr w:type="gramStart"/>
      <w:r w:rsidRPr="00871242">
        <w:rPr>
          <w:i/>
        </w:rPr>
        <w:t xml:space="preserve">Diabetes </w:t>
      </w:r>
      <w:proofErr w:type="spellStart"/>
      <w:r w:rsidRPr="00871242">
        <w:rPr>
          <w:i/>
        </w:rPr>
        <w:t>Metab</w:t>
      </w:r>
      <w:proofErr w:type="spellEnd"/>
      <w:r w:rsidRPr="00871242">
        <w:rPr>
          <w:i/>
        </w:rPr>
        <w:t>.</w:t>
      </w:r>
      <w:proofErr w:type="gramEnd"/>
      <w:r w:rsidRPr="00871242">
        <w:rPr>
          <w:i/>
        </w:rPr>
        <w:t xml:space="preserve"> </w:t>
      </w:r>
      <w:proofErr w:type="gramStart"/>
      <w:r w:rsidRPr="00871242">
        <w:rPr>
          <w:i/>
        </w:rPr>
        <w:t>Res. Rev.</w:t>
      </w:r>
      <w:r w:rsidRPr="00871242">
        <w:t xml:space="preserve"> 19:</w:t>
      </w:r>
      <w:r w:rsidRPr="00871242">
        <w:rPr>
          <w:w w:val="50"/>
        </w:rPr>
        <w:t xml:space="preserve"> </w:t>
      </w:r>
      <w:r w:rsidRPr="00871242">
        <w:t>392–400.</w:t>
      </w:r>
      <w:proofErr w:type="gramEnd"/>
    </w:p>
    <w:p w:rsidR="00A80256" w:rsidRPr="00871242" w:rsidRDefault="00A80256" w:rsidP="00871242">
      <w:pPr>
        <w:pStyle w:val="FootnoteText"/>
      </w:pPr>
      <w:proofErr w:type="spellStart"/>
      <w:r w:rsidRPr="00871242">
        <w:t>Géloën</w:t>
      </w:r>
      <w:proofErr w:type="spellEnd"/>
      <w:r w:rsidRPr="00871242">
        <w:t xml:space="preserve"> A., Collet A.J., </w:t>
      </w:r>
      <w:proofErr w:type="spellStart"/>
      <w:r w:rsidRPr="00871242">
        <w:t>Guay</w:t>
      </w:r>
      <w:proofErr w:type="spellEnd"/>
      <w:r w:rsidRPr="00871242">
        <w:t xml:space="preserve"> G. and </w:t>
      </w:r>
      <w:proofErr w:type="spellStart"/>
      <w:r w:rsidRPr="00871242">
        <w:t>Bukowiecki</w:t>
      </w:r>
      <w:proofErr w:type="spellEnd"/>
      <w:r w:rsidRPr="00871242">
        <w:t xml:space="preserve"> L.J. (1989) Insulin stimulates in vivo cell proliferation in white adipose tissue. </w:t>
      </w:r>
      <w:r w:rsidRPr="00871242">
        <w:rPr>
          <w:i/>
        </w:rPr>
        <w:t>Am. J. Physiol.</w:t>
      </w:r>
      <w:r w:rsidRPr="00871242">
        <w:t xml:space="preserve"> 256:</w:t>
      </w:r>
      <w:r w:rsidRPr="00871242">
        <w:rPr>
          <w:w w:val="50"/>
        </w:rPr>
        <w:t xml:space="preserve"> </w:t>
      </w:r>
      <w:r w:rsidRPr="00871242">
        <w:t>C190–C196.</w:t>
      </w:r>
    </w:p>
    <w:p w:rsidR="00A80256" w:rsidRPr="00871242" w:rsidRDefault="00A80256" w:rsidP="00871242">
      <w:pPr>
        <w:pStyle w:val="FootnoteText"/>
      </w:pPr>
      <w:r w:rsidRPr="00871242">
        <w:t xml:space="preserve">Fujikura J., Fujimoto M., Yasue S., Noguchi M., </w:t>
      </w:r>
      <w:proofErr w:type="spellStart"/>
      <w:r w:rsidRPr="00871242">
        <w:t>Masuzaki</w:t>
      </w:r>
      <w:proofErr w:type="spellEnd"/>
      <w:r w:rsidRPr="00871242">
        <w:t xml:space="preserve"> H., </w:t>
      </w:r>
      <w:proofErr w:type="spellStart"/>
      <w:r w:rsidRPr="00871242">
        <w:t>Hosoda</w:t>
      </w:r>
      <w:proofErr w:type="spellEnd"/>
      <w:r w:rsidRPr="00871242">
        <w:t xml:space="preserve"> K., Tachibana T., Sugihara H. and </w:t>
      </w:r>
      <w:proofErr w:type="spellStart"/>
      <w:r w:rsidRPr="00871242">
        <w:t>Nakao</w:t>
      </w:r>
      <w:proofErr w:type="spellEnd"/>
      <w:r w:rsidRPr="00871242">
        <w:t xml:space="preserve"> K. (2005) Insulin-induced </w:t>
      </w:r>
      <w:proofErr w:type="spellStart"/>
      <w:r w:rsidRPr="00871242">
        <w:t>lipohypertrophy</w:t>
      </w:r>
      <w:proofErr w:type="spellEnd"/>
      <w:r w:rsidRPr="00871242">
        <w:t xml:space="preserve">: report of a case with histopathology. </w:t>
      </w:r>
      <w:proofErr w:type="spellStart"/>
      <w:proofErr w:type="gramStart"/>
      <w:r w:rsidRPr="00871242">
        <w:rPr>
          <w:i/>
        </w:rPr>
        <w:t>Endocr</w:t>
      </w:r>
      <w:proofErr w:type="spellEnd"/>
      <w:r w:rsidRPr="00871242">
        <w:rPr>
          <w:i/>
        </w:rPr>
        <w:t>.</w:t>
      </w:r>
      <w:proofErr w:type="gramEnd"/>
      <w:r w:rsidRPr="00871242">
        <w:rPr>
          <w:i/>
        </w:rPr>
        <w:t xml:space="preserve"> J.</w:t>
      </w:r>
      <w:r w:rsidRPr="00871242">
        <w:t xml:space="preserve"> 52:</w:t>
      </w:r>
      <w:r w:rsidRPr="00871242">
        <w:rPr>
          <w:w w:val="50"/>
        </w:rPr>
        <w:t xml:space="preserve"> </w:t>
      </w:r>
      <w:r w:rsidRPr="00871242">
        <w:t>623–628.</w:t>
      </w:r>
    </w:p>
    <w:p w:rsidR="00A80256" w:rsidRPr="00871242" w:rsidRDefault="00A80256" w:rsidP="00871242">
      <w:pPr>
        <w:pStyle w:val="FootnoteText"/>
      </w:pPr>
      <w:r w:rsidRPr="00871242">
        <w:t xml:space="preserve">Blume N., </w:t>
      </w:r>
      <w:proofErr w:type="spellStart"/>
      <w:r w:rsidRPr="00871242">
        <w:t>Skouv</w:t>
      </w:r>
      <w:proofErr w:type="spellEnd"/>
      <w:r w:rsidRPr="00871242">
        <w:t xml:space="preserve"> J., Larsson L.I., Holst J.J. and Madsen O.D. (1995) </w:t>
      </w:r>
      <w:proofErr w:type="gramStart"/>
      <w:r w:rsidRPr="00871242">
        <w:t>Potent</w:t>
      </w:r>
      <w:proofErr w:type="gramEnd"/>
      <w:r w:rsidRPr="00871242">
        <w:t xml:space="preserve"> inhibitory effects of transplantable rat </w:t>
      </w:r>
      <w:proofErr w:type="spellStart"/>
      <w:r w:rsidRPr="00871242">
        <w:t>glucagonomas</w:t>
      </w:r>
      <w:proofErr w:type="spellEnd"/>
      <w:r w:rsidRPr="00871242">
        <w:t xml:space="preserve"> and </w:t>
      </w:r>
      <w:proofErr w:type="spellStart"/>
      <w:r w:rsidRPr="00871242">
        <w:t>insulinomas</w:t>
      </w:r>
      <w:proofErr w:type="spellEnd"/>
      <w:r w:rsidRPr="00871242">
        <w:t xml:space="preserve"> on the respective endogenous islet cells are associated with pancreatic apoptosis. </w:t>
      </w:r>
      <w:r w:rsidRPr="00871242">
        <w:rPr>
          <w:i/>
        </w:rPr>
        <w:t xml:space="preserve">J. </w:t>
      </w:r>
      <w:proofErr w:type="spellStart"/>
      <w:r w:rsidRPr="00871242">
        <w:rPr>
          <w:i/>
        </w:rPr>
        <w:t>Clin</w:t>
      </w:r>
      <w:proofErr w:type="spellEnd"/>
      <w:r w:rsidRPr="00871242">
        <w:rPr>
          <w:i/>
        </w:rPr>
        <w:t>. Invest.</w:t>
      </w:r>
      <w:r w:rsidRPr="00871242">
        <w:t xml:space="preserve"> 96:</w:t>
      </w:r>
      <w:r w:rsidRPr="00871242">
        <w:rPr>
          <w:w w:val="50"/>
        </w:rPr>
        <w:t xml:space="preserve"> </w:t>
      </w:r>
      <w:r w:rsidRPr="00871242">
        <w:t>2227–2235.</w:t>
      </w:r>
    </w:p>
    <w:p w:rsidR="00A80256" w:rsidRPr="00871242" w:rsidRDefault="00A80256" w:rsidP="00871242">
      <w:pPr>
        <w:pStyle w:val="FootnoteText"/>
      </w:pPr>
      <w:proofErr w:type="spellStart"/>
      <w:r w:rsidRPr="00871242">
        <w:t>Koranyi</w:t>
      </w:r>
      <w:proofErr w:type="spellEnd"/>
      <w:r w:rsidRPr="00871242">
        <w:t xml:space="preserve"> L., James D.E., </w:t>
      </w:r>
      <w:proofErr w:type="spellStart"/>
      <w:r w:rsidRPr="00871242">
        <w:t>Kraegen</w:t>
      </w:r>
      <w:proofErr w:type="spellEnd"/>
      <w:r w:rsidRPr="00871242">
        <w:t xml:space="preserve"> E.W. and </w:t>
      </w:r>
      <w:proofErr w:type="spellStart"/>
      <w:r w:rsidRPr="00871242">
        <w:t>Permutt</w:t>
      </w:r>
      <w:proofErr w:type="spellEnd"/>
      <w:r w:rsidRPr="00871242">
        <w:t xml:space="preserve"> M.A. (1992) Feedback inhibition of insulin gene expression by insulin. </w:t>
      </w:r>
      <w:r w:rsidRPr="00871242">
        <w:rPr>
          <w:i/>
        </w:rPr>
        <w:t xml:space="preserve">J. </w:t>
      </w:r>
      <w:proofErr w:type="spellStart"/>
      <w:r w:rsidRPr="00871242">
        <w:rPr>
          <w:i/>
        </w:rPr>
        <w:t>Clin</w:t>
      </w:r>
      <w:proofErr w:type="spellEnd"/>
      <w:r w:rsidRPr="00871242">
        <w:rPr>
          <w:i/>
        </w:rPr>
        <w:t>. Invest.</w:t>
      </w:r>
      <w:r w:rsidRPr="00871242">
        <w:t xml:space="preserve"> 89:</w:t>
      </w:r>
      <w:r w:rsidRPr="00871242">
        <w:rPr>
          <w:w w:val="50"/>
        </w:rPr>
        <w:t xml:space="preserve"> </w:t>
      </w:r>
      <w:r w:rsidRPr="00871242">
        <w:t>432–436</w:t>
      </w:r>
    </w:p>
  </w:footnote>
  <w:footnote w:id="8">
    <w:p w:rsidR="00A80256" w:rsidRPr="004858F5" w:rsidRDefault="00A80256" w:rsidP="00871242">
      <w:pPr>
        <w:pStyle w:val="FootnoteText"/>
        <w:rPr>
          <w:rFonts w:asciiTheme="minorHAnsi" w:hAnsiTheme="minorHAnsi"/>
          <w:b/>
          <w:lang w:val="en"/>
        </w:rPr>
      </w:pPr>
      <w:r w:rsidRPr="00871242">
        <w:rPr>
          <w:rStyle w:val="FootnoteReference"/>
          <w:rFonts w:asciiTheme="minorHAnsi" w:hAnsiTheme="minorHAnsi"/>
          <w:szCs w:val="18"/>
        </w:rPr>
        <w:footnoteRef/>
      </w:r>
      <w:r w:rsidRPr="00871242">
        <w:rPr>
          <w:rFonts w:asciiTheme="minorHAnsi" w:hAnsiTheme="minorHAnsi"/>
          <w:lang w:val="en"/>
        </w:rPr>
        <w:t>Category B3: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9">
    <w:p w:rsidR="00A80256" w:rsidRPr="00EF096E" w:rsidRDefault="00A80256" w:rsidP="00EF096E">
      <w:pPr>
        <w:pStyle w:val="EndnoteText"/>
        <w:rPr>
          <w:lang w:val="en-US"/>
        </w:rPr>
      </w:pPr>
      <w:r>
        <w:rPr>
          <w:rStyle w:val="FootnoteReference"/>
        </w:rPr>
        <w:footnoteRef/>
      </w:r>
      <w:proofErr w:type="spellStart"/>
      <w:r w:rsidRPr="00B83F7D">
        <w:rPr>
          <w:rStyle w:val="FootnoteTextChar"/>
        </w:rPr>
        <w:t>Hemkens</w:t>
      </w:r>
      <w:proofErr w:type="spellEnd"/>
      <w:r w:rsidRPr="00B83F7D">
        <w:rPr>
          <w:rStyle w:val="FootnoteTextChar"/>
        </w:rPr>
        <w:t xml:space="preserve"> LG, </w:t>
      </w:r>
      <w:proofErr w:type="spellStart"/>
      <w:r w:rsidRPr="00B83F7D">
        <w:rPr>
          <w:rStyle w:val="FootnoteTextChar"/>
        </w:rPr>
        <w:t>Grouven</w:t>
      </w:r>
      <w:proofErr w:type="spellEnd"/>
      <w:r w:rsidRPr="00B83F7D">
        <w:rPr>
          <w:rStyle w:val="FootnoteTextChar"/>
        </w:rPr>
        <w:t xml:space="preserve"> U, Bender R, </w:t>
      </w:r>
      <w:proofErr w:type="spellStart"/>
      <w:r w:rsidRPr="00B83F7D">
        <w:rPr>
          <w:rStyle w:val="FootnoteTextChar"/>
        </w:rPr>
        <w:t>Günster</w:t>
      </w:r>
      <w:proofErr w:type="spellEnd"/>
      <w:r w:rsidRPr="00B83F7D">
        <w:rPr>
          <w:rStyle w:val="FootnoteTextChar"/>
        </w:rPr>
        <w:t xml:space="preserve"> C, </w:t>
      </w:r>
      <w:proofErr w:type="spellStart"/>
      <w:r w:rsidRPr="00B83F7D">
        <w:rPr>
          <w:rStyle w:val="FootnoteTextChar"/>
        </w:rPr>
        <w:t>Gutschmidt</w:t>
      </w:r>
      <w:proofErr w:type="spellEnd"/>
      <w:r w:rsidRPr="00B83F7D">
        <w:rPr>
          <w:rStyle w:val="FootnoteTextChar"/>
        </w:rPr>
        <w:t xml:space="preserve"> S, </w:t>
      </w:r>
      <w:proofErr w:type="spellStart"/>
      <w:r w:rsidRPr="00B83F7D">
        <w:rPr>
          <w:rStyle w:val="FootnoteTextChar"/>
        </w:rPr>
        <w:t>Selke</w:t>
      </w:r>
      <w:proofErr w:type="spellEnd"/>
      <w:r w:rsidRPr="00B83F7D">
        <w:rPr>
          <w:rStyle w:val="FootnoteTextChar"/>
        </w:rPr>
        <w:t xml:space="preserve"> GW, </w:t>
      </w:r>
      <w:proofErr w:type="spellStart"/>
      <w:r w:rsidRPr="00B83F7D">
        <w:rPr>
          <w:rStyle w:val="FootnoteTextChar"/>
        </w:rPr>
        <w:t>Sawicki</w:t>
      </w:r>
      <w:proofErr w:type="spellEnd"/>
      <w:r w:rsidRPr="00B83F7D">
        <w:rPr>
          <w:rStyle w:val="FootnoteTextChar"/>
        </w:rPr>
        <w:t xml:space="preserve"> PT. Risk of malignancies in patients with diabetes treated with human insulin or insulin analogues: a cohort study. </w:t>
      </w:r>
      <w:proofErr w:type="spellStart"/>
      <w:proofErr w:type="gramStart"/>
      <w:r w:rsidRPr="00B83F7D">
        <w:rPr>
          <w:rStyle w:val="FootnoteTextChar"/>
        </w:rPr>
        <w:t>Diabetologia</w:t>
      </w:r>
      <w:proofErr w:type="spellEnd"/>
      <w:r w:rsidRPr="00B83F7D">
        <w:rPr>
          <w:rStyle w:val="FootnoteTextChar"/>
        </w:rPr>
        <w:t xml:space="preserve"> 009; 52:1732–1744.</w:t>
      </w:r>
      <w:proofErr w:type="gramEnd"/>
    </w:p>
  </w:footnote>
  <w:footnote w:id="10">
    <w:p w:rsidR="00A80256" w:rsidRPr="00EF6E06" w:rsidRDefault="00A80256" w:rsidP="00EF6E06">
      <w:pPr>
        <w:autoSpaceDE w:val="0"/>
        <w:autoSpaceDN w:val="0"/>
        <w:adjustRightInd w:val="0"/>
        <w:spacing w:before="0" w:after="0" w:line="240" w:lineRule="auto"/>
        <w:rPr>
          <w:sz w:val="18"/>
          <w:szCs w:val="18"/>
        </w:rPr>
      </w:pPr>
      <w:r>
        <w:rPr>
          <w:rStyle w:val="FootnoteReference"/>
        </w:rPr>
        <w:footnoteRef/>
      </w:r>
      <w:r>
        <w:t xml:space="preserve"> </w:t>
      </w:r>
      <w:proofErr w:type="spellStart"/>
      <w:r w:rsidRPr="00EF6E06">
        <w:rPr>
          <w:sz w:val="18"/>
          <w:szCs w:val="18"/>
        </w:rPr>
        <w:t>Schober</w:t>
      </w:r>
      <w:proofErr w:type="spellEnd"/>
      <w:r w:rsidRPr="00EF6E06">
        <w:rPr>
          <w:sz w:val="18"/>
          <w:szCs w:val="18"/>
        </w:rPr>
        <w:t xml:space="preserve">, E, </w:t>
      </w:r>
      <w:proofErr w:type="spellStart"/>
      <w:r w:rsidRPr="00EF6E06">
        <w:rPr>
          <w:sz w:val="18"/>
          <w:szCs w:val="18"/>
        </w:rPr>
        <w:t>Schoenle</w:t>
      </w:r>
      <w:proofErr w:type="spellEnd"/>
      <w:r w:rsidRPr="00EF6E06">
        <w:rPr>
          <w:sz w:val="18"/>
          <w:szCs w:val="18"/>
        </w:rPr>
        <w:t xml:space="preserve"> E, Van </w:t>
      </w:r>
      <w:proofErr w:type="spellStart"/>
      <w:r w:rsidRPr="00EF6E06">
        <w:rPr>
          <w:sz w:val="18"/>
          <w:szCs w:val="18"/>
        </w:rPr>
        <w:t>Dyk</w:t>
      </w:r>
      <w:proofErr w:type="spellEnd"/>
      <w:r w:rsidRPr="00EF6E06">
        <w:rPr>
          <w:sz w:val="18"/>
          <w:szCs w:val="18"/>
        </w:rPr>
        <w:t xml:space="preserve"> J and Wernicke-</w:t>
      </w:r>
      <w:proofErr w:type="spellStart"/>
      <w:r w:rsidRPr="00EF6E06">
        <w:rPr>
          <w:sz w:val="18"/>
          <w:szCs w:val="18"/>
        </w:rPr>
        <w:t>Panten</w:t>
      </w:r>
      <w:proofErr w:type="spellEnd"/>
      <w:r w:rsidRPr="00EF6E06">
        <w:rPr>
          <w:sz w:val="18"/>
          <w:szCs w:val="18"/>
        </w:rPr>
        <w:t xml:space="preserve"> K, Comparative Trial Between Insulin </w:t>
      </w:r>
      <w:proofErr w:type="spellStart"/>
      <w:r w:rsidRPr="00EF6E06">
        <w:rPr>
          <w:sz w:val="18"/>
          <w:szCs w:val="18"/>
        </w:rPr>
        <w:t>Glargine</w:t>
      </w:r>
      <w:proofErr w:type="spellEnd"/>
      <w:r w:rsidRPr="00EF6E06">
        <w:rPr>
          <w:sz w:val="18"/>
          <w:szCs w:val="18"/>
        </w:rPr>
        <w:t xml:space="preserve"> and NPH Insulin in Children and Adolescents With Type </w:t>
      </w:r>
      <w:proofErr w:type="gramStart"/>
      <w:r w:rsidRPr="00EF6E06">
        <w:rPr>
          <w:sz w:val="18"/>
          <w:szCs w:val="18"/>
        </w:rPr>
        <w:t>1 Diabetes</w:t>
      </w:r>
      <w:proofErr w:type="gramEnd"/>
      <w:r w:rsidRPr="00EF6E06">
        <w:rPr>
          <w:sz w:val="18"/>
          <w:szCs w:val="18"/>
        </w:rPr>
        <w:t xml:space="preserve">. </w:t>
      </w:r>
      <w:r>
        <w:rPr>
          <w:sz w:val="18"/>
          <w:szCs w:val="18"/>
        </w:rPr>
        <w:t xml:space="preserve">Letters </w:t>
      </w:r>
      <w:r w:rsidRPr="00EF6E06">
        <w:rPr>
          <w:sz w:val="18"/>
          <w:szCs w:val="18"/>
        </w:rPr>
        <w:t>Diabetes Care, Volume 24, Number 11,</w:t>
      </w:r>
      <w:r>
        <w:rPr>
          <w:sz w:val="18"/>
          <w:szCs w:val="18"/>
        </w:rPr>
        <w:t xml:space="preserve"> 2005</w:t>
      </w:r>
      <w:r w:rsidRPr="00EF6E06">
        <w:rPr>
          <w:sz w:val="18"/>
          <w:szCs w:val="18"/>
        </w:rPr>
        <w:t xml:space="preserve"> November 2001</w:t>
      </w:r>
    </w:p>
  </w:footnote>
  <w:footnote w:id="11">
    <w:p w:rsidR="00A80256" w:rsidRPr="0006468C" w:rsidRDefault="00A80256" w:rsidP="0006468C">
      <w:pPr>
        <w:spacing w:before="0" w:after="0"/>
        <w:rPr>
          <w:sz w:val="18"/>
          <w:szCs w:val="18"/>
        </w:rPr>
      </w:pPr>
      <w:r>
        <w:rPr>
          <w:rStyle w:val="FootnoteReference"/>
        </w:rPr>
        <w:footnoteRef/>
      </w:r>
      <w:r>
        <w:t xml:space="preserve"> </w:t>
      </w:r>
      <w:proofErr w:type="spellStart"/>
      <w:r>
        <w:rPr>
          <w:sz w:val="18"/>
          <w:szCs w:val="18"/>
        </w:rPr>
        <w:t>Danne</w:t>
      </w:r>
      <w:proofErr w:type="spellEnd"/>
      <w:r>
        <w:rPr>
          <w:sz w:val="18"/>
          <w:szCs w:val="18"/>
        </w:rPr>
        <w:t xml:space="preserve"> T, </w:t>
      </w:r>
      <w:proofErr w:type="spellStart"/>
      <w:r>
        <w:rPr>
          <w:sz w:val="18"/>
          <w:szCs w:val="18"/>
        </w:rPr>
        <w:t>Philotheou</w:t>
      </w:r>
      <w:proofErr w:type="spellEnd"/>
      <w:r>
        <w:rPr>
          <w:sz w:val="18"/>
          <w:szCs w:val="18"/>
        </w:rPr>
        <w:t xml:space="preserve"> A, Goldman D, </w:t>
      </w:r>
      <w:proofErr w:type="spellStart"/>
      <w:r>
        <w:rPr>
          <w:sz w:val="18"/>
          <w:szCs w:val="18"/>
        </w:rPr>
        <w:t>Guo</w:t>
      </w:r>
      <w:proofErr w:type="spellEnd"/>
      <w:r>
        <w:rPr>
          <w:sz w:val="18"/>
          <w:szCs w:val="18"/>
        </w:rPr>
        <w:t xml:space="preserve"> X, Ping L, Cali A, Johnston P. A randomized trial comparing the rate of </w:t>
      </w:r>
      <w:proofErr w:type="spellStart"/>
      <w:r>
        <w:rPr>
          <w:sz w:val="18"/>
          <w:szCs w:val="18"/>
        </w:rPr>
        <w:t>hypoglycemia</w:t>
      </w:r>
      <w:proofErr w:type="spellEnd"/>
      <w:r>
        <w:rPr>
          <w:sz w:val="18"/>
          <w:szCs w:val="18"/>
        </w:rPr>
        <w:t xml:space="preserve">-assessed using continuous glucose monitoring-in 125 preschool children with Type 1 diabetes treated with insulin </w:t>
      </w:r>
      <w:proofErr w:type="spellStart"/>
      <w:r>
        <w:rPr>
          <w:sz w:val="18"/>
          <w:szCs w:val="18"/>
        </w:rPr>
        <w:t>glargine</w:t>
      </w:r>
      <w:proofErr w:type="spellEnd"/>
      <w:r>
        <w:rPr>
          <w:sz w:val="18"/>
          <w:szCs w:val="18"/>
        </w:rPr>
        <w:t xml:space="preserve"> or NPH insulin (the PRESCHOOL study). </w:t>
      </w:r>
      <w:proofErr w:type="spellStart"/>
      <w:proofErr w:type="gramStart"/>
      <w:r>
        <w:rPr>
          <w:i/>
          <w:iCs/>
          <w:sz w:val="18"/>
          <w:szCs w:val="18"/>
        </w:rPr>
        <w:t>Pediatric</w:t>
      </w:r>
      <w:proofErr w:type="spellEnd"/>
      <w:r>
        <w:rPr>
          <w:i/>
          <w:iCs/>
          <w:sz w:val="18"/>
          <w:szCs w:val="18"/>
        </w:rPr>
        <w:t xml:space="preserve"> Diabetes.</w:t>
      </w:r>
      <w:proofErr w:type="gramEnd"/>
      <w:r>
        <w:rPr>
          <w:i/>
          <w:iCs/>
          <w:sz w:val="18"/>
          <w:szCs w:val="18"/>
        </w:rPr>
        <w:t xml:space="preserve"> </w:t>
      </w:r>
      <w:r>
        <w:rPr>
          <w:sz w:val="18"/>
          <w:szCs w:val="18"/>
        </w:rPr>
        <w:t>2013</w:t>
      </w:r>
      <w:proofErr w:type="gramStart"/>
      <w:r>
        <w:rPr>
          <w:sz w:val="18"/>
          <w:szCs w:val="18"/>
        </w:rPr>
        <w:t>;14</w:t>
      </w:r>
      <w:proofErr w:type="gramEnd"/>
      <w:r>
        <w:rPr>
          <w:sz w:val="18"/>
          <w:szCs w:val="18"/>
        </w:rPr>
        <w:t>(8):593-601.</w:t>
      </w:r>
    </w:p>
  </w:footnote>
  <w:footnote w:id="12">
    <w:p w:rsidR="00A80256" w:rsidRDefault="00A80256">
      <w:pPr>
        <w:pStyle w:val="FootnoteText"/>
      </w:pPr>
      <w:r>
        <w:rPr>
          <w:rStyle w:val="FootnoteReference"/>
        </w:rPr>
        <w:footnoteRef/>
      </w:r>
      <w:r>
        <w:t xml:space="preserve"> </w:t>
      </w:r>
      <w:r>
        <w:rPr>
          <w:bCs/>
        </w:rPr>
        <w:t>EMEA/CHMP/BMWP/32775/2005_Rev.2</w:t>
      </w:r>
    </w:p>
  </w:footnote>
  <w:footnote w:id="13">
    <w:p w:rsidR="00A80256" w:rsidRDefault="00A80256" w:rsidP="0006468C">
      <w:pPr>
        <w:spacing w:before="0" w:after="0"/>
        <w:ind w:left="142" w:hanging="142"/>
        <w:rPr>
          <w:sz w:val="18"/>
          <w:szCs w:val="18"/>
        </w:rPr>
      </w:pPr>
      <w:r>
        <w:rPr>
          <w:rStyle w:val="FootnoteReference"/>
        </w:rPr>
        <w:footnoteRef/>
      </w:r>
      <w:r>
        <w:t xml:space="preserve"> </w:t>
      </w:r>
      <w:proofErr w:type="spellStart"/>
      <w:r>
        <w:rPr>
          <w:sz w:val="18"/>
          <w:szCs w:val="18"/>
        </w:rPr>
        <w:t>Schober</w:t>
      </w:r>
      <w:proofErr w:type="spellEnd"/>
      <w:r>
        <w:rPr>
          <w:sz w:val="18"/>
          <w:szCs w:val="18"/>
        </w:rPr>
        <w:t xml:space="preserve"> E, </w:t>
      </w:r>
      <w:proofErr w:type="spellStart"/>
      <w:r>
        <w:rPr>
          <w:sz w:val="18"/>
          <w:szCs w:val="18"/>
        </w:rPr>
        <w:t>Schoenie</w:t>
      </w:r>
      <w:proofErr w:type="spellEnd"/>
      <w:r>
        <w:rPr>
          <w:sz w:val="18"/>
          <w:szCs w:val="18"/>
        </w:rPr>
        <w:t xml:space="preserve"> E, Van </w:t>
      </w:r>
      <w:proofErr w:type="spellStart"/>
      <w:r>
        <w:rPr>
          <w:sz w:val="18"/>
          <w:szCs w:val="18"/>
        </w:rPr>
        <w:t>Dyk</w:t>
      </w:r>
      <w:proofErr w:type="spellEnd"/>
      <w:r>
        <w:rPr>
          <w:sz w:val="18"/>
          <w:szCs w:val="18"/>
        </w:rPr>
        <w:t xml:space="preserve"> J, Wernicke-</w:t>
      </w:r>
      <w:proofErr w:type="spellStart"/>
      <w:r>
        <w:rPr>
          <w:sz w:val="18"/>
          <w:szCs w:val="18"/>
        </w:rPr>
        <w:t>Panten</w:t>
      </w:r>
      <w:proofErr w:type="spellEnd"/>
      <w:r>
        <w:rPr>
          <w:sz w:val="18"/>
          <w:szCs w:val="18"/>
        </w:rPr>
        <w:t xml:space="preserve"> K, </w:t>
      </w:r>
      <w:proofErr w:type="spellStart"/>
      <w:r>
        <w:rPr>
          <w:sz w:val="18"/>
          <w:szCs w:val="18"/>
        </w:rPr>
        <w:t>Pediatric</w:t>
      </w:r>
      <w:proofErr w:type="spellEnd"/>
      <w:r>
        <w:rPr>
          <w:sz w:val="18"/>
          <w:szCs w:val="18"/>
        </w:rPr>
        <w:t xml:space="preserve"> Study Group of Insulin </w:t>
      </w:r>
      <w:proofErr w:type="spellStart"/>
      <w:r>
        <w:rPr>
          <w:sz w:val="18"/>
          <w:szCs w:val="18"/>
        </w:rPr>
        <w:t>Glargine</w:t>
      </w:r>
      <w:proofErr w:type="spellEnd"/>
      <w:r>
        <w:rPr>
          <w:sz w:val="18"/>
          <w:szCs w:val="18"/>
        </w:rPr>
        <w:t xml:space="preserve">. </w:t>
      </w:r>
      <w:proofErr w:type="gramStart"/>
      <w:r>
        <w:rPr>
          <w:sz w:val="18"/>
          <w:szCs w:val="18"/>
        </w:rPr>
        <w:t xml:space="preserve">Comparative trial between insulin </w:t>
      </w:r>
      <w:proofErr w:type="spellStart"/>
      <w:r>
        <w:rPr>
          <w:sz w:val="18"/>
          <w:szCs w:val="18"/>
        </w:rPr>
        <w:t>glargine</w:t>
      </w:r>
      <w:proofErr w:type="spellEnd"/>
      <w:r>
        <w:rPr>
          <w:sz w:val="18"/>
          <w:szCs w:val="18"/>
        </w:rPr>
        <w:t xml:space="preserve"> and NPH insulin in children and adolescents with Type 1 diabetes mellitus.</w:t>
      </w:r>
      <w:proofErr w:type="gramEnd"/>
      <w:r>
        <w:rPr>
          <w:sz w:val="18"/>
          <w:szCs w:val="18"/>
        </w:rPr>
        <w:t xml:space="preserve"> </w:t>
      </w:r>
      <w:proofErr w:type="gramStart"/>
      <w:r>
        <w:rPr>
          <w:i/>
          <w:iCs/>
          <w:sz w:val="18"/>
          <w:szCs w:val="18"/>
        </w:rPr>
        <w:t xml:space="preserve">J </w:t>
      </w:r>
      <w:proofErr w:type="spellStart"/>
      <w:r>
        <w:rPr>
          <w:i/>
          <w:iCs/>
          <w:sz w:val="18"/>
          <w:szCs w:val="18"/>
        </w:rPr>
        <w:t>Pediatr</w:t>
      </w:r>
      <w:proofErr w:type="spellEnd"/>
      <w:r>
        <w:rPr>
          <w:i/>
          <w:iCs/>
          <w:sz w:val="18"/>
          <w:szCs w:val="18"/>
        </w:rPr>
        <w:t xml:space="preserve"> </w:t>
      </w:r>
      <w:proofErr w:type="spellStart"/>
      <w:r>
        <w:rPr>
          <w:i/>
          <w:iCs/>
          <w:sz w:val="18"/>
          <w:szCs w:val="18"/>
        </w:rPr>
        <w:t>Endocrinol</w:t>
      </w:r>
      <w:proofErr w:type="spellEnd"/>
      <w:r>
        <w:rPr>
          <w:i/>
          <w:iCs/>
          <w:sz w:val="18"/>
          <w:szCs w:val="18"/>
        </w:rPr>
        <w:t xml:space="preserve"> </w:t>
      </w:r>
      <w:proofErr w:type="spellStart"/>
      <w:r>
        <w:rPr>
          <w:i/>
          <w:iCs/>
          <w:sz w:val="18"/>
          <w:szCs w:val="18"/>
        </w:rPr>
        <w:t>Metab</w:t>
      </w:r>
      <w:proofErr w:type="spellEnd"/>
      <w:r>
        <w:rPr>
          <w:sz w:val="18"/>
          <w:szCs w:val="18"/>
        </w:rPr>
        <w:t>.</w:t>
      </w:r>
      <w:proofErr w:type="gramEnd"/>
      <w:r>
        <w:rPr>
          <w:sz w:val="18"/>
          <w:szCs w:val="18"/>
        </w:rPr>
        <w:t xml:space="preserve"> 2002</w:t>
      </w:r>
      <w:proofErr w:type="gramStart"/>
      <w:r>
        <w:rPr>
          <w:sz w:val="18"/>
          <w:szCs w:val="18"/>
        </w:rPr>
        <w:t>;15</w:t>
      </w:r>
      <w:proofErr w:type="gramEnd"/>
      <w:r>
        <w:rPr>
          <w:sz w:val="18"/>
          <w:szCs w:val="18"/>
        </w:rPr>
        <w:t>(4):369-376.</w:t>
      </w:r>
    </w:p>
    <w:p w:rsidR="00A80256" w:rsidRDefault="00A80256" w:rsidP="0006468C">
      <w:pPr>
        <w:spacing w:before="0" w:after="0"/>
        <w:ind w:left="142" w:hanging="142"/>
        <w:rPr>
          <w:sz w:val="18"/>
          <w:szCs w:val="18"/>
        </w:rPr>
      </w:pPr>
      <w:proofErr w:type="spellStart"/>
      <w:r>
        <w:rPr>
          <w:sz w:val="18"/>
          <w:szCs w:val="18"/>
        </w:rPr>
        <w:t>Alemzadeh</w:t>
      </w:r>
      <w:proofErr w:type="spellEnd"/>
      <w:r>
        <w:rPr>
          <w:sz w:val="18"/>
          <w:szCs w:val="18"/>
        </w:rPr>
        <w:t xml:space="preserve"> R, </w:t>
      </w:r>
      <w:proofErr w:type="spellStart"/>
      <w:r>
        <w:rPr>
          <w:sz w:val="18"/>
          <w:szCs w:val="18"/>
        </w:rPr>
        <w:t>Berhe</w:t>
      </w:r>
      <w:proofErr w:type="spellEnd"/>
      <w:r>
        <w:rPr>
          <w:sz w:val="18"/>
          <w:szCs w:val="18"/>
        </w:rPr>
        <w:t xml:space="preserve"> T, Wyatt DT. Flexible insulin therapy with </w:t>
      </w:r>
      <w:proofErr w:type="spellStart"/>
      <w:r>
        <w:rPr>
          <w:sz w:val="18"/>
          <w:szCs w:val="18"/>
        </w:rPr>
        <w:t>glargine</w:t>
      </w:r>
      <w:proofErr w:type="spellEnd"/>
      <w:r>
        <w:rPr>
          <w:sz w:val="18"/>
          <w:szCs w:val="18"/>
        </w:rPr>
        <w:t xml:space="preserve"> insulin improved </w:t>
      </w:r>
      <w:proofErr w:type="spellStart"/>
      <w:r>
        <w:rPr>
          <w:sz w:val="18"/>
          <w:szCs w:val="18"/>
        </w:rPr>
        <w:t>glycemic</w:t>
      </w:r>
      <w:proofErr w:type="spellEnd"/>
      <w:r>
        <w:rPr>
          <w:sz w:val="18"/>
          <w:szCs w:val="18"/>
        </w:rPr>
        <w:t xml:space="preserve"> control and reduced severe </w:t>
      </w:r>
      <w:proofErr w:type="spellStart"/>
      <w:r>
        <w:rPr>
          <w:sz w:val="18"/>
          <w:szCs w:val="18"/>
        </w:rPr>
        <w:t>hypoglycemia</w:t>
      </w:r>
      <w:proofErr w:type="spellEnd"/>
      <w:r>
        <w:rPr>
          <w:sz w:val="18"/>
          <w:szCs w:val="18"/>
        </w:rPr>
        <w:t xml:space="preserve"> among preschool-aged children with Type 1 diabetes mellitus. </w:t>
      </w:r>
      <w:proofErr w:type="spellStart"/>
      <w:proofErr w:type="gramStart"/>
      <w:r>
        <w:rPr>
          <w:i/>
          <w:iCs/>
          <w:sz w:val="18"/>
          <w:szCs w:val="18"/>
        </w:rPr>
        <w:t>Pediatrics</w:t>
      </w:r>
      <w:proofErr w:type="spellEnd"/>
      <w:r w:rsidR="00F108A4">
        <w:rPr>
          <w:sz w:val="18"/>
          <w:szCs w:val="18"/>
        </w:rPr>
        <w:t>.</w:t>
      </w:r>
      <w:proofErr w:type="gramEnd"/>
      <w:r w:rsidR="00F108A4">
        <w:rPr>
          <w:sz w:val="18"/>
          <w:szCs w:val="18"/>
        </w:rPr>
        <w:t xml:space="preserve"> 2005</w:t>
      </w:r>
      <w:proofErr w:type="gramStart"/>
      <w:r w:rsidR="00F108A4">
        <w:rPr>
          <w:sz w:val="18"/>
          <w:szCs w:val="18"/>
        </w:rPr>
        <w:t>;115</w:t>
      </w:r>
      <w:proofErr w:type="gramEnd"/>
      <w:r w:rsidR="00F108A4">
        <w:rPr>
          <w:sz w:val="18"/>
          <w:szCs w:val="18"/>
        </w:rPr>
        <w:t>(5):1320-1324.</w:t>
      </w:r>
    </w:p>
    <w:p w:rsidR="00A80256" w:rsidRDefault="00A80256" w:rsidP="0006468C">
      <w:pPr>
        <w:spacing w:before="0" w:after="0"/>
        <w:ind w:left="142" w:hanging="142"/>
        <w:rPr>
          <w:sz w:val="18"/>
          <w:szCs w:val="18"/>
        </w:rPr>
      </w:pPr>
      <w:proofErr w:type="spellStart"/>
      <w:r>
        <w:rPr>
          <w:sz w:val="18"/>
          <w:szCs w:val="18"/>
        </w:rPr>
        <w:t>Danne</w:t>
      </w:r>
      <w:proofErr w:type="spellEnd"/>
      <w:r>
        <w:rPr>
          <w:sz w:val="18"/>
          <w:szCs w:val="18"/>
        </w:rPr>
        <w:t xml:space="preserve"> T, </w:t>
      </w:r>
      <w:proofErr w:type="spellStart"/>
      <w:r>
        <w:rPr>
          <w:sz w:val="18"/>
          <w:szCs w:val="18"/>
        </w:rPr>
        <w:t>Philotheou</w:t>
      </w:r>
      <w:proofErr w:type="spellEnd"/>
      <w:r>
        <w:rPr>
          <w:sz w:val="18"/>
          <w:szCs w:val="18"/>
        </w:rPr>
        <w:t xml:space="preserve"> A, Goldman D, </w:t>
      </w:r>
      <w:proofErr w:type="spellStart"/>
      <w:r>
        <w:rPr>
          <w:sz w:val="18"/>
          <w:szCs w:val="18"/>
        </w:rPr>
        <w:t>Guo</w:t>
      </w:r>
      <w:proofErr w:type="spellEnd"/>
      <w:r>
        <w:rPr>
          <w:sz w:val="18"/>
          <w:szCs w:val="18"/>
        </w:rPr>
        <w:t xml:space="preserve"> X, Ping L, Cali A, Johnston P. A randomized trial comparing the rate of </w:t>
      </w:r>
      <w:proofErr w:type="spellStart"/>
      <w:r>
        <w:rPr>
          <w:sz w:val="18"/>
          <w:szCs w:val="18"/>
        </w:rPr>
        <w:t>hypoglycemia</w:t>
      </w:r>
      <w:proofErr w:type="spellEnd"/>
      <w:r>
        <w:rPr>
          <w:sz w:val="18"/>
          <w:szCs w:val="18"/>
        </w:rPr>
        <w:t xml:space="preserve">-assessed using continuous glucose monitoring-in 125 preschool children with Type 1 diabetes treated with insulin </w:t>
      </w:r>
      <w:proofErr w:type="spellStart"/>
      <w:r>
        <w:rPr>
          <w:sz w:val="18"/>
          <w:szCs w:val="18"/>
        </w:rPr>
        <w:t>glargine</w:t>
      </w:r>
      <w:proofErr w:type="spellEnd"/>
      <w:r>
        <w:rPr>
          <w:sz w:val="18"/>
          <w:szCs w:val="18"/>
        </w:rPr>
        <w:t xml:space="preserve"> or NPH insulin (the PRESCHOOL study). </w:t>
      </w:r>
      <w:proofErr w:type="spellStart"/>
      <w:proofErr w:type="gramStart"/>
      <w:r>
        <w:rPr>
          <w:i/>
          <w:iCs/>
          <w:sz w:val="18"/>
          <w:szCs w:val="18"/>
        </w:rPr>
        <w:t>Pediatric</w:t>
      </w:r>
      <w:proofErr w:type="spellEnd"/>
      <w:r>
        <w:rPr>
          <w:i/>
          <w:iCs/>
          <w:sz w:val="18"/>
          <w:szCs w:val="18"/>
        </w:rPr>
        <w:t xml:space="preserve"> Diabetes.</w:t>
      </w:r>
      <w:proofErr w:type="gramEnd"/>
      <w:r>
        <w:rPr>
          <w:i/>
          <w:iCs/>
          <w:sz w:val="18"/>
          <w:szCs w:val="18"/>
        </w:rPr>
        <w:t xml:space="preserve"> </w:t>
      </w:r>
      <w:r w:rsidR="00F108A4">
        <w:rPr>
          <w:sz w:val="18"/>
          <w:szCs w:val="18"/>
        </w:rPr>
        <w:t>2013</w:t>
      </w:r>
      <w:proofErr w:type="gramStart"/>
      <w:r w:rsidR="00F108A4">
        <w:rPr>
          <w:sz w:val="18"/>
          <w:szCs w:val="18"/>
        </w:rPr>
        <w:t>;14</w:t>
      </w:r>
      <w:proofErr w:type="gramEnd"/>
      <w:r w:rsidR="00F108A4">
        <w:rPr>
          <w:sz w:val="18"/>
          <w:szCs w:val="18"/>
        </w:rPr>
        <w:t>(8):593-601.</w:t>
      </w:r>
    </w:p>
    <w:p w:rsidR="00A80256" w:rsidRDefault="00A80256" w:rsidP="0006468C">
      <w:pPr>
        <w:spacing w:before="0" w:after="0"/>
        <w:ind w:left="142" w:hanging="142"/>
        <w:rPr>
          <w:sz w:val="18"/>
          <w:szCs w:val="18"/>
        </w:rPr>
      </w:pPr>
      <w:proofErr w:type="gramStart"/>
      <w:r>
        <w:rPr>
          <w:sz w:val="18"/>
          <w:szCs w:val="18"/>
        </w:rPr>
        <w:t>NCT00993473 resource page.</w:t>
      </w:r>
      <w:proofErr w:type="gramEnd"/>
      <w:r>
        <w:rPr>
          <w:sz w:val="18"/>
          <w:szCs w:val="18"/>
        </w:rPr>
        <w:t xml:space="preserve"> </w:t>
      </w:r>
      <w:proofErr w:type="gramStart"/>
      <w:r>
        <w:rPr>
          <w:sz w:val="18"/>
          <w:szCs w:val="18"/>
        </w:rPr>
        <w:t>ClinicalTrials.gov web site.</w:t>
      </w:r>
      <w:proofErr w:type="gramEnd"/>
      <w:r>
        <w:rPr>
          <w:sz w:val="18"/>
          <w:szCs w:val="18"/>
        </w:rPr>
        <w:t xml:space="preserve"> </w:t>
      </w:r>
      <w:proofErr w:type="gramStart"/>
      <w:r>
        <w:rPr>
          <w:sz w:val="18"/>
          <w:szCs w:val="18"/>
        </w:rPr>
        <w:t>Available at http://clinicaltrials.gov/ct2/show/NCT0099347</w:t>
      </w:r>
      <w:r w:rsidR="00F108A4">
        <w:rPr>
          <w:sz w:val="18"/>
          <w:szCs w:val="18"/>
        </w:rPr>
        <w:t>3.</w:t>
      </w:r>
      <w:proofErr w:type="gramEnd"/>
      <w:r w:rsidR="00F108A4">
        <w:rPr>
          <w:sz w:val="18"/>
          <w:szCs w:val="18"/>
        </w:rPr>
        <w:t xml:space="preserve"> </w:t>
      </w:r>
      <w:proofErr w:type="gramStart"/>
      <w:r w:rsidR="00F108A4">
        <w:rPr>
          <w:sz w:val="18"/>
          <w:szCs w:val="18"/>
        </w:rPr>
        <w:t>Accessed September 10, 2014.</w:t>
      </w:r>
      <w:proofErr w:type="gramEnd"/>
    </w:p>
    <w:p w:rsidR="00A80256" w:rsidRDefault="00A8025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-1103989</wp:posOffset>
          </wp:positionH>
          <wp:positionV relativeFrom="paragraph">
            <wp:posOffset>-750874</wp:posOffset>
          </wp:positionV>
          <wp:extent cx="7609398" cy="9947719"/>
          <wp:effectExtent l="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617266" cy="9958005"/>
                  </a:xfrm>
                  <a:prstGeom prst="rect">
                    <a:avLst/>
                  </a:prstGeom>
                </pic:spPr>
              </pic:pic>
            </a:graphicData>
          </a:graphic>
          <wp14:sizeRelH relativeFrom="margin">
            <wp14:pctWidth>0</wp14:pctWidth>
          </wp14:sizeRelH>
          <wp14:sizeRelV relativeFrom="margin">
            <wp14:pctHeight>0</wp14:pctHeight>
          </wp14:sizeRelV>
        </wp:anchor>
      </w:drawing>
    </w:r>
  </w:p>
  <w:p w:rsidR="00A80256" w:rsidRDefault="00A80256"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56" w:rsidRDefault="00A80256" w:rsidP="006E08B3">
    <w:r>
      <w:t>Therapeutic Goods Administration</w:t>
    </w:r>
  </w:p>
  <w:p w:rsidR="00A80256" w:rsidRDefault="00A8025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548E52"/>
    <w:lvl w:ilvl="0">
      <w:start w:val="1"/>
      <w:numFmt w:val="decimal"/>
      <w:lvlText w:val="%1."/>
      <w:lvlJc w:val="left"/>
      <w:pPr>
        <w:tabs>
          <w:tab w:val="num" w:pos="1492"/>
        </w:tabs>
        <w:ind w:left="1492" w:hanging="360"/>
      </w:pPr>
    </w:lvl>
  </w:abstractNum>
  <w:abstractNum w:abstractNumId="1">
    <w:nsid w:val="FFFFFF7D"/>
    <w:multiLevelType w:val="singleLevel"/>
    <w:tmpl w:val="A4D4F220"/>
    <w:lvl w:ilvl="0">
      <w:start w:val="1"/>
      <w:numFmt w:val="decimal"/>
      <w:lvlText w:val="%1."/>
      <w:lvlJc w:val="left"/>
      <w:pPr>
        <w:tabs>
          <w:tab w:val="num" w:pos="1209"/>
        </w:tabs>
        <w:ind w:left="1209" w:hanging="360"/>
      </w:pPr>
    </w:lvl>
  </w:abstractNum>
  <w:abstractNum w:abstractNumId="2">
    <w:nsid w:val="FFFFFF7E"/>
    <w:multiLevelType w:val="singleLevel"/>
    <w:tmpl w:val="A57C049E"/>
    <w:lvl w:ilvl="0">
      <w:start w:val="1"/>
      <w:numFmt w:val="decimal"/>
      <w:lvlText w:val="%1."/>
      <w:lvlJc w:val="left"/>
      <w:pPr>
        <w:tabs>
          <w:tab w:val="num" w:pos="926"/>
        </w:tabs>
        <w:ind w:left="926" w:hanging="360"/>
      </w:pPr>
    </w:lvl>
  </w:abstractNum>
  <w:abstractNum w:abstractNumId="3">
    <w:nsid w:val="FFFFFF7F"/>
    <w:multiLevelType w:val="singleLevel"/>
    <w:tmpl w:val="4FD4F7E4"/>
    <w:lvl w:ilvl="0">
      <w:start w:val="1"/>
      <w:numFmt w:val="decimal"/>
      <w:lvlText w:val="%1."/>
      <w:lvlJc w:val="left"/>
      <w:pPr>
        <w:tabs>
          <w:tab w:val="num" w:pos="643"/>
        </w:tabs>
        <w:ind w:left="643" w:hanging="360"/>
      </w:pPr>
    </w:lvl>
  </w:abstractNum>
  <w:abstractNum w:abstractNumId="4">
    <w:nsid w:val="FFFFFF80"/>
    <w:multiLevelType w:val="singleLevel"/>
    <w:tmpl w:val="D5DACB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22937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8B2ED580"/>
    <w:lvl w:ilvl="0">
      <w:start w:val="1"/>
      <w:numFmt w:val="decimal"/>
      <w:lvlText w:val="%1."/>
      <w:lvlJc w:val="left"/>
      <w:pPr>
        <w:tabs>
          <w:tab w:val="num" w:pos="360"/>
        </w:tabs>
        <w:ind w:left="360" w:hanging="360"/>
      </w:pPr>
    </w:lvl>
  </w:abstractNum>
  <w:abstractNum w:abstractNumId="7">
    <w:nsid w:val="FFFFFF89"/>
    <w:multiLevelType w:val="singleLevel"/>
    <w:tmpl w:val="F5BE1B10"/>
    <w:lvl w:ilvl="0">
      <w:start w:val="1"/>
      <w:numFmt w:val="bullet"/>
      <w:lvlText w:val=""/>
      <w:lvlJc w:val="left"/>
      <w:pPr>
        <w:tabs>
          <w:tab w:val="num" w:pos="360"/>
        </w:tabs>
        <w:ind w:left="360" w:hanging="360"/>
      </w:pPr>
      <w:rPr>
        <w:rFonts w:ascii="Symbol" w:hAnsi="Symbol" w:hint="default"/>
      </w:rPr>
    </w:lvl>
  </w:abstractNum>
  <w:abstractNum w:abstractNumId="8">
    <w:nsid w:val="0C356E1D"/>
    <w:multiLevelType w:val="hybridMultilevel"/>
    <w:tmpl w:val="206A0A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1134" w:hanging="425"/>
      </w:pPr>
      <w:rPr>
        <w:rFonts w:ascii="Cambria" w:hAnsi="Cambria" w:hint="default"/>
      </w:rPr>
    </w:lvl>
    <w:lvl w:ilvl="1">
      <w:start w:val="1"/>
      <w:numFmt w:val="lowerLetter"/>
      <w:pStyle w:val="Numberbullet2"/>
      <w:lvlText w:val="%2."/>
      <w:lvlJc w:val="left"/>
      <w:pPr>
        <w:ind w:left="1560" w:hanging="426"/>
      </w:pPr>
      <w:rPr>
        <w:rFonts w:hint="default"/>
      </w:rPr>
    </w:lvl>
    <w:lvl w:ilvl="2">
      <w:start w:val="1"/>
      <w:numFmt w:val="lowerRoman"/>
      <w:pStyle w:val="Numberbullet3"/>
      <w:lvlText w:val="%3."/>
      <w:lvlJc w:val="left"/>
      <w:pPr>
        <w:ind w:left="1985" w:hanging="425"/>
      </w:pPr>
      <w:rPr>
        <w:rFonts w:hint="default"/>
      </w:rPr>
    </w:lvl>
    <w:lvl w:ilvl="3">
      <w:start w:val="1"/>
      <w:numFmt w:val="none"/>
      <w:lvlText w:val=""/>
      <w:lvlJc w:val="left"/>
      <w:pPr>
        <w:ind w:left="1985" w:hanging="425"/>
      </w:pPr>
      <w:rPr>
        <w:rFonts w:hint="default"/>
      </w:rPr>
    </w:lvl>
    <w:lvl w:ilvl="4">
      <w:start w:val="1"/>
      <w:numFmt w:val="none"/>
      <w:lvlText w:val=""/>
      <w:lvlJc w:val="left"/>
      <w:pPr>
        <w:ind w:left="1985" w:hanging="425"/>
      </w:pPr>
      <w:rPr>
        <w:rFonts w:hint="default"/>
      </w:rPr>
    </w:lvl>
    <w:lvl w:ilvl="5">
      <w:start w:val="1"/>
      <w:numFmt w:val="none"/>
      <w:lvlText w:val=""/>
      <w:lvlJc w:val="left"/>
      <w:pPr>
        <w:ind w:left="1985" w:hanging="425"/>
      </w:pPr>
      <w:rPr>
        <w:rFonts w:hint="default"/>
      </w:rPr>
    </w:lvl>
    <w:lvl w:ilvl="6">
      <w:start w:val="1"/>
      <w:numFmt w:val="none"/>
      <w:lvlText w:val="%7"/>
      <w:lvlJc w:val="left"/>
      <w:pPr>
        <w:ind w:left="1985" w:hanging="425"/>
      </w:pPr>
      <w:rPr>
        <w:rFonts w:hint="default"/>
      </w:rPr>
    </w:lvl>
    <w:lvl w:ilvl="7">
      <w:start w:val="1"/>
      <w:numFmt w:val="none"/>
      <w:lvlText w:val=""/>
      <w:lvlJc w:val="left"/>
      <w:pPr>
        <w:ind w:left="1985" w:hanging="425"/>
      </w:pPr>
      <w:rPr>
        <w:rFonts w:hint="default"/>
      </w:rPr>
    </w:lvl>
    <w:lvl w:ilvl="8">
      <w:start w:val="1"/>
      <w:numFmt w:val="none"/>
      <w:lvlText w:val=""/>
      <w:lvlJc w:val="left"/>
      <w:pPr>
        <w:ind w:left="1985"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054"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221C55F1"/>
    <w:multiLevelType w:val="hybridMultilevel"/>
    <w:tmpl w:val="5302D626"/>
    <w:lvl w:ilvl="0" w:tplc="4C6A0ED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4FA7C77"/>
    <w:multiLevelType w:val="hybridMultilevel"/>
    <w:tmpl w:val="0060ADFA"/>
    <w:lvl w:ilvl="0" w:tplc="C48CA89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772"/>
        </w:tabs>
        <w:ind w:left="3772"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2615052"/>
    <w:multiLevelType w:val="hybridMultilevel"/>
    <w:tmpl w:val="C71ABCE2"/>
    <w:lvl w:ilvl="0" w:tplc="B78ACD40">
      <w:start w:val="1"/>
      <w:numFmt w:val="decimal"/>
      <w:lvlText w:val="1.%1."/>
      <w:lvlJc w:val="left"/>
      <w:pPr>
        <w:ind w:left="644" w:hanging="360"/>
      </w:pPr>
      <w:rPr>
        <w:rFonts w:hint="default"/>
      </w:r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num w:numId="1">
    <w:abstractNumId w:val="10"/>
  </w:num>
  <w:num w:numId="2">
    <w:abstractNumId w:val="9"/>
  </w:num>
  <w:num w:numId="3">
    <w:abstractNumId w:val="10"/>
  </w:num>
  <w:num w:numId="4">
    <w:abstractNumId w:val="9"/>
  </w:num>
  <w:num w:numId="5">
    <w:abstractNumId w:val="15"/>
  </w:num>
  <w:num w:numId="6">
    <w:abstractNumId w:val="12"/>
  </w:num>
  <w:num w:numId="7">
    <w:abstractNumId w:val="13"/>
  </w:num>
  <w:num w:numId="8">
    <w:abstractNumId w:val="16"/>
  </w:num>
  <w:num w:numId="9">
    <w:abstractNumId w:val="9"/>
    <w:lvlOverride w:ilvl="0">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8"/>
  </w:num>
  <w:num w:numId="16">
    <w:abstractNumId w:val="14"/>
  </w:num>
  <w:num w:numId="17">
    <w:abstractNumId w:val="5"/>
  </w:num>
  <w:num w:numId="18">
    <w:abstractNumId w:val="4"/>
  </w:num>
  <w:num w:numId="19">
    <w:abstractNumId w:val="6"/>
  </w:num>
  <w:num w:numId="20">
    <w:abstractNumId w:val="3"/>
  </w:num>
  <w:num w:numId="21">
    <w:abstractNumId w:val="2"/>
  </w:num>
  <w:num w:numId="22">
    <w:abstractNumId w:val="1"/>
  </w:num>
  <w:num w:numId="23">
    <w:abstractNumId w:val="0"/>
  </w:num>
  <w:num w:numId="2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287"/>
    <w:rsid w:val="00002031"/>
    <w:rsid w:val="00004734"/>
    <w:rsid w:val="00006B22"/>
    <w:rsid w:val="00011A6D"/>
    <w:rsid w:val="0001276A"/>
    <w:rsid w:val="000246AE"/>
    <w:rsid w:val="00025C67"/>
    <w:rsid w:val="00031D05"/>
    <w:rsid w:val="00042994"/>
    <w:rsid w:val="0004374B"/>
    <w:rsid w:val="00044772"/>
    <w:rsid w:val="00046EDA"/>
    <w:rsid w:val="0005136E"/>
    <w:rsid w:val="0005559E"/>
    <w:rsid w:val="000604D6"/>
    <w:rsid w:val="0006468C"/>
    <w:rsid w:val="000734D8"/>
    <w:rsid w:val="00077775"/>
    <w:rsid w:val="00090471"/>
    <w:rsid w:val="00096AA7"/>
    <w:rsid w:val="000A3AED"/>
    <w:rsid w:val="000A787B"/>
    <w:rsid w:val="000B3532"/>
    <w:rsid w:val="000B3A75"/>
    <w:rsid w:val="000C690F"/>
    <w:rsid w:val="000C77EB"/>
    <w:rsid w:val="000D1295"/>
    <w:rsid w:val="000D31EB"/>
    <w:rsid w:val="000D391B"/>
    <w:rsid w:val="000D3D6D"/>
    <w:rsid w:val="000D4C43"/>
    <w:rsid w:val="000D4FC7"/>
    <w:rsid w:val="000E40C1"/>
    <w:rsid w:val="000F4869"/>
    <w:rsid w:val="000F5B42"/>
    <w:rsid w:val="000F6E6F"/>
    <w:rsid w:val="0010601F"/>
    <w:rsid w:val="0010602E"/>
    <w:rsid w:val="0010788A"/>
    <w:rsid w:val="00107A31"/>
    <w:rsid w:val="00110EA5"/>
    <w:rsid w:val="00112F56"/>
    <w:rsid w:val="00125318"/>
    <w:rsid w:val="0012755E"/>
    <w:rsid w:val="001305A2"/>
    <w:rsid w:val="00133238"/>
    <w:rsid w:val="0014197B"/>
    <w:rsid w:val="001447CD"/>
    <w:rsid w:val="00147287"/>
    <w:rsid w:val="001516B1"/>
    <w:rsid w:val="001524D7"/>
    <w:rsid w:val="00154EBB"/>
    <w:rsid w:val="00156316"/>
    <w:rsid w:val="00156B3F"/>
    <w:rsid w:val="00162D14"/>
    <w:rsid w:val="00165389"/>
    <w:rsid w:val="00172C45"/>
    <w:rsid w:val="001751E0"/>
    <w:rsid w:val="0017693F"/>
    <w:rsid w:val="00177E0F"/>
    <w:rsid w:val="0018110E"/>
    <w:rsid w:val="00181684"/>
    <w:rsid w:val="001843C6"/>
    <w:rsid w:val="001850E0"/>
    <w:rsid w:val="00186C27"/>
    <w:rsid w:val="00186D16"/>
    <w:rsid w:val="00193D92"/>
    <w:rsid w:val="001A1024"/>
    <w:rsid w:val="001A2158"/>
    <w:rsid w:val="001A525F"/>
    <w:rsid w:val="001B09F9"/>
    <w:rsid w:val="001B5C90"/>
    <w:rsid w:val="001B6448"/>
    <w:rsid w:val="001C32CD"/>
    <w:rsid w:val="001D2984"/>
    <w:rsid w:val="001E07CF"/>
    <w:rsid w:val="001E4031"/>
    <w:rsid w:val="001E59F1"/>
    <w:rsid w:val="001E6215"/>
    <w:rsid w:val="001F49EB"/>
    <w:rsid w:val="001F6CBA"/>
    <w:rsid w:val="00201D4E"/>
    <w:rsid w:val="002076C9"/>
    <w:rsid w:val="00212EF9"/>
    <w:rsid w:val="00220B8A"/>
    <w:rsid w:val="002257F3"/>
    <w:rsid w:val="00233456"/>
    <w:rsid w:val="002339A5"/>
    <w:rsid w:val="00257848"/>
    <w:rsid w:val="0027084A"/>
    <w:rsid w:val="00286434"/>
    <w:rsid w:val="00286C59"/>
    <w:rsid w:val="00291957"/>
    <w:rsid w:val="002942D1"/>
    <w:rsid w:val="0029501A"/>
    <w:rsid w:val="002B1638"/>
    <w:rsid w:val="002B1767"/>
    <w:rsid w:val="002B3624"/>
    <w:rsid w:val="002D3019"/>
    <w:rsid w:val="002D760B"/>
    <w:rsid w:val="002E40B3"/>
    <w:rsid w:val="002E4C9A"/>
    <w:rsid w:val="002F11F8"/>
    <w:rsid w:val="002F3857"/>
    <w:rsid w:val="002F3F56"/>
    <w:rsid w:val="002F44B5"/>
    <w:rsid w:val="003020F4"/>
    <w:rsid w:val="00306421"/>
    <w:rsid w:val="00311AC0"/>
    <w:rsid w:val="0031450B"/>
    <w:rsid w:val="00323C8B"/>
    <w:rsid w:val="0032583B"/>
    <w:rsid w:val="00327883"/>
    <w:rsid w:val="00335504"/>
    <w:rsid w:val="00347824"/>
    <w:rsid w:val="00350567"/>
    <w:rsid w:val="003521E8"/>
    <w:rsid w:val="003728F3"/>
    <w:rsid w:val="0037496E"/>
    <w:rsid w:val="00383221"/>
    <w:rsid w:val="00386150"/>
    <w:rsid w:val="003874CE"/>
    <w:rsid w:val="00390900"/>
    <w:rsid w:val="003A7F6C"/>
    <w:rsid w:val="003B1621"/>
    <w:rsid w:val="003B4D60"/>
    <w:rsid w:val="003B7E39"/>
    <w:rsid w:val="003C58DC"/>
    <w:rsid w:val="003D1E62"/>
    <w:rsid w:val="003D5244"/>
    <w:rsid w:val="003E0B99"/>
    <w:rsid w:val="003E2486"/>
    <w:rsid w:val="003E29B2"/>
    <w:rsid w:val="003E3208"/>
    <w:rsid w:val="003E68DA"/>
    <w:rsid w:val="003F0B04"/>
    <w:rsid w:val="003F76E8"/>
    <w:rsid w:val="0040134E"/>
    <w:rsid w:val="00405646"/>
    <w:rsid w:val="004334C7"/>
    <w:rsid w:val="00440A2D"/>
    <w:rsid w:val="00441438"/>
    <w:rsid w:val="004564A7"/>
    <w:rsid w:val="004565E4"/>
    <w:rsid w:val="004617BF"/>
    <w:rsid w:val="00463658"/>
    <w:rsid w:val="004637A0"/>
    <w:rsid w:val="0046589D"/>
    <w:rsid w:val="004722CC"/>
    <w:rsid w:val="004858F5"/>
    <w:rsid w:val="0049181A"/>
    <w:rsid w:val="004936E4"/>
    <w:rsid w:val="00494E60"/>
    <w:rsid w:val="00497487"/>
    <w:rsid w:val="004A40D8"/>
    <w:rsid w:val="004A7390"/>
    <w:rsid w:val="004B7069"/>
    <w:rsid w:val="004B7B76"/>
    <w:rsid w:val="004C239D"/>
    <w:rsid w:val="004C2DCA"/>
    <w:rsid w:val="004D00F6"/>
    <w:rsid w:val="004E78D9"/>
    <w:rsid w:val="004F0136"/>
    <w:rsid w:val="004F0C4A"/>
    <w:rsid w:val="004F0F38"/>
    <w:rsid w:val="004F2F71"/>
    <w:rsid w:val="004F47D6"/>
    <w:rsid w:val="00501921"/>
    <w:rsid w:val="005046C4"/>
    <w:rsid w:val="005239CD"/>
    <w:rsid w:val="00530354"/>
    <w:rsid w:val="0053625B"/>
    <w:rsid w:val="005434C6"/>
    <w:rsid w:val="00543B39"/>
    <w:rsid w:val="00546154"/>
    <w:rsid w:val="00550096"/>
    <w:rsid w:val="00555280"/>
    <w:rsid w:val="00557FF9"/>
    <w:rsid w:val="0056199A"/>
    <w:rsid w:val="0056329B"/>
    <w:rsid w:val="00570559"/>
    <w:rsid w:val="00576378"/>
    <w:rsid w:val="00577130"/>
    <w:rsid w:val="00577945"/>
    <w:rsid w:val="00577E38"/>
    <w:rsid w:val="00585322"/>
    <w:rsid w:val="005857C6"/>
    <w:rsid w:val="00592F6E"/>
    <w:rsid w:val="00593AD1"/>
    <w:rsid w:val="005A0287"/>
    <w:rsid w:val="005A68B6"/>
    <w:rsid w:val="005C5570"/>
    <w:rsid w:val="005C79A4"/>
    <w:rsid w:val="005D5442"/>
    <w:rsid w:val="00603F32"/>
    <w:rsid w:val="00605AD4"/>
    <w:rsid w:val="00625A6E"/>
    <w:rsid w:val="00626DCE"/>
    <w:rsid w:val="00631F83"/>
    <w:rsid w:val="00632398"/>
    <w:rsid w:val="00640FC3"/>
    <w:rsid w:val="00642020"/>
    <w:rsid w:val="006524B2"/>
    <w:rsid w:val="0065337B"/>
    <w:rsid w:val="0065419D"/>
    <w:rsid w:val="006604D8"/>
    <w:rsid w:val="00664A5B"/>
    <w:rsid w:val="0067304A"/>
    <w:rsid w:val="006763D2"/>
    <w:rsid w:val="00680C08"/>
    <w:rsid w:val="006931B1"/>
    <w:rsid w:val="006A15C0"/>
    <w:rsid w:val="006C3E2A"/>
    <w:rsid w:val="006C642F"/>
    <w:rsid w:val="006C6DDC"/>
    <w:rsid w:val="006D03E5"/>
    <w:rsid w:val="006D5D3E"/>
    <w:rsid w:val="006E08B3"/>
    <w:rsid w:val="006F17AC"/>
    <w:rsid w:val="006F25B8"/>
    <w:rsid w:val="006F572E"/>
    <w:rsid w:val="007046D6"/>
    <w:rsid w:val="00705DB0"/>
    <w:rsid w:val="00722754"/>
    <w:rsid w:val="00722B57"/>
    <w:rsid w:val="00725817"/>
    <w:rsid w:val="00727665"/>
    <w:rsid w:val="00730F8A"/>
    <w:rsid w:val="0074253D"/>
    <w:rsid w:val="0074429B"/>
    <w:rsid w:val="00750EE5"/>
    <w:rsid w:val="00754F1D"/>
    <w:rsid w:val="007615BC"/>
    <w:rsid w:val="00762F05"/>
    <w:rsid w:val="007652FF"/>
    <w:rsid w:val="007657CB"/>
    <w:rsid w:val="00770EF1"/>
    <w:rsid w:val="00773EF7"/>
    <w:rsid w:val="00774E1D"/>
    <w:rsid w:val="007765D8"/>
    <w:rsid w:val="0077675A"/>
    <w:rsid w:val="00780355"/>
    <w:rsid w:val="007819FD"/>
    <w:rsid w:val="007830F3"/>
    <w:rsid w:val="00784946"/>
    <w:rsid w:val="00785721"/>
    <w:rsid w:val="00793A59"/>
    <w:rsid w:val="007B3A4A"/>
    <w:rsid w:val="007B4353"/>
    <w:rsid w:val="007B5A4D"/>
    <w:rsid w:val="007B6132"/>
    <w:rsid w:val="007B6E9F"/>
    <w:rsid w:val="007C1216"/>
    <w:rsid w:val="007C1AF7"/>
    <w:rsid w:val="007C64A9"/>
    <w:rsid w:val="007E5FF7"/>
    <w:rsid w:val="00805D27"/>
    <w:rsid w:val="00821776"/>
    <w:rsid w:val="008321F5"/>
    <w:rsid w:val="00832369"/>
    <w:rsid w:val="00832A7A"/>
    <w:rsid w:val="00834660"/>
    <w:rsid w:val="00836BC2"/>
    <w:rsid w:val="0085156D"/>
    <w:rsid w:val="0085641B"/>
    <w:rsid w:val="00857136"/>
    <w:rsid w:val="008708AF"/>
    <w:rsid w:val="00871242"/>
    <w:rsid w:val="00876B5F"/>
    <w:rsid w:val="00885B11"/>
    <w:rsid w:val="00886D15"/>
    <w:rsid w:val="00887DD8"/>
    <w:rsid w:val="00891BA9"/>
    <w:rsid w:val="00896018"/>
    <w:rsid w:val="008960DD"/>
    <w:rsid w:val="0089635C"/>
    <w:rsid w:val="00896FFE"/>
    <w:rsid w:val="008A2B9D"/>
    <w:rsid w:val="008A3D9F"/>
    <w:rsid w:val="008A5E0B"/>
    <w:rsid w:val="008A6D59"/>
    <w:rsid w:val="008B4B03"/>
    <w:rsid w:val="008B596F"/>
    <w:rsid w:val="008C159F"/>
    <w:rsid w:val="008C1623"/>
    <w:rsid w:val="008C1850"/>
    <w:rsid w:val="008C51A9"/>
    <w:rsid w:val="008E3073"/>
    <w:rsid w:val="008E37E8"/>
    <w:rsid w:val="008E5C53"/>
    <w:rsid w:val="008E7846"/>
    <w:rsid w:val="008F1CCC"/>
    <w:rsid w:val="008F2967"/>
    <w:rsid w:val="008F4374"/>
    <w:rsid w:val="008F6943"/>
    <w:rsid w:val="00902A21"/>
    <w:rsid w:val="00920330"/>
    <w:rsid w:val="009219D7"/>
    <w:rsid w:val="00922D53"/>
    <w:rsid w:val="00923B70"/>
    <w:rsid w:val="00924482"/>
    <w:rsid w:val="00930237"/>
    <w:rsid w:val="00940A89"/>
    <w:rsid w:val="00945598"/>
    <w:rsid w:val="00946EA5"/>
    <w:rsid w:val="00963C08"/>
    <w:rsid w:val="0098585A"/>
    <w:rsid w:val="00991E9F"/>
    <w:rsid w:val="009A142B"/>
    <w:rsid w:val="009A4CED"/>
    <w:rsid w:val="009A690D"/>
    <w:rsid w:val="009B1D12"/>
    <w:rsid w:val="009B416B"/>
    <w:rsid w:val="009C4BD5"/>
    <w:rsid w:val="009D0A34"/>
    <w:rsid w:val="009D7B77"/>
    <w:rsid w:val="009E0BB0"/>
    <w:rsid w:val="009E3FBB"/>
    <w:rsid w:val="009F667E"/>
    <w:rsid w:val="00A04F85"/>
    <w:rsid w:val="00A102E4"/>
    <w:rsid w:val="00A12C42"/>
    <w:rsid w:val="00A14DF7"/>
    <w:rsid w:val="00A3246D"/>
    <w:rsid w:val="00A36FA7"/>
    <w:rsid w:val="00A42490"/>
    <w:rsid w:val="00A44DDB"/>
    <w:rsid w:val="00A475B7"/>
    <w:rsid w:val="00A47AF7"/>
    <w:rsid w:val="00A47C3E"/>
    <w:rsid w:val="00A50226"/>
    <w:rsid w:val="00A55DA0"/>
    <w:rsid w:val="00A60BAD"/>
    <w:rsid w:val="00A80256"/>
    <w:rsid w:val="00A80B5B"/>
    <w:rsid w:val="00A84E36"/>
    <w:rsid w:val="00A964D1"/>
    <w:rsid w:val="00AA0ED0"/>
    <w:rsid w:val="00AC2B40"/>
    <w:rsid w:val="00AC2BB2"/>
    <w:rsid w:val="00AC2C3C"/>
    <w:rsid w:val="00AC3341"/>
    <w:rsid w:val="00AC512D"/>
    <w:rsid w:val="00AC5DD8"/>
    <w:rsid w:val="00AD0083"/>
    <w:rsid w:val="00AD3935"/>
    <w:rsid w:val="00AE65EB"/>
    <w:rsid w:val="00AE67A7"/>
    <w:rsid w:val="00AE6BE2"/>
    <w:rsid w:val="00AF1D94"/>
    <w:rsid w:val="00AF60C5"/>
    <w:rsid w:val="00AF6AC7"/>
    <w:rsid w:val="00B00796"/>
    <w:rsid w:val="00B009C6"/>
    <w:rsid w:val="00B01548"/>
    <w:rsid w:val="00B21D29"/>
    <w:rsid w:val="00B25034"/>
    <w:rsid w:val="00B33588"/>
    <w:rsid w:val="00B33863"/>
    <w:rsid w:val="00B37D17"/>
    <w:rsid w:val="00B4175E"/>
    <w:rsid w:val="00B452CE"/>
    <w:rsid w:val="00B50EE0"/>
    <w:rsid w:val="00B54C25"/>
    <w:rsid w:val="00B6521B"/>
    <w:rsid w:val="00B76B91"/>
    <w:rsid w:val="00B77EB1"/>
    <w:rsid w:val="00B811C6"/>
    <w:rsid w:val="00B83F7D"/>
    <w:rsid w:val="00B855B0"/>
    <w:rsid w:val="00B8798F"/>
    <w:rsid w:val="00B92E08"/>
    <w:rsid w:val="00BB73CF"/>
    <w:rsid w:val="00BC622A"/>
    <w:rsid w:val="00BD1BD9"/>
    <w:rsid w:val="00BE0A78"/>
    <w:rsid w:val="00BE23D9"/>
    <w:rsid w:val="00BE79F0"/>
    <w:rsid w:val="00BF046D"/>
    <w:rsid w:val="00BF1190"/>
    <w:rsid w:val="00BF5D04"/>
    <w:rsid w:val="00C115DF"/>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6BC0"/>
    <w:rsid w:val="00CC1949"/>
    <w:rsid w:val="00CC1B7C"/>
    <w:rsid w:val="00CC727F"/>
    <w:rsid w:val="00CF15C3"/>
    <w:rsid w:val="00CF2B6F"/>
    <w:rsid w:val="00CF58B6"/>
    <w:rsid w:val="00D017ED"/>
    <w:rsid w:val="00D040D3"/>
    <w:rsid w:val="00D04C65"/>
    <w:rsid w:val="00D1559C"/>
    <w:rsid w:val="00D201D2"/>
    <w:rsid w:val="00D224FE"/>
    <w:rsid w:val="00D23139"/>
    <w:rsid w:val="00D425BB"/>
    <w:rsid w:val="00D51522"/>
    <w:rsid w:val="00D54BAC"/>
    <w:rsid w:val="00D56684"/>
    <w:rsid w:val="00D6493E"/>
    <w:rsid w:val="00D7195D"/>
    <w:rsid w:val="00D7301E"/>
    <w:rsid w:val="00D81C25"/>
    <w:rsid w:val="00D83AE1"/>
    <w:rsid w:val="00D855D4"/>
    <w:rsid w:val="00D93466"/>
    <w:rsid w:val="00DA1124"/>
    <w:rsid w:val="00DA2B83"/>
    <w:rsid w:val="00DB6124"/>
    <w:rsid w:val="00DB750B"/>
    <w:rsid w:val="00DB75B7"/>
    <w:rsid w:val="00DC6E02"/>
    <w:rsid w:val="00DD7DC6"/>
    <w:rsid w:val="00DE02AE"/>
    <w:rsid w:val="00DF1D7F"/>
    <w:rsid w:val="00DF4BE4"/>
    <w:rsid w:val="00E00C40"/>
    <w:rsid w:val="00E02FB4"/>
    <w:rsid w:val="00E13FC7"/>
    <w:rsid w:val="00E20571"/>
    <w:rsid w:val="00E235F7"/>
    <w:rsid w:val="00E23659"/>
    <w:rsid w:val="00E239D4"/>
    <w:rsid w:val="00E26130"/>
    <w:rsid w:val="00E30CEC"/>
    <w:rsid w:val="00E312B6"/>
    <w:rsid w:val="00E402F2"/>
    <w:rsid w:val="00E40B22"/>
    <w:rsid w:val="00E44ED1"/>
    <w:rsid w:val="00E45619"/>
    <w:rsid w:val="00E4588F"/>
    <w:rsid w:val="00E46DA3"/>
    <w:rsid w:val="00E50E1B"/>
    <w:rsid w:val="00E51BB1"/>
    <w:rsid w:val="00E52D66"/>
    <w:rsid w:val="00E530B6"/>
    <w:rsid w:val="00E624A5"/>
    <w:rsid w:val="00E64BA4"/>
    <w:rsid w:val="00E7344E"/>
    <w:rsid w:val="00E8388F"/>
    <w:rsid w:val="00EA6421"/>
    <w:rsid w:val="00EB0798"/>
    <w:rsid w:val="00EB40AD"/>
    <w:rsid w:val="00EB586E"/>
    <w:rsid w:val="00EB5FC8"/>
    <w:rsid w:val="00EC70D0"/>
    <w:rsid w:val="00EC7A85"/>
    <w:rsid w:val="00EC7E12"/>
    <w:rsid w:val="00ED3CAD"/>
    <w:rsid w:val="00ED5A41"/>
    <w:rsid w:val="00EE1DE8"/>
    <w:rsid w:val="00EE5020"/>
    <w:rsid w:val="00EF096E"/>
    <w:rsid w:val="00EF6E06"/>
    <w:rsid w:val="00F033EC"/>
    <w:rsid w:val="00F04F68"/>
    <w:rsid w:val="00F108A4"/>
    <w:rsid w:val="00F12670"/>
    <w:rsid w:val="00F14B27"/>
    <w:rsid w:val="00F23901"/>
    <w:rsid w:val="00F3148D"/>
    <w:rsid w:val="00F325C5"/>
    <w:rsid w:val="00F32FE0"/>
    <w:rsid w:val="00F35298"/>
    <w:rsid w:val="00F47333"/>
    <w:rsid w:val="00F47E37"/>
    <w:rsid w:val="00F51F59"/>
    <w:rsid w:val="00F53C07"/>
    <w:rsid w:val="00F54B65"/>
    <w:rsid w:val="00F62B48"/>
    <w:rsid w:val="00F640B6"/>
    <w:rsid w:val="00F7595A"/>
    <w:rsid w:val="00F80E40"/>
    <w:rsid w:val="00F848D9"/>
    <w:rsid w:val="00F935CB"/>
    <w:rsid w:val="00F94BE4"/>
    <w:rsid w:val="00FA5B82"/>
    <w:rsid w:val="00FA639E"/>
    <w:rsid w:val="00FC25E4"/>
    <w:rsid w:val="00FC4EF7"/>
    <w:rsid w:val="00FD0824"/>
    <w:rsid w:val="00FD119B"/>
    <w:rsid w:val="00FD1EDC"/>
    <w:rsid w:val="00FD5ED4"/>
    <w:rsid w:val="00FE14F0"/>
    <w:rsid w:val="00FE1DEE"/>
    <w:rsid w:val="00FF0F92"/>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12EF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31D0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56B3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4565E4"/>
    <w:pPr>
      <w:spacing w:before="3120"/>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ind w:left="360"/>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212EF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212EF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156B3F"/>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12EF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12EF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mine">
    <w:name w:val="mine"/>
    <w:basedOn w:val="Normal"/>
    <w:next w:val="Normal"/>
    <w:qFormat/>
    <w:rsid w:val="00E8388F"/>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table">
    <w:name w:val="table"/>
    <w:basedOn w:val="Normal"/>
    <w:qFormat/>
    <w:rsid w:val="00E8388F"/>
    <w:pPr>
      <w:adjustRightInd w:val="0"/>
      <w:snapToGrid w:val="0"/>
      <w:spacing w:before="0" w:after="0" w:line="240" w:lineRule="auto"/>
    </w:pPr>
    <w:rPr>
      <w:rFonts w:ascii="Times New Roman" w:eastAsia="MS Mincho" w:hAnsi="Times New Roman"/>
      <w:sz w:val="18"/>
      <w:szCs w:val="20"/>
      <w:lang w:eastAsia="ja-JP"/>
    </w:rPr>
  </w:style>
  <w:style w:type="paragraph" w:styleId="ListParagraph">
    <w:name w:val="List Paragraph"/>
    <w:basedOn w:val="Normal"/>
    <w:uiPriority w:val="34"/>
    <w:qFormat/>
    <w:rsid w:val="00E8388F"/>
    <w:pPr>
      <w:spacing w:before="0" w:after="0" w:line="240" w:lineRule="auto"/>
      <w:ind w:left="720"/>
      <w:contextualSpacing/>
    </w:pPr>
    <w:rPr>
      <w:rFonts w:ascii="Times New Roman" w:eastAsiaTheme="minorHAnsi" w:hAnsi="Times New Roman"/>
      <w:sz w:val="24"/>
      <w:szCs w:val="24"/>
    </w:rPr>
  </w:style>
  <w:style w:type="paragraph" w:customStyle="1" w:styleId="Bulletpoint">
    <w:name w:val="Bullet point"/>
    <w:basedOn w:val="Normal"/>
    <w:rsid w:val="0067304A"/>
    <w:pPr>
      <w:numPr>
        <w:numId w:val="5"/>
      </w:numPr>
      <w:tabs>
        <w:tab w:val="clear" w:pos="3772"/>
        <w:tab w:val="left" w:pos="397"/>
        <w:tab w:val="num" w:pos="511"/>
      </w:tabs>
      <w:spacing w:before="0" w:after="180" w:line="252" w:lineRule="auto"/>
      <w:ind w:left="369"/>
    </w:pPr>
    <w:rPr>
      <w:rFonts w:eastAsia="Times New Roman"/>
      <w:snapToGrid w:val="0"/>
      <w:kern w:val="16"/>
      <w:szCs w:val="24"/>
    </w:rPr>
  </w:style>
  <w:style w:type="paragraph" w:customStyle="1" w:styleId="Standard">
    <w:name w:val="Standard"/>
    <w:basedOn w:val="Normal"/>
    <w:link w:val="StandardChar"/>
    <w:qFormat/>
    <w:rsid w:val="0067304A"/>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67304A"/>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67304A"/>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next w:val="Standard"/>
    <w:link w:val="WhiteSpaceChar"/>
    <w:qFormat/>
    <w:rsid w:val="0067304A"/>
    <w:pPr>
      <w:spacing w:after="0"/>
    </w:pPr>
    <w:rPr>
      <w:sz w:val="16"/>
      <w:szCs w:val="16"/>
    </w:rPr>
  </w:style>
  <w:style w:type="character" w:customStyle="1" w:styleId="WhiteSpaceChar">
    <w:name w:val="White Space Char"/>
    <w:basedOn w:val="DefaultParagraphFont"/>
    <w:link w:val="WhiteSpace"/>
    <w:rsid w:val="0067304A"/>
    <w:rPr>
      <w:rFonts w:ascii="Cambria" w:eastAsia="Times New Roman" w:hAnsi="Cambria" w:cs="Times New Roman"/>
      <w:snapToGrid w:val="0"/>
      <w:kern w:val="16"/>
      <w:sz w:val="16"/>
      <w:szCs w:val="16"/>
    </w:rPr>
  </w:style>
  <w:style w:type="paragraph" w:customStyle="1" w:styleId="AssessmentSubsection2">
    <w:name w:val="Assessment Subsection 2"/>
    <w:basedOn w:val="Normal"/>
    <w:next w:val="Standard"/>
    <w:rsid w:val="0067304A"/>
    <w:pPr>
      <w:keepNext/>
      <w:spacing w:before="0" w:after="110" w:line="252" w:lineRule="auto"/>
      <w:outlineLvl w:val="3"/>
    </w:pPr>
    <w:rPr>
      <w:rFonts w:eastAsia="Times New Roman"/>
      <w:i/>
      <w:snapToGrid w:val="0"/>
      <w:kern w:val="16"/>
      <w:szCs w:val="24"/>
    </w:rPr>
  </w:style>
  <w:style w:type="paragraph" w:customStyle="1" w:styleId="Bullet1">
    <w:name w:val="Bullet 1"/>
    <w:basedOn w:val="Normal"/>
    <w:rsid w:val="00031D05"/>
    <w:pPr>
      <w:numPr>
        <w:numId w:val="6"/>
      </w:numPr>
      <w:spacing w:after="0" w:line="240" w:lineRule="auto"/>
    </w:pPr>
    <w:rPr>
      <w:rFonts w:eastAsia="Times New Roman"/>
      <w:kern w:val="24"/>
      <w:szCs w:val="24"/>
      <w:lang w:eastAsia="en-AU"/>
    </w:rPr>
  </w:style>
  <w:style w:type="paragraph" w:customStyle="1" w:styleId="Bullet2">
    <w:name w:val="Bullet 2"/>
    <w:basedOn w:val="Bullet1"/>
    <w:rsid w:val="00031D05"/>
    <w:pPr>
      <w:numPr>
        <w:numId w:val="7"/>
      </w:numPr>
    </w:pPr>
  </w:style>
  <w:style w:type="character" w:customStyle="1" w:styleId="Heading8Char">
    <w:name w:val="Heading 8 Char"/>
    <w:basedOn w:val="DefaultParagraphFont"/>
    <w:link w:val="Heading8"/>
    <w:uiPriority w:val="9"/>
    <w:semiHidden/>
    <w:rsid w:val="00031D05"/>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semiHidden/>
    <w:rsid w:val="00031D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031D05"/>
    <w:rPr>
      <w:rFonts w:ascii="Cambria" w:eastAsia="Times New Roman" w:hAnsi="Cambria" w:cs="Times New Roman"/>
      <w:kern w:val="16"/>
      <w:sz w:val="20"/>
      <w:szCs w:val="20"/>
      <w:lang w:eastAsia="en-AU"/>
    </w:rPr>
  </w:style>
  <w:style w:type="character" w:styleId="EndnoteReference">
    <w:name w:val="endnote reference"/>
    <w:semiHidden/>
    <w:rsid w:val="00031D05"/>
    <w:rPr>
      <w:dstrike w:val="0"/>
      <w:vertAlign w:val="baseline"/>
    </w:rPr>
  </w:style>
  <w:style w:type="table" w:customStyle="1" w:styleId="TableTGAblue1">
    <w:name w:val="Table TGA blue1"/>
    <w:basedOn w:val="TableNormal"/>
    <w:uiPriority w:val="99"/>
    <w:qFormat/>
    <w:rsid w:val="00D56684"/>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AC5DD8"/>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rsid w:val="00AC5DD8"/>
    <w:rPr>
      <w:sz w:val="16"/>
      <w:szCs w:val="16"/>
    </w:rPr>
  </w:style>
  <w:style w:type="paragraph" w:styleId="CommentText">
    <w:name w:val="annotation text"/>
    <w:basedOn w:val="Normal"/>
    <w:link w:val="CommentTextChar"/>
    <w:rsid w:val="00AC5DD8"/>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rsid w:val="00AC5DD8"/>
    <w:rPr>
      <w:rFonts w:ascii="Cambria" w:eastAsia="MS Mincho" w:hAnsi="Cambria" w:cs="Times New Roman"/>
      <w:sz w:val="20"/>
      <w:szCs w:val="20"/>
      <w:lang w:eastAsia="ja-JP"/>
    </w:rPr>
  </w:style>
  <w:style w:type="paragraph" w:styleId="NormalWeb">
    <w:name w:val="Normal (Web)"/>
    <w:basedOn w:val="Normal"/>
    <w:uiPriority w:val="99"/>
    <w:unhideWhenUsed/>
    <w:rsid w:val="00EE5020"/>
    <w:pPr>
      <w:spacing w:before="240" w:after="240" w:line="240" w:lineRule="auto"/>
    </w:pPr>
    <w:rPr>
      <w:rFonts w:ascii="Times New Roman" w:eastAsia="Times New Roman" w:hAnsi="Times New Roman"/>
      <w:sz w:val="24"/>
      <w:szCs w:val="24"/>
      <w:lang w:eastAsia="en-AU"/>
    </w:rPr>
  </w:style>
  <w:style w:type="character" w:customStyle="1" w:styleId="st1">
    <w:name w:val="st1"/>
    <w:basedOn w:val="DefaultParagraphFont"/>
    <w:rsid w:val="00EC7E12"/>
  </w:style>
  <w:style w:type="paragraph" w:styleId="CommentSubject">
    <w:name w:val="annotation subject"/>
    <w:basedOn w:val="CommentText"/>
    <w:next w:val="CommentText"/>
    <w:link w:val="CommentSubjectChar"/>
    <w:uiPriority w:val="99"/>
    <w:semiHidden/>
    <w:unhideWhenUsed/>
    <w:rsid w:val="00011A6D"/>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011A6D"/>
    <w:rPr>
      <w:rFonts w:ascii="Cambria" w:eastAsia="Cambria" w:hAnsi="Cambria" w:cs="Times New Roman"/>
      <w:b/>
      <w:bCs/>
      <w:sz w:val="20"/>
      <w:szCs w:val="20"/>
      <w:lang w:eastAsia="ja-JP"/>
    </w:rPr>
  </w:style>
  <w:style w:type="character" w:styleId="Emphasis">
    <w:name w:val="Emphasis"/>
    <w:basedOn w:val="DefaultParagraphFont"/>
    <w:uiPriority w:val="20"/>
    <w:qFormat/>
    <w:rsid w:val="00F51F59"/>
    <w:rPr>
      <w:b/>
      <w:bCs/>
      <w:i w:val="0"/>
      <w:iCs w:val="0"/>
    </w:rPr>
  </w:style>
  <w:style w:type="paragraph" w:styleId="Revision">
    <w:name w:val="Revision"/>
    <w:hidden/>
    <w:uiPriority w:val="99"/>
    <w:semiHidden/>
    <w:rsid w:val="006524B2"/>
    <w:pPr>
      <w:spacing w:after="0" w:line="240" w:lineRule="auto"/>
    </w:pPr>
    <w:rPr>
      <w:rFonts w:ascii="Cambria" w:eastAsia="Cambria" w:hAnsi="Cambria" w:cs="Times New Roman"/>
    </w:rPr>
  </w:style>
  <w:style w:type="character" w:styleId="Strong">
    <w:name w:val="Strong"/>
    <w:basedOn w:val="DefaultParagraphFont"/>
    <w:uiPriority w:val="22"/>
    <w:qFormat/>
    <w:rsid w:val="00CC19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12EF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31D0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56B3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4565E4"/>
    <w:pPr>
      <w:spacing w:before="3120"/>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ind w:left="360"/>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212EF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212EF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156B3F"/>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12EF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12EF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mine">
    <w:name w:val="mine"/>
    <w:basedOn w:val="Normal"/>
    <w:next w:val="Normal"/>
    <w:qFormat/>
    <w:rsid w:val="00E8388F"/>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table">
    <w:name w:val="table"/>
    <w:basedOn w:val="Normal"/>
    <w:qFormat/>
    <w:rsid w:val="00E8388F"/>
    <w:pPr>
      <w:adjustRightInd w:val="0"/>
      <w:snapToGrid w:val="0"/>
      <w:spacing w:before="0" w:after="0" w:line="240" w:lineRule="auto"/>
    </w:pPr>
    <w:rPr>
      <w:rFonts w:ascii="Times New Roman" w:eastAsia="MS Mincho" w:hAnsi="Times New Roman"/>
      <w:sz w:val="18"/>
      <w:szCs w:val="20"/>
      <w:lang w:eastAsia="ja-JP"/>
    </w:rPr>
  </w:style>
  <w:style w:type="paragraph" w:styleId="ListParagraph">
    <w:name w:val="List Paragraph"/>
    <w:basedOn w:val="Normal"/>
    <w:uiPriority w:val="34"/>
    <w:qFormat/>
    <w:rsid w:val="00E8388F"/>
    <w:pPr>
      <w:spacing w:before="0" w:after="0" w:line="240" w:lineRule="auto"/>
      <w:ind w:left="720"/>
      <w:contextualSpacing/>
    </w:pPr>
    <w:rPr>
      <w:rFonts w:ascii="Times New Roman" w:eastAsiaTheme="minorHAnsi" w:hAnsi="Times New Roman"/>
      <w:sz w:val="24"/>
      <w:szCs w:val="24"/>
    </w:rPr>
  </w:style>
  <w:style w:type="paragraph" w:customStyle="1" w:styleId="Bulletpoint">
    <w:name w:val="Bullet point"/>
    <w:basedOn w:val="Normal"/>
    <w:rsid w:val="0067304A"/>
    <w:pPr>
      <w:numPr>
        <w:numId w:val="5"/>
      </w:numPr>
      <w:tabs>
        <w:tab w:val="clear" w:pos="3772"/>
        <w:tab w:val="left" w:pos="397"/>
        <w:tab w:val="num" w:pos="511"/>
      </w:tabs>
      <w:spacing w:before="0" w:after="180" w:line="252" w:lineRule="auto"/>
      <w:ind w:left="369"/>
    </w:pPr>
    <w:rPr>
      <w:rFonts w:eastAsia="Times New Roman"/>
      <w:snapToGrid w:val="0"/>
      <w:kern w:val="16"/>
      <w:szCs w:val="24"/>
    </w:rPr>
  </w:style>
  <w:style w:type="paragraph" w:customStyle="1" w:styleId="Standard">
    <w:name w:val="Standard"/>
    <w:basedOn w:val="Normal"/>
    <w:link w:val="StandardChar"/>
    <w:qFormat/>
    <w:rsid w:val="0067304A"/>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67304A"/>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67304A"/>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next w:val="Standard"/>
    <w:link w:val="WhiteSpaceChar"/>
    <w:qFormat/>
    <w:rsid w:val="0067304A"/>
    <w:pPr>
      <w:spacing w:after="0"/>
    </w:pPr>
    <w:rPr>
      <w:sz w:val="16"/>
      <w:szCs w:val="16"/>
    </w:rPr>
  </w:style>
  <w:style w:type="character" w:customStyle="1" w:styleId="WhiteSpaceChar">
    <w:name w:val="White Space Char"/>
    <w:basedOn w:val="DefaultParagraphFont"/>
    <w:link w:val="WhiteSpace"/>
    <w:rsid w:val="0067304A"/>
    <w:rPr>
      <w:rFonts w:ascii="Cambria" w:eastAsia="Times New Roman" w:hAnsi="Cambria" w:cs="Times New Roman"/>
      <w:snapToGrid w:val="0"/>
      <w:kern w:val="16"/>
      <w:sz w:val="16"/>
      <w:szCs w:val="16"/>
    </w:rPr>
  </w:style>
  <w:style w:type="paragraph" w:customStyle="1" w:styleId="AssessmentSubsection2">
    <w:name w:val="Assessment Subsection 2"/>
    <w:basedOn w:val="Normal"/>
    <w:next w:val="Standard"/>
    <w:rsid w:val="0067304A"/>
    <w:pPr>
      <w:keepNext/>
      <w:spacing w:before="0" w:after="110" w:line="252" w:lineRule="auto"/>
      <w:outlineLvl w:val="3"/>
    </w:pPr>
    <w:rPr>
      <w:rFonts w:eastAsia="Times New Roman"/>
      <w:i/>
      <w:snapToGrid w:val="0"/>
      <w:kern w:val="16"/>
      <w:szCs w:val="24"/>
    </w:rPr>
  </w:style>
  <w:style w:type="paragraph" w:customStyle="1" w:styleId="Bullet1">
    <w:name w:val="Bullet 1"/>
    <w:basedOn w:val="Normal"/>
    <w:rsid w:val="00031D05"/>
    <w:pPr>
      <w:numPr>
        <w:numId w:val="6"/>
      </w:numPr>
      <w:spacing w:after="0" w:line="240" w:lineRule="auto"/>
    </w:pPr>
    <w:rPr>
      <w:rFonts w:eastAsia="Times New Roman"/>
      <w:kern w:val="24"/>
      <w:szCs w:val="24"/>
      <w:lang w:eastAsia="en-AU"/>
    </w:rPr>
  </w:style>
  <w:style w:type="paragraph" w:customStyle="1" w:styleId="Bullet2">
    <w:name w:val="Bullet 2"/>
    <w:basedOn w:val="Bullet1"/>
    <w:rsid w:val="00031D05"/>
    <w:pPr>
      <w:numPr>
        <w:numId w:val="7"/>
      </w:numPr>
    </w:pPr>
  </w:style>
  <w:style w:type="character" w:customStyle="1" w:styleId="Heading8Char">
    <w:name w:val="Heading 8 Char"/>
    <w:basedOn w:val="DefaultParagraphFont"/>
    <w:link w:val="Heading8"/>
    <w:uiPriority w:val="9"/>
    <w:semiHidden/>
    <w:rsid w:val="00031D05"/>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semiHidden/>
    <w:rsid w:val="00031D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031D05"/>
    <w:rPr>
      <w:rFonts w:ascii="Cambria" w:eastAsia="Times New Roman" w:hAnsi="Cambria" w:cs="Times New Roman"/>
      <w:kern w:val="16"/>
      <w:sz w:val="20"/>
      <w:szCs w:val="20"/>
      <w:lang w:eastAsia="en-AU"/>
    </w:rPr>
  </w:style>
  <w:style w:type="character" w:styleId="EndnoteReference">
    <w:name w:val="endnote reference"/>
    <w:semiHidden/>
    <w:rsid w:val="00031D05"/>
    <w:rPr>
      <w:dstrike w:val="0"/>
      <w:vertAlign w:val="baseline"/>
    </w:rPr>
  </w:style>
  <w:style w:type="table" w:customStyle="1" w:styleId="TableTGAblue1">
    <w:name w:val="Table TGA blue1"/>
    <w:basedOn w:val="TableNormal"/>
    <w:uiPriority w:val="99"/>
    <w:qFormat/>
    <w:rsid w:val="00D56684"/>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AC5DD8"/>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rsid w:val="00AC5DD8"/>
    <w:rPr>
      <w:sz w:val="16"/>
      <w:szCs w:val="16"/>
    </w:rPr>
  </w:style>
  <w:style w:type="paragraph" w:styleId="CommentText">
    <w:name w:val="annotation text"/>
    <w:basedOn w:val="Normal"/>
    <w:link w:val="CommentTextChar"/>
    <w:rsid w:val="00AC5DD8"/>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rsid w:val="00AC5DD8"/>
    <w:rPr>
      <w:rFonts w:ascii="Cambria" w:eastAsia="MS Mincho" w:hAnsi="Cambria" w:cs="Times New Roman"/>
      <w:sz w:val="20"/>
      <w:szCs w:val="20"/>
      <w:lang w:eastAsia="ja-JP"/>
    </w:rPr>
  </w:style>
  <w:style w:type="paragraph" w:styleId="NormalWeb">
    <w:name w:val="Normal (Web)"/>
    <w:basedOn w:val="Normal"/>
    <w:uiPriority w:val="99"/>
    <w:unhideWhenUsed/>
    <w:rsid w:val="00EE5020"/>
    <w:pPr>
      <w:spacing w:before="240" w:after="240" w:line="240" w:lineRule="auto"/>
    </w:pPr>
    <w:rPr>
      <w:rFonts w:ascii="Times New Roman" w:eastAsia="Times New Roman" w:hAnsi="Times New Roman"/>
      <w:sz w:val="24"/>
      <w:szCs w:val="24"/>
      <w:lang w:eastAsia="en-AU"/>
    </w:rPr>
  </w:style>
  <w:style w:type="character" w:customStyle="1" w:styleId="st1">
    <w:name w:val="st1"/>
    <w:basedOn w:val="DefaultParagraphFont"/>
    <w:rsid w:val="00EC7E12"/>
  </w:style>
  <w:style w:type="paragraph" w:styleId="CommentSubject">
    <w:name w:val="annotation subject"/>
    <w:basedOn w:val="CommentText"/>
    <w:next w:val="CommentText"/>
    <w:link w:val="CommentSubjectChar"/>
    <w:uiPriority w:val="99"/>
    <w:semiHidden/>
    <w:unhideWhenUsed/>
    <w:rsid w:val="00011A6D"/>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011A6D"/>
    <w:rPr>
      <w:rFonts w:ascii="Cambria" w:eastAsia="Cambria" w:hAnsi="Cambria" w:cs="Times New Roman"/>
      <w:b/>
      <w:bCs/>
      <w:sz w:val="20"/>
      <w:szCs w:val="20"/>
      <w:lang w:eastAsia="ja-JP"/>
    </w:rPr>
  </w:style>
  <w:style w:type="character" w:styleId="Emphasis">
    <w:name w:val="Emphasis"/>
    <w:basedOn w:val="DefaultParagraphFont"/>
    <w:uiPriority w:val="20"/>
    <w:qFormat/>
    <w:rsid w:val="00F51F59"/>
    <w:rPr>
      <w:b/>
      <w:bCs/>
      <w:i w:val="0"/>
      <w:iCs w:val="0"/>
    </w:rPr>
  </w:style>
  <w:style w:type="paragraph" w:styleId="Revision">
    <w:name w:val="Revision"/>
    <w:hidden/>
    <w:uiPriority w:val="99"/>
    <w:semiHidden/>
    <w:rsid w:val="006524B2"/>
    <w:pPr>
      <w:spacing w:after="0" w:line="240" w:lineRule="auto"/>
    </w:pPr>
    <w:rPr>
      <w:rFonts w:ascii="Cambria" w:eastAsia="Cambria" w:hAnsi="Cambria" w:cs="Times New Roman"/>
    </w:rPr>
  </w:style>
  <w:style w:type="character" w:styleId="Strong">
    <w:name w:val="Strong"/>
    <w:basedOn w:val="DefaultParagraphFont"/>
    <w:uiPriority w:val="22"/>
    <w:qFormat/>
    <w:rsid w:val="00CC19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25146">
      <w:bodyDiv w:val="1"/>
      <w:marLeft w:val="0"/>
      <w:marRight w:val="0"/>
      <w:marTop w:val="0"/>
      <w:marBottom w:val="0"/>
      <w:divBdr>
        <w:top w:val="none" w:sz="0" w:space="0" w:color="auto"/>
        <w:left w:val="none" w:sz="0" w:space="0" w:color="auto"/>
        <w:bottom w:val="none" w:sz="0" w:space="0" w:color="auto"/>
        <w:right w:val="none" w:sz="0" w:space="0" w:color="auto"/>
      </w:divBdr>
    </w:div>
    <w:div w:id="564419521">
      <w:bodyDiv w:val="1"/>
      <w:marLeft w:val="0"/>
      <w:marRight w:val="0"/>
      <w:marTop w:val="0"/>
      <w:marBottom w:val="0"/>
      <w:divBdr>
        <w:top w:val="none" w:sz="0" w:space="0" w:color="auto"/>
        <w:left w:val="none" w:sz="0" w:space="0" w:color="auto"/>
        <w:bottom w:val="none" w:sz="0" w:space="0" w:color="auto"/>
        <w:right w:val="none" w:sz="0" w:space="0" w:color="auto"/>
      </w:divBdr>
      <w:divsChild>
        <w:div w:id="1468548615">
          <w:marLeft w:val="0"/>
          <w:marRight w:val="0"/>
          <w:marTop w:val="0"/>
          <w:marBottom w:val="0"/>
          <w:divBdr>
            <w:top w:val="none" w:sz="0" w:space="0" w:color="auto"/>
            <w:left w:val="none" w:sz="0" w:space="0" w:color="auto"/>
            <w:bottom w:val="none" w:sz="0" w:space="0" w:color="auto"/>
            <w:right w:val="none" w:sz="0" w:space="0" w:color="auto"/>
          </w:divBdr>
          <w:divsChild>
            <w:div w:id="1193230543">
              <w:marLeft w:val="0"/>
              <w:marRight w:val="0"/>
              <w:marTop w:val="0"/>
              <w:marBottom w:val="0"/>
              <w:divBdr>
                <w:top w:val="none" w:sz="0" w:space="0" w:color="auto"/>
                <w:left w:val="none" w:sz="0" w:space="0" w:color="auto"/>
                <w:bottom w:val="none" w:sz="0" w:space="0" w:color="auto"/>
                <w:right w:val="none" w:sz="0" w:space="0" w:color="auto"/>
              </w:divBdr>
              <w:divsChild>
                <w:div w:id="1981154052">
                  <w:marLeft w:val="0"/>
                  <w:marRight w:val="0"/>
                  <w:marTop w:val="0"/>
                  <w:marBottom w:val="0"/>
                  <w:divBdr>
                    <w:top w:val="none" w:sz="0" w:space="0" w:color="auto"/>
                    <w:left w:val="none" w:sz="0" w:space="0" w:color="auto"/>
                    <w:bottom w:val="none" w:sz="0" w:space="0" w:color="auto"/>
                    <w:right w:val="none" w:sz="0" w:space="0" w:color="auto"/>
                  </w:divBdr>
                  <w:divsChild>
                    <w:div w:id="927034709">
                      <w:marLeft w:val="0"/>
                      <w:marRight w:val="0"/>
                      <w:marTop w:val="0"/>
                      <w:marBottom w:val="0"/>
                      <w:divBdr>
                        <w:top w:val="none" w:sz="0" w:space="0" w:color="auto"/>
                        <w:left w:val="none" w:sz="0" w:space="0" w:color="auto"/>
                        <w:bottom w:val="none" w:sz="0" w:space="0" w:color="auto"/>
                        <w:right w:val="none" w:sz="0" w:space="0" w:color="auto"/>
                      </w:divBdr>
                      <w:divsChild>
                        <w:div w:id="920602177">
                          <w:marLeft w:val="0"/>
                          <w:marRight w:val="0"/>
                          <w:marTop w:val="0"/>
                          <w:marBottom w:val="0"/>
                          <w:divBdr>
                            <w:top w:val="none" w:sz="0" w:space="0" w:color="auto"/>
                            <w:left w:val="none" w:sz="0" w:space="0" w:color="auto"/>
                            <w:bottom w:val="none" w:sz="0" w:space="0" w:color="auto"/>
                            <w:right w:val="none" w:sz="0" w:space="0" w:color="auto"/>
                          </w:divBdr>
                          <w:divsChild>
                            <w:div w:id="1485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8846">
      <w:bodyDiv w:val="1"/>
      <w:marLeft w:val="0"/>
      <w:marRight w:val="0"/>
      <w:marTop w:val="0"/>
      <w:marBottom w:val="0"/>
      <w:divBdr>
        <w:top w:val="none" w:sz="0" w:space="0" w:color="auto"/>
        <w:left w:val="none" w:sz="0" w:space="0" w:color="auto"/>
        <w:bottom w:val="none" w:sz="0" w:space="0" w:color="auto"/>
        <w:right w:val="none" w:sz="0" w:space="0" w:color="auto"/>
      </w:divBdr>
      <w:divsChild>
        <w:div w:id="195042100">
          <w:marLeft w:val="0"/>
          <w:marRight w:val="0"/>
          <w:marTop w:val="0"/>
          <w:marBottom w:val="0"/>
          <w:divBdr>
            <w:top w:val="none" w:sz="0" w:space="0" w:color="auto"/>
            <w:left w:val="none" w:sz="0" w:space="0" w:color="auto"/>
            <w:bottom w:val="none" w:sz="0" w:space="0" w:color="auto"/>
            <w:right w:val="none" w:sz="0" w:space="0" w:color="auto"/>
          </w:divBdr>
          <w:divsChild>
            <w:div w:id="939680245">
              <w:marLeft w:val="0"/>
              <w:marRight w:val="0"/>
              <w:marTop w:val="0"/>
              <w:marBottom w:val="0"/>
              <w:divBdr>
                <w:top w:val="none" w:sz="0" w:space="0" w:color="auto"/>
                <w:left w:val="none" w:sz="0" w:space="0" w:color="auto"/>
                <w:bottom w:val="none" w:sz="0" w:space="0" w:color="auto"/>
                <w:right w:val="none" w:sz="0" w:space="0" w:color="auto"/>
              </w:divBdr>
              <w:divsChild>
                <w:div w:id="2069259266">
                  <w:marLeft w:val="0"/>
                  <w:marRight w:val="0"/>
                  <w:marTop w:val="0"/>
                  <w:marBottom w:val="0"/>
                  <w:divBdr>
                    <w:top w:val="none" w:sz="0" w:space="0" w:color="auto"/>
                    <w:left w:val="none" w:sz="0" w:space="0" w:color="auto"/>
                    <w:bottom w:val="none" w:sz="0" w:space="0" w:color="auto"/>
                    <w:right w:val="none" w:sz="0" w:space="0" w:color="auto"/>
                  </w:divBdr>
                  <w:divsChild>
                    <w:div w:id="1304694021">
                      <w:marLeft w:val="0"/>
                      <w:marRight w:val="0"/>
                      <w:marTop w:val="0"/>
                      <w:marBottom w:val="0"/>
                      <w:divBdr>
                        <w:top w:val="none" w:sz="0" w:space="0" w:color="auto"/>
                        <w:left w:val="none" w:sz="0" w:space="0" w:color="auto"/>
                        <w:bottom w:val="none" w:sz="0" w:space="0" w:color="auto"/>
                        <w:right w:val="none" w:sz="0" w:space="0" w:color="auto"/>
                      </w:divBdr>
                      <w:divsChild>
                        <w:div w:id="579680822">
                          <w:marLeft w:val="0"/>
                          <w:marRight w:val="0"/>
                          <w:marTop w:val="0"/>
                          <w:marBottom w:val="0"/>
                          <w:divBdr>
                            <w:top w:val="none" w:sz="0" w:space="0" w:color="auto"/>
                            <w:left w:val="none" w:sz="0" w:space="0" w:color="auto"/>
                            <w:bottom w:val="none" w:sz="0" w:space="0" w:color="auto"/>
                            <w:right w:val="none" w:sz="0" w:space="0" w:color="auto"/>
                          </w:divBdr>
                          <w:divsChild>
                            <w:div w:id="472911510">
                              <w:marLeft w:val="0"/>
                              <w:marRight w:val="0"/>
                              <w:marTop w:val="0"/>
                              <w:marBottom w:val="0"/>
                              <w:divBdr>
                                <w:top w:val="none" w:sz="0" w:space="0" w:color="auto"/>
                                <w:left w:val="none" w:sz="0" w:space="0" w:color="auto"/>
                                <w:bottom w:val="none" w:sz="0" w:space="0" w:color="auto"/>
                                <w:right w:val="none" w:sz="0" w:space="0" w:color="auto"/>
                              </w:divBdr>
                              <w:divsChild>
                                <w:div w:id="1932657798">
                                  <w:marLeft w:val="0"/>
                                  <w:marRight w:val="0"/>
                                  <w:marTop w:val="0"/>
                                  <w:marBottom w:val="0"/>
                                  <w:divBdr>
                                    <w:top w:val="none" w:sz="0" w:space="0" w:color="auto"/>
                                    <w:left w:val="none" w:sz="0" w:space="0" w:color="auto"/>
                                    <w:bottom w:val="none" w:sz="0" w:space="0" w:color="auto"/>
                                    <w:right w:val="none" w:sz="0" w:space="0" w:color="auto"/>
                                  </w:divBdr>
                                  <w:divsChild>
                                    <w:div w:id="840463571">
                                      <w:marLeft w:val="0"/>
                                      <w:marRight w:val="0"/>
                                      <w:marTop w:val="0"/>
                                      <w:marBottom w:val="0"/>
                                      <w:divBdr>
                                        <w:top w:val="none" w:sz="0" w:space="0" w:color="auto"/>
                                        <w:left w:val="none" w:sz="0" w:space="0" w:color="auto"/>
                                        <w:bottom w:val="none" w:sz="0" w:space="0" w:color="auto"/>
                                        <w:right w:val="none" w:sz="0" w:space="0" w:color="auto"/>
                                      </w:divBdr>
                                      <w:divsChild>
                                        <w:div w:id="220865850">
                                          <w:marLeft w:val="0"/>
                                          <w:marRight w:val="0"/>
                                          <w:marTop w:val="0"/>
                                          <w:marBottom w:val="0"/>
                                          <w:divBdr>
                                            <w:top w:val="none" w:sz="0" w:space="0" w:color="auto"/>
                                            <w:left w:val="none" w:sz="0" w:space="0" w:color="auto"/>
                                            <w:bottom w:val="none" w:sz="0" w:space="0" w:color="auto"/>
                                            <w:right w:val="none" w:sz="0" w:space="0" w:color="auto"/>
                                          </w:divBdr>
                                          <w:divsChild>
                                            <w:div w:id="1998261599">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495760">
      <w:bodyDiv w:val="1"/>
      <w:marLeft w:val="0"/>
      <w:marRight w:val="0"/>
      <w:marTop w:val="0"/>
      <w:marBottom w:val="0"/>
      <w:divBdr>
        <w:top w:val="none" w:sz="0" w:space="0" w:color="auto"/>
        <w:left w:val="none" w:sz="0" w:space="0" w:color="auto"/>
        <w:bottom w:val="none" w:sz="0" w:space="0" w:color="auto"/>
        <w:right w:val="none" w:sz="0" w:space="0" w:color="auto"/>
      </w:divBdr>
    </w:div>
    <w:div w:id="934167855">
      <w:bodyDiv w:val="1"/>
      <w:marLeft w:val="0"/>
      <w:marRight w:val="0"/>
      <w:marTop w:val="0"/>
      <w:marBottom w:val="0"/>
      <w:divBdr>
        <w:top w:val="none" w:sz="0" w:space="0" w:color="auto"/>
        <w:left w:val="none" w:sz="0" w:space="0" w:color="auto"/>
        <w:bottom w:val="none" w:sz="0" w:space="0" w:color="auto"/>
        <w:right w:val="none" w:sz="0" w:space="0" w:color="auto"/>
      </w:divBdr>
    </w:div>
    <w:div w:id="1123578823">
      <w:bodyDiv w:val="1"/>
      <w:marLeft w:val="0"/>
      <w:marRight w:val="0"/>
      <w:marTop w:val="0"/>
      <w:marBottom w:val="0"/>
      <w:divBdr>
        <w:top w:val="none" w:sz="0" w:space="0" w:color="auto"/>
        <w:left w:val="none" w:sz="0" w:space="0" w:color="auto"/>
        <w:bottom w:val="none" w:sz="0" w:space="0" w:color="auto"/>
        <w:right w:val="none" w:sz="0" w:space="0" w:color="auto"/>
      </w:divBdr>
    </w:div>
    <w:div w:id="1518042021">
      <w:bodyDiv w:val="1"/>
      <w:marLeft w:val="0"/>
      <w:marRight w:val="0"/>
      <w:marTop w:val="0"/>
      <w:marBottom w:val="0"/>
      <w:divBdr>
        <w:top w:val="none" w:sz="0" w:space="0" w:color="auto"/>
        <w:left w:val="none" w:sz="0" w:space="0" w:color="auto"/>
        <w:bottom w:val="none" w:sz="0" w:space="0" w:color="auto"/>
        <w:right w:val="none" w:sz="0" w:space="0" w:color="auto"/>
      </w:divBdr>
    </w:div>
    <w:div w:id="1660694487">
      <w:bodyDiv w:val="1"/>
      <w:marLeft w:val="0"/>
      <w:marRight w:val="0"/>
      <w:marTop w:val="0"/>
      <w:marBottom w:val="0"/>
      <w:divBdr>
        <w:top w:val="none" w:sz="0" w:space="0" w:color="auto"/>
        <w:left w:val="none" w:sz="0" w:space="0" w:color="auto"/>
        <w:bottom w:val="none" w:sz="0" w:space="0" w:color="auto"/>
        <w:right w:val="none" w:sz="0" w:space="0" w:color="auto"/>
      </w:divBdr>
    </w:div>
    <w:div w:id="1741904721">
      <w:bodyDiv w:val="1"/>
      <w:marLeft w:val="0"/>
      <w:marRight w:val="0"/>
      <w:marTop w:val="0"/>
      <w:marBottom w:val="0"/>
      <w:divBdr>
        <w:top w:val="none" w:sz="0" w:space="0" w:color="auto"/>
        <w:left w:val="none" w:sz="0" w:space="0" w:color="auto"/>
        <w:bottom w:val="none" w:sz="0" w:space="0" w:color="auto"/>
        <w:right w:val="none" w:sz="0" w:space="0" w:color="auto"/>
      </w:divBdr>
    </w:div>
    <w:div w:id="1806702763">
      <w:bodyDiv w:val="1"/>
      <w:marLeft w:val="0"/>
      <w:marRight w:val="0"/>
      <w:marTop w:val="0"/>
      <w:marBottom w:val="0"/>
      <w:divBdr>
        <w:top w:val="none" w:sz="0" w:space="0" w:color="auto"/>
        <w:left w:val="none" w:sz="0" w:space="0" w:color="auto"/>
        <w:bottom w:val="none" w:sz="0" w:space="0" w:color="auto"/>
        <w:right w:val="none" w:sz="0" w:space="0" w:color="auto"/>
      </w:divBdr>
    </w:div>
    <w:div w:id="1866626177">
      <w:bodyDiv w:val="1"/>
      <w:marLeft w:val="0"/>
      <w:marRight w:val="0"/>
      <w:marTop w:val="0"/>
      <w:marBottom w:val="0"/>
      <w:divBdr>
        <w:top w:val="none" w:sz="0" w:space="0" w:color="auto"/>
        <w:left w:val="none" w:sz="0" w:space="0" w:color="auto"/>
        <w:bottom w:val="none" w:sz="0" w:space="0" w:color="auto"/>
        <w:right w:val="none" w:sz="0" w:space="0" w:color="auto"/>
      </w:divBdr>
    </w:div>
    <w:div w:id="188062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mailto:info@tga.gov.au" TargetMode="External"/><Relationship Id="rId3" Type="http://schemas.openxmlformats.org/officeDocument/2006/relationships/numbering" Target="numbering.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header" Target="header5.xml"/><Relationship Id="rId32"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yperlink" Target="https://www.tga.gov.au/product-information-pi" TargetMode="Externa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s://www.tga.gov.au" TargetMode="Externa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56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504CE-95AB-4649-80B9-8B1E34869915}">
  <ds:schemaRefs>
    <ds:schemaRef ds:uri="http://schemas.microsoft.com/office/2006/customDocumentInformationPanel"/>
  </ds:schemaRefs>
</ds:datastoreItem>
</file>

<file path=customXml/itemProps2.xml><?xml version="1.0" encoding="utf-8"?>
<ds:datastoreItem xmlns:ds="http://schemas.openxmlformats.org/officeDocument/2006/customXml" ds:itemID="{F048AF81-D1FB-49ED-95EF-94DFF181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301</TotalTime>
  <Pages>48</Pages>
  <Words>14519</Words>
  <Characters>82759</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Australian public assessment for Insulin glargine</vt:lpstr>
    </vt:vector>
  </TitlesOfParts>
  <Company>Department of Health Therapeutic Goods Administration</Company>
  <LinksUpToDate>false</LinksUpToDate>
  <CharactersWithSpaces>97084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Insulin glargine</dc:title>
  <dc:subject>prescription medicine regulation</dc:subject>
  <dc:creator>Therapeutic Goods Administration</dc:creator>
  <cp:keywords>Abasria, Abasria KwikPen, insulin glargine, AusPARs</cp:keywords>
  <dc:description/>
  <cp:lastModifiedBy>Norton, Daniel</cp:lastModifiedBy>
  <cp:revision>23</cp:revision>
  <cp:lastPrinted>2015-08-12T23:22:00Z</cp:lastPrinted>
  <dcterms:created xsi:type="dcterms:W3CDTF">2015-08-20T00:38:00Z</dcterms:created>
  <dcterms:modified xsi:type="dcterms:W3CDTF">2015-09-01T04:30:00Z</dcterms:modified>
  <cp:category>Prescription medicines</cp:category>
  <cp:contentStatus>Approved</cp:contentStatus>
</cp:coreProperties>
</file>