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AE090E" w:rsidP="0017078F">
            <w:pPr>
              <w:rPr>
                <w:rFonts w:ascii="Arial" w:hAnsi="Arial" w:cs="Arial"/>
                <w:b/>
                <w:color w:val="002C47"/>
                <w:sz w:val="36"/>
                <w:szCs w:val="36"/>
              </w:rPr>
            </w:pPr>
            <w:bookmarkStart w:id="0" w:name="_GoBack"/>
            <w:bookmarkEnd w:id="0"/>
            <w:r>
              <w:rPr>
                <w:rFonts w:ascii="Arial" w:hAnsi="Arial" w:cs="Arial"/>
                <w:b/>
                <w:color w:val="002C47"/>
                <w:sz w:val="36"/>
                <w:szCs w:val="36"/>
              </w:rPr>
              <w:t>30 January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E090E" w:rsidRDefault="00E07F15" w:rsidP="00AE090E">
            <w:pPr>
              <w:pStyle w:val="Title"/>
              <w:rPr>
                <w:color w:val="FFFFFF" w:themeColor="background1"/>
              </w:rPr>
            </w:pPr>
            <w:r w:rsidRPr="00AE090E">
              <w:rPr>
                <w:color w:val="FFFFFF" w:themeColor="background1"/>
              </w:rPr>
              <w:t xml:space="preserve">Extract from the Clinical Evaluation Report for </w:t>
            </w:r>
            <w:r w:rsidR="00AE090E" w:rsidRPr="00AE090E">
              <w:rPr>
                <w:rFonts w:cs="Arial"/>
                <w:color w:val="FFFFFF" w:themeColor="background1"/>
              </w:rPr>
              <w:t xml:space="preserve">Insulin </w:t>
            </w:r>
            <w:proofErr w:type="spellStart"/>
            <w:r w:rsidR="00AE090E" w:rsidRPr="00AE090E">
              <w:rPr>
                <w:rFonts w:cs="Arial"/>
                <w:color w:val="FFFFFF" w:themeColor="background1"/>
              </w:rPr>
              <w:t>glargine</w:t>
            </w:r>
            <w:proofErr w:type="spellEnd"/>
          </w:p>
        </w:tc>
      </w:tr>
      <w:tr w:rsidR="00E07F15" w:rsidRPr="00B64760" w:rsidTr="00E07F15">
        <w:tc>
          <w:tcPr>
            <w:tcW w:w="9079" w:type="dxa"/>
          </w:tcPr>
          <w:p w:rsidR="00E07F15" w:rsidRPr="008E7846" w:rsidRDefault="00E07F15" w:rsidP="00AE090E">
            <w:pPr>
              <w:pStyle w:val="Subtitle"/>
              <w:rPr>
                <w:color w:val="FFFFFF" w:themeColor="background1"/>
              </w:rPr>
            </w:pPr>
            <w:r w:rsidRPr="008E7846">
              <w:rPr>
                <w:color w:val="FFFFFF" w:themeColor="background1"/>
              </w:rPr>
              <w:t xml:space="preserve">Proprietary Product Name: </w:t>
            </w:r>
            <w:proofErr w:type="spellStart"/>
            <w:r w:rsidR="00AE090E">
              <w:rPr>
                <w:color w:val="FFFFFF" w:themeColor="background1"/>
              </w:rPr>
              <w:t>Abasria</w:t>
            </w:r>
            <w:proofErr w:type="spellEnd"/>
            <w:r w:rsidR="008537FF">
              <w:rPr>
                <w:color w:val="FFFFFF" w:themeColor="background1"/>
              </w:rPr>
              <w:t>/</w:t>
            </w:r>
            <w:proofErr w:type="spellStart"/>
            <w:r w:rsidR="008537FF">
              <w:rPr>
                <w:color w:val="FFFFFF" w:themeColor="background1"/>
              </w:rPr>
              <w:t>Abasria</w:t>
            </w:r>
            <w:proofErr w:type="spellEnd"/>
            <w:r w:rsidR="008537FF">
              <w:rPr>
                <w:color w:val="FFFFFF" w:themeColor="background1"/>
              </w:rPr>
              <w:t xml:space="preserve"> </w:t>
            </w:r>
            <w:proofErr w:type="spellStart"/>
            <w:r w:rsidR="008537FF">
              <w:rPr>
                <w:color w:val="FFFFFF" w:themeColor="background1"/>
              </w:rPr>
              <w:t>KwikPen</w:t>
            </w:r>
            <w:proofErr w:type="spellEnd"/>
            <w:r w:rsidR="008537FF">
              <w:rPr>
                <w:rStyle w:val="FootnoteReference"/>
                <w:color w:val="FFFFFF" w:themeColor="background1"/>
              </w:rPr>
              <w:footnoteReference w:id="1"/>
            </w:r>
          </w:p>
        </w:tc>
      </w:tr>
      <w:tr w:rsidR="00E07F15" w:rsidRPr="00B64760" w:rsidTr="00E07F15">
        <w:trPr>
          <w:trHeight w:val="486"/>
        </w:trPr>
        <w:tc>
          <w:tcPr>
            <w:tcW w:w="9079" w:type="dxa"/>
          </w:tcPr>
          <w:p w:rsidR="00E07F15" w:rsidRPr="00AE090E" w:rsidRDefault="00E07F15" w:rsidP="00E07F15">
            <w:pPr>
              <w:pStyle w:val="Subtitle"/>
              <w:rPr>
                <w:color w:val="FFFFFF" w:themeColor="background1"/>
              </w:rPr>
            </w:pPr>
            <w:r w:rsidRPr="00AE090E">
              <w:rPr>
                <w:color w:val="FFFFFF" w:themeColor="background1"/>
              </w:rPr>
              <w:t>Sponsor:</w:t>
            </w:r>
            <w:r w:rsidR="009F388C">
              <w:rPr>
                <w:color w:val="FFFFFF" w:themeColor="background1"/>
              </w:rPr>
              <w:t xml:space="preserve"> </w:t>
            </w:r>
            <w:r w:rsidR="00AE090E" w:rsidRPr="00AE090E">
              <w:rPr>
                <w:rFonts w:cs="Arial"/>
                <w:color w:val="FFFFFF" w:themeColor="background1"/>
                <w:szCs w:val="40"/>
              </w:rPr>
              <w:t>Eli Lilly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10"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1"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3"/>
          <w:footerReference w:type="default" r:id="rId14"/>
          <w:headerReference w:type="first" r:id="rId15"/>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7D4FBC"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16955612" w:history="1">
            <w:r w:rsidR="007D4FBC" w:rsidRPr="00872623">
              <w:rPr>
                <w:rStyle w:val="Hyperlink"/>
                <w:noProof/>
              </w:rPr>
              <w:t>List of the most common abbreviations used in this AusPAR</w:t>
            </w:r>
            <w:r w:rsidR="007D4FBC">
              <w:rPr>
                <w:noProof/>
                <w:webHidden/>
              </w:rPr>
              <w:tab/>
            </w:r>
            <w:r w:rsidR="007D4FBC">
              <w:rPr>
                <w:noProof/>
                <w:webHidden/>
              </w:rPr>
              <w:fldChar w:fldCharType="begin"/>
            </w:r>
            <w:r w:rsidR="007D4FBC">
              <w:rPr>
                <w:noProof/>
                <w:webHidden/>
              </w:rPr>
              <w:instrText xml:space="preserve"> PAGEREF _Toc416955612 \h </w:instrText>
            </w:r>
            <w:r w:rsidR="007D4FBC">
              <w:rPr>
                <w:noProof/>
                <w:webHidden/>
              </w:rPr>
            </w:r>
            <w:r w:rsidR="007D4FBC">
              <w:rPr>
                <w:noProof/>
                <w:webHidden/>
              </w:rPr>
              <w:fldChar w:fldCharType="separate"/>
            </w:r>
            <w:r w:rsidR="00FD45B1">
              <w:rPr>
                <w:noProof/>
                <w:webHidden/>
              </w:rPr>
              <w:t>5</w:t>
            </w:r>
            <w:r w:rsidR="007D4FBC">
              <w:rPr>
                <w:noProof/>
                <w:webHidden/>
              </w:rPr>
              <w:fldChar w:fldCharType="end"/>
            </w:r>
          </w:hyperlink>
        </w:p>
        <w:p w:rsidR="007D4FBC" w:rsidRDefault="00B62B02">
          <w:pPr>
            <w:pStyle w:val="TOC2"/>
            <w:tabs>
              <w:tab w:val="left" w:pos="1100"/>
            </w:tabs>
            <w:rPr>
              <w:rFonts w:asciiTheme="minorHAnsi" w:eastAsiaTheme="minorEastAsia" w:hAnsiTheme="minorHAnsi" w:cstheme="minorBidi"/>
              <w:b w:val="0"/>
              <w:noProof/>
              <w:sz w:val="22"/>
              <w:lang w:eastAsia="en-AU"/>
            </w:rPr>
          </w:pPr>
          <w:hyperlink w:anchor="_Toc416955613" w:history="1">
            <w:r w:rsidR="007D4FBC" w:rsidRPr="00872623">
              <w:rPr>
                <w:rStyle w:val="Hyperlink"/>
                <w:noProof/>
                <w:lang w:eastAsia="en-AU"/>
              </w:rPr>
              <w:t>1.</w:t>
            </w:r>
            <w:r w:rsidR="007D4FBC">
              <w:rPr>
                <w:rFonts w:asciiTheme="minorHAnsi" w:eastAsiaTheme="minorEastAsia" w:hAnsiTheme="minorHAnsi" w:cstheme="minorBidi"/>
                <w:b w:val="0"/>
                <w:noProof/>
                <w:sz w:val="22"/>
                <w:lang w:eastAsia="en-AU"/>
              </w:rPr>
              <w:tab/>
            </w:r>
            <w:r w:rsidR="007D4FBC" w:rsidRPr="00872623">
              <w:rPr>
                <w:rStyle w:val="Hyperlink"/>
                <w:noProof/>
                <w:lang w:eastAsia="en-AU"/>
              </w:rPr>
              <w:t>Clinical rationale</w:t>
            </w:r>
            <w:r w:rsidR="007D4FBC">
              <w:rPr>
                <w:noProof/>
                <w:webHidden/>
              </w:rPr>
              <w:tab/>
            </w:r>
            <w:r w:rsidR="007D4FBC">
              <w:rPr>
                <w:noProof/>
                <w:webHidden/>
              </w:rPr>
              <w:fldChar w:fldCharType="begin"/>
            </w:r>
            <w:r w:rsidR="007D4FBC">
              <w:rPr>
                <w:noProof/>
                <w:webHidden/>
              </w:rPr>
              <w:instrText xml:space="preserve"> PAGEREF _Toc416955613 \h </w:instrText>
            </w:r>
            <w:r w:rsidR="007D4FBC">
              <w:rPr>
                <w:noProof/>
                <w:webHidden/>
              </w:rPr>
            </w:r>
            <w:r w:rsidR="007D4FBC">
              <w:rPr>
                <w:noProof/>
                <w:webHidden/>
              </w:rPr>
              <w:fldChar w:fldCharType="separate"/>
            </w:r>
            <w:r w:rsidR="00FD45B1">
              <w:rPr>
                <w:noProof/>
                <w:webHidden/>
              </w:rPr>
              <w:t>7</w:t>
            </w:r>
            <w:r w:rsidR="007D4FBC">
              <w:rPr>
                <w:noProof/>
                <w:webHidden/>
              </w:rPr>
              <w:fldChar w:fldCharType="end"/>
            </w:r>
          </w:hyperlink>
        </w:p>
        <w:p w:rsidR="007D4FBC" w:rsidRDefault="00B62B02">
          <w:pPr>
            <w:pStyle w:val="TOC2"/>
            <w:tabs>
              <w:tab w:val="left" w:pos="1100"/>
            </w:tabs>
            <w:rPr>
              <w:rFonts w:asciiTheme="minorHAnsi" w:eastAsiaTheme="minorEastAsia" w:hAnsiTheme="minorHAnsi" w:cstheme="minorBidi"/>
              <w:b w:val="0"/>
              <w:noProof/>
              <w:sz w:val="22"/>
              <w:lang w:eastAsia="en-AU"/>
            </w:rPr>
          </w:pPr>
          <w:hyperlink w:anchor="_Toc416955614" w:history="1">
            <w:r w:rsidR="007D4FBC" w:rsidRPr="00872623">
              <w:rPr>
                <w:rStyle w:val="Hyperlink"/>
                <w:noProof/>
                <w:lang w:eastAsia="en-AU"/>
              </w:rPr>
              <w:t>2.</w:t>
            </w:r>
            <w:r w:rsidR="007D4FBC">
              <w:rPr>
                <w:rFonts w:asciiTheme="minorHAnsi" w:eastAsiaTheme="minorEastAsia" w:hAnsiTheme="minorHAnsi" w:cstheme="minorBidi"/>
                <w:b w:val="0"/>
                <w:noProof/>
                <w:sz w:val="22"/>
                <w:lang w:eastAsia="en-AU"/>
              </w:rPr>
              <w:tab/>
            </w:r>
            <w:r w:rsidR="007D4FBC" w:rsidRPr="00872623">
              <w:rPr>
                <w:rStyle w:val="Hyperlink"/>
                <w:noProof/>
                <w:lang w:eastAsia="en-AU"/>
              </w:rPr>
              <w:t>Contents of the clinical dossier</w:t>
            </w:r>
            <w:r w:rsidR="007D4FBC">
              <w:rPr>
                <w:noProof/>
                <w:webHidden/>
              </w:rPr>
              <w:tab/>
            </w:r>
            <w:r w:rsidR="007D4FBC">
              <w:rPr>
                <w:noProof/>
                <w:webHidden/>
              </w:rPr>
              <w:fldChar w:fldCharType="begin"/>
            </w:r>
            <w:r w:rsidR="007D4FBC">
              <w:rPr>
                <w:noProof/>
                <w:webHidden/>
              </w:rPr>
              <w:instrText xml:space="preserve"> PAGEREF _Toc416955614 \h </w:instrText>
            </w:r>
            <w:r w:rsidR="007D4FBC">
              <w:rPr>
                <w:noProof/>
                <w:webHidden/>
              </w:rPr>
            </w:r>
            <w:r w:rsidR="007D4FBC">
              <w:rPr>
                <w:noProof/>
                <w:webHidden/>
              </w:rPr>
              <w:fldChar w:fldCharType="separate"/>
            </w:r>
            <w:r w:rsidR="00FD45B1">
              <w:rPr>
                <w:noProof/>
                <w:webHidden/>
              </w:rPr>
              <w:t>7</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15" w:history="1">
            <w:r w:rsidR="007D4FBC" w:rsidRPr="00872623">
              <w:rPr>
                <w:rStyle w:val="Hyperlink"/>
                <w:noProof/>
              </w:rPr>
              <w:t>2.1.</w:t>
            </w:r>
            <w:r w:rsidR="007D4FBC">
              <w:rPr>
                <w:rFonts w:asciiTheme="minorHAnsi" w:eastAsiaTheme="minorEastAsia" w:hAnsiTheme="minorHAnsi" w:cstheme="minorBidi"/>
                <w:noProof/>
                <w:lang w:eastAsia="en-AU"/>
              </w:rPr>
              <w:tab/>
            </w:r>
            <w:r w:rsidR="007D4FBC" w:rsidRPr="00872623">
              <w:rPr>
                <w:rStyle w:val="Hyperlink"/>
                <w:noProof/>
              </w:rPr>
              <w:t>Scope of the clinical dossier</w:t>
            </w:r>
            <w:r w:rsidR="007D4FBC">
              <w:rPr>
                <w:noProof/>
                <w:webHidden/>
              </w:rPr>
              <w:tab/>
            </w:r>
            <w:r w:rsidR="007D4FBC">
              <w:rPr>
                <w:noProof/>
                <w:webHidden/>
              </w:rPr>
              <w:fldChar w:fldCharType="begin"/>
            </w:r>
            <w:r w:rsidR="007D4FBC">
              <w:rPr>
                <w:noProof/>
                <w:webHidden/>
              </w:rPr>
              <w:instrText xml:space="preserve"> PAGEREF _Toc416955615 \h </w:instrText>
            </w:r>
            <w:r w:rsidR="007D4FBC">
              <w:rPr>
                <w:noProof/>
                <w:webHidden/>
              </w:rPr>
            </w:r>
            <w:r w:rsidR="007D4FBC">
              <w:rPr>
                <w:noProof/>
                <w:webHidden/>
              </w:rPr>
              <w:fldChar w:fldCharType="separate"/>
            </w:r>
            <w:r w:rsidR="00FD45B1">
              <w:rPr>
                <w:noProof/>
                <w:webHidden/>
              </w:rPr>
              <w:t>7</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16" w:history="1">
            <w:r w:rsidR="007D4FBC" w:rsidRPr="00872623">
              <w:rPr>
                <w:rStyle w:val="Hyperlink"/>
                <w:noProof/>
              </w:rPr>
              <w:t>2.2.</w:t>
            </w:r>
            <w:r w:rsidR="007D4FBC">
              <w:rPr>
                <w:rFonts w:asciiTheme="minorHAnsi" w:eastAsiaTheme="minorEastAsia" w:hAnsiTheme="minorHAnsi" w:cstheme="minorBidi"/>
                <w:noProof/>
                <w:lang w:eastAsia="en-AU"/>
              </w:rPr>
              <w:tab/>
            </w:r>
            <w:r w:rsidR="007D4FBC" w:rsidRPr="00872623">
              <w:rPr>
                <w:rStyle w:val="Hyperlink"/>
                <w:noProof/>
              </w:rPr>
              <w:t>Paediatric data</w:t>
            </w:r>
            <w:r w:rsidR="007D4FBC">
              <w:rPr>
                <w:noProof/>
                <w:webHidden/>
              </w:rPr>
              <w:tab/>
            </w:r>
            <w:r w:rsidR="007D4FBC">
              <w:rPr>
                <w:noProof/>
                <w:webHidden/>
              </w:rPr>
              <w:fldChar w:fldCharType="begin"/>
            </w:r>
            <w:r w:rsidR="007D4FBC">
              <w:rPr>
                <w:noProof/>
                <w:webHidden/>
              </w:rPr>
              <w:instrText xml:space="preserve"> PAGEREF _Toc416955616 \h </w:instrText>
            </w:r>
            <w:r w:rsidR="007D4FBC">
              <w:rPr>
                <w:noProof/>
                <w:webHidden/>
              </w:rPr>
            </w:r>
            <w:r w:rsidR="007D4FBC">
              <w:rPr>
                <w:noProof/>
                <w:webHidden/>
              </w:rPr>
              <w:fldChar w:fldCharType="separate"/>
            </w:r>
            <w:r w:rsidR="00FD45B1">
              <w:rPr>
                <w:noProof/>
                <w:webHidden/>
              </w:rPr>
              <w:t>8</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17" w:history="1">
            <w:r w:rsidR="007D4FBC" w:rsidRPr="00872623">
              <w:rPr>
                <w:rStyle w:val="Hyperlink"/>
                <w:noProof/>
              </w:rPr>
              <w:t>2.3.</w:t>
            </w:r>
            <w:r w:rsidR="007D4FBC">
              <w:rPr>
                <w:rFonts w:asciiTheme="minorHAnsi" w:eastAsiaTheme="minorEastAsia" w:hAnsiTheme="minorHAnsi" w:cstheme="minorBidi"/>
                <w:noProof/>
                <w:lang w:eastAsia="en-AU"/>
              </w:rPr>
              <w:tab/>
            </w:r>
            <w:r w:rsidR="007D4FBC" w:rsidRPr="00872623">
              <w:rPr>
                <w:rStyle w:val="Hyperlink"/>
                <w:noProof/>
              </w:rPr>
              <w:t>Good clinical practice</w:t>
            </w:r>
            <w:r w:rsidR="007D4FBC">
              <w:rPr>
                <w:noProof/>
                <w:webHidden/>
              </w:rPr>
              <w:tab/>
            </w:r>
            <w:r w:rsidR="007D4FBC">
              <w:rPr>
                <w:noProof/>
                <w:webHidden/>
              </w:rPr>
              <w:fldChar w:fldCharType="begin"/>
            </w:r>
            <w:r w:rsidR="007D4FBC">
              <w:rPr>
                <w:noProof/>
                <w:webHidden/>
              </w:rPr>
              <w:instrText xml:space="preserve"> PAGEREF _Toc416955617 \h </w:instrText>
            </w:r>
            <w:r w:rsidR="007D4FBC">
              <w:rPr>
                <w:noProof/>
                <w:webHidden/>
              </w:rPr>
            </w:r>
            <w:r w:rsidR="007D4FBC">
              <w:rPr>
                <w:noProof/>
                <w:webHidden/>
              </w:rPr>
              <w:fldChar w:fldCharType="separate"/>
            </w:r>
            <w:r w:rsidR="00FD45B1">
              <w:rPr>
                <w:noProof/>
                <w:webHidden/>
              </w:rPr>
              <w:t>8</w:t>
            </w:r>
            <w:r w:rsidR="007D4FBC">
              <w:rPr>
                <w:noProof/>
                <w:webHidden/>
              </w:rPr>
              <w:fldChar w:fldCharType="end"/>
            </w:r>
          </w:hyperlink>
        </w:p>
        <w:p w:rsidR="007D4FBC" w:rsidRDefault="00B62B02">
          <w:pPr>
            <w:pStyle w:val="TOC2"/>
            <w:tabs>
              <w:tab w:val="left" w:pos="1100"/>
            </w:tabs>
            <w:rPr>
              <w:rFonts w:asciiTheme="minorHAnsi" w:eastAsiaTheme="minorEastAsia" w:hAnsiTheme="minorHAnsi" w:cstheme="minorBidi"/>
              <w:b w:val="0"/>
              <w:noProof/>
              <w:sz w:val="22"/>
              <w:lang w:eastAsia="en-AU"/>
            </w:rPr>
          </w:pPr>
          <w:hyperlink w:anchor="_Toc416955618" w:history="1">
            <w:r w:rsidR="007D4FBC" w:rsidRPr="00872623">
              <w:rPr>
                <w:rStyle w:val="Hyperlink"/>
                <w:noProof/>
              </w:rPr>
              <w:t>3.</w:t>
            </w:r>
            <w:r w:rsidR="007D4FBC">
              <w:rPr>
                <w:rFonts w:asciiTheme="minorHAnsi" w:eastAsiaTheme="minorEastAsia" w:hAnsiTheme="minorHAnsi" w:cstheme="minorBidi"/>
                <w:b w:val="0"/>
                <w:noProof/>
                <w:sz w:val="22"/>
                <w:lang w:eastAsia="en-AU"/>
              </w:rPr>
              <w:tab/>
            </w:r>
            <w:r w:rsidR="007D4FBC" w:rsidRPr="00872623">
              <w:rPr>
                <w:rStyle w:val="Hyperlink"/>
                <w:noProof/>
              </w:rPr>
              <w:t>Pharmacokinetics</w:t>
            </w:r>
            <w:r w:rsidR="007D4FBC">
              <w:rPr>
                <w:noProof/>
                <w:webHidden/>
              </w:rPr>
              <w:tab/>
            </w:r>
            <w:r w:rsidR="007D4FBC">
              <w:rPr>
                <w:noProof/>
                <w:webHidden/>
              </w:rPr>
              <w:fldChar w:fldCharType="begin"/>
            </w:r>
            <w:r w:rsidR="007D4FBC">
              <w:rPr>
                <w:noProof/>
                <w:webHidden/>
              </w:rPr>
              <w:instrText xml:space="preserve"> PAGEREF _Toc416955618 \h </w:instrText>
            </w:r>
            <w:r w:rsidR="007D4FBC">
              <w:rPr>
                <w:noProof/>
                <w:webHidden/>
              </w:rPr>
            </w:r>
            <w:r w:rsidR="007D4FBC">
              <w:rPr>
                <w:noProof/>
                <w:webHidden/>
              </w:rPr>
              <w:fldChar w:fldCharType="separate"/>
            </w:r>
            <w:r w:rsidR="00FD45B1">
              <w:rPr>
                <w:noProof/>
                <w:webHidden/>
              </w:rPr>
              <w:t>8</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19" w:history="1">
            <w:r w:rsidR="007D4FBC" w:rsidRPr="00872623">
              <w:rPr>
                <w:rStyle w:val="Hyperlink"/>
                <w:noProof/>
              </w:rPr>
              <w:t>3.1.</w:t>
            </w:r>
            <w:r w:rsidR="007D4FBC">
              <w:rPr>
                <w:rFonts w:asciiTheme="minorHAnsi" w:eastAsiaTheme="minorEastAsia" w:hAnsiTheme="minorHAnsi" w:cstheme="minorBidi"/>
                <w:noProof/>
                <w:lang w:eastAsia="en-AU"/>
              </w:rPr>
              <w:tab/>
            </w:r>
            <w:r w:rsidR="007D4FBC" w:rsidRPr="00872623">
              <w:rPr>
                <w:rStyle w:val="Hyperlink"/>
                <w:noProof/>
              </w:rPr>
              <w:t>Studies providing pharmacokinetic data</w:t>
            </w:r>
            <w:r w:rsidR="007D4FBC">
              <w:rPr>
                <w:noProof/>
                <w:webHidden/>
              </w:rPr>
              <w:tab/>
            </w:r>
            <w:r w:rsidR="007D4FBC">
              <w:rPr>
                <w:noProof/>
                <w:webHidden/>
              </w:rPr>
              <w:fldChar w:fldCharType="begin"/>
            </w:r>
            <w:r w:rsidR="007D4FBC">
              <w:rPr>
                <w:noProof/>
                <w:webHidden/>
              </w:rPr>
              <w:instrText xml:space="preserve"> PAGEREF _Toc416955619 \h </w:instrText>
            </w:r>
            <w:r w:rsidR="007D4FBC">
              <w:rPr>
                <w:noProof/>
                <w:webHidden/>
              </w:rPr>
            </w:r>
            <w:r w:rsidR="007D4FBC">
              <w:rPr>
                <w:noProof/>
                <w:webHidden/>
              </w:rPr>
              <w:fldChar w:fldCharType="separate"/>
            </w:r>
            <w:r w:rsidR="00FD45B1">
              <w:rPr>
                <w:noProof/>
                <w:webHidden/>
              </w:rPr>
              <w:t>8</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20" w:history="1">
            <w:r w:rsidR="007D4FBC" w:rsidRPr="00872623">
              <w:rPr>
                <w:rStyle w:val="Hyperlink"/>
                <w:noProof/>
              </w:rPr>
              <w:t>3.2.</w:t>
            </w:r>
            <w:r w:rsidR="007D4FBC">
              <w:rPr>
                <w:rFonts w:asciiTheme="minorHAnsi" w:eastAsiaTheme="minorEastAsia" w:hAnsiTheme="minorHAnsi" w:cstheme="minorBidi"/>
                <w:noProof/>
                <w:lang w:eastAsia="en-AU"/>
              </w:rPr>
              <w:tab/>
            </w:r>
            <w:r w:rsidR="007D4FBC" w:rsidRPr="00872623">
              <w:rPr>
                <w:rStyle w:val="Hyperlink"/>
                <w:noProof/>
              </w:rPr>
              <w:t>Summary of pharmacokinetics</w:t>
            </w:r>
            <w:r w:rsidR="007D4FBC">
              <w:rPr>
                <w:noProof/>
                <w:webHidden/>
              </w:rPr>
              <w:tab/>
            </w:r>
            <w:r w:rsidR="007D4FBC">
              <w:rPr>
                <w:noProof/>
                <w:webHidden/>
              </w:rPr>
              <w:fldChar w:fldCharType="begin"/>
            </w:r>
            <w:r w:rsidR="007D4FBC">
              <w:rPr>
                <w:noProof/>
                <w:webHidden/>
              </w:rPr>
              <w:instrText xml:space="preserve"> PAGEREF _Toc416955620 \h </w:instrText>
            </w:r>
            <w:r w:rsidR="007D4FBC">
              <w:rPr>
                <w:noProof/>
                <w:webHidden/>
              </w:rPr>
            </w:r>
            <w:r w:rsidR="007D4FBC">
              <w:rPr>
                <w:noProof/>
                <w:webHidden/>
              </w:rPr>
              <w:fldChar w:fldCharType="separate"/>
            </w:r>
            <w:r w:rsidR="00FD45B1">
              <w:rPr>
                <w:noProof/>
                <w:webHidden/>
              </w:rPr>
              <w:t>10</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21" w:history="1">
            <w:r w:rsidR="007D4FBC" w:rsidRPr="00872623">
              <w:rPr>
                <w:rStyle w:val="Hyperlink"/>
                <w:noProof/>
              </w:rPr>
              <w:t>3.3.</w:t>
            </w:r>
            <w:r w:rsidR="007D4FBC">
              <w:rPr>
                <w:rFonts w:asciiTheme="minorHAnsi" w:eastAsiaTheme="minorEastAsia" w:hAnsiTheme="minorHAnsi" w:cstheme="minorBidi"/>
                <w:noProof/>
                <w:lang w:eastAsia="en-AU"/>
              </w:rPr>
              <w:tab/>
            </w:r>
            <w:r w:rsidR="007D4FBC" w:rsidRPr="00872623">
              <w:rPr>
                <w:rStyle w:val="Hyperlink"/>
                <w:noProof/>
              </w:rPr>
              <w:t>Evaluator’s overall conclusions on pharmacokinetics</w:t>
            </w:r>
            <w:r w:rsidR="007D4FBC">
              <w:rPr>
                <w:noProof/>
                <w:webHidden/>
              </w:rPr>
              <w:tab/>
            </w:r>
            <w:r w:rsidR="007D4FBC">
              <w:rPr>
                <w:noProof/>
                <w:webHidden/>
              </w:rPr>
              <w:fldChar w:fldCharType="begin"/>
            </w:r>
            <w:r w:rsidR="007D4FBC">
              <w:rPr>
                <w:noProof/>
                <w:webHidden/>
              </w:rPr>
              <w:instrText xml:space="preserve"> PAGEREF _Toc416955621 \h </w:instrText>
            </w:r>
            <w:r w:rsidR="007D4FBC">
              <w:rPr>
                <w:noProof/>
                <w:webHidden/>
              </w:rPr>
            </w:r>
            <w:r w:rsidR="007D4FBC">
              <w:rPr>
                <w:noProof/>
                <w:webHidden/>
              </w:rPr>
              <w:fldChar w:fldCharType="separate"/>
            </w:r>
            <w:r w:rsidR="00FD45B1">
              <w:rPr>
                <w:noProof/>
                <w:webHidden/>
              </w:rPr>
              <w:t>18</w:t>
            </w:r>
            <w:r w:rsidR="007D4FBC">
              <w:rPr>
                <w:noProof/>
                <w:webHidden/>
              </w:rPr>
              <w:fldChar w:fldCharType="end"/>
            </w:r>
          </w:hyperlink>
        </w:p>
        <w:p w:rsidR="007D4FBC" w:rsidRDefault="00B62B02">
          <w:pPr>
            <w:pStyle w:val="TOC2"/>
            <w:tabs>
              <w:tab w:val="left" w:pos="1100"/>
            </w:tabs>
            <w:rPr>
              <w:rFonts w:asciiTheme="minorHAnsi" w:eastAsiaTheme="minorEastAsia" w:hAnsiTheme="minorHAnsi" w:cstheme="minorBidi"/>
              <w:b w:val="0"/>
              <w:noProof/>
              <w:sz w:val="22"/>
              <w:lang w:eastAsia="en-AU"/>
            </w:rPr>
          </w:pPr>
          <w:hyperlink w:anchor="_Toc416955622" w:history="1">
            <w:r w:rsidR="007D4FBC" w:rsidRPr="00872623">
              <w:rPr>
                <w:rStyle w:val="Hyperlink"/>
                <w:noProof/>
              </w:rPr>
              <w:t>4.</w:t>
            </w:r>
            <w:r w:rsidR="007D4FBC">
              <w:rPr>
                <w:rFonts w:asciiTheme="minorHAnsi" w:eastAsiaTheme="minorEastAsia" w:hAnsiTheme="minorHAnsi" w:cstheme="minorBidi"/>
                <w:b w:val="0"/>
                <w:noProof/>
                <w:sz w:val="22"/>
                <w:lang w:eastAsia="en-AU"/>
              </w:rPr>
              <w:tab/>
            </w:r>
            <w:r w:rsidR="007D4FBC" w:rsidRPr="00872623">
              <w:rPr>
                <w:rStyle w:val="Hyperlink"/>
                <w:noProof/>
              </w:rPr>
              <w:t>Pharmacodynamics</w:t>
            </w:r>
            <w:r w:rsidR="007D4FBC">
              <w:rPr>
                <w:noProof/>
                <w:webHidden/>
              </w:rPr>
              <w:tab/>
            </w:r>
            <w:r w:rsidR="007D4FBC">
              <w:rPr>
                <w:noProof/>
                <w:webHidden/>
              </w:rPr>
              <w:fldChar w:fldCharType="begin"/>
            </w:r>
            <w:r w:rsidR="007D4FBC">
              <w:rPr>
                <w:noProof/>
                <w:webHidden/>
              </w:rPr>
              <w:instrText xml:space="preserve"> PAGEREF _Toc416955622 \h </w:instrText>
            </w:r>
            <w:r w:rsidR="007D4FBC">
              <w:rPr>
                <w:noProof/>
                <w:webHidden/>
              </w:rPr>
            </w:r>
            <w:r w:rsidR="007D4FBC">
              <w:rPr>
                <w:noProof/>
                <w:webHidden/>
              </w:rPr>
              <w:fldChar w:fldCharType="separate"/>
            </w:r>
            <w:r w:rsidR="00FD45B1">
              <w:rPr>
                <w:noProof/>
                <w:webHidden/>
              </w:rPr>
              <w:t>20</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23" w:history="1">
            <w:r w:rsidR="007D4FBC" w:rsidRPr="00872623">
              <w:rPr>
                <w:rStyle w:val="Hyperlink"/>
                <w:noProof/>
              </w:rPr>
              <w:t>4.1.</w:t>
            </w:r>
            <w:r w:rsidR="007D4FBC">
              <w:rPr>
                <w:rFonts w:asciiTheme="minorHAnsi" w:eastAsiaTheme="minorEastAsia" w:hAnsiTheme="minorHAnsi" w:cstheme="minorBidi"/>
                <w:noProof/>
                <w:lang w:eastAsia="en-AU"/>
              </w:rPr>
              <w:tab/>
            </w:r>
            <w:r w:rsidR="007D4FBC" w:rsidRPr="00872623">
              <w:rPr>
                <w:rStyle w:val="Hyperlink"/>
                <w:noProof/>
              </w:rPr>
              <w:t>Studies providing pharmacodynamic data</w:t>
            </w:r>
            <w:r w:rsidR="007D4FBC">
              <w:rPr>
                <w:noProof/>
                <w:webHidden/>
              </w:rPr>
              <w:tab/>
            </w:r>
            <w:r w:rsidR="007D4FBC">
              <w:rPr>
                <w:noProof/>
                <w:webHidden/>
              </w:rPr>
              <w:fldChar w:fldCharType="begin"/>
            </w:r>
            <w:r w:rsidR="007D4FBC">
              <w:rPr>
                <w:noProof/>
                <w:webHidden/>
              </w:rPr>
              <w:instrText xml:space="preserve"> PAGEREF _Toc416955623 \h </w:instrText>
            </w:r>
            <w:r w:rsidR="007D4FBC">
              <w:rPr>
                <w:noProof/>
                <w:webHidden/>
              </w:rPr>
            </w:r>
            <w:r w:rsidR="007D4FBC">
              <w:rPr>
                <w:noProof/>
                <w:webHidden/>
              </w:rPr>
              <w:fldChar w:fldCharType="separate"/>
            </w:r>
            <w:r w:rsidR="00FD45B1">
              <w:rPr>
                <w:noProof/>
                <w:webHidden/>
              </w:rPr>
              <w:t>20</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24" w:history="1">
            <w:r w:rsidR="007D4FBC" w:rsidRPr="00872623">
              <w:rPr>
                <w:rStyle w:val="Hyperlink"/>
                <w:noProof/>
              </w:rPr>
              <w:t>4.2.</w:t>
            </w:r>
            <w:r w:rsidR="007D4FBC">
              <w:rPr>
                <w:rFonts w:asciiTheme="minorHAnsi" w:eastAsiaTheme="minorEastAsia" w:hAnsiTheme="minorHAnsi" w:cstheme="minorBidi"/>
                <w:noProof/>
                <w:lang w:eastAsia="en-AU"/>
              </w:rPr>
              <w:tab/>
            </w:r>
            <w:r w:rsidR="007D4FBC" w:rsidRPr="00872623">
              <w:rPr>
                <w:rStyle w:val="Hyperlink"/>
                <w:noProof/>
              </w:rPr>
              <w:t>Summary of pharmacodynamics</w:t>
            </w:r>
            <w:r w:rsidR="007D4FBC">
              <w:rPr>
                <w:noProof/>
                <w:webHidden/>
              </w:rPr>
              <w:tab/>
            </w:r>
            <w:r w:rsidR="007D4FBC">
              <w:rPr>
                <w:noProof/>
                <w:webHidden/>
              </w:rPr>
              <w:fldChar w:fldCharType="begin"/>
            </w:r>
            <w:r w:rsidR="007D4FBC">
              <w:rPr>
                <w:noProof/>
                <w:webHidden/>
              </w:rPr>
              <w:instrText xml:space="preserve"> PAGEREF _Toc416955624 \h </w:instrText>
            </w:r>
            <w:r w:rsidR="007D4FBC">
              <w:rPr>
                <w:noProof/>
                <w:webHidden/>
              </w:rPr>
            </w:r>
            <w:r w:rsidR="007D4FBC">
              <w:rPr>
                <w:noProof/>
                <w:webHidden/>
              </w:rPr>
              <w:fldChar w:fldCharType="separate"/>
            </w:r>
            <w:r w:rsidR="00FD45B1">
              <w:rPr>
                <w:noProof/>
                <w:webHidden/>
              </w:rPr>
              <w:t>21</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25" w:history="1">
            <w:r w:rsidR="007D4FBC" w:rsidRPr="00872623">
              <w:rPr>
                <w:rStyle w:val="Hyperlink"/>
                <w:noProof/>
              </w:rPr>
              <w:t>4.3.</w:t>
            </w:r>
            <w:r w:rsidR="007D4FBC">
              <w:rPr>
                <w:rFonts w:asciiTheme="minorHAnsi" w:eastAsiaTheme="minorEastAsia" w:hAnsiTheme="minorHAnsi" w:cstheme="minorBidi"/>
                <w:noProof/>
                <w:lang w:eastAsia="en-AU"/>
              </w:rPr>
              <w:tab/>
            </w:r>
            <w:r w:rsidR="007D4FBC" w:rsidRPr="00872623">
              <w:rPr>
                <w:rStyle w:val="Hyperlink"/>
                <w:noProof/>
              </w:rPr>
              <w:t>Evaluator’s overall conclusions on pharmacodynamics</w:t>
            </w:r>
            <w:r w:rsidR="007D4FBC">
              <w:rPr>
                <w:noProof/>
                <w:webHidden/>
              </w:rPr>
              <w:tab/>
            </w:r>
            <w:r w:rsidR="007D4FBC">
              <w:rPr>
                <w:noProof/>
                <w:webHidden/>
              </w:rPr>
              <w:fldChar w:fldCharType="begin"/>
            </w:r>
            <w:r w:rsidR="007D4FBC">
              <w:rPr>
                <w:noProof/>
                <w:webHidden/>
              </w:rPr>
              <w:instrText xml:space="preserve"> PAGEREF _Toc416955625 \h </w:instrText>
            </w:r>
            <w:r w:rsidR="007D4FBC">
              <w:rPr>
                <w:noProof/>
                <w:webHidden/>
              </w:rPr>
            </w:r>
            <w:r w:rsidR="007D4FBC">
              <w:rPr>
                <w:noProof/>
                <w:webHidden/>
              </w:rPr>
              <w:fldChar w:fldCharType="separate"/>
            </w:r>
            <w:r w:rsidR="00FD45B1">
              <w:rPr>
                <w:noProof/>
                <w:webHidden/>
              </w:rPr>
              <w:t>26</w:t>
            </w:r>
            <w:r w:rsidR="007D4FBC">
              <w:rPr>
                <w:noProof/>
                <w:webHidden/>
              </w:rPr>
              <w:fldChar w:fldCharType="end"/>
            </w:r>
          </w:hyperlink>
        </w:p>
        <w:p w:rsidR="007D4FBC" w:rsidRDefault="00B62B02">
          <w:pPr>
            <w:pStyle w:val="TOC2"/>
            <w:tabs>
              <w:tab w:val="left" w:pos="1100"/>
            </w:tabs>
            <w:rPr>
              <w:rFonts w:asciiTheme="minorHAnsi" w:eastAsiaTheme="minorEastAsia" w:hAnsiTheme="minorHAnsi" w:cstheme="minorBidi"/>
              <w:b w:val="0"/>
              <w:noProof/>
              <w:sz w:val="22"/>
              <w:lang w:eastAsia="en-AU"/>
            </w:rPr>
          </w:pPr>
          <w:hyperlink w:anchor="_Toc416955626" w:history="1">
            <w:r w:rsidR="007D4FBC" w:rsidRPr="00872623">
              <w:rPr>
                <w:rStyle w:val="Hyperlink"/>
                <w:noProof/>
              </w:rPr>
              <w:t>5.</w:t>
            </w:r>
            <w:r w:rsidR="007D4FBC">
              <w:rPr>
                <w:rFonts w:asciiTheme="minorHAnsi" w:eastAsiaTheme="minorEastAsia" w:hAnsiTheme="minorHAnsi" w:cstheme="minorBidi"/>
                <w:b w:val="0"/>
                <w:noProof/>
                <w:sz w:val="22"/>
                <w:lang w:eastAsia="en-AU"/>
              </w:rPr>
              <w:tab/>
            </w:r>
            <w:r w:rsidR="007D4FBC" w:rsidRPr="00872623">
              <w:rPr>
                <w:rStyle w:val="Hyperlink"/>
                <w:noProof/>
              </w:rPr>
              <w:t>Dosage selection for the pivotal studies</w:t>
            </w:r>
            <w:r w:rsidR="007D4FBC">
              <w:rPr>
                <w:noProof/>
                <w:webHidden/>
              </w:rPr>
              <w:tab/>
            </w:r>
            <w:r w:rsidR="007D4FBC">
              <w:rPr>
                <w:noProof/>
                <w:webHidden/>
              </w:rPr>
              <w:fldChar w:fldCharType="begin"/>
            </w:r>
            <w:r w:rsidR="007D4FBC">
              <w:rPr>
                <w:noProof/>
                <w:webHidden/>
              </w:rPr>
              <w:instrText xml:space="preserve"> PAGEREF _Toc416955626 \h </w:instrText>
            </w:r>
            <w:r w:rsidR="007D4FBC">
              <w:rPr>
                <w:noProof/>
                <w:webHidden/>
              </w:rPr>
            </w:r>
            <w:r w:rsidR="007D4FBC">
              <w:rPr>
                <w:noProof/>
                <w:webHidden/>
              </w:rPr>
              <w:fldChar w:fldCharType="separate"/>
            </w:r>
            <w:r w:rsidR="00FD45B1">
              <w:rPr>
                <w:noProof/>
                <w:webHidden/>
              </w:rPr>
              <w:t>27</w:t>
            </w:r>
            <w:r w:rsidR="007D4FBC">
              <w:rPr>
                <w:noProof/>
                <w:webHidden/>
              </w:rPr>
              <w:fldChar w:fldCharType="end"/>
            </w:r>
          </w:hyperlink>
        </w:p>
        <w:p w:rsidR="007D4FBC" w:rsidRDefault="00B62B02">
          <w:pPr>
            <w:pStyle w:val="TOC2"/>
            <w:tabs>
              <w:tab w:val="left" w:pos="1100"/>
            </w:tabs>
            <w:rPr>
              <w:rFonts w:asciiTheme="minorHAnsi" w:eastAsiaTheme="minorEastAsia" w:hAnsiTheme="minorHAnsi" w:cstheme="minorBidi"/>
              <w:b w:val="0"/>
              <w:noProof/>
              <w:sz w:val="22"/>
              <w:lang w:eastAsia="en-AU"/>
            </w:rPr>
          </w:pPr>
          <w:hyperlink w:anchor="_Toc416955627" w:history="1">
            <w:r w:rsidR="007D4FBC" w:rsidRPr="00872623">
              <w:rPr>
                <w:rStyle w:val="Hyperlink"/>
                <w:noProof/>
              </w:rPr>
              <w:t>6.</w:t>
            </w:r>
            <w:r w:rsidR="007D4FBC">
              <w:rPr>
                <w:rFonts w:asciiTheme="minorHAnsi" w:eastAsiaTheme="minorEastAsia" w:hAnsiTheme="minorHAnsi" w:cstheme="minorBidi"/>
                <w:b w:val="0"/>
                <w:noProof/>
                <w:sz w:val="22"/>
                <w:lang w:eastAsia="en-AU"/>
              </w:rPr>
              <w:tab/>
            </w:r>
            <w:r w:rsidR="007D4FBC" w:rsidRPr="00872623">
              <w:rPr>
                <w:rStyle w:val="Hyperlink"/>
                <w:noProof/>
              </w:rPr>
              <w:t>Clinical efficacy</w:t>
            </w:r>
            <w:r w:rsidR="007D4FBC">
              <w:rPr>
                <w:noProof/>
                <w:webHidden/>
              </w:rPr>
              <w:tab/>
            </w:r>
            <w:r w:rsidR="007D4FBC">
              <w:rPr>
                <w:noProof/>
                <w:webHidden/>
              </w:rPr>
              <w:fldChar w:fldCharType="begin"/>
            </w:r>
            <w:r w:rsidR="007D4FBC">
              <w:rPr>
                <w:noProof/>
                <w:webHidden/>
              </w:rPr>
              <w:instrText xml:space="preserve"> PAGEREF _Toc416955627 \h </w:instrText>
            </w:r>
            <w:r w:rsidR="007D4FBC">
              <w:rPr>
                <w:noProof/>
                <w:webHidden/>
              </w:rPr>
            </w:r>
            <w:r w:rsidR="007D4FBC">
              <w:rPr>
                <w:noProof/>
                <w:webHidden/>
              </w:rPr>
              <w:fldChar w:fldCharType="separate"/>
            </w:r>
            <w:r w:rsidR="00FD45B1">
              <w:rPr>
                <w:noProof/>
                <w:webHidden/>
              </w:rPr>
              <w:t>27</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28" w:history="1">
            <w:r w:rsidR="007D4FBC" w:rsidRPr="00872623">
              <w:rPr>
                <w:rStyle w:val="Hyperlink"/>
                <w:noProof/>
              </w:rPr>
              <w:t>6.1.</w:t>
            </w:r>
            <w:r w:rsidR="007D4FBC">
              <w:rPr>
                <w:rFonts w:asciiTheme="minorHAnsi" w:eastAsiaTheme="minorEastAsia" w:hAnsiTheme="minorHAnsi" w:cstheme="minorBidi"/>
                <w:noProof/>
                <w:lang w:eastAsia="en-AU"/>
              </w:rPr>
              <w:tab/>
            </w:r>
            <w:r w:rsidR="007D4FBC" w:rsidRPr="00872623">
              <w:rPr>
                <w:rStyle w:val="Hyperlink"/>
                <w:noProof/>
              </w:rPr>
              <w:t>Treatment of T2DM in Adults</w:t>
            </w:r>
            <w:r w:rsidR="007D4FBC">
              <w:rPr>
                <w:noProof/>
                <w:webHidden/>
              </w:rPr>
              <w:tab/>
            </w:r>
            <w:r w:rsidR="007D4FBC">
              <w:rPr>
                <w:noProof/>
                <w:webHidden/>
              </w:rPr>
              <w:fldChar w:fldCharType="begin"/>
            </w:r>
            <w:r w:rsidR="007D4FBC">
              <w:rPr>
                <w:noProof/>
                <w:webHidden/>
              </w:rPr>
              <w:instrText xml:space="preserve"> PAGEREF _Toc416955628 \h </w:instrText>
            </w:r>
            <w:r w:rsidR="007D4FBC">
              <w:rPr>
                <w:noProof/>
                <w:webHidden/>
              </w:rPr>
            </w:r>
            <w:r w:rsidR="007D4FBC">
              <w:rPr>
                <w:noProof/>
                <w:webHidden/>
              </w:rPr>
              <w:fldChar w:fldCharType="separate"/>
            </w:r>
            <w:r w:rsidR="00FD45B1">
              <w:rPr>
                <w:noProof/>
                <w:webHidden/>
              </w:rPr>
              <w:t>28</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29" w:history="1">
            <w:r w:rsidR="007D4FBC" w:rsidRPr="00872623">
              <w:rPr>
                <w:rStyle w:val="Hyperlink"/>
                <w:noProof/>
              </w:rPr>
              <w:t>6.2.</w:t>
            </w:r>
            <w:r w:rsidR="007D4FBC">
              <w:rPr>
                <w:rFonts w:asciiTheme="minorHAnsi" w:eastAsiaTheme="minorEastAsia" w:hAnsiTheme="minorHAnsi" w:cstheme="minorBidi"/>
                <w:noProof/>
                <w:lang w:eastAsia="en-AU"/>
              </w:rPr>
              <w:tab/>
            </w:r>
            <w:r w:rsidR="007D4FBC" w:rsidRPr="00872623">
              <w:rPr>
                <w:rStyle w:val="Hyperlink"/>
                <w:noProof/>
              </w:rPr>
              <w:t>Evaluator’s conclusions on clinical efficacy</w:t>
            </w:r>
            <w:r w:rsidR="007D4FBC">
              <w:rPr>
                <w:noProof/>
                <w:webHidden/>
              </w:rPr>
              <w:tab/>
            </w:r>
            <w:r w:rsidR="007D4FBC">
              <w:rPr>
                <w:noProof/>
                <w:webHidden/>
              </w:rPr>
              <w:fldChar w:fldCharType="begin"/>
            </w:r>
            <w:r w:rsidR="007D4FBC">
              <w:rPr>
                <w:noProof/>
                <w:webHidden/>
              </w:rPr>
              <w:instrText xml:space="preserve"> PAGEREF _Toc416955629 \h </w:instrText>
            </w:r>
            <w:r w:rsidR="007D4FBC">
              <w:rPr>
                <w:noProof/>
                <w:webHidden/>
              </w:rPr>
            </w:r>
            <w:r w:rsidR="007D4FBC">
              <w:rPr>
                <w:noProof/>
                <w:webHidden/>
              </w:rPr>
              <w:fldChar w:fldCharType="separate"/>
            </w:r>
            <w:r w:rsidR="00FD45B1">
              <w:rPr>
                <w:noProof/>
                <w:webHidden/>
              </w:rPr>
              <w:t>35</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30" w:history="1">
            <w:r w:rsidR="007D4FBC" w:rsidRPr="00872623">
              <w:rPr>
                <w:rStyle w:val="Hyperlink"/>
                <w:noProof/>
              </w:rPr>
              <w:t>6.3.</w:t>
            </w:r>
            <w:r w:rsidR="007D4FBC">
              <w:rPr>
                <w:rFonts w:asciiTheme="minorHAnsi" w:eastAsiaTheme="minorEastAsia" w:hAnsiTheme="minorHAnsi" w:cstheme="minorBidi"/>
                <w:noProof/>
                <w:lang w:eastAsia="en-AU"/>
              </w:rPr>
              <w:tab/>
            </w:r>
            <w:r w:rsidR="007D4FBC" w:rsidRPr="00872623">
              <w:rPr>
                <w:rStyle w:val="Hyperlink"/>
                <w:noProof/>
              </w:rPr>
              <w:t>Treatment of T1DM</w:t>
            </w:r>
            <w:r w:rsidR="007D4FBC">
              <w:rPr>
                <w:noProof/>
                <w:webHidden/>
              </w:rPr>
              <w:tab/>
            </w:r>
            <w:r w:rsidR="007D4FBC">
              <w:rPr>
                <w:noProof/>
                <w:webHidden/>
              </w:rPr>
              <w:fldChar w:fldCharType="begin"/>
            </w:r>
            <w:r w:rsidR="007D4FBC">
              <w:rPr>
                <w:noProof/>
                <w:webHidden/>
              </w:rPr>
              <w:instrText xml:space="preserve"> PAGEREF _Toc416955630 \h </w:instrText>
            </w:r>
            <w:r w:rsidR="007D4FBC">
              <w:rPr>
                <w:noProof/>
                <w:webHidden/>
              </w:rPr>
            </w:r>
            <w:r w:rsidR="007D4FBC">
              <w:rPr>
                <w:noProof/>
                <w:webHidden/>
              </w:rPr>
              <w:fldChar w:fldCharType="separate"/>
            </w:r>
            <w:r w:rsidR="00FD45B1">
              <w:rPr>
                <w:noProof/>
                <w:webHidden/>
              </w:rPr>
              <w:t>36</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31" w:history="1">
            <w:r w:rsidR="007D4FBC" w:rsidRPr="00872623">
              <w:rPr>
                <w:rStyle w:val="Hyperlink"/>
                <w:noProof/>
              </w:rPr>
              <w:t>6.4.</w:t>
            </w:r>
            <w:r w:rsidR="007D4FBC">
              <w:rPr>
                <w:rFonts w:asciiTheme="minorHAnsi" w:eastAsiaTheme="minorEastAsia" w:hAnsiTheme="minorHAnsi" w:cstheme="minorBidi"/>
                <w:noProof/>
                <w:lang w:eastAsia="en-AU"/>
              </w:rPr>
              <w:tab/>
            </w:r>
            <w:r w:rsidR="007D4FBC" w:rsidRPr="00872623">
              <w:rPr>
                <w:rStyle w:val="Hyperlink"/>
                <w:noProof/>
              </w:rPr>
              <w:t>Evaluator’s conclusions on clinical efficacy</w:t>
            </w:r>
            <w:r w:rsidR="007D4FBC">
              <w:rPr>
                <w:noProof/>
                <w:webHidden/>
              </w:rPr>
              <w:tab/>
            </w:r>
            <w:r w:rsidR="007D4FBC">
              <w:rPr>
                <w:noProof/>
                <w:webHidden/>
              </w:rPr>
              <w:fldChar w:fldCharType="begin"/>
            </w:r>
            <w:r w:rsidR="007D4FBC">
              <w:rPr>
                <w:noProof/>
                <w:webHidden/>
              </w:rPr>
              <w:instrText xml:space="preserve"> PAGEREF _Toc416955631 \h </w:instrText>
            </w:r>
            <w:r w:rsidR="007D4FBC">
              <w:rPr>
                <w:noProof/>
                <w:webHidden/>
              </w:rPr>
            </w:r>
            <w:r w:rsidR="007D4FBC">
              <w:rPr>
                <w:noProof/>
                <w:webHidden/>
              </w:rPr>
              <w:fldChar w:fldCharType="separate"/>
            </w:r>
            <w:r w:rsidR="00FD45B1">
              <w:rPr>
                <w:noProof/>
                <w:webHidden/>
              </w:rPr>
              <w:t>42</w:t>
            </w:r>
            <w:r w:rsidR="007D4FBC">
              <w:rPr>
                <w:noProof/>
                <w:webHidden/>
              </w:rPr>
              <w:fldChar w:fldCharType="end"/>
            </w:r>
          </w:hyperlink>
        </w:p>
        <w:p w:rsidR="007D4FBC" w:rsidRDefault="00B62B02">
          <w:pPr>
            <w:pStyle w:val="TOC2"/>
            <w:tabs>
              <w:tab w:val="left" w:pos="1100"/>
            </w:tabs>
            <w:rPr>
              <w:rFonts w:asciiTheme="minorHAnsi" w:eastAsiaTheme="minorEastAsia" w:hAnsiTheme="minorHAnsi" w:cstheme="minorBidi"/>
              <w:b w:val="0"/>
              <w:noProof/>
              <w:sz w:val="22"/>
              <w:lang w:eastAsia="en-AU"/>
            </w:rPr>
          </w:pPr>
          <w:hyperlink w:anchor="_Toc416955632" w:history="1">
            <w:r w:rsidR="007D4FBC" w:rsidRPr="00872623">
              <w:rPr>
                <w:rStyle w:val="Hyperlink"/>
                <w:noProof/>
              </w:rPr>
              <w:t>7.</w:t>
            </w:r>
            <w:r w:rsidR="007D4FBC">
              <w:rPr>
                <w:rFonts w:asciiTheme="minorHAnsi" w:eastAsiaTheme="minorEastAsia" w:hAnsiTheme="minorHAnsi" w:cstheme="minorBidi"/>
                <w:b w:val="0"/>
                <w:noProof/>
                <w:sz w:val="22"/>
                <w:lang w:eastAsia="en-AU"/>
              </w:rPr>
              <w:tab/>
            </w:r>
            <w:r w:rsidR="007D4FBC" w:rsidRPr="00872623">
              <w:rPr>
                <w:rStyle w:val="Hyperlink"/>
                <w:noProof/>
              </w:rPr>
              <w:t>Clinical safety</w:t>
            </w:r>
            <w:r w:rsidR="007D4FBC">
              <w:rPr>
                <w:noProof/>
                <w:webHidden/>
              </w:rPr>
              <w:tab/>
            </w:r>
            <w:r w:rsidR="007D4FBC">
              <w:rPr>
                <w:noProof/>
                <w:webHidden/>
              </w:rPr>
              <w:fldChar w:fldCharType="begin"/>
            </w:r>
            <w:r w:rsidR="007D4FBC">
              <w:rPr>
                <w:noProof/>
                <w:webHidden/>
              </w:rPr>
              <w:instrText xml:space="preserve"> PAGEREF _Toc416955632 \h </w:instrText>
            </w:r>
            <w:r w:rsidR="007D4FBC">
              <w:rPr>
                <w:noProof/>
                <w:webHidden/>
              </w:rPr>
            </w:r>
            <w:r w:rsidR="007D4FBC">
              <w:rPr>
                <w:noProof/>
                <w:webHidden/>
              </w:rPr>
              <w:fldChar w:fldCharType="separate"/>
            </w:r>
            <w:r w:rsidR="00FD45B1">
              <w:rPr>
                <w:noProof/>
                <w:webHidden/>
              </w:rPr>
              <w:t>43</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33" w:history="1">
            <w:r w:rsidR="007D4FBC" w:rsidRPr="00872623">
              <w:rPr>
                <w:rStyle w:val="Hyperlink"/>
                <w:noProof/>
              </w:rPr>
              <w:t>7.1.</w:t>
            </w:r>
            <w:r w:rsidR="007D4FBC">
              <w:rPr>
                <w:rFonts w:asciiTheme="minorHAnsi" w:eastAsiaTheme="minorEastAsia" w:hAnsiTheme="minorHAnsi" w:cstheme="minorBidi"/>
                <w:noProof/>
                <w:lang w:eastAsia="en-AU"/>
              </w:rPr>
              <w:tab/>
            </w:r>
            <w:r w:rsidR="007D4FBC" w:rsidRPr="00872623">
              <w:rPr>
                <w:rStyle w:val="Hyperlink"/>
                <w:noProof/>
              </w:rPr>
              <w:t>Studies providing evaluable safety data</w:t>
            </w:r>
            <w:r w:rsidR="007D4FBC">
              <w:rPr>
                <w:noProof/>
                <w:webHidden/>
              </w:rPr>
              <w:tab/>
            </w:r>
            <w:r w:rsidR="007D4FBC">
              <w:rPr>
                <w:noProof/>
                <w:webHidden/>
              </w:rPr>
              <w:fldChar w:fldCharType="begin"/>
            </w:r>
            <w:r w:rsidR="007D4FBC">
              <w:rPr>
                <w:noProof/>
                <w:webHidden/>
              </w:rPr>
              <w:instrText xml:space="preserve"> PAGEREF _Toc416955633 \h </w:instrText>
            </w:r>
            <w:r w:rsidR="007D4FBC">
              <w:rPr>
                <w:noProof/>
                <w:webHidden/>
              </w:rPr>
            </w:r>
            <w:r w:rsidR="007D4FBC">
              <w:rPr>
                <w:noProof/>
                <w:webHidden/>
              </w:rPr>
              <w:fldChar w:fldCharType="separate"/>
            </w:r>
            <w:r w:rsidR="00FD45B1">
              <w:rPr>
                <w:noProof/>
                <w:webHidden/>
              </w:rPr>
              <w:t>43</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34" w:history="1">
            <w:r w:rsidR="007D4FBC" w:rsidRPr="00872623">
              <w:rPr>
                <w:rStyle w:val="Hyperlink"/>
                <w:noProof/>
              </w:rPr>
              <w:t>7.2.</w:t>
            </w:r>
            <w:r w:rsidR="007D4FBC">
              <w:rPr>
                <w:rFonts w:asciiTheme="minorHAnsi" w:eastAsiaTheme="minorEastAsia" w:hAnsiTheme="minorHAnsi" w:cstheme="minorBidi"/>
                <w:noProof/>
                <w:lang w:eastAsia="en-AU"/>
              </w:rPr>
              <w:tab/>
            </w:r>
            <w:r w:rsidR="007D4FBC" w:rsidRPr="00872623">
              <w:rPr>
                <w:rStyle w:val="Hyperlink"/>
                <w:noProof/>
              </w:rPr>
              <w:t>Patient exposure in Phase Three studies</w:t>
            </w:r>
            <w:r w:rsidR="007D4FBC">
              <w:rPr>
                <w:noProof/>
                <w:webHidden/>
              </w:rPr>
              <w:tab/>
            </w:r>
            <w:r w:rsidR="007D4FBC">
              <w:rPr>
                <w:noProof/>
                <w:webHidden/>
              </w:rPr>
              <w:fldChar w:fldCharType="begin"/>
            </w:r>
            <w:r w:rsidR="007D4FBC">
              <w:rPr>
                <w:noProof/>
                <w:webHidden/>
              </w:rPr>
              <w:instrText xml:space="preserve"> PAGEREF _Toc416955634 \h </w:instrText>
            </w:r>
            <w:r w:rsidR="007D4FBC">
              <w:rPr>
                <w:noProof/>
                <w:webHidden/>
              </w:rPr>
            </w:r>
            <w:r w:rsidR="007D4FBC">
              <w:rPr>
                <w:noProof/>
                <w:webHidden/>
              </w:rPr>
              <w:fldChar w:fldCharType="separate"/>
            </w:r>
            <w:r w:rsidR="00FD45B1">
              <w:rPr>
                <w:noProof/>
                <w:webHidden/>
              </w:rPr>
              <w:t>44</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35" w:history="1">
            <w:r w:rsidR="007D4FBC" w:rsidRPr="00872623">
              <w:rPr>
                <w:rStyle w:val="Hyperlink"/>
                <w:noProof/>
              </w:rPr>
              <w:t>7.3.</w:t>
            </w:r>
            <w:r w:rsidR="007D4FBC">
              <w:rPr>
                <w:rFonts w:asciiTheme="minorHAnsi" w:eastAsiaTheme="minorEastAsia" w:hAnsiTheme="minorHAnsi" w:cstheme="minorBidi"/>
                <w:noProof/>
                <w:lang w:eastAsia="en-AU"/>
              </w:rPr>
              <w:tab/>
            </w:r>
            <w:r w:rsidR="007D4FBC" w:rsidRPr="00872623">
              <w:rPr>
                <w:rStyle w:val="Hyperlink"/>
                <w:noProof/>
              </w:rPr>
              <w:t>Adverse events</w:t>
            </w:r>
            <w:r w:rsidR="007D4FBC">
              <w:rPr>
                <w:noProof/>
                <w:webHidden/>
              </w:rPr>
              <w:tab/>
            </w:r>
            <w:r w:rsidR="007D4FBC">
              <w:rPr>
                <w:noProof/>
                <w:webHidden/>
              </w:rPr>
              <w:fldChar w:fldCharType="begin"/>
            </w:r>
            <w:r w:rsidR="007D4FBC">
              <w:rPr>
                <w:noProof/>
                <w:webHidden/>
              </w:rPr>
              <w:instrText xml:space="preserve"> PAGEREF _Toc416955635 \h </w:instrText>
            </w:r>
            <w:r w:rsidR="007D4FBC">
              <w:rPr>
                <w:noProof/>
                <w:webHidden/>
              </w:rPr>
            </w:r>
            <w:r w:rsidR="007D4FBC">
              <w:rPr>
                <w:noProof/>
                <w:webHidden/>
              </w:rPr>
              <w:fldChar w:fldCharType="separate"/>
            </w:r>
            <w:r w:rsidR="00FD45B1">
              <w:rPr>
                <w:noProof/>
                <w:webHidden/>
              </w:rPr>
              <w:t>45</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36" w:history="1">
            <w:r w:rsidR="007D4FBC" w:rsidRPr="00872623">
              <w:rPr>
                <w:rStyle w:val="Hyperlink"/>
                <w:noProof/>
              </w:rPr>
              <w:t>7.4.</w:t>
            </w:r>
            <w:r w:rsidR="007D4FBC">
              <w:rPr>
                <w:rFonts w:asciiTheme="minorHAnsi" w:eastAsiaTheme="minorEastAsia" w:hAnsiTheme="minorHAnsi" w:cstheme="minorBidi"/>
                <w:noProof/>
                <w:lang w:eastAsia="en-AU"/>
              </w:rPr>
              <w:tab/>
            </w:r>
            <w:r w:rsidR="007D4FBC" w:rsidRPr="00872623">
              <w:rPr>
                <w:rStyle w:val="Hyperlink"/>
                <w:noProof/>
              </w:rPr>
              <w:t>Laboratory tests</w:t>
            </w:r>
            <w:r w:rsidR="007D4FBC">
              <w:rPr>
                <w:noProof/>
                <w:webHidden/>
              </w:rPr>
              <w:tab/>
            </w:r>
            <w:r w:rsidR="007D4FBC">
              <w:rPr>
                <w:noProof/>
                <w:webHidden/>
              </w:rPr>
              <w:fldChar w:fldCharType="begin"/>
            </w:r>
            <w:r w:rsidR="007D4FBC">
              <w:rPr>
                <w:noProof/>
                <w:webHidden/>
              </w:rPr>
              <w:instrText xml:space="preserve"> PAGEREF _Toc416955636 \h </w:instrText>
            </w:r>
            <w:r w:rsidR="007D4FBC">
              <w:rPr>
                <w:noProof/>
                <w:webHidden/>
              </w:rPr>
            </w:r>
            <w:r w:rsidR="007D4FBC">
              <w:rPr>
                <w:noProof/>
                <w:webHidden/>
              </w:rPr>
              <w:fldChar w:fldCharType="separate"/>
            </w:r>
            <w:r w:rsidR="00FD45B1">
              <w:rPr>
                <w:noProof/>
                <w:webHidden/>
              </w:rPr>
              <w:t>50</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37" w:history="1">
            <w:r w:rsidR="007D4FBC" w:rsidRPr="00872623">
              <w:rPr>
                <w:rStyle w:val="Hyperlink"/>
                <w:noProof/>
              </w:rPr>
              <w:t>7.5.</w:t>
            </w:r>
            <w:r w:rsidR="007D4FBC">
              <w:rPr>
                <w:rFonts w:asciiTheme="minorHAnsi" w:eastAsiaTheme="minorEastAsia" w:hAnsiTheme="minorHAnsi" w:cstheme="minorBidi"/>
                <w:noProof/>
                <w:lang w:eastAsia="en-AU"/>
              </w:rPr>
              <w:tab/>
            </w:r>
            <w:r w:rsidR="007D4FBC" w:rsidRPr="00872623">
              <w:rPr>
                <w:rStyle w:val="Hyperlink"/>
                <w:noProof/>
              </w:rPr>
              <w:t>Electrocardiograph</w:t>
            </w:r>
            <w:r w:rsidR="007D4FBC">
              <w:rPr>
                <w:noProof/>
                <w:webHidden/>
              </w:rPr>
              <w:tab/>
            </w:r>
            <w:r w:rsidR="007D4FBC">
              <w:rPr>
                <w:noProof/>
                <w:webHidden/>
              </w:rPr>
              <w:fldChar w:fldCharType="begin"/>
            </w:r>
            <w:r w:rsidR="007D4FBC">
              <w:rPr>
                <w:noProof/>
                <w:webHidden/>
              </w:rPr>
              <w:instrText xml:space="preserve"> PAGEREF _Toc416955637 \h </w:instrText>
            </w:r>
            <w:r w:rsidR="007D4FBC">
              <w:rPr>
                <w:noProof/>
                <w:webHidden/>
              </w:rPr>
            </w:r>
            <w:r w:rsidR="007D4FBC">
              <w:rPr>
                <w:noProof/>
                <w:webHidden/>
              </w:rPr>
              <w:fldChar w:fldCharType="separate"/>
            </w:r>
            <w:r w:rsidR="00FD45B1">
              <w:rPr>
                <w:noProof/>
                <w:webHidden/>
              </w:rPr>
              <w:t>50</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38" w:history="1">
            <w:r w:rsidR="007D4FBC" w:rsidRPr="00872623">
              <w:rPr>
                <w:rStyle w:val="Hyperlink"/>
                <w:noProof/>
              </w:rPr>
              <w:t>7.6.</w:t>
            </w:r>
            <w:r w:rsidR="007D4FBC">
              <w:rPr>
                <w:rFonts w:asciiTheme="minorHAnsi" w:eastAsiaTheme="minorEastAsia" w:hAnsiTheme="minorHAnsi" w:cstheme="minorBidi"/>
                <w:noProof/>
                <w:lang w:eastAsia="en-AU"/>
              </w:rPr>
              <w:tab/>
            </w:r>
            <w:r w:rsidR="007D4FBC" w:rsidRPr="00872623">
              <w:rPr>
                <w:rStyle w:val="Hyperlink"/>
                <w:noProof/>
              </w:rPr>
              <w:t>Vital signs</w:t>
            </w:r>
            <w:r w:rsidR="007D4FBC">
              <w:rPr>
                <w:noProof/>
                <w:webHidden/>
              </w:rPr>
              <w:tab/>
            </w:r>
            <w:r w:rsidR="007D4FBC">
              <w:rPr>
                <w:noProof/>
                <w:webHidden/>
              </w:rPr>
              <w:fldChar w:fldCharType="begin"/>
            </w:r>
            <w:r w:rsidR="007D4FBC">
              <w:rPr>
                <w:noProof/>
                <w:webHidden/>
              </w:rPr>
              <w:instrText xml:space="preserve"> PAGEREF _Toc416955638 \h </w:instrText>
            </w:r>
            <w:r w:rsidR="007D4FBC">
              <w:rPr>
                <w:noProof/>
                <w:webHidden/>
              </w:rPr>
            </w:r>
            <w:r w:rsidR="007D4FBC">
              <w:rPr>
                <w:noProof/>
                <w:webHidden/>
              </w:rPr>
              <w:fldChar w:fldCharType="separate"/>
            </w:r>
            <w:r w:rsidR="00FD45B1">
              <w:rPr>
                <w:noProof/>
                <w:webHidden/>
              </w:rPr>
              <w:t>51</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39" w:history="1">
            <w:r w:rsidR="007D4FBC" w:rsidRPr="00872623">
              <w:rPr>
                <w:rStyle w:val="Hyperlink"/>
                <w:noProof/>
              </w:rPr>
              <w:t>7.7.</w:t>
            </w:r>
            <w:r w:rsidR="007D4FBC">
              <w:rPr>
                <w:rFonts w:asciiTheme="minorHAnsi" w:eastAsiaTheme="minorEastAsia" w:hAnsiTheme="minorHAnsi" w:cstheme="minorBidi"/>
                <w:noProof/>
                <w:lang w:eastAsia="en-AU"/>
              </w:rPr>
              <w:tab/>
            </w:r>
            <w:r w:rsidR="007D4FBC" w:rsidRPr="00872623">
              <w:rPr>
                <w:rStyle w:val="Hyperlink"/>
                <w:noProof/>
              </w:rPr>
              <w:t>Post-marketing experience</w:t>
            </w:r>
            <w:r w:rsidR="007D4FBC">
              <w:rPr>
                <w:noProof/>
                <w:webHidden/>
              </w:rPr>
              <w:tab/>
            </w:r>
            <w:r w:rsidR="007D4FBC">
              <w:rPr>
                <w:noProof/>
                <w:webHidden/>
              </w:rPr>
              <w:fldChar w:fldCharType="begin"/>
            </w:r>
            <w:r w:rsidR="007D4FBC">
              <w:rPr>
                <w:noProof/>
                <w:webHidden/>
              </w:rPr>
              <w:instrText xml:space="preserve"> PAGEREF _Toc416955639 \h </w:instrText>
            </w:r>
            <w:r w:rsidR="007D4FBC">
              <w:rPr>
                <w:noProof/>
                <w:webHidden/>
              </w:rPr>
            </w:r>
            <w:r w:rsidR="007D4FBC">
              <w:rPr>
                <w:noProof/>
                <w:webHidden/>
              </w:rPr>
              <w:fldChar w:fldCharType="separate"/>
            </w:r>
            <w:r w:rsidR="00FD45B1">
              <w:rPr>
                <w:noProof/>
                <w:webHidden/>
              </w:rPr>
              <w:t>54</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40" w:history="1">
            <w:r w:rsidR="007D4FBC" w:rsidRPr="00872623">
              <w:rPr>
                <w:rStyle w:val="Hyperlink"/>
                <w:noProof/>
              </w:rPr>
              <w:t>7.8.</w:t>
            </w:r>
            <w:r w:rsidR="007D4FBC">
              <w:rPr>
                <w:rFonts w:asciiTheme="minorHAnsi" w:eastAsiaTheme="minorEastAsia" w:hAnsiTheme="minorHAnsi" w:cstheme="minorBidi"/>
                <w:noProof/>
                <w:lang w:eastAsia="en-AU"/>
              </w:rPr>
              <w:tab/>
            </w:r>
            <w:r w:rsidR="007D4FBC" w:rsidRPr="00872623">
              <w:rPr>
                <w:rStyle w:val="Hyperlink"/>
                <w:noProof/>
              </w:rPr>
              <w:t>Safety issues with the potential for major regulatory impact</w:t>
            </w:r>
            <w:r w:rsidR="007D4FBC">
              <w:rPr>
                <w:noProof/>
                <w:webHidden/>
              </w:rPr>
              <w:tab/>
            </w:r>
            <w:r w:rsidR="007D4FBC">
              <w:rPr>
                <w:noProof/>
                <w:webHidden/>
              </w:rPr>
              <w:fldChar w:fldCharType="begin"/>
            </w:r>
            <w:r w:rsidR="007D4FBC">
              <w:rPr>
                <w:noProof/>
                <w:webHidden/>
              </w:rPr>
              <w:instrText xml:space="preserve"> PAGEREF _Toc416955640 \h </w:instrText>
            </w:r>
            <w:r w:rsidR="007D4FBC">
              <w:rPr>
                <w:noProof/>
                <w:webHidden/>
              </w:rPr>
            </w:r>
            <w:r w:rsidR="007D4FBC">
              <w:rPr>
                <w:noProof/>
                <w:webHidden/>
              </w:rPr>
              <w:fldChar w:fldCharType="separate"/>
            </w:r>
            <w:r w:rsidR="00FD45B1">
              <w:rPr>
                <w:noProof/>
                <w:webHidden/>
              </w:rPr>
              <w:t>54</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41" w:history="1">
            <w:r w:rsidR="007D4FBC" w:rsidRPr="00872623">
              <w:rPr>
                <w:rStyle w:val="Hyperlink"/>
                <w:noProof/>
              </w:rPr>
              <w:t>7.9.</w:t>
            </w:r>
            <w:r w:rsidR="007D4FBC">
              <w:rPr>
                <w:rFonts w:asciiTheme="minorHAnsi" w:eastAsiaTheme="minorEastAsia" w:hAnsiTheme="minorHAnsi" w:cstheme="minorBidi"/>
                <w:noProof/>
                <w:lang w:eastAsia="en-AU"/>
              </w:rPr>
              <w:tab/>
            </w:r>
            <w:r w:rsidR="007D4FBC" w:rsidRPr="00872623">
              <w:rPr>
                <w:rStyle w:val="Hyperlink"/>
                <w:noProof/>
              </w:rPr>
              <w:t>Evaluator’s overall conclusions on clinical safety</w:t>
            </w:r>
            <w:r w:rsidR="007D4FBC">
              <w:rPr>
                <w:noProof/>
                <w:webHidden/>
              </w:rPr>
              <w:tab/>
            </w:r>
            <w:r w:rsidR="007D4FBC">
              <w:rPr>
                <w:noProof/>
                <w:webHidden/>
              </w:rPr>
              <w:fldChar w:fldCharType="begin"/>
            </w:r>
            <w:r w:rsidR="007D4FBC">
              <w:rPr>
                <w:noProof/>
                <w:webHidden/>
              </w:rPr>
              <w:instrText xml:space="preserve"> PAGEREF _Toc416955641 \h </w:instrText>
            </w:r>
            <w:r w:rsidR="007D4FBC">
              <w:rPr>
                <w:noProof/>
                <w:webHidden/>
              </w:rPr>
            </w:r>
            <w:r w:rsidR="007D4FBC">
              <w:rPr>
                <w:noProof/>
                <w:webHidden/>
              </w:rPr>
              <w:fldChar w:fldCharType="separate"/>
            </w:r>
            <w:r w:rsidR="00FD45B1">
              <w:rPr>
                <w:noProof/>
                <w:webHidden/>
              </w:rPr>
              <w:t>55</w:t>
            </w:r>
            <w:r w:rsidR="007D4FBC">
              <w:rPr>
                <w:noProof/>
                <w:webHidden/>
              </w:rPr>
              <w:fldChar w:fldCharType="end"/>
            </w:r>
          </w:hyperlink>
        </w:p>
        <w:p w:rsidR="007D4FBC" w:rsidRDefault="00B62B02">
          <w:pPr>
            <w:pStyle w:val="TOC2"/>
            <w:tabs>
              <w:tab w:val="left" w:pos="1100"/>
            </w:tabs>
            <w:rPr>
              <w:rFonts w:asciiTheme="minorHAnsi" w:eastAsiaTheme="minorEastAsia" w:hAnsiTheme="minorHAnsi" w:cstheme="minorBidi"/>
              <w:b w:val="0"/>
              <w:noProof/>
              <w:sz w:val="22"/>
              <w:lang w:eastAsia="en-AU"/>
            </w:rPr>
          </w:pPr>
          <w:hyperlink w:anchor="_Toc416955642" w:history="1">
            <w:r w:rsidR="007D4FBC" w:rsidRPr="00872623">
              <w:rPr>
                <w:rStyle w:val="Hyperlink"/>
                <w:noProof/>
              </w:rPr>
              <w:t>8.</w:t>
            </w:r>
            <w:r w:rsidR="007D4FBC">
              <w:rPr>
                <w:rFonts w:asciiTheme="minorHAnsi" w:eastAsiaTheme="minorEastAsia" w:hAnsiTheme="minorHAnsi" w:cstheme="minorBidi"/>
                <w:b w:val="0"/>
                <w:noProof/>
                <w:sz w:val="22"/>
                <w:lang w:eastAsia="en-AU"/>
              </w:rPr>
              <w:tab/>
            </w:r>
            <w:r w:rsidR="007D4FBC" w:rsidRPr="00872623">
              <w:rPr>
                <w:rStyle w:val="Hyperlink"/>
                <w:noProof/>
              </w:rPr>
              <w:t>First round benefit-risk assessment</w:t>
            </w:r>
            <w:r w:rsidR="007D4FBC">
              <w:rPr>
                <w:noProof/>
                <w:webHidden/>
              </w:rPr>
              <w:tab/>
            </w:r>
            <w:r w:rsidR="007D4FBC">
              <w:rPr>
                <w:noProof/>
                <w:webHidden/>
              </w:rPr>
              <w:fldChar w:fldCharType="begin"/>
            </w:r>
            <w:r w:rsidR="007D4FBC">
              <w:rPr>
                <w:noProof/>
                <w:webHidden/>
              </w:rPr>
              <w:instrText xml:space="preserve"> PAGEREF _Toc416955642 \h </w:instrText>
            </w:r>
            <w:r w:rsidR="007D4FBC">
              <w:rPr>
                <w:noProof/>
                <w:webHidden/>
              </w:rPr>
            </w:r>
            <w:r w:rsidR="007D4FBC">
              <w:rPr>
                <w:noProof/>
                <w:webHidden/>
              </w:rPr>
              <w:fldChar w:fldCharType="separate"/>
            </w:r>
            <w:r w:rsidR="00FD45B1">
              <w:rPr>
                <w:noProof/>
                <w:webHidden/>
              </w:rPr>
              <w:t>55</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43" w:history="1">
            <w:r w:rsidR="007D4FBC" w:rsidRPr="00872623">
              <w:rPr>
                <w:rStyle w:val="Hyperlink"/>
                <w:noProof/>
              </w:rPr>
              <w:t>8.1.</w:t>
            </w:r>
            <w:r w:rsidR="007D4FBC">
              <w:rPr>
                <w:rFonts w:asciiTheme="minorHAnsi" w:eastAsiaTheme="minorEastAsia" w:hAnsiTheme="minorHAnsi" w:cstheme="minorBidi"/>
                <w:noProof/>
                <w:lang w:eastAsia="en-AU"/>
              </w:rPr>
              <w:tab/>
            </w:r>
            <w:r w:rsidR="007D4FBC" w:rsidRPr="00872623">
              <w:rPr>
                <w:rStyle w:val="Hyperlink"/>
                <w:noProof/>
              </w:rPr>
              <w:t>First round assessment of benefits</w:t>
            </w:r>
            <w:r w:rsidR="007D4FBC">
              <w:rPr>
                <w:noProof/>
                <w:webHidden/>
              </w:rPr>
              <w:tab/>
            </w:r>
            <w:r w:rsidR="007D4FBC">
              <w:rPr>
                <w:noProof/>
                <w:webHidden/>
              </w:rPr>
              <w:fldChar w:fldCharType="begin"/>
            </w:r>
            <w:r w:rsidR="007D4FBC">
              <w:rPr>
                <w:noProof/>
                <w:webHidden/>
              </w:rPr>
              <w:instrText xml:space="preserve"> PAGEREF _Toc416955643 \h </w:instrText>
            </w:r>
            <w:r w:rsidR="007D4FBC">
              <w:rPr>
                <w:noProof/>
                <w:webHidden/>
              </w:rPr>
            </w:r>
            <w:r w:rsidR="007D4FBC">
              <w:rPr>
                <w:noProof/>
                <w:webHidden/>
              </w:rPr>
              <w:fldChar w:fldCharType="separate"/>
            </w:r>
            <w:r w:rsidR="00FD45B1">
              <w:rPr>
                <w:noProof/>
                <w:webHidden/>
              </w:rPr>
              <w:t>55</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44" w:history="1">
            <w:r w:rsidR="007D4FBC" w:rsidRPr="00872623">
              <w:rPr>
                <w:rStyle w:val="Hyperlink"/>
                <w:noProof/>
              </w:rPr>
              <w:t>8.2.</w:t>
            </w:r>
            <w:r w:rsidR="007D4FBC">
              <w:rPr>
                <w:rFonts w:asciiTheme="minorHAnsi" w:eastAsiaTheme="minorEastAsia" w:hAnsiTheme="minorHAnsi" w:cstheme="minorBidi"/>
                <w:noProof/>
                <w:lang w:eastAsia="en-AU"/>
              </w:rPr>
              <w:tab/>
            </w:r>
            <w:r w:rsidR="007D4FBC" w:rsidRPr="00872623">
              <w:rPr>
                <w:rStyle w:val="Hyperlink"/>
                <w:noProof/>
              </w:rPr>
              <w:t>First round assessment of risks</w:t>
            </w:r>
            <w:r w:rsidR="007D4FBC">
              <w:rPr>
                <w:noProof/>
                <w:webHidden/>
              </w:rPr>
              <w:tab/>
            </w:r>
            <w:r w:rsidR="007D4FBC">
              <w:rPr>
                <w:noProof/>
                <w:webHidden/>
              </w:rPr>
              <w:fldChar w:fldCharType="begin"/>
            </w:r>
            <w:r w:rsidR="007D4FBC">
              <w:rPr>
                <w:noProof/>
                <w:webHidden/>
              </w:rPr>
              <w:instrText xml:space="preserve"> PAGEREF _Toc416955644 \h </w:instrText>
            </w:r>
            <w:r w:rsidR="007D4FBC">
              <w:rPr>
                <w:noProof/>
                <w:webHidden/>
              </w:rPr>
            </w:r>
            <w:r w:rsidR="007D4FBC">
              <w:rPr>
                <w:noProof/>
                <w:webHidden/>
              </w:rPr>
              <w:fldChar w:fldCharType="separate"/>
            </w:r>
            <w:r w:rsidR="00FD45B1">
              <w:rPr>
                <w:noProof/>
                <w:webHidden/>
              </w:rPr>
              <w:t>55</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45" w:history="1">
            <w:r w:rsidR="007D4FBC" w:rsidRPr="00872623">
              <w:rPr>
                <w:rStyle w:val="Hyperlink"/>
                <w:noProof/>
              </w:rPr>
              <w:t>8.3.</w:t>
            </w:r>
            <w:r w:rsidR="007D4FBC">
              <w:rPr>
                <w:rFonts w:asciiTheme="minorHAnsi" w:eastAsiaTheme="minorEastAsia" w:hAnsiTheme="minorHAnsi" w:cstheme="minorBidi"/>
                <w:noProof/>
                <w:lang w:eastAsia="en-AU"/>
              </w:rPr>
              <w:tab/>
            </w:r>
            <w:r w:rsidR="007D4FBC" w:rsidRPr="00872623">
              <w:rPr>
                <w:rStyle w:val="Hyperlink"/>
                <w:noProof/>
              </w:rPr>
              <w:t>First round assessment of benefit-risk balance</w:t>
            </w:r>
            <w:r w:rsidR="007D4FBC">
              <w:rPr>
                <w:noProof/>
                <w:webHidden/>
              </w:rPr>
              <w:tab/>
            </w:r>
            <w:r w:rsidR="007D4FBC">
              <w:rPr>
                <w:noProof/>
                <w:webHidden/>
              </w:rPr>
              <w:fldChar w:fldCharType="begin"/>
            </w:r>
            <w:r w:rsidR="007D4FBC">
              <w:rPr>
                <w:noProof/>
                <w:webHidden/>
              </w:rPr>
              <w:instrText xml:space="preserve"> PAGEREF _Toc416955645 \h </w:instrText>
            </w:r>
            <w:r w:rsidR="007D4FBC">
              <w:rPr>
                <w:noProof/>
                <w:webHidden/>
              </w:rPr>
            </w:r>
            <w:r w:rsidR="007D4FBC">
              <w:rPr>
                <w:noProof/>
                <w:webHidden/>
              </w:rPr>
              <w:fldChar w:fldCharType="separate"/>
            </w:r>
            <w:r w:rsidR="00FD45B1">
              <w:rPr>
                <w:noProof/>
                <w:webHidden/>
              </w:rPr>
              <w:t>55</w:t>
            </w:r>
            <w:r w:rsidR="007D4FBC">
              <w:rPr>
                <w:noProof/>
                <w:webHidden/>
              </w:rPr>
              <w:fldChar w:fldCharType="end"/>
            </w:r>
          </w:hyperlink>
        </w:p>
        <w:p w:rsidR="007D4FBC" w:rsidRDefault="00B62B02">
          <w:pPr>
            <w:pStyle w:val="TOC2"/>
            <w:tabs>
              <w:tab w:val="left" w:pos="1100"/>
            </w:tabs>
            <w:rPr>
              <w:rFonts w:asciiTheme="minorHAnsi" w:eastAsiaTheme="minorEastAsia" w:hAnsiTheme="minorHAnsi" w:cstheme="minorBidi"/>
              <w:b w:val="0"/>
              <w:noProof/>
              <w:sz w:val="22"/>
              <w:lang w:eastAsia="en-AU"/>
            </w:rPr>
          </w:pPr>
          <w:hyperlink w:anchor="_Toc416955646" w:history="1">
            <w:r w:rsidR="007D4FBC" w:rsidRPr="00872623">
              <w:rPr>
                <w:rStyle w:val="Hyperlink"/>
                <w:noProof/>
              </w:rPr>
              <w:t>9.</w:t>
            </w:r>
            <w:r w:rsidR="007D4FBC">
              <w:rPr>
                <w:rFonts w:asciiTheme="minorHAnsi" w:eastAsiaTheme="minorEastAsia" w:hAnsiTheme="minorHAnsi" w:cstheme="minorBidi"/>
                <w:b w:val="0"/>
                <w:noProof/>
                <w:sz w:val="22"/>
                <w:lang w:eastAsia="en-AU"/>
              </w:rPr>
              <w:tab/>
            </w:r>
            <w:r w:rsidR="007D4FBC" w:rsidRPr="00872623">
              <w:rPr>
                <w:rStyle w:val="Hyperlink"/>
                <w:noProof/>
              </w:rPr>
              <w:t>First round recommendation regarding authorisation</w:t>
            </w:r>
            <w:r w:rsidR="007D4FBC">
              <w:rPr>
                <w:noProof/>
                <w:webHidden/>
              </w:rPr>
              <w:tab/>
            </w:r>
            <w:r w:rsidR="007D4FBC">
              <w:rPr>
                <w:noProof/>
                <w:webHidden/>
              </w:rPr>
              <w:fldChar w:fldCharType="begin"/>
            </w:r>
            <w:r w:rsidR="007D4FBC">
              <w:rPr>
                <w:noProof/>
                <w:webHidden/>
              </w:rPr>
              <w:instrText xml:space="preserve"> PAGEREF _Toc416955646 \h </w:instrText>
            </w:r>
            <w:r w:rsidR="007D4FBC">
              <w:rPr>
                <w:noProof/>
                <w:webHidden/>
              </w:rPr>
            </w:r>
            <w:r w:rsidR="007D4FBC">
              <w:rPr>
                <w:noProof/>
                <w:webHidden/>
              </w:rPr>
              <w:fldChar w:fldCharType="separate"/>
            </w:r>
            <w:r w:rsidR="00FD45B1">
              <w:rPr>
                <w:noProof/>
                <w:webHidden/>
              </w:rPr>
              <w:t>55</w:t>
            </w:r>
            <w:r w:rsidR="007D4FBC">
              <w:rPr>
                <w:noProof/>
                <w:webHidden/>
              </w:rPr>
              <w:fldChar w:fldCharType="end"/>
            </w:r>
          </w:hyperlink>
        </w:p>
        <w:p w:rsidR="007D4FBC" w:rsidRDefault="00B62B02">
          <w:pPr>
            <w:pStyle w:val="TOC2"/>
            <w:tabs>
              <w:tab w:val="left" w:pos="1320"/>
            </w:tabs>
            <w:rPr>
              <w:rFonts w:asciiTheme="minorHAnsi" w:eastAsiaTheme="minorEastAsia" w:hAnsiTheme="minorHAnsi" w:cstheme="minorBidi"/>
              <w:b w:val="0"/>
              <w:noProof/>
              <w:sz w:val="22"/>
              <w:lang w:eastAsia="en-AU"/>
            </w:rPr>
          </w:pPr>
          <w:hyperlink w:anchor="_Toc416955647" w:history="1">
            <w:r w:rsidR="007D4FBC" w:rsidRPr="00872623">
              <w:rPr>
                <w:rStyle w:val="Hyperlink"/>
                <w:noProof/>
              </w:rPr>
              <w:t>10.</w:t>
            </w:r>
            <w:r w:rsidR="007D4FBC">
              <w:rPr>
                <w:rFonts w:asciiTheme="minorHAnsi" w:eastAsiaTheme="minorEastAsia" w:hAnsiTheme="minorHAnsi" w:cstheme="minorBidi"/>
                <w:b w:val="0"/>
                <w:noProof/>
                <w:sz w:val="22"/>
                <w:lang w:eastAsia="en-AU"/>
              </w:rPr>
              <w:tab/>
            </w:r>
            <w:r w:rsidR="007D4FBC" w:rsidRPr="00872623">
              <w:rPr>
                <w:rStyle w:val="Hyperlink"/>
                <w:noProof/>
              </w:rPr>
              <w:t>Clinical questions</w:t>
            </w:r>
            <w:r w:rsidR="007D4FBC">
              <w:rPr>
                <w:noProof/>
                <w:webHidden/>
              </w:rPr>
              <w:tab/>
            </w:r>
            <w:r w:rsidR="007D4FBC">
              <w:rPr>
                <w:noProof/>
                <w:webHidden/>
              </w:rPr>
              <w:fldChar w:fldCharType="begin"/>
            </w:r>
            <w:r w:rsidR="007D4FBC">
              <w:rPr>
                <w:noProof/>
                <w:webHidden/>
              </w:rPr>
              <w:instrText xml:space="preserve"> PAGEREF _Toc416955647 \h </w:instrText>
            </w:r>
            <w:r w:rsidR="007D4FBC">
              <w:rPr>
                <w:noProof/>
                <w:webHidden/>
              </w:rPr>
            </w:r>
            <w:r w:rsidR="007D4FBC">
              <w:rPr>
                <w:noProof/>
                <w:webHidden/>
              </w:rPr>
              <w:fldChar w:fldCharType="separate"/>
            </w:r>
            <w:r w:rsidR="00FD45B1">
              <w:rPr>
                <w:noProof/>
                <w:webHidden/>
              </w:rPr>
              <w:t>56</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48" w:history="1">
            <w:r w:rsidR="007D4FBC" w:rsidRPr="00872623">
              <w:rPr>
                <w:rStyle w:val="Hyperlink"/>
                <w:noProof/>
              </w:rPr>
              <w:t>10.1.</w:t>
            </w:r>
            <w:r w:rsidR="007D4FBC">
              <w:rPr>
                <w:rFonts w:asciiTheme="minorHAnsi" w:eastAsiaTheme="minorEastAsia" w:hAnsiTheme="minorHAnsi" w:cstheme="minorBidi"/>
                <w:noProof/>
                <w:lang w:eastAsia="en-AU"/>
              </w:rPr>
              <w:tab/>
            </w:r>
            <w:r w:rsidR="007D4FBC" w:rsidRPr="00872623">
              <w:rPr>
                <w:rStyle w:val="Hyperlink"/>
                <w:noProof/>
              </w:rPr>
              <w:t>Pharmacokinetics</w:t>
            </w:r>
            <w:r w:rsidR="007D4FBC">
              <w:rPr>
                <w:noProof/>
                <w:webHidden/>
              </w:rPr>
              <w:tab/>
            </w:r>
            <w:r w:rsidR="007D4FBC">
              <w:rPr>
                <w:noProof/>
                <w:webHidden/>
              </w:rPr>
              <w:fldChar w:fldCharType="begin"/>
            </w:r>
            <w:r w:rsidR="007D4FBC">
              <w:rPr>
                <w:noProof/>
                <w:webHidden/>
              </w:rPr>
              <w:instrText xml:space="preserve"> PAGEREF _Toc416955648 \h </w:instrText>
            </w:r>
            <w:r w:rsidR="007D4FBC">
              <w:rPr>
                <w:noProof/>
                <w:webHidden/>
              </w:rPr>
            </w:r>
            <w:r w:rsidR="007D4FBC">
              <w:rPr>
                <w:noProof/>
                <w:webHidden/>
              </w:rPr>
              <w:fldChar w:fldCharType="separate"/>
            </w:r>
            <w:r w:rsidR="00FD45B1">
              <w:rPr>
                <w:noProof/>
                <w:webHidden/>
              </w:rPr>
              <w:t>56</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49" w:history="1">
            <w:r w:rsidR="007D4FBC" w:rsidRPr="00872623">
              <w:rPr>
                <w:rStyle w:val="Hyperlink"/>
                <w:noProof/>
              </w:rPr>
              <w:t>10.2.</w:t>
            </w:r>
            <w:r w:rsidR="007D4FBC">
              <w:rPr>
                <w:rFonts w:asciiTheme="minorHAnsi" w:eastAsiaTheme="minorEastAsia" w:hAnsiTheme="minorHAnsi" w:cstheme="minorBidi"/>
                <w:noProof/>
                <w:lang w:eastAsia="en-AU"/>
              </w:rPr>
              <w:tab/>
            </w:r>
            <w:r w:rsidR="007D4FBC" w:rsidRPr="00872623">
              <w:rPr>
                <w:rStyle w:val="Hyperlink"/>
                <w:noProof/>
              </w:rPr>
              <w:t>Pharmacodynamics</w:t>
            </w:r>
            <w:r w:rsidR="007D4FBC">
              <w:rPr>
                <w:noProof/>
                <w:webHidden/>
              </w:rPr>
              <w:tab/>
            </w:r>
            <w:r w:rsidR="007D4FBC">
              <w:rPr>
                <w:noProof/>
                <w:webHidden/>
              </w:rPr>
              <w:fldChar w:fldCharType="begin"/>
            </w:r>
            <w:r w:rsidR="007D4FBC">
              <w:rPr>
                <w:noProof/>
                <w:webHidden/>
              </w:rPr>
              <w:instrText xml:space="preserve"> PAGEREF _Toc416955649 \h </w:instrText>
            </w:r>
            <w:r w:rsidR="007D4FBC">
              <w:rPr>
                <w:noProof/>
                <w:webHidden/>
              </w:rPr>
            </w:r>
            <w:r w:rsidR="007D4FBC">
              <w:rPr>
                <w:noProof/>
                <w:webHidden/>
              </w:rPr>
              <w:fldChar w:fldCharType="separate"/>
            </w:r>
            <w:r w:rsidR="00FD45B1">
              <w:rPr>
                <w:noProof/>
                <w:webHidden/>
              </w:rPr>
              <w:t>56</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50" w:history="1">
            <w:r w:rsidR="007D4FBC" w:rsidRPr="00872623">
              <w:rPr>
                <w:rStyle w:val="Hyperlink"/>
                <w:noProof/>
              </w:rPr>
              <w:t>10.3.</w:t>
            </w:r>
            <w:r w:rsidR="007D4FBC">
              <w:rPr>
                <w:rFonts w:asciiTheme="minorHAnsi" w:eastAsiaTheme="minorEastAsia" w:hAnsiTheme="minorHAnsi" w:cstheme="minorBidi"/>
                <w:noProof/>
                <w:lang w:eastAsia="en-AU"/>
              </w:rPr>
              <w:tab/>
            </w:r>
            <w:r w:rsidR="007D4FBC" w:rsidRPr="00872623">
              <w:rPr>
                <w:rStyle w:val="Hyperlink"/>
                <w:noProof/>
              </w:rPr>
              <w:t>Efficacy</w:t>
            </w:r>
            <w:r w:rsidR="007D4FBC">
              <w:rPr>
                <w:noProof/>
                <w:webHidden/>
              </w:rPr>
              <w:tab/>
            </w:r>
            <w:r w:rsidR="007D4FBC">
              <w:rPr>
                <w:noProof/>
                <w:webHidden/>
              </w:rPr>
              <w:fldChar w:fldCharType="begin"/>
            </w:r>
            <w:r w:rsidR="007D4FBC">
              <w:rPr>
                <w:noProof/>
                <w:webHidden/>
              </w:rPr>
              <w:instrText xml:space="preserve"> PAGEREF _Toc416955650 \h </w:instrText>
            </w:r>
            <w:r w:rsidR="007D4FBC">
              <w:rPr>
                <w:noProof/>
                <w:webHidden/>
              </w:rPr>
            </w:r>
            <w:r w:rsidR="007D4FBC">
              <w:rPr>
                <w:noProof/>
                <w:webHidden/>
              </w:rPr>
              <w:fldChar w:fldCharType="separate"/>
            </w:r>
            <w:r w:rsidR="00FD45B1">
              <w:rPr>
                <w:noProof/>
                <w:webHidden/>
              </w:rPr>
              <w:t>56</w:t>
            </w:r>
            <w:r w:rsidR="007D4FBC">
              <w:rPr>
                <w:noProof/>
                <w:webHidden/>
              </w:rPr>
              <w:fldChar w:fldCharType="end"/>
            </w:r>
          </w:hyperlink>
        </w:p>
        <w:p w:rsidR="007D4FBC" w:rsidRDefault="00B62B02">
          <w:pPr>
            <w:pStyle w:val="TOC3"/>
            <w:tabs>
              <w:tab w:val="left" w:pos="1760"/>
            </w:tabs>
            <w:rPr>
              <w:rFonts w:asciiTheme="minorHAnsi" w:eastAsiaTheme="minorEastAsia" w:hAnsiTheme="minorHAnsi" w:cstheme="minorBidi"/>
              <w:noProof/>
              <w:lang w:eastAsia="en-AU"/>
            </w:rPr>
          </w:pPr>
          <w:hyperlink w:anchor="_Toc416955651" w:history="1">
            <w:r w:rsidR="007D4FBC" w:rsidRPr="00872623">
              <w:rPr>
                <w:rStyle w:val="Hyperlink"/>
                <w:noProof/>
              </w:rPr>
              <w:t>10.4.</w:t>
            </w:r>
            <w:r w:rsidR="007D4FBC">
              <w:rPr>
                <w:rFonts w:asciiTheme="minorHAnsi" w:eastAsiaTheme="minorEastAsia" w:hAnsiTheme="minorHAnsi" w:cstheme="minorBidi"/>
                <w:noProof/>
                <w:lang w:eastAsia="en-AU"/>
              </w:rPr>
              <w:tab/>
            </w:r>
            <w:r w:rsidR="007D4FBC" w:rsidRPr="00872623">
              <w:rPr>
                <w:rStyle w:val="Hyperlink"/>
                <w:noProof/>
              </w:rPr>
              <w:t>Safety</w:t>
            </w:r>
            <w:r w:rsidR="007D4FBC">
              <w:rPr>
                <w:noProof/>
                <w:webHidden/>
              </w:rPr>
              <w:tab/>
            </w:r>
            <w:r w:rsidR="007D4FBC">
              <w:rPr>
                <w:noProof/>
                <w:webHidden/>
              </w:rPr>
              <w:fldChar w:fldCharType="begin"/>
            </w:r>
            <w:r w:rsidR="007D4FBC">
              <w:rPr>
                <w:noProof/>
                <w:webHidden/>
              </w:rPr>
              <w:instrText xml:space="preserve"> PAGEREF _Toc416955651 \h </w:instrText>
            </w:r>
            <w:r w:rsidR="007D4FBC">
              <w:rPr>
                <w:noProof/>
                <w:webHidden/>
              </w:rPr>
            </w:r>
            <w:r w:rsidR="007D4FBC">
              <w:rPr>
                <w:noProof/>
                <w:webHidden/>
              </w:rPr>
              <w:fldChar w:fldCharType="separate"/>
            </w:r>
            <w:r w:rsidR="00FD45B1">
              <w:rPr>
                <w:noProof/>
                <w:webHidden/>
              </w:rPr>
              <w:t>56</w:t>
            </w:r>
            <w:r w:rsidR="007D4FBC">
              <w:rPr>
                <w:noProof/>
                <w:webHidden/>
              </w:rPr>
              <w:fldChar w:fldCharType="end"/>
            </w:r>
          </w:hyperlink>
        </w:p>
        <w:p w:rsidR="007D4FBC" w:rsidRDefault="00B62B02">
          <w:pPr>
            <w:pStyle w:val="TOC2"/>
            <w:tabs>
              <w:tab w:val="left" w:pos="1320"/>
            </w:tabs>
            <w:rPr>
              <w:rFonts w:asciiTheme="minorHAnsi" w:eastAsiaTheme="minorEastAsia" w:hAnsiTheme="minorHAnsi" w:cstheme="minorBidi"/>
              <w:b w:val="0"/>
              <w:noProof/>
              <w:sz w:val="22"/>
              <w:lang w:eastAsia="en-AU"/>
            </w:rPr>
          </w:pPr>
          <w:hyperlink w:anchor="_Toc416955652" w:history="1">
            <w:r w:rsidR="007D4FBC" w:rsidRPr="00872623">
              <w:rPr>
                <w:rStyle w:val="Hyperlink"/>
                <w:noProof/>
              </w:rPr>
              <w:t>11.</w:t>
            </w:r>
            <w:r w:rsidR="007D4FBC">
              <w:rPr>
                <w:rFonts w:asciiTheme="minorHAnsi" w:eastAsiaTheme="minorEastAsia" w:hAnsiTheme="minorHAnsi" w:cstheme="minorBidi"/>
                <w:b w:val="0"/>
                <w:noProof/>
                <w:sz w:val="22"/>
                <w:lang w:eastAsia="en-AU"/>
              </w:rPr>
              <w:tab/>
            </w:r>
            <w:r w:rsidR="007D4FBC" w:rsidRPr="00872623">
              <w:rPr>
                <w:rStyle w:val="Hyperlink"/>
                <w:noProof/>
              </w:rPr>
              <w:t>Second round evaluation of clinical data submitted in response to questions</w:t>
            </w:r>
            <w:r w:rsidR="007D4FBC">
              <w:rPr>
                <w:noProof/>
                <w:webHidden/>
              </w:rPr>
              <w:tab/>
            </w:r>
            <w:r w:rsidR="007D4FBC">
              <w:rPr>
                <w:noProof/>
                <w:webHidden/>
              </w:rPr>
              <w:fldChar w:fldCharType="begin"/>
            </w:r>
            <w:r w:rsidR="007D4FBC">
              <w:rPr>
                <w:noProof/>
                <w:webHidden/>
              </w:rPr>
              <w:instrText xml:space="preserve"> PAGEREF _Toc416955652 \h </w:instrText>
            </w:r>
            <w:r w:rsidR="007D4FBC">
              <w:rPr>
                <w:noProof/>
                <w:webHidden/>
              </w:rPr>
            </w:r>
            <w:r w:rsidR="007D4FBC">
              <w:rPr>
                <w:noProof/>
                <w:webHidden/>
              </w:rPr>
              <w:fldChar w:fldCharType="separate"/>
            </w:r>
            <w:r w:rsidR="00FD45B1">
              <w:rPr>
                <w:noProof/>
                <w:webHidden/>
              </w:rPr>
              <w:t>56</w:t>
            </w:r>
            <w:r w:rsidR="007D4FBC">
              <w:rPr>
                <w:noProof/>
                <w:webHidden/>
              </w:rPr>
              <w:fldChar w:fldCharType="end"/>
            </w:r>
          </w:hyperlink>
        </w:p>
        <w:p w:rsidR="007D4FBC" w:rsidRDefault="00B62B02">
          <w:pPr>
            <w:pStyle w:val="TOC2"/>
            <w:tabs>
              <w:tab w:val="left" w:pos="1320"/>
            </w:tabs>
            <w:rPr>
              <w:rFonts w:asciiTheme="minorHAnsi" w:eastAsiaTheme="minorEastAsia" w:hAnsiTheme="minorHAnsi" w:cstheme="minorBidi"/>
              <w:b w:val="0"/>
              <w:noProof/>
              <w:sz w:val="22"/>
              <w:lang w:eastAsia="en-AU"/>
            </w:rPr>
          </w:pPr>
          <w:hyperlink w:anchor="_Toc416955653" w:history="1">
            <w:r w:rsidR="007D4FBC" w:rsidRPr="00872623">
              <w:rPr>
                <w:rStyle w:val="Hyperlink"/>
                <w:noProof/>
              </w:rPr>
              <w:t>12.</w:t>
            </w:r>
            <w:r w:rsidR="007D4FBC">
              <w:rPr>
                <w:rFonts w:asciiTheme="minorHAnsi" w:eastAsiaTheme="minorEastAsia" w:hAnsiTheme="minorHAnsi" w:cstheme="minorBidi"/>
                <w:b w:val="0"/>
                <w:noProof/>
                <w:sz w:val="22"/>
                <w:lang w:eastAsia="en-AU"/>
              </w:rPr>
              <w:tab/>
            </w:r>
            <w:r w:rsidR="007D4FBC" w:rsidRPr="00872623">
              <w:rPr>
                <w:rStyle w:val="Hyperlink"/>
                <w:noProof/>
              </w:rPr>
              <w:t>References</w:t>
            </w:r>
            <w:r w:rsidR="007D4FBC">
              <w:rPr>
                <w:noProof/>
                <w:webHidden/>
              </w:rPr>
              <w:tab/>
            </w:r>
            <w:r w:rsidR="007D4FBC">
              <w:rPr>
                <w:noProof/>
                <w:webHidden/>
              </w:rPr>
              <w:fldChar w:fldCharType="begin"/>
            </w:r>
            <w:r w:rsidR="007D4FBC">
              <w:rPr>
                <w:noProof/>
                <w:webHidden/>
              </w:rPr>
              <w:instrText xml:space="preserve"> PAGEREF _Toc416955653 \h </w:instrText>
            </w:r>
            <w:r w:rsidR="007D4FBC">
              <w:rPr>
                <w:noProof/>
                <w:webHidden/>
              </w:rPr>
            </w:r>
            <w:r w:rsidR="007D4FBC">
              <w:rPr>
                <w:noProof/>
                <w:webHidden/>
              </w:rPr>
              <w:fldChar w:fldCharType="separate"/>
            </w:r>
            <w:r w:rsidR="00FD45B1">
              <w:rPr>
                <w:noProof/>
                <w:webHidden/>
              </w:rPr>
              <w:t>56</w:t>
            </w:r>
            <w:r w:rsidR="007D4FBC">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216E0E" w:rsidRDefault="00216E0E">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bookmarkStart w:id="7" w:name="_Toc356306144"/>
      <w:bookmarkStart w:id="8" w:name="_Toc414445384"/>
      <w:bookmarkStart w:id="9" w:name="_Toc351718900"/>
      <w:bookmarkStart w:id="10" w:name="_Toc355338635"/>
      <w:r>
        <w:br w:type="page"/>
      </w:r>
    </w:p>
    <w:p w:rsidR="0029506F" w:rsidRPr="00FD119B" w:rsidRDefault="0029506F" w:rsidP="0029506F">
      <w:pPr>
        <w:pStyle w:val="Heading2"/>
        <w:numPr>
          <w:ilvl w:val="0"/>
          <w:numId w:val="0"/>
        </w:numPr>
      </w:pPr>
      <w:bookmarkStart w:id="11" w:name="_Toc416955612"/>
      <w:r w:rsidRPr="00FD119B">
        <w:lastRenderedPageBreak/>
        <w:t>List of the most common abbreviations</w:t>
      </w:r>
      <w:bookmarkEnd w:id="4"/>
      <w:bookmarkEnd w:id="5"/>
      <w:bookmarkEnd w:id="6"/>
      <w:bookmarkEnd w:id="7"/>
      <w:r w:rsidRPr="00FD119B">
        <w:t xml:space="preserve"> used in this </w:t>
      </w:r>
      <w:r w:rsidRPr="004F0C4A">
        <w:t>AusPAR</w:t>
      </w:r>
      <w:bookmarkEnd w:id="8"/>
      <w:bookmarkEnd w:id="11"/>
    </w:p>
    <w:tbl>
      <w:tblPr>
        <w:tblStyle w:val="TableTGAblue"/>
        <w:tblW w:w="0" w:type="auto"/>
        <w:tblLook w:val="04A0" w:firstRow="1" w:lastRow="0" w:firstColumn="1" w:lastColumn="0" w:noHBand="0" w:noVBand="1"/>
      </w:tblPr>
      <w:tblGrid>
        <w:gridCol w:w="1809"/>
        <w:gridCol w:w="6911"/>
      </w:tblGrid>
      <w:tr w:rsidR="0029506F" w:rsidRPr="00FD119B" w:rsidTr="002950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29506F" w:rsidP="0029506F">
            <w:pPr>
              <w:ind w:left="0" w:right="0"/>
              <w:rPr>
                <w:rFonts w:asciiTheme="minorHAnsi" w:hAnsiTheme="minorHAnsi"/>
                <w:szCs w:val="22"/>
                <w:lang w:eastAsia="en-US"/>
              </w:rPr>
            </w:pPr>
            <w:r w:rsidRPr="00F36650">
              <w:rPr>
                <w:rFonts w:asciiTheme="minorHAnsi" w:hAnsiTheme="minorHAnsi"/>
                <w:szCs w:val="22"/>
                <w:lang w:eastAsia="en-US"/>
              </w:rPr>
              <w:t>Abbreviation</w:t>
            </w:r>
          </w:p>
        </w:tc>
        <w:tc>
          <w:tcPr>
            <w:tcW w:w="6911" w:type="dxa"/>
          </w:tcPr>
          <w:p w:rsidR="0029506F" w:rsidRPr="00F36650" w:rsidRDefault="0029506F" w:rsidP="0029506F">
            <w:pPr>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Cs w:val="22"/>
                <w:lang w:eastAsia="en-US"/>
              </w:rPr>
            </w:pPr>
            <w:r w:rsidRPr="00F36650">
              <w:rPr>
                <w:rFonts w:asciiTheme="minorHAnsi" w:hAnsiTheme="minorHAnsi"/>
                <w:szCs w:val="22"/>
                <w:lang w:eastAsia="en-US"/>
              </w:rPr>
              <w:t>Meaning</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ACE</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Angiotensin converting enzyme</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ALAT</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Alanine aminotransferase</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ASR</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Annual Safety Report</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CCDS</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Company Core Data Sheet</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CHMP</w:t>
            </w:r>
          </w:p>
        </w:tc>
        <w:tc>
          <w:tcPr>
            <w:tcW w:w="6911" w:type="dxa"/>
          </w:tcPr>
          <w:p w:rsidR="0029506F" w:rsidRPr="00F36650" w:rsidRDefault="0029506F"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Committee for Medicinal Products for Human Use</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DCCT</w:t>
            </w:r>
          </w:p>
        </w:tc>
        <w:tc>
          <w:tcPr>
            <w:tcW w:w="6911" w:type="dxa"/>
          </w:tcPr>
          <w:p w:rsidR="0029506F" w:rsidRPr="00F36650" w:rsidRDefault="0029506F"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Diabetes Control and Complications Trial</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DSUR</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Development Safety Update Report</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EEA</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European economic area</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EMA</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European medicines agency</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EU</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European union</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FDA</w:t>
            </w:r>
          </w:p>
        </w:tc>
        <w:tc>
          <w:tcPr>
            <w:tcW w:w="6911" w:type="dxa"/>
          </w:tcPr>
          <w:p w:rsidR="0029506F" w:rsidRPr="00F36650" w:rsidRDefault="0029506F"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Food and Drug Administration</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GLP-1</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Glucagon-like peptide-1</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GPRD</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General Practice Research Database</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GW</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Gestational week</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HMEC</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Human Mammary Epithelial Cells</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HIV</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Human Immunodeficiency Virus</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IBD</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International Birth Date</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ICH</w:t>
            </w:r>
          </w:p>
        </w:tc>
        <w:tc>
          <w:tcPr>
            <w:tcW w:w="6911" w:type="dxa"/>
          </w:tcPr>
          <w:p w:rsidR="0029506F" w:rsidRPr="00F36650" w:rsidRDefault="0029506F"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International Conference on Harmonisation</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L6-hIR</w:t>
            </w:r>
          </w:p>
        </w:tc>
        <w:tc>
          <w:tcPr>
            <w:tcW w:w="6911" w:type="dxa"/>
          </w:tcPr>
          <w:p w:rsidR="0029506F" w:rsidRPr="00F36650" w:rsidRDefault="0029506F"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L6 myoblasts from ATTC transfected with human insulin receptors</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29506F" w:rsidP="0029506F">
            <w:pPr>
              <w:rPr>
                <w:rFonts w:asciiTheme="minorHAnsi" w:hAnsiTheme="minorHAnsi" w:cstheme="minorHAnsi"/>
                <w:szCs w:val="22"/>
              </w:rPr>
            </w:pPr>
            <w:r w:rsidRPr="00F36650">
              <w:rPr>
                <w:rFonts w:asciiTheme="minorHAnsi" w:hAnsiTheme="minorHAnsi" w:cstheme="minorHAnsi"/>
                <w:szCs w:val="22"/>
              </w:rPr>
              <w:t>MAH</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Market Authorisation Holder</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MAOI</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Monoamine oxidase inhibitors</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proofErr w:type="spellStart"/>
            <w:r>
              <w:rPr>
                <w:rFonts w:asciiTheme="minorHAnsi" w:hAnsiTheme="minorHAnsi" w:cstheme="minorHAnsi"/>
                <w:szCs w:val="22"/>
              </w:rPr>
              <w:t>MedDRA</w:t>
            </w:r>
            <w:proofErr w:type="spellEnd"/>
          </w:p>
        </w:tc>
        <w:tc>
          <w:tcPr>
            <w:tcW w:w="6911" w:type="dxa"/>
          </w:tcPr>
          <w:p w:rsidR="0029506F" w:rsidRPr="00F36650" w:rsidRDefault="0029506F"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Medical Dictionary for Regulatory Activities</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NPH</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 xml:space="preserve">Neutral </w:t>
            </w:r>
            <w:r w:rsidR="0029506F" w:rsidRPr="00F36650">
              <w:rPr>
                <w:rFonts w:asciiTheme="minorHAnsi" w:hAnsiTheme="minorHAnsi" w:cstheme="minorHAnsi"/>
                <w:szCs w:val="22"/>
              </w:rPr>
              <w:t xml:space="preserve">protamine </w:t>
            </w:r>
            <w:proofErr w:type="spellStart"/>
            <w:r w:rsidR="0029506F" w:rsidRPr="00F36650">
              <w:rPr>
                <w:rFonts w:asciiTheme="minorHAnsi" w:hAnsiTheme="minorHAnsi" w:cstheme="minorHAnsi"/>
                <w:szCs w:val="22"/>
              </w:rPr>
              <w:t>Hagedorn</w:t>
            </w:r>
            <w:proofErr w:type="spellEnd"/>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NYHA</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New York Heart Association</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lastRenderedPageBreak/>
              <w:t>PD</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Pharmacodynamics</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PK</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Pharmacokinetics</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PSUR</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Periodic Safety Update Report</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PT</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Preferred term</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PYE</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Patient years of exposure</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RR</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Reporting rate</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RMP</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Risk Management Plan</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RSI</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Request for Supplementary Information</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proofErr w:type="spellStart"/>
            <w:r>
              <w:rPr>
                <w:rFonts w:asciiTheme="minorHAnsi" w:hAnsiTheme="minorHAnsi" w:cstheme="minorHAnsi"/>
                <w:szCs w:val="22"/>
              </w:rPr>
              <w:t>SmPC</w:t>
            </w:r>
            <w:proofErr w:type="spellEnd"/>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Summary of Product Characteristics</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SMQ</w:t>
            </w:r>
          </w:p>
        </w:tc>
        <w:tc>
          <w:tcPr>
            <w:tcW w:w="6911" w:type="dxa"/>
          </w:tcPr>
          <w:p w:rsidR="0029506F" w:rsidRPr="00F36650" w:rsidRDefault="00A13CFD" w:rsidP="00A13CF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Standardised MedDRA Query</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TZD</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Thiazolidinedione</w:t>
            </w:r>
          </w:p>
        </w:tc>
      </w:tr>
      <w:tr w:rsidR="0029506F" w:rsidRPr="00FD119B" w:rsidTr="0029506F">
        <w:tc>
          <w:tcPr>
            <w:cnfStyle w:val="001000000000" w:firstRow="0" w:lastRow="0" w:firstColumn="1" w:lastColumn="0" w:oddVBand="0" w:evenVBand="0" w:oddHBand="0" w:evenHBand="0" w:firstRowFirstColumn="0" w:firstRowLastColumn="0" w:lastRowFirstColumn="0" w:lastRowLastColumn="0"/>
            <w:tcW w:w="1809" w:type="dxa"/>
          </w:tcPr>
          <w:p w:rsidR="0029506F" w:rsidRPr="00F36650" w:rsidRDefault="00E46AF5" w:rsidP="0029506F">
            <w:pPr>
              <w:rPr>
                <w:rFonts w:asciiTheme="minorHAnsi" w:hAnsiTheme="minorHAnsi" w:cstheme="minorHAnsi"/>
                <w:szCs w:val="22"/>
              </w:rPr>
            </w:pPr>
            <w:r>
              <w:rPr>
                <w:rFonts w:asciiTheme="minorHAnsi" w:hAnsiTheme="minorHAnsi" w:cstheme="minorHAnsi"/>
                <w:szCs w:val="22"/>
              </w:rPr>
              <w:t>WHO</w:t>
            </w:r>
          </w:p>
        </w:tc>
        <w:tc>
          <w:tcPr>
            <w:tcW w:w="6911" w:type="dxa"/>
          </w:tcPr>
          <w:p w:rsidR="0029506F" w:rsidRPr="00F36650" w:rsidRDefault="00A13CFD" w:rsidP="002950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36650">
              <w:rPr>
                <w:rFonts w:asciiTheme="minorHAnsi" w:hAnsiTheme="minorHAnsi" w:cstheme="minorHAnsi"/>
                <w:szCs w:val="22"/>
              </w:rPr>
              <w:t>World Health Organization</w:t>
            </w:r>
          </w:p>
        </w:tc>
      </w:tr>
    </w:tbl>
    <w:p w:rsidR="00586F98" w:rsidRDefault="00586F98" w:rsidP="0043797D">
      <w:pPr>
        <w:pStyle w:val="Heading2"/>
        <w:pageBreakBefore/>
        <w:rPr>
          <w:lang w:eastAsia="en-AU"/>
        </w:rPr>
      </w:pPr>
      <w:bookmarkStart w:id="12" w:name="_Toc416955613"/>
      <w:r>
        <w:rPr>
          <w:lang w:eastAsia="en-AU"/>
        </w:rPr>
        <w:lastRenderedPageBreak/>
        <w:t>Clinical rationale</w:t>
      </w:r>
      <w:bookmarkEnd w:id="12"/>
    </w:p>
    <w:p w:rsidR="00AE090E" w:rsidRDefault="00127BD9" w:rsidP="00AE090E">
      <w:proofErr w:type="spellStart"/>
      <w:r>
        <w:t>Abasria</w:t>
      </w:r>
      <w:proofErr w:type="spellEnd"/>
      <w:r>
        <w:t xml:space="preserve"> has been developed as a medicine that is similar to </w:t>
      </w:r>
      <w:r w:rsidR="00AE090E">
        <w:t xml:space="preserve">Lanus brand of insulin </w:t>
      </w:r>
      <w:proofErr w:type="spellStart"/>
      <w:r w:rsidR="00AE090E">
        <w:t>glargine</w:t>
      </w:r>
      <w:proofErr w:type="spellEnd"/>
      <w:r w:rsidR="00AE090E">
        <w:t xml:space="preserve">, </w:t>
      </w:r>
      <w:r>
        <w:t xml:space="preserve">marketed by </w:t>
      </w:r>
      <w:r w:rsidR="00AE090E">
        <w:t>Sanofi-Aventis Australia Pty Ltd.</w:t>
      </w:r>
    </w:p>
    <w:p w:rsidR="00AE090E" w:rsidRPr="00D616FF" w:rsidRDefault="00AE090E" w:rsidP="00AE090E">
      <w:r w:rsidRPr="00D616FF">
        <w:t xml:space="preserve">The rationale for the drug development programme is also stated </w:t>
      </w:r>
      <w:r w:rsidR="00127BD9" w:rsidRPr="00D616FF">
        <w:t>as</w:t>
      </w:r>
      <w:r w:rsidRPr="00D616FF">
        <w:t>:</w:t>
      </w:r>
    </w:p>
    <w:p w:rsidR="00AE090E" w:rsidRPr="00D616FF" w:rsidRDefault="00127BD9" w:rsidP="00127BD9">
      <w:pPr>
        <w:ind w:left="142"/>
      </w:pPr>
      <w:r w:rsidRPr="00D616FF">
        <w:t>‘</w:t>
      </w:r>
      <w:r w:rsidR="00AE090E" w:rsidRPr="00D616FF">
        <w:rPr>
          <w:i/>
        </w:rPr>
        <w:t xml:space="preserve">The development plan for </w:t>
      </w:r>
      <w:proofErr w:type="spellStart"/>
      <w:r w:rsidR="00216E0E" w:rsidRPr="00D616FF">
        <w:rPr>
          <w:i/>
        </w:rPr>
        <w:t>Abasria</w:t>
      </w:r>
      <w:proofErr w:type="spellEnd"/>
      <w:r w:rsidR="00AE090E" w:rsidRPr="00D616FF">
        <w:rPr>
          <w:i/>
        </w:rPr>
        <w:t xml:space="preserve">, informed by the scientific principles set forth in the Committee for Medicinal Products (CHMP) guidances on biosimilars and adopted by the TGA, reflects a stepwise approach to demonstrating the similarity of </w:t>
      </w:r>
      <w:proofErr w:type="spellStart"/>
      <w:r w:rsidRPr="00D616FF">
        <w:rPr>
          <w:i/>
        </w:rPr>
        <w:t>Abasria</w:t>
      </w:r>
      <w:proofErr w:type="spellEnd"/>
      <w:r w:rsidR="00AE090E" w:rsidRPr="00D616FF">
        <w:rPr>
          <w:i/>
        </w:rPr>
        <w:t xml:space="preserve"> to the reference medicinal product (</w:t>
      </w:r>
      <w:r w:rsidRPr="00D616FF">
        <w:rPr>
          <w:i/>
        </w:rPr>
        <w:t>Lantus</w:t>
      </w:r>
      <w:r w:rsidR="00AE090E" w:rsidRPr="00D616FF">
        <w:rPr>
          <w:i/>
        </w:rPr>
        <w:t xml:space="preserve">). The aim of the </w:t>
      </w:r>
      <w:proofErr w:type="spellStart"/>
      <w:r w:rsidR="00216E0E" w:rsidRPr="00D616FF">
        <w:rPr>
          <w:i/>
        </w:rPr>
        <w:t>Abasria</w:t>
      </w:r>
      <w:proofErr w:type="spellEnd"/>
      <w:r w:rsidR="00AE090E" w:rsidRPr="00D616FF">
        <w:rPr>
          <w:i/>
        </w:rPr>
        <w:t xml:space="preserve"> development program was to demonstrate that </w:t>
      </w:r>
      <w:proofErr w:type="spellStart"/>
      <w:r w:rsidR="00216E0E" w:rsidRPr="00D616FF">
        <w:rPr>
          <w:i/>
        </w:rPr>
        <w:t>Abasria</w:t>
      </w:r>
      <w:proofErr w:type="spellEnd"/>
      <w:r w:rsidR="00AE090E" w:rsidRPr="00D616FF">
        <w:rPr>
          <w:i/>
        </w:rPr>
        <w:t xml:space="preserve"> has a highly similar profile to </w:t>
      </w:r>
      <w:r w:rsidRPr="00D616FF">
        <w:rPr>
          <w:i/>
        </w:rPr>
        <w:t xml:space="preserve">Lantus </w:t>
      </w:r>
      <w:r w:rsidR="00AE090E" w:rsidRPr="00D616FF">
        <w:rPr>
          <w:i/>
        </w:rPr>
        <w:t xml:space="preserve">in terms of quality, nonclinical, pharmacokinetics and pharmacodynamics, and clinical safety and efficacy aspects, allowing </w:t>
      </w:r>
      <w:proofErr w:type="spellStart"/>
      <w:r w:rsidR="00216E0E" w:rsidRPr="00D616FF">
        <w:rPr>
          <w:i/>
        </w:rPr>
        <w:t>Abasria</w:t>
      </w:r>
      <w:proofErr w:type="spellEnd"/>
      <w:r w:rsidR="00AE090E" w:rsidRPr="00D616FF">
        <w:rPr>
          <w:i/>
        </w:rPr>
        <w:t xml:space="preserve"> to adopt the data generated with </w:t>
      </w:r>
      <w:r w:rsidRPr="00D616FF">
        <w:rPr>
          <w:i/>
        </w:rPr>
        <w:t xml:space="preserve">Lantus </w:t>
      </w:r>
      <w:r w:rsidR="00AE090E" w:rsidRPr="00D616FF">
        <w:rPr>
          <w:i/>
        </w:rPr>
        <w:t xml:space="preserve">and thus the Australian Product Information (AUPI) for </w:t>
      </w:r>
      <w:r w:rsidRPr="00D616FF">
        <w:rPr>
          <w:i/>
        </w:rPr>
        <w:t>Lantus</w:t>
      </w:r>
      <w:r w:rsidR="00AE090E" w:rsidRPr="00D616FF">
        <w:t>.</w:t>
      </w:r>
      <w:r w:rsidRPr="00D616FF">
        <w:t>’</w:t>
      </w:r>
    </w:p>
    <w:p w:rsidR="00AE090E" w:rsidRPr="00D616FF" w:rsidRDefault="00AE090E" w:rsidP="00AE090E">
      <w:r w:rsidRPr="00D616FF">
        <w:t>The drug development programme is described in these terms:</w:t>
      </w:r>
    </w:p>
    <w:p w:rsidR="00AE090E" w:rsidRPr="00D616FF" w:rsidRDefault="00127BD9" w:rsidP="00127BD9">
      <w:pPr>
        <w:rPr>
          <w:i/>
        </w:rPr>
      </w:pPr>
      <w:r w:rsidRPr="00D616FF">
        <w:t>‘</w:t>
      </w:r>
      <w:r w:rsidR="00AE090E" w:rsidRPr="00D616FF">
        <w:rPr>
          <w:i/>
        </w:rPr>
        <w:t>The totality of data presented in this application, specifically the clinical data</w:t>
      </w:r>
      <w:r w:rsidRPr="00D616FF">
        <w:rPr>
          <w:i/>
        </w:rPr>
        <w:t xml:space="preserve"> </w:t>
      </w:r>
      <w:r w:rsidR="00AE090E" w:rsidRPr="00D616FF">
        <w:rPr>
          <w:i/>
        </w:rPr>
        <w:t xml:space="preserve">summarised in Module 2, support a sufficient demonstration of similarity of </w:t>
      </w:r>
      <w:proofErr w:type="spellStart"/>
      <w:r w:rsidR="00216E0E" w:rsidRPr="00D616FF">
        <w:rPr>
          <w:i/>
        </w:rPr>
        <w:t>Abasria</w:t>
      </w:r>
      <w:proofErr w:type="spellEnd"/>
      <w:r w:rsidR="00AE090E" w:rsidRPr="00D616FF">
        <w:rPr>
          <w:i/>
        </w:rPr>
        <w:t xml:space="preserve"> to</w:t>
      </w:r>
      <w:r w:rsidRPr="00D616FF">
        <w:rPr>
          <w:i/>
        </w:rPr>
        <w:t xml:space="preserve"> Lantus</w:t>
      </w:r>
      <w:r w:rsidR="00AE090E" w:rsidRPr="00D616FF">
        <w:rPr>
          <w:i/>
        </w:rPr>
        <w:t>:</w:t>
      </w:r>
    </w:p>
    <w:p w:rsidR="00AE090E" w:rsidRPr="00D616FF" w:rsidRDefault="00AE090E" w:rsidP="00127BD9">
      <w:pPr>
        <w:pStyle w:val="ListBullet"/>
        <w:rPr>
          <w:i/>
        </w:rPr>
      </w:pPr>
      <w:r w:rsidRPr="00D616FF">
        <w:rPr>
          <w:i/>
        </w:rPr>
        <w:t xml:space="preserve">The primary goal of the development program was achieved: Comparative PK and PD studies demonstrated highly similar PK and PD of </w:t>
      </w:r>
      <w:proofErr w:type="spellStart"/>
      <w:r w:rsidR="00216E0E" w:rsidRPr="00D616FF">
        <w:rPr>
          <w:i/>
        </w:rPr>
        <w:t>Abasria</w:t>
      </w:r>
      <w:proofErr w:type="spellEnd"/>
      <w:r w:rsidRPr="00D616FF">
        <w:rPr>
          <w:i/>
        </w:rPr>
        <w:t xml:space="preserve"> to </w:t>
      </w:r>
      <w:r w:rsidR="00127BD9" w:rsidRPr="00D616FF">
        <w:rPr>
          <w:i/>
        </w:rPr>
        <w:t>Lantus</w:t>
      </w:r>
      <w:r w:rsidRPr="00D616FF">
        <w:rPr>
          <w:i/>
        </w:rPr>
        <w:t xml:space="preserve"> (Study ABEA) and of EU-approved </w:t>
      </w:r>
      <w:r w:rsidR="00127BD9" w:rsidRPr="00D616FF">
        <w:rPr>
          <w:i/>
        </w:rPr>
        <w:t>Lantus</w:t>
      </w:r>
      <w:r w:rsidRPr="00D616FF">
        <w:rPr>
          <w:i/>
        </w:rPr>
        <w:t xml:space="preserve"> to US-approved </w:t>
      </w:r>
      <w:r w:rsidR="00127BD9" w:rsidRPr="00D616FF">
        <w:rPr>
          <w:i/>
        </w:rPr>
        <w:t>Lantus</w:t>
      </w:r>
      <w:r w:rsidRPr="00D616FF">
        <w:rPr>
          <w:i/>
        </w:rPr>
        <w:t xml:space="preserve"> (Study ABEN) within predefined bioequivalence acceptance limits.</w:t>
      </w:r>
    </w:p>
    <w:p w:rsidR="00AE090E" w:rsidRPr="00D616FF" w:rsidRDefault="00AE090E" w:rsidP="00127BD9">
      <w:pPr>
        <w:pStyle w:val="ListBullet"/>
        <w:rPr>
          <w:i/>
        </w:rPr>
      </w:pPr>
      <w:r w:rsidRPr="00D616FF">
        <w:rPr>
          <w:i/>
        </w:rPr>
        <w:t xml:space="preserve">Study ABEN established a scientific bridge that justified presenting the analyses of clinical efficacy and safety with a comparator group comprising EU- and US approved </w:t>
      </w:r>
      <w:r w:rsidR="00127BD9" w:rsidRPr="00D616FF">
        <w:rPr>
          <w:i/>
        </w:rPr>
        <w:t>Lantus</w:t>
      </w:r>
      <w:r w:rsidRPr="00D616FF">
        <w:rPr>
          <w:i/>
        </w:rPr>
        <w:t xml:space="preserve"> in the multinational </w:t>
      </w:r>
      <w:r w:rsidR="00216E0E" w:rsidRPr="00D616FF">
        <w:rPr>
          <w:i/>
        </w:rPr>
        <w:t>Phase III</w:t>
      </w:r>
      <w:r w:rsidRPr="00D616FF">
        <w:rPr>
          <w:i/>
        </w:rPr>
        <w:t xml:space="preserve"> clinical studies (ABEB and ABEC).</w:t>
      </w:r>
      <w:r w:rsidR="009F388C" w:rsidRPr="00D616FF">
        <w:rPr>
          <w:i/>
        </w:rPr>
        <w:t xml:space="preserve"> </w:t>
      </w:r>
      <w:r w:rsidRPr="00D616FF">
        <w:rPr>
          <w:i/>
        </w:rPr>
        <w:t xml:space="preserve">The scientific bridge was supported by subgroup analyses in the </w:t>
      </w:r>
      <w:r w:rsidR="00216E0E" w:rsidRPr="00D616FF">
        <w:rPr>
          <w:i/>
        </w:rPr>
        <w:t>Phase III</w:t>
      </w:r>
      <w:r w:rsidRPr="00D616FF">
        <w:rPr>
          <w:i/>
        </w:rPr>
        <w:t xml:space="preserve"> studies comparing the treatment effect of </w:t>
      </w:r>
      <w:proofErr w:type="spellStart"/>
      <w:r w:rsidR="00216E0E" w:rsidRPr="00D616FF">
        <w:rPr>
          <w:i/>
        </w:rPr>
        <w:t>Abasria</w:t>
      </w:r>
      <w:proofErr w:type="spellEnd"/>
      <w:r w:rsidRPr="00D616FF">
        <w:rPr>
          <w:i/>
        </w:rPr>
        <w:t xml:space="preserve"> to either EU- or US-approved </w:t>
      </w:r>
      <w:r w:rsidR="00127BD9" w:rsidRPr="00D616FF">
        <w:rPr>
          <w:i/>
        </w:rPr>
        <w:t>Lantus</w:t>
      </w:r>
      <w:r w:rsidRPr="00D616FF">
        <w:rPr>
          <w:i/>
        </w:rPr>
        <w:t xml:space="preserve"> for selected efficacy and safety parameters, which showed no clinically meaningful differential treatment effects between </w:t>
      </w:r>
      <w:proofErr w:type="spellStart"/>
      <w:r w:rsidR="00216E0E" w:rsidRPr="00D616FF">
        <w:rPr>
          <w:i/>
        </w:rPr>
        <w:t>Abasria</w:t>
      </w:r>
      <w:proofErr w:type="spellEnd"/>
      <w:r w:rsidRPr="00D616FF">
        <w:rPr>
          <w:i/>
        </w:rPr>
        <w:t xml:space="preserve"> and </w:t>
      </w:r>
      <w:r w:rsidR="00127BD9" w:rsidRPr="00D616FF">
        <w:rPr>
          <w:i/>
        </w:rPr>
        <w:t>Lantus</w:t>
      </w:r>
      <w:r w:rsidRPr="00D616FF">
        <w:rPr>
          <w:i/>
        </w:rPr>
        <w:t xml:space="preserve"> (irrespective of source).</w:t>
      </w:r>
    </w:p>
    <w:p w:rsidR="00AE090E" w:rsidRPr="00D616FF" w:rsidRDefault="00AE090E" w:rsidP="00216E0E">
      <w:pPr>
        <w:pStyle w:val="ListBullet"/>
        <w:rPr>
          <w:i/>
        </w:rPr>
      </w:pPr>
      <w:r w:rsidRPr="00D616FF">
        <w:rPr>
          <w:i/>
        </w:rPr>
        <w:t xml:space="preserve">Clinical data from Studies ABEB (T1DM) and ABEC (T2DM) provide evidence that </w:t>
      </w:r>
      <w:proofErr w:type="spellStart"/>
      <w:r w:rsidR="00216E0E" w:rsidRPr="00D616FF">
        <w:rPr>
          <w:i/>
        </w:rPr>
        <w:t>Abasria</w:t>
      </w:r>
      <w:proofErr w:type="spellEnd"/>
      <w:r w:rsidRPr="00D616FF">
        <w:rPr>
          <w:i/>
        </w:rPr>
        <w:t xml:space="preserve"> and </w:t>
      </w:r>
      <w:r w:rsidR="00127BD9" w:rsidRPr="00D616FF">
        <w:rPr>
          <w:i/>
        </w:rPr>
        <w:t>Lantus</w:t>
      </w:r>
      <w:r w:rsidRPr="00D616FF">
        <w:rPr>
          <w:i/>
        </w:rPr>
        <w:t xml:space="preserve"> have equivalent efficacy by meeting the primary test of the </w:t>
      </w:r>
      <w:r w:rsidR="005B41AF" w:rsidRPr="00D616FF">
        <w:rPr>
          <w:i/>
        </w:rPr>
        <w:t>non-inferiority</w:t>
      </w:r>
      <w:r w:rsidRPr="00D616FF">
        <w:rPr>
          <w:i/>
        </w:rPr>
        <w:t xml:space="preserve"> of </w:t>
      </w:r>
      <w:proofErr w:type="spellStart"/>
      <w:r w:rsidR="008620DC" w:rsidRPr="00D616FF">
        <w:rPr>
          <w:i/>
        </w:rPr>
        <w:t>Abasria</w:t>
      </w:r>
      <w:proofErr w:type="spellEnd"/>
      <w:r w:rsidRPr="00D616FF">
        <w:rPr>
          <w:i/>
        </w:rPr>
        <w:t xml:space="preserve"> to </w:t>
      </w:r>
      <w:r w:rsidR="00127BD9" w:rsidRPr="00D616FF">
        <w:rPr>
          <w:i/>
        </w:rPr>
        <w:t>Lantus</w:t>
      </w:r>
      <w:r w:rsidRPr="00D616FF">
        <w:rPr>
          <w:i/>
        </w:rPr>
        <w:t xml:space="preserve"> as well as the secondary, complementary test of the </w:t>
      </w:r>
      <w:r w:rsidR="005B41AF" w:rsidRPr="00D616FF">
        <w:rPr>
          <w:i/>
        </w:rPr>
        <w:t>non-inferiority</w:t>
      </w:r>
      <w:r w:rsidRPr="00D616FF">
        <w:rPr>
          <w:i/>
        </w:rPr>
        <w:t xml:space="preserve"> of </w:t>
      </w:r>
      <w:r w:rsidR="00127BD9" w:rsidRPr="00D616FF">
        <w:rPr>
          <w:i/>
        </w:rPr>
        <w:t>Lantus</w:t>
      </w:r>
      <w:r w:rsidRPr="00D616FF">
        <w:rPr>
          <w:i/>
        </w:rPr>
        <w:t xml:space="preserve"> to </w:t>
      </w:r>
      <w:proofErr w:type="spellStart"/>
      <w:r w:rsidR="00216E0E" w:rsidRPr="00D616FF">
        <w:rPr>
          <w:i/>
        </w:rPr>
        <w:t>Abasria</w:t>
      </w:r>
      <w:proofErr w:type="spellEnd"/>
      <w:r w:rsidRPr="00D616FF">
        <w:rPr>
          <w:i/>
        </w:rPr>
        <w:t xml:space="preserve"> with respect to change in HbA1c, and with no statistically significant difference between treatment groups for key secondary measures of efficacy.</w:t>
      </w:r>
    </w:p>
    <w:p w:rsidR="00AE090E" w:rsidRPr="00D616FF" w:rsidRDefault="00AE090E" w:rsidP="00216E0E">
      <w:pPr>
        <w:pStyle w:val="ListBullet"/>
      </w:pPr>
      <w:r w:rsidRPr="00D616FF">
        <w:rPr>
          <w:i/>
        </w:rPr>
        <w:t xml:space="preserve">Clinical safety data from the </w:t>
      </w:r>
      <w:r w:rsidR="00216E0E" w:rsidRPr="00D616FF">
        <w:rPr>
          <w:i/>
        </w:rPr>
        <w:t>Phase III</w:t>
      </w:r>
      <w:r w:rsidRPr="00D616FF">
        <w:rPr>
          <w:i/>
        </w:rPr>
        <w:t xml:space="preserve"> studies demonstrate a highly similar safety profile (including immunogenicity, allergic reactions, and </w:t>
      </w:r>
      <w:proofErr w:type="spellStart"/>
      <w:r w:rsidRPr="00D616FF">
        <w:rPr>
          <w:i/>
        </w:rPr>
        <w:t>hypoglycemia</w:t>
      </w:r>
      <w:proofErr w:type="spellEnd"/>
      <w:r w:rsidRPr="00D616FF">
        <w:rPr>
          <w:i/>
        </w:rPr>
        <w:t xml:space="preserve">) of </w:t>
      </w:r>
      <w:proofErr w:type="spellStart"/>
      <w:r w:rsidR="00216E0E" w:rsidRPr="00D616FF">
        <w:rPr>
          <w:i/>
        </w:rPr>
        <w:t>Abasria</w:t>
      </w:r>
      <w:proofErr w:type="spellEnd"/>
      <w:r w:rsidRPr="00D616FF">
        <w:rPr>
          <w:i/>
        </w:rPr>
        <w:t xml:space="preserve"> to </w:t>
      </w:r>
      <w:r w:rsidR="00127BD9" w:rsidRPr="00D616FF">
        <w:rPr>
          <w:i/>
        </w:rPr>
        <w:t>Lantus</w:t>
      </w:r>
      <w:r w:rsidRPr="00D616FF">
        <w:rPr>
          <w:i/>
        </w:rPr>
        <w:t xml:space="preserve">. Importantly, the development of anti-insulin </w:t>
      </w:r>
      <w:proofErr w:type="spellStart"/>
      <w:r w:rsidRPr="00D616FF">
        <w:rPr>
          <w:i/>
        </w:rPr>
        <w:t>glargine</w:t>
      </w:r>
      <w:proofErr w:type="spellEnd"/>
      <w:r w:rsidRPr="00D616FF">
        <w:rPr>
          <w:i/>
        </w:rPr>
        <w:t xml:space="preserve"> antibodies (as measured by TEAR) was not associated with any detrimental effect on efficacy and safety outcomes in patients with 11DM or T2DM</w:t>
      </w:r>
      <w:r w:rsidRPr="00D616FF">
        <w:t>.</w:t>
      </w:r>
      <w:r w:rsidR="00127BD9" w:rsidRPr="00D616FF">
        <w:t>’</w:t>
      </w:r>
    </w:p>
    <w:p w:rsidR="00AE090E" w:rsidRPr="00AD0CFC" w:rsidRDefault="00AE090E" w:rsidP="00E46AF5">
      <w:pPr>
        <w:ind w:left="567"/>
      </w:pPr>
      <w:r w:rsidRPr="00F36650">
        <w:rPr>
          <w:b/>
        </w:rPr>
        <w:t>Comment</w:t>
      </w:r>
      <w:r w:rsidRPr="00D616FF">
        <w:t xml:space="preserve">: </w:t>
      </w:r>
      <w:r w:rsidRPr="0000237F">
        <w:t xml:space="preserve">As is evident from the content of Modules 2 and 5, the drug development programme was </w:t>
      </w:r>
      <w:r w:rsidRPr="00D96585">
        <w:t>informed by discussions with the FDA and with the EMA</w:t>
      </w:r>
      <w:r w:rsidR="00D616FF" w:rsidRPr="00AD0CFC">
        <w:t>.</w:t>
      </w:r>
      <w:r w:rsidRPr="00AD0CFC">
        <w:t xml:space="preserve"> </w:t>
      </w:r>
    </w:p>
    <w:p w:rsidR="00586F98" w:rsidRDefault="00586F98" w:rsidP="00586F98">
      <w:pPr>
        <w:pStyle w:val="Heading2"/>
        <w:rPr>
          <w:lang w:eastAsia="en-AU"/>
        </w:rPr>
      </w:pPr>
      <w:bookmarkStart w:id="13" w:name="_Toc416955614"/>
      <w:r>
        <w:rPr>
          <w:lang w:eastAsia="en-AU"/>
        </w:rPr>
        <w:t>Contents of the clinical dossier</w:t>
      </w:r>
      <w:bookmarkEnd w:id="9"/>
      <w:bookmarkEnd w:id="10"/>
      <w:bookmarkEnd w:id="13"/>
    </w:p>
    <w:p w:rsidR="00586F98" w:rsidRDefault="00586F98" w:rsidP="00586F98">
      <w:pPr>
        <w:pStyle w:val="Heading3"/>
      </w:pPr>
      <w:bookmarkStart w:id="14" w:name="_Toc416955615"/>
      <w:r>
        <w:t>Scope of the clinical dossier</w:t>
      </w:r>
      <w:bookmarkEnd w:id="14"/>
    </w:p>
    <w:p w:rsidR="00AE090E" w:rsidRPr="009F388C" w:rsidRDefault="00216E0E" w:rsidP="009F388C">
      <w:pPr>
        <w:pStyle w:val="ListBullet"/>
      </w:pPr>
      <w:r w:rsidRPr="009F388C">
        <w:t>F</w:t>
      </w:r>
      <w:r w:rsidR="00AE090E" w:rsidRPr="009F388C">
        <w:t>ive clinical pharmacology studies, all of which generated pharmacokinetic data and also pharmacodynamic data.</w:t>
      </w:r>
    </w:p>
    <w:p w:rsidR="00AE090E" w:rsidRPr="009F388C" w:rsidRDefault="00216E0E" w:rsidP="009F388C">
      <w:pPr>
        <w:pStyle w:val="ListBullet"/>
      </w:pPr>
      <w:r w:rsidRPr="009F388C">
        <w:lastRenderedPageBreak/>
        <w:t>N</w:t>
      </w:r>
      <w:r w:rsidR="00AE090E" w:rsidRPr="009F388C">
        <w:t>o population pharmacokinetic analyses.</w:t>
      </w:r>
    </w:p>
    <w:p w:rsidR="00AE090E" w:rsidRPr="009F388C" w:rsidRDefault="00216E0E" w:rsidP="009F388C">
      <w:pPr>
        <w:pStyle w:val="ListBullet"/>
      </w:pPr>
      <w:r w:rsidRPr="009F388C">
        <w:t>O</w:t>
      </w:r>
      <w:r w:rsidR="00AE090E" w:rsidRPr="009F388C">
        <w:t>ne pivotal efficacy/safety study (ABEC).</w:t>
      </w:r>
    </w:p>
    <w:p w:rsidR="00AE090E" w:rsidRPr="009F388C" w:rsidRDefault="00216E0E" w:rsidP="009F388C">
      <w:pPr>
        <w:pStyle w:val="ListBullet"/>
      </w:pPr>
      <w:r w:rsidRPr="009F388C">
        <w:t>N</w:t>
      </w:r>
      <w:r w:rsidR="00AE090E" w:rsidRPr="009F388C">
        <w:t>o dose-finding studies.</w:t>
      </w:r>
    </w:p>
    <w:p w:rsidR="00AE090E" w:rsidRPr="009F388C" w:rsidRDefault="00216E0E" w:rsidP="009F388C">
      <w:pPr>
        <w:pStyle w:val="ListBullet"/>
      </w:pPr>
      <w:r w:rsidRPr="009F388C">
        <w:t>O</w:t>
      </w:r>
      <w:r w:rsidR="00AE090E" w:rsidRPr="009F388C">
        <w:t>ne other efficacy/safety study (ABEB).</w:t>
      </w:r>
    </w:p>
    <w:p w:rsidR="00AE090E" w:rsidRPr="009F388C" w:rsidRDefault="00AE090E" w:rsidP="009F388C">
      <w:pPr>
        <w:pStyle w:val="ListBullet"/>
      </w:pPr>
      <w:r w:rsidRPr="009F388C">
        <w:t>Literature references.</w:t>
      </w:r>
    </w:p>
    <w:p w:rsidR="00586F98" w:rsidRDefault="00586F98" w:rsidP="00586F98">
      <w:pPr>
        <w:pStyle w:val="Heading3"/>
      </w:pPr>
      <w:bookmarkStart w:id="15" w:name="_Toc416955616"/>
      <w:r>
        <w:t>Paediatric data</w:t>
      </w:r>
      <w:bookmarkEnd w:id="15"/>
    </w:p>
    <w:p w:rsidR="00586F98" w:rsidRDefault="00AE090E" w:rsidP="00586F98">
      <w:pPr>
        <w:rPr>
          <w:lang w:eastAsia="ja-JP"/>
        </w:rPr>
      </w:pPr>
      <w:r>
        <w:t>The submission did not include paediatric data.</w:t>
      </w:r>
    </w:p>
    <w:p w:rsidR="00586F98" w:rsidRDefault="00586F98" w:rsidP="00586F98">
      <w:pPr>
        <w:pStyle w:val="Heading3"/>
      </w:pPr>
      <w:bookmarkStart w:id="16" w:name="_Toc416955617"/>
      <w:r>
        <w:t>Good clinical practice</w:t>
      </w:r>
      <w:bookmarkEnd w:id="16"/>
    </w:p>
    <w:p w:rsidR="00AE090E" w:rsidRDefault="00AE090E" w:rsidP="00AE090E">
      <w:bookmarkStart w:id="17" w:name="_Toc241374282"/>
      <w:r>
        <w:t>As appended to the letter of application:</w:t>
      </w:r>
    </w:p>
    <w:p w:rsidR="00AE090E" w:rsidRPr="009131CF" w:rsidRDefault="00127BD9" w:rsidP="00AE090E">
      <w:pPr>
        <w:ind w:left="284"/>
        <w:rPr>
          <w:i/>
        </w:rPr>
      </w:pPr>
      <w:r>
        <w:rPr>
          <w:i/>
        </w:rPr>
        <w:t>‘</w:t>
      </w:r>
      <w:r w:rsidR="00AE090E" w:rsidRPr="009131CF">
        <w:rPr>
          <w:i/>
        </w:rPr>
        <w:t xml:space="preserve">I certify that Eli Lilly Australia Pty. Limited is in possession of documentation to demonstrate that the clinical studies accompanying the letter of 01 October 2013 were carried out in accordance with the principles of the Declaration of Helsinki and, if conducted in Australia, in accordance with the NH&amp;MRC </w:t>
      </w:r>
      <w:r>
        <w:rPr>
          <w:i/>
        </w:rPr>
        <w:t>‘</w:t>
      </w:r>
      <w:r w:rsidR="00AE090E" w:rsidRPr="009131CF">
        <w:rPr>
          <w:i/>
        </w:rPr>
        <w:t>Statement on Human Experimentation</w:t>
      </w:r>
      <w:r>
        <w:rPr>
          <w:i/>
        </w:rPr>
        <w:t>’</w:t>
      </w:r>
      <w:r w:rsidR="00AE090E" w:rsidRPr="009131CF">
        <w:rPr>
          <w:i/>
        </w:rPr>
        <w:t>.</w:t>
      </w:r>
    </w:p>
    <w:p w:rsidR="00AE090E" w:rsidRPr="009131CF" w:rsidRDefault="00AE090E" w:rsidP="00AE090E">
      <w:pPr>
        <w:ind w:left="284"/>
        <w:rPr>
          <w:i/>
        </w:rPr>
      </w:pPr>
      <w:r w:rsidRPr="009131CF">
        <w:rPr>
          <w:i/>
        </w:rPr>
        <w:t>I further certify that such documentation will be provided to the Department of Human Services and Health within three months of any request.</w:t>
      </w:r>
    </w:p>
    <w:p w:rsidR="00AE090E" w:rsidRPr="009131CF" w:rsidRDefault="00AE090E" w:rsidP="00AE090E">
      <w:pPr>
        <w:ind w:left="284"/>
        <w:rPr>
          <w:i/>
        </w:rPr>
      </w:pPr>
      <w:r w:rsidRPr="009131CF">
        <w:rPr>
          <w:i/>
        </w:rPr>
        <w:t>I understand that the documentation referred to includes Ethics Review Committee approval letters, signed subject consent forms and the patient information sheet if there is one.</w:t>
      </w:r>
      <w:r w:rsidR="00127BD9">
        <w:rPr>
          <w:i/>
        </w:rPr>
        <w:t>’</w:t>
      </w:r>
    </w:p>
    <w:bookmarkEnd w:id="17"/>
    <w:p w:rsidR="00AE090E" w:rsidRDefault="00AE090E" w:rsidP="00AE090E">
      <w:r>
        <w:t>The evaluator mention</w:t>
      </w:r>
      <w:r w:rsidR="009F388C">
        <w:t>s</w:t>
      </w:r>
      <w:r>
        <w:t xml:space="preserve"> in the discussion of each study any relevant matters in regard to GCP, ethical certification and auditing. In brief, no major concerns were noted but </w:t>
      </w:r>
      <w:r w:rsidRPr="000B59D5">
        <w:t>some clarifications from the applicant might be needed.</w:t>
      </w:r>
      <w:r>
        <w:t xml:space="preserve"> These are mentioned in the discussion of each study.</w:t>
      </w:r>
    </w:p>
    <w:p w:rsidR="00586F98" w:rsidRDefault="00586F98" w:rsidP="00DD3066">
      <w:pPr>
        <w:pStyle w:val="Heading2"/>
      </w:pPr>
      <w:bookmarkStart w:id="18" w:name="_Toc355338639"/>
      <w:bookmarkStart w:id="19" w:name="_Toc416955618"/>
      <w:r>
        <w:t>Pharmacokinetics</w:t>
      </w:r>
      <w:bookmarkEnd w:id="18"/>
      <w:bookmarkEnd w:id="19"/>
    </w:p>
    <w:p w:rsidR="00AE090E" w:rsidRDefault="00AE090E" w:rsidP="00DD3066">
      <w:pPr>
        <w:pStyle w:val="Heading3"/>
      </w:pPr>
      <w:bookmarkStart w:id="20" w:name="_Ref271017296"/>
      <w:bookmarkStart w:id="21" w:name="_Ref271018924"/>
      <w:bookmarkStart w:id="22" w:name="_Ref271018934"/>
      <w:bookmarkStart w:id="23" w:name="_Toc272414614"/>
      <w:bookmarkStart w:id="24" w:name="_Toc290846238"/>
      <w:bookmarkStart w:id="25" w:name="_Toc378790149"/>
      <w:bookmarkStart w:id="26" w:name="_Toc416955619"/>
      <w:r>
        <w:t>Studies</w:t>
      </w:r>
      <w:bookmarkEnd w:id="20"/>
      <w:bookmarkEnd w:id="21"/>
      <w:bookmarkEnd w:id="22"/>
      <w:r>
        <w:t xml:space="preserve"> providing pharmacokinetic data</w:t>
      </w:r>
      <w:bookmarkEnd w:id="23"/>
      <w:bookmarkEnd w:id="24"/>
      <w:bookmarkEnd w:id="25"/>
      <w:bookmarkEnd w:id="26"/>
    </w:p>
    <w:p w:rsidR="00AE090E" w:rsidRDefault="007D4FBC" w:rsidP="00AE090E">
      <w:r>
        <w:t xml:space="preserve">Table 1 </w:t>
      </w:r>
      <w:r w:rsidR="00AE090E">
        <w:t>shows the studies relating to each pharmacokinetic topic and the location of each study summary.</w:t>
      </w:r>
    </w:p>
    <w:p w:rsidR="00AE090E" w:rsidRDefault="00AE090E" w:rsidP="0029506F">
      <w:pPr>
        <w:pStyle w:val="Tabletitle"/>
      </w:pPr>
      <w:bookmarkStart w:id="27" w:name="_Ref272426277"/>
      <w:bookmarkStart w:id="28" w:name="_Toc378791311"/>
      <w:proofErr w:type="gramStart"/>
      <w:r>
        <w:t xml:space="preserve">Table </w:t>
      </w:r>
      <w:fldSimple w:instr=" SEQ Table \* ARABIC ">
        <w:r w:rsidR="00FD45B1">
          <w:rPr>
            <w:noProof/>
          </w:rPr>
          <w:t>1</w:t>
        </w:r>
      </w:fldSimple>
      <w:bookmarkEnd w:id="27"/>
      <w:r>
        <w:t>.</w:t>
      </w:r>
      <w:proofErr w:type="gramEnd"/>
      <w:r>
        <w:t xml:space="preserve"> </w:t>
      </w:r>
      <w:proofErr w:type="gramStart"/>
      <w:r>
        <w:t>Submitted pharmacokinetic studies.</w:t>
      </w:r>
      <w:bookmarkEnd w:id="28"/>
      <w:proofErr w:type="gramEnd"/>
    </w:p>
    <w:tbl>
      <w:tblPr>
        <w:tblStyle w:val="TableTGAblue"/>
        <w:tblW w:w="9039" w:type="dxa"/>
        <w:tblLayout w:type="fixed"/>
        <w:tblLook w:val="04A0" w:firstRow="1" w:lastRow="0" w:firstColumn="1" w:lastColumn="0" w:noHBand="0" w:noVBand="1"/>
      </w:tblPr>
      <w:tblGrid>
        <w:gridCol w:w="1951"/>
        <w:gridCol w:w="3544"/>
        <w:gridCol w:w="1843"/>
        <w:gridCol w:w="1701"/>
      </w:tblGrid>
      <w:tr w:rsidR="0029506F" w:rsidTr="00E46AF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51" w:type="dxa"/>
          </w:tcPr>
          <w:p w:rsidR="0029506F" w:rsidRPr="009F388C" w:rsidRDefault="0029506F" w:rsidP="009F388C">
            <w:pPr>
              <w:rPr>
                <w:rFonts w:asciiTheme="minorHAnsi" w:hAnsiTheme="minorHAnsi"/>
                <w:sz w:val="20"/>
                <w:szCs w:val="20"/>
              </w:rPr>
            </w:pPr>
            <w:r w:rsidRPr="009F388C">
              <w:rPr>
                <w:rFonts w:asciiTheme="minorHAnsi" w:hAnsiTheme="minorHAnsi"/>
                <w:sz w:val="20"/>
                <w:szCs w:val="20"/>
              </w:rPr>
              <w:t>PK topic</w:t>
            </w:r>
          </w:p>
        </w:tc>
        <w:tc>
          <w:tcPr>
            <w:tcW w:w="3544" w:type="dxa"/>
          </w:tcPr>
          <w:p w:rsidR="0029506F" w:rsidRPr="009F388C" w:rsidRDefault="0029506F" w:rsidP="009F388C">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Subtopic</w:t>
            </w:r>
          </w:p>
        </w:tc>
        <w:tc>
          <w:tcPr>
            <w:tcW w:w="1843" w:type="dxa"/>
          </w:tcPr>
          <w:p w:rsidR="0029506F" w:rsidRPr="009F388C" w:rsidRDefault="0029506F" w:rsidP="009F388C">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Study ID</w:t>
            </w:r>
          </w:p>
        </w:tc>
        <w:tc>
          <w:tcPr>
            <w:tcW w:w="1701" w:type="dxa"/>
          </w:tcPr>
          <w:p w:rsidR="0029506F" w:rsidRPr="009F388C" w:rsidRDefault="0029506F" w:rsidP="009F388C">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w:t>
            </w:r>
          </w:p>
        </w:tc>
      </w:tr>
      <w:tr w:rsidR="0029506F" w:rsidTr="00E46AF5">
        <w:trPr>
          <w:cantSplit/>
        </w:trPr>
        <w:tc>
          <w:tcPr>
            <w:cnfStyle w:val="001000000000" w:firstRow="0" w:lastRow="0" w:firstColumn="1" w:lastColumn="0" w:oddVBand="0" w:evenVBand="0" w:oddHBand="0" w:evenHBand="0" w:firstRowFirstColumn="0" w:firstRowLastColumn="0" w:lastRowFirstColumn="0" w:lastRowLastColumn="0"/>
            <w:tcW w:w="1951" w:type="dxa"/>
            <w:vMerge w:val="restart"/>
          </w:tcPr>
          <w:p w:rsidR="0029506F" w:rsidRPr="009F388C" w:rsidRDefault="0029506F" w:rsidP="00E46AF5">
            <w:pPr>
              <w:rPr>
                <w:rFonts w:asciiTheme="minorHAnsi" w:hAnsiTheme="minorHAnsi"/>
                <w:sz w:val="20"/>
                <w:szCs w:val="20"/>
              </w:rPr>
            </w:pPr>
            <w:r w:rsidRPr="009F388C">
              <w:rPr>
                <w:rFonts w:asciiTheme="minorHAnsi" w:hAnsiTheme="minorHAnsi"/>
                <w:sz w:val="20"/>
                <w:szCs w:val="20"/>
              </w:rPr>
              <w:t>PK in healthy adults</w:t>
            </w:r>
          </w:p>
        </w:tc>
        <w:tc>
          <w:tcPr>
            <w:tcW w:w="3544"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General PK</w:t>
            </w:r>
            <w:r w:rsidRPr="009F388C">
              <w:rPr>
                <w:rFonts w:asciiTheme="minorHAnsi" w:hAnsiTheme="minorHAnsi"/>
                <w:sz w:val="20"/>
                <w:szCs w:val="20"/>
              </w:rPr>
              <w:tab/>
              <w:t>- Single dose</w:t>
            </w:r>
          </w:p>
        </w:tc>
        <w:tc>
          <w:tcPr>
            <w:tcW w:w="1843"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ABEA</w:t>
            </w:r>
          </w:p>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ABEM</w:t>
            </w:r>
          </w:p>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ABEI</w:t>
            </w:r>
          </w:p>
        </w:tc>
        <w:tc>
          <w:tcPr>
            <w:tcW w:w="1701"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PK &amp; PD</w:t>
            </w:r>
          </w:p>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PK &amp; PD</w:t>
            </w:r>
          </w:p>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PK &amp; PD</w:t>
            </w:r>
          </w:p>
        </w:tc>
      </w:tr>
      <w:tr w:rsidR="0029506F" w:rsidTr="00E46AF5">
        <w:trPr>
          <w:cantSplit/>
        </w:trPr>
        <w:tc>
          <w:tcPr>
            <w:cnfStyle w:val="001000000000" w:firstRow="0" w:lastRow="0" w:firstColumn="1" w:lastColumn="0" w:oddVBand="0" w:evenVBand="0" w:oddHBand="0" w:evenHBand="0" w:firstRowFirstColumn="0" w:firstRowLastColumn="0" w:lastRowFirstColumn="0" w:lastRowLastColumn="0"/>
            <w:tcW w:w="1951" w:type="dxa"/>
            <w:vMerge/>
          </w:tcPr>
          <w:p w:rsidR="0029506F" w:rsidRPr="009F388C" w:rsidRDefault="0029506F" w:rsidP="009F388C">
            <w:pPr>
              <w:rPr>
                <w:rFonts w:asciiTheme="minorHAnsi" w:hAnsiTheme="minorHAnsi"/>
                <w:sz w:val="20"/>
                <w:szCs w:val="20"/>
              </w:rPr>
            </w:pPr>
          </w:p>
        </w:tc>
        <w:tc>
          <w:tcPr>
            <w:tcW w:w="3544"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ab/>
            </w:r>
            <w:r w:rsidRPr="009F388C">
              <w:rPr>
                <w:rFonts w:asciiTheme="minorHAnsi" w:hAnsiTheme="minorHAnsi"/>
                <w:sz w:val="20"/>
                <w:szCs w:val="20"/>
              </w:rPr>
              <w:tab/>
              <w:t>- Multi-dose</w:t>
            </w:r>
          </w:p>
        </w:tc>
        <w:tc>
          <w:tcPr>
            <w:tcW w:w="1843"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701"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29506F" w:rsidTr="00E46AF5">
        <w:trPr>
          <w:cantSplit/>
        </w:trPr>
        <w:tc>
          <w:tcPr>
            <w:cnfStyle w:val="001000000000" w:firstRow="0" w:lastRow="0" w:firstColumn="1" w:lastColumn="0" w:oddVBand="0" w:evenVBand="0" w:oddHBand="0" w:evenHBand="0" w:firstRowFirstColumn="0" w:firstRowLastColumn="0" w:lastRowFirstColumn="0" w:lastRowLastColumn="0"/>
            <w:tcW w:w="1951" w:type="dxa"/>
            <w:vMerge/>
          </w:tcPr>
          <w:p w:rsidR="0029506F" w:rsidRPr="009F388C" w:rsidRDefault="0029506F" w:rsidP="009F388C">
            <w:pPr>
              <w:rPr>
                <w:rFonts w:asciiTheme="minorHAnsi" w:hAnsiTheme="minorHAnsi"/>
                <w:sz w:val="20"/>
                <w:szCs w:val="20"/>
              </w:rPr>
            </w:pPr>
          </w:p>
        </w:tc>
        <w:tc>
          <w:tcPr>
            <w:tcW w:w="3544"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Bioequivalence† - Single dose</w:t>
            </w:r>
          </w:p>
        </w:tc>
        <w:tc>
          <w:tcPr>
            <w:tcW w:w="1843"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ABEN</w:t>
            </w:r>
          </w:p>
          <w:p w:rsidR="009F388C" w:rsidRDefault="00E46AF5" w:rsidP="00E46AF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br/>
            </w:r>
            <w:r>
              <w:rPr>
                <w:rFonts w:asciiTheme="minorHAnsi" w:hAnsiTheme="minorHAnsi"/>
                <w:sz w:val="20"/>
                <w:szCs w:val="20"/>
              </w:rPr>
              <w:br/>
            </w:r>
            <w:r w:rsidR="0029506F" w:rsidRPr="009F388C">
              <w:rPr>
                <w:rFonts w:asciiTheme="minorHAnsi" w:hAnsiTheme="minorHAnsi"/>
                <w:sz w:val="20"/>
                <w:szCs w:val="20"/>
              </w:rPr>
              <w:t>ABEA</w:t>
            </w:r>
          </w:p>
          <w:p w:rsidR="0029506F" w:rsidRPr="009F388C" w:rsidRDefault="00E46AF5"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br/>
            </w:r>
            <w:r w:rsidR="0029506F" w:rsidRPr="009F388C">
              <w:rPr>
                <w:rFonts w:asciiTheme="minorHAnsi" w:hAnsiTheme="minorHAnsi"/>
                <w:sz w:val="20"/>
                <w:szCs w:val="20"/>
              </w:rPr>
              <w:t>ABEM</w:t>
            </w:r>
          </w:p>
          <w:p w:rsidR="0029506F" w:rsidRPr="009F388C" w:rsidRDefault="00E46AF5"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br/>
            </w:r>
            <w:r w:rsidR="0029506F" w:rsidRPr="009F388C">
              <w:rPr>
                <w:rFonts w:asciiTheme="minorHAnsi" w:hAnsiTheme="minorHAnsi"/>
                <w:sz w:val="20"/>
                <w:szCs w:val="20"/>
              </w:rPr>
              <w:t>ABEI</w:t>
            </w:r>
          </w:p>
        </w:tc>
        <w:tc>
          <w:tcPr>
            <w:tcW w:w="1701"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PK &amp; PD of Lantus US v. Lantus EU</w:t>
            </w:r>
          </w:p>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PK comparisons</w:t>
            </w:r>
          </w:p>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PK comparisons</w:t>
            </w:r>
          </w:p>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PK comparisons</w:t>
            </w:r>
          </w:p>
        </w:tc>
      </w:tr>
      <w:tr w:rsidR="0029506F" w:rsidTr="00E46AF5">
        <w:trPr>
          <w:cantSplit/>
        </w:trPr>
        <w:tc>
          <w:tcPr>
            <w:cnfStyle w:val="001000000000" w:firstRow="0" w:lastRow="0" w:firstColumn="1" w:lastColumn="0" w:oddVBand="0" w:evenVBand="0" w:oddHBand="0" w:evenHBand="0" w:firstRowFirstColumn="0" w:firstRowLastColumn="0" w:lastRowFirstColumn="0" w:lastRowLastColumn="0"/>
            <w:tcW w:w="1951" w:type="dxa"/>
            <w:vMerge/>
          </w:tcPr>
          <w:p w:rsidR="0029506F" w:rsidRPr="009F388C" w:rsidRDefault="0029506F" w:rsidP="009F388C">
            <w:pPr>
              <w:rPr>
                <w:rFonts w:asciiTheme="minorHAnsi" w:hAnsiTheme="minorHAnsi"/>
                <w:sz w:val="20"/>
                <w:szCs w:val="20"/>
              </w:rPr>
            </w:pPr>
          </w:p>
        </w:tc>
        <w:tc>
          <w:tcPr>
            <w:tcW w:w="3544" w:type="dxa"/>
          </w:tcPr>
          <w:p w:rsidR="0029506F" w:rsidRPr="009F388C" w:rsidRDefault="0029506F" w:rsidP="00E46AF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ab/>
            </w:r>
            <w:r w:rsidRPr="009F388C">
              <w:rPr>
                <w:rFonts w:asciiTheme="minorHAnsi" w:hAnsiTheme="minorHAnsi"/>
                <w:sz w:val="20"/>
                <w:szCs w:val="20"/>
              </w:rPr>
              <w:tab/>
              <w:t>- Multi-dose</w:t>
            </w:r>
          </w:p>
        </w:tc>
        <w:tc>
          <w:tcPr>
            <w:tcW w:w="1843"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Not submitted.</w:t>
            </w:r>
          </w:p>
        </w:tc>
        <w:tc>
          <w:tcPr>
            <w:tcW w:w="1701"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29506F" w:rsidTr="00E46AF5">
        <w:trPr>
          <w:cantSplit/>
        </w:trPr>
        <w:tc>
          <w:tcPr>
            <w:cnfStyle w:val="001000000000" w:firstRow="0" w:lastRow="0" w:firstColumn="1" w:lastColumn="0" w:oddVBand="0" w:evenVBand="0" w:oddHBand="0" w:evenHBand="0" w:firstRowFirstColumn="0" w:firstRowLastColumn="0" w:lastRowFirstColumn="0" w:lastRowLastColumn="0"/>
            <w:tcW w:w="1951" w:type="dxa"/>
            <w:vMerge/>
          </w:tcPr>
          <w:p w:rsidR="0029506F" w:rsidRPr="009F388C" w:rsidRDefault="0029506F" w:rsidP="009F388C">
            <w:pPr>
              <w:rPr>
                <w:rFonts w:asciiTheme="minorHAnsi" w:hAnsiTheme="minorHAnsi"/>
                <w:sz w:val="20"/>
                <w:szCs w:val="20"/>
              </w:rPr>
            </w:pPr>
          </w:p>
        </w:tc>
        <w:tc>
          <w:tcPr>
            <w:tcW w:w="3544"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Food effect</w:t>
            </w:r>
          </w:p>
        </w:tc>
        <w:tc>
          <w:tcPr>
            <w:tcW w:w="1843"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Not applicable.</w:t>
            </w:r>
          </w:p>
        </w:tc>
        <w:tc>
          <w:tcPr>
            <w:tcW w:w="1701"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29506F" w:rsidTr="00E46AF5">
        <w:trPr>
          <w:cantSplit/>
        </w:trPr>
        <w:tc>
          <w:tcPr>
            <w:cnfStyle w:val="001000000000" w:firstRow="0" w:lastRow="0" w:firstColumn="1" w:lastColumn="0" w:oddVBand="0" w:evenVBand="0" w:oddHBand="0" w:evenHBand="0" w:firstRowFirstColumn="0" w:firstRowLastColumn="0" w:lastRowFirstColumn="0" w:lastRowLastColumn="0"/>
            <w:tcW w:w="1951" w:type="dxa"/>
            <w:vMerge w:val="restart"/>
          </w:tcPr>
          <w:p w:rsidR="0029506F" w:rsidRPr="009F388C" w:rsidRDefault="0029506F" w:rsidP="00E46AF5">
            <w:pPr>
              <w:rPr>
                <w:rFonts w:asciiTheme="minorHAnsi" w:hAnsiTheme="minorHAnsi"/>
                <w:sz w:val="20"/>
                <w:szCs w:val="20"/>
              </w:rPr>
            </w:pPr>
            <w:r w:rsidRPr="009F388C">
              <w:rPr>
                <w:rFonts w:asciiTheme="minorHAnsi" w:hAnsiTheme="minorHAnsi"/>
                <w:sz w:val="20"/>
                <w:szCs w:val="20"/>
              </w:rPr>
              <w:t>PK in special populations</w:t>
            </w:r>
          </w:p>
        </w:tc>
        <w:tc>
          <w:tcPr>
            <w:tcW w:w="3544"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Target population §- Single dose</w:t>
            </w:r>
          </w:p>
        </w:tc>
        <w:tc>
          <w:tcPr>
            <w:tcW w:w="1843"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ABEE</w:t>
            </w:r>
          </w:p>
        </w:tc>
        <w:tc>
          <w:tcPr>
            <w:tcW w:w="1701"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PK &amp; PD</w:t>
            </w:r>
          </w:p>
        </w:tc>
      </w:tr>
      <w:tr w:rsidR="0029506F" w:rsidTr="00E46AF5">
        <w:trPr>
          <w:cantSplit/>
        </w:trPr>
        <w:tc>
          <w:tcPr>
            <w:cnfStyle w:val="001000000000" w:firstRow="0" w:lastRow="0" w:firstColumn="1" w:lastColumn="0" w:oddVBand="0" w:evenVBand="0" w:oddHBand="0" w:evenHBand="0" w:firstRowFirstColumn="0" w:firstRowLastColumn="0" w:lastRowFirstColumn="0" w:lastRowLastColumn="0"/>
            <w:tcW w:w="1951" w:type="dxa"/>
            <w:vMerge/>
          </w:tcPr>
          <w:p w:rsidR="0029506F" w:rsidRPr="009F388C" w:rsidRDefault="0029506F" w:rsidP="009F388C">
            <w:pPr>
              <w:rPr>
                <w:rFonts w:asciiTheme="minorHAnsi" w:hAnsiTheme="minorHAnsi"/>
                <w:sz w:val="20"/>
                <w:szCs w:val="20"/>
              </w:rPr>
            </w:pPr>
          </w:p>
        </w:tc>
        <w:tc>
          <w:tcPr>
            <w:tcW w:w="3544" w:type="dxa"/>
          </w:tcPr>
          <w:p w:rsidR="0029506F" w:rsidRPr="009F388C" w:rsidRDefault="0029506F" w:rsidP="00E46AF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ab/>
            </w:r>
            <w:r w:rsidRPr="009F388C">
              <w:rPr>
                <w:rFonts w:asciiTheme="minorHAnsi" w:hAnsiTheme="minorHAnsi"/>
                <w:sz w:val="20"/>
                <w:szCs w:val="20"/>
              </w:rPr>
              <w:tab/>
            </w:r>
            <w:r w:rsidR="00E46AF5">
              <w:rPr>
                <w:rFonts w:asciiTheme="minorHAnsi" w:hAnsiTheme="minorHAnsi"/>
                <w:sz w:val="20"/>
                <w:szCs w:val="20"/>
              </w:rPr>
              <w:t xml:space="preserve">- </w:t>
            </w:r>
            <w:r w:rsidRPr="009F388C">
              <w:rPr>
                <w:rFonts w:asciiTheme="minorHAnsi" w:hAnsiTheme="minorHAnsi"/>
                <w:sz w:val="20"/>
                <w:szCs w:val="20"/>
              </w:rPr>
              <w:t>Multi-dose</w:t>
            </w:r>
          </w:p>
        </w:tc>
        <w:tc>
          <w:tcPr>
            <w:tcW w:w="1843"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Not submitted.</w:t>
            </w:r>
          </w:p>
        </w:tc>
        <w:tc>
          <w:tcPr>
            <w:tcW w:w="1701"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29506F" w:rsidTr="00E46AF5">
        <w:trPr>
          <w:cantSplit/>
        </w:trPr>
        <w:tc>
          <w:tcPr>
            <w:cnfStyle w:val="001000000000" w:firstRow="0" w:lastRow="0" w:firstColumn="1" w:lastColumn="0" w:oddVBand="0" w:evenVBand="0" w:oddHBand="0" w:evenHBand="0" w:firstRowFirstColumn="0" w:firstRowLastColumn="0" w:lastRowFirstColumn="0" w:lastRowLastColumn="0"/>
            <w:tcW w:w="1951" w:type="dxa"/>
            <w:vMerge/>
          </w:tcPr>
          <w:p w:rsidR="0029506F" w:rsidRPr="009F388C" w:rsidRDefault="0029506F" w:rsidP="009F388C">
            <w:pPr>
              <w:rPr>
                <w:rFonts w:asciiTheme="minorHAnsi" w:hAnsiTheme="minorHAnsi"/>
                <w:sz w:val="20"/>
                <w:szCs w:val="20"/>
              </w:rPr>
            </w:pPr>
          </w:p>
        </w:tc>
        <w:tc>
          <w:tcPr>
            <w:tcW w:w="3544"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Hepatic impairment</w:t>
            </w:r>
          </w:p>
        </w:tc>
        <w:tc>
          <w:tcPr>
            <w:tcW w:w="1843"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Not submitted.</w:t>
            </w:r>
          </w:p>
        </w:tc>
        <w:tc>
          <w:tcPr>
            <w:tcW w:w="1701"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29506F" w:rsidTr="00E46AF5">
        <w:trPr>
          <w:cantSplit/>
        </w:trPr>
        <w:tc>
          <w:tcPr>
            <w:cnfStyle w:val="001000000000" w:firstRow="0" w:lastRow="0" w:firstColumn="1" w:lastColumn="0" w:oddVBand="0" w:evenVBand="0" w:oddHBand="0" w:evenHBand="0" w:firstRowFirstColumn="0" w:firstRowLastColumn="0" w:lastRowFirstColumn="0" w:lastRowLastColumn="0"/>
            <w:tcW w:w="1951" w:type="dxa"/>
            <w:vMerge/>
          </w:tcPr>
          <w:p w:rsidR="0029506F" w:rsidRPr="009F388C" w:rsidRDefault="0029506F" w:rsidP="009F388C">
            <w:pPr>
              <w:rPr>
                <w:rFonts w:asciiTheme="minorHAnsi" w:hAnsiTheme="minorHAnsi"/>
                <w:sz w:val="20"/>
                <w:szCs w:val="20"/>
              </w:rPr>
            </w:pPr>
          </w:p>
        </w:tc>
        <w:tc>
          <w:tcPr>
            <w:tcW w:w="3544"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Renal impairment</w:t>
            </w:r>
          </w:p>
        </w:tc>
        <w:tc>
          <w:tcPr>
            <w:tcW w:w="1843"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Not submitted.</w:t>
            </w:r>
          </w:p>
        </w:tc>
        <w:tc>
          <w:tcPr>
            <w:tcW w:w="1701"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29506F" w:rsidTr="00E46AF5">
        <w:trPr>
          <w:cantSplit/>
        </w:trPr>
        <w:tc>
          <w:tcPr>
            <w:cnfStyle w:val="001000000000" w:firstRow="0" w:lastRow="0" w:firstColumn="1" w:lastColumn="0" w:oddVBand="0" w:evenVBand="0" w:oddHBand="0" w:evenHBand="0" w:firstRowFirstColumn="0" w:firstRowLastColumn="0" w:lastRowFirstColumn="0" w:lastRowLastColumn="0"/>
            <w:tcW w:w="1951" w:type="dxa"/>
            <w:vMerge/>
          </w:tcPr>
          <w:p w:rsidR="0029506F" w:rsidRPr="009F388C" w:rsidRDefault="0029506F" w:rsidP="009F388C">
            <w:pPr>
              <w:rPr>
                <w:rFonts w:asciiTheme="minorHAnsi" w:hAnsiTheme="minorHAnsi"/>
                <w:sz w:val="20"/>
                <w:szCs w:val="20"/>
              </w:rPr>
            </w:pPr>
          </w:p>
        </w:tc>
        <w:tc>
          <w:tcPr>
            <w:tcW w:w="3544"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Neonates/infants/children/</w:t>
            </w:r>
          </w:p>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adolescents</w:t>
            </w:r>
          </w:p>
        </w:tc>
        <w:tc>
          <w:tcPr>
            <w:tcW w:w="1843"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Not submitted.</w:t>
            </w:r>
          </w:p>
        </w:tc>
        <w:tc>
          <w:tcPr>
            <w:tcW w:w="1701"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29506F" w:rsidTr="00E46AF5">
        <w:trPr>
          <w:cantSplit/>
        </w:trPr>
        <w:tc>
          <w:tcPr>
            <w:cnfStyle w:val="001000000000" w:firstRow="0" w:lastRow="0" w:firstColumn="1" w:lastColumn="0" w:oddVBand="0" w:evenVBand="0" w:oddHBand="0" w:evenHBand="0" w:firstRowFirstColumn="0" w:firstRowLastColumn="0" w:lastRowFirstColumn="0" w:lastRowLastColumn="0"/>
            <w:tcW w:w="1951" w:type="dxa"/>
            <w:vMerge/>
          </w:tcPr>
          <w:p w:rsidR="0029506F" w:rsidRPr="009F388C" w:rsidRDefault="0029506F" w:rsidP="009F388C">
            <w:pPr>
              <w:rPr>
                <w:rFonts w:asciiTheme="minorHAnsi" w:hAnsiTheme="minorHAnsi"/>
                <w:sz w:val="20"/>
                <w:szCs w:val="20"/>
              </w:rPr>
            </w:pPr>
          </w:p>
        </w:tc>
        <w:tc>
          <w:tcPr>
            <w:tcW w:w="3544"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Elderly</w:t>
            </w:r>
          </w:p>
        </w:tc>
        <w:tc>
          <w:tcPr>
            <w:tcW w:w="1843"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Not submitted.</w:t>
            </w:r>
          </w:p>
        </w:tc>
        <w:tc>
          <w:tcPr>
            <w:tcW w:w="1701"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29506F" w:rsidTr="00E46AF5">
        <w:trPr>
          <w:cantSplit/>
        </w:trPr>
        <w:tc>
          <w:tcPr>
            <w:cnfStyle w:val="001000000000" w:firstRow="0" w:lastRow="0" w:firstColumn="1" w:lastColumn="0" w:oddVBand="0" w:evenVBand="0" w:oddHBand="0" w:evenHBand="0" w:firstRowFirstColumn="0" w:firstRowLastColumn="0" w:lastRowFirstColumn="0" w:lastRowLastColumn="0"/>
            <w:tcW w:w="1951" w:type="dxa"/>
            <w:vMerge w:val="restart"/>
          </w:tcPr>
          <w:p w:rsidR="0029506F" w:rsidRPr="009F388C" w:rsidRDefault="0029506F" w:rsidP="009F388C">
            <w:pPr>
              <w:rPr>
                <w:rFonts w:asciiTheme="minorHAnsi" w:hAnsiTheme="minorHAnsi"/>
                <w:sz w:val="20"/>
                <w:szCs w:val="20"/>
              </w:rPr>
            </w:pPr>
            <w:r w:rsidRPr="009F388C">
              <w:rPr>
                <w:rFonts w:asciiTheme="minorHAnsi" w:hAnsiTheme="minorHAnsi"/>
                <w:sz w:val="20"/>
                <w:szCs w:val="20"/>
              </w:rPr>
              <w:t>Genetic/gender-related PK</w:t>
            </w:r>
          </w:p>
        </w:tc>
        <w:tc>
          <w:tcPr>
            <w:tcW w:w="3544"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Males vs. females</w:t>
            </w:r>
          </w:p>
        </w:tc>
        <w:tc>
          <w:tcPr>
            <w:tcW w:w="1843"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Not submitted</w:t>
            </w:r>
          </w:p>
        </w:tc>
        <w:tc>
          <w:tcPr>
            <w:tcW w:w="1701"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29506F" w:rsidTr="00E46AF5">
        <w:trPr>
          <w:cantSplit/>
        </w:trPr>
        <w:tc>
          <w:tcPr>
            <w:cnfStyle w:val="001000000000" w:firstRow="0" w:lastRow="0" w:firstColumn="1" w:lastColumn="0" w:oddVBand="0" w:evenVBand="0" w:oddHBand="0" w:evenHBand="0" w:firstRowFirstColumn="0" w:firstRowLastColumn="0" w:lastRowFirstColumn="0" w:lastRowLastColumn="0"/>
            <w:tcW w:w="1951" w:type="dxa"/>
            <w:vMerge/>
          </w:tcPr>
          <w:p w:rsidR="0029506F" w:rsidRPr="009F388C" w:rsidRDefault="0029506F" w:rsidP="009F388C">
            <w:pPr>
              <w:rPr>
                <w:rFonts w:asciiTheme="minorHAnsi" w:hAnsiTheme="minorHAnsi"/>
                <w:sz w:val="20"/>
                <w:szCs w:val="20"/>
              </w:rPr>
            </w:pPr>
          </w:p>
        </w:tc>
        <w:tc>
          <w:tcPr>
            <w:tcW w:w="3544"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Other genetic variable}</w:t>
            </w:r>
          </w:p>
        </w:tc>
        <w:tc>
          <w:tcPr>
            <w:tcW w:w="1843"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Not submitted</w:t>
            </w:r>
          </w:p>
        </w:tc>
        <w:tc>
          <w:tcPr>
            <w:tcW w:w="1701"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29506F" w:rsidTr="00E46AF5">
        <w:trPr>
          <w:cantSplit/>
        </w:trPr>
        <w:tc>
          <w:tcPr>
            <w:cnfStyle w:val="001000000000" w:firstRow="0" w:lastRow="0" w:firstColumn="1" w:lastColumn="0" w:oddVBand="0" w:evenVBand="0" w:oddHBand="0" w:evenHBand="0" w:firstRowFirstColumn="0" w:firstRowLastColumn="0" w:lastRowFirstColumn="0" w:lastRowLastColumn="0"/>
            <w:tcW w:w="1951" w:type="dxa"/>
          </w:tcPr>
          <w:p w:rsidR="0029506F" w:rsidRPr="009F388C" w:rsidRDefault="0029506F" w:rsidP="009F388C">
            <w:pPr>
              <w:rPr>
                <w:rFonts w:asciiTheme="minorHAnsi" w:hAnsiTheme="minorHAnsi"/>
                <w:sz w:val="20"/>
                <w:szCs w:val="20"/>
              </w:rPr>
            </w:pPr>
            <w:r w:rsidRPr="009F388C">
              <w:rPr>
                <w:rFonts w:asciiTheme="minorHAnsi" w:hAnsiTheme="minorHAnsi"/>
                <w:sz w:val="20"/>
                <w:szCs w:val="20"/>
              </w:rPr>
              <w:t>PK interactions</w:t>
            </w:r>
          </w:p>
        </w:tc>
        <w:tc>
          <w:tcPr>
            <w:tcW w:w="3544"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Not applicable.</w:t>
            </w:r>
          </w:p>
        </w:tc>
        <w:tc>
          <w:tcPr>
            <w:tcW w:w="1843"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701"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29506F" w:rsidTr="00E46AF5">
        <w:trPr>
          <w:cantSplit/>
        </w:trPr>
        <w:tc>
          <w:tcPr>
            <w:cnfStyle w:val="001000000000" w:firstRow="0" w:lastRow="0" w:firstColumn="1" w:lastColumn="0" w:oddVBand="0" w:evenVBand="0" w:oddHBand="0" w:evenHBand="0" w:firstRowFirstColumn="0" w:firstRowLastColumn="0" w:lastRowFirstColumn="0" w:lastRowLastColumn="0"/>
            <w:tcW w:w="1951" w:type="dxa"/>
            <w:vMerge w:val="restart"/>
          </w:tcPr>
          <w:p w:rsidR="0029506F" w:rsidRPr="009F388C" w:rsidRDefault="0029506F" w:rsidP="009F388C">
            <w:pPr>
              <w:rPr>
                <w:rFonts w:asciiTheme="minorHAnsi" w:hAnsiTheme="minorHAnsi"/>
                <w:sz w:val="20"/>
                <w:szCs w:val="20"/>
              </w:rPr>
            </w:pPr>
            <w:r w:rsidRPr="009F388C">
              <w:rPr>
                <w:rFonts w:asciiTheme="minorHAnsi" w:hAnsiTheme="minorHAnsi"/>
                <w:sz w:val="20"/>
                <w:szCs w:val="20"/>
              </w:rPr>
              <w:t>Population PK analyses</w:t>
            </w:r>
          </w:p>
        </w:tc>
        <w:tc>
          <w:tcPr>
            <w:tcW w:w="3544"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Healthy subjects</w:t>
            </w:r>
          </w:p>
        </w:tc>
        <w:tc>
          <w:tcPr>
            <w:tcW w:w="1843"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Not submitted.</w:t>
            </w:r>
          </w:p>
        </w:tc>
        <w:tc>
          <w:tcPr>
            <w:tcW w:w="1701"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29506F" w:rsidTr="00E46AF5">
        <w:trPr>
          <w:cantSplit/>
        </w:trPr>
        <w:tc>
          <w:tcPr>
            <w:cnfStyle w:val="001000000000" w:firstRow="0" w:lastRow="0" w:firstColumn="1" w:lastColumn="0" w:oddVBand="0" w:evenVBand="0" w:oddHBand="0" w:evenHBand="0" w:firstRowFirstColumn="0" w:firstRowLastColumn="0" w:lastRowFirstColumn="0" w:lastRowLastColumn="0"/>
            <w:tcW w:w="1951" w:type="dxa"/>
            <w:vMerge/>
          </w:tcPr>
          <w:p w:rsidR="0029506F" w:rsidRPr="009F388C" w:rsidRDefault="0029506F" w:rsidP="009F388C">
            <w:pPr>
              <w:rPr>
                <w:rFonts w:asciiTheme="minorHAnsi" w:hAnsiTheme="minorHAnsi"/>
                <w:sz w:val="20"/>
                <w:szCs w:val="20"/>
              </w:rPr>
            </w:pPr>
          </w:p>
        </w:tc>
        <w:tc>
          <w:tcPr>
            <w:tcW w:w="3544"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Target population</w:t>
            </w:r>
          </w:p>
        </w:tc>
        <w:tc>
          <w:tcPr>
            <w:tcW w:w="1843"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Not submitted.</w:t>
            </w:r>
          </w:p>
        </w:tc>
        <w:tc>
          <w:tcPr>
            <w:tcW w:w="1701"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29506F" w:rsidTr="00E46AF5">
        <w:trPr>
          <w:cantSplit/>
        </w:trPr>
        <w:tc>
          <w:tcPr>
            <w:cnfStyle w:val="001000000000" w:firstRow="0" w:lastRow="0" w:firstColumn="1" w:lastColumn="0" w:oddVBand="0" w:evenVBand="0" w:oddHBand="0" w:evenHBand="0" w:firstRowFirstColumn="0" w:firstRowLastColumn="0" w:lastRowFirstColumn="0" w:lastRowLastColumn="0"/>
            <w:tcW w:w="1951" w:type="dxa"/>
            <w:vMerge/>
          </w:tcPr>
          <w:p w:rsidR="0029506F" w:rsidRPr="009F388C" w:rsidRDefault="0029506F" w:rsidP="009F388C">
            <w:pPr>
              <w:rPr>
                <w:rFonts w:asciiTheme="minorHAnsi" w:hAnsiTheme="minorHAnsi"/>
                <w:sz w:val="20"/>
                <w:szCs w:val="20"/>
              </w:rPr>
            </w:pPr>
          </w:p>
        </w:tc>
        <w:tc>
          <w:tcPr>
            <w:tcW w:w="3544"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Other</w:t>
            </w:r>
          </w:p>
        </w:tc>
        <w:tc>
          <w:tcPr>
            <w:tcW w:w="1843"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9F388C">
              <w:rPr>
                <w:rFonts w:asciiTheme="minorHAnsi" w:hAnsiTheme="minorHAnsi"/>
                <w:sz w:val="20"/>
                <w:szCs w:val="20"/>
              </w:rPr>
              <w:t>Not applicable.</w:t>
            </w:r>
          </w:p>
        </w:tc>
        <w:tc>
          <w:tcPr>
            <w:tcW w:w="1701" w:type="dxa"/>
          </w:tcPr>
          <w:p w:rsidR="0029506F" w:rsidRPr="009F388C" w:rsidRDefault="0029506F" w:rsidP="009F388C">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bl>
    <w:p w:rsidR="00AE090E" w:rsidRDefault="00AE090E" w:rsidP="009F388C">
      <w:pPr>
        <w:pStyle w:val="Tabletext"/>
        <w:rPr>
          <w:szCs w:val="20"/>
        </w:rPr>
      </w:pPr>
      <w:r>
        <w:t>* Indicates the primary aim of the study.</w:t>
      </w:r>
      <w:r w:rsidR="009F388C">
        <w:t xml:space="preserve"> </w:t>
      </w:r>
      <w:r w:rsidRPr="00AF6927">
        <w:t>†</w:t>
      </w:r>
      <w:r>
        <w:t xml:space="preserve"> Bioequivalence of different formulations.</w:t>
      </w:r>
      <w:r w:rsidR="009F388C">
        <w:t xml:space="preserve"> </w:t>
      </w:r>
      <w:r w:rsidRPr="00BF3808">
        <w:t>§</w:t>
      </w:r>
      <w:r>
        <w:rPr>
          <w:szCs w:val="20"/>
        </w:rPr>
        <w:t xml:space="preserve"> Subjects with T1DM.</w:t>
      </w:r>
    </w:p>
    <w:p w:rsidR="00AE090E" w:rsidRPr="00007806" w:rsidRDefault="00AE090E" w:rsidP="00AE090E">
      <w:r w:rsidRPr="00007806">
        <w:t>None of the pharmacokinetic studies in healthy volunteers had deficiencies that excluded their results from consideration. However, some studies are considered to be less relevant than others for the rea</w:t>
      </w:r>
      <w:r w:rsidR="00E46AF5">
        <w:t>sons briefly stated in Table 2.</w:t>
      </w:r>
    </w:p>
    <w:p w:rsidR="00AE090E" w:rsidRDefault="007D4FBC" w:rsidP="00AE090E">
      <w:r>
        <w:t xml:space="preserve">Table 2 </w:t>
      </w:r>
      <w:r w:rsidR="00AE090E" w:rsidRPr="00007806">
        <w:t>lists pharmacokinetic results that are considered to be less relevant due to study deficiencies.</w:t>
      </w:r>
    </w:p>
    <w:p w:rsidR="00AE090E" w:rsidRDefault="00AE090E" w:rsidP="0029506F">
      <w:pPr>
        <w:pStyle w:val="Tabletitle"/>
      </w:pPr>
      <w:bookmarkStart w:id="29" w:name="_Ref271031346"/>
      <w:bookmarkStart w:id="30" w:name="_Toc378791312"/>
      <w:proofErr w:type="gramStart"/>
      <w:r>
        <w:lastRenderedPageBreak/>
        <w:t>Table</w:t>
      </w:r>
      <w:r w:rsidR="007D4FBC">
        <w:t xml:space="preserve"> 2</w:t>
      </w:r>
      <w:bookmarkEnd w:id="29"/>
      <w:r>
        <w:t>.</w:t>
      </w:r>
      <w:proofErr w:type="gramEnd"/>
      <w:r>
        <w:t xml:space="preserve"> Pharmacokinetic results excluded from consideration.</w:t>
      </w:r>
      <w:bookmarkEnd w:id="30"/>
    </w:p>
    <w:tbl>
      <w:tblPr>
        <w:tblStyle w:val="TableTGAblue"/>
        <w:tblW w:w="9039" w:type="dxa"/>
        <w:tblLayout w:type="fixed"/>
        <w:tblLook w:val="04A0" w:firstRow="1" w:lastRow="0" w:firstColumn="1" w:lastColumn="0" w:noHBand="0" w:noVBand="1"/>
      </w:tblPr>
      <w:tblGrid>
        <w:gridCol w:w="1384"/>
        <w:gridCol w:w="3827"/>
        <w:gridCol w:w="3828"/>
      </w:tblGrid>
      <w:tr w:rsidR="00216E0E" w:rsidTr="009F38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216E0E" w:rsidRPr="00216E0E" w:rsidRDefault="00216E0E" w:rsidP="00AE090E">
            <w:pPr>
              <w:keepNext/>
              <w:rPr>
                <w:sz w:val="20"/>
                <w:szCs w:val="20"/>
              </w:rPr>
            </w:pPr>
            <w:r w:rsidRPr="00216E0E">
              <w:rPr>
                <w:sz w:val="20"/>
                <w:szCs w:val="20"/>
              </w:rPr>
              <w:t>Study ID</w:t>
            </w:r>
          </w:p>
        </w:tc>
        <w:tc>
          <w:tcPr>
            <w:tcW w:w="3827" w:type="dxa"/>
          </w:tcPr>
          <w:p w:rsidR="00216E0E" w:rsidRPr="00216E0E" w:rsidRDefault="00216E0E" w:rsidP="00AE090E">
            <w:pPr>
              <w:keepNext/>
              <w:cnfStyle w:val="100000000000" w:firstRow="1" w:lastRow="0" w:firstColumn="0" w:lastColumn="0" w:oddVBand="0" w:evenVBand="0" w:oddHBand="0" w:evenHBand="0" w:firstRowFirstColumn="0" w:firstRowLastColumn="0" w:lastRowFirstColumn="0" w:lastRowLastColumn="0"/>
              <w:rPr>
                <w:sz w:val="20"/>
                <w:szCs w:val="20"/>
              </w:rPr>
            </w:pPr>
            <w:r w:rsidRPr="00216E0E">
              <w:rPr>
                <w:sz w:val="20"/>
                <w:szCs w:val="20"/>
              </w:rPr>
              <w:t>Subtopic(s)</w:t>
            </w:r>
          </w:p>
        </w:tc>
        <w:tc>
          <w:tcPr>
            <w:tcW w:w="3828" w:type="dxa"/>
          </w:tcPr>
          <w:p w:rsidR="00216E0E" w:rsidRPr="00216E0E" w:rsidRDefault="00216E0E" w:rsidP="00AE090E">
            <w:pPr>
              <w:keepNext/>
              <w:cnfStyle w:val="100000000000" w:firstRow="1" w:lastRow="0" w:firstColumn="0" w:lastColumn="0" w:oddVBand="0" w:evenVBand="0" w:oddHBand="0" w:evenHBand="0" w:firstRowFirstColumn="0" w:firstRowLastColumn="0" w:lastRowFirstColumn="0" w:lastRowLastColumn="0"/>
              <w:rPr>
                <w:sz w:val="20"/>
                <w:szCs w:val="20"/>
              </w:rPr>
            </w:pPr>
            <w:r w:rsidRPr="00216E0E">
              <w:rPr>
                <w:sz w:val="20"/>
                <w:szCs w:val="20"/>
              </w:rPr>
              <w:t>PK results excluded</w:t>
            </w:r>
          </w:p>
        </w:tc>
      </w:tr>
      <w:tr w:rsidR="00216E0E" w:rsidTr="009F388C">
        <w:tc>
          <w:tcPr>
            <w:cnfStyle w:val="001000000000" w:firstRow="0" w:lastRow="0" w:firstColumn="1" w:lastColumn="0" w:oddVBand="0" w:evenVBand="0" w:oddHBand="0" w:evenHBand="0" w:firstRowFirstColumn="0" w:firstRowLastColumn="0" w:lastRowFirstColumn="0" w:lastRowLastColumn="0"/>
            <w:tcW w:w="1384" w:type="dxa"/>
          </w:tcPr>
          <w:p w:rsidR="00216E0E" w:rsidRPr="000800CC" w:rsidRDefault="00216E0E" w:rsidP="00AE090E">
            <w:pPr>
              <w:keepNext/>
              <w:rPr>
                <w:sz w:val="20"/>
                <w:szCs w:val="20"/>
              </w:rPr>
            </w:pPr>
            <w:r>
              <w:rPr>
                <w:sz w:val="20"/>
                <w:szCs w:val="20"/>
              </w:rPr>
              <w:t>ABEE</w:t>
            </w:r>
          </w:p>
        </w:tc>
        <w:tc>
          <w:tcPr>
            <w:tcW w:w="3827" w:type="dxa"/>
          </w:tcPr>
          <w:p w:rsidR="00216E0E" w:rsidRPr="000800CC" w:rsidRDefault="00216E0E" w:rsidP="00AE090E">
            <w:pPr>
              <w:keepNext/>
              <w:cnfStyle w:val="000000000000" w:firstRow="0" w:lastRow="0" w:firstColumn="0" w:lastColumn="0" w:oddVBand="0" w:evenVBand="0" w:oddHBand="0" w:evenHBand="0" w:firstRowFirstColumn="0" w:firstRowLastColumn="0" w:lastRowFirstColumn="0" w:lastRowLastColumn="0"/>
              <w:rPr>
                <w:sz w:val="20"/>
                <w:szCs w:val="20"/>
              </w:rPr>
            </w:pPr>
            <w:r w:rsidRPr="001D2BA3">
              <w:rPr>
                <w:sz w:val="20"/>
                <w:szCs w:val="20"/>
              </w:rPr>
              <w:t xml:space="preserve">Pharmacodynamics of </w:t>
            </w:r>
            <w:proofErr w:type="spellStart"/>
            <w:r>
              <w:rPr>
                <w:sz w:val="20"/>
                <w:szCs w:val="20"/>
              </w:rPr>
              <w:t>Abasria</w:t>
            </w:r>
            <w:proofErr w:type="spellEnd"/>
            <w:r w:rsidRPr="001D2BA3">
              <w:rPr>
                <w:sz w:val="20"/>
                <w:szCs w:val="20"/>
              </w:rPr>
              <w:t xml:space="preserve"> Compared to </w:t>
            </w:r>
            <w:r w:rsidR="00127BD9">
              <w:rPr>
                <w:sz w:val="20"/>
                <w:szCs w:val="20"/>
              </w:rPr>
              <w:t>Lantus</w:t>
            </w:r>
            <w:r w:rsidRPr="001D2BA3">
              <w:rPr>
                <w:sz w:val="20"/>
                <w:szCs w:val="20"/>
                <w:vertAlign w:val="superscript"/>
              </w:rPr>
              <w:t>®</w:t>
            </w:r>
            <w:r w:rsidRPr="001D2BA3">
              <w:rPr>
                <w:sz w:val="20"/>
                <w:szCs w:val="20"/>
              </w:rPr>
              <w:t xml:space="preserve"> in Subjects with Type 1 Diabetes Mellitus</w:t>
            </w:r>
          </w:p>
        </w:tc>
        <w:tc>
          <w:tcPr>
            <w:tcW w:w="3828" w:type="dxa"/>
          </w:tcPr>
          <w:p w:rsidR="00216E0E" w:rsidRPr="000800CC" w:rsidRDefault="00216E0E" w:rsidP="00AE090E">
            <w:pPr>
              <w:keepN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All results – assay insensitivity led to incomplete characterisation of the PK attributes of </w:t>
            </w:r>
            <w:proofErr w:type="spellStart"/>
            <w:r>
              <w:rPr>
                <w:sz w:val="20"/>
                <w:szCs w:val="20"/>
              </w:rPr>
              <w:t>Abasria</w:t>
            </w:r>
            <w:proofErr w:type="spellEnd"/>
            <w:r>
              <w:rPr>
                <w:sz w:val="20"/>
                <w:szCs w:val="20"/>
              </w:rPr>
              <w:t xml:space="preserve"> in this study.</w:t>
            </w:r>
          </w:p>
        </w:tc>
      </w:tr>
    </w:tbl>
    <w:p w:rsidR="00AE090E" w:rsidRDefault="00AE090E" w:rsidP="00AE090E">
      <w:pPr>
        <w:autoSpaceDE w:val="0"/>
        <w:autoSpaceDN w:val="0"/>
        <w:adjustRightInd w:val="0"/>
      </w:pPr>
      <w:r>
        <w:t>The design of ABEE is briefly described in the tabulation below, taken from the Module 5 clinical data.</w:t>
      </w:r>
      <w:r w:rsidR="009F388C">
        <w:t xml:space="preserve"> </w:t>
      </w:r>
      <w:r>
        <w:t>The study did genera</w:t>
      </w:r>
      <w:r w:rsidR="00A352A6">
        <w:t xml:space="preserve">te useful </w:t>
      </w:r>
      <w:proofErr w:type="spellStart"/>
      <w:r w:rsidR="00A352A6">
        <w:t>pharmacodynamic</w:t>
      </w:r>
      <w:proofErr w:type="spellEnd"/>
      <w:r w:rsidR="00A352A6">
        <w:t xml:space="preserve"> data.</w:t>
      </w:r>
    </w:p>
    <w:p w:rsidR="00A352A6" w:rsidRPr="00A352A6" w:rsidRDefault="009F388C" w:rsidP="00A352A6">
      <w:pPr>
        <w:pStyle w:val="Tabletitle"/>
      </w:pPr>
      <w:r w:rsidRPr="00A352A6">
        <w:t>Table 3: Design of Study ABEE</w:t>
      </w:r>
    </w:p>
    <w:p w:rsidR="009F388C" w:rsidRPr="009F388C" w:rsidRDefault="009F388C" w:rsidP="00A352A6">
      <w:r>
        <w:rPr>
          <w:noProof/>
          <w:lang w:eastAsia="en-AU"/>
        </w:rPr>
        <w:drawing>
          <wp:inline distT="0" distB="0" distL="0" distR="0" wp14:anchorId="2F8EB7CB" wp14:editId="112DB6C6">
            <wp:extent cx="5731510" cy="2326895"/>
            <wp:effectExtent l="0" t="0" r="0" b="0"/>
            <wp:docPr id="1" name="Picture 1" descr="Table 3: Design of Study A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326895"/>
                    </a:xfrm>
                    <a:prstGeom prst="rect">
                      <a:avLst/>
                    </a:prstGeom>
                  </pic:spPr>
                </pic:pic>
              </a:graphicData>
            </a:graphic>
          </wp:inline>
        </w:drawing>
      </w:r>
    </w:p>
    <w:p w:rsidR="00AE090E" w:rsidRDefault="00AE090E" w:rsidP="00DD3066">
      <w:pPr>
        <w:pStyle w:val="Heading3"/>
      </w:pPr>
      <w:bookmarkStart w:id="31" w:name="_Ref269118175"/>
      <w:bookmarkStart w:id="32" w:name="_Toc272414616"/>
      <w:bookmarkStart w:id="33" w:name="_Toc290846239"/>
      <w:bookmarkStart w:id="34" w:name="_Toc378790150"/>
      <w:bookmarkStart w:id="35" w:name="_Toc416955620"/>
      <w:r>
        <w:t>Summary of pharmacokinetics</w:t>
      </w:r>
      <w:bookmarkEnd w:id="31"/>
      <w:bookmarkEnd w:id="32"/>
      <w:bookmarkEnd w:id="33"/>
      <w:bookmarkEnd w:id="34"/>
      <w:bookmarkEnd w:id="35"/>
    </w:p>
    <w:p w:rsidR="00AE090E" w:rsidRDefault="00AE090E" w:rsidP="00AE090E">
      <w:r>
        <w:t>The information in the following summary is derived from conventional pharmacokinetic studies unless otherwise stated.</w:t>
      </w:r>
    </w:p>
    <w:p w:rsidR="00AE090E" w:rsidRPr="00007806" w:rsidRDefault="00AE090E" w:rsidP="00DD3066">
      <w:pPr>
        <w:pStyle w:val="Heading4"/>
      </w:pPr>
      <w:bookmarkStart w:id="36" w:name="_Ref271189106"/>
      <w:bookmarkStart w:id="37" w:name="_Ref271189143"/>
      <w:bookmarkStart w:id="38" w:name="_Toc272414618"/>
      <w:bookmarkStart w:id="39" w:name="_Toc290846241"/>
      <w:bookmarkStart w:id="40" w:name="_Toc378790152"/>
      <w:r w:rsidRPr="00007806">
        <w:t>Pharmacokinetics in healthy subjects</w:t>
      </w:r>
      <w:bookmarkEnd w:id="36"/>
      <w:bookmarkEnd w:id="37"/>
      <w:bookmarkEnd w:id="38"/>
      <w:bookmarkEnd w:id="39"/>
      <w:bookmarkEnd w:id="40"/>
    </w:p>
    <w:p w:rsidR="00AE090E" w:rsidRDefault="00AE090E" w:rsidP="00AE090E">
      <w:r>
        <w:t>At the outset, it is necessary to state that the PK data depended upon a non-specific RIA method.</w:t>
      </w:r>
      <w:r w:rsidR="009F388C">
        <w:t xml:space="preserve"> </w:t>
      </w:r>
      <w:r>
        <w:t xml:space="preserve"> The method included a correction for endogenous insulin by adjusting for C-peptide levels.</w:t>
      </w:r>
      <w:r w:rsidR="009F388C">
        <w:t xml:space="preserve"> </w:t>
      </w:r>
      <w:r>
        <w:t xml:space="preserve">The assessment of the validity of this approach is for the </w:t>
      </w:r>
      <w:r w:rsidR="009F388C">
        <w:t xml:space="preserve">TGA Quality </w:t>
      </w:r>
      <w:r w:rsidR="00E46AF5">
        <w:t>evaluator.</w:t>
      </w:r>
    </w:p>
    <w:p w:rsidR="00AE090E" w:rsidRDefault="00AE090E" w:rsidP="00AE090E">
      <w:r>
        <w:t xml:space="preserve">There are three studies that contribute materially relevant information on the pharmacokinetics, in healthy subjects, of </w:t>
      </w:r>
      <w:proofErr w:type="spellStart"/>
      <w:r w:rsidR="00216E0E">
        <w:t>Abasria</w:t>
      </w:r>
      <w:proofErr w:type="spellEnd"/>
      <w:r>
        <w:t xml:space="preserve"> and of Lantus EU.</w:t>
      </w:r>
      <w:r w:rsidR="009F388C">
        <w:t xml:space="preserve"> </w:t>
      </w:r>
      <w:r>
        <w:t>The studies are ABEA, ABEM and ABEI.</w:t>
      </w:r>
      <w:r w:rsidR="009F388C">
        <w:t xml:space="preserve"> </w:t>
      </w:r>
      <w:r>
        <w:t>These studies also generated pharmacodynamic data.</w:t>
      </w:r>
    </w:p>
    <w:p w:rsidR="00AE090E" w:rsidRDefault="00AE090E" w:rsidP="00AE090E">
      <w:r>
        <w:t>Of these three studies, ABEI is the least important owing to its small size and non-replicate design (</w:t>
      </w:r>
      <w:r w:rsidRPr="004617B9">
        <w:t xml:space="preserve">randomized, open-label, 2-treatment, 2-period crossover study was conducted in 16 healthy subjects </w:t>
      </w:r>
      <w:r>
        <w:t>[</w:t>
      </w:r>
      <w:r w:rsidRPr="004617B9">
        <w:t>13 males and 3 females, 21 to 45 years of age</w:t>
      </w:r>
      <w:r>
        <w:t>]</w:t>
      </w:r>
      <w:r w:rsidRPr="004617B9">
        <w:t xml:space="preserve"> to evaluate the relative bioavailability and PD response of LY2963016 (Test) compared to EU-approved </w:t>
      </w:r>
      <w:r w:rsidR="00127BD9">
        <w:t>Lantus</w:t>
      </w:r>
      <w:r w:rsidRPr="004617B9">
        <w:rPr>
          <w:vertAlign w:val="superscript"/>
        </w:rPr>
        <w:t>®</w:t>
      </w:r>
      <w:r>
        <w:t>).</w:t>
      </w:r>
      <w:r w:rsidR="009F388C">
        <w:t xml:space="preserve"> </w:t>
      </w:r>
      <w:r>
        <w:t>However, it was useful as an informative pilot study and its PK results were similar to those of the larger, re</w:t>
      </w:r>
      <w:r w:rsidR="00E46AF5">
        <w:t>plicated studies ABEA and ABEN.</w:t>
      </w:r>
    </w:p>
    <w:p w:rsidR="00AE090E" w:rsidRDefault="00AE090E" w:rsidP="00AE090E">
      <w:r>
        <w:t>The design of each study is briefly presented below, extracted from the Module 5 tabulations:</w:t>
      </w:r>
    </w:p>
    <w:p w:rsidR="0099334D" w:rsidRDefault="009F388C" w:rsidP="009F388C">
      <w:pPr>
        <w:pStyle w:val="Tabletitle"/>
      </w:pPr>
      <w:r>
        <w:lastRenderedPageBreak/>
        <w:t>Table 4: Design of studies submitted</w:t>
      </w:r>
    </w:p>
    <w:p w:rsidR="009F388C" w:rsidRPr="009F388C" w:rsidRDefault="009F388C" w:rsidP="0099334D">
      <w:r>
        <w:rPr>
          <w:noProof/>
          <w:lang w:eastAsia="en-AU"/>
        </w:rPr>
        <w:drawing>
          <wp:inline distT="0" distB="0" distL="0" distR="0" wp14:anchorId="089EC690" wp14:editId="4E344AC5">
            <wp:extent cx="5731510" cy="5560055"/>
            <wp:effectExtent l="0" t="0" r="0" b="0"/>
            <wp:docPr id="3" name="Picture 3" descr="Table 4: Design of studies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5560055"/>
                    </a:xfrm>
                    <a:prstGeom prst="rect">
                      <a:avLst/>
                    </a:prstGeom>
                  </pic:spPr>
                </pic:pic>
              </a:graphicData>
            </a:graphic>
          </wp:inline>
        </w:drawing>
      </w:r>
    </w:p>
    <w:p w:rsidR="00AE090E" w:rsidRDefault="00AE090E" w:rsidP="009F388C">
      <w:pPr>
        <w:pStyle w:val="Tabletext"/>
      </w:pPr>
      <w:r>
        <w:t>HS = healthy subjects.</w:t>
      </w:r>
    </w:p>
    <w:p w:rsidR="00AE090E" w:rsidRDefault="00AE090E" w:rsidP="00DD3066">
      <w:pPr>
        <w:pStyle w:val="Heading4"/>
      </w:pPr>
      <w:bookmarkStart w:id="41" w:name="_Toc378790153"/>
      <w:r>
        <w:t>Pharmacokinetic comparisons</w:t>
      </w:r>
      <w:bookmarkEnd w:id="41"/>
    </w:p>
    <w:p w:rsidR="00AE090E" w:rsidRDefault="00AE090E" w:rsidP="00AE090E">
      <w:r>
        <w:t xml:space="preserve">The results from the three studies that included comparisons of </w:t>
      </w:r>
      <w:proofErr w:type="spellStart"/>
      <w:r w:rsidR="00216E0E">
        <w:t>Abasria</w:t>
      </w:r>
      <w:proofErr w:type="spellEnd"/>
      <w:r>
        <w:t xml:space="preserve"> with Lantus EU are summarised in the tables below.</w:t>
      </w:r>
      <w:r w:rsidR="009F388C">
        <w:t xml:space="preserve"> </w:t>
      </w:r>
      <w:r>
        <w:t xml:space="preserve"> The </w:t>
      </w:r>
      <w:r w:rsidR="007D4FBC">
        <w:t>t</w:t>
      </w:r>
      <w:r>
        <w:t>ables are sourced from Module 2 but reflect the study reports in Module 5. Also included is the Lantus US vs. Lan</w:t>
      </w:r>
      <w:r w:rsidR="004C1693">
        <w:t>tus EU comparative study, ABEN.</w:t>
      </w:r>
    </w:p>
    <w:p w:rsidR="009F388C" w:rsidRDefault="00AE090E" w:rsidP="00AE090E">
      <w:r>
        <w:t>The consistency of the results for the given doses is notable in ABEA, ABEM and ABEI.</w:t>
      </w:r>
    </w:p>
    <w:p w:rsidR="00DD3066" w:rsidRDefault="009F388C" w:rsidP="0099334D">
      <w:pPr>
        <w:pStyle w:val="Tabletitle"/>
      </w:pPr>
      <w:r>
        <w:lastRenderedPageBreak/>
        <w:t xml:space="preserve">Table 5: Least-squares mean geometric mean ratios, 90% </w:t>
      </w:r>
      <w:proofErr w:type="spellStart"/>
      <w:r>
        <w:t>confidnce</w:t>
      </w:r>
      <w:proofErr w:type="spellEnd"/>
      <w:r>
        <w:t xml:space="preserve"> intervals (Primary PK and PD </w:t>
      </w:r>
      <w:r w:rsidRPr="0099334D">
        <w:t>parameters</w:t>
      </w:r>
      <w:r>
        <w:t>), and 95% confidence intervals (Primary PD parameters only) across Studies ABEA and ABEN</w:t>
      </w:r>
    </w:p>
    <w:p w:rsidR="00AE090E" w:rsidRDefault="00DD3066" w:rsidP="0099334D">
      <w:r>
        <w:rPr>
          <w:noProof/>
          <w:lang w:eastAsia="en-AU"/>
        </w:rPr>
        <w:drawing>
          <wp:inline distT="0" distB="0" distL="0" distR="0" wp14:anchorId="102DD153" wp14:editId="48C40DEE">
            <wp:extent cx="4029647" cy="4008120"/>
            <wp:effectExtent l="0" t="0" r="0" b="0"/>
            <wp:docPr id="4" name="Picture 4" descr="Table 5: Least-squares mean geometric mean ratios, 90% confidnce intervals (Primary PK and PD parameters), and 95% confidence intervals (Primary PD parameters only) across Studies ABEA and 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32026" cy="4010487"/>
                    </a:xfrm>
                    <a:prstGeom prst="rect">
                      <a:avLst/>
                    </a:prstGeom>
                  </pic:spPr>
                </pic:pic>
              </a:graphicData>
            </a:graphic>
          </wp:inline>
        </w:drawing>
      </w:r>
    </w:p>
    <w:p w:rsidR="0099334D" w:rsidRDefault="00DD3066" w:rsidP="0099334D">
      <w:pPr>
        <w:pStyle w:val="Tabletitle"/>
      </w:pPr>
      <w:r>
        <w:t>Table 6: Pharmacokinetic and pharmacodynamic comparisons between LY2963016 and EU approved Lantus. Study ABEI</w:t>
      </w:r>
    </w:p>
    <w:p w:rsidR="00DD3066" w:rsidRDefault="00DD3066" w:rsidP="0099334D">
      <w:r>
        <w:rPr>
          <w:noProof/>
          <w:lang w:eastAsia="en-AU"/>
        </w:rPr>
        <w:drawing>
          <wp:inline distT="0" distB="0" distL="0" distR="0" wp14:anchorId="14170A2D" wp14:editId="52EE097C">
            <wp:extent cx="4483033" cy="3429000"/>
            <wp:effectExtent l="0" t="0" r="0" b="0"/>
            <wp:docPr id="5" name="Picture 5" descr="Table 6: Pharmacokinetic and pharmacodynamic comparisons between LY2963016 and EU approved Lantus. Study AB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762" t="10508"/>
                    <a:stretch/>
                  </pic:blipFill>
                  <pic:spPr bwMode="auto">
                    <a:xfrm>
                      <a:off x="0" y="0"/>
                      <a:ext cx="4488982" cy="3433550"/>
                    </a:xfrm>
                    <a:prstGeom prst="rect">
                      <a:avLst/>
                    </a:prstGeom>
                    <a:ln>
                      <a:noFill/>
                    </a:ln>
                    <a:extLst>
                      <a:ext uri="{53640926-AAD7-44D8-BBD7-CCE9431645EC}">
                        <a14:shadowObscured xmlns:a14="http://schemas.microsoft.com/office/drawing/2010/main"/>
                      </a:ext>
                    </a:extLst>
                  </pic:spPr>
                </pic:pic>
              </a:graphicData>
            </a:graphic>
          </wp:inline>
        </w:drawing>
      </w:r>
    </w:p>
    <w:p w:rsidR="00DD3066" w:rsidRDefault="00DD3066" w:rsidP="0099334D">
      <w:pPr>
        <w:pStyle w:val="Tabletitle"/>
      </w:pPr>
      <w:r>
        <w:lastRenderedPageBreak/>
        <w:t xml:space="preserve">Table 7: Pharmacokinetic and pharmacodynamic comparisons between LY2963016 and EU approved Lantus at two dose levels-Study </w:t>
      </w:r>
      <w:r w:rsidRPr="0099334D">
        <w:t>ABEM</w:t>
      </w:r>
    </w:p>
    <w:p w:rsidR="00DD3066" w:rsidRPr="00DD3066" w:rsidRDefault="00DD3066" w:rsidP="0099334D">
      <w:r>
        <w:rPr>
          <w:noProof/>
          <w:lang w:eastAsia="en-AU"/>
        </w:rPr>
        <w:drawing>
          <wp:inline distT="0" distB="0" distL="0" distR="0" wp14:anchorId="1487A840" wp14:editId="334E513A">
            <wp:extent cx="5005375" cy="3566160"/>
            <wp:effectExtent l="0" t="0" r="0" b="0"/>
            <wp:docPr id="6" name="Picture 6" descr="Table 7: Pharmacokinetic and pharmacodynamic comparisons between LY2963016 and EU approved Lantus at two dose levels-Study AB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794" t="2049" r="1"/>
                    <a:stretch/>
                  </pic:blipFill>
                  <pic:spPr bwMode="auto">
                    <a:xfrm>
                      <a:off x="0" y="0"/>
                      <a:ext cx="5008031" cy="3568052"/>
                    </a:xfrm>
                    <a:prstGeom prst="rect">
                      <a:avLst/>
                    </a:prstGeom>
                    <a:ln>
                      <a:noFill/>
                    </a:ln>
                    <a:extLst>
                      <a:ext uri="{53640926-AAD7-44D8-BBD7-CCE9431645EC}">
                        <a14:shadowObscured xmlns:a14="http://schemas.microsoft.com/office/drawing/2010/main"/>
                      </a:ext>
                    </a:extLst>
                  </pic:spPr>
                </pic:pic>
              </a:graphicData>
            </a:graphic>
          </wp:inline>
        </w:drawing>
      </w:r>
    </w:p>
    <w:p w:rsidR="00AE090E" w:rsidRDefault="00AE090E" w:rsidP="00AE090E">
      <w:r>
        <w:t xml:space="preserve">Of further note, the assay method was able to detect a dose response in Study ABEM, a study of Lantus EU vs. </w:t>
      </w:r>
      <w:proofErr w:type="spellStart"/>
      <w:r w:rsidR="00216E0E">
        <w:t>Abasria</w:t>
      </w:r>
      <w:proofErr w:type="spellEnd"/>
      <w:r w:rsidR="0099334D">
        <w:t>.</w:t>
      </w:r>
    </w:p>
    <w:p w:rsidR="00AE090E" w:rsidRPr="00007806" w:rsidRDefault="00AE090E" w:rsidP="00DD3066">
      <w:pPr>
        <w:pStyle w:val="Heading4"/>
      </w:pPr>
      <w:bookmarkStart w:id="42" w:name="_Toc272414619"/>
      <w:bookmarkStart w:id="43" w:name="_Toc290846242"/>
      <w:bookmarkStart w:id="44" w:name="_Toc378790154"/>
      <w:r w:rsidRPr="00007806">
        <w:t>Absorption</w:t>
      </w:r>
      <w:bookmarkEnd w:id="42"/>
      <w:bookmarkEnd w:id="43"/>
      <w:bookmarkEnd w:id="44"/>
    </w:p>
    <w:p w:rsidR="00AE090E" w:rsidRPr="00007806" w:rsidRDefault="00AE090E" w:rsidP="00DD3066">
      <w:pPr>
        <w:pStyle w:val="Heading5"/>
      </w:pPr>
      <w:r w:rsidRPr="00007806">
        <w:t>Sites and mechanisms of absorption</w:t>
      </w:r>
    </w:p>
    <w:p w:rsidR="00AE090E" w:rsidRPr="00E675C1" w:rsidRDefault="00AE090E" w:rsidP="00AE090E">
      <w:pPr>
        <w:autoSpaceDE w:val="0"/>
        <w:autoSpaceDN w:val="0"/>
        <w:adjustRightInd w:val="0"/>
      </w:pPr>
      <w:r>
        <w:t xml:space="preserve">All of the </w:t>
      </w:r>
      <w:r w:rsidR="00216E0E">
        <w:t>Phase I</w:t>
      </w:r>
      <w:r>
        <w:t xml:space="preserve"> studies used the abdomen as the site of injection. Therefore no exploration of </w:t>
      </w:r>
      <w:proofErr w:type="spellStart"/>
      <w:r>
        <w:t>site</w:t>
      </w:r>
      <w:proofErr w:type="spellEnd"/>
      <w:r>
        <w:t xml:space="preserve"> effects occurred. The site of injection in the </w:t>
      </w:r>
      <w:r w:rsidR="00216E0E">
        <w:t>Phase III</w:t>
      </w:r>
      <w:r>
        <w:t xml:space="preserve"> studies was as per the Lantus PI in each country but no PK data were gathered.</w:t>
      </w:r>
    </w:p>
    <w:p w:rsidR="00AE090E" w:rsidRPr="00007806" w:rsidRDefault="00AE090E" w:rsidP="00DD3066">
      <w:pPr>
        <w:pStyle w:val="Heading4"/>
      </w:pPr>
      <w:bookmarkStart w:id="45" w:name="_Toc241374287"/>
      <w:bookmarkStart w:id="46" w:name="_Toc272414620"/>
      <w:bookmarkStart w:id="47" w:name="_Toc290846243"/>
      <w:bookmarkStart w:id="48" w:name="_Toc378790155"/>
      <w:r w:rsidRPr="00007806">
        <w:t>Bioavailability</w:t>
      </w:r>
      <w:bookmarkEnd w:id="45"/>
      <w:bookmarkEnd w:id="46"/>
      <w:bookmarkEnd w:id="47"/>
      <w:bookmarkEnd w:id="48"/>
    </w:p>
    <w:p w:rsidR="00AE090E" w:rsidRPr="00007806" w:rsidRDefault="00AE090E" w:rsidP="00DD3066">
      <w:pPr>
        <w:pStyle w:val="Heading5"/>
      </w:pPr>
      <w:r w:rsidRPr="00007806">
        <w:t>Absolute bioavailability</w:t>
      </w:r>
    </w:p>
    <w:p w:rsidR="00AE090E" w:rsidRDefault="00AE090E" w:rsidP="00AE090E">
      <w:pPr>
        <w:autoSpaceDE w:val="0"/>
        <w:autoSpaceDN w:val="0"/>
        <w:adjustRightInd w:val="0"/>
      </w:pPr>
      <w:r>
        <w:t xml:space="preserve">Such a study was not done. Insulin </w:t>
      </w:r>
      <w:proofErr w:type="spellStart"/>
      <w:r>
        <w:t>glargine</w:t>
      </w:r>
      <w:proofErr w:type="spellEnd"/>
      <w:r>
        <w:t xml:space="preserve"> is not suitable for intravenous administration as it is intended to bind to the site of local injection from which it is slowly released, </w:t>
      </w:r>
      <w:r w:rsidR="0099334D">
        <w:t>including as its metabolite M1.</w:t>
      </w:r>
    </w:p>
    <w:p w:rsidR="00AE090E" w:rsidRDefault="00AE090E" w:rsidP="00AE090E">
      <w:pPr>
        <w:autoSpaceDE w:val="0"/>
        <w:autoSpaceDN w:val="0"/>
        <w:adjustRightInd w:val="0"/>
      </w:pPr>
      <w:r>
        <w:t>Several studies were done that compared the PK</w:t>
      </w:r>
      <w:r w:rsidR="009F388C">
        <w:t xml:space="preserve"> </w:t>
      </w:r>
      <w:r>
        <w:t xml:space="preserve">of subcutaneously administered </w:t>
      </w:r>
      <w:proofErr w:type="spellStart"/>
      <w:r w:rsidR="00216E0E">
        <w:t>Abasria</w:t>
      </w:r>
      <w:proofErr w:type="spellEnd"/>
      <w:r>
        <w:t xml:space="preserve"> with Lantus (EU) and a study [ABEO] is in progress (not submitted) </w:t>
      </w:r>
      <w:r w:rsidRPr="001D2BA3">
        <w:t>that compare</w:t>
      </w:r>
      <w:r>
        <w:t>s</w:t>
      </w:r>
      <w:r w:rsidRPr="001D2BA3">
        <w:t xml:space="preserve"> </w:t>
      </w:r>
      <w:r>
        <w:t xml:space="preserve">the PK of </w:t>
      </w:r>
      <w:r w:rsidRPr="001D2BA3">
        <w:t xml:space="preserve">subcutaneously administered </w:t>
      </w:r>
      <w:proofErr w:type="spellStart"/>
      <w:r w:rsidR="00216E0E">
        <w:t>Abasria</w:t>
      </w:r>
      <w:proofErr w:type="spellEnd"/>
      <w:r w:rsidRPr="001D2BA3">
        <w:t xml:space="preserve"> with Lantus</w:t>
      </w:r>
      <w:r>
        <w:t xml:space="preserve"> (US).</w:t>
      </w:r>
    </w:p>
    <w:p w:rsidR="00AE090E" w:rsidRPr="00007806" w:rsidRDefault="00AE090E" w:rsidP="00DD3066">
      <w:pPr>
        <w:pStyle w:val="Heading5"/>
      </w:pPr>
      <w:r w:rsidRPr="00007806">
        <w:t xml:space="preserve">Bioavailability relative to an </w:t>
      </w:r>
      <w:r w:rsidRPr="00DD3066">
        <w:t>oral</w:t>
      </w:r>
      <w:r w:rsidRPr="00007806">
        <w:t xml:space="preserve"> solution or micronised suspension</w:t>
      </w:r>
    </w:p>
    <w:p w:rsidR="00AE090E" w:rsidRDefault="00AE090E" w:rsidP="00AE090E">
      <w:pPr>
        <w:autoSpaceDE w:val="0"/>
        <w:autoSpaceDN w:val="0"/>
        <w:adjustRightInd w:val="0"/>
      </w:pPr>
      <w:r>
        <w:t xml:space="preserve">Not applicable. </w:t>
      </w:r>
      <w:proofErr w:type="spellStart"/>
      <w:r w:rsidR="00216E0E">
        <w:t>Abasria</w:t>
      </w:r>
      <w:proofErr w:type="spellEnd"/>
      <w:r>
        <w:t xml:space="preserve"> is an injection for SC injection.</w:t>
      </w:r>
    </w:p>
    <w:p w:rsidR="00AE090E" w:rsidRPr="00007806" w:rsidRDefault="00AE090E" w:rsidP="00DD3066">
      <w:pPr>
        <w:pStyle w:val="Heading5"/>
      </w:pPr>
      <w:r w:rsidRPr="00007806">
        <w:t>Bioequivalence of clinical trial and market formulations</w:t>
      </w:r>
    </w:p>
    <w:p w:rsidR="00AE090E" w:rsidRDefault="00AE090E" w:rsidP="00AE090E">
      <w:pPr>
        <w:autoSpaceDE w:val="0"/>
        <w:autoSpaceDN w:val="0"/>
        <w:adjustRightInd w:val="0"/>
      </w:pPr>
      <w:r>
        <w:t xml:space="preserve">Not applicable. The </w:t>
      </w:r>
      <w:proofErr w:type="spellStart"/>
      <w:r w:rsidR="00216E0E">
        <w:t>Abasria</w:t>
      </w:r>
      <w:proofErr w:type="spellEnd"/>
      <w:r>
        <w:t xml:space="preserve"> trial programme used the same formulation.</w:t>
      </w:r>
    </w:p>
    <w:p w:rsidR="00AE090E" w:rsidRPr="00007806" w:rsidRDefault="00AE090E" w:rsidP="00DD3066">
      <w:pPr>
        <w:pStyle w:val="Heading5"/>
      </w:pPr>
      <w:r w:rsidRPr="00007806">
        <w:t>Bioequivalence of different dosage forms and strengths</w:t>
      </w:r>
    </w:p>
    <w:p w:rsidR="00AE090E" w:rsidRDefault="00AE090E" w:rsidP="00AE090E">
      <w:pPr>
        <w:autoSpaceDE w:val="0"/>
        <w:autoSpaceDN w:val="0"/>
        <w:adjustRightInd w:val="0"/>
      </w:pPr>
      <w:r>
        <w:t xml:space="preserve">Only one formulation of </w:t>
      </w:r>
      <w:proofErr w:type="spellStart"/>
      <w:r w:rsidR="00216E0E">
        <w:t>Abasria</w:t>
      </w:r>
      <w:proofErr w:type="spellEnd"/>
      <w:r>
        <w:t xml:space="preserve"> is proposed, presented in cartridges.</w:t>
      </w:r>
    </w:p>
    <w:p w:rsidR="00AE090E" w:rsidRPr="00007806" w:rsidRDefault="00AE090E" w:rsidP="00DD3066">
      <w:pPr>
        <w:pStyle w:val="Heading5"/>
      </w:pPr>
      <w:r w:rsidRPr="00007806">
        <w:lastRenderedPageBreak/>
        <w:t>Bioequivalence to relevant registered products</w:t>
      </w:r>
    </w:p>
    <w:p w:rsidR="00AE090E" w:rsidRDefault="00AE090E" w:rsidP="00AE090E">
      <w:pPr>
        <w:autoSpaceDE w:val="0"/>
        <w:autoSpaceDN w:val="0"/>
        <w:adjustRightInd w:val="0"/>
      </w:pPr>
      <w:r>
        <w:t>According to the letter of application, no specific bioequivalence data were generated for this submission. The reasoning is reproduced in full below:</w:t>
      </w:r>
    </w:p>
    <w:p w:rsidR="00AE090E" w:rsidRPr="0027688E" w:rsidRDefault="00127BD9" w:rsidP="0027688E">
      <w:pPr>
        <w:ind w:left="142"/>
        <w:rPr>
          <w:i/>
        </w:rPr>
      </w:pPr>
      <w:r>
        <w:t>‘</w:t>
      </w:r>
      <w:r w:rsidR="00AE090E" w:rsidRPr="0027688E">
        <w:rPr>
          <w:i/>
        </w:rPr>
        <w:t xml:space="preserve">The totality of data presented in this application, specifically the clinical data summarised in Module 2, support a sufficient demonstration of similarity of </w:t>
      </w:r>
      <w:proofErr w:type="spellStart"/>
      <w:r w:rsidR="00216E0E" w:rsidRPr="0027688E">
        <w:rPr>
          <w:i/>
        </w:rPr>
        <w:t>Abasria</w:t>
      </w:r>
      <w:proofErr w:type="spellEnd"/>
      <w:r w:rsidR="00AE090E" w:rsidRPr="0027688E">
        <w:rPr>
          <w:i/>
        </w:rPr>
        <w:t xml:space="preserve"> to </w:t>
      </w:r>
      <w:r w:rsidRPr="0027688E">
        <w:rPr>
          <w:i/>
        </w:rPr>
        <w:t>Lantus</w:t>
      </w:r>
      <w:r w:rsidR="00AE090E" w:rsidRPr="0027688E">
        <w:rPr>
          <w:i/>
        </w:rPr>
        <w:t>:</w:t>
      </w:r>
    </w:p>
    <w:p w:rsidR="00AE090E" w:rsidRPr="0027688E" w:rsidRDefault="00AE090E" w:rsidP="0027688E">
      <w:pPr>
        <w:pStyle w:val="ListBullet2"/>
        <w:rPr>
          <w:i/>
        </w:rPr>
      </w:pPr>
      <w:r w:rsidRPr="0027688E">
        <w:rPr>
          <w:i/>
        </w:rPr>
        <w:t xml:space="preserve">The primary goal of the development program was achieved: Comparative PK and PD studies demonstrated highly similar PK and PD of </w:t>
      </w:r>
      <w:proofErr w:type="spellStart"/>
      <w:r w:rsidR="00216E0E" w:rsidRPr="0027688E">
        <w:rPr>
          <w:i/>
        </w:rPr>
        <w:t>Abasria</w:t>
      </w:r>
      <w:proofErr w:type="spellEnd"/>
      <w:r w:rsidRPr="0027688E">
        <w:rPr>
          <w:i/>
        </w:rPr>
        <w:t xml:space="preserve"> to </w:t>
      </w:r>
      <w:r w:rsidR="00127BD9" w:rsidRPr="0027688E">
        <w:rPr>
          <w:i/>
        </w:rPr>
        <w:t>Lantus</w:t>
      </w:r>
      <w:r w:rsidRPr="0027688E">
        <w:rPr>
          <w:i/>
        </w:rPr>
        <w:t xml:space="preserve"> (Study ABEA) and of EU-approved </w:t>
      </w:r>
      <w:r w:rsidR="00127BD9" w:rsidRPr="0027688E">
        <w:rPr>
          <w:i/>
        </w:rPr>
        <w:t>Lantus</w:t>
      </w:r>
      <w:r w:rsidRPr="0027688E">
        <w:rPr>
          <w:i/>
        </w:rPr>
        <w:t xml:space="preserve"> to US-approved </w:t>
      </w:r>
      <w:r w:rsidR="00127BD9" w:rsidRPr="0027688E">
        <w:rPr>
          <w:i/>
        </w:rPr>
        <w:t>Lantus</w:t>
      </w:r>
      <w:r w:rsidRPr="0027688E">
        <w:rPr>
          <w:i/>
        </w:rPr>
        <w:t xml:space="preserve"> (Study ABEN) within predefined bioequivalence acceptance limits.</w:t>
      </w:r>
    </w:p>
    <w:p w:rsidR="00AE090E" w:rsidRPr="0027688E" w:rsidRDefault="00AE090E" w:rsidP="0027688E">
      <w:pPr>
        <w:pStyle w:val="ListBullet2"/>
        <w:rPr>
          <w:i/>
        </w:rPr>
      </w:pPr>
      <w:r w:rsidRPr="0027688E">
        <w:rPr>
          <w:i/>
        </w:rPr>
        <w:t xml:space="preserve">Study ABEN established a scientific bridge that justified presenting the analyses of clinical efficacy and safety with a comparator group comprising EU- and US approved </w:t>
      </w:r>
      <w:r w:rsidR="00127BD9" w:rsidRPr="0027688E">
        <w:rPr>
          <w:i/>
        </w:rPr>
        <w:t>Lantus</w:t>
      </w:r>
      <w:r w:rsidRPr="0027688E">
        <w:rPr>
          <w:i/>
        </w:rPr>
        <w:t xml:space="preserve"> in the multinational </w:t>
      </w:r>
      <w:r w:rsidR="00216E0E" w:rsidRPr="0027688E">
        <w:rPr>
          <w:i/>
        </w:rPr>
        <w:t>Phase III</w:t>
      </w:r>
      <w:r w:rsidRPr="0027688E">
        <w:rPr>
          <w:i/>
        </w:rPr>
        <w:t xml:space="preserve"> clinical studies (ABEB and ABEC). The scientific bridge was supported by subgroup analyses in the </w:t>
      </w:r>
      <w:r w:rsidR="00216E0E" w:rsidRPr="0027688E">
        <w:rPr>
          <w:i/>
        </w:rPr>
        <w:t>Phase III</w:t>
      </w:r>
      <w:r w:rsidRPr="0027688E">
        <w:rPr>
          <w:i/>
        </w:rPr>
        <w:t xml:space="preserve"> studies comparing the treatment effect of </w:t>
      </w:r>
      <w:proofErr w:type="spellStart"/>
      <w:r w:rsidR="00216E0E" w:rsidRPr="0027688E">
        <w:rPr>
          <w:i/>
        </w:rPr>
        <w:t>Abasria</w:t>
      </w:r>
      <w:proofErr w:type="spellEnd"/>
      <w:r w:rsidRPr="0027688E">
        <w:rPr>
          <w:i/>
        </w:rPr>
        <w:t xml:space="preserve"> to either EU- or US-approved </w:t>
      </w:r>
      <w:r w:rsidR="00127BD9" w:rsidRPr="0027688E">
        <w:rPr>
          <w:i/>
        </w:rPr>
        <w:t>Lantus</w:t>
      </w:r>
      <w:r w:rsidRPr="0027688E">
        <w:rPr>
          <w:i/>
        </w:rPr>
        <w:t xml:space="preserve"> for selected efficacy and safety parameters, which showed no clinically meaningful differential treatment effects between </w:t>
      </w:r>
      <w:proofErr w:type="spellStart"/>
      <w:r w:rsidR="00216E0E" w:rsidRPr="0027688E">
        <w:rPr>
          <w:i/>
        </w:rPr>
        <w:t>Abasria</w:t>
      </w:r>
      <w:proofErr w:type="spellEnd"/>
      <w:r w:rsidRPr="0027688E">
        <w:rPr>
          <w:i/>
        </w:rPr>
        <w:t xml:space="preserve"> and </w:t>
      </w:r>
      <w:r w:rsidR="00127BD9" w:rsidRPr="0027688E">
        <w:rPr>
          <w:i/>
        </w:rPr>
        <w:t>Lantus</w:t>
      </w:r>
      <w:r w:rsidRPr="0027688E">
        <w:rPr>
          <w:i/>
        </w:rPr>
        <w:t xml:space="preserve"> (irrespective of</w:t>
      </w:r>
      <w:r w:rsidR="0029506F" w:rsidRPr="0027688E">
        <w:rPr>
          <w:i/>
        </w:rPr>
        <w:t xml:space="preserve"> </w:t>
      </w:r>
      <w:r w:rsidR="004C1693">
        <w:rPr>
          <w:i/>
        </w:rPr>
        <w:t>source).</w:t>
      </w:r>
    </w:p>
    <w:p w:rsidR="00AE090E" w:rsidRPr="0027688E" w:rsidRDefault="00AE090E" w:rsidP="0027688E">
      <w:pPr>
        <w:pStyle w:val="ListBullet2"/>
        <w:rPr>
          <w:i/>
        </w:rPr>
      </w:pPr>
      <w:r w:rsidRPr="0027688E">
        <w:rPr>
          <w:i/>
        </w:rPr>
        <w:t xml:space="preserve">Clinical data from Studies ABEB (T1DM) and ABEC (T2DM) provide evidence that </w:t>
      </w:r>
      <w:proofErr w:type="spellStart"/>
      <w:r w:rsidR="00216E0E" w:rsidRPr="0027688E">
        <w:rPr>
          <w:i/>
        </w:rPr>
        <w:t>Abasria</w:t>
      </w:r>
      <w:proofErr w:type="spellEnd"/>
      <w:r w:rsidRPr="0027688E">
        <w:rPr>
          <w:i/>
        </w:rPr>
        <w:t xml:space="preserve"> and </w:t>
      </w:r>
      <w:r w:rsidR="00127BD9" w:rsidRPr="0027688E">
        <w:rPr>
          <w:i/>
        </w:rPr>
        <w:t>Lantus</w:t>
      </w:r>
      <w:r w:rsidRPr="0027688E">
        <w:rPr>
          <w:i/>
        </w:rPr>
        <w:t xml:space="preserve"> have equivalent efficacy by meeting the primary test of the </w:t>
      </w:r>
      <w:r w:rsidR="005B41AF">
        <w:rPr>
          <w:i/>
        </w:rPr>
        <w:t>non-inferiority</w:t>
      </w:r>
      <w:r w:rsidRPr="0027688E">
        <w:rPr>
          <w:i/>
        </w:rPr>
        <w:t xml:space="preserve"> of </w:t>
      </w:r>
      <w:proofErr w:type="spellStart"/>
      <w:r w:rsidR="00216E0E" w:rsidRPr="0027688E">
        <w:rPr>
          <w:i/>
        </w:rPr>
        <w:t>Abasria</w:t>
      </w:r>
      <w:proofErr w:type="spellEnd"/>
      <w:r w:rsidRPr="0027688E">
        <w:rPr>
          <w:i/>
        </w:rPr>
        <w:t xml:space="preserve"> to </w:t>
      </w:r>
      <w:r w:rsidR="00127BD9" w:rsidRPr="0027688E">
        <w:rPr>
          <w:i/>
        </w:rPr>
        <w:t>Lantus</w:t>
      </w:r>
      <w:r w:rsidRPr="0027688E">
        <w:rPr>
          <w:i/>
        </w:rPr>
        <w:t xml:space="preserve"> as well as the secondary, complementary test of the </w:t>
      </w:r>
      <w:r w:rsidR="005B41AF">
        <w:rPr>
          <w:i/>
        </w:rPr>
        <w:t>non-inferiority</w:t>
      </w:r>
      <w:r w:rsidRPr="0027688E">
        <w:rPr>
          <w:i/>
        </w:rPr>
        <w:t xml:space="preserve"> of </w:t>
      </w:r>
      <w:r w:rsidR="00127BD9" w:rsidRPr="0027688E">
        <w:rPr>
          <w:i/>
        </w:rPr>
        <w:t>Lantus</w:t>
      </w:r>
      <w:r w:rsidRPr="0027688E">
        <w:rPr>
          <w:i/>
        </w:rPr>
        <w:t xml:space="preserve"> to </w:t>
      </w:r>
      <w:proofErr w:type="spellStart"/>
      <w:r w:rsidR="00216E0E" w:rsidRPr="0027688E">
        <w:rPr>
          <w:i/>
        </w:rPr>
        <w:t>Abasria</w:t>
      </w:r>
      <w:proofErr w:type="spellEnd"/>
      <w:r w:rsidRPr="0027688E">
        <w:rPr>
          <w:i/>
        </w:rPr>
        <w:t xml:space="preserve"> with respect to change in HbA1c, and with no statistically significant difference between treatment groups for key secondary measures of efficacy</w:t>
      </w:r>
      <w:r w:rsidRPr="0027688E">
        <w:rPr>
          <w:rStyle w:val="FootnoteReference"/>
          <w:i/>
        </w:rPr>
        <w:footnoteReference w:id="2"/>
      </w:r>
      <w:r w:rsidRPr="0027688E">
        <w:rPr>
          <w:i/>
        </w:rPr>
        <w:t>.</w:t>
      </w:r>
    </w:p>
    <w:p w:rsidR="00AE090E" w:rsidRPr="0027688E" w:rsidRDefault="00AE090E" w:rsidP="0027688E">
      <w:pPr>
        <w:ind w:left="142"/>
        <w:rPr>
          <w:i/>
        </w:rPr>
      </w:pPr>
      <w:r w:rsidRPr="0027688E">
        <w:rPr>
          <w:i/>
        </w:rPr>
        <w:t xml:space="preserve">Clinical safety data from the </w:t>
      </w:r>
      <w:r w:rsidR="00216E0E" w:rsidRPr="0027688E">
        <w:rPr>
          <w:i/>
        </w:rPr>
        <w:t>Phase III</w:t>
      </w:r>
      <w:r w:rsidRPr="0027688E">
        <w:rPr>
          <w:i/>
        </w:rPr>
        <w:t xml:space="preserve"> studies demonstrate a highly similar safety profile (including immunogenicity, allergic reactions, and </w:t>
      </w:r>
      <w:proofErr w:type="spellStart"/>
      <w:r w:rsidRPr="0027688E">
        <w:rPr>
          <w:i/>
        </w:rPr>
        <w:t>hypoglycemia</w:t>
      </w:r>
      <w:proofErr w:type="spellEnd"/>
      <w:r w:rsidRPr="0027688E">
        <w:rPr>
          <w:i/>
        </w:rPr>
        <w:t xml:space="preserve">) of </w:t>
      </w:r>
      <w:proofErr w:type="spellStart"/>
      <w:r w:rsidR="00216E0E" w:rsidRPr="0027688E">
        <w:rPr>
          <w:i/>
        </w:rPr>
        <w:t>Abasria</w:t>
      </w:r>
      <w:proofErr w:type="spellEnd"/>
      <w:r w:rsidRPr="0027688E">
        <w:rPr>
          <w:i/>
        </w:rPr>
        <w:t xml:space="preserve"> to </w:t>
      </w:r>
      <w:r w:rsidR="00127BD9" w:rsidRPr="0027688E">
        <w:rPr>
          <w:i/>
        </w:rPr>
        <w:t>Lantus</w:t>
      </w:r>
      <w:r w:rsidRPr="0027688E">
        <w:rPr>
          <w:i/>
        </w:rPr>
        <w:t xml:space="preserve">. Importantly, the development of anti-insulin </w:t>
      </w:r>
      <w:proofErr w:type="spellStart"/>
      <w:r w:rsidRPr="0027688E">
        <w:rPr>
          <w:i/>
        </w:rPr>
        <w:t>glargine</w:t>
      </w:r>
      <w:proofErr w:type="spellEnd"/>
      <w:r w:rsidRPr="0027688E">
        <w:rPr>
          <w:i/>
        </w:rPr>
        <w:t xml:space="preserve"> antibodies (as measured by TEAR) was not associated with any detrimental effect on efficacy and safety outcomes</w:t>
      </w:r>
      <w:r w:rsidR="0099334D">
        <w:rPr>
          <w:i/>
        </w:rPr>
        <w:t xml:space="preserve"> in patients with 11DM or T2DM.</w:t>
      </w:r>
      <w:r w:rsidR="00127BD9" w:rsidRPr="0027688E">
        <w:rPr>
          <w:i/>
        </w:rPr>
        <w:t>‘</w:t>
      </w:r>
    </w:p>
    <w:p w:rsidR="0027688E" w:rsidRDefault="00AE090E" w:rsidP="00AE090E">
      <w:pPr>
        <w:autoSpaceDE w:val="0"/>
        <w:autoSpaceDN w:val="0"/>
        <w:adjustRightInd w:val="0"/>
      </w:pPr>
      <w:r>
        <w:t>The letter does not refer to the formulation (quantitative and qualitative) of Lantus in the EU, US and Australia.</w:t>
      </w:r>
      <w:r w:rsidR="009F388C">
        <w:t xml:space="preserve"> </w:t>
      </w:r>
      <w:r>
        <w:t xml:space="preserve">It is worth mentioning at this point that Study ABEN compared the PK and PD Lantus (US) with Lantus (EU) and </w:t>
      </w:r>
      <w:r w:rsidRPr="00BA72A3">
        <w:t>did not include</w:t>
      </w:r>
      <w:r>
        <w:t xml:space="preserve"> </w:t>
      </w:r>
      <w:proofErr w:type="spellStart"/>
      <w:r w:rsidR="00216E0E">
        <w:t>Abasria</w:t>
      </w:r>
      <w:proofErr w:type="spellEnd"/>
      <w:r w:rsidR="0027688E">
        <w:t xml:space="preserve"> in the comparison. </w:t>
      </w:r>
      <w:r>
        <w:t>The reference to ABEN by the applicant in the highlighted text above is therefore unclear.</w:t>
      </w:r>
      <w:r w:rsidR="009F388C">
        <w:t xml:space="preserve"> </w:t>
      </w:r>
      <w:r>
        <w:t xml:space="preserve">Perhaps the author had intended to invite cross-study comparisons. This would also be problematical not least because Study ABEO (Lantus US vs. </w:t>
      </w:r>
      <w:proofErr w:type="spellStart"/>
      <w:r w:rsidR="00216E0E">
        <w:t>Abasria</w:t>
      </w:r>
      <w:proofErr w:type="spellEnd"/>
      <w:r>
        <w:t>) has not been completed or submitted. Study ABEN is briefly described in this tabulation, taken from the Module 5 documents:</w:t>
      </w:r>
    </w:p>
    <w:p w:rsidR="0099334D" w:rsidRDefault="0027688E" w:rsidP="005E7F89">
      <w:pPr>
        <w:pStyle w:val="Tabletitle"/>
      </w:pPr>
      <w:r>
        <w:lastRenderedPageBreak/>
        <w:t>Table 8: Design of Study ABEN</w:t>
      </w:r>
    </w:p>
    <w:p w:rsidR="00AE090E" w:rsidRDefault="0027688E" w:rsidP="0099334D">
      <w:r>
        <w:rPr>
          <w:noProof/>
          <w:lang w:eastAsia="en-AU"/>
        </w:rPr>
        <w:drawing>
          <wp:inline distT="0" distB="0" distL="0" distR="0" wp14:anchorId="6FD4A621" wp14:editId="4BF62285">
            <wp:extent cx="5204460" cy="2776824"/>
            <wp:effectExtent l="0" t="0" r="0" b="0"/>
            <wp:docPr id="7" name="Picture 7" descr="Table 8: Design of Study 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08565" cy="2779014"/>
                    </a:xfrm>
                    <a:prstGeom prst="rect">
                      <a:avLst/>
                    </a:prstGeom>
                  </pic:spPr>
                </pic:pic>
              </a:graphicData>
            </a:graphic>
          </wp:inline>
        </w:drawing>
      </w:r>
    </w:p>
    <w:p w:rsidR="00AE090E" w:rsidRDefault="00AE090E" w:rsidP="0027688E">
      <w:r>
        <w:t xml:space="preserve">It can be said that three </w:t>
      </w:r>
      <w:r w:rsidR="00216E0E">
        <w:t>Phase I</w:t>
      </w:r>
      <w:r>
        <w:t xml:space="preserve"> Studies included comparisons of </w:t>
      </w:r>
      <w:proofErr w:type="spellStart"/>
      <w:r w:rsidR="00216E0E">
        <w:t>Abasria</w:t>
      </w:r>
      <w:proofErr w:type="spellEnd"/>
      <w:r>
        <w:t xml:space="preserve"> with Lantus EU.</w:t>
      </w:r>
    </w:p>
    <w:p w:rsidR="00AE090E" w:rsidRDefault="00AE090E" w:rsidP="0027688E">
      <w:r w:rsidRPr="00247272">
        <w:t xml:space="preserve">The tabulated results from the </w:t>
      </w:r>
      <w:r w:rsidR="00216E0E">
        <w:t>Phase I</w:t>
      </w:r>
      <w:r w:rsidRPr="00247272">
        <w:t xml:space="preserve"> studies, as presented above</w:t>
      </w:r>
      <w:r>
        <w:t>,</w:t>
      </w:r>
      <w:r w:rsidRPr="00247272">
        <w:t xml:space="preserve"> support equivalent pharmacokinetics at given doses and therefore one can infer bioequivalence</w:t>
      </w:r>
      <w:r>
        <w:t xml:space="preserve"> of </w:t>
      </w:r>
      <w:proofErr w:type="spellStart"/>
      <w:r w:rsidR="00216E0E">
        <w:t>Abasria</w:t>
      </w:r>
      <w:proofErr w:type="spellEnd"/>
      <w:r>
        <w:t xml:space="preserve"> with Lantus EU, subject to no objections, from the chemistry </w:t>
      </w:r>
      <w:r w:rsidR="003C0373">
        <w:t>evaluator, to the assay method.</w:t>
      </w:r>
    </w:p>
    <w:p w:rsidR="00AE090E" w:rsidRDefault="00AE090E" w:rsidP="0027688E">
      <w:r>
        <w:t xml:space="preserve">However this conclusion is a long way from the intent of the letter of application. It appears to be the case that </w:t>
      </w:r>
      <w:proofErr w:type="spellStart"/>
      <w:r w:rsidR="00216E0E">
        <w:t>Abasria</w:t>
      </w:r>
      <w:proofErr w:type="spellEnd"/>
      <w:r>
        <w:t xml:space="preserve"> injection is qualitatively different from Lantus injection solution. The applicant remarks, </w:t>
      </w:r>
      <w:r w:rsidR="00127BD9">
        <w:t>‘</w:t>
      </w:r>
      <w:r>
        <w:t>…</w:t>
      </w:r>
      <w:r w:rsidRPr="00BD1F2F">
        <w:rPr>
          <w:i/>
        </w:rPr>
        <w:t xml:space="preserve">no bridging study is considered necessary as </w:t>
      </w:r>
      <w:r w:rsidR="00127BD9">
        <w:rPr>
          <w:i/>
        </w:rPr>
        <w:t>Lantus</w:t>
      </w:r>
      <w:r w:rsidRPr="00BD1F2F">
        <w:rPr>
          <w:i/>
        </w:rPr>
        <w:t xml:space="preserve"> available in Australia is manufactured in Germany</w:t>
      </w:r>
      <w:r w:rsidR="00127BD9">
        <w:t>’</w:t>
      </w:r>
      <w:r>
        <w:t xml:space="preserve"> as though claimed provenance equals identity.</w:t>
      </w:r>
      <w:r w:rsidR="009F388C">
        <w:t xml:space="preserve"> </w:t>
      </w:r>
      <w:r>
        <w:t xml:space="preserve">In the same sentence it is remarked that Lantus EU and Lantus US share the same provenance but </w:t>
      </w:r>
      <w:proofErr w:type="gramStart"/>
      <w:r w:rsidR="00216E0E">
        <w:t>Phase</w:t>
      </w:r>
      <w:proofErr w:type="gramEnd"/>
      <w:r w:rsidR="00216E0E">
        <w:t xml:space="preserve"> I</w:t>
      </w:r>
      <w:r>
        <w:t xml:space="preserve"> studies to demonstrate their comparability with </w:t>
      </w:r>
      <w:proofErr w:type="spellStart"/>
      <w:r w:rsidR="00216E0E">
        <w:t>Abasria</w:t>
      </w:r>
      <w:proofErr w:type="spellEnd"/>
      <w:r>
        <w:t xml:space="preserve"> and with each other have been done and one is in progress.</w:t>
      </w:r>
    </w:p>
    <w:p w:rsidR="0099334D" w:rsidRDefault="00AE090E" w:rsidP="0027688E">
      <w:r>
        <w:t xml:space="preserve">The evaluator is not able to say that the </w:t>
      </w:r>
      <w:r w:rsidR="00216E0E">
        <w:t>Phase I</w:t>
      </w:r>
      <w:r>
        <w:t xml:space="preserve"> studies or that the limited arguments in the Letter of Application are sufficient to demonstrate that </w:t>
      </w:r>
      <w:proofErr w:type="spellStart"/>
      <w:r w:rsidR="00216E0E">
        <w:t>Abasria</w:t>
      </w:r>
      <w:proofErr w:type="spellEnd"/>
      <w:r>
        <w:t xml:space="preserve"> is clinically equivalent to Lantus as sold in Australia.</w:t>
      </w:r>
      <w:r w:rsidR="009F388C">
        <w:t xml:space="preserve"> </w:t>
      </w:r>
      <w:r>
        <w:t>The evaluator was not able to find in Module 2.3 a suggestion of a quantitative comparability exercise for Lantus US, Lantus EU and Lantus Australia but this is not to say tha</w:t>
      </w:r>
      <w:r w:rsidR="0099334D">
        <w:t>t such data were not submitted.</w:t>
      </w:r>
    </w:p>
    <w:p w:rsidR="00AE090E" w:rsidRPr="000F5B31" w:rsidRDefault="00AE090E" w:rsidP="003C0373">
      <w:pPr>
        <w:pStyle w:val="Heading5"/>
      </w:pPr>
      <w:r w:rsidRPr="000F5B31">
        <w:t xml:space="preserve">Influence </w:t>
      </w:r>
      <w:r w:rsidRPr="003C0373">
        <w:t>of</w:t>
      </w:r>
      <w:r w:rsidRPr="000F5B31">
        <w:t xml:space="preserve"> food</w:t>
      </w:r>
    </w:p>
    <w:p w:rsidR="00AE090E" w:rsidRDefault="00AE090E" w:rsidP="0027688E">
      <w:r>
        <w:t xml:space="preserve">Not applicable. Insulin </w:t>
      </w:r>
      <w:proofErr w:type="spellStart"/>
      <w:r>
        <w:t>glargine</w:t>
      </w:r>
      <w:proofErr w:type="spellEnd"/>
      <w:r>
        <w:t xml:space="preserve"> is administered by subcutaneous injection.</w:t>
      </w:r>
    </w:p>
    <w:p w:rsidR="00AE090E" w:rsidRPr="000F5B31" w:rsidRDefault="00AE090E" w:rsidP="003C0373">
      <w:pPr>
        <w:pStyle w:val="Heading5"/>
      </w:pPr>
      <w:r w:rsidRPr="000F5B31">
        <w:t xml:space="preserve">Dose </w:t>
      </w:r>
      <w:r w:rsidRPr="003C0373">
        <w:t>proportionality</w:t>
      </w:r>
    </w:p>
    <w:p w:rsidR="00AE090E" w:rsidRDefault="00AE090E" w:rsidP="0027688E">
      <w:r>
        <w:t>One study was submitted that addresses this matter.</w:t>
      </w:r>
    </w:p>
    <w:p w:rsidR="00AE090E" w:rsidRPr="000F5B31" w:rsidRDefault="00AE090E" w:rsidP="003C0373">
      <w:pPr>
        <w:pStyle w:val="Heading5"/>
      </w:pPr>
      <w:r w:rsidRPr="003C0373">
        <w:t>Bioavailability</w:t>
      </w:r>
      <w:r w:rsidRPr="000F5B31">
        <w:t xml:space="preserve"> during multiple-dosing</w:t>
      </w:r>
    </w:p>
    <w:p w:rsidR="00AE090E" w:rsidRDefault="00AE090E" w:rsidP="0027688E">
      <w:r>
        <w:t xml:space="preserve">No </w:t>
      </w:r>
      <w:proofErr w:type="spellStart"/>
      <w:r>
        <w:t>multidose</w:t>
      </w:r>
      <w:proofErr w:type="spellEnd"/>
      <w:r>
        <w:t xml:space="preserve"> (in the sense of steady state) PK studies were submitted.</w:t>
      </w:r>
    </w:p>
    <w:p w:rsidR="00AE090E" w:rsidRPr="000F5B31" w:rsidRDefault="00AE090E" w:rsidP="0027688E">
      <w:pPr>
        <w:pStyle w:val="Heading5"/>
      </w:pPr>
      <w:r w:rsidRPr="000F5B31">
        <w:t>Effect of administration timing</w:t>
      </w:r>
    </w:p>
    <w:p w:rsidR="00AE090E" w:rsidRDefault="00AE090E" w:rsidP="00AE090E">
      <w:pPr>
        <w:autoSpaceDE w:val="0"/>
        <w:autoSpaceDN w:val="0"/>
        <w:adjustRightInd w:val="0"/>
      </w:pPr>
      <w:r>
        <w:t>No PK studies were submitted that address this matter.</w:t>
      </w:r>
    </w:p>
    <w:p w:rsidR="00AE090E" w:rsidRPr="000F5B31" w:rsidRDefault="00AE090E" w:rsidP="003C0373">
      <w:pPr>
        <w:pStyle w:val="Heading4"/>
      </w:pPr>
      <w:bookmarkStart w:id="49" w:name="_Toc241374288"/>
      <w:bookmarkStart w:id="50" w:name="_Toc272414621"/>
      <w:bookmarkStart w:id="51" w:name="_Toc290846244"/>
      <w:bookmarkStart w:id="52" w:name="_Toc378790156"/>
      <w:r w:rsidRPr="003C0373">
        <w:t>Distribution</w:t>
      </w:r>
      <w:bookmarkEnd w:id="49"/>
      <w:bookmarkEnd w:id="50"/>
      <w:bookmarkEnd w:id="51"/>
      <w:bookmarkEnd w:id="52"/>
    </w:p>
    <w:p w:rsidR="00AE090E" w:rsidRPr="000F5B31" w:rsidRDefault="00AE090E" w:rsidP="003C0373">
      <w:pPr>
        <w:pStyle w:val="Heading5"/>
      </w:pPr>
      <w:r w:rsidRPr="003C0373">
        <w:t>Volume</w:t>
      </w:r>
      <w:r w:rsidRPr="000F5B31">
        <w:t xml:space="preserve"> of distribution</w:t>
      </w:r>
    </w:p>
    <w:p w:rsidR="00AE090E" w:rsidRDefault="00AE090E" w:rsidP="0027688E">
      <w:r w:rsidRPr="00A81499">
        <w:t xml:space="preserve">The three evaluable PK studies generated data in regard to the apparent volume of distribution during the terminal phase after </w:t>
      </w:r>
      <w:proofErr w:type="spellStart"/>
      <w:r w:rsidRPr="00A81499">
        <w:t>extravenous</w:t>
      </w:r>
      <w:proofErr w:type="spellEnd"/>
      <w:r w:rsidRPr="00A81499">
        <w:t xml:space="preserve"> administration (</w:t>
      </w:r>
      <w:proofErr w:type="spellStart"/>
      <w:r w:rsidRPr="00A81499">
        <w:t>Vz</w:t>
      </w:r>
      <w:proofErr w:type="spellEnd"/>
      <w:r w:rsidRPr="00A81499">
        <w:t>/F)</w:t>
      </w:r>
      <w:r>
        <w:t xml:space="preserve">, given that there was no </w:t>
      </w:r>
      <w:r>
        <w:lastRenderedPageBreak/>
        <w:t>absolute bioavailability study.</w:t>
      </w:r>
      <w:r w:rsidR="009F388C">
        <w:t xml:space="preserve"> </w:t>
      </w:r>
      <w:r>
        <w:t>In Studies ABEA and ABEI, in which</w:t>
      </w:r>
      <w:r w:rsidR="009F388C">
        <w:t xml:space="preserve"> </w:t>
      </w:r>
      <w:r>
        <w:t xml:space="preserve">the 0.5U/kg BW dose was given SC, the Vz/F was 1130 and 1100L, similar to the reference product, Lantus EU. In Study ABEM, after doses of 0.3 or 0.6U/g BW given SC, </w:t>
      </w:r>
      <w:r w:rsidRPr="00EC19B4">
        <w:t>the Vz/F was</w:t>
      </w:r>
      <w:r w:rsidR="0099334D">
        <w:t xml:space="preserve"> 553 or 713L.</w:t>
      </w:r>
    </w:p>
    <w:p w:rsidR="00AE090E" w:rsidRPr="000F5B31" w:rsidRDefault="00AE090E" w:rsidP="0027688E">
      <w:pPr>
        <w:pStyle w:val="Heading5"/>
      </w:pPr>
      <w:r w:rsidRPr="000F5B31">
        <w:t>Plasma protein binding</w:t>
      </w:r>
    </w:p>
    <w:p w:rsidR="00AE090E" w:rsidRDefault="00AE090E" w:rsidP="00AE090E">
      <w:pPr>
        <w:autoSpaceDE w:val="0"/>
        <w:autoSpaceDN w:val="0"/>
        <w:adjustRightInd w:val="0"/>
      </w:pPr>
      <w:r>
        <w:t>No new data were submitted in this application.</w:t>
      </w:r>
    </w:p>
    <w:p w:rsidR="00AE090E" w:rsidRPr="000F5B31" w:rsidRDefault="00AE090E" w:rsidP="0027688E">
      <w:pPr>
        <w:pStyle w:val="Heading5"/>
      </w:pPr>
      <w:r w:rsidRPr="000F5B31">
        <w:t>Erythrocyte distribution</w:t>
      </w:r>
    </w:p>
    <w:p w:rsidR="00AE090E" w:rsidRDefault="00AE090E" w:rsidP="00AE090E">
      <w:pPr>
        <w:autoSpaceDE w:val="0"/>
        <w:autoSpaceDN w:val="0"/>
        <w:adjustRightInd w:val="0"/>
      </w:pPr>
      <w:r>
        <w:t>No new data were submitted in this application.</w:t>
      </w:r>
    </w:p>
    <w:p w:rsidR="00AE090E" w:rsidRPr="000F5B31" w:rsidRDefault="00AE090E" w:rsidP="0027688E">
      <w:pPr>
        <w:pStyle w:val="Heading5"/>
      </w:pPr>
      <w:r w:rsidRPr="000F5B31">
        <w:t>Tissue distribution</w:t>
      </w:r>
    </w:p>
    <w:p w:rsidR="00AE090E" w:rsidRDefault="00AE090E" w:rsidP="00AE090E">
      <w:pPr>
        <w:autoSpaceDE w:val="0"/>
        <w:autoSpaceDN w:val="0"/>
        <w:adjustRightInd w:val="0"/>
      </w:pPr>
      <w:r>
        <w:t>No new data were submitted in this application.</w:t>
      </w:r>
    </w:p>
    <w:p w:rsidR="00AE090E" w:rsidRPr="000F5B31" w:rsidRDefault="00AE090E" w:rsidP="0027688E">
      <w:pPr>
        <w:pStyle w:val="Heading4"/>
      </w:pPr>
      <w:bookmarkStart w:id="53" w:name="_Toc272414622"/>
      <w:bookmarkStart w:id="54" w:name="_Toc290846245"/>
      <w:bookmarkStart w:id="55" w:name="_Toc378790157"/>
      <w:r w:rsidRPr="000F5B31">
        <w:t>Metabolism</w:t>
      </w:r>
      <w:bookmarkEnd w:id="53"/>
      <w:bookmarkEnd w:id="54"/>
      <w:bookmarkEnd w:id="55"/>
    </w:p>
    <w:p w:rsidR="00AE090E" w:rsidRPr="000F5B31" w:rsidRDefault="00AE090E" w:rsidP="0027688E">
      <w:pPr>
        <w:pStyle w:val="Heading5"/>
      </w:pPr>
      <w:proofErr w:type="spellStart"/>
      <w:r w:rsidRPr="000F5B31">
        <w:t>Interconversion</w:t>
      </w:r>
      <w:proofErr w:type="spellEnd"/>
      <w:r w:rsidRPr="000F5B31">
        <w:t xml:space="preserve"> between enantiomers</w:t>
      </w:r>
    </w:p>
    <w:p w:rsidR="00AE090E" w:rsidRDefault="00AE090E" w:rsidP="00AE090E">
      <w:r w:rsidRPr="00274E5E">
        <w:t>Not applicable.</w:t>
      </w:r>
    </w:p>
    <w:p w:rsidR="00AE090E" w:rsidRPr="000F5B31" w:rsidRDefault="00AE090E" w:rsidP="0027688E">
      <w:pPr>
        <w:pStyle w:val="Heading5"/>
      </w:pPr>
      <w:r w:rsidRPr="000F5B31">
        <w:t>Sites of metabolism and mechanisms / enzyme systems involved</w:t>
      </w:r>
    </w:p>
    <w:p w:rsidR="00AE090E" w:rsidRDefault="00AE090E" w:rsidP="00AE090E">
      <w:pPr>
        <w:autoSpaceDE w:val="0"/>
        <w:autoSpaceDN w:val="0"/>
        <w:adjustRightInd w:val="0"/>
      </w:pPr>
      <w:r>
        <w:t>No new data were submitted in this application.</w:t>
      </w:r>
    </w:p>
    <w:p w:rsidR="00AE090E" w:rsidRPr="000F5B31" w:rsidRDefault="00AE090E" w:rsidP="0027688E">
      <w:pPr>
        <w:pStyle w:val="Heading5"/>
      </w:pPr>
      <w:r w:rsidRPr="000F5B31">
        <w:t>Non-renal clearance</w:t>
      </w:r>
    </w:p>
    <w:p w:rsidR="00AE090E" w:rsidRDefault="00AE090E" w:rsidP="00AE090E">
      <w:pPr>
        <w:autoSpaceDE w:val="0"/>
        <w:autoSpaceDN w:val="0"/>
        <w:adjustRightInd w:val="0"/>
      </w:pPr>
      <w:r>
        <w:t>No new data were submitted in this application.</w:t>
      </w:r>
    </w:p>
    <w:p w:rsidR="00AE090E" w:rsidRPr="000F5B31" w:rsidRDefault="00AE090E" w:rsidP="0027688E">
      <w:pPr>
        <w:pStyle w:val="Heading5"/>
      </w:pPr>
      <w:r w:rsidRPr="000F5B31">
        <w:t>Metabolites identified in humans</w:t>
      </w:r>
    </w:p>
    <w:p w:rsidR="00AE090E" w:rsidRPr="000F5B31" w:rsidRDefault="00AE090E" w:rsidP="0027688E">
      <w:pPr>
        <w:pStyle w:val="Heading6"/>
      </w:pPr>
      <w:r w:rsidRPr="000F5B31">
        <w:t>Active metabolites</w:t>
      </w:r>
    </w:p>
    <w:p w:rsidR="00AE090E" w:rsidRDefault="00AE090E" w:rsidP="00AE090E">
      <w:pPr>
        <w:autoSpaceDE w:val="0"/>
        <w:autoSpaceDN w:val="0"/>
        <w:adjustRightInd w:val="0"/>
      </w:pPr>
      <w:r>
        <w:t>No new data were submitted in this application.</w:t>
      </w:r>
    </w:p>
    <w:p w:rsidR="00AE090E" w:rsidRPr="000F5B31" w:rsidRDefault="00AE090E" w:rsidP="0027688E">
      <w:pPr>
        <w:pStyle w:val="Heading6"/>
      </w:pPr>
      <w:r w:rsidRPr="000F5B31">
        <w:t>Other metabolites</w:t>
      </w:r>
    </w:p>
    <w:p w:rsidR="00AE090E" w:rsidRPr="000F5B31" w:rsidRDefault="00AE090E" w:rsidP="00AE090E">
      <w:pPr>
        <w:autoSpaceDE w:val="0"/>
        <w:autoSpaceDN w:val="0"/>
        <w:adjustRightInd w:val="0"/>
      </w:pPr>
      <w:r w:rsidRPr="000F5B31">
        <w:t xml:space="preserve">No new data were submitted in this application. Insulin </w:t>
      </w:r>
      <w:proofErr w:type="spellStart"/>
      <w:r w:rsidRPr="000F5B31">
        <w:t>glargine</w:t>
      </w:r>
      <w:proofErr w:type="spellEnd"/>
      <w:r w:rsidRPr="000F5B31">
        <w:t xml:space="preserve"> is known to have two active metabolites (Lantus PI).</w:t>
      </w:r>
    </w:p>
    <w:p w:rsidR="00AE090E" w:rsidRPr="000F5B31" w:rsidRDefault="00AE090E" w:rsidP="0027688E">
      <w:pPr>
        <w:pStyle w:val="Heading5"/>
      </w:pPr>
      <w:r w:rsidRPr="000F5B31">
        <w:t>Pharmacokinetics of metabolites</w:t>
      </w:r>
    </w:p>
    <w:p w:rsidR="00AE090E" w:rsidRPr="000F5B31" w:rsidRDefault="00AE090E" w:rsidP="0027688E">
      <w:r w:rsidRPr="000F5B31">
        <w:t>No new data were submitted in this application.</w:t>
      </w:r>
    </w:p>
    <w:p w:rsidR="00AE090E" w:rsidRPr="000F5B31" w:rsidRDefault="00AE090E" w:rsidP="0027688E">
      <w:pPr>
        <w:pStyle w:val="Heading5"/>
      </w:pPr>
      <w:r w:rsidRPr="000F5B31">
        <w:t>Consequences of genetic polymorphism</w:t>
      </w:r>
    </w:p>
    <w:p w:rsidR="00AE090E" w:rsidRPr="000F5B31" w:rsidRDefault="00AE090E" w:rsidP="00AE090E">
      <w:pPr>
        <w:autoSpaceDE w:val="0"/>
        <w:autoSpaceDN w:val="0"/>
        <w:adjustRightInd w:val="0"/>
      </w:pPr>
      <w:r w:rsidRPr="000F5B31">
        <w:t xml:space="preserve">No new data were submitted in this application. However, subgroup analyses in regard to efficacy were conducted on the </w:t>
      </w:r>
      <w:r w:rsidR="00216E0E">
        <w:t>Phase III</w:t>
      </w:r>
      <w:r w:rsidRPr="000F5B31">
        <w:t xml:space="preserve"> study population. </w:t>
      </w:r>
    </w:p>
    <w:p w:rsidR="00AE090E" w:rsidRPr="000F5B31" w:rsidRDefault="00AE090E" w:rsidP="0027688E">
      <w:pPr>
        <w:pStyle w:val="Heading4"/>
      </w:pPr>
      <w:bookmarkStart w:id="56" w:name="_Toc241374289"/>
      <w:bookmarkStart w:id="57" w:name="_Toc272414623"/>
      <w:bookmarkStart w:id="58" w:name="_Toc290846246"/>
      <w:bookmarkStart w:id="59" w:name="_Toc378790158"/>
      <w:r w:rsidRPr="000F5B31">
        <w:t>E</w:t>
      </w:r>
      <w:bookmarkEnd w:id="56"/>
      <w:r w:rsidRPr="000F5B31">
        <w:t>xcretion</w:t>
      </w:r>
      <w:bookmarkEnd w:id="57"/>
      <w:bookmarkEnd w:id="58"/>
      <w:bookmarkEnd w:id="59"/>
    </w:p>
    <w:p w:rsidR="00AE090E" w:rsidRPr="000F5B31" w:rsidRDefault="00AE090E" w:rsidP="0027688E">
      <w:pPr>
        <w:pStyle w:val="Heading6"/>
      </w:pPr>
      <w:r w:rsidRPr="000F5B31">
        <w:t>Routes and mechanisms of excretion</w:t>
      </w:r>
    </w:p>
    <w:p w:rsidR="00AE090E" w:rsidRPr="000F5B31" w:rsidRDefault="00AE090E" w:rsidP="0027688E">
      <w:r w:rsidRPr="000F5B31">
        <w:t>No new data were submitted in this application.</w:t>
      </w:r>
    </w:p>
    <w:p w:rsidR="00AE090E" w:rsidRPr="000F5B31" w:rsidRDefault="00AE090E" w:rsidP="0027688E">
      <w:pPr>
        <w:pStyle w:val="Heading5"/>
      </w:pPr>
      <w:r w:rsidRPr="000F5B31">
        <w:t>Mass balance studies</w:t>
      </w:r>
    </w:p>
    <w:p w:rsidR="00AE090E" w:rsidRPr="000F5B31" w:rsidRDefault="00AE090E" w:rsidP="00AE090E">
      <w:pPr>
        <w:autoSpaceDE w:val="0"/>
        <w:autoSpaceDN w:val="0"/>
        <w:adjustRightInd w:val="0"/>
      </w:pPr>
      <w:r w:rsidRPr="000F5B31">
        <w:t>Not applicable.</w:t>
      </w:r>
    </w:p>
    <w:p w:rsidR="00AE090E" w:rsidRPr="000F5B31" w:rsidRDefault="00AE090E" w:rsidP="0027688E">
      <w:pPr>
        <w:pStyle w:val="Heading5"/>
      </w:pPr>
      <w:r w:rsidRPr="000F5B31">
        <w:t>Renal clearance</w:t>
      </w:r>
    </w:p>
    <w:p w:rsidR="00AE090E" w:rsidRDefault="00AE090E" w:rsidP="00AE090E">
      <w:pPr>
        <w:autoSpaceDE w:val="0"/>
        <w:autoSpaceDN w:val="0"/>
        <w:adjustRightInd w:val="0"/>
      </w:pPr>
      <w:r>
        <w:t>No new data were</w:t>
      </w:r>
      <w:r w:rsidR="0099334D">
        <w:t xml:space="preserve"> submitted in this application.</w:t>
      </w:r>
    </w:p>
    <w:p w:rsidR="00AE090E" w:rsidRPr="000F5B31" w:rsidRDefault="00AE090E" w:rsidP="0027688E">
      <w:pPr>
        <w:pStyle w:val="Heading4"/>
      </w:pPr>
      <w:bookmarkStart w:id="60" w:name="_Toc241374291"/>
      <w:bookmarkStart w:id="61" w:name="_Toc272414624"/>
      <w:bookmarkStart w:id="62" w:name="_Toc290846247"/>
      <w:bookmarkStart w:id="63" w:name="_Toc378790159"/>
      <w:r w:rsidRPr="000F5B31">
        <w:t>Intra- and inter-individual variability</w:t>
      </w:r>
      <w:bookmarkEnd w:id="60"/>
      <w:r w:rsidRPr="000F5B31">
        <w:t xml:space="preserve"> of pharmacokinetics</w:t>
      </w:r>
      <w:bookmarkEnd w:id="61"/>
      <w:bookmarkEnd w:id="62"/>
      <w:bookmarkEnd w:id="63"/>
    </w:p>
    <w:p w:rsidR="00AE090E" w:rsidRDefault="00AE090E" w:rsidP="00AE090E">
      <w:pPr>
        <w:autoSpaceDE w:val="0"/>
        <w:autoSpaceDN w:val="0"/>
        <w:adjustRightInd w:val="0"/>
      </w:pPr>
      <w:r>
        <w:t xml:space="preserve">No formal analysis of this was provided across the </w:t>
      </w:r>
      <w:r w:rsidR="00216E0E">
        <w:t>Phase I</w:t>
      </w:r>
      <w:r>
        <w:t xml:space="preserve"> studies. The replicate studies ABEN and ABEA do show variation of each replicate of the same drug (test or reference) some of which were attributed to possible errors in administration e.g. proximity to a vessel. </w:t>
      </w:r>
      <w:r w:rsidR="0000237F">
        <w:t xml:space="preserve">The </w:t>
      </w:r>
      <w:r>
        <w:t xml:space="preserve">data </w:t>
      </w:r>
      <w:r>
        <w:lastRenderedPageBreak/>
        <w:t>overall</w:t>
      </w:r>
      <w:r w:rsidR="0000237F">
        <w:t>, however,</w:t>
      </w:r>
      <w:r>
        <w:t xml:space="preserve"> support conventional equivalence of Lantus EU and </w:t>
      </w:r>
      <w:r w:rsidR="00216E0E">
        <w:t>Abasria</w:t>
      </w:r>
      <w:r>
        <w:t xml:space="preserve"> in terms of C</w:t>
      </w:r>
      <w:r w:rsidRPr="00EC19B4">
        <w:rPr>
          <w:vertAlign w:val="subscript"/>
        </w:rPr>
        <w:t>max</w:t>
      </w:r>
      <w:r>
        <w:t xml:space="preserve">, AUC </w:t>
      </w:r>
      <w:r w:rsidRPr="00EC19B4">
        <w:rPr>
          <w:vertAlign w:val="subscript"/>
        </w:rPr>
        <w:t>0-t</w:t>
      </w:r>
      <w:r>
        <w:t xml:space="preserve"> and T</w:t>
      </w:r>
      <w:r w:rsidRPr="00EC19B4">
        <w:rPr>
          <w:vertAlign w:val="subscript"/>
        </w:rPr>
        <w:t>max</w:t>
      </w:r>
      <w:r>
        <w:t>.</w:t>
      </w:r>
    </w:p>
    <w:p w:rsidR="00AE090E" w:rsidRPr="000F5B31" w:rsidRDefault="00AE090E" w:rsidP="0027688E">
      <w:pPr>
        <w:pStyle w:val="Heading4"/>
      </w:pPr>
      <w:bookmarkStart w:id="64" w:name="_Toc241374292"/>
      <w:bookmarkStart w:id="65" w:name="_Ref271189131"/>
      <w:bookmarkStart w:id="66" w:name="_Ref271189136"/>
      <w:bookmarkStart w:id="67" w:name="_Toc272414625"/>
      <w:bookmarkStart w:id="68" w:name="_Toc290846248"/>
      <w:bookmarkStart w:id="69" w:name="_Toc378790160"/>
      <w:r w:rsidRPr="000F5B31">
        <w:t>Pharmacokinetics in the target population</w:t>
      </w:r>
      <w:bookmarkEnd w:id="64"/>
      <w:bookmarkEnd w:id="65"/>
      <w:bookmarkEnd w:id="66"/>
      <w:bookmarkEnd w:id="67"/>
      <w:bookmarkEnd w:id="68"/>
      <w:bookmarkEnd w:id="69"/>
    </w:p>
    <w:p w:rsidR="00AE090E" w:rsidRDefault="00AE090E" w:rsidP="00AE090E">
      <w:pPr>
        <w:autoSpaceDE w:val="0"/>
        <w:autoSpaceDN w:val="0"/>
        <w:adjustRightInd w:val="0"/>
      </w:pPr>
      <w:r w:rsidRPr="000F5B31">
        <w:t xml:space="preserve">Study ABEE </w:t>
      </w:r>
      <w:r>
        <w:t>was conducted in adults with T1DM. See</w:t>
      </w:r>
      <w:r w:rsidR="0027688E">
        <w:t xml:space="preserve"> above f</w:t>
      </w:r>
      <w:r>
        <w:t>or the description of the study.</w:t>
      </w:r>
    </w:p>
    <w:p w:rsidR="00AE090E" w:rsidRDefault="00AE090E" w:rsidP="00AE090E">
      <w:pPr>
        <w:autoSpaceDE w:val="0"/>
        <w:autoSpaceDN w:val="0"/>
        <w:adjustRightInd w:val="0"/>
      </w:pPr>
      <w:r>
        <w:t xml:space="preserve">The study did not generate useful PK data due to the low dose of insulin </w:t>
      </w:r>
      <w:proofErr w:type="spellStart"/>
      <w:r>
        <w:t>glargine</w:t>
      </w:r>
      <w:proofErr w:type="spellEnd"/>
      <w:r>
        <w:t xml:space="preserve"> used (0.3 U/kg BW) and the limits to assay sensitivity (</w:t>
      </w:r>
      <w:r w:rsidRPr="006D210C">
        <w:t xml:space="preserve">multiple concentrations </w:t>
      </w:r>
      <w:r>
        <w:t>were</w:t>
      </w:r>
      <w:r w:rsidRPr="006D210C">
        <w:t xml:space="preserve"> below the limit of quantification (&lt;50 </w:t>
      </w:r>
      <w:proofErr w:type="spellStart"/>
      <w:r w:rsidRPr="006D210C">
        <w:t>pM</w:t>
      </w:r>
      <w:proofErr w:type="spellEnd"/>
      <w:r w:rsidRPr="006D210C">
        <w:t>)</w:t>
      </w:r>
      <w:r>
        <w:t>).</w:t>
      </w:r>
      <w:r w:rsidR="009F388C">
        <w:t xml:space="preserve"> </w:t>
      </w:r>
      <w:r w:rsidRPr="006D210C">
        <w:t xml:space="preserve"> Nine of 20 subjects had quantifiable samples for both periods. Three had had quantifiable samples for neither period.</w:t>
      </w:r>
      <w:r w:rsidR="009F388C">
        <w:t xml:space="preserve"> </w:t>
      </w:r>
      <w:r>
        <w:t xml:space="preserve">There was no sample size calculation, </w:t>
      </w:r>
      <w:r w:rsidR="00127BD9">
        <w:t>‘</w:t>
      </w:r>
      <w:r>
        <w:t>No sample size calculations took place in advance of the study</w:t>
      </w:r>
      <w:r w:rsidR="00127BD9">
        <w:t>’</w:t>
      </w:r>
      <w:r>
        <w:t xml:space="preserve">. As stated in Section 7.3 of the study protocol, </w:t>
      </w:r>
      <w:r w:rsidR="00127BD9">
        <w:t>‘</w:t>
      </w:r>
      <w:r>
        <w:t xml:space="preserve">Up to 20 subjects may be enrolled in order that at least 16 subjects complete the study. The sample size is customary for </w:t>
      </w:r>
      <w:r w:rsidR="00216E0E">
        <w:t>Phase I</w:t>
      </w:r>
      <w:r>
        <w:t xml:space="preserve"> studies evaluating safety, PK, and/or GD parameters. The duration of action of LY2963016 relative to that of </w:t>
      </w:r>
      <w:r w:rsidR="00127BD9">
        <w:t>Lantus</w:t>
      </w:r>
      <w:r>
        <w:t xml:space="preserve"> will be estimated but will not be required to meet a statistical criterion.</w:t>
      </w:r>
      <w:r w:rsidR="00127BD9">
        <w:t>’</w:t>
      </w:r>
      <w:r>
        <w:t xml:space="preserve"> The study is therefore considered to be exploratory and primarily a PD study.</w:t>
      </w:r>
    </w:p>
    <w:p w:rsidR="00AE090E" w:rsidRDefault="00AE090E" w:rsidP="00AE090E">
      <w:r>
        <w:t xml:space="preserve">As insulin </w:t>
      </w:r>
      <w:proofErr w:type="spellStart"/>
      <w:r>
        <w:t>lispro</w:t>
      </w:r>
      <w:proofErr w:type="spellEnd"/>
      <w:r>
        <w:t xml:space="preserve"> was used in the run-in period of the study, the applicant provided modified PK data but no calculations. The applicant therefore provided an adjusted result, as depicted in the figure below, modified by subtracting values attributable to the initial insulin </w:t>
      </w:r>
      <w:proofErr w:type="spellStart"/>
      <w:r>
        <w:t>lispro</w:t>
      </w:r>
      <w:proofErr w:type="spellEnd"/>
      <w:r>
        <w:t xml:space="preserve"> infusion:</w:t>
      </w:r>
    </w:p>
    <w:p w:rsidR="0027688E" w:rsidRDefault="0027688E" w:rsidP="005E7F89">
      <w:pPr>
        <w:pStyle w:val="FigureTitle"/>
        <w:keepNext/>
      </w:pPr>
      <w:r>
        <w:t>Figure 1: Mean (</w:t>
      </w:r>
      <w:r w:rsidR="005E7F89">
        <w:t>± standard deviation</w:t>
      </w:r>
      <w:r>
        <w:t xml:space="preserve">) </w:t>
      </w:r>
      <w:proofErr w:type="spellStart"/>
      <w:r>
        <w:t>lispro</w:t>
      </w:r>
      <w:proofErr w:type="spellEnd"/>
      <w:r>
        <w:t xml:space="preserve">-corrected insulin concentration versus time profiles following subcutaneous </w:t>
      </w:r>
      <w:r w:rsidR="005E7F89">
        <w:t>administration of a single dose of LY2963016 0.3 U/kg BW) or Lantus 0.3 U/kg BW). Tope Linear and Bottom semi-logarithmic.</w:t>
      </w:r>
    </w:p>
    <w:p w:rsidR="005E7F89" w:rsidRDefault="005E7F89" w:rsidP="0099334D">
      <w:r>
        <w:rPr>
          <w:noProof/>
          <w:lang w:eastAsia="en-AU"/>
        </w:rPr>
        <w:drawing>
          <wp:inline distT="0" distB="0" distL="0" distR="0" wp14:anchorId="6347D307" wp14:editId="5577B04C">
            <wp:extent cx="3817112" cy="4404360"/>
            <wp:effectExtent l="0" t="0" r="0" b="0"/>
            <wp:docPr id="8" name="Picture 8" descr="Figure 1: Mean (± standard deviaiton) lispro-corrected insulin concentration versus time profiles following subcutaneous administration of a single dose of LY2963016 0.3 U/kg BW) or Lantus 0.3 U/kg BW). Tope Linear and Bottom semi-logarith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14900" cy="4401808"/>
                    </a:xfrm>
                    <a:prstGeom prst="rect">
                      <a:avLst/>
                    </a:prstGeom>
                  </pic:spPr>
                </pic:pic>
              </a:graphicData>
            </a:graphic>
          </wp:inline>
        </w:drawing>
      </w:r>
    </w:p>
    <w:p w:rsidR="00AE090E" w:rsidRDefault="00AE090E" w:rsidP="00AE090E">
      <w:pPr>
        <w:autoSpaceDE w:val="0"/>
        <w:autoSpaceDN w:val="0"/>
        <w:adjustRightInd w:val="0"/>
      </w:pPr>
      <w:r>
        <w:t>The evaluator is of the view that the information is not interpretable.</w:t>
      </w:r>
    </w:p>
    <w:p w:rsidR="00AE090E" w:rsidRPr="000F5B31" w:rsidRDefault="00AE090E" w:rsidP="005E7F89">
      <w:pPr>
        <w:pStyle w:val="Heading4"/>
      </w:pPr>
      <w:bookmarkStart w:id="70" w:name="_Toc241374293"/>
      <w:bookmarkStart w:id="71" w:name="_Toc272414626"/>
      <w:bookmarkStart w:id="72" w:name="_Toc290846249"/>
      <w:bookmarkStart w:id="73" w:name="_Toc378790161"/>
      <w:r w:rsidRPr="000F5B31">
        <w:lastRenderedPageBreak/>
        <w:t>Pharmacokinetics in other special populations</w:t>
      </w:r>
      <w:bookmarkEnd w:id="70"/>
      <w:bookmarkEnd w:id="71"/>
      <w:bookmarkEnd w:id="72"/>
      <w:bookmarkEnd w:id="73"/>
    </w:p>
    <w:p w:rsidR="00AE090E" w:rsidRPr="000F5B31" w:rsidRDefault="00AE090E" w:rsidP="005E7F89">
      <w:pPr>
        <w:pStyle w:val="Heading5"/>
      </w:pPr>
      <w:bookmarkStart w:id="74" w:name="_Toc272414627"/>
      <w:bookmarkStart w:id="75" w:name="_Toc290846250"/>
      <w:bookmarkStart w:id="76" w:name="_Toc378790162"/>
      <w:r w:rsidRPr="000F5B31">
        <w:t>Pharmacokinetics in subjects with impaired hepatic function</w:t>
      </w:r>
      <w:bookmarkEnd w:id="74"/>
      <w:bookmarkEnd w:id="75"/>
      <w:bookmarkEnd w:id="76"/>
    </w:p>
    <w:p w:rsidR="00AE090E" w:rsidRPr="000F5B31" w:rsidRDefault="00AE090E" w:rsidP="005E7F89">
      <w:r w:rsidRPr="000F5B31">
        <w:t>No new data were submitted in this application.</w:t>
      </w:r>
    </w:p>
    <w:p w:rsidR="00AE090E" w:rsidRPr="000F5B31" w:rsidRDefault="00AE090E" w:rsidP="005E7F89">
      <w:pPr>
        <w:pStyle w:val="Heading5"/>
      </w:pPr>
      <w:bookmarkStart w:id="77" w:name="_Toc272414628"/>
      <w:bookmarkStart w:id="78" w:name="_Toc290846251"/>
      <w:bookmarkStart w:id="79" w:name="_Toc378790163"/>
      <w:r w:rsidRPr="000F5B31">
        <w:t>Pharmacokinetics in subjects with impaired renal function</w:t>
      </w:r>
      <w:bookmarkEnd w:id="77"/>
      <w:bookmarkEnd w:id="78"/>
      <w:bookmarkEnd w:id="79"/>
    </w:p>
    <w:p w:rsidR="00AE090E" w:rsidRPr="000F5B31" w:rsidRDefault="00AE090E" w:rsidP="005E7F89">
      <w:r w:rsidRPr="000F5B31">
        <w:t>Subjects with severe renal impairment were excluded from the study programme.</w:t>
      </w:r>
      <w:r w:rsidR="009F388C">
        <w:t xml:space="preserve"> </w:t>
      </w:r>
      <w:r w:rsidRPr="000F5B31">
        <w:t>Most pharmacokinetic data were generated in healthy volunteers. The</w:t>
      </w:r>
      <w:r w:rsidR="005E7F89">
        <w:t>re was no information submitted</w:t>
      </w:r>
      <w:r w:rsidRPr="000F5B31">
        <w:t xml:space="preserve"> to address this matter.</w:t>
      </w:r>
    </w:p>
    <w:p w:rsidR="00AE090E" w:rsidRPr="000F5B31" w:rsidRDefault="00AE090E" w:rsidP="005E7F89">
      <w:pPr>
        <w:pStyle w:val="Heading5"/>
      </w:pPr>
      <w:bookmarkStart w:id="80" w:name="_Toc272414629"/>
      <w:bookmarkStart w:id="81" w:name="_Toc290846252"/>
      <w:bookmarkStart w:id="82" w:name="_Toc378790164"/>
      <w:r w:rsidRPr="000F5B31">
        <w:t>Pharmacokinetics according to age</w:t>
      </w:r>
      <w:bookmarkEnd w:id="80"/>
      <w:bookmarkEnd w:id="81"/>
      <w:bookmarkEnd w:id="82"/>
    </w:p>
    <w:p w:rsidR="00AE090E" w:rsidRDefault="00AE090E" w:rsidP="00AE090E">
      <w:pPr>
        <w:autoSpaceDE w:val="0"/>
        <w:autoSpaceDN w:val="0"/>
        <w:adjustRightInd w:val="0"/>
      </w:pPr>
      <w:r>
        <w:t xml:space="preserve">According to M1.12, no studies in paediatric populations are required or planned. The </w:t>
      </w:r>
      <w:r w:rsidR="00216E0E">
        <w:t>Phase I</w:t>
      </w:r>
      <w:r>
        <w:t xml:space="preserve"> studies enrolled adult</w:t>
      </w:r>
      <w:r w:rsidR="0099334D">
        <w:t>s but none of them was elderly.</w:t>
      </w:r>
    </w:p>
    <w:p w:rsidR="00AE090E" w:rsidRPr="000F5B31" w:rsidRDefault="00AE090E" w:rsidP="005E7F89">
      <w:pPr>
        <w:pStyle w:val="Heading5"/>
      </w:pPr>
      <w:bookmarkStart w:id="83" w:name="_Toc272414630"/>
      <w:bookmarkStart w:id="84" w:name="_Toc290846253"/>
      <w:bookmarkStart w:id="85" w:name="_Toc378790165"/>
      <w:r w:rsidRPr="000F5B31">
        <w:t>Pharmacokinetics related to genetic factors</w:t>
      </w:r>
      <w:bookmarkEnd w:id="83"/>
      <w:bookmarkEnd w:id="84"/>
      <w:bookmarkEnd w:id="85"/>
    </w:p>
    <w:p w:rsidR="00AE090E" w:rsidRPr="000F5B31" w:rsidRDefault="00AE090E" w:rsidP="00AE090E">
      <w:pPr>
        <w:autoSpaceDE w:val="0"/>
        <w:autoSpaceDN w:val="0"/>
        <w:adjustRightInd w:val="0"/>
        <w:rPr>
          <w:bCs/>
        </w:rPr>
      </w:pPr>
      <w:r w:rsidRPr="000F5B31">
        <w:rPr>
          <w:bCs/>
        </w:rPr>
        <w:t>No new data were submitted in this application.</w:t>
      </w:r>
    </w:p>
    <w:p w:rsidR="00AE090E" w:rsidRPr="000F5B31" w:rsidRDefault="00AE090E" w:rsidP="00AE090E">
      <w:pPr>
        <w:pStyle w:val="Heading4"/>
        <w:numPr>
          <w:ilvl w:val="3"/>
          <w:numId w:val="31"/>
        </w:numPr>
        <w:adjustRightInd/>
        <w:snapToGrid/>
        <w:spacing w:before="0" w:line="240" w:lineRule="auto"/>
        <w:ind w:hanging="1418"/>
      </w:pPr>
      <w:bookmarkStart w:id="86" w:name="_Toc378790166"/>
      <w:bookmarkStart w:id="87" w:name="_Toc272414631"/>
      <w:bookmarkStart w:id="88" w:name="_Toc290846254"/>
      <w:r w:rsidRPr="000F5B31">
        <w:t>Pharmacokinetics</w:t>
      </w:r>
      <w:bookmarkEnd w:id="86"/>
      <w:bookmarkEnd w:id="87"/>
      <w:bookmarkEnd w:id="88"/>
    </w:p>
    <w:p w:rsidR="00AE090E" w:rsidRPr="000F5B31" w:rsidRDefault="00AE090E" w:rsidP="00AE090E">
      <w:pPr>
        <w:autoSpaceDE w:val="0"/>
        <w:autoSpaceDN w:val="0"/>
        <w:adjustRightInd w:val="0"/>
        <w:rPr>
          <w:bCs/>
        </w:rPr>
      </w:pPr>
      <w:r w:rsidRPr="000F5B31">
        <w:rPr>
          <w:bCs/>
        </w:rPr>
        <w:t xml:space="preserve">Other useful and conventional PK parameters (apparent clearance, median </w:t>
      </w:r>
      <w:r w:rsidRPr="000F5B31">
        <w:rPr>
          <w:bCs/>
          <w:vertAlign w:val="subscript"/>
        </w:rPr>
        <w:t xml:space="preserve">Tmax </w:t>
      </w:r>
      <w:r w:rsidRPr="000F5B31">
        <w:rPr>
          <w:bCs/>
        </w:rPr>
        <w:t xml:space="preserve">with ranges, t </w:t>
      </w:r>
      <w:r w:rsidRPr="000F5B31">
        <w:rPr>
          <w:bCs/>
          <w:vertAlign w:val="subscript"/>
        </w:rPr>
        <w:t>½</w:t>
      </w:r>
      <w:r w:rsidRPr="000F5B31">
        <w:rPr>
          <w:bCs/>
        </w:rPr>
        <w:t xml:space="preserve">), derived from the three best </w:t>
      </w:r>
      <w:r w:rsidR="00216E0E">
        <w:rPr>
          <w:bCs/>
        </w:rPr>
        <w:t>Phase I</w:t>
      </w:r>
      <w:r w:rsidRPr="000F5B31">
        <w:rPr>
          <w:bCs/>
        </w:rPr>
        <w:t xml:space="preserve"> studies,</w:t>
      </w:r>
      <w:r w:rsidR="009F388C">
        <w:rPr>
          <w:bCs/>
        </w:rPr>
        <w:t xml:space="preserve"> </w:t>
      </w:r>
      <w:r w:rsidRPr="000F5B31">
        <w:rPr>
          <w:bCs/>
        </w:rPr>
        <w:t xml:space="preserve">are </w:t>
      </w:r>
      <w:r w:rsidRPr="005E7F89">
        <w:rPr>
          <w:bCs/>
        </w:rPr>
        <w:t xml:space="preserve">found in Table </w:t>
      </w:r>
      <w:r w:rsidR="007D4FBC">
        <w:rPr>
          <w:bCs/>
        </w:rPr>
        <w:t>9</w:t>
      </w:r>
      <w:r w:rsidR="005E7F89" w:rsidRPr="005E7F89">
        <w:t xml:space="preserve"> below</w:t>
      </w:r>
      <w:r w:rsidRPr="005E7F89">
        <w:t>.</w:t>
      </w:r>
    </w:p>
    <w:p w:rsidR="00AE090E" w:rsidRPr="000F5B31" w:rsidRDefault="00AE090E" w:rsidP="005E7F89">
      <w:pPr>
        <w:pStyle w:val="Heading4"/>
      </w:pPr>
      <w:bookmarkStart w:id="89" w:name="_Toc241374294"/>
      <w:bookmarkStart w:id="90" w:name="_Toc272414632"/>
      <w:bookmarkStart w:id="91" w:name="_Toc290846255"/>
      <w:bookmarkStart w:id="92" w:name="_Toc378790167"/>
      <w:r w:rsidRPr="000F5B31">
        <w:t>Pharmacokinetic interactions</w:t>
      </w:r>
      <w:bookmarkEnd w:id="89"/>
      <w:bookmarkEnd w:id="90"/>
      <w:bookmarkEnd w:id="91"/>
      <w:bookmarkEnd w:id="92"/>
    </w:p>
    <w:p w:rsidR="00AE090E" w:rsidRPr="000F5B31" w:rsidRDefault="00AE090E" w:rsidP="005E7F89">
      <w:pPr>
        <w:pStyle w:val="Heading5"/>
      </w:pPr>
      <w:bookmarkStart w:id="93" w:name="_Toc272414633"/>
      <w:bookmarkStart w:id="94" w:name="_Toc290846256"/>
      <w:bookmarkStart w:id="95" w:name="_Toc378790168"/>
      <w:r w:rsidRPr="000F5B31">
        <w:t>Pharmacokinetic interactions demonstrated in human studies</w:t>
      </w:r>
      <w:bookmarkEnd w:id="93"/>
      <w:bookmarkEnd w:id="94"/>
      <w:bookmarkEnd w:id="95"/>
    </w:p>
    <w:p w:rsidR="00AE090E" w:rsidRPr="000F5B31" w:rsidRDefault="00AE090E" w:rsidP="00AE090E">
      <w:pPr>
        <w:autoSpaceDE w:val="0"/>
        <w:autoSpaceDN w:val="0"/>
        <w:adjustRightInd w:val="0"/>
      </w:pPr>
      <w:r w:rsidRPr="000F5B31">
        <w:t>No new data were submitted in this application.</w:t>
      </w:r>
    </w:p>
    <w:p w:rsidR="00AE090E" w:rsidRPr="000F5B31" w:rsidRDefault="00AE090E" w:rsidP="005E7F89">
      <w:pPr>
        <w:pStyle w:val="Heading5"/>
      </w:pPr>
      <w:bookmarkStart w:id="96" w:name="_Toc272414634"/>
      <w:bookmarkStart w:id="97" w:name="_Toc290846257"/>
      <w:bookmarkStart w:id="98" w:name="_Toc378790169"/>
      <w:r w:rsidRPr="000F5B31">
        <w:t>Clinical implications of in vitro findings</w:t>
      </w:r>
      <w:bookmarkEnd w:id="96"/>
      <w:bookmarkEnd w:id="97"/>
      <w:bookmarkEnd w:id="98"/>
    </w:p>
    <w:p w:rsidR="00AE090E" w:rsidRDefault="00AE090E" w:rsidP="00AE090E">
      <w:r>
        <w:t>Not applicable.</w:t>
      </w:r>
    </w:p>
    <w:p w:rsidR="00AE090E" w:rsidRDefault="00AE090E" w:rsidP="005E7F89">
      <w:pPr>
        <w:pStyle w:val="Heading3"/>
      </w:pPr>
      <w:bookmarkStart w:id="99" w:name="_Toc241374296"/>
      <w:bookmarkStart w:id="100" w:name="_Ref269982040"/>
      <w:bookmarkStart w:id="101" w:name="_Ref271018704"/>
      <w:bookmarkStart w:id="102" w:name="_Ref271018755"/>
      <w:bookmarkStart w:id="103" w:name="_Toc272414635"/>
      <w:bookmarkStart w:id="104" w:name="_Toc290846258"/>
      <w:bookmarkStart w:id="105" w:name="_Toc378790170"/>
      <w:bookmarkStart w:id="106" w:name="_Toc416955621"/>
      <w:r>
        <w:t>Evaluator’s overall conclusions on pharmacokinetics</w:t>
      </w:r>
      <w:bookmarkEnd w:id="99"/>
      <w:bookmarkEnd w:id="100"/>
      <w:bookmarkEnd w:id="101"/>
      <w:bookmarkEnd w:id="102"/>
      <w:bookmarkEnd w:id="103"/>
      <w:bookmarkEnd w:id="104"/>
      <w:bookmarkEnd w:id="105"/>
      <w:bookmarkEnd w:id="106"/>
    </w:p>
    <w:p w:rsidR="00AE090E" w:rsidRDefault="00AE090E" w:rsidP="005E7F89">
      <w:r>
        <w:t xml:space="preserve">An important assumption that this evaluator makes is that the analytical method will be found to be satisfactory by the </w:t>
      </w:r>
      <w:r w:rsidR="005E7F89">
        <w:t>Quality</w:t>
      </w:r>
      <w:r>
        <w:t xml:space="preserve"> evaluator.</w:t>
      </w:r>
    </w:p>
    <w:p w:rsidR="00AE090E" w:rsidRDefault="00AE090E" w:rsidP="005E7F89">
      <w:r>
        <w:t xml:space="preserve">The </w:t>
      </w:r>
      <w:r w:rsidR="00216E0E">
        <w:t>Phase I</w:t>
      </w:r>
      <w:r>
        <w:t xml:space="preserve"> studies marginally address the requirements of the adopted EU guideline EMEA/CHMP/BMWP/32775/2005 </w:t>
      </w:r>
      <w:r w:rsidR="005E7F89">
        <w:t>Annex To Guideline On Similar Biological Medicinal Products Containing Biotechnology-Derived Proteins As Active Substance: Non-Clinical And Clinical Issues - Guidance On Similar Medicinal Products Containing Recombinant Human Soluble Insulin</w:t>
      </w:r>
      <w:r>
        <w:t>,</w:t>
      </w:r>
    </w:p>
    <w:p w:rsidR="00AE090E" w:rsidRPr="005E7F89" w:rsidRDefault="00127BD9" w:rsidP="005E7F89">
      <w:pPr>
        <w:ind w:left="284"/>
        <w:rPr>
          <w:i/>
        </w:rPr>
      </w:pPr>
      <w:r w:rsidRPr="005E7F89">
        <w:rPr>
          <w:i/>
        </w:rPr>
        <w:t>‘</w:t>
      </w:r>
      <w:r w:rsidR="00AE090E" w:rsidRPr="005E7F89">
        <w:rPr>
          <w:i/>
        </w:rPr>
        <w:t>The relative pharmacokinetic properties of the similar biological medicinal product and the reference medicinal</w:t>
      </w:r>
      <w:r w:rsidR="009F388C" w:rsidRPr="005E7F89">
        <w:rPr>
          <w:i/>
        </w:rPr>
        <w:t xml:space="preserve"> </w:t>
      </w:r>
      <w:r w:rsidR="00AE090E" w:rsidRPr="005E7F89">
        <w:rPr>
          <w:i/>
        </w:rPr>
        <w:t>product</w:t>
      </w:r>
      <w:r w:rsidR="009F388C" w:rsidRPr="005E7F89">
        <w:rPr>
          <w:i/>
        </w:rPr>
        <w:t xml:space="preserve"> </w:t>
      </w:r>
      <w:r w:rsidR="00AE090E" w:rsidRPr="005E7F89">
        <w:rPr>
          <w:i/>
        </w:rPr>
        <w:t>should</w:t>
      </w:r>
      <w:r w:rsidR="009F388C" w:rsidRPr="005E7F89">
        <w:rPr>
          <w:i/>
        </w:rPr>
        <w:t xml:space="preserve"> </w:t>
      </w:r>
      <w:r w:rsidR="00AE090E" w:rsidRPr="005E7F89">
        <w:rPr>
          <w:i/>
        </w:rPr>
        <w:t>be</w:t>
      </w:r>
      <w:r w:rsidR="009F388C" w:rsidRPr="005E7F89">
        <w:rPr>
          <w:i/>
        </w:rPr>
        <w:t xml:space="preserve"> </w:t>
      </w:r>
      <w:r w:rsidR="00AE090E" w:rsidRPr="005E7F89">
        <w:rPr>
          <w:i/>
        </w:rPr>
        <w:t>determined</w:t>
      </w:r>
      <w:r w:rsidR="009F388C" w:rsidRPr="005E7F89">
        <w:rPr>
          <w:i/>
        </w:rPr>
        <w:t xml:space="preserve"> </w:t>
      </w:r>
      <w:r w:rsidR="00AE090E" w:rsidRPr="005E7F89">
        <w:rPr>
          <w:i/>
        </w:rPr>
        <w:t>in</w:t>
      </w:r>
      <w:r w:rsidR="009F388C" w:rsidRPr="005E7F89">
        <w:rPr>
          <w:i/>
        </w:rPr>
        <w:t xml:space="preserve"> </w:t>
      </w:r>
      <w:r w:rsidR="00AE090E" w:rsidRPr="005E7F89">
        <w:rPr>
          <w:i/>
        </w:rPr>
        <w:t>a</w:t>
      </w:r>
      <w:r w:rsidR="009F388C" w:rsidRPr="005E7F89">
        <w:rPr>
          <w:i/>
        </w:rPr>
        <w:t xml:space="preserve"> </w:t>
      </w:r>
      <w:r w:rsidR="00AE090E" w:rsidRPr="005E7F89">
        <w:rPr>
          <w:i/>
        </w:rPr>
        <w:t>single</w:t>
      </w:r>
      <w:r w:rsidR="009F388C" w:rsidRPr="005E7F89">
        <w:rPr>
          <w:i/>
        </w:rPr>
        <w:t xml:space="preserve"> </w:t>
      </w:r>
      <w:r w:rsidR="00AE090E" w:rsidRPr="005E7F89">
        <w:rPr>
          <w:i/>
        </w:rPr>
        <w:t>dose</w:t>
      </w:r>
      <w:r w:rsidR="009F388C" w:rsidRPr="005E7F89">
        <w:rPr>
          <w:i/>
        </w:rPr>
        <w:t xml:space="preserve"> </w:t>
      </w:r>
      <w:r w:rsidR="00AE090E" w:rsidRPr="005E7F89">
        <w:rPr>
          <w:i/>
        </w:rPr>
        <w:t>crossover</w:t>
      </w:r>
      <w:r w:rsidR="009F388C" w:rsidRPr="005E7F89">
        <w:rPr>
          <w:i/>
        </w:rPr>
        <w:t xml:space="preserve"> </w:t>
      </w:r>
      <w:r w:rsidR="00AE090E" w:rsidRPr="005E7F89">
        <w:rPr>
          <w:i/>
        </w:rPr>
        <w:t>study</w:t>
      </w:r>
      <w:r w:rsidR="009F388C" w:rsidRPr="005E7F89">
        <w:rPr>
          <w:i/>
        </w:rPr>
        <w:t xml:space="preserve"> </w:t>
      </w:r>
      <w:r w:rsidR="00AE090E" w:rsidRPr="005E7F89">
        <w:rPr>
          <w:i/>
        </w:rPr>
        <w:t>using</w:t>
      </w:r>
      <w:r w:rsidR="009F388C" w:rsidRPr="005E7F89">
        <w:rPr>
          <w:i/>
        </w:rPr>
        <w:t xml:space="preserve"> </w:t>
      </w:r>
      <w:r w:rsidR="00AE090E" w:rsidRPr="005E7F89">
        <w:rPr>
          <w:i/>
        </w:rPr>
        <w:t>subcutaneous administration.</w:t>
      </w:r>
      <w:r w:rsidR="009F388C" w:rsidRPr="005E7F89">
        <w:rPr>
          <w:i/>
        </w:rPr>
        <w:t xml:space="preserve"> </w:t>
      </w:r>
      <w:r w:rsidR="00AE090E" w:rsidRPr="005E7F89">
        <w:rPr>
          <w:i/>
        </w:rPr>
        <w:t xml:space="preserve"> Comprehensive comparative data should be provided on the time-concentration profile (AUC as the primary endpoint and Cmax, Tmax, and T1/2 as secondary endpoints).</w:t>
      </w:r>
      <w:r w:rsidR="009F388C" w:rsidRPr="005E7F89">
        <w:rPr>
          <w:i/>
        </w:rPr>
        <w:t xml:space="preserve"> </w:t>
      </w:r>
      <w:r w:rsidR="00AE090E" w:rsidRPr="005E7F89">
        <w:rPr>
          <w:i/>
        </w:rPr>
        <w:t>Studies should be performed preferably in patients with type1 diabetes.</w:t>
      </w:r>
      <w:r w:rsidR="009F388C" w:rsidRPr="005E7F89">
        <w:rPr>
          <w:i/>
        </w:rPr>
        <w:t xml:space="preserve"> </w:t>
      </w:r>
      <w:r w:rsidR="00AE090E" w:rsidRPr="005E7F89">
        <w:rPr>
          <w:i/>
        </w:rPr>
        <w:t>Factors contributing to PK variability e.g. insulin dose and site of injection / thickness of subcutaneous fat should be taken into account.</w:t>
      </w:r>
      <w:r w:rsidRPr="005E7F89">
        <w:rPr>
          <w:i/>
        </w:rPr>
        <w:t>’</w:t>
      </w:r>
    </w:p>
    <w:p w:rsidR="00AE090E" w:rsidRDefault="00AE090E" w:rsidP="005E7F89">
      <w:r>
        <w:t xml:space="preserve">The </w:t>
      </w:r>
      <w:r w:rsidR="00216E0E">
        <w:t>Phase I</w:t>
      </w:r>
      <w:r>
        <w:t xml:space="preserve"> studies used consistent methods and appear to have been conducted diligently.</w:t>
      </w:r>
      <w:r w:rsidR="009F388C">
        <w:t xml:space="preserve"> </w:t>
      </w:r>
      <w:r>
        <w:t>The one study in subjects with T1DM (Study ABEE) yielded uninterpretable PK results.</w:t>
      </w:r>
      <w:r w:rsidR="009F388C">
        <w:t xml:space="preserve"> </w:t>
      </w:r>
      <w:r>
        <w:t xml:space="preserve">Hence the useful data came from studies in healthy volunteers – the analytical method required C-peptide correction; the assay method was not specific to insulin </w:t>
      </w:r>
      <w:proofErr w:type="spellStart"/>
      <w:r>
        <w:t>glargine</w:t>
      </w:r>
      <w:proofErr w:type="spellEnd"/>
      <w:r>
        <w:t xml:space="preserve"> and its principal metabolite.</w:t>
      </w:r>
    </w:p>
    <w:p w:rsidR="00AE090E" w:rsidRDefault="00AE090E" w:rsidP="005E7F89">
      <w:r>
        <w:t xml:space="preserve">C-peptide correction is essential in studies involving healthy volunteers and it is accord with the need to have some form of baseline correction as articulated in the adopted guideline CPMP/EWP/QWP/1401/98 Rev. 1/ Corr ** </w:t>
      </w:r>
      <w:r w:rsidR="005E7F89">
        <w:t>Guideline On The Investigation Of Bioequivalence</w:t>
      </w:r>
    </w:p>
    <w:p w:rsidR="00AE090E" w:rsidRDefault="00AE090E" w:rsidP="00AE090E">
      <w:pPr>
        <w:ind w:left="284"/>
      </w:pPr>
      <w:r>
        <w:lastRenderedPageBreak/>
        <w:t>Sampling times</w:t>
      </w:r>
    </w:p>
    <w:p w:rsidR="00AE090E" w:rsidRDefault="00127BD9" w:rsidP="00AE090E">
      <w:pPr>
        <w:ind w:left="284"/>
      </w:pPr>
      <w:r>
        <w:t>‘</w:t>
      </w:r>
      <w:r w:rsidR="00AE090E" w:rsidRPr="005E7F89">
        <w:rPr>
          <w:i/>
        </w:rPr>
        <w:t xml:space="preserve">A sufficient number of samples to adequately describe the plasma concentration-time profile should be collected. The sampling schedule should include frequent sampling around predicted </w:t>
      </w:r>
      <w:proofErr w:type="spellStart"/>
      <w:r w:rsidR="00AE090E" w:rsidRPr="005E7F89">
        <w:rPr>
          <w:i/>
        </w:rPr>
        <w:t>tmax</w:t>
      </w:r>
      <w:proofErr w:type="spellEnd"/>
      <w:r w:rsidR="00AE090E" w:rsidRPr="005E7F89">
        <w:rPr>
          <w:i/>
        </w:rPr>
        <w:t xml:space="preserve"> to provide a reliable estimate of peak exposure. In particular, the sampling schedule should be planned to avoid Cmax being the first point of a concentration time curve. The sampling schedule should also cover the plasma concentration time curve long enough to provide a reliable estimate of the extent of exposure which is achieved if AUC(0-t) covers at least 80% of AUC(0-∞). At least three to four samples are needed during the terminal log-linear phase in order to reliably estimate the terminal rate constant (which is needed for a reliable estimate of AUC(0-∞))…</w:t>
      </w:r>
      <w:r>
        <w:t>’</w:t>
      </w:r>
    </w:p>
    <w:p w:rsidR="00AE090E" w:rsidRDefault="00127BD9" w:rsidP="00AE090E">
      <w:pPr>
        <w:ind w:left="284"/>
      </w:pPr>
      <w:r>
        <w:t>‘</w:t>
      </w:r>
      <w:r w:rsidR="00AE090E" w:rsidRPr="005E7F89">
        <w:rPr>
          <w:i/>
        </w:rPr>
        <w:t>For endogenous substances, the sampling schedule should allow characterisation of the endogenous baseline profile for each subject in each period. Often, a baseline is determined from 2-3 samples taken before the drug products are administered</w:t>
      </w:r>
      <w:r w:rsidR="00AE090E">
        <w:t>…</w:t>
      </w:r>
      <w:r>
        <w:t>’</w:t>
      </w:r>
    </w:p>
    <w:p w:rsidR="00AE090E" w:rsidRDefault="00AE090E" w:rsidP="00AE090E">
      <w:r>
        <w:t xml:space="preserve">It is noted that the studies did not always achieve enough duration of sampling to achieve 80% of </w:t>
      </w:r>
      <w:proofErr w:type="gramStart"/>
      <w:r>
        <w:t>AUC</w:t>
      </w:r>
      <w:r w:rsidRPr="005E7F89">
        <w:rPr>
          <w:vertAlign w:val="subscript"/>
        </w:rPr>
        <w:t>(</w:t>
      </w:r>
      <w:proofErr w:type="gramEnd"/>
      <w:r w:rsidRPr="005E7F89">
        <w:rPr>
          <w:vertAlign w:val="subscript"/>
        </w:rPr>
        <w:t>0-∞)</w:t>
      </w:r>
      <w:r>
        <w:t>.</w:t>
      </w:r>
      <w:r w:rsidR="009F388C">
        <w:t xml:space="preserve"> </w:t>
      </w:r>
      <w:r>
        <w:t xml:space="preserve">The extrapolation of AUC exceeded 20% in ABEA, ABEI, </w:t>
      </w:r>
      <w:proofErr w:type="gramStart"/>
      <w:r>
        <w:t>ABEM</w:t>
      </w:r>
      <w:proofErr w:type="gramEnd"/>
      <w:r>
        <w:t xml:space="preserve"> &amp; ABEN.</w:t>
      </w:r>
    </w:p>
    <w:p w:rsidR="00AE090E" w:rsidRPr="005E7F89" w:rsidRDefault="00127BD9" w:rsidP="005E7F89">
      <w:pPr>
        <w:ind w:left="284"/>
        <w:rPr>
          <w:i/>
        </w:rPr>
      </w:pPr>
      <w:r>
        <w:t>‘</w:t>
      </w:r>
      <w:r w:rsidR="00AE090E" w:rsidRPr="005E7F89">
        <w:rPr>
          <w:i/>
        </w:rPr>
        <w:t>Endogenous substances</w:t>
      </w:r>
    </w:p>
    <w:p w:rsidR="00AE090E" w:rsidRPr="005E7F89" w:rsidRDefault="00AE090E" w:rsidP="005E7F89">
      <w:pPr>
        <w:ind w:left="284"/>
        <w:rPr>
          <w:i/>
        </w:rPr>
      </w:pPr>
      <w:r w:rsidRPr="005E7F89">
        <w:rPr>
          <w:i/>
        </w:rPr>
        <w:t>If the substance being studied is endogenous, the calculation of pharmacokinetic parameters should be performed using baseline correction so that the calculated pharmacokinetic parameters refer to the additional concentrations provided by the treatment.</w:t>
      </w:r>
      <w:r w:rsidR="009F388C" w:rsidRPr="005E7F89">
        <w:rPr>
          <w:i/>
        </w:rPr>
        <w:t xml:space="preserve"> </w:t>
      </w:r>
      <w:r w:rsidRPr="005E7F89">
        <w:rPr>
          <w:i/>
        </w:rPr>
        <w:t>Administration of supra-therapeutic doses can be considered in bioequivalence studies of endogenous drugs, provided that the dose is well tolerated, so that the additional concentrations over baseline provided by the treatment may be reliably determined.</w:t>
      </w:r>
    </w:p>
    <w:p w:rsidR="00AE090E" w:rsidRPr="005E7F89" w:rsidRDefault="00AE090E" w:rsidP="005E7F89">
      <w:pPr>
        <w:ind w:left="284"/>
        <w:rPr>
          <w:i/>
        </w:rPr>
      </w:pPr>
      <w:r w:rsidRPr="005E7F89">
        <w:rPr>
          <w:i/>
        </w:rPr>
        <w:t>If a separation in exposure following administration of different doses of a particular endogenous substance has not been previously established this should be demonstrated, either in a pilot study or as part of the pivotal bioequivalence study using different doses of the reference formulation, in order to ensure that the dose used for the bioequivalence comparison is sensitive to detect potential differences between formulations.</w:t>
      </w:r>
    </w:p>
    <w:p w:rsidR="00AE090E" w:rsidRPr="005E7F89" w:rsidRDefault="00AE090E" w:rsidP="005E7F89">
      <w:pPr>
        <w:ind w:left="284"/>
        <w:rPr>
          <w:i/>
        </w:rPr>
      </w:pPr>
      <w:r w:rsidRPr="005E7F89">
        <w:rPr>
          <w:i/>
        </w:rPr>
        <w:t>The exact method for baseline correction should be pre-specified and justified in the study protocol.</w:t>
      </w:r>
      <w:r w:rsidR="009F388C" w:rsidRPr="005E7F89">
        <w:rPr>
          <w:i/>
        </w:rPr>
        <w:t xml:space="preserve"> </w:t>
      </w:r>
      <w:r w:rsidRPr="005E7F89">
        <w:rPr>
          <w:i/>
        </w:rPr>
        <w:t>In general, the standard subtractive baseline correction method, meaning either subtraction of the mean of individual endogenous pre-dose concentrations or subtraction of the individual endogenous predose AUC, is preferred. In rare cases where substantial increases over baseline endogenous levels are seen, baseline correction may not be needed.</w:t>
      </w:r>
    </w:p>
    <w:p w:rsidR="00AE090E" w:rsidRDefault="00AE090E" w:rsidP="005E7F89">
      <w:pPr>
        <w:ind w:left="284"/>
      </w:pPr>
      <w:r w:rsidRPr="005E7F89">
        <w:rPr>
          <w:i/>
        </w:rPr>
        <w:t>In bioequivalence studies with endogenous substances, it cannot be directly assessed whether carryover has occurred, so extra care should be taken to ensure that the washout period is of an adequate duration</w:t>
      </w:r>
      <w:r>
        <w:t>.</w:t>
      </w:r>
      <w:r w:rsidR="00127BD9">
        <w:t>’</w:t>
      </w:r>
    </w:p>
    <w:p w:rsidR="00AE090E" w:rsidRDefault="00AE090E" w:rsidP="00AE090E">
      <w:r>
        <w:t>The use of C-peptide correction is in principle reasonable owing to the lack of a specific assay.</w:t>
      </w:r>
    </w:p>
    <w:p w:rsidR="00AE090E" w:rsidRDefault="00AE090E" w:rsidP="005E7F89">
      <w:pPr>
        <w:pStyle w:val="Heading4"/>
      </w:pPr>
      <w:bookmarkStart w:id="107" w:name="_Toc378790171"/>
      <w:r>
        <w:t>Overview and Relevance of Pharmacokinetic Data</w:t>
      </w:r>
      <w:bookmarkEnd w:id="107"/>
    </w:p>
    <w:p w:rsidR="00AE090E" w:rsidRDefault="00AE090E" w:rsidP="00AE090E">
      <w:r>
        <w:t xml:space="preserve">Table </w:t>
      </w:r>
      <w:r w:rsidR="007D4FBC">
        <w:t>9</w:t>
      </w:r>
      <w:r>
        <w:t xml:space="preserve"> below, taken from the appendices to Module 2.7 includes PK data from all of the </w:t>
      </w:r>
      <w:r w:rsidR="00216E0E">
        <w:t>Phase I</w:t>
      </w:r>
      <w:r>
        <w:t xml:space="preserve"> studies:</w:t>
      </w:r>
    </w:p>
    <w:p w:rsidR="005E7F89" w:rsidRDefault="005E7F89" w:rsidP="005E7F89">
      <w:pPr>
        <w:pStyle w:val="Tabletitle"/>
      </w:pPr>
      <w:r>
        <w:lastRenderedPageBreak/>
        <w:t xml:space="preserve">Table </w:t>
      </w:r>
      <w:r w:rsidR="0090157C">
        <w:t>9</w:t>
      </w:r>
      <w:r>
        <w:t>: Pharmacokinetic parameter estimates for the completed relative bioavailability and comparative PK and PD studies in Healthy subjects. Studies ABEI, ABEM, ABEA and ABEN.</w:t>
      </w:r>
    </w:p>
    <w:p w:rsidR="005E7F89" w:rsidRPr="005E7F89" w:rsidRDefault="005E7F89" w:rsidP="00DB7BE5">
      <w:r>
        <w:rPr>
          <w:noProof/>
          <w:lang w:eastAsia="en-AU"/>
        </w:rPr>
        <w:drawing>
          <wp:inline distT="0" distB="0" distL="0" distR="0" wp14:anchorId="0C97FFD2" wp14:editId="3E3DD429">
            <wp:extent cx="4502232" cy="4267200"/>
            <wp:effectExtent l="0" t="0" r="0" b="0"/>
            <wp:docPr id="10" name="Picture 10" descr="Table 9: Pharmacokinetic parameter estimates for the completed relative bioavailability and comparative PK and PD studies in Hleathy subjects-Studies ABEI, ABEM, ABEA and 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199"/>
                    <a:stretch/>
                  </pic:blipFill>
                  <pic:spPr bwMode="auto">
                    <a:xfrm>
                      <a:off x="0" y="0"/>
                      <a:ext cx="4507288" cy="4271993"/>
                    </a:xfrm>
                    <a:prstGeom prst="rect">
                      <a:avLst/>
                    </a:prstGeom>
                    <a:ln>
                      <a:noFill/>
                    </a:ln>
                    <a:extLst>
                      <a:ext uri="{53640926-AAD7-44D8-BBD7-CCE9431645EC}">
                        <a14:shadowObscured xmlns:a14="http://schemas.microsoft.com/office/drawing/2010/main"/>
                      </a:ext>
                    </a:extLst>
                  </pic:spPr>
                </pic:pic>
              </a:graphicData>
            </a:graphic>
          </wp:inline>
        </w:drawing>
      </w:r>
    </w:p>
    <w:p w:rsidR="00AE090E" w:rsidRPr="000A0CF5" w:rsidRDefault="00AE090E" w:rsidP="00AE090E">
      <w:r w:rsidRPr="000A0CF5">
        <w:t>It is notable how comparable the results are across studies at the same dose of 0.5U/kg BW but ABEM’s results seem to overestimate the Cmax and AUCs.</w:t>
      </w:r>
    </w:p>
    <w:p w:rsidR="00AE090E" w:rsidRDefault="00AE090E" w:rsidP="00AE090E">
      <w:r>
        <w:t xml:space="preserve">Does </w:t>
      </w:r>
      <w:proofErr w:type="spellStart"/>
      <w:r w:rsidR="00216E0E">
        <w:t>Abasria</w:t>
      </w:r>
      <w:proofErr w:type="spellEnd"/>
      <w:r>
        <w:t xml:space="preserve"> have a PK profile equivalent to Lantus?</w:t>
      </w:r>
    </w:p>
    <w:p w:rsidR="00AE090E" w:rsidRDefault="00AE090E" w:rsidP="00AE090E">
      <w:r>
        <w:t xml:space="preserve">Within the abovementioned limits, Lantus EU and </w:t>
      </w:r>
      <w:proofErr w:type="spellStart"/>
      <w:r w:rsidR="00216E0E">
        <w:t>Abasria</w:t>
      </w:r>
      <w:proofErr w:type="spellEnd"/>
      <w:r>
        <w:t xml:space="preserve"> exhibited similar PK parameters in two adequate studies against Lantus EU.</w:t>
      </w:r>
    </w:p>
    <w:p w:rsidR="00AE090E" w:rsidRDefault="00AE090E" w:rsidP="00AE090E">
      <w:r>
        <w:t>Moreover, Study ABEM used two different doses and produced reasonably dose linear PK results.</w:t>
      </w:r>
      <w:r w:rsidR="009F388C">
        <w:t xml:space="preserve"> </w:t>
      </w:r>
      <w:r>
        <w:t xml:space="preserve">There is therefore a reasonable degree of confidence that </w:t>
      </w:r>
      <w:proofErr w:type="spellStart"/>
      <w:r w:rsidR="00216E0E">
        <w:t>Abasria</w:t>
      </w:r>
      <w:proofErr w:type="spellEnd"/>
      <w:r>
        <w:t xml:space="preserve"> and Lantus EU are equivalent in terms of PK and that Lantus USA and Lantus EU are also equivalent to each other in terms of PK.</w:t>
      </w:r>
    </w:p>
    <w:p w:rsidR="00AE090E" w:rsidRPr="00257631" w:rsidRDefault="00AE090E" w:rsidP="00AE090E">
      <w:r>
        <w:t>Lantus EU exhibited similar PK to Lantus US in one adequate study.</w:t>
      </w:r>
      <w:r w:rsidR="009F388C">
        <w:t xml:space="preserve"> </w:t>
      </w:r>
      <w:r>
        <w:t>The data from study ABEO are not yet available but this submission was intended for the EMA, not the USA.</w:t>
      </w:r>
      <w:r w:rsidR="009F388C">
        <w:t xml:space="preserve"> </w:t>
      </w:r>
      <w:r>
        <w:t>This submission has no specific Australian content in Module 5.</w:t>
      </w:r>
    </w:p>
    <w:p w:rsidR="00586F98" w:rsidRDefault="00586F98" w:rsidP="0090157C">
      <w:pPr>
        <w:pStyle w:val="Heading2"/>
      </w:pPr>
      <w:bookmarkStart w:id="108" w:name="_Toc416955622"/>
      <w:r>
        <w:t>Pharmacodynamics</w:t>
      </w:r>
      <w:bookmarkEnd w:id="108"/>
    </w:p>
    <w:p w:rsidR="00AE090E" w:rsidRDefault="00AE090E" w:rsidP="0090157C">
      <w:pPr>
        <w:pStyle w:val="Heading3"/>
      </w:pPr>
      <w:bookmarkStart w:id="109" w:name="_Toc272414637"/>
      <w:bookmarkStart w:id="110" w:name="_Toc290846260"/>
      <w:bookmarkStart w:id="111" w:name="_Toc378790173"/>
      <w:bookmarkStart w:id="112" w:name="_Toc416955623"/>
      <w:r>
        <w:t>Studies providing pharmacodynamic data</w:t>
      </w:r>
      <w:bookmarkEnd w:id="109"/>
      <w:bookmarkEnd w:id="110"/>
      <w:bookmarkEnd w:id="111"/>
      <w:bookmarkEnd w:id="112"/>
    </w:p>
    <w:p w:rsidR="00AE090E" w:rsidRDefault="0090157C" w:rsidP="00AE090E">
      <w:r>
        <w:t>Table 10</w:t>
      </w:r>
      <w:r w:rsidR="00AE090E">
        <w:t xml:space="preserve"> shows the studies relating to each pharmacodynamic topic.</w:t>
      </w:r>
      <w:r>
        <w:t xml:space="preserve"> </w:t>
      </w:r>
      <w:r w:rsidR="00AE090E">
        <w:t xml:space="preserve">The studies are the same </w:t>
      </w:r>
      <w:r w:rsidR="00216E0E">
        <w:t>Phase I</w:t>
      </w:r>
      <w:r w:rsidR="00AE090E">
        <w:t xml:space="preserve"> studies that have been considered in regard to pharmacodynamics.</w:t>
      </w:r>
      <w:r w:rsidR="009F388C">
        <w:t xml:space="preserve"> </w:t>
      </w:r>
      <w:r w:rsidR="00AE090E">
        <w:t xml:space="preserve">The used the same </w:t>
      </w:r>
      <w:proofErr w:type="spellStart"/>
      <w:r w:rsidR="00AE090E">
        <w:t>euglycaemic</w:t>
      </w:r>
      <w:proofErr w:type="spellEnd"/>
      <w:r w:rsidR="00AE090E">
        <w:t xml:space="preserve"> clamp method with the same sampling times and data management, excepting that </w:t>
      </w:r>
      <w:r w:rsidR="00AE090E">
        <w:lastRenderedPageBreak/>
        <w:t>those studies in healthy volunteers ran for only 24 hours. The results across studies ought therefore to be both consistent and comparable.</w:t>
      </w:r>
      <w:r w:rsidR="009F388C">
        <w:t xml:space="preserve"> </w:t>
      </w:r>
      <w:r w:rsidR="00AE090E">
        <w:t>They were.</w:t>
      </w:r>
    </w:p>
    <w:p w:rsidR="00AE090E" w:rsidRDefault="00AE090E" w:rsidP="0029506F">
      <w:pPr>
        <w:pStyle w:val="Tabletitle"/>
      </w:pPr>
      <w:bookmarkStart w:id="113" w:name="_Ref269985397"/>
      <w:bookmarkStart w:id="114" w:name="_Toc378791313"/>
      <w:proofErr w:type="gramStart"/>
      <w:r>
        <w:t xml:space="preserve">Table </w:t>
      </w:r>
      <w:r w:rsidR="0090157C">
        <w:t>10:</w:t>
      </w:r>
      <w:bookmarkEnd w:id="113"/>
      <w:r>
        <w:t xml:space="preserve"> Submitted pharmacodynamic studies.</w:t>
      </w:r>
      <w:bookmarkEnd w:id="114"/>
      <w:proofErr w:type="gramEnd"/>
    </w:p>
    <w:tbl>
      <w:tblPr>
        <w:tblStyle w:val="TableTGAblue"/>
        <w:tblW w:w="7621" w:type="dxa"/>
        <w:tblLayout w:type="fixed"/>
        <w:tblLook w:val="04A0" w:firstRow="1" w:lastRow="0" w:firstColumn="1" w:lastColumn="0" w:noHBand="0" w:noVBand="1"/>
      </w:tblPr>
      <w:tblGrid>
        <w:gridCol w:w="1951"/>
        <w:gridCol w:w="2552"/>
        <w:gridCol w:w="1134"/>
        <w:gridCol w:w="1984"/>
      </w:tblGrid>
      <w:tr w:rsidR="0029506F" w:rsidRPr="00DB7BE5" w:rsidTr="002950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29506F" w:rsidRPr="00DB7BE5" w:rsidRDefault="0029506F" w:rsidP="00DB7BE5">
            <w:pPr>
              <w:rPr>
                <w:sz w:val="20"/>
              </w:rPr>
            </w:pPr>
            <w:r w:rsidRPr="00DB7BE5">
              <w:rPr>
                <w:sz w:val="20"/>
              </w:rPr>
              <w:t>PD Topic</w:t>
            </w:r>
          </w:p>
        </w:tc>
        <w:tc>
          <w:tcPr>
            <w:tcW w:w="2552" w:type="dxa"/>
          </w:tcPr>
          <w:p w:rsidR="0029506F" w:rsidRPr="00DB7BE5" w:rsidRDefault="0029506F" w:rsidP="00DB7BE5">
            <w:pPr>
              <w:cnfStyle w:val="100000000000" w:firstRow="1" w:lastRow="0" w:firstColumn="0" w:lastColumn="0" w:oddVBand="0" w:evenVBand="0" w:oddHBand="0" w:evenHBand="0" w:firstRowFirstColumn="0" w:firstRowLastColumn="0" w:lastRowFirstColumn="0" w:lastRowLastColumn="0"/>
              <w:rPr>
                <w:sz w:val="20"/>
              </w:rPr>
            </w:pPr>
            <w:r w:rsidRPr="00DB7BE5">
              <w:rPr>
                <w:sz w:val="20"/>
              </w:rPr>
              <w:t>Subtopic</w:t>
            </w:r>
          </w:p>
        </w:tc>
        <w:tc>
          <w:tcPr>
            <w:tcW w:w="1134" w:type="dxa"/>
          </w:tcPr>
          <w:p w:rsidR="0029506F" w:rsidRPr="00DB7BE5" w:rsidRDefault="0029506F" w:rsidP="00DB7BE5">
            <w:pPr>
              <w:cnfStyle w:val="100000000000" w:firstRow="1" w:lastRow="0" w:firstColumn="0" w:lastColumn="0" w:oddVBand="0" w:evenVBand="0" w:oddHBand="0" w:evenHBand="0" w:firstRowFirstColumn="0" w:firstRowLastColumn="0" w:lastRowFirstColumn="0" w:lastRowLastColumn="0"/>
              <w:rPr>
                <w:sz w:val="20"/>
              </w:rPr>
            </w:pPr>
            <w:r w:rsidRPr="00DB7BE5">
              <w:rPr>
                <w:sz w:val="20"/>
              </w:rPr>
              <w:t>Study ID</w:t>
            </w:r>
          </w:p>
        </w:tc>
        <w:tc>
          <w:tcPr>
            <w:tcW w:w="1984" w:type="dxa"/>
          </w:tcPr>
          <w:p w:rsidR="0029506F" w:rsidRPr="00DB7BE5" w:rsidRDefault="0029506F" w:rsidP="00DB7BE5">
            <w:pPr>
              <w:cnfStyle w:val="100000000000" w:firstRow="1" w:lastRow="0" w:firstColumn="0" w:lastColumn="0" w:oddVBand="0" w:evenVBand="0" w:oddHBand="0" w:evenHBand="0" w:firstRowFirstColumn="0" w:firstRowLastColumn="0" w:lastRowFirstColumn="0" w:lastRowLastColumn="0"/>
              <w:rPr>
                <w:sz w:val="20"/>
              </w:rPr>
            </w:pPr>
            <w:r w:rsidRPr="00DB7BE5">
              <w:rPr>
                <w:sz w:val="20"/>
              </w:rPr>
              <w:t>*Aim of Study</w:t>
            </w:r>
          </w:p>
        </w:tc>
      </w:tr>
      <w:tr w:rsidR="0029506F" w:rsidRPr="00DB7BE5" w:rsidTr="0029506F">
        <w:tc>
          <w:tcPr>
            <w:cnfStyle w:val="001000000000" w:firstRow="0" w:lastRow="0" w:firstColumn="1" w:lastColumn="0" w:oddVBand="0" w:evenVBand="0" w:oddHBand="0" w:evenHBand="0" w:firstRowFirstColumn="0" w:firstRowLastColumn="0" w:lastRowFirstColumn="0" w:lastRowLastColumn="0"/>
            <w:tcW w:w="1951" w:type="dxa"/>
          </w:tcPr>
          <w:p w:rsidR="0029506F" w:rsidRPr="00DB7BE5" w:rsidRDefault="0029506F" w:rsidP="00DB7BE5">
            <w:pPr>
              <w:rPr>
                <w:sz w:val="20"/>
              </w:rPr>
            </w:pPr>
            <w:r w:rsidRPr="00DB7BE5">
              <w:rPr>
                <w:sz w:val="20"/>
              </w:rPr>
              <w:t>Primary Pharmacology</w:t>
            </w:r>
          </w:p>
        </w:tc>
        <w:tc>
          <w:tcPr>
            <w:tcW w:w="2552" w:type="dxa"/>
          </w:tcPr>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 xml:space="preserve">Effect on </w:t>
            </w:r>
            <w:proofErr w:type="spellStart"/>
            <w:r w:rsidRPr="00DB7BE5">
              <w:rPr>
                <w:sz w:val="20"/>
              </w:rPr>
              <w:t>glucodynamics</w:t>
            </w:r>
            <w:proofErr w:type="spellEnd"/>
            <w:r w:rsidRPr="00DB7BE5">
              <w:rPr>
                <w:sz w:val="20"/>
              </w:rPr>
              <w:t xml:space="preserve"> in a </w:t>
            </w:r>
            <w:proofErr w:type="spellStart"/>
            <w:r w:rsidRPr="00DB7BE5">
              <w:rPr>
                <w:sz w:val="20"/>
              </w:rPr>
              <w:t>euglycaemic</w:t>
            </w:r>
            <w:proofErr w:type="spellEnd"/>
            <w:r w:rsidRPr="00DB7BE5">
              <w:rPr>
                <w:sz w:val="20"/>
              </w:rPr>
              <w:t xml:space="preserve"> clamp study</w:t>
            </w:r>
          </w:p>
        </w:tc>
        <w:tc>
          <w:tcPr>
            <w:tcW w:w="1134" w:type="dxa"/>
          </w:tcPr>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ABEA</w:t>
            </w:r>
          </w:p>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ABEM</w:t>
            </w:r>
          </w:p>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ABEI</w:t>
            </w:r>
          </w:p>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ABEE</w:t>
            </w:r>
          </w:p>
        </w:tc>
        <w:tc>
          <w:tcPr>
            <w:tcW w:w="1984" w:type="dxa"/>
          </w:tcPr>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PK &amp; PD</w:t>
            </w:r>
          </w:p>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PK &amp; PD</w:t>
            </w:r>
          </w:p>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PK &amp; PD</w:t>
            </w:r>
          </w:p>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PK &amp; PD</w:t>
            </w:r>
          </w:p>
        </w:tc>
      </w:tr>
      <w:tr w:rsidR="0029506F" w:rsidRPr="00DB7BE5" w:rsidTr="0029506F">
        <w:tc>
          <w:tcPr>
            <w:cnfStyle w:val="001000000000" w:firstRow="0" w:lastRow="0" w:firstColumn="1" w:lastColumn="0" w:oddVBand="0" w:evenVBand="0" w:oddHBand="0" w:evenHBand="0" w:firstRowFirstColumn="0" w:firstRowLastColumn="0" w:lastRowFirstColumn="0" w:lastRowLastColumn="0"/>
            <w:tcW w:w="1951" w:type="dxa"/>
          </w:tcPr>
          <w:p w:rsidR="0029506F" w:rsidRPr="00DB7BE5" w:rsidRDefault="0029506F" w:rsidP="00DB7BE5">
            <w:pPr>
              <w:rPr>
                <w:sz w:val="20"/>
              </w:rPr>
            </w:pPr>
            <w:r w:rsidRPr="00DB7BE5">
              <w:rPr>
                <w:sz w:val="20"/>
              </w:rPr>
              <w:t>Secondary Pharmacology</w:t>
            </w:r>
          </w:p>
        </w:tc>
        <w:tc>
          <w:tcPr>
            <w:tcW w:w="2552" w:type="dxa"/>
          </w:tcPr>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Effect on C-peptide levels in healthy volunteers#</w:t>
            </w:r>
          </w:p>
        </w:tc>
        <w:tc>
          <w:tcPr>
            <w:tcW w:w="1134" w:type="dxa"/>
          </w:tcPr>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ABEA</w:t>
            </w:r>
          </w:p>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ABEM</w:t>
            </w:r>
          </w:p>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ABEI</w:t>
            </w:r>
          </w:p>
        </w:tc>
        <w:tc>
          <w:tcPr>
            <w:tcW w:w="1984" w:type="dxa"/>
          </w:tcPr>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PK</w:t>
            </w:r>
          </w:p>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PK</w:t>
            </w:r>
          </w:p>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PK</w:t>
            </w:r>
          </w:p>
        </w:tc>
      </w:tr>
      <w:tr w:rsidR="0029506F" w:rsidRPr="00DB7BE5" w:rsidTr="0029506F">
        <w:tc>
          <w:tcPr>
            <w:cnfStyle w:val="001000000000" w:firstRow="0" w:lastRow="0" w:firstColumn="1" w:lastColumn="0" w:oddVBand="0" w:evenVBand="0" w:oddHBand="0" w:evenHBand="0" w:firstRowFirstColumn="0" w:firstRowLastColumn="0" w:lastRowFirstColumn="0" w:lastRowLastColumn="0"/>
            <w:tcW w:w="1951" w:type="dxa"/>
            <w:vMerge w:val="restart"/>
          </w:tcPr>
          <w:p w:rsidR="0029506F" w:rsidRPr="00DB7BE5" w:rsidRDefault="0029506F" w:rsidP="00DB7BE5">
            <w:pPr>
              <w:rPr>
                <w:sz w:val="20"/>
              </w:rPr>
            </w:pPr>
            <w:r w:rsidRPr="00DB7BE5">
              <w:rPr>
                <w:sz w:val="20"/>
              </w:rPr>
              <w:t>Gender other genetic and Age-Related Differences in PD Response</w:t>
            </w:r>
          </w:p>
        </w:tc>
        <w:tc>
          <w:tcPr>
            <w:tcW w:w="2552" w:type="dxa"/>
          </w:tcPr>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Effect of gender</w:t>
            </w:r>
          </w:p>
        </w:tc>
        <w:tc>
          <w:tcPr>
            <w:tcW w:w="1134" w:type="dxa"/>
          </w:tcPr>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Not done</w:t>
            </w:r>
          </w:p>
        </w:tc>
        <w:tc>
          <w:tcPr>
            <w:tcW w:w="1984" w:type="dxa"/>
          </w:tcPr>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p>
        </w:tc>
      </w:tr>
      <w:tr w:rsidR="0029506F" w:rsidRPr="00DB7BE5" w:rsidTr="0029506F">
        <w:tc>
          <w:tcPr>
            <w:cnfStyle w:val="001000000000" w:firstRow="0" w:lastRow="0" w:firstColumn="1" w:lastColumn="0" w:oddVBand="0" w:evenVBand="0" w:oddHBand="0" w:evenHBand="0" w:firstRowFirstColumn="0" w:firstRowLastColumn="0" w:lastRowFirstColumn="0" w:lastRowLastColumn="0"/>
            <w:tcW w:w="1951" w:type="dxa"/>
            <w:vMerge/>
          </w:tcPr>
          <w:p w:rsidR="0029506F" w:rsidRPr="00DB7BE5" w:rsidRDefault="0029506F" w:rsidP="00DB7BE5">
            <w:pPr>
              <w:rPr>
                <w:sz w:val="20"/>
              </w:rPr>
            </w:pPr>
          </w:p>
        </w:tc>
        <w:tc>
          <w:tcPr>
            <w:tcW w:w="2552" w:type="dxa"/>
          </w:tcPr>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Effect of age</w:t>
            </w:r>
          </w:p>
        </w:tc>
        <w:tc>
          <w:tcPr>
            <w:tcW w:w="1134" w:type="dxa"/>
          </w:tcPr>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Not done</w:t>
            </w:r>
          </w:p>
        </w:tc>
        <w:tc>
          <w:tcPr>
            <w:tcW w:w="1984" w:type="dxa"/>
          </w:tcPr>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p>
        </w:tc>
      </w:tr>
      <w:tr w:rsidR="0029506F" w:rsidRPr="00DB7BE5" w:rsidTr="0029506F">
        <w:tc>
          <w:tcPr>
            <w:cnfStyle w:val="001000000000" w:firstRow="0" w:lastRow="0" w:firstColumn="1" w:lastColumn="0" w:oddVBand="0" w:evenVBand="0" w:oddHBand="0" w:evenHBand="0" w:firstRowFirstColumn="0" w:firstRowLastColumn="0" w:lastRowFirstColumn="0" w:lastRowLastColumn="0"/>
            <w:tcW w:w="1951" w:type="dxa"/>
          </w:tcPr>
          <w:p w:rsidR="0029506F" w:rsidRPr="00DB7BE5" w:rsidRDefault="0029506F" w:rsidP="00DB7BE5">
            <w:pPr>
              <w:rPr>
                <w:sz w:val="20"/>
              </w:rPr>
            </w:pPr>
            <w:r w:rsidRPr="00DB7BE5">
              <w:rPr>
                <w:sz w:val="20"/>
              </w:rPr>
              <w:t>Comparison of Lantus EU vs. Lantus US</w:t>
            </w:r>
          </w:p>
        </w:tc>
        <w:tc>
          <w:tcPr>
            <w:tcW w:w="2552" w:type="dxa"/>
          </w:tcPr>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 xml:space="preserve">‘Scientific Bridge’ to support </w:t>
            </w:r>
            <w:r w:rsidR="00216E0E" w:rsidRPr="00DB7BE5">
              <w:rPr>
                <w:sz w:val="20"/>
              </w:rPr>
              <w:t>Phase III</w:t>
            </w:r>
            <w:r w:rsidRPr="00DB7BE5">
              <w:rPr>
                <w:sz w:val="20"/>
              </w:rPr>
              <w:t xml:space="preserve"> studies use of both sources of Lantus</w:t>
            </w:r>
          </w:p>
        </w:tc>
        <w:tc>
          <w:tcPr>
            <w:tcW w:w="1134" w:type="dxa"/>
          </w:tcPr>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ABEN</w:t>
            </w:r>
          </w:p>
        </w:tc>
        <w:tc>
          <w:tcPr>
            <w:tcW w:w="1984" w:type="dxa"/>
          </w:tcPr>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PK &amp; PD</w:t>
            </w:r>
          </w:p>
        </w:tc>
      </w:tr>
      <w:tr w:rsidR="0029506F" w:rsidRPr="00DB7BE5" w:rsidTr="0029506F">
        <w:tc>
          <w:tcPr>
            <w:cnfStyle w:val="001000000000" w:firstRow="0" w:lastRow="0" w:firstColumn="1" w:lastColumn="0" w:oddVBand="0" w:evenVBand="0" w:oddHBand="0" w:evenHBand="0" w:firstRowFirstColumn="0" w:firstRowLastColumn="0" w:lastRowFirstColumn="0" w:lastRowLastColumn="0"/>
            <w:tcW w:w="1951" w:type="dxa"/>
            <w:vMerge w:val="restart"/>
          </w:tcPr>
          <w:p w:rsidR="0029506F" w:rsidRPr="00DB7BE5" w:rsidRDefault="0029506F" w:rsidP="00DB7BE5">
            <w:pPr>
              <w:rPr>
                <w:sz w:val="20"/>
              </w:rPr>
            </w:pPr>
            <w:r w:rsidRPr="00DB7BE5">
              <w:rPr>
                <w:sz w:val="20"/>
              </w:rPr>
              <w:t>Population PD and PK-PD analyses</w:t>
            </w:r>
          </w:p>
        </w:tc>
        <w:tc>
          <w:tcPr>
            <w:tcW w:w="2552" w:type="dxa"/>
          </w:tcPr>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Healthy subjects</w:t>
            </w:r>
          </w:p>
        </w:tc>
        <w:tc>
          <w:tcPr>
            <w:tcW w:w="1134" w:type="dxa"/>
          </w:tcPr>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Not done</w:t>
            </w:r>
          </w:p>
        </w:tc>
        <w:tc>
          <w:tcPr>
            <w:tcW w:w="1984" w:type="dxa"/>
          </w:tcPr>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p>
        </w:tc>
      </w:tr>
      <w:tr w:rsidR="0029506F" w:rsidRPr="00DB7BE5" w:rsidTr="0029506F">
        <w:tc>
          <w:tcPr>
            <w:cnfStyle w:val="001000000000" w:firstRow="0" w:lastRow="0" w:firstColumn="1" w:lastColumn="0" w:oddVBand="0" w:evenVBand="0" w:oddHBand="0" w:evenHBand="0" w:firstRowFirstColumn="0" w:firstRowLastColumn="0" w:lastRowFirstColumn="0" w:lastRowLastColumn="0"/>
            <w:tcW w:w="1951" w:type="dxa"/>
            <w:vMerge/>
          </w:tcPr>
          <w:p w:rsidR="0029506F" w:rsidRPr="00DB7BE5" w:rsidRDefault="0029506F" w:rsidP="00DB7BE5">
            <w:pPr>
              <w:rPr>
                <w:sz w:val="20"/>
              </w:rPr>
            </w:pPr>
          </w:p>
        </w:tc>
        <w:tc>
          <w:tcPr>
            <w:tcW w:w="2552" w:type="dxa"/>
          </w:tcPr>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Target population</w:t>
            </w:r>
          </w:p>
        </w:tc>
        <w:tc>
          <w:tcPr>
            <w:tcW w:w="1134" w:type="dxa"/>
          </w:tcPr>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r w:rsidRPr="00DB7BE5">
              <w:rPr>
                <w:sz w:val="20"/>
              </w:rPr>
              <w:t>Not done</w:t>
            </w:r>
          </w:p>
        </w:tc>
        <w:tc>
          <w:tcPr>
            <w:tcW w:w="1984" w:type="dxa"/>
          </w:tcPr>
          <w:p w:rsidR="0029506F" w:rsidRPr="00DB7BE5" w:rsidRDefault="0029506F" w:rsidP="00DB7BE5">
            <w:pPr>
              <w:cnfStyle w:val="000000000000" w:firstRow="0" w:lastRow="0" w:firstColumn="0" w:lastColumn="0" w:oddVBand="0" w:evenVBand="0" w:oddHBand="0" w:evenHBand="0" w:firstRowFirstColumn="0" w:firstRowLastColumn="0" w:lastRowFirstColumn="0" w:lastRowLastColumn="0"/>
              <w:rPr>
                <w:sz w:val="20"/>
              </w:rPr>
            </w:pPr>
          </w:p>
        </w:tc>
      </w:tr>
    </w:tbl>
    <w:p w:rsidR="00AE090E" w:rsidRPr="00DB7BE5" w:rsidRDefault="00AE090E" w:rsidP="00DB7BE5">
      <w:pPr>
        <w:pStyle w:val="Tabletext"/>
      </w:pPr>
      <w:r w:rsidRPr="00DB7BE5">
        <w:t>* Indicates the primary aim of the study</w:t>
      </w:r>
      <w:r w:rsidR="0090157C" w:rsidRPr="00DB7BE5">
        <w:t xml:space="preserve"> where applicable</w:t>
      </w:r>
      <w:r w:rsidRPr="00DB7BE5">
        <w:t>.</w:t>
      </w:r>
      <w:r w:rsidR="0090157C" w:rsidRPr="00DB7BE5">
        <w:t xml:space="preserve"> </w:t>
      </w:r>
      <w:r w:rsidRPr="00DB7BE5">
        <w:t>§ Subjects who would be eligible to receive the drug if approved for the proposed indication.</w:t>
      </w:r>
      <w:r w:rsidR="0090157C" w:rsidRPr="00DB7BE5">
        <w:t xml:space="preserve"> </w:t>
      </w:r>
      <w:r w:rsidRPr="00DB7BE5">
        <w:t># C-peptide levels are presented graphically as Figures only.</w:t>
      </w:r>
    </w:p>
    <w:p w:rsidR="00AE090E" w:rsidRDefault="00AE090E" w:rsidP="00AE090E">
      <w:r>
        <w:t xml:space="preserve">None of the </w:t>
      </w:r>
      <w:proofErr w:type="spellStart"/>
      <w:r>
        <w:t>pharmacodynamic</w:t>
      </w:r>
      <w:proofErr w:type="spellEnd"/>
      <w:r>
        <w:t xml:space="preserve"> studies had deficiencies that excluded their results from consideration.</w:t>
      </w:r>
    </w:p>
    <w:p w:rsidR="00AE090E" w:rsidRDefault="00AE090E" w:rsidP="0090157C">
      <w:pPr>
        <w:pStyle w:val="Heading3"/>
      </w:pPr>
      <w:bookmarkStart w:id="115" w:name="_Ref269119989"/>
      <w:bookmarkStart w:id="116" w:name="_Toc272414639"/>
      <w:bookmarkStart w:id="117" w:name="_Toc290846261"/>
      <w:bookmarkStart w:id="118" w:name="_Toc378790174"/>
      <w:bookmarkStart w:id="119" w:name="_Toc416955624"/>
      <w:r>
        <w:t>Summary of pharmacodynamics</w:t>
      </w:r>
      <w:bookmarkEnd w:id="115"/>
      <w:bookmarkEnd w:id="116"/>
      <w:bookmarkEnd w:id="117"/>
      <w:bookmarkEnd w:id="118"/>
      <w:bookmarkEnd w:id="119"/>
    </w:p>
    <w:p w:rsidR="00AE090E" w:rsidRDefault="00AE090E" w:rsidP="00AE090E">
      <w:r>
        <w:t>The information in the following summary is derived from conventional pharmacodynamic studies in humans.</w:t>
      </w:r>
    </w:p>
    <w:p w:rsidR="00AE090E" w:rsidRPr="002C41DB" w:rsidRDefault="00AE090E" w:rsidP="0090157C">
      <w:pPr>
        <w:pStyle w:val="Heading4"/>
      </w:pPr>
      <w:bookmarkStart w:id="120" w:name="_Toc241374299"/>
      <w:bookmarkStart w:id="121" w:name="_Toc272414640"/>
      <w:bookmarkStart w:id="122" w:name="_Toc290846262"/>
      <w:bookmarkStart w:id="123" w:name="_Toc378790175"/>
      <w:r w:rsidRPr="002C41DB">
        <w:t>Mechanism of action</w:t>
      </w:r>
      <w:bookmarkEnd w:id="120"/>
      <w:bookmarkEnd w:id="121"/>
      <w:bookmarkEnd w:id="122"/>
      <w:bookmarkEnd w:id="123"/>
    </w:p>
    <w:p w:rsidR="00AE090E" w:rsidRPr="002C41DB" w:rsidRDefault="00AE090E" w:rsidP="00AE090E">
      <w:r w:rsidRPr="002C41DB">
        <w:t xml:space="preserve">As stated in the approved PI of Lantus, </w:t>
      </w:r>
      <w:r w:rsidR="00127BD9">
        <w:t>‘</w:t>
      </w:r>
      <w:r w:rsidRPr="0090157C">
        <w:rPr>
          <w:i/>
        </w:rPr>
        <w:t>Insulin and its analogues lower blood glucose levels by stimulating peripheral glucose uptake, especially by skeletal muscle and fat, and by inhibiting hepatic glucose production. Insulin inhibits lipolysis in the adipocyte, inhibits proteolysis and enhances protein synthesis.</w:t>
      </w:r>
      <w:r w:rsidR="00127BD9" w:rsidRPr="0090157C">
        <w:rPr>
          <w:i/>
        </w:rPr>
        <w:t>’</w:t>
      </w:r>
      <w:r w:rsidRPr="0090157C">
        <w:rPr>
          <w:i/>
        </w:rPr>
        <w:t xml:space="preserve"> </w:t>
      </w:r>
      <w:r w:rsidR="00127BD9" w:rsidRPr="0090157C">
        <w:rPr>
          <w:i/>
        </w:rPr>
        <w:t>‘</w:t>
      </w:r>
      <w:r w:rsidRPr="0090157C">
        <w:rPr>
          <w:i/>
        </w:rPr>
        <w:t xml:space="preserve">In clinical studies, intravenous insulin </w:t>
      </w:r>
      <w:proofErr w:type="spellStart"/>
      <w:r w:rsidRPr="0090157C">
        <w:rPr>
          <w:i/>
        </w:rPr>
        <w:t>glargine</w:t>
      </w:r>
      <w:proofErr w:type="spellEnd"/>
      <w:r w:rsidRPr="0090157C">
        <w:rPr>
          <w:i/>
        </w:rPr>
        <w:t xml:space="preserve"> and human insulin have been shown to be equipotent when given at the same doses</w:t>
      </w:r>
      <w:r w:rsidRPr="002C41DB">
        <w:t>.</w:t>
      </w:r>
      <w:r w:rsidR="00127BD9">
        <w:t>’</w:t>
      </w:r>
    </w:p>
    <w:p w:rsidR="00AE090E" w:rsidRPr="002C41DB" w:rsidRDefault="00216E0E" w:rsidP="00AE090E">
      <w:proofErr w:type="spellStart"/>
      <w:r>
        <w:t>Abasria</w:t>
      </w:r>
      <w:proofErr w:type="spellEnd"/>
      <w:r w:rsidR="00AE090E" w:rsidRPr="002C41DB">
        <w:t xml:space="preserve"> contains insulin </w:t>
      </w:r>
      <w:proofErr w:type="spellStart"/>
      <w:r w:rsidR="00AE090E" w:rsidRPr="002C41DB">
        <w:t>glargine</w:t>
      </w:r>
      <w:proofErr w:type="spellEnd"/>
      <w:r w:rsidR="00AE090E" w:rsidRPr="002C41DB">
        <w:t>. It should therefore exhibit a long duration of action.</w:t>
      </w:r>
      <w:r w:rsidR="009F388C">
        <w:t xml:space="preserve"> </w:t>
      </w:r>
      <w:r w:rsidR="00AE090E" w:rsidRPr="002C41DB">
        <w:t xml:space="preserve">However, the only mechanistic studies were those described above in Table </w:t>
      </w:r>
      <w:r w:rsidR="0090157C">
        <w:t>10</w:t>
      </w:r>
      <w:r w:rsidR="00AE090E" w:rsidRPr="002C41DB">
        <w:t xml:space="preserve"> i.e. </w:t>
      </w:r>
      <w:proofErr w:type="spellStart"/>
      <w:r w:rsidR="00AE090E" w:rsidRPr="002C41DB">
        <w:t>glucodynamic</w:t>
      </w:r>
      <w:proofErr w:type="spellEnd"/>
      <w:r w:rsidR="00AE090E" w:rsidRPr="002C41DB">
        <w:t xml:space="preserve"> studies.</w:t>
      </w:r>
    </w:p>
    <w:p w:rsidR="00AE090E" w:rsidRPr="002C41DB" w:rsidRDefault="00AE090E" w:rsidP="0090157C">
      <w:pPr>
        <w:pStyle w:val="Heading4"/>
      </w:pPr>
      <w:bookmarkStart w:id="124" w:name="_Toc241374300"/>
      <w:bookmarkStart w:id="125" w:name="_Toc272414641"/>
      <w:bookmarkStart w:id="126" w:name="_Toc290846263"/>
      <w:bookmarkStart w:id="127" w:name="_Toc378790176"/>
      <w:r w:rsidRPr="002C41DB">
        <w:lastRenderedPageBreak/>
        <w:t>Pharmacodynamic effects</w:t>
      </w:r>
      <w:bookmarkEnd w:id="124"/>
      <w:bookmarkEnd w:id="125"/>
      <w:bookmarkEnd w:id="126"/>
      <w:bookmarkEnd w:id="127"/>
    </w:p>
    <w:p w:rsidR="00AE090E" w:rsidRPr="002C41DB" w:rsidRDefault="00AE090E" w:rsidP="0090157C">
      <w:pPr>
        <w:pStyle w:val="Heading5"/>
      </w:pPr>
      <w:bookmarkStart w:id="128" w:name="_Toc272414642"/>
      <w:bookmarkStart w:id="129" w:name="_Toc290846264"/>
      <w:bookmarkStart w:id="130" w:name="_Toc378790177"/>
      <w:r w:rsidRPr="002C41DB">
        <w:t>Primary pharmacodynamic effects</w:t>
      </w:r>
      <w:bookmarkEnd w:id="128"/>
      <w:bookmarkEnd w:id="129"/>
      <w:bookmarkEnd w:id="130"/>
    </w:p>
    <w:p w:rsidR="00AE090E" w:rsidRDefault="00AE090E" w:rsidP="00AE090E">
      <w:r>
        <w:t xml:space="preserve">Insulin </w:t>
      </w:r>
      <w:proofErr w:type="spellStart"/>
      <w:r>
        <w:t>glargine’s</w:t>
      </w:r>
      <w:proofErr w:type="spellEnd"/>
      <w:r>
        <w:t xml:space="preserve"> primary </w:t>
      </w:r>
      <w:proofErr w:type="spellStart"/>
      <w:r>
        <w:t>pharmacodynamic</w:t>
      </w:r>
      <w:proofErr w:type="spellEnd"/>
      <w:r>
        <w:t xml:space="preserve"> action is </w:t>
      </w:r>
      <w:proofErr w:type="spellStart"/>
      <w:r>
        <w:t>glucodynamic</w:t>
      </w:r>
      <w:proofErr w:type="spellEnd"/>
      <w:r>
        <w:t xml:space="preserve"> and for this reason a </w:t>
      </w:r>
      <w:proofErr w:type="spellStart"/>
      <w:r>
        <w:t>euglycaemic</w:t>
      </w:r>
      <w:proofErr w:type="spellEnd"/>
      <w:r>
        <w:t xml:space="preserve"> clamp method – the standard for testing insulins – was used in the PD studies.</w:t>
      </w:r>
    </w:p>
    <w:p w:rsidR="00AE090E" w:rsidRDefault="00AE090E" w:rsidP="00AE090E">
      <w:r>
        <w:t xml:space="preserve">Studies ABEA, ABEM and ABEE are most relevant. All of them compared </w:t>
      </w:r>
      <w:proofErr w:type="spellStart"/>
      <w:r w:rsidR="00216E0E">
        <w:t>Abasria</w:t>
      </w:r>
      <w:proofErr w:type="spellEnd"/>
      <w:r>
        <w:t xml:space="preserve"> with Lantus EU. Study ABEN was the </w:t>
      </w:r>
      <w:r w:rsidR="00127BD9">
        <w:t>‘</w:t>
      </w:r>
      <w:r>
        <w:t>scientific bridging study</w:t>
      </w:r>
      <w:r w:rsidR="00127BD9">
        <w:t>’</w:t>
      </w:r>
      <w:r>
        <w:t xml:space="preserve"> that </w:t>
      </w:r>
      <w:r w:rsidR="00DB7BE5">
        <w:t>related Lantus EU to Lantus US.</w:t>
      </w:r>
    </w:p>
    <w:p w:rsidR="00AE090E" w:rsidRDefault="00AE090E" w:rsidP="00AE090E">
      <w:r>
        <w:t xml:space="preserve">Table </w:t>
      </w:r>
      <w:r w:rsidR="0090157C">
        <w:t>11</w:t>
      </w:r>
      <w:r>
        <w:t xml:space="preserve"> below, taken from the appendices to Module 2.7 includes PD data from all of the </w:t>
      </w:r>
      <w:r w:rsidR="00216E0E">
        <w:t>Phase I</w:t>
      </w:r>
      <w:r>
        <w:t xml:space="preserve"> studies in healthy volunteers, including the early, small, non-replicate study,</w:t>
      </w:r>
      <w:r w:rsidR="009F388C">
        <w:t xml:space="preserve"> </w:t>
      </w:r>
      <w:r>
        <w:t>Study ABEI:</w:t>
      </w:r>
    </w:p>
    <w:p w:rsidR="0090157C" w:rsidRDefault="0090157C" w:rsidP="00DB7BE5">
      <w:pPr>
        <w:pStyle w:val="Tabletitle"/>
      </w:pPr>
      <w:r>
        <w:t xml:space="preserve">Table 11: Pharmacodynamic parameter estimates for the completed relative bioavailability and comparative PK and PD studies in Healthy subjects-Studies ABEI, ABEM, ABEA </w:t>
      </w:r>
      <w:r w:rsidRPr="00DB7BE5">
        <w:t>and</w:t>
      </w:r>
      <w:r>
        <w:t xml:space="preserve"> ABEN</w:t>
      </w:r>
    </w:p>
    <w:p w:rsidR="0090157C" w:rsidRPr="0090157C" w:rsidRDefault="0090157C" w:rsidP="003C0373">
      <w:r>
        <w:rPr>
          <w:noProof/>
          <w:lang w:eastAsia="en-AU"/>
        </w:rPr>
        <w:drawing>
          <wp:inline distT="0" distB="0" distL="0" distR="0" wp14:anchorId="699727CC" wp14:editId="66DEA974">
            <wp:extent cx="4979843" cy="4869180"/>
            <wp:effectExtent l="0" t="0" r="0" b="0"/>
            <wp:docPr id="11" name="Picture 11" descr="Table 11: Pharmacodynamic parameter estimates for the completed relative bioavailability and comparative PK and PD studies in Healthy subjects-Studies ABEI, ABEM, ABEA and 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82904" cy="4872173"/>
                    </a:xfrm>
                    <a:prstGeom prst="rect">
                      <a:avLst/>
                    </a:prstGeom>
                  </pic:spPr>
                </pic:pic>
              </a:graphicData>
            </a:graphic>
          </wp:inline>
        </w:drawing>
      </w:r>
    </w:p>
    <w:p w:rsidR="0090157C" w:rsidRDefault="00AE090E" w:rsidP="00AE090E">
      <w:r>
        <w:t xml:space="preserve">The PD results were not statistically different for Lantus EU vs. </w:t>
      </w:r>
      <w:proofErr w:type="spellStart"/>
      <w:r w:rsidR="00216E0E">
        <w:t>Abasria</w:t>
      </w:r>
      <w:proofErr w:type="spellEnd"/>
      <w:r>
        <w:t xml:space="preserve"> and for Lantus EU vs. Lantus US.</w:t>
      </w:r>
    </w:p>
    <w:p w:rsidR="00AE090E" w:rsidRDefault="00AE090E" w:rsidP="00AE090E">
      <w:r>
        <w:t xml:space="preserve">In Study ABEE, 35% of clamps were terminated at 42 hours. However, this small study provides the best estimates of duration of action and less need for extrapolation of data. Table </w:t>
      </w:r>
      <w:r w:rsidR="0090157C">
        <w:t>12</w:t>
      </w:r>
      <w:r>
        <w:t xml:space="preserve"> is taken from the Module 5 Study report:</w:t>
      </w:r>
    </w:p>
    <w:p w:rsidR="00DB7BE5" w:rsidRDefault="0090157C" w:rsidP="009E282D">
      <w:pPr>
        <w:pStyle w:val="Tabletitle"/>
      </w:pPr>
      <w:r>
        <w:lastRenderedPageBreak/>
        <w:t>Table 12: Geometric mean pharmacodynamic parameter estimates for LY2963016 and Lantus after a single subcutaneous dose of 0.3 U/kg</w:t>
      </w:r>
    </w:p>
    <w:p w:rsidR="00AE090E" w:rsidRDefault="0090157C" w:rsidP="00DB7BE5">
      <w:r>
        <w:rPr>
          <w:noProof/>
          <w:lang w:eastAsia="en-AU"/>
        </w:rPr>
        <w:drawing>
          <wp:inline distT="0" distB="0" distL="0" distR="0" wp14:anchorId="155822DD" wp14:editId="713E3C8B">
            <wp:extent cx="3985846" cy="3111600"/>
            <wp:effectExtent l="0" t="0" r="0" b="0"/>
            <wp:docPr id="12" name="Picture 12" descr="Table 12: Geometric mean pharmacodynamic parameter estimates for LY2963016 and Lantus after a single subcutaneous dose of 0.3 U/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89002" cy="3114064"/>
                    </a:xfrm>
                    <a:prstGeom prst="rect">
                      <a:avLst/>
                    </a:prstGeom>
                  </pic:spPr>
                </pic:pic>
              </a:graphicData>
            </a:graphic>
          </wp:inline>
        </w:drawing>
      </w:r>
    </w:p>
    <w:p w:rsidR="00AE090E" w:rsidRPr="002C41DB" w:rsidRDefault="00AE090E" w:rsidP="00DB7BE5">
      <w:pPr>
        <w:pStyle w:val="Heading5"/>
      </w:pPr>
      <w:bookmarkStart w:id="131" w:name="_Toc272414643"/>
      <w:bookmarkStart w:id="132" w:name="_Toc290846265"/>
      <w:bookmarkStart w:id="133" w:name="_Toc378790178"/>
      <w:r w:rsidRPr="002C41DB">
        <w:t xml:space="preserve">Secondary </w:t>
      </w:r>
      <w:proofErr w:type="spellStart"/>
      <w:r w:rsidRPr="002C41DB">
        <w:t>pharmacodynamic</w:t>
      </w:r>
      <w:proofErr w:type="spellEnd"/>
      <w:r w:rsidRPr="002C41DB">
        <w:t xml:space="preserve"> </w:t>
      </w:r>
      <w:r w:rsidRPr="00DB7BE5">
        <w:t>effects</w:t>
      </w:r>
      <w:bookmarkEnd w:id="131"/>
      <w:bookmarkEnd w:id="132"/>
      <w:bookmarkEnd w:id="133"/>
    </w:p>
    <w:p w:rsidR="00AE090E" w:rsidRDefault="00AE090E" w:rsidP="00AE090E">
      <w:r>
        <w:t>If it is reasonable to consider the negative feedback of insulin upon the pancreatic beta islet cells as a secondary effect, then the collection of C-peptide levels in the studies that enrolled healthy volunteers can be included as a secondary endpoint. The data were not submitted in tabular form.</w:t>
      </w:r>
    </w:p>
    <w:p w:rsidR="00AE090E" w:rsidRDefault="00AE090E" w:rsidP="00AE090E">
      <w:r>
        <w:t>As an example, the two largest studies’ results are shown below:</w:t>
      </w:r>
    </w:p>
    <w:p w:rsidR="00AE090E" w:rsidRDefault="00AE090E" w:rsidP="00AE090E">
      <w:r>
        <w:t xml:space="preserve">Figure </w:t>
      </w:r>
      <w:r w:rsidR="0090157C">
        <w:t>2</w:t>
      </w:r>
      <w:r>
        <w:t xml:space="preserve"> is taken from the Module 5 study report of Study ABEA.</w:t>
      </w:r>
      <w:r w:rsidR="009F388C">
        <w:t xml:space="preserve"> </w:t>
      </w:r>
      <w:r>
        <w:t>It shows a slow onset of suppression to about 12 hours post-dose, the suppression of C-peptide levels continued until 24 hours post-dose (when the study was terminated).</w:t>
      </w:r>
    </w:p>
    <w:p w:rsidR="0090157C" w:rsidRDefault="0090157C" w:rsidP="0090157C">
      <w:pPr>
        <w:pStyle w:val="FigureTitle"/>
        <w:keepNext/>
      </w:pPr>
      <w:proofErr w:type="gramStart"/>
      <w:r>
        <w:t>Figure 2: Mean (± standard deviation) of serum C-peptide concentration following subcutaneous administration of a single dose of LY2963016 (0.5 U/k</w:t>
      </w:r>
      <w:r w:rsidR="00DB7BE5">
        <w:t>g BW) and Lantus (0.5 U/kg BW).</w:t>
      </w:r>
      <w:proofErr w:type="gramEnd"/>
    </w:p>
    <w:p w:rsidR="0090157C" w:rsidRDefault="0090157C" w:rsidP="00DB7BE5">
      <w:r>
        <w:rPr>
          <w:noProof/>
          <w:lang w:eastAsia="en-AU"/>
        </w:rPr>
        <w:drawing>
          <wp:inline distT="0" distB="0" distL="0" distR="0" wp14:anchorId="5B5352EC" wp14:editId="26A11CA0">
            <wp:extent cx="3727938" cy="2217645"/>
            <wp:effectExtent l="0" t="0" r="0" b="0"/>
            <wp:docPr id="13" name="Picture 13" descr="Figure 2: Mean (± standard deviation) of serum C-peptide concentration following subcutaneous administration of a single dose of LY2963016 (0.5 U/kg BW) and Lantus (0.5 U/kg B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42353" cy="2226220"/>
                    </a:xfrm>
                    <a:prstGeom prst="rect">
                      <a:avLst/>
                    </a:prstGeom>
                  </pic:spPr>
                </pic:pic>
              </a:graphicData>
            </a:graphic>
          </wp:inline>
        </w:drawing>
      </w:r>
    </w:p>
    <w:p w:rsidR="00AE090E" w:rsidRDefault="00AE090E" w:rsidP="00AE090E">
      <w:r>
        <w:t xml:space="preserve">Figure </w:t>
      </w:r>
      <w:r w:rsidR="0090157C">
        <w:t>3</w:t>
      </w:r>
      <w:r>
        <w:t xml:space="preserve"> </w:t>
      </w:r>
      <w:r w:rsidRPr="00942652">
        <w:t>is taken from the Module 5 study report of Study</w:t>
      </w:r>
      <w:r>
        <w:t xml:space="preserve"> ABEM.</w:t>
      </w:r>
      <w:r w:rsidR="009F388C">
        <w:t xml:space="preserve"> </w:t>
      </w:r>
      <w:r>
        <w:t xml:space="preserve">Although the data again show depression of C-peptide levels to 24 hours post-dose (when the study was terminated), there is only a suggestion of a dose related effect for </w:t>
      </w:r>
      <w:proofErr w:type="spellStart"/>
      <w:r w:rsidR="00216E0E">
        <w:t>Abasria</w:t>
      </w:r>
      <w:proofErr w:type="spellEnd"/>
      <w:r>
        <w:t xml:space="preserve"> and Lantus.</w:t>
      </w:r>
    </w:p>
    <w:p w:rsidR="00AE459B" w:rsidRDefault="00AE459B" w:rsidP="00AE459B">
      <w:pPr>
        <w:pStyle w:val="FigureTitle"/>
        <w:keepNext/>
      </w:pPr>
      <w:proofErr w:type="gramStart"/>
      <w:r>
        <w:lastRenderedPageBreak/>
        <w:t>Figure 3: Mean (± standard deviation) of serum C-peptide concentration following subcutaneous administration of a single dose of LY2963016 (0.3 and 0.6 U/kg BW) and Lantus (0.3 and 0.6 U/kg BW).</w:t>
      </w:r>
      <w:proofErr w:type="gramEnd"/>
      <w:r>
        <w:t xml:space="preserve"> </w:t>
      </w:r>
    </w:p>
    <w:p w:rsidR="00AE459B" w:rsidRDefault="00AE459B" w:rsidP="00DB7BE5">
      <w:r>
        <w:rPr>
          <w:noProof/>
          <w:lang w:eastAsia="en-AU"/>
        </w:rPr>
        <w:drawing>
          <wp:inline distT="0" distB="0" distL="0" distR="0" wp14:anchorId="46BBD6E4" wp14:editId="2F2FB914">
            <wp:extent cx="3008923" cy="3622489"/>
            <wp:effectExtent l="0" t="0" r="0" b="0"/>
            <wp:docPr id="14" name="Picture 14" descr="Figure 3: Mean (± standard deviation) of serum C-peptide concentration following subcutaneous administration of a single dose of LY2963016 (0.3 and 0.6 U/kg BW) and Lantus (0.3 and 0.6 U/kg B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10038" cy="3623831"/>
                    </a:xfrm>
                    <a:prstGeom prst="rect">
                      <a:avLst/>
                    </a:prstGeom>
                  </pic:spPr>
                </pic:pic>
              </a:graphicData>
            </a:graphic>
          </wp:inline>
        </w:drawing>
      </w:r>
    </w:p>
    <w:p w:rsidR="00AE090E" w:rsidRDefault="00AE090E" w:rsidP="00AE090E">
      <w:r w:rsidRPr="00F36650">
        <w:t>Other effects</w:t>
      </w:r>
      <w:r>
        <w:t xml:space="preserve">: Insulin </w:t>
      </w:r>
      <w:proofErr w:type="spellStart"/>
      <w:r>
        <w:t>glargine</w:t>
      </w:r>
      <w:proofErr w:type="spellEnd"/>
      <w:r>
        <w:t xml:space="preserve"> has some agonistic affinity for IGF-1 receptors.</w:t>
      </w:r>
      <w:r w:rsidR="009F388C">
        <w:t xml:space="preserve"> </w:t>
      </w:r>
      <w:r>
        <w:t>No clinical data</w:t>
      </w:r>
      <w:r w:rsidR="00DB7BE5">
        <w:t xml:space="preserve"> were submitted on this aspect.</w:t>
      </w:r>
    </w:p>
    <w:p w:rsidR="00AE090E" w:rsidRPr="002C41DB" w:rsidRDefault="00AE090E" w:rsidP="00AE459B">
      <w:pPr>
        <w:pStyle w:val="Heading4"/>
      </w:pPr>
      <w:bookmarkStart w:id="134" w:name="_Toc272414644"/>
      <w:bookmarkStart w:id="135" w:name="_Toc290846266"/>
      <w:bookmarkStart w:id="136" w:name="_Toc378790179"/>
      <w:r w:rsidRPr="002C41DB">
        <w:t>Time course of pharmacodynamic effects</w:t>
      </w:r>
      <w:bookmarkEnd w:id="134"/>
      <w:bookmarkEnd w:id="135"/>
      <w:bookmarkEnd w:id="136"/>
    </w:p>
    <w:p w:rsidR="00AE090E" w:rsidRDefault="00AE090E" w:rsidP="00AE090E">
      <w:r>
        <w:t xml:space="preserve">This was not adequately explored in the </w:t>
      </w:r>
      <w:r w:rsidR="00216E0E">
        <w:t>Phase I</w:t>
      </w:r>
      <w:r>
        <w:t xml:space="preserve"> studies that enrolled only healthy volunteers because the </w:t>
      </w:r>
      <w:proofErr w:type="spellStart"/>
      <w:r>
        <w:t>euglycaemic</w:t>
      </w:r>
      <w:proofErr w:type="spellEnd"/>
      <w:r>
        <w:t xml:space="preserve"> clamp only ran for 24 hours post-dose of test and reference insulin </w:t>
      </w:r>
      <w:proofErr w:type="spellStart"/>
      <w:r>
        <w:t>glargine</w:t>
      </w:r>
      <w:proofErr w:type="spellEnd"/>
      <w:r>
        <w:t>. However, Study ABEE -the study in persons with T1DM - although rather small, ran for 42 hours and the end point of action was detected in the majority of subjects.</w:t>
      </w:r>
    </w:p>
    <w:p w:rsidR="00AE090E" w:rsidRDefault="00AE090E" w:rsidP="00AE090E">
      <w:r>
        <w:t>The Australian PI of Lantus includes this figure:</w:t>
      </w:r>
    </w:p>
    <w:p w:rsidR="00AE459B" w:rsidRDefault="00AE459B" w:rsidP="00AE459B">
      <w:pPr>
        <w:pStyle w:val="FigureTitle"/>
      </w:pPr>
      <w:r>
        <w:t xml:space="preserve">Figure 4: Time-action profiles of insulin </w:t>
      </w:r>
      <w:proofErr w:type="spellStart"/>
      <w:r>
        <w:t>glargine</w:t>
      </w:r>
      <w:proofErr w:type="spellEnd"/>
      <w:r>
        <w:t xml:space="preserve"> and NPH</w:t>
      </w:r>
    </w:p>
    <w:p w:rsidR="00AE459B" w:rsidRDefault="00AE459B" w:rsidP="00DB7BE5">
      <w:r>
        <w:rPr>
          <w:noProof/>
          <w:lang w:eastAsia="en-AU"/>
        </w:rPr>
        <w:drawing>
          <wp:inline distT="0" distB="0" distL="0" distR="0" wp14:anchorId="0E1870EC" wp14:editId="5AB0B751">
            <wp:extent cx="4235938" cy="2232377"/>
            <wp:effectExtent l="0" t="0" r="0" b="0"/>
            <wp:docPr id="15" name="Picture 15" descr="Figure 4: Time-action profiles of insulin glargine and N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737"/>
                    <a:stretch/>
                  </pic:blipFill>
                  <pic:spPr bwMode="auto">
                    <a:xfrm>
                      <a:off x="0" y="0"/>
                      <a:ext cx="4247916" cy="2238689"/>
                    </a:xfrm>
                    <a:prstGeom prst="rect">
                      <a:avLst/>
                    </a:prstGeom>
                    <a:ln>
                      <a:noFill/>
                    </a:ln>
                    <a:extLst>
                      <a:ext uri="{53640926-AAD7-44D8-BBD7-CCE9431645EC}">
                        <a14:shadowObscured xmlns:a14="http://schemas.microsoft.com/office/drawing/2010/main"/>
                      </a:ext>
                    </a:extLst>
                  </pic:spPr>
                </pic:pic>
              </a:graphicData>
            </a:graphic>
          </wp:inline>
        </w:drawing>
      </w:r>
    </w:p>
    <w:p w:rsidR="00AE090E" w:rsidRDefault="00AE090E" w:rsidP="00AE090E">
      <w:r>
        <w:t xml:space="preserve">Figure </w:t>
      </w:r>
      <w:r w:rsidR="007D4FBC">
        <w:t>5</w:t>
      </w:r>
      <w:r>
        <w:t xml:space="preserve"> is taken from the Module 5 Study report. It shows a similarly prolonged duration of effect for Lantus EU and </w:t>
      </w:r>
      <w:proofErr w:type="spellStart"/>
      <w:r w:rsidR="00216E0E">
        <w:t>Abasria</w:t>
      </w:r>
      <w:proofErr w:type="spellEnd"/>
      <w:r>
        <w:t>:</w:t>
      </w:r>
    </w:p>
    <w:p w:rsidR="00A74018" w:rsidRDefault="00AE459B" w:rsidP="00A74018">
      <w:pPr>
        <w:pStyle w:val="FigureTitle"/>
        <w:keepNext/>
      </w:pPr>
      <w:r>
        <w:lastRenderedPageBreak/>
        <w:t xml:space="preserve">Figure 5: </w:t>
      </w:r>
      <w:r w:rsidR="00A74018">
        <w:t xml:space="preserve">Mean (and 90% confidence interval) glucose infusion rate versus time profiles (upper), the corresponding </w:t>
      </w:r>
      <w:proofErr w:type="spellStart"/>
      <w:r w:rsidR="00A74018">
        <w:t>Biostator</w:t>
      </w:r>
      <w:proofErr w:type="spellEnd"/>
      <w:r w:rsidR="00A74018">
        <w:t xml:space="preserve"> glucose levels (middle) and Super GL glucose levels (lower) following a single subcutaneous administration of LY2963016 (0.3 U/kg) or Lantus (0.3 U/kg).</w:t>
      </w:r>
    </w:p>
    <w:p w:rsidR="00A74018" w:rsidRDefault="00A74018" w:rsidP="00DB7BE5">
      <w:r>
        <w:rPr>
          <w:noProof/>
          <w:lang w:eastAsia="en-AU"/>
        </w:rPr>
        <w:drawing>
          <wp:inline distT="0" distB="0" distL="0" distR="0" wp14:anchorId="6EC74E74" wp14:editId="6F19A60F">
            <wp:extent cx="2811053" cy="4275015"/>
            <wp:effectExtent l="0" t="0" r="0" b="0"/>
            <wp:docPr id="16" name="Picture 16" descr="Figure 5: Mean (and 90% confidence interval) glucose infusion rate versus time profiles (upper), the corresponding Biostator glucose levels (middle) and Super GL glucose levels (lower) following a single subcutaneous administration of LY2963016 (0.3 U/kg) or Lantus (0.3 U/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13500" cy="4278736"/>
                    </a:xfrm>
                    <a:prstGeom prst="rect">
                      <a:avLst/>
                    </a:prstGeom>
                  </pic:spPr>
                </pic:pic>
              </a:graphicData>
            </a:graphic>
          </wp:inline>
        </w:drawing>
      </w:r>
    </w:p>
    <w:p w:rsidR="00AE090E" w:rsidRDefault="00AE090E" w:rsidP="00AE090E">
      <w:r>
        <w:t xml:space="preserve">More useful is this table </w:t>
      </w:r>
      <w:r w:rsidR="00A74018">
        <w:t xml:space="preserve">(Table 13) </w:t>
      </w:r>
      <w:r>
        <w:t xml:space="preserve">of individual end of action data from the Appendices to Module 2.7 and Figure </w:t>
      </w:r>
      <w:r w:rsidR="00A74018">
        <w:t>6</w:t>
      </w:r>
      <w:r>
        <w:t>, a survival plot analysis, from the Module 5 study report:</w:t>
      </w:r>
    </w:p>
    <w:p w:rsidR="00A74018" w:rsidRDefault="00A74018" w:rsidP="00A74018">
      <w:pPr>
        <w:pStyle w:val="Tabletitle"/>
      </w:pPr>
      <w:r>
        <w:t xml:space="preserve">Table 13: Individual estimates for </w:t>
      </w:r>
      <w:r w:rsidR="003C0373">
        <w:t>e</w:t>
      </w:r>
      <w:r>
        <w:t xml:space="preserve">nd of </w:t>
      </w:r>
      <w:r w:rsidR="003C0373">
        <w:t>a</w:t>
      </w:r>
      <w:r>
        <w:t>ction (hours)-Study ABEE</w:t>
      </w:r>
    </w:p>
    <w:p w:rsidR="00A74018" w:rsidRPr="00A74018" w:rsidRDefault="00A74018" w:rsidP="00A74018">
      <w:r>
        <w:rPr>
          <w:noProof/>
          <w:lang w:eastAsia="en-AU"/>
        </w:rPr>
        <w:drawing>
          <wp:inline distT="0" distB="0" distL="0" distR="0" wp14:anchorId="03773653" wp14:editId="0F6BD09E">
            <wp:extent cx="4353169" cy="2286343"/>
            <wp:effectExtent l="0" t="0" r="0" b="0"/>
            <wp:docPr id="17" name="Picture 17" descr="Table 13: Individual estimates for End of Action (hours)-Study A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54369" cy="2286973"/>
                    </a:xfrm>
                    <a:prstGeom prst="rect">
                      <a:avLst/>
                    </a:prstGeom>
                  </pic:spPr>
                </pic:pic>
              </a:graphicData>
            </a:graphic>
          </wp:inline>
        </w:drawing>
      </w:r>
    </w:p>
    <w:p w:rsidR="00AE090E" w:rsidRDefault="00A74018" w:rsidP="009E282D">
      <w:pPr>
        <w:pStyle w:val="FigureTitle"/>
        <w:keepNext/>
      </w:pPr>
      <w:r>
        <w:lastRenderedPageBreak/>
        <w:t>Figure 6: Time-to-event (survival) plot of duration of action (hours), all subjects</w:t>
      </w:r>
    </w:p>
    <w:p w:rsidR="00A74018" w:rsidRDefault="00A74018" w:rsidP="00DB7BE5">
      <w:r>
        <w:rPr>
          <w:noProof/>
          <w:lang w:eastAsia="en-AU"/>
        </w:rPr>
        <w:drawing>
          <wp:inline distT="0" distB="0" distL="0" distR="0" wp14:anchorId="26977447" wp14:editId="1B5493D9">
            <wp:extent cx="5731510" cy="3316438"/>
            <wp:effectExtent l="0" t="0" r="0" b="0"/>
            <wp:docPr id="18" name="Picture 18" descr="Figure 6: Time-to-event (survival) plot of duration of action (hours), all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3316438"/>
                    </a:xfrm>
                    <a:prstGeom prst="rect">
                      <a:avLst/>
                    </a:prstGeom>
                  </pic:spPr>
                </pic:pic>
              </a:graphicData>
            </a:graphic>
          </wp:inline>
        </w:drawing>
      </w:r>
    </w:p>
    <w:p w:rsidR="00AE090E" w:rsidRDefault="00AE090E" w:rsidP="00AE090E">
      <w:r>
        <w:t>There was no formal sample size calculation in study ABEE; it was of a 2 period, non-replicate design.</w:t>
      </w:r>
      <w:r w:rsidR="009F388C">
        <w:t xml:space="preserve"> </w:t>
      </w:r>
      <w:r>
        <w:t xml:space="preserve">Five subjects did not reach end of action by 42 hours for both test and reference insulin </w:t>
      </w:r>
      <w:proofErr w:type="spellStart"/>
      <w:r>
        <w:t>glargine</w:t>
      </w:r>
      <w:proofErr w:type="spellEnd"/>
      <w:r>
        <w:t xml:space="preserve"> doses, a further 6 did not reach end of action by 42 hours for one of the test or reference insulin </w:t>
      </w:r>
      <w:proofErr w:type="spellStart"/>
      <w:r>
        <w:t>glargine</w:t>
      </w:r>
      <w:proofErr w:type="spellEnd"/>
      <w:r>
        <w:t xml:space="preserve"> doses but the applicant reported no statistically significant difference between test and reference medicinal products.</w:t>
      </w:r>
      <w:r w:rsidR="009F388C">
        <w:t xml:space="preserve"> </w:t>
      </w:r>
      <w:r>
        <w:t xml:space="preserve">The evaluator is of the opinion that no clinically significant difference was seen. Nonetheless, the matter of the duration of action of </w:t>
      </w:r>
      <w:proofErr w:type="spellStart"/>
      <w:r w:rsidR="00216E0E">
        <w:t>Abasria</w:t>
      </w:r>
      <w:proofErr w:type="spellEnd"/>
      <w:r>
        <w:t xml:space="preserve"> cannot be said to have been exha</w:t>
      </w:r>
      <w:r w:rsidR="00270FA0">
        <w:t>ustively studied.</w:t>
      </w:r>
    </w:p>
    <w:p w:rsidR="00AE090E" w:rsidRPr="002C41DB" w:rsidRDefault="00AE090E" w:rsidP="00A74018">
      <w:pPr>
        <w:pStyle w:val="Heading4"/>
      </w:pPr>
      <w:bookmarkStart w:id="137" w:name="_Toc272414645"/>
      <w:bookmarkStart w:id="138" w:name="_Toc290846267"/>
      <w:bookmarkStart w:id="139" w:name="_Toc378790180"/>
      <w:r w:rsidRPr="002C41DB">
        <w:t>Relationship between drug concentration and pharmacodynamic effects</w:t>
      </w:r>
      <w:bookmarkEnd w:id="137"/>
      <w:bookmarkEnd w:id="138"/>
      <w:bookmarkEnd w:id="139"/>
    </w:p>
    <w:p w:rsidR="00AE090E" w:rsidRPr="002C41DB" w:rsidRDefault="00AE090E" w:rsidP="00AE090E">
      <w:r w:rsidRPr="002C41DB">
        <w:t xml:space="preserve">Not studied, however dose comparability of effect by comparison with the reference insulin (Lantus EU) was the intended purpose of the </w:t>
      </w:r>
      <w:r w:rsidR="00216E0E">
        <w:t>Phase I</w:t>
      </w:r>
      <w:r w:rsidRPr="002C41DB">
        <w:t xml:space="preserve"> studies.</w:t>
      </w:r>
      <w:r w:rsidR="009F388C">
        <w:t xml:space="preserve"> </w:t>
      </w:r>
      <w:r w:rsidRPr="002C41DB">
        <w:t xml:space="preserve">One study, Study ABEM, studied comparability of </w:t>
      </w:r>
      <w:proofErr w:type="spellStart"/>
      <w:r w:rsidR="00216E0E">
        <w:t>Abasria</w:t>
      </w:r>
      <w:proofErr w:type="spellEnd"/>
      <w:r w:rsidRPr="002C41DB">
        <w:t xml:space="preserve"> against Lantus EU at two dose levels.</w:t>
      </w:r>
    </w:p>
    <w:p w:rsidR="00AE090E" w:rsidRPr="002C41DB" w:rsidRDefault="00AE090E" w:rsidP="00A74018">
      <w:pPr>
        <w:pStyle w:val="Heading4"/>
      </w:pPr>
      <w:bookmarkStart w:id="140" w:name="_Toc241374304"/>
      <w:bookmarkStart w:id="141" w:name="_Toc272414646"/>
      <w:bookmarkStart w:id="142" w:name="_Toc290846268"/>
      <w:bookmarkStart w:id="143" w:name="_Toc378790181"/>
      <w:r w:rsidRPr="002C41DB">
        <w:t>Genetic-, gender- and age-related differences in pharmacodynamic response</w:t>
      </w:r>
      <w:bookmarkEnd w:id="140"/>
      <w:bookmarkEnd w:id="141"/>
      <w:bookmarkEnd w:id="142"/>
      <w:bookmarkEnd w:id="143"/>
    </w:p>
    <w:p w:rsidR="00AE090E" w:rsidRPr="002C41DB" w:rsidRDefault="00AE090E" w:rsidP="00AE090E">
      <w:r w:rsidRPr="002C41DB">
        <w:t xml:space="preserve">Not studied. Different </w:t>
      </w:r>
      <w:r w:rsidR="00216E0E">
        <w:t>Phase I</w:t>
      </w:r>
      <w:r w:rsidRPr="002C41DB">
        <w:t xml:space="preserve"> studies had a variable ethnic </w:t>
      </w:r>
      <w:proofErr w:type="gramStart"/>
      <w:r w:rsidRPr="002C41DB">
        <w:t>mix,</w:t>
      </w:r>
      <w:proofErr w:type="gramEnd"/>
      <w:r w:rsidRPr="002C41DB">
        <w:t xml:space="preserve"> most subjects were male and Caucasian or Asian (presumed, Chinese) adults under 50 years of age. Too few data were collected for any comparisons to be made.</w:t>
      </w:r>
    </w:p>
    <w:p w:rsidR="00AE090E" w:rsidRPr="002C41DB" w:rsidRDefault="00AE090E" w:rsidP="00A74018">
      <w:pPr>
        <w:pStyle w:val="Heading4"/>
      </w:pPr>
      <w:bookmarkStart w:id="144" w:name="_Toc241374303"/>
      <w:bookmarkStart w:id="145" w:name="_Toc272414647"/>
      <w:bookmarkStart w:id="146" w:name="_Toc290846269"/>
      <w:bookmarkStart w:id="147" w:name="_Toc378790182"/>
      <w:r w:rsidRPr="002C41DB">
        <w:t>Pharmacodynamic interactions</w:t>
      </w:r>
      <w:bookmarkEnd w:id="144"/>
      <w:bookmarkEnd w:id="145"/>
      <w:bookmarkEnd w:id="146"/>
      <w:bookmarkEnd w:id="147"/>
    </w:p>
    <w:p w:rsidR="00AE090E" w:rsidRDefault="00AE090E" w:rsidP="00AE090E">
      <w:r>
        <w:t>Not studied.</w:t>
      </w:r>
    </w:p>
    <w:p w:rsidR="00AE090E" w:rsidRDefault="00AE090E" w:rsidP="00A74018">
      <w:pPr>
        <w:pStyle w:val="Heading3"/>
      </w:pPr>
      <w:bookmarkStart w:id="148" w:name="_Ref269983272"/>
      <w:bookmarkStart w:id="149" w:name="_Toc272414648"/>
      <w:bookmarkStart w:id="150" w:name="_Toc290846270"/>
      <w:bookmarkStart w:id="151" w:name="_Toc378790183"/>
      <w:bookmarkStart w:id="152" w:name="_Toc416955625"/>
      <w:r>
        <w:t>Evaluator’s overall conclusions on pharmacodynamics</w:t>
      </w:r>
      <w:bookmarkEnd w:id="148"/>
      <w:bookmarkEnd w:id="149"/>
      <w:bookmarkEnd w:id="150"/>
      <w:bookmarkEnd w:id="151"/>
      <w:bookmarkEnd w:id="152"/>
    </w:p>
    <w:p w:rsidR="00AE090E" w:rsidRPr="00D41FD5" w:rsidRDefault="00AE090E" w:rsidP="009E282D">
      <w:r w:rsidRPr="00D41FD5">
        <w:t xml:space="preserve">The </w:t>
      </w:r>
      <w:r w:rsidR="00216E0E">
        <w:t>Phase I</w:t>
      </w:r>
      <w:r w:rsidRPr="00D41FD5">
        <w:t xml:space="preserve"> studies were more successful as PD studies than as PK studies</w:t>
      </w:r>
      <w:r>
        <w:t xml:space="preserve"> notwithstanding the duration of most studies (24 hours)</w:t>
      </w:r>
      <w:r w:rsidRPr="00D41FD5">
        <w:t>.</w:t>
      </w:r>
    </w:p>
    <w:p w:rsidR="00AE090E" w:rsidRPr="00327C47" w:rsidRDefault="00AE090E" w:rsidP="009E282D">
      <w:pPr>
        <w:rPr>
          <w:rFonts w:cs="Times-Roman"/>
        </w:rPr>
      </w:pPr>
      <w:r w:rsidRPr="005D0E49">
        <w:t xml:space="preserve">The </w:t>
      </w:r>
      <w:r w:rsidR="00216E0E">
        <w:t>Phase I</w:t>
      </w:r>
      <w:r w:rsidRPr="005D0E49">
        <w:t xml:space="preserve"> studies adequately </w:t>
      </w:r>
      <w:r>
        <w:t xml:space="preserve">address the requirements of the adopted EU guideline </w:t>
      </w:r>
      <w:r w:rsidRPr="00327C47">
        <w:rPr>
          <w:rFonts w:cs="Times-Roman"/>
        </w:rPr>
        <w:t xml:space="preserve">EMEA/CHMP/BMWP/32775/2005 </w:t>
      </w:r>
      <w:r w:rsidR="00A74018" w:rsidRPr="00327C47">
        <w:rPr>
          <w:rFonts w:cs="Times-Roman"/>
        </w:rPr>
        <w:t>Annex To Guideline On Similar Biological Medicinal Products Containing Biotechnology-Derive</w:t>
      </w:r>
      <w:r w:rsidR="00270FA0">
        <w:rPr>
          <w:rFonts w:cs="Times-Roman"/>
        </w:rPr>
        <w:t>d Proteins As Active Substance:</w:t>
      </w:r>
    </w:p>
    <w:p w:rsidR="00AE090E" w:rsidRDefault="00A74018" w:rsidP="009E282D">
      <w:r w:rsidRPr="00327C47">
        <w:rPr>
          <w:rFonts w:cs="Times-Roman"/>
        </w:rPr>
        <w:t>Non-Clinical And Clinical Issues - Guidance On Similar Medicinal Products Containing Recombinant Human Soluble Insulin</w:t>
      </w:r>
      <w:r w:rsidRPr="00327C47">
        <w:t>,</w:t>
      </w:r>
      <w:r w:rsidR="00AE090E">
        <w:t xml:space="preserve"> noting that the short duration of studies in healthy </w:t>
      </w:r>
      <w:r w:rsidR="00AE090E">
        <w:lastRenderedPageBreak/>
        <w:t xml:space="preserve">volunteers could not capture the full duration of action of insulin </w:t>
      </w:r>
      <w:proofErr w:type="spellStart"/>
      <w:r w:rsidR="00AE090E">
        <w:t>glargine</w:t>
      </w:r>
      <w:proofErr w:type="spellEnd"/>
      <w:r w:rsidR="00AE090E">
        <w:t xml:space="preserve"> and that the study in patients with T1DM did not capture the </w:t>
      </w:r>
      <w:r w:rsidR="00AE090E" w:rsidRPr="005D0E49">
        <w:t xml:space="preserve">full duration of action of insulin </w:t>
      </w:r>
      <w:proofErr w:type="spellStart"/>
      <w:r w:rsidR="00AE090E" w:rsidRPr="005D0E49">
        <w:t>glargine</w:t>
      </w:r>
      <w:proofErr w:type="spellEnd"/>
      <w:r w:rsidR="00AE090E">
        <w:t xml:space="preserve"> in a minority of subjec</w:t>
      </w:r>
      <w:r w:rsidR="00270FA0">
        <w:t>ts in each and/or both periods:</w:t>
      </w:r>
    </w:p>
    <w:p w:rsidR="00AE090E" w:rsidRPr="005D0E49" w:rsidRDefault="00127BD9" w:rsidP="00A74018">
      <w:pPr>
        <w:ind w:left="284"/>
        <w:rPr>
          <w:sz w:val="20"/>
          <w:szCs w:val="20"/>
        </w:rPr>
      </w:pPr>
      <w:r>
        <w:rPr>
          <w:sz w:val="20"/>
          <w:szCs w:val="20"/>
        </w:rPr>
        <w:t>‘</w:t>
      </w:r>
      <w:r w:rsidR="00AE090E" w:rsidRPr="00A74018">
        <w:rPr>
          <w:i/>
        </w:rPr>
        <w:t>The</w:t>
      </w:r>
      <w:r w:rsidR="009F388C" w:rsidRPr="00A74018">
        <w:rPr>
          <w:i/>
        </w:rPr>
        <w:t xml:space="preserve"> </w:t>
      </w:r>
      <w:r w:rsidR="00AE090E" w:rsidRPr="00A74018">
        <w:rPr>
          <w:i/>
        </w:rPr>
        <w:t>clinical</w:t>
      </w:r>
      <w:r w:rsidR="009F388C" w:rsidRPr="00A74018">
        <w:rPr>
          <w:i/>
        </w:rPr>
        <w:t xml:space="preserve"> </w:t>
      </w:r>
      <w:r w:rsidR="00AE090E" w:rsidRPr="00A74018">
        <w:rPr>
          <w:i/>
        </w:rPr>
        <w:t>activity</w:t>
      </w:r>
      <w:r w:rsidR="009F388C" w:rsidRPr="00A74018">
        <w:rPr>
          <w:i/>
        </w:rPr>
        <w:t xml:space="preserve"> </w:t>
      </w:r>
      <w:r w:rsidR="00AE090E" w:rsidRPr="00A74018">
        <w:rPr>
          <w:i/>
        </w:rPr>
        <w:t>of</w:t>
      </w:r>
      <w:r w:rsidR="009F388C" w:rsidRPr="00A74018">
        <w:rPr>
          <w:i/>
        </w:rPr>
        <w:t xml:space="preserve"> </w:t>
      </w:r>
      <w:r w:rsidR="00AE090E" w:rsidRPr="00A74018">
        <w:rPr>
          <w:i/>
        </w:rPr>
        <w:t>an</w:t>
      </w:r>
      <w:r w:rsidR="009F388C" w:rsidRPr="00A74018">
        <w:rPr>
          <w:i/>
        </w:rPr>
        <w:t xml:space="preserve"> </w:t>
      </w:r>
      <w:r w:rsidR="00AE090E" w:rsidRPr="00A74018">
        <w:rPr>
          <w:i/>
        </w:rPr>
        <w:t>insulin</w:t>
      </w:r>
      <w:r w:rsidR="009F388C" w:rsidRPr="00A74018">
        <w:rPr>
          <w:i/>
        </w:rPr>
        <w:t xml:space="preserve"> </w:t>
      </w:r>
      <w:r w:rsidR="00AE090E" w:rsidRPr="00A74018">
        <w:rPr>
          <w:i/>
        </w:rPr>
        <w:t>preparation</w:t>
      </w:r>
      <w:r w:rsidR="009F388C" w:rsidRPr="00A74018">
        <w:rPr>
          <w:i/>
        </w:rPr>
        <w:t xml:space="preserve"> </w:t>
      </w:r>
      <w:r w:rsidR="00AE090E" w:rsidRPr="00A74018">
        <w:rPr>
          <w:i/>
        </w:rPr>
        <w:t>is</w:t>
      </w:r>
      <w:r w:rsidR="009F388C" w:rsidRPr="00A74018">
        <w:rPr>
          <w:i/>
        </w:rPr>
        <w:t xml:space="preserve"> </w:t>
      </w:r>
      <w:r w:rsidR="00AE090E" w:rsidRPr="00A74018">
        <w:rPr>
          <w:i/>
        </w:rPr>
        <w:t>determined</w:t>
      </w:r>
      <w:r w:rsidR="009F388C" w:rsidRPr="00A74018">
        <w:rPr>
          <w:i/>
        </w:rPr>
        <w:t xml:space="preserve"> </w:t>
      </w:r>
      <w:r w:rsidR="00AE090E" w:rsidRPr="00A74018">
        <w:rPr>
          <w:i/>
        </w:rPr>
        <w:t>by</w:t>
      </w:r>
      <w:r w:rsidR="009F388C" w:rsidRPr="00A74018">
        <w:rPr>
          <w:i/>
        </w:rPr>
        <w:t xml:space="preserve"> </w:t>
      </w:r>
      <w:r w:rsidR="00AE090E" w:rsidRPr="00A74018">
        <w:rPr>
          <w:i/>
        </w:rPr>
        <w:t>its</w:t>
      </w:r>
      <w:r w:rsidR="009F388C" w:rsidRPr="00A74018">
        <w:rPr>
          <w:i/>
        </w:rPr>
        <w:t xml:space="preserve"> </w:t>
      </w:r>
      <w:r w:rsidR="00AE090E" w:rsidRPr="00A74018">
        <w:rPr>
          <w:i/>
        </w:rPr>
        <w:t>time-effect</w:t>
      </w:r>
      <w:r w:rsidR="009F388C" w:rsidRPr="00A74018">
        <w:rPr>
          <w:i/>
        </w:rPr>
        <w:t xml:space="preserve"> </w:t>
      </w:r>
      <w:r w:rsidR="00AE090E" w:rsidRPr="00A74018">
        <w:rPr>
          <w:i/>
        </w:rPr>
        <w:t>profile</w:t>
      </w:r>
      <w:r w:rsidR="009F388C" w:rsidRPr="00A74018">
        <w:rPr>
          <w:i/>
        </w:rPr>
        <w:t xml:space="preserve"> </w:t>
      </w:r>
      <w:r w:rsidR="00AE090E" w:rsidRPr="00A74018">
        <w:rPr>
          <w:i/>
        </w:rPr>
        <w:t>of hypoglycaemic</w:t>
      </w:r>
      <w:r w:rsidR="009F388C" w:rsidRPr="00A74018">
        <w:rPr>
          <w:i/>
        </w:rPr>
        <w:t xml:space="preserve"> </w:t>
      </w:r>
      <w:r w:rsidR="00AE090E" w:rsidRPr="00A74018">
        <w:rPr>
          <w:i/>
        </w:rPr>
        <w:t>response,</w:t>
      </w:r>
      <w:r w:rsidR="009F388C" w:rsidRPr="00A74018">
        <w:rPr>
          <w:i/>
        </w:rPr>
        <w:t xml:space="preserve"> </w:t>
      </w:r>
      <w:r w:rsidR="00AE090E" w:rsidRPr="00A74018">
        <w:rPr>
          <w:i/>
        </w:rPr>
        <w:t>which</w:t>
      </w:r>
      <w:r w:rsidR="009F388C" w:rsidRPr="00A74018">
        <w:rPr>
          <w:i/>
        </w:rPr>
        <w:t xml:space="preserve"> </w:t>
      </w:r>
      <w:r w:rsidR="00AE090E" w:rsidRPr="00A74018">
        <w:rPr>
          <w:i/>
        </w:rPr>
        <w:t>incorporates</w:t>
      </w:r>
      <w:r w:rsidR="009F388C" w:rsidRPr="00A74018">
        <w:rPr>
          <w:i/>
        </w:rPr>
        <w:t xml:space="preserve"> </w:t>
      </w:r>
      <w:r w:rsidR="00AE090E" w:rsidRPr="00A74018">
        <w:rPr>
          <w:i/>
        </w:rPr>
        <w:t>components</w:t>
      </w:r>
      <w:r w:rsidR="009F388C" w:rsidRPr="00A74018">
        <w:rPr>
          <w:i/>
        </w:rPr>
        <w:t xml:space="preserve"> </w:t>
      </w:r>
      <w:r w:rsidR="00AE090E" w:rsidRPr="00A74018">
        <w:rPr>
          <w:i/>
        </w:rPr>
        <w:t>of</w:t>
      </w:r>
      <w:r w:rsidR="009F388C" w:rsidRPr="00A74018">
        <w:rPr>
          <w:i/>
        </w:rPr>
        <w:t xml:space="preserve"> </w:t>
      </w:r>
      <w:r w:rsidR="00AE090E" w:rsidRPr="00A74018">
        <w:rPr>
          <w:i/>
        </w:rPr>
        <w:t>pharmacodynamics</w:t>
      </w:r>
      <w:r w:rsidR="009F388C" w:rsidRPr="00A74018">
        <w:rPr>
          <w:i/>
        </w:rPr>
        <w:t xml:space="preserve"> </w:t>
      </w:r>
      <w:r w:rsidR="00AE090E" w:rsidRPr="00A74018">
        <w:rPr>
          <w:i/>
        </w:rPr>
        <w:t xml:space="preserve">and pharmacokinetics. Pharmacodynamic data are of primary importance to demonstrate comparability of a similar </w:t>
      </w:r>
      <w:proofErr w:type="spellStart"/>
      <w:r w:rsidR="00AE090E" w:rsidRPr="00A74018">
        <w:rPr>
          <w:i/>
        </w:rPr>
        <w:t>rh</w:t>
      </w:r>
      <w:proofErr w:type="spellEnd"/>
      <w:r w:rsidR="00AE090E" w:rsidRPr="00A74018">
        <w:rPr>
          <w:i/>
        </w:rPr>
        <w:t>-insulin.</w:t>
      </w:r>
      <w:r w:rsidR="009F388C" w:rsidRPr="00A74018">
        <w:rPr>
          <w:i/>
        </w:rPr>
        <w:t xml:space="preserve"> </w:t>
      </w:r>
      <w:r w:rsidR="00AE090E" w:rsidRPr="00A74018">
        <w:rPr>
          <w:i/>
        </w:rPr>
        <w:t>The</w:t>
      </w:r>
      <w:r w:rsidR="009F388C" w:rsidRPr="00A74018">
        <w:rPr>
          <w:i/>
        </w:rPr>
        <w:t xml:space="preserve"> </w:t>
      </w:r>
      <w:r w:rsidR="00AE090E" w:rsidRPr="00A74018">
        <w:rPr>
          <w:i/>
        </w:rPr>
        <w:t>double-blind,</w:t>
      </w:r>
      <w:r w:rsidR="009F388C" w:rsidRPr="00A74018">
        <w:rPr>
          <w:i/>
        </w:rPr>
        <w:t xml:space="preserve"> </w:t>
      </w:r>
      <w:r w:rsidR="00AE090E" w:rsidRPr="00A74018">
        <w:rPr>
          <w:i/>
        </w:rPr>
        <w:t>crossover</w:t>
      </w:r>
      <w:r w:rsidR="009F388C" w:rsidRPr="00A74018">
        <w:rPr>
          <w:i/>
        </w:rPr>
        <w:t xml:space="preserve"> </w:t>
      </w:r>
      <w:proofErr w:type="spellStart"/>
      <w:r w:rsidR="00AE090E" w:rsidRPr="00A74018">
        <w:rPr>
          <w:i/>
        </w:rPr>
        <w:t>hyperinsulinaemic</w:t>
      </w:r>
      <w:proofErr w:type="spellEnd"/>
      <w:r w:rsidR="009F388C" w:rsidRPr="00A74018">
        <w:rPr>
          <w:i/>
        </w:rPr>
        <w:t xml:space="preserve"> </w:t>
      </w:r>
      <w:proofErr w:type="spellStart"/>
      <w:r w:rsidR="00AE090E" w:rsidRPr="00A74018">
        <w:rPr>
          <w:i/>
        </w:rPr>
        <w:t>euglycaemic</w:t>
      </w:r>
      <w:proofErr w:type="spellEnd"/>
      <w:r w:rsidR="009F388C" w:rsidRPr="00A74018">
        <w:rPr>
          <w:i/>
        </w:rPr>
        <w:t xml:space="preserve"> </w:t>
      </w:r>
      <w:r w:rsidR="00AE090E" w:rsidRPr="00A74018">
        <w:rPr>
          <w:i/>
        </w:rPr>
        <w:t>clamp</w:t>
      </w:r>
      <w:r w:rsidR="009F388C" w:rsidRPr="00A74018">
        <w:rPr>
          <w:i/>
        </w:rPr>
        <w:t xml:space="preserve"> </w:t>
      </w:r>
      <w:r w:rsidR="00AE090E" w:rsidRPr="00A74018">
        <w:rPr>
          <w:i/>
        </w:rPr>
        <w:t>study</w:t>
      </w:r>
      <w:r w:rsidR="009F388C" w:rsidRPr="00A74018">
        <w:rPr>
          <w:i/>
        </w:rPr>
        <w:t xml:space="preserve"> </w:t>
      </w:r>
      <w:r w:rsidR="00AE090E" w:rsidRPr="00A74018">
        <w:rPr>
          <w:i/>
        </w:rPr>
        <w:t>is suitable</w:t>
      </w:r>
      <w:r w:rsidR="009F388C" w:rsidRPr="00A74018">
        <w:rPr>
          <w:i/>
        </w:rPr>
        <w:t xml:space="preserve"> </w:t>
      </w:r>
      <w:r w:rsidR="00AE090E" w:rsidRPr="00A74018">
        <w:rPr>
          <w:i/>
        </w:rPr>
        <w:t>for</w:t>
      </w:r>
      <w:r w:rsidR="009F388C" w:rsidRPr="00A74018">
        <w:rPr>
          <w:i/>
        </w:rPr>
        <w:t xml:space="preserve"> </w:t>
      </w:r>
      <w:r w:rsidR="00AE090E" w:rsidRPr="00A74018">
        <w:rPr>
          <w:i/>
        </w:rPr>
        <w:t>this</w:t>
      </w:r>
      <w:r w:rsidR="009F388C" w:rsidRPr="00A74018">
        <w:rPr>
          <w:i/>
        </w:rPr>
        <w:t xml:space="preserve"> </w:t>
      </w:r>
      <w:r w:rsidR="00AE090E" w:rsidRPr="00A74018">
        <w:rPr>
          <w:i/>
        </w:rPr>
        <w:t>characterisation. Data on comparability regarding glucose infusion rate and serum insulin concentrations should be made available. The choice of study population and study duration should be justified. Plasma glucose levels should be obtained as part of the PK study following subcutaneous administration</w:t>
      </w:r>
      <w:proofErr w:type="gramStart"/>
      <w:r w:rsidR="00270FA0">
        <w:rPr>
          <w:sz w:val="20"/>
          <w:szCs w:val="20"/>
        </w:rPr>
        <w:t>.</w:t>
      </w:r>
      <w:r>
        <w:rPr>
          <w:sz w:val="20"/>
          <w:szCs w:val="20"/>
        </w:rPr>
        <w:t>‘</w:t>
      </w:r>
      <w:proofErr w:type="gramEnd"/>
    </w:p>
    <w:p w:rsidR="00AE090E" w:rsidRDefault="00AE090E" w:rsidP="009E282D">
      <w:r>
        <w:t xml:space="preserve">Does </w:t>
      </w:r>
      <w:proofErr w:type="spellStart"/>
      <w:r w:rsidR="00216E0E">
        <w:t>Abasria</w:t>
      </w:r>
      <w:proofErr w:type="spellEnd"/>
      <w:r w:rsidRPr="00D41FD5">
        <w:t xml:space="preserve"> ha</w:t>
      </w:r>
      <w:r>
        <w:t>ve</w:t>
      </w:r>
      <w:r w:rsidRPr="00D41FD5">
        <w:t xml:space="preserve"> PD profiles equivalent to </w:t>
      </w:r>
      <w:r w:rsidR="00127BD9">
        <w:t>Lantus</w:t>
      </w:r>
      <w:r>
        <w:t>?</w:t>
      </w:r>
    </w:p>
    <w:p w:rsidR="00AE090E" w:rsidRPr="00770528" w:rsidRDefault="00AE090E" w:rsidP="009E282D">
      <w:r>
        <w:t xml:space="preserve">Yes, this is shown directly by </w:t>
      </w:r>
      <w:proofErr w:type="spellStart"/>
      <w:r>
        <w:t>glucodynamic</w:t>
      </w:r>
      <w:proofErr w:type="spellEnd"/>
      <w:r>
        <w:t xml:space="preserve"> parameters and by the influence on C-peptide levels in healthy volunteers. The Lantus used was Lantus EU.</w:t>
      </w:r>
    </w:p>
    <w:p w:rsidR="00586F98" w:rsidRDefault="00C22678" w:rsidP="00DB7BE5">
      <w:pPr>
        <w:pStyle w:val="Heading2"/>
      </w:pPr>
      <w:bookmarkStart w:id="153" w:name="_Toc416955626"/>
      <w:r>
        <w:t>Dosage selection for the pivotal studies</w:t>
      </w:r>
      <w:bookmarkEnd w:id="153"/>
    </w:p>
    <w:p w:rsidR="00AE090E" w:rsidRDefault="00216E0E" w:rsidP="00AE090E">
      <w:proofErr w:type="spellStart"/>
      <w:r>
        <w:t>Abasria</w:t>
      </w:r>
      <w:proofErr w:type="spellEnd"/>
      <w:r w:rsidR="00AE090E">
        <w:t xml:space="preserve"> is modelled as a biosimilar version of Lantus, and the nonclinical (preclinical) data supported comparability of Lantus and </w:t>
      </w:r>
      <w:proofErr w:type="spellStart"/>
      <w:r>
        <w:t>Abasria</w:t>
      </w:r>
      <w:proofErr w:type="spellEnd"/>
      <w:r w:rsidR="00AE090E">
        <w:t>.</w:t>
      </w:r>
      <w:r w:rsidR="009F388C">
        <w:t xml:space="preserve"> </w:t>
      </w:r>
      <w:r w:rsidR="00AE090E">
        <w:t xml:space="preserve">Therefore, the </w:t>
      </w:r>
      <w:r>
        <w:t>Phase III</w:t>
      </w:r>
      <w:r w:rsidR="00AE090E">
        <w:t xml:space="preserve"> Studies treated the enrolled patients according to the locally approved PI of Lantus and according to a reasonable treatment algorithm (Study ABEC) or reasonable principles (Study ABEB).</w:t>
      </w:r>
    </w:p>
    <w:p w:rsidR="00C22678" w:rsidRDefault="00C22678" w:rsidP="00A74018">
      <w:pPr>
        <w:pStyle w:val="Heading2"/>
      </w:pPr>
      <w:bookmarkStart w:id="154" w:name="_Toc416955627"/>
      <w:r>
        <w:t>Clinical efficacy</w:t>
      </w:r>
      <w:bookmarkEnd w:id="154"/>
    </w:p>
    <w:p w:rsidR="00AE090E" w:rsidRDefault="00AE090E" w:rsidP="00AE090E">
      <w:r>
        <w:t>Lantus is registered with the following composite indica</w:t>
      </w:r>
      <w:r w:rsidR="00270FA0">
        <w:t>tion, as represented in the PI:</w:t>
      </w:r>
    </w:p>
    <w:p w:rsidR="00AE090E" w:rsidRDefault="00127BD9" w:rsidP="00AE090E">
      <w:pPr>
        <w:ind w:left="284"/>
      </w:pPr>
      <w:r>
        <w:t>‘</w:t>
      </w:r>
      <w:r w:rsidR="00AE090E" w:rsidRPr="00A74018">
        <w:rPr>
          <w:i/>
        </w:rPr>
        <w:t xml:space="preserve">Insulin </w:t>
      </w:r>
      <w:proofErr w:type="spellStart"/>
      <w:r w:rsidR="00AE090E" w:rsidRPr="00A74018">
        <w:rPr>
          <w:i/>
        </w:rPr>
        <w:t>glargine</w:t>
      </w:r>
      <w:proofErr w:type="spellEnd"/>
      <w:r w:rsidR="00AE090E" w:rsidRPr="00A74018">
        <w:rPr>
          <w:i/>
        </w:rPr>
        <w:t xml:space="preserve"> is an insulin analogue indicated for once-daily subcutaneous administration in the treatment of type 1 diabetes mellitus in adults and children and type 2 diabetes mellitus in adults who require insulin for the control of hyperglycaemia</w:t>
      </w:r>
      <w:r w:rsidR="00AE090E">
        <w:t>.</w:t>
      </w:r>
      <w:r>
        <w:t>’</w:t>
      </w:r>
    </w:p>
    <w:p w:rsidR="00AE090E" w:rsidRDefault="00AE090E" w:rsidP="00AE090E">
      <w:r>
        <w:t>The first indication is subdivided in to adults and children; the second is limited to adults.</w:t>
      </w:r>
    </w:p>
    <w:p w:rsidR="00AE090E" w:rsidRDefault="00AE090E" w:rsidP="00AE090E">
      <w:r>
        <w:t xml:space="preserve">There are two </w:t>
      </w:r>
      <w:r w:rsidR="00216E0E">
        <w:t>Phase III</w:t>
      </w:r>
      <w:r>
        <w:t xml:space="preserve"> studies in this submiss</w:t>
      </w:r>
      <w:r w:rsidR="00270FA0">
        <w:t>ion, Study ABEC and Study ABEB.</w:t>
      </w:r>
    </w:p>
    <w:p w:rsidR="00A74018" w:rsidRDefault="00A74018" w:rsidP="00A74018">
      <w:bookmarkStart w:id="155" w:name="_Toc378791314"/>
      <w:r>
        <w:t xml:space="preserve">The following </w:t>
      </w:r>
      <w:r w:rsidR="007D4FBC">
        <w:t>t</w:t>
      </w:r>
      <w:r>
        <w:t>able, from Module 2.7 of the submission, includes a brief description of the studies:</w:t>
      </w:r>
    </w:p>
    <w:p w:rsidR="00AE090E" w:rsidRDefault="00AE090E" w:rsidP="00DB7BE5">
      <w:pPr>
        <w:pStyle w:val="Tabletitle"/>
      </w:pPr>
      <w:r>
        <w:lastRenderedPageBreak/>
        <w:t xml:space="preserve">Table </w:t>
      </w:r>
      <w:r w:rsidR="00A74018">
        <w:t>14:</w:t>
      </w:r>
      <w:r>
        <w:t xml:space="preserve"> </w:t>
      </w:r>
      <w:r w:rsidR="00A74018">
        <w:t>B</w:t>
      </w:r>
      <w:r w:rsidRPr="002C26CD">
        <w:t xml:space="preserve">rief description of the </w:t>
      </w:r>
      <w:r w:rsidR="003C0373">
        <w:t>p</w:t>
      </w:r>
      <w:r w:rsidR="00216E0E">
        <w:t>hase III</w:t>
      </w:r>
      <w:r>
        <w:t xml:space="preserve"> </w:t>
      </w:r>
      <w:r w:rsidRPr="002C26CD">
        <w:t>studies</w:t>
      </w:r>
      <w:bookmarkEnd w:id="155"/>
      <w:r w:rsidR="00A74018">
        <w:t xml:space="preserve"> </w:t>
      </w:r>
      <w:r w:rsidR="003C0373">
        <w:t>e</w:t>
      </w:r>
      <w:r w:rsidR="00A74018">
        <w:t xml:space="preserve">fficacy and </w:t>
      </w:r>
      <w:r w:rsidR="003C0373">
        <w:t>s</w:t>
      </w:r>
      <w:r w:rsidR="00A74018">
        <w:t xml:space="preserve">afety studies supporting the use of </w:t>
      </w:r>
      <w:r w:rsidR="00A74018" w:rsidRPr="00DB7BE5">
        <w:t>LY2963016</w:t>
      </w:r>
      <w:r w:rsidR="00A74018">
        <w:t xml:space="preserve"> in patients with T1DM and T2DM</w:t>
      </w:r>
    </w:p>
    <w:p w:rsidR="00882EDF" w:rsidRPr="00882EDF" w:rsidRDefault="00882EDF" w:rsidP="00DB7BE5">
      <w:r>
        <w:rPr>
          <w:noProof/>
          <w:lang w:eastAsia="en-AU"/>
        </w:rPr>
        <w:drawing>
          <wp:inline distT="0" distB="0" distL="0" distR="0" wp14:anchorId="22491691" wp14:editId="68F37883">
            <wp:extent cx="4235938" cy="3824563"/>
            <wp:effectExtent l="0" t="0" r="0" b="0"/>
            <wp:docPr id="19" name="Picture 19" descr="Table 14: Brief description of the Phase III studies Efficacy and Safety studies supporting the use of LY2963016 in patients with T1DM and T2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39855" cy="3828099"/>
                    </a:xfrm>
                    <a:prstGeom prst="rect">
                      <a:avLst/>
                    </a:prstGeom>
                  </pic:spPr>
                </pic:pic>
              </a:graphicData>
            </a:graphic>
          </wp:inline>
        </w:drawing>
      </w:r>
    </w:p>
    <w:p w:rsidR="00AE090E" w:rsidRPr="003C0A48" w:rsidRDefault="00AE090E" w:rsidP="00882EDF">
      <w:pPr>
        <w:pStyle w:val="Heading3"/>
      </w:pPr>
      <w:bookmarkStart w:id="156" w:name="_Toc378790186"/>
      <w:bookmarkStart w:id="157" w:name="_Toc416955628"/>
      <w:r>
        <w:t>Treatment of T2DM in Adults</w:t>
      </w:r>
      <w:bookmarkEnd w:id="156"/>
      <w:bookmarkEnd w:id="157"/>
    </w:p>
    <w:p w:rsidR="00AE090E" w:rsidRDefault="00AE090E" w:rsidP="00882EDF">
      <w:pPr>
        <w:pStyle w:val="Heading4"/>
      </w:pPr>
      <w:bookmarkStart w:id="158" w:name="_Ref271037274"/>
      <w:bookmarkStart w:id="159" w:name="_Toc272414652"/>
      <w:bookmarkStart w:id="160" w:name="_Toc290846274"/>
      <w:bookmarkStart w:id="161" w:name="_Toc378790187"/>
      <w:r>
        <w:t>Pivotal efficacy studies</w:t>
      </w:r>
      <w:bookmarkEnd w:id="158"/>
      <w:bookmarkEnd w:id="159"/>
      <w:bookmarkEnd w:id="160"/>
      <w:bookmarkEnd w:id="161"/>
    </w:p>
    <w:p w:rsidR="00AE090E" w:rsidRDefault="00AE090E" w:rsidP="00882EDF">
      <w:pPr>
        <w:pStyle w:val="Heading5"/>
      </w:pPr>
      <w:bookmarkStart w:id="162" w:name="_Ref243301615"/>
      <w:bookmarkStart w:id="163" w:name="_Ref271040927"/>
      <w:bookmarkStart w:id="164" w:name="_Ref271040932"/>
      <w:bookmarkStart w:id="165" w:name="_Toc272414653"/>
      <w:bookmarkStart w:id="166" w:name="_Toc290846275"/>
      <w:bookmarkStart w:id="167" w:name="_Toc378790188"/>
      <w:r w:rsidRPr="003C0A48">
        <w:t>S</w:t>
      </w:r>
      <w:r>
        <w:t>tudy ABEC</w:t>
      </w:r>
      <w:r w:rsidRPr="003C0A48">
        <w:t xml:space="preserve"> </w:t>
      </w:r>
      <w:bookmarkEnd w:id="162"/>
      <w:r>
        <w:t>[S</w:t>
      </w:r>
      <w:r w:rsidRPr="003C0A48">
        <w:t xml:space="preserve">tudy </w:t>
      </w:r>
      <w:r>
        <w:t>14L-MC-ABEC</w:t>
      </w:r>
      <w:bookmarkEnd w:id="163"/>
      <w:bookmarkEnd w:id="164"/>
      <w:bookmarkEnd w:id="165"/>
      <w:bookmarkEnd w:id="166"/>
      <w:r>
        <w:t>]</w:t>
      </w:r>
      <w:bookmarkEnd w:id="167"/>
    </w:p>
    <w:p w:rsidR="00AE090E" w:rsidRDefault="00AE090E" w:rsidP="00521559">
      <w:r w:rsidRPr="007A15AA">
        <w:t>This study is regarded by the evaluator as the pivotal study of the submission.</w:t>
      </w:r>
    </w:p>
    <w:p w:rsidR="00AE090E" w:rsidRPr="003C0A48" w:rsidRDefault="00AE090E" w:rsidP="00521559">
      <w:pPr>
        <w:pStyle w:val="Heading6"/>
      </w:pPr>
      <w:r w:rsidRPr="003C0A48">
        <w:t xml:space="preserve">Study </w:t>
      </w:r>
      <w:r w:rsidRPr="00521559">
        <w:t>design</w:t>
      </w:r>
      <w:r w:rsidRPr="003C0A48">
        <w:t>, objectives, locations and dates</w:t>
      </w:r>
    </w:p>
    <w:p w:rsidR="00AE090E" w:rsidRDefault="00AE090E" w:rsidP="00AE090E">
      <w:pPr>
        <w:autoSpaceDE w:val="0"/>
        <w:autoSpaceDN w:val="0"/>
        <w:adjustRightInd w:val="0"/>
      </w:pPr>
      <w:r w:rsidRPr="005E284F">
        <w:t xml:space="preserve">From Protocol Summary – </w:t>
      </w:r>
      <w:r w:rsidR="00127BD9">
        <w:t>‘</w:t>
      </w:r>
      <w:r w:rsidRPr="00882EDF">
        <w:rPr>
          <w:i/>
        </w:rPr>
        <w:t xml:space="preserve">Study Design: A randomized, </w:t>
      </w:r>
      <w:proofErr w:type="spellStart"/>
      <w:r w:rsidRPr="00882EDF">
        <w:rPr>
          <w:i/>
        </w:rPr>
        <w:t>multicenter</w:t>
      </w:r>
      <w:proofErr w:type="spellEnd"/>
      <w:r w:rsidRPr="00882EDF">
        <w:rPr>
          <w:i/>
        </w:rPr>
        <w:t xml:space="preserve">, 2-arm, active-control, double-blind, parallel, 24-week treatment and 4-week post-treatment follow-up study in adult patients with type 2 diabetes mellitus (T2DM). The study patients should be on 2 or more OAMs and may be insulin naïve with inadequate </w:t>
      </w:r>
      <w:proofErr w:type="spellStart"/>
      <w:r w:rsidRPr="00882EDF">
        <w:rPr>
          <w:i/>
        </w:rPr>
        <w:t>glycemic</w:t>
      </w:r>
      <w:proofErr w:type="spellEnd"/>
      <w:r w:rsidRPr="00882EDF">
        <w:rPr>
          <w:i/>
        </w:rPr>
        <w:t xml:space="preserve"> control or on Lantus with adequate or inadequate </w:t>
      </w:r>
      <w:proofErr w:type="spellStart"/>
      <w:r w:rsidRPr="00882EDF">
        <w:rPr>
          <w:i/>
        </w:rPr>
        <w:t>glycemic</w:t>
      </w:r>
      <w:proofErr w:type="spellEnd"/>
      <w:r w:rsidRPr="00882EDF">
        <w:rPr>
          <w:i/>
        </w:rPr>
        <w:t xml:space="preserve"> control</w:t>
      </w:r>
      <w:r w:rsidR="00127BD9">
        <w:t>’</w:t>
      </w:r>
      <w:r>
        <w:t>;</w:t>
      </w:r>
    </w:p>
    <w:p w:rsidR="00AE090E" w:rsidRPr="00882EDF" w:rsidRDefault="00127BD9" w:rsidP="00AE090E">
      <w:pPr>
        <w:autoSpaceDE w:val="0"/>
        <w:autoSpaceDN w:val="0"/>
        <w:adjustRightInd w:val="0"/>
        <w:rPr>
          <w:i/>
        </w:rPr>
      </w:pPr>
      <w:r>
        <w:t>‘</w:t>
      </w:r>
      <w:r w:rsidR="00DB7BE5">
        <w:rPr>
          <w:i/>
        </w:rPr>
        <w:t>Lead-in period: None;</w:t>
      </w:r>
    </w:p>
    <w:p w:rsidR="00AE090E" w:rsidRPr="00882EDF" w:rsidRDefault="00DB7BE5" w:rsidP="00AE090E">
      <w:pPr>
        <w:autoSpaceDE w:val="0"/>
        <w:autoSpaceDN w:val="0"/>
        <w:adjustRightInd w:val="0"/>
        <w:rPr>
          <w:i/>
        </w:rPr>
      </w:pPr>
      <w:r>
        <w:rPr>
          <w:i/>
        </w:rPr>
        <w:t>Treatment period: 24 weeks;</w:t>
      </w:r>
    </w:p>
    <w:p w:rsidR="00AE090E" w:rsidRPr="00882EDF" w:rsidRDefault="00DB7BE5" w:rsidP="00AE090E">
      <w:pPr>
        <w:autoSpaceDE w:val="0"/>
        <w:autoSpaceDN w:val="0"/>
        <w:adjustRightInd w:val="0"/>
        <w:rPr>
          <w:i/>
        </w:rPr>
      </w:pPr>
      <w:r>
        <w:rPr>
          <w:i/>
        </w:rPr>
        <w:t>Washout period: None;</w:t>
      </w:r>
    </w:p>
    <w:p w:rsidR="00AE090E" w:rsidRPr="005E284F" w:rsidRDefault="00AE090E" w:rsidP="00AE090E">
      <w:pPr>
        <w:autoSpaceDE w:val="0"/>
        <w:autoSpaceDN w:val="0"/>
        <w:adjustRightInd w:val="0"/>
      </w:pPr>
      <w:r w:rsidRPr="00882EDF">
        <w:rPr>
          <w:i/>
        </w:rPr>
        <w:t>[Post-trial] Observation period: 4 weeks</w:t>
      </w:r>
      <w:r w:rsidR="00127BD9">
        <w:t>’</w:t>
      </w:r>
      <w:r w:rsidRPr="005E284F">
        <w:t>.</w:t>
      </w:r>
    </w:p>
    <w:p w:rsidR="00AE090E" w:rsidRPr="0029506F" w:rsidRDefault="00AE090E" w:rsidP="00521559">
      <w:pPr>
        <w:ind w:left="720"/>
      </w:pPr>
      <w:r w:rsidRPr="00F36650">
        <w:rPr>
          <w:b/>
        </w:rPr>
        <w:t>Comment</w:t>
      </w:r>
      <w:r w:rsidRPr="0029506F">
        <w:t>:</w:t>
      </w:r>
      <w:r w:rsidR="009F388C">
        <w:t xml:space="preserve"> </w:t>
      </w:r>
      <w:r w:rsidRPr="0029506F">
        <w:t>As in ABEB, this means that the first 12 weeks involved dose titration of the insulin regimen. There was as four week observation period after week 24.</w:t>
      </w:r>
    </w:p>
    <w:p w:rsidR="00AE090E" w:rsidRDefault="00AE090E" w:rsidP="00AE090E">
      <w:pPr>
        <w:autoSpaceDE w:val="0"/>
        <w:autoSpaceDN w:val="0"/>
        <w:adjustRightInd w:val="0"/>
      </w:pPr>
      <w:r w:rsidRPr="00882EDF">
        <w:rPr>
          <w:i/>
        </w:rPr>
        <w:t>Objectives:</w:t>
      </w:r>
      <w:r w:rsidR="009F388C">
        <w:t xml:space="preserve"> </w:t>
      </w:r>
      <w:r>
        <w:t>According to the final version of the protocol, they were –</w:t>
      </w:r>
    </w:p>
    <w:p w:rsidR="00AE090E" w:rsidRPr="00882EDF" w:rsidRDefault="00127BD9" w:rsidP="00AE090E">
      <w:pPr>
        <w:autoSpaceDE w:val="0"/>
        <w:autoSpaceDN w:val="0"/>
        <w:adjustRightInd w:val="0"/>
        <w:rPr>
          <w:i/>
        </w:rPr>
      </w:pPr>
      <w:r>
        <w:t>‘</w:t>
      </w:r>
      <w:r w:rsidR="00AE090E" w:rsidRPr="00882EDF">
        <w:rPr>
          <w:i/>
        </w:rPr>
        <w:t xml:space="preserve">The </w:t>
      </w:r>
      <w:r w:rsidR="00AE090E" w:rsidRPr="009E282D">
        <w:rPr>
          <w:i/>
        </w:rPr>
        <w:t>primary objective</w:t>
      </w:r>
      <w:r w:rsidR="00AE090E" w:rsidRPr="00882EDF">
        <w:rPr>
          <w:i/>
        </w:rPr>
        <w:t xml:space="preserve"> of this study is to test the hypothesis that LY2963016 administered once daily (QD) is </w:t>
      </w:r>
      <w:r w:rsidR="005B41AF">
        <w:rPr>
          <w:i/>
        </w:rPr>
        <w:t>non-inferior</w:t>
      </w:r>
      <w:r w:rsidR="00AE090E" w:rsidRPr="00882EDF">
        <w:rPr>
          <w:i/>
        </w:rPr>
        <w:t xml:space="preserve"> to Lantus (QD), as measured by change in </w:t>
      </w:r>
      <w:proofErr w:type="spellStart"/>
      <w:r w:rsidR="00AE090E" w:rsidRPr="00882EDF">
        <w:rPr>
          <w:i/>
        </w:rPr>
        <w:t>hemoglobin</w:t>
      </w:r>
      <w:proofErr w:type="spellEnd"/>
      <w:r w:rsidR="00AE090E" w:rsidRPr="00882EDF">
        <w:rPr>
          <w:i/>
        </w:rPr>
        <w:t xml:space="preserve"> A1c (HbA1c) from baseline to 24 weeks, when used in combination with oral </w:t>
      </w:r>
      <w:proofErr w:type="spellStart"/>
      <w:r w:rsidR="00AE090E" w:rsidRPr="00882EDF">
        <w:rPr>
          <w:i/>
        </w:rPr>
        <w:t>antihyperglycemic</w:t>
      </w:r>
      <w:proofErr w:type="spellEnd"/>
      <w:r w:rsidR="00AE090E" w:rsidRPr="00882EDF">
        <w:rPr>
          <w:i/>
        </w:rPr>
        <w:t xml:space="preserve"> medications (OAMs).</w:t>
      </w:r>
    </w:p>
    <w:p w:rsidR="00AE090E" w:rsidRPr="00882EDF" w:rsidRDefault="00AE090E" w:rsidP="00AE090E">
      <w:pPr>
        <w:autoSpaceDE w:val="0"/>
        <w:autoSpaceDN w:val="0"/>
        <w:adjustRightInd w:val="0"/>
        <w:rPr>
          <w:i/>
        </w:rPr>
      </w:pPr>
      <w:r w:rsidRPr="00882EDF">
        <w:rPr>
          <w:i/>
        </w:rPr>
        <w:lastRenderedPageBreak/>
        <w:t xml:space="preserve">The </w:t>
      </w:r>
      <w:r w:rsidRPr="009E282D">
        <w:rPr>
          <w:i/>
        </w:rPr>
        <w:t>secondary objectives</w:t>
      </w:r>
      <w:r w:rsidRPr="00882EDF">
        <w:rPr>
          <w:i/>
        </w:rPr>
        <w:t xml:space="preserve"> of the study are:</w:t>
      </w:r>
    </w:p>
    <w:p w:rsidR="00AE090E" w:rsidRPr="00882EDF" w:rsidRDefault="00AE090E" w:rsidP="00850CE4">
      <w:pPr>
        <w:pStyle w:val="ListBullet"/>
        <w:rPr>
          <w:i/>
        </w:rPr>
      </w:pPr>
      <w:r w:rsidRPr="00882EDF">
        <w:rPr>
          <w:i/>
        </w:rPr>
        <w:t xml:space="preserve">To compare safety of LY2963016 relative to Lantus (eg, incidence of anti-insulin antibodies, </w:t>
      </w:r>
      <w:proofErr w:type="spellStart"/>
      <w:r w:rsidRPr="00882EDF">
        <w:rPr>
          <w:i/>
        </w:rPr>
        <w:t>hypoglycemia</w:t>
      </w:r>
      <w:proofErr w:type="spellEnd"/>
      <w:r w:rsidRPr="00882EDF">
        <w:rPr>
          <w:i/>
        </w:rPr>
        <w:t>, adverse events [AEs]) when used in combination with OAMs.</w:t>
      </w:r>
    </w:p>
    <w:p w:rsidR="00AE090E" w:rsidRPr="00882EDF" w:rsidRDefault="00AE090E" w:rsidP="00850CE4">
      <w:pPr>
        <w:pStyle w:val="ListBullet"/>
        <w:rPr>
          <w:i/>
        </w:rPr>
      </w:pPr>
      <w:r w:rsidRPr="00882EDF">
        <w:rPr>
          <w:i/>
        </w:rPr>
        <w:t>To compare LY2963016 relative to Lantus for other efficacy variables (eg, change in HbA1c at 4, 8, 12, 16, and 20 weeks, 7-point self-monitored blood glucose [SMBG] profiles [as plasma equivalent values], percentage of patients with HbA1c &lt;7%, the percentage of patients with HbA1c ≤6.5%).</w:t>
      </w:r>
    </w:p>
    <w:p w:rsidR="00AE090E" w:rsidRPr="00882EDF" w:rsidRDefault="00AE090E" w:rsidP="00850CE4">
      <w:pPr>
        <w:pStyle w:val="ListBullet"/>
        <w:rPr>
          <w:i/>
        </w:rPr>
      </w:pPr>
      <w:r w:rsidRPr="00882EDF">
        <w:rPr>
          <w:i/>
        </w:rPr>
        <w:t xml:space="preserve">To compare LY2963016 relative to Lantus with regard to </w:t>
      </w:r>
      <w:proofErr w:type="spellStart"/>
      <w:r w:rsidRPr="00882EDF">
        <w:rPr>
          <w:i/>
        </w:rPr>
        <w:t>intrapatient</w:t>
      </w:r>
      <w:proofErr w:type="spellEnd"/>
      <w:r w:rsidRPr="00882EDF">
        <w:rPr>
          <w:i/>
        </w:rPr>
        <w:t xml:space="preserve"> blood glucose (BG) variability, basal insulin dose, and weight, when used in combination with OAMs.</w:t>
      </w:r>
    </w:p>
    <w:p w:rsidR="00AE090E" w:rsidRPr="00882EDF" w:rsidRDefault="00AE090E" w:rsidP="00850CE4">
      <w:pPr>
        <w:pStyle w:val="ListBullet"/>
        <w:rPr>
          <w:i/>
        </w:rPr>
      </w:pPr>
      <w:r w:rsidRPr="00882EDF">
        <w:rPr>
          <w:i/>
        </w:rPr>
        <w:t xml:space="preserve">To test the hypothesis that Lantus is </w:t>
      </w:r>
      <w:r w:rsidR="005B41AF">
        <w:rPr>
          <w:i/>
        </w:rPr>
        <w:t>non-inferior</w:t>
      </w:r>
      <w:r w:rsidRPr="00882EDF">
        <w:rPr>
          <w:i/>
        </w:rPr>
        <w:t xml:space="preserve"> to LY2963016 (QD), as measured by change in HbA1c from baseline to 24 weeks, when used in combination with OAMs.</w:t>
      </w:r>
    </w:p>
    <w:p w:rsidR="00AE090E" w:rsidRDefault="00AE090E" w:rsidP="00850CE4">
      <w:pPr>
        <w:pStyle w:val="ListBullet"/>
      </w:pPr>
      <w:r w:rsidRPr="00882EDF">
        <w:rPr>
          <w:i/>
        </w:rPr>
        <w:t>To compare LY2963016 relative to Lantus for patient-reported outcomes (PRO) as measured by responses to the Adult Low Blood Sugar Survey (ALBSS) and the Insulin Treatment Satisfaction Questionnaire (ITSQ).</w:t>
      </w:r>
      <w:r w:rsidR="00127BD9">
        <w:t>’</w:t>
      </w:r>
    </w:p>
    <w:p w:rsidR="00AE090E" w:rsidRDefault="00AE090E" w:rsidP="00AE090E">
      <w:pPr>
        <w:autoSpaceDE w:val="0"/>
        <w:autoSpaceDN w:val="0"/>
        <w:adjustRightInd w:val="0"/>
      </w:pPr>
      <w:r w:rsidRPr="00882EDF">
        <w:rPr>
          <w:i/>
        </w:rPr>
        <w:t>Locations:</w:t>
      </w:r>
      <w:r>
        <w:t xml:space="preserve"> The study was multinational – it was conducted in the following countries and the investigators were usually endocrinologists or subspecialised </w:t>
      </w:r>
      <w:proofErr w:type="spellStart"/>
      <w:r>
        <w:t>diabetologists</w:t>
      </w:r>
      <w:proofErr w:type="spellEnd"/>
      <w:r>
        <w:t>:</w:t>
      </w:r>
    </w:p>
    <w:p w:rsidR="00AE090E" w:rsidRDefault="00AE090E" w:rsidP="00AE090E">
      <w:pPr>
        <w:autoSpaceDE w:val="0"/>
        <w:autoSpaceDN w:val="0"/>
        <w:adjustRightInd w:val="0"/>
      </w:pPr>
      <w:r>
        <w:t>(from Module 5 Study report appendix): Czech Republic (36 patients, 6 sites, 6 investigators), France (16 patients, 4 sites, 4 investigators), Germany (28 patients, 10 sites, 10 investigators), Greece (22 patients, 4 sites, 4 investigators), Hungary (62 patients, 7 sites, 7 investigators), Italy (11 patients, 6 sites, 6 investigators), Korea, South (32 patients, 5 sites, 5 investigators), Mexico (58 patients, 4 sites, 4 investigators); Poland (23 patients, 6 sites, 6 investigators), Spain (22 patients, 4 sites, 4 investigators), Taiwan (21 patients, 8 sites, 8 investigators) and the United States (423 patient</w:t>
      </w:r>
      <w:r w:rsidR="00DB7BE5">
        <w:t>s, 38 sites, 38 investigators).</w:t>
      </w:r>
    </w:p>
    <w:p w:rsidR="00AE090E" w:rsidRDefault="00AE090E" w:rsidP="00AE090E">
      <w:pPr>
        <w:autoSpaceDE w:val="0"/>
        <w:autoSpaceDN w:val="0"/>
        <w:adjustRightInd w:val="0"/>
      </w:pPr>
      <w:r w:rsidRPr="00882EDF">
        <w:rPr>
          <w:i/>
        </w:rPr>
        <w:t>Study Dates</w:t>
      </w:r>
      <w:r>
        <w:t xml:space="preserve">: The study has been completed; there is no ongoing extension phase. </w:t>
      </w:r>
      <w:r w:rsidRPr="007A15AA">
        <w:t xml:space="preserve">According to the M5.3 report p.1/2431: </w:t>
      </w:r>
      <w:r w:rsidR="00127BD9">
        <w:t>‘</w:t>
      </w:r>
      <w:r w:rsidRPr="007A15AA">
        <w:t>First patient enrolled (assigned to therapy): 06 September 2011; Last patient completed: 17 September 2012</w:t>
      </w:r>
      <w:r w:rsidR="00127BD9">
        <w:t>’</w:t>
      </w:r>
      <w:r w:rsidRPr="007A15AA">
        <w:t>.</w:t>
      </w:r>
    </w:p>
    <w:p w:rsidR="00AE090E" w:rsidRPr="004B259C" w:rsidRDefault="00AE090E" w:rsidP="00850CE4">
      <w:pPr>
        <w:pStyle w:val="Heading6"/>
      </w:pPr>
      <w:r w:rsidRPr="004B259C">
        <w:t>Inclusion and exclusion criteria</w:t>
      </w:r>
    </w:p>
    <w:p w:rsidR="00AE090E" w:rsidRPr="00882EDF" w:rsidRDefault="00AE090E" w:rsidP="00AE090E">
      <w:r w:rsidRPr="00882EDF">
        <w:rPr>
          <w:i/>
        </w:rPr>
        <w:t>Inclusion Criteria</w:t>
      </w:r>
      <w:r>
        <w:t>: In brief, e</w:t>
      </w:r>
      <w:r w:rsidRPr="00757B1D">
        <w:t xml:space="preserve">ligible patients </w:t>
      </w:r>
      <w:r>
        <w:t xml:space="preserve">were adults, who </w:t>
      </w:r>
      <w:r w:rsidRPr="00757B1D">
        <w:t>had a diagnosis of T2DM as determined by the World Health Organization (WHO) diagnostic criteria</w:t>
      </w:r>
      <w:r>
        <w:t>, all of whom h</w:t>
      </w:r>
      <w:r w:rsidRPr="00757B1D">
        <w:t>ad been receiving 2 or more OAMs at stable doses for the 12 weeks prior to screening, with or without Lantus.</w:t>
      </w:r>
      <w:r>
        <w:t xml:space="preserve"> Patients enrolled could have been insulin naïve or receiving </w:t>
      </w:r>
      <w:proofErr w:type="gramStart"/>
      <w:r>
        <w:t>a basal</w:t>
      </w:r>
      <w:proofErr w:type="gramEnd"/>
      <w:r>
        <w:t xml:space="preserve"> insulin. To qualify, the subject should have had an HbA1c ≥7.0% and ≤11.0% if insulin naïve; or HbA1c ≤11.0% if previously on Lantus</w:t>
      </w:r>
      <w:r w:rsidRPr="0043100E">
        <w:rPr>
          <w:vertAlign w:val="superscript"/>
        </w:rPr>
        <w:t>®</w:t>
      </w:r>
      <w:r w:rsidR="00882EDF">
        <w:t>.</w:t>
      </w:r>
    </w:p>
    <w:p w:rsidR="00AE090E" w:rsidRDefault="00AE090E" w:rsidP="00AE090E">
      <w:r>
        <w:t>Their body mass index (BMI) was to be ≤45 kg/m</w:t>
      </w:r>
      <w:r w:rsidRPr="0043100E">
        <w:rPr>
          <w:vertAlign w:val="superscript"/>
        </w:rPr>
        <w:t>2</w:t>
      </w:r>
      <w:r>
        <w:t>.</w:t>
      </w:r>
    </w:p>
    <w:p w:rsidR="00AE090E" w:rsidRDefault="00AE090E" w:rsidP="00AE090E">
      <w:r w:rsidRPr="00882EDF">
        <w:rPr>
          <w:i/>
        </w:rPr>
        <w:t>Exclusion Criteria</w:t>
      </w:r>
      <w:r>
        <w:t>: These were numerous but the most important from the aspect of validity of study’s design are:</w:t>
      </w:r>
    </w:p>
    <w:p w:rsidR="00AE090E" w:rsidRDefault="00AE090E" w:rsidP="00850CE4">
      <w:pPr>
        <w:pStyle w:val="ListBullet"/>
      </w:pPr>
      <w:r>
        <w:t>Had used any other insulin except Lantus</w:t>
      </w:r>
      <w:r w:rsidRPr="00324AA5">
        <w:rPr>
          <w:vertAlign w:val="superscript"/>
        </w:rPr>
        <w:t>®</w:t>
      </w:r>
      <w:r>
        <w:t xml:space="preserve"> within the previous 30 days</w:t>
      </w:r>
    </w:p>
    <w:p w:rsidR="00AE090E" w:rsidRDefault="00AE090E" w:rsidP="00850CE4">
      <w:pPr>
        <w:pStyle w:val="ListBullet"/>
      </w:pPr>
      <w:r>
        <w:t xml:space="preserve">Had been exposed to a biosimilar insulin </w:t>
      </w:r>
      <w:proofErr w:type="spellStart"/>
      <w:r>
        <w:t>glargine</w:t>
      </w:r>
      <w:proofErr w:type="spellEnd"/>
      <w:r>
        <w:t xml:space="preserve"> within the previous 90 days</w:t>
      </w:r>
    </w:p>
    <w:p w:rsidR="00AE090E" w:rsidRDefault="00AE090E" w:rsidP="00850CE4">
      <w:pPr>
        <w:pStyle w:val="ListBullet"/>
      </w:pPr>
      <w:r>
        <w:t>Had a history of taking basal bolus therapy or, in the investigator’s opinion, required mealtime insulin to achieve target control</w:t>
      </w:r>
    </w:p>
    <w:p w:rsidR="00AE090E" w:rsidRDefault="00AE090E" w:rsidP="00850CE4">
      <w:pPr>
        <w:pStyle w:val="ListBullet"/>
      </w:pPr>
      <w:r>
        <w:t>Had used short-acting glucagon-like peptide 1 (GLP-1) agonist (</w:t>
      </w:r>
      <w:proofErr w:type="spellStart"/>
      <w:r>
        <w:t>eg</w:t>
      </w:r>
      <w:proofErr w:type="spellEnd"/>
      <w:r>
        <w:t xml:space="preserve">, </w:t>
      </w:r>
      <w:proofErr w:type="spellStart"/>
      <w:r>
        <w:t>exenatide</w:t>
      </w:r>
      <w:proofErr w:type="spellEnd"/>
      <w:r>
        <w:t xml:space="preserve">) or long acting GLP-1 agonist (e.g. </w:t>
      </w:r>
      <w:proofErr w:type="spellStart"/>
      <w:r>
        <w:t>liraglutide</w:t>
      </w:r>
      <w:proofErr w:type="spellEnd"/>
      <w:r>
        <w:t>) within the previous 90 days</w:t>
      </w:r>
    </w:p>
    <w:p w:rsidR="00AE090E" w:rsidRDefault="00AE090E" w:rsidP="00850CE4">
      <w:pPr>
        <w:pStyle w:val="ListBullet"/>
      </w:pPr>
      <w:r>
        <w:t xml:space="preserve">Had used </w:t>
      </w:r>
      <w:proofErr w:type="spellStart"/>
      <w:r>
        <w:t>pramlintide</w:t>
      </w:r>
      <w:proofErr w:type="spellEnd"/>
      <w:r>
        <w:t xml:space="preserve"> (</w:t>
      </w:r>
      <w:proofErr w:type="spellStart"/>
      <w:r>
        <w:t>eg</w:t>
      </w:r>
      <w:proofErr w:type="spellEnd"/>
      <w:r>
        <w:t xml:space="preserve">, </w:t>
      </w:r>
      <w:proofErr w:type="spellStart"/>
      <w:r>
        <w:t>Symlin</w:t>
      </w:r>
      <w:proofErr w:type="spellEnd"/>
      <w:r w:rsidRPr="00324AA5">
        <w:rPr>
          <w:vertAlign w:val="superscript"/>
        </w:rPr>
        <w:t>®</w:t>
      </w:r>
      <w:r>
        <w:t>) within the previous 30 days*</w:t>
      </w:r>
    </w:p>
    <w:p w:rsidR="00AE090E" w:rsidRDefault="00882EDF" w:rsidP="00850CE4">
      <w:pPr>
        <w:pStyle w:val="ListBullet"/>
      </w:pPr>
      <w:r>
        <w:t>H</w:t>
      </w:r>
      <w:r w:rsidR="00AE090E">
        <w:t>ad excessive insulin resistance at study entry (total insulin dose ≥1.5 U/kg)</w:t>
      </w:r>
    </w:p>
    <w:p w:rsidR="00AE090E" w:rsidRDefault="00AE090E" w:rsidP="00850CE4">
      <w:pPr>
        <w:pStyle w:val="ListBullet"/>
      </w:pPr>
      <w:r>
        <w:lastRenderedPageBreak/>
        <w:t>Had more than 1 episode of severe hypoglycaemia within 6 months prior to study entry</w:t>
      </w:r>
    </w:p>
    <w:p w:rsidR="00AE090E" w:rsidRDefault="00AE090E" w:rsidP="00850CE4">
      <w:pPr>
        <w:pStyle w:val="ListBullet"/>
      </w:pPr>
      <w:r>
        <w:t>Had a known hypersensitivity or allergy to Lantus</w:t>
      </w:r>
      <w:r w:rsidRPr="0043100E">
        <w:rPr>
          <w:vertAlign w:val="superscript"/>
        </w:rPr>
        <w:t>®</w:t>
      </w:r>
      <w:r>
        <w:t xml:space="preserve"> or its excipients</w:t>
      </w:r>
    </w:p>
    <w:p w:rsidR="00AE090E" w:rsidRDefault="00AE090E" w:rsidP="00AE090E">
      <w:r>
        <w:t>*</w:t>
      </w:r>
      <w:proofErr w:type="spellStart"/>
      <w:r w:rsidRPr="00324AA5">
        <w:t>Pramlintide</w:t>
      </w:r>
      <w:proofErr w:type="spellEnd"/>
      <w:r w:rsidRPr="00324AA5">
        <w:t xml:space="preserve"> is an analogue of amylin</w:t>
      </w:r>
      <w:r>
        <w:t xml:space="preserve"> that is marketed in the USA.</w:t>
      </w:r>
    </w:p>
    <w:p w:rsidR="00AE090E" w:rsidRDefault="00AE090E" w:rsidP="00AE090E">
      <w:r>
        <w:t>The other exclusion criteria were safety-related in the interests of the safety of the subjects enrolled.</w:t>
      </w:r>
    </w:p>
    <w:p w:rsidR="00AE090E" w:rsidRPr="00850CE4" w:rsidRDefault="00AE090E" w:rsidP="00A15995">
      <w:pPr>
        <w:ind w:left="720"/>
      </w:pPr>
      <w:r w:rsidRPr="00F36650">
        <w:rPr>
          <w:b/>
        </w:rPr>
        <w:t>Comment</w:t>
      </w:r>
      <w:r w:rsidRPr="00850CE4">
        <w:t>:</w:t>
      </w:r>
      <w:r w:rsidR="009F388C">
        <w:t xml:space="preserve"> </w:t>
      </w:r>
      <w:r w:rsidRPr="00850CE4">
        <w:t xml:space="preserve">These criteria resulted in the recruitment of a study population that required </w:t>
      </w:r>
      <w:r w:rsidR="00D96585">
        <w:t>the</w:t>
      </w:r>
      <w:r w:rsidR="00D96585" w:rsidRPr="00850CE4">
        <w:t xml:space="preserve"> </w:t>
      </w:r>
      <w:r w:rsidRPr="00850CE4">
        <w:t xml:space="preserve">basal insulin to be added to OAMs. That is, their T2DM was </w:t>
      </w:r>
      <w:proofErr w:type="spellStart"/>
      <w:r w:rsidRPr="00850CE4">
        <w:t>suboptimally</w:t>
      </w:r>
      <w:proofErr w:type="spellEnd"/>
      <w:r w:rsidRPr="00850CE4">
        <w:t xml:space="preserve"> controlled, even if already receiving Lantus.</w:t>
      </w:r>
      <w:r w:rsidR="009F388C">
        <w:t xml:space="preserve"> </w:t>
      </w:r>
      <w:r w:rsidRPr="00850CE4">
        <w:t>This suboptimal baseline control, coupled with the lack of a lead-in period, led to predictable effects on the study’s outcomes.</w:t>
      </w:r>
      <w:r w:rsidR="009F388C">
        <w:t xml:space="preserve"> </w:t>
      </w:r>
      <w:r w:rsidRPr="00850CE4">
        <w:t xml:space="preserve">That is, the study was not </w:t>
      </w:r>
      <w:proofErr w:type="gramStart"/>
      <w:r w:rsidRPr="00850CE4">
        <w:t>a maintenance</w:t>
      </w:r>
      <w:proofErr w:type="gramEnd"/>
      <w:r w:rsidRPr="00850CE4">
        <w:t xml:space="preserve"> of efficacy study.</w:t>
      </w:r>
    </w:p>
    <w:p w:rsidR="00AE090E" w:rsidRPr="004B259C" w:rsidRDefault="00AE090E" w:rsidP="00882EDF">
      <w:pPr>
        <w:pStyle w:val="Heading6"/>
      </w:pPr>
      <w:r w:rsidRPr="004B259C">
        <w:t>Study treatments</w:t>
      </w:r>
    </w:p>
    <w:p w:rsidR="00AE090E" w:rsidRDefault="00AE090E" w:rsidP="00AE090E">
      <w:r w:rsidRPr="00882EDF">
        <w:rPr>
          <w:i/>
        </w:rPr>
        <w:t xml:space="preserve">Insulin </w:t>
      </w:r>
      <w:proofErr w:type="spellStart"/>
      <w:r w:rsidRPr="00882EDF">
        <w:rPr>
          <w:i/>
        </w:rPr>
        <w:t>glargine</w:t>
      </w:r>
      <w:proofErr w:type="spellEnd"/>
      <w:r w:rsidRPr="00882EDF">
        <w:rPr>
          <w:i/>
        </w:rPr>
        <w:t>:</w:t>
      </w:r>
      <w:r>
        <w:t xml:space="preserve"> </w:t>
      </w:r>
      <w:r w:rsidRPr="00881ADC">
        <w:t>The use of insulin was aligned with the approved product information of Lantus</w:t>
      </w:r>
    </w:p>
    <w:p w:rsidR="00AE090E" w:rsidRDefault="00AE090E" w:rsidP="00AE090E">
      <w:r w:rsidRPr="00882EDF">
        <w:rPr>
          <w:i/>
        </w:rPr>
        <w:t>Patients on pre-study Lantus:</w:t>
      </w:r>
      <w:r w:rsidRPr="0030198D">
        <w:t xml:space="preserve"> Starting dose of </w:t>
      </w:r>
      <w:proofErr w:type="spellStart"/>
      <w:r w:rsidR="00216E0E">
        <w:t>Abasria</w:t>
      </w:r>
      <w:proofErr w:type="spellEnd"/>
      <w:r>
        <w:t xml:space="preserve"> or Lantus</w:t>
      </w:r>
      <w:r w:rsidRPr="0030198D">
        <w:t xml:space="preserve"> QD at the same dose as pre</w:t>
      </w:r>
      <w:r>
        <w:t>-</w:t>
      </w:r>
      <w:r w:rsidRPr="0030198D">
        <w:t>study Lantus.</w:t>
      </w:r>
    </w:p>
    <w:p w:rsidR="00AE090E" w:rsidRDefault="00AE090E" w:rsidP="00AE090E">
      <w:r w:rsidRPr="00882EDF">
        <w:rPr>
          <w:i/>
        </w:rPr>
        <w:t>Insulin naïve patients</w:t>
      </w:r>
      <w:r w:rsidRPr="0030198D">
        <w:t xml:space="preserve">: Starting dose of 10 U </w:t>
      </w:r>
      <w:proofErr w:type="spellStart"/>
      <w:r w:rsidR="00216E0E">
        <w:t>Abasria</w:t>
      </w:r>
      <w:proofErr w:type="spellEnd"/>
      <w:r w:rsidRPr="0030198D">
        <w:t xml:space="preserve"> or Lantus QD.</w:t>
      </w:r>
      <w:r w:rsidR="009F388C">
        <w:t xml:space="preserve"> </w:t>
      </w:r>
      <w:r w:rsidRPr="0030198D">
        <w:t>All patients will then follow a p</w:t>
      </w:r>
      <w:r>
        <w:t xml:space="preserve">atient-driven dosing algorithm </w:t>
      </w:r>
      <w:r w:rsidRPr="0030198D">
        <w:t xml:space="preserve">while being supervised by investigators through the course of the study to maintain the fasting blood glucose (FBG) (5.6 </w:t>
      </w:r>
      <w:proofErr w:type="spellStart"/>
      <w:r w:rsidRPr="0030198D">
        <w:t>mmol</w:t>
      </w:r>
      <w:proofErr w:type="spellEnd"/>
      <w:r w:rsidRPr="0030198D">
        <w:t>/L</w:t>
      </w:r>
      <w:r w:rsidR="00270FA0">
        <w:t>) while avoiding hypoglycaemia.</w:t>
      </w:r>
    </w:p>
    <w:p w:rsidR="00AE090E" w:rsidRDefault="00AE090E" w:rsidP="00AE090E">
      <w:r w:rsidRPr="00882EDF">
        <w:rPr>
          <w:i/>
        </w:rPr>
        <w:t>Oral Antidiabetic Medications:</w:t>
      </w:r>
      <w:r>
        <w:t xml:space="preserve"> </w:t>
      </w:r>
      <w:r w:rsidRPr="00881ADC">
        <w:t xml:space="preserve">In general, patients with DM </w:t>
      </w:r>
      <w:r>
        <w:t xml:space="preserve">2 </w:t>
      </w:r>
      <w:r w:rsidRPr="00881ADC">
        <w:t>were expected to continue pre-study OAMs at the same dose during the study.</w:t>
      </w:r>
      <w:r w:rsidR="009F388C">
        <w:t xml:space="preserve"> </w:t>
      </w:r>
      <w:r w:rsidRPr="00881ADC">
        <w:t>However, special rules applied to SUs and to DPP-IV inhibitors.</w:t>
      </w:r>
      <w:r w:rsidR="009F388C">
        <w:t xml:space="preserve"> </w:t>
      </w:r>
      <w:r w:rsidRPr="00881ADC">
        <w:t xml:space="preserve">The investigator may have decreased the dose or discontinued the SU only after consultation and approval by </w:t>
      </w:r>
      <w:r>
        <w:t>Eli</w:t>
      </w:r>
      <w:r w:rsidRPr="00881ADC">
        <w:t xml:space="preserve"> Lilly</w:t>
      </w:r>
      <w:r>
        <w:t>’s</w:t>
      </w:r>
      <w:r w:rsidRPr="00881ADC">
        <w:t xml:space="preserve"> </w:t>
      </w:r>
      <w:r>
        <w:t>representative</w:t>
      </w:r>
      <w:r w:rsidRPr="00881ADC">
        <w:t xml:space="preserve"> </w:t>
      </w:r>
      <w:r>
        <w:t xml:space="preserve">(excluding other obvious causes of hypoglycaemia) </w:t>
      </w:r>
      <w:r w:rsidRPr="00881ADC">
        <w:t>and this was to be documented.</w:t>
      </w:r>
    </w:p>
    <w:p w:rsidR="00AE090E" w:rsidRDefault="00AE090E" w:rsidP="00AE090E">
      <w:proofErr w:type="spellStart"/>
      <w:r w:rsidRPr="00881ADC">
        <w:t>Sitagliptin</w:t>
      </w:r>
      <w:proofErr w:type="spellEnd"/>
      <w:r w:rsidRPr="00881ADC">
        <w:t xml:space="preserve"> was the only </w:t>
      </w:r>
      <w:proofErr w:type="spellStart"/>
      <w:r w:rsidRPr="00881ADC">
        <w:t>dipeptidyl</w:t>
      </w:r>
      <w:proofErr w:type="spellEnd"/>
      <w:r w:rsidRPr="00881ADC">
        <w:t xml:space="preserve"> peptidase-IV (DPP-IV) inhibitor approved for use with insulin at the start of the study; patients were initially not allowed to continue taking any other DPP-IV inhibitor during the study.</w:t>
      </w:r>
      <w:r w:rsidR="009F388C">
        <w:t xml:space="preserve"> </w:t>
      </w:r>
      <w:proofErr w:type="spellStart"/>
      <w:r w:rsidRPr="00881ADC">
        <w:t>Saxagliptin</w:t>
      </w:r>
      <w:proofErr w:type="spellEnd"/>
      <w:r w:rsidRPr="00881ADC">
        <w:t xml:space="preserve"> received approval for use with insulin during the trial and was allowed as concomitant therapy, once approved, for patients entering the study.</w:t>
      </w:r>
      <w:r w:rsidR="009F388C">
        <w:t xml:space="preserve"> </w:t>
      </w:r>
      <w:r>
        <w:t>(</w:t>
      </w:r>
      <w:proofErr w:type="gramStart"/>
      <w:r w:rsidRPr="00881ADC">
        <w:t>Patients</w:t>
      </w:r>
      <w:proofErr w:type="gramEnd"/>
      <w:r w:rsidRPr="00881ADC">
        <w:t xml:space="preserve"> </w:t>
      </w:r>
      <w:r>
        <w:t xml:space="preserve">who were previously </w:t>
      </w:r>
      <w:r w:rsidRPr="00881ADC">
        <w:t xml:space="preserve">enrolled in the study and </w:t>
      </w:r>
      <w:r>
        <w:t xml:space="preserve">were </w:t>
      </w:r>
      <w:r w:rsidRPr="00881ADC">
        <w:t xml:space="preserve">using </w:t>
      </w:r>
      <w:proofErr w:type="spellStart"/>
      <w:r w:rsidRPr="00881ADC">
        <w:t>saxagliptin</w:t>
      </w:r>
      <w:proofErr w:type="spellEnd"/>
      <w:r>
        <w:t>,</w:t>
      </w:r>
      <w:r w:rsidRPr="00881ADC">
        <w:t xml:space="preserve"> prior to </w:t>
      </w:r>
      <w:r>
        <w:t xml:space="preserve">its regulatory </w:t>
      </w:r>
      <w:r w:rsidRPr="00881ADC">
        <w:t>a</w:t>
      </w:r>
      <w:r>
        <w:t>pproval</w:t>
      </w:r>
      <w:r w:rsidRPr="00881ADC">
        <w:t xml:space="preserve"> for use with</w:t>
      </w:r>
      <w:r>
        <w:t xml:space="preserve"> </w:t>
      </w:r>
      <w:r w:rsidRPr="00881ADC">
        <w:t xml:space="preserve">insulin, were allowed to remain in the study if they stopped using </w:t>
      </w:r>
      <w:proofErr w:type="spellStart"/>
      <w:r w:rsidRPr="00881ADC">
        <w:t>saxagliptin</w:t>
      </w:r>
      <w:proofErr w:type="spellEnd"/>
      <w:r>
        <w:t>)</w:t>
      </w:r>
      <w:r w:rsidRPr="00881ADC">
        <w:t>.</w:t>
      </w:r>
    </w:p>
    <w:p w:rsidR="00AE090E" w:rsidRDefault="00AE090E" w:rsidP="00AE090E">
      <w:r w:rsidRPr="00881ADC">
        <w:t>Of note, 83.3% of patients overall took SUs at entry to the study; 82.1% were receiving 2 OAMs of which metformin and SU was the most common combination (62.4% of all patients); 15.9% of patients were on 3 OAMs, 1.7% were on 4 OAMs, and 0.3% were on 5 OAMs prior to randomization.</w:t>
      </w:r>
    </w:p>
    <w:p w:rsidR="00AE090E" w:rsidRPr="004B259C" w:rsidRDefault="00AE090E" w:rsidP="00882EDF">
      <w:pPr>
        <w:pStyle w:val="Heading6"/>
      </w:pPr>
      <w:r w:rsidRPr="004B259C">
        <w:t>Efficacy variables and outcomes</w:t>
      </w:r>
    </w:p>
    <w:p w:rsidR="00AE090E" w:rsidRPr="004B259C" w:rsidRDefault="00AE090E" w:rsidP="00AE090E">
      <w:r w:rsidRPr="004B259C">
        <w:t>The main efficacy variables were:</w:t>
      </w:r>
    </w:p>
    <w:p w:rsidR="00AE090E" w:rsidRPr="00882EDF" w:rsidRDefault="00DB7BE5" w:rsidP="00882EDF">
      <w:pPr>
        <w:pStyle w:val="ListBullet"/>
      </w:pPr>
      <w:r>
        <w:t>HbA1c</w:t>
      </w:r>
    </w:p>
    <w:p w:rsidR="00AE090E" w:rsidRPr="004B259C" w:rsidRDefault="00AE090E" w:rsidP="00882EDF">
      <w:pPr>
        <w:pStyle w:val="ListBullet"/>
      </w:pPr>
      <w:r w:rsidRPr="00882EDF">
        <w:t>BG levels at different</w:t>
      </w:r>
      <w:r>
        <w:t xml:space="preserve"> times of the day and night</w:t>
      </w:r>
    </w:p>
    <w:p w:rsidR="00AE090E" w:rsidRDefault="00AE090E" w:rsidP="00AE090E">
      <w:r>
        <w:t xml:space="preserve">The primary objective of this study was to test the hypothesis that </w:t>
      </w:r>
      <w:proofErr w:type="spellStart"/>
      <w:r w:rsidR="00216E0E">
        <w:t>Abasria</w:t>
      </w:r>
      <w:proofErr w:type="spellEnd"/>
      <w:r>
        <w:t xml:space="preserve"> administered once</w:t>
      </w:r>
      <w:r w:rsidR="00850CE4">
        <w:t xml:space="preserve"> </w:t>
      </w:r>
      <w:r>
        <w:t xml:space="preserve">was non-inferior to </w:t>
      </w:r>
      <w:r w:rsidR="00127BD9">
        <w:t>Lantus</w:t>
      </w:r>
      <w:r w:rsidRPr="007E7036">
        <w:rPr>
          <w:vertAlign w:val="superscript"/>
        </w:rPr>
        <w:t>®</w:t>
      </w:r>
      <w:r>
        <w:t xml:space="preserve"> administered QD, as measured by change in</w:t>
      </w:r>
      <w:r w:rsidR="00882EDF">
        <w:t xml:space="preserve"> </w:t>
      </w:r>
      <w:proofErr w:type="spellStart"/>
      <w:r>
        <w:t>hemoglobin</w:t>
      </w:r>
      <w:proofErr w:type="spellEnd"/>
      <w:r>
        <w:t xml:space="preserve"> A1c (HbA1c) from baseline to 24 weeks, when used in combination with OAMs.</w:t>
      </w:r>
    </w:p>
    <w:p w:rsidR="00AE090E" w:rsidRPr="004B259C" w:rsidRDefault="00AE090E" w:rsidP="00AE090E">
      <w:r w:rsidRPr="004B259C">
        <w:t xml:space="preserve">Other efficacy outcomes </w:t>
      </w:r>
      <w:r>
        <w:t>included</w:t>
      </w:r>
      <w:r w:rsidRPr="004B259C">
        <w:t>:</w:t>
      </w:r>
    </w:p>
    <w:p w:rsidR="00AE090E" w:rsidRPr="00882EDF" w:rsidRDefault="00AE090E" w:rsidP="00882EDF">
      <w:pPr>
        <w:pStyle w:val="ListBullet"/>
      </w:pPr>
      <w:r w:rsidRPr="00882EDF">
        <w:t xml:space="preserve">To compare LY2963016 relative to </w:t>
      </w:r>
      <w:r w:rsidR="00127BD9" w:rsidRPr="00882EDF">
        <w:t>Lantus</w:t>
      </w:r>
      <w:r w:rsidRPr="00882EDF">
        <w:t xml:space="preserve">® for other efficacy variables (eg, change in HbA1c at 4, 8, 12, 16, and 20 weeks; 7-point self-monitored blood glucose [SMBG] profiles </w:t>
      </w:r>
      <w:r w:rsidRPr="00882EDF">
        <w:lastRenderedPageBreak/>
        <w:t>[as plasma equivalent values]; percentage of patients with HbA1c &lt;7%, percentage of patients with HbA1c ≤6.5%).</w:t>
      </w:r>
    </w:p>
    <w:p w:rsidR="00AE090E" w:rsidRPr="00882EDF" w:rsidRDefault="00AE090E" w:rsidP="00882EDF">
      <w:pPr>
        <w:pStyle w:val="ListBullet"/>
      </w:pPr>
      <w:r w:rsidRPr="00882EDF">
        <w:t xml:space="preserve">To compare </w:t>
      </w:r>
      <w:proofErr w:type="spellStart"/>
      <w:r w:rsidR="00216E0E" w:rsidRPr="00882EDF">
        <w:t>Abasria</w:t>
      </w:r>
      <w:proofErr w:type="spellEnd"/>
      <w:r w:rsidRPr="00882EDF">
        <w:t xml:space="preserve"> relative to </w:t>
      </w:r>
      <w:r w:rsidR="00127BD9" w:rsidRPr="00882EDF">
        <w:t>Lantus</w:t>
      </w:r>
      <w:r w:rsidRPr="00882EDF">
        <w:t xml:space="preserve">® with regard to </w:t>
      </w:r>
      <w:proofErr w:type="spellStart"/>
      <w:r w:rsidRPr="00882EDF">
        <w:t>intrapatient</w:t>
      </w:r>
      <w:proofErr w:type="spellEnd"/>
      <w:r w:rsidRPr="00882EDF">
        <w:t xml:space="preserve"> blood glucose (BG) variability, basal insulin dose, and weight, when used in combination with OAMs.</w:t>
      </w:r>
    </w:p>
    <w:p w:rsidR="00AE090E" w:rsidRPr="00882EDF" w:rsidRDefault="00AE090E" w:rsidP="00882EDF">
      <w:pPr>
        <w:pStyle w:val="ListBullet"/>
      </w:pPr>
      <w:r w:rsidRPr="00882EDF">
        <w:t xml:space="preserve">To test the hypothesis that </w:t>
      </w:r>
      <w:r w:rsidR="00127BD9" w:rsidRPr="00882EDF">
        <w:t>Lantus</w:t>
      </w:r>
      <w:r w:rsidRPr="00882EDF">
        <w:t xml:space="preserve">® was </w:t>
      </w:r>
      <w:r w:rsidR="005B41AF">
        <w:t>non-inferior</w:t>
      </w:r>
      <w:r w:rsidRPr="00882EDF">
        <w:t xml:space="preserve"> to </w:t>
      </w:r>
      <w:proofErr w:type="spellStart"/>
      <w:r w:rsidR="00216E0E" w:rsidRPr="00882EDF">
        <w:t>Abasria</w:t>
      </w:r>
      <w:proofErr w:type="spellEnd"/>
      <w:r w:rsidRPr="00882EDF">
        <w:t xml:space="preserve"> (QD), as measured by change in HbA1c from baseline to 24 weeks, when used in combination with OAMs.</w:t>
      </w:r>
    </w:p>
    <w:p w:rsidR="00AE090E" w:rsidRPr="00882EDF" w:rsidRDefault="00AE090E" w:rsidP="00882EDF">
      <w:pPr>
        <w:pStyle w:val="ListBullet"/>
      </w:pPr>
      <w:r w:rsidRPr="00882EDF">
        <w:t xml:space="preserve">To compare LY2963016 relative to </w:t>
      </w:r>
      <w:r w:rsidR="00127BD9" w:rsidRPr="00882EDF">
        <w:t>Lantus</w:t>
      </w:r>
      <w:r w:rsidRPr="00882EDF">
        <w:t>® for patient-reported outcomes as measured by responses to the Adult Low Blood Sugar Survey (ALBSS) and the Insulin Treatment Satisfaction Questionnaire (ITSQ).</w:t>
      </w:r>
    </w:p>
    <w:p w:rsidR="00AE090E" w:rsidRDefault="00AE090E" w:rsidP="00AE090E">
      <w:pPr>
        <w:autoSpaceDE w:val="0"/>
        <w:autoSpaceDN w:val="0"/>
        <w:adjustRightInd w:val="0"/>
        <w:jc w:val="both"/>
      </w:pPr>
      <w:r>
        <w:t>There were safety outcomes as well:</w:t>
      </w:r>
      <w:r w:rsidRPr="007E7036">
        <w:t xml:space="preserve"> To compare the safety of </w:t>
      </w:r>
      <w:proofErr w:type="spellStart"/>
      <w:r w:rsidR="00216E0E">
        <w:t>Abasria</w:t>
      </w:r>
      <w:proofErr w:type="spellEnd"/>
      <w:r w:rsidRPr="007E7036">
        <w:t xml:space="preserve"> relative to </w:t>
      </w:r>
      <w:r w:rsidR="00127BD9">
        <w:t>Lantus</w:t>
      </w:r>
      <w:r w:rsidRPr="00216294">
        <w:rPr>
          <w:vertAlign w:val="superscript"/>
        </w:rPr>
        <w:t>®</w:t>
      </w:r>
      <w:r w:rsidRPr="007E7036">
        <w:t xml:space="preserve"> (e.g. incidence of anti-insulin antibodies, hypoglyc</w:t>
      </w:r>
      <w:r>
        <w:t>a</w:t>
      </w:r>
      <w:r w:rsidRPr="007E7036">
        <w:t>emia, adverse events [AEs]) when used in combination with OAMs.</w:t>
      </w:r>
    </w:p>
    <w:p w:rsidR="00AE090E" w:rsidRDefault="00AE090E" w:rsidP="00AE090E">
      <w:pPr>
        <w:autoSpaceDE w:val="0"/>
        <w:autoSpaceDN w:val="0"/>
        <w:adjustRightInd w:val="0"/>
        <w:jc w:val="both"/>
      </w:pPr>
      <w:r>
        <w:t>The outcomes were thus numerous.</w:t>
      </w:r>
    </w:p>
    <w:p w:rsidR="00AE090E" w:rsidRPr="004B259C" w:rsidRDefault="00AE090E" w:rsidP="00882EDF">
      <w:pPr>
        <w:pStyle w:val="Heading6"/>
      </w:pPr>
      <w:r w:rsidRPr="00882EDF">
        <w:t>Randomisation</w:t>
      </w:r>
      <w:r w:rsidRPr="004B259C">
        <w:t xml:space="preserve"> and blinding methods</w:t>
      </w:r>
    </w:p>
    <w:p w:rsidR="00AE090E" w:rsidRPr="00521559" w:rsidRDefault="00AE090E" w:rsidP="00521559">
      <w:pPr>
        <w:rPr>
          <w:i/>
        </w:rPr>
      </w:pPr>
      <w:r w:rsidRPr="00521559">
        <w:rPr>
          <w:i/>
        </w:rPr>
        <w:t>Randomisation: From Protocol -</w:t>
      </w:r>
      <w:r w:rsidR="009F388C" w:rsidRPr="00521559">
        <w:rPr>
          <w:i/>
        </w:rPr>
        <w:t xml:space="preserve"> </w:t>
      </w:r>
      <w:r w:rsidR="00127BD9" w:rsidRPr="00521559">
        <w:rPr>
          <w:i/>
        </w:rPr>
        <w:t>‘</w:t>
      </w:r>
      <w:r w:rsidRPr="00521559">
        <w:rPr>
          <w:i/>
        </w:rPr>
        <w:t>Eligible patients will be randomized to 1 of the 2 treatment groups in a double-blind fashion by a telephone directed random assignment [using the interactive voice response system (IVRS)] that is stratified by country, HbA1c levels (&lt;8.5% versus ≥8.5%), sulfonylurea (SU) use (yes or no), and time of basal insulin injection (daytime, evening/bedtime).</w:t>
      </w:r>
      <w:r w:rsidR="00127BD9" w:rsidRPr="00521559">
        <w:rPr>
          <w:i/>
        </w:rPr>
        <w:t>’</w:t>
      </w:r>
    </w:p>
    <w:p w:rsidR="00AE090E" w:rsidRDefault="00AE090E" w:rsidP="00AE090E">
      <w:r>
        <w:t>Randomisation codes were provided in the submission.</w:t>
      </w:r>
    </w:p>
    <w:p w:rsidR="00AE090E" w:rsidRDefault="00AE090E" w:rsidP="00AE090E">
      <w:r w:rsidRPr="00882EDF">
        <w:rPr>
          <w:i/>
        </w:rPr>
        <w:t>Blinding:</w:t>
      </w:r>
      <w:r>
        <w:t xml:space="preserve"> </w:t>
      </w:r>
      <w:r w:rsidRPr="00A30EC5">
        <w:t xml:space="preserve">Patients on </w:t>
      </w:r>
      <w:proofErr w:type="spellStart"/>
      <w:r w:rsidR="00216E0E">
        <w:t>Abasria</w:t>
      </w:r>
      <w:proofErr w:type="spellEnd"/>
      <w:r w:rsidRPr="00A30EC5">
        <w:t xml:space="preserve"> or Lantus </w:t>
      </w:r>
      <w:r>
        <w:t>were</w:t>
      </w:r>
      <w:r w:rsidRPr="00A30EC5">
        <w:t xml:space="preserve"> provided </w:t>
      </w:r>
      <w:r>
        <w:t xml:space="preserve">with </w:t>
      </w:r>
      <w:r w:rsidRPr="00A30EC5">
        <w:t>covered vials (for blinding purposes) and syringes during the study.</w:t>
      </w:r>
      <w:r w:rsidR="009F388C">
        <w:t xml:space="preserve"> </w:t>
      </w:r>
      <w:r w:rsidRPr="00A30EC5">
        <w:t xml:space="preserve">A vial cover was developed that concealed the differences between the vials of </w:t>
      </w:r>
      <w:proofErr w:type="spellStart"/>
      <w:r w:rsidR="00216E0E">
        <w:t>Abasria</w:t>
      </w:r>
      <w:proofErr w:type="spellEnd"/>
      <w:r w:rsidRPr="00A30EC5">
        <w:t xml:space="preserve"> and those of </w:t>
      </w:r>
      <w:r w:rsidR="00127BD9">
        <w:t>Lantus</w:t>
      </w:r>
      <w:r w:rsidRPr="00A30EC5">
        <w:rPr>
          <w:vertAlign w:val="superscript"/>
        </w:rPr>
        <w:t>®</w:t>
      </w:r>
      <w:r w:rsidRPr="00A30EC5">
        <w:t>, while allowing visual inspection of the</w:t>
      </w:r>
      <w:r>
        <w:t xml:space="preserve"> insulin solutions in the vial.</w:t>
      </w:r>
      <w:r w:rsidR="009F388C">
        <w:t xml:space="preserve">  </w:t>
      </w:r>
      <w:r>
        <w:t xml:space="preserve">According to the Module 5 study report, </w:t>
      </w:r>
      <w:r w:rsidR="00127BD9">
        <w:t>‘</w:t>
      </w:r>
      <w:r w:rsidRPr="00882EDF">
        <w:rPr>
          <w:i/>
        </w:rPr>
        <w:t xml:space="preserve">Patients, investigators, and all other site, sponsor, and contracted personnel involved in the conduct of the study were blinded to individual treatment assignments for the duration of the study. </w:t>
      </w:r>
      <w:proofErr w:type="spellStart"/>
      <w:r w:rsidRPr="00882EDF">
        <w:rPr>
          <w:i/>
        </w:rPr>
        <w:t>Unblinding</w:t>
      </w:r>
      <w:proofErr w:type="spellEnd"/>
      <w:r w:rsidRPr="00882EDF">
        <w:rPr>
          <w:i/>
        </w:rPr>
        <w:t xml:space="preserve"> did not occur until the reporting database was validated and locked for final statistical analysis. </w:t>
      </w:r>
      <w:proofErr w:type="spellStart"/>
      <w:r w:rsidRPr="00882EDF">
        <w:rPr>
          <w:i/>
        </w:rPr>
        <w:t>Unblinding</w:t>
      </w:r>
      <w:proofErr w:type="spellEnd"/>
      <w:r w:rsidRPr="00882EDF">
        <w:rPr>
          <w:i/>
        </w:rPr>
        <w:t xml:space="preserve"> occurred on 16 January 2013</w:t>
      </w:r>
      <w:r>
        <w:t>.</w:t>
      </w:r>
      <w:r w:rsidR="00127BD9">
        <w:t>’</w:t>
      </w:r>
    </w:p>
    <w:p w:rsidR="00AE090E" w:rsidRDefault="00AE090E" w:rsidP="00882EDF">
      <w:pPr>
        <w:pStyle w:val="Heading6"/>
      </w:pPr>
      <w:r>
        <w:t>Analysis populations</w:t>
      </w:r>
    </w:p>
    <w:p w:rsidR="00AE090E" w:rsidRDefault="00AE090E" w:rsidP="00AE090E">
      <w:pPr>
        <w:autoSpaceDE w:val="0"/>
        <w:autoSpaceDN w:val="0"/>
        <w:adjustRightInd w:val="0"/>
        <w:jc w:val="both"/>
      </w:pPr>
      <w:r>
        <w:t>The definitions apply to Study ABEB as well and they are conventional.</w:t>
      </w:r>
    </w:p>
    <w:p w:rsidR="00AE090E" w:rsidRDefault="00AE090E" w:rsidP="00AE090E">
      <w:pPr>
        <w:autoSpaceDE w:val="0"/>
        <w:autoSpaceDN w:val="0"/>
        <w:adjustRightInd w:val="0"/>
        <w:jc w:val="both"/>
      </w:pPr>
      <w:r>
        <w:t>From the Module 5 Study report:</w:t>
      </w:r>
    </w:p>
    <w:p w:rsidR="00AE090E" w:rsidRPr="00882EDF" w:rsidRDefault="00AE090E" w:rsidP="00AE090E">
      <w:pPr>
        <w:autoSpaceDE w:val="0"/>
        <w:autoSpaceDN w:val="0"/>
        <w:adjustRightInd w:val="0"/>
        <w:jc w:val="both"/>
        <w:rPr>
          <w:i/>
        </w:rPr>
      </w:pPr>
      <w:r>
        <w:t xml:space="preserve"> </w:t>
      </w:r>
      <w:r w:rsidR="00127BD9">
        <w:t>‘</w:t>
      </w:r>
      <w:r w:rsidRPr="00882EDF">
        <w:rPr>
          <w:i/>
        </w:rPr>
        <w:t>The patient populations used in the study are described below:</w:t>
      </w:r>
    </w:p>
    <w:p w:rsidR="00AE090E" w:rsidRPr="00882EDF" w:rsidRDefault="00AE090E" w:rsidP="00882EDF">
      <w:pPr>
        <w:pStyle w:val="Numberbullet0"/>
        <w:rPr>
          <w:i/>
        </w:rPr>
      </w:pPr>
      <w:r w:rsidRPr="00882EDF">
        <w:rPr>
          <w:i/>
        </w:rPr>
        <w:t>All Patients Entered - all patients who entered this study and completed Visit 1</w:t>
      </w:r>
    </w:p>
    <w:p w:rsidR="00AE090E" w:rsidRPr="00882EDF" w:rsidRDefault="00AE090E" w:rsidP="00882EDF">
      <w:pPr>
        <w:pStyle w:val="Numberbullet0"/>
        <w:rPr>
          <w:i/>
        </w:rPr>
      </w:pPr>
      <w:r w:rsidRPr="00882EDF">
        <w:rPr>
          <w:i/>
        </w:rPr>
        <w:t xml:space="preserve">All Randomized - all patients who were randomized to a treatment arm </w:t>
      </w:r>
    </w:p>
    <w:p w:rsidR="00AE090E" w:rsidRPr="00882EDF" w:rsidRDefault="00850CE4" w:rsidP="00882EDF">
      <w:pPr>
        <w:pStyle w:val="Numberbullet0"/>
        <w:rPr>
          <w:i/>
        </w:rPr>
      </w:pPr>
      <w:r w:rsidRPr="00882EDF">
        <w:rPr>
          <w:i/>
        </w:rPr>
        <w:t>F</w:t>
      </w:r>
      <w:r w:rsidR="00AE090E" w:rsidRPr="00882EDF">
        <w:rPr>
          <w:i/>
        </w:rPr>
        <w:t>ull Analysis Set (FAS) - based on the ITT principle, all patients who were randomized and who have taken at least one dose of study medication. Patients are assigned to the treatment arm to which they were randomized.</w:t>
      </w:r>
    </w:p>
    <w:p w:rsidR="00AE090E" w:rsidRPr="00882EDF" w:rsidRDefault="00AE090E" w:rsidP="00882EDF">
      <w:pPr>
        <w:pStyle w:val="Numberbullet0"/>
        <w:rPr>
          <w:i/>
        </w:rPr>
      </w:pPr>
      <w:r w:rsidRPr="00882EDF">
        <w:rPr>
          <w:i/>
        </w:rPr>
        <w:t>Per-protocol (PP) - patients in the FAS/ITT population who also meet the following criteria:</w:t>
      </w:r>
    </w:p>
    <w:p w:rsidR="00AE090E" w:rsidRPr="00882EDF" w:rsidRDefault="00AE090E" w:rsidP="00850CE4">
      <w:pPr>
        <w:pStyle w:val="Numberbullet2"/>
        <w:rPr>
          <w:i/>
        </w:rPr>
      </w:pPr>
      <w:r w:rsidRPr="00882EDF">
        <w:rPr>
          <w:i/>
        </w:rPr>
        <w:t>have no violations of Inclusion/Exclusion Criteria</w:t>
      </w:r>
    </w:p>
    <w:p w:rsidR="00AE090E" w:rsidRPr="00882EDF" w:rsidRDefault="00AE090E" w:rsidP="00850CE4">
      <w:pPr>
        <w:pStyle w:val="Numberbullet2"/>
        <w:rPr>
          <w:i/>
        </w:rPr>
      </w:pPr>
      <w:r w:rsidRPr="00882EDF">
        <w:rPr>
          <w:i/>
        </w:rPr>
        <w:t>have not discontinued from the study prior to 24 weeks</w:t>
      </w:r>
    </w:p>
    <w:p w:rsidR="00AE090E" w:rsidRPr="00882EDF" w:rsidRDefault="00AE090E" w:rsidP="00850CE4">
      <w:pPr>
        <w:pStyle w:val="Numberbullet2"/>
        <w:rPr>
          <w:i/>
        </w:rPr>
      </w:pPr>
      <w:r w:rsidRPr="00882EDF">
        <w:rPr>
          <w:i/>
        </w:rPr>
        <w:t>have not been off study medication for more than 14 consecutive days during the treatment period</w:t>
      </w:r>
    </w:p>
    <w:p w:rsidR="00AE090E" w:rsidRPr="00882EDF" w:rsidRDefault="00AE090E" w:rsidP="00850CE4">
      <w:pPr>
        <w:pStyle w:val="Numberbullet2"/>
        <w:rPr>
          <w:i/>
        </w:rPr>
      </w:pPr>
      <w:proofErr w:type="gramStart"/>
      <w:r w:rsidRPr="00882EDF">
        <w:rPr>
          <w:i/>
        </w:rPr>
        <w:lastRenderedPageBreak/>
        <w:t>have</w:t>
      </w:r>
      <w:proofErr w:type="gramEnd"/>
      <w:r w:rsidRPr="00882EDF">
        <w:rPr>
          <w:i/>
        </w:rPr>
        <w:t xml:space="preserve"> not received chronic (lasting longer than 14 consecutive days) systemic glucocorticoid therapy (excluding topical, intra-articular, intraocular, and inhaled preparations).</w:t>
      </w:r>
    </w:p>
    <w:p w:rsidR="00AE090E" w:rsidRDefault="00AE090E" w:rsidP="00AE090E">
      <w:pPr>
        <w:autoSpaceDE w:val="0"/>
        <w:autoSpaceDN w:val="0"/>
        <w:adjustRightInd w:val="0"/>
        <w:jc w:val="both"/>
      </w:pPr>
      <w:r w:rsidRPr="00882EDF">
        <w:rPr>
          <w:i/>
        </w:rPr>
        <w:t>Unless otherwise specified, listings will be prepared using all randomized patients.</w:t>
      </w:r>
      <w:r w:rsidR="009F388C" w:rsidRPr="00882EDF">
        <w:rPr>
          <w:i/>
        </w:rPr>
        <w:t xml:space="preserve"> </w:t>
      </w:r>
      <w:r w:rsidRPr="00882EDF">
        <w:rPr>
          <w:i/>
        </w:rPr>
        <w:t>Efficacy and safety analyses will be conducted using the FAS population.</w:t>
      </w:r>
      <w:r w:rsidR="009F388C" w:rsidRPr="00882EDF">
        <w:rPr>
          <w:i/>
        </w:rPr>
        <w:t xml:space="preserve"> </w:t>
      </w:r>
      <w:r w:rsidRPr="00882EDF">
        <w:rPr>
          <w:i/>
        </w:rPr>
        <w:t>Selected analyses will be conducted using the all randomized patients population and the PP population</w:t>
      </w:r>
      <w:r>
        <w:t>.</w:t>
      </w:r>
      <w:r w:rsidR="00127BD9">
        <w:t>’</w:t>
      </w:r>
    </w:p>
    <w:p w:rsidR="00AE090E" w:rsidRDefault="00AE090E" w:rsidP="00AE090E">
      <w:pPr>
        <w:autoSpaceDE w:val="0"/>
        <w:autoSpaceDN w:val="0"/>
        <w:adjustRightInd w:val="0"/>
        <w:jc w:val="both"/>
      </w:pPr>
      <w:r>
        <w:t>The analytical plan was not submitted.</w:t>
      </w:r>
    </w:p>
    <w:p w:rsidR="00AE090E" w:rsidRPr="004B259C" w:rsidDel="0081373E" w:rsidRDefault="00AE090E" w:rsidP="00882EDF">
      <w:pPr>
        <w:pStyle w:val="Heading6"/>
      </w:pPr>
      <w:r w:rsidRPr="004B259C" w:rsidDel="0081373E">
        <w:t>Sample size</w:t>
      </w:r>
    </w:p>
    <w:p w:rsidR="00AE090E" w:rsidRDefault="00270FA0" w:rsidP="00AE090E">
      <w:pPr>
        <w:autoSpaceDE w:val="0"/>
        <w:autoSpaceDN w:val="0"/>
        <w:adjustRightInd w:val="0"/>
        <w:jc w:val="both"/>
      </w:pPr>
      <w:r>
        <w:t>From Module 5:</w:t>
      </w:r>
    </w:p>
    <w:p w:rsidR="00AE090E" w:rsidRDefault="00AE090E" w:rsidP="00AE090E">
      <w:pPr>
        <w:autoSpaceDE w:val="0"/>
        <w:autoSpaceDN w:val="0"/>
        <w:adjustRightInd w:val="0"/>
      </w:pPr>
      <w:r>
        <w:t>[Protocol Summary]</w:t>
      </w:r>
      <w:r w:rsidR="00882EDF">
        <w:t xml:space="preserve"> </w:t>
      </w:r>
      <w:r w:rsidR="00D96585">
        <w:rPr>
          <w:i/>
        </w:rPr>
        <w:t>‘</w:t>
      </w:r>
      <w:r w:rsidR="00D96585" w:rsidRPr="00F36650">
        <w:rPr>
          <w:i/>
        </w:rPr>
        <w:t xml:space="preserve">Sample </w:t>
      </w:r>
      <w:r w:rsidRPr="00F36650">
        <w:rPr>
          <w:i/>
        </w:rPr>
        <w:t>Size</w:t>
      </w:r>
      <w:r w:rsidRPr="00882EDF">
        <w:rPr>
          <w:i/>
        </w:rPr>
        <w:t xml:space="preserve">: Based on the primary objective to show </w:t>
      </w:r>
      <w:r w:rsidR="005B41AF">
        <w:rPr>
          <w:i/>
        </w:rPr>
        <w:t>non-inferiority</w:t>
      </w:r>
      <w:r w:rsidRPr="00882EDF">
        <w:rPr>
          <w:i/>
        </w:rPr>
        <w:t xml:space="preserve"> of LY2963016 to Lantus at the 0.40% </w:t>
      </w:r>
      <w:r w:rsidR="005B41AF">
        <w:rPr>
          <w:i/>
        </w:rPr>
        <w:t>non-inferiority</w:t>
      </w:r>
      <w:r w:rsidRPr="00882EDF">
        <w:rPr>
          <w:i/>
        </w:rPr>
        <w:t xml:space="preserve"> margin (NIM), 284 (568 total) completers per arm are needed at 24 weeks.</w:t>
      </w:r>
      <w:r w:rsidR="009F388C" w:rsidRPr="00882EDF">
        <w:rPr>
          <w:i/>
        </w:rPr>
        <w:t xml:space="preserve"> </w:t>
      </w:r>
      <w:r w:rsidRPr="00882EDF">
        <w:rPr>
          <w:i/>
        </w:rPr>
        <w:t xml:space="preserve">This calculation assumes no treatment difference in HbA1c between the LY2963016 and Lantus, common SD of 1.1% for change from baseline in HbA1c, </w:t>
      </w:r>
      <w:proofErr w:type="gramStart"/>
      <w:r w:rsidRPr="00882EDF">
        <w:rPr>
          <w:i/>
        </w:rPr>
        <w:t>0.05 two-sided significance level,</w:t>
      </w:r>
      <w:proofErr w:type="gramEnd"/>
      <w:r w:rsidRPr="00882EDF">
        <w:rPr>
          <w:i/>
        </w:rPr>
        <w:t xml:space="preserve"> and over 99% power. Assuming a 15% dropout rate at 24 weeks, the required number of randomized patients is 334 per arm (668 </w:t>
      </w:r>
      <w:proofErr w:type="gramStart"/>
      <w:r w:rsidRPr="00882EDF">
        <w:rPr>
          <w:i/>
        </w:rPr>
        <w:t>total</w:t>
      </w:r>
      <w:proofErr w:type="gramEnd"/>
      <w:r w:rsidRPr="00882EDF">
        <w:rPr>
          <w:i/>
        </w:rPr>
        <w:t>).</w:t>
      </w:r>
      <w:r w:rsidR="009F388C" w:rsidRPr="00882EDF">
        <w:rPr>
          <w:i/>
        </w:rPr>
        <w:t xml:space="preserve"> </w:t>
      </w:r>
      <w:r w:rsidRPr="00882EDF">
        <w:rPr>
          <w:i/>
        </w:rPr>
        <w:t xml:space="preserve">The same sample size is needed to show </w:t>
      </w:r>
      <w:r w:rsidR="005B41AF">
        <w:rPr>
          <w:i/>
        </w:rPr>
        <w:t>non-inferiority</w:t>
      </w:r>
      <w:r w:rsidRPr="00882EDF">
        <w:rPr>
          <w:i/>
        </w:rPr>
        <w:t xml:space="preserve"> of LY2963016 to Lantus at the 0.30% NIM with 90% power.</w:t>
      </w:r>
      <w:r w:rsidR="009F388C" w:rsidRPr="00882EDF">
        <w:rPr>
          <w:i/>
        </w:rPr>
        <w:t xml:space="preserve"> </w:t>
      </w:r>
      <w:r w:rsidRPr="00882EDF">
        <w:rPr>
          <w:i/>
        </w:rPr>
        <w:t xml:space="preserve"> Blinded sample-size re-estimation will be performed before the last patient has been enrolled in the study</w:t>
      </w:r>
      <w:r>
        <w:t>.</w:t>
      </w:r>
      <w:r w:rsidR="00127BD9">
        <w:t>’</w:t>
      </w:r>
    </w:p>
    <w:p w:rsidR="00AE090E" w:rsidRDefault="00AE090E" w:rsidP="00AE090E">
      <w:pPr>
        <w:autoSpaceDE w:val="0"/>
        <w:autoSpaceDN w:val="0"/>
        <w:adjustRightInd w:val="0"/>
      </w:pPr>
      <w:r>
        <w:t xml:space="preserve">[From Protocol, 12.1] </w:t>
      </w:r>
      <w:r w:rsidR="00127BD9">
        <w:t>‘</w:t>
      </w:r>
      <w:r w:rsidRPr="00882EDF">
        <w:rPr>
          <w:i/>
        </w:rPr>
        <w:t xml:space="preserve">Based on the primary objective, to show </w:t>
      </w:r>
      <w:r w:rsidR="005B41AF">
        <w:rPr>
          <w:i/>
        </w:rPr>
        <w:t>non-inferiority</w:t>
      </w:r>
      <w:r w:rsidRPr="00882EDF">
        <w:rPr>
          <w:i/>
        </w:rPr>
        <w:t xml:space="preserve"> of LY2963016 to Lantus at the 0.40% </w:t>
      </w:r>
      <w:r w:rsidR="005B41AF">
        <w:rPr>
          <w:i/>
        </w:rPr>
        <w:t>non-inferiority</w:t>
      </w:r>
      <w:r w:rsidRPr="00882EDF">
        <w:rPr>
          <w:i/>
        </w:rPr>
        <w:t xml:space="preserve"> margin (NIM), 284 (568 total) completers per arm are needed at 24 weeks.</w:t>
      </w:r>
      <w:r w:rsidR="009F388C" w:rsidRPr="00882EDF">
        <w:rPr>
          <w:i/>
        </w:rPr>
        <w:t xml:space="preserve"> </w:t>
      </w:r>
      <w:r w:rsidRPr="00882EDF">
        <w:rPr>
          <w:i/>
        </w:rPr>
        <w:t xml:space="preserve">This calculation assumes no treatment difference in HbA1c between LY2963016 and Lantus, common SD of 1.1% for change from baseline in HbA1c, </w:t>
      </w:r>
      <w:proofErr w:type="gramStart"/>
      <w:r w:rsidRPr="00882EDF">
        <w:rPr>
          <w:i/>
        </w:rPr>
        <w:t>0.05 two-sided significance level,</w:t>
      </w:r>
      <w:proofErr w:type="gramEnd"/>
      <w:r w:rsidRPr="00882EDF">
        <w:rPr>
          <w:i/>
        </w:rPr>
        <w:t xml:space="preserve"> and over 99% power. Assuming a 15% dropout rate at 24 weeks, the required number of randomized patients is 334 per arm (668 </w:t>
      </w:r>
      <w:proofErr w:type="gramStart"/>
      <w:r w:rsidRPr="00882EDF">
        <w:rPr>
          <w:i/>
        </w:rPr>
        <w:t>total</w:t>
      </w:r>
      <w:proofErr w:type="gramEnd"/>
      <w:r w:rsidRPr="00882EDF">
        <w:rPr>
          <w:i/>
        </w:rPr>
        <w:t>).</w:t>
      </w:r>
      <w:r w:rsidR="009F388C" w:rsidRPr="00882EDF">
        <w:rPr>
          <w:i/>
        </w:rPr>
        <w:t xml:space="preserve"> </w:t>
      </w:r>
      <w:r w:rsidRPr="00882EDF">
        <w:rPr>
          <w:i/>
        </w:rPr>
        <w:t xml:space="preserve">The same sample size is needed to show </w:t>
      </w:r>
      <w:r w:rsidR="005B41AF">
        <w:rPr>
          <w:i/>
        </w:rPr>
        <w:t>non-inferiority</w:t>
      </w:r>
      <w:r w:rsidRPr="00882EDF">
        <w:rPr>
          <w:i/>
        </w:rPr>
        <w:t xml:space="preserve"> of LY2963016 to Lantus at the 0.30% NIM with 90% power.</w:t>
      </w:r>
      <w:r w:rsidR="009F388C" w:rsidRPr="00882EDF">
        <w:rPr>
          <w:i/>
        </w:rPr>
        <w:t xml:space="preserve"> </w:t>
      </w:r>
      <w:r w:rsidRPr="00882EDF">
        <w:rPr>
          <w:i/>
        </w:rPr>
        <w:t xml:space="preserve">Blinded sample-size re-estimation will be performed before the last patient has been enrolled in the study. This re-estimation will use a statistical model to estimate the variability in the change in HbA1c from baseline to 24-week endpoint using all available patient HbA1c values at the time of data </w:t>
      </w:r>
      <w:proofErr w:type="spellStart"/>
      <w:r w:rsidRPr="00882EDF">
        <w:rPr>
          <w:i/>
        </w:rPr>
        <w:t>cutoff</w:t>
      </w:r>
      <w:proofErr w:type="spellEnd"/>
      <w:r w:rsidRPr="00882EDF">
        <w:rPr>
          <w:i/>
        </w:rPr>
        <w:t>.</w:t>
      </w:r>
      <w:r w:rsidR="009F388C" w:rsidRPr="00882EDF">
        <w:rPr>
          <w:i/>
        </w:rPr>
        <w:t xml:space="preserve"> </w:t>
      </w:r>
      <w:r w:rsidRPr="00882EDF">
        <w:rPr>
          <w:i/>
        </w:rPr>
        <w:t xml:space="preserve"> The estimate of variability will then be used to recalculate the sample size that would be needed to have 90% conditional power for a NIM of 0.3%, assuming no difference between treatments. The sample size from the study is constrained between a predefined minimum sample size of 606 patients, and a predefined maximum sample size of 792 patients.</w:t>
      </w:r>
      <w:r w:rsidR="009F388C" w:rsidRPr="00882EDF">
        <w:rPr>
          <w:i/>
        </w:rPr>
        <w:t xml:space="preserve"> </w:t>
      </w:r>
      <w:r w:rsidRPr="00882EDF">
        <w:rPr>
          <w:i/>
        </w:rPr>
        <w:t>If the recalculated sample size is smaller than the minimum sample size planned, the study will enrol to the minimum sample size. If the recalculated sample size is larger than planned minimum sample size, the team will make a decision whether to increase sample size, up to a predefined maximum, or accept the consequent reduction in power</w:t>
      </w:r>
      <w:r>
        <w:t>.</w:t>
      </w:r>
      <w:r w:rsidR="00127BD9">
        <w:t>’</w:t>
      </w:r>
    </w:p>
    <w:p w:rsidR="00AE090E" w:rsidRPr="00850CE4" w:rsidRDefault="00AE090E" w:rsidP="00A15995">
      <w:pPr>
        <w:ind w:left="720"/>
      </w:pPr>
      <w:r w:rsidRPr="00F36650">
        <w:rPr>
          <w:b/>
        </w:rPr>
        <w:t>Evaluator’s Comment</w:t>
      </w:r>
      <w:r w:rsidRPr="00850CE4">
        <w:t>: Six hundred and sixty-two patients were evaluable at 24 weeks. This is clearly above the 568 total that was pre-specified.</w:t>
      </w:r>
    </w:p>
    <w:p w:rsidR="00AE090E" w:rsidRPr="004B259C" w:rsidRDefault="00AE090E" w:rsidP="00882EDF">
      <w:pPr>
        <w:pStyle w:val="Heading6"/>
      </w:pPr>
      <w:r w:rsidRPr="004B259C">
        <w:t>Statistical methods</w:t>
      </w:r>
    </w:p>
    <w:p w:rsidR="00AE090E" w:rsidRDefault="00AE090E" w:rsidP="00AE090E">
      <w:pPr>
        <w:autoSpaceDE w:val="0"/>
        <w:autoSpaceDN w:val="0"/>
        <w:adjustRightInd w:val="0"/>
      </w:pPr>
      <w:r w:rsidRPr="00BA3BB1">
        <w:t xml:space="preserve">The full analytical plan was not supplied – </w:t>
      </w:r>
      <w:r w:rsidR="00127BD9">
        <w:t>‘</w:t>
      </w:r>
      <w:r w:rsidRPr="00BA3BB1">
        <w:t>A Statistical Analysis Plan is available upon request.</w:t>
      </w:r>
      <w:r w:rsidR="00127BD9">
        <w:t>’</w:t>
      </w:r>
      <w:r w:rsidRPr="00BA3BB1">
        <w:t xml:space="preserve"> </w:t>
      </w:r>
      <w:proofErr w:type="gramStart"/>
      <w:r w:rsidRPr="00BA3BB1">
        <w:t>[Appendices to Study Report, M5.3].</w:t>
      </w:r>
      <w:proofErr w:type="gramEnd"/>
      <w:r w:rsidRPr="00BA3BB1">
        <w:t xml:space="preserve"> The statistical methods were described in the study report and in Module 2.7. The evaluator has examined what was submitted.</w:t>
      </w:r>
    </w:p>
    <w:p w:rsidR="00AE090E" w:rsidRDefault="00AE090E" w:rsidP="00AE090E">
      <w:pPr>
        <w:autoSpaceDE w:val="0"/>
        <w:autoSpaceDN w:val="0"/>
        <w:adjustRightInd w:val="0"/>
      </w:pPr>
      <w:r>
        <w:t>The statistical methods appear to have been conventional in terms of adopted guidelines.</w:t>
      </w:r>
    </w:p>
    <w:p w:rsidR="00AE090E" w:rsidRDefault="00127BD9" w:rsidP="00882EDF">
      <w:pPr>
        <w:autoSpaceDE w:val="0"/>
        <w:autoSpaceDN w:val="0"/>
        <w:adjustRightInd w:val="0"/>
        <w:ind w:left="284"/>
      </w:pPr>
      <w:r>
        <w:t>‘</w:t>
      </w:r>
      <w:r w:rsidR="00AE090E" w:rsidRPr="00882EDF">
        <w:rPr>
          <w:i/>
        </w:rPr>
        <w:t>The primary efficacy analysis of change in HbA1c from baseline to 24 weeks was completed for the FAS population using an analysis of covariance (ANCOVA) model</w:t>
      </w:r>
      <w:r w:rsidR="00AE090E">
        <w:t>.</w:t>
      </w:r>
      <w:r>
        <w:t>’</w:t>
      </w:r>
    </w:p>
    <w:p w:rsidR="00AE090E" w:rsidRDefault="00127BD9" w:rsidP="00882EDF">
      <w:pPr>
        <w:autoSpaceDE w:val="0"/>
        <w:autoSpaceDN w:val="0"/>
        <w:adjustRightInd w:val="0"/>
        <w:ind w:left="284"/>
      </w:pPr>
      <w:r>
        <w:t>‘</w:t>
      </w:r>
      <w:r w:rsidR="00AE090E" w:rsidRPr="00882EDF">
        <w:rPr>
          <w:i/>
        </w:rPr>
        <w:t xml:space="preserve">As a robustness check on the primary analysis, the secondary analysis model was conducted using the ANCOVA model described above for the PP population. A </w:t>
      </w:r>
      <w:r w:rsidR="005B41AF">
        <w:rPr>
          <w:i/>
        </w:rPr>
        <w:t>non-inferiority</w:t>
      </w:r>
      <w:r w:rsidR="00AE090E" w:rsidRPr="00882EDF">
        <w:rPr>
          <w:i/>
        </w:rPr>
        <w:t xml:space="preserve"> trial is often analysed using both FAS/ITT and PP approaches. Per the CHMP Points to Consider on Switching between Superiority and </w:t>
      </w:r>
      <w:r w:rsidR="005B41AF">
        <w:rPr>
          <w:i/>
        </w:rPr>
        <w:t>Non-inferiority</w:t>
      </w:r>
      <w:r w:rsidR="00AE090E" w:rsidRPr="00882EDF">
        <w:rPr>
          <w:i/>
        </w:rPr>
        <w:t xml:space="preserve"> Trials (CHMP 2000), the FAS and PP have equal </w:t>
      </w:r>
      <w:r w:rsidR="00AE090E" w:rsidRPr="00882EDF">
        <w:rPr>
          <w:i/>
        </w:rPr>
        <w:lastRenderedPageBreak/>
        <w:t xml:space="preserve">importance and their use should lead to similar conclusions. If both approaches support </w:t>
      </w:r>
      <w:r w:rsidR="005B41AF">
        <w:rPr>
          <w:i/>
        </w:rPr>
        <w:t>non-inferiority</w:t>
      </w:r>
      <w:r w:rsidR="00AE090E" w:rsidRPr="00882EDF">
        <w:rPr>
          <w:i/>
        </w:rPr>
        <w:t>, confidence in the results is increased.</w:t>
      </w:r>
      <w:r w:rsidRPr="00882EDF">
        <w:rPr>
          <w:i/>
        </w:rPr>
        <w:t>’</w:t>
      </w:r>
      <w:r w:rsidR="00AE090E" w:rsidRPr="00882EDF">
        <w:rPr>
          <w:i/>
        </w:rPr>
        <w:t xml:space="preserve"> </w:t>
      </w:r>
      <w:r w:rsidRPr="00882EDF">
        <w:rPr>
          <w:i/>
        </w:rPr>
        <w:t>‘</w:t>
      </w:r>
      <w:r w:rsidR="00AE090E" w:rsidRPr="00882EDF">
        <w:rPr>
          <w:i/>
        </w:rPr>
        <w:t xml:space="preserve">Missing data were imputed using last-observation-carried-forward (LOCF) methodology. If a patient’s baseline value was </w:t>
      </w:r>
      <w:proofErr w:type="gramStart"/>
      <w:r w:rsidR="00AE090E" w:rsidRPr="00882EDF">
        <w:rPr>
          <w:i/>
        </w:rPr>
        <w:t>missing,</w:t>
      </w:r>
      <w:proofErr w:type="gramEnd"/>
      <w:r w:rsidR="00AE090E" w:rsidRPr="00882EDF">
        <w:rPr>
          <w:i/>
        </w:rPr>
        <w:t xml:space="preserve"> or a patient only had a baseline value with no follow-up values, the patient was not included in the analysis</w:t>
      </w:r>
      <w:r w:rsidR="00AE090E">
        <w:t>.</w:t>
      </w:r>
      <w:r>
        <w:t>’</w:t>
      </w:r>
    </w:p>
    <w:p w:rsidR="00AE090E" w:rsidRDefault="00AE090E" w:rsidP="00882EDF">
      <w:pPr>
        <w:autoSpaceDE w:val="0"/>
        <w:autoSpaceDN w:val="0"/>
        <w:adjustRightInd w:val="0"/>
        <w:ind w:left="284"/>
      </w:pPr>
      <w:r>
        <w:t xml:space="preserve">[M2.7.3 p.15] </w:t>
      </w:r>
      <w:r w:rsidR="00127BD9">
        <w:t>‘</w:t>
      </w:r>
      <w:r w:rsidRPr="00882EDF">
        <w:rPr>
          <w:i/>
        </w:rPr>
        <w:t xml:space="preserve">Unless otherwise noted, all tests of treatment effects were conducted at a 2-sided alpha level of 0.05 and confidence intervals (CI) were calculated as 2-sided 95% CIs. All tests of interactions between treatment groups and other factors were conducted at a 2-sided alpha level of 0.05 and no adjustments for </w:t>
      </w:r>
      <w:proofErr w:type="gramStart"/>
      <w:r w:rsidRPr="00882EDF">
        <w:rPr>
          <w:i/>
        </w:rPr>
        <w:t>multiplicity were</w:t>
      </w:r>
      <w:proofErr w:type="gramEnd"/>
      <w:r w:rsidRPr="00882EDF">
        <w:rPr>
          <w:i/>
        </w:rPr>
        <w:t xml:space="preserve"> performed.</w:t>
      </w:r>
      <w:r w:rsidR="00127BD9" w:rsidRPr="00882EDF">
        <w:rPr>
          <w:i/>
        </w:rPr>
        <w:t>’</w:t>
      </w:r>
      <w:r w:rsidR="009F388C" w:rsidRPr="00882EDF">
        <w:rPr>
          <w:i/>
        </w:rPr>
        <w:t xml:space="preserve"> </w:t>
      </w:r>
      <w:r w:rsidR="00127BD9" w:rsidRPr="00882EDF">
        <w:rPr>
          <w:i/>
        </w:rPr>
        <w:t>‘</w:t>
      </w:r>
      <w:r w:rsidRPr="00882EDF">
        <w:rPr>
          <w:i/>
        </w:rPr>
        <w:t>For Study ABEC, the model included country, sulfonylurea use (yes, no), time of basal insulin injection (daytime, evening/bedtime), and treatment as fixed effects and baseline HbA1c as a covariate</w:t>
      </w:r>
      <w:r>
        <w:t>.</w:t>
      </w:r>
      <w:r w:rsidR="00127BD9">
        <w:t>’</w:t>
      </w:r>
    </w:p>
    <w:p w:rsidR="00AE090E" w:rsidRPr="00850CE4" w:rsidRDefault="00AE090E" w:rsidP="00A15995">
      <w:pPr>
        <w:ind w:left="720"/>
      </w:pPr>
      <w:r w:rsidRPr="00E53718">
        <w:rPr>
          <w:b/>
        </w:rPr>
        <w:t>Comment</w:t>
      </w:r>
      <w:r w:rsidRPr="00850CE4">
        <w:t>: It is reasonable in an equivalence study to report FAS and PP results. Overall improvement of glycaemic control occurred in a time dependent manner in both studies and this was statistically and clinically significant versus baseline in both treatment groups. The number of dropouts in both studies was reasonably small: most patients completed to week 24 in both studies - ABEB (95.1%) - and ABEC (87.6%), so one would expect both analyses to produce similar outcomes.</w:t>
      </w:r>
    </w:p>
    <w:p w:rsidR="00AE090E" w:rsidRDefault="00AE090E" w:rsidP="00882EDF">
      <w:pPr>
        <w:autoSpaceDE w:val="0"/>
        <w:autoSpaceDN w:val="0"/>
        <w:adjustRightInd w:val="0"/>
        <w:ind w:left="284"/>
      </w:pPr>
      <w:r>
        <w:t xml:space="preserve">[M2.7.3 p.15] </w:t>
      </w:r>
      <w:r w:rsidR="00127BD9">
        <w:t>‘</w:t>
      </w:r>
      <w:r w:rsidRPr="00882EDF">
        <w:rPr>
          <w:i/>
        </w:rPr>
        <w:t>Unless otherwise noted, all tests of treatment effects were conducted at a 2-sided alpha level of 0.05 and confidence intervals (CI) were calculated as 2-sided 95% CIs.</w:t>
      </w:r>
      <w:r w:rsidR="009F388C" w:rsidRPr="00882EDF">
        <w:rPr>
          <w:i/>
        </w:rPr>
        <w:t xml:space="preserve"> </w:t>
      </w:r>
      <w:r w:rsidRPr="00882EDF">
        <w:rPr>
          <w:i/>
        </w:rPr>
        <w:t xml:space="preserve">All tests of interactions between treatment groups and other factors were conducted at a 2-sided alpha level of 0.05 and no adjustments for </w:t>
      </w:r>
      <w:r w:rsidR="00D96585" w:rsidRPr="00882EDF">
        <w:rPr>
          <w:i/>
        </w:rPr>
        <w:t>multiplicities were</w:t>
      </w:r>
      <w:r w:rsidRPr="00882EDF">
        <w:rPr>
          <w:i/>
        </w:rPr>
        <w:t xml:space="preserve"> performed</w:t>
      </w:r>
      <w:r>
        <w:t>.</w:t>
      </w:r>
      <w:r w:rsidR="00127BD9">
        <w:t>’</w:t>
      </w:r>
    </w:p>
    <w:p w:rsidR="00AE090E" w:rsidRPr="00850CE4" w:rsidRDefault="00AE090E" w:rsidP="00A15995">
      <w:pPr>
        <w:ind w:left="720"/>
      </w:pPr>
      <w:r w:rsidRPr="00E53718">
        <w:rPr>
          <w:b/>
        </w:rPr>
        <w:t>Comment</w:t>
      </w:r>
      <w:r w:rsidRPr="00850CE4">
        <w:t>: Numerous secondary/supportive endpoints and subgroup analyses were reported. It is not surprising that a few statistically significant results were reported.</w:t>
      </w:r>
    </w:p>
    <w:p w:rsidR="00AE090E" w:rsidRPr="00882EDF" w:rsidRDefault="00AE090E" w:rsidP="00882EDF">
      <w:pPr>
        <w:autoSpaceDE w:val="0"/>
        <w:autoSpaceDN w:val="0"/>
        <w:adjustRightInd w:val="0"/>
        <w:ind w:left="284" w:hanging="284"/>
        <w:rPr>
          <w:i/>
        </w:rPr>
      </w:pPr>
      <w:r>
        <w:t>From Module 5</w:t>
      </w:r>
      <w:r w:rsidR="00882EDF">
        <w:t xml:space="preserve"> </w:t>
      </w:r>
      <w:r w:rsidR="00127BD9" w:rsidRPr="00882EDF">
        <w:rPr>
          <w:i/>
        </w:rPr>
        <w:t>’</w:t>
      </w:r>
      <w:proofErr w:type="gramStart"/>
      <w:r w:rsidRPr="00882EDF">
        <w:rPr>
          <w:i/>
        </w:rPr>
        <w:t>The</w:t>
      </w:r>
      <w:proofErr w:type="gramEnd"/>
      <w:r w:rsidRPr="00882EDF">
        <w:rPr>
          <w:i/>
        </w:rPr>
        <w:t xml:space="preserve"> primary efficacy endpoint is the change in HbA1c from baseline to 24 weeks. If the 24-week HbA1c value is missing, the last post-baseline value will be carried forward and used in the analysis. This creates the HbA1c endpoint value using the LOCF methodology. If there are no HbA1c data after the date of randomization, the endpoint will be considered missing.</w:t>
      </w:r>
    </w:p>
    <w:p w:rsidR="00AE090E" w:rsidRDefault="00AE090E" w:rsidP="00882EDF">
      <w:pPr>
        <w:autoSpaceDE w:val="0"/>
        <w:autoSpaceDN w:val="0"/>
        <w:adjustRightInd w:val="0"/>
        <w:ind w:left="284"/>
      </w:pPr>
      <w:r w:rsidRPr="00882EDF">
        <w:rPr>
          <w:i/>
        </w:rPr>
        <w:t>The primary analysis model will be an analysis of covariance (ANCOVA) for the change in HbA1c from baseline to endpoint with pooled country, sulfonylurea use (yes, no), time of basal insulin injection (daytime, evening/bedtime), and treatment as fixed effects and baseline HbA1c as a covariate. This analysis will be conducted using the full analysis set (FAS) population, which is defined using the intent-to-treat (ITT) principle.</w:t>
      </w:r>
      <w:r w:rsidR="009F388C" w:rsidRPr="00882EDF">
        <w:rPr>
          <w:i/>
        </w:rPr>
        <w:t xml:space="preserve"> </w:t>
      </w:r>
      <w:r w:rsidRPr="00882EDF">
        <w:rPr>
          <w:i/>
        </w:rPr>
        <w:t>As a robustness check on the primary analysis, the secondary analysis model will use the ANCOVA model above for the per-protocol patient population.</w:t>
      </w:r>
      <w:r w:rsidR="009F388C" w:rsidRPr="00882EDF">
        <w:rPr>
          <w:i/>
        </w:rPr>
        <w:t xml:space="preserve"> </w:t>
      </w:r>
      <w:r w:rsidRPr="00882EDF">
        <w:rPr>
          <w:i/>
        </w:rPr>
        <w:t xml:space="preserve">The analysis of the continuous secondary efficacy and safety measurements will use the ANCOVA model with the FAS patient population. For categorical measures, Fisher’s </w:t>
      </w:r>
      <w:proofErr w:type="gramStart"/>
      <w:r w:rsidRPr="00882EDF">
        <w:rPr>
          <w:i/>
        </w:rPr>
        <w:t>Exact</w:t>
      </w:r>
      <w:proofErr w:type="gramEnd"/>
      <w:r w:rsidRPr="00882EDF">
        <w:rPr>
          <w:i/>
        </w:rPr>
        <w:t xml:space="preserve"> test or Pearson’s Chi square test will be utilized</w:t>
      </w:r>
      <w:r>
        <w:t>.</w:t>
      </w:r>
      <w:r w:rsidR="00127BD9">
        <w:t>’</w:t>
      </w:r>
    </w:p>
    <w:p w:rsidR="00AE090E" w:rsidRPr="00882EDF" w:rsidRDefault="00AE090E" w:rsidP="00882EDF">
      <w:pPr>
        <w:autoSpaceDE w:val="0"/>
        <w:autoSpaceDN w:val="0"/>
        <w:adjustRightInd w:val="0"/>
        <w:ind w:left="284" w:hanging="284"/>
        <w:rPr>
          <w:i/>
        </w:rPr>
      </w:pPr>
      <w:r w:rsidRPr="00882EDF">
        <w:t>From Study report [evidently in reference to the primary efficacy endpoint]</w:t>
      </w:r>
      <w:r w:rsidRPr="00882EDF">
        <w:rPr>
          <w:i/>
        </w:rPr>
        <w:t xml:space="preserve"> </w:t>
      </w:r>
      <w:r w:rsidR="00127BD9" w:rsidRPr="00882EDF">
        <w:rPr>
          <w:i/>
        </w:rPr>
        <w:t>‘</w:t>
      </w:r>
      <w:r w:rsidRPr="00882EDF">
        <w:rPr>
          <w:i/>
        </w:rPr>
        <w:t xml:space="preserve">Multiple Comparisons/Multiplicity: No adjustments for multiplicity were performed. It was not necessary to adjust for multiplicity due to the gate-keeping procedure for </w:t>
      </w:r>
      <w:r w:rsidR="005B41AF">
        <w:rPr>
          <w:i/>
        </w:rPr>
        <w:t>non-inferiority</w:t>
      </w:r>
      <w:r w:rsidRPr="00882EDF">
        <w:rPr>
          <w:i/>
        </w:rPr>
        <w:t xml:space="preserve">. In addition, claiming equivalent efficacy was only to be considered if LY2963016 was declared </w:t>
      </w:r>
      <w:r w:rsidR="005B41AF">
        <w:rPr>
          <w:i/>
        </w:rPr>
        <w:t>non-inferior</w:t>
      </w:r>
      <w:r w:rsidRPr="00882EDF">
        <w:rPr>
          <w:i/>
        </w:rPr>
        <w:t xml:space="preserve"> to </w:t>
      </w:r>
      <w:r w:rsidR="00127BD9" w:rsidRPr="00882EDF">
        <w:rPr>
          <w:i/>
        </w:rPr>
        <w:t>Lantus</w:t>
      </w:r>
      <w:r w:rsidRPr="00882EDF">
        <w:rPr>
          <w:i/>
          <w:vertAlign w:val="superscript"/>
        </w:rPr>
        <w:t>®</w:t>
      </w:r>
      <w:r w:rsidRPr="00882EDF">
        <w:rPr>
          <w:i/>
        </w:rPr>
        <w:t xml:space="preserve"> in the primary treatment comparison, and </w:t>
      </w:r>
      <w:r w:rsidR="00127BD9" w:rsidRPr="00882EDF">
        <w:rPr>
          <w:i/>
        </w:rPr>
        <w:t>Lantus</w:t>
      </w:r>
      <w:r w:rsidRPr="00882EDF">
        <w:rPr>
          <w:i/>
        </w:rPr>
        <w:t xml:space="preserve">® was declared </w:t>
      </w:r>
      <w:r w:rsidR="005B41AF">
        <w:rPr>
          <w:i/>
        </w:rPr>
        <w:t>non-inferior</w:t>
      </w:r>
      <w:r w:rsidRPr="00882EDF">
        <w:rPr>
          <w:i/>
        </w:rPr>
        <w:t xml:space="preserve"> to LY2963016 in the secondary treatment comparison.</w:t>
      </w:r>
      <w:r w:rsidR="00127BD9" w:rsidRPr="00882EDF">
        <w:rPr>
          <w:i/>
        </w:rPr>
        <w:t>’</w:t>
      </w:r>
      <w:r w:rsidRPr="00882EDF">
        <w:rPr>
          <w:i/>
        </w:rPr>
        <w:t xml:space="preserve"> </w:t>
      </w:r>
      <w:r w:rsidR="00127BD9" w:rsidRPr="00882EDF">
        <w:rPr>
          <w:i/>
        </w:rPr>
        <w:t>‘</w:t>
      </w:r>
      <w:r w:rsidRPr="00882EDF">
        <w:rPr>
          <w:i/>
        </w:rPr>
        <w:t xml:space="preserve">The primary treatment comparison was to compare LY2963016 with </w:t>
      </w:r>
      <w:r w:rsidR="00127BD9" w:rsidRPr="00882EDF">
        <w:rPr>
          <w:i/>
        </w:rPr>
        <w:t>Lantus</w:t>
      </w:r>
      <w:r w:rsidRPr="00882EDF">
        <w:rPr>
          <w:i/>
          <w:vertAlign w:val="superscript"/>
        </w:rPr>
        <w:t>®</w:t>
      </w:r>
      <w:r w:rsidRPr="00882EDF">
        <w:rPr>
          <w:i/>
        </w:rPr>
        <w:t xml:space="preserve"> at the </w:t>
      </w:r>
      <w:r w:rsidR="005B41AF">
        <w:rPr>
          <w:i/>
        </w:rPr>
        <w:t>non-inferiority</w:t>
      </w:r>
      <w:r w:rsidRPr="00882EDF">
        <w:rPr>
          <w:i/>
        </w:rPr>
        <w:t xml:space="preserve"> margin of 0.4%. </w:t>
      </w:r>
      <w:r w:rsidR="005B41AF">
        <w:rPr>
          <w:i/>
        </w:rPr>
        <w:t>Non-inferiority</w:t>
      </w:r>
      <w:r w:rsidRPr="00882EDF">
        <w:rPr>
          <w:i/>
        </w:rPr>
        <w:t xml:space="preserve"> of LY2963016 to </w:t>
      </w:r>
      <w:r w:rsidR="00127BD9" w:rsidRPr="00882EDF">
        <w:rPr>
          <w:i/>
        </w:rPr>
        <w:t>Lantus</w:t>
      </w:r>
      <w:r w:rsidRPr="00882EDF">
        <w:rPr>
          <w:i/>
        </w:rPr>
        <w:t xml:space="preserve">® was declared if the upper limit of the 95% CI for the treatment difference in change in HbA1c from baseline to the 24-week endpoint was less than 0.4%. If the 0.4% </w:t>
      </w:r>
      <w:r w:rsidR="005B41AF">
        <w:rPr>
          <w:i/>
        </w:rPr>
        <w:t>non-inferiority</w:t>
      </w:r>
      <w:r w:rsidRPr="00882EDF">
        <w:rPr>
          <w:i/>
        </w:rPr>
        <w:t xml:space="preserve"> margin was met, then the upper limit of the 95% CI was compared to the 0.3% </w:t>
      </w:r>
      <w:r w:rsidR="005B41AF">
        <w:rPr>
          <w:i/>
        </w:rPr>
        <w:t>non-inferiority</w:t>
      </w:r>
      <w:r w:rsidRPr="00882EDF">
        <w:rPr>
          <w:i/>
        </w:rPr>
        <w:t xml:space="preserve"> margin. This gate-keeping procedure controlled the family-wise type 1 error rate at a 1-sided 0.025 level. A key secondary treatment comparison was to compare </w:t>
      </w:r>
      <w:r w:rsidR="00127BD9" w:rsidRPr="00882EDF">
        <w:rPr>
          <w:i/>
        </w:rPr>
        <w:t>Lantus</w:t>
      </w:r>
      <w:r w:rsidRPr="00882EDF">
        <w:rPr>
          <w:i/>
          <w:vertAlign w:val="superscript"/>
        </w:rPr>
        <w:t>®</w:t>
      </w:r>
      <w:r w:rsidRPr="00882EDF">
        <w:rPr>
          <w:i/>
        </w:rPr>
        <w:t xml:space="preserve"> versus LY2963016 at the </w:t>
      </w:r>
      <w:r w:rsidR="005B41AF">
        <w:rPr>
          <w:i/>
        </w:rPr>
        <w:t>non-inferiority</w:t>
      </w:r>
      <w:r w:rsidRPr="00882EDF">
        <w:rPr>
          <w:i/>
        </w:rPr>
        <w:t xml:space="preserve"> margin of -0.4%.</w:t>
      </w:r>
      <w:r w:rsidR="009F388C" w:rsidRPr="00882EDF">
        <w:rPr>
          <w:i/>
        </w:rPr>
        <w:t xml:space="preserve"> </w:t>
      </w:r>
      <w:r w:rsidR="005B41AF">
        <w:rPr>
          <w:i/>
        </w:rPr>
        <w:t>Non-inferiority</w:t>
      </w:r>
      <w:r w:rsidRPr="00882EDF">
        <w:rPr>
          <w:i/>
        </w:rPr>
        <w:t xml:space="preserve"> of </w:t>
      </w:r>
      <w:r w:rsidR="00127BD9" w:rsidRPr="00882EDF">
        <w:rPr>
          <w:i/>
        </w:rPr>
        <w:t>Lantus</w:t>
      </w:r>
      <w:r w:rsidRPr="00882EDF">
        <w:rPr>
          <w:i/>
          <w:vertAlign w:val="superscript"/>
        </w:rPr>
        <w:t>®</w:t>
      </w:r>
      <w:r w:rsidRPr="00882EDF">
        <w:rPr>
          <w:i/>
        </w:rPr>
        <w:t xml:space="preserve"> to </w:t>
      </w:r>
      <w:r w:rsidRPr="00882EDF">
        <w:rPr>
          <w:i/>
        </w:rPr>
        <w:lastRenderedPageBreak/>
        <w:t xml:space="preserve">LY2963016 was declared if the lower limit of the 95% CI for the treatment difference in change in HbA1c from baseline to the 24-week endpoint was greater than -0.4%. If LY2963016 was declared </w:t>
      </w:r>
      <w:r w:rsidR="005B41AF">
        <w:rPr>
          <w:i/>
        </w:rPr>
        <w:t>non-inferior</w:t>
      </w:r>
      <w:r w:rsidRPr="00882EDF">
        <w:rPr>
          <w:i/>
        </w:rPr>
        <w:t xml:space="preserve"> to </w:t>
      </w:r>
      <w:r w:rsidR="00127BD9" w:rsidRPr="00882EDF">
        <w:rPr>
          <w:i/>
        </w:rPr>
        <w:t>Lantus</w:t>
      </w:r>
      <w:r w:rsidRPr="00882EDF">
        <w:rPr>
          <w:i/>
          <w:vertAlign w:val="superscript"/>
        </w:rPr>
        <w:t>®</w:t>
      </w:r>
      <w:r w:rsidRPr="00882EDF">
        <w:rPr>
          <w:i/>
        </w:rPr>
        <w:t xml:space="preserve"> in the primary treatment comparison, and </w:t>
      </w:r>
      <w:r w:rsidR="00127BD9" w:rsidRPr="00882EDF">
        <w:rPr>
          <w:i/>
        </w:rPr>
        <w:t>Lantus</w:t>
      </w:r>
      <w:r w:rsidRPr="00882EDF">
        <w:rPr>
          <w:i/>
          <w:vertAlign w:val="superscript"/>
        </w:rPr>
        <w:t>®</w:t>
      </w:r>
      <w:r w:rsidRPr="00882EDF">
        <w:rPr>
          <w:i/>
        </w:rPr>
        <w:t xml:space="preserve"> was declared </w:t>
      </w:r>
      <w:r w:rsidR="005B41AF">
        <w:rPr>
          <w:i/>
        </w:rPr>
        <w:t>non-inferior</w:t>
      </w:r>
      <w:r w:rsidRPr="00882EDF">
        <w:rPr>
          <w:i/>
        </w:rPr>
        <w:t xml:space="preserve"> to LY2963016 in the secondary treatment comparison, then LY2963016 was considered to have equivalent efficacy as </w:t>
      </w:r>
      <w:r w:rsidR="00127BD9" w:rsidRPr="00882EDF">
        <w:rPr>
          <w:i/>
        </w:rPr>
        <w:t>Lantus</w:t>
      </w:r>
      <w:r w:rsidRPr="00882EDF">
        <w:rPr>
          <w:i/>
          <w:vertAlign w:val="superscript"/>
        </w:rPr>
        <w:t>®</w:t>
      </w:r>
      <w:r w:rsidRPr="00882EDF">
        <w:rPr>
          <w:i/>
        </w:rPr>
        <w:t>.</w:t>
      </w:r>
      <w:r w:rsidR="00127BD9" w:rsidRPr="00882EDF">
        <w:rPr>
          <w:i/>
        </w:rPr>
        <w:t>’</w:t>
      </w:r>
    </w:p>
    <w:p w:rsidR="00AE090E" w:rsidRDefault="00AE090E" w:rsidP="00A15995">
      <w:pPr>
        <w:autoSpaceDE w:val="0"/>
        <w:autoSpaceDN w:val="0"/>
        <w:adjustRightInd w:val="0"/>
        <w:ind w:left="720"/>
      </w:pPr>
      <w:r w:rsidRPr="00E53718">
        <w:rPr>
          <w:b/>
        </w:rPr>
        <w:t>Comment</w:t>
      </w:r>
      <w:r w:rsidRPr="00850CE4">
        <w:t xml:space="preserve">: This plan is </w:t>
      </w:r>
      <w:r>
        <w:t>consistent with that used in Study ABEB</w:t>
      </w:r>
    </w:p>
    <w:p w:rsidR="00AE090E" w:rsidRPr="004B259C" w:rsidRDefault="00AE090E" w:rsidP="00882EDF">
      <w:pPr>
        <w:pStyle w:val="Heading6"/>
      </w:pPr>
      <w:r w:rsidRPr="004B259C">
        <w:t>Participant flow</w:t>
      </w:r>
    </w:p>
    <w:p w:rsidR="00AE090E" w:rsidRDefault="00AE090E" w:rsidP="00AE090E">
      <w:r>
        <w:t xml:space="preserve">The applicant refers to this as </w:t>
      </w:r>
      <w:r w:rsidR="00127BD9">
        <w:t>‘</w:t>
      </w:r>
      <w:r>
        <w:t>patient disposition</w:t>
      </w:r>
      <w:r w:rsidR="00127BD9">
        <w:t>’</w:t>
      </w:r>
      <w:r w:rsidR="00270FA0">
        <w:t>.</w:t>
      </w:r>
    </w:p>
    <w:p w:rsidR="00AE090E" w:rsidRDefault="00AE090E" w:rsidP="00882EDF">
      <w:pPr>
        <w:ind w:left="284" w:hanging="284"/>
      </w:pPr>
      <w:r>
        <w:t xml:space="preserve">The dropout rate was reasonable. As stated in the Module 5 study report, </w:t>
      </w:r>
      <w:r w:rsidR="00127BD9">
        <w:t>‘</w:t>
      </w:r>
      <w:r>
        <w:t xml:space="preserve">… </w:t>
      </w:r>
      <w:r w:rsidRPr="00882EDF">
        <w:rPr>
          <w:i/>
        </w:rPr>
        <w:t xml:space="preserve">the incidence of discontinuations in the LY2963016 group (42 patients [11.2%]) was similar to the </w:t>
      </w:r>
      <w:r w:rsidR="00127BD9" w:rsidRPr="00882EDF">
        <w:rPr>
          <w:i/>
        </w:rPr>
        <w:t>Lantus</w:t>
      </w:r>
      <w:r w:rsidRPr="00882EDF">
        <w:rPr>
          <w:i/>
          <w:vertAlign w:val="superscript"/>
        </w:rPr>
        <w:t>®</w:t>
      </w:r>
      <w:r w:rsidRPr="00882EDF">
        <w:rPr>
          <w:i/>
        </w:rPr>
        <w:t xml:space="preserve"> group (52 patients [13.7%]), p=.322. The most common reason for study discontinuation in both groups was subject decision (LY2963016: 11 patients [2.9%]; </w:t>
      </w:r>
      <w:r w:rsidR="00127BD9" w:rsidRPr="00882EDF">
        <w:rPr>
          <w:i/>
        </w:rPr>
        <w:t>Lantus</w:t>
      </w:r>
      <w:r w:rsidRPr="00882EDF">
        <w:rPr>
          <w:i/>
        </w:rPr>
        <w:t>®: 16 patients [4.2%]).</w:t>
      </w:r>
      <w:r w:rsidR="00127BD9" w:rsidRPr="00882EDF">
        <w:rPr>
          <w:i/>
        </w:rPr>
        <w:t>’</w:t>
      </w:r>
      <w:r w:rsidRPr="00882EDF">
        <w:rPr>
          <w:i/>
        </w:rPr>
        <w:t xml:space="preserve"> </w:t>
      </w:r>
      <w:r w:rsidR="00127BD9" w:rsidRPr="00882EDF">
        <w:rPr>
          <w:i/>
        </w:rPr>
        <w:t>‘</w:t>
      </w:r>
      <w:r w:rsidRPr="00882EDF">
        <w:rPr>
          <w:i/>
        </w:rPr>
        <w:t xml:space="preserve">The mean exposure to study drug was 22.38 weeks for the LY2963016 group and 22.13 weeks for the </w:t>
      </w:r>
      <w:r w:rsidR="00127BD9" w:rsidRPr="00882EDF">
        <w:rPr>
          <w:i/>
        </w:rPr>
        <w:t>Lantus</w:t>
      </w:r>
      <w:r w:rsidRPr="00882EDF">
        <w:rPr>
          <w:i/>
          <w:vertAlign w:val="superscript"/>
        </w:rPr>
        <w:t>®</w:t>
      </w:r>
      <w:r w:rsidRPr="00882EDF">
        <w:rPr>
          <w:i/>
        </w:rPr>
        <w:t xml:space="preserve"> group. Approximately 89% of all patients were exposed to study drug for at least 18 weeks. The exposure in total patient-years was 161.28 patient-years and 161.16 patient-years for the LY2963016 and </w:t>
      </w:r>
      <w:r w:rsidR="00127BD9" w:rsidRPr="00882EDF">
        <w:rPr>
          <w:i/>
        </w:rPr>
        <w:t>Lantus</w:t>
      </w:r>
      <w:r w:rsidRPr="00882EDF">
        <w:rPr>
          <w:i/>
          <w:vertAlign w:val="superscript"/>
        </w:rPr>
        <w:t>®</w:t>
      </w:r>
      <w:r w:rsidRPr="00882EDF">
        <w:rPr>
          <w:i/>
        </w:rPr>
        <w:t xml:space="preserve"> treatment groups, respectively</w:t>
      </w:r>
      <w:r>
        <w:t>.</w:t>
      </w:r>
      <w:r w:rsidR="00127BD9">
        <w:t>’</w:t>
      </w:r>
    </w:p>
    <w:p w:rsidR="00AE090E" w:rsidRPr="003D54A5" w:rsidRDefault="00AE090E" w:rsidP="003D54A5">
      <w:pPr>
        <w:pStyle w:val="Heading6"/>
      </w:pPr>
      <w:r w:rsidRPr="003D54A5">
        <w:t>Major protocol violations/deviations</w:t>
      </w:r>
    </w:p>
    <w:p w:rsidR="00AE090E" w:rsidRDefault="00AE090E" w:rsidP="00AE090E">
      <w:r>
        <w:t>In brief, a</w:t>
      </w:r>
      <w:r w:rsidRPr="00571597">
        <w:t>ccording to document in the appendices to the study report, I4L-MC-ABEC CSR Appendix Protocol Deviations, there were significant protocol violations involving most investigators and 150 patients.</w:t>
      </w:r>
      <w:r w:rsidR="009F388C">
        <w:t xml:space="preserve"> </w:t>
      </w:r>
      <w:r w:rsidRPr="00571597">
        <w:t>The majority of violations related to discontinuation from the study prior to 24 weeks or the use of OAMs with insulin not used in accordance with product label or dose adjustment of sulfonylureas without consultation or approval by Lilly/use of OAMs with insulin not used in accordance with product label or non-compliance with the requirements of the protocol.</w:t>
      </w:r>
      <w:r w:rsidR="009F388C">
        <w:t xml:space="preserve"> </w:t>
      </w:r>
      <w:r w:rsidRPr="00571597">
        <w:t>A few did not comply with the entry criteria and there were numerous other reasons, including dispensing errors and use of medication that was not fit for use</w:t>
      </w:r>
      <w:r>
        <w:t>.</w:t>
      </w:r>
      <w:r w:rsidR="009F388C">
        <w:t xml:space="preserve"> </w:t>
      </w:r>
      <w:r w:rsidRPr="00571597">
        <w:t>Of note in regard to protocol violations, the dose of sulfonylureas was regulated by Eli Lilly.</w:t>
      </w:r>
    </w:p>
    <w:p w:rsidR="00AE090E" w:rsidRPr="00850CE4" w:rsidRDefault="00AE090E" w:rsidP="00A15995">
      <w:pPr>
        <w:ind w:left="720"/>
      </w:pPr>
      <w:r w:rsidRPr="00E53718">
        <w:rPr>
          <w:b/>
        </w:rPr>
        <w:t>Comment</w:t>
      </w:r>
      <w:r w:rsidRPr="00850CE4">
        <w:t>:</w:t>
      </w:r>
      <w:r w:rsidR="009F388C">
        <w:t xml:space="preserve"> </w:t>
      </w:r>
      <w:r w:rsidRPr="00850CE4">
        <w:t xml:space="preserve"> In the evaluator’s opinion, these protocol violations are insufficient to vitiate the study.</w:t>
      </w:r>
    </w:p>
    <w:p w:rsidR="00AE090E" w:rsidRPr="004B259C" w:rsidRDefault="00AE090E" w:rsidP="003D54A5">
      <w:pPr>
        <w:pStyle w:val="Heading6"/>
      </w:pPr>
      <w:r w:rsidRPr="004B259C">
        <w:t>Baseline data</w:t>
      </w:r>
    </w:p>
    <w:p w:rsidR="00AE090E" w:rsidRDefault="00AE090E" w:rsidP="00AE090E">
      <w:pPr>
        <w:autoSpaceDE w:val="0"/>
        <w:autoSpaceDN w:val="0"/>
        <w:adjustRightInd w:val="0"/>
      </w:pPr>
      <w:r>
        <w:t>The two treatment groups were adequately matched.</w:t>
      </w:r>
    </w:p>
    <w:p w:rsidR="00AE090E" w:rsidRPr="003D54A5" w:rsidRDefault="00AE090E" w:rsidP="003D54A5">
      <w:pPr>
        <w:autoSpaceDE w:val="0"/>
        <w:autoSpaceDN w:val="0"/>
        <w:adjustRightInd w:val="0"/>
        <w:ind w:left="567" w:hanging="567"/>
        <w:rPr>
          <w:i/>
        </w:rPr>
      </w:pPr>
      <w:r>
        <w:t xml:space="preserve">[From </w:t>
      </w:r>
      <w:r w:rsidRPr="003A41B7">
        <w:t>M</w:t>
      </w:r>
      <w:r>
        <w:t xml:space="preserve">odule </w:t>
      </w:r>
      <w:r w:rsidRPr="003A41B7">
        <w:t xml:space="preserve">2.7.3] </w:t>
      </w:r>
      <w:r w:rsidR="00127BD9">
        <w:t>‘</w:t>
      </w:r>
      <w:r w:rsidRPr="003D54A5">
        <w:rPr>
          <w:i/>
        </w:rPr>
        <w:t xml:space="preserve">The study population included adult (≥18 years) patients who had a confirmed diagnosis of T2DM (in Study ABEC), based on the World Health Organization (WHO) disease diagnostic criteria … In Study ABEC, eligible patients were either insulin-naïve or prior </w:t>
      </w:r>
      <w:r w:rsidR="00127BD9" w:rsidRPr="003D54A5">
        <w:rPr>
          <w:i/>
        </w:rPr>
        <w:t>Lantus</w:t>
      </w:r>
      <w:r w:rsidRPr="003D54A5">
        <w:rPr>
          <w:i/>
          <w:vertAlign w:val="superscript"/>
        </w:rPr>
        <w:t>®</w:t>
      </w:r>
      <w:r w:rsidRPr="003D54A5">
        <w:rPr>
          <w:i/>
        </w:rPr>
        <w:t xml:space="preserve"> users and had to be taking 2 or more oral </w:t>
      </w:r>
      <w:proofErr w:type="spellStart"/>
      <w:r w:rsidRPr="003D54A5">
        <w:rPr>
          <w:i/>
        </w:rPr>
        <w:t>antihyperglycemic</w:t>
      </w:r>
      <w:proofErr w:type="spellEnd"/>
      <w:r w:rsidRPr="003D54A5">
        <w:rPr>
          <w:i/>
        </w:rPr>
        <w:t xml:space="preserve"> medications (OAMs) at stable doses</w:t>
      </w:r>
      <w:r w:rsidR="00127BD9" w:rsidRPr="003D54A5">
        <w:rPr>
          <w:i/>
        </w:rPr>
        <w:t>’</w:t>
      </w:r>
      <w:r w:rsidRPr="003D54A5">
        <w:rPr>
          <w:i/>
        </w:rPr>
        <w:t>.</w:t>
      </w:r>
    </w:p>
    <w:p w:rsidR="00AE090E" w:rsidRDefault="00127BD9" w:rsidP="003D54A5">
      <w:pPr>
        <w:autoSpaceDE w:val="0"/>
        <w:autoSpaceDN w:val="0"/>
        <w:adjustRightInd w:val="0"/>
        <w:ind w:left="567"/>
      </w:pPr>
      <w:r w:rsidRPr="003D54A5">
        <w:rPr>
          <w:i/>
        </w:rPr>
        <w:t>‘</w:t>
      </w:r>
      <w:r w:rsidR="00AE090E" w:rsidRPr="003D54A5">
        <w:rPr>
          <w:i/>
        </w:rPr>
        <w:t xml:space="preserve">Patients in Study ABEC were already administering </w:t>
      </w:r>
      <w:r w:rsidRPr="003D54A5">
        <w:rPr>
          <w:i/>
        </w:rPr>
        <w:t>Lantus</w:t>
      </w:r>
      <w:r w:rsidR="00AE090E" w:rsidRPr="003D54A5">
        <w:rPr>
          <w:i/>
          <w:vertAlign w:val="superscript"/>
        </w:rPr>
        <w:t>®</w:t>
      </w:r>
      <w:r w:rsidR="00AE090E" w:rsidRPr="003D54A5">
        <w:rPr>
          <w:i/>
        </w:rPr>
        <w:t xml:space="preserve">, or were insulin naïve at screening. A total of 299 patients (39.6%) were on pre-study </w:t>
      </w:r>
      <w:r w:rsidRPr="003D54A5">
        <w:rPr>
          <w:i/>
        </w:rPr>
        <w:t>Lantus</w:t>
      </w:r>
      <w:r w:rsidR="00AE090E" w:rsidRPr="003D54A5">
        <w:rPr>
          <w:i/>
          <w:vertAlign w:val="superscript"/>
        </w:rPr>
        <w:t>®</w:t>
      </w:r>
      <w:r w:rsidR="00AE090E" w:rsidRPr="003D54A5">
        <w:rPr>
          <w:i/>
        </w:rPr>
        <w:t xml:space="preserve">, and 457 (60.4%) were insulin naïve, and the proportion of patients on pre-study </w:t>
      </w:r>
      <w:r w:rsidRPr="003D54A5">
        <w:rPr>
          <w:i/>
        </w:rPr>
        <w:t>Lantus</w:t>
      </w:r>
      <w:r w:rsidR="00AE090E" w:rsidRPr="003D54A5">
        <w:rPr>
          <w:i/>
          <w:vertAlign w:val="superscript"/>
        </w:rPr>
        <w:t>®</w:t>
      </w:r>
      <w:r w:rsidR="00AE090E" w:rsidRPr="003D54A5">
        <w:rPr>
          <w:i/>
        </w:rPr>
        <w:t xml:space="preserve"> or that were insulin naïve was comparable between treatment groups.</w:t>
      </w:r>
      <w:r w:rsidRPr="003D54A5">
        <w:rPr>
          <w:i/>
        </w:rPr>
        <w:t>’</w:t>
      </w:r>
      <w:r w:rsidR="00AE090E" w:rsidRPr="003D54A5">
        <w:rPr>
          <w:i/>
        </w:rPr>
        <w:t xml:space="preserve"> The patients </w:t>
      </w:r>
      <w:r w:rsidRPr="003D54A5">
        <w:rPr>
          <w:i/>
        </w:rPr>
        <w:t>‘</w:t>
      </w:r>
      <w:r w:rsidR="00AE090E" w:rsidRPr="003D54A5">
        <w:rPr>
          <w:i/>
        </w:rPr>
        <w:t xml:space="preserve">… may have been insulin naïve with inadequate </w:t>
      </w:r>
      <w:proofErr w:type="spellStart"/>
      <w:r w:rsidR="00AE090E" w:rsidRPr="003D54A5">
        <w:rPr>
          <w:i/>
        </w:rPr>
        <w:t>glycemic</w:t>
      </w:r>
      <w:proofErr w:type="spellEnd"/>
      <w:r w:rsidR="00AE090E" w:rsidRPr="003D54A5">
        <w:rPr>
          <w:i/>
        </w:rPr>
        <w:t xml:space="preserve"> control or on </w:t>
      </w:r>
      <w:r w:rsidRPr="003D54A5">
        <w:rPr>
          <w:i/>
        </w:rPr>
        <w:t>Lantus</w:t>
      </w:r>
      <w:r w:rsidR="00AE090E" w:rsidRPr="003D54A5">
        <w:rPr>
          <w:i/>
          <w:vertAlign w:val="superscript"/>
        </w:rPr>
        <w:t>®</w:t>
      </w:r>
      <w:r w:rsidR="00AE090E" w:rsidRPr="003D54A5">
        <w:rPr>
          <w:i/>
        </w:rPr>
        <w:t xml:space="preserve"> with adequate or inadequate </w:t>
      </w:r>
      <w:proofErr w:type="spellStart"/>
      <w:r w:rsidR="00AE090E" w:rsidRPr="003D54A5">
        <w:rPr>
          <w:i/>
        </w:rPr>
        <w:t>glycemic</w:t>
      </w:r>
      <w:proofErr w:type="spellEnd"/>
      <w:r w:rsidR="00AE090E" w:rsidRPr="003D54A5">
        <w:rPr>
          <w:i/>
        </w:rPr>
        <w:t xml:space="preserve"> control</w:t>
      </w:r>
      <w:r w:rsidR="00AE090E" w:rsidRPr="003A41B7">
        <w:t>.</w:t>
      </w:r>
      <w:r>
        <w:t>’</w:t>
      </w:r>
    </w:p>
    <w:p w:rsidR="00AE090E" w:rsidRDefault="00AE090E" w:rsidP="00AE090E">
      <w:pPr>
        <w:autoSpaceDE w:val="0"/>
        <w:autoSpaceDN w:val="0"/>
        <w:adjustRightInd w:val="0"/>
      </w:pPr>
      <w:r>
        <w:t xml:space="preserve">Where </w:t>
      </w:r>
      <w:proofErr w:type="gramStart"/>
      <w:r>
        <w:t>a basal</w:t>
      </w:r>
      <w:proofErr w:type="gramEnd"/>
      <w:r>
        <w:t xml:space="preserve"> insulin had been used, there was an equal split of evening or morning injection times. A slight majority of patients had received Lantus US rather than Lantus US, most had normal renal function, 5.8% had moderate renal impairment and none had severe renal impairment. The mean duration of T2DM was 11.45 years, the mean BMI was 31.9kg/m</w:t>
      </w:r>
      <w:r w:rsidRPr="00987145">
        <w:rPr>
          <w:vertAlign w:val="superscript"/>
        </w:rPr>
        <w:t>2</w:t>
      </w:r>
      <w:r>
        <w:rPr>
          <w:vertAlign w:val="superscript"/>
        </w:rPr>
        <w:t xml:space="preserve"> </w:t>
      </w:r>
      <w:r>
        <w:t>and the mean baseline HdA1c was 8.32%.</w:t>
      </w:r>
    </w:p>
    <w:p w:rsidR="00AE090E" w:rsidRPr="004B259C" w:rsidRDefault="00AE090E" w:rsidP="003D54A5">
      <w:pPr>
        <w:pStyle w:val="Heading6"/>
      </w:pPr>
      <w:r w:rsidRPr="004B259C">
        <w:lastRenderedPageBreak/>
        <w:t>Results for the primary efficacy outcome</w:t>
      </w:r>
    </w:p>
    <w:p w:rsidR="00AE090E" w:rsidRDefault="00AE090E" w:rsidP="00AE090E">
      <w:r>
        <w:t>The end point results satisfied the predeter</w:t>
      </w:r>
      <w:r w:rsidR="00270FA0">
        <w:t>mined tests of non-inferiority.</w:t>
      </w:r>
    </w:p>
    <w:p w:rsidR="00AE090E" w:rsidRPr="003D54A5" w:rsidRDefault="00AE090E" w:rsidP="003D54A5">
      <w:pPr>
        <w:ind w:left="284" w:hanging="284"/>
        <w:rPr>
          <w:i/>
        </w:rPr>
      </w:pPr>
      <w:r>
        <w:t xml:space="preserve">As stated in the Module 5 study report, </w:t>
      </w:r>
      <w:r w:rsidR="00127BD9">
        <w:t>‘</w:t>
      </w:r>
      <w:r w:rsidRPr="003D54A5">
        <w:rPr>
          <w:i/>
        </w:rPr>
        <w:t xml:space="preserve">The LS mean change in HbA1c from baseline to 24-week endpoint (LOCF) was -1.286% and -1.338% for the LY2963016 and </w:t>
      </w:r>
      <w:r w:rsidR="00127BD9" w:rsidRPr="003D54A5">
        <w:rPr>
          <w:i/>
        </w:rPr>
        <w:t>Lantus</w:t>
      </w:r>
      <w:r w:rsidRPr="003D54A5">
        <w:rPr>
          <w:i/>
          <w:vertAlign w:val="superscript"/>
        </w:rPr>
        <w:t>®</w:t>
      </w:r>
      <w:r w:rsidR="00270FA0">
        <w:rPr>
          <w:i/>
        </w:rPr>
        <w:t xml:space="preserve"> groups, respectively.</w:t>
      </w:r>
    </w:p>
    <w:p w:rsidR="00AE090E" w:rsidRDefault="005B41AF" w:rsidP="003D54A5">
      <w:pPr>
        <w:ind w:left="284"/>
      </w:pPr>
      <w:r>
        <w:rPr>
          <w:i/>
        </w:rPr>
        <w:t>Non-inferiority</w:t>
      </w:r>
      <w:r w:rsidR="00AE090E" w:rsidRPr="003D54A5">
        <w:rPr>
          <w:i/>
        </w:rPr>
        <w:t xml:space="preserve"> of LY2963016 to </w:t>
      </w:r>
      <w:r w:rsidR="00127BD9" w:rsidRPr="003D54A5">
        <w:rPr>
          <w:i/>
        </w:rPr>
        <w:t>Lantus</w:t>
      </w:r>
      <w:r w:rsidR="00AE090E" w:rsidRPr="003D54A5">
        <w:rPr>
          <w:i/>
          <w:vertAlign w:val="superscript"/>
        </w:rPr>
        <w:t>®</w:t>
      </w:r>
      <w:r w:rsidR="00AE090E" w:rsidRPr="003D54A5">
        <w:rPr>
          <w:i/>
        </w:rPr>
        <w:t xml:space="preserve"> was to be concluded if the upper limit of the 95% CI for the treatment comparison was &lt;0.4%.</w:t>
      </w:r>
      <w:r w:rsidR="009F388C" w:rsidRPr="003D54A5">
        <w:rPr>
          <w:i/>
        </w:rPr>
        <w:t xml:space="preserve"> </w:t>
      </w:r>
      <w:r w:rsidR="00AE090E" w:rsidRPr="003D54A5">
        <w:rPr>
          <w:i/>
        </w:rPr>
        <w:t xml:space="preserve"> If the 0.4% </w:t>
      </w:r>
      <w:r>
        <w:rPr>
          <w:i/>
        </w:rPr>
        <w:t>non-inferiority</w:t>
      </w:r>
      <w:r w:rsidR="00AE090E" w:rsidRPr="003D54A5">
        <w:rPr>
          <w:i/>
        </w:rPr>
        <w:t xml:space="preserve"> margin was met, the upper limit of the 95% CI was compared with the 0.3% </w:t>
      </w:r>
      <w:r>
        <w:rPr>
          <w:i/>
        </w:rPr>
        <w:t>non-inferiority</w:t>
      </w:r>
      <w:r w:rsidR="00AE090E" w:rsidRPr="003D54A5">
        <w:rPr>
          <w:i/>
        </w:rPr>
        <w:t xml:space="preserve"> margin.</w:t>
      </w:r>
      <w:r w:rsidR="009F388C" w:rsidRPr="003D54A5">
        <w:rPr>
          <w:i/>
        </w:rPr>
        <w:t xml:space="preserve"> </w:t>
      </w:r>
      <w:r w:rsidR="00AE090E" w:rsidRPr="003D54A5">
        <w:rPr>
          <w:i/>
        </w:rPr>
        <w:t xml:space="preserve"> As a key secondary treatment comparison, </w:t>
      </w:r>
      <w:r>
        <w:rPr>
          <w:i/>
        </w:rPr>
        <w:t>non-inferiority</w:t>
      </w:r>
      <w:r w:rsidR="00AE090E" w:rsidRPr="003D54A5">
        <w:rPr>
          <w:i/>
        </w:rPr>
        <w:t xml:space="preserve"> of </w:t>
      </w:r>
      <w:r w:rsidR="00127BD9" w:rsidRPr="003D54A5">
        <w:rPr>
          <w:i/>
        </w:rPr>
        <w:t>Lantus</w:t>
      </w:r>
      <w:r w:rsidR="00AE090E" w:rsidRPr="003D54A5">
        <w:rPr>
          <w:i/>
          <w:vertAlign w:val="superscript"/>
        </w:rPr>
        <w:t>®</w:t>
      </w:r>
      <w:r w:rsidR="00AE090E" w:rsidRPr="003D54A5">
        <w:rPr>
          <w:i/>
        </w:rPr>
        <w:t xml:space="preserve"> to LY2963016 was to be concluded if the lower limit of the 95% CI was &gt;-0.4%; if each was declared </w:t>
      </w:r>
      <w:r>
        <w:rPr>
          <w:i/>
        </w:rPr>
        <w:t>non-inferior</w:t>
      </w:r>
      <w:r w:rsidR="00AE090E" w:rsidRPr="003D54A5">
        <w:rPr>
          <w:i/>
        </w:rPr>
        <w:t xml:space="preserve">, then LY2963016 was considered to have equivalent efficacy to </w:t>
      </w:r>
      <w:r w:rsidR="00127BD9" w:rsidRPr="003D54A5">
        <w:rPr>
          <w:i/>
        </w:rPr>
        <w:t>Lantus</w:t>
      </w:r>
      <w:r w:rsidR="00AE090E" w:rsidRPr="003D54A5">
        <w:rPr>
          <w:i/>
          <w:vertAlign w:val="superscript"/>
        </w:rPr>
        <w:t>®</w:t>
      </w:r>
      <w:r w:rsidR="00AE090E" w:rsidRPr="003D54A5">
        <w:rPr>
          <w:i/>
        </w:rPr>
        <w:t>.</w:t>
      </w:r>
      <w:r w:rsidR="009F388C" w:rsidRPr="003D54A5">
        <w:rPr>
          <w:i/>
        </w:rPr>
        <w:t xml:space="preserve"> </w:t>
      </w:r>
      <w:r w:rsidR="00AE090E" w:rsidRPr="003D54A5">
        <w:rPr>
          <w:i/>
        </w:rPr>
        <w:t xml:space="preserve"> The LS mean difference between treatments (LY2963016 – </w:t>
      </w:r>
      <w:r w:rsidR="00127BD9" w:rsidRPr="003D54A5">
        <w:rPr>
          <w:i/>
        </w:rPr>
        <w:t>Lantus</w:t>
      </w:r>
      <w:r w:rsidR="00AE090E" w:rsidRPr="003D54A5">
        <w:rPr>
          <w:i/>
          <w:vertAlign w:val="superscript"/>
        </w:rPr>
        <w:t>®</w:t>
      </w:r>
      <w:r w:rsidR="00AE090E" w:rsidRPr="003D54A5">
        <w:rPr>
          <w:i/>
        </w:rPr>
        <w:t xml:space="preserve">) in change from baseline at endpoint (LOCF) was 0.052% (95% CI: [-0.070%, 0.175%]). </w:t>
      </w:r>
      <w:r>
        <w:rPr>
          <w:i/>
        </w:rPr>
        <w:t>Non-inferiority</w:t>
      </w:r>
      <w:r w:rsidR="00AE090E" w:rsidRPr="003D54A5">
        <w:rPr>
          <w:i/>
        </w:rPr>
        <w:t xml:space="preserve"> of LY2963016 to </w:t>
      </w:r>
      <w:r w:rsidR="00127BD9" w:rsidRPr="003D54A5">
        <w:rPr>
          <w:i/>
        </w:rPr>
        <w:t>Lantus</w:t>
      </w:r>
      <w:r w:rsidR="00AE090E" w:rsidRPr="003D54A5">
        <w:rPr>
          <w:i/>
          <w:vertAlign w:val="superscript"/>
        </w:rPr>
        <w:t>®</w:t>
      </w:r>
      <w:r w:rsidR="00AE090E" w:rsidRPr="003D54A5">
        <w:rPr>
          <w:i/>
        </w:rPr>
        <w:t xml:space="preserve"> was demonstrated at the 0.4% and 0.3% </w:t>
      </w:r>
      <w:r>
        <w:rPr>
          <w:i/>
        </w:rPr>
        <w:t>non-inferiority</w:t>
      </w:r>
      <w:r w:rsidR="00AE090E" w:rsidRPr="003D54A5">
        <w:rPr>
          <w:i/>
        </w:rPr>
        <w:t xml:space="preserve"> margins; </w:t>
      </w:r>
      <w:r>
        <w:rPr>
          <w:i/>
        </w:rPr>
        <w:t>non-inferiority</w:t>
      </w:r>
      <w:r w:rsidR="00AE090E" w:rsidRPr="003D54A5">
        <w:rPr>
          <w:i/>
        </w:rPr>
        <w:t xml:space="preserve"> of </w:t>
      </w:r>
      <w:r w:rsidR="00127BD9" w:rsidRPr="003D54A5">
        <w:rPr>
          <w:i/>
        </w:rPr>
        <w:t>Lantus</w:t>
      </w:r>
      <w:r w:rsidR="00AE090E" w:rsidRPr="003D54A5">
        <w:rPr>
          <w:i/>
          <w:vertAlign w:val="superscript"/>
        </w:rPr>
        <w:t>®</w:t>
      </w:r>
      <w:r w:rsidR="00AE090E" w:rsidRPr="003D54A5">
        <w:rPr>
          <w:i/>
        </w:rPr>
        <w:t xml:space="preserve"> to LY2963016 was demonstrated in the secondary treatment comparison. LY2963016 and </w:t>
      </w:r>
      <w:r w:rsidR="00127BD9" w:rsidRPr="003D54A5">
        <w:rPr>
          <w:i/>
        </w:rPr>
        <w:t>Lantus</w:t>
      </w:r>
      <w:r w:rsidR="00AE090E" w:rsidRPr="003D54A5">
        <w:rPr>
          <w:i/>
          <w:vertAlign w:val="superscript"/>
        </w:rPr>
        <w:t>®</w:t>
      </w:r>
      <w:r w:rsidR="00AE090E" w:rsidRPr="003D54A5">
        <w:rPr>
          <w:i/>
        </w:rPr>
        <w:t xml:space="preserve"> were considered to have equivalent efficacy.</w:t>
      </w:r>
      <w:r w:rsidR="00127BD9">
        <w:t>’</w:t>
      </w:r>
    </w:p>
    <w:p w:rsidR="00AE090E" w:rsidRDefault="00AE090E" w:rsidP="00AE090E">
      <w:r w:rsidRPr="00C06224">
        <w:t>It is notable that continuous improvement occurred in group mean values to week 24.</w:t>
      </w:r>
      <w:r w:rsidR="009F388C">
        <w:t xml:space="preserve"> </w:t>
      </w:r>
      <w:r w:rsidRPr="00C06224">
        <w:t xml:space="preserve">Perhaps this steady improvement is not surprising because HbA1c is a lagging indicator of overall glycaemic control. The mean results obtained from Lantus and </w:t>
      </w:r>
      <w:proofErr w:type="spellStart"/>
      <w:r w:rsidR="00216E0E">
        <w:t>Abasria</w:t>
      </w:r>
      <w:proofErr w:type="spellEnd"/>
      <w:r w:rsidRPr="00C06224">
        <w:t xml:space="preserve"> are practically identical</w:t>
      </w:r>
      <w:r>
        <w:t xml:space="preserve"> at each time point</w:t>
      </w:r>
      <w:r w:rsidRPr="00C06224">
        <w:t>.</w:t>
      </w:r>
    </w:p>
    <w:p w:rsidR="00AE090E" w:rsidRDefault="00AE090E" w:rsidP="00AE090E">
      <w:r>
        <w:t>Further, the r</w:t>
      </w:r>
      <w:r w:rsidRPr="00423E65">
        <w:t>esults for the per protocol population were very similar.</w:t>
      </w:r>
      <w:r w:rsidR="009F388C">
        <w:t xml:space="preserve"> </w:t>
      </w:r>
      <w:r>
        <w:t xml:space="preserve"> </w:t>
      </w:r>
      <w:proofErr w:type="gramStart"/>
      <w:r>
        <w:t>The per</w:t>
      </w:r>
      <w:proofErr w:type="gramEnd"/>
      <w:r>
        <w:t xml:space="preserve"> protocol analysis of the primary endpoint also satisfied the three sequential non-inferiority, also suggesting equivalent efficacy.</w:t>
      </w:r>
    </w:p>
    <w:p w:rsidR="00AE090E" w:rsidRPr="004B259C" w:rsidRDefault="00AE090E" w:rsidP="003D54A5">
      <w:pPr>
        <w:pStyle w:val="Heading6"/>
      </w:pPr>
      <w:r w:rsidRPr="004B259C">
        <w:t>Results for other efficacy outcomes</w:t>
      </w:r>
    </w:p>
    <w:p w:rsidR="00AE090E" w:rsidRDefault="00AE090E" w:rsidP="00AE090E">
      <w:r>
        <w:t xml:space="preserve">As noted above, there </w:t>
      </w:r>
      <w:proofErr w:type="gramStart"/>
      <w:r>
        <w:t>were</w:t>
      </w:r>
      <w:proofErr w:type="gramEnd"/>
      <w:r>
        <w:t xml:space="preserve"> many other efficacy endpoints, most of them appear to be exploratory.</w:t>
      </w:r>
    </w:p>
    <w:p w:rsidR="00AE090E" w:rsidRDefault="00AE090E" w:rsidP="00AE090E">
      <w:r w:rsidRPr="00236964">
        <w:t>Secondary endpoints related to HbA1c Change in HbA1c from Baseline to Weeks 4, 8, 12, 16, 20, and 24 and Patients Achieving HbA1c Target Values at Endpoint were both clinically and statistically non-significantly different, both showing time-dependent improvement from baseline.</w:t>
      </w:r>
    </w:p>
    <w:p w:rsidR="00AE090E" w:rsidRDefault="00AE090E" w:rsidP="00AE090E">
      <w:r>
        <w:t>T</w:t>
      </w:r>
      <w:r w:rsidRPr="0039730C">
        <w:t>he majority of these secondary/sup</w:t>
      </w:r>
      <w:r>
        <w:t>p</w:t>
      </w:r>
      <w:r w:rsidRPr="0039730C">
        <w:t>ortive endpoints showed no statistically significant differences</w:t>
      </w:r>
      <w:r>
        <w:t xml:space="preserve"> between the </w:t>
      </w:r>
      <w:proofErr w:type="spellStart"/>
      <w:r w:rsidR="00216E0E">
        <w:t>Abasria</w:t>
      </w:r>
      <w:proofErr w:type="spellEnd"/>
      <w:r>
        <w:t xml:space="preserve"> and Lantus groups</w:t>
      </w:r>
      <w:r w:rsidRPr="0039730C">
        <w:t>. Predictably, however, a few significant results were noted at some time points. In the opinion of the evaluator, these differences are of no clinical significance.</w:t>
      </w:r>
    </w:p>
    <w:p w:rsidR="00AE090E" w:rsidRDefault="00AE090E" w:rsidP="00AE090E">
      <w:r>
        <w:t>Also reported were the outcomes of the Health Outcomes/Quality-of-Life Evaluation (ALBSS, ITSQ).</w:t>
      </w:r>
      <w:r w:rsidR="009F388C">
        <w:t xml:space="preserve"> </w:t>
      </w:r>
      <w:r>
        <w:t>No differences were seen between treatment groups with either instrument that was used.</w:t>
      </w:r>
    </w:p>
    <w:p w:rsidR="003D54A5" w:rsidRDefault="00AE090E" w:rsidP="00270FA0">
      <w:pPr>
        <w:pStyle w:val="Heading3"/>
      </w:pPr>
      <w:bookmarkStart w:id="168" w:name="_Toc416955629"/>
      <w:bookmarkStart w:id="169" w:name="_Ref271126605"/>
      <w:bookmarkStart w:id="170" w:name="_Toc272414657"/>
      <w:bookmarkStart w:id="171" w:name="_Toc290846282"/>
      <w:bookmarkStart w:id="172" w:name="_Toc378790189"/>
      <w:r w:rsidRPr="003C0A48">
        <w:t xml:space="preserve">Evaluator’s </w:t>
      </w:r>
      <w:r w:rsidRPr="00270FA0">
        <w:t>conclusions</w:t>
      </w:r>
      <w:r w:rsidRPr="003C0A48">
        <w:t xml:space="preserve"> on clinical efficacy</w:t>
      </w:r>
      <w:bookmarkEnd w:id="168"/>
    </w:p>
    <w:p w:rsidR="00AE090E" w:rsidRPr="00270FA0" w:rsidRDefault="003D54A5" w:rsidP="00270FA0">
      <w:pPr>
        <w:rPr>
          <w:b/>
          <w:i/>
        </w:rPr>
      </w:pPr>
      <w:r w:rsidRPr="00270FA0">
        <w:rPr>
          <w:b/>
          <w:i/>
        </w:rPr>
        <w:t>F</w:t>
      </w:r>
      <w:r w:rsidR="00AE090E" w:rsidRPr="00270FA0">
        <w:rPr>
          <w:b/>
          <w:i/>
        </w:rPr>
        <w:t xml:space="preserve">or </w:t>
      </w:r>
      <w:bookmarkEnd w:id="169"/>
      <w:bookmarkEnd w:id="170"/>
      <w:bookmarkEnd w:id="171"/>
      <w:r w:rsidR="00AE090E" w:rsidRPr="00270FA0">
        <w:rPr>
          <w:b/>
          <w:i/>
        </w:rPr>
        <w:t>the treatment of type 2 diabetes mellitus in adults who require insulin for the control of hyperglycaemia</w:t>
      </w:r>
      <w:bookmarkEnd w:id="172"/>
    </w:p>
    <w:p w:rsidR="001E7726" w:rsidRDefault="00AE090E" w:rsidP="003D54A5">
      <w:pPr>
        <w:ind w:left="284" w:hanging="284"/>
      </w:pPr>
      <w:r>
        <w:t xml:space="preserve">The applicant concluded, in </w:t>
      </w:r>
      <w:r w:rsidR="00270FA0">
        <w:t>regard to the primary endpoint,</w:t>
      </w:r>
    </w:p>
    <w:p w:rsidR="00AE090E" w:rsidRDefault="00127BD9" w:rsidP="00F36650">
      <w:pPr>
        <w:ind w:left="284"/>
      </w:pPr>
      <w:r>
        <w:t>‘</w:t>
      </w:r>
      <w:r w:rsidR="00AE090E" w:rsidRPr="003D54A5">
        <w:rPr>
          <w:i/>
        </w:rPr>
        <w:t xml:space="preserve">The primary objective of demonstrating </w:t>
      </w:r>
      <w:r w:rsidR="005B41AF">
        <w:rPr>
          <w:i/>
        </w:rPr>
        <w:t>non-inferiority</w:t>
      </w:r>
      <w:r w:rsidR="00AE090E" w:rsidRPr="003D54A5">
        <w:rPr>
          <w:i/>
        </w:rPr>
        <w:t xml:space="preserve"> of LY2963016 to </w:t>
      </w:r>
      <w:r w:rsidRPr="003D54A5">
        <w:rPr>
          <w:i/>
        </w:rPr>
        <w:t>Lantus</w:t>
      </w:r>
      <w:r w:rsidR="00AE090E" w:rsidRPr="003D54A5">
        <w:rPr>
          <w:i/>
          <w:vertAlign w:val="superscript"/>
        </w:rPr>
        <w:t>®</w:t>
      </w:r>
      <w:r w:rsidR="00AE090E" w:rsidRPr="003D54A5">
        <w:rPr>
          <w:i/>
        </w:rPr>
        <w:t xml:space="preserve">, as measured by change in HbA1c from baseline to Week 24 endpoint (LOCF) when used in combination with OAMs, was met. In addition, </w:t>
      </w:r>
      <w:r w:rsidR="005B41AF">
        <w:rPr>
          <w:i/>
        </w:rPr>
        <w:t>non-inferiority</w:t>
      </w:r>
      <w:r w:rsidR="00AE090E" w:rsidRPr="003D54A5">
        <w:rPr>
          <w:i/>
        </w:rPr>
        <w:t xml:space="preserve"> of </w:t>
      </w:r>
      <w:r w:rsidRPr="003D54A5">
        <w:rPr>
          <w:i/>
        </w:rPr>
        <w:t>Lantus</w:t>
      </w:r>
      <w:r w:rsidR="00AE090E" w:rsidRPr="003D54A5">
        <w:rPr>
          <w:i/>
          <w:vertAlign w:val="superscript"/>
        </w:rPr>
        <w:t>®</w:t>
      </w:r>
      <w:r w:rsidR="00AE090E" w:rsidRPr="003D54A5">
        <w:rPr>
          <w:i/>
        </w:rPr>
        <w:t xml:space="preserve"> to LY2963016 was demonstrated; thus, LY2963016 and </w:t>
      </w:r>
      <w:r w:rsidRPr="003D54A5">
        <w:rPr>
          <w:i/>
        </w:rPr>
        <w:t>Lantus</w:t>
      </w:r>
      <w:r w:rsidR="00AE090E" w:rsidRPr="003D54A5">
        <w:rPr>
          <w:i/>
          <w:vertAlign w:val="superscript"/>
        </w:rPr>
        <w:t>®</w:t>
      </w:r>
      <w:r w:rsidR="00AE090E" w:rsidRPr="003D54A5">
        <w:rPr>
          <w:i/>
        </w:rPr>
        <w:t xml:space="preserve"> were considered to have equivalent efficacy.</w:t>
      </w:r>
      <w:r w:rsidR="009F388C" w:rsidRPr="003D54A5">
        <w:rPr>
          <w:i/>
        </w:rPr>
        <w:t xml:space="preserve"> </w:t>
      </w:r>
      <w:r w:rsidR="00AE090E" w:rsidRPr="003D54A5">
        <w:rPr>
          <w:i/>
        </w:rPr>
        <w:t xml:space="preserve">Both treatment groups </w:t>
      </w:r>
      <w:r w:rsidR="00AE090E" w:rsidRPr="003D54A5">
        <w:rPr>
          <w:i/>
        </w:rPr>
        <w:lastRenderedPageBreak/>
        <w:t>had statistically significant (p&lt;.001) reductions in HbA1c from baseline to endpoint (LOCF).</w:t>
      </w:r>
      <w:r>
        <w:t>’</w:t>
      </w:r>
      <w:r w:rsidR="00270FA0">
        <w:t xml:space="preserve"> [M5.2 p.193/2431]</w:t>
      </w:r>
    </w:p>
    <w:p w:rsidR="00AE090E" w:rsidRDefault="00AE090E" w:rsidP="00AE090E">
      <w:r>
        <w:t xml:space="preserve">The evaluator accepts this conclusion, based on a study that exceeded the predetermined sample size and that had a modest dropout rate. The results of the study show comparable efficacy–comparable improvement from baseline in both treatment groups that is comparable also in terms of subgroups of previous Lantus use or insulin-naïve patients. The patient population was reasonably representative of patients with T2DM who require </w:t>
      </w:r>
      <w:proofErr w:type="gramStart"/>
      <w:r>
        <w:t>a basal</w:t>
      </w:r>
      <w:proofErr w:type="gramEnd"/>
      <w:r>
        <w:t xml:space="preserve"> insulin, matching Lantus’ registered indication. It is clear that a large majority of subjects was not tightly controlled at study entry.</w:t>
      </w:r>
    </w:p>
    <w:p w:rsidR="00AE090E" w:rsidRDefault="00AE090E" w:rsidP="00AE090E">
      <w:r>
        <w:t>The study was not ideal in design and it is the sole study in the population, patients with T2DM.</w:t>
      </w:r>
      <w:r w:rsidR="009F388C">
        <w:t xml:space="preserve"> </w:t>
      </w:r>
      <w:r>
        <w:t>However, efficacy was shown and a second supportive study – Study ABEB – in T1DM is available to support comparable efficacy against Lantus.</w:t>
      </w:r>
    </w:p>
    <w:p w:rsidR="00AE090E" w:rsidRPr="00FE4E25" w:rsidRDefault="00AE090E" w:rsidP="003D54A5">
      <w:pPr>
        <w:pStyle w:val="Heading3"/>
      </w:pPr>
      <w:bookmarkStart w:id="173" w:name="_Toc378790190"/>
      <w:bookmarkStart w:id="174" w:name="_Toc416955630"/>
      <w:r w:rsidRPr="00FE4E25">
        <w:t xml:space="preserve">Treatment of </w:t>
      </w:r>
      <w:r>
        <w:t>T1DM</w:t>
      </w:r>
      <w:bookmarkEnd w:id="173"/>
      <w:bookmarkEnd w:id="174"/>
    </w:p>
    <w:p w:rsidR="00AE090E" w:rsidRDefault="00AE090E" w:rsidP="00AE090E">
      <w:r>
        <w:t>There was one study submitted in this indication, Study ABEB.</w:t>
      </w:r>
      <w:r w:rsidR="009F388C">
        <w:t xml:space="preserve"> </w:t>
      </w:r>
      <w:r>
        <w:t>Many of the design and study conduct principles were closely similar to that of Study ABEC.</w:t>
      </w:r>
      <w:r w:rsidR="009F388C">
        <w:t xml:space="preserve"> </w:t>
      </w:r>
      <w:r>
        <w:t xml:space="preserve">The major difference is that Study ABEB was of </w:t>
      </w:r>
      <w:r w:rsidRPr="003D54A5">
        <w:rPr>
          <w:i/>
        </w:rPr>
        <w:t>open label design</w:t>
      </w:r>
      <w:r>
        <w:t xml:space="preserve"> and, </w:t>
      </w:r>
      <w:r w:rsidR="001E7726">
        <w:t xml:space="preserve">which was </w:t>
      </w:r>
      <w:r>
        <w:t xml:space="preserve">of less importance, Study </w:t>
      </w:r>
      <w:r w:rsidRPr="00204AF7">
        <w:t>ABEB was ongoing a</w:t>
      </w:r>
      <w:r>
        <w:t>t the time of submission.</w:t>
      </w:r>
      <w:r w:rsidR="009F388C">
        <w:t xml:space="preserve"> </w:t>
      </w:r>
      <w:r>
        <w:t>I</w:t>
      </w:r>
      <w:r w:rsidRPr="00204AF7">
        <w:t>t is intended to run for one year (a 28 week extension period) but the 24 week data (as intended) have been submitted with this application.</w:t>
      </w:r>
    </w:p>
    <w:p w:rsidR="00AE090E" w:rsidRDefault="00AE090E" w:rsidP="00AE090E">
      <w:r>
        <w:t>The open label design is considered to be highly problematical in an equivalence study because bias might occur e.g. both patients and investigators may attend differently to safety signals and diabetic control algorithms.</w:t>
      </w:r>
      <w:r w:rsidR="009F388C">
        <w:t xml:space="preserve"> </w:t>
      </w:r>
      <w:r>
        <w:t>The evaluator therefore regards this study as supportive of efficacy but not as a pivotal study.</w:t>
      </w:r>
    </w:p>
    <w:p w:rsidR="00AE090E" w:rsidRDefault="00AE090E" w:rsidP="003D54A5">
      <w:pPr>
        <w:pStyle w:val="Heading4"/>
      </w:pPr>
      <w:bookmarkStart w:id="175" w:name="_Toc378790191"/>
      <w:r>
        <w:t>Supportive efficacy studies</w:t>
      </w:r>
      <w:bookmarkEnd w:id="175"/>
    </w:p>
    <w:p w:rsidR="00AE090E" w:rsidRDefault="00AE090E" w:rsidP="003D54A5">
      <w:pPr>
        <w:pStyle w:val="Heading5"/>
      </w:pPr>
      <w:bookmarkStart w:id="176" w:name="_Toc378790192"/>
      <w:r w:rsidRPr="003C0A48">
        <w:t>S</w:t>
      </w:r>
      <w:r>
        <w:t>tudy ABEB [S</w:t>
      </w:r>
      <w:r w:rsidRPr="003C0A48">
        <w:t xml:space="preserve">tudy </w:t>
      </w:r>
      <w:r w:rsidRPr="00F3307A">
        <w:t>I4L-MC-</w:t>
      </w:r>
      <w:proofErr w:type="gramStart"/>
      <w:r w:rsidRPr="00F3307A">
        <w:t xml:space="preserve">ABEB </w:t>
      </w:r>
      <w:r>
        <w:t>]</w:t>
      </w:r>
      <w:bookmarkEnd w:id="176"/>
      <w:proofErr w:type="gramEnd"/>
    </w:p>
    <w:p w:rsidR="00AE090E" w:rsidRPr="003C0A48" w:rsidRDefault="00AE090E" w:rsidP="00270FA0">
      <w:pPr>
        <w:pStyle w:val="Heading6"/>
      </w:pPr>
      <w:r w:rsidRPr="003C0A48">
        <w:t>Study design, objectives, locations and dates</w:t>
      </w:r>
    </w:p>
    <w:p w:rsidR="00AE090E" w:rsidRDefault="00AE090E" w:rsidP="00270FA0">
      <w:r>
        <w:t>As stated in the study’s protocol,</w:t>
      </w:r>
      <w:r w:rsidR="009F388C">
        <w:t xml:space="preserve"> </w:t>
      </w:r>
      <w:r w:rsidR="00270FA0">
        <w:t>ABEB is a …</w:t>
      </w:r>
    </w:p>
    <w:p w:rsidR="00AE090E" w:rsidRPr="003D54A5" w:rsidRDefault="00127BD9" w:rsidP="00AE090E">
      <w:pPr>
        <w:ind w:left="284"/>
        <w:rPr>
          <w:i/>
        </w:rPr>
      </w:pPr>
      <w:r>
        <w:t>‘</w:t>
      </w:r>
      <w:r w:rsidR="00AE090E" w:rsidRPr="003D54A5">
        <w:rPr>
          <w:i/>
        </w:rPr>
        <w:t xml:space="preserve">a prospective, multinational, randomized, </w:t>
      </w:r>
      <w:proofErr w:type="spellStart"/>
      <w:r w:rsidR="00AE090E" w:rsidRPr="003D54A5">
        <w:rPr>
          <w:i/>
        </w:rPr>
        <w:t>multicenter</w:t>
      </w:r>
      <w:proofErr w:type="spellEnd"/>
      <w:r w:rsidR="00AE090E" w:rsidRPr="003D54A5">
        <w:rPr>
          <w:i/>
        </w:rPr>
        <w:t>, 2-arm, active-control, open-label, parallel, 24-week treatment study in patients with T1DM with a 28-week extension and 4-week post-treatment follow up</w:t>
      </w:r>
      <w:r w:rsidR="00AE090E" w:rsidRPr="003D54A5">
        <w:rPr>
          <w:rStyle w:val="FootnoteReference"/>
          <w:i/>
        </w:rPr>
        <w:footnoteReference w:id="3"/>
      </w:r>
      <w:r w:rsidR="00AE090E" w:rsidRPr="003D54A5">
        <w:rPr>
          <w:i/>
        </w:rPr>
        <w:t xml:space="preserve">. The study is designed to determine </w:t>
      </w:r>
      <w:r w:rsidR="005B41AF">
        <w:rPr>
          <w:i/>
        </w:rPr>
        <w:t>non-inferiority</w:t>
      </w:r>
      <w:r w:rsidR="00AE090E" w:rsidRPr="003D54A5">
        <w:rPr>
          <w:i/>
        </w:rPr>
        <w:t xml:space="preserve"> of LY2963016 to Lantus in change in HbA1c from baseline in patients with T1DM.</w:t>
      </w:r>
      <w:r w:rsidR="009F388C" w:rsidRPr="003D54A5">
        <w:rPr>
          <w:i/>
        </w:rPr>
        <w:t xml:space="preserve"> </w:t>
      </w:r>
      <w:r w:rsidR="00AE090E" w:rsidRPr="003D54A5">
        <w:rPr>
          <w:i/>
        </w:rPr>
        <w:t>Patients will be screened at Visit 1, and eligible patients will be randomized to LY2963016 or Lantus at Visit 2 to be treated for a total period of 52 weeks.</w:t>
      </w:r>
      <w:r w:rsidRPr="003D54A5">
        <w:rPr>
          <w:i/>
        </w:rPr>
        <w:t>’</w:t>
      </w:r>
    </w:p>
    <w:p w:rsidR="00AE090E" w:rsidRPr="004929B0" w:rsidRDefault="00127BD9" w:rsidP="00AE090E">
      <w:pPr>
        <w:ind w:left="284"/>
      </w:pPr>
      <w:r w:rsidRPr="003D54A5">
        <w:rPr>
          <w:i/>
        </w:rPr>
        <w:t>‘</w:t>
      </w:r>
      <w:r w:rsidR="00AE090E" w:rsidRPr="003D54A5">
        <w:rPr>
          <w:i/>
        </w:rPr>
        <w:t>A total of 400-550 patients are planned to be enrolled in the study, with a target to have 368 patients completing the study</w:t>
      </w:r>
      <w:r w:rsidR="00AE090E" w:rsidRPr="004929B0">
        <w:t>.</w:t>
      </w:r>
      <w:r>
        <w:t>’</w:t>
      </w:r>
    </w:p>
    <w:p w:rsidR="00AE090E" w:rsidRPr="004929B0" w:rsidRDefault="00127BD9" w:rsidP="00AE090E">
      <w:pPr>
        <w:ind w:left="284"/>
      </w:pPr>
      <w:r>
        <w:t>‘</w:t>
      </w:r>
      <w:r w:rsidR="00AE090E" w:rsidRPr="003D54A5">
        <w:rPr>
          <w:i/>
        </w:rPr>
        <w:t>The study design includes Screening, Randomization, Treatment (24 weeks until primary endpoint assessment, followed by a 28-week extension) and Post-treatment Follow-up periods.</w:t>
      </w:r>
      <w:r w:rsidR="009F388C" w:rsidRPr="003D54A5">
        <w:rPr>
          <w:i/>
        </w:rPr>
        <w:t xml:space="preserve"> </w:t>
      </w:r>
      <w:r w:rsidR="00AE090E" w:rsidRPr="003D54A5">
        <w:rPr>
          <w:i/>
        </w:rPr>
        <w:t>The Treatment Period is composed of a Titration Period and a Maintenance Period.</w:t>
      </w:r>
      <w:r w:rsidR="009F388C" w:rsidRPr="003D54A5">
        <w:rPr>
          <w:i/>
        </w:rPr>
        <w:t xml:space="preserve"> </w:t>
      </w:r>
      <w:r w:rsidR="00AE090E" w:rsidRPr="003D54A5">
        <w:rPr>
          <w:i/>
        </w:rPr>
        <w:t xml:space="preserve">It is expected that most of the basal and bolus insulin dose adjustments should occur during the initial titration period (Weeks 0 through 6); however, titration could extend up to Week 12 for patients who need more intensification to achieve </w:t>
      </w:r>
      <w:proofErr w:type="spellStart"/>
      <w:r w:rsidR="00AE090E" w:rsidRPr="003D54A5">
        <w:rPr>
          <w:i/>
        </w:rPr>
        <w:t>glycemic</w:t>
      </w:r>
      <w:proofErr w:type="spellEnd"/>
      <w:r w:rsidR="00AE090E" w:rsidRPr="003D54A5">
        <w:rPr>
          <w:i/>
        </w:rPr>
        <w:t xml:space="preserve"> targets. It is expected that insulin dose adjustments during the Maintenance Period would be for safety such as </w:t>
      </w:r>
      <w:proofErr w:type="spellStart"/>
      <w:r w:rsidR="00AE090E" w:rsidRPr="003D54A5">
        <w:rPr>
          <w:i/>
        </w:rPr>
        <w:t>hypoglycemia</w:t>
      </w:r>
      <w:proofErr w:type="spellEnd"/>
      <w:r w:rsidR="00AE090E" w:rsidRPr="003D54A5">
        <w:rPr>
          <w:i/>
        </w:rPr>
        <w:t xml:space="preserve"> or unacceptable </w:t>
      </w:r>
      <w:proofErr w:type="spellStart"/>
      <w:r w:rsidR="00AE090E" w:rsidRPr="003D54A5">
        <w:rPr>
          <w:i/>
        </w:rPr>
        <w:t>hyperglycemia</w:t>
      </w:r>
      <w:proofErr w:type="spellEnd"/>
      <w:r w:rsidR="00AE090E" w:rsidRPr="004929B0">
        <w:t>.</w:t>
      </w:r>
      <w:r>
        <w:t>’</w:t>
      </w:r>
    </w:p>
    <w:p w:rsidR="00AE090E" w:rsidRDefault="00AE090E" w:rsidP="00AE090E">
      <w:pPr>
        <w:autoSpaceDE w:val="0"/>
        <w:autoSpaceDN w:val="0"/>
        <w:adjustRightInd w:val="0"/>
        <w:jc w:val="both"/>
      </w:pPr>
      <w:r w:rsidRPr="003D54A5">
        <w:rPr>
          <w:i/>
        </w:rPr>
        <w:t xml:space="preserve">Locations: </w:t>
      </w:r>
      <w:r w:rsidRPr="004929B0">
        <w:t xml:space="preserve">The study was international and </w:t>
      </w:r>
      <w:proofErr w:type="spellStart"/>
      <w:r w:rsidRPr="004929B0">
        <w:t>multicentric</w:t>
      </w:r>
      <w:proofErr w:type="spellEnd"/>
      <w:r w:rsidRPr="004929B0">
        <w:t xml:space="preserve"> - it was conducted at 59 study centres in 9 countries. All investigators were specialist physicians, usually </w:t>
      </w:r>
      <w:proofErr w:type="spellStart"/>
      <w:r w:rsidRPr="004929B0">
        <w:t>diabetologists</w:t>
      </w:r>
      <w:proofErr w:type="spellEnd"/>
      <w:r w:rsidRPr="004929B0">
        <w:t>.</w:t>
      </w:r>
      <w:r w:rsidR="009F388C">
        <w:t xml:space="preserve"> </w:t>
      </w:r>
      <w:r w:rsidRPr="004929B0">
        <w:t xml:space="preserve">Ethics review </w:t>
      </w:r>
      <w:r w:rsidRPr="004929B0">
        <w:lastRenderedPageBreak/>
        <w:t>boards were identified for each investigator (</w:t>
      </w:r>
      <w:r>
        <w:t xml:space="preserve">in Module 5 </w:t>
      </w:r>
      <w:r w:rsidRPr="004929B0">
        <w:t>I4L-MC-ABEB Interim CSR Appendix ERB ICD).</w:t>
      </w:r>
    </w:p>
    <w:p w:rsidR="00AE090E" w:rsidRDefault="00AE090E" w:rsidP="00AE090E">
      <w:pPr>
        <w:autoSpaceDE w:val="0"/>
        <w:autoSpaceDN w:val="0"/>
        <w:adjustRightInd w:val="0"/>
        <w:jc w:val="both"/>
      </w:pPr>
      <w:r w:rsidRPr="003D54A5">
        <w:rPr>
          <w:i/>
        </w:rPr>
        <w:t>Dates:</w:t>
      </w:r>
      <w:r>
        <w:t xml:space="preserve"> </w:t>
      </w:r>
      <w:r w:rsidRPr="004929B0">
        <w:t>The first patient enrolled (assigned to therapy): 08 September 2011 and the last patient completed the 24th week visit: 13 August 2012.</w:t>
      </w:r>
    </w:p>
    <w:p w:rsidR="00AE090E" w:rsidRPr="004B259C" w:rsidRDefault="00AE090E" w:rsidP="003D54A5">
      <w:pPr>
        <w:pStyle w:val="Heading6"/>
      </w:pPr>
      <w:r w:rsidRPr="003D54A5">
        <w:t>Inclusion</w:t>
      </w:r>
      <w:r w:rsidRPr="004B259C">
        <w:t xml:space="preserve"> and exclusion criteria</w:t>
      </w:r>
    </w:p>
    <w:p w:rsidR="00AE090E" w:rsidRPr="003D54A5" w:rsidRDefault="00AE090E" w:rsidP="00AE090E">
      <w:pPr>
        <w:rPr>
          <w:i/>
        </w:rPr>
      </w:pPr>
      <w:r w:rsidRPr="003D54A5">
        <w:rPr>
          <w:i/>
        </w:rPr>
        <w:t xml:space="preserve">Inclusion </w:t>
      </w:r>
      <w:r w:rsidR="00270FA0">
        <w:rPr>
          <w:i/>
        </w:rPr>
        <w:t>c</w:t>
      </w:r>
      <w:r w:rsidRPr="003D54A5">
        <w:rPr>
          <w:i/>
        </w:rPr>
        <w:t>riteria:</w:t>
      </w:r>
    </w:p>
    <w:p w:rsidR="00AE090E" w:rsidRDefault="00AE090E" w:rsidP="00AE090E">
      <w:r>
        <w:t>Patients with T1DM for ≥1 year, aged ≥18, with a body mass index ≤35 kg/m</w:t>
      </w:r>
      <w:r w:rsidRPr="003D54A5">
        <w:rPr>
          <w:vertAlign w:val="superscript"/>
        </w:rPr>
        <w:t>2</w:t>
      </w:r>
      <w:r>
        <w:t xml:space="preserve"> will be included in the study. Patients should have an HbA1c ≤11%; on basal-bolus insulin therapy for at least 1 year.</w:t>
      </w:r>
      <w:r w:rsidR="009F388C">
        <w:t xml:space="preserve"> </w:t>
      </w:r>
      <w:r>
        <w:t xml:space="preserve">Basal insulin must be QD injection of human insulin </w:t>
      </w:r>
      <w:proofErr w:type="spellStart"/>
      <w:r>
        <w:t>isophane</w:t>
      </w:r>
      <w:proofErr w:type="spellEnd"/>
      <w:r>
        <w:t xml:space="preserve"> suspension (NPH), Lantus, or </w:t>
      </w:r>
      <w:proofErr w:type="spellStart"/>
      <w:r>
        <w:t>detemir</w:t>
      </w:r>
      <w:proofErr w:type="spellEnd"/>
      <w:r>
        <w:t xml:space="preserve"> for at least 3 months (90 days) prior to Visit 1 and combined with mealtime injections of human regular insulin, or insulin </w:t>
      </w:r>
      <w:proofErr w:type="spellStart"/>
      <w:r>
        <w:t>analog</w:t>
      </w:r>
      <w:proofErr w:type="spellEnd"/>
      <w:r>
        <w:t xml:space="preserve"> </w:t>
      </w:r>
      <w:proofErr w:type="spellStart"/>
      <w:r>
        <w:t>lispro</w:t>
      </w:r>
      <w:proofErr w:type="spellEnd"/>
      <w:r>
        <w:t xml:space="preserve">, </w:t>
      </w:r>
      <w:proofErr w:type="spellStart"/>
      <w:r>
        <w:t>aspart</w:t>
      </w:r>
      <w:proofErr w:type="spellEnd"/>
      <w:r>
        <w:t xml:space="preserve">, or </w:t>
      </w:r>
      <w:proofErr w:type="spellStart"/>
      <w:r>
        <w:t>glulisine</w:t>
      </w:r>
      <w:proofErr w:type="spellEnd"/>
      <w:r>
        <w:t>. [</w:t>
      </w:r>
      <w:proofErr w:type="gramStart"/>
      <w:r>
        <w:t>from</w:t>
      </w:r>
      <w:proofErr w:type="gramEnd"/>
      <w:r>
        <w:t xml:space="preserve"> protocol summary]</w:t>
      </w:r>
    </w:p>
    <w:p w:rsidR="00AE090E" w:rsidRDefault="00AE090E" w:rsidP="00AE090E">
      <w:r>
        <w:t>Eligible patients had a diagnosis of T1DM as determined by the World Health Organization (WHO) diagnostic criteria [study summary, page 38/4817]</w:t>
      </w:r>
    </w:p>
    <w:p w:rsidR="00AE090E" w:rsidRDefault="00AE090E" w:rsidP="00AE090E">
      <w:r>
        <w:t>As determined by the investigator, are capable and willing to do the following:</w:t>
      </w:r>
    </w:p>
    <w:p w:rsidR="00AE090E" w:rsidRPr="003D54A5" w:rsidRDefault="00AE090E" w:rsidP="003D54A5">
      <w:pPr>
        <w:pStyle w:val="ListBullet"/>
      </w:pPr>
      <w:r w:rsidRPr="003D54A5">
        <w:t>perform SMBG</w:t>
      </w:r>
    </w:p>
    <w:p w:rsidR="00AE090E" w:rsidRPr="003D54A5" w:rsidRDefault="00AE090E" w:rsidP="003D54A5">
      <w:pPr>
        <w:pStyle w:val="ListBullet"/>
      </w:pPr>
      <w:r w:rsidRPr="003D54A5">
        <w:t>complete patient diaries as instructed for this protocol</w:t>
      </w:r>
    </w:p>
    <w:p w:rsidR="00AE090E" w:rsidRPr="003D54A5" w:rsidRDefault="00AE090E" w:rsidP="003D54A5">
      <w:pPr>
        <w:pStyle w:val="ListBullet"/>
      </w:pPr>
      <w:r w:rsidRPr="003D54A5">
        <w:t>use the insulin injection device(s) according to the instructions provided</w:t>
      </w:r>
    </w:p>
    <w:p w:rsidR="00AE090E" w:rsidRPr="003D54A5" w:rsidRDefault="00AE090E" w:rsidP="003D54A5">
      <w:pPr>
        <w:pStyle w:val="ListBullet"/>
      </w:pPr>
      <w:r w:rsidRPr="003D54A5">
        <w:t>are receptive to diabetes education</w:t>
      </w:r>
    </w:p>
    <w:p w:rsidR="00AE090E" w:rsidRPr="003D54A5" w:rsidRDefault="00AE090E" w:rsidP="003D54A5">
      <w:pPr>
        <w:pStyle w:val="ListBullet"/>
      </w:pPr>
      <w:r w:rsidRPr="003D54A5">
        <w:t>comply with the required study insulins and study visits;</w:t>
      </w:r>
    </w:p>
    <w:p w:rsidR="00AE090E" w:rsidRDefault="00AE090E" w:rsidP="00AE090E">
      <w:r>
        <w:t xml:space="preserve">… </w:t>
      </w:r>
      <w:proofErr w:type="gramStart"/>
      <w:r>
        <w:t>and</w:t>
      </w:r>
      <w:proofErr w:type="gramEnd"/>
      <w:r>
        <w:t>, have given written informed consent to participate in this study in accordance with local regulations. [</w:t>
      </w:r>
      <w:proofErr w:type="gramStart"/>
      <w:r>
        <w:t>from</w:t>
      </w:r>
      <w:proofErr w:type="gramEnd"/>
      <w:r>
        <w:t xml:space="preserve"> protocol section 8.1]</w:t>
      </w:r>
    </w:p>
    <w:p w:rsidR="00AE090E" w:rsidRPr="003D54A5" w:rsidRDefault="00AE090E" w:rsidP="00AE090E">
      <w:pPr>
        <w:rPr>
          <w:i/>
        </w:rPr>
      </w:pPr>
      <w:r w:rsidRPr="003D54A5">
        <w:rPr>
          <w:i/>
        </w:rPr>
        <w:t xml:space="preserve">Exclusion </w:t>
      </w:r>
      <w:r w:rsidR="00270FA0">
        <w:rPr>
          <w:i/>
        </w:rPr>
        <w:t>c</w:t>
      </w:r>
      <w:r w:rsidRPr="003D54A5">
        <w:rPr>
          <w:i/>
        </w:rPr>
        <w:t>riteria:</w:t>
      </w:r>
    </w:p>
    <w:p w:rsidR="00AE090E" w:rsidRDefault="00AE090E" w:rsidP="00AE090E">
      <w:r>
        <w:t xml:space="preserve">Patients with known hypersensitivity or allergy to the study insulins (insulin </w:t>
      </w:r>
      <w:proofErr w:type="spellStart"/>
      <w:r>
        <w:t>glargine</w:t>
      </w:r>
      <w:proofErr w:type="spellEnd"/>
      <w:r>
        <w:t xml:space="preserve"> or insulin </w:t>
      </w:r>
      <w:proofErr w:type="spellStart"/>
      <w:r>
        <w:t>lispro</w:t>
      </w:r>
      <w:proofErr w:type="spellEnd"/>
      <w:r>
        <w:t>) or their excipients, or with significant renal, cardiac, gastrointestinal, or liver disease, will be excluded.</w:t>
      </w:r>
      <w:r w:rsidR="009F388C">
        <w:t xml:space="preserve"> </w:t>
      </w:r>
      <w:r>
        <w:t xml:space="preserve">Patients with active cancer or cancer within the past 5 years will be excluded. Patients who are using twice daily insulin </w:t>
      </w:r>
      <w:proofErr w:type="spellStart"/>
      <w:r>
        <w:t>glargine</w:t>
      </w:r>
      <w:proofErr w:type="spellEnd"/>
      <w:r>
        <w:t xml:space="preserve"> within 6 months (180 days) prior to Visit 1 will be excluded.</w:t>
      </w:r>
    </w:p>
    <w:p w:rsidR="00AE090E" w:rsidRDefault="00AE090E" w:rsidP="00AE090E">
      <w:r>
        <w:t>[</w:t>
      </w:r>
      <w:proofErr w:type="gramStart"/>
      <w:r w:rsidR="001E7726">
        <w:t>abstracted</w:t>
      </w:r>
      <w:proofErr w:type="gramEnd"/>
      <w:r w:rsidR="001E7726">
        <w:t xml:space="preserve"> </w:t>
      </w:r>
      <w:r>
        <w:t>from protocol summary]</w:t>
      </w:r>
    </w:p>
    <w:p w:rsidR="00AE090E" w:rsidRDefault="00AE090E" w:rsidP="00AE090E">
      <w:r>
        <w:t xml:space="preserve">[9] Exposure to a biosimilar insulin </w:t>
      </w:r>
      <w:proofErr w:type="spellStart"/>
      <w:r>
        <w:t>glargine</w:t>
      </w:r>
      <w:proofErr w:type="spellEnd"/>
      <w:r>
        <w:t>.</w:t>
      </w:r>
    </w:p>
    <w:p w:rsidR="00AE090E" w:rsidRDefault="00AE090E" w:rsidP="00AE090E">
      <w:r>
        <w:t>[10] Excessive insulin resistance at entry into the study (total daily insulin dose [TDID] ≥1.5 U/kg).</w:t>
      </w:r>
    </w:p>
    <w:p w:rsidR="00AE090E" w:rsidRDefault="00AE090E" w:rsidP="00AE090E">
      <w:r>
        <w:t xml:space="preserve">[11] Have had more than one episode of severe </w:t>
      </w:r>
      <w:proofErr w:type="spellStart"/>
      <w:r>
        <w:t>hypoglycemia</w:t>
      </w:r>
      <w:proofErr w:type="spellEnd"/>
      <w:r>
        <w:t>, as defined in Section 9.9 of the protocol, within 6 months prior to entry into the study.</w:t>
      </w:r>
    </w:p>
    <w:p w:rsidR="00AE090E" w:rsidRDefault="00AE090E" w:rsidP="00AE090E">
      <w:r>
        <w:t>[12] Have had more than one episode of diabetic ketoacidosis or emergency room visits for uncontrolled diabetes leading to hospitalization within 6 months prior to entry into the study.</w:t>
      </w:r>
    </w:p>
    <w:p w:rsidR="00AE090E" w:rsidRDefault="00AE090E" w:rsidP="00AE090E">
      <w:r>
        <w:t>[14] Are pregnant or intend to become pregnant during the course of the study, or are sexually active women of childbearing potential not actively practicing birth control by a method determined by the investigator to be medically acceptable.</w:t>
      </w:r>
    </w:p>
    <w:p w:rsidR="00AE090E" w:rsidRDefault="00AE090E" w:rsidP="00AE090E">
      <w:r>
        <w:t>[15] Women who are breastfeeding.</w:t>
      </w:r>
    </w:p>
    <w:p w:rsidR="00AE090E" w:rsidRDefault="00AE090E" w:rsidP="00AE090E">
      <w:r>
        <w:t xml:space="preserve">[16] Have taken any oral </w:t>
      </w:r>
      <w:proofErr w:type="spellStart"/>
      <w:r>
        <w:t>antihyperglycemic</w:t>
      </w:r>
      <w:proofErr w:type="spellEnd"/>
      <w:r>
        <w:t xml:space="preserve"> medications (OAMs) within 3 months prior to Visit 1.</w:t>
      </w:r>
    </w:p>
    <w:p w:rsidR="00AE090E" w:rsidRDefault="00AE090E" w:rsidP="00AE090E">
      <w:r>
        <w:lastRenderedPageBreak/>
        <w:t>[17] Have received treatment within the last 30 days with a drug that has not received regulatory approval for any indication at the time of study entry.</w:t>
      </w:r>
    </w:p>
    <w:p w:rsidR="00AE090E" w:rsidRDefault="00AE090E" w:rsidP="00AE090E">
      <w:r>
        <w:t xml:space="preserve">[18] Have received treatment with </w:t>
      </w:r>
      <w:proofErr w:type="spellStart"/>
      <w:r>
        <w:t>pramlintide</w:t>
      </w:r>
      <w:proofErr w:type="spellEnd"/>
      <w:r>
        <w:t xml:space="preserve"> or with continuous subcutaneous insulin infusion within 3-months prior to Visit 1.</w:t>
      </w:r>
    </w:p>
    <w:p w:rsidR="00AE090E" w:rsidRDefault="00AE090E" w:rsidP="00AE090E">
      <w:r>
        <w:t xml:space="preserve">[26] </w:t>
      </w:r>
      <w:proofErr w:type="gramStart"/>
      <w:r>
        <w:t>Have</w:t>
      </w:r>
      <w:proofErr w:type="gramEnd"/>
      <w:r>
        <w:t xml:space="preserve"> an irregular sleep/wake cycle (eg, patients who sleep during the day and work during the night).</w:t>
      </w:r>
    </w:p>
    <w:p w:rsidR="00AE090E" w:rsidRDefault="00AE090E" w:rsidP="00AE090E">
      <w:r>
        <w:t>[27] Have any other condition (including known drug or alcohol abuse or psychiatric disorder) that precludes the patient from following and completing the protocol.</w:t>
      </w:r>
    </w:p>
    <w:p w:rsidR="00AE090E" w:rsidRDefault="00AE090E" w:rsidP="00AE090E">
      <w:r>
        <w:t xml:space="preserve">[28] Are investigator-site personnel directly affiliated with this study and/or their immediate </w:t>
      </w:r>
      <w:proofErr w:type="gramStart"/>
      <w:r>
        <w:t>families.</w:t>
      </w:r>
      <w:proofErr w:type="gramEnd"/>
      <w:r w:rsidR="009F388C">
        <w:t xml:space="preserve"> </w:t>
      </w:r>
      <w:r>
        <w:t>Immediate family is defined as a spouse, parent, child, or sibling, whether biological or legally adopted.</w:t>
      </w:r>
    </w:p>
    <w:p w:rsidR="00AE090E" w:rsidRDefault="00AE090E" w:rsidP="00AE090E">
      <w:r>
        <w:t>[29] Are Lilly employees.</w:t>
      </w:r>
    </w:p>
    <w:p w:rsidR="00AE090E" w:rsidRDefault="00AE090E" w:rsidP="00AE090E">
      <w:r>
        <w:t xml:space="preserve"> [</w:t>
      </w:r>
      <w:proofErr w:type="gramStart"/>
      <w:r>
        <w:t>from</w:t>
      </w:r>
      <w:proofErr w:type="gramEnd"/>
      <w:r>
        <w:t xml:space="preserve"> protocol section 8.2]</w:t>
      </w:r>
    </w:p>
    <w:p w:rsidR="00AE090E" w:rsidRPr="003D54A5" w:rsidRDefault="00AE090E" w:rsidP="00AE090E">
      <w:pPr>
        <w:rPr>
          <w:i/>
        </w:rPr>
      </w:pPr>
      <w:r>
        <w:tab/>
      </w:r>
      <w:r w:rsidRPr="003D54A5">
        <w:rPr>
          <w:i/>
        </w:rPr>
        <w:t>4L-MC-</w:t>
      </w:r>
      <w:proofErr w:type="gramStart"/>
      <w:r w:rsidRPr="003D54A5">
        <w:rPr>
          <w:i/>
        </w:rPr>
        <w:t>ABEB(</w:t>
      </w:r>
      <w:proofErr w:type="gramEnd"/>
      <w:r w:rsidRPr="003D54A5">
        <w:rPr>
          <w:i/>
        </w:rPr>
        <w:t>2) Clinical Protocol Addendum</w:t>
      </w:r>
    </w:p>
    <w:p w:rsidR="00AE090E" w:rsidRDefault="00AE090E" w:rsidP="00AE090E">
      <w:r>
        <w:t>Protocol Addendum (2) Approval Date: 22-Aug-2011 GMT at the request of the Japanese regulatory agency.</w:t>
      </w:r>
    </w:p>
    <w:p w:rsidR="00AE090E" w:rsidRDefault="00AE090E" w:rsidP="00AE090E">
      <w:r>
        <w:t xml:space="preserve">The following text is an addendum to </w:t>
      </w:r>
      <w:r w:rsidR="009E282D">
        <w:t>Section</w:t>
      </w:r>
      <w:r w:rsidRPr="009E282D">
        <w:t xml:space="preserve"> 8.2</w:t>
      </w:r>
      <w:r>
        <w:t xml:space="preserve"> (Exclu</w:t>
      </w:r>
      <w:r w:rsidR="00270FA0">
        <w:t>sion Criteria) of the protocol.</w:t>
      </w:r>
    </w:p>
    <w:p w:rsidR="00AE090E" w:rsidRDefault="00AE090E" w:rsidP="00AE090E">
      <w:r>
        <w:t xml:space="preserve">[19] </w:t>
      </w:r>
      <w:proofErr w:type="gramStart"/>
      <w:r>
        <w:t>Have</w:t>
      </w:r>
      <w:proofErr w:type="gramEnd"/>
      <w:r>
        <w:t xml:space="preserve"> congestive heart failure Class III and Class IV (Attachment 1).</w:t>
      </w:r>
    </w:p>
    <w:p w:rsidR="00AE090E" w:rsidRDefault="00AE090E" w:rsidP="00AE090E">
      <w:r>
        <w:t>[32] Have undergone a major surgical operation within 3 months prior to Visit 1, or plan to undergo a major surgical operation during the course of the clinical trial.</w:t>
      </w:r>
    </w:p>
    <w:p w:rsidR="00AE090E" w:rsidRDefault="00AE090E" w:rsidP="00AE090E">
      <w:r>
        <w:t>[33] Have pre-proliferative and proliferative retinopathy, maculopathy requiring treatment or not clinically stable in the last 6 months, or patients with active changes in subjective eye symptoms as determined by the investigator if an eye exam has not been performed in the last 6 months.</w:t>
      </w:r>
    </w:p>
    <w:p w:rsidR="00AE090E" w:rsidRDefault="00AE090E" w:rsidP="00AE090E">
      <w:r>
        <w:t>Note: Patients with a history of pre-proliferative retinopathy, proliferative retinopathy, or</w:t>
      </w:r>
      <w:r w:rsidR="009F388C">
        <w:t xml:space="preserve"> </w:t>
      </w:r>
      <w:r>
        <w:t>maculopathy that remains stable at least 6 months after photocoagulation, and who are enrolled based on principal investigator or sub-investigator judgment, should continue to attend appropriate periodical eye examinations with an ophthalmologist.</w:t>
      </w:r>
    </w:p>
    <w:p w:rsidR="00AE090E" w:rsidRPr="007311A4" w:rsidRDefault="007311A4" w:rsidP="00AE090E">
      <w:pPr>
        <w:rPr>
          <w:i/>
        </w:rPr>
      </w:pPr>
      <w:r>
        <w:rPr>
          <w:i/>
        </w:rPr>
        <w:t>Discontinuation criteria</w:t>
      </w:r>
      <w:r w:rsidR="00AE090E" w:rsidRPr="007311A4">
        <w:rPr>
          <w:i/>
        </w:rPr>
        <w:t>:</w:t>
      </w:r>
    </w:p>
    <w:p w:rsidR="00AE090E" w:rsidRDefault="00AE090E" w:rsidP="007311A4">
      <w:pPr>
        <w:ind w:left="284" w:hanging="284"/>
      </w:pPr>
      <w:r>
        <w:t>These resembled the exclusion criteria.</w:t>
      </w:r>
      <w:r w:rsidR="009F388C">
        <w:t xml:space="preserve"> </w:t>
      </w:r>
      <w:r>
        <w:t xml:space="preserve">In addition, </w:t>
      </w:r>
      <w:r w:rsidR="00127BD9">
        <w:t>‘</w:t>
      </w:r>
      <w:r w:rsidRPr="007311A4">
        <w:rPr>
          <w:i/>
        </w:rPr>
        <w:t>Patients who were off study medication for more than 10 consecutive days were to be discontinued from the study.</w:t>
      </w:r>
      <w:r w:rsidR="009F388C" w:rsidRPr="007311A4">
        <w:rPr>
          <w:i/>
        </w:rPr>
        <w:t xml:space="preserve"> </w:t>
      </w:r>
      <w:r w:rsidRPr="007311A4">
        <w:rPr>
          <w:i/>
        </w:rPr>
        <w:t>Patients who received excluded concomitant therapy were to be discontinued from the study.</w:t>
      </w:r>
      <w:r w:rsidR="00127BD9" w:rsidRPr="007311A4">
        <w:rPr>
          <w:i/>
        </w:rPr>
        <w:t>’</w:t>
      </w:r>
      <w:r w:rsidR="009F388C" w:rsidRPr="007311A4">
        <w:rPr>
          <w:i/>
        </w:rPr>
        <w:t xml:space="preserve"> </w:t>
      </w:r>
      <w:r w:rsidR="00127BD9" w:rsidRPr="007311A4">
        <w:rPr>
          <w:i/>
        </w:rPr>
        <w:t>‘</w:t>
      </w:r>
      <w:r w:rsidRPr="007311A4">
        <w:rPr>
          <w:i/>
        </w:rPr>
        <w:t>If a patient experienced elevated liver enzymes (≥3 times the upper limit of normal [ULN]) or elevated total bilirubin (≥2 times the ULN), clinical and laboratory investigation was highly recommended for diagnosis and monitoring based on consultation with the Lilly CRP, and the patient’s continued participation in the study (with or without study drug) was decided based on the final diagnosis and the investigator’s clinical judgment.</w:t>
      </w:r>
      <w:r w:rsidR="00127BD9">
        <w:t>’</w:t>
      </w:r>
    </w:p>
    <w:p w:rsidR="00AE090E" w:rsidRPr="00850CE4" w:rsidRDefault="00AE090E" w:rsidP="00270FA0">
      <w:pPr>
        <w:ind w:left="720"/>
      </w:pPr>
      <w:r w:rsidRPr="00E53718">
        <w:rPr>
          <w:b/>
        </w:rPr>
        <w:t>Comment</w:t>
      </w:r>
      <w:r w:rsidRPr="00850CE4">
        <w:t xml:space="preserve">: The study enrolled reasonably healthy, prospectively compliant persons with T1DM. It is of note that the inclusion criteria effectively excluded patients taking NPH insulin </w:t>
      </w:r>
      <w:proofErr w:type="spellStart"/>
      <w:r w:rsidRPr="00850CE4">
        <w:t>b.d</w:t>
      </w:r>
      <w:proofErr w:type="spellEnd"/>
      <w:r w:rsidRPr="00850CE4">
        <w:t xml:space="preserve">. </w:t>
      </w:r>
    </w:p>
    <w:p w:rsidR="00AE090E" w:rsidRPr="004B259C" w:rsidRDefault="00AE090E" w:rsidP="007311A4">
      <w:pPr>
        <w:pStyle w:val="Heading6"/>
      </w:pPr>
      <w:r w:rsidRPr="004B259C">
        <w:t>Study treatments</w:t>
      </w:r>
    </w:p>
    <w:p w:rsidR="00AE090E" w:rsidRDefault="00AE090E" w:rsidP="00AE090E">
      <w:r>
        <w:t>As in Study ABEC, t</w:t>
      </w:r>
      <w:r w:rsidRPr="000906F9">
        <w:t xml:space="preserve">he use of insulin </w:t>
      </w:r>
      <w:proofErr w:type="spellStart"/>
      <w:r>
        <w:t>glargine</w:t>
      </w:r>
      <w:proofErr w:type="spellEnd"/>
      <w:r>
        <w:t xml:space="preserve"> </w:t>
      </w:r>
      <w:r w:rsidRPr="000906F9">
        <w:t>was aligned with the approved product information of Lantus.</w:t>
      </w:r>
      <w:r>
        <w:t xml:space="preserve"> Patients were instructed to rotate the site of injection following good practices for insulin administration.</w:t>
      </w:r>
    </w:p>
    <w:p w:rsidR="00AE090E" w:rsidRDefault="00AE090E" w:rsidP="00AE090E">
      <w:r>
        <w:lastRenderedPageBreak/>
        <w:t>The initial dose of basal insulin</w:t>
      </w:r>
      <w:r w:rsidR="00AD0CFC">
        <w:t xml:space="preserve"> in each study</w:t>
      </w:r>
      <w:r>
        <w:t xml:space="preserve"> (</w:t>
      </w:r>
      <w:proofErr w:type="spellStart"/>
      <w:r w:rsidR="00216E0E">
        <w:t>Abasria</w:t>
      </w:r>
      <w:proofErr w:type="spellEnd"/>
      <w:r>
        <w:t xml:space="preserve"> or </w:t>
      </w:r>
      <w:r w:rsidR="00127BD9">
        <w:t>Lantus</w:t>
      </w:r>
      <w:r w:rsidRPr="000906F9">
        <w:rPr>
          <w:vertAlign w:val="superscript"/>
        </w:rPr>
        <w:t>®</w:t>
      </w:r>
      <w:r>
        <w:t>) was equivalent to the dose of the individual patient’s pre-study QD basal insulin that was discontinued (i</w:t>
      </w:r>
      <w:r w:rsidR="00270FA0">
        <w:t>.e., unit-for-unit conversion).</w:t>
      </w:r>
    </w:p>
    <w:p w:rsidR="00AE090E" w:rsidRDefault="00AE090E" w:rsidP="007311A4">
      <w:pPr>
        <w:ind w:left="284" w:hanging="284"/>
      </w:pPr>
      <w:r>
        <w:t>As in Study ABEC, t</w:t>
      </w:r>
      <w:r w:rsidRPr="00413C8B">
        <w:t xml:space="preserve">here was no run-in period, so half the study time was </w:t>
      </w:r>
      <w:r>
        <w:t xml:space="preserve">expected to be </w:t>
      </w:r>
      <w:r w:rsidRPr="00413C8B">
        <w:t xml:space="preserve">spent in </w:t>
      </w:r>
      <w:r>
        <w:t xml:space="preserve">dose </w:t>
      </w:r>
      <w:r w:rsidRPr="00413C8B">
        <w:t>titration</w:t>
      </w:r>
      <w:r>
        <w:t>.</w:t>
      </w:r>
      <w:r w:rsidR="009F388C">
        <w:t xml:space="preserve"> </w:t>
      </w:r>
      <w:r w:rsidR="00127BD9">
        <w:t>‘</w:t>
      </w:r>
      <w:r w:rsidRPr="007311A4">
        <w:rPr>
          <w:i/>
        </w:rPr>
        <w:t xml:space="preserve">The Treatment Period was composed of a Titration Period and a Maintenance Period. It was expected that most of the basal and bolus insulin dose adjustments would occur during the initial titration period (Weeks 0 through 6); however, titration could have been extended up to Week 12 for patients who needed more intensification to achieve </w:t>
      </w:r>
      <w:proofErr w:type="spellStart"/>
      <w:r w:rsidRPr="007311A4">
        <w:rPr>
          <w:i/>
        </w:rPr>
        <w:t>glycemic</w:t>
      </w:r>
      <w:proofErr w:type="spellEnd"/>
      <w:r w:rsidRPr="007311A4">
        <w:rPr>
          <w:i/>
        </w:rPr>
        <w:t xml:space="preserve"> targets</w:t>
      </w:r>
      <w:r w:rsidR="00127BD9">
        <w:t>’</w:t>
      </w:r>
      <w:r w:rsidRPr="00413C8B">
        <w:t xml:space="preserve"> [Study summary p. 38/4817].</w:t>
      </w:r>
    </w:p>
    <w:p w:rsidR="007311A4" w:rsidRDefault="00AE090E" w:rsidP="007311A4">
      <w:pPr>
        <w:ind w:left="142" w:hanging="142"/>
      </w:pPr>
      <w:r w:rsidRPr="002661F0">
        <w:t xml:space="preserve">As per the Protocol’s description, </w:t>
      </w:r>
      <w:r w:rsidR="00127BD9">
        <w:t>‘</w:t>
      </w:r>
      <w:r w:rsidRPr="007311A4">
        <w:rPr>
          <w:i/>
        </w:rPr>
        <w:t xml:space="preserve">For patients whose </w:t>
      </w:r>
      <w:proofErr w:type="spellStart"/>
      <w:r w:rsidRPr="007311A4">
        <w:rPr>
          <w:i/>
        </w:rPr>
        <w:t>glycemic</w:t>
      </w:r>
      <w:proofErr w:type="spellEnd"/>
      <w:r w:rsidRPr="007311A4">
        <w:rPr>
          <w:i/>
        </w:rPr>
        <w:t xml:space="preserve"> control is within desired levels on </w:t>
      </w:r>
      <w:proofErr w:type="spellStart"/>
      <w:r w:rsidRPr="007311A4">
        <w:rPr>
          <w:i/>
        </w:rPr>
        <w:t>prestudy</w:t>
      </w:r>
      <w:proofErr w:type="spellEnd"/>
      <w:r w:rsidRPr="007311A4">
        <w:rPr>
          <w:i/>
        </w:rPr>
        <w:t xml:space="preserve"> insulins, and once they are switched from their </w:t>
      </w:r>
      <w:proofErr w:type="spellStart"/>
      <w:r w:rsidRPr="007311A4">
        <w:rPr>
          <w:i/>
        </w:rPr>
        <w:t>prestudy</w:t>
      </w:r>
      <w:proofErr w:type="spellEnd"/>
      <w:r w:rsidRPr="007311A4">
        <w:rPr>
          <w:i/>
        </w:rPr>
        <w:t xml:space="preserve"> insulins to LY2963016 or Lantus and insulin </w:t>
      </w:r>
      <w:proofErr w:type="spellStart"/>
      <w:r w:rsidRPr="007311A4">
        <w:rPr>
          <w:i/>
        </w:rPr>
        <w:t>lispro</w:t>
      </w:r>
      <w:proofErr w:type="spellEnd"/>
      <w:r w:rsidRPr="007311A4">
        <w:rPr>
          <w:i/>
        </w:rPr>
        <w:t xml:space="preserve"> on a unit-to-unit conversion, the investigators and patients should continue managing the patient’s insulin therapy in the manner that effectively maintains </w:t>
      </w:r>
      <w:proofErr w:type="spellStart"/>
      <w:r w:rsidRPr="007311A4">
        <w:rPr>
          <w:i/>
        </w:rPr>
        <w:t>glycemic</w:t>
      </w:r>
      <w:proofErr w:type="spellEnd"/>
      <w:r w:rsidRPr="007311A4">
        <w:rPr>
          <w:i/>
        </w:rPr>
        <w:t xml:space="preserve"> goals (HbA1c &lt;7%, FPG ≤6.0 </w:t>
      </w:r>
      <w:proofErr w:type="spellStart"/>
      <w:r w:rsidRPr="007311A4">
        <w:rPr>
          <w:i/>
        </w:rPr>
        <w:t>mmol</w:t>
      </w:r>
      <w:proofErr w:type="spellEnd"/>
      <w:r w:rsidRPr="007311A4">
        <w:rPr>
          <w:i/>
        </w:rPr>
        <w:t>/L [≤108 mg/</w:t>
      </w:r>
      <w:proofErr w:type="spellStart"/>
      <w:r w:rsidRPr="007311A4">
        <w:rPr>
          <w:i/>
        </w:rPr>
        <w:t>dL</w:t>
      </w:r>
      <w:proofErr w:type="spellEnd"/>
      <w:r w:rsidRPr="007311A4">
        <w:rPr>
          <w:i/>
        </w:rPr>
        <w:t xml:space="preserve">], other </w:t>
      </w:r>
      <w:proofErr w:type="spellStart"/>
      <w:r w:rsidRPr="007311A4">
        <w:rPr>
          <w:i/>
        </w:rPr>
        <w:t>preprandial</w:t>
      </w:r>
      <w:proofErr w:type="spellEnd"/>
      <w:r w:rsidRPr="007311A4">
        <w:rPr>
          <w:i/>
        </w:rPr>
        <w:t xml:space="preserve"> capillary BGs 70-130 mg/</w:t>
      </w:r>
      <w:proofErr w:type="spellStart"/>
      <w:r w:rsidRPr="007311A4">
        <w:rPr>
          <w:i/>
        </w:rPr>
        <w:t>dL</w:t>
      </w:r>
      <w:proofErr w:type="spellEnd"/>
      <w:r w:rsidRPr="007311A4">
        <w:rPr>
          <w:i/>
        </w:rPr>
        <w:t xml:space="preserve"> [3.9-7.2 </w:t>
      </w:r>
      <w:proofErr w:type="spellStart"/>
      <w:r w:rsidRPr="007311A4">
        <w:rPr>
          <w:i/>
        </w:rPr>
        <w:t>mmol</w:t>
      </w:r>
      <w:proofErr w:type="spellEnd"/>
      <w:r w:rsidRPr="007311A4">
        <w:rPr>
          <w:i/>
        </w:rPr>
        <w:t xml:space="preserve">/L], without incurring </w:t>
      </w:r>
      <w:proofErr w:type="spellStart"/>
      <w:r w:rsidRPr="007311A4">
        <w:rPr>
          <w:i/>
        </w:rPr>
        <w:t>hypoglycemia</w:t>
      </w:r>
      <w:proofErr w:type="spellEnd"/>
      <w:r w:rsidRPr="007311A4">
        <w:rPr>
          <w:i/>
        </w:rPr>
        <w:t>).</w:t>
      </w:r>
      <w:r w:rsidR="009F388C" w:rsidRPr="007311A4">
        <w:rPr>
          <w:i/>
        </w:rPr>
        <w:t xml:space="preserve"> </w:t>
      </w:r>
      <w:r w:rsidRPr="007311A4">
        <w:rPr>
          <w:i/>
        </w:rPr>
        <w:t xml:space="preserve">However, for patients with inadequate </w:t>
      </w:r>
      <w:proofErr w:type="spellStart"/>
      <w:r w:rsidRPr="007311A4">
        <w:rPr>
          <w:i/>
        </w:rPr>
        <w:t>glycemic</w:t>
      </w:r>
      <w:proofErr w:type="spellEnd"/>
      <w:r w:rsidRPr="007311A4">
        <w:rPr>
          <w:i/>
        </w:rPr>
        <w:t xml:space="preserve"> control, further insulin titration should be done (in conjunction with patient education, if needed) to improve </w:t>
      </w:r>
      <w:proofErr w:type="spellStart"/>
      <w:r w:rsidRPr="007311A4">
        <w:rPr>
          <w:i/>
        </w:rPr>
        <w:t>glycemic</w:t>
      </w:r>
      <w:proofErr w:type="spellEnd"/>
      <w:r w:rsidRPr="007311A4">
        <w:rPr>
          <w:i/>
        </w:rPr>
        <w:t xml:space="preserve"> control, as guided by general principles of intensive/flexible insulin therapy described below and/or in Attachment</w:t>
      </w:r>
      <w:r w:rsidR="009F388C" w:rsidRPr="007311A4">
        <w:rPr>
          <w:i/>
        </w:rPr>
        <w:t xml:space="preserve"> </w:t>
      </w:r>
      <w:r w:rsidRPr="007311A4">
        <w:rPr>
          <w:i/>
        </w:rPr>
        <w:t>4</w:t>
      </w:r>
      <w:r w:rsidR="00127BD9" w:rsidRPr="007311A4">
        <w:rPr>
          <w:i/>
        </w:rPr>
        <w:t>’</w:t>
      </w:r>
      <w:r w:rsidR="00270FA0">
        <w:t>.</w:t>
      </w:r>
    </w:p>
    <w:p w:rsidR="00AE090E" w:rsidRPr="004B259C" w:rsidRDefault="00AE090E" w:rsidP="007311A4">
      <w:pPr>
        <w:pStyle w:val="Heading6"/>
      </w:pPr>
      <w:bookmarkStart w:id="177" w:name="_Efficacy_variables_and"/>
      <w:bookmarkEnd w:id="177"/>
      <w:r w:rsidRPr="004B259C">
        <w:t>Efficacy variables and outcomes</w:t>
      </w:r>
    </w:p>
    <w:p w:rsidR="00AE090E" w:rsidRPr="004B259C" w:rsidRDefault="00AE090E" w:rsidP="00AE090E">
      <w:r w:rsidRPr="004B259C">
        <w:t>The main efficacy variables were:</w:t>
      </w:r>
    </w:p>
    <w:p w:rsidR="00AE090E" w:rsidRPr="007311A4" w:rsidRDefault="00AE090E" w:rsidP="007311A4">
      <w:pPr>
        <w:pStyle w:val="ListBullet"/>
      </w:pPr>
      <w:r w:rsidRPr="007311A4">
        <w:t>Haemoglobin A1c (HbA1c)</w:t>
      </w:r>
    </w:p>
    <w:p w:rsidR="00AE090E" w:rsidRPr="007311A4" w:rsidRDefault="00AE090E" w:rsidP="007311A4">
      <w:pPr>
        <w:pStyle w:val="ListBullet"/>
      </w:pPr>
      <w:r w:rsidRPr="007311A4">
        <w:t>Blood glucose variability</w:t>
      </w:r>
    </w:p>
    <w:p w:rsidR="00AE090E" w:rsidRDefault="00AE090E" w:rsidP="00AE090E">
      <w:r w:rsidRPr="004B259C">
        <w:t>The primary efficacy outcome was</w:t>
      </w:r>
      <w:r>
        <w:t>,</w:t>
      </w:r>
      <w:r w:rsidRPr="004B259C">
        <w:t xml:space="preserve"> </w:t>
      </w:r>
      <w:r>
        <w:t xml:space="preserve">as stated in the Module 5 study report, </w:t>
      </w:r>
      <w:r w:rsidR="00127BD9" w:rsidRPr="007311A4">
        <w:rPr>
          <w:i/>
        </w:rPr>
        <w:t>‘</w:t>
      </w:r>
      <w:r w:rsidRPr="007311A4">
        <w:rPr>
          <w:i/>
        </w:rPr>
        <w:t xml:space="preserve">… to test the hypothesis that LY2963016 (QD) was </w:t>
      </w:r>
      <w:r w:rsidR="005B41AF">
        <w:rPr>
          <w:i/>
        </w:rPr>
        <w:t>non-inferior</w:t>
      </w:r>
      <w:r w:rsidRPr="007311A4">
        <w:rPr>
          <w:i/>
        </w:rPr>
        <w:t xml:space="preserve"> to </w:t>
      </w:r>
      <w:r w:rsidR="00127BD9" w:rsidRPr="007311A4">
        <w:rPr>
          <w:i/>
        </w:rPr>
        <w:t>Lantus</w:t>
      </w:r>
      <w:r w:rsidRPr="007311A4">
        <w:rPr>
          <w:i/>
          <w:vertAlign w:val="superscript"/>
        </w:rPr>
        <w:t>®</w:t>
      </w:r>
      <w:r w:rsidRPr="007311A4">
        <w:rPr>
          <w:i/>
        </w:rPr>
        <w:t xml:space="preserve"> (QD), as measured by change in </w:t>
      </w:r>
      <w:proofErr w:type="spellStart"/>
      <w:r w:rsidRPr="007311A4">
        <w:rPr>
          <w:i/>
        </w:rPr>
        <w:t>hemoglobin</w:t>
      </w:r>
      <w:proofErr w:type="spellEnd"/>
      <w:r w:rsidRPr="007311A4">
        <w:rPr>
          <w:i/>
        </w:rPr>
        <w:t xml:space="preserve"> A1c (HbA1c), from baseline to 24 weeks, when used in combination with pre-meal insulin </w:t>
      </w:r>
      <w:proofErr w:type="spellStart"/>
      <w:r w:rsidRPr="007311A4">
        <w:rPr>
          <w:i/>
        </w:rPr>
        <w:t>lispro</w:t>
      </w:r>
      <w:proofErr w:type="spellEnd"/>
      <w:r w:rsidRPr="007311A4">
        <w:rPr>
          <w:i/>
        </w:rPr>
        <w:t xml:space="preserve"> administered thrice a day (TID)</w:t>
      </w:r>
      <w:r w:rsidR="00127BD9">
        <w:t>’</w:t>
      </w:r>
      <w:r w:rsidRPr="004B259C">
        <w:t>.</w:t>
      </w:r>
    </w:p>
    <w:p w:rsidR="00AE090E" w:rsidRPr="004B259C" w:rsidRDefault="00AE090E" w:rsidP="00AE090E">
      <w:r w:rsidRPr="004B259C">
        <w:t xml:space="preserve">Other efficacy outcomes </w:t>
      </w:r>
      <w:r>
        <w:t>were</w:t>
      </w:r>
      <w:r w:rsidRPr="004B259C">
        <w:t>:</w:t>
      </w:r>
    </w:p>
    <w:p w:rsidR="00AE090E" w:rsidRPr="00FE4E25" w:rsidRDefault="00127BD9" w:rsidP="00AE090E">
      <w:pPr>
        <w:autoSpaceDE w:val="0"/>
        <w:autoSpaceDN w:val="0"/>
        <w:adjustRightInd w:val="0"/>
        <w:jc w:val="both"/>
        <w:rPr>
          <w:kern w:val="24"/>
        </w:rPr>
      </w:pPr>
      <w:r>
        <w:rPr>
          <w:kern w:val="24"/>
        </w:rPr>
        <w:t>‘</w:t>
      </w:r>
      <w:r w:rsidR="00AE090E" w:rsidRPr="00FE4E25">
        <w:rPr>
          <w:kern w:val="24"/>
        </w:rPr>
        <w:t>The secondary objectives of the study were as follows:</w:t>
      </w:r>
    </w:p>
    <w:p w:rsidR="00AE090E" w:rsidRDefault="00AE090E" w:rsidP="007311A4">
      <w:pPr>
        <w:pStyle w:val="ListBullet"/>
      </w:pPr>
      <w:r w:rsidRPr="00FE4E25">
        <w:t xml:space="preserve">To compare the safety of LY2963016 relative to </w:t>
      </w:r>
      <w:r w:rsidR="00127BD9">
        <w:t>Lantus</w:t>
      </w:r>
      <w:r w:rsidRPr="00FE4E25">
        <w:rPr>
          <w:vertAlign w:val="superscript"/>
        </w:rPr>
        <w:t>®</w:t>
      </w:r>
      <w:r w:rsidRPr="00FE4E25">
        <w:t xml:space="preserve"> (eg, incidence of anti-insulin antibodies, </w:t>
      </w:r>
      <w:proofErr w:type="spellStart"/>
      <w:r w:rsidRPr="00FE4E25">
        <w:t>hypoglycemia</w:t>
      </w:r>
      <w:proofErr w:type="spellEnd"/>
      <w:r w:rsidRPr="00FE4E25">
        <w:t>, adverse events [AEs]) when used in combinatio</w:t>
      </w:r>
      <w:r w:rsidR="00270FA0">
        <w:t xml:space="preserve">n with pre-meal insulin </w:t>
      </w:r>
      <w:proofErr w:type="spellStart"/>
      <w:r w:rsidR="00270FA0">
        <w:t>lispro</w:t>
      </w:r>
      <w:proofErr w:type="spellEnd"/>
      <w:r w:rsidR="00270FA0">
        <w:t>.</w:t>
      </w:r>
    </w:p>
    <w:p w:rsidR="00AE090E" w:rsidRDefault="00AE090E" w:rsidP="007311A4">
      <w:pPr>
        <w:pStyle w:val="ListBullet"/>
      </w:pPr>
      <w:r w:rsidRPr="00FE4E25">
        <w:t xml:space="preserve">To compare LY2963016 relative to </w:t>
      </w:r>
      <w:r w:rsidR="00127BD9">
        <w:t>Lantus</w:t>
      </w:r>
      <w:r w:rsidRPr="00FE4E25">
        <w:rPr>
          <w:vertAlign w:val="superscript"/>
        </w:rPr>
        <w:t>®</w:t>
      </w:r>
      <w:r w:rsidRPr="00FE4E25">
        <w:t xml:space="preserve"> for other efficacy variables (eg, change in HbA1c at 6 weeks, 12 weeks, 36 weeks, and 52 weeks; 7-point self-monitored blood glucose [SMBG] profiles; percentage of patients with HbA1c &lt;7%, percentage</w:t>
      </w:r>
      <w:r w:rsidR="00270FA0">
        <w:t xml:space="preserve"> of patients with HbA1c ≤6.5%).</w:t>
      </w:r>
    </w:p>
    <w:p w:rsidR="00AE090E" w:rsidRDefault="00AE090E" w:rsidP="007311A4">
      <w:pPr>
        <w:pStyle w:val="ListBullet"/>
      </w:pPr>
      <w:r w:rsidRPr="00FB127D">
        <w:t xml:space="preserve">To compare LY2963016 relative to </w:t>
      </w:r>
      <w:r w:rsidR="00127BD9">
        <w:t>Lantus</w:t>
      </w:r>
      <w:r w:rsidRPr="00FB127D">
        <w:rPr>
          <w:vertAlign w:val="superscript"/>
        </w:rPr>
        <w:t>®</w:t>
      </w:r>
      <w:r w:rsidRPr="00FB127D">
        <w:t xml:space="preserve"> with regard to </w:t>
      </w:r>
      <w:proofErr w:type="spellStart"/>
      <w:r w:rsidRPr="00FB127D">
        <w:t>intrapatient</w:t>
      </w:r>
      <w:proofErr w:type="spellEnd"/>
      <w:r w:rsidRPr="00FB127D">
        <w:t xml:space="preserve"> blood-glucose (BG) variability; basal and prandial (separately and as total daily) insulin dose; and weight when used in combinatio</w:t>
      </w:r>
      <w:r w:rsidR="00270FA0">
        <w:t xml:space="preserve">n with pre-meal insulin </w:t>
      </w:r>
      <w:proofErr w:type="spellStart"/>
      <w:r w:rsidR="00270FA0">
        <w:t>lispro</w:t>
      </w:r>
      <w:proofErr w:type="spellEnd"/>
      <w:r w:rsidR="00270FA0">
        <w:t>.</w:t>
      </w:r>
    </w:p>
    <w:p w:rsidR="00AE090E" w:rsidRDefault="00AE090E" w:rsidP="007311A4">
      <w:pPr>
        <w:pStyle w:val="ListBullet"/>
      </w:pPr>
      <w:r w:rsidRPr="00FB127D">
        <w:t xml:space="preserve">To test the hypothesis that </w:t>
      </w:r>
      <w:r w:rsidR="00127BD9">
        <w:t>Lantus</w:t>
      </w:r>
      <w:r w:rsidRPr="00FB127D">
        <w:rPr>
          <w:vertAlign w:val="superscript"/>
        </w:rPr>
        <w:t>®</w:t>
      </w:r>
      <w:r w:rsidRPr="00FB127D">
        <w:t xml:space="preserve"> was </w:t>
      </w:r>
      <w:r w:rsidR="005B41AF">
        <w:t>non-inferior</w:t>
      </w:r>
      <w:r w:rsidRPr="00FB127D">
        <w:t xml:space="preserve"> to LY2963016, as measured by change in HbA1c from baseline to 24 weeks, when used in combination with</w:t>
      </w:r>
      <w:r w:rsidR="00270FA0">
        <w:t xml:space="preserve"> pre-meal insulin </w:t>
      </w:r>
      <w:proofErr w:type="spellStart"/>
      <w:r w:rsidR="00270FA0">
        <w:t>lispro</w:t>
      </w:r>
      <w:proofErr w:type="spellEnd"/>
      <w:r w:rsidR="00270FA0">
        <w:t xml:space="preserve"> (TID).</w:t>
      </w:r>
    </w:p>
    <w:p w:rsidR="00AE090E" w:rsidRPr="00FB127D" w:rsidRDefault="00AE090E" w:rsidP="007311A4">
      <w:pPr>
        <w:pStyle w:val="ListBullet"/>
      </w:pPr>
      <w:r w:rsidRPr="00FB127D">
        <w:t xml:space="preserve">To compare patient-reported outcomes (PROs) as measured by responses to the Adult Low Blood Sugar Survey (ALBSS) and the Insulin Treatment Satisfaction Questionnaire (ITSQ) between LY2963016 and </w:t>
      </w:r>
      <w:r w:rsidR="00127BD9">
        <w:t>Lantus</w:t>
      </w:r>
      <w:r w:rsidRPr="00FB127D">
        <w:rPr>
          <w:vertAlign w:val="superscript"/>
        </w:rPr>
        <w:t>®</w:t>
      </w:r>
      <w:r w:rsidRPr="00FB127D">
        <w:t>.</w:t>
      </w:r>
      <w:r w:rsidR="00127BD9">
        <w:t>’</w:t>
      </w:r>
    </w:p>
    <w:p w:rsidR="00AE090E" w:rsidRPr="004B259C" w:rsidRDefault="00AE090E" w:rsidP="009E282D">
      <w:pPr>
        <w:pStyle w:val="Heading6"/>
      </w:pPr>
      <w:r w:rsidRPr="004B259C">
        <w:lastRenderedPageBreak/>
        <w:t xml:space="preserve">Randomisation </w:t>
      </w:r>
      <w:r w:rsidRPr="009E282D">
        <w:t>and</w:t>
      </w:r>
      <w:r w:rsidRPr="004B259C">
        <w:t xml:space="preserve"> blinding methods</w:t>
      </w:r>
    </w:p>
    <w:p w:rsidR="00AE090E" w:rsidRPr="007311A4" w:rsidRDefault="00AE090E" w:rsidP="00AE090E">
      <w:pPr>
        <w:rPr>
          <w:i/>
        </w:rPr>
      </w:pPr>
      <w:r w:rsidRPr="007311A4">
        <w:rPr>
          <w:i/>
        </w:rPr>
        <w:t>Randomisation:</w:t>
      </w:r>
    </w:p>
    <w:p w:rsidR="00AE090E" w:rsidRDefault="00AE090E" w:rsidP="007311A4">
      <w:pPr>
        <w:ind w:left="284" w:hanging="284"/>
      </w:pPr>
      <w:r>
        <w:t>The randomisation method appears to have been quite similar to that of Study ABEC.</w:t>
      </w:r>
      <w:r w:rsidR="009F388C">
        <w:t xml:space="preserve"> </w:t>
      </w:r>
      <w:r w:rsidRPr="00413C8B">
        <w:t xml:space="preserve">As per the Protocol’s description, </w:t>
      </w:r>
      <w:r w:rsidR="00127BD9">
        <w:t>‘</w:t>
      </w:r>
      <w:r w:rsidRPr="007311A4">
        <w:rPr>
          <w:i/>
        </w:rPr>
        <w:t>At Visit 1, patients will be assigned a patient number, and at Visit 2, those who are eligible to participate in the study will be assigned to 1 of the 2 treatment arms by stratified randomization via telephone-directed random assignment using the interactive voice response system.</w:t>
      </w:r>
      <w:r w:rsidR="009F388C" w:rsidRPr="007311A4">
        <w:rPr>
          <w:i/>
        </w:rPr>
        <w:t xml:space="preserve"> </w:t>
      </w:r>
      <w:r w:rsidRPr="007311A4">
        <w:rPr>
          <w:i/>
        </w:rPr>
        <w:t>To achieve between-treatment group comparability, patients will be stratified by country, Visit 1 HbA1c value (&lt;8.5%, ≥8.5%), and time of basal insulin injection (daytime, evening/bedtime).</w:t>
      </w:r>
      <w:r w:rsidR="00127BD9">
        <w:t>’</w:t>
      </w:r>
    </w:p>
    <w:p w:rsidR="00AE090E" w:rsidRDefault="00AE090E" w:rsidP="00AE090E">
      <w:r>
        <w:t>The randomisation scheme and codes were submitted.</w:t>
      </w:r>
    </w:p>
    <w:p w:rsidR="00AE090E" w:rsidRPr="007311A4" w:rsidRDefault="00270FA0" w:rsidP="00AE090E">
      <w:pPr>
        <w:rPr>
          <w:i/>
        </w:rPr>
      </w:pPr>
      <w:r>
        <w:rPr>
          <w:i/>
        </w:rPr>
        <w:t>Blinding:</w:t>
      </w:r>
    </w:p>
    <w:p w:rsidR="00AD0CFC" w:rsidRDefault="00270FA0" w:rsidP="007311A4">
      <w:pPr>
        <w:ind w:left="284" w:hanging="284"/>
      </w:pPr>
      <w:r>
        <w:t>The applicant stated,</w:t>
      </w:r>
    </w:p>
    <w:p w:rsidR="00AE090E" w:rsidRDefault="00127BD9" w:rsidP="00F36650">
      <w:pPr>
        <w:ind w:left="284"/>
      </w:pPr>
      <w:r>
        <w:t>‘</w:t>
      </w:r>
      <w:r w:rsidR="00AE090E" w:rsidRPr="007311A4">
        <w:rPr>
          <w:i/>
        </w:rPr>
        <w:t>The blinding of pens for this trial was not possible due to the proprietary considerations and distinctiveness of the container-closure systems and the pens. Furthermore, the majority of insulin users worldwide use pen devices (</w:t>
      </w:r>
      <w:proofErr w:type="spellStart"/>
      <w:r w:rsidR="00AE090E" w:rsidRPr="007311A4">
        <w:rPr>
          <w:i/>
        </w:rPr>
        <w:t>Perfetti</w:t>
      </w:r>
      <w:proofErr w:type="spellEnd"/>
      <w:r w:rsidR="00AE090E" w:rsidRPr="007311A4">
        <w:rPr>
          <w:i/>
        </w:rPr>
        <w:t xml:space="preserve"> 2010)</w:t>
      </w:r>
      <w:r>
        <w:t>’</w:t>
      </w:r>
      <w:r w:rsidR="00AE090E">
        <w:t xml:space="preserve"> [Study report pp. 37-38/4817].</w:t>
      </w:r>
    </w:p>
    <w:p w:rsidR="00AE090E" w:rsidRPr="00850CE4" w:rsidRDefault="00AE090E" w:rsidP="00270FA0">
      <w:pPr>
        <w:ind w:left="720"/>
      </w:pPr>
      <w:r w:rsidRPr="00E53718">
        <w:rPr>
          <w:b/>
        </w:rPr>
        <w:t>Comment</w:t>
      </w:r>
      <w:r w:rsidRPr="00850CE4">
        <w:t>: The applicant did not say why vials and syringes could not be used, as in Study ABEC which included many insulin naïve subjects.</w:t>
      </w:r>
      <w:r w:rsidR="009F388C">
        <w:t xml:space="preserve"> </w:t>
      </w:r>
      <w:r w:rsidRPr="00850CE4">
        <w:t xml:space="preserve">The rationale about frequent use of pens would have been more appropriate to a consumer acceptance testing programme than to a </w:t>
      </w:r>
      <w:r w:rsidR="00216E0E">
        <w:t>Phase III</w:t>
      </w:r>
      <w:r w:rsidRPr="00850CE4">
        <w:t xml:space="preserve"> efficacy and safety study.</w:t>
      </w:r>
    </w:p>
    <w:p w:rsidR="00AE090E" w:rsidRDefault="00AE090E" w:rsidP="007311A4">
      <w:pPr>
        <w:pStyle w:val="Heading6"/>
      </w:pPr>
      <w:r w:rsidRPr="007311A4">
        <w:t>Analysis</w:t>
      </w:r>
      <w:r>
        <w:t xml:space="preserve"> populations</w:t>
      </w:r>
    </w:p>
    <w:p w:rsidR="00AE090E" w:rsidRDefault="00AE090E" w:rsidP="007311A4">
      <w:r>
        <w:t>The analytical plan was not submitted.</w:t>
      </w:r>
      <w:r w:rsidR="009F388C">
        <w:t xml:space="preserve"> </w:t>
      </w:r>
      <w:r>
        <w:t>The definitions used were apparently aligned with those of Study ABEC, so they will not be repeated here.</w:t>
      </w:r>
    </w:p>
    <w:p w:rsidR="00AE090E" w:rsidRDefault="00AE090E" w:rsidP="007311A4">
      <w:r>
        <w:t>The analysis populations included FAS and PP, similar to Study ABEC and both were s</w:t>
      </w:r>
      <w:r w:rsidR="00270FA0">
        <w:t>ubject to statistical analyses.</w:t>
      </w:r>
    </w:p>
    <w:p w:rsidR="00AE090E" w:rsidRPr="004B259C" w:rsidDel="0081373E" w:rsidRDefault="00AE090E" w:rsidP="007311A4">
      <w:pPr>
        <w:pStyle w:val="Heading6"/>
      </w:pPr>
      <w:r w:rsidRPr="004B259C" w:rsidDel="0081373E">
        <w:t>Sample size</w:t>
      </w:r>
    </w:p>
    <w:p w:rsidR="00AE090E" w:rsidRDefault="00AE090E" w:rsidP="007311A4">
      <w:pPr>
        <w:autoSpaceDE w:val="0"/>
        <w:autoSpaceDN w:val="0"/>
        <w:adjustRightInd w:val="0"/>
        <w:ind w:left="284" w:hanging="284"/>
      </w:pPr>
      <w:r>
        <w:t xml:space="preserve">As stated in the Module 5 Study Report, the study exceeded the a priori sample size calculations, </w:t>
      </w:r>
      <w:r w:rsidR="00127BD9">
        <w:t>‘</w:t>
      </w:r>
      <w:r w:rsidRPr="007311A4">
        <w:rPr>
          <w:i/>
        </w:rPr>
        <w:t xml:space="preserve">Based on the primary objective, to show </w:t>
      </w:r>
      <w:r w:rsidR="005B41AF">
        <w:rPr>
          <w:i/>
        </w:rPr>
        <w:t>non-inferiority</w:t>
      </w:r>
      <w:r w:rsidRPr="007311A4">
        <w:rPr>
          <w:i/>
        </w:rPr>
        <w:t xml:space="preserve"> of LY2963016 to </w:t>
      </w:r>
      <w:r w:rsidR="00127BD9" w:rsidRPr="007311A4">
        <w:rPr>
          <w:i/>
        </w:rPr>
        <w:t>Lantus</w:t>
      </w:r>
      <w:r w:rsidRPr="007311A4">
        <w:rPr>
          <w:i/>
          <w:vertAlign w:val="superscript"/>
        </w:rPr>
        <w:t>®</w:t>
      </w:r>
      <w:r w:rsidRPr="007311A4">
        <w:rPr>
          <w:i/>
        </w:rPr>
        <w:t xml:space="preserve"> at the 0.4% </w:t>
      </w:r>
      <w:r w:rsidR="005B41AF">
        <w:rPr>
          <w:i/>
        </w:rPr>
        <w:t>non-inferiority</w:t>
      </w:r>
      <w:r w:rsidRPr="007311A4">
        <w:rPr>
          <w:i/>
        </w:rPr>
        <w:t xml:space="preserve"> margin, 184 (368 total) completers per arm were needed at 24 weeks.</w:t>
      </w:r>
      <w:r w:rsidR="009F388C" w:rsidRPr="007311A4">
        <w:rPr>
          <w:i/>
        </w:rPr>
        <w:t xml:space="preserve"> </w:t>
      </w:r>
      <w:r w:rsidRPr="007311A4">
        <w:rPr>
          <w:i/>
        </w:rPr>
        <w:t xml:space="preserve">This calculation assumed no treatment difference in HbA1c between LY2963016 and </w:t>
      </w:r>
      <w:r w:rsidR="00127BD9" w:rsidRPr="007311A4">
        <w:rPr>
          <w:i/>
        </w:rPr>
        <w:t>Lantus</w:t>
      </w:r>
      <w:r w:rsidRPr="007311A4">
        <w:rPr>
          <w:i/>
          <w:vertAlign w:val="superscript"/>
        </w:rPr>
        <w:t>®</w:t>
      </w:r>
      <w:r w:rsidRPr="007311A4">
        <w:rPr>
          <w:i/>
        </w:rPr>
        <w:t xml:space="preserve">, common SD of 0.884% for change from baseline in HbA1c, </w:t>
      </w:r>
      <w:proofErr w:type="gramStart"/>
      <w:r w:rsidRPr="007311A4">
        <w:rPr>
          <w:i/>
        </w:rPr>
        <w:t>0.05 two-sided significance level,</w:t>
      </w:r>
      <w:proofErr w:type="gramEnd"/>
      <w:r w:rsidRPr="007311A4">
        <w:rPr>
          <w:i/>
        </w:rPr>
        <w:t xml:space="preserve"> and over 99% power. Assuming a 15% drop-out rate at 24 weeks, the required number of randomized patients was 216 per arm (432 </w:t>
      </w:r>
      <w:proofErr w:type="gramStart"/>
      <w:r w:rsidRPr="007311A4">
        <w:rPr>
          <w:i/>
        </w:rPr>
        <w:t>total</w:t>
      </w:r>
      <w:proofErr w:type="gramEnd"/>
      <w:r w:rsidRPr="007311A4">
        <w:rPr>
          <w:i/>
        </w:rPr>
        <w:t xml:space="preserve">). The same sample size was needed to show </w:t>
      </w:r>
      <w:r w:rsidR="005B41AF">
        <w:rPr>
          <w:i/>
        </w:rPr>
        <w:t>non-inferiority</w:t>
      </w:r>
      <w:r w:rsidRPr="007311A4">
        <w:rPr>
          <w:i/>
        </w:rPr>
        <w:t xml:space="preserve"> of LY2963016 to </w:t>
      </w:r>
      <w:r w:rsidR="00127BD9" w:rsidRPr="007311A4">
        <w:rPr>
          <w:i/>
        </w:rPr>
        <w:t>Lantus</w:t>
      </w:r>
      <w:r w:rsidRPr="007311A4">
        <w:rPr>
          <w:i/>
        </w:rPr>
        <w:t xml:space="preserve">® at the 0.3% </w:t>
      </w:r>
      <w:r w:rsidR="005B41AF">
        <w:rPr>
          <w:i/>
        </w:rPr>
        <w:t>non-inferiority</w:t>
      </w:r>
      <w:r w:rsidRPr="007311A4">
        <w:rPr>
          <w:i/>
        </w:rPr>
        <w:t xml:space="preserve"> margin with 90% power</w:t>
      </w:r>
      <w:r>
        <w:t>.</w:t>
      </w:r>
      <w:r w:rsidR="00127BD9">
        <w:t>’</w:t>
      </w:r>
    </w:p>
    <w:p w:rsidR="00AE090E" w:rsidRPr="00850CE4" w:rsidRDefault="00AE090E" w:rsidP="00270FA0">
      <w:pPr>
        <w:ind w:left="720"/>
      </w:pPr>
      <w:r w:rsidRPr="00E53718">
        <w:rPr>
          <w:b/>
        </w:rPr>
        <w:t>Comment</w:t>
      </w:r>
      <w:r w:rsidRPr="00850CE4">
        <w:t>: As is shown below in Patient Flow/Disposition, the completion rate to 24 weeks was a remarkable 95%. The study was therefore adequately powered in terms of the original sample size calculations. There could have been no significant difference between the PP and FAS analyses in this circumstance.</w:t>
      </w:r>
    </w:p>
    <w:p w:rsidR="00AE090E" w:rsidRPr="004B259C" w:rsidRDefault="00AE090E" w:rsidP="007311A4">
      <w:pPr>
        <w:pStyle w:val="Heading6"/>
      </w:pPr>
      <w:r w:rsidRPr="004B259C">
        <w:t>Statistical methods</w:t>
      </w:r>
    </w:p>
    <w:p w:rsidR="00AE090E" w:rsidRDefault="00AE090E" w:rsidP="00AE090E">
      <w:pPr>
        <w:autoSpaceDE w:val="0"/>
        <w:autoSpaceDN w:val="0"/>
        <w:adjustRightInd w:val="0"/>
      </w:pPr>
      <w:r w:rsidRPr="00FB127D">
        <w:t>The statistical analysis plan was not submitted</w:t>
      </w:r>
      <w:r>
        <w:t>.</w:t>
      </w:r>
    </w:p>
    <w:p w:rsidR="00AE090E" w:rsidRDefault="00AE090E" w:rsidP="007311A4">
      <w:pPr>
        <w:autoSpaceDE w:val="0"/>
        <w:autoSpaceDN w:val="0"/>
        <w:adjustRightInd w:val="0"/>
        <w:ind w:left="284" w:hanging="284"/>
      </w:pPr>
      <w:r>
        <w:t>However, the statistical analyses were similar to those used in Study ABEC.</w:t>
      </w:r>
      <w:r w:rsidR="009F388C">
        <w:t xml:space="preserve"> </w:t>
      </w:r>
      <w:r>
        <w:t xml:space="preserve"> In regard to the primary endpoint, </w:t>
      </w:r>
      <w:r w:rsidR="00127BD9">
        <w:t>‘</w:t>
      </w:r>
      <w:r w:rsidRPr="007311A4">
        <w:rPr>
          <w:i/>
        </w:rPr>
        <w:t xml:space="preserve">The primary treatment comparison was to compare LY2963016 versus </w:t>
      </w:r>
      <w:r w:rsidR="00127BD9" w:rsidRPr="007311A4">
        <w:rPr>
          <w:i/>
        </w:rPr>
        <w:t>Lantus</w:t>
      </w:r>
      <w:r w:rsidRPr="007311A4">
        <w:rPr>
          <w:i/>
          <w:vertAlign w:val="superscript"/>
        </w:rPr>
        <w:t>®</w:t>
      </w:r>
      <w:r w:rsidRPr="007311A4">
        <w:rPr>
          <w:i/>
        </w:rPr>
        <w:t xml:space="preserve"> at the </w:t>
      </w:r>
      <w:r w:rsidR="005B41AF">
        <w:rPr>
          <w:i/>
        </w:rPr>
        <w:t>non-inferiority</w:t>
      </w:r>
      <w:r w:rsidRPr="007311A4">
        <w:rPr>
          <w:i/>
        </w:rPr>
        <w:t xml:space="preserve"> margin of 0.4%. </w:t>
      </w:r>
      <w:r w:rsidR="005B41AF">
        <w:rPr>
          <w:i/>
        </w:rPr>
        <w:t>Non-inferiority</w:t>
      </w:r>
      <w:r w:rsidRPr="007311A4">
        <w:rPr>
          <w:i/>
        </w:rPr>
        <w:t xml:space="preserve"> of LY2963016 to </w:t>
      </w:r>
      <w:r w:rsidR="00127BD9" w:rsidRPr="007311A4">
        <w:rPr>
          <w:i/>
        </w:rPr>
        <w:t>Lantus</w:t>
      </w:r>
      <w:r w:rsidRPr="007311A4">
        <w:rPr>
          <w:i/>
          <w:vertAlign w:val="superscript"/>
        </w:rPr>
        <w:t>®</w:t>
      </w:r>
      <w:r w:rsidRPr="007311A4">
        <w:rPr>
          <w:i/>
        </w:rPr>
        <w:t xml:space="preserve"> was declared if the upper limit of the 95% CI for the treatment difference in change in HbA1c from baseline to the 24-week endpoint was less than 0.4%. If the 0.4% </w:t>
      </w:r>
      <w:r w:rsidR="005B41AF">
        <w:rPr>
          <w:i/>
        </w:rPr>
        <w:t>non-inferiority</w:t>
      </w:r>
      <w:r w:rsidRPr="007311A4">
        <w:rPr>
          <w:i/>
        </w:rPr>
        <w:t xml:space="preserve"> margin was met, then the upper limit of the 95% CI was compared to the 0.3% </w:t>
      </w:r>
      <w:r w:rsidR="005B41AF">
        <w:rPr>
          <w:i/>
        </w:rPr>
        <w:t>non-inferiority</w:t>
      </w:r>
      <w:r w:rsidRPr="007311A4">
        <w:rPr>
          <w:i/>
        </w:rPr>
        <w:t xml:space="preserve"> margin.</w:t>
      </w:r>
      <w:r w:rsidR="009F388C" w:rsidRPr="007311A4">
        <w:rPr>
          <w:i/>
        </w:rPr>
        <w:t xml:space="preserve"> </w:t>
      </w:r>
      <w:r w:rsidRPr="007311A4">
        <w:rPr>
          <w:i/>
        </w:rPr>
        <w:t>This gate-keeping procedure controlled the family-wise type 1 error rate at a 1-sided 0.025 level.</w:t>
      </w:r>
      <w:r w:rsidR="009F388C" w:rsidRPr="007311A4">
        <w:rPr>
          <w:i/>
        </w:rPr>
        <w:t xml:space="preserve"> </w:t>
      </w:r>
      <w:r w:rsidRPr="007311A4">
        <w:rPr>
          <w:i/>
        </w:rPr>
        <w:t xml:space="preserve">A </w:t>
      </w:r>
      <w:r w:rsidRPr="007311A4">
        <w:rPr>
          <w:i/>
        </w:rPr>
        <w:lastRenderedPageBreak/>
        <w:t xml:space="preserve">key secondary treatment comparison was to compare </w:t>
      </w:r>
      <w:r w:rsidR="00127BD9" w:rsidRPr="007311A4">
        <w:rPr>
          <w:i/>
        </w:rPr>
        <w:t>Lantus</w:t>
      </w:r>
      <w:r w:rsidRPr="007311A4">
        <w:rPr>
          <w:i/>
          <w:vertAlign w:val="superscript"/>
        </w:rPr>
        <w:t>®</w:t>
      </w:r>
      <w:r w:rsidRPr="007311A4">
        <w:rPr>
          <w:i/>
        </w:rPr>
        <w:t xml:space="preserve"> versus LY2963016 at the </w:t>
      </w:r>
      <w:r w:rsidR="005B41AF">
        <w:rPr>
          <w:i/>
        </w:rPr>
        <w:t>non-inferiority</w:t>
      </w:r>
      <w:r w:rsidRPr="007311A4">
        <w:rPr>
          <w:i/>
        </w:rPr>
        <w:t xml:space="preserve"> margin of -0.4%. </w:t>
      </w:r>
      <w:r w:rsidR="005B41AF">
        <w:rPr>
          <w:i/>
        </w:rPr>
        <w:t>Non-inferiority</w:t>
      </w:r>
      <w:r w:rsidRPr="007311A4">
        <w:rPr>
          <w:i/>
        </w:rPr>
        <w:t xml:space="preserve"> of </w:t>
      </w:r>
      <w:r w:rsidR="00127BD9" w:rsidRPr="007311A4">
        <w:rPr>
          <w:i/>
        </w:rPr>
        <w:t>Lantus</w:t>
      </w:r>
      <w:r w:rsidRPr="007311A4">
        <w:rPr>
          <w:i/>
          <w:vertAlign w:val="superscript"/>
        </w:rPr>
        <w:t>®</w:t>
      </w:r>
      <w:r w:rsidRPr="007311A4">
        <w:rPr>
          <w:i/>
        </w:rPr>
        <w:t xml:space="preserve"> to LY2963016 was declared if the lower limit of the 95% CI for the treatment difference in change in HbA1c from baseline to the 24-week endpoint was greater than -0.4%. If LY2963016 was declared </w:t>
      </w:r>
      <w:r w:rsidR="005B41AF">
        <w:rPr>
          <w:i/>
        </w:rPr>
        <w:t>non-inferior</w:t>
      </w:r>
      <w:r w:rsidRPr="007311A4">
        <w:rPr>
          <w:i/>
        </w:rPr>
        <w:t xml:space="preserve"> to </w:t>
      </w:r>
      <w:r w:rsidR="00127BD9" w:rsidRPr="007311A4">
        <w:rPr>
          <w:i/>
        </w:rPr>
        <w:t>Lantus</w:t>
      </w:r>
      <w:r w:rsidRPr="007311A4">
        <w:rPr>
          <w:i/>
          <w:vertAlign w:val="superscript"/>
        </w:rPr>
        <w:t>®</w:t>
      </w:r>
      <w:r w:rsidRPr="007311A4">
        <w:rPr>
          <w:i/>
        </w:rPr>
        <w:t xml:space="preserve"> in the primary treatment comparison, and </w:t>
      </w:r>
      <w:r w:rsidR="00127BD9" w:rsidRPr="007311A4">
        <w:rPr>
          <w:i/>
        </w:rPr>
        <w:t>Lantus</w:t>
      </w:r>
      <w:r w:rsidRPr="007311A4">
        <w:rPr>
          <w:i/>
          <w:vertAlign w:val="superscript"/>
        </w:rPr>
        <w:t>®</w:t>
      </w:r>
      <w:r w:rsidRPr="007311A4">
        <w:rPr>
          <w:i/>
        </w:rPr>
        <w:t xml:space="preserve"> was declared </w:t>
      </w:r>
      <w:r w:rsidR="005B41AF">
        <w:rPr>
          <w:i/>
        </w:rPr>
        <w:t>non-inferior</w:t>
      </w:r>
      <w:r w:rsidRPr="007311A4">
        <w:rPr>
          <w:i/>
        </w:rPr>
        <w:t xml:space="preserve"> to LY2963016 in the secondary treatment comparison, then LY2963016 was considered to have equivalent efficacy as </w:t>
      </w:r>
      <w:r w:rsidR="00127BD9" w:rsidRPr="007311A4">
        <w:rPr>
          <w:i/>
        </w:rPr>
        <w:t>Lantus</w:t>
      </w:r>
      <w:r w:rsidRPr="007311A4">
        <w:rPr>
          <w:i/>
          <w:vertAlign w:val="superscript"/>
        </w:rPr>
        <w:t>®</w:t>
      </w:r>
      <w:r w:rsidRPr="002661F0">
        <w:t>.</w:t>
      </w:r>
      <w:r w:rsidR="00127BD9">
        <w:t>’</w:t>
      </w:r>
    </w:p>
    <w:p w:rsidR="00AE090E" w:rsidRPr="00850CE4" w:rsidRDefault="00AE090E" w:rsidP="00270FA0">
      <w:pPr>
        <w:ind w:left="720"/>
      </w:pPr>
      <w:r w:rsidRPr="00F36650">
        <w:rPr>
          <w:b/>
        </w:rPr>
        <w:t>Comment</w:t>
      </w:r>
      <w:r w:rsidRPr="00850CE4">
        <w:t>: the statistical analyses for the primary endpoint were in accord with the guidelines and advice of the EMA and the FDA. Full details and the rationale were not submitted. There were numerous secondary endpoints and subgroup analyses for which multiplicity was not controlled.</w:t>
      </w:r>
    </w:p>
    <w:p w:rsidR="00AE090E" w:rsidRPr="004B259C" w:rsidRDefault="00AE090E" w:rsidP="007311A4">
      <w:pPr>
        <w:pStyle w:val="Heading6"/>
      </w:pPr>
      <w:r w:rsidRPr="004B259C">
        <w:t>Participant flow</w:t>
      </w:r>
    </w:p>
    <w:p w:rsidR="007311A4" w:rsidRDefault="00AE090E" w:rsidP="007311A4">
      <w:pPr>
        <w:ind w:left="284" w:hanging="284"/>
      </w:pPr>
      <w:r w:rsidRPr="001D7DFE">
        <w:t xml:space="preserve">As stated in the Module 5 Study report, page 107/4817, </w:t>
      </w:r>
      <w:r w:rsidR="00127BD9">
        <w:t>‘</w:t>
      </w:r>
      <w:r w:rsidRPr="007311A4">
        <w:rPr>
          <w:i/>
        </w:rPr>
        <w:t xml:space="preserve">A total of 535 patients (LY2963016: 268; </w:t>
      </w:r>
      <w:r w:rsidR="00127BD9" w:rsidRPr="007311A4">
        <w:rPr>
          <w:i/>
        </w:rPr>
        <w:t>Lantus</w:t>
      </w:r>
      <w:r w:rsidRPr="007311A4">
        <w:rPr>
          <w:i/>
        </w:rPr>
        <w:t>®: 267) were randomized and received at least 1 dose of study drug (FAS population)</w:t>
      </w:r>
      <w:r w:rsidRPr="001D7DFE">
        <w:t>.</w:t>
      </w:r>
      <w:r w:rsidR="00127BD9">
        <w:t>’</w:t>
      </w:r>
    </w:p>
    <w:p w:rsidR="00AE090E" w:rsidRDefault="00AE090E" w:rsidP="00AE090E">
      <w:r>
        <w:t>The study had a remarkable completion rate to 24 weeks – 95%.</w:t>
      </w:r>
    </w:p>
    <w:p w:rsidR="00AE090E" w:rsidRDefault="00AE090E" w:rsidP="007311A4">
      <w:pPr>
        <w:pStyle w:val="Heading6"/>
      </w:pPr>
      <w:r>
        <w:t>Major protocol violations/deviations</w:t>
      </w:r>
    </w:p>
    <w:p w:rsidR="00AE090E" w:rsidRDefault="00AE090E" w:rsidP="00AE090E">
      <w:pPr>
        <w:autoSpaceDE w:val="0"/>
        <w:autoSpaceDN w:val="0"/>
        <w:adjustRightInd w:val="0"/>
      </w:pPr>
      <w:r>
        <w:t xml:space="preserve">The evaluator is not of the view that </w:t>
      </w:r>
      <w:r w:rsidR="00127BD9">
        <w:t>‘</w:t>
      </w:r>
      <w:r>
        <w:t>major</w:t>
      </w:r>
      <w:r w:rsidR="00127BD9">
        <w:t>’</w:t>
      </w:r>
      <w:r>
        <w:t xml:space="preserve"> protocol violations occurred. </w:t>
      </w:r>
      <w:r w:rsidRPr="00B841AF">
        <w:t xml:space="preserve">In the appendix to the main study report, protocol violations </w:t>
      </w:r>
      <w:r>
        <w:t>we</w:t>
      </w:r>
      <w:r w:rsidRPr="00B841AF">
        <w:t>re listed. They principally comprised study dropouts (26 of 29 violations), one individual with a BMI &gt; 35kg/m</w:t>
      </w:r>
      <w:r w:rsidRPr="007311A4">
        <w:rPr>
          <w:vertAlign w:val="superscript"/>
        </w:rPr>
        <w:t>2</w:t>
      </w:r>
      <w:r w:rsidRPr="00B841AF">
        <w:t xml:space="preserve"> and also one case of pregnancy while on study, and individuals with missing data values.</w:t>
      </w:r>
    </w:p>
    <w:p w:rsidR="00AE090E" w:rsidRPr="004B259C" w:rsidRDefault="00AE090E" w:rsidP="007311A4">
      <w:pPr>
        <w:pStyle w:val="Heading6"/>
      </w:pPr>
      <w:r w:rsidRPr="004B259C">
        <w:t>Baseline data</w:t>
      </w:r>
    </w:p>
    <w:p w:rsidR="00AE090E" w:rsidRPr="007311A4" w:rsidRDefault="00AE090E" w:rsidP="00AE090E">
      <w:pPr>
        <w:rPr>
          <w:i/>
        </w:rPr>
      </w:pPr>
      <w:r w:rsidRPr="007311A4">
        <w:rPr>
          <w:i/>
        </w:rPr>
        <w:t>Demographics:</w:t>
      </w:r>
    </w:p>
    <w:p w:rsidR="00AD0CFC" w:rsidRPr="00AD0CFC" w:rsidRDefault="00AE090E" w:rsidP="00F36650">
      <w:r w:rsidRPr="00AD0CFC">
        <w:t>Overall, patient characteristics were similar between treatment groups. As stated in the Modul</w:t>
      </w:r>
      <w:r w:rsidR="00270FA0">
        <w:t>e5 Study report, page 107/4817,</w:t>
      </w:r>
    </w:p>
    <w:p w:rsidR="00AE090E" w:rsidRDefault="00127BD9" w:rsidP="00F36650">
      <w:pPr>
        <w:ind w:left="284"/>
      </w:pPr>
      <w:r>
        <w:t>‘</w:t>
      </w:r>
      <w:r w:rsidR="00AE090E" w:rsidRPr="007311A4">
        <w:rPr>
          <w:i/>
        </w:rPr>
        <w:t xml:space="preserve">The mean age of patients was 41.16 years, and the mean duration of diabetes was 16.44 years. The majority of patients were White (74.5%), and more than half of the patients were male (57.9%). The mean baseline BMI was </w:t>
      </w:r>
      <w:proofErr w:type="gramStart"/>
      <w:r w:rsidR="00AE090E" w:rsidRPr="007311A4">
        <w:rPr>
          <w:i/>
        </w:rPr>
        <w:t>25.53 kg/m</w:t>
      </w:r>
      <w:r w:rsidR="00AE090E" w:rsidRPr="00E53718">
        <w:rPr>
          <w:i/>
          <w:vertAlign w:val="superscript"/>
        </w:rPr>
        <w:t>2</w:t>
      </w:r>
      <w:r w:rsidR="00AE090E" w:rsidRPr="007311A4">
        <w:rPr>
          <w:i/>
        </w:rPr>
        <w:t>,</w:t>
      </w:r>
      <w:proofErr w:type="gramEnd"/>
      <w:r w:rsidR="00AE090E" w:rsidRPr="007311A4">
        <w:rPr>
          <w:i/>
        </w:rPr>
        <w:t xml:space="preserve"> and the mean HbA1c was 7.77% (LY2963016: 7.75%; </w:t>
      </w:r>
      <w:r w:rsidRPr="007311A4">
        <w:rPr>
          <w:i/>
        </w:rPr>
        <w:t>Lantus</w:t>
      </w:r>
      <w:r w:rsidR="00AE090E" w:rsidRPr="007311A4">
        <w:rPr>
          <w:i/>
        </w:rPr>
        <w:t xml:space="preserve">®: 7.78%). Similar proportions of patients in each treatment group entered the study with HbA1c &lt;8.5% or ≥8.5%, however, significantly more patients entered the study with HbA1c levels &lt;7.0% in the LY2963016 group compared with the </w:t>
      </w:r>
      <w:r w:rsidRPr="007311A4">
        <w:rPr>
          <w:i/>
        </w:rPr>
        <w:t>Lantus</w:t>
      </w:r>
      <w:r w:rsidR="00AE090E" w:rsidRPr="007311A4">
        <w:rPr>
          <w:i/>
        </w:rPr>
        <w:t xml:space="preserve">® group (p=.022). More than 80% of patients in both treatment groups were using </w:t>
      </w:r>
      <w:r w:rsidRPr="007311A4">
        <w:rPr>
          <w:i/>
        </w:rPr>
        <w:t>Lantus</w:t>
      </w:r>
      <w:r w:rsidR="00AE090E" w:rsidRPr="007311A4">
        <w:rPr>
          <w:i/>
        </w:rPr>
        <w:t>® prior to randomization.</w:t>
      </w:r>
      <w:r>
        <w:t>’</w:t>
      </w:r>
    </w:p>
    <w:p w:rsidR="007311A4" w:rsidRDefault="00AE090E" w:rsidP="00270FA0">
      <w:pPr>
        <w:ind w:left="720"/>
      </w:pPr>
      <w:r w:rsidRPr="00E53718">
        <w:rPr>
          <w:b/>
        </w:rPr>
        <w:t>Comment</w:t>
      </w:r>
      <w:r w:rsidRPr="00850CE4">
        <w:t xml:space="preserve">: Matching of the two groups was adequate. </w:t>
      </w:r>
    </w:p>
    <w:p w:rsidR="00AE090E" w:rsidRPr="004B259C" w:rsidRDefault="00AE090E" w:rsidP="007311A4">
      <w:pPr>
        <w:pStyle w:val="Heading6"/>
      </w:pPr>
      <w:r w:rsidRPr="004B259C">
        <w:t>Results for the primary efficacy outcome</w:t>
      </w:r>
    </w:p>
    <w:p w:rsidR="00AE090E" w:rsidRDefault="00AE090E" w:rsidP="00AE090E">
      <w:r>
        <w:t>The inclusion criteria did not require that study participants have well-controlled T1DM.</w:t>
      </w:r>
      <w:r w:rsidR="009F388C">
        <w:t xml:space="preserve"> </w:t>
      </w:r>
      <w:r>
        <w:t xml:space="preserve"> I</w:t>
      </w:r>
      <w:r w:rsidRPr="00BB12F2">
        <w:t xml:space="preserve">n Study ABEB the </w:t>
      </w:r>
      <w:proofErr w:type="spellStart"/>
      <w:r w:rsidR="00216E0E">
        <w:t>Abasria</w:t>
      </w:r>
      <w:proofErr w:type="spellEnd"/>
      <w:r w:rsidRPr="00BB12F2">
        <w:t xml:space="preserve"> and </w:t>
      </w:r>
      <w:r w:rsidR="00127BD9">
        <w:t>Lantus</w:t>
      </w:r>
      <w:r w:rsidRPr="00BB12F2">
        <w:rPr>
          <w:vertAlign w:val="superscript"/>
        </w:rPr>
        <w:t>®</w:t>
      </w:r>
      <w:r w:rsidRPr="00BB12F2">
        <w:t xml:space="preserve"> treatment groups had within-group clinically and statistically significant (p&lt;.001) decreases in LS mean HbA1c values from baseline to endpoint.</w:t>
      </w:r>
    </w:p>
    <w:p w:rsidR="00AE090E" w:rsidRDefault="00AE090E" w:rsidP="00AE090E">
      <w:r>
        <w:t xml:space="preserve">As stated concisely in the Module 5 Study Report, </w:t>
      </w:r>
    </w:p>
    <w:p w:rsidR="00AE090E" w:rsidRPr="007311A4" w:rsidRDefault="00127BD9" w:rsidP="007311A4">
      <w:pPr>
        <w:ind w:left="284"/>
        <w:rPr>
          <w:i/>
        </w:rPr>
      </w:pPr>
      <w:r>
        <w:t>‘</w:t>
      </w:r>
      <w:r w:rsidR="00AE090E" w:rsidRPr="007311A4">
        <w:rPr>
          <w:i/>
        </w:rPr>
        <w:t xml:space="preserve">The primary objective of testing the hypothesis that LY2963016 (QD) is </w:t>
      </w:r>
      <w:r w:rsidR="005B41AF">
        <w:rPr>
          <w:i/>
        </w:rPr>
        <w:t>non-inferior</w:t>
      </w:r>
      <w:r w:rsidR="00AE090E" w:rsidRPr="007311A4">
        <w:rPr>
          <w:i/>
        </w:rPr>
        <w:t xml:space="preserve"> to </w:t>
      </w:r>
      <w:r w:rsidRPr="007311A4">
        <w:rPr>
          <w:i/>
        </w:rPr>
        <w:t>Lantus</w:t>
      </w:r>
      <w:r w:rsidR="00AE090E" w:rsidRPr="007311A4">
        <w:rPr>
          <w:i/>
          <w:vertAlign w:val="superscript"/>
        </w:rPr>
        <w:t>®</w:t>
      </w:r>
      <w:r w:rsidR="00AE090E" w:rsidRPr="007311A4">
        <w:rPr>
          <w:i/>
        </w:rPr>
        <w:t xml:space="preserve"> (QD) based on change in HbA1c from baseline to the 24-week endpoint (LOCF) demonstrated that LY2963016 was </w:t>
      </w:r>
      <w:r w:rsidR="005B41AF">
        <w:rPr>
          <w:i/>
        </w:rPr>
        <w:t>non-inferior</w:t>
      </w:r>
      <w:r w:rsidR="00AE090E" w:rsidRPr="007311A4">
        <w:rPr>
          <w:i/>
        </w:rPr>
        <w:t xml:space="preserve"> to </w:t>
      </w:r>
      <w:r w:rsidRPr="007311A4">
        <w:rPr>
          <w:i/>
        </w:rPr>
        <w:t>Lantus</w:t>
      </w:r>
      <w:r w:rsidR="00AE090E" w:rsidRPr="007311A4">
        <w:rPr>
          <w:i/>
          <w:vertAlign w:val="superscript"/>
        </w:rPr>
        <w:t>®</w:t>
      </w:r>
      <w:r w:rsidR="00AE090E" w:rsidRPr="007311A4">
        <w:rPr>
          <w:i/>
        </w:rPr>
        <w:t xml:space="preserve"> in the primary treatment comparison that tested for </w:t>
      </w:r>
      <w:r w:rsidR="005B41AF">
        <w:rPr>
          <w:i/>
        </w:rPr>
        <w:t>non-inferiority</w:t>
      </w:r>
      <w:r w:rsidR="00AE090E" w:rsidRPr="007311A4">
        <w:rPr>
          <w:i/>
        </w:rPr>
        <w:t xml:space="preserve"> with 0.4% and 0.3% </w:t>
      </w:r>
      <w:r w:rsidR="005B41AF">
        <w:rPr>
          <w:i/>
        </w:rPr>
        <w:t>non-inferiority</w:t>
      </w:r>
      <w:r w:rsidR="00AE090E" w:rsidRPr="007311A4">
        <w:rPr>
          <w:i/>
        </w:rPr>
        <w:t xml:space="preserve"> margins in a gated approach (LS mean difference: 0.106%; 95% CI: -0.005% to 0.217%; FAS patients).</w:t>
      </w:r>
    </w:p>
    <w:p w:rsidR="00AE090E" w:rsidRDefault="00127BD9" w:rsidP="007311A4">
      <w:pPr>
        <w:ind w:left="284"/>
      </w:pPr>
      <w:r w:rsidRPr="007311A4">
        <w:rPr>
          <w:i/>
        </w:rPr>
        <w:t>Lantus</w:t>
      </w:r>
      <w:r w:rsidR="00AE090E" w:rsidRPr="007311A4">
        <w:rPr>
          <w:i/>
          <w:vertAlign w:val="superscript"/>
        </w:rPr>
        <w:t>®</w:t>
      </w:r>
      <w:r w:rsidR="00AE090E" w:rsidRPr="007311A4">
        <w:rPr>
          <w:i/>
        </w:rPr>
        <w:t xml:space="preserve"> was </w:t>
      </w:r>
      <w:r w:rsidR="005B41AF">
        <w:rPr>
          <w:i/>
        </w:rPr>
        <w:t>non-inferior</w:t>
      </w:r>
      <w:r w:rsidR="00AE090E" w:rsidRPr="007311A4">
        <w:rPr>
          <w:i/>
        </w:rPr>
        <w:t xml:space="preserve"> to LY2963016 in the secondary treatment comparison, and therefore LY2963016 and </w:t>
      </w:r>
      <w:r w:rsidRPr="007311A4">
        <w:rPr>
          <w:i/>
        </w:rPr>
        <w:t>Lantus</w:t>
      </w:r>
      <w:r w:rsidR="00AE090E" w:rsidRPr="007311A4">
        <w:rPr>
          <w:i/>
          <w:vertAlign w:val="superscript"/>
        </w:rPr>
        <w:t>®</w:t>
      </w:r>
      <w:r w:rsidR="00AE090E" w:rsidRPr="007311A4">
        <w:rPr>
          <w:i/>
        </w:rPr>
        <w:t xml:space="preserve"> were considered to have equivalent efficacy. Both treatment groups had statistically significant reductions in HbA1c from baseline to endpoint (LOCF) (LS mean </w:t>
      </w:r>
      <w:r w:rsidR="00AE090E" w:rsidRPr="007311A4">
        <w:rPr>
          <w:i/>
        </w:rPr>
        <w:lastRenderedPageBreak/>
        <w:t xml:space="preserve">change: LY2963016, -0.350%, p&lt;.001; </w:t>
      </w:r>
      <w:r w:rsidRPr="007311A4">
        <w:rPr>
          <w:i/>
        </w:rPr>
        <w:t>Lantus</w:t>
      </w:r>
      <w:r w:rsidR="00AE090E" w:rsidRPr="007311A4">
        <w:rPr>
          <w:i/>
          <w:vertAlign w:val="superscript"/>
        </w:rPr>
        <w:t>®</w:t>
      </w:r>
      <w:r w:rsidR="00AE090E" w:rsidRPr="007311A4">
        <w:rPr>
          <w:i/>
        </w:rPr>
        <w:t>, -0.456%, p&lt;.001). The analyses performed on the PP population provided similar results and supported the results based on the FAS population.</w:t>
      </w:r>
      <w:r>
        <w:t>’</w:t>
      </w:r>
    </w:p>
    <w:p w:rsidR="00AE090E" w:rsidRDefault="00AE090E" w:rsidP="00AE090E">
      <w:r>
        <w:t>Therefore, in terms of the objectives of the study and of the statistical plan the study might be said to have satisfied the criteria for non-inferiority. It is certainly true that both groups improved steadily from baseline:</w:t>
      </w:r>
    </w:p>
    <w:p w:rsidR="00AE090E" w:rsidRDefault="00AE090E" w:rsidP="00AE090E">
      <w:r w:rsidRPr="00BB12F2">
        <w:t xml:space="preserve">The trend of </w:t>
      </w:r>
      <w:r>
        <w:t xml:space="preserve">mean HbA1c by treatment group </w:t>
      </w:r>
      <w:r w:rsidRPr="00BB12F2">
        <w:t>results is seen in figure ABEB 11.1, taken from the Module 5 study report:</w:t>
      </w:r>
    </w:p>
    <w:p w:rsidR="00AE090E" w:rsidRPr="00270FA0" w:rsidRDefault="00AE090E" w:rsidP="00270FA0">
      <w:pPr>
        <w:pStyle w:val="FigureTitle"/>
      </w:pPr>
      <w:r w:rsidRPr="00270FA0">
        <w:t xml:space="preserve">Figure </w:t>
      </w:r>
      <w:r w:rsidR="007311A4" w:rsidRPr="00270FA0">
        <w:t xml:space="preserve">7: </w:t>
      </w:r>
      <w:r w:rsidRPr="00270FA0">
        <w:t>ABEB11.1 Study ABEB - HbA1c from baseline by visit to endpoint (LOCF) for the FAS Population</w:t>
      </w:r>
    </w:p>
    <w:p w:rsidR="007311A4" w:rsidRDefault="007311A4" w:rsidP="00270FA0">
      <w:r>
        <w:rPr>
          <w:noProof/>
          <w:lang w:eastAsia="en-AU"/>
        </w:rPr>
        <w:drawing>
          <wp:inline distT="0" distB="0" distL="0" distR="0" wp14:anchorId="7E68DB14" wp14:editId="17A98DA4">
            <wp:extent cx="3702118" cy="3462035"/>
            <wp:effectExtent l="0" t="0" r="0" b="0"/>
            <wp:docPr id="20" name="Picture 20" descr="Figure 7: ABEB11.1 Study ABEB - HbA1c from baseline by visit to endpoint (LOCF) for the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05826" cy="3465502"/>
                    </a:xfrm>
                    <a:prstGeom prst="rect">
                      <a:avLst/>
                    </a:prstGeom>
                  </pic:spPr>
                </pic:pic>
              </a:graphicData>
            </a:graphic>
          </wp:inline>
        </w:drawing>
      </w:r>
    </w:p>
    <w:p w:rsidR="00AE090E" w:rsidRPr="004B259C" w:rsidRDefault="00AE090E" w:rsidP="00270FA0">
      <w:pPr>
        <w:pStyle w:val="Heading6"/>
      </w:pPr>
      <w:r w:rsidRPr="00270FA0">
        <w:t>Results</w:t>
      </w:r>
      <w:r w:rsidRPr="004B259C">
        <w:t xml:space="preserve"> for other efficacy outcomes</w:t>
      </w:r>
    </w:p>
    <w:p w:rsidR="00AE090E" w:rsidRDefault="00AE090E" w:rsidP="00AE090E">
      <w:r w:rsidRPr="002B4E33">
        <w:t>The</w:t>
      </w:r>
      <w:r>
        <w:t xml:space="preserve"> outcomes</w:t>
      </w:r>
      <w:r w:rsidR="009F388C">
        <w:t xml:space="preserve"> </w:t>
      </w:r>
      <w:r w:rsidRPr="007311A4">
        <w:rPr>
          <w:i/>
        </w:rPr>
        <w:t>Change from Baseline in HbA1c at Week 6, Week 12, and Week 24</w:t>
      </w:r>
      <w:r w:rsidRPr="002B4E33">
        <w:t xml:space="preserve"> and the </w:t>
      </w:r>
      <w:r w:rsidRPr="007311A4">
        <w:rPr>
          <w:i/>
        </w:rPr>
        <w:t xml:space="preserve">Patients Achieving HbA1c Target Values </w:t>
      </w:r>
      <w:proofErr w:type="gramStart"/>
      <w:r w:rsidRPr="007311A4">
        <w:rPr>
          <w:i/>
        </w:rPr>
        <w:t>At</w:t>
      </w:r>
      <w:proofErr w:type="gramEnd"/>
      <w:r w:rsidRPr="007311A4">
        <w:rPr>
          <w:i/>
        </w:rPr>
        <w:t xml:space="preserve"> Endpoint</w:t>
      </w:r>
      <w:r w:rsidRPr="002B4E33">
        <w:t xml:space="preserve"> were in line with the primary endpoint – significant declines from baseline values and no difference between treatment groups.</w:t>
      </w:r>
    </w:p>
    <w:p w:rsidR="00AE090E" w:rsidRDefault="00AE090E" w:rsidP="00AE090E">
      <w:r>
        <w:t xml:space="preserve">There were numerous (12) other supportive efficacy outcomes and analyses that were included. </w:t>
      </w:r>
      <w:r w:rsidRPr="00D65D92">
        <w:t>The</w:t>
      </w:r>
      <w:r>
        <w:t>se</w:t>
      </w:r>
      <w:r w:rsidRPr="00D65D92">
        <w:t xml:space="preserve"> numerous supportive efficacy endpoints are of less scientific interest than the primary endpoint.</w:t>
      </w:r>
      <w:r>
        <w:t xml:space="preserve"> A few sporadic statistically significant between group differences were noted at some time points. The evaluator is of the view that these are chance observations and that no clinically important efficacy differences were detected between the treatment groups.</w:t>
      </w:r>
    </w:p>
    <w:p w:rsidR="00AE090E" w:rsidRDefault="00AE090E" w:rsidP="00AE090E">
      <w:r>
        <w:t xml:space="preserve">There </w:t>
      </w:r>
      <w:proofErr w:type="gramStart"/>
      <w:r>
        <w:t>were</w:t>
      </w:r>
      <w:proofErr w:type="gramEnd"/>
      <w:r>
        <w:t xml:space="preserve"> also some </w:t>
      </w:r>
      <w:r w:rsidR="00127BD9">
        <w:t>‘</w:t>
      </w:r>
      <w:r>
        <w:t>Other</w:t>
      </w:r>
      <w:r w:rsidR="00127BD9">
        <w:t>’</w:t>
      </w:r>
      <w:r>
        <w:t xml:space="preserve"> outcomes, comprising the ITSQ and the ALBSS.</w:t>
      </w:r>
      <w:r w:rsidR="009F388C">
        <w:t xml:space="preserve"> </w:t>
      </w:r>
      <w:r w:rsidRPr="00D65D92">
        <w:t xml:space="preserve">No </w:t>
      </w:r>
      <w:r>
        <w:t xml:space="preserve">between group </w:t>
      </w:r>
      <w:r w:rsidRPr="00D65D92">
        <w:t xml:space="preserve">differences were seen in </w:t>
      </w:r>
      <w:r>
        <w:t xml:space="preserve">the </w:t>
      </w:r>
      <w:r w:rsidRPr="00D65D92">
        <w:t>ITSQ and in the ALBSS.</w:t>
      </w:r>
    </w:p>
    <w:p w:rsidR="00216E0E" w:rsidRDefault="00AE090E" w:rsidP="007311A4">
      <w:pPr>
        <w:pStyle w:val="Heading3"/>
      </w:pPr>
      <w:bookmarkStart w:id="178" w:name="_Toc416955631"/>
      <w:bookmarkStart w:id="179" w:name="_Toc378790193"/>
      <w:r w:rsidRPr="003C0A48">
        <w:t>Evaluator’s conclusions on clinical efficacy</w:t>
      </w:r>
      <w:bookmarkEnd w:id="178"/>
    </w:p>
    <w:p w:rsidR="00AE090E" w:rsidRPr="00270FA0" w:rsidRDefault="00AD0CFC" w:rsidP="00270FA0">
      <w:pPr>
        <w:ind w:left="113"/>
        <w:rPr>
          <w:b/>
          <w:i/>
        </w:rPr>
      </w:pPr>
      <w:r w:rsidRPr="00270FA0">
        <w:rPr>
          <w:b/>
          <w:i/>
        </w:rPr>
        <w:t xml:space="preserve">For </w:t>
      </w:r>
      <w:r w:rsidR="00AE090E" w:rsidRPr="00270FA0">
        <w:rPr>
          <w:b/>
          <w:i/>
        </w:rPr>
        <w:t xml:space="preserve">Insulin </w:t>
      </w:r>
      <w:proofErr w:type="spellStart"/>
      <w:r w:rsidR="00AE090E" w:rsidRPr="00270FA0">
        <w:rPr>
          <w:b/>
          <w:i/>
        </w:rPr>
        <w:t>glargine</w:t>
      </w:r>
      <w:proofErr w:type="spellEnd"/>
      <w:r w:rsidR="00AE090E" w:rsidRPr="00270FA0">
        <w:rPr>
          <w:b/>
          <w:i/>
        </w:rPr>
        <w:t xml:space="preserve"> is an insulin analogue indicated for once-daily subcutaneous administration in the treatment of type 1 diabetes mellitus in adults and children and type 2 diabetes mellitus in adults who require insulin for the control of hyperglycaemia.</w:t>
      </w:r>
      <w:bookmarkEnd w:id="179"/>
    </w:p>
    <w:p w:rsidR="00AE090E" w:rsidRDefault="00AE090E" w:rsidP="007311A4">
      <w:r w:rsidRPr="00C50835">
        <w:t>The first indication is subdivided in to adults and children; the second is limited to adults.</w:t>
      </w:r>
    </w:p>
    <w:p w:rsidR="00AE090E" w:rsidRDefault="00AE090E" w:rsidP="007311A4">
      <w:r>
        <w:lastRenderedPageBreak/>
        <w:t>In regard to T1DM, Study ABEB satisfied the requirements of its a priori sample size calculations and analytical plan.</w:t>
      </w:r>
      <w:r w:rsidR="009F388C">
        <w:t xml:space="preserve"> </w:t>
      </w:r>
      <w:r>
        <w:t>It was conducted in the light of advice received from the FDA and from the EMA.</w:t>
      </w:r>
      <w:r w:rsidR="009F388C">
        <w:t xml:space="preserve"> </w:t>
      </w:r>
      <w:r>
        <w:t>The study groups were well-matched.</w:t>
      </w:r>
      <w:r w:rsidR="009F388C">
        <w:t xml:space="preserve"> </w:t>
      </w:r>
      <w:r>
        <w:t>However, Study ABEB was of open label design and it is uncertain as to how much this might have affected the behaviour of investigators in order to achieve similar improvements in both groups against baseline HbA1c readings.</w:t>
      </w:r>
      <w:r w:rsidR="009F388C">
        <w:t xml:space="preserve"> </w:t>
      </w:r>
      <w:r>
        <w:t xml:space="preserve">Within this major limitation, Study ABEB supports </w:t>
      </w:r>
      <w:proofErr w:type="spellStart"/>
      <w:r>
        <w:t>equi</w:t>
      </w:r>
      <w:proofErr w:type="spellEnd"/>
      <w:r>
        <w:t xml:space="preserve">-efficaciousness of </w:t>
      </w:r>
      <w:proofErr w:type="spellStart"/>
      <w:r w:rsidR="00216E0E">
        <w:t>Abasria</w:t>
      </w:r>
      <w:proofErr w:type="spellEnd"/>
      <w:r>
        <w:t xml:space="preserve"> and Lantus as the basal insulin component in the treatment regimen of patients with T1DM.</w:t>
      </w:r>
      <w:r w:rsidR="009F388C">
        <w:t xml:space="preserve"> </w:t>
      </w:r>
      <w:r>
        <w:t>The supportive efficacy outcomes in Study ABEB are of doubtful clinical value.</w:t>
      </w:r>
    </w:p>
    <w:p w:rsidR="00AE090E" w:rsidRDefault="00AE090E" w:rsidP="007311A4">
      <w:r>
        <w:t xml:space="preserve">In regard to T2DM, The evaluator accepts that comparable efficacy to Lantus EU and Lantus US was shown in study </w:t>
      </w:r>
      <w:proofErr w:type="gramStart"/>
      <w:r>
        <w:t>ABEC,</w:t>
      </w:r>
      <w:proofErr w:type="gramEnd"/>
      <w:r>
        <w:t xml:space="preserve"> a study that exceeded the predetermined sample size and that had a modest dropout rate. The results of the study show comparable efficacy – including comparable improvement from baseline in both treatment groups that is comparable also in terms of subgroups of previous Lantus use or insulin-naïve patients. The patient population was reasonably representative of patients with T2DM who require </w:t>
      </w:r>
      <w:proofErr w:type="gramStart"/>
      <w:r>
        <w:t>a basal</w:t>
      </w:r>
      <w:proofErr w:type="gramEnd"/>
      <w:r>
        <w:t xml:space="preserve"> insulin, matching Lantus’ registered indication.</w:t>
      </w:r>
      <w:r w:rsidR="009F388C">
        <w:t xml:space="preserve"> </w:t>
      </w:r>
      <w:r>
        <w:t>It is clear that a large majority of subjects was not tightly controlled at study entry.</w:t>
      </w:r>
    </w:p>
    <w:p w:rsidR="00C22678" w:rsidRDefault="00C22678" w:rsidP="00270FA0">
      <w:pPr>
        <w:pStyle w:val="Heading2"/>
      </w:pPr>
      <w:bookmarkStart w:id="180" w:name="_Toc416955632"/>
      <w:r>
        <w:t>Clinical safety</w:t>
      </w:r>
      <w:bookmarkEnd w:id="180"/>
    </w:p>
    <w:p w:rsidR="00AE090E" w:rsidRPr="004B259C" w:rsidRDefault="00AE090E" w:rsidP="00270FA0">
      <w:pPr>
        <w:pStyle w:val="Heading3"/>
      </w:pPr>
      <w:bookmarkStart w:id="181" w:name="_Toc272414659"/>
      <w:bookmarkStart w:id="182" w:name="_Toc290846284"/>
      <w:bookmarkStart w:id="183" w:name="_Toc378790195"/>
      <w:bookmarkStart w:id="184" w:name="_Toc416955633"/>
      <w:r>
        <w:t>Studies providing evaluable safety data</w:t>
      </w:r>
      <w:bookmarkEnd w:id="181"/>
      <w:bookmarkEnd w:id="182"/>
      <w:bookmarkEnd w:id="183"/>
      <w:bookmarkEnd w:id="184"/>
    </w:p>
    <w:p w:rsidR="00AE090E" w:rsidRDefault="00AE090E" w:rsidP="00AE090E">
      <w:bookmarkStart w:id="185" w:name="_Ref268776745"/>
      <w:r>
        <w:t>The following types of studies provided evaluable safety data:</w:t>
      </w:r>
    </w:p>
    <w:p w:rsidR="00AE090E" w:rsidRPr="007311A4" w:rsidRDefault="00216E0E" w:rsidP="007311A4">
      <w:pPr>
        <w:pStyle w:val="ListBullet"/>
      </w:pPr>
      <w:r w:rsidRPr="007311A4">
        <w:t>Phase I</w:t>
      </w:r>
      <w:r w:rsidR="00AE090E" w:rsidRPr="007311A4">
        <w:t xml:space="preserve"> Studies</w:t>
      </w:r>
    </w:p>
    <w:p w:rsidR="00AE090E" w:rsidRPr="007311A4" w:rsidRDefault="00216E0E" w:rsidP="007311A4">
      <w:pPr>
        <w:pStyle w:val="ListBullet"/>
      </w:pPr>
      <w:r w:rsidRPr="007311A4">
        <w:t>Phase III</w:t>
      </w:r>
      <w:r w:rsidR="00AE090E" w:rsidRPr="007311A4">
        <w:t xml:space="preserve"> Studies</w:t>
      </w:r>
    </w:p>
    <w:p w:rsidR="007311A4" w:rsidRDefault="00AE090E" w:rsidP="00AE090E">
      <w:r w:rsidRPr="007311A4">
        <w:rPr>
          <w:i/>
        </w:rPr>
        <w:t xml:space="preserve">The </w:t>
      </w:r>
      <w:r w:rsidR="00216E0E" w:rsidRPr="007311A4">
        <w:rPr>
          <w:i/>
        </w:rPr>
        <w:t>Phase I</w:t>
      </w:r>
      <w:r w:rsidRPr="007311A4">
        <w:rPr>
          <w:i/>
        </w:rPr>
        <w:t xml:space="preserve"> Studies</w:t>
      </w:r>
      <w:r>
        <w:t xml:space="preserve"> were numerically dominated by the use of healthy volunteers, so most adverse events were procedure related (invasive procedures, intercurrent illnesses, </w:t>
      </w:r>
      <w:proofErr w:type="gramStart"/>
      <w:r>
        <w:t>hypoglycaemia</w:t>
      </w:r>
      <w:proofErr w:type="gramEnd"/>
      <w:r>
        <w:t>).</w:t>
      </w:r>
      <w:r w:rsidR="009F388C">
        <w:t xml:space="preserve"> </w:t>
      </w:r>
      <w:r w:rsidRPr="00AE3AD9">
        <w:t xml:space="preserve">No new safety concerns arose from these </w:t>
      </w:r>
      <w:r w:rsidR="00216E0E">
        <w:t>Phase I</w:t>
      </w:r>
      <w:r w:rsidR="0091043D">
        <w:t xml:space="preserve"> studies.</w:t>
      </w:r>
    </w:p>
    <w:p w:rsidR="00AE090E" w:rsidRDefault="00AE090E" w:rsidP="00AE090E">
      <w:r w:rsidRPr="00AE3AD9">
        <w:t>The erratic absorption of insulin</w:t>
      </w:r>
      <w:r>
        <w:t>,</w:t>
      </w:r>
      <w:r w:rsidRPr="00AE3AD9">
        <w:t xml:space="preserve"> in some individuals in </w:t>
      </w:r>
      <w:r>
        <w:t xml:space="preserve">at least </w:t>
      </w:r>
      <w:r w:rsidRPr="00AE3AD9">
        <w:t>one period of the replicate studies</w:t>
      </w:r>
      <w:r>
        <w:t>,</w:t>
      </w:r>
      <w:r w:rsidRPr="00AE3AD9">
        <w:t xml:space="preserve"> </w:t>
      </w:r>
      <w:r>
        <w:t xml:space="preserve">suggests limits to the reliability of insulin </w:t>
      </w:r>
      <w:proofErr w:type="spellStart"/>
      <w:r>
        <w:t>glargine</w:t>
      </w:r>
      <w:proofErr w:type="spellEnd"/>
      <w:r>
        <w:t xml:space="preserve"> (whether as </w:t>
      </w:r>
      <w:proofErr w:type="spellStart"/>
      <w:r w:rsidR="00216E0E">
        <w:t>Abasria</w:t>
      </w:r>
      <w:proofErr w:type="spellEnd"/>
      <w:r>
        <w:t xml:space="preserve"> or Lantus) as a slow release pharmaceutical</w:t>
      </w:r>
      <w:r w:rsidRPr="00AE3AD9">
        <w:t>.</w:t>
      </w:r>
    </w:p>
    <w:p w:rsidR="007311A4" w:rsidRDefault="00AE090E" w:rsidP="00AE090E">
      <w:r w:rsidRPr="007311A4">
        <w:rPr>
          <w:i/>
        </w:rPr>
        <w:t xml:space="preserve">The </w:t>
      </w:r>
      <w:r w:rsidR="00216E0E" w:rsidRPr="007311A4">
        <w:rPr>
          <w:i/>
        </w:rPr>
        <w:t>Phase III</w:t>
      </w:r>
      <w:r w:rsidRPr="007311A4">
        <w:rPr>
          <w:i/>
        </w:rPr>
        <w:t xml:space="preserve"> Studies</w:t>
      </w:r>
      <w:r>
        <w:t xml:space="preserve"> are of uneven quality (ABEC was blinded; ABEB was open) but both were large enough to define common adverse events and both included a blinded centralised review of possible immunological adverse events as well as binding </w:t>
      </w:r>
      <w:r w:rsidR="0091043D">
        <w:t>activity of insulin antibodies.</w:t>
      </w:r>
    </w:p>
    <w:p w:rsidR="00AE090E" w:rsidRDefault="00AE090E" w:rsidP="00AE090E">
      <w:r>
        <w:t xml:space="preserve">I have referred to ABEB and ABEC as </w:t>
      </w:r>
      <w:r w:rsidR="00127BD9">
        <w:t>‘</w:t>
      </w:r>
      <w:r w:rsidR="00216E0E">
        <w:t>Phase III</w:t>
      </w:r>
      <w:r>
        <w:t xml:space="preserve"> Studies</w:t>
      </w:r>
      <w:r w:rsidR="00127BD9">
        <w:t>’</w:t>
      </w:r>
      <w:r>
        <w:t xml:space="preserve"> rather than </w:t>
      </w:r>
      <w:r w:rsidR="00127BD9">
        <w:t>‘</w:t>
      </w:r>
      <w:r>
        <w:t>pivotal</w:t>
      </w:r>
      <w:r w:rsidR="00127BD9">
        <w:t>’</w:t>
      </w:r>
      <w:r>
        <w:t xml:space="preserve"> studies in this section because I do not agre</w:t>
      </w:r>
      <w:r w:rsidR="0091043D">
        <w:t>e that ABEB is a pivotal study.</w:t>
      </w:r>
    </w:p>
    <w:p w:rsidR="00AE090E" w:rsidRPr="00027276" w:rsidRDefault="00216E0E" w:rsidP="0091043D">
      <w:pPr>
        <w:pStyle w:val="Heading4"/>
      </w:pPr>
      <w:r>
        <w:t>Phase III</w:t>
      </w:r>
      <w:r w:rsidR="00AE090E" w:rsidRPr="00027276">
        <w:t xml:space="preserve"> efficacy </w:t>
      </w:r>
      <w:r w:rsidR="00AE090E" w:rsidRPr="0091043D">
        <w:t>studies</w:t>
      </w:r>
      <w:bookmarkEnd w:id="185"/>
    </w:p>
    <w:p w:rsidR="00AE090E" w:rsidRDefault="00AE090E" w:rsidP="00AE090E">
      <w:r>
        <w:t xml:space="preserve">In the </w:t>
      </w:r>
      <w:r w:rsidR="00216E0E">
        <w:t>Phase III</w:t>
      </w:r>
      <w:r>
        <w:t xml:space="preserve"> efficacy studies, the safety data were collected according to this tabulation extracted (and excerpted) from Table </w:t>
      </w:r>
      <w:r w:rsidR="007D4FBC">
        <w:t>15</w:t>
      </w:r>
      <w:r>
        <w:t>, Module 5 Study report:</w:t>
      </w:r>
    </w:p>
    <w:p w:rsidR="0091043D" w:rsidRPr="0091043D" w:rsidRDefault="00BE323A" w:rsidP="0091043D">
      <w:pPr>
        <w:pStyle w:val="Tabletitle"/>
      </w:pPr>
      <w:r w:rsidRPr="0091043D">
        <w:lastRenderedPageBreak/>
        <w:t>Table 15: Study schedule Protocol I4L-MC-ABEC</w:t>
      </w:r>
    </w:p>
    <w:p w:rsidR="00BE323A" w:rsidRPr="00BE323A" w:rsidRDefault="00BE323A" w:rsidP="0091043D">
      <w:r>
        <w:rPr>
          <w:noProof/>
          <w:lang w:eastAsia="en-AU"/>
        </w:rPr>
        <w:drawing>
          <wp:inline distT="0" distB="0" distL="0" distR="0" wp14:anchorId="2664039C" wp14:editId="65EB442C">
            <wp:extent cx="3768945" cy="4196726"/>
            <wp:effectExtent l="0" t="0" r="0" b="0"/>
            <wp:docPr id="23" name="Picture 23" descr="Table 15: Study schedule Protocol I4L-MC-A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729"/>
                    <a:stretch/>
                  </pic:blipFill>
                  <pic:spPr bwMode="auto">
                    <a:xfrm>
                      <a:off x="0" y="0"/>
                      <a:ext cx="3773472" cy="4201767"/>
                    </a:xfrm>
                    <a:prstGeom prst="rect">
                      <a:avLst/>
                    </a:prstGeom>
                    <a:ln>
                      <a:noFill/>
                    </a:ln>
                    <a:extLst>
                      <a:ext uri="{53640926-AAD7-44D8-BBD7-CCE9431645EC}">
                        <a14:shadowObscured xmlns:a14="http://schemas.microsoft.com/office/drawing/2010/main"/>
                      </a:ext>
                    </a:extLst>
                  </pic:spPr>
                </pic:pic>
              </a:graphicData>
            </a:graphic>
          </wp:inline>
        </w:drawing>
      </w:r>
    </w:p>
    <w:p w:rsidR="00AE090E" w:rsidRPr="00840122" w:rsidRDefault="00216E0E" w:rsidP="0091043D">
      <w:pPr>
        <w:pStyle w:val="Heading4"/>
      </w:pPr>
      <w:r>
        <w:t>Phase III</w:t>
      </w:r>
      <w:r w:rsidR="00AE090E" w:rsidRPr="00027276">
        <w:t xml:space="preserve"> studies that assessed </w:t>
      </w:r>
      <w:r w:rsidR="00AE090E">
        <w:t xml:space="preserve">safety as a primary </w:t>
      </w:r>
      <w:r w:rsidR="00AE090E" w:rsidRPr="0091043D">
        <w:t>outcome</w:t>
      </w:r>
    </w:p>
    <w:p w:rsidR="00AE090E" w:rsidRDefault="00AE090E" w:rsidP="00AE090E">
      <w:r>
        <w:t>Neither Study ABEC nor Study ABEB had specific safety objectives as primary outcomes.</w:t>
      </w:r>
      <w:r w:rsidR="009F388C">
        <w:t xml:space="preserve"> </w:t>
      </w:r>
      <w:r>
        <w:t xml:space="preserve"> It is noted that both had one secondary outcome that is arguably safety-related, </w:t>
      </w:r>
      <w:r w:rsidR="00127BD9">
        <w:t>‘</w:t>
      </w:r>
      <w:r w:rsidRPr="007D4FBC">
        <w:rPr>
          <w:i/>
        </w:rPr>
        <w:t xml:space="preserve">To compare LY2963016 relative to </w:t>
      </w:r>
      <w:r w:rsidR="00127BD9" w:rsidRPr="007D4FBC">
        <w:rPr>
          <w:i/>
        </w:rPr>
        <w:t>Lantus</w:t>
      </w:r>
      <w:r w:rsidRPr="007D4FBC">
        <w:rPr>
          <w:i/>
          <w:vertAlign w:val="superscript"/>
        </w:rPr>
        <w:t>®</w:t>
      </w:r>
      <w:r w:rsidRPr="007D4FBC">
        <w:rPr>
          <w:i/>
        </w:rPr>
        <w:t xml:space="preserve"> with regard to </w:t>
      </w:r>
      <w:proofErr w:type="spellStart"/>
      <w:r w:rsidRPr="007D4FBC">
        <w:rPr>
          <w:i/>
        </w:rPr>
        <w:t>intrapatient</w:t>
      </w:r>
      <w:proofErr w:type="spellEnd"/>
      <w:r w:rsidRPr="007D4FBC">
        <w:rPr>
          <w:i/>
        </w:rPr>
        <w:t xml:space="preserve"> blood-glucose (BG) variability; basal and prandial (separately and as total daily) insulin dose; and weight when used in combination with pre-meal insulin </w:t>
      </w:r>
      <w:proofErr w:type="spellStart"/>
      <w:r w:rsidRPr="007D4FBC">
        <w:rPr>
          <w:i/>
        </w:rPr>
        <w:t>lispro</w:t>
      </w:r>
      <w:proofErr w:type="spellEnd"/>
      <w:r>
        <w:t>.</w:t>
      </w:r>
      <w:r w:rsidR="00127BD9">
        <w:t>’</w:t>
      </w:r>
      <w:r>
        <w:t xml:space="preserve"> This outcome has been presented in the efficacy discussion of each study.</w:t>
      </w:r>
      <w:r w:rsidR="009F388C">
        <w:t xml:space="preserve"> </w:t>
      </w:r>
      <w:r>
        <w:t xml:space="preserve">Study ABEC had also this secondary outcome: </w:t>
      </w:r>
      <w:r w:rsidR="00127BD9">
        <w:t>‘</w:t>
      </w:r>
      <w:proofErr w:type="gramStart"/>
      <w:r w:rsidRPr="007D4FBC">
        <w:rPr>
          <w:i/>
        </w:rPr>
        <w:t>To</w:t>
      </w:r>
      <w:proofErr w:type="gramEnd"/>
      <w:r w:rsidRPr="007D4FBC">
        <w:rPr>
          <w:i/>
        </w:rPr>
        <w:t xml:space="preserve"> compare the safety of LY2963016 relative to </w:t>
      </w:r>
      <w:r w:rsidR="00127BD9" w:rsidRPr="007D4FBC">
        <w:rPr>
          <w:i/>
        </w:rPr>
        <w:t>Lantus</w:t>
      </w:r>
      <w:r w:rsidRPr="007D4FBC">
        <w:rPr>
          <w:i/>
          <w:vertAlign w:val="superscript"/>
        </w:rPr>
        <w:t>®</w:t>
      </w:r>
      <w:r w:rsidRPr="007D4FBC">
        <w:rPr>
          <w:i/>
        </w:rPr>
        <w:t xml:space="preserve"> (eg, incidence of anti-insulin antibodies, </w:t>
      </w:r>
      <w:proofErr w:type="spellStart"/>
      <w:r w:rsidRPr="007D4FBC">
        <w:rPr>
          <w:i/>
        </w:rPr>
        <w:t>hypoglycemia</w:t>
      </w:r>
      <w:proofErr w:type="spellEnd"/>
      <w:r w:rsidRPr="007D4FBC">
        <w:rPr>
          <w:i/>
        </w:rPr>
        <w:t>, adverse events [AEs]) when used in combination with OAMs</w:t>
      </w:r>
      <w:r w:rsidR="00127BD9">
        <w:t>’</w:t>
      </w:r>
      <w:r>
        <w:t>.</w:t>
      </w:r>
    </w:p>
    <w:p w:rsidR="00AE090E" w:rsidRDefault="00AE090E" w:rsidP="00BE323A">
      <w:pPr>
        <w:pStyle w:val="Heading4"/>
      </w:pPr>
      <w:r>
        <w:t>Dose-response and non-pivotal efficacy studies</w:t>
      </w:r>
    </w:p>
    <w:p w:rsidR="00AE090E" w:rsidRDefault="00AE090E" w:rsidP="00AE090E">
      <w:pPr>
        <w:pStyle w:val="Bullet1"/>
        <w:numPr>
          <w:ilvl w:val="0"/>
          <w:numId w:val="0"/>
        </w:numPr>
        <w:ind w:left="284" w:hanging="284"/>
      </w:pPr>
      <w:r>
        <w:t>Not applicable.</w:t>
      </w:r>
    </w:p>
    <w:p w:rsidR="00AE090E" w:rsidRDefault="00AE090E" w:rsidP="00BE323A">
      <w:pPr>
        <w:pStyle w:val="Heading4"/>
      </w:pPr>
      <w:r>
        <w:t>Other studies evaluable for safety only</w:t>
      </w:r>
    </w:p>
    <w:p w:rsidR="00AE090E" w:rsidRDefault="00AE090E" w:rsidP="00AE090E">
      <w:r>
        <w:t>Not applicable.</w:t>
      </w:r>
    </w:p>
    <w:p w:rsidR="00AE090E" w:rsidRDefault="00AE090E" w:rsidP="00BE323A">
      <w:pPr>
        <w:pStyle w:val="Heading4"/>
      </w:pPr>
      <w:bookmarkStart w:id="186" w:name="_Ref269204367"/>
      <w:bookmarkStart w:id="187" w:name="_Ref271195835"/>
      <w:bookmarkStart w:id="188" w:name="_Ref271195841"/>
      <w:bookmarkStart w:id="189" w:name="_Toc272414660"/>
      <w:bookmarkStart w:id="190" w:name="_Toc290846285"/>
      <w:bookmarkStart w:id="191" w:name="_Toc378790196"/>
      <w:r>
        <w:t xml:space="preserve">Phase three studies </w:t>
      </w:r>
      <w:r w:rsidRPr="00027276">
        <w:t xml:space="preserve">that assessed </w:t>
      </w:r>
      <w:r>
        <w:t>safety as a primary outcome</w:t>
      </w:r>
      <w:bookmarkEnd w:id="186"/>
      <w:bookmarkEnd w:id="187"/>
      <w:bookmarkEnd w:id="188"/>
      <w:bookmarkEnd w:id="189"/>
      <w:bookmarkEnd w:id="190"/>
      <w:bookmarkEnd w:id="191"/>
    </w:p>
    <w:p w:rsidR="00AE090E" w:rsidRDefault="00AE090E" w:rsidP="00AE090E">
      <w:r>
        <w:t>Not applicable.</w:t>
      </w:r>
    </w:p>
    <w:p w:rsidR="00AE090E" w:rsidRDefault="00AE090E" w:rsidP="00BE323A">
      <w:pPr>
        <w:pStyle w:val="Heading3"/>
      </w:pPr>
      <w:bookmarkStart w:id="192" w:name="_Toc241374318"/>
      <w:bookmarkStart w:id="193" w:name="_Ref271196630"/>
      <w:bookmarkStart w:id="194" w:name="_Toc272414662"/>
      <w:bookmarkStart w:id="195" w:name="_Toc290846300"/>
      <w:bookmarkStart w:id="196" w:name="_Toc378790197"/>
      <w:bookmarkStart w:id="197" w:name="_Toc416955634"/>
      <w:r>
        <w:t>Patient exposure</w:t>
      </w:r>
      <w:bookmarkEnd w:id="192"/>
      <w:bookmarkEnd w:id="193"/>
      <w:bookmarkEnd w:id="194"/>
      <w:bookmarkEnd w:id="195"/>
      <w:r>
        <w:t xml:space="preserve"> in Phase </w:t>
      </w:r>
      <w:r w:rsidRPr="00356CF1">
        <w:t>Three</w:t>
      </w:r>
      <w:r>
        <w:t xml:space="preserve"> studies</w:t>
      </w:r>
      <w:bookmarkEnd w:id="196"/>
      <w:bookmarkEnd w:id="197"/>
    </w:p>
    <w:p w:rsidR="00AE090E" w:rsidRDefault="00AE090E" w:rsidP="00AE090E">
      <w:pPr>
        <w:autoSpaceDE w:val="0"/>
        <w:autoSpaceDN w:val="0"/>
        <w:adjustRightInd w:val="0"/>
      </w:pPr>
      <w:r>
        <w:t>As noted in the Module 2.7 safety summary, a total of 536 patients with T1DM and 759 patients with T2DM were randomly assigned to treatment in Studies ABEB and ABEC, respectively.</w:t>
      </w:r>
      <w:r w:rsidR="009F388C">
        <w:t xml:space="preserve"> </w:t>
      </w:r>
      <w:r>
        <w:t xml:space="preserve">Of these patients, a total of 535 patients with T1DM and 756 patients with T2DM received at least 1 dose of randomly assigned study drug, comprising the Full Analysis Sets (FAS), and serving as </w:t>
      </w:r>
      <w:r>
        <w:lastRenderedPageBreak/>
        <w:t xml:space="preserve">the populations of interest for analyses in the applicant’s safety analyses. The mean duration of exposure for patients in Study ABEB was 23.32 weeks and 23.66 weeks for the </w:t>
      </w:r>
      <w:proofErr w:type="spellStart"/>
      <w:r w:rsidR="00216E0E">
        <w:t>Abasria</w:t>
      </w:r>
      <w:proofErr w:type="spellEnd"/>
      <w:r>
        <w:t xml:space="preserve"> and </w:t>
      </w:r>
      <w:r w:rsidR="00127BD9">
        <w:t>Lantus</w:t>
      </w:r>
      <w:r w:rsidRPr="005B400D">
        <w:rPr>
          <w:vertAlign w:val="superscript"/>
        </w:rPr>
        <w:t>®</w:t>
      </w:r>
      <w:r>
        <w:t xml:space="preserve"> groups, respectively; mean duration of exposure in Study ABEC was 22.38 and 22.13 weeks, respectively.</w:t>
      </w:r>
      <w:r w:rsidR="009F388C">
        <w:t xml:space="preserve"> </w:t>
      </w:r>
      <w:r>
        <w:t xml:space="preserve">The dose of insulin </w:t>
      </w:r>
      <w:proofErr w:type="spellStart"/>
      <w:r>
        <w:t>glargine</w:t>
      </w:r>
      <w:proofErr w:type="spellEnd"/>
      <w:r>
        <w:t xml:space="preserve"> was according to the same treatment paradigm in each study; the locally approved PI informed the use of insulin </w:t>
      </w:r>
      <w:proofErr w:type="spellStart"/>
      <w:r>
        <w:t>glargine</w:t>
      </w:r>
      <w:proofErr w:type="spellEnd"/>
      <w:r>
        <w:t>.</w:t>
      </w:r>
    </w:p>
    <w:p w:rsidR="00AE090E" w:rsidRDefault="00AE090E" w:rsidP="00AE090E">
      <w:pPr>
        <w:autoSpaceDE w:val="0"/>
        <w:autoSpaceDN w:val="0"/>
        <w:adjustRightInd w:val="0"/>
      </w:pPr>
      <w:r>
        <w:t>The following comparative table is from the Module 2.7 safety summary; it matches the patient numbers in the Module 5 study reports.</w:t>
      </w:r>
    </w:p>
    <w:p w:rsidR="00AE090E" w:rsidRDefault="00AE090E" w:rsidP="0091043D">
      <w:pPr>
        <w:pStyle w:val="Tabletitle"/>
      </w:pPr>
      <w:bookmarkStart w:id="198" w:name="_Toc378791315"/>
      <w:proofErr w:type="gramStart"/>
      <w:r>
        <w:t xml:space="preserve">Table </w:t>
      </w:r>
      <w:r w:rsidR="00BE323A">
        <w:t>16</w:t>
      </w:r>
      <w:r>
        <w:t>.</w:t>
      </w:r>
      <w:proofErr w:type="gramEnd"/>
      <w:r w:rsidR="009F388C">
        <w:t xml:space="preserve"> </w:t>
      </w:r>
      <w:proofErr w:type="gramStart"/>
      <w:r>
        <w:t xml:space="preserve">Exposure (by duration) to </w:t>
      </w:r>
      <w:proofErr w:type="spellStart"/>
      <w:r w:rsidR="00216E0E" w:rsidRPr="0091043D">
        <w:t>Abasria</w:t>
      </w:r>
      <w:proofErr w:type="spellEnd"/>
      <w:r>
        <w:t xml:space="preserve"> and Lantus in </w:t>
      </w:r>
      <w:r w:rsidR="00216E0E">
        <w:t>Phase III</w:t>
      </w:r>
      <w:r>
        <w:t xml:space="preserve"> clinical studies.</w:t>
      </w:r>
      <w:bookmarkEnd w:id="198"/>
      <w:proofErr w:type="gramEnd"/>
    </w:p>
    <w:p w:rsidR="00AE090E" w:rsidRDefault="00BE323A" w:rsidP="0091043D">
      <w:r>
        <w:rPr>
          <w:noProof/>
          <w:lang w:eastAsia="en-AU"/>
        </w:rPr>
        <w:drawing>
          <wp:inline distT="0" distB="0" distL="0" distR="0" wp14:anchorId="3A7ECA41" wp14:editId="2D21F76E">
            <wp:extent cx="3884879" cy="1132646"/>
            <wp:effectExtent l="0" t="0" r="0" b="0"/>
            <wp:docPr id="24" name="Picture 24" descr="Table 16. Exposure (by duration) to Abasria and Lantus in Phase III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4782"/>
                    <a:stretch/>
                  </pic:blipFill>
                  <pic:spPr bwMode="auto">
                    <a:xfrm>
                      <a:off x="0" y="0"/>
                      <a:ext cx="3901137" cy="1137386"/>
                    </a:xfrm>
                    <a:prstGeom prst="rect">
                      <a:avLst/>
                    </a:prstGeom>
                    <a:ln>
                      <a:noFill/>
                    </a:ln>
                    <a:extLst>
                      <a:ext uri="{53640926-AAD7-44D8-BBD7-CCE9431645EC}">
                        <a14:shadowObscured xmlns:a14="http://schemas.microsoft.com/office/drawing/2010/main"/>
                      </a:ext>
                    </a:extLst>
                  </pic:spPr>
                </pic:pic>
              </a:graphicData>
            </a:graphic>
          </wp:inline>
        </w:drawing>
      </w:r>
    </w:p>
    <w:p w:rsidR="00AE090E" w:rsidRDefault="00AE090E" w:rsidP="00AE090E">
      <w:pPr>
        <w:autoSpaceDE w:val="0"/>
        <w:autoSpaceDN w:val="0"/>
        <w:adjustRightInd w:val="0"/>
      </w:pPr>
      <w:r>
        <w:t>There is no experience beyond the cut-off point of Studies ABEB and ABEC i.e. 24 weeks on treatment.</w:t>
      </w:r>
    </w:p>
    <w:p w:rsidR="00AE090E" w:rsidRDefault="00AE090E" w:rsidP="00BE323A">
      <w:pPr>
        <w:pStyle w:val="Heading3"/>
      </w:pPr>
      <w:r>
        <w:t xml:space="preserve"> </w:t>
      </w:r>
      <w:bookmarkStart w:id="199" w:name="_Toc241374319"/>
      <w:bookmarkStart w:id="200" w:name="_Ref271044764"/>
      <w:bookmarkStart w:id="201" w:name="_Toc272414663"/>
      <w:bookmarkStart w:id="202" w:name="_Toc290846301"/>
      <w:bookmarkStart w:id="203" w:name="_Toc416955635"/>
      <w:r>
        <w:t>Adverse events</w:t>
      </w:r>
      <w:bookmarkEnd w:id="199"/>
      <w:bookmarkEnd w:id="200"/>
      <w:bookmarkEnd w:id="201"/>
      <w:bookmarkEnd w:id="202"/>
      <w:bookmarkEnd w:id="203"/>
    </w:p>
    <w:p w:rsidR="00AE090E" w:rsidRPr="00C27CB6" w:rsidRDefault="00AE090E" w:rsidP="00BE323A">
      <w:pPr>
        <w:pStyle w:val="Heading4"/>
      </w:pPr>
      <w:bookmarkStart w:id="204" w:name="_Ref272317284"/>
      <w:bookmarkStart w:id="205" w:name="_Ref272333565"/>
      <w:bookmarkStart w:id="206" w:name="_Toc272414664"/>
      <w:bookmarkStart w:id="207" w:name="_Toc290846302"/>
      <w:bookmarkStart w:id="208" w:name="_Toc378790198"/>
      <w:r>
        <w:t>All adverse events (irrespective of relationship to study treatment)</w:t>
      </w:r>
      <w:bookmarkEnd w:id="204"/>
      <w:bookmarkEnd w:id="205"/>
      <w:bookmarkEnd w:id="206"/>
      <w:bookmarkEnd w:id="207"/>
      <w:bookmarkEnd w:id="208"/>
    </w:p>
    <w:p w:rsidR="00AE090E" w:rsidRDefault="00AE090E" w:rsidP="00BE323A">
      <w:pPr>
        <w:pStyle w:val="Heading5"/>
      </w:pPr>
      <w:r>
        <w:t xml:space="preserve">Phase </w:t>
      </w:r>
      <w:r w:rsidR="00BE323A">
        <w:t>III</w:t>
      </w:r>
      <w:r>
        <w:t xml:space="preserve"> studies</w:t>
      </w:r>
    </w:p>
    <w:p w:rsidR="00AE090E" w:rsidRDefault="00AE090E" w:rsidP="00AE090E">
      <w:pPr>
        <w:autoSpaceDE w:val="0"/>
        <w:autoSpaceDN w:val="0"/>
        <w:adjustRightInd w:val="0"/>
      </w:pPr>
      <w:r>
        <w:t xml:space="preserve">Table </w:t>
      </w:r>
      <w:r w:rsidR="00BE323A">
        <w:t>17</w:t>
      </w:r>
      <w:r>
        <w:t xml:space="preserve"> below contains an overall summary of adverse events in both phase three studies.</w:t>
      </w:r>
    </w:p>
    <w:p w:rsidR="00AE090E" w:rsidRDefault="00AE090E" w:rsidP="00E53718">
      <w:pPr>
        <w:pStyle w:val="Tabletitle"/>
        <w:spacing w:before="0" w:after="0"/>
      </w:pPr>
      <w:bookmarkStart w:id="209" w:name="_Toc378791316"/>
      <w:proofErr w:type="gramStart"/>
      <w:r>
        <w:t xml:space="preserve">Table </w:t>
      </w:r>
      <w:r w:rsidR="00BE323A">
        <w:t>17:</w:t>
      </w:r>
      <w:r>
        <w:t xml:space="preserve"> O</w:t>
      </w:r>
      <w:r w:rsidRPr="00D83BBD">
        <w:t>verall summary of adverse events in both phase three studies</w:t>
      </w:r>
      <w:bookmarkEnd w:id="209"/>
      <w:r w:rsidR="00BE323A">
        <w:t>.</w:t>
      </w:r>
      <w:proofErr w:type="gramEnd"/>
      <w:r>
        <w:t xml:space="preserve"> </w:t>
      </w:r>
      <w:proofErr w:type="gramStart"/>
      <w:r w:rsidR="00BE323A">
        <w:t>Studies ABEB and ABEC.</w:t>
      </w:r>
      <w:proofErr w:type="gramEnd"/>
      <w:r w:rsidR="00BE323A">
        <w:t xml:space="preserve"> Full analysis set</w:t>
      </w:r>
    </w:p>
    <w:p w:rsidR="00BE323A" w:rsidRPr="00BE323A" w:rsidRDefault="00BE323A" w:rsidP="0091043D">
      <w:r>
        <w:rPr>
          <w:noProof/>
          <w:lang w:eastAsia="en-AU"/>
        </w:rPr>
        <w:drawing>
          <wp:inline distT="0" distB="0" distL="0" distR="0" wp14:anchorId="05D15441" wp14:editId="4A99E98D">
            <wp:extent cx="3657600" cy="1646312"/>
            <wp:effectExtent l="0" t="0" r="0" b="0"/>
            <wp:docPr id="25" name="Picture 25" descr="Table 17: Overall summary of adverse events in both phase three studies. Studies ABEB and ABEC.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62414" cy="1648479"/>
                    </a:xfrm>
                    <a:prstGeom prst="rect">
                      <a:avLst/>
                    </a:prstGeom>
                  </pic:spPr>
                </pic:pic>
              </a:graphicData>
            </a:graphic>
          </wp:inline>
        </w:drawing>
      </w:r>
    </w:p>
    <w:p w:rsidR="00AE090E" w:rsidRDefault="00AE090E" w:rsidP="00BE323A">
      <w:pPr>
        <w:pStyle w:val="Heading6"/>
      </w:pPr>
      <w:r w:rsidRPr="00441AC3">
        <w:t>Common and Very Common Adverse Events</w:t>
      </w:r>
      <w:r>
        <w:t>:</w:t>
      </w:r>
    </w:p>
    <w:p w:rsidR="00AE090E" w:rsidRDefault="00AE090E" w:rsidP="00AE090E">
      <w:r>
        <w:t>The two phase three studies were based on different populations, so it is not reasonable to pool the safety data. However, in addition to the separate presentation of common adverse events, it is convenient to examine the data concisely in the tabulation of common adverse events that was provided by the applicant.</w:t>
      </w:r>
    </w:p>
    <w:p w:rsidR="002526D0" w:rsidRDefault="00AE090E" w:rsidP="0091043D">
      <w:pPr>
        <w:rPr>
          <w:rFonts w:cstheme="minorBidi"/>
          <w:b/>
        </w:rPr>
      </w:pPr>
      <w:r>
        <w:t xml:space="preserve">Table </w:t>
      </w:r>
      <w:r w:rsidR="002526D0">
        <w:t>18</w:t>
      </w:r>
      <w:r>
        <w:t xml:space="preserve"> below includes all common treatment emergent adverse events reported in the phase three studies. It has been taken from the Module 2.7 safety summary.</w:t>
      </w:r>
      <w:r w:rsidR="009F388C">
        <w:t xml:space="preserve"> </w:t>
      </w:r>
      <w:r>
        <w:t>It can be said that very common and common adverse events were reasonably balanced across tr</w:t>
      </w:r>
      <w:r w:rsidR="0091043D">
        <w:t>eatment groups in both studies.</w:t>
      </w:r>
      <w:bookmarkStart w:id="210" w:name="_Toc378791317"/>
    </w:p>
    <w:p w:rsidR="0091043D" w:rsidRPr="0091043D" w:rsidRDefault="00AE090E" w:rsidP="0091043D">
      <w:pPr>
        <w:pStyle w:val="Tabletitle"/>
      </w:pPr>
      <w:r w:rsidRPr="0091043D">
        <w:lastRenderedPageBreak/>
        <w:t xml:space="preserve">Table </w:t>
      </w:r>
      <w:r w:rsidR="002526D0" w:rsidRPr="0091043D">
        <w:t>18:</w:t>
      </w:r>
      <w:r w:rsidRPr="0091043D">
        <w:t xml:space="preserve"> Phase </w:t>
      </w:r>
      <w:r w:rsidR="00E53718" w:rsidRPr="0091043D">
        <w:t>III</w:t>
      </w:r>
      <w:r w:rsidRPr="0091043D">
        <w:t xml:space="preserve"> studies</w:t>
      </w:r>
      <w:r w:rsidR="00E53718" w:rsidRPr="0091043D">
        <w:t>. C</w:t>
      </w:r>
      <w:r w:rsidRPr="0091043D">
        <w:t>ommon treatment emergent adverse events</w:t>
      </w:r>
      <w:bookmarkEnd w:id="210"/>
      <w:r w:rsidR="002526D0" w:rsidRPr="0091043D">
        <w:t xml:space="preserve"> in ≥1% of patients in any treatment group Study ABEB and Study ABEC. Full analysis set.</w:t>
      </w:r>
    </w:p>
    <w:p w:rsidR="002526D0" w:rsidRDefault="002526D0" w:rsidP="0091043D">
      <w:r>
        <w:rPr>
          <w:noProof/>
          <w:lang w:eastAsia="en-AU"/>
        </w:rPr>
        <w:drawing>
          <wp:inline distT="0" distB="0" distL="0" distR="0" wp14:anchorId="0FCFA197" wp14:editId="2B76E617">
            <wp:extent cx="2860544" cy="4054016"/>
            <wp:effectExtent l="0" t="0" r="0" b="0"/>
            <wp:docPr id="27" name="Picture 27" descr="Table 18: Phase three studies - common treatment emergent adverse events.  Occurring in ≥1% of patients in any treatment group Study ABEB and Study ABEC.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63642" cy="4058406"/>
                    </a:xfrm>
                    <a:prstGeom prst="rect">
                      <a:avLst/>
                    </a:prstGeom>
                  </pic:spPr>
                </pic:pic>
              </a:graphicData>
            </a:graphic>
          </wp:inline>
        </w:drawing>
      </w:r>
    </w:p>
    <w:p w:rsidR="00AE090E" w:rsidRPr="00D12012" w:rsidRDefault="00AE090E" w:rsidP="0091043D">
      <w:pPr>
        <w:pStyle w:val="Heading4"/>
      </w:pPr>
      <w:bookmarkStart w:id="211" w:name="_Ref272333567"/>
      <w:bookmarkStart w:id="212" w:name="_Toc272414665"/>
      <w:bookmarkStart w:id="213" w:name="_Toc290846303"/>
      <w:bookmarkStart w:id="214" w:name="_Toc378790199"/>
      <w:r>
        <w:t>Treatment-</w:t>
      </w:r>
      <w:r w:rsidRPr="0091043D">
        <w:t>related</w:t>
      </w:r>
      <w:r>
        <w:t xml:space="preserve"> adverse events (adverse drug reactions)</w:t>
      </w:r>
      <w:bookmarkEnd w:id="211"/>
      <w:bookmarkEnd w:id="212"/>
      <w:bookmarkEnd w:id="213"/>
      <w:bookmarkEnd w:id="214"/>
    </w:p>
    <w:p w:rsidR="00AE090E" w:rsidRDefault="00AE090E" w:rsidP="0091043D">
      <w:pPr>
        <w:pStyle w:val="Heading5"/>
      </w:pPr>
      <w:r w:rsidRPr="0091043D">
        <w:t>Phase</w:t>
      </w:r>
      <w:r>
        <w:t xml:space="preserve"> </w:t>
      </w:r>
      <w:r w:rsidR="002526D0">
        <w:t>III</w:t>
      </w:r>
      <w:r>
        <w:t xml:space="preserve"> studies</w:t>
      </w:r>
    </w:p>
    <w:p w:rsidR="00AE090E" w:rsidRDefault="00AE090E" w:rsidP="00AE090E">
      <w:r>
        <w:t>The applicant did not ascribe causality to non-serious adverse events; investigators were able to do so.</w:t>
      </w:r>
      <w:r w:rsidR="009F388C">
        <w:t xml:space="preserve"> </w:t>
      </w:r>
      <w:r>
        <w:t xml:space="preserve">See Table </w:t>
      </w:r>
      <w:r w:rsidR="002526D0">
        <w:t>19</w:t>
      </w:r>
      <w:r>
        <w:t xml:space="preserve"> below taken from Module 2.7, for the proportion of AEs that were considered to be treatment-related.</w:t>
      </w:r>
      <w:r w:rsidR="009F388C">
        <w:t xml:space="preserve"> </w:t>
      </w:r>
      <w:r>
        <w:t xml:space="preserve"> The numbers of affected patients is close to equal in each treatment group but looks low (up to 4.5</w:t>
      </w:r>
      <w:r w:rsidR="0091043D">
        <w:t>% in ABEB, up to 6.9% in ABEC).</w:t>
      </w:r>
    </w:p>
    <w:p w:rsidR="00AE090E" w:rsidRDefault="00AE090E" w:rsidP="00AE090E">
      <w:r>
        <w:t>It is obvious that local injection reactions and hypoglycaemia are treatment related. Hypoglycaemic adverse events are described below because severe episodes were considered to be serious adverse events.</w:t>
      </w:r>
    </w:p>
    <w:p w:rsidR="0091043D" w:rsidRPr="0091043D" w:rsidRDefault="002526D0" w:rsidP="0091043D">
      <w:pPr>
        <w:pStyle w:val="Tabletitle"/>
      </w:pPr>
      <w:r w:rsidRPr="0091043D">
        <w:t>Table 19: Overall summary of adverse events in Studies ABEB and ABEC Full analysis set</w:t>
      </w:r>
    </w:p>
    <w:p w:rsidR="002526D0" w:rsidRPr="002526D0" w:rsidRDefault="002526D0" w:rsidP="0091043D">
      <w:r>
        <w:rPr>
          <w:noProof/>
          <w:lang w:eastAsia="en-AU"/>
        </w:rPr>
        <w:drawing>
          <wp:inline distT="0" distB="0" distL="0" distR="0" wp14:anchorId="24E3DD4D" wp14:editId="54AD9715">
            <wp:extent cx="4133299" cy="1903260"/>
            <wp:effectExtent l="0" t="0" r="0" b="0"/>
            <wp:docPr id="28" name="Picture 28" descr="Table 19: Overall summary of adverse events in Studies ABEB and ABEC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136931" cy="1904932"/>
                    </a:xfrm>
                    <a:prstGeom prst="rect">
                      <a:avLst/>
                    </a:prstGeom>
                  </pic:spPr>
                </pic:pic>
              </a:graphicData>
            </a:graphic>
          </wp:inline>
        </w:drawing>
      </w:r>
    </w:p>
    <w:p w:rsidR="00AE090E" w:rsidRDefault="00AE090E" w:rsidP="002526D0">
      <w:pPr>
        <w:pStyle w:val="Heading5"/>
      </w:pPr>
      <w:r>
        <w:lastRenderedPageBreak/>
        <w:t>Local injection site reactions:</w:t>
      </w:r>
    </w:p>
    <w:p w:rsidR="00AE090E" w:rsidRDefault="00AE090E" w:rsidP="00AE090E">
      <w:r>
        <w:t xml:space="preserve">Injection site AEs were a topic of interest, so both protocols provided for an evaluation of pain, pruritus, and rash associated with the injection, as well as the characteristics of the injection site (abscess, nodule, lipoatrophy, </w:t>
      </w:r>
      <w:proofErr w:type="spellStart"/>
      <w:r>
        <w:t>lipohypertrophy</w:t>
      </w:r>
      <w:proofErr w:type="spellEnd"/>
      <w:r>
        <w:t>, or induration).</w:t>
      </w:r>
      <w:r w:rsidR="009F388C">
        <w:t xml:space="preserve"> </w:t>
      </w:r>
      <w:r>
        <w:t xml:space="preserve">For reasons unknown, injection site reactions were not mentioned in Table </w:t>
      </w:r>
      <w:r w:rsidR="002526D0">
        <w:t>18</w:t>
      </w:r>
      <w:r>
        <w:t xml:space="preserve"> above.</w:t>
      </w:r>
      <w:r w:rsidR="009F388C">
        <w:t xml:space="preserve"> </w:t>
      </w:r>
      <w:r>
        <w:t xml:space="preserve">As shown in Table </w:t>
      </w:r>
      <w:r w:rsidR="002526D0">
        <w:t>19</w:t>
      </w:r>
      <w:r>
        <w:t xml:space="preserve">, injection site reactions were more frequently seen with </w:t>
      </w:r>
      <w:proofErr w:type="spellStart"/>
      <w:r w:rsidR="00216E0E">
        <w:t>Abasria</w:t>
      </w:r>
      <w:proofErr w:type="spellEnd"/>
      <w:r>
        <w:t xml:space="preserve"> in both studies. Study ABEC was blinded and it is of note that injection site reactions were more frequently reported and more equally distributed than in Study ABEB. A little more detail is provided in Table </w:t>
      </w:r>
      <w:r w:rsidR="002526D0">
        <w:t>20</w:t>
      </w:r>
      <w:r>
        <w:t xml:space="preserve"> below.</w:t>
      </w:r>
      <w:r w:rsidR="009F388C">
        <w:t xml:space="preserve"> </w:t>
      </w:r>
      <w:r>
        <w:t>Some injection site reac</w:t>
      </w:r>
      <w:r w:rsidR="0091043D">
        <w:t>tions involved reports of pain:</w:t>
      </w:r>
    </w:p>
    <w:p w:rsidR="00AE090E" w:rsidRDefault="00AE090E" w:rsidP="002526D0">
      <w:pPr>
        <w:pStyle w:val="ListBullet"/>
      </w:pPr>
      <w:r>
        <w:t xml:space="preserve">In Study ABEC, injection site pain - </w:t>
      </w:r>
      <w:proofErr w:type="spellStart"/>
      <w:r w:rsidR="00216E0E">
        <w:t>Abasria</w:t>
      </w:r>
      <w:proofErr w:type="spellEnd"/>
      <w:r>
        <w:t xml:space="preserve">: 3 patients [0.8%], </w:t>
      </w:r>
      <w:r w:rsidR="00127BD9">
        <w:t>Lantus</w:t>
      </w:r>
      <w:r w:rsidRPr="009F13BB">
        <w:rPr>
          <w:vertAlign w:val="superscript"/>
        </w:rPr>
        <w:t>®</w:t>
      </w:r>
      <w:r w:rsidRPr="009F13BB">
        <w:t>: 3 patients [0.8%]</w:t>
      </w:r>
      <w:r w:rsidR="0091043D">
        <w:t>;</w:t>
      </w:r>
    </w:p>
    <w:p w:rsidR="00AE090E" w:rsidRDefault="00AE090E" w:rsidP="002526D0">
      <w:pPr>
        <w:pStyle w:val="ListBullet"/>
      </w:pPr>
      <w:r>
        <w:t xml:space="preserve">In Study ABEB, five patients (1.9%) in the </w:t>
      </w:r>
      <w:proofErr w:type="spellStart"/>
      <w:r w:rsidR="00216E0E">
        <w:t>Abasria</w:t>
      </w:r>
      <w:proofErr w:type="spellEnd"/>
      <w:r>
        <w:t xml:space="preserve"> group and 3 patients (1.1%) in the </w:t>
      </w:r>
      <w:r w:rsidR="00127BD9">
        <w:t>Lantus</w:t>
      </w:r>
      <w:r w:rsidRPr="009F13BB">
        <w:rPr>
          <w:vertAlign w:val="superscript"/>
        </w:rPr>
        <w:t>®</w:t>
      </w:r>
      <w:r>
        <w:t xml:space="preserve"> group reported injection site AEs. Most patients reporting injection site AEs reported having mild or moderate pain associated with the injection (</w:t>
      </w:r>
      <w:proofErr w:type="spellStart"/>
      <w:r w:rsidR="00216E0E">
        <w:t>Abasria</w:t>
      </w:r>
      <w:proofErr w:type="spellEnd"/>
      <w:r>
        <w:t xml:space="preserve">: 5 patients [1.9%]; </w:t>
      </w:r>
      <w:r w:rsidR="00127BD9">
        <w:t>Lantus</w:t>
      </w:r>
      <w:r w:rsidRPr="009F13BB">
        <w:rPr>
          <w:vertAlign w:val="superscript"/>
        </w:rPr>
        <w:t>®</w:t>
      </w:r>
      <w:r>
        <w:t>: 2 patients [0.7%])</w:t>
      </w:r>
    </w:p>
    <w:p w:rsidR="00AE090E" w:rsidRDefault="00AE090E" w:rsidP="00AE090E">
      <w:r>
        <w:t xml:space="preserve">If </w:t>
      </w:r>
      <w:proofErr w:type="spellStart"/>
      <w:r w:rsidR="00216E0E">
        <w:t>Abasria</w:t>
      </w:r>
      <w:proofErr w:type="spellEnd"/>
      <w:r>
        <w:t xml:space="preserve"> is in fact less well tolerated locally than Lantus, this will become clearer from post-marketing data, including consumers’ complaints.</w:t>
      </w:r>
    </w:p>
    <w:p w:rsidR="00AE090E" w:rsidRDefault="00AE090E" w:rsidP="002526D0">
      <w:pPr>
        <w:pStyle w:val="Heading5"/>
      </w:pPr>
      <w:r>
        <w:t>Other studies</w:t>
      </w:r>
    </w:p>
    <w:p w:rsidR="00AE090E" w:rsidRDefault="00AE090E" w:rsidP="00AE090E">
      <w:pPr>
        <w:autoSpaceDE w:val="0"/>
        <w:autoSpaceDN w:val="0"/>
        <w:adjustRightInd w:val="0"/>
      </w:pPr>
      <w:r>
        <w:t>Not applicable.</w:t>
      </w:r>
    </w:p>
    <w:p w:rsidR="00AE090E" w:rsidRPr="00213E77" w:rsidRDefault="00AE090E" w:rsidP="002526D0">
      <w:pPr>
        <w:pStyle w:val="Heading4"/>
      </w:pPr>
      <w:bookmarkStart w:id="215" w:name="_Toc241374320"/>
      <w:bookmarkStart w:id="216" w:name="_Ref272333507"/>
      <w:bookmarkStart w:id="217" w:name="_Toc272414666"/>
      <w:bookmarkStart w:id="218" w:name="_Toc290846304"/>
      <w:bookmarkStart w:id="219" w:name="_Toc378790200"/>
      <w:r>
        <w:t>Deaths and other serious adverse events</w:t>
      </w:r>
      <w:bookmarkEnd w:id="215"/>
      <w:bookmarkEnd w:id="216"/>
      <w:bookmarkEnd w:id="217"/>
      <w:bookmarkEnd w:id="218"/>
      <w:bookmarkEnd w:id="219"/>
    </w:p>
    <w:p w:rsidR="00AE090E" w:rsidRDefault="00AE090E" w:rsidP="002526D0">
      <w:pPr>
        <w:pStyle w:val="Heading5"/>
      </w:pPr>
      <w:r>
        <w:t xml:space="preserve">Phase </w:t>
      </w:r>
      <w:r w:rsidR="002526D0">
        <w:t>III</w:t>
      </w:r>
      <w:r>
        <w:t xml:space="preserve"> studies</w:t>
      </w:r>
    </w:p>
    <w:p w:rsidR="00AE090E" w:rsidRDefault="00AE090E" w:rsidP="002526D0">
      <w:pPr>
        <w:pStyle w:val="Heading6"/>
      </w:pPr>
      <w:r w:rsidRPr="009B1267">
        <w:t>Deaths</w:t>
      </w:r>
      <w:r>
        <w:t>:</w:t>
      </w:r>
    </w:p>
    <w:p w:rsidR="00AE090E" w:rsidRDefault="00AE090E" w:rsidP="00AE090E">
      <w:r w:rsidRPr="00B04A0F">
        <w:t>Two deaths were reported in Study ABEC</w:t>
      </w:r>
      <w:r>
        <w:t>, one in each treatment group</w:t>
      </w:r>
      <w:r w:rsidRPr="00B04A0F">
        <w:t>.</w:t>
      </w:r>
      <w:r w:rsidR="009F388C">
        <w:t xml:space="preserve"> </w:t>
      </w:r>
      <w:r>
        <w:t>No deaths occurred in Study ABEB.</w:t>
      </w:r>
    </w:p>
    <w:p w:rsidR="00AE090E" w:rsidRDefault="002526D0" w:rsidP="00AE090E">
      <w:r>
        <w:t>[</w:t>
      </w:r>
      <w:proofErr w:type="gramStart"/>
      <w:r>
        <w:t>information</w:t>
      </w:r>
      <w:proofErr w:type="gramEnd"/>
      <w:r>
        <w:t xml:space="preserve"> redacted]</w:t>
      </w:r>
      <w:r w:rsidR="00AE090E" w:rsidRPr="00B04A0F">
        <w:t xml:space="preserve"> (</w:t>
      </w:r>
      <w:r w:rsidR="00127BD9">
        <w:t>Lantus</w:t>
      </w:r>
      <w:r w:rsidR="00AE090E" w:rsidRPr="002847C9">
        <w:rPr>
          <w:vertAlign w:val="superscript"/>
        </w:rPr>
        <w:t>®</w:t>
      </w:r>
      <w:r w:rsidR="00AE090E" w:rsidRPr="00B04A0F">
        <w:t xml:space="preserve">), a </w:t>
      </w:r>
      <w:r>
        <w:t>[information redacted]</w:t>
      </w:r>
      <w:r w:rsidR="00AE090E" w:rsidRPr="00B04A0F">
        <w:t xml:space="preserve"> male using </w:t>
      </w:r>
      <w:r w:rsidR="00127BD9">
        <w:t>Lantus</w:t>
      </w:r>
      <w:r w:rsidR="00AE090E" w:rsidRPr="00B04A0F">
        <w:rPr>
          <w:vertAlign w:val="superscript"/>
        </w:rPr>
        <w:t>®</w:t>
      </w:r>
      <w:r w:rsidR="00AE090E" w:rsidRPr="00B04A0F">
        <w:t xml:space="preserve"> prior to study entry, had a medical history that included arrhythmia, hypertension, </w:t>
      </w:r>
      <w:proofErr w:type="spellStart"/>
      <w:r w:rsidR="00AE090E" w:rsidRPr="00B04A0F">
        <w:t>hyperlipoproteinaemia</w:t>
      </w:r>
      <w:proofErr w:type="spellEnd"/>
      <w:r w:rsidR="00AE090E" w:rsidRPr="00B04A0F">
        <w:t>, and diabetes mellitus. The patient experienced an SAE of myocardial infarction with a fatal outcome approximately 1 mon</w:t>
      </w:r>
      <w:r w:rsidR="0091043D">
        <w:t>th after initiating study drug.</w:t>
      </w:r>
    </w:p>
    <w:p w:rsidR="00AE090E" w:rsidRDefault="002526D0" w:rsidP="00AE090E">
      <w:r>
        <w:t>[</w:t>
      </w:r>
      <w:proofErr w:type="gramStart"/>
      <w:r>
        <w:t>information</w:t>
      </w:r>
      <w:proofErr w:type="gramEnd"/>
      <w:r>
        <w:t xml:space="preserve"> redacted]</w:t>
      </w:r>
      <w:r w:rsidR="00AE090E" w:rsidRPr="00B04A0F">
        <w:t xml:space="preserve"> (</w:t>
      </w:r>
      <w:proofErr w:type="spellStart"/>
      <w:r w:rsidR="00216E0E">
        <w:t>Abasria</w:t>
      </w:r>
      <w:proofErr w:type="spellEnd"/>
      <w:r w:rsidR="00AE090E" w:rsidRPr="00B04A0F">
        <w:t xml:space="preserve">), </w:t>
      </w:r>
      <w:r>
        <w:t>[information redacted]</w:t>
      </w:r>
      <w:r w:rsidR="00AE090E" w:rsidRPr="00B04A0F">
        <w:t xml:space="preserve"> female, insulin-naïve patient with a medical history that included hypertonia, </w:t>
      </w:r>
      <w:proofErr w:type="spellStart"/>
      <w:r w:rsidR="00AE090E" w:rsidRPr="00B04A0F">
        <w:t>hyperlipoproteinaemia</w:t>
      </w:r>
      <w:proofErr w:type="spellEnd"/>
      <w:r w:rsidR="00AE090E" w:rsidRPr="00B04A0F">
        <w:t>, and diabetes mellitus, experienced an SAE of lung adenocarcinoma with a fatal outcome approximately 7 months after initiating study drug (duration of treatment with study drug was approximately 5 months).</w:t>
      </w:r>
      <w:r w:rsidR="009F388C">
        <w:t xml:space="preserve"> </w:t>
      </w:r>
      <w:r w:rsidR="00AE090E" w:rsidRPr="00B04A0F">
        <w:t>The respective investigators assessed the deaths as not related to study drug or study procedure.</w:t>
      </w:r>
    </w:p>
    <w:p w:rsidR="00AE090E" w:rsidRDefault="00AE090E" w:rsidP="00AE090E">
      <w:r>
        <w:t>The case narratives were provided.</w:t>
      </w:r>
      <w:r w:rsidR="009F388C">
        <w:t xml:space="preserve"> </w:t>
      </w:r>
      <w:r>
        <w:t>T</w:t>
      </w:r>
      <w:r w:rsidRPr="00B04A0F">
        <w:t>he evaluator finds the deaths are unlikely to be related to the study drugs.</w:t>
      </w:r>
    </w:p>
    <w:p w:rsidR="00AE090E" w:rsidRDefault="00AE090E" w:rsidP="002526D0">
      <w:pPr>
        <w:pStyle w:val="Heading6"/>
      </w:pPr>
      <w:r w:rsidRPr="009B1267">
        <w:t xml:space="preserve">Serious </w:t>
      </w:r>
      <w:r w:rsidR="0091043D">
        <w:t>a</w:t>
      </w:r>
      <w:r w:rsidRPr="009B1267">
        <w:t xml:space="preserve">dverse </w:t>
      </w:r>
      <w:r w:rsidR="0091043D">
        <w:t>e</w:t>
      </w:r>
      <w:r w:rsidRPr="009B1267">
        <w:t>vents</w:t>
      </w:r>
      <w:r>
        <w:t>:</w:t>
      </w:r>
    </w:p>
    <w:p w:rsidR="00AE090E" w:rsidRDefault="00AE090E" w:rsidP="00AE090E">
      <w:pPr>
        <w:autoSpaceDE w:val="0"/>
        <w:autoSpaceDN w:val="0"/>
        <w:adjustRightInd w:val="0"/>
      </w:pPr>
      <w:r w:rsidRPr="00D83BBD">
        <w:t xml:space="preserve">Serious adverse events have been presented </w:t>
      </w:r>
      <w:r>
        <w:t>for the individual studies of this report.</w:t>
      </w:r>
      <w:r w:rsidR="009F388C">
        <w:t xml:space="preserve"> </w:t>
      </w:r>
      <w:r>
        <w:t xml:space="preserve">As shown above, serious adverse events were slightly more frequent in the Lantus groups than in the </w:t>
      </w:r>
      <w:proofErr w:type="spellStart"/>
      <w:r w:rsidR="00216E0E">
        <w:t>Abasria</w:t>
      </w:r>
      <w:proofErr w:type="spellEnd"/>
      <w:r>
        <w:t xml:space="preserve"> groups in the phase three studies.</w:t>
      </w:r>
    </w:p>
    <w:p w:rsidR="00AE090E" w:rsidRDefault="00AE090E" w:rsidP="00AE090E">
      <w:pPr>
        <w:autoSpaceDE w:val="0"/>
        <w:autoSpaceDN w:val="0"/>
        <w:adjustRightInd w:val="0"/>
      </w:pPr>
      <w:r w:rsidRPr="00D83BBD">
        <w:t xml:space="preserve">See Table </w:t>
      </w:r>
      <w:r w:rsidR="008600DE">
        <w:t>20</w:t>
      </w:r>
      <w:r>
        <w:t xml:space="preserve">, taken from the applicant’s Table 2.7.4.8 for a comparison of serious adverse events in both studies. </w:t>
      </w:r>
    </w:p>
    <w:p w:rsidR="009E282D" w:rsidRDefault="00AE090E" w:rsidP="00A90D13">
      <w:pPr>
        <w:pStyle w:val="Tabletitle"/>
        <w:spacing w:before="0"/>
      </w:pPr>
      <w:bookmarkStart w:id="220" w:name="_Toc378791318"/>
      <w:r>
        <w:lastRenderedPageBreak/>
        <w:t xml:space="preserve">Table </w:t>
      </w:r>
      <w:r w:rsidR="008600DE">
        <w:t>20:</w:t>
      </w:r>
      <w:r>
        <w:t>- Comparison of serious adverse events in both studies</w:t>
      </w:r>
      <w:bookmarkEnd w:id="220"/>
      <w:r w:rsidR="008600DE">
        <w:t xml:space="preserve">. </w:t>
      </w:r>
      <w:proofErr w:type="gramStart"/>
      <w:r w:rsidR="008600DE">
        <w:t>Studies ABEB and ABEC.</w:t>
      </w:r>
      <w:proofErr w:type="gramEnd"/>
      <w:r w:rsidR="008600DE">
        <w:t xml:space="preserve"> Full analysis set.</w:t>
      </w:r>
    </w:p>
    <w:p w:rsidR="00FD4FD4" w:rsidRDefault="008600DE" w:rsidP="00A90D13">
      <w:pPr>
        <w:pStyle w:val="Tabletitle"/>
        <w:spacing w:before="0"/>
      </w:pPr>
      <w:r>
        <w:t xml:space="preserve"> </w:t>
      </w:r>
      <w:r w:rsidR="00FD4FD4">
        <w:rPr>
          <w:noProof/>
          <w:lang w:eastAsia="en-AU"/>
        </w:rPr>
        <w:drawing>
          <wp:inline distT="0" distB="0" distL="0" distR="0" wp14:anchorId="7EB17E2C" wp14:editId="7A425C89">
            <wp:extent cx="3812868" cy="5084698"/>
            <wp:effectExtent l="0" t="0" r="0" b="0"/>
            <wp:docPr id="31" name="Picture 31" descr="Table 20:- Comparison of serious adverse events in both studies. Studies ABEB and ABEC. Full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888"/>
                    <a:stretch/>
                  </pic:blipFill>
                  <pic:spPr bwMode="auto">
                    <a:xfrm>
                      <a:off x="0" y="0"/>
                      <a:ext cx="3822209" cy="5097155"/>
                    </a:xfrm>
                    <a:prstGeom prst="rect">
                      <a:avLst/>
                    </a:prstGeom>
                    <a:ln>
                      <a:noFill/>
                    </a:ln>
                    <a:extLst>
                      <a:ext uri="{53640926-AAD7-44D8-BBD7-CCE9431645EC}">
                        <a14:shadowObscured xmlns:a14="http://schemas.microsoft.com/office/drawing/2010/main"/>
                      </a:ext>
                    </a:extLst>
                  </pic:spPr>
                </pic:pic>
              </a:graphicData>
            </a:graphic>
          </wp:inline>
        </w:drawing>
      </w:r>
    </w:p>
    <w:p w:rsidR="00AE090E" w:rsidRDefault="00AE090E" w:rsidP="0091043D">
      <w:pPr>
        <w:pStyle w:val="Heading5"/>
      </w:pPr>
      <w:r w:rsidRPr="0091043D">
        <w:t>Neoplasms</w:t>
      </w:r>
      <w:r>
        <w:t>:</w:t>
      </w:r>
    </w:p>
    <w:p w:rsidR="00AE090E" w:rsidRDefault="00AE090E" w:rsidP="00AE090E">
      <w:pPr>
        <w:autoSpaceDE w:val="0"/>
        <w:autoSpaceDN w:val="0"/>
        <w:adjustRightInd w:val="0"/>
      </w:pPr>
      <w:r>
        <w:t>Also of note are neoplasms that were reported on study.</w:t>
      </w:r>
      <w:r w:rsidR="009F388C">
        <w:t xml:space="preserve"> </w:t>
      </w:r>
      <w:r>
        <w:t xml:space="preserve">Insulin </w:t>
      </w:r>
      <w:proofErr w:type="spellStart"/>
      <w:r>
        <w:t>glargine</w:t>
      </w:r>
      <w:proofErr w:type="spellEnd"/>
      <w:r>
        <w:t xml:space="preserve"> is agonistic at IGF-1 receptors, to a greater degree than native human insulin. As the exposure was up to 24 weeks, causation is difficult to attribute to insulin </w:t>
      </w:r>
      <w:proofErr w:type="spellStart"/>
      <w:r>
        <w:t>glargine</w:t>
      </w:r>
      <w:proofErr w:type="spellEnd"/>
      <w:r>
        <w:t>. The following table was taken from the Module 2.7 safety summary.</w:t>
      </w:r>
      <w:r w:rsidR="009F388C">
        <w:t xml:space="preserve"> </w:t>
      </w:r>
      <w:r w:rsidR="00FD4FD4">
        <w:t>Patient [information redacted]</w:t>
      </w:r>
      <w:r>
        <w:t xml:space="preserve"> is discussed under Deaths.</w:t>
      </w:r>
    </w:p>
    <w:p w:rsidR="00FD4FD4" w:rsidRDefault="00FD4FD4" w:rsidP="00B87044">
      <w:pPr>
        <w:pStyle w:val="Tabletitle"/>
      </w:pPr>
      <w:r>
        <w:lastRenderedPageBreak/>
        <w:t xml:space="preserve">Table 21: Listing of Neoplasms Studies ABEB and ABEC. Full </w:t>
      </w:r>
      <w:r w:rsidRPr="00B87044">
        <w:t>analysis</w:t>
      </w:r>
      <w:r>
        <w:t xml:space="preserve"> set</w:t>
      </w:r>
    </w:p>
    <w:p w:rsidR="00973F5D" w:rsidRPr="00973F5D" w:rsidRDefault="00973F5D" w:rsidP="00973F5D">
      <w:r>
        <w:rPr>
          <w:noProof/>
          <w:lang w:eastAsia="en-AU"/>
        </w:rPr>
        <w:drawing>
          <wp:inline distT="0" distB="0" distL="0" distR="0" wp14:anchorId="189DFE56" wp14:editId="3E71E0AA">
            <wp:extent cx="3164265" cy="2156504"/>
            <wp:effectExtent l="0" t="0" r="0" b="0"/>
            <wp:docPr id="289" name="Picture 289" descr="Table 21: Listing of Neoplasms Studies ABEB and ABEC.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73133" cy="2162548"/>
                    </a:xfrm>
                    <a:prstGeom prst="rect">
                      <a:avLst/>
                    </a:prstGeom>
                  </pic:spPr>
                </pic:pic>
              </a:graphicData>
            </a:graphic>
          </wp:inline>
        </w:drawing>
      </w:r>
    </w:p>
    <w:p w:rsidR="00AE090E" w:rsidRDefault="00AE090E" w:rsidP="00216E0E">
      <w:pPr>
        <w:pStyle w:val="Heading5"/>
      </w:pPr>
      <w:r>
        <w:t>Hypoglycaemia:</w:t>
      </w:r>
    </w:p>
    <w:p w:rsidR="00AE090E" w:rsidRDefault="00AE090E" w:rsidP="00AE090E">
      <w:pPr>
        <w:autoSpaceDE w:val="0"/>
        <w:autoSpaceDN w:val="0"/>
        <w:adjustRightInd w:val="0"/>
      </w:pPr>
      <w:r>
        <w:t>Severe hypoglycaemia was considered to be a serious adverse event.</w:t>
      </w:r>
      <w:r w:rsidR="009F388C">
        <w:t xml:space="preserve"> </w:t>
      </w:r>
      <w:r>
        <w:t>Both phase three studies included provisions for data gathering in case of suspected hypoglycaemia.</w:t>
      </w:r>
      <w:r w:rsidR="009F388C">
        <w:t xml:space="preserve"> </w:t>
      </w:r>
      <w:r>
        <w:t>Patients were instructed to check their blood glucose level, whenever possible, if they had symptoms suggestive of hypoglycaemia.</w:t>
      </w:r>
      <w:r w:rsidR="009F388C">
        <w:t xml:space="preserve"> </w:t>
      </w:r>
      <w:r>
        <w:t xml:space="preserve">For each </w:t>
      </w:r>
      <w:proofErr w:type="spellStart"/>
      <w:r>
        <w:t>hypoglycemic</w:t>
      </w:r>
      <w:proofErr w:type="spellEnd"/>
      <w:r>
        <w:t xml:space="preserve"> event, patients were to record their </w:t>
      </w:r>
      <w:r w:rsidRPr="00E538BA">
        <w:t>blood glucose</w:t>
      </w:r>
      <w:r>
        <w:t xml:space="preserve"> level, associated symptoms, and treatment in their study diaries.</w:t>
      </w:r>
    </w:p>
    <w:p w:rsidR="00AE090E" w:rsidRDefault="00B87044" w:rsidP="00AE090E">
      <w:pPr>
        <w:autoSpaceDE w:val="0"/>
        <w:autoSpaceDN w:val="0"/>
        <w:adjustRightInd w:val="0"/>
      </w:pPr>
      <w:r>
        <w:t>Module 2.7 states that,</w:t>
      </w:r>
    </w:p>
    <w:p w:rsidR="00AE090E" w:rsidRPr="00FD4FD4" w:rsidRDefault="00FD4FD4" w:rsidP="00FD4FD4">
      <w:pPr>
        <w:autoSpaceDE w:val="0"/>
        <w:autoSpaceDN w:val="0"/>
        <w:adjustRightInd w:val="0"/>
        <w:ind w:firstLine="567"/>
        <w:rPr>
          <w:i/>
        </w:rPr>
      </w:pPr>
      <w:r>
        <w:t>‘</w:t>
      </w:r>
      <w:r w:rsidR="00AE090E" w:rsidRPr="00FD4FD4">
        <w:rPr>
          <w:i/>
        </w:rPr>
        <w:t>A hypoglycaemic event was defined as follows:</w:t>
      </w:r>
    </w:p>
    <w:p w:rsidR="00AE090E" w:rsidRPr="00FD4FD4" w:rsidRDefault="00AE090E" w:rsidP="00AE090E">
      <w:pPr>
        <w:autoSpaceDE w:val="0"/>
        <w:autoSpaceDN w:val="0"/>
        <w:adjustRightInd w:val="0"/>
        <w:ind w:left="720"/>
        <w:rPr>
          <w:i/>
        </w:rPr>
      </w:pPr>
      <w:r w:rsidRPr="00FD4FD4">
        <w:rPr>
          <w:i/>
        </w:rPr>
        <w:t>- Any time a patient felt that he/she was experiencing a sign or symptom that was associated with hypoglycaemia; OR</w:t>
      </w:r>
    </w:p>
    <w:p w:rsidR="00AE090E" w:rsidRDefault="00AE090E" w:rsidP="00AE090E">
      <w:pPr>
        <w:autoSpaceDE w:val="0"/>
        <w:autoSpaceDN w:val="0"/>
        <w:adjustRightInd w:val="0"/>
        <w:ind w:left="720"/>
      </w:pPr>
      <w:r w:rsidRPr="00FD4FD4">
        <w:rPr>
          <w:i/>
        </w:rPr>
        <w:t>- A blood glucose level ≤3.9 mmol/L, even if it was not associated with signs, symptoms, or treatment consistent with current guidelines (ADA 2005).</w:t>
      </w:r>
      <w:r w:rsidR="00127BD9">
        <w:t>’</w:t>
      </w:r>
    </w:p>
    <w:p w:rsidR="00AE090E" w:rsidRDefault="00AE090E" w:rsidP="00AE090E">
      <w:pPr>
        <w:autoSpaceDE w:val="0"/>
        <w:autoSpaceDN w:val="0"/>
        <w:adjustRightInd w:val="0"/>
      </w:pPr>
      <w:r>
        <w:t>However, the study protocols included de</w:t>
      </w:r>
      <w:r w:rsidR="00B87044">
        <w:t>scriptors for several subtypes:</w:t>
      </w:r>
    </w:p>
    <w:p w:rsidR="00AE090E" w:rsidRDefault="00127BD9" w:rsidP="00AE090E">
      <w:pPr>
        <w:pStyle w:val="Bullet2"/>
        <w:autoSpaceDE w:val="0"/>
        <w:autoSpaceDN w:val="0"/>
        <w:adjustRightInd w:val="0"/>
      </w:pPr>
      <w:r w:rsidRPr="00FD4FD4">
        <w:rPr>
          <w:i/>
        </w:rPr>
        <w:t>‘</w:t>
      </w:r>
      <w:r w:rsidR="00AE090E" w:rsidRPr="00FD4FD4">
        <w:rPr>
          <w:i/>
        </w:rPr>
        <w:t xml:space="preserve">Severe </w:t>
      </w:r>
      <w:proofErr w:type="spellStart"/>
      <w:r w:rsidR="00AE090E" w:rsidRPr="00FD4FD4">
        <w:rPr>
          <w:i/>
        </w:rPr>
        <w:t>hypoglycemia</w:t>
      </w:r>
      <w:proofErr w:type="spellEnd"/>
      <w:r w:rsidR="00AE090E">
        <w:t xml:space="preserve"> was defined as a </w:t>
      </w:r>
      <w:proofErr w:type="spellStart"/>
      <w:r w:rsidR="00AE090E">
        <w:t>hypoglycemic</w:t>
      </w:r>
      <w:proofErr w:type="spellEnd"/>
      <w:r w:rsidR="00AE090E">
        <w:t xml:space="preserve"> event that required assistance of another person to actively administer carbohydrate, </w:t>
      </w:r>
      <w:proofErr w:type="spellStart"/>
      <w:r w:rsidR="00AE090E">
        <w:t>glucagons</w:t>
      </w:r>
      <w:proofErr w:type="spellEnd"/>
      <w:r w:rsidR="00AE090E">
        <w:t xml:space="preserve">, or other resuscitative actions. These episodes may have been associated with sufficient </w:t>
      </w:r>
      <w:proofErr w:type="spellStart"/>
      <w:r w:rsidR="00AE090E">
        <w:t>neuroglycopenia</w:t>
      </w:r>
      <w:proofErr w:type="spellEnd"/>
      <w:r w:rsidR="00AE090E">
        <w:t xml:space="preserve"> to induce seizure or coma. Blood glucose measurements may not have been available during such an event, but neurological recovery attributable to the restoration of BG to normal was considered sufficient evidence that the event was induced by low plasma glucose. Episodes of severe </w:t>
      </w:r>
      <w:proofErr w:type="spellStart"/>
      <w:r w:rsidR="00AE090E">
        <w:t>hypoglycemia</w:t>
      </w:r>
      <w:proofErr w:type="spellEnd"/>
      <w:r w:rsidR="00AE090E">
        <w:t xml:space="preserve"> we</w:t>
      </w:r>
      <w:r w:rsidR="00B87044">
        <w:t>re also to be recorded as SAEs.</w:t>
      </w:r>
    </w:p>
    <w:p w:rsidR="00AE090E" w:rsidRDefault="00AE090E" w:rsidP="00AE090E">
      <w:pPr>
        <w:pStyle w:val="Bullet2"/>
        <w:autoSpaceDE w:val="0"/>
        <w:autoSpaceDN w:val="0"/>
        <w:adjustRightInd w:val="0"/>
      </w:pPr>
      <w:r w:rsidRPr="00FD4FD4">
        <w:rPr>
          <w:i/>
        </w:rPr>
        <w:t xml:space="preserve">Nocturnal </w:t>
      </w:r>
      <w:proofErr w:type="spellStart"/>
      <w:r w:rsidRPr="00FD4FD4">
        <w:rPr>
          <w:i/>
        </w:rPr>
        <w:t>hypoglycemia</w:t>
      </w:r>
      <w:proofErr w:type="spellEnd"/>
      <w:r>
        <w:t xml:space="preserve"> was defined as any </w:t>
      </w:r>
      <w:proofErr w:type="spellStart"/>
      <w:r>
        <w:t>hypoglycemic</w:t>
      </w:r>
      <w:proofErr w:type="spellEnd"/>
      <w:r>
        <w:t xml:space="preserve"> event that occurred between bedtime and waking.</w:t>
      </w:r>
      <w:r w:rsidR="009F388C">
        <w:t xml:space="preserve"> </w:t>
      </w:r>
      <w:r>
        <w:t xml:space="preserve">Non-nocturnal </w:t>
      </w:r>
      <w:proofErr w:type="spellStart"/>
      <w:r>
        <w:t>hypoglycemia</w:t>
      </w:r>
      <w:proofErr w:type="spellEnd"/>
      <w:r>
        <w:t xml:space="preserve"> was defined as any </w:t>
      </w:r>
      <w:proofErr w:type="spellStart"/>
      <w:r>
        <w:t>hypoglycemic</w:t>
      </w:r>
      <w:proofErr w:type="spellEnd"/>
      <w:r>
        <w:t xml:space="preserve"> event that occur</w:t>
      </w:r>
      <w:r w:rsidR="00B87044">
        <w:t>red between waking and bedtime.</w:t>
      </w:r>
    </w:p>
    <w:p w:rsidR="00AE090E" w:rsidRDefault="00AE090E" w:rsidP="00AE090E">
      <w:r>
        <w:t>As well as these, other types of hypoglycaemia were included in the individual study tabulations.</w:t>
      </w:r>
    </w:p>
    <w:p w:rsidR="00AE090E" w:rsidRDefault="00AE090E" w:rsidP="00AE090E">
      <w:r w:rsidRPr="00A90D13">
        <w:t xml:space="preserve">See Table </w:t>
      </w:r>
      <w:r w:rsidR="00A90D13" w:rsidRPr="00A90D13">
        <w:t>18</w:t>
      </w:r>
      <w:r w:rsidRPr="00A90D13">
        <w:t xml:space="preserve"> above for the comparisons within each study regarding severe hypoglycaemia; Table </w:t>
      </w:r>
      <w:r w:rsidR="00A90D13" w:rsidRPr="00A90D13">
        <w:t>17</w:t>
      </w:r>
      <w:r w:rsidRPr="00A90D13">
        <w:t xml:space="preserve"> contains the corresponding information for all types of hypoglycaemia.</w:t>
      </w:r>
    </w:p>
    <w:p w:rsidR="00AE090E" w:rsidRDefault="00AE090E" w:rsidP="00AE090E">
      <w:r>
        <w:t>In practice, there was no imbalance between the two treatment groups in both phase three studies in regard to hypoglycaemia.</w:t>
      </w:r>
    </w:p>
    <w:p w:rsidR="00AE090E" w:rsidRPr="008F73B4" w:rsidRDefault="00AE090E" w:rsidP="00216E0E">
      <w:pPr>
        <w:pStyle w:val="Heading4"/>
      </w:pPr>
      <w:bookmarkStart w:id="221" w:name="_Toc241374325"/>
      <w:bookmarkStart w:id="222" w:name="_Ref272333477"/>
      <w:bookmarkStart w:id="223" w:name="_Toc272414667"/>
      <w:bookmarkStart w:id="224" w:name="_Toc290846305"/>
      <w:bookmarkStart w:id="225" w:name="_Toc378790201"/>
      <w:r>
        <w:lastRenderedPageBreak/>
        <w:t>Discontinuation due to adverse events</w:t>
      </w:r>
      <w:bookmarkEnd w:id="221"/>
      <w:bookmarkEnd w:id="222"/>
      <w:bookmarkEnd w:id="223"/>
      <w:bookmarkEnd w:id="224"/>
      <w:bookmarkEnd w:id="225"/>
    </w:p>
    <w:p w:rsidR="00AE090E" w:rsidRDefault="00FD4FD4" w:rsidP="00FD4FD4">
      <w:pPr>
        <w:pStyle w:val="Heading5"/>
      </w:pPr>
      <w:r>
        <w:t>Phase III</w:t>
      </w:r>
      <w:r w:rsidR="00AE090E">
        <w:t xml:space="preserve"> studies</w:t>
      </w:r>
    </w:p>
    <w:p w:rsidR="00AE090E" w:rsidRDefault="00AE090E" w:rsidP="00AE090E">
      <w:r w:rsidRPr="00FD4FD4">
        <w:t xml:space="preserve">As shown in Table </w:t>
      </w:r>
      <w:r w:rsidR="00FD4FD4" w:rsidRPr="00FD4FD4">
        <w:t>20</w:t>
      </w:r>
      <w:r w:rsidRPr="00FD4FD4">
        <w:t xml:space="preserve"> above, serious adverse events were slightly more frequent in the Lantus groups than in the </w:t>
      </w:r>
      <w:proofErr w:type="spellStart"/>
      <w:r w:rsidR="00216E0E" w:rsidRPr="00FD4FD4">
        <w:t>Abasria</w:t>
      </w:r>
      <w:proofErr w:type="spellEnd"/>
      <w:r w:rsidRPr="00FD4FD4">
        <w:t xml:space="preserve"> groups</w:t>
      </w:r>
      <w:r w:rsidRPr="00441AC3">
        <w:t xml:space="preserve"> in the phase three studies.</w:t>
      </w:r>
      <w:r w:rsidR="009F388C">
        <w:t xml:space="preserve"> </w:t>
      </w:r>
      <w:r>
        <w:t>Five patients (</w:t>
      </w:r>
      <w:proofErr w:type="spellStart"/>
      <w:r w:rsidR="00216E0E">
        <w:t>Abasria</w:t>
      </w:r>
      <w:proofErr w:type="spellEnd"/>
      <w:r>
        <w:t xml:space="preserve">: 2; </w:t>
      </w:r>
      <w:r w:rsidR="00127BD9">
        <w:t>Lantus</w:t>
      </w:r>
      <w:r w:rsidRPr="00025B6A">
        <w:rPr>
          <w:vertAlign w:val="superscript"/>
        </w:rPr>
        <w:t>®</w:t>
      </w:r>
      <w:r>
        <w:t>: 3) in Study ABEB and 17 patients (</w:t>
      </w:r>
      <w:proofErr w:type="spellStart"/>
      <w:r w:rsidR="00216E0E">
        <w:t>Abasria</w:t>
      </w:r>
      <w:proofErr w:type="spellEnd"/>
      <w:r>
        <w:t xml:space="preserve">: 6; </w:t>
      </w:r>
      <w:r w:rsidR="00127BD9">
        <w:t>Lantus</w:t>
      </w:r>
      <w:r w:rsidRPr="00025B6A">
        <w:rPr>
          <w:vertAlign w:val="superscript"/>
        </w:rPr>
        <w:t>®</w:t>
      </w:r>
      <w:r>
        <w:t>: 11) in Study ABEC discontinued due to an adverse event.</w:t>
      </w:r>
    </w:p>
    <w:p w:rsidR="00AE090E" w:rsidRDefault="00AE090E" w:rsidP="00AE090E">
      <w:r>
        <w:t xml:space="preserve">Discontinuations for events that were considered to be </w:t>
      </w:r>
      <w:r w:rsidRPr="00FD4FD4">
        <w:rPr>
          <w:i/>
        </w:rPr>
        <w:t>causally related</w:t>
      </w:r>
      <w:r>
        <w:t xml:space="preserve"> to the study drug were few: in ABEC there were fewer d</w:t>
      </w:r>
      <w:r w:rsidRPr="00025B6A">
        <w:t>iscontinuations</w:t>
      </w:r>
      <w:r>
        <w:t xml:space="preserve"> in the </w:t>
      </w:r>
      <w:proofErr w:type="spellStart"/>
      <w:r w:rsidR="00216E0E">
        <w:t>Abasria</w:t>
      </w:r>
      <w:proofErr w:type="spellEnd"/>
      <w:r>
        <w:t xml:space="preserve"> group (one case of injection site pain) than in the Lantus group (one each of oral paraesthesia, injection site mass and fatigue); in ABEB there was one such discontinuation only, in the Lantus group for hypoglycaemia.</w:t>
      </w:r>
    </w:p>
    <w:p w:rsidR="00AE090E" w:rsidRDefault="00AE090E" w:rsidP="00FD4FD4">
      <w:pPr>
        <w:pStyle w:val="Heading3"/>
      </w:pPr>
      <w:bookmarkStart w:id="226" w:name="_Toc241374321"/>
      <w:bookmarkStart w:id="227" w:name="_Ref271044780"/>
      <w:bookmarkStart w:id="228" w:name="_Ref271196640"/>
      <w:bookmarkStart w:id="229" w:name="_Ref272333085"/>
      <w:bookmarkStart w:id="230" w:name="_Toc272414668"/>
      <w:bookmarkStart w:id="231" w:name="_Toc290846306"/>
      <w:bookmarkStart w:id="232" w:name="_Toc378790202"/>
      <w:bookmarkStart w:id="233" w:name="_Toc416955636"/>
      <w:r>
        <w:t>Laboratory tests</w:t>
      </w:r>
      <w:bookmarkEnd w:id="226"/>
      <w:bookmarkEnd w:id="227"/>
      <w:bookmarkEnd w:id="228"/>
      <w:bookmarkEnd w:id="229"/>
      <w:bookmarkEnd w:id="230"/>
      <w:bookmarkEnd w:id="231"/>
      <w:bookmarkEnd w:id="232"/>
      <w:bookmarkEnd w:id="233"/>
    </w:p>
    <w:p w:rsidR="00AE090E" w:rsidRDefault="00AE090E" w:rsidP="00AE090E">
      <w:r>
        <w:t>In ABEC and ABEB, there was a centralised process for logging laboratory test results and recording them in SI units, also generating comparisons with standard reference ranges.</w:t>
      </w:r>
      <w:r w:rsidR="009F388C">
        <w:t xml:space="preserve"> </w:t>
      </w:r>
      <w:r>
        <w:t>This does not appear to refer to standardisation or to Quality Assurance of laboratory results across many centres.</w:t>
      </w:r>
    </w:p>
    <w:p w:rsidR="00AE090E" w:rsidRPr="009719FA" w:rsidRDefault="00AE090E" w:rsidP="00FD4FD4">
      <w:pPr>
        <w:pStyle w:val="Heading4"/>
      </w:pPr>
      <w:r w:rsidRPr="009719FA">
        <w:t>Study ABEC</w:t>
      </w:r>
    </w:p>
    <w:p w:rsidR="00AE090E" w:rsidRDefault="00AE090E" w:rsidP="00AE090E">
      <w:r>
        <w:t>The applicant presented group mean data at several time points for Study ABEC.</w:t>
      </w:r>
      <w:r w:rsidR="009F388C">
        <w:t xml:space="preserve"> </w:t>
      </w:r>
      <w:r>
        <w:t>No clinically significant changes occurred with respect to haematological (erythrocyte count, haematocrit, haemoglobin, leucocyte count, platelet count) or of chemistry variables (ALT, AST, bilirubin, alkaline phosphatase, albumin, urea, potassium, sodium, creatinine). Individual data listings were provided for abnormal laboratory results. The evaluator concludes that no pattern related to either study drug was present, as might have been expected.</w:t>
      </w:r>
    </w:p>
    <w:p w:rsidR="00AE090E" w:rsidRPr="009719FA" w:rsidRDefault="00AE090E" w:rsidP="00FD4FD4">
      <w:pPr>
        <w:pStyle w:val="Heading4"/>
      </w:pPr>
      <w:r w:rsidRPr="009719FA">
        <w:t>Study ABEB</w:t>
      </w:r>
    </w:p>
    <w:p w:rsidR="00AD0CFC" w:rsidRDefault="00AE090E" w:rsidP="00AE090E">
      <w:r>
        <w:t>The study summary included listings in table ABEB 14.8 of all patients with abnormal laboratory results during the conduct of the study.</w:t>
      </w:r>
      <w:r w:rsidR="009F388C">
        <w:t xml:space="preserve"> </w:t>
      </w:r>
      <w:r>
        <w:t>[From Study ABEB Module</w:t>
      </w:r>
      <w:r w:rsidR="00B87044">
        <w:t xml:space="preserve"> 5 Study report, page 174/4817]</w:t>
      </w:r>
    </w:p>
    <w:p w:rsidR="00AE090E" w:rsidRDefault="00127BD9" w:rsidP="00AE090E">
      <w:r>
        <w:t>‘</w:t>
      </w:r>
      <w:r w:rsidR="00AE090E" w:rsidRPr="00FD4FD4">
        <w:rPr>
          <w:i/>
        </w:rPr>
        <w:t xml:space="preserve">Small, but statistically significant treatment differences were observed for LS mean change from baseline to endpoint (LOCF) for creatinine (LY2963016: 0.50 micromole/L; </w:t>
      </w:r>
      <w:r w:rsidRPr="00FD4FD4">
        <w:rPr>
          <w:i/>
        </w:rPr>
        <w:t>Lantus</w:t>
      </w:r>
      <w:r w:rsidR="00AE090E" w:rsidRPr="00FD4FD4">
        <w:rPr>
          <w:i/>
          <w:vertAlign w:val="superscript"/>
        </w:rPr>
        <w:t>®</w:t>
      </w:r>
      <w:r w:rsidR="00AE090E" w:rsidRPr="00FD4FD4">
        <w:rPr>
          <w:i/>
        </w:rPr>
        <w:t xml:space="preserve">: 2.42 micromole/L; LS mean difference [SE]: -1.92 mmol/L [0.85]; p=.025) and </w:t>
      </w:r>
      <w:proofErr w:type="spellStart"/>
      <w:r w:rsidR="00AE090E" w:rsidRPr="00FD4FD4">
        <w:rPr>
          <w:i/>
        </w:rPr>
        <w:t>hemoglobin</w:t>
      </w:r>
      <w:proofErr w:type="spellEnd"/>
      <w:r w:rsidR="00AE090E" w:rsidRPr="00FD4FD4">
        <w:rPr>
          <w:i/>
        </w:rPr>
        <w:t xml:space="preserve"> (LY2963016: -0.09 </w:t>
      </w:r>
      <w:proofErr w:type="spellStart"/>
      <w:r w:rsidR="00AE090E" w:rsidRPr="00FD4FD4">
        <w:rPr>
          <w:i/>
        </w:rPr>
        <w:t>mmol</w:t>
      </w:r>
      <w:proofErr w:type="spellEnd"/>
      <w:r w:rsidR="00AE090E" w:rsidRPr="00FD4FD4">
        <w:rPr>
          <w:i/>
        </w:rPr>
        <w:t xml:space="preserve">/L; </w:t>
      </w:r>
      <w:r w:rsidRPr="00FD4FD4">
        <w:rPr>
          <w:i/>
        </w:rPr>
        <w:t>Lantus</w:t>
      </w:r>
      <w:r w:rsidR="00AE090E" w:rsidRPr="00FD4FD4">
        <w:rPr>
          <w:i/>
          <w:vertAlign w:val="superscript"/>
        </w:rPr>
        <w:t>®</w:t>
      </w:r>
      <w:r w:rsidR="00AE090E" w:rsidRPr="00FD4FD4">
        <w:rPr>
          <w:i/>
        </w:rPr>
        <w:t>: -0.01 mmol/L; LS mean difference [SE]: -0.09 mmol/L [0.04]; p=.028).</w:t>
      </w:r>
      <w:r>
        <w:t>’</w:t>
      </w:r>
    </w:p>
    <w:p w:rsidR="00AE090E" w:rsidRDefault="00AE090E" w:rsidP="00AE090E">
      <w:r>
        <w:t>The clinical chemistry listings reflected a population with prevalent renal impairment and some hepatic disease. The blood count results that were abnormal were in general only marginally outside the reference ranges.</w:t>
      </w:r>
    </w:p>
    <w:p w:rsidR="00AE090E" w:rsidRPr="00FE4658" w:rsidRDefault="00AE090E" w:rsidP="00FD4FD4">
      <w:pPr>
        <w:pStyle w:val="Heading3"/>
      </w:pPr>
      <w:bookmarkStart w:id="234" w:name="_Toc272414675"/>
      <w:bookmarkStart w:id="235" w:name="_Toc290846313"/>
      <w:bookmarkStart w:id="236" w:name="_Toc378790203"/>
      <w:bookmarkStart w:id="237" w:name="_Toc416955637"/>
      <w:r w:rsidRPr="00FE4658">
        <w:t>Electrocardiograph</w:t>
      </w:r>
      <w:bookmarkEnd w:id="234"/>
      <w:bookmarkEnd w:id="235"/>
      <w:bookmarkEnd w:id="236"/>
      <w:bookmarkEnd w:id="237"/>
    </w:p>
    <w:p w:rsidR="00AE090E" w:rsidRPr="00FE4658" w:rsidRDefault="00AE090E" w:rsidP="00FD4FD4">
      <w:pPr>
        <w:pStyle w:val="Heading4"/>
      </w:pPr>
      <w:r w:rsidRPr="00FE4658">
        <w:t>Pivotal studies</w:t>
      </w:r>
    </w:p>
    <w:p w:rsidR="00AE090E" w:rsidRDefault="00AE090E" w:rsidP="00973F5D">
      <w:pPr>
        <w:pStyle w:val="Heading5"/>
      </w:pPr>
      <w:r>
        <w:t xml:space="preserve">ABEC </w:t>
      </w:r>
      <w:r w:rsidR="00973F5D">
        <w:t>and</w:t>
      </w:r>
      <w:r>
        <w:t xml:space="preserve"> ABEB:</w:t>
      </w:r>
    </w:p>
    <w:p w:rsidR="00AE090E" w:rsidRDefault="00AE090E" w:rsidP="00973F5D">
      <w:r>
        <w:t>An ECG was collected at screening to determine eligibility of the patient for entry into the study. The ECG was interpreted by a qualified physician (the investigator or qualified designee) at the site as soon after the time of ECG collection as possible, for immediate patient management and to determine whether the patient met entry criteria.</w:t>
      </w:r>
      <w:r w:rsidR="009F388C">
        <w:t xml:space="preserve"> </w:t>
      </w:r>
      <w:r>
        <w:t>If the ECG results were considered abnormal and clinically significant, they were entered as an AE. ECGs could have been repeated for ascertainment of cause in case of adverse events. That is, ECGs were not routinely repeated.</w:t>
      </w:r>
    </w:p>
    <w:p w:rsidR="00AE090E" w:rsidRPr="00FE4658" w:rsidRDefault="00AE090E" w:rsidP="00FD4FD4">
      <w:pPr>
        <w:pStyle w:val="Heading3"/>
      </w:pPr>
      <w:bookmarkStart w:id="238" w:name="_Toc272414676"/>
      <w:bookmarkStart w:id="239" w:name="_Toc290846314"/>
      <w:bookmarkStart w:id="240" w:name="_Toc378790204"/>
      <w:bookmarkStart w:id="241" w:name="_Toc416955638"/>
      <w:r w:rsidRPr="00FE4658">
        <w:lastRenderedPageBreak/>
        <w:t>Vital signs</w:t>
      </w:r>
      <w:bookmarkEnd w:id="238"/>
      <w:bookmarkEnd w:id="239"/>
      <w:bookmarkEnd w:id="240"/>
      <w:bookmarkEnd w:id="241"/>
    </w:p>
    <w:p w:rsidR="00AE090E" w:rsidRPr="00FE4658" w:rsidRDefault="00216E0E" w:rsidP="00FD4FD4">
      <w:pPr>
        <w:pStyle w:val="Heading4"/>
      </w:pPr>
      <w:r>
        <w:t>Phase III</w:t>
      </w:r>
      <w:r w:rsidR="00AE090E" w:rsidRPr="00FE4658">
        <w:t xml:space="preserve"> studies</w:t>
      </w:r>
    </w:p>
    <w:p w:rsidR="00AD0CFC" w:rsidRDefault="00AE090E" w:rsidP="00AE090E">
      <w:r>
        <w:t>As reported in the Modul</w:t>
      </w:r>
      <w:r w:rsidR="00B87044">
        <w:t>e 5 study report of Study ABEB,</w:t>
      </w:r>
    </w:p>
    <w:p w:rsidR="00AE090E" w:rsidRDefault="00127BD9" w:rsidP="00AE090E">
      <w:r>
        <w:t>‘</w:t>
      </w:r>
      <w:r w:rsidR="00AE090E" w:rsidRPr="00FD4FD4">
        <w:rPr>
          <w:i/>
        </w:rPr>
        <w:t>Patient vital signs (DBP, SBP, and HR) were taken at specified times throughout the study</w:t>
      </w:r>
      <w:r w:rsidR="00AE090E" w:rsidRPr="002A20E8">
        <w:t>.</w:t>
      </w:r>
      <w:r>
        <w:t>’</w:t>
      </w:r>
      <w:r w:rsidR="00AE090E" w:rsidRPr="002A20E8">
        <w:t xml:space="preserve"> </w:t>
      </w:r>
      <w:r>
        <w:t>‘</w:t>
      </w:r>
      <w:r w:rsidR="00AE090E" w:rsidRPr="00FD4FD4">
        <w:rPr>
          <w:i/>
        </w:rPr>
        <w:t xml:space="preserve">For DBP, SBP, and HR, there were no statistically significant differences between treatment groups for actual values or change from baseline at any visit or endpoint (LOCF). From baseline to endpoint (LOCF), DBP decreased by an LS mean value of 0.95 mm Hg and 1.01 mm Hg for the LY2963016 group and </w:t>
      </w:r>
      <w:r w:rsidRPr="00FD4FD4">
        <w:rPr>
          <w:i/>
        </w:rPr>
        <w:t>Lantus</w:t>
      </w:r>
      <w:r w:rsidR="00AE090E" w:rsidRPr="00FD4FD4">
        <w:rPr>
          <w:i/>
          <w:vertAlign w:val="superscript"/>
        </w:rPr>
        <w:t>®</w:t>
      </w:r>
      <w:r w:rsidR="00AE090E" w:rsidRPr="00FD4FD4">
        <w:rPr>
          <w:i/>
        </w:rPr>
        <w:t xml:space="preserve"> group, respectively; SBP decreased by an LS mean value of 2.69 mm Hg and 0.83mm Hg, respectively; and HR changed by an LS mean of -0.96 bpm and 0.17 bpm, respectively</w:t>
      </w:r>
      <w:r w:rsidR="00AE090E" w:rsidRPr="002A20E8">
        <w:t>.</w:t>
      </w:r>
      <w:r>
        <w:t>’</w:t>
      </w:r>
    </w:p>
    <w:p w:rsidR="00AD0CFC" w:rsidRDefault="00AE090E" w:rsidP="00AE090E">
      <w:r>
        <w:t>As reported in the Module 5 study report of</w:t>
      </w:r>
      <w:r w:rsidR="009F388C">
        <w:t xml:space="preserve"> </w:t>
      </w:r>
      <w:r>
        <w:t>St</w:t>
      </w:r>
      <w:r w:rsidR="00B87044">
        <w:t>udy ABEC,</w:t>
      </w:r>
    </w:p>
    <w:p w:rsidR="00AE090E" w:rsidRDefault="00127BD9" w:rsidP="00AE090E">
      <w:r>
        <w:t>‘</w:t>
      </w:r>
      <w:r w:rsidR="00AE090E" w:rsidRPr="00973F5D">
        <w:rPr>
          <w:i/>
        </w:rPr>
        <w:t xml:space="preserve">From baseline to endpoint (LOCF), DBP decreased by LS mean values of 2.26 mm Hg and 1.23 mm Hg in the LY2963016 and </w:t>
      </w:r>
      <w:r w:rsidRPr="00973F5D">
        <w:rPr>
          <w:i/>
        </w:rPr>
        <w:t>Lantus</w:t>
      </w:r>
      <w:r w:rsidR="00AE090E" w:rsidRPr="00973F5D">
        <w:rPr>
          <w:i/>
          <w:vertAlign w:val="superscript"/>
        </w:rPr>
        <w:t>®</w:t>
      </w:r>
      <w:r w:rsidR="00AE090E" w:rsidRPr="00973F5D">
        <w:rPr>
          <w:i/>
        </w:rPr>
        <w:t xml:space="preserve"> groups, respectively. There was a statistically significant treatment difference in the change from baseline to Visit 12 (Week 16); DBP decreased by an LS mean value of 2.97 mm Hg in the LY2963016 group and by 1.02 mm Hg in the </w:t>
      </w:r>
      <w:r w:rsidRPr="00973F5D">
        <w:rPr>
          <w:i/>
        </w:rPr>
        <w:t>Lantus</w:t>
      </w:r>
      <w:r w:rsidR="00AE090E" w:rsidRPr="00973F5D">
        <w:rPr>
          <w:i/>
          <w:vertAlign w:val="superscript"/>
        </w:rPr>
        <w:t>®</w:t>
      </w:r>
      <w:r w:rsidR="00AE090E" w:rsidRPr="00973F5D">
        <w:rPr>
          <w:i/>
        </w:rPr>
        <w:t xml:space="preserve"> group (LS mean difference: -1.95 mm Hg; p=.014).</w:t>
      </w:r>
      <w:r w:rsidR="009F388C" w:rsidRPr="00973F5D">
        <w:rPr>
          <w:i/>
        </w:rPr>
        <w:t xml:space="preserve"> </w:t>
      </w:r>
      <w:r w:rsidR="00AE090E" w:rsidRPr="00973F5D">
        <w:rPr>
          <w:i/>
        </w:rPr>
        <w:t>There were no statistically significant differences in actual measurements or change from baseline at any other visit or endpoint (LOCF) for DBP.</w:t>
      </w:r>
      <w:r w:rsidRPr="00973F5D">
        <w:rPr>
          <w:i/>
        </w:rPr>
        <w:t>’</w:t>
      </w:r>
      <w:r w:rsidR="00AE090E" w:rsidRPr="00973F5D">
        <w:rPr>
          <w:i/>
        </w:rPr>
        <w:t xml:space="preserve"> </w:t>
      </w:r>
      <w:r w:rsidRPr="00973F5D">
        <w:rPr>
          <w:i/>
        </w:rPr>
        <w:t>‘</w:t>
      </w:r>
      <w:r w:rsidR="00AE090E" w:rsidRPr="00973F5D">
        <w:rPr>
          <w:i/>
        </w:rPr>
        <w:t xml:space="preserve">Systolic blood pressure decreased from baseline to endpoint (LOCF) by LS mean values of 2.64 mm Hg and 0.63 mm Hg in the LY2963016 and </w:t>
      </w:r>
      <w:r w:rsidRPr="00973F5D">
        <w:rPr>
          <w:i/>
        </w:rPr>
        <w:t>Lantus</w:t>
      </w:r>
      <w:r w:rsidR="00AE090E" w:rsidRPr="00973F5D">
        <w:rPr>
          <w:i/>
          <w:vertAlign w:val="superscript"/>
        </w:rPr>
        <w:t>®</w:t>
      </w:r>
      <w:r w:rsidR="00AE090E" w:rsidRPr="00973F5D">
        <w:rPr>
          <w:i/>
        </w:rPr>
        <w:t xml:space="preserve"> groups, respectively.</w:t>
      </w:r>
      <w:r w:rsidR="009F388C" w:rsidRPr="00973F5D">
        <w:rPr>
          <w:i/>
        </w:rPr>
        <w:t xml:space="preserve"> </w:t>
      </w:r>
      <w:r w:rsidR="00AE090E" w:rsidRPr="00973F5D">
        <w:rPr>
          <w:i/>
        </w:rPr>
        <w:t xml:space="preserve"> There were no statistically significant treatment differences in actual measurements or change from baseline at any visit or endpoint (LOCF).</w:t>
      </w:r>
      <w:r>
        <w:t>’</w:t>
      </w:r>
    </w:p>
    <w:p w:rsidR="00AD0CFC" w:rsidRDefault="00AE090E" w:rsidP="00AE090E">
      <w:r>
        <w:t>Hear</w:t>
      </w:r>
      <w:r w:rsidR="00BE28B1">
        <w:t>t</w:t>
      </w:r>
      <w:r w:rsidR="00B87044">
        <w:t xml:space="preserve"> rate varied slightly in ABEC,</w:t>
      </w:r>
    </w:p>
    <w:p w:rsidR="00AD0CFC" w:rsidRDefault="00127BD9" w:rsidP="00AE090E">
      <w:r>
        <w:t>‘</w:t>
      </w:r>
      <w:r w:rsidR="00AE090E" w:rsidRPr="00973F5D">
        <w:rPr>
          <w:i/>
        </w:rPr>
        <w:t xml:space="preserve">From baseline to endpoint (LOCF), HR decreased by an LS mean value of 0.37 bpm in the LY2963016 group and increased by 0.13 bpm in the </w:t>
      </w:r>
      <w:r w:rsidRPr="00973F5D">
        <w:rPr>
          <w:i/>
        </w:rPr>
        <w:t>Lantus</w:t>
      </w:r>
      <w:r w:rsidR="00AE090E" w:rsidRPr="00973F5D">
        <w:rPr>
          <w:i/>
          <w:vertAlign w:val="superscript"/>
        </w:rPr>
        <w:t>®</w:t>
      </w:r>
      <w:r w:rsidR="00AE090E" w:rsidRPr="00973F5D">
        <w:rPr>
          <w:i/>
        </w:rPr>
        <w:t xml:space="preserve"> group.</w:t>
      </w:r>
      <w:r>
        <w:t>’</w:t>
      </w:r>
    </w:p>
    <w:p w:rsidR="00AE090E" w:rsidRDefault="00AE090E" w:rsidP="00AE090E">
      <w:r>
        <w:t>This was not significant. There were minor differences at some visits that were significant (a group means difference of &lt;2 beats per minute on two occasions, and 2.03 beats per minute or less versus baseline on three occasions within each group.</w:t>
      </w:r>
    </w:p>
    <w:p w:rsidR="00AE090E" w:rsidRDefault="00AE090E" w:rsidP="00AE090E">
      <w:r>
        <w:t>In summary, no important changes in vital signs were noted over the course of both studies.</w:t>
      </w:r>
    </w:p>
    <w:p w:rsidR="00AE090E" w:rsidRPr="00E94194" w:rsidRDefault="00AE090E" w:rsidP="00216E0E">
      <w:pPr>
        <w:pStyle w:val="Heading4"/>
      </w:pPr>
      <w:bookmarkStart w:id="242" w:name="_Toc378790205"/>
      <w:r w:rsidRPr="00E94194">
        <w:t>Insulin antibodies</w:t>
      </w:r>
      <w:r>
        <w:t xml:space="preserve"> and immunological adverse events</w:t>
      </w:r>
      <w:bookmarkEnd w:id="242"/>
    </w:p>
    <w:p w:rsidR="00AE090E" w:rsidRPr="00E94194" w:rsidRDefault="00AE090E" w:rsidP="00973F5D">
      <w:pPr>
        <w:pStyle w:val="Heading5"/>
      </w:pPr>
      <w:r>
        <w:t>Insulin antibodies</w:t>
      </w:r>
    </w:p>
    <w:p w:rsidR="00AE090E" w:rsidRDefault="00AE090E" w:rsidP="00AE090E">
      <w:r>
        <w:t xml:space="preserve">Taking both </w:t>
      </w:r>
      <w:r w:rsidR="00216E0E">
        <w:t>Phase III</w:t>
      </w:r>
      <w:r>
        <w:t xml:space="preserve"> studies together, for conciseness of</w:t>
      </w:r>
      <w:r w:rsidR="00B87044">
        <w:t xml:space="preserve"> presentation:</w:t>
      </w:r>
    </w:p>
    <w:p w:rsidR="00AE090E" w:rsidRDefault="00AE090E" w:rsidP="00973F5D">
      <w:pPr>
        <w:pStyle w:val="ListBullet"/>
      </w:pPr>
      <w:r>
        <w:t>There was a centralised testing method at one laboratory.</w:t>
      </w:r>
    </w:p>
    <w:p w:rsidR="00AE090E" w:rsidRDefault="00AE090E" w:rsidP="00973F5D">
      <w:pPr>
        <w:pStyle w:val="ListBullet"/>
      </w:pPr>
      <w:r>
        <w:t xml:space="preserve">In both studies, </w:t>
      </w:r>
      <w:r w:rsidRPr="00A16FC2">
        <w:t xml:space="preserve">the </w:t>
      </w:r>
      <w:r w:rsidR="00127BD9">
        <w:t>‘</w:t>
      </w:r>
      <w:r w:rsidRPr="00A16FC2">
        <w:t xml:space="preserve">… </w:t>
      </w:r>
      <w:r w:rsidRPr="00973F5D">
        <w:rPr>
          <w:i/>
        </w:rPr>
        <w:t xml:space="preserve">number and percentage of patients who had a treatment-emergent antibody response (TEAR) was summarized by treatment group at each </w:t>
      </w:r>
      <w:proofErr w:type="spellStart"/>
      <w:r w:rsidRPr="00973F5D">
        <w:rPr>
          <w:i/>
        </w:rPr>
        <w:t>postbaseline</w:t>
      </w:r>
      <w:proofErr w:type="spellEnd"/>
      <w:r w:rsidRPr="00973F5D">
        <w:rPr>
          <w:i/>
        </w:rPr>
        <w:t xml:space="preserve"> visit and endpoint (LOCF), and </w:t>
      </w:r>
      <w:proofErr w:type="spellStart"/>
      <w:r w:rsidRPr="00973F5D">
        <w:rPr>
          <w:i/>
        </w:rPr>
        <w:t>analyzed</w:t>
      </w:r>
      <w:proofErr w:type="spellEnd"/>
      <w:r w:rsidRPr="00973F5D">
        <w:rPr>
          <w:i/>
        </w:rPr>
        <w:t xml:space="preserve"> using Fisher’s Exact test or Pearson’s Chi-square test.</w:t>
      </w:r>
      <w:r w:rsidR="009F388C" w:rsidRPr="00973F5D">
        <w:rPr>
          <w:i/>
        </w:rPr>
        <w:t xml:space="preserve"> </w:t>
      </w:r>
      <w:r w:rsidRPr="00973F5D">
        <w:rPr>
          <w:i/>
        </w:rPr>
        <w:t>Treatment-emergent antibody response (TEAR) was defined as an absolute increase of at least 1% in insulin antibody levels (measured in % binding) AND at least a 30% relative increase from baseline for patients who were insulin-antibody positive at baseline, or changed from insulin-antibody negative status at baseline to antibody positive during the course of the study following treatment with study drug</w:t>
      </w:r>
      <w:r w:rsidRPr="00A16FC2">
        <w:t>.</w:t>
      </w:r>
      <w:r w:rsidR="00127BD9">
        <w:t>’</w:t>
      </w:r>
      <w:r w:rsidR="009F388C">
        <w:t xml:space="preserve"> </w:t>
      </w:r>
      <w:r w:rsidRPr="00A16FC2">
        <w:t>[</w:t>
      </w:r>
      <w:r>
        <w:t xml:space="preserve">ABEB </w:t>
      </w:r>
      <w:r w:rsidRPr="00A16FC2">
        <w:t>Study report, page 64/4817].</w:t>
      </w:r>
    </w:p>
    <w:p w:rsidR="00AE090E" w:rsidRDefault="00AE090E" w:rsidP="00973F5D">
      <w:pPr>
        <w:pStyle w:val="ListBullet"/>
      </w:pPr>
      <w:r>
        <w:t>The following table is drawn from Module 2.7:</w:t>
      </w:r>
    </w:p>
    <w:p w:rsidR="00973F5D" w:rsidRDefault="00973F5D" w:rsidP="00B87044">
      <w:pPr>
        <w:pStyle w:val="Tabletitle"/>
      </w:pPr>
      <w:proofErr w:type="gramStart"/>
      <w:r>
        <w:lastRenderedPageBreak/>
        <w:t xml:space="preserve">Table 22: Proportion of patients </w:t>
      </w:r>
      <w:r w:rsidRPr="00B87044">
        <w:t>with</w:t>
      </w:r>
      <w:r>
        <w:t xml:space="preserve"> detectable antibodies.</w:t>
      </w:r>
      <w:proofErr w:type="gramEnd"/>
      <w:r>
        <w:t xml:space="preserve"> </w:t>
      </w:r>
      <w:proofErr w:type="gramStart"/>
      <w:r>
        <w:t xml:space="preserve">Summary at baseline, end point (LOCF), and </w:t>
      </w:r>
      <w:r w:rsidR="00412603">
        <w:t>o</w:t>
      </w:r>
      <w:r>
        <w:t>verall.</w:t>
      </w:r>
      <w:proofErr w:type="gramEnd"/>
      <w:r>
        <w:t xml:space="preserve"> </w:t>
      </w:r>
      <w:proofErr w:type="gramStart"/>
      <w:r w:rsidR="00412603">
        <w:t>f</w:t>
      </w:r>
      <w:r>
        <w:t>ull</w:t>
      </w:r>
      <w:proofErr w:type="gramEnd"/>
      <w:r>
        <w:t xml:space="preserve"> analysis set.</w:t>
      </w:r>
    </w:p>
    <w:p w:rsidR="00973F5D" w:rsidRPr="00973F5D" w:rsidRDefault="00973F5D" w:rsidP="00B87044">
      <w:r>
        <w:rPr>
          <w:noProof/>
          <w:lang w:eastAsia="en-AU"/>
        </w:rPr>
        <w:drawing>
          <wp:inline distT="0" distB="0" distL="0" distR="0" wp14:anchorId="745FBCF4" wp14:editId="17E0C8C4">
            <wp:extent cx="3874308" cy="2011659"/>
            <wp:effectExtent l="0" t="0" r="0" b="0"/>
            <wp:docPr id="290" name="Picture 290" descr="Table 22: Proportion of patients with detectable antibodies. Summary at baseline, end point (LOCF), and Overall.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878095" cy="2013625"/>
                    </a:xfrm>
                    <a:prstGeom prst="rect">
                      <a:avLst/>
                    </a:prstGeom>
                  </pic:spPr>
                </pic:pic>
              </a:graphicData>
            </a:graphic>
          </wp:inline>
        </w:drawing>
      </w:r>
    </w:p>
    <w:p w:rsidR="00AE090E" w:rsidRDefault="00AE090E" w:rsidP="00AE090E">
      <w:r>
        <w:t xml:space="preserve">However, these two populations are unalike in immunological terms and in regard to the duration of previous exposure to insulin injections (many patients in ABEC were insulin naïve; thus 6% of the </w:t>
      </w:r>
      <w:proofErr w:type="spellStart"/>
      <w:r w:rsidR="00216E0E">
        <w:t>Abasria</w:t>
      </w:r>
      <w:proofErr w:type="spellEnd"/>
      <w:r>
        <w:t xml:space="preserve"> group vs. 5.8% of the Lantus group showed a treatment emergent antibody response).</w:t>
      </w:r>
      <w:r w:rsidR="009F388C">
        <w:t xml:space="preserve"> </w:t>
      </w:r>
      <w:r>
        <w:t>From these baseline-to-endpoint comparisons, it can be said that no between-group differences emerged in studies ABEB and ABEC but the proportion of patients with detectable antibodies rose over time.</w:t>
      </w:r>
      <w:r w:rsidR="009F388C">
        <w:t xml:space="preserve"> </w:t>
      </w:r>
      <w:r>
        <w:t xml:space="preserve">In Study ABEB, </w:t>
      </w:r>
      <w:r w:rsidRPr="00A16FC2">
        <w:t>insulin antibodies were both very common (31% overall) but manifest</w:t>
      </w:r>
      <w:r>
        <w:t>ed</w:t>
      </w:r>
      <w:r w:rsidRPr="00A16FC2">
        <w:t xml:space="preserve"> at about 18-22% at each visit</w:t>
      </w:r>
      <w:r>
        <w:t>.</w:t>
      </w:r>
      <w:r w:rsidR="009F388C">
        <w:t xml:space="preserve"> </w:t>
      </w:r>
      <w:r>
        <w:t>This rising frequency of antibodies was not noted to have safety or efficacy correlates but 12 month data will shortl</w:t>
      </w:r>
      <w:r w:rsidR="00B87044">
        <w:t>y be available from Study ABEB.</w:t>
      </w:r>
    </w:p>
    <w:p w:rsidR="00AE090E" w:rsidRDefault="00AE090E" w:rsidP="00AE090E">
      <w:r>
        <w:t xml:space="preserve">Table </w:t>
      </w:r>
      <w:r w:rsidR="002555F1">
        <w:t>23</w:t>
      </w:r>
      <w:r>
        <w:t>, from the Module 2.7 Safety Summary, contains subgroup analyses on the relationship between overall TEAR status and clinical outcomes.</w:t>
      </w:r>
    </w:p>
    <w:p w:rsidR="002555F1" w:rsidRDefault="002555F1" w:rsidP="00B87044">
      <w:pPr>
        <w:pStyle w:val="Tabletitle"/>
      </w:pPr>
      <w:r>
        <w:t xml:space="preserve">Table 23: Subgroup analyses: Relationship between </w:t>
      </w:r>
      <w:proofErr w:type="gramStart"/>
      <w:r>
        <w:t>TEAR  status</w:t>
      </w:r>
      <w:proofErr w:type="gramEnd"/>
      <w:r>
        <w:t xml:space="preserve"> at </w:t>
      </w:r>
      <w:r w:rsidR="00412603">
        <w:t>e</w:t>
      </w:r>
      <w:r>
        <w:t xml:space="preserve">ndpoint (LOCF) and clinical outcomes. </w:t>
      </w:r>
      <w:proofErr w:type="gramStart"/>
      <w:r>
        <w:t>Summary analysis of change from baseline to 24 week end point using ANCOVA.</w:t>
      </w:r>
      <w:proofErr w:type="gramEnd"/>
      <w:r>
        <w:t xml:space="preserve"> </w:t>
      </w:r>
      <w:proofErr w:type="gramStart"/>
      <w:r>
        <w:t>Studies ABEB and ABEC.</w:t>
      </w:r>
      <w:proofErr w:type="gramEnd"/>
    </w:p>
    <w:p w:rsidR="002555F1" w:rsidRPr="002555F1" w:rsidRDefault="002555F1" w:rsidP="00B87044">
      <w:r>
        <w:rPr>
          <w:noProof/>
          <w:lang w:eastAsia="en-AU"/>
        </w:rPr>
        <w:drawing>
          <wp:inline distT="0" distB="0" distL="0" distR="0" wp14:anchorId="5393B70B" wp14:editId="64E1F3F1">
            <wp:extent cx="3541318" cy="3079735"/>
            <wp:effectExtent l="0" t="0" r="0" b="0"/>
            <wp:docPr id="291" name="Picture 291" descr="Table 23: Subgroup analyses: Relationship between TEAR  status at Endpoint (LOCF) and clinical outcomes. Summary analysis of change from baseline to 24 week end point using ANCOVA. Studies ABEB and A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548223" cy="3085740"/>
                    </a:xfrm>
                    <a:prstGeom prst="rect">
                      <a:avLst/>
                    </a:prstGeom>
                  </pic:spPr>
                </pic:pic>
              </a:graphicData>
            </a:graphic>
          </wp:inline>
        </w:drawing>
      </w:r>
    </w:p>
    <w:p w:rsidR="00BE28B1" w:rsidRDefault="00AE090E" w:rsidP="00AE090E">
      <w:r>
        <w:t>In regard to TEAR, the prevalence was high in both treatment arms.</w:t>
      </w:r>
    </w:p>
    <w:p w:rsidR="00AE090E" w:rsidRDefault="00127BD9" w:rsidP="00AE090E">
      <w:r>
        <w:lastRenderedPageBreak/>
        <w:t>‘</w:t>
      </w:r>
      <w:r w:rsidR="00AE090E" w:rsidRPr="002555F1">
        <w:rPr>
          <w:i/>
        </w:rPr>
        <w:t>For patients who were negative for insulin antibodies at baseline, TEAR was defined as changing from insulin-antibody negative to insulin antibody positive during the course of the study following treatment with study drug.</w:t>
      </w:r>
      <w:r w:rsidR="009F388C" w:rsidRPr="002555F1">
        <w:rPr>
          <w:i/>
        </w:rPr>
        <w:t xml:space="preserve"> </w:t>
      </w:r>
      <w:r w:rsidR="00AE090E" w:rsidRPr="002555F1">
        <w:rPr>
          <w:i/>
        </w:rPr>
        <w:t>For patients who were positive for detectable insulin antibodies at baseline, TEAR was defined as an absolute increase of at least 1% in insulin antibody levels (measured in % binding) AND at least a 30% relative increase in insulin antibody levels from baseline.</w:t>
      </w:r>
      <w:r w:rsidR="009F388C" w:rsidRPr="002555F1">
        <w:rPr>
          <w:i/>
        </w:rPr>
        <w:t xml:space="preserve"> </w:t>
      </w:r>
      <w:r w:rsidR="00AE090E" w:rsidRPr="002555F1">
        <w:rPr>
          <w:i/>
        </w:rPr>
        <w:t xml:space="preserve">Over the entire 24-week treatment period, 108 patients (20.3%) developed TEAR (LY2963016: 56 patients [21.1%]; </w:t>
      </w:r>
      <w:r w:rsidRPr="002555F1">
        <w:rPr>
          <w:i/>
        </w:rPr>
        <w:t>Lantus</w:t>
      </w:r>
      <w:r w:rsidR="00AE090E" w:rsidRPr="002555F1">
        <w:rPr>
          <w:i/>
          <w:vertAlign w:val="superscript"/>
        </w:rPr>
        <w:t>®</w:t>
      </w:r>
      <w:r w:rsidR="00AE090E" w:rsidRPr="002555F1">
        <w:rPr>
          <w:i/>
        </w:rPr>
        <w:t>: 52 patients [19.5%]; p=.667). There were no statistically significant differences between treatment</w:t>
      </w:r>
      <w:r w:rsidR="00AE090E" w:rsidRPr="00D86D9C">
        <w:t xml:space="preserve"> </w:t>
      </w:r>
      <w:r w:rsidR="00AE090E" w:rsidRPr="00F36650">
        <w:rPr>
          <w:i/>
        </w:rPr>
        <w:t>groups for the number of patients with TEAR at any visit, endpoint (LOCF), or overall.</w:t>
      </w:r>
      <w:r w:rsidRPr="00F36650">
        <w:rPr>
          <w:i/>
        </w:rPr>
        <w:t>’</w:t>
      </w:r>
      <w:r w:rsidR="00AE090E" w:rsidRPr="00D86D9C">
        <w:t>[</w:t>
      </w:r>
      <w:r w:rsidR="00AE090E">
        <w:t>Module 5 Study report</w:t>
      </w:r>
      <w:r w:rsidR="00AE090E" w:rsidRPr="00D86D9C">
        <w:t>, p. 160/4817]</w:t>
      </w:r>
    </w:p>
    <w:p w:rsidR="00BE28B1" w:rsidRDefault="00AE090E" w:rsidP="00AE090E">
      <w:r>
        <w:t>The appli</w:t>
      </w:r>
      <w:r w:rsidR="00B87044">
        <w:t>cant postulates optimistically,</w:t>
      </w:r>
    </w:p>
    <w:p w:rsidR="00AE090E" w:rsidRDefault="00127BD9" w:rsidP="00AE090E">
      <w:r>
        <w:t>‘</w:t>
      </w:r>
      <w:r w:rsidR="00AE090E" w:rsidRPr="002555F1">
        <w:rPr>
          <w:i/>
        </w:rPr>
        <w:t xml:space="preserve">Since the assay for antibodies to LY2963016 also detects antibodies that cross-react to insulin and insulin </w:t>
      </w:r>
      <w:proofErr w:type="spellStart"/>
      <w:r w:rsidR="00AE090E" w:rsidRPr="002555F1">
        <w:rPr>
          <w:i/>
        </w:rPr>
        <w:t>analogs</w:t>
      </w:r>
      <w:proofErr w:type="spellEnd"/>
      <w:r w:rsidR="00AE090E" w:rsidRPr="002555F1">
        <w:rPr>
          <w:i/>
        </w:rPr>
        <w:t xml:space="preserve">, it is likely that antibodies present at baseline represent antibodies to insulin or insulin </w:t>
      </w:r>
      <w:proofErr w:type="spellStart"/>
      <w:r w:rsidR="00AE090E" w:rsidRPr="002555F1">
        <w:rPr>
          <w:i/>
        </w:rPr>
        <w:t>analogs</w:t>
      </w:r>
      <w:proofErr w:type="spellEnd"/>
      <w:r w:rsidR="00AE090E" w:rsidRPr="002555F1">
        <w:rPr>
          <w:i/>
        </w:rPr>
        <w:t xml:space="preserve"> that the patient may have been on prior to enrolling in Study ABEB.</w:t>
      </w:r>
      <w:r w:rsidR="009F388C" w:rsidRPr="002555F1">
        <w:rPr>
          <w:i/>
        </w:rPr>
        <w:t xml:space="preserve"> </w:t>
      </w:r>
      <w:r w:rsidR="00AE090E" w:rsidRPr="002555F1">
        <w:rPr>
          <w:i/>
        </w:rPr>
        <w:t>Similarly, the characteristics of the antibody assay do not allow for differentiation of a TEAR event deriving from reactivation of quiescent B cells to insulin or an insulin analog the patient may have taken previously, or new antibody formation to LY2963016</w:t>
      </w:r>
      <w:r w:rsidR="00AE090E">
        <w:t>.</w:t>
      </w:r>
      <w:r>
        <w:t>’</w:t>
      </w:r>
      <w:r w:rsidR="00AE090E">
        <w:t xml:space="preserve"> [Module 5 Study Report, p. </w:t>
      </w:r>
      <w:r w:rsidR="00B87044">
        <w:t>160/4817]</w:t>
      </w:r>
    </w:p>
    <w:p w:rsidR="00AE090E" w:rsidRPr="00216E0E" w:rsidRDefault="00AE090E" w:rsidP="002555F1">
      <w:pPr>
        <w:ind w:left="993" w:hanging="993"/>
      </w:pPr>
      <w:r w:rsidRPr="00E53718">
        <w:rPr>
          <w:b/>
        </w:rPr>
        <w:t>Comment</w:t>
      </w:r>
      <w:r w:rsidRPr="00216E0E">
        <w:t>: Perhaps but there is a problem with not having a specific assay.</w:t>
      </w:r>
      <w:r w:rsidR="009F388C">
        <w:t xml:space="preserve"> </w:t>
      </w:r>
      <w:r w:rsidRPr="00216E0E">
        <w:t xml:space="preserve">In regard to the first speculative sentence, absence of evidence of cross-reactive antibodies to other insulins is not evidence of absence of emergent antibodies to insulin </w:t>
      </w:r>
      <w:proofErr w:type="spellStart"/>
      <w:r w:rsidRPr="00216E0E">
        <w:t>glargine</w:t>
      </w:r>
      <w:proofErr w:type="spellEnd"/>
      <w:r w:rsidRPr="00216E0E">
        <w:t>. In regard to the second, the same comment applies - it is not possible to whittle down the frequency of TEARs in this way.</w:t>
      </w:r>
    </w:p>
    <w:p w:rsidR="00AE090E" w:rsidRPr="00E94194" w:rsidRDefault="00AE090E" w:rsidP="002555F1">
      <w:pPr>
        <w:pStyle w:val="Heading5"/>
      </w:pPr>
      <w:r>
        <w:t>Immunological/Allergic AEs</w:t>
      </w:r>
    </w:p>
    <w:p w:rsidR="00AE090E" w:rsidRDefault="00AE090E" w:rsidP="00AE090E">
      <w:r>
        <w:t xml:space="preserve">In both </w:t>
      </w:r>
      <w:r w:rsidR="00216E0E">
        <w:t>Phase III</w:t>
      </w:r>
      <w:r>
        <w:t xml:space="preserve"> studies, </w:t>
      </w:r>
      <w:r w:rsidRPr="008651A9">
        <w:t>the assessment of allergic events was performed by an initial blinded review</w:t>
      </w:r>
      <w:r>
        <w:t>er</w:t>
      </w:r>
      <w:r w:rsidRPr="008651A9">
        <w:t xml:space="preserve">, a physician employed by Eli Lilly, </w:t>
      </w:r>
      <w:r>
        <w:t>using</w:t>
      </w:r>
      <w:r w:rsidRPr="008651A9">
        <w:t xml:space="preserve"> preferred terms by SOC in order to identify all possible cases of allergic events.</w:t>
      </w:r>
    </w:p>
    <w:p w:rsidR="00AE090E" w:rsidRDefault="00AE090E" w:rsidP="00AE090E">
      <w:r>
        <w:t xml:space="preserve">As shown in Table </w:t>
      </w:r>
      <w:r w:rsidR="002555F1">
        <w:t xml:space="preserve">24 </w:t>
      </w:r>
      <w:r>
        <w:t xml:space="preserve">below, </w:t>
      </w:r>
      <w:proofErr w:type="spellStart"/>
      <w:r w:rsidR="00216E0E">
        <w:t>Abasria</w:t>
      </w:r>
      <w:proofErr w:type="spellEnd"/>
      <w:r>
        <w:t xml:space="preserve"> was slightly less associated with adverse events that are potentially mediated</w:t>
      </w:r>
      <w:r w:rsidRPr="00F864F4">
        <w:t xml:space="preserve"> </w:t>
      </w:r>
      <w:r>
        <w:t>immunologically; no important differences occurred between groups in either study.</w:t>
      </w:r>
    </w:p>
    <w:p w:rsidR="00AE090E" w:rsidRDefault="00AE090E" w:rsidP="00216E0E">
      <w:pPr>
        <w:pStyle w:val="Tabletitle"/>
      </w:pPr>
      <w:bookmarkStart w:id="243" w:name="_Toc378791319"/>
      <w:r>
        <w:t xml:space="preserve">Table </w:t>
      </w:r>
      <w:r w:rsidR="002555F1">
        <w:t>24:</w:t>
      </w:r>
      <w:r>
        <w:t xml:space="preserve"> </w:t>
      </w:r>
      <w:r w:rsidR="00216E0E">
        <w:t>Phase III</w:t>
      </w:r>
      <w:r>
        <w:t xml:space="preserve"> Studies - Possible Allergic Events</w:t>
      </w:r>
      <w:bookmarkEnd w:id="243"/>
      <w:r w:rsidR="002555F1">
        <w:t xml:space="preserve">. </w:t>
      </w:r>
      <w:proofErr w:type="gramStart"/>
      <w:r w:rsidR="002555F1">
        <w:t>Studies ABEB and ABEC.</w:t>
      </w:r>
      <w:proofErr w:type="gramEnd"/>
      <w:r w:rsidR="002555F1">
        <w:t xml:space="preserve"> Full analysis set.</w:t>
      </w:r>
    </w:p>
    <w:p w:rsidR="002555F1" w:rsidRPr="002555F1" w:rsidRDefault="002555F1" w:rsidP="00B87044">
      <w:r>
        <w:rPr>
          <w:noProof/>
          <w:lang w:eastAsia="en-AU"/>
        </w:rPr>
        <w:drawing>
          <wp:inline distT="0" distB="0" distL="0" distR="0" wp14:anchorId="02860FEE" wp14:editId="6C1DCFCF">
            <wp:extent cx="3657600" cy="3146659"/>
            <wp:effectExtent l="0" t="0" r="0" b="0"/>
            <wp:docPr id="292" name="Picture 292" descr="Table 24: Phase III Studies - Possible Allergic Events. Studies ABEB and ABEC.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2229"/>
                    <a:stretch/>
                  </pic:blipFill>
                  <pic:spPr bwMode="auto">
                    <a:xfrm>
                      <a:off x="0" y="0"/>
                      <a:ext cx="3661395" cy="3149924"/>
                    </a:xfrm>
                    <a:prstGeom prst="rect">
                      <a:avLst/>
                    </a:prstGeom>
                    <a:ln>
                      <a:noFill/>
                    </a:ln>
                    <a:extLst>
                      <a:ext uri="{53640926-AAD7-44D8-BBD7-CCE9431645EC}">
                        <a14:shadowObscured xmlns:a14="http://schemas.microsoft.com/office/drawing/2010/main"/>
                      </a:ext>
                    </a:extLst>
                  </pic:spPr>
                </pic:pic>
              </a:graphicData>
            </a:graphic>
          </wp:inline>
        </w:drawing>
      </w:r>
    </w:p>
    <w:p w:rsidR="00AE090E" w:rsidRDefault="00AE090E" w:rsidP="002555F1">
      <w:pPr>
        <w:pStyle w:val="Heading3"/>
      </w:pPr>
      <w:bookmarkStart w:id="244" w:name="_Toc241374326"/>
      <w:bookmarkStart w:id="245" w:name="_Ref272333048"/>
      <w:bookmarkStart w:id="246" w:name="_Toc272414679"/>
      <w:bookmarkStart w:id="247" w:name="_Toc290846317"/>
      <w:bookmarkStart w:id="248" w:name="_Toc378790206"/>
      <w:bookmarkStart w:id="249" w:name="_Toc416955639"/>
      <w:r>
        <w:lastRenderedPageBreak/>
        <w:t>Post-marketing experience</w:t>
      </w:r>
      <w:bookmarkEnd w:id="244"/>
      <w:bookmarkEnd w:id="245"/>
      <w:bookmarkEnd w:id="246"/>
      <w:bookmarkEnd w:id="247"/>
      <w:bookmarkEnd w:id="248"/>
      <w:bookmarkEnd w:id="249"/>
    </w:p>
    <w:p w:rsidR="00AE090E" w:rsidRDefault="00AE090E" w:rsidP="002555F1">
      <w:r>
        <w:t>Marketing has not yet occurred in any country.</w:t>
      </w:r>
    </w:p>
    <w:p w:rsidR="00AE090E" w:rsidRPr="007A7F89" w:rsidRDefault="00AE090E" w:rsidP="002555F1">
      <w:pPr>
        <w:pStyle w:val="Heading3"/>
      </w:pPr>
      <w:bookmarkStart w:id="250" w:name="_Ref272333005"/>
      <w:bookmarkStart w:id="251" w:name="_Toc272414680"/>
      <w:bookmarkStart w:id="252" w:name="_Toc290846318"/>
      <w:bookmarkStart w:id="253" w:name="_Toc378790207"/>
      <w:bookmarkStart w:id="254" w:name="_Toc416955640"/>
      <w:r w:rsidRPr="007A7F89">
        <w:t>Safety issues with the potential for major regulatory imp</w:t>
      </w:r>
      <w:bookmarkEnd w:id="250"/>
      <w:bookmarkEnd w:id="251"/>
      <w:r w:rsidRPr="007A7F89">
        <w:t>act</w:t>
      </w:r>
      <w:bookmarkEnd w:id="252"/>
      <w:bookmarkEnd w:id="253"/>
      <w:bookmarkEnd w:id="254"/>
    </w:p>
    <w:p w:rsidR="00AE090E" w:rsidRPr="007A7F89" w:rsidRDefault="00AE090E" w:rsidP="002555F1">
      <w:pPr>
        <w:pStyle w:val="Heading4"/>
      </w:pPr>
      <w:bookmarkStart w:id="255" w:name="_Toc378790208"/>
      <w:r w:rsidRPr="007A7F89">
        <w:t>Neoplasms</w:t>
      </w:r>
      <w:bookmarkEnd w:id="255"/>
    </w:p>
    <w:p w:rsidR="00AE090E" w:rsidRDefault="00AE090E" w:rsidP="00AE090E">
      <w:pPr>
        <w:autoSpaceDE w:val="0"/>
        <w:autoSpaceDN w:val="0"/>
        <w:adjustRightInd w:val="0"/>
      </w:pPr>
      <w:r>
        <w:t>As mentioned above, a few neoplasms were reported in both studies. The matter deserves long term targeted surveillance because:</w:t>
      </w:r>
    </w:p>
    <w:p w:rsidR="00AE090E" w:rsidRDefault="00AE090E" w:rsidP="002555F1">
      <w:pPr>
        <w:pStyle w:val="ListBullet"/>
      </w:pPr>
      <w:r>
        <w:t xml:space="preserve">Insulin </w:t>
      </w:r>
      <w:proofErr w:type="spellStart"/>
      <w:r>
        <w:t>glargine</w:t>
      </w:r>
      <w:proofErr w:type="spellEnd"/>
      <w:r>
        <w:t xml:space="preserve"> is </w:t>
      </w:r>
      <w:r w:rsidR="00B87044">
        <w:t>agonistic at the IGF-1 receptor</w:t>
      </w:r>
    </w:p>
    <w:p w:rsidR="00AE090E" w:rsidRPr="00A52927" w:rsidRDefault="00AE090E" w:rsidP="002555F1">
      <w:pPr>
        <w:pStyle w:val="ListBullet"/>
      </w:pPr>
      <w:r>
        <w:t>The appr</w:t>
      </w:r>
      <w:r w:rsidR="00B87044">
        <w:t>oved PI of Lantus states,</w:t>
      </w:r>
      <w:r w:rsidR="00BE28B1">
        <w:br/>
      </w:r>
      <w:r w:rsidR="00127BD9">
        <w:t>‘</w:t>
      </w:r>
      <w:r w:rsidRPr="002555F1">
        <w:rPr>
          <w:i/>
        </w:rPr>
        <w:t xml:space="preserve">IGF-1 receptor binding: The affinity of insulin </w:t>
      </w:r>
      <w:proofErr w:type="spellStart"/>
      <w:r w:rsidRPr="002555F1">
        <w:rPr>
          <w:i/>
        </w:rPr>
        <w:t>glargine</w:t>
      </w:r>
      <w:proofErr w:type="spellEnd"/>
      <w:r w:rsidRPr="002555F1">
        <w:rPr>
          <w:i/>
        </w:rPr>
        <w:t xml:space="preserve"> for the human IGF-1 receptor is approximately 5 to 8-fold greater than that of human insulin (but approximately 70 to 80-fold lower than the one of IGF-1), whereas M1 and M2 bind the IGF-1 receptor with slightly lower affinity compared to human insulin.</w:t>
      </w:r>
      <w:r w:rsidR="009F388C" w:rsidRPr="002555F1">
        <w:rPr>
          <w:i/>
        </w:rPr>
        <w:t xml:space="preserve"> </w:t>
      </w:r>
      <w:r w:rsidRPr="002555F1">
        <w:rPr>
          <w:i/>
        </w:rPr>
        <w:t>The total therapeutic insulin concentration</w:t>
      </w:r>
      <w:r w:rsidR="00BE28B1">
        <w:rPr>
          <w:i/>
        </w:rPr>
        <w:t>s</w:t>
      </w:r>
      <w:r w:rsidRPr="002555F1">
        <w:rPr>
          <w:i/>
        </w:rPr>
        <w:t xml:space="preserve"> (insulin </w:t>
      </w:r>
      <w:proofErr w:type="spellStart"/>
      <w:r w:rsidRPr="002555F1">
        <w:rPr>
          <w:i/>
        </w:rPr>
        <w:t>glargine</w:t>
      </w:r>
      <w:proofErr w:type="spellEnd"/>
      <w:r w:rsidRPr="002555F1">
        <w:rPr>
          <w:i/>
        </w:rPr>
        <w:t xml:space="preserve"> and its metabolites) found in type 1 diabetic patients was markedly lower than what would be required for a half maximal occupation of the IGF-1 receptor and the subsequent activation of the mitogenic-proliferative pathway initiated by the IGF-1 receptor. Physiological concentrations of endogenous IGF-1 may activate the mitogenic proliferative pathway; however, the therapeutic concentrations found in insulin therapy, including in Lantus therapy, are considerably lower than the pharmacological concentrations required </w:t>
      </w:r>
      <w:proofErr w:type="gramStart"/>
      <w:r w:rsidRPr="002555F1">
        <w:rPr>
          <w:i/>
        </w:rPr>
        <w:t>to activate</w:t>
      </w:r>
      <w:proofErr w:type="gramEnd"/>
      <w:r w:rsidRPr="002555F1">
        <w:rPr>
          <w:i/>
        </w:rPr>
        <w:t xml:space="preserve"> the IGF-1 pathway</w:t>
      </w:r>
      <w:r w:rsidRPr="00A52927">
        <w:t>.</w:t>
      </w:r>
      <w:r w:rsidR="00127BD9">
        <w:t>’</w:t>
      </w:r>
    </w:p>
    <w:p w:rsidR="00AE090E" w:rsidRPr="00A52927" w:rsidRDefault="00AE090E" w:rsidP="002555F1">
      <w:pPr>
        <w:pStyle w:val="ListBullet"/>
      </w:pPr>
      <w:r>
        <w:t xml:space="preserve">The above might not always apply e.g. when early release of insulin </w:t>
      </w:r>
      <w:proofErr w:type="spellStart"/>
      <w:r>
        <w:t>glargine</w:t>
      </w:r>
      <w:proofErr w:type="spellEnd"/>
      <w:r>
        <w:t xml:space="preserve"> occurs from the site of injection, as happened in the </w:t>
      </w:r>
      <w:r w:rsidR="00216E0E">
        <w:t>Phase I</w:t>
      </w:r>
      <w:r>
        <w:t xml:space="preserve"> studies. A non-selective assay was used but it is likely that insulin </w:t>
      </w:r>
      <w:proofErr w:type="spellStart"/>
      <w:r>
        <w:t>glargine</w:t>
      </w:r>
      <w:proofErr w:type="spellEnd"/>
      <w:r>
        <w:t xml:space="preserve">, not M1 was released. Consequently, intermittent release of insulin </w:t>
      </w:r>
      <w:proofErr w:type="spellStart"/>
      <w:r>
        <w:t>glargine</w:t>
      </w:r>
      <w:proofErr w:type="spellEnd"/>
      <w:r>
        <w:t xml:space="preserve"> from the site of injection, in a setting of long term use, has not been excluded.</w:t>
      </w:r>
    </w:p>
    <w:p w:rsidR="00AE090E" w:rsidRDefault="00AE090E" w:rsidP="002555F1">
      <w:pPr>
        <w:pStyle w:val="ListBullet"/>
      </w:pPr>
      <w:r>
        <w:t xml:space="preserve">The matter has been discussed in the literature since the publication of a retrospective cohort study of </w:t>
      </w:r>
      <w:r w:rsidRPr="00612CEF">
        <w:t>German health insurance fund records.</w:t>
      </w:r>
      <w:r w:rsidR="009F388C">
        <w:t xml:space="preserve"> </w:t>
      </w:r>
      <w:r>
        <w:t xml:space="preserve">A dose-dependent increase in cancer risk was found for treatment with insulin </w:t>
      </w:r>
      <w:proofErr w:type="spellStart"/>
      <w:r>
        <w:t>glargine</w:t>
      </w:r>
      <w:proofErr w:type="spellEnd"/>
      <w:r>
        <w:t xml:space="preserve"> compared with human insulin. The matter has been kept under review by the EMA. The most recent statement was published on </w:t>
      </w:r>
      <w:r w:rsidRPr="00BA7CD9">
        <w:t>31 May 2013</w:t>
      </w:r>
      <w:r>
        <w:t xml:space="preserve"> (EMA/329790/2013 EMEA/H/C/000309)</w:t>
      </w:r>
      <w:r w:rsidR="00B87044">
        <w:t>. The statement commenced with,</w:t>
      </w:r>
    </w:p>
    <w:p w:rsidR="00AE090E" w:rsidRPr="002555F1" w:rsidRDefault="00127BD9" w:rsidP="002555F1">
      <w:pPr>
        <w:ind w:left="426"/>
        <w:rPr>
          <w:i/>
        </w:rPr>
      </w:pPr>
      <w:r w:rsidRPr="002555F1">
        <w:rPr>
          <w:i/>
        </w:rPr>
        <w:t>‘</w:t>
      </w:r>
      <w:r w:rsidR="00AE090E" w:rsidRPr="002555F1">
        <w:rPr>
          <w:i/>
        </w:rPr>
        <w:t xml:space="preserve">On 30 May 2013, the European Medicines Agency completed a review of new data on the cancer risk with insulin </w:t>
      </w:r>
      <w:proofErr w:type="spellStart"/>
      <w:r w:rsidR="00AE090E" w:rsidRPr="002555F1">
        <w:rPr>
          <w:i/>
        </w:rPr>
        <w:t>glargine</w:t>
      </w:r>
      <w:proofErr w:type="spellEnd"/>
      <w:r w:rsidR="00AE090E" w:rsidRPr="002555F1">
        <w:rPr>
          <w:i/>
        </w:rPr>
        <w:t>-containing medicines. The Agency’s Committee for Medicinal Products for Human Use (CHMP) concluded that the data do not show an increased risk of cancer and that the balance of the medicine’s benefits and risks remains unchanged.</w:t>
      </w:r>
      <w:r w:rsidRPr="002555F1">
        <w:rPr>
          <w:i/>
        </w:rPr>
        <w:t>’</w:t>
      </w:r>
    </w:p>
    <w:p w:rsidR="00AE090E" w:rsidRDefault="00AE090E" w:rsidP="002555F1">
      <w:pPr>
        <w:pStyle w:val="Bullet2"/>
        <w:numPr>
          <w:ilvl w:val="0"/>
          <w:numId w:val="0"/>
        </w:numPr>
        <w:ind w:left="426"/>
      </w:pPr>
      <w:r>
        <w:t xml:space="preserve">New information was derived from two further cohort studies and from a </w:t>
      </w:r>
      <w:r w:rsidRPr="00BA7CD9">
        <w:t>case-control study</w:t>
      </w:r>
      <w:r>
        <w:t>.</w:t>
      </w:r>
    </w:p>
    <w:p w:rsidR="00AE090E" w:rsidRPr="00F864F4" w:rsidRDefault="00127BD9" w:rsidP="002555F1">
      <w:pPr>
        <w:pStyle w:val="Bullet2"/>
        <w:numPr>
          <w:ilvl w:val="0"/>
          <w:numId w:val="0"/>
        </w:numPr>
        <w:ind w:left="426"/>
        <w:rPr>
          <w:i/>
        </w:rPr>
      </w:pPr>
      <w:r>
        <w:rPr>
          <w:i/>
        </w:rPr>
        <w:t>‘</w:t>
      </w:r>
      <w:r w:rsidR="00AE090E" w:rsidRPr="00F864F4">
        <w:rPr>
          <w:i/>
        </w:rPr>
        <w:t xml:space="preserve">Based on the assessment of the population-based studies, the CHMP concluded that overall the data did not indicate an increased risk of cancer with insulin </w:t>
      </w:r>
      <w:proofErr w:type="spellStart"/>
      <w:r w:rsidR="00AE090E" w:rsidRPr="00F864F4">
        <w:rPr>
          <w:i/>
        </w:rPr>
        <w:t>glargine</w:t>
      </w:r>
      <w:proofErr w:type="spellEnd"/>
      <w:r w:rsidR="00AE090E" w:rsidRPr="00F864F4">
        <w:rPr>
          <w:i/>
        </w:rPr>
        <w:t xml:space="preserve">, noting that there is no known mechanism by which the insulin </w:t>
      </w:r>
      <w:proofErr w:type="spellStart"/>
      <w:r w:rsidR="00AE090E" w:rsidRPr="00F864F4">
        <w:rPr>
          <w:i/>
        </w:rPr>
        <w:t>glargine</w:t>
      </w:r>
      <w:proofErr w:type="spellEnd"/>
      <w:r w:rsidR="00AE090E" w:rsidRPr="00F864F4">
        <w:rPr>
          <w:i/>
        </w:rPr>
        <w:t xml:space="preserve"> would cause cancer and that a cancer risk has not been seen in laboratory studies.</w:t>
      </w:r>
      <w:r w:rsidR="009F388C">
        <w:rPr>
          <w:i/>
        </w:rPr>
        <w:t xml:space="preserve"> </w:t>
      </w:r>
      <w:r w:rsidR="00AE090E" w:rsidRPr="00F864F4">
        <w:rPr>
          <w:i/>
        </w:rPr>
        <w:t>As for all medicines, the Agency will continue to assess any new data that become available in this area, as part of the routine monitoring of the medicine.</w:t>
      </w:r>
      <w:r>
        <w:rPr>
          <w:i/>
        </w:rPr>
        <w:t>’</w:t>
      </w:r>
    </w:p>
    <w:p w:rsidR="00AE090E" w:rsidRDefault="00AE090E" w:rsidP="002555F1">
      <w:pPr>
        <w:pStyle w:val="ListBullet"/>
      </w:pPr>
      <w:r>
        <w:t xml:space="preserve">The evaluator does not wish to split hairs but there is difference between </w:t>
      </w:r>
      <w:r w:rsidR="00127BD9">
        <w:t>‘</w:t>
      </w:r>
      <w:r w:rsidRPr="002555F1">
        <w:rPr>
          <w:i/>
        </w:rPr>
        <w:t xml:space="preserve">no known mechanism by which the insulin </w:t>
      </w:r>
      <w:proofErr w:type="spellStart"/>
      <w:r w:rsidRPr="002555F1">
        <w:rPr>
          <w:i/>
        </w:rPr>
        <w:t>glargine</w:t>
      </w:r>
      <w:proofErr w:type="spellEnd"/>
      <w:r w:rsidRPr="002555F1">
        <w:rPr>
          <w:i/>
        </w:rPr>
        <w:t xml:space="preserve"> would cause cancer</w:t>
      </w:r>
      <w:r w:rsidR="00127BD9">
        <w:t>’</w:t>
      </w:r>
      <w:r>
        <w:t xml:space="preserve"> (there is no suggestion that insulin </w:t>
      </w:r>
      <w:proofErr w:type="spellStart"/>
      <w:r>
        <w:t>glargine</w:t>
      </w:r>
      <w:proofErr w:type="spellEnd"/>
      <w:r>
        <w:t xml:space="preserve"> is for example genotoxic) and a potential to promote tumours by an agonistic effect at IGF-1 receptors. Consequently, postmarketing surveillance will possibly </w:t>
      </w:r>
      <w:r>
        <w:lastRenderedPageBreak/>
        <w:t>be contributory but the studies would need to be long term and be capable of dealing with confounders such as HMG CoA reductase inhibitors and low dose aspirin, both of which are commonly p</w:t>
      </w:r>
      <w:r w:rsidR="00B87044">
        <w:t>rescribed to diabetic patients.</w:t>
      </w:r>
    </w:p>
    <w:p w:rsidR="00AE090E" w:rsidRDefault="00AE090E" w:rsidP="002555F1">
      <w:pPr>
        <w:pStyle w:val="ListBullet"/>
      </w:pPr>
      <w:r>
        <w:t xml:space="preserve">Nonetheless, there is no basis for suggesting that </w:t>
      </w:r>
      <w:proofErr w:type="spellStart"/>
      <w:r w:rsidR="00216E0E">
        <w:t>Abasria</w:t>
      </w:r>
      <w:proofErr w:type="spellEnd"/>
      <w:r>
        <w:t xml:space="preserve"> presents a different degree of risk from Lantus, so registration of </w:t>
      </w:r>
      <w:proofErr w:type="spellStart"/>
      <w:r w:rsidR="00216E0E">
        <w:t>Abasria</w:t>
      </w:r>
      <w:proofErr w:type="spellEnd"/>
      <w:r>
        <w:t xml:space="preserve"> cannot be opposed on the </w:t>
      </w:r>
      <w:r w:rsidR="00B87044">
        <w:t>grounds of potential neoplasia.</w:t>
      </w:r>
    </w:p>
    <w:p w:rsidR="00AE090E" w:rsidRDefault="00AE090E" w:rsidP="00B87044">
      <w:pPr>
        <w:pStyle w:val="Heading3"/>
      </w:pPr>
      <w:bookmarkStart w:id="256" w:name="_Toc241374328"/>
      <w:bookmarkStart w:id="257" w:name="_Toc272414691"/>
      <w:bookmarkStart w:id="258" w:name="_Toc290846329"/>
      <w:bookmarkStart w:id="259" w:name="_Toc378790210"/>
      <w:bookmarkStart w:id="260" w:name="_Toc416955641"/>
      <w:r>
        <w:t xml:space="preserve">Evaluator’s overall </w:t>
      </w:r>
      <w:r w:rsidRPr="00B87044">
        <w:t>conclusions</w:t>
      </w:r>
      <w:r>
        <w:t xml:space="preserve"> on clinical safety</w:t>
      </w:r>
      <w:bookmarkEnd w:id="256"/>
      <w:bookmarkEnd w:id="257"/>
      <w:bookmarkEnd w:id="258"/>
      <w:bookmarkEnd w:id="259"/>
      <w:bookmarkEnd w:id="260"/>
    </w:p>
    <w:p w:rsidR="00AE090E" w:rsidRDefault="00AE090E" w:rsidP="00AE090E">
      <w:pPr>
        <w:autoSpaceDE w:val="0"/>
        <w:autoSpaceDN w:val="0"/>
        <w:adjustRightInd w:val="0"/>
      </w:pPr>
      <w:r w:rsidRPr="0064624F">
        <w:t xml:space="preserve">The </w:t>
      </w:r>
      <w:r w:rsidR="00216E0E">
        <w:t>Phase III</w:t>
      </w:r>
      <w:r w:rsidRPr="0064624F">
        <w:t xml:space="preserve"> studies are of sufficient size and duration to establish </w:t>
      </w:r>
      <w:r>
        <w:t xml:space="preserve">in terms </w:t>
      </w:r>
      <w:r w:rsidRPr="0064624F">
        <w:t>of common adverse events.</w:t>
      </w:r>
      <w:r w:rsidR="009F388C">
        <w:t xml:space="preserve"> </w:t>
      </w:r>
      <w:r w:rsidRPr="0064624F">
        <w:t>They enrolled reasonably representative populations of Type 1 and Type 2 diabetics that were using treatment regimens relevant to recommended clinical practice in this country.</w:t>
      </w:r>
      <w:r w:rsidR="009F388C">
        <w:t xml:space="preserve"> </w:t>
      </w:r>
      <w:r w:rsidRPr="0064624F">
        <w:t>The study in Type 1 diabetics has an ongoing extension phase that should be submitted as a post-registration commitment.</w:t>
      </w:r>
      <w:r w:rsidR="009F388C">
        <w:t xml:space="preserve"> </w:t>
      </w:r>
      <w:r>
        <w:t>Its open design admits the possibility of bias.</w:t>
      </w:r>
    </w:p>
    <w:p w:rsidR="00AE090E" w:rsidRDefault="00AE090E" w:rsidP="00AE090E">
      <w:pPr>
        <w:autoSpaceDE w:val="0"/>
        <w:autoSpaceDN w:val="0"/>
        <w:adjustRightInd w:val="0"/>
      </w:pPr>
      <w:r>
        <w:t xml:space="preserve">No new safety signals emerged and </w:t>
      </w:r>
      <w:proofErr w:type="spellStart"/>
      <w:r w:rsidR="00216E0E">
        <w:t>Abasria</w:t>
      </w:r>
      <w:proofErr w:type="spellEnd"/>
      <w:r>
        <w:t xml:space="preserve"> was not worse than Lantus in terms of the frequency of serious adverse events. </w:t>
      </w:r>
      <w:proofErr w:type="spellStart"/>
      <w:r w:rsidR="00216E0E">
        <w:t>Abasria</w:t>
      </w:r>
      <w:proofErr w:type="spellEnd"/>
      <w:r>
        <w:t xml:space="preserve"> appears to be registrable on clinical safety grounds. The 12 month data on Study ABEB should be submitted for evaluation when they become available.</w:t>
      </w:r>
    </w:p>
    <w:p w:rsidR="00C22678" w:rsidRDefault="00C22678" w:rsidP="002555F1">
      <w:pPr>
        <w:pStyle w:val="Heading2"/>
      </w:pPr>
      <w:bookmarkStart w:id="261" w:name="_Toc416955642"/>
      <w:r>
        <w:t>First round benefit-risk assessment</w:t>
      </w:r>
      <w:bookmarkEnd w:id="261"/>
    </w:p>
    <w:p w:rsidR="00AE090E" w:rsidRDefault="00AE090E" w:rsidP="002555F1">
      <w:pPr>
        <w:pStyle w:val="Heading3"/>
      </w:pPr>
      <w:bookmarkStart w:id="262" w:name="_Toc236802592"/>
      <w:bookmarkStart w:id="263" w:name="_Toc241374331"/>
      <w:bookmarkStart w:id="264" w:name="_Ref272160836"/>
      <w:bookmarkStart w:id="265" w:name="_Toc272414693"/>
      <w:bookmarkStart w:id="266" w:name="_Toc290846331"/>
      <w:bookmarkStart w:id="267" w:name="_Toc378790212"/>
      <w:bookmarkStart w:id="268" w:name="_Toc416955643"/>
      <w:r>
        <w:t>First round assessment of benefits</w:t>
      </w:r>
      <w:bookmarkEnd w:id="262"/>
      <w:bookmarkEnd w:id="263"/>
      <w:bookmarkEnd w:id="264"/>
      <w:bookmarkEnd w:id="265"/>
      <w:bookmarkEnd w:id="266"/>
      <w:bookmarkEnd w:id="267"/>
      <w:bookmarkEnd w:id="268"/>
    </w:p>
    <w:p w:rsidR="00AE090E" w:rsidRDefault="00AE090E" w:rsidP="00AE090E">
      <w:r>
        <w:t xml:space="preserve">The benefits of </w:t>
      </w:r>
      <w:proofErr w:type="spellStart"/>
      <w:r w:rsidR="00216E0E">
        <w:t>Abasria</w:t>
      </w:r>
      <w:proofErr w:type="spellEnd"/>
      <w:r>
        <w:t xml:space="preserve"> in the proposed usage are:</w:t>
      </w:r>
    </w:p>
    <w:p w:rsidR="00AE090E" w:rsidRDefault="00AE090E" w:rsidP="002555F1">
      <w:pPr>
        <w:pStyle w:val="ListBullet"/>
      </w:pPr>
      <w:r>
        <w:t xml:space="preserve">Not different from those of Lantus EU and Lantus </w:t>
      </w:r>
      <w:proofErr w:type="gramStart"/>
      <w:r>
        <w:t>US,</w:t>
      </w:r>
      <w:proofErr w:type="gramEnd"/>
      <w:r>
        <w:t xml:space="preserve"> based on two way non-inferiority in two </w:t>
      </w:r>
      <w:r w:rsidR="00216E0E">
        <w:t>Phase III</w:t>
      </w:r>
      <w:r>
        <w:t xml:space="preserve"> studies.</w:t>
      </w:r>
    </w:p>
    <w:p w:rsidR="00AE090E" w:rsidRDefault="00AE090E" w:rsidP="002555F1">
      <w:pPr>
        <w:pStyle w:val="Heading3"/>
      </w:pPr>
      <w:bookmarkStart w:id="269" w:name="_Toc236802596"/>
      <w:bookmarkStart w:id="270" w:name="_Toc241374334"/>
      <w:bookmarkStart w:id="271" w:name="_Ref272160964"/>
      <w:bookmarkStart w:id="272" w:name="_Toc272414694"/>
      <w:bookmarkStart w:id="273" w:name="_Toc290846332"/>
      <w:bookmarkStart w:id="274" w:name="_Toc378790213"/>
      <w:bookmarkStart w:id="275" w:name="_Toc416955644"/>
      <w:r>
        <w:t>First round assessment of risks</w:t>
      </w:r>
      <w:bookmarkEnd w:id="269"/>
      <w:bookmarkEnd w:id="270"/>
      <w:bookmarkEnd w:id="271"/>
      <w:bookmarkEnd w:id="272"/>
      <w:bookmarkEnd w:id="273"/>
      <w:bookmarkEnd w:id="274"/>
      <w:bookmarkEnd w:id="275"/>
    </w:p>
    <w:p w:rsidR="00AE090E" w:rsidRDefault="00AE090E" w:rsidP="00AE090E">
      <w:r>
        <w:t xml:space="preserve">The risks of </w:t>
      </w:r>
      <w:proofErr w:type="spellStart"/>
      <w:r w:rsidR="00216E0E">
        <w:t>Abasria</w:t>
      </w:r>
      <w:proofErr w:type="spellEnd"/>
      <w:r>
        <w:t xml:space="preserve"> in the proposed usage are:</w:t>
      </w:r>
    </w:p>
    <w:p w:rsidR="00AE090E" w:rsidRPr="00C50835" w:rsidRDefault="00AE090E" w:rsidP="002555F1">
      <w:pPr>
        <w:pStyle w:val="ListBullet"/>
      </w:pPr>
      <w:r w:rsidRPr="00C50835">
        <w:t xml:space="preserve">Not different from those of Lantus EU and Lantus </w:t>
      </w:r>
      <w:proofErr w:type="gramStart"/>
      <w:r w:rsidRPr="00C50835">
        <w:t>US,</w:t>
      </w:r>
      <w:proofErr w:type="gramEnd"/>
      <w:r w:rsidRPr="00C50835">
        <w:t xml:space="preserve"> based on two </w:t>
      </w:r>
      <w:r>
        <w:t xml:space="preserve">the experience in two </w:t>
      </w:r>
      <w:r w:rsidR="00216E0E">
        <w:t>Phase III</w:t>
      </w:r>
      <w:r w:rsidRPr="00C50835">
        <w:t xml:space="preserve"> studies.</w:t>
      </w:r>
    </w:p>
    <w:p w:rsidR="00AE090E" w:rsidRDefault="007D4FBC" w:rsidP="002555F1">
      <w:pPr>
        <w:pStyle w:val="ListBullet"/>
      </w:pPr>
      <w:r>
        <w:t xml:space="preserve">The evaluator also listed </w:t>
      </w:r>
      <w:r w:rsidR="00AE090E">
        <w:t>unresolved potential problem</w:t>
      </w:r>
      <w:r>
        <w:t>s regarding</w:t>
      </w:r>
      <w:r w:rsidR="00AE090E">
        <w:t xml:space="preserve"> the safety the cartridge </w:t>
      </w:r>
      <w:r>
        <w:t>and</w:t>
      </w:r>
      <w:r w:rsidR="00AE090E">
        <w:t xml:space="preserve"> clinical data to support the </w:t>
      </w:r>
      <w:proofErr w:type="spellStart"/>
      <w:r w:rsidR="00AE090E">
        <w:t>KwikPen</w:t>
      </w:r>
      <w:proofErr w:type="spellEnd"/>
      <w:r w:rsidR="00AE090E">
        <w:t xml:space="preserve"> device.</w:t>
      </w:r>
    </w:p>
    <w:p w:rsidR="00AE090E" w:rsidRDefault="00AE090E" w:rsidP="0029506F">
      <w:pPr>
        <w:pStyle w:val="Heading3"/>
      </w:pPr>
      <w:bookmarkStart w:id="276" w:name="_Toc236802597"/>
      <w:bookmarkStart w:id="277" w:name="_Toc241374335"/>
      <w:bookmarkStart w:id="278" w:name="_Toc272414695"/>
      <w:bookmarkStart w:id="279" w:name="_Toc290846333"/>
      <w:bookmarkStart w:id="280" w:name="_Toc378790214"/>
      <w:bookmarkStart w:id="281" w:name="_Toc416955645"/>
      <w:r>
        <w:t>First round assessment of benefit-risk balance</w:t>
      </w:r>
      <w:bookmarkEnd w:id="276"/>
      <w:bookmarkEnd w:id="277"/>
      <w:bookmarkEnd w:id="278"/>
      <w:bookmarkEnd w:id="279"/>
      <w:bookmarkEnd w:id="280"/>
      <w:bookmarkEnd w:id="281"/>
    </w:p>
    <w:p w:rsidR="00AE090E" w:rsidRDefault="00AE090E" w:rsidP="00AE090E">
      <w:r>
        <w:t xml:space="preserve">The benefit-risk balance of </w:t>
      </w:r>
      <w:proofErr w:type="spellStart"/>
      <w:r w:rsidR="00216E0E">
        <w:t>Abasria</w:t>
      </w:r>
      <w:proofErr w:type="spellEnd"/>
      <w:r>
        <w:t xml:space="preserve"> cartridges is unfavourable given the proposed usage, but would become favourable if the uncerta</w:t>
      </w:r>
      <w:r w:rsidR="00B87044">
        <w:t>inty raised should be resolved.</w:t>
      </w:r>
    </w:p>
    <w:p w:rsidR="00C22678" w:rsidRDefault="00C22678" w:rsidP="007D4FBC">
      <w:pPr>
        <w:pStyle w:val="Heading2"/>
      </w:pPr>
      <w:bookmarkStart w:id="282" w:name="_Toc416955646"/>
      <w:r>
        <w:t>First round recommendation regarding authorisation</w:t>
      </w:r>
      <w:bookmarkEnd w:id="282"/>
    </w:p>
    <w:p w:rsidR="00AE090E" w:rsidRDefault="00AE090E" w:rsidP="00AE090E">
      <w:r>
        <w:t xml:space="preserve">Registration should not proceed at present, pending resolution of the matters raised </w:t>
      </w:r>
      <w:r w:rsidR="007D4FBC">
        <w:t>above</w:t>
      </w:r>
      <w:r>
        <w:t>.</w:t>
      </w:r>
      <w:r w:rsidR="009F388C">
        <w:t xml:space="preserve"> </w:t>
      </w:r>
    </w:p>
    <w:p w:rsidR="00AE090E" w:rsidRDefault="00AE090E" w:rsidP="00AE090E">
      <w:r>
        <w:t>Submission of the completed (52 weeks of data) Study ABEB should be a condition of registration.</w:t>
      </w:r>
    </w:p>
    <w:p w:rsidR="00C22678" w:rsidRDefault="00C22678" w:rsidP="00C22678">
      <w:pPr>
        <w:pStyle w:val="Heading2"/>
      </w:pPr>
      <w:bookmarkStart w:id="283" w:name="_Toc416955647"/>
      <w:r>
        <w:lastRenderedPageBreak/>
        <w:t>Clinical questions</w:t>
      </w:r>
      <w:bookmarkEnd w:id="283"/>
    </w:p>
    <w:p w:rsidR="00C22678" w:rsidRDefault="00C618F7" w:rsidP="00AE090E">
      <w:pPr>
        <w:pStyle w:val="Heading3"/>
      </w:pPr>
      <w:bookmarkStart w:id="284" w:name="_Toc416955648"/>
      <w:r>
        <w:t>Pharmacokinetics</w:t>
      </w:r>
      <w:bookmarkEnd w:id="284"/>
    </w:p>
    <w:p w:rsidR="00AE090E" w:rsidRPr="007D4FBC" w:rsidRDefault="00AE090E" w:rsidP="007D4FBC">
      <w:pPr>
        <w:pStyle w:val="Numberbullet0"/>
        <w:numPr>
          <w:ilvl w:val="0"/>
          <w:numId w:val="39"/>
        </w:numPr>
      </w:pPr>
      <w:r w:rsidRPr="007D4FBC">
        <w:t>In study ABEN, the source of the US Lantus in unclear – as mentioned in table APP.2.7.1.4.24, the US Lantus was bought in Germany.</w:t>
      </w:r>
      <w:r w:rsidR="009F388C" w:rsidRPr="007D4FBC">
        <w:t xml:space="preserve"> </w:t>
      </w:r>
      <w:r w:rsidRPr="007D4FBC">
        <w:t>The applicant should confirm and clarify how this can be correct.</w:t>
      </w:r>
    </w:p>
    <w:p w:rsidR="00AE090E" w:rsidRPr="007D4FBC" w:rsidRDefault="00AE090E" w:rsidP="007D4FBC">
      <w:pPr>
        <w:pStyle w:val="Numberbullet0"/>
        <w:numPr>
          <w:ilvl w:val="0"/>
          <w:numId w:val="39"/>
        </w:numPr>
      </w:pPr>
      <w:r w:rsidRPr="007D4FBC">
        <w:t xml:space="preserve">The applicant should clarify if </w:t>
      </w:r>
      <w:r w:rsidR="007D4FBC">
        <w:t>[information redacted]</w:t>
      </w:r>
      <w:r w:rsidRPr="007D4FBC">
        <w:t xml:space="preserve"> were the investigator and whose signature appears on I4L-MC-ABEI CSR Appendix Signature. The applicant should also confirm that Lantus EU was used in Study ABEI.</w:t>
      </w:r>
    </w:p>
    <w:p w:rsidR="00C618F7" w:rsidRDefault="00C618F7" w:rsidP="00C618F7">
      <w:pPr>
        <w:pStyle w:val="Heading3"/>
      </w:pPr>
      <w:bookmarkStart w:id="285" w:name="_Toc416955649"/>
      <w:r>
        <w:t>Pharmacodynamics</w:t>
      </w:r>
      <w:bookmarkEnd w:id="285"/>
    </w:p>
    <w:p w:rsidR="00C618F7" w:rsidRPr="00586F98" w:rsidRDefault="00AE090E" w:rsidP="00C618F7">
      <w:pPr>
        <w:rPr>
          <w:lang w:eastAsia="ja-JP"/>
        </w:rPr>
      </w:pPr>
      <w:proofErr w:type="gramStart"/>
      <w:r>
        <w:rPr>
          <w:lang w:eastAsia="ja-JP"/>
        </w:rPr>
        <w:t>Nil.</w:t>
      </w:r>
      <w:proofErr w:type="gramEnd"/>
    </w:p>
    <w:p w:rsidR="00C618F7" w:rsidRDefault="00C618F7" w:rsidP="00C618F7">
      <w:pPr>
        <w:pStyle w:val="Heading3"/>
      </w:pPr>
      <w:bookmarkStart w:id="286" w:name="_Toc416955650"/>
      <w:r>
        <w:t>Efficacy</w:t>
      </w:r>
      <w:bookmarkEnd w:id="286"/>
    </w:p>
    <w:p w:rsidR="00C618F7" w:rsidRPr="00586F98" w:rsidRDefault="00AE090E" w:rsidP="00C618F7">
      <w:pPr>
        <w:rPr>
          <w:lang w:eastAsia="ja-JP"/>
        </w:rPr>
      </w:pPr>
      <w:proofErr w:type="gramStart"/>
      <w:r>
        <w:rPr>
          <w:lang w:eastAsia="ja-JP"/>
        </w:rPr>
        <w:t>Nil.</w:t>
      </w:r>
      <w:proofErr w:type="gramEnd"/>
    </w:p>
    <w:p w:rsidR="00C618F7" w:rsidRDefault="00C618F7" w:rsidP="00C618F7">
      <w:pPr>
        <w:pStyle w:val="Heading3"/>
      </w:pPr>
      <w:bookmarkStart w:id="287" w:name="_Toc416955651"/>
      <w:r>
        <w:t>Safety</w:t>
      </w:r>
      <w:bookmarkEnd w:id="287"/>
    </w:p>
    <w:p w:rsidR="00C618F7" w:rsidRPr="00586F98" w:rsidRDefault="00AE090E" w:rsidP="00C618F7">
      <w:pPr>
        <w:rPr>
          <w:lang w:eastAsia="ja-JP"/>
        </w:rPr>
      </w:pPr>
      <w:proofErr w:type="gramStart"/>
      <w:r>
        <w:rPr>
          <w:lang w:eastAsia="ja-JP"/>
        </w:rPr>
        <w:t>Nil.</w:t>
      </w:r>
      <w:proofErr w:type="gramEnd"/>
    </w:p>
    <w:p w:rsidR="00C618F7" w:rsidRDefault="00C618F7" w:rsidP="00C618F7">
      <w:pPr>
        <w:pStyle w:val="Heading2"/>
      </w:pPr>
      <w:bookmarkStart w:id="288" w:name="_Toc416955652"/>
      <w:r>
        <w:t>Second round evaluation of clinical data submitted in response to questions</w:t>
      </w:r>
      <w:bookmarkEnd w:id="288"/>
    </w:p>
    <w:p w:rsidR="00D616FF" w:rsidRDefault="00D616FF" w:rsidP="00D616FF">
      <w:r>
        <w:t xml:space="preserve">The sponsor responded to the issues raised about the </w:t>
      </w:r>
      <w:proofErr w:type="spellStart"/>
      <w:r>
        <w:t>KwikPen</w:t>
      </w:r>
      <w:proofErr w:type="spellEnd"/>
      <w:r>
        <w:t xml:space="preserve"> as follows:</w:t>
      </w:r>
    </w:p>
    <w:p w:rsidR="00D616FF" w:rsidRPr="003E68DA" w:rsidRDefault="00D616FF" w:rsidP="00D616FF">
      <w:pPr>
        <w:rPr>
          <w:i/>
        </w:rPr>
      </w:pPr>
      <w:r>
        <w:rPr>
          <w:i/>
        </w:rPr>
        <w:t>‘</w:t>
      </w:r>
      <w:r w:rsidRPr="003E68DA">
        <w:rPr>
          <w:i/>
        </w:rPr>
        <w:t xml:space="preserve">There is no basis for the assumption that medication error is more likely to occur with </w:t>
      </w:r>
      <w:proofErr w:type="spellStart"/>
      <w:r w:rsidRPr="003E68DA">
        <w:rPr>
          <w:i/>
        </w:rPr>
        <w:t>Abasria</w:t>
      </w:r>
      <w:proofErr w:type="spellEnd"/>
      <w:r w:rsidRPr="003E68DA">
        <w:rPr>
          <w:i/>
        </w:rPr>
        <w:t xml:space="preserve"> compared </w:t>
      </w:r>
      <w:r>
        <w:rPr>
          <w:i/>
        </w:rPr>
        <w:t>to</w:t>
      </w:r>
      <w:r w:rsidRPr="003E68DA">
        <w:rPr>
          <w:i/>
        </w:rPr>
        <w:t xml:space="preserve"> other insulins currently av</w:t>
      </w:r>
      <w:r>
        <w:rPr>
          <w:i/>
        </w:rPr>
        <w:t>a</w:t>
      </w:r>
      <w:r w:rsidRPr="003E68DA">
        <w:rPr>
          <w:i/>
        </w:rPr>
        <w:t>ilable, including the reference product in this application, without a de</w:t>
      </w:r>
      <w:r>
        <w:rPr>
          <w:i/>
        </w:rPr>
        <w:t>d</w:t>
      </w:r>
      <w:r w:rsidRPr="003E68DA">
        <w:rPr>
          <w:i/>
        </w:rPr>
        <w:t xml:space="preserve">icated pen and should therefore be removed from the evaluation report. The evaluator also states no information is available on the </w:t>
      </w:r>
      <w:proofErr w:type="spellStart"/>
      <w:r w:rsidRPr="003E68DA">
        <w:rPr>
          <w:i/>
        </w:rPr>
        <w:t>KwikPen</w:t>
      </w:r>
      <w:proofErr w:type="spellEnd"/>
      <w:r w:rsidRPr="003E68DA">
        <w:rPr>
          <w:i/>
        </w:rPr>
        <w:t xml:space="preserve"> device with res</w:t>
      </w:r>
      <w:r>
        <w:rPr>
          <w:i/>
        </w:rPr>
        <w:t>p</w:t>
      </w:r>
      <w:r w:rsidRPr="003E68DA">
        <w:rPr>
          <w:i/>
        </w:rPr>
        <w:t>ect to dose accuracy. This statement is incorrect as Module 3.2R.3 includes the required device testing information.</w:t>
      </w:r>
      <w:r>
        <w:rPr>
          <w:i/>
        </w:rPr>
        <w:t>’</w:t>
      </w:r>
    </w:p>
    <w:p w:rsidR="00C618F7" w:rsidRDefault="00C618F7" w:rsidP="0029506F">
      <w:pPr>
        <w:pStyle w:val="Heading2"/>
      </w:pPr>
      <w:bookmarkStart w:id="289" w:name="_Toc416955653"/>
      <w:r>
        <w:t>References</w:t>
      </w:r>
      <w:bookmarkEnd w:id="289"/>
    </w:p>
    <w:bookmarkEnd w:id="3"/>
    <w:bookmarkEnd w:id="2"/>
    <w:bookmarkEnd w:id="1"/>
    <w:p w:rsidR="0029506F" w:rsidRPr="00216E0E" w:rsidRDefault="0029506F" w:rsidP="00216E0E">
      <w:pPr>
        <w:pStyle w:val="Numberbullet0"/>
        <w:numPr>
          <w:ilvl w:val="0"/>
          <w:numId w:val="38"/>
        </w:numPr>
        <w:rPr>
          <w:lang w:val="en-US"/>
        </w:rPr>
      </w:pPr>
      <w:r w:rsidRPr="00216E0E">
        <w:rPr>
          <w:lang w:val="en-US"/>
        </w:rPr>
        <w:t>Module 1.13.1 Australian Annex to the RM</w:t>
      </w:r>
      <w:r w:rsidR="00B87044">
        <w:rPr>
          <w:lang w:val="en-US"/>
        </w:rPr>
        <w:t>P, page 6 of 7.</w:t>
      </w:r>
    </w:p>
    <w:p w:rsidR="0029506F" w:rsidRPr="00216E0E" w:rsidRDefault="0029506F" w:rsidP="00216E0E">
      <w:pPr>
        <w:pStyle w:val="Numberbullet0"/>
        <w:numPr>
          <w:ilvl w:val="0"/>
          <w:numId w:val="38"/>
        </w:numPr>
        <w:rPr>
          <w:lang w:val="en-US"/>
        </w:rPr>
      </w:pPr>
      <w:r w:rsidRPr="00216E0E">
        <w:rPr>
          <w:lang w:val="en-US"/>
        </w:rPr>
        <w:t>From Table 2.3.P.1-1, modified to</w:t>
      </w:r>
      <w:r w:rsidR="00B87044">
        <w:rPr>
          <w:lang w:val="en-US"/>
        </w:rPr>
        <w:t xml:space="preserve"> use Australian Approved Names.</w:t>
      </w:r>
    </w:p>
    <w:p w:rsidR="003D1E62" w:rsidRPr="001D043B" w:rsidRDefault="00216E0E" w:rsidP="002666AC">
      <w:pPr>
        <w:pStyle w:val="Numberbullet0"/>
        <w:numPr>
          <w:ilvl w:val="0"/>
          <w:numId w:val="38"/>
        </w:numPr>
        <w:sectPr w:rsidR="003D1E62" w:rsidRPr="001D043B" w:rsidSect="008D770F">
          <w:headerReference w:type="even" r:id="rId44"/>
          <w:headerReference w:type="default" r:id="rId45"/>
          <w:headerReference w:type="first" r:id="rId46"/>
          <w:footerReference w:type="first" r:id="rId47"/>
          <w:pgSz w:w="11906" w:h="16838" w:code="9"/>
          <w:pgMar w:top="1440" w:right="1440" w:bottom="1440" w:left="1440" w:header="907" w:footer="216" w:gutter="0"/>
          <w:cols w:space="708"/>
          <w:docGrid w:linePitch="360"/>
        </w:sectPr>
      </w:pPr>
      <w:proofErr w:type="spellStart"/>
      <w:r w:rsidRPr="005B41AF">
        <w:t>H</w:t>
      </w:r>
      <w:r w:rsidR="0029506F" w:rsidRPr="005B41AF">
        <w:t>emkens</w:t>
      </w:r>
      <w:proofErr w:type="spellEnd"/>
      <w:r w:rsidR="0029506F" w:rsidRPr="005B41AF">
        <w:t xml:space="preserve"> LG, </w:t>
      </w:r>
      <w:proofErr w:type="spellStart"/>
      <w:r w:rsidR="0029506F" w:rsidRPr="005B41AF">
        <w:t>Grouven</w:t>
      </w:r>
      <w:proofErr w:type="spellEnd"/>
      <w:r w:rsidR="0029506F" w:rsidRPr="005B41AF">
        <w:t xml:space="preserve"> U, Bender R, </w:t>
      </w:r>
      <w:proofErr w:type="spellStart"/>
      <w:r w:rsidR="0029506F" w:rsidRPr="005B41AF">
        <w:t>Günster</w:t>
      </w:r>
      <w:proofErr w:type="spellEnd"/>
      <w:r w:rsidR="0029506F" w:rsidRPr="005B41AF">
        <w:t xml:space="preserve"> C, </w:t>
      </w:r>
      <w:proofErr w:type="spellStart"/>
      <w:r w:rsidR="0029506F" w:rsidRPr="005B41AF">
        <w:t>Gutschmidt</w:t>
      </w:r>
      <w:proofErr w:type="spellEnd"/>
      <w:r w:rsidR="0029506F" w:rsidRPr="005B41AF">
        <w:t xml:space="preserve"> S, </w:t>
      </w:r>
      <w:proofErr w:type="spellStart"/>
      <w:r w:rsidR="0029506F" w:rsidRPr="005B41AF">
        <w:t>Selke</w:t>
      </w:r>
      <w:proofErr w:type="spellEnd"/>
      <w:r w:rsidR="0029506F" w:rsidRPr="005B41AF">
        <w:t xml:space="preserve"> GW, </w:t>
      </w:r>
      <w:proofErr w:type="spellStart"/>
      <w:r w:rsidR="0029506F" w:rsidRPr="005B41AF">
        <w:t>Sawicki</w:t>
      </w:r>
      <w:proofErr w:type="spellEnd"/>
      <w:r w:rsidR="0029506F" w:rsidRPr="005B41AF">
        <w:t xml:space="preserve"> PT. Risk of malignancies in patients with diabetes treated with human insulin or insulin analogues: a cohort study. </w:t>
      </w:r>
      <w:proofErr w:type="spellStart"/>
      <w:r w:rsidR="0029506F" w:rsidRPr="005B41AF">
        <w:t>Diabetologia</w:t>
      </w:r>
      <w:proofErr w:type="spellEnd"/>
      <w:r w:rsidR="0029506F" w:rsidRPr="005B41AF">
        <w:t>. 009</w:t>
      </w:r>
      <w:proofErr w:type="gramStart"/>
      <w:r w:rsidR="0029506F" w:rsidRPr="005B41AF">
        <w:t>;52:1732</w:t>
      </w:r>
      <w:proofErr w:type="gramEnd"/>
      <w:r w:rsidR="0029506F" w:rsidRPr="005B41AF">
        <w:t>–1744</w:t>
      </w:r>
      <w:r w:rsidR="0029506F">
        <w:t>.</w:t>
      </w:r>
    </w:p>
    <w:tbl>
      <w:tblPr>
        <w:tblW w:w="8238" w:type="dxa"/>
        <w:tblInd w:w="-284" w:type="dxa"/>
        <w:tblLayout w:type="fixed"/>
        <w:tblCellMar>
          <w:left w:w="0" w:type="dxa"/>
          <w:right w:w="0" w:type="dxa"/>
        </w:tblCellMar>
        <w:tblLook w:val="04A0" w:firstRow="1" w:lastRow="0" w:firstColumn="1" w:lastColumn="0" w:noHBand="0" w:noVBand="1"/>
      </w:tblPr>
      <w:tblGrid>
        <w:gridCol w:w="8238"/>
      </w:tblGrid>
      <w:tr w:rsidR="00B3567E" w:rsidRPr="00487162" w:rsidTr="005B41AF">
        <w:trPr>
          <w:trHeight w:hRule="exact" w:val="495"/>
        </w:trPr>
        <w:tc>
          <w:tcPr>
            <w:tcW w:w="8238" w:type="dxa"/>
          </w:tcPr>
          <w:p w:rsidR="00B3567E" w:rsidRPr="00487162" w:rsidRDefault="00B3567E" w:rsidP="00AE090E">
            <w:pPr>
              <w:pStyle w:val="TGASignoff"/>
            </w:pPr>
            <w:r w:rsidRPr="00487162">
              <w:lastRenderedPageBreak/>
              <w:t>Therapeutic Goods Administration</w:t>
            </w:r>
          </w:p>
        </w:tc>
      </w:tr>
      <w:tr w:rsidR="00B3567E" w:rsidRPr="00487162" w:rsidTr="005B41AF">
        <w:trPr>
          <w:trHeight w:val="1071"/>
        </w:trPr>
        <w:tc>
          <w:tcPr>
            <w:tcW w:w="8238" w:type="dxa"/>
            <w:tcMar>
              <w:top w:w="28" w:type="dxa"/>
            </w:tcMar>
          </w:tcPr>
          <w:p w:rsidR="00B3567E" w:rsidRPr="00487162" w:rsidRDefault="00B3567E" w:rsidP="00AE090E">
            <w:pPr>
              <w:pStyle w:val="Address"/>
            </w:pPr>
            <w:r w:rsidRPr="00487162">
              <w:t>PO Box 100 Woden ACT 2606 Australia</w:t>
            </w:r>
          </w:p>
          <w:p w:rsidR="00B3567E" w:rsidRPr="00487162" w:rsidRDefault="00B3567E" w:rsidP="00AE090E">
            <w:pPr>
              <w:pStyle w:val="Address"/>
            </w:pPr>
            <w:r w:rsidRPr="00487162">
              <w:t xml:space="preserve">Email: </w:t>
            </w:r>
            <w:hyperlink r:id="rId48" w:history="1">
              <w:r w:rsidRPr="008D770F">
                <w:rPr>
                  <w:rStyle w:val="Hyperlink"/>
                </w:rPr>
                <w:t>info@tga.gov.au</w:t>
              </w:r>
            </w:hyperlink>
            <w:r w:rsidR="009F388C">
              <w:t xml:space="preserve"> </w:t>
            </w:r>
            <w:r w:rsidRPr="00487162">
              <w:t>Phone: 1800 020 653</w:t>
            </w:r>
            <w:r w:rsidR="009F388C">
              <w:t xml:space="preserve"> </w:t>
            </w:r>
            <w:r w:rsidRPr="00487162">
              <w:t>Fax: 02 6232 8605</w:t>
            </w:r>
          </w:p>
          <w:p w:rsidR="00B3567E" w:rsidRPr="008D770F" w:rsidRDefault="00B62B02" w:rsidP="00AE090E">
            <w:pPr>
              <w:pStyle w:val="Address"/>
              <w:spacing w:line="260" w:lineRule="atLeast"/>
              <w:rPr>
                <w:b/>
                <w:color w:val="0000FF"/>
                <w:u w:val="single"/>
              </w:rPr>
            </w:pPr>
            <w:hyperlink r:id="rId49" w:history="1">
              <w:r w:rsidR="00E979F4" w:rsidRPr="00FE02B1">
                <w:rPr>
                  <w:rStyle w:val="Hyperlink"/>
                  <w:b/>
                </w:rPr>
                <w:t>https://www.tga.gov.au</w:t>
              </w:r>
            </w:hyperlink>
          </w:p>
        </w:tc>
      </w:tr>
    </w:tbl>
    <w:p w:rsidR="00774E1D" w:rsidRPr="005B41AF" w:rsidRDefault="00774E1D" w:rsidP="00DB271D"/>
    <w:sectPr w:rsidR="00774E1D" w:rsidRPr="005B41AF" w:rsidSect="00B3567E">
      <w:headerReference w:type="even" r:id="rId50"/>
      <w:headerReference w:type="default" r:id="rId51"/>
      <w:footerReference w:type="default" r:id="rId52"/>
      <w:headerReference w:type="first" r:id="rId53"/>
      <w:footerReference w:type="first" r:id="rId54"/>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341" w:rsidRDefault="00365341" w:rsidP="00C40A36">
      <w:pPr>
        <w:spacing w:after="0"/>
      </w:pPr>
      <w:r>
        <w:separator/>
      </w:r>
    </w:p>
  </w:endnote>
  <w:endnote w:type="continuationSeparator" w:id="0">
    <w:p w:rsidR="00365341" w:rsidRDefault="0036534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roman"/>
    <w:notTrueType/>
    <w:pitch w:val="default"/>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365341" w:rsidRPr="00487162" w:rsidTr="0029506F">
      <w:trPr>
        <w:trHeight w:val="269"/>
      </w:trPr>
      <w:tc>
        <w:tcPr>
          <w:tcW w:w="7513" w:type="dxa"/>
          <w:tcMar>
            <w:top w:w="142" w:type="dxa"/>
            <w:bottom w:w="0" w:type="dxa"/>
          </w:tcMar>
        </w:tcPr>
        <w:p w:rsidR="00365341" w:rsidRPr="00487162" w:rsidRDefault="00365341" w:rsidP="00AE090E">
          <w:pPr>
            <w:pStyle w:val="Footer"/>
          </w:pPr>
          <w:r>
            <w:t>Submission</w:t>
          </w:r>
          <w:r w:rsidRPr="00487162">
            <w:t xml:space="preserve"> PM-20</w:t>
          </w:r>
          <w:r>
            <w:t xml:space="preserve">2802-1-5 Extract from the Clinical Evaluation Report for </w:t>
          </w:r>
          <w:proofErr w:type="spellStart"/>
          <w:r>
            <w:t>Abasria</w:t>
          </w:r>
          <w:proofErr w:type="spellEnd"/>
        </w:p>
      </w:tc>
      <w:tc>
        <w:tcPr>
          <w:tcW w:w="1348" w:type="dxa"/>
          <w:tcMar>
            <w:top w:w="142" w:type="dxa"/>
            <w:bottom w:w="0" w:type="dxa"/>
          </w:tcMar>
        </w:tcPr>
        <w:p w:rsidR="00365341" w:rsidRPr="00981D66" w:rsidRDefault="00365341"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B62B02">
            <w:rPr>
              <w:noProof/>
            </w:rPr>
            <w:t>2</w:t>
          </w:r>
          <w:r w:rsidRPr="00981D66">
            <w:fldChar w:fldCharType="end"/>
          </w:r>
          <w:r w:rsidRPr="00981D66">
            <w:t xml:space="preserve"> of </w:t>
          </w:r>
          <w:r w:rsidR="00B62B02">
            <w:fldChar w:fldCharType="begin"/>
          </w:r>
          <w:r w:rsidR="00B62B02">
            <w:instrText xml:space="preserve"> NUMPAGES  \* Arabic  \* MERGEFORMAT </w:instrText>
          </w:r>
          <w:r w:rsidR="00B62B02">
            <w:fldChar w:fldCharType="separate"/>
          </w:r>
          <w:r w:rsidR="00B62B02">
            <w:rPr>
              <w:noProof/>
            </w:rPr>
            <w:t>57</w:t>
          </w:r>
          <w:r w:rsidR="00B62B02">
            <w:rPr>
              <w:noProof/>
            </w:rPr>
            <w:fldChar w:fldCharType="end"/>
          </w:r>
        </w:p>
      </w:tc>
    </w:tr>
  </w:tbl>
  <w:p w:rsidR="00365341" w:rsidRDefault="00365341"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65341" w:rsidRPr="00487162" w:rsidTr="00E45619">
      <w:trPr>
        <w:trHeight w:val="269"/>
      </w:trPr>
      <w:tc>
        <w:tcPr>
          <w:tcW w:w="4519" w:type="dxa"/>
          <w:tcBorders>
            <w:top w:val="single" w:sz="4" w:space="0" w:color="auto"/>
          </w:tcBorders>
          <w:tcMar>
            <w:top w:w="142" w:type="dxa"/>
            <w:bottom w:w="0" w:type="dxa"/>
          </w:tcMar>
        </w:tcPr>
        <w:p w:rsidR="00365341" w:rsidRPr="00487162" w:rsidRDefault="00365341" w:rsidP="00FE1DEE">
          <w:pPr>
            <w:pStyle w:val="Footer"/>
          </w:pPr>
          <w:r w:rsidRPr="00487162">
            <w:t>Document title, Part #, Section # - Section title</w:t>
          </w:r>
        </w:p>
        <w:p w:rsidR="00365341" w:rsidRPr="00487162" w:rsidRDefault="00365341" w:rsidP="00FE1DEE">
          <w:pPr>
            <w:pStyle w:val="Footer"/>
          </w:pPr>
          <w:r w:rsidRPr="00487162">
            <w:t>V1.0 October 2010</w:t>
          </w:r>
        </w:p>
      </w:tc>
      <w:tc>
        <w:tcPr>
          <w:tcW w:w="4342" w:type="dxa"/>
          <w:tcBorders>
            <w:top w:val="single" w:sz="4" w:space="0" w:color="auto"/>
          </w:tcBorders>
          <w:tcMar>
            <w:top w:w="142" w:type="dxa"/>
            <w:bottom w:w="0" w:type="dxa"/>
          </w:tcMar>
        </w:tcPr>
        <w:p w:rsidR="00365341" w:rsidRPr="00487162" w:rsidRDefault="0036534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58</w:t>
            </w:r>
          </w:fldSimple>
        </w:p>
      </w:tc>
    </w:tr>
  </w:tbl>
  <w:p w:rsidR="00365341" w:rsidRDefault="003653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341" w:rsidRDefault="00365341"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65341" w:rsidTr="0010601F">
      <w:trPr>
        <w:trHeight w:val="108"/>
      </w:trPr>
      <w:tc>
        <w:tcPr>
          <w:tcW w:w="8875" w:type="dxa"/>
          <w:gridSpan w:val="2"/>
          <w:tcBorders>
            <w:bottom w:val="single" w:sz="4" w:space="0" w:color="auto"/>
          </w:tcBorders>
          <w:tcMar>
            <w:right w:w="284" w:type="dxa"/>
          </w:tcMar>
        </w:tcPr>
        <w:p w:rsidR="00365341" w:rsidRDefault="00365341" w:rsidP="006E08B3">
          <w:pPr>
            <w:pStyle w:val="Heading3"/>
          </w:pPr>
          <w:r>
            <w:t>Copyright</w:t>
          </w:r>
        </w:p>
        <w:p w:rsidR="00365341" w:rsidRDefault="00365341" w:rsidP="006E08B3">
          <w:r>
            <w:rPr>
              <w:rFonts w:cs="Arial"/>
            </w:rPr>
            <w:t>©</w:t>
          </w:r>
          <w:r>
            <w:t xml:space="preserve"> Commonwealth of Australia [add year]</w:t>
          </w:r>
        </w:p>
        <w:p w:rsidR="00365341" w:rsidRDefault="00365341" w:rsidP="006E08B3"/>
        <w:p w:rsidR="00365341" w:rsidRDefault="0036534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65341" w:rsidRDefault="00365341" w:rsidP="006E08B3"/>
        <w:p w:rsidR="00365341" w:rsidRDefault="00365341" w:rsidP="006E08B3">
          <w:pPr>
            <w:pStyle w:val="Heading3"/>
          </w:pPr>
          <w:r>
            <w:t>Confidentiality</w:t>
          </w:r>
        </w:p>
        <w:p w:rsidR="00365341" w:rsidRDefault="0036534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65341" w:rsidRDefault="00365341" w:rsidP="006E08B3"/>
        <w:p w:rsidR="00365341" w:rsidRDefault="00365341" w:rsidP="006E08B3">
          <w:r>
            <w:t>For submission made by individuals, all personal details, other than your name, will be removed from your submission before it is published on the TGA’s Internet site.</w:t>
          </w:r>
        </w:p>
        <w:p w:rsidR="00365341" w:rsidRDefault="00365341" w:rsidP="006E08B3"/>
        <w:p w:rsidR="00365341" w:rsidRDefault="00365341" w:rsidP="006E08B3">
          <w:r>
            <w:t>In addition, a list of parties making submissions will be published. If you do not wish to be identified with your submission you must specifically request this in the space provided ib the submission coversheet.</w:t>
          </w:r>
        </w:p>
      </w:tc>
    </w:tr>
    <w:tr w:rsidR="00365341" w:rsidTr="0010601F">
      <w:trPr>
        <w:trHeight w:val="417"/>
      </w:trPr>
      <w:tc>
        <w:tcPr>
          <w:tcW w:w="4519" w:type="dxa"/>
          <w:tcBorders>
            <w:top w:val="single" w:sz="4" w:space="0" w:color="auto"/>
          </w:tcBorders>
          <w:tcMar>
            <w:top w:w="142" w:type="dxa"/>
            <w:bottom w:w="0" w:type="dxa"/>
          </w:tcMar>
        </w:tcPr>
        <w:p w:rsidR="00365341" w:rsidRDefault="00365341" w:rsidP="006E08B3">
          <w:r>
            <w:t>Document title, Part #, Section # - Section title</w:t>
          </w:r>
        </w:p>
        <w:p w:rsidR="00365341" w:rsidRDefault="00365341" w:rsidP="006E08B3">
          <w:r>
            <w:t>V1.0 October 2010</w:t>
          </w:r>
        </w:p>
      </w:tc>
      <w:tc>
        <w:tcPr>
          <w:tcW w:w="4356" w:type="dxa"/>
          <w:tcBorders>
            <w:top w:val="single" w:sz="4" w:space="0" w:color="auto"/>
          </w:tcBorders>
          <w:tcMar>
            <w:top w:w="142" w:type="dxa"/>
            <w:bottom w:w="0" w:type="dxa"/>
          </w:tcMar>
        </w:tcPr>
        <w:p w:rsidR="00365341" w:rsidRDefault="0036534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58</w:t>
            </w:r>
          </w:fldSimple>
          <w:r>
            <w:t xml:space="preserve"> </w:t>
          </w:r>
        </w:p>
      </w:tc>
    </w:tr>
  </w:tbl>
  <w:p w:rsidR="00365341" w:rsidRDefault="003653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341" w:rsidRDefault="00365341" w:rsidP="00C40A36">
      <w:pPr>
        <w:spacing w:after="0"/>
      </w:pPr>
      <w:r>
        <w:separator/>
      </w:r>
    </w:p>
  </w:footnote>
  <w:footnote w:type="continuationSeparator" w:id="0">
    <w:p w:rsidR="00365341" w:rsidRDefault="00365341" w:rsidP="00C40A36">
      <w:pPr>
        <w:spacing w:after="0"/>
      </w:pPr>
      <w:r>
        <w:continuationSeparator/>
      </w:r>
    </w:p>
  </w:footnote>
  <w:footnote w:id="1">
    <w:p w:rsidR="00365341" w:rsidRPr="00FD45B1" w:rsidRDefault="00365341" w:rsidP="008537FF">
      <w:pPr>
        <w:pStyle w:val="FootnoteText"/>
        <w:rPr>
          <w:rFonts w:asciiTheme="minorHAnsi" w:hAnsiTheme="minorHAnsi"/>
        </w:rPr>
      </w:pPr>
      <w:r w:rsidRPr="00FD45B1">
        <w:rPr>
          <w:rStyle w:val="FootnoteReference"/>
        </w:rPr>
        <w:footnoteRef/>
      </w:r>
      <w:r w:rsidRPr="00FD45B1">
        <w:rPr>
          <w:rFonts w:asciiTheme="minorHAnsi" w:hAnsiTheme="minorHAnsi"/>
        </w:rPr>
        <w:t>With a subsequent application, which followed the TGA’s evaluation and approval of this application, the registered nam</w:t>
      </w:r>
      <w:r>
        <w:rPr>
          <w:rFonts w:asciiTheme="minorHAnsi" w:hAnsiTheme="minorHAnsi"/>
        </w:rPr>
        <w:t>es were amended on the ARTG to:</w:t>
      </w:r>
    </w:p>
    <w:p w:rsidR="00365341" w:rsidRPr="00FD45B1" w:rsidRDefault="00365341" w:rsidP="008537FF">
      <w:pPr>
        <w:pStyle w:val="FootnoteText"/>
        <w:rPr>
          <w:rFonts w:asciiTheme="minorHAnsi" w:eastAsiaTheme="minorHAnsi" w:hAnsiTheme="minorHAnsi" w:cs="Helv"/>
          <w:color w:val="000000"/>
        </w:rPr>
      </w:pPr>
      <w:r w:rsidRPr="00FD45B1">
        <w:rPr>
          <w:rFonts w:asciiTheme="minorHAnsi" w:hAnsiTheme="minorHAnsi"/>
        </w:rPr>
        <w:t xml:space="preserve">ARTG 2155552 </w:t>
      </w:r>
      <w:proofErr w:type="spellStart"/>
      <w:r w:rsidRPr="00FD45B1">
        <w:rPr>
          <w:rFonts w:asciiTheme="minorHAnsi" w:eastAsiaTheme="minorHAnsi" w:hAnsiTheme="minorHAnsi" w:cs="Helv"/>
          <w:color w:val="000000"/>
        </w:rPr>
        <w:t>Basaglar</w:t>
      </w:r>
      <w:proofErr w:type="spellEnd"/>
      <w:r w:rsidRPr="00FD45B1">
        <w:rPr>
          <w:rFonts w:asciiTheme="minorHAnsi" w:eastAsiaTheme="minorHAnsi" w:hAnsiTheme="minorHAnsi" w:cs="Helv"/>
          <w:color w:val="000000"/>
        </w:rPr>
        <w:t xml:space="preserve"> </w:t>
      </w:r>
      <w:proofErr w:type="spellStart"/>
      <w:r w:rsidRPr="00FD45B1">
        <w:rPr>
          <w:rFonts w:asciiTheme="minorHAnsi" w:eastAsiaTheme="minorHAnsi" w:hAnsiTheme="minorHAnsi" w:cs="Helv"/>
          <w:color w:val="000000"/>
        </w:rPr>
        <w:t>KwikPen</w:t>
      </w:r>
      <w:proofErr w:type="spellEnd"/>
      <w:r w:rsidRPr="00FD45B1">
        <w:rPr>
          <w:rFonts w:asciiTheme="minorHAnsi" w:eastAsiaTheme="minorHAnsi" w:hAnsiTheme="minorHAnsi" w:cs="Helv"/>
          <w:color w:val="000000"/>
        </w:rPr>
        <w:t xml:space="preserve"> insulin </w:t>
      </w:r>
      <w:proofErr w:type="spellStart"/>
      <w:r w:rsidRPr="00FD45B1">
        <w:rPr>
          <w:rFonts w:asciiTheme="minorHAnsi" w:eastAsiaTheme="minorHAnsi" w:hAnsiTheme="minorHAnsi" w:cs="Helv"/>
          <w:color w:val="000000"/>
        </w:rPr>
        <w:t>glargine</w:t>
      </w:r>
      <w:proofErr w:type="spellEnd"/>
      <w:r w:rsidRPr="00FD45B1">
        <w:rPr>
          <w:rFonts w:asciiTheme="minorHAnsi" w:eastAsiaTheme="minorHAnsi" w:hAnsiTheme="minorHAnsi" w:cs="Helv"/>
          <w:color w:val="000000"/>
        </w:rPr>
        <w:t xml:space="preserve"> (</w:t>
      </w:r>
      <w:proofErr w:type="spellStart"/>
      <w:r w:rsidRPr="00FD45B1">
        <w:rPr>
          <w:rFonts w:asciiTheme="minorHAnsi" w:eastAsiaTheme="minorHAnsi" w:hAnsiTheme="minorHAnsi" w:cs="Helv"/>
          <w:color w:val="000000"/>
        </w:rPr>
        <w:t>rbe</w:t>
      </w:r>
      <w:proofErr w:type="spellEnd"/>
      <w:r w:rsidRPr="00FD45B1">
        <w:rPr>
          <w:rFonts w:asciiTheme="minorHAnsi" w:eastAsiaTheme="minorHAnsi" w:hAnsiTheme="minorHAnsi" w:cs="Helv"/>
          <w:color w:val="000000"/>
        </w:rPr>
        <w:t xml:space="preserve">) 100 IU/mL solution for injection cartridge and ARTG 215551 </w:t>
      </w:r>
      <w:proofErr w:type="spellStart"/>
      <w:r w:rsidRPr="00FD45B1">
        <w:rPr>
          <w:rFonts w:asciiTheme="minorHAnsi" w:eastAsiaTheme="minorHAnsi" w:hAnsiTheme="minorHAnsi" w:cs="Helv"/>
          <w:color w:val="000000"/>
        </w:rPr>
        <w:t>Basaglar</w:t>
      </w:r>
      <w:proofErr w:type="spellEnd"/>
      <w:r w:rsidRPr="00FD45B1">
        <w:rPr>
          <w:rFonts w:asciiTheme="minorHAnsi" w:eastAsiaTheme="minorHAnsi" w:hAnsiTheme="minorHAnsi" w:cs="Helv"/>
          <w:color w:val="000000"/>
        </w:rPr>
        <w:t xml:space="preserve"> insulin </w:t>
      </w:r>
      <w:proofErr w:type="spellStart"/>
      <w:r w:rsidRPr="00FD45B1">
        <w:rPr>
          <w:rFonts w:asciiTheme="minorHAnsi" w:eastAsiaTheme="minorHAnsi" w:hAnsiTheme="minorHAnsi" w:cs="Helv"/>
          <w:color w:val="000000"/>
        </w:rPr>
        <w:t>glargine</w:t>
      </w:r>
      <w:proofErr w:type="spellEnd"/>
      <w:r w:rsidRPr="00FD45B1">
        <w:rPr>
          <w:rFonts w:asciiTheme="minorHAnsi" w:eastAsiaTheme="minorHAnsi" w:hAnsiTheme="minorHAnsi" w:cs="Helv"/>
          <w:color w:val="000000"/>
        </w:rPr>
        <w:t xml:space="preserve"> (</w:t>
      </w:r>
      <w:proofErr w:type="spellStart"/>
      <w:r w:rsidRPr="00FD45B1">
        <w:rPr>
          <w:rFonts w:asciiTheme="minorHAnsi" w:eastAsiaTheme="minorHAnsi" w:hAnsiTheme="minorHAnsi" w:cs="Helv"/>
          <w:color w:val="000000"/>
        </w:rPr>
        <w:t>rbe</w:t>
      </w:r>
      <w:proofErr w:type="spellEnd"/>
      <w:r w:rsidRPr="00FD45B1">
        <w:rPr>
          <w:rFonts w:asciiTheme="minorHAnsi" w:eastAsiaTheme="minorHAnsi" w:hAnsiTheme="minorHAnsi" w:cs="Helv"/>
          <w:color w:val="000000"/>
        </w:rPr>
        <w:t>) 100 IU/mL solution for injection cartridge</w:t>
      </w:r>
    </w:p>
    <w:p w:rsidR="00365341" w:rsidRPr="00FD45B1" w:rsidRDefault="00365341" w:rsidP="008537FF">
      <w:pPr>
        <w:pStyle w:val="FootnoteText"/>
        <w:rPr>
          <w:rFonts w:asciiTheme="minorHAnsi" w:eastAsiaTheme="minorHAnsi" w:hAnsiTheme="minorHAnsi" w:cs="Helv"/>
          <w:color w:val="000000"/>
        </w:rPr>
      </w:pPr>
    </w:p>
    <w:p w:rsidR="00365341" w:rsidRDefault="00365341" w:rsidP="008537FF">
      <w:pPr>
        <w:pStyle w:val="FootnoteText"/>
      </w:pPr>
    </w:p>
  </w:footnote>
  <w:footnote w:id="2">
    <w:p w:rsidR="00365341" w:rsidRPr="000E4334" w:rsidRDefault="00365341" w:rsidP="00AE090E">
      <w:pPr>
        <w:pStyle w:val="FootnoteText"/>
        <w:rPr>
          <w:lang w:val="en-US"/>
        </w:rPr>
      </w:pPr>
      <w:r>
        <w:rPr>
          <w:rStyle w:val="FootnoteReference"/>
        </w:rPr>
        <w:footnoteRef/>
      </w:r>
      <w:r>
        <w:t xml:space="preserve"> </w:t>
      </w:r>
      <w:r w:rsidRPr="000E4334">
        <w:t>This is by reference to Lantus as a composite of two different provenances (EU and USA).</w:t>
      </w:r>
    </w:p>
  </w:footnote>
  <w:footnote w:id="3">
    <w:p w:rsidR="00365341" w:rsidRPr="00CB1CCA" w:rsidRDefault="00365341" w:rsidP="00AE090E">
      <w:pPr>
        <w:pStyle w:val="FootnoteText"/>
        <w:rPr>
          <w:lang w:val="en-US"/>
        </w:rPr>
      </w:pPr>
      <w:r>
        <w:rPr>
          <w:rStyle w:val="FootnoteReference"/>
        </w:rPr>
        <w:footnoteRef/>
      </w:r>
      <w:r>
        <w:t xml:space="preserve"> </w:t>
      </w:r>
      <w:r>
        <w:rPr>
          <w:lang w:val="en-US"/>
        </w:rPr>
        <w:t xml:space="preserve">The 28 week extension was not available for submission.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341" w:rsidRDefault="0036534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341" w:rsidRDefault="00365341">
    <w:pPr>
      <w:rPr>
        <w:noProof/>
        <w:lang w:eastAsia="en-AU"/>
      </w:rPr>
    </w:pPr>
    <w:r w:rsidRPr="002D545C">
      <w:rPr>
        <w:noProof/>
        <w:lang w:eastAsia="en-AU"/>
      </w:rPr>
      <w:drawing>
        <wp:anchor distT="0" distB="0" distL="114300" distR="114300" simplePos="0" relativeHeight="251659264" behindDoc="1" locked="0" layoutInCell="1" allowOverlap="1" wp14:anchorId="0A2177E4" wp14:editId="410122F8">
          <wp:simplePos x="0" y="0"/>
          <wp:positionH relativeFrom="column">
            <wp:posOffset>-1089660</wp:posOffset>
          </wp:positionH>
          <wp:positionV relativeFrom="paragraph">
            <wp:posOffset>-897548</wp:posOffset>
          </wp:positionV>
          <wp:extent cx="7572375" cy="10706100"/>
          <wp:effectExtent l="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365341" w:rsidRDefault="00B62B02"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25pt;height:601.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341" w:rsidRDefault="0036534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341" w:rsidRDefault="0036534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341" w:rsidRDefault="0036534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341" w:rsidRDefault="0036534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341" w:rsidRDefault="00365341"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341" w:rsidRDefault="00365341" w:rsidP="006E08B3">
    <w:r>
      <w:t>Therapeutic Goods Administration</w:t>
    </w:r>
  </w:p>
  <w:p w:rsidR="00365341" w:rsidRDefault="0036534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A3A024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E4889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FDCAEE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81A18A2"/>
    <w:lvl w:ilvl="0">
      <w:start w:val="1"/>
      <w:numFmt w:val="decimal"/>
      <w:pStyle w:val="ListNumber2"/>
      <w:lvlText w:val="%1."/>
      <w:lvlJc w:val="left"/>
      <w:pPr>
        <w:tabs>
          <w:tab w:val="num" w:pos="643"/>
        </w:tabs>
        <w:ind w:left="643" w:hanging="360"/>
      </w:pPr>
    </w:lvl>
  </w:abstractNum>
  <w:abstractNum w:abstractNumId="4">
    <w:nsid w:val="FFFFFF80"/>
    <w:multiLevelType w:val="singleLevel"/>
    <w:tmpl w:val="C792A00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4C29E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F3EE9A74"/>
    <w:lvl w:ilvl="0">
      <w:start w:val="1"/>
      <w:numFmt w:val="decimal"/>
      <w:pStyle w:val="ListNumber"/>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21C66963"/>
    <w:multiLevelType w:val="hybridMultilevel"/>
    <w:tmpl w:val="71E62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FCE7125"/>
    <w:multiLevelType w:val="hybridMultilevel"/>
    <w:tmpl w:val="154079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27B1F18"/>
    <w:multiLevelType w:val="hybridMultilevel"/>
    <w:tmpl w:val="E8C42B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0">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1">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2">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9"/>
  </w:num>
  <w:num w:numId="2">
    <w:abstractNumId w:val="7"/>
  </w:num>
  <w:num w:numId="3">
    <w:abstractNumId w:val="12"/>
  </w:num>
  <w:num w:numId="4">
    <w:abstractNumId w:val="12"/>
  </w:num>
  <w:num w:numId="5">
    <w:abstractNumId w:val="6"/>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11"/>
  </w:num>
  <w:num w:numId="17">
    <w:abstractNumId w:val="11"/>
  </w:num>
  <w:num w:numId="18">
    <w:abstractNumId w:val="11"/>
  </w:num>
  <w:num w:numId="19">
    <w:abstractNumId w:val="12"/>
  </w:num>
  <w:num w:numId="20">
    <w:abstractNumId w:val="12"/>
  </w:num>
  <w:num w:numId="21">
    <w:abstractNumId w:val="12"/>
  </w:num>
  <w:num w:numId="22">
    <w:abstractNumId w:val="11"/>
  </w:num>
  <w:num w:numId="23">
    <w:abstractNumId w:val="11"/>
  </w:num>
  <w:num w:numId="24">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6"/>
  </w:num>
  <w:num w:numId="26">
    <w:abstractNumId w:val="19"/>
  </w:num>
  <w:num w:numId="27">
    <w:abstractNumId w:val="20"/>
  </w:num>
  <w:num w:numId="28">
    <w:abstractNumId w:val="21"/>
  </w:num>
  <w:num w:numId="29">
    <w:abstractNumId w:val="22"/>
  </w:num>
  <w:num w:numId="30">
    <w:abstractNumId w:val="22"/>
  </w:num>
  <w:num w:numId="31">
    <w:abstractNumId w:val="22"/>
  </w:num>
  <w:num w:numId="32">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5"/>
  </w:num>
  <w:num w:numId="34">
    <w:abstractNumId w:val="14"/>
  </w:num>
  <w:num w:numId="35">
    <w:abstractNumId w:val="13"/>
  </w:num>
  <w:num w:numId="36">
    <w:abstractNumId w:val="17"/>
  </w:num>
  <w:num w:numId="37">
    <w:abstractNumId w:val="18"/>
  </w:num>
  <w:num w:numId="38">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8">
      <o:colormenu v:ext="edit" fillcolor="none [3213]"/>
    </o:shapedefaults>
  </w:hdrShapeDefaults>
  <w:footnotePr>
    <w:footnote w:id="-1"/>
    <w:footnote w:id="0"/>
  </w:footnotePr>
  <w:endnotePr>
    <w:endnote w:id="-1"/>
    <w:endnote w:id="0"/>
  </w:endnotePr>
  <w:compat>
    <w:compatSetting w:name="compatibilityMode" w:uri="http://schemas.microsoft.com/office/word" w:val="12"/>
  </w:compat>
  <w:rsids>
    <w:rsidRoot w:val="00AE090E"/>
    <w:rsid w:val="00002031"/>
    <w:rsid w:val="0000237F"/>
    <w:rsid w:val="00004734"/>
    <w:rsid w:val="00006B22"/>
    <w:rsid w:val="0001276A"/>
    <w:rsid w:val="000246AE"/>
    <w:rsid w:val="00025C67"/>
    <w:rsid w:val="00040ACB"/>
    <w:rsid w:val="0005559E"/>
    <w:rsid w:val="00077775"/>
    <w:rsid w:val="00090471"/>
    <w:rsid w:val="000A1DED"/>
    <w:rsid w:val="000A3AED"/>
    <w:rsid w:val="000A63AF"/>
    <w:rsid w:val="000B3532"/>
    <w:rsid w:val="000B3A75"/>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25318"/>
    <w:rsid w:val="00127BD9"/>
    <w:rsid w:val="001305A2"/>
    <w:rsid w:val="00133238"/>
    <w:rsid w:val="0014197B"/>
    <w:rsid w:val="001447CD"/>
    <w:rsid w:val="001516B1"/>
    <w:rsid w:val="00154EBB"/>
    <w:rsid w:val="00156316"/>
    <w:rsid w:val="00165389"/>
    <w:rsid w:val="001673C8"/>
    <w:rsid w:val="0017078F"/>
    <w:rsid w:val="0017693F"/>
    <w:rsid w:val="0018110E"/>
    <w:rsid w:val="00181684"/>
    <w:rsid w:val="001843C6"/>
    <w:rsid w:val="001850E0"/>
    <w:rsid w:val="001A2158"/>
    <w:rsid w:val="001A525F"/>
    <w:rsid w:val="001B09F9"/>
    <w:rsid w:val="001B5D98"/>
    <w:rsid w:val="001B6448"/>
    <w:rsid w:val="001E07CF"/>
    <w:rsid w:val="001E59F1"/>
    <w:rsid w:val="001E7726"/>
    <w:rsid w:val="001F49EB"/>
    <w:rsid w:val="001F6CBA"/>
    <w:rsid w:val="00201D4E"/>
    <w:rsid w:val="002076C9"/>
    <w:rsid w:val="00216E0E"/>
    <w:rsid w:val="00216FC6"/>
    <w:rsid w:val="00220B8A"/>
    <w:rsid w:val="002257F3"/>
    <w:rsid w:val="00233456"/>
    <w:rsid w:val="002339A5"/>
    <w:rsid w:val="002526D0"/>
    <w:rsid w:val="002555F1"/>
    <w:rsid w:val="00257848"/>
    <w:rsid w:val="002666AC"/>
    <w:rsid w:val="0027084A"/>
    <w:rsid w:val="00270FA0"/>
    <w:rsid w:val="0027688E"/>
    <w:rsid w:val="00286434"/>
    <w:rsid w:val="00286C59"/>
    <w:rsid w:val="00292113"/>
    <w:rsid w:val="002942D1"/>
    <w:rsid w:val="0029501A"/>
    <w:rsid w:val="0029506F"/>
    <w:rsid w:val="002B1638"/>
    <w:rsid w:val="002C63ED"/>
    <w:rsid w:val="002D545C"/>
    <w:rsid w:val="002D6161"/>
    <w:rsid w:val="002E4C9A"/>
    <w:rsid w:val="002F11F8"/>
    <w:rsid w:val="002F3F56"/>
    <w:rsid w:val="002F44B5"/>
    <w:rsid w:val="002F52F0"/>
    <w:rsid w:val="00311AC0"/>
    <w:rsid w:val="0032583B"/>
    <w:rsid w:val="00327883"/>
    <w:rsid w:val="00335504"/>
    <w:rsid w:val="003521E8"/>
    <w:rsid w:val="00365341"/>
    <w:rsid w:val="003728F3"/>
    <w:rsid w:val="0037496E"/>
    <w:rsid w:val="0037623D"/>
    <w:rsid w:val="00386150"/>
    <w:rsid w:val="003874CE"/>
    <w:rsid w:val="00390900"/>
    <w:rsid w:val="00396C92"/>
    <w:rsid w:val="003A7F6C"/>
    <w:rsid w:val="003B1113"/>
    <w:rsid w:val="003B4D60"/>
    <w:rsid w:val="003B634F"/>
    <w:rsid w:val="003B7E39"/>
    <w:rsid w:val="003C0373"/>
    <w:rsid w:val="003C58DC"/>
    <w:rsid w:val="003D0A3B"/>
    <w:rsid w:val="003D1E62"/>
    <w:rsid w:val="003D54A5"/>
    <w:rsid w:val="003E2486"/>
    <w:rsid w:val="003E3208"/>
    <w:rsid w:val="003F0B04"/>
    <w:rsid w:val="0040134E"/>
    <w:rsid w:val="00412603"/>
    <w:rsid w:val="00415D59"/>
    <w:rsid w:val="0043797D"/>
    <w:rsid w:val="00440A2D"/>
    <w:rsid w:val="004564A7"/>
    <w:rsid w:val="004617BF"/>
    <w:rsid w:val="00463658"/>
    <w:rsid w:val="004722CC"/>
    <w:rsid w:val="004936E4"/>
    <w:rsid w:val="00494E60"/>
    <w:rsid w:val="00497487"/>
    <w:rsid w:val="004A7E13"/>
    <w:rsid w:val="004B7B76"/>
    <w:rsid w:val="004C1693"/>
    <w:rsid w:val="004C2DCA"/>
    <w:rsid w:val="004F0F38"/>
    <w:rsid w:val="004F4AF5"/>
    <w:rsid w:val="00501921"/>
    <w:rsid w:val="00521559"/>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94241"/>
    <w:rsid w:val="005A68B6"/>
    <w:rsid w:val="005B41AF"/>
    <w:rsid w:val="005B48BF"/>
    <w:rsid w:val="005C5570"/>
    <w:rsid w:val="005C79A4"/>
    <w:rsid w:val="005D5442"/>
    <w:rsid w:val="005E7F89"/>
    <w:rsid w:val="005F7902"/>
    <w:rsid w:val="00603F32"/>
    <w:rsid w:val="00620406"/>
    <w:rsid w:val="00632398"/>
    <w:rsid w:val="00640FC3"/>
    <w:rsid w:val="00642020"/>
    <w:rsid w:val="00646206"/>
    <w:rsid w:val="0065337B"/>
    <w:rsid w:val="0065419D"/>
    <w:rsid w:val="006604D8"/>
    <w:rsid w:val="00664A5B"/>
    <w:rsid w:val="006763D2"/>
    <w:rsid w:val="00680C08"/>
    <w:rsid w:val="006931B1"/>
    <w:rsid w:val="006A15C0"/>
    <w:rsid w:val="006C130C"/>
    <w:rsid w:val="006C3E2A"/>
    <w:rsid w:val="006C642F"/>
    <w:rsid w:val="006D03E5"/>
    <w:rsid w:val="006D5D3E"/>
    <w:rsid w:val="006E08B3"/>
    <w:rsid w:val="006F17AC"/>
    <w:rsid w:val="006F1D37"/>
    <w:rsid w:val="006F26D0"/>
    <w:rsid w:val="006F2796"/>
    <w:rsid w:val="006F572E"/>
    <w:rsid w:val="007046D6"/>
    <w:rsid w:val="00705DB0"/>
    <w:rsid w:val="00722B57"/>
    <w:rsid w:val="007311A4"/>
    <w:rsid w:val="0074253D"/>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D4FBC"/>
    <w:rsid w:val="007E6E27"/>
    <w:rsid w:val="00805D27"/>
    <w:rsid w:val="00821776"/>
    <w:rsid w:val="008321F5"/>
    <w:rsid w:val="00832369"/>
    <w:rsid w:val="00834660"/>
    <w:rsid w:val="00836BC2"/>
    <w:rsid w:val="00837B16"/>
    <w:rsid w:val="008414A0"/>
    <w:rsid w:val="00850CE4"/>
    <w:rsid w:val="008537FF"/>
    <w:rsid w:val="0085641B"/>
    <w:rsid w:val="00857136"/>
    <w:rsid w:val="008600DE"/>
    <w:rsid w:val="008620DC"/>
    <w:rsid w:val="00882EDF"/>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2A5E"/>
    <w:rsid w:val="008F6943"/>
    <w:rsid w:val="0090157C"/>
    <w:rsid w:val="00902A21"/>
    <w:rsid w:val="0091043D"/>
    <w:rsid w:val="00920330"/>
    <w:rsid w:val="009219D7"/>
    <w:rsid w:val="00922D53"/>
    <w:rsid w:val="00923B70"/>
    <w:rsid w:val="00924482"/>
    <w:rsid w:val="00930237"/>
    <w:rsid w:val="009438E8"/>
    <w:rsid w:val="00946EA5"/>
    <w:rsid w:val="0095160F"/>
    <w:rsid w:val="00963C08"/>
    <w:rsid w:val="00973F5D"/>
    <w:rsid w:val="00981D66"/>
    <w:rsid w:val="0098585A"/>
    <w:rsid w:val="0098669D"/>
    <w:rsid w:val="0099334D"/>
    <w:rsid w:val="00994C95"/>
    <w:rsid w:val="009A4CED"/>
    <w:rsid w:val="009A690D"/>
    <w:rsid w:val="009B1D12"/>
    <w:rsid w:val="009B416B"/>
    <w:rsid w:val="009C4BD5"/>
    <w:rsid w:val="009D7B77"/>
    <w:rsid w:val="009E0BB0"/>
    <w:rsid w:val="009E282D"/>
    <w:rsid w:val="009E3D89"/>
    <w:rsid w:val="009E3FBB"/>
    <w:rsid w:val="009F388C"/>
    <w:rsid w:val="00A102E4"/>
    <w:rsid w:val="00A12C42"/>
    <w:rsid w:val="00A13CFD"/>
    <w:rsid w:val="00A14DF7"/>
    <w:rsid w:val="00A15995"/>
    <w:rsid w:val="00A235D9"/>
    <w:rsid w:val="00A3246D"/>
    <w:rsid w:val="00A352A6"/>
    <w:rsid w:val="00A36FA7"/>
    <w:rsid w:val="00A475B7"/>
    <w:rsid w:val="00A47AF7"/>
    <w:rsid w:val="00A47C3E"/>
    <w:rsid w:val="00A50226"/>
    <w:rsid w:val="00A60BAD"/>
    <w:rsid w:val="00A74018"/>
    <w:rsid w:val="00A90D13"/>
    <w:rsid w:val="00A964D1"/>
    <w:rsid w:val="00AA0ED0"/>
    <w:rsid w:val="00AA3499"/>
    <w:rsid w:val="00AC2B40"/>
    <w:rsid w:val="00AC2BB2"/>
    <w:rsid w:val="00AC2C3C"/>
    <w:rsid w:val="00AC512D"/>
    <w:rsid w:val="00AD0CFC"/>
    <w:rsid w:val="00AE01C2"/>
    <w:rsid w:val="00AE090E"/>
    <w:rsid w:val="00AE459B"/>
    <w:rsid w:val="00AE65EB"/>
    <w:rsid w:val="00AE67A7"/>
    <w:rsid w:val="00AF1D94"/>
    <w:rsid w:val="00AF60C5"/>
    <w:rsid w:val="00B009C6"/>
    <w:rsid w:val="00B01548"/>
    <w:rsid w:val="00B02208"/>
    <w:rsid w:val="00B1425E"/>
    <w:rsid w:val="00B21D29"/>
    <w:rsid w:val="00B25034"/>
    <w:rsid w:val="00B33588"/>
    <w:rsid w:val="00B33863"/>
    <w:rsid w:val="00B3567E"/>
    <w:rsid w:val="00B37D17"/>
    <w:rsid w:val="00B4175E"/>
    <w:rsid w:val="00B452CE"/>
    <w:rsid w:val="00B54C25"/>
    <w:rsid w:val="00B62B02"/>
    <w:rsid w:val="00B76B91"/>
    <w:rsid w:val="00B77EB1"/>
    <w:rsid w:val="00B811C6"/>
    <w:rsid w:val="00B85A87"/>
    <w:rsid w:val="00B87044"/>
    <w:rsid w:val="00B92E08"/>
    <w:rsid w:val="00B96EBE"/>
    <w:rsid w:val="00BC622A"/>
    <w:rsid w:val="00BD45E3"/>
    <w:rsid w:val="00BE0A78"/>
    <w:rsid w:val="00BE28B1"/>
    <w:rsid w:val="00BE323A"/>
    <w:rsid w:val="00BE6252"/>
    <w:rsid w:val="00BE79F0"/>
    <w:rsid w:val="00BF046D"/>
    <w:rsid w:val="00BF1190"/>
    <w:rsid w:val="00BF5D04"/>
    <w:rsid w:val="00C1164D"/>
    <w:rsid w:val="00C16861"/>
    <w:rsid w:val="00C22678"/>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40D3"/>
    <w:rsid w:val="00D04C65"/>
    <w:rsid w:val="00D224FE"/>
    <w:rsid w:val="00D53A31"/>
    <w:rsid w:val="00D616FF"/>
    <w:rsid w:val="00D6493E"/>
    <w:rsid w:val="00D7301E"/>
    <w:rsid w:val="00D83AE1"/>
    <w:rsid w:val="00D8551F"/>
    <w:rsid w:val="00D855D4"/>
    <w:rsid w:val="00D87961"/>
    <w:rsid w:val="00D93466"/>
    <w:rsid w:val="00D96585"/>
    <w:rsid w:val="00DA1124"/>
    <w:rsid w:val="00DB271D"/>
    <w:rsid w:val="00DB75B7"/>
    <w:rsid w:val="00DB7BE5"/>
    <w:rsid w:val="00DC6E02"/>
    <w:rsid w:val="00DD3066"/>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AF5"/>
    <w:rsid w:val="00E46DA3"/>
    <w:rsid w:val="00E51BB1"/>
    <w:rsid w:val="00E53718"/>
    <w:rsid w:val="00E624A5"/>
    <w:rsid w:val="00E7344E"/>
    <w:rsid w:val="00E936E3"/>
    <w:rsid w:val="00E979F4"/>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36650"/>
    <w:rsid w:val="00F47333"/>
    <w:rsid w:val="00F47E37"/>
    <w:rsid w:val="00F53C07"/>
    <w:rsid w:val="00F54B65"/>
    <w:rsid w:val="00F640B6"/>
    <w:rsid w:val="00F80E40"/>
    <w:rsid w:val="00F848D9"/>
    <w:rsid w:val="00FA5B82"/>
    <w:rsid w:val="00FA639E"/>
    <w:rsid w:val="00FC25E4"/>
    <w:rsid w:val="00FC4EF7"/>
    <w:rsid w:val="00FD45B1"/>
    <w:rsid w:val="00FD4FD4"/>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fill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70FA0"/>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AE090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62B0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E46AF5"/>
    <w:pPr>
      <w:keepNext/>
      <w:keepLines/>
      <w:spacing w:after="180"/>
      <w:outlineLvl w:val="4"/>
    </w:pPr>
    <w:rPr>
      <w:rFonts w:cstheme="minorBidi"/>
      <w:b/>
    </w:rPr>
  </w:style>
  <w:style w:type="paragraph" w:customStyle="1" w:styleId="Bullet2">
    <w:name w:val="Bullet 2"/>
    <w:basedOn w:val="Normal"/>
    <w:rsid w:val="00AE090E"/>
    <w:pPr>
      <w:numPr>
        <w:numId w:val="33"/>
      </w:numPr>
      <w:spacing w:after="0" w:line="240" w:lineRule="auto"/>
    </w:pPr>
    <w:rPr>
      <w:rFonts w:eastAsia="Times New Roman"/>
      <w:kern w:val="24"/>
      <w:szCs w:val="24"/>
      <w:lang w:eastAsia="en-AU"/>
    </w:rPr>
  </w:style>
  <w:style w:type="paragraph" w:styleId="FootnoteText">
    <w:name w:val="footnote text"/>
    <w:basedOn w:val="Normal"/>
    <w:link w:val="FootnoteTextChar"/>
    <w:uiPriority w:val="99"/>
    <w:semiHidden/>
    <w:rsid w:val="00AE09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AE090E"/>
    <w:rPr>
      <w:rFonts w:ascii="Cambria" w:eastAsia="Times New Roman" w:hAnsi="Cambria" w:cs="Times New Roman"/>
      <w:kern w:val="16"/>
      <w:sz w:val="20"/>
      <w:szCs w:val="20"/>
      <w:lang w:eastAsia="en-AU"/>
    </w:rPr>
  </w:style>
  <w:style w:type="character" w:styleId="FootnoteReference">
    <w:name w:val="footnote reference"/>
    <w:uiPriority w:val="99"/>
    <w:semiHidden/>
    <w:rsid w:val="00AE090E"/>
    <w:rPr>
      <w:vertAlign w:val="superscript"/>
    </w:rPr>
  </w:style>
  <w:style w:type="paragraph" w:customStyle="1" w:styleId="Bullet1">
    <w:name w:val="Bullet 1"/>
    <w:basedOn w:val="Normal"/>
    <w:rsid w:val="00AE090E"/>
    <w:pPr>
      <w:numPr>
        <w:numId w:val="34"/>
      </w:numPr>
      <w:spacing w:after="0" w:line="240" w:lineRule="auto"/>
    </w:pPr>
    <w:rPr>
      <w:rFonts w:eastAsia="Times New Roman"/>
      <w:kern w:val="24"/>
      <w:szCs w:val="24"/>
      <w:lang w:eastAsia="en-AU"/>
    </w:rPr>
  </w:style>
  <w:style w:type="paragraph" w:styleId="ListParagraph">
    <w:name w:val="List Paragraph"/>
    <w:basedOn w:val="Normal"/>
    <w:uiPriority w:val="34"/>
    <w:qFormat/>
    <w:rsid w:val="00AE09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AE090E"/>
    <w:rPr>
      <w:rFonts w:asciiTheme="majorHAnsi" w:eastAsiaTheme="majorEastAsia" w:hAnsiTheme="majorHAnsi" w:cstheme="majorBidi"/>
      <w:color w:val="404040" w:themeColor="text1" w:themeTint="BF"/>
      <w:sz w:val="20"/>
      <w:szCs w:val="20"/>
    </w:rPr>
  </w:style>
  <w:style w:type="paragraph" w:styleId="EndnoteText">
    <w:name w:val="endnote text"/>
    <w:basedOn w:val="Normal"/>
    <w:link w:val="EndnoteTextChar"/>
    <w:semiHidden/>
    <w:rsid w:val="00AE09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AE090E"/>
    <w:rPr>
      <w:rFonts w:ascii="Cambria" w:eastAsia="Times New Roman" w:hAnsi="Cambria" w:cs="Times New Roman"/>
      <w:kern w:val="16"/>
      <w:sz w:val="20"/>
      <w:szCs w:val="20"/>
      <w:lang w:eastAsia="en-AU"/>
    </w:rPr>
  </w:style>
  <w:style w:type="character" w:styleId="EndnoteReference">
    <w:name w:val="endnote reference"/>
    <w:semiHidden/>
    <w:rsid w:val="00AE090E"/>
    <w:rPr>
      <w:dstrike w:val="0"/>
      <w:vertAlign w:val="baseline"/>
    </w:rPr>
  </w:style>
  <w:style w:type="paragraph" w:styleId="Bibliography">
    <w:name w:val="Bibliography"/>
    <w:basedOn w:val="Normal"/>
    <w:next w:val="Normal"/>
    <w:uiPriority w:val="37"/>
    <w:semiHidden/>
    <w:unhideWhenUsed/>
    <w:rsid w:val="00B62B02"/>
  </w:style>
  <w:style w:type="paragraph" w:styleId="BlockText">
    <w:name w:val="Block Text"/>
    <w:basedOn w:val="Normal"/>
    <w:uiPriority w:val="99"/>
    <w:semiHidden/>
    <w:unhideWhenUsed/>
    <w:rsid w:val="00B62B02"/>
    <w:pPr>
      <w:pBdr>
        <w:top w:val="single" w:sz="2" w:space="10" w:color="002C47" w:themeColor="accent1" w:frame="1"/>
        <w:left w:val="single" w:sz="2" w:space="10" w:color="002C47" w:themeColor="accent1" w:frame="1"/>
        <w:bottom w:val="single" w:sz="2" w:space="10" w:color="002C47" w:themeColor="accent1" w:frame="1"/>
        <w:right w:val="single" w:sz="2" w:space="10" w:color="002C47" w:themeColor="accent1" w:frame="1"/>
      </w:pBdr>
      <w:ind w:left="1152" w:right="1152"/>
    </w:pPr>
    <w:rPr>
      <w:rFonts w:asciiTheme="minorHAnsi" w:eastAsiaTheme="minorEastAsia" w:hAnsiTheme="minorHAnsi" w:cstheme="minorBidi"/>
      <w:i/>
      <w:iCs/>
      <w:color w:val="002C47" w:themeColor="accent1"/>
    </w:rPr>
  </w:style>
  <w:style w:type="paragraph" w:styleId="BodyText">
    <w:name w:val="Body Text"/>
    <w:basedOn w:val="Normal"/>
    <w:link w:val="BodyTextChar"/>
    <w:uiPriority w:val="99"/>
    <w:semiHidden/>
    <w:unhideWhenUsed/>
    <w:rsid w:val="00B62B02"/>
  </w:style>
  <w:style w:type="character" w:customStyle="1" w:styleId="BodyTextChar">
    <w:name w:val="Body Text Char"/>
    <w:basedOn w:val="DefaultParagraphFont"/>
    <w:link w:val="BodyText"/>
    <w:uiPriority w:val="99"/>
    <w:semiHidden/>
    <w:rsid w:val="00B62B02"/>
    <w:rPr>
      <w:rFonts w:ascii="Cambria" w:eastAsia="Cambria" w:hAnsi="Cambria" w:cs="Times New Roman"/>
    </w:rPr>
  </w:style>
  <w:style w:type="paragraph" w:styleId="BodyText2">
    <w:name w:val="Body Text 2"/>
    <w:basedOn w:val="Normal"/>
    <w:link w:val="BodyText2Char"/>
    <w:uiPriority w:val="99"/>
    <w:semiHidden/>
    <w:unhideWhenUsed/>
    <w:rsid w:val="00B62B02"/>
    <w:pPr>
      <w:spacing w:line="480" w:lineRule="auto"/>
    </w:pPr>
  </w:style>
  <w:style w:type="character" w:customStyle="1" w:styleId="BodyText2Char">
    <w:name w:val="Body Text 2 Char"/>
    <w:basedOn w:val="DefaultParagraphFont"/>
    <w:link w:val="BodyText2"/>
    <w:uiPriority w:val="99"/>
    <w:semiHidden/>
    <w:rsid w:val="00B62B02"/>
    <w:rPr>
      <w:rFonts w:ascii="Cambria" w:eastAsia="Cambria" w:hAnsi="Cambria" w:cs="Times New Roman"/>
    </w:rPr>
  </w:style>
  <w:style w:type="paragraph" w:styleId="BodyText3">
    <w:name w:val="Body Text 3"/>
    <w:basedOn w:val="Normal"/>
    <w:link w:val="BodyText3Char"/>
    <w:uiPriority w:val="99"/>
    <w:semiHidden/>
    <w:unhideWhenUsed/>
    <w:rsid w:val="00B62B02"/>
    <w:rPr>
      <w:sz w:val="16"/>
      <w:szCs w:val="16"/>
    </w:rPr>
  </w:style>
  <w:style w:type="character" w:customStyle="1" w:styleId="BodyText3Char">
    <w:name w:val="Body Text 3 Char"/>
    <w:basedOn w:val="DefaultParagraphFont"/>
    <w:link w:val="BodyText3"/>
    <w:uiPriority w:val="99"/>
    <w:semiHidden/>
    <w:rsid w:val="00B62B02"/>
    <w:rPr>
      <w:rFonts w:ascii="Cambria" w:eastAsia="Cambria" w:hAnsi="Cambria" w:cs="Times New Roman"/>
      <w:sz w:val="16"/>
      <w:szCs w:val="16"/>
    </w:rPr>
  </w:style>
  <w:style w:type="paragraph" w:styleId="BodyTextFirstIndent">
    <w:name w:val="Body Text First Indent"/>
    <w:basedOn w:val="BodyText"/>
    <w:link w:val="BodyTextFirstIndentChar"/>
    <w:uiPriority w:val="99"/>
    <w:semiHidden/>
    <w:unhideWhenUsed/>
    <w:rsid w:val="00B62B02"/>
    <w:pPr>
      <w:ind w:firstLine="360"/>
    </w:pPr>
  </w:style>
  <w:style w:type="character" w:customStyle="1" w:styleId="BodyTextFirstIndentChar">
    <w:name w:val="Body Text First Indent Char"/>
    <w:basedOn w:val="BodyTextChar"/>
    <w:link w:val="BodyTextFirstIndent"/>
    <w:uiPriority w:val="99"/>
    <w:semiHidden/>
    <w:rsid w:val="00B62B02"/>
    <w:rPr>
      <w:rFonts w:ascii="Cambria" w:eastAsia="Cambria" w:hAnsi="Cambria" w:cs="Times New Roman"/>
    </w:rPr>
  </w:style>
  <w:style w:type="paragraph" w:styleId="BodyTextIndent">
    <w:name w:val="Body Text Indent"/>
    <w:basedOn w:val="Normal"/>
    <w:link w:val="BodyTextIndentChar"/>
    <w:uiPriority w:val="99"/>
    <w:semiHidden/>
    <w:unhideWhenUsed/>
    <w:rsid w:val="00B62B02"/>
    <w:pPr>
      <w:ind w:left="283"/>
    </w:pPr>
  </w:style>
  <w:style w:type="character" w:customStyle="1" w:styleId="BodyTextIndentChar">
    <w:name w:val="Body Text Indent Char"/>
    <w:basedOn w:val="DefaultParagraphFont"/>
    <w:link w:val="BodyTextIndent"/>
    <w:uiPriority w:val="99"/>
    <w:semiHidden/>
    <w:rsid w:val="00B62B02"/>
    <w:rPr>
      <w:rFonts w:ascii="Cambria" w:eastAsia="Cambria" w:hAnsi="Cambria" w:cs="Times New Roman"/>
    </w:rPr>
  </w:style>
  <w:style w:type="paragraph" w:styleId="BodyTextFirstIndent2">
    <w:name w:val="Body Text First Indent 2"/>
    <w:basedOn w:val="BodyTextIndent"/>
    <w:link w:val="BodyTextFirstIndent2Char"/>
    <w:uiPriority w:val="99"/>
    <w:semiHidden/>
    <w:unhideWhenUsed/>
    <w:rsid w:val="00B62B02"/>
    <w:pPr>
      <w:ind w:left="360" w:firstLine="360"/>
    </w:pPr>
  </w:style>
  <w:style w:type="character" w:customStyle="1" w:styleId="BodyTextFirstIndent2Char">
    <w:name w:val="Body Text First Indent 2 Char"/>
    <w:basedOn w:val="BodyTextIndentChar"/>
    <w:link w:val="BodyTextFirstIndent2"/>
    <w:uiPriority w:val="99"/>
    <w:semiHidden/>
    <w:rsid w:val="00B62B02"/>
    <w:rPr>
      <w:rFonts w:ascii="Cambria" w:eastAsia="Cambria" w:hAnsi="Cambria" w:cs="Times New Roman"/>
    </w:rPr>
  </w:style>
  <w:style w:type="paragraph" w:styleId="BodyTextIndent2">
    <w:name w:val="Body Text Indent 2"/>
    <w:basedOn w:val="Normal"/>
    <w:link w:val="BodyTextIndent2Char"/>
    <w:uiPriority w:val="99"/>
    <w:semiHidden/>
    <w:unhideWhenUsed/>
    <w:rsid w:val="00B62B02"/>
    <w:pPr>
      <w:spacing w:line="480" w:lineRule="auto"/>
      <w:ind w:left="283"/>
    </w:pPr>
  </w:style>
  <w:style w:type="character" w:customStyle="1" w:styleId="BodyTextIndent2Char">
    <w:name w:val="Body Text Indent 2 Char"/>
    <w:basedOn w:val="DefaultParagraphFont"/>
    <w:link w:val="BodyTextIndent2"/>
    <w:uiPriority w:val="99"/>
    <w:semiHidden/>
    <w:rsid w:val="00B62B02"/>
    <w:rPr>
      <w:rFonts w:ascii="Cambria" w:eastAsia="Cambria" w:hAnsi="Cambria" w:cs="Times New Roman"/>
    </w:rPr>
  </w:style>
  <w:style w:type="paragraph" w:styleId="BodyTextIndent3">
    <w:name w:val="Body Text Indent 3"/>
    <w:basedOn w:val="Normal"/>
    <w:link w:val="BodyTextIndent3Char"/>
    <w:uiPriority w:val="99"/>
    <w:semiHidden/>
    <w:unhideWhenUsed/>
    <w:rsid w:val="00B62B02"/>
    <w:pPr>
      <w:ind w:left="283"/>
    </w:pPr>
    <w:rPr>
      <w:sz w:val="16"/>
      <w:szCs w:val="16"/>
    </w:rPr>
  </w:style>
  <w:style w:type="character" w:customStyle="1" w:styleId="BodyTextIndent3Char">
    <w:name w:val="Body Text Indent 3 Char"/>
    <w:basedOn w:val="DefaultParagraphFont"/>
    <w:link w:val="BodyTextIndent3"/>
    <w:uiPriority w:val="99"/>
    <w:semiHidden/>
    <w:rsid w:val="00B62B02"/>
    <w:rPr>
      <w:rFonts w:ascii="Cambria" w:eastAsia="Cambria" w:hAnsi="Cambria" w:cs="Times New Roman"/>
      <w:sz w:val="16"/>
      <w:szCs w:val="16"/>
    </w:rPr>
  </w:style>
  <w:style w:type="paragraph" w:styleId="Closing">
    <w:name w:val="Closing"/>
    <w:basedOn w:val="Normal"/>
    <w:link w:val="ClosingChar"/>
    <w:uiPriority w:val="99"/>
    <w:semiHidden/>
    <w:unhideWhenUsed/>
    <w:rsid w:val="00B62B02"/>
    <w:pPr>
      <w:spacing w:before="0" w:after="0" w:line="240" w:lineRule="auto"/>
      <w:ind w:left="4252"/>
    </w:pPr>
  </w:style>
  <w:style w:type="character" w:customStyle="1" w:styleId="ClosingChar">
    <w:name w:val="Closing Char"/>
    <w:basedOn w:val="DefaultParagraphFont"/>
    <w:link w:val="Closing"/>
    <w:uiPriority w:val="99"/>
    <w:semiHidden/>
    <w:rsid w:val="00B62B02"/>
    <w:rPr>
      <w:rFonts w:ascii="Cambria" w:eastAsia="Cambria" w:hAnsi="Cambria" w:cs="Times New Roman"/>
    </w:rPr>
  </w:style>
  <w:style w:type="paragraph" w:styleId="CommentText">
    <w:name w:val="annotation text"/>
    <w:basedOn w:val="Normal"/>
    <w:link w:val="CommentTextChar"/>
    <w:uiPriority w:val="99"/>
    <w:semiHidden/>
    <w:unhideWhenUsed/>
    <w:rsid w:val="00B62B02"/>
    <w:pPr>
      <w:spacing w:line="240" w:lineRule="auto"/>
    </w:pPr>
    <w:rPr>
      <w:sz w:val="20"/>
      <w:szCs w:val="20"/>
    </w:rPr>
  </w:style>
  <w:style w:type="character" w:customStyle="1" w:styleId="CommentTextChar">
    <w:name w:val="Comment Text Char"/>
    <w:basedOn w:val="DefaultParagraphFont"/>
    <w:link w:val="CommentText"/>
    <w:uiPriority w:val="99"/>
    <w:semiHidden/>
    <w:rsid w:val="00B62B02"/>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B62B02"/>
    <w:rPr>
      <w:b/>
      <w:bCs/>
    </w:rPr>
  </w:style>
  <w:style w:type="character" w:customStyle="1" w:styleId="CommentSubjectChar">
    <w:name w:val="Comment Subject Char"/>
    <w:basedOn w:val="CommentTextChar"/>
    <w:link w:val="CommentSubject"/>
    <w:uiPriority w:val="99"/>
    <w:semiHidden/>
    <w:rsid w:val="00B62B02"/>
    <w:rPr>
      <w:rFonts w:ascii="Cambria" w:eastAsia="Cambria" w:hAnsi="Cambria" w:cs="Times New Roman"/>
      <w:b/>
      <w:bCs/>
      <w:sz w:val="20"/>
      <w:szCs w:val="20"/>
    </w:rPr>
  </w:style>
  <w:style w:type="paragraph" w:styleId="DocumentMap">
    <w:name w:val="Document Map"/>
    <w:basedOn w:val="Normal"/>
    <w:link w:val="DocumentMapChar"/>
    <w:uiPriority w:val="99"/>
    <w:semiHidden/>
    <w:unhideWhenUsed/>
    <w:rsid w:val="00B62B0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62B02"/>
    <w:rPr>
      <w:rFonts w:ascii="Tahoma" w:eastAsia="Cambria" w:hAnsi="Tahoma" w:cs="Tahoma"/>
      <w:sz w:val="16"/>
      <w:szCs w:val="16"/>
    </w:rPr>
  </w:style>
  <w:style w:type="paragraph" w:styleId="E-mailSignature">
    <w:name w:val="E-mail Signature"/>
    <w:basedOn w:val="Normal"/>
    <w:link w:val="E-mailSignatureChar"/>
    <w:uiPriority w:val="99"/>
    <w:semiHidden/>
    <w:unhideWhenUsed/>
    <w:rsid w:val="00B62B02"/>
    <w:pPr>
      <w:spacing w:before="0" w:after="0" w:line="240" w:lineRule="auto"/>
    </w:pPr>
  </w:style>
  <w:style w:type="character" w:customStyle="1" w:styleId="E-mailSignatureChar">
    <w:name w:val="E-mail Signature Char"/>
    <w:basedOn w:val="DefaultParagraphFont"/>
    <w:link w:val="E-mailSignature"/>
    <w:uiPriority w:val="99"/>
    <w:semiHidden/>
    <w:rsid w:val="00B62B02"/>
    <w:rPr>
      <w:rFonts w:ascii="Cambria" w:eastAsia="Cambria" w:hAnsi="Cambria" w:cs="Times New Roman"/>
    </w:rPr>
  </w:style>
  <w:style w:type="paragraph" w:styleId="EnvelopeAddress">
    <w:name w:val="envelope address"/>
    <w:basedOn w:val="Normal"/>
    <w:uiPriority w:val="99"/>
    <w:semiHidden/>
    <w:unhideWhenUsed/>
    <w:rsid w:val="00B62B02"/>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62B02"/>
    <w:pPr>
      <w:spacing w:before="0" w:after="0" w:line="240" w:lineRule="auto"/>
    </w:pPr>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62B02"/>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B62B02"/>
    <w:pPr>
      <w:spacing w:before="0" w:after="0" w:line="240" w:lineRule="auto"/>
    </w:pPr>
    <w:rPr>
      <w:i/>
      <w:iCs/>
    </w:rPr>
  </w:style>
  <w:style w:type="character" w:customStyle="1" w:styleId="HTMLAddressChar">
    <w:name w:val="HTML Address Char"/>
    <w:basedOn w:val="DefaultParagraphFont"/>
    <w:link w:val="HTMLAddress"/>
    <w:uiPriority w:val="99"/>
    <w:semiHidden/>
    <w:rsid w:val="00B62B02"/>
    <w:rPr>
      <w:rFonts w:ascii="Cambria" w:eastAsia="Cambria" w:hAnsi="Cambria" w:cs="Times New Roman"/>
      <w:i/>
      <w:iCs/>
    </w:rPr>
  </w:style>
  <w:style w:type="paragraph" w:styleId="HTMLPreformatted">
    <w:name w:val="HTML Preformatted"/>
    <w:basedOn w:val="Normal"/>
    <w:link w:val="HTMLPreformattedChar"/>
    <w:uiPriority w:val="99"/>
    <w:semiHidden/>
    <w:unhideWhenUsed/>
    <w:rsid w:val="00B62B02"/>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62B02"/>
    <w:rPr>
      <w:rFonts w:ascii="Consolas" w:eastAsia="Cambria" w:hAnsi="Consolas" w:cs="Times New Roman"/>
      <w:sz w:val="20"/>
      <w:szCs w:val="20"/>
    </w:rPr>
  </w:style>
  <w:style w:type="paragraph" w:styleId="Index1">
    <w:name w:val="index 1"/>
    <w:basedOn w:val="Normal"/>
    <w:next w:val="Normal"/>
    <w:autoRedefine/>
    <w:uiPriority w:val="99"/>
    <w:semiHidden/>
    <w:unhideWhenUsed/>
    <w:rsid w:val="00B62B02"/>
    <w:pPr>
      <w:spacing w:before="0" w:after="0" w:line="240" w:lineRule="auto"/>
      <w:ind w:left="220" w:hanging="220"/>
    </w:pPr>
  </w:style>
  <w:style w:type="paragraph" w:styleId="Index2">
    <w:name w:val="index 2"/>
    <w:basedOn w:val="Normal"/>
    <w:next w:val="Normal"/>
    <w:autoRedefine/>
    <w:uiPriority w:val="99"/>
    <w:semiHidden/>
    <w:unhideWhenUsed/>
    <w:rsid w:val="00B62B02"/>
    <w:pPr>
      <w:spacing w:before="0" w:after="0" w:line="240" w:lineRule="auto"/>
      <w:ind w:left="440" w:hanging="220"/>
    </w:pPr>
  </w:style>
  <w:style w:type="paragraph" w:styleId="Index3">
    <w:name w:val="index 3"/>
    <w:basedOn w:val="Normal"/>
    <w:next w:val="Normal"/>
    <w:autoRedefine/>
    <w:uiPriority w:val="99"/>
    <w:semiHidden/>
    <w:unhideWhenUsed/>
    <w:rsid w:val="00B62B02"/>
    <w:pPr>
      <w:spacing w:before="0" w:after="0" w:line="240" w:lineRule="auto"/>
      <w:ind w:left="660" w:hanging="220"/>
    </w:pPr>
  </w:style>
  <w:style w:type="paragraph" w:styleId="Index4">
    <w:name w:val="index 4"/>
    <w:basedOn w:val="Normal"/>
    <w:next w:val="Normal"/>
    <w:autoRedefine/>
    <w:uiPriority w:val="99"/>
    <w:semiHidden/>
    <w:unhideWhenUsed/>
    <w:rsid w:val="00B62B02"/>
    <w:pPr>
      <w:spacing w:before="0" w:after="0" w:line="240" w:lineRule="auto"/>
      <w:ind w:left="880" w:hanging="220"/>
    </w:pPr>
  </w:style>
  <w:style w:type="paragraph" w:styleId="Index5">
    <w:name w:val="index 5"/>
    <w:basedOn w:val="Normal"/>
    <w:next w:val="Normal"/>
    <w:autoRedefine/>
    <w:uiPriority w:val="99"/>
    <w:semiHidden/>
    <w:unhideWhenUsed/>
    <w:rsid w:val="00B62B02"/>
    <w:pPr>
      <w:spacing w:before="0" w:after="0" w:line="240" w:lineRule="auto"/>
      <w:ind w:left="1100" w:hanging="220"/>
    </w:pPr>
  </w:style>
  <w:style w:type="paragraph" w:styleId="Index6">
    <w:name w:val="index 6"/>
    <w:basedOn w:val="Normal"/>
    <w:next w:val="Normal"/>
    <w:autoRedefine/>
    <w:uiPriority w:val="99"/>
    <w:semiHidden/>
    <w:unhideWhenUsed/>
    <w:rsid w:val="00B62B02"/>
    <w:pPr>
      <w:spacing w:before="0" w:after="0" w:line="240" w:lineRule="auto"/>
      <w:ind w:left="1320" w:hanging="220"/>
    </w:pPr>
  </w:style>
  <w:style w:type="paragraph" w:styleId="Index7">
    <w:name w:val="index 7"/>
    <w:basedOn w:val="Normal"/>
    <w:next w:val="Normal"/>
    <w:autoRedefine/>
    <w:uiPriority w:val="99"/>
    <w:semiHidden/>
    <w:unhideWhenUsed/>
    <w:rsid w:val="00B62B02"/>
    <w:pPr>
      <w:spacing w:before="0" w:after="0" w:line="240" w:lineRule="auto"/>
      <w:ind w:left="1540" w:hanging="220"/>
    </w:pPr>
  </w:style>
  <w:style w:type="paragraph" w:styleId="Index8">
    <w:name w:val="index 8"/>
    <w:basedOn w:val="Normal"/>
    <w:next w:val="Normal"/>
    <w:autoRedefine/>
    <w:uiPriority w:val="99"/>
    <w:semiHidden/>
    <w:unhideWhenUsed/>
    <w:rsid w:val="00B62B02"/>
    <w:pPr>
      <w:spacing w:before="0" w:after="0" w:line="240" w:lineRule="auto"/>
      <w:ind w:left="1760" w:hanging="220"/>
    </w:pPr>
  </w:style>
  <w:style w:type="paragraph" w:styleId="Index9">
    <w:name w:val="index 9"/>
    <w:basedOn w:val="Normal"/>
    <w:next w:val="Normal"/>
    <w:autoRedefine/>
    <w:uiPriority w:val="99"/>
    <w:semiHidden/>
    <w:unhideWhenUsed/>
    <w:rsid w:val="00B62B02"/>
    <w:pPr>
      <w:spacing w:before="0" w:after="0" w:line="240" w:lineRule="auto"/>
      <w:ind w:left="1980" w:hanging="220"/>
    </w:pPr>
  </w:style>
  <w:style w:type="paragraph" w:styleId="IndexHeading">
    <w:name w:val="index heading"/>
    <w:basedOn w:val="Normal"/>
    <w:next w:val="Index1"/>
    <w:uiPriority w:val="99"/>
    <w:semiHidden/>
    <w:unhideWhenUsed/>
    <w:rsid w:val="00B62B02"/>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B62B02"/>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B62B02"/>
    <w:rPr>
      <w:rFonts w:ascii="Cambria" w:eastAsia="Cambria" w:hAnsi="Cambria" w:cs="Times New Roman"/>
      <w:b/>
      <w:bCs/>
      <w:i/>
      <w:iCs/>
      <w:color w:val="002C47" w:themeColor="accent1"/>
    </w:rPr>
  </w:style>
  <w:style w:type="paragraph" w:styleId="List">
    <w:name w:val="List"/>
    <w:basedOn w:val="Normal"/>
    <w:uiPriority w:val="99"/>
    <w:semiHidden/>
    <w:unhideWhenUsed/>
    <w:rsid w:val="00B62B02"/>
    <w:pPr>
      <w:ind w:left="283" w:hanging="283"/>
      <w:contextualSpacing/>
    </w:pPr>
  </w:style>
  <w:style w:type="paragraph" w:styleId="List2">
    <w:name w:val="List 2"/>
    <w:basedOn w:val="Normal"/>
    <w:uiPriority w:val="99"/>
    <w:semiHidden/>
    <w:unhideWhenUsed/>
    <w:rsid w:val="00B62B02"/>
    <w:pPr>
      <w:ind w:left="566" w:hanging="283"/>
      <w:contextualSpacing/>
    </w:pPr>
  </w:style>
  <w:style w:type="paragraph" w:styleId="List3">
    <w:name w:val="List 3"/>
    <w:basedOn w:val="Normal"/>
    <w:uiPriority w:val="99"/>
    <w:semiHidden/>
    <w:unhideWhenUsed/>
    <w:rsid w:val="00B62B02"/>
    <w:pPr>
      <w:ind w:left="849" w:hanging="283"/>
      <w:contextualSpacing/>
    </w:pPr>
  </w:style>
  <w:style w:type="paragraph" w:styleId="List4">
    <w:name w:val="List 4"/>
    <w:basedOn w:val="Normal"/>
    <w:uiPriority w:val="99"/>
    <w:semiHidden/>
    <w:unhideWhenUsed/>
    <w:rsid w:val="00B62B02"/>
    <w:pPr>
      <w:ind w:left="1132" w:hanging="283"/>
      <w:contextualSpacing/>
    </w:pPr>
  </w:style>
  <w:style w:type="paragraph" w:styleId="List5">
    <w:name w:val="List 5"/>
    <w:basedOn w:val="Normal"/>
    <w:uiPriority w:val="99"/>
    <w:semiHidden/>
    <w:unhideWhenUsed/>
    <w:rsid w:val="00B62B02"/>
    <w:pPr>
      <w:ind w:left="1415" w:hanging="283"/>
      <w:contextualSpacing/>
    </w:pPr>
  </w:style>
  <w:style w:type="paragraph" w:styleId="ListBullet4">
    <w:name w:val="List Bullet 4"/>
    <w:basedOn w:val="Normal"/>
    <w:uiPriority w:val="99"/>
    <w:semiHidden/>
    <w:unhideWhenUsed/>
    <w:rsid w:val="00B62B02"/>
    <w:pPr>
      <w:numPr>
        <w:numId w:val="40"/>
      </w:numPr>
      <w:contextualSpacing/>
    </w:pPr>
  </w:style>
  <w:style w:type="paragraph" w:styleId="ListBullet5">
    <w:name w:val="List Bullet 5"/>
    <w:basedOn w:val="Normal"/>
    <w:uiPriority w:val="99"/>
    <w:semiHidden/>
    <w:unhideWhenUsed/>
    <w:rsid w:val="00B62B02"/>
    <w:pPr>
      <w:numPr>
        <w:numId w:val="41"/>
      </w:numPr>
      <w:contextualSpacing/>
    </w:pPr>
  </w:style>
  <w:style w:type="paragraph" w:styleId="ListContinue">
    <w:name w:val="List Continue"/>
    <w:basedOn w:val="Normal"/>
    <w:uiPriority w:val="99"/>
    <w:semiHidden/>
    <w:unhideWhenUsed/>
    <w:rsid w:val="00B62B02"/>
    <w:pPr>
      <w:ind w:left="283"/>
      <w:contextualSpacing/>
    </w:pPr>
  </w:style>
  <w:style w:type="paragraph" w:styleId="ListContinue2">
    <w:name w:val="List Continue 2"/>
    <w:basedOn w:val="Normal"/>
    <w:uiPriority w:val="99"/>
    <w:semiHidden/>
    <w:unhideWhenUsed/>
    <w:rsid w:val="00B62B02"/>
    <w:pPr>
      <w:ind w:left="566"/>
      <w:contextualSpacing/>
    </w:pPr>
  </w:style>
  <w:style w:type="paragraph" w:styleId="ListContinue3">
    <w:name w:val="List Continue 3"/>
    <w:basedOn w:val="Normal"/>
    <w:uiPriority w:val="99"/>
    <w:semiHidden/>
    <w:unhideWhenUsed/>
    <w:rsid w:val="00B62B02"/>
    <w:pPr>
      <w:ind w:left="849"/>
      <w:contextualSpacing/>
    </w:pPr>
  </w:style>
  <w:style w:type="paragraph" w:styleId="ListContinue4">
    <w:name w:val="List Continue 4"/>
    <w:basedOn w:val="Normal"/>
    <w:uiPriority w:val="99"/>
    <w:semiHidden/>
    <w:unhideWhenUsed/>
    <w:rsid w:val="00B62B02"/>
    <w:pPr>
      <w:ind w:left="1132"/>
      <w:contextualSpacing/>
    </w:pPr>
  </w:style>
  <w:style w:type="paragraph" w:styleId="ListContinue5">
    <w:name w:val="List Continue 5"/>
    <w:basedOn w:val="Normal"/>
    <w:uiPriority w:val="99"/>
    <w:semiHidden/>
    <w:unhideWhenUsed/>
    <w:rsid w:val="00B62B02"/>
    <w:pPr>
      <w:ind w:left="1415"/>
      <w:contextualSpacing/>
    </w:pPr>
  </w:style>
  <w:style w:type="paragraph" w:styleId="ListNumber">
    <w:name w:val="List Number"/>
    <w:basedOn w:val="Normal"/>
    <w:uiPriority w:val="99"/>
    <w:semiHidden/>
    <w:unhideWhenUsed/>
    <w:rsid w:val="00B62B02"/>
    <w:pPr>
      <w:numPr>
        <w:numId w:val="42"/>
      </w:numPr>
      <w:contextualSpacing/>
    </w:pPr>
  </w:style>
  <w:style w:type="paragraph" w:styleId="ListNumber2">
    <w:name w:val="List Number 2"/>
    <w:basedOn w:val="Normal"/>
    <w:uiPriority w:val="99"/>
    <w:semiHidden/>
    <w:unhideWhenUsed/>
    <w:rsid w:val="00B62B02"/>
    <w:pPr>
      <w:numPr>
        <w:numId w:val="43"/>
      </w:numPr>
      <w:contextualSpacing/>
    </w:pPr>
  </w:style>
  <w:style w:type="paragraph" w:styleId="ListNumber3">
    <w:name w:val="List Number 3"/>
    <w:basedOn w:val="Normal"/>
    <w:uiPriority w:val="99"/>
    <w:semiHidden/>
    <w:unhideWhenUsed/>
    <w:rsid w:val="00B62B02"/>
    <w:pPr>
      <w:numPr>
        <w:numId w:val="44"/>
      </w:numPr>
      <w:contextualSpacing/>
    </w:pPr>
  </w:style>
  <w:style w:type="paragraph" w:styleId="ListNumber4">
    <w:name w:val="List Number 4"/>
    <w:basedOn w:val="Normal"/>
    <w:uiPriority w:val="99"/>
    <w:semiHidden/>
    <w:unhideWhenUsed/>
    <w:rsid w:val="00B62B02"/>
    <w:pPr>
      <w:numPr>
        <w:numId w:val="45"/>
      </w:numPr>
      <w:contextualSpacing/>
    </w:pPr>
  </w:style>
  <w:style w:type="paragraph" w:styleId="ListNumber5">
    <w:name w:val="List Number 5"/>
    <w:basedOn w:val="Normal"/>
    <w:uiPriority w:val="99"/>
    <w:semiHidden/>
    <w:unhideWhenUsed/>
    <w:rsid w:val="00B62B02"/>
    <w:pPr>
      <w:numPr>
        <w:numId w:val="46"/>
      </w:numPr>
      <w:contextualSpacing/>
    </w:pPr>
  </w:style>
  <w:style w:type="paragraph" w:styleId="MacroText">
    <w:name w:val="macro"/>
    <w:link w:val="MacroTextChar"/>
    <w:uiPriority w:val="99"/>
    <w:semiHidden/>
    <w:unhideWhenUsed/>
    <w:rsid w:val="00B62B02"/>
    <w:pPr>
      <w:tabs>
        <w:tab w:val="left" w:pos="480"/>
        <w:tab w:val="left" w:pos="960"/>
        <w:tab w:val="left" w:pos="1440"/>
        <w:tab w:val="left" w:pos="1920"/>
        <w:tab w:val="left" w:pos="2400"/>
        <w:tab w:val="left" w:pos="2880"/>
        <w:tab w:val="left" w:pos="3360"/>
        <w:tab w:val="left" w:pos="3840"/>
        <w:tab w:val="left" w:pos="4320"/>
      </w:tabs>
      <w:spacing w:before="120" w:after="0" w:line="240" w:lineRule="atLeast"/>
    </w:pPr>
    <w:rPr>
      <w:rFonts w:ascii="Consolas" w:eastAsia="Cambria" w:hAnsi="Consolas" w:cs="Times New Roman"/>
      <w:sz w:val="20"/>
      <w:szCs w:val="20"/>
    </w:rPr>
  </w:style>
  <w:style w:type="character" w:customStyle="1" w:styleId="MacroTextChar">
    <w:name w:val="Macro Text Char"/>
    <w:basedOn w:val="DefaultParagraphFont"/>
    <w:link w:val="MacroText"/>
    <w:uiPriority w:val="99"/>
    <w:semiHidden/>
    <w:rsid w:val="00B62B02"/>
    <w:rPr>
      <w:rFonts w:ascii="Consolas" w:eastAsia="Cambria" w:hAnsi="Consolas" w:cs="Times New Roman"/>
      <w:sz w:val="20"/>
      <w:szCs w:val="20"/>
    </w:rPr>
  </w:style>
  <w:style w:type="paragraph" w:styleId="MessageHeader">
    <w:name w:val="Message Header"/>
    <w:basedOn w:val="Normal"/>
    <w:link w:val="MessageHeaderChar"/>
    <w:uiPriority w:val="99"/>
    <w:semiHidden/>
    <w:unhideWhenUsed/>
    <w:rsid w:val="00B62B02"/>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62B02"/>
    <w:rPr>
      <w:rFonts w:asciiTheme="majorHAnsi" w:eastAsiaTheme="majorEastAsia" w:hAnsiTheme="majorHAnsi" w:cstheme="majorBidi"/>
      <w:sz w:val="24"/>
      <w:szCs w:val="24"/>
      <w:shd w:val="pct20" w:color="auto" w:fill="auto"/>
    </w:rPr>
  </w:style>
  <w:style w:type="paragraph" w:styleId="NoSpacing">
    <w:name w:val="No Spacing"/>
    <w:uiPriority w:val="1"/>
    <w:rsid w:val="00B62B02"/>
    <w:pPr>
      <w:spacing w:after="0" w:line="240" w:lineRule="auto"/>
    </w:pPr>
    <w:rPr>
      <w:rFonts w:ascii="Cambria" w:eastAsia="Cambria" w:hAnsi="Cambria" w:cs="Times New Roman"/>
    </w:rPr>
  </w:style>
  <w:style w:type="paragraph" w:styleId="NormalWeb">
    <w:name w:val="Normal (Web)"/>
    <w:basedOn w:val="Normal"/>
    <w:uiPriority w:val="99"/>
    <w:semiHidden/>
    <w:unhideWhenUsed/>
    <w:rsid w:val="00B62B02"/>
    <w:rPr>
      <w:rFonts w:ascii="Times New Roman" w:hAnsi="Times New Roman"/>
      <w:sz w:val="24"/>
      <w:szCs w:val="24"/>
    </w:rPr>
  </w:style>
  <w:style w:type="paragraph" w:styleId="NormalIndent">
    <w:name w:val="Normal Indent"/>
    <w:basedOn w:val="Normal"/>
    <w:uiPriority w:val="99"/>
    <w:semiHidden/>
    <w:unhideWhenUsed/>
    <w:rsid w:val="00B62B02"/>
    <w:pPr>
      <w:ind w:left="720"/>
    </w:pPr>
  </w:style>
  <w:style w:type="paragraph" w:styleId="NoteHeading">
    <w:name w:val="Note Heading"/>
    <w:basedOn w:val="Normal"/>
    <w:next w:val="Normal"/>
    <w:link w:val="NoteHeadingChar"/>
    <w:uiPriority w:val="99"/>
    <w:semiHidden/>
    <w:unhideWhenUsed/>
    <w:rsid w:val="00B62B02"/>
    <w:pPr>
      <w:spacing w:before="0" w:after="0" w:line="240" w:lineRule="auto"/>
    </w:pPr>
  </w:style>
  <w:style w:type="character" w:customStyle="1" w:styleId="NoteHeadingChar">
    <w:name w:val="Note Heading Char"/>
    <w:basedOn w:val="DefaultParagraphFont"/>
    <w:link w:val="NoteHeading"/>
    <w:uiPriority w:val="99"/>
    <w:semiHidden/>
    <w:rsid w:val="00B62B02"/>
    <w:rPr>
      <w:rFonts w:ascii="Cambria" w:eastAsia="Cambria" w:hAnsi="Cambria" w:cs="Times New Roman"/>
    </w:rPr>
  </w:style>
  <w:style w:type="paragraph" w:styleId="PlainText">
    <w:name w:val="Plain Text"/>
    <w:basedOn w:val="Normal"/>
    <w:link w:val="PlainTextChar"/>
    <w:uiPriority w:val="99"/>
    <w:semiHidden/>
    <w:unhideWhenUsed/>
    <w:rsid w:val="00B62B02"/>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62B02"/>
    <w:rPr>
      <w:rFonts w:ascii="Consolas" w:eastAsia="Cambria" w:hAnsi="Consolas" w:cs="Times New Roman"/>
      <w:sz w:val="21"/>
      <w:szCs w:val="21"/>
    </w:rPr>
  </w:style>
  <w:style w:type="paragraph" w:styleId="Quote">
    <w:name w:val="Quote"/>
    <w:basedOn w:val="Normal"/>
    <w:next w:val="Normal"/>
    <w:link w:val="QuoteChar"/>
    <w:uiPriority w:val="29"/>
    <w:rsid w:val="00B62B02"/>
    <w:rPr>
      <w:i/>
      <w:iCs/>
      <w:color w:val="000000" w:themeColor="text1"/>
    </w:rPr>
  </w:style>
  <w:style w:type="character" w:customStyle="1" w:styleId="QuoteChar">
    <w:name w:val="Quote Char"/>
    <w:basedOn w:val="DefaultParagraphFont"/>
    <w:link w:val="Quote"/>
    <w:uiPriority w:val="29"/>
    <w:rsid w:val="00B62B02"/>
    <w:rPr>
      <w:rFonts w:ascii="Cambria" w:eastAsia="Cambria" w:hAnsi="Cambria" w:cs="Times New Roman"/>
      <w:i/>
      <w:iCs/>
      <w:color w:val="000000" w:themeColor="text1"/>
    </w:rPr>
  </w:style>
  <w:style w:type="paragraph" w:styleId="Salutation">
    <w:name w:val="Salutation"/>
    <w:basedOn w:val="Normal"/>
    <w:next w:val="Normal"/>
    <w:link w:val="SalutationChar"/>
    <w:uiPriority w:val="99"/>
    <w:semiHidden/>
    <w:unhideWhenUsed/>
    <w:rsid w:val="00B62B02"/>
  </w:style>
  <w:style w:type="character" w:customStyle="1" w:styleId="SalutationChar">
    <w:name w:val="Salutation Char"/>
    <w:basedOn w:val="DefaultParagraphFont"/>
    <w:link w:val="Salutation"/>
    <w:uiPriority w:val="99"/>
    <w:semiHidden/>
    <w:rsid w:val="00B62B02"/>
    <w:rPr>
      <w:rFonts w:ascii="Cambria" w:eastAsia="Cambria" w:hAnsi="Cambria" w:cs="Times New Roman"/>
    </w:rPr>
  </w:style>
  <w:style w:type="paragraph" w:styleId="Signature">
    <w:name w:val="Signature"/>
    <w:basedOn w:val="Normal"/>
    <w:link w:val="SignatureChar"/>
    <w:uiPriority w:val="99"/>
    <w:semiHidden/>
    <w:unhideWhenUsed/>
    <w:rsid w:val="00B62B02"/>
    <w:pPr>
      <w:spacing w:before="0" w:after="0" w:line="240" w:lineRule="auto"/>
      <w:ind w:left="4252"/>
    </w:pPr>
  </w:style>
  <w:style w:type="character" w:customStyle="1" w:styleId="SignatureChar">
    <w:name w:val="Signature Char"/>
    <w:basedOn w:val="DefaultParagraphFont"/>
    <w:link w:val="Signature"/>
    <w:uiPriority w:val="99"/>
    <w:semiHidden/>
    <w:rsid w:val="00B62B02"/>
    <w:rPr>
      <w:rFonts w:ascii="Cambria" w:eastAsia="Cambria" w:hAnsi="Cambria" w:cs="Times New Roman"/>
    </w:rPr>
  </w:style>
  <w:style w:type="paragraph" w:styleId="TableofAuthorities">
    <w:name w:val="table of authorities"/>
    <w:basedOn w:val="Normal"/>
    <w:next w:val="Normal"/>
    <w:uiPriority w:val="99"/>
    <w:semiHidden/>
    <w:unhideWhenUsed/>
    <w:rsid w:val="00B62B02"/>
    <w:pPr>
      <w:spacing w:after="0"/>
      <w:ind w:left="220" w:hanging="220"/>
    </w:pPr>
  </w:style>
  <w:style w:type="paragraph" w:styleId="TableofFigures">
    <w:name w:val="table of figures"/>
    <w:basedOn w:val="Normal"/>
    <w:next w:val="Normal"/>
    <w:uiPriority w:val="99"/>
    <w:semiHidden/>
    <w:unhideWhenUsed/>
    <w:rsid w:val="00B62B02"/>
    <w:pPr>
      <w:spacing w:after="0"/>
    </w:pPr>
  </w:style>
  <w:style w:type="paragraph" w:styleId="TOAHeading">
    <w:name w:val="toa heading"/>
    <w:basedOn w:val="Normal"/>
    <w:next w:val="Normal"/>
    <w:uiPriority w:val="99"/>
    <w:semiHidden/>
    <w:unhideWhenUsed/>
    <w:rsid w:val="00B62B02"/>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B62B02"/>
    <w:pPr>
      <w:spacing w:after="100"/>
      <w:ind w:left="660"/>
    </w:pPr>
  </w:style>
  <w:style w:type="paragraph" w:styleId="TOC5">
    <w:name w:val="toc 5"/>
    <w:basedOn w:val="Normal"/>
    <w:next w:val="Normal"/>
    <w:autoRedefine/>
    <w:uiPriority w:val="39"/>
    <w:semiHidden/>
    <w:unhideWhenUsed/>
    <w:rsid w:val="00B62B02"/>
    <w:pPr>
      <w:spacing w:after="100"/>
      <w:ind w:left="880"/>
    </w:pPr>
  </w:style>
  <w:style w:type="paragraph" w:styleId="TOC6">
    <w:name w:val="toc 6"/>
    <w:basedOn w:val="Normal"/>
    <w:next w:val="Normal"/>
    <w:autoRedefine/>
    <w:uiPriority w:val="39"/>
    <w:semiHidden/>
    <w:unhideWhenUsed/>
    <w:rsid w:val="00B62B02"/>
    <w:pPr>
      <w:spacing w:after="100"/>
      <w:ind w:left="1100"/>
    </w:pPr>
  </w:style>
  <w:style w:type="paragraph" w:styleId="TOC7">
    <w:name w:val="toc 7"/>
    <w:basedOn w:val="Normal"/>
    <w:next w:val="Normal"/>
    <w:autoRedefine/>
    <w:uiPriority w:val="39"/>
    <w:semiHidden/>
    <w:unhideWhenUsed/>
    <w:rsid w:val="00B62B02"/>
    <w:pPr>
      <w:spacing w:after="100"/>
      <w:ind w:left="1320"/>
    </w:pPr>
  </w:style>
  <w:style w:type="paragraph" w:styleId="TOC8">
    <w:name w:val="toc 8"/>
    <w:basedOn w:val="Normal"/>
    <w:next w:val="Normal"/>
    <w:autoRedefine/>
    <w:uiPriority w:val="39"/>
    <w:semiHidden/>
    <w:unhideWhenUsed/>
    <w:rsid w:val="00B62B02"/>
    <w:pPr>
      <w:spacing w:after="100"/>
      <w:ind w:left="1540"/>
    </w:pPr>
  </w:style>
  <w:style w:type="paragraph" w:styleId="TOC9">
    <w:name w:val="toc 9"/>
    <w:basedOn w:val="Normal"/>
    <w:next w:val="Normal"/>
    <w:autoRedefine/>
    <w:uiPriority w:val="39"/>
    <w:semiHidden/>
    <w:unhideWhenUsed/>
    <w:rsid w:val="00B62B02"/>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8"/>
      </w:numPr>
    </w:pPr>
  </w:style>
  <w:style w:type="numbering" w:customStyle="1" w:styleId="Heading2Char">
    <w:name w:val="ListBullets"/>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2.xml"/><Relationship Id="rId50" Type="http://schemas.openxmlformats.org/officeDocument/2006/relationships/header" Target="header6.xm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tga.copyright@tga.gov.a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ga.gov.au/product-information-pi"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4.xml"/><Relationship Id="rId53" Type="http://schemas.openxmlformats.org/officeDocument/2006/relationships/header" Target="header8.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tga.gov.au" TargetMode="External"/><Relationship Id="rId10" Type="http://schemas.openxmlformats.org/officeDocument/2006/relationships/hyperlink" Target="https://www.tga.gov.au"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3.xml"/><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mailto:info@tga.gov.au"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eader" Target="header7.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256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3674B-FA4D-471C-9F92-ABC0A8EF779B}">
  <ds:schemaRefs>
    <ds:schemaRef ds:uri="http://schemas.microsoft.com/office/2006/customDocumentInformationPanel"/>
  </ds:schemaRefs>
</ds:datastoreItem>
</file>

<file path=customXml/itemProps2.xml><?xml version="1.0" encoding="utf-8"?>
<ds:datastoreItem xmlns:ds="http://schemas.openxmlformats.org/officeDocument/2006/customXml" ds:itemID="{9A8679AE-D75E-40DD-85BC-E592BBE7E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133</TotalTime>
  <Pages>57</Pages>
  <Words>17794</Words>
  <Characters>101427</Characters>
  <Application>Microsoft Office Word</Application>
  <DocSecurity>0</DocSecurity>
  <Lines>845</Lines>
  <Paragraphs>237</Paragraphs>
  <ScaleCrop>false</ScaleCrop>
  <HeadingPairs>
    <vt:vector size="2" baseType="variant">
      <vt:variant>
        <vt:lpstr>Title</vt:lpstr>
      </vt:variant>
      <vt:variant>
        <vt:i4>1</vt:i4>
      </vt:variant>
    </vt:vector>
  </HeadingPairs>
  <TitlesOfParts>
    <vt:vector size="1" baseType="lpstr">
      <vt:lpstr>Extract from the Clinical Evaluation Report for Insulin glargine</vt:lpstr>
    </vt:vector>
  </TitlesOfParts>
  <Company>TGA</Company>
  <LinksUpToDate>false</LinksUpToDate>
  <CharactersWithSpaces>118984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Insulin glargine</dc:title>
  <dc:subject>Prescription medicines</dc:subject>
  <dc:creator>Therapeutic Goods Administration</dc:creator>
  <cp:keywords>AusPAR</cp:keywords>
  <cp:lastModifiedBy>Norton, Daniel</cp:lastModifiedBy>
  <cp:revision>16</cp:revision>
  <cp:lastPrinted>2015-06-29T02:40:00Z</cp:lastPrinted>
  <dcterms:created xsi:type="dcterms:W3CDTF">2015-08-20T00:37:00Z</dcterms:created>
  <dcterms:modified xsi:type="dcterms:W3CDTF">2015-09-01T06:54:00Z</dcterms:modified>
</cp:coreProperties>
</file>