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62FE3" w14:textId="78933000" w:rsidR="00C55DDC" w:rsidRPr="002D7EBE" w:rsidRDefault="00C55DDC" w:rsidP="00C55DDC">
      <w:pPr>
        <w:pStyle w:val="Heading1"/>
        <w:spacing w:before="0"/>
        <w:jc w:val="left"/>
        <w:rPr>
          <w:rFonts w:asciiTheme="majorBidi" w:hAnsiTheme="majorBidi" w:cstheme="majorBidi"/>
        </w:rPr>
      </w:pPr>
      <w:r w:rsidRPr="002D7EBE">
        <w:rPr>
          <w:rFonts w:asciiTheme="majorBidi" w:eastAsia="Times New Roman" w:hAnsiTheme="majorBidi" w:cstheme="majorBidi"/>
          <w:b w:val="0"/>
          <w:bCs w:val="0"/>
          <w:noProof/>
          <w:highlight w:val="lightGray"/>
          <w:lang w:eastAsia="en-AU"/>
        </w:rPr>
        <mc:AlternateContent>
          <mc:Choice Requires="wps">
            <w:drawing>
              <wp:inline distT="0" distB="0" distL="0" distR="0" wp14:anchorId="2608089C" wp14:editId="1D3F06F1">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251A5" w14:textId="77777777" w:rsidR="00D11AB9" w:rsidRPr="00BE2A26" w:rsidRDefault="00D11AB9" w:rsidP="00C55DDC">
                            <w:pPr>
                              <w:rPr>
                                <w:rFonts w:ascii="Wingdings 3" w:hAnsi="Wingdings 3"/>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2608089C"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356251A5" w14:textId="77777777" w:rsidR="00D11AB9" w:rsidRPr="00BE2A26" w:rsidRDefault="00D11AB9" w:rsidP="00C55DDC">
                      <w:pPr>
                        <w:rPr>
                          <w:rFonts w:ascii="Wingdings 3" w:hAnsi="Wingdings 3"/>
                        </w:rPr>
                      </w:pPr>
                      <w:r w:rsidRPr="00BE2A26">
                        <w:rPr>
                          <w:rFonts w:ascii="SimSun" w:eastAsia="SimSun" w:hAnsi="SimSun" w:hint="eastAsia"/>
                          <w:sz w:val="40"/>
                        </w:rPr>
                        <w:t>▼</w:t>
                      </w:r>
                    </w:p>
                  </w:txbxContent>
                </v:textbox>
                <w10:anchorlock/>
              </v:shape>
            </w:pict>
          </mc:Fallback>
        </mc:AlternateContent>
      </w:r>
      <w:r w:rsidRPr="002D7EBE">
        <w:rPr>
          <w:rFonts w:asciiTheme="majorBidi" w:eastAsia="Times New Roman" w:hAnsiTheme="majorBidi" w:cstheme="majorBidi"/>
          <w:b w:val="0"/>
          <w:bCs w:val="0"/>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00C63ED1" w:rsidRPr="002D7EBE">
          <w:rPr>
            <w:rStyle w:val="Hyperlink"/>
            <w:rFonts w:asciiTheme="majorBidi" w:eastAsia="Times New Roman" w:hAnsiTheme="majorBidi" w:cstheme="majorBidi"/>
            <w:b w:val="0"/>
            <w:bCs w:val="0"/>
          </w:rPr>
          <w:t>www.tga.gov.au/reporting-problems</w:t>
        </w:r>
      </w:hyperlink>
      <w:r w:rsidRPr="002D7EBE">
        <w:rPr>
          <w:rFonts w:asciiTheme="majorBidi" w:eastAsia="Times New Roman" w:hAnsiTheme="majorBidi" w:cstheme="majorBidi"/>
          <w:b w:val="0"/>
          <w:bCs w:val="0"/>
        </w:rPr>
        <w:t>.</w:t>
      </w:r>
    </w:p>
    <w:p w14:paraId="703C4C86" w14:textId="430EB30B" w:rsidR="003F6359" w:rsidRPr="002D7EBE" w:rsidRDefault="003F6359" w:rsidP="00AD4BB0">
      <w:pPr>
        <w:pStyle w:val="Heading1"/>
      </w:pPr>
      <w:r w:rsidRPr="002D7EBE">
        <w:t>AUSTRALIAN PRODUCT INFORMATION</w:t>
      </w:r>
    </w:p>
    <w:p w14:paraId="5450AA83" w14:textId="3ADF22A9" w:rsidR="00AB3CBC" w:rsidRPr="002D7EBE" w:rsidRDefault="00AD4BB0" w:rsidP="00AD4BB0">
      <w:pPr>
        <w:pStyle w:val="Heading1"/>
      </w:pPr>
      <w:r w:rsidRPr="002D7EBE">
        <w:t>RYZODEG</w:t>
      </w:r>
      <w:r w:rsidR="003F6359" w:rsidRPr="002D7EBE">
        <w:rPr>
          <w:vertAlign w:val="superscript"/>
        </w:rPr>
        <w:t>®</w:t>
      </w:r>
      <w:r w:rsidRPr="002D7EBE">
        <w:t xml:space="preserve"> 70/30 </w:t>
      </w:r>
      <w:r w:rsidR="00C63ED1" w:rsidRPr="002D7EBE">
        <w:t>FlexTouch</w:t>
      </w:r>
      <w:r w:rsidR="00C63ED1" w:rsidRPr="002D7EBE">
        <w:rPr>
          <w:vertAlign w:val="superscript"/>
        </w:rPr>
        <w:t>®</w:t>
      </w:r>
      <w:r w:rsidR="00C63ED1" w:rsidRPr="002D7EBE">
        <w:t xml:space="preserve"> and Penfill</w:t>
      </w:r>
      <w:r w:rsidR="006540AD" w:rsidRPr="002D7EBE">
        <w:rPr>
          <w:vertAlign w:val="superscript"/>
        </w:rPr>
        <w:t>®</w:t>
      </w:r>
      <w:r w:rsidR="00C63ED1" w:rsidRPr="002D7EBE">
        <w:t xml:space="preserve"> (</w:t>
      </w:r>
      <w:r w:rsidRPr="002D7EBE">
        <w:t>insulin degludec/insulin aspart</w:t>
      </w:r>
      <w:r w:rsidR="00C63ED1" w:rsidRPr="002D7EBE">
        <w:t>)</w:t>
      </w:r>
      <w:r w:rsidR="006540AD" w:rsidRPr="002D7EBE">
        <w:t xml:space="preserve"> solution for injection</w:t>
      </w:r>
    </w:p>
    <w:p w14:paraId="6108DF5A" w14:textId="77777777" w:rsidR="003F6359" w:rsidRPr="002D7EBE" w:rsidRDefault="003F6359" w:rsidP="00AD4BB0">
      <w:pPr>
        <w:pStyle w:val="Heading2"/>
      </w:pPr>
      <w:r w:rsidRPr="002D7EBE">
        <w:t>1.</w:t>
      </w:r>
      <w:r w:rsidRPr="002D7EBE">
        <w:tab/>
        <w:t>NAME OF THE MEDICINE</w:t>
      </w:r>
    </w:p>
    <w:p w14:paraId="2C6D7290" w14:textId="41ADF09E" w:rsidR="00AD4BB0" w:rsidRPr="002D7EBE" w:rsidRDefault="00AD4BB0" w:rsidP="00AD4BB0">
      <w:r w:rsidRPr="002D7EBE">
        <w:t xml:space="preserve">insulin degludec (rys) </w:t>
      </w:r>
      <w:r w:rsidR="006540AD" w:rsidRPr="002D7EBE">
        <w:t>and</w:t>
      </w:r>
      <w:r w:rsidRPr="002D7EBE">
        <w:t xml:space="preserve"> insulin aspart (rys) </w:t>
      </w:r>
    </w:p>
    <w:p w14:paraId="581C63A9" w14:textId="10BB48E9" w:rsidR="003F6359" w:rsidRPr="002D7EBE" w:rsidRDefault="003F6359" w:rsidP="00AD4BB0"/>
    <w:p w14:paraId="5428297A" w14:textId="77777777" w:rsidR="003F6359" w:rsidRPr="002D7EBE" w:rsidRDefault="003F6359" w:rsidP="00AD4BB0">
      <w:pPr>
        <w:pStyle w:val="Heading2"/>
      </w:pPr>
      <w:r w:rsidRPr="002D7EBE">
        <w:t>2.</w:t>
      </w:r>
      <w:r w:rsidRPr="002D7EBE">
        <w:tab/>
        <w:t>QUALITATIVE AND QUANTITATIVE COMPOSITION</w:t>
      </w:r>
    </w:p>
    <w:p w14:paraId="23CC1A6B" w14:textId="07ADBD25" w:rsidR="00DB28AD" w:rsidRPr="002D7EBE" w:rsidRDefault="00DB28AD" w:rsidP="00DB28AD">
      <w:r w:rsidRPr="002D7EBE">
        <w:t>RYZODEG 70/30 is a soluble insulin product consisting of insulin degludec (ultra-long acting basal insulin) and insulin aspart (rapid acting mealtime insulin) administered in one injection.</w:t>
      </w:r>
    </w:p>
    <w:p w14:paraId="2F3DEFA3" w14:textId="761F06B8" w:rsidR="004F784D" w:rsidRPr="002D7EBE" w:rsidRDefault="004F784D" w:rsidP="00DB28AD"/>
    <w:p w14:paraId="1F51BE20" w14:textId="580AE7E3" w:rsidR="004F784D" w:rsidRPr="002D7EBE" w:rsidRDefault="004F784D" w:rsidP="00DB28AD">
      <w:pPr>
        <w:rPr>
          <w:bCs/>
        </w:rPr>
      </w:pPr>
      <w:r w:rsidRPr="002D7EBE">
        <w:rPr>
          <w:bCs/>
        </w:rPr>
        <w:t>1 mL of the solution contains 100 U insulin degludec</w:t>
      </w:r>
      <w:r w:rsidRPr="002D7EBE">
        <w:t>/</w:t>
      </w:r>
      <w:r w:rsidRPr="002D7EBE">
        <w:rPr>
          <w:bCs/>
        </w:rPr>
        <w:t>insulin aspart (70% soluble insulin degludec and 30% soluble insulin aspart) equivalent to 2.56 mg salt-free anhydrous insulin degludec and 1.05 mg salt-free anhydrous insulin aspart. One pre-filled pen or cartridge contains 3 mL, equivalent to 300 U of insulin degludec</w:t>
      </w:r>
      <w:r w:rsidRPr="002D7EBE">
        <w:t>/</w:t>
      </w:r>
      <w:r w:rsidRPr="002D7EBE">
        <w:rPr>
          <w:bCs/>
        </w:rPr>
        <w:t>insulin aspart.</w:t>
      </w:r>
    </w:p>
    <w:p w14:paraId="356EE447" w14:textId="7A385872" w:rsidR="00C83EBD" w:rsidRPr="002D7EBE" w:rsidRDefault="00C83EBD" w:rsidP="00DB28AD">
      <w:pPr>
        <w:rPr>
          <w:bCs/>
        </w:rPr>
      </w:pPr>
    </w:p>
    <w:p w14:paraId="5EA619C1" w14:textId="11F7B72E" w:rsidR="00C83EBD" w:rsidRPr="002D7EBE" w:rsidRDefault="00C83EBD" w:rsidP="00DB28AD">
      <w:pPr>
        <w:rPr>
          <w:bCs/>
        </w:rPr>
      </w:pPr>
      <w:r w:rsidRPr="002D7EBE">
        <w:rPr>
          <w:bCs/>
        </w:rPr>
        <w:t xml:space="preserve">Insulin degludec and insulin apart are produced by recombinant DNA technology in </w:t>
      </w:r>
      <w:r w:rsidRPr="002D7EBE">
        <w:rPr>
          <w:bCs/>
          <w:i/>
        </w:rPr>
        <w:t>Saccharomyces cerevisiae</w:t>
      </w:r>
      <w:r w:rsidRPr="002D7EBE">
        <w:rPr>
          <w:bCs/>
        </w:rPr>
        <w:t>.</w:t>
      </w:r>
    </w:p>
    <w:p w14:paraId="683AD643" w14:textId="343AA4BA" w:rsidR="00C83EBD" w:rsidRPr="002D7EBE" w:rsidRDefault="00C83EBD" w:rsidP="00DB28AD">
      <w:pPr>
        <w:rPr>
          <w:bCs/>
        </w:rPr>
      </w:pPr>
    </w:p>
    <w:p w14:paraId="48CE4BFC" w14:textId="2DADBE4E" w:rsidR="00C83EBD" w:rsidRPr="002D7EBE" w:rsidRDefault="00C83EBD" w:rsidP="00C83EBD">
      <w:r w:rsidRPr="002D7EBE">
        <w:t>For the full list of excipients, see Section 6.1 List of excipients.</w:t>
      </w:r>
    </w:p>
    <w:p w14:paraId="52F95CD6" w14:textId="77777777" w:rsidR="00D56FBE" w:rsidRPr="002D7EBE" w:rsidRDefault="00D56FBE" w:rsidP="00AD4BB0">
      <w:pPr>
        <w:pStyle w:val="Heading2"/>
      </w:pPr>
      <w:r w:rsidRPr="002D7EBE">
        <w:t xml:space="preserve">3. </w:t>
      </w:r>
      <w:r w:rsidRPr="002D7EBE">
        <w:tab/>
        <w:t>PHARMACEUTICAL FORM</w:t>
      </w:r>
    </w:p>
    <w:p w14:paraId="289A02B0" w14:textId="7E070A7F" w:rsidR="004E78DE" w:rsidRPr="002D7EBE" w:rsidRDefault="004E78DE" w:rsidP="00DB28AD">
      <w:r w:rsidRPr="002D7EBE">
        <w:t>RYZODEG 70/30 is a solution for injection.</w:t>
      </w:r>
    </w:p>
    <w:p w14:paraId="5D4BAAB4" w14:textId="77777777" w:rsidR="004E78DE" w:rsidRPr="002D7EBE" w:rsidRDefault="004E78DE" w:rsidP="00DB28AD"/>
    <w:p w14:paraId="436B5436" w14:textId="7BF195A6" w:rsidR="00DB28AD" w:rsidRPr="00DB28AD" w:rsidRDefault="00DB28AD" w:rsidP="00DB28AD">
      <w:r w:rsidRPr="002D7EBE">
        <w:t>RYZODEG 70/30 is a ready-to-use, clear, colourless, neutral solution</w:t>
      </w:r>
      <w:r w:rsidR="004E78DE" w:rsidRPr="002D7EBE">
        <w:t xml:space="preserve"> in pre-filled pen or cartridge</w:t>
      </w:r>
      <w:r w:rsidRPr="002D7EBE">
        <w:t>. RYZODEG 70/30 has a pH of approximately 7.4.</w:t>
      </w:r>
      <w:r w:rsidRPr="00DB28AD">
        <w:t xml:space="preserve"> </w:t>
      </w:r>
    </w:p>
    <w:p w14:paraId="280C9F30" w14:textId="77777777" w:rsidR="00D56FBE" w:rsidRDefault="00D56FBE" w:rsidP="00AD4BB0">
      <w:pPr>
        <w:pStyle w:val="Heading2"/>
      </w:pPr>
      <w:r>
        <w:t xml:space="preserve">4. </w:t>
      </w:r>
      <w:r>
        <w:tab/>
        <w:t>CLINICAL PARTICULARS</w:t>
      </w:r>
    </w:p>
    <w:p w14:paraId="0743C06B" w14:textId="77777777" w:rsidR="00D56FBE" w:rsidRDefault="00D56FBE" w:rsidP="00AD4BB0">
      <w:pPr>
        <w:pStyle w:val="Heading3"/>
      </w:pPr>
      <w:r w:rsidRPr="00D56FBE">
        <w:t>4.1</w:t>
      </w:r>
      <w:r>
        <w:tab/>
        <w:t>Therapeutic Indications</w:t>
      </w:r>
    </w:p>
    <w:p w14:paraId="68F70E7F" w14:textId="77B3485A" w:rsidR="00D72DDE" w:rsidRDefault="00D72DDE" w:rsidP="00AD4BB0">
      <w:r w:rsidRPr="002D7EBE">
        <w:t>For use in diabetes mellitus in patients aged 6 years and older.</w:t>
      </w:r>
    </w:p>
    <w:p w14:paraId="327267D9" w14:textId="77777777" w:rsidR="00D56FBE" w:rsidRDefault="00D56FBE" w:rsidP="00AD4BB0">
      <w:pPr>
        <w:pStyle w:val="Heading3"/>
      </w:pPr>
      <w:r>
        <w:t xml:space="preserve">4.2 </w:t>
      </w:r>
      <w:r>
        <w:tab/>
        <w:t>Dose and Method of Administration</w:t>
      </w:r>
    </w:p>
    <w:p w14:paraId="6A06C579" w14:textId="77777777" w:rsidR="00D56FBE" w:rsidRDefault="00D56FBE" w:rsidP="00AD4BB0">
      <w:pPr>
        <w:pStyle w:val="Heading4"/>
      </w:pPr>
      <w:r>
        <w:t>Dosage</w:t>
      </w:r>
    </w:p>
    <w:p w14:paraId="20D2A467" w14:textId="77777777" w:rsidR="00FF66B9" w:rsidRPr="00FF66B9" w:rsidRDefault="00FF66B9" w:rsidP="00FF66B9">
      <w:r w:rsidRPr="00FF66B9">
        <w:t>RYZODEG 70/30 is a soluble insulin product consisting of the ultra-long acting basal insulin degludec and the rapid acting prandial insulin aspart in a ratio of 70:30.</w:t>
      </w:r>
    </w:p>
    <w:p w14:paraId="4BF9B70B" w14:textId="77777777" w:rsidR="00FF66B9" w:rsidRPr="00FF66B9" w:rsidRDefault="00FF66B9" w:rsidP="00FF66B9"/>
    <w:p w14:paraId="45F0009B" w14:textId="6F7444DD" w:rsidR="00FF66B9" w:rsidRPr="00FF66B9" w:rsidRDefault="00FF66B9" w:rsidP="00FF66B9">
      <w:r w:rsidRPr="00FF66B9">
        <w:t xml:space="preserve">RYZODEG 70/30 can be administered once- or twice-daily with the main meal(s). However, if advised by a healthcare professional, when needed, the patient can change the time of </w:t>
      </w:r>
      <w:r w:rsidRPr="00FF66B9">
        <w:lastRenderedPageBreak/>
        <w:t xml:space="preserve">administration as long as RYZODEG 70/30 is dosed with the </w:t>
      </w:r>
      <w:r w:rsidR="00861832">
        <w:t>main</w:t>
      </w:r>
      <w:r w:rsidR="00861832" w:rsidRPr="00FF66B9">
        <w:t xml:space="preserve"> </w:t>
      </w:r>
      <w:r w:rsidRPr="00FF66B9">
        <w:t>meal when taken once daily.</w:t>
      </w:r>
    </w:p>
    <w:p w14:paraId="23540B75" w14:textId="464ADF25" w:rsidR="00FF66B9" w:rsidRDefault="00FF66B9" w:rsidP="00FF66B9"/>
    <w:p w14:paraId="415F6762" w14:textId="24259EB8" w:rsidR="004E78DE" w:rsidRDefault="004E78DE" w:rsidP="00FF66B9">
      <w:r w:rsidRPr="002D7EBE">
        <w:t>The pot</w:t>
      </w:r>
      <w:r w:rsidRPr="00DB28AD">
        <w:t>ency of insulin analogues, including RYZODEG 70/30 is expressed in units (U). 1 unit (U) of RYZODEG 70/30 corresponds to 1 international unit (IU) of human insulin and one unit of most other insulin analogues.</w:t>
      </w:r>
    </w:p>
    <w:p w14:paraId="5246C293" w14:textId="77777777" w:rsidR="004E78DE" w:rsidRPr="00FF66B9" w:rsidRDefault="004E78DE" w:rsidP="00FF66B9"/>
    <w:p w14:paraId="6A48567A" w14:textId="77777777" w:rsidR="00FF66B9" w:rsidRPr="00FF66B9" w:rsidRDefault="00FF66B9" w:rsidP="00FF66B9">
      <w:r w:rsidRPr="00FF66B9">
        <w:t>In patients with type 2 diabetes mellitus, RYZODEG 70/30 can be administered alone, in combination with oral antidiabetic products approved for use with insulin, and in combination with bolus insulin.</w:t>
      </w:r>
    </w:p>
    <w:p w14:paraId="742A7164" w14:textId="77777777" w:rsidR="00FF66B9" w:rsidRPr="00FF66B9" w:rsidRDefault="00FF66B9" w:rsidP="00FF66B9"/>
    <w:p w14:paraId="1B4CF8D3" w14:textId="77777777" w:rsidR="00FF66B9" w:rsidRPr="00FF66B9" w:rsidRDefault="00FF66B9" w:rsidP="00FF66B9">
      <w:r w:rsidRPr="00FF66B9">
        <w:t>In type 1 diabetes mellitus, RYZODEG 70/30 is combined with short-/rapid-acting insulin at the remaining meals.</w:t>
      </w:r>
    </w:p>
    <w:p w14:paraId="72F274EA" w14:textId="77777777" w:rsidR="00FF66B9" w:rsidRPr="00FF66B9" w:rsidRDefault="00FF66B9" w:rsidP="00FF66B9"/>
    <w:p w14:paraId="5A7C3309" w14:textId="77777777" w:rsidR="00FF66B9" w:rsidRDefault="00FF66B9" w:rsidP="00FF66B9">
      <w:r w:rsidRPr="00FF66B9">
        <w:t xml:space="preserve">RYZODEG 70/30 is to be dosed in accordance with individual patients’ needs. Pre-meal plasma glucose levels should be used to evaluate the adequacy of the preceding dose. </w:t>
      </w:r>
    </w:p>
    <w:p w14:paraId="38883A42" w14:textId="77777777" w:rsidR="00312A37" w:rsidRDefault="00312A37" w:rsidP="00312A37">
      <w:pPr>
        <w:rPr>
          <w:i/>
          <w:iCs/>
        </w:rPr>
      </w:pPr>
    </w:p>
    <w:p w14:paraId="69BECE30" w14:textId="746096DB" w:rsidR="00B3485D" w:rsidRPr="00312A37" w:rsidRDefault="00B3485D" w:rsidP="00312A37">
      <w:pPr>
        <w:rPr>
          <w:i/>
          <w:iCs/>
        </w:rPr>
      </w:pPr>
      <w:r w:rsidRPr="00312A37">
        <w:rPr>
          <w:i/>
          <w:iCs/>
        </w:rPr>
        <w:t>Initiation</w:t>
      </w:r>
    </w:p>
    <w:p w14:paraId="57F8F32F" w14:textId="318D47DC" w:rsidR="00B3485D" w:rsidRPr="00312A37" w:rsidRDefault="00C55DDC" w:rsidP="00312A37">
      <w:pPr>
        <w:rPr>
          <w:i/>
          <w:iCs/>
        </w:rPr>
      </w:pPr>
      <w:r w:rsidRPr="002D7EBE">
        <w:rPr>
          <w:i/>
          <w:iCs/>
        </w:rPr>
        <w:t xml:space="preserve">Adults </w:t>
      </w:r>
      <w:r w:rsidR="00B3485D" w:rsidRPr="002D7EBE">
        <w:rPr>
          <w:i/>
          <w:iCs/>
        </w:rPr>
        <w:t>w</w:t>
      </w:r>
      <w:r w:rsidR="00B3485D" w:rsidRPr="00312A37">
        <w:rPr>
          <w:i/>
          <w:iCs/>
        </w:rPr>
        <w:t>ith type 2 diabetes:</w:t>
      </w:r>
    </w:p>
    <w:p w14:paraId="0496338F" w14:textId="77777777" w:rsidR="00B3485D" w:rsidRPr="00B3485D" w:rsidRDefault="00B3485D" w:rsidP="00B3485D">
      <w:r w:rsidRPr="00B3485D">
        <w:t>The recommended total daily starting dose of RYZODEG 70/30 is 10 units with meal(s) followed by individual dosage adjustments.</w:t>
      </w:r>
    </w:p>
    <w:p w14:paraId="1E523838" w14:textId="77777777" w:rsidR="00312A37" w:rsidRDefault="00312A37" w:rsidP="00312A37">
      <w:pPr>
        <w:rPr>
          <w:i/>
          <w:iCs/>
        </w:rPr>
      </w:pPr>
    </w:p>
    <w:p w14:paraId="1144B47E" w14:textId="0C4A6D5D" w:rsidR="00B3485D" w:rsidRPr="00312A37" w:rsidRDefault="00B3485D" w:rsidP="00312A37">
      <w:pPr>
        <w:rPr>
          <w:i/>
          <w:iCs/>
        </w:rPr>
      </w:pPr>
      <w:r w:rsidRPr="00312A37">
        <w:rPr>
          <w:i/>
          <w:iCs/>
        </w:rPr>
        <w:t>Patients with type 1 diabetes:</w:t>
      </w:r>
    </w:p>
    <w:p w14:paraId="13CCFA73" w14:textId="77777777" w:rsidR="00B3485D" w:rsidRPr="00B3485D" w:rsidRDefault="00B3485D" w:rsidP="00B3485D">
      <w:r w:rsidRPr="00B3485D">
        <w:t>The recommended starting dose of RYZODEG 70/30 is 60-70% of the total daily insulin requirements.</w:t>
      </w:r>
    </w:p>
    <w:p w14:paraId="39B0DBDA" w14:textId="77777777" w:rsidR="00B3485D" w:rsidRPr="00B3485D" w:rsidRDefault="00B3485D" w:rsidP="00B3485D"/>
    <w:p w14:paraId="50EF1E60" w14:textId="77777777" w:rsidR="00B3485D" w:rsidRPr="00B3485D" w:rsidRDefault="00B3485D" w:rsidP="00B3485D">
      <w:r w:rsidRPr="00B3485D">
        <w:t>RYZODEG 70/30 is to be used once daily at mealtime in combination with short-/rapid-acting insulin at the remaining meals followed by individual dosage adjustments.</w:t>
      </w:r>
    </w:p>
    <w:p w14:paraId="5D05FE62" w14:textId="77777777" w:rsidR="00312A37" w:rsidRDefault="00312A37" w:rsidP="00312A37">
      <w:pPr>
        <w:rPr>
          <w:i/>
          <w:iCs/>
        </w:rPr>
      </w:pPr>
    </w:p>
    <w:p w14:paraId="006D1D19" w14:textId="53436EFF" w:rsidR="00B3485D" w:rsidRPr="00312A37" w:rsidRDefault="00B3485D" w:rsidP="00312A37">
      <w:pPr>
        <w:rPr>
          <w:i/>
          <w:iCs/>
        </w:rPr>
      </w:pPr>
      <w:r w:rsidRPr="00312A37">
        <w:rPr>
          <w:i/>
          <w:iCs/>
        </w:rPr>
        <w:t>Transfer from other insulin medicinal products</w:t>
      </w:r>
    </w:p>
    <w:p w14:paraId="750201D9" w14:textId="77777777" w:rsidR="00B3485D" w:rsidRPr="00B3485D" w:rsidRDefault="00B3485D" w:rsidP="00B3485D">
      <w:pPr>
        <w:rPr>
          <w:bCs/>
          <w:iCs/>
        </w:rPr>
      </w:pPr>
      <w:r w:rsidRPr="00B3485D">
        <w:rPr>
          <w:bCs/>
          <w:iCs/>
        </w:rPr>
        <w:t>As with all insulin products, close glucose monitoring is recommended during transfer and in the following weeks. Doses and timing of concurrent rapid-acting or short-acting insulin products or other concomitant anti-diabetic treatment may need to be adjusted.</w:t>
      </w:r>
    </w:p>
    <w:p w14:paraId="03A9087A" w14:textId="77777777" w:rsidR="00312A37" w:rsidRDefault="00312A37" w:rsidP="00312A37">
      <w:pPr>
        <w:rPr>
          <w:i/>
          <w:iCs/>
        </w:rPr>
      </w:pPr>
    </w:p>
    <w:p w14:paraId="690DE3C2" w14:textId="49FCD5F6" w:rsidR="00B3485D" w:rsidRPr="00312A37" w:rsidRDefault="00B3485D" w:rsidP="00312A37">
      <w:pPr>
        <w:rPr>
          <w:i/>
          <w:iCs/>
        </w:rPr>
      </w:pPr>
      <w:r w:rsidRPr="00312A37">
        <w:rPr>
          <w:i/>
          <w:iCs/>
        </w:rPr>
        <w:t>Patients with type 2 diabetes:</w:t>
      </w:r>
    </w:p>
    <w:p w14:paraId="54E76D81" w14:textId="77777777" w:rsidR="00B3485D" w:rsidRPr="00B3485D" w:rsidRDefault="00B3485D" w:rsidP="00B3485D">
      <w:pPr>
        <w:rPr>
          <w:bCs/>
          <w:iCs/>
        </w:rPr>
      </w:pPr>
      <w:r w:rsidRPr="00B3485D">
        <w:rPr>
          <w:bCs/>
          <w:iCs/>
        </w:rPr>
        <w:t xml:space="preserve">Patients switching from once daily basal or premix insulin therapy can be converted unit-to-unit to once daily </w:t>
      </w:r>
      <w:r w:rsidRPr="00B3485D">
        <w:t>RYZODEG</w:t>
      </w:r>
      <w:r w:rsidRPr="00B3485D">
        <w:rPr>
          <w:bCs/>
          <w:iCs/>
        </w:rPr>
        <w:t xml:space="preserve"> </w:t>
      </w:r>
      <w:r w:rsidRPr="00B3485D">
        <w:t xml:space="preserve">70/30 </w:t>
      </w:r>
      <w:r w:rsidRPr="00B3485D">
        <w:rPr>
          <w:bCs/>
          <w:iCs/>
        </w:rPr>
        <w:t xml:space="preserve">at the same total insulin dose as the patient’s previous total daily insulin dose, or twice-daily RYZODEG </w:t>
      </w:r>
      <w:r w:rsidRPr="00B3485D">
        <w:t xml:space="preserve">70/30 </w:t>
      </w:r>
      <w:r w:rsidRPr="00B3485D">
        <w:rPr>
          <w:bCs/>
          <w:iCs/>
        </w:rPr>
        <w:t>using half the total daily dose twice daily.</w:t>
      </w:r>
    </w:p>
    <w:p w14:paraId="4D60DA82" w14:textId="77777777" w:rsidR="00B3485D" w:rsidRPr="00B3485D" w:rsidRDefault="00B3485D" w:rsidP="00B3485D">
      <w:pPr>
        <w:rPr>
          <w:bCs/>
          <w:iCs/>
        </w:rPr>
      </w:pPr>
    </w:p>
    <w:p w14:paraId="17AB959B" w14:textId="77777777" w:rsidR="00B3485D" w:rsidRPr="00B3485D" w:rsidRDefault="00B3485D" w:rsidP="00B3485D">
      <w:pPr>
        <w:rPr>
          <w:bCs/>
          <w:iCs/>
        </w:rPr>
      </w:pPr>
      <w:r w:rsidRPr="00B3485D">
        <w:rPr>
          <w:bCs/>
          <w:iCs/>
        </w:rPr>
        <w:t xml:space="preserve">Patients switching from more than once daily basal or premix insulin therapy can be converted unit-to-unit to once daily or twice-daily </w:t>
      </w:r>
      <w:r w:rsidRPr="00B3485D">
        <w:t>RYZODEG</w:t>
      </w:r>
      <w:r w:rsidRPr="00B3485D">
        <w:rPr>
          <w:bCs/>
          <w:iCs/>
        </w:rPr>
        <w:t xml:space="preserve"> </w:t>
      </w:r>
      <w:r w:rsidRPr="00B3485D">
        <w:t xml:space="preserve">70/30 </w:t>
      </w:r>
      <w:r w:rsidRPr="00B3485D">
        <w:rPr>
          <w:bCs/>
          <w:iCs/>
        </w:rPr>
        <w:t>at the same total insulin dose as the patient’s previous total daily insulin dose.</w:t>
      </w:r>
    </w:p>
    <w:p w14:paraId="2C970FC3" w14:textId="77777777" w:rsidR="00B3485D" w:rsidRPr="00B3485D" w:rsidRDefault="00B3485D" w:rsidP="00B3485D">
      <w:pPr>
        <w:rPr>
          <w:bCs/>
          <w:iCs/>
        </w:rPr>
      </w:pPr>
    </w:p>
    <w:p w14:paraId="3A446503" w14:textId="77777777" w:rsidR="00B3485D" w:rsidRPr="00B3485D" w:rsidRDefault="00B3485D" w:rsidP="00B3485D">
      <w:pPr>
        <w:rPr>
          <w:bCs/>
          <w:iCs/>
        </w:rPr>
      </w:pPr>
      <w:r w:rsidRPr="00B3485D">
        <w:rPr>
          <w:bCs/>
          <w:iCs/>
        </w:rPr>
        <w:t xml:space="preserve">Patients switching from basal-bolus insulin therapy to </w:t>
      </w:r>
      <w:r w:rsidRPr="00B3485D">
        <w:t>RYZODEG</w:t>
      </w:r>
      <w:r w:rsidRPr="00B3485D">
        <w:rPr>
          <w:bCs/>
          <w:iCs/>
        </w:rPr>
        <w:t xml:space="preserve"> </w:t>
      </w:r>
      <w:r w:rsidRPr="00B3485D">
        <w:t xml:space="preserve">70/30 </w:t>
      </w:r>
      <w:r w:rsidRPr="00B3485D">
        <w:rPr>
          <w:bCs/>
          <w:iCs/>
        </w:rPr>
        <w:t>will need to convert their dose based on individual needs. In general, patients are initiated on the same number of basal units.</w:t>
      </w:r>
    </w:p>
    <w:p w14:paraId="12A5B03F" w14:textId="77777777" w:rsidR="002D7EBE" w:rsidRDefault="002D7EBE" w:rsidP="00312A37">
      <w:pPr>
        <w:rPr>
          <w:i/>
          <w:iCs/>
        </w:rPr>
      </w:pPr>
    </w:p>
    <w:p w14:paraId="6CE3EE44" w14:textId="521F379F" w:rsidR="00B3485D" w:rsidRPr="00312A37" w:rsidRDefault="00B3485D" w:rsidP="00312A37">
      <w:pPr>
        <w:rPr>
          <w:i/>
          <w:iCs/>
        </w:rPr>
      </w:pPr>
      <w:r w:rsidRPr="00312A37">
        <w:rPr>
          <w:i/>
          <w:iCs/>
        </w:rPr>
        <w:lastRenderedPageBreak/>
        <w:t>Patients with type 1 diabetes:</w:t>
      </w:r>
    </w:p>
    <w:p w14:paraId="7F38A029" w14:textId="77777777" w:rsidR="00B3485D" w:rsidRPr="00B3485D" w:rsidRDefault="00B3485D" w:rsidP="00B3485D">
      <w:pPr>
        <w:rPr>
          <w:bCs/>
          <w:iCs/>
        </w:rPr>
      </w:pPr>
      <w:r w:rsidRPr="00B3485D">
        <w:rPr>
          <w:bCs/>
          <w:iCs/>
        </w:rPr>
        <w:t>The recommended starting dose of</w:t>
      </w:r>
      <w:r w:rsidRPr="00B3485D">
        <w:t xml:space="preserve"> RYZODEG</w:t>
      </w:r>
      <w:r w:rsidRPr="00B3485D">
        <w:rPr>
          <w:bCs/>
          <w:iCs/>
        </w:rPr>
        <w:t xml:space="preserve"> </w:t>
      </w:r>
      <w:r w:rsidRPr="00B3485D">
        <w:t xml:space="preserve">70/30 </w:t>
      </w:r>
      <w:r w:rsidRPr="00B3485D">
        <w:rPr>
          <w:bCs/>
          <w:iCs/>
        </w:rPr>
        <w:t xml:space="preserve">is </w:t>
      </w:r>
      <w:r w:rsidRPr="00B3485D">
        <w:t xml:space="preserve">60-70% </w:t>
      </w:r>
      <w:r w:rsidRPr="00B3485D">
        <w:rPr>
          <w:bCs/>
          <w:iCs/>
        </w:rPr>
        <w:t>of the total daily insulin requirements in combination with short-/rapid-acting insulin at the remaining meals followed by individual dosage adjustments.</w:t>
      </w:r>
    </w:p>
    <w:p w14:paraId="4F4DB97A" w14:textId="77777777" w:rsidR="00312A37" w:rsidRDefault="00312A37" w:rsidP="00312A37">
      <w:pPr>
        <w:rPr>
          <w:i/>
          <w:iCs/>
        </w:rPr>
      </w:pPr>
    </w:p>
    <w:p w14:paraId="3A652FAB" w14:textId="3E79520E" w:rsidR="00B3485D" w:rsidRPr="00312A37" w:rsidRDefault="00B3485D" w:rsidP="00312A37">
      <w:pPr>
        <w:rPr>
          <w:i/>
          <w:iCs/>
        </w:rPr>
      </w:pPr>
      <w:r w:rsidRPr="00312A37">
        <w:rPr>
          <w:i/>
          <w:iCs/>
        </w:rPr>
        <w:t>Flexibility in dosing time</w:t>
      </w:r>
    </w:p>
    <w:p w14:paraId="56E286D1" w14:textId="77777777" w:rsidR="00B3485D" w:rsidRPr="00B3485D" w:rsidRDefault="00B3485D" w:rsidP="00B3485D">
      <w:r w:rsidRPr="00B3485D">
        <w:t xml:space="preserve">RYZODEG 70/30 allows for some flexibility in the timing of insulin administration as long as it is dosed with the main meal(s). </w:t>
      </w:r>
    </w:p>
    <w:p w14:paraId="4B5AD5A5" w14:textId="77777777" w:rsidR="00B3485D" w:rsidRPr="00B3485D" w:rsidRDefault="00B3485D" w:rsidP="00B3485D"/>
    <w:p w14:paraId="76C2ECFC" w14:textId="77777777" w:rsidR="00B3485D" w:rsidRPr="00B3485D" w:rsidRDefault="00B3485D" w:rsidP="00B3485D">
      <w:r w:rsidRPr="00B3485D">
        <w:t xml:space="preserve">Patients should not take an extra dose to make up for a missed dose. If a dose of RYZODEG 70/30 is missed, the patient can take the missed dose with the next main meal of that day and thereafter resume the usual dosing schedule. </w:t>
      </w:r>
    </w:p>
    <w:p w14:paraId="430F98E1" w14:textId="77777777" w:rsidR="007872A2" w:rsidRDefault="007872A2" w:rsidP="00312A37">
      <w:pPr>
        <w:rPr>
          <w:i/>
          <w:iCs/>
        </w:rPr>
      </w:pPr>
    </w:p>
    <w:p w14:paraId="2F0A7BC8" w14:textId="07BEF026" w:rsidR="00B3485D" w:rsidRPr="00312A37" w:rsidRDefault="00B3485D" w:rsidP="00312A37">
      <w:pPr>
        <w:rPr>
          <w:i/>
          <w:iCs/>
        </w:rPr>
      </w:pPr>
      <w:r w:rsidRPr="00312A37">
        <w:rPr>
          <w:i/>
          <w:iCs/>
        </w:rPr>
        <w:t>Avoidance of accidental mix-ups</w:t>
      </w:r>
    </w:p>
    <w:p w14:paraId="403B616D" w14:textId="77777777" w:rsidR="00B3485D" w:rsidRPr="00B3485D" w:rsidRDefault="00B3485D" w:rsidP="00B3485D">
      <w:r w:rsidRPr="00B3485D">
        <w:t>Patients must be instructed to always check the insulin label before each injection to avoid accidental mix-ups between RYZODEG 70/30 and other insulin products.</w:t>
      </w:r>
    </w:p>
    <w:p w14:paraId="4384D4FC" w14:textId="77777777" w:rsidR="00312A37" w:rsidRDefault="00312A37" w:rsidP="00312A37">
      <w:pPr>
        <w:rPr>
          <w:i/>
          <w:iCs/>
        </w:rPr>
      </w:pPr>
    </w:p>
    <w:p w14:paraId="41156E29" w14:textId="73D167B7" w:rsidR="00B3485D" w:rsidRPr="00312A37" w:rsidRDefault="00B3485D" w:rsidP="00312A37">
      <w:pPr>
        <w:rPr>
          <w:i/>
          <w:iCs/>
        </w:rPr>
      </w:pPr>
      <w:r w:rsidRPr="00312A37">
        <w:rPr>
          <w:i/>
          <w:iCs/>
        </w:rPr>
        <w:t xml:space="preserve">Special populations </w:t>
      </w:r>
    </w:p>
    <w:p w14:paraId="6E2FF362" w14:textId="4B1D2169" w:rsidR="00B3485D" w:rsidRPr="00B3485D" w:rsidRDefault="00B3485D" w:rsidP="00312A37">
      <w:pPr>
        <w:rPr>
          <w:bCs/>
          <w:u w:val="single"/>
        </w:rPr>
      </w:pPr>
      <w:r w:rsidRPr="00B3485D">
        <w:rPr>
          <w:rStyle w:val="Heading7Char"/>
        </w:rPr>
        <w:t>Elderly (</w:t>
      </w:r>
      <w:r w:rsidR="00D11AB9">
        <w:rPr>
          <w:rStyle w:val="Heading7Char"/>
        </w:rPr>
        <w:sym w:font="Symbol" w:char="F0B3"/>
      </w:r>
      <w:r w:rsidR="00D11AB9">
        <w:rPr>
          <w:rStyle w:val="Heading7Char"/>
        </w:rPr>
        <w:t xml:space="preserve"> </w:t>
      </w:r>
      <w:r w:rsidRPr="00B3485D">
        <w:rPr>
          <w:rStyle w:val="Heading7Char"/>
        </w:rPr>
        <w:t>65 years old)</w:t>
      </w:r>
      <w:r w:rsidRPr="00B3485D">
        <w:rPr>
          <w:bCs/>
          <w:u w:val="single"/>
        </w:rPr>
        <w:t xml:space="preserve"> </w:t>
      </w:r>
    </w:p>
    <w:p w14:paraId="4098E44C" w14:textId="77777777" w:rsidR="00B3485D" w:rsidRPr="00B3485D" w:rsidRDefault="00B3485D" w:rsidP="00B3485D">
      <w:pPr>
        <w:rPr>
          <w:bCs/>
          <w:iCs/>
        </w:rPr>
      </w:pPr>
      <w:r w:rsidRPr="00B3485D">
        <w:rPr>
          <w:bCs/>
          <w:iCs/>
        </w:rPr>
        <w:t xml:space="preserve">RYZODEG </w:t>
      </w:r>
      <w:r w:rsidRPr="00B3485D">
        <w:t xml:space="preserve">70/30 </w:t>
      </w:r>
      <w:r w:rsidRPr="00B3485D">
        <w:rPr>
          <w:bCs/>
          <w:iCs/>
        </w:rPr>
        <w:t>can be used in elderly patients. As with all insulin products, glucose monitoring is to be intensified and the insulin dose adjusted on an individual basis.</w:t>
      </w:r>
    </w:p>
    <w:p w14:paraId="2E7085C2" w14:textId="77777777" w:rsidR="00312A37" w:rsidRDefault="00312A37" w:rsidP="00312A37">
      <w:pPr>
        <w:rPr>
          <w:i/>
          <w:iCs/>
        </w:rPr>
      </w:pPr>
    </w:p>
    <w:p w14:paraId="447B0E74" w14:textId="76749347" w:rsidR="00B3485D" w:rsidRPr="00312A37" w:rsidRDefault="00B3485D" w:rsidP="00312A37">
      <w:pPr>
        <w:rPr>
          <w:i/>
          <w:iCs/>
        </w:rPr>
      </w:pPr>
      <w:r w:rsidRPr="00312A37">
        <w:rPr>
          <w:i/>
          <w:iCs/>
        </w:rPr>
        <w:t xml:space="preserve">Renal impairment </w:t>
      </w:r>
    </w:p>
    <w:p w14:paraId="3FE63F9F" w14:textId="7142F03E" w:rsidR="00B3485D" w:rsidRPr="00B3485D" w:rsidRDefault="00B3485D" w:rsidP="00B3485D">
      <w:pPr>
        <w:rPr>
          <w:bCs/>
          <w:iCs/>
        </w:rPr>
      </w:pPr>
      <w:r w:rsidRPr="00B3485D">
        <w:rPr>
          <w:bCs/>
          <w:iCs/>
        </w:rPr>
        <w:t xml:space="preserve">RYZODEG </w:t>
      </w:r>
      <w:r w:rsidRPr="00B3485D">
        <w:t xml:space="preserve">70/30 </w:t>
      </w:r>
      <w:r w:rsidRPr="00B3485D">
        <w:rPr>
          <w:bCs/>
          <w:iCs/>
        </w:rPr>
        <w:t>can be used in renal impaired patients. As with all insulin products, glucose monitoring is to be intensified and the insulin dose adjusted on an individual basis.</w:t>
      </w:r>
    </w:p>
    <w:p w14:paraId="14459746" w14:textId="47A70EF4" w:rsidR="00312A37" w:rsidRPr="00A4379A" w:rsidRDefault="00312A37" w:rsidP="00312A37">
      <w:bookmarkStart w:id="0" w:name="OLE_LINK13"/>
      <w:bookmarkStart w:id="1" w:name="OLE_LINK14"/>
    </w:p>
    <w:p w14:paraId="5E4B5DF4" w14:textId="1EFF0C64" w:rsidR="00A4379A" w:rsidRPr="002D7EBE" w:rsidRDefault="00A4379A" w:rsidP="00A4379A">
      <w:pPr>
        <w:rPr>
          <w:i/>
          <w:iCs/>
        </w:rPr>
      </w:pPr>
      <w:r w:rsidRPr="002D7EBE">
        <w:rPr>
          <w:i/>
          <w:iCs/>
        </w:rPr>
        <w:t xml:space="preserve">Hepatic impairment </w:t>
      </w:r>
    </w:p>
    <w:p w14:paraId="6EF59468" w14:textId="519F4128" w:rsidR="00A4379A" w:rsidRPr="002D7EBE" w:rsidRDefault="00A4379A" w:rsidP="00A4379A">
      <w:pPr>
        <w:rPr>
          <w:bCs/>
          <w:iCs/>
        </w:rPr>
      </w:pPr>
      <w:r w:rsidRPr="002D7EBE">
        <w:rPr>
          <w:bCs/>
          <w:iCs/>
        </w:rPr>
        <w:t xml:space="preserve">RYZODEG </w:t>
      </w:r>
      <w:r w:rsidRPr="002D7EBE">
        <w:t xml:space="preserve">70/30 </w:t>
      </w:r>
      <w:r w:rsidRPr="002D7EBE">
        <w:rPr>
          <w:bCs/>
          <w:iCs/>
        </w:rPr>
        <w:t>can be used in hepatic impaired patients. As with all insulin products, glucose monitoring is to be intensified and the insulin dose adjusted on an individual basis.</w:t>
      </w:r>
    </w:p>
    <w:p w14:paraId="35737845" w14:textId="77777777" w:rsidR="00A4379A" w:rsidRPr="002D7EBE" w:rsidRDefault="00A4379A" w:rsidP="00A4379A">
      <w:pPr>
        <w:rPr>
          <w:i/>
          <w:iCs/>
        </w:rPr>
      </w:pPr>
    </w:p>
    <w:p w14:paraId="7F239B89" w14:textId="2517D6AC" w:rsidR="00B3485D" w:rsidRPr="002D7EBE" w:rsidRDefault="00B3485D" w:rsidP="00312A37">
      <w:pPr>
        <w:rPr>
          <w:i/>
          <w:iCs/>
        </w:rPr>
      </w:pPr>
      <w:r w:rsidRPr="002D7EBE">
        <w:rPr>
          <w:i/>
          <w:iCs/>
        </w:rPr>
        <w:t>Paediatric population</w:t>
      </w:r>
      <w:bookmarkEnd w:id="0"/>
      <w:bookmarkEnd w:id="1"/>
    </w:p>
    <w:p w14:paraId="33912BD3" w14:textId="448ED740" w:rsidR="002D6FD6" w:rsidRPr="002D7EBE" w:rsidRDefault="00861832" w:rsidP="002D6FD6">
      <w:pPr>
        <w:rPr>
          <w:bCs/>
          <w:iCs/>
          <w:lang w:val="en-GB"/>
        </w:rPr>
      </w:pPr>
      <w:r w:rsidRPr="002D7EBE">
        <w:rPr>
          <w:bCs/>
          <w:iCs/>
          <w:lang w:val="en-GB"/>
        </w:rPr>
        <w:t>RYZODEG</w:t>
      </w:r>
      <w:r w:rsidR="002D6FD6" w:rsidRPr="002D7EBE">
        <w:rPr>
          <w:bCs/>
          <w:iCs/>
          <w:lang w:val="en-GB"/>
        </w:rPr>
        <w:t xml:space="preserve"> </w:t>
      </w:r>
      <w:r w:rsidRPr="002D7EBE">
        <w:rPr>
          <w:bCs/>
          <w:iCs/>
          <w:lang w:val="en-GB"/>
        </w:rPr>
        <w:t xml:space="preserve">70/30 </w:t>
      </w:r>
      <w:r w:rsidR="002D6FD6" w:rsidRPr="002D7EBE">
        <w:rPr>
          <w:bCs/>
          <w:iCs/>
          <w:lang w:val="en-GB"/>
        </w:rPr>
        <w:t xml:space="preserve">can be used in children </w:t>
      </w:r>
      <w:r w:rsidRPr="002D7EBE">
        <w:rPr>
          <w:bCs/>
          <w:iCs/>
          <w:lang w:val="en-GB"/>
        </w:rPr>
        <w:t xml:space="preserve">and adolescents </w:t>
      </w:r>
      <w:r w:rsidR="002D6FD6" w:rsidRPr="002D7EBE">
        <w:rPr>
          <w:bCs/>
          <w:iCs/>
          <w:lang w:val="en-GB"/>
        </w:rPr>
        <w:t xml:space="preserve">from the age of </w:t>
      </w:r>
      <w:r w:rsidR="003861E1" w:rsidRPr="002D7EBE">
        <w:rPr>
          <w:bCs/>
          <w:iCs/>
          <w:lang w:val="en-GB"/>
        </w:rPr>
        <w:t>6</w:t>
      </w:r>
      <w:r w:rsidR="00D11AB9">
        <w:rPr>
          <w:bCs/>
          <w:iCs/>
          <w:lang w:val="en-GB"/>
        </w:rPr>
        <w:t xml:space="preserve"> </w:t>
      </w:r>
      <w:r w:rsidR="002D6FD6" w:rsidRPr="002D7EBE">
        <w:rPr>
          <w:bCs/>
          <w:iCs/>
          <w:lang w:val="en-GB"/>
        </w:rPr>
        <w:t xml:space="preserve">years (see </w:t>
      </w:r>
      <w:r w:rsidR="00050F79" w:rsidRPr="002D7EBE">
        <w:rPr>
          <w:bCs/>
          <w:iCs/>
          <w:lang w:val="en-GB"/>
        </w:rPr>
        <w:t xml:space="preserve">section 5.1 </w:t>
      </w:r>
      <w:r w:rsidR="00AA1C28" w:rsidRPr="002D7EBE">
        <w:rPr>
          <w:bCs/>
          <w:iCs/>
          <w:lang w:val="en-GB"/>
        </w:rPr>
        <w:t>Clinical trials</w:t>
      </w:r>
      <w:r w:rsidR="002D6FD6" w:rsidRPr="002D7EBE">
        <w:rPr>
          <w:bCs/>
          <w:iCs/>
          <w:lang w:val="en-GB"/>
        </w:rPr>
        <w:t xml:space="preserve">). When changing from another insulin regimen to </w:t>
      </w:r>
      <w:r w:rsidRPr="002D7EBE">
        <w:rPr>
          <w:bCs/>
          <w:iCs/>
          <w:lang w:val="en-GB"/>
        </w:rPr>
        <w:t>RYZODEG 70/30</w:t>
      </w:r>
      <w:r w:rsidR="002D6FD6" w:rsidRPr="002D7EBE">
        <w:rPr>
          <w:bCs/>
          <w:iCs/>
          <w:lang w:val="en-GB"/>
        </w:rPr>
        <w:t xml:space="preserve">, dose reduction of total insulin needs to be considered on an individual basis in order to minimise the risk of hypoglycaemia (see </w:t>
      </w:r>
      <w:r w:rsidR="007872A2" w:rsidRPr="002D7EBE">
        <w:rPr>
          <w:bCs/>
          <w:iCs/>
          <w:lang w:val="en-GB"/>
        </w:rPr>
        <w:t xml:space="preserve">section 4.4 </w:t>
      </w:r>
      <w:r w:rsidR="00AA1C28" w:rsidRPr="002D7EBE">
        <w:rPr>
          <w:bCs/>
          <w:iCs/>
          <w:lang w:val="en-GB"/>
        </w:rPr>
        <w:t>Special Warnings and Precautions for Use</w:t>
      </w:r>
      <w:r w:rsidR="002D6FD6" w:rsidRPr="002D7EBE">
        <w:rPr>
          <w:bCs/>
          <w:iCs/>
          <w:lang w:val="en-GB"/>
        </w:rPr>
        <w:t xml:space="preserve">). </w:t>
      </w:r>
    </w:p>
    <w:p w14:paraId="634B1C36" w14:textId="77777777" w:rsidR="002D6FD6" w:rsidRPr="002D7EBE" w:rsidRDefault="002D6FD6" w:rsidP="002D6FD6">
      <w:pPr>
        <w:rPr>
          <w:bCs/>
          <w:iCs/>
          <w:lang w:val="en-GB"/>
        </w:rPr>
      </w:pPr>
    </w:p>
    <w:p w14:paraId="5386264C" w14:textId="78A0121A" w:rsidR="00B3485D" w:rsidRDefault="007F4EBF" w:rsidP="002D6FD6">
      <w:pPr>
        <w:rPr>
          <w:bCs/>
          <w:iCs/>
        </w:rPr>
      </w:pPr>
      <w:r w:rsidRPr="002D7EBE">
        <w:rPr>
          <w:bCs/>
          <w:iCs/>
          <w:lang w:val="en-GB"/>
        </w:rPr>
        <w:t>RYZODEG</w:t>
      </w:r>
      <w:r w:rsidRPr="002D7EBE">
        <w:rPr>
          <w:bCs/>
          <w:iCs/>
        </w:rPr>
        <w:t xml:space="preserve"> 70/30 should be used with special caution in paediatric patients because data from the clinical trial indicate that there may be a higher risk for severe hypoglycaemia (see sections </w:t>
      </w:r>
      <w:r w:rsidR="007872A2" w:rsidRPr="002D7EBE">
        <w:rPr>
          <w:bCs/>
          <w:iCs/>
        </w:rPr>
        <w:t xml:space="preserve">4.4 </w:t>
      </w:r>
      <w:r w:rsidRPr="002D7EBE">
        <w:rPr>
          <w:bCs/>
          <w:iCs/>
        </w:rPr>
        <w:t>Special Warnings and Precautions for Use,</w:t>
      </w:r>
      <w:r w:rsidR="007872A2" w:rsidRPr="002D7EBE">
        <w:rPr>
          <w:bCs/>
          <w:iCs/>
        </w:rPr>
        <w:t xml:space="preserve">4.8 </w:t>
      </w:r>
      <w:r w:rsidRPr="002D7EBE">
        <w:rPr>
          <w:bCs/>
          <w:iCs/>
        </w:rPr>
        <w:t>Adverse Effects</w:t>
      </w:r>
      <w:r w:rsidR="007872A2" w:rsidRPr="002D7EBE">
        <w:rPr>
          <w:bCs/>
          <w:iCs/>
        </w:rPr>
        <w:t xml:space="preserve"> (Undesirable Effects)</w:t>
      </w:r>
      <w:r w:rsidRPr="002D7EBE">
        <w:rPr>
          <w:bCs/>
          <w:iCs/>
        </w:rPr>
        <w:t xml:space="preserve"> and </w:t>
      </w:r>
      <w:r w:rsidR="007872A2" w:rsidRPr="002D7EBE">
        <w:rPr>
          <w:bCs/>
          <w:iCs/>
        </w:rPr>
        <w:t xml:space="preserve">5.1 </w:t>
      </w:r>
      <w:r w:rsidRPr="002D7EBE">
        <w:rPr>
          <w:bCs/>
          <w:iCs/>
        </w:rPr>
        <w:t>Clinical trials)</w:t>
      </w:r>
      <w:r w:rsidR="002D6FD6" w:rsidRPr="002D7EBE">
        <w:rPr>
          <w:bCs/>
          <w:iCs/>
        </w:rPr>
        <w:t>.</w:t>
      </w:r>
      <w:r w:rsidR="00B3485D" w:rsidRPr="00AA1C28" w:rsidDel="005C4F7A">
        <w:rPr>
          <w:bCs/>
          <w:iCs/>
        </w:rPr>
        <w:t xml:space="preserve"> </w:t>
      </w:r>
    </w:p>
    <w:p w14:paraId="5C7813EA" w14:textId="77777777" w:rsidR="00D56FBE" w:rsidRDefault="00D56FBE" w:rsidP="00AD4BB0">
      <w:pPr>
        <w:pStyle w:val="Heading4"/>
      </w:pPr>
      <w:r>
        <w:t>Method of Administration</w:t>
      </w:r>
    </w:p>
    <w:p w14:paraId="05A0DDD7" w14:textId="77777777" w:rsidR="007E05EA" w:rsidRPr="007E05EA" w:rsidRDefault="007E05EA" w:rsidP="007E05EA">
      <w:r w:rsidRPr="007E05EA">
        <w:t>RYZODEG 70/30 combines the ultra-long acting basal insulin degludec and the rapid acting prandial insulin aspart in one injection.</w:t>
      </w:r>
    </w:p>
    <w:p w14:paraId="076B2ED1" w14:textId="77777777" w:rsidR="007E05EA" w:rsidRPr="007E05EA" w:rsidRDefault="007E05EA" w:rsidP="007E05EA"/>
    <w:p w14:paraId="35EFB3C3" w14:textId="77777777" w:rsidR="007E05EA" w:rsidRPr="007E05EA" w:rsidRDefault="007E05EA" w:rsidP="007E05EA">
      <w:pPr>
        <w:rPr>
          <w:bCs/>
          <w:iCs/>
        </w:rPr>
      </w:pPr>
      <w:r w:rsidRPr="007E05EA">
        <w:t>RYZODEG</w:t>
      </w:r>
      <w:r w:rsidRPr="007E05EA">
        <w:rPr>
          <w:bCs/>
          <w:iCs/>
        </w:rPr>
        <w:t xml:space="preserve"> </w:t>
      </w:r>
      <w:r w:rsidRPr="007E05EA">
        <w:t xml:space="preserve">70/30 </w:t>
      </w:r>
      <w:r w:rsidRPr="007E05EA">
        <w:rPr>
          <w:bCs/>
          <w:iCs/>
        </w:rPr>
        <w:t xml:space="preserve">is for subcutaneous administration only. </w:t>
      </w:r>
      <w:r w:rsidRPr="007E05EA">
        <w:t>RYZODEG</w:t>
      </w:r>
      <w:r w:rsidRPr="007E05EA">
        <w:rPr>
          <w:bCs/>
          <w:iCs/>
        </w:rPr>
        <w:t xml:space="preserve"> </w:t>
      </w:r>
      <w:r w:rsidRPr="007E05EA">
        <w:t xml:space="preserve">70/30 </w:t>
      </w:r>
      <w:r w:rsidRPr="007E05EA">
        <w:rPr>
          <w:bCs/>
          <w:iCs/>
        </w:rPr>
        <w:t xml:space="preserve">must not be administered intravenously as it may result in severe hypoglycaemia. </w:t>
      </w:r>
      <w:r w:rsidRPr="007E05EA">
        <w:t>RYZODEG</w:t>
      </w:r>
      <w:r w:rsidRPr="007E05EA">
        <w:rPr>
          <w:bCs/>
          <w:iCs/>
        </w:rPr>
        <w:t xml:space="preserve"> </w:t>
      </w:r>
      <w:r w:rsidRPr="007E05EA">
        <w:t xml:space="preserve">70/30 </w:t>
      </w:r>
      <w:r w:rsidRPr="007E05EA">
        <w:rPr>
          <w:bCs/>
          <w:iCs/>
        </w:rPr>
        <w:t xml:space="preserve">must </w:t>
      </w:r>
      <w:r w:rsidRPr="007E05EA">
        <w:rPr>
          <w:bCs/>
          <w:iCs/>
        </w:rPr>
        <w:lastRenderedPageBreak/>
        <w:t xml:space="preserve">not be administered intramuscularly as it may change the absorption. </w:t>
      </w:r>
      <w:r w:rsidRPr="007E05EA">
        <w:t>RYZODEG</w:t>
      </w:r>
      <w:r w:rsidRPr="007E05EA">
        <w:rPr>
          <w:bCs/>
          <w:iCs/>
        </w:rPr>
        <w:t xml:space="preserve"> </w:t>
      </w:r>
      <w:r w:rsidRPr="007E05EA">
        <w:t xml:space="preserve">70/30 </w:t>
      </w:r>
      <w:r w:rsidRPr="007E05EA">
        <w:rPr>
          <w:bCs/>
          <w:iCs/>
        </w:rPr>
        <w:t>must not be used in insulin infusion pumps.</w:t>
      </w:r>
    </w:p>
    <w:p w14:paraId="47CFFD48" w14:textId="77777777" w:rsidR="007E05EA" w:rsidRPr="007E05EA" w:rsidRDefault="007E05EA" w:rsidP="007E05EA">
      <w:pPr>
        <w:rPr>
          <w:bCs/>
          <w:iCs/>
        </w:rPr>
      </w:pPr>
    </w:p>
    <w:p w14:paraId="11348AE7" w14:textId="77777777" w:rsidR="007E05EA" w:rsidRPr="007E05EA" w:rsidRDefault="007E05EA" w:rsidP="007E05EA">
      <w:pPr>
        <w:rPr>
          <w:bCs/>
          <w:iCs/>
        </w:rPr>
      </w:pPr>
      <w:r w:rsidRPr="007E05EA">
        <w:t>RYZODEG</w:t>
      </w:r>
      <w:r w:rsidRPr="007E05EA">
        <w:rPr>
          <w:bCs/>
          <w:iCs/>
        </w:rPr>
        <w:t xml:space="preserve"> </w:t>
      </w:r>
      <w:r w:rsidRPr="007E05EA">
        <w:t xml:space="preserve">70/30 </w:t>
      </w:r>
      <w:r w:rsidRPr="007E05EA">
        <w:rPr>
          <w:bCs/>
          <w:iCs/>
        </w:rPr>
        <w:t>is administered subcutaneously by injection in the abdominal wall, the upper arm or the thigh. Injection sites are always to be rotated within the same region in order to reduce the risk of lipodystrophy.</w:t>
      </w:r>
    </w:p>
    <w:p w14:paraId="27C167EE" w14:textId="77777777" w:rsidR="007E05EA" w:rsidRPr="007E05EA" w:rsidRDefault="007E05EA" w:rsidP="007E05EA"/>
    <w:p w14:paraId="41BCEF26" w14:textId="77777777" w:rsidR="007E05EA" w:rsidRPr="007E05EA" w:rsidRDefault="007E05EA" w:rsidP="007E05EA">
      <w:pPr>
        <w:rPr>
          <w:bCs/>
          <w:iCs/>
        </w:rPr>
      </w:pPr>
      <w:r w:rsidRPr="007E05EA">
        <w:t>RYZODEG</w:t>
      </w:r>
      <w:r w:rsidRPr="007E05EA">
        <w:rPr>
          <w:bCs/>
          <w:iCs/>
        </w:rPr>
        <w:t xml:space="preserve"> </w:t>
      </w:r>
      <w:r w:rsidRPr="007E05EA">
        <w:t xml:space="preserve">70/30 </w:t>
      </w:r>
      <w:r w:rsidRPr="007E05EA">
        <w:rPr>
          <w:bCs/>
          <w:iCs/>
        </w:rPr>
        <w:t>FlexTouch</w:t>
      </w:r>
      <w:r w:rsidRPr="007E05EA">
        <w:rPr>
          <w:vertAlign w:val="superscript"/>
        </w:rPr>
        <w:t>®</w:t>
      </w:r>
      <w:r w:rsidRPr="007E05EA">
        <w:rPr>
          <w:bCs/>
          <w:iCs/>
        </w:rPr>
        <w:t xml:space="preserve"> is a pre-filled pen designed to be used with NovoFine</w:t>
      </w:r>
      <w:r w:rsidRPr="007E05EA">
        <w:rPr>
          <w:vertAlign w:val="superscript"/>
        </w:rPr>
        <w:t>®</w:t>
      </w:r>
      <w:r w:rsidRPr="007E05EA">
        <w:rPr>
          <w:bCs/>
          <w:iCs/>
        </w:rPr>
        <w:t xml:space="preserve"> </w:t>
      </w:r>
      <w:r w:rsidRPr="007E05EA">
        <w:t xml:space="preserve">disposable </w:t>
      </w:r>
      <w:r w:rsidRPr="007E05EA">
        <w:rPr>
          <w:bCs/>
          <w:iCs/>
        </w:rPr>
        <w:t>needles. FlexTouch delivers 1</w:t>
      </w:r>
      <w:r w:rsidRPr="007E05EA">
        <w:t>–</w:t>
      </w:r>
      <w:r w:rsidRPr="007E05EA">
        <w:rPr>
          <w:bCs/>
          <w:iCs/>
        </w:rPr>
        <w:t>80 units in increments of 1 unit.</w:t>
      </w:r>
    </w:p>
    <w:p w14:paraId="082F6EE8" w14:textId="77777777" w:rsidR="007E05EA" w:rsidRPr="007E05EA" w:rsidRDefault="007E05EA" w:rsidP="007E05EA">
      <w:pPr>
        <w:rPr>
          <w:bCs/>
          <w:iCs/>
        </w:rPr>
      </w:pPr>
    </w:p>
    <w:p w14:paraId="1EBE758D" w14:textId="77777777" w:rsidR="00D56FBE" w:rsidRPr="007E05EA" w:rsidRDefault="007E05EA" w:rsidP="00AD4BB0">
      <w:pPr>
        <w:rPr>
          <w:bCs/>
          <w:iCs/>
        </w:rPr>
      </w:pPr>
      <w:r w:rsidRPr="007E05EA">
        <w:t>RYZODEG</w:t>
      </w:r>
      <w:r w:rsidRPr="007E05EA">
        <w:rPr>
          <w:bCs/>
          <w:iCs/>
        </w:rPr>
        <w:t xml:space="preserve"> </w:t>
      </w:r>
      <w:r w:rsidRPr="007E05EA">
        <w:t xml:space="preserve">70/30 </w:t>
      </w:r>
      <w:r w:rsidRPr="007E05EA">
        <w:rPr>
          <w:bCs/>
          <w:iCs/>
        </w:rPr>
        <w:t>Penfill</w:t>
      </w:r>
      <w:r w:rsidRPr="007E05EA">
        <w:rPr>
          <w:vertAlign w:val="superscript"/>
        </w:rPr>
        <w:t>®</w:t>
      </w:r>
      <w:r w:rsidRPr="007E05EA">
        <w:rPr>
          <w:bCs/>
          <w:iCs/>
        </w:rPr>
        <w:t xml:space="preserve"> is designed to be used with Novo Nordisk insulin delivery systems and NovoFine </w:t>
      </w:r>
      <w:r w:rsidRPr="007E05EA">
        <w:t>disposable</w:t>
      </w:r>
      <w:r w:rsidRPr="007E05EA">
        <w:rPr>
          <w:bCs/>
          <w:iCs/>
        </w:rPr>
        <w:t xml:space="preserve"> needles.</w:t>
      </w:r>
    </w:p>
    <w:p w14:paraId="0BB06FB4" w14:textId="77777777" w:rsidR="00D56FBE" w:rsidRDefault="00D56FBE" w:rsidP="00AD4BB0">
      <w:pPr>
        <w:pStyle w:val="Heading4"/>
      </w:pPr>
      <w:r>
        <w:t>Dosage Adjustment</w:t>
      </w:r>
    </w:p>
    <w:p w14:paraId="0AB9F8D4" w14:textId="77777777" w:rsidR="00D56FBE" w:rsidRDefault="0037359C" w:rsidP="00AD4BB0">
      <w:r w:rsidRPr="00FF66B9">
        <w:t>As with all insulin products adjustment of dose may be necessary if patients undertake increased physical activity, change their usual diet or during concomitant illness.</w:t>
      </w:r>
    </w:p>
    <w:p w14:paraId="1B8B857B" w14:textId="77777777" w:rsidR="007E05EA" w:rsidRPr="007E05EA" w:rsidRDefault="007E05EA" w:rsidP="007E05EA">
      <w:pPr>
        <w:pStyle w:val="Heading4"/>
      </w:pPr>
      <w:r w:rsidRPr="007E05EA">
        <w:t>Instructions for use and handling</w:t>
      </w:r>
    </w:p>
    <w:p w14:paraId="528C7675" w14:textId="77777777" w:rsidR="007E05EA" w:rsidRPr="007E05EA" w:rsidRDefault="007E05EA" w:rsidP="007E05EA">
      <w:r w:rsidRPr="007E05EA">
        <w:t>RYZODEG 70/30 FlexTouch: The pre-filled pen is designed to be used with NovoFine disposable needles. FlexTouch delivers 1</w:t>
      </w:r>
      <w:r w:rsidRPr="007E05EA">
        <w:sym w:font="Symbol" w:char="F02D"/>
      </w:r>
      <w:r w:rsidRPr="007E05EA">
        <w:t>80</w:t>
      </w:r>
      <w:r w:rsidRPr="007E05EA">
        <w:rPr>
          <w:bCs/>
        </w:rPr>
        <w:t> </w:t>
      </w:r>
      <w:r w:rsidRPr="007E05EA">
        <w:t>units in increments of 1</w:t>
      </w:r>
      <w:r w:rsidRPr="007E05EA">
        <w:rPr>
          <w:bCs/>
        </w:rPr>
        <w:t> </w:t>
      </w:r>
      <w:r w:rsidRPr="007E05EA">
        <w:t>unit. The carton contains a Consumer Medicine Information package leaflet with instructions for use and handling.</w:t>
      </w:r>
      <w:r w:rsidRPr="007E05EA" w:rsidDel="00B05C92">
        <w:t xml:space="preserve"> </w:t>
      </w:r>
    </w:p>
    <w:p w14:paraId="71A937E0" w14:textId="77777777" w:rsidR="007E05EA" w:rsidRPr="007E05EA" w:rsidRDefault="007E05EA" w:rsidP="007E05EA"/>
    <w:p w14:paraId="03D17042" w14:textId="77777777" w:rsidR="007E05EA" w:rsidRPr="007E05EA" w:rsidRDefault="007E05EA" w:rsidP="007E05EA">
      <w:r w:rsidRPr="007E05EA">
        <w:t>RYZODEG 70/30 Penfill: The cartridge is designed to be used with Novo Nordisk delivery systems, such as NovoPen</w:t>
      </w:r>
      <w:r w:rsidRPr="007E05EA">
        <w:rPr>
          <w:vertAlign w:val="superscript"/>
        </w:rPr>
        <w:t>®</w:t>
      </w:r>
      <w:r w:rsidRPr="007E05EA">
        <w:t xml:space="preserve"> (durable devices for repeated use) and NovoFine disposable needles. The carton contains a Consumer Medicine Information package leaflet with instructions for use and handling.</w:t>
      </w:r>
      <w:r w:rsidRPr="007E05EA" w:rsidDel="008E04FB">
        <w:t xml:space="preserve"> </w:t>
      </w:r>
      <w:r w:rsidRPr="007E05EA">
        <w:t>The leaflet refers to the instructions for using the accompanying delivery system.</w:t>
      </w:r>
    </w:p>
    <w:p w14:paraId="14CC4C67" w14:textId="77777777" w:rsidR="007E05EA" w:rsidRPr="007E05EA" w:rsidRDefault="007E05EA" w:rsidP="007E05EA">
      <w:bookmarkStart w:id="2" w:name="OLE_LINK11"/>
      <w:bookmarkStart w:id="3" w:name="OLE_LINK12"/>
    </w:p>
    <w:p w14:paraId="7C9BB646" w14:textId="77777777" w:rsidR="007E05EA" w:rsidRPr="007E05EA" w:rsidRDefault="007E05EA" w:rsidP="007E05EA">
      <w:r w:rsidRPr="007E05EA">
        <w:t>RYZODEG 70/30 FlexTouch and RYZODEG 70/30 Penfill is for use by one person only. The cartridge must not be refilled.</w:t>
      </w:r>
      <w:bookmarkEnd w:id="2"/>
      <w:bookmarkEnd w:id="3"/>
    </w:p>
    <w:p w14:paraId="7CAC97BB" w14:textId="77777777" w:rsidR="007E05EA" w:rsidRPr="007E05EA" w:rsidRDefault="007E05EA" w:rsidP="007E05EA"/>
    <w:p w14:paraId="0445EE54" w14:textId="77777777" w:rsidR="007E05EA" w:rsidRPr="007E05EA" w:rsidRDefault="007E05EA" w:rsidP="007E05EA">
      <w:r w:rsidRPr="007E05EA">
        <w:t>RYZODEG 70/30 must not be used if the solution does not appear clear and colourless. RYZODEG 70/30 which has been frozen must not be used.</w:t>
      </w:r>
    </w:p>
    <w:p w14:paraId="09D4B6B4" w14:textId="77777777" w:rsidR="007E05EA" w:rsidRPr="007E05EA" w:rsidRDefault="007E05EA" w:rsidP="007E05EA"/>
    <w:p w14:paraId="4071D4FB" w14:textId="77777777" w:rsidR="007E05EA" w:rsidRDefault="007E05EA" w:rsidP="00AD4BB0">
      <w:r w:rsidRPr="007E05EA">
        <w:t>The patient should discard the needle after each injection.</w:t>
      </w:r>
    </w:p>
    <w:p w14:paraId="6A0486DC" w14:textId="77777777" w:rsidR="00D56FBE" w:rsidRDefault="00F17541" w:rsidP="00AD4BB0">
      <w:pPr>
        <w:pStyle w:val="Heading3"/>
      </w:pPr>
      <w:r>
        <w:t>4.3</w:t>
      </w:r>
      <w:r>
        <w:tab/>
      </w:r>
      <w:r w:rsidR="00D56FBE">
        <w:t>Contraindications</w:t>
      </w:r>
    </w:p>
    <w:p w14:paraId="4AB6926B" w14:textId="77777777" w:rsidR="00D56FBE" w:rsidRDefault="008C1637" w:rsidP="00AD4BB0">
      <w:r w:rsidRPr="008C1637">
        <w:t>Hypersensitivity to insulin degludec, insulin aspart or to any of the excipients.</w:t>
      </w:r>
    </w:p>
    <w:p w14:paraId="591BED4F" w14:textId="77777777" w:rsidR="00D56FBE" w:rsidRDefault="00F17541" w:rsidP="00AD4BB0">
      <w:pPr>
        <w:pStyle w:val="Heading3"/>
      </w:pPr>
      <w:r>
        <w:t>4.4</w:t>
      </w:r>
      <w:r>
        <w:tab/>
      </w:r>
      <w:r w:rsidR="00D56FBE">
        <w:t>Special Warnings and Precautions for Use</w:t>
      </w:r>
    </w:p>
    <w:p w14:paraId="1F6BD2C2" w14:textId="77777777" w:rsidR="008C1637" w:rsidRPr="008C1637" w:rsidRDefault="008C1637" w:rsidP="008C1637">
      <w:pPr>
        <w:pStyle w:val="Heading4"/>
      </w:pPr>
      <w:r w:rsidRPr="008C1637">
        <w:t>Hypoglycaemia</w:t>
      </w:r>
    </w:p>
    <w:p w14:paraId="068114E7" w14:textId="77777777" w:rsidR="008C1637" w:rsidRPr="008C1637" w:rsidRDefault="008C1637" w:rsidP="008C1637">
      <w:r w:rsidRPr="008C1637">
        <w:t xml:space="preserve">RYZODEG 70/30 must be taken with a carbohydrate containing meal. Omission of a meal or unplanned strenuous physical exercise may lead to hypoglycaemia. </w:t>
      </w:r>
    </w:p>
    <w:p w14:paraId="210B8CC7" w14:textId="77777777" w:rsidR="008C1637" w:rsidRPr="008C1637" w:rsidRDefault="008C1637" w:rsidP="008C1637"/>
    <w:p w14:paraId="5324843C" w14:textId="77777777" w:rsidR="008C1637" w:rsidRPr="008C1637" w:rsidRDefault="008C1637" w:rsidP="008C1637">
      <w:r w:rsidRPr="008C1637">
        <w:t>Dose reductions and increased frequency of glucose monitoring may be required when RYZODEG 70/30 is co-administered with insulin secretagogues or GLP-1 agonists as they may potentiate the risk of hypoglycaemia.</w:t>
      </w:r>
    </w:p>
    <w:p w14:paraId="3AF1D8C0" w14:textId="77777777" w:rsidR="008C1637" w:rsidRPr="008C1637" w:rsidRDefault="008C1637" w:rsidP="008C1637"/>
    <w:p w14:paraId="6B150741" w14:textId="77777777" w:rsidR="008C1637" w:rsidRPr="008C1637" w:rsidRDefault="008C1637" w:rsidP="008C1637">
      <w:r w:rsidRPr="008C1637">
        <w:t>Hypoglycaemia may occur if the insulin dose is too high in relation to the insulin requirement.</w:t>
      </w:r>
    </w:p>
    <w:p w14:paraId="20C429B9" w14:textId="77777777" w:rsidR="008C1637" w:rsidRDefault="008C1637" w:rsidP="008C1637"/>
    <w:p w14:paraId="20816145" w14:textId="7285653E" w:rsidR="007E318F" w:rsidRPr="007E318F" w:rsidRDefault="007E318F" w:rsidP="007E318F">
      <w:pPr>
        <w:rPr>
          <w:lang w:val="en-GB"/>
        </w:rPr>
      </w:pPr>
      <w:r w:rsidRPr="007E318F">
        <w:rPr>
          <w:lang w:val="en-GB"/>
        </w:rPr>
        <w:t xml:space="preserve">In children, extra care should be taken to match insulin doses with food intake and physical activities in order to minimise the risk of hypoglycaemia. </w:t>
      </w:r>
    </w:p>
    <w:p w14:paraId="1E7D5D59" w14:textId="77777777" w:rsidR="007E318F" w:rsidRPr="008C1637" w:rsidRDefault="007E318F" w:rsidP="008C1637"/>
    <w:p w14:paraId="4A72EB89" w14:textId="77777777" w:rsidR="008C1637" w:rsidRPr="008C1637" w:rsidRDefault="008C1637" w:rsidP="008C1637">
      <w:r w:rsidRPr="008C1637">
        <w:t>Patients’ whose blood glucose control is greatly improved, for example by intensified insulin therapy, may experience a change in their usual warning symptoms of hypoglycaemia and must be advised accordingly. Usual warning symptoms may disappear in patients with long-standing diabetes mellitus.</w:t>
      </w:r>
    </w:p>
    <w:p w14:paraId="35C2B632" w14:textId="77777777" w:rsidR="008C1637" w:rsidRPr="008C1637" w:rsidRDefault="008C1637" w:rsidP="008C1637"/>
    <w:p w14:paraId="09D46453" w14:textId="77777777" w:rsidR="008C1637" w:rsidRPr="008C1637" w:rsidRDefault="008C1637" w:rsidP="008C1637">
      <w:r w:rsidRPr="008C1637">
        <w:t>Concomitant illness, especially infections and fever, usually increases the patient's insulin requirement. Concomitant diseases in the kidney, liver or diseases affecting the adrenal, pituitary or thyroid gland may require changes in the insulin dose.</w:t>
      </w:r>
    </w:p>
    <w:p w14:paraId="3419748F" w14:textId="77777777" w:rsidR="008C1637" w:rsidRPr="008C1637" w:rsidRDefault="008C1637" w:rsidP="008C1637"/>
    <w:p w14:paraId="4F995276" w14:textId="77777777" w:rsidR="008C1637" w:rsidRPr="008C1637" w:rsidRDefault="008C1637" w:rsidP="008C1637">
      <w:r w:rsidRPr="008C1637">
        <w:t>As with other basal insulin products or insulin products with a basal component, the prolonged effect of RYZODEG 70/30 may delay recovery from hypoglycaemia.</w:t>
      </w:r>
    </w:p>
    <w:p w14:paraId="351E4203" w14:textId="77777777" w:rsidR="008C1637" w:rsidRPr="008C1637" w:rsidRDefault="008C1637" w:rsidP="008C1637">
      <w:pPr>
        <w:pStyle w:val="Heading4"/>
      </w:pPr>
      <w:r w:rsidRPr="008C1637">
        <w:t>Hyperglycaemia</w:t>
      </w:r>
    </w:p>
    <w:p w14:paraId="64D739E4" w14:textId="77777777" w:rsidR="008C1637" w:rsidRPr="008C1637" w:rsidRDefault="008C1637" w:rsidP="008C1637">
      <w:r w:rsidRPr="008C1637">
        <w:t>Administration of rapid-acting insulin is recommended in situations with severe hyperglycaemia.</w:t>
      </w:r>
    </w:p>
    <w:p w14:paraId="2FD4C0A3" w14:textId="77777777" w:rsidR="008C1637" w:rsidRPr="008C1637" w:rsidRDefault="008C1637" w:rsidP="008C1637"/>
    <w:p w14:paraId="0FEEFAC5" w14:textId="77777777" w:rsidR="008C1637" w:rsidRPr="008C1637" w:rsidRDefault="008C1637" w:rsidP="008C1637">
      <w:r w:rsidRPr="008C1637">
        <w:t xml:space="preserve">Inadequate dosing and/or discontinuation of treatment in patients requiring insulin may lead to hyperglycaemia and potentially to diabetic ketoacidosis. Furthermore, concomitant illness, especially infections, may lead to hyperglycaemia and thereby cause an increased insulin requirement. </w:t>
      </w:r>
    </w:p>
    <w:p w14:paraId="5E170AF7" w14:textId="77777777" w:rsidR="008C1637" w:rsidRPr="008C1637" w:rsidRDefault="008C1637" w:rsidP="008C1637"/>
    <w:p w14:paraId="350C96CC" w14:textId="77777777" w:rsidR="008C1637" w:rsidRPr="008C1637" w:rsidRDefault="008C1637" w:rsidP="008C1637">
      <w:r w:rsidRPr="008C1637">
        <w:t>Usually, the first symptoms of hyperglycaemia develop gradually over a period of hours or days. They include thirst, increased frequency of urination, nausea, vomiting, drowsiness, flushed dry skin, dry mouth, and loss of appetite as well as acetone odour of breath. In type 1 diabetes mellitus, untreated hyperglycaemic events may lead to diabetic ketoacidosis, which is potentially lethal.</w:t>
      </w:r>
    </w:p>
    <w:p w14:paraId="3F01ED9F" w14:textId="77777777" w:rsidR="008C1637" w:rsidRPr="008C1637" w:rsidRDefault="008C1637" w:rsidP="008C1637">
      <w:pPr>
        <w:pStyle w:val="Heading4"/>
      </w:pPr>
      <w:r w:rsidRPr="008C1637">
        <w:t>Insulin antibodies</w:t>
      </w:r>
    </w:p>
    <w:p w14:paraId="4805BA9D" w14:textId="77777777" w:rsidR="008C1637" w:rsidRPr="008C1637" w:rsidRDefault="008C1637" w:rsidP="008C1637">
      <w:pPr>
        <w:rPr>
          <w:bCs/>
        </w:rPr>
      </w:pPr>
      <w:r w:rsidRPr="008C1637">
        <w:t>Insulin administration may cause insulin antibodies to form. In rare cases, the presence of such insulin antibodies may necessitate adjustment of the insulin dose in order to correct a tendency to hyper- or hypoglycaemia.</w:t>
      </w:r>
    </w:p>
    <w:p w14:paraId="1ED4E850" w14:textId="77777777" w:rsidR="008C1637" w:rsidRPr="008C1637" w:rsidRDefault="008C1637" w:rsidP="008C1637">
      <w:pPr>
        <w:pStyle w:val="Heading4"/>
      </w:pPr>
      <w:r w:rsidRPr="008C1637">
        <w:t>Eye disorder</w:t>
      </w:r>
    </w:p>
    <w:p w14:paraId="68E0FF48" w14:textId="77777777" w:rsidR="008C1637" w:rsidRPr="008C1637" w:rsidRDefault="008C1637" w:rsidP="008C1637">
      <w:pPr>
        <w:rPr>
          <w:i/>
        </w:rPr>
      </w:pPr>
      <w:r w:rsidRPr="008C1637">
        <w:t>Intensification of insulin therapy with abrupt improvement in glycaemic control may be associated with temporary worsening of diabetic retinopathy, while long-term improved glycaemic control decreases the risk of progression of diabetic retinopathy.</w:t>
      </w:r>
    </w:p>
    <w:p w14:paraId="1AAE4C2B" w14:textId="77777777" w:rsidR="008C1637" w:rsidRPr="008C1637" w:rsidRDefault="008C1637" w:rsidP="008C1637">
      <w:pPr>
        <w:pStyle w:val="Heading4"/>
      </w:pPr>
      <w:r w:rsidRPr="008C1637">
        <w:t>Weight gain</w:t>
      </w:r>
    </w:p>
    <w:p w14:paraId="2BACCD63" w14:textId="77777777" w:rsidR="008C1637" w:rsidRPr="008C1637" w:rsidRDefault="008C1637" w:rsidP="008C1637">
      <w:r w:rsidRPr="008C1637">
        <w:t>Weight gain can occur with any insulin therapy, including RYZODEG 70/30, and has been attributed to the anabolic effects of insulin and the decrease in glycosuria.</w:t>
      </w:r>
    </w:p>
    <w:p w14:paraId="1F50188C" w14:textId="77777777" w:rsidR="008C1637" w:rsidRPr="008C1637" w:rsidRDefault="008C1637" w:rsidP="008C1637">
      <w:pPr>
        <w:pStyle w:val="Heading4"/>
      </w:pPr>
      <w:r w:rsidRPr="008C1637">
        <w:lastRenderedPageBreak/>
        <w:t>Administration</w:t>
      </w:r>
    </w:p>
    <w:p w14:paraId="5ECA7492" w14:textId="77777777" w:rsidR="008C1637" w:rsidRPr="008C1637" w:rsidRDefault="008C1637" w:rsidP="008C1637">
      <w:r w:rsidRPr="008C1637">
        <w:rPr>
          <w:bCs/>
          <w:iCs/>
        </w:rPr>
        <w:t>RYZODEG</w:t>
      </w:r>
      <w:r w:rsidRPr="008C1637">
        <w:t xml:space="preserve"> 70/30 is for subcutaneous administration only.</w:t>
      </w:r>
      <w:r w:rsidRPr="008C1637">
        <w:rPr>
          <w:bCs/>
          <w:iCs/>
        </w:rPr>
        <w:t xml:space="preserve"> RYZODEG</w:t>
      </w:r>
      <w:r w:rsidRPr="008C1637">
        <w:t xml:space="preserve"> 70/30 must not be administered intravenously as it may result in severe hypoglycaemia. </w:t>
      </w:r>
      <w:r w:rsidRPr="008C1637">
        <w:rPr>
          <w:bCs/>
          <w:iCs/>
        </w:rPr>
        <w:t>RYZODEG</w:t>
      </w:r>
      <w:r w:rsidRPr="008C1637">
        <w:t xml:space="preserve"> 70/30 must not be administered intramuscularly as it may change the absorption. </w:t>
      </w:r>
      <w:r w:rsidRPr="008C1637">
        <w:rPr>
          <w:bCs/>
          <w:iCs/>
        </w:rPr>
        <w:t>RYZODEG</w:t>
      </w:r>
      <w:r w:rsidRPr="008C1637">
        <w:t xml:space="preserve"> 70/30 must not be used in insulin infusion pumps.</w:t>
      </w:r>
    </w:p>
    <w:p w14:paraId="17E6EA58" w14:textId="77777777" w:rsidR="008C1637" w:rsidRPr="008C1637" w:rsidRDefault="008C1637" w:rsidP="008C1637">
      <w:pPr>
        <w:pStyle w:val="Heading4"/>
      </w:pPr>
      <w:r w:rsidRPr="008C1637">
        <w:t>Transfer of patients between insulin types</w:t>
      </w:r>
    </w:p>
    <w:p w14:paraId="10B8FBA0" w14:textId="77777777" w:rsidR="00D56FBE" w:rsidRDefault="008C1637" w:rsidP="00AD4BB0">
      <w:r w:rsidRPr="008C1637">
        <w:t>Transferring a patient to another type, brand or manufacturer of insulin must be done under medical supervision and may result in the need for a change in dosage.</w:t>
      </w:r>
    </w:p>
    <w:p w14:paraId="2399F1CF" w14:textId="524F214F" w:rsidR="00791929" w:rsidRPr="00791929" w:rsidRDefault="00791929" w:rsidP="00791929">
      <w:pPr>
        <w:pStyle w:val="Heading4"/>
      </w:pPr>
      <w:r>
        <w:t xml:space="preserve">Use in </w:t>
      </w:r>
      <w:r w:rsidRPr="00791929">
        <w:t>hepatic impairment</w:t>
      </w:r>
    </w:p>
    <w:p w14:paraId="63DE4D04" w14:textId="40BDBC99" w:rsidR="00791929" w:rsidRPr="00791929" w:rsidRDefault="00791929" w:rsidP="00791929">
      <w:r w:rsidRPr="00791929">
        <w:t>RYZODEG 70/30 can be used in hepatic impaired patients. As with all insulin products, glucose monitoring is to be intensified and the insulin dose adjusted on an individual basis.</w:t>
      </w:r>
    </w:p>
    <w:p w14:paraId="623D82D8" w14:textId="77777777" w:rsidR="00791929" w:rsidRDefault="00791929" w:rsidP="00791929">
      <w:pPr>
        <w:pStyle w:val="Heading4"/>
      </w:pPr>
      <w:r>
        <w:t>Use in renal impairment</w:t>
      </w:r>
    </w:p>
    <w:p w14:paraId="6CD183FD" w14:textId="15E9EF96" w:rsidR="00791929" w:rsidRDefault="00791929" w:rsidP="00791929">
      <w:r w:rsidRPr="00500653">
        <w:t>RYZODEG 70/30 can be used in renal impaired patients. As with all insulin products, glucose monitoring is to be intensified and the insulin dose adjusted on an individual basis.</w:t>
      </w:r>
    </w:p>
    <w:p w14:paraId="3CC173DA" w14:textId="77777777" w:rsidR="00D56FBE" w:rsidRDefault="00D56FBE" w:rsidP="00AD4BB0">
      <w:pPr>
        <w:pStyle w:val="Heading4"/>
      </w:pPr>
      <w:r>
        <w:t>Use in elderly</w:t>
      </w:r>
    </w:p>
    <w:p w14:paraId="64863E3F" w14:textId="77777777" w:rsidR="00D56FBE" w:rsidRDefault="00500653" w:rsidP="00AD4BB0">
      <w:r w:rsidRPr="00500653">
        <w:t xml:space="preserve">RYZODEG 70/30 can be used in elderly patients. As with all insulin products, glucose monitoring is to be intensified and the insulin dose adjusted on an individual basis. </w:t>
      </w:r>
    </w:p>
    <w:p w14:paraId="0D0EDEBE" w14:textId="77777777" w:rsidR="00D56FBE" w:rsidRDefault="00D56FBE" w:rsidP="00AD4BB0">
      <w:pPr>
        <w:pStyle w:val="Heading4"/>
      </w:pPr>
      <w:r>
        <w:t>Paediatric use</w:t>
      </w:r>
    </w:p>
    <w:p w14:paraId="0E83C910" w14:textId="49F91ECF" w:rsidR="00F17541" w:rsidRDefault="00500653" w:rsidP="00AD4BB0">
      <w:r w:rsidRPr="00500653">
        <w:t xml:space="preserve">Safety and efficacy of RYZODEG 70/30 in children </w:t>
      </w:r>
      <w:r w:rsidR="007E318F">
        <w:t>less than 2 years</w:t>
      </w:r>
      <w:r w:rsidRPr="00500653">
        <w:t xml:space="preserve"> have not been established. </w:t>
      </w:r>
    </w:p>
    <w:p w14:paraId="70C51A77" w14:textId="77777777" w:rsidR="00500653" w:rsidRPr="00500653" w:rsidRDefault="00500653" w:rsidP="00500653">
      <w:pPr>
        <w:pStyle w:val="Heading4"/>
      </w:pPr>
      <w:r w:rsidRPr="00500653">
        <w:t>Avoidance of accidental mix-ups</w:t>
      </w:r>
    </w:p>
    <w:p w14:paraId="54953526" w14:textId="77777777" w:rsidR="00500653" w:rsidRPr="00500653" w:rsidRDefault="00500653" w:rsidP="00500653">
      <w:r w:rsidRPr="00500653">
        <w:t>RYZODEG 70/30 has a unique PK/PD profile and cannot be automatically substituted for any other insulin. Patients must be instructed to always check the insulin label before each injection to avoid accidental mix-ups between RYZODEG 70/30 and other insulin products.</w:t>
      </w:r>
      <w:r w:rsidRPr="00500653">
        <w:br/>
      </w:r>
    </w:p>
    <w:p w14:paraId="7B24DEA0" w14:textId="77777777" w:rsidR="00500653" w:rsidRDefault="00500653" w:rsidP="00AD4BB0">
      <w:r w:rsidRPr="00500653">
        <w:t>Patients must visually verify the dialled units on the dose counter of the pen. Therefore, the requirement for patients to self-inject is that they can read the dose counter on the pen. Patients who are blind or have poor vision, must be instructed to always get help/assistance from another person who has good vision and is trained in using the insulin device.</w:t>
      </w:r>
    </w:p>
    <w:p w14:paraId="507D8893" w14:textId="1E9359D4" w:rsidR="00F17541" w:rsidRDefault="00AA1C28" w:rsidP="00AD4BB0">
      <w:pPr>
        <w:pStyle w:val="Heading4"/>
      </w:pPr>
      <w:r w:rsidRPr="00AA1C28">
        <w:t>Effects on laboratory tests</w:t>
      </w:r>
    </w:p>
    <w:p w14:paraId="7AED5155" w14:textId="77777777" w:rsidR="00F17541" w:rsidRDefault="00AA1C28" w:rsidP="00AD4BB0">
      <w:r>
        <w:t>No data available.</w:t>
      </w:r>
    </w:p>
    <w:p w14:paraId="7D56133A" w14:textId="77777777" w:rsidR="00F17541" w:rsidRDefault="00F17541" w:rsidP="00AD4BB0">
      <w:pPr>
        <w:pStyle w:val="Heading3"/>
      </w:pPr>
      <w:r>
        <w:t>4.5</w:t>
      </w:r>
      <w:r>
        <w:tab/>
        <w:t>Interaction with Other Medicines and Other Form</w:t>
      </w:r>
      <w:r w:rsidR="00500653">
        <w:t>s</w:t>
      </w:r>
      <w:r>
        <w:t xml:space="preserve"> of Interactions</w:t>
      </w:r>
    </w:p>
    <w:p w14:paraId="6A2C80E5" w14:textId="77777777" w:rsidR="00500653" w:rsidRPr="00500653" w:rsidRDefault="00500653" w:rsidP="00500653">
      <w:pPr>
        <w:rPr>
          <w:b/>
          <w:bCs/>
          <w:iCs/>
        </w:rPr>
      </w:pPr>
      <w:r w:rsidRPr="00500653">
        <w:t>A number of medicinal products are known to interact with glucose metabolism. Possible interactions must therefore be taken into account by the physician.</w:t>
      </w:r>
    </w:p>
    <w:p w14:paraId="4859AF87" w14:textId="77777777" w:rsidR="00500653" w:rsidRPr="00500653" w:rsidRDefault="00500653" w:rsidP="00500653"/>
    <w:p w14:paraId="33AF9BD2" w14:textId="77777777" w:rsidR="00500653" w:rsidRPr="00500653" w:rsidRDefault="00500653" w:rsidP="00500653">
      <w:r w:rsidRPr="00500653">
        <w:t>The following substances may reduce the patient’s insulin requirement:</w:t>
      </w:r>
    </w:p>
    <w:p w14:paraId="72F98F98" w14:textId="77777777" w:rsidR="00500653" w:rsidRPr="00500653" w:rsidRDefault="00500653" w:rsidP="00500653">
      <w:r w:rsidRPr="00500653">
        <w:t>Oral antidiabetic drugs (OADs), GLP-1 receptor agonists, monoamine oxidase inhibitors (MAOIs), non-selective beta-adrenergic blocking agents, angiotensin converting enzyme (ACE) inhibitors, salicylates, anabolic steroids (except danazol and oxymetholone), alpha-adrenergic blocking agents, quinine, quinidine and sulphonamides.</w:t>
      </w:r>
    </w:p>
    <w:p w14:paraId="6B069EEC" w14:textId="77777777" w:rsidR="00500653" w:rsidRPr="00500653" w:rsidRDefault="00500653" w:rsidP="00500653"/>
    <w:p w14:paraId="780BA25E" w14:textId="77777777" w:rsidR="00500653" w:rsidRPr="00500653" w:rsidRDefault="00500653" w:rsidP="00500653">
      <w:r w:rsidRPr="00500653">
        <w:t>The following substances may increase the patient’s insulin requirement:</w:t>
      </w:r>
    </w:p>
    <w:p w14:paraId="7160D9DF" w14:textId="77777777" w:rsidR="00500653" w:rsidRPr="00500653" w:rsidRDefault="00500653" w:rsidP="00500653">
      <w:r w:rsidRPr="00500653">
        <w:lastRenderedPageBreak/>
        <w:t>Oral contraceptives, thiazides, glucocorticoids, thyroid hormones, sympathomimetics, growth hormone, diazoxide, asparaginase, nicotinic acid, oxymetholone and danazol.</w:t>
      </w:r>
    </w:p>
    <w:p w14:paraId="2B93253E" w14:textId="77777777" w:rsidR="00F17541" w:rsidRDefault="00F17541" w:rsidP="00AD4BB0"/>
    <w:p w14:paraId="47087E49" w14:textId="77777777" w:rsidR="00500653" w:rsidRPr="00500653" w:rsidRDefault="00500653" w:rsidP="00500653">
      <w:r w:rsidRPr="00500653">
        <w:t>Beta-blocking agents may mask the symptoms of hypoglycaemia and delay recovery from hypoglycaemia.</w:t>
      </w:r>
    </w:p>
    <w:p w14:paraId="06831593" w14:textId="77777777" w:rsidR="00500653" w:rsidRPr="00500653" w:rsidRDefault="00500653" w:rsidP="00500653">
      <w:r w:rsidRPr="00500653">
        <w:t>Octreotide and lanreotide may either increase or decrease the insulin requirement.</w:t>
      </w:r>
    </w:p>
    <w:p w14:paraId="6DDF4FF6" w14:textId="77777777" w:rsidR="00500653" w:rsidRPr="00500653" w:rsidRDefault="00500653" w:rsidP="00500653"/>
    <w:p w14:paraId="2B0B8CF9" w14:textId="77777777" w:rsidR="00500653" w:rsidRPr="00500653" w:rsidRDefault="00500653" w:rsidP="00500653">
      <w:r w:rsidRPr="00500653">
        <w:t>Alcohol may intensify and prolong, or reduce the hypoglycaemic effect of insulin.</w:t>
      </w:r>
    </w:p>
    <w:p w14:paraId="752C08FE" w14:textId="77777777" w:rsidR="00500653" w:rsidRPr="00500653" w:rsidRDefault="00500653" w:rsidP="00500653">
      <w:pPr>
        <w:pStyle w:val="Heading4"/>
      </w:pPr>
      <w:r w:rsidRPr="00500653">
        <w:t>Combination of thiazolidinediones and insulin</w:t>
      </w:r>
    </w:p>
    <w:p w14:paraId="3561DEA0" w14:textId="77777777" w:rsidR="00500653" w:rsidRPr="00500653" w:rsidRDefault="00500653" w:rsidP="00500653">
      <w:r w:rsidRPr="00500653">
        <w:t>Cases of cardiac failure have been reported when thiazolidinediones were used in combination with insulin, especially in patients with risk factors for development of cardiac failure. This should be kept in mind if treatment with the combination of thiazolidinediones and RYZODEG 70/30 is considered. If the combination is used, patients should be observed for signs and symptoms of heart failure, weight gain and oedema. Thiazolidinediones should be discontinued if any deterioration in cardiac function occurs.</w:t>
      </w:r>
    </w:p>
    <w:p w14:paraId="06A67EC3" w14:textId="77777777" w:rsidR="00500653" w:rsidRPr="00500653" w:rsidRDefault="00500653" w:rsidP="00500653">
      <w:pPr>
        <w:pStyle w:val="Heading4"/>
      </w:pPr>
      <w:r w:rsidRPr="00500653">
        <w:t xml:space="preserve">Incompatibilities </w:t>
      </w:r>
    </w:p>
    <w:p w14:paraId="3C59C220" w14:textId="77777777" w:rsidR="00500653" w:rsidRPr="00500653" w:rsidRDefault="00500653" w:rsidP="00500653">
      <w:r w:rsidRPr="00500653">
        <w:t>Substances added to RYZODEG 70/30 may cause degradation of insulin degludec and/or insulin aspart. RYZODEG 70/30 must not be added to infusion fluids. RYZODEG 70/30 must not be mixed with other medicinal products insulin products or solutions.</w:t>
      </w:r>
    </w:p>
    <w:p w14:paraId="745FA266" w14:textId="77777777" w:rsidR="00F17541" w:rsidRDefault="00F17541" w:rsidP="00AD4BB0">
      <w:pPr>
        <w:pStyle w:val="Heading3"/>
      </w:pPr>
      <w:r>
        <w:t>4.6</w:t>
      </w:r>
      <w:r>
        <w:tab/>
        <w:t>Fertility, Pregnancy and Lactation</w:t>
      </w:r>
    </w:p>
    <w:p w14:paraId="13E619F8" w14:textId="77777777" w:rsidR="00F17541" w:rsidRDefault="00F17541" w:rsidP="00AD4BB0">
      <w:pPr>
        <w:pStyle w:val="Heading4"/>
      </w:pPr>
      <w:r>
        <w:t>Effects on fertility</w:t>
      </w:r>
    </w:p>
    <w:p w14:paraId="7D7EFCC2" w14:textId="77777777" w:rsidR="00500653" w:rsidRPr="00500653" w:rsidRDefault="00500653" w:rsidP="00500653">
      <w:r w:rsidRPr="00500653">
        <w:t xml:space="preserve">Animal reproduction studies with insulin degludec have not revealed any adverse effects on fertility. </w:t>
      </w:r>
    </w:p>
    <w:p w14:paraId="0BB38B20" w14:textId="77777777" w:rsidR="00500653" w:rsidRPr="00500653" w:rsidRDefault="00500653" w:rsidP="00500653"/>
    <w:p w14:paraId="01ED0CCA" w14:textId="77777777" w:rsidR="00500653" w:rsidRPr="00500653" w:rsidRDefault="00500653" w:rsidP="00500653">
      <w:r w:rsidRPr="00500653">
        <w:t>In a combined fertility and embryofetal study in male and female rats, treatment with subcutaneous doses of insulin degludec up to 21 U/kg/day (yielding 5-6 times the AUC in humans at a clinical dose of 0.8 U/kg/day) prior to mating and in female rats during gestation had no effect on mating performance or fertility.</w:t>
      </w:r>
    </w:p>
    <w:p w14:paraId="7E1063C4" w14:textId="77777777" w:rsidR="00500653" w:rsidRPr="00500653" w:rsidRDefault="00500653" w:rsidP="00500653"/>
    <w:p w14:paraId="55D053DC" w14:textId="77777777" w:rsidR="00F17541" w:rsidRDefault="00500653" w:rsidP="00AD4BB0">
      <w:r w:rsidRPr="00500653">
        <w:t>In reproductive toxicity studies, insulin aspart did not affect the fertility of male and female rats but caused a slight increase in pre-implantation loss at subcutaneous doses greater than 10 U/kg/day. Similar effects were seen with human insulin.</w:t>
      </w:r>
    </w:p>
    <w:p w14:paraId="342E00DB" w14:textId="77777777" w:rsidR="00F17541" w:rsidRDefault="00F17541" w:rsidP="00AD4BB0">
      <w:pPr>
        <w:pStyle w:val="Heading4"/>
      </w:pPr>
      <w:r>
        <w:t>Use in pregnancy</w:t>
      </w:r>
    </w:p>
    <w:p w14:paraId="63E3948B" w14:textId="77777777" w:rsidR="00500653" w:rsidRPr="00500653" w:rsidRDefault="00500653" w:rsidP="00500653">
      <w:pPr>
        <w:rPr>
          <w:b/>
          <w:i/>
        </w:rPr>
      </w:pPr>
      <w:r w:rsidRPr="00500653">
        <w:t>Pregnancy Category: B3</w:t>
      </w:r>
    </w:p>
    <w:p w14:paraId="2CC6812C" w14:textId="77777777" w:rsidR="00500653" w:rsidRPr="00500653" w:rsidRDefault="00500653" w:rsidP="00500653">
      <w:r w:rsidRPr="00500653">
        <w:t>There is no clinical experience with RYZODEG 70/30 in pregnant women.</w:t>
      </w:r>
    </w:p>
    <w:p w14:paraId="5656454E" w14:textId="77777777" w:rsidR="00500653" w:rsidRPr="00500653" w:rsidRDefault="00500653" w:rsidP="00500653"/>
    <w:p w14:paraId="46ADB6C0" w14:textId="77777777" w:rsidR="00500653" w:rsidRPr="00500653" w:rsidRDefault="00500653" w:rsidP="00500653">
      <w:r w:rsidRPr="00500653">
        <w:t>In rats, decreased fetal weight was observed following treatment with insulin degludec and insulin aspart in combination at a subcutaneous dose of 30 U/kg/day (resulting in 8 and 24 times the AUC in humans for the respective insulins at a dose of 1.08 U/kg RYZODEG 70/30). In addition, an increase in fetal skeletal abnormalities was found in a rat embryofetal study conducted with insulin degludec alone. In both cases, similar effects were seen with human insulin, and are probably secondary to maternal hypoglycaemia.</w:t>
      </w:r>
    </w:p>
    <w:p w14:paraId="1148AF6E" w14:textId="77777777" w:rsidR="00500653" w:rsidRPr="00500653" w:rsidRDefault="00500653" w:rsidP="00500653"/>
    <w:p w14:paraId="2C7ED3F9" w14:textId="77777777" w:rsidR="00500653" w:rsidRPr="00500653" w:rsidRDefault="00500653" w:rsidP="00500653">
      <w:r w:rsidRPr="00500653">
        <w:lastRenderedPageBreak/>
        <w:t xml:space="preserve">Animal reproduction studies have not revealed any differences between insulin degludec and human insulin regarding embryotoxicity and teratogenicity. </w:t>
      </w:r>
    </w:p>
    <w:p w14:paraId="1896B61A" w14:textId="77777777" w:rsidR="00500653" w:rsidRPr="00500653" w:rsidRDefault="00500653" w:rsidP="00500653"/>
    <w:p w14:paraId="68D4B139" w14:textId="77777777" w:rsidR="00F17541" w:rsidRDefault="00500653" w:rsidP="00AD4BB0">
      <w:r w:rsidRPr="00500653">
        <w:t>In general, intensified blood glucose control and monitoring of pregnant women with diabetes mellitus are recommended throughout pregnancy and when contemplating pregnancy. Insulin requirements usually decrease in the first trimester and increase subsequently during the second and third trimester. After delivery, insulin requirements usually return rapidly to pre-pregnancy values.</w:t>
      </w:r>
    </w:p>
    <w:p w14:paraId="429FD73C" w14:textId="77777777" w:rsidR="00F17541" w:rsidRDefault="00F17541" w:rsidP="00AD4BB0">
      <w:pPr>
        <w:pStyle w:val="Heading4"/>
      </w:pPr>
      <w:r>
        <w:t>Use in lactation</w:t>
      </w:r>
    </w:p>
    <w:p w14:paraId="0910F87C" w14:textId="77777777" w:rsidR="00F17541" w:rsidRDefault="00500653" w:rsidP="00AD4BB0">
      <w:r w:rsidRPr="00500653">
        <w:t>There is no clinical experience with RYZODEG 70/30 during breast-feeding. In rats, insulin degludec and its metabolites were secreted in milk; the peak concentration of insulin degludec in milk was less than half of that in plasma. It is unknown whether RYZODEG 70/30 is excreted in human milk. No metabolic effects of RYZODEG 70/30 are anticipated in the breast-fed newborn/infant.</w:t>
      </w:r>
      <w:r w:rsidRPr="00500653" w:rsidDel="004834CF">
        <w:t xml:space="preserve"> </w:t>
      </w:r>
    </w:p>
    <w:p w14:paraId="6B195ECC" w14:textId="77777777" w:rsidR="00F17541" w:rsidRDefault="00F17541" w:rsidP="00AD4BB0">
      <w:pPr>
        <w:pStyle w:val="Heading3"/>
      </w:pPr>
      <w:r>
        <w:t>4.7</w:t>
      </w:r>
      <w:r>
        <w:tab/>
        <w:t>Effects on Ability to Drive and Use Machines</w:t>
      </w:r>
    </w:p>
    <w:p w14:paraId="4756A953" w14:textId="751FD43F" w:rsidR="00F17541" w:rsidRPr="007F1A03" w:rsidRDefault="00A4379A" w:rsidP="00A4379A">
      <w:r w:rsidRPr="007F1A03">
        <w:t>The patient’s ability to concentrate and react may be impaired as a result of hypoglycaemia. This may constitute a risk in situations where these abilities are of special importance (e.g., driving a car or using machines). Patients must be advised to take precautions to avoid hypoglycaemia while driving. This is particularly important in those who have reduced or absent awareness of the warning signs of hypoglycaemia or have frequent episodes of hypoglycaemia. The advisability of driving should be considered in these circumstances.</w:t>
      </w:r>
    </w:p>
    <w:p w14:paraId="62AAC0AC" w14:textId="6599FFA7" w:rsidR="00F17541" w:rsidRPr="007F1A03" w:rsidRDefault="00F17541" w:rsidP="00AD4BB0">
      <w:pPr>
        <w:pStyle w:val="Heading3"/>
      </w:pPr>
      <w:r w:rsidRPr="007F1A03">
        <w:t>4.8</w:t>
      </w:r>
      <w:r w:rsidRPr="007F1A03">
        <w:tab/>
        <w:t>Adverse Effects</w:t>
      </w:r>
      <w:r w:rsidR="00A4379A" w:rsidRPr="007F1A03">
        <w:t xml:space="preserve"> (Undesirable Effects)</w:t>
      </w:r>
    </w:p>
    <w:p w14:paraId="4BAE796D" w14:textId="255F3848" w:rsidR="0032378C" w:rsidRPr="0032378C" w:rsidRDefault="0032378C" w:rsidP="0032378C">
      <w:pPr>
        <w:pStyle w:val="Heading4"/>
      </w:pPr>
      <w:r w:rsidRPr="007F1A03">
        <w:t>Summary of the safety profile</w:t>
      </w:r>
    </w:p>
    <w:p w14:paraId="7F75167F" w14:textId="77777777" w:rsidR="0032378C" w:rsidRDefault="0032378C" w:rsidP="0032378C">
      <w:r w:rsidRPr="0032378C">
        <w:t xml:space="preserve">More than 2000 subjects have been exposed to RYZODEG 70/30 in the clinical development programme. </w:t>
      </w:r>
    </w:p>
    <w:p w14:paraId="49ED066A" w14:textId="77777777" w:rsidR="0032378C" w:rsidRPr="0032378C" w:rsidRDefault="0032378C" w:rsidP="0032378C"/>
    <w:p w14:paraId="251BE926" w14:textId="77777777" w:rsidR="0032378C" w:rsidRPr="0032378C" w:rsidRDefault="0032378C" w:rsidP="0032378C">
      <w:r w:rsidRPr="0032378C">
        <w:t>Hypoglycaemia is the most commonly observed adverse reaction in patients using insulin, including RYZODEG 70/30.</w:t>
      </w:r>
    </w:p>
    <w:p w14:paraId="3ACC2C13" w14:textId="50FEE79D" w:rsidR="00FF66B9" w:rsidRPr="00FF66B9" w:rsidRDefault="00FF66B9" w:rsidP="00FF66B9">
      <w:pPr>
        <w:pStyle w:val="Heading4"/>
      </w:pPr>
      <w:r w:rsidRPr="00FF66B9">
        <w:t xml:space="preserve">Tabulated list of adverse events and adverse reactions </w:t>
      </w:r>
    </w:p>
    <w:p w14:paraId="45C3A381" w14:textId="5E085A7C" w:rsidR="0032378C" w:rsidRDefault="00FF66B9" w:rsidP="00FF66B9">
      <w:pPr>
        <w:rPr>
          <w:b/>
        </w:rPr>
      </w:pPr>
      <w:r w:rsidRPr="00FF66B9">
        <w:rPr>
          <w:b/>
        </w:rPr>
        <w:t xml:space="preserve">Table </w:t>
      </w:r>
      <w:r w:rsidRPr="00FF66B9">
        <w:rPr>
          <w:b/>
        </w:rPr>
        <w:fldChar w:fldCharType="begin"/>
      </w:r>
      <w:r w:rsidRPr="00FF66B9">
        <w:rPr>
          <w:b/>
        </w:rPr>
        <w:instrText xml:space="preserve"> SEQ Table \* ARABIC </w:instrText>
      </w:r>
      <w:r w:rsidRPr="00FF66B9">
        <w:rPr>
          <w:b/>
        </w:rPr>
        <w:fldChar w:fldCharType="separate"/>
      </w:r>
      <w:r w:rsidR="00A34057">
        <w:rPr>
          <w:b/>
          <w:noProof/>
        </w:rPr>
        <w:t>1</w:t>
      </w:r>
      <w:r w:rsidRPr="00FF66B9">
        <w:rPr>
          <w:b/>
          <w:lang w:val="en-GB"/>
        </w:rPr>
        <w:fldChar w:fldCharType="end"/>
      </w:r>
      <w:r w:rsidRPr="00FF66B9">
        <w:rPr>
          <w:b/>
        </w:rPr>
        <w:t>: Treatment-emergent adverse events (excluding hypoglycaemia) in patients with type 1 diabetes mellitus in trial 3594 (adverse events with frequency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3014"/>
        <w:gridCol w:w="2961"/>
      </w:tblGrid>
      <w:tr w:rsidR="00FF66B9" w:rsidRPr="00FF66B9" w14:paraId="0FC331EA" w14:textId="77777777" w:rsidTr="007E05EA">
        <w:tc>
          <w:tcPr>
            <w:tcW w:w="3192" w:type="dxa"/>
            <w:shd w:val="clear" w:color="auto" w:fill="auto"/>
          </w:tcPr>
          <w:p w14:paraId="7D645417" w14:textId="77777777" w:rsidR="00FF66B9" w:rsidRPr="00FF66B9" w:rsidRDefault="00FF66B9" w:rsidP="00FF66B9">
            <w:pPr>
              <w:rPr>
                <w:b/>
                <w:sz w:val="20"/>
                <w:szCs w:val="20"/>
              </w:rPr>
            </w:pPr>
            <w:r w:rsidRPr="00FF66B9">
              <w:rPr>
                <w:b/>
                <w:sz w:val="20"/>
                <w:szCs w:val="20"/>
              </w:rPr>
              <w:t>Adverse Event Term</w:t>
            </w:r>
          </w:p>
        </w:tc>
        <w:tc>
          <w:tcPr>
            <w:tcW w:w="3192" w:type="dxa"/>
            <w:shd w:val="clear" w:color="auto" w:fill="auto"/>
          </w:tcPr>
          <w:p w14:paraId="0CFAFA75" w14:textId="77777777" w:rsidR="00FF66B9" w:rsidRPr="00FF66B9" w:rsidRDefault="00FF66B9" w:rsidP="00FF66B9">
            <w:pPr>
              <w:rPr>
                <w:b/>
                <w:sz w:val="20"/>
                <w:szCs w:val="20"/>
              </w:rPr>
            </w:pPr>
            <w:r w:rsidRPr="00FF66B9">
              <w:rPr>
                <w:b/>
                <w:sz w:val="20"/>
                <w:szCs w:val="20"/>
              </w:rPr>
              <w:t>RYZODEG 70/30, %</w:t>
            </w:r>
          </w:p>
          <w:p w14:paraId="136716F9" w14:textId="77777777" w:rsidR="00FF66B9" w:rsidRPr="00FF66B9" w:rsidRDefault="00FF66B9" w:rsidP="00FF66B9">
            <w:pPr>
              <w:rPr>
                <w:b/>
                <w:sz w:val="20"/>
                <w:szCs w:val="20"/>
              </w:rPr>
            </w:pPr>
            <w:r w:rsidRPr="00FF66B9">
              <w:rPr>
                <w:b/>
                <w:sz w:val="20"/>
                <w:szCs w:val="20"/>
              </w:rPr>
              <w:t>(n = 362)</w:t>
            </w:r>
          </w:p>
        </w:tc>
        <w:tc>
          <w:tcPr>
            <w:tcW w:w="3192" w:type="dxa"/>
            <w:shd w:val="clear" w:color="auto" w:fill="auto"/>
          </w:tcPr>
          <w:p w14:paraId="74E91855" w14:textId="77777777" w:rsidR="00FF66B9" w:rsidRPr="00FF66B9" w:rsidRDefault="00FF66B9" w:rsidP="00FF66B9">
            <w:pPr>
              <w:rPr>
                <w:b/>
                <w:sz w:val="20"/>
                <w:szCs w:val="20"/>
              </w:rPr>
            </w:pPr>
            <w:proofErr w:type="spellStart"/>
            <w:r w:rsidRPr="00FF66B9">
              <w:rPr>
                <w:b/>
                <w:sz w:val="20"/>
                <w:szCs w:val="20"/>
              </w:rPr>
              <w:t>IDet</w:t>
            </w:r>
            <w:proofErr w:type="spellEnd"/>
            <w:r w:rsidRPr="00FF66B9">
              <w:rPr>
                <w:b/>
                <w:sz w:val="20"/>
                <w:szCs w:val="20"/>
              </w:rPr>
              <w:t>, %</w:t>
            </w:r>
          </w:p>
          <w:p w14:paraId="2D5778D4" w14:textId="77777777" w:rsidR="00FF66B9" w:rsidRPr="00FF66B9" w:rsidRDefault="00FF66B9" w:rsidP="00FF66B9">
            <w:pPr>
              <w:rPr>
                <w:b/>
                <w:sz w:val="20"/>
                <w:szCs w:val="20"/>
              </w:rPr>
            </w:pPr>
            <w:r w:rsidRPr="00FF66B9">
              <w:rPr>
                <w:b/>
                <w:sz w:val="20"/>
                <w:szCs w:val="20"/>
              </w:rPr>
              <w:t>(n = 180)</w:t>
            </w:r>
          </w:p>
        </w:tc>
      </w:tr>
      <w:tr w:rsidR="00FF66B9" w:rsidRPr="00FF66B9" w14:paraId="252EAE24" w14:textId="77777777" w:rsidTr="007E05EA">
        <w:tc>
          <w:tcPr>
            <w:tcW w:w="3192" w:type="dxa"/>
            <w:shd w:val="clear" w:color="auto" w:fill="auto"/>
          </w:tcPr>
          <w:p w14:paraId="4E5E89C4" w14:textId="77777777" w:rsidR="00FF66B9" w:rsidRPr="00FF66B9" w:rsidRDefault="00FF66B9" w:rsidP="00FF66B9">
            <w:pPr>
              <w:rPr>
                <w:sz w:val="20"/>
                <w:szCs w:val="20"/>
              </w:rPr>
            </w:pPr>
            <w:r w:rsidRPr="00FF66B9">
              <w:rPr>
                <w:sz w:val="20"/>
                <w:szCs w:val="20"/>
              </w:rPr>
              <w:t>Nasopharyngitis</w:t>
            </w:r>
          </w:p>
        </w:tc>
        <w:tc>
          <w:tcPr>
            <w:tcW w:w="3192" w:type="dxa"/>
            <w:shd w:val="clear" w:color="auto" w:fill="auto"/>
          </w:tcPr>
          <w:p w14:paraId="1BD8010B" w14:textId="77777777" w:rsidR="00FF66B9" w:rsidRPr="00FF66B9" w:rsidRDefault="00FF66B9" w:rsidP="00FF66B9">
            <w:pPr>
              <w:rPr>
                <w:sz w:val="20"/>
                <w:szCs w:val="20"/>
              </w:rPr>
            </w:pPr>
            <w:r w:rsidRPr="00FF66B9">
              <w:rPr>
                <w:sz w:val="20"/>
                <w:szCs w:val="20"/>
              </w:rPr>
              <w:t>21.5</w:t>
            </w:r>
          </w:p>
        </w:tc>
        <w:tc>
          <w:tcPr>
            <w:tcW w:w="3192" w:type="dxa"/>
            <w:shd w:val="clear" w:color="auto" w:fill="auto"/>
          </w:tcPr>
          <w:p w14:paraId="48ACB87F" w14:textId="77777777" w:rsidR="00FF66B9" w:rsidRPr="00FF66B9" w:rsidRDefault="00FF66B9" w:rsidP="00FF66B9">
            <w:pPr>
              <w:rPr>
                <w:sz w:val="20"/>
                <w:szCs w:val="20"/>
              </w:rPr>
            </w:pPr>
            <w:r w:rsidRPr="00FF66B9">
              <w:rPr>
                <w:sz w:val="20"/>
                <w:szCs w:val="20"/>
              </w:rPr>
              <w:t>17.8</w:t>
            </w:r>
          </w:p>
        </w:tc>
      </w:tr>
      <w:tr w:rsidR="00FF66B9" w:rsidRPr="00FF66B9" w14:paraId="5D48CD7F" w14:textId="77777777" w:rsidTr="007E05EA">
        <w:tc>
          <w:tcPr>
            <w:tcW w:w="3192" w:type="dxa"/>
            <w:shd w:val="clear" w:color="auto" w:fill="auto"/>
          </w:tcPr>
          <w:p w14:paraId="0ADB51EE" w14:textId="77777777" w:rsidR="00FF66B9" w:rsidRPr="00FF66B9" w:rsidRDefault="00FF66B9" w:rsidP="00FF66B9">
            <w:pPr>
              <w:rPr>
                <w:sz w:val="20"/>
                <w:szCs w:val="20"/>
              </w:rPr>
            </w:pPr>
            <w:r w:rsidRPr="00FF66B9">
              <w:rPr>
                <w:sz w:val="20"/>
                <w:szCs w:val="20"/>
              </w:rPr>
              <w:t>Headache</w:t>
            </w:r>
          </w:p>
        </w:tc>
        <w:tc>
          <w:tcPr>
            <w:tcW w:w="3192" w:type="dxa"/>
            <w:shd w:val="clear" w:color="auto" w:fill="auto"/>
          </w:tcPr>
          <w:p w14:paraId="1AE2C971" w14:textId="77777777" w:rsidR="00FF66B9" w:rsidRPr="00FF66B9" w:rsidRDefault="00FF66B9" w:rsidP="00FF66B9">
            <w:pPr>
              <w:rPr>
                <w:sz w:val="20"/>
                <w:szCs w:val="20"/>
              </w:rPr>
            </w:pPr>
            <w:r w:rsidRPr="00FF66B9">
              <w:rPr>
                <w:sz w:val="20"/>
                <w:szCs w:val="20"/>
              </w:rPr>
              <w:t>7.5</w:t>
            </w:r>
          </w:p>
        </w:tc>
        <w:tc>
          <w:tcPr>
            <w:tcW w:w="3192" w:type="dxa"/>
            <w:shd w:val="clear" w:color="auto" w:fill="auto"/>
          </w:tcPr>
          <w:p w14:paraId="0956AD73" w14:textId="77777777" w:rsidR="00FF66B9" w:rsidRPr="00FF66B9" w:rsidRDefault="00FF66B9" w:rsidP="00FF66B9">
            <w:pPr>
              <w:rPr>
                <w:sz w:val="20"/>
                <w:szCs w:val="20"/>
              </w:rPr>
            </w:pPr>
            <w:r w:rsidRPr="00FF66B9">
              <w:rPr>
                <w:sz w:val="20"/>
                <w:szCs w:val="20"/>
              </w:rPr>
              <w:t>8.3</w:t>
            </w:r>
          </w:p>
        </w:tc>
      </w:tr>
      <w:tr w:rsidR="00FF66B9" w:rsidRPr="00FF66B9" w14:paraId="15F160A2" w14:textId="77777777" w:rsidTr="007E05EA">
        <w:tc>
          <w:tcPr>
            <w:tcW w:w="3192" w:type="dxa"/>
            <w:shd w:val="clear" w:color="auto" w:fill="auto"/>
          </w:tcPr>
          <w:p w14:paraId="4D006E3B" w14:textId="77777777" w:rsidR="00FF66B9" w:rsidRPr="00FF66B9" w:rsidRDefault="00FF66B9" w:rsidP="00FF66B9">
            <w:pPr>
              <w:rPr>
                <w:sz w:val="20"/>
                <w:szCs w:val="20"/>
              </w:rPr>
            </w:pPr>
            <w:r w:rsidRPr="00FF66B9">
              <w:rPr>
                <w:sz w:val="20"/>
                <w:szCs w:val="20"/>
              </w:rPr>
              <w:t>Upper respiratory</w:t>
            </w:r>
          </w:p>
          <w:p w14:paraId="2491B942" w14:textId="77777777" w:rsidR="00FF66B9" w:rsidRPr="00FF66B9" w:rsidRDefault="00FF66B9" w:rsidP="00FF66B9">
            <w:pPr>
              <w:rPr>
                <w:sz w:val="20"/>
                <w:szCs w:val="20"/>
              </w:rPr>
            </w:pPr>
            <w:r w:rsidRPr="00FF66B9">
              <w:rPr>
                <w:sz w:val="20"/>
                <w:szCs w:val="20"/>
              </w:rPr>
              <w:t>tract infection</w:t>
            </w:r>
          </w:p>
        </w:tc>
        <w:tc>
          <w:tcPr>
            <w:tcW w:w="3192" w:type="dxa"/>
            <w:shd w:val="clear" w:color="auto" w:fill="auto"/>
          </w:tcPr>
          <w:p w14:paraId="057CDB11" w14:textId="77777777" w:rsidR="00FF66B9" w:rsidRPr="00FF66B9" w:rsidRDefault="00FF66B9" w:rsidP="00FF66B9">
            <w:pPr>
              <w:rPr>
                <w:sz w:val="20"/>
                <w:szCs w:val="20"/>
              </w:rPr>
            </w:pPr>
            <w:r w:rsidRPr="00FF66B9">
              <w:rPr>
                <w:sz w:val="20"/>
                <w:szCs w:val="20"/>
              </w:rPr>
              <w:t>6.6</w:t>
            </w:r>
          </w:p>
        </w:tc>
        <w:tc>
          <w:tcPr>
            <w:tcW w:w="3192" w:type="dxa"/>
            <w:shd w:val="clear" w:color="auto" w:fill="auto"/>
          </w:tcPr>
          <w:p w14:paraId="21ECD699" w14:textId="77777777" w:rsidR="00FF66B9" w:rsidRPr="00FF66B9" w:rsidRDefault="00FF66B9" w:rsidP="00FF66B9">
            <w:pPr>
              <w:rPr>
                <w:sz w:val="20"/>
                <w:szCs w:val="20"/>
              </w:rPr>
            </w:pPr>
            <w:r w:rsidRPr="00FF66B9">
              <w:rPr>
                <w:sz w:val="20"/>
                <w:szCs w:val="20"/>
              </w:rPr>
              <w:t>8.9</w:t>
            </w:r>
          </w:p>
        </w:tc>
      </w:tr>
      <w:tr w:rsidR="00FF66B9" w:rsidRPr="00FF66B9" w14:paraId="04339DB2" w14:textId="77777777" w:rsidTr="007E05EA">
        <w:tc>
          <w:tcPr>
            <w:tcW w:w="3192" w:type="dxa"/>
            <w:shd w:val="clear" w:color="auto" w:fill="auto"/>
          </w:tcPr>
          <w:p w14:paraId="6814F167" w14:textId="77777777" w:rsidR="00FF66B9" w:rsidRPr="00FF66B9" w:rsidRDefault="00FF66B9" w:rsidP="00FF66B9">
            <w:pPr>
              <w:rPr>
                <w:sz w:val="20"/>
                <w:szCs w:val="20"/>
              </w:rPr>
            </w:pPr>
            <w:r w:rsidRPr="00FF66B9">
              <w:rPr>
                <w:sz w:val="20"/>
                <w:szCs w:val="20"/>
              </w:rPr>
              <w:t>Diarrhoea</w:t>
            </w:r>
          </w:p>
        </w:tc>
        <w:tc>
          <w:tcPr>
            <w:tcW w:w="3192" w:type="dxa"/>
            <w:shd w:val="clear" w:color="auto" w:fill="auto"/>
          </w:tcPr>
          <w:p w14:paraId="067DF25C" w14:textId="77777777" w:rsidR="00FF66B9" w:rsidRPr="00FF66B9" w:rsidRDefault="00FF66B9" w:rsidP="00FF66B9">
            <w:pPr>
              <w:rPr>
                <w:sz w:val="20"/>
                <w:szCs w:val="20"/>
              </w:rPr>
            </w:pPr>
            <w:r w:rsidRPr="00FF66B9">
              <w:rPr>
                <w:sz w:val="20"/>
                <w:szCs w:val="20"/>
              </w:rPr>
              <w:t>2.8</w:t>
            </w:r>
          </w:p>
        </w:tc>
        <w:tc>
          <w:tcPr>
            <w:tcW w:w="3192" w:type="dxa"/>
            <w:shd w:val="clear" w:color="auto" w:fill="auto"/>
          </w:tcPr>
          <w:p w14:paraId="28C76327" w14:textId="77777777" w:rsidR="00FF66B9" w:rsidRPr="00FF66B9" w:rsidRDefault="00FF66B9" w:rsidP="00FF66B9">
            <w:pPr>
              <w:rPr>
                <w:sz w:val="20"/>
                <w:szCs w:val="20"/>
              </w:rPr>
            </w:pPr>
            <w:r w:rsidRPr="00FF66B9">
              <w:rPr>
                <w:sz w:val="20"/>
                <w:szCs w:val="20"/>
              </w:rPr>
              <w:t>5.0</w:t>
            </w:r>
          </w:p>
        </w:tc>
      </w:tr>
    </w:tbl>
    <w:p w14:paraId="4B3576ED" w14:textId="77777777" w:rsidR="00FF66B9" w:rsidRDefault="00FF66B9" w:rsidP="00FF66B9">
      <w:pPr>
        <w:rPr>
          <w:lang w:val="en-GB"/>
        </w:rPr>
      </w:pPr>
    </w:p>
    <w:p w14:paraId="5D2043F4" w14:textId="018428D5" w:rsidR="00FF66B9" w:rsidRPr="00FF66B9" w:rsidRDefault="00FF66B9" w:rsidP="00D11AB9">
      <w:pPr>
        <w:pageBreakBefore/>
        <w:rPr>
          <w:b/>
        </w:rPr>
      </w:pPr>
      <w:r w:rsidRPr="00FF66B9">
        <w:rPr>
          <w:b/>
        </w:rPr>
        <w:lastRenderedPageBreak/>
        <w:t xml:space="preserve">Table </w:t>
      </w:r>
      <w:r w:rsidRPr="00FF66B9">
        <w:rPr>
          <w:b/>
        </w:rPr>
        <w:fldChar w:fldCharType="begin"/>
      </w:r>
      <w:r w:rsidRPr="00FF66B9">
        <w:rPr>
          <w:b/>
        </w:rPr>
        <w:instrText xml:space="preserve"> SEQ Table \* ARABIC </w:instrText>
      </w:r>
      <w:r w:rsidRPr="00FF66B9">
        <w:rPr>
          <w:b/>
        </w:rPr>
        <w:fldChar w:fldCharType="separate"/>
      </w:r>
      <w:r w:rsidR="00A34057">
        <w:rPr>
          <w:b/>
          <w:noProof/>
        </w:rPr>
        <w:t>2</w:t>
      </w:r>
      <w:r w:rsidRPr="00FF66B9">
        <w:rPr>
          <w:b/>
          <w:lang w:val="en-GB"/>
        </w:rPr>
        <w:fldChar w:fldCharType="end"/>
      </w:r>
      <w:r w:rsidRPr="00FF66B9">
        <w:rPr>
          <w:b/>
        </w:rPr>
        <w:t xml:space="preserve">: Treatment-emergent adverse events (excluding hypoglycaemia) in patients with type 2 diabetes mellitus (adverse events with frequency ≥ 5%) with once daily treatment in trials 3590 and 3593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011"/>
        <w:gridCol w:w="2966"/>
      </w:tblGrid>
      <w:tr w:rsidR="00FF66B9" w:rsidRPr="00FF66B9" w14:paraId="4A083336" w14:textId="77777777" w:rsidTr="007E05EA">
        <w:tc>
          <w:tcPr>
            <w:tcW w:w="3192" w:type="dxa"/>
            <w:shd w:val="clear" w:color="auto" w:fill="auto"/>
          </w:tcPr>
          <w:p w14:paraId="39DBCA06" w14:textId="77777777" w:rsidR="00FF66B9" w:rsidRPr="00FF66B9" w:rsidRDefault="00FF66B9" w:rsidP="00FF66B9">
            <w:pPr>
              <w:rPr>
                <w:b/>
                <w:sz w:val="20"/>
                <w:szCs w:val="20"/>
              </w:rPr>
            </w:pPr>
            <w:r w:rsidRPr="00FF66B9">
              <w:rPr>
                <w:b/>
                <w:sz w:val="20"/>
                <w:szCs w:val="20"/>
              </w:rPr>
              <w:t>Adverse Event Term</w:t>
            </w:r>
          </w:p>
        </w:tc>
        <w:tc>
          <w:tcPr>
            <w:tcW w:w="3192" w:type="dxa"/>
            <w:shd w:val="clear" w:color="auto" w:fill="auto"/>
          </w:tcPr>
          <w:p w14:paraId="3FE20E9D" w14:textId="77777777" w:rsidR="00FF66B9" w:rsidRPr="00FF66B9" w:rsidRDefault="00FF66B9" w:rsidP="00FF66B9">
            <w:pPr>
              <w:rPr>
                <w:b/>
                <w:sz w:val="20"/>
                <w:szCs w:val="20"/>
              </w:rPr>
            </w:pPr>
            <w:r w:rsidRPr="00FF66B9">
              <w:rPr>
                <w:b/>
                <w:sz w:val="20"/>
                <w:szCs w:val="20"/>
              </w:rPr>
              <w:t>RYZODEG 70/30, %</w:t>
            </w:r>
          </w:p>
          <w:p w14:paraId="5E576CFB" w14:textId="77777777" w:rsidR="00FF66B9" w:rsidRPr="00FF66B9" w:rsidRDefault="00FF66B9" w:rsidP="00FF66B9">
            <w:pPr>
              <w:rPr>
                <w:b/>
                <w:sz w:val="20"/>
                <w:szCs w:val="20"/>
              </w:rPr>
            </w:pPr>
            <w:r w:rsidRPr="00FF66B9">
              <w:rPr>
                <w:b/>
                <w:sz w:val="20"/>
                <w:szCs w:val="20"/>
              </w:rPr>
              <w:t>(n = 495)</w:t>
            </w:r>
          </w:p>
        </w:tc>
        <w:tc>
          <w:tcPr>
            <w:tcW w:w="3192" w:type="dxa"/>
            <w:shd w:val="clear" w:color="auto" w:fill="auto"/>
          </w:tcPr>
          <w:p w14:paraId="5AFCD21E" w14:textId="77777777" w:rsidR="00FF66B9" w:rsidRPr="00FF66B9" w:rsidRDefault="00FF66B9" w:rsidP="00FF66B9">
            <w:pPr>
              <w:rPr>
                <w:b/>
                <w:sz w:val="20"/>
                <w:szCs w:val="20"/>
              </w:rPr>
            </w:pPr>
            <w:proofErr w:type="spellStart"/>
            <w:r w:rsidRPr="00FF66B9">
              <w:rPr>
                <w:b/>
                <w:sz w:val="20"/>
                <w:szCs w:val="20"/>
              </w:rPr>
              <w:t>IGlar</w:t>
            </w:r>
            <w:proofErr w:type="spellEnd"/>
            <w:r w:rsidRPr="00FF66B9">
              <w:rPr>
                <w:b/>
                <w:sz w:val="20"/>
                <w:szCs w:val="20"/>
              </w:rPr>
              <w:t>, %</w:t>
            </w:r>
          </w:p>
          <w:p w14:paraId="3015A92F" w14:textId="77777777" w:rsidR="00FF66B9" w:rsidRPr="00FF66B9" w:rsidRDefault="00FF66B9" w:rsidP="00FF66B9">
            <w:pPr>
              <w:rPr>
                <w:b/>
                <w:sz w:val="20"/>
                <w:szCs w:val="20"/>
              </w:rPr>
            </w:pPr>
            <w:r w:rsidRPr="00FF66B9">
              <w:rPr>
                <w:b/>
                <w:sz w:val="20"/>
                <w:szCs w:val="20"/>
              </w:rPr>
              <w:t>(n = 494)</w:t>
            </w:r>
          </w:p>
        </w:tc>
      </w:tr>
      <w:tr w:rsidR="00FF66B9" w:rsidRPr="00FF66B9" w14:paraId="30B6E3EF" w14:textId="77777777" w:rsidTr="007E05EA">
        <w:tc>
          <w:tcPr>
            <w:tcW w:w="3192" w:type="dxa"/>
            <w:shd w:val="clear" w:color="auto" w:fill="auto"/>
          </w:tcPr>
          <w:p w14:paraId="37A16EDE" w14:textId="77777777" w:rsidR="00FF66B9" w:rsidRPr="00FF66B9" w:rsidRDefault="00FF66B9" w:rsidP="00FF66B9">
            <w:pPr>
              <w:rPr>
                <w:b/>
                <w:sz w:val="20"/>
                <w:szCs w:val="20"/>
              </w:rPr>
            </w:pPr>
            <w:r w:rsidRPr="00FF66B9">
              <w:rPr>
                <w:sz w:val="20"/>
                <w:szCs w:val="20"/>
              </w:rPr>
              <w:t>Nasopharyngitis</w:t>
            </w:r>
          </w:p>
        </w:tc>
        <w:tc>
          <w:tcPr>
            <w:tcW w:w="3192" w:type="dxa"/>
            <w:shd w:val="clear" w:color="auto" w:fill="auto"/>
          </w:tcPr>
          <w:p w14:paraId="472702BB" w14:textId="77777777" w:rsidR="00FF66B9" w:rsidRPr="00FF66B9" w:rsidRDefault="00FF66B9" w:rsidP="00FF66B9">
            <w:pPr>
              <w:rPr>
                <w:sz w:val="20"/>
                <w:szCs w:val="20"/>
              </w:rPr>
            </w:pPr>
            <w:r w:rsidRPr="00FF66B9">
              <w:rPr>
                <w:sz w:val="20"/>
                <w:szCs w:val="20"/>
              </w:rPr>
              <w:t>6.9</w:t>
            </w:r>
          </w:p>
        </w:tc>
        <w:tc>
          <w:tcPr>
            <w:tcW w:w="3192" w:type="dxa"/>
            <w:shd w:val="clear" w:color="auto" w:fill="auto"/>
          </w:tcPr>
          <w:p w14:paraId="3EA08FBC" w14:textId="77777777" w:rsidR="00FF66B9" w:rsidRPr="00FF66B9" w:rsidRDefault="00FF66B9" w:rsidP="00FF66B9">
            <w:pPr>
              <w:rPr>
                <w:sz w:val="20"/>
                <w:szCs w:val="20"/>
              </w:rPr>
            </w:pPr>
            <w:r w:rsidRPr="00FF66B9">
              <w:rPr>
                <w:sz w:val="20"/>
                <w:szCs w:val="20"/>
              </w:rPr>
              <w:t>8.3</w:t>
            </w:r>
          </w:p>
        </w:tc>
      </w:tr>
      <w:tr w:rsidR="00FF66B9" w:rsidRPr="00FF66B9" w14:paraId="2E0A7397" w14:textId="77777777" w:rsidTr="007E05EA">
        <w:tc>
          <w:tcPr>
            <w:tcW w:w="3192" w:type="dxa"/>
            <w:shd w:val="clear" w:color="auto" w:fill="auto"/>
          </w:tcPr>
          <w:p w14:paraId="735309FC" w14:textId="77777777" w:rsidR="00FF66B9" w:rsidRPr="00FF66B9" w:rsidRDefault="00FF66B9" w:rsidP="00FF66B9">
            <w:pPr>
              <w:rPr>
                <w:b/>
                <w:sz w:val="20"/>
                <w:szCs w:val="20"/>
              </w:rPr>
            </w:pPr>
            <w:r w:rsidRPr="00FF66B9">
              <w:rPr>
                <w:sz w:val="20"/>
                <w:szCs w:val="20"/>
              </w:rPr>
              <w:t>Headache</w:t>
            </w:r>
          </w:p>
        </w:tc>
        <w:tc>
          <w:tcPr>
            <w:tcW w:w="3192" w:type="dxa"/>
            <w:shd w:val="clear" w:color="auto" w:fill="auto"/>
          </w:tcPr>
          <w:p w14:paraId="53B2F14C" w14:textId="77777777" w:rsidR="00FF66B9" w:rsidRPr="00FF66B9" w:rsidRDefault="00FF66B9" w:rsidP="00FF66B9">
            <w:pPr>
              <w:rPr>
                <w:sz w:val="20"/>
                <w:szCs w:val="20"/>
              </w:rPr>
            </w:pPr>
            <w:r w:rsidRPr="00FF66B9">
              <w:rPr>
                <w:sz w:val="20"/>
                <w:szCs w:val="20"/>
              </w:rPr>
              <w:t>6.9</w:t>
            </w:r>
          </w:p>
        </w:tc>
        <w:tc>
          <w:tcPr>
            <w:tcW w:w="3192" w:type="dxa"/>
            <w:shd w:val="clear" w:color="auto" w:fill="auto"/>
          </w:tcPr>
          <w:p w14:paraId="12DFC80E" w14:textId="77777777" w:rsidR="00FF66B9" w:rsidRPr="00FF66B9" w:rsidRDefault="00FF66B9" w:rsidP="00FF66B9">
            <w:pPr>
              <w:rPr>
                <w:sz w:val="20"/>
                <w:szCs w:val="20"/>
              </w:rPr>
            </w:pPr>
            <w:r w:rsidRPr="00FF66B9">
              <w:rPr>
                <w:sz w:val="20"/>
                <w:szCs w:val="20"/>
              </w:rPr>
              <w:t>5.7</w:t>
            </w:r>
          </w:p>
        </w:tc>
      </w:tr>
      <w:tr w:rsidR="00FF66B9" w:rsidRPr="00FF66B9" w14:paraId="6F987876" w14:textId="77777777" w:rsidTr="007E05EA">
        <w:tc>
          <w:tcPr>
            <w:tcW w:w="3192" w:type="dxa"/>
            <w:shd w:val="clear" w:color="auto" w:fill="auto"/>
          </w:tcPr>
          <w:p w14:paraId="62012BAA" w14:textId="77777777" w:rsidR="00FF66B9" w:rsidRPr="00FF66B9" w:rsidRDefault="00FF66B9" w:rsidP="00FF66B9">
            <w:pPr>
              <w:rPr>
                <w:b/>
                <w:sz w:val="20"/>
                <w:szCs w:val="20"/>
              </w:rPr>
            </w:pPr>
            <w:r w:rsidRPr="00FF66B9">
              <w:rPr>
                <w:sz w:val="20"/>
                <w:szCs w:val="20"/>
              </w:rPr>
              <w:t>Diarrhoea</w:t>
            </w:r>
          </w:p>
        </w:tc>
        <w:tc>
          <w:tcPr>
            <w:tcW w:w="3192" w:type="dxa"/>
            <w:shd w:val="clear" w:color="auto" w:fill="auto"/>
          </w:tcPr>
          <w:p w14:paraId="61F5015B" w14:textId="77777777" w:rsidR="00FF66B9" w:rsidRPr="00FF66B9" w:rsidRDefault="00FF66B9" w:rsidP="00FF66B9">
            <w:pPr>
              <w:rPr>
                <w:sz w:val="20"/>
                <w:szCs w:val="20"/>
              </w:rPr>
            </w:pPr>
            <w:r w:rsidRPr="00FF66B9">
              <w:rPr>
                <w:sz w:val="20"/>
                <w:szCs w:val="20"/>
              </w:rPr>
              <w:t>4.6</w:t>
            </w:r>
          </w:p>
        </w:tc>
        <w:tc>
          <w:tcPr>
            <w:tcW w:w="3192" w:type="dxa"/>
            <w:shd w:val="clear" w:color="auto" w:fill="auto"/>
          </w:tcPr>
          <w:p w14:paraId="0F41EFC8" w14:textId="77777777" w:rsidR="00FF66B9" w:rsidRPr="00FF66B9" w:rsidRDefault="00FF66B9" w:rsidP="00FF66B9">
            <w:pPr>
              <w:rPr>
                <w:sz w:val="20"/>
                <w:szCs w:val="20"/>
              </w:rPr>
            </w:pPr>
            <w:r w:rsidRPr="00FF66B9">
              <w:rPr>
                <w:sz w:val="20"/>
                <w:szCs w:val="20"/>
              </w:rPr>
              <w:t>5.1</w:t>
            </w:r>
          </w:p>
        </w:tc>
      </w:tr>
    </w:tbl>
    <w:p w14:paraId="47523889" w14:textId="77777777" w:rsidR="00FF66B9" w:rsidRDefault="00FF66B9" w:rsidP="00FF66B9">
      <w:pPr>
        <w:rPr>
          <w:lang w:val="en-GB"/>
        </w:rPr>
      </w:pPr>
    </w:p>
    <w:p w14:paraId="384FA860" w14:textId="461F286E" w:rsidR="00FF66B9" w:rsidRPr="00FF66B9" w:rsidRDefault="00FF66B9" w:rsidP="00FF66B9">
      <w:pPr>
        <w:rPr>
          <w:b/>
        </w:rPr>
      </w:pPr>
      <w:r w:rsidRPr="00FF66B9">
        <w:rPr>
          <w:b/>
        </w:rPr>
        <w:t xml:space="preserve">Table </w:t>
      </w:r>
      <w:r w:rsidRPr="00FF66B9">
        <w:rPr>
          <w:b/>
        </w:rPr>
        <w:fldChar w:fldCharType="begin"/>
      </w:r>
      <w:r w:rsidRPr="00FF66B9">
        <w:rPr>
          <w:b/>
        </w:rPr>
        <w:instrText xml:space="preserve"> SEQ Table \* ARABIC </w:instrText>
      </w:r>
      <w:r w:rsidRPr="00FF66B9">
        <w:rPr>
          <w:b/>
        </w:rPr>
        <w:fldChar w:fldCharType="separate"/>
      </w:r>
      <w:r w:rsidR="00A34057">
        <w:rPr>
          <w:b/>
          <w:noProof/>
        </w:rPr>
        <w:t>3</w:t>
      </w:r>
      <w:r w:rsidRPr="00FF66B9">
        <w:rPr>
          <w:b/>
          <w:lang w:val="en-GB"/>
        </w:rPr>
        <w:fldChar w:fldCharType="end"/>
      </w:r>
      <w:r w:rsidRPr="00FF66B9">
        <w:rPr>
          <w:b/>
        </w:rPr>
        <w:t>: Treatment-emergent adverse events (excluding hypoglycaemia) in patients with type 2 diabetes mellitus (adverse events with frequency ≥ 5%) with twice-daily treatment in trials 3592 and 3597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011"/>
        <w:gridCol w:w="2967"/>
      </w:tblGrid>
      <w:tr w:rsidR="00FF66B9" w:rsidRPr="00FF66B9" w14:paraId="1BD244F5" w14:textId="77777777" w:rsidTr="007E05EA">
        <w:tc>
          <w:tcPr>
            <w:tcW w:w="3192" w:type="dxa"/>
            <w:shd w:val="clear" w:color="auto" w:fill="auto"/>
          </w:tcPr>
          <w:p w14:paraId="62FB4516" w14:textId="77777777" w:rsidR="00FF66B9" w:rsidRPr="00FF66B9" w:rsidRDefault="00FF66B9" w:rsidP="00FF66B9">
            <w:pPr>
              <w:rPr>
                <w:b/>
                <w:sz w:val="20"/>
                <w:szCs w:val="20"/>
              </w:rPr>
            </w:pPr>
            <w:r w:rsidRPr="00FF66B9">
              <w:rPr>
                <w:b/>
                <w:sz w:val="20"/>
                <w:szCs w:val="20"/>
              </w:rPr>
              <w:t>Adverse Event Term</w:t>
            </w:r>
          </w:p>
        </w:tc>
        <w:tc>
          <w:tcPr>
            <w:tcW w:w="3192" w:type="dxa"/>
            <w:shd w:val="clear" w:color="auto" w:fill="auto"/>
          </w:tcPr>
          <w:p w14:paraId="5C965181" w14:textId="77777777" w:rsidR="00FF66B9" w:rsidRPr="00FF66B9" w:rsidRDefault="00FF66B9" w:rsidP="00FF66B9">
            <w:pPr>
              <w:rPr>
                <w:b/>
                <w:sz w:val="20"/>
                <w:szCs w:val="20"/>
              </w:rPr>
            </w:pPr>
            <w:r w:rsidRPr="00FF66B9">
              <w:rPr>
                <w:b/>
                <w:sz w:val="20"/>
                <w:szCs w:val="20"/>
              </w:rPr>
              <w:t>RYZODEG 70/30, %</w:t>
            </w:r>
          </w:p>
          <w:p w14:paraId="0DC1AD04" w14:textId="77777777" w:rsidR="00FF66B9" w:rsidRPr="00FF66B9" w:rsidRDefault="00FF66B9" w:rsidP="00FF66B9">
            <w:pPr>
              <w:rPr>
                <w:b/>
                <w:sz w:val="20"/>
                <w:szCs w:val="20"/>
              </w:rPr>
            </w:pPr>
            <w:r w:rsidRPr="00FF66B9">
              <w:rPr>
                <w:b/>
                <w:sz w:val="20"/>
                <w:szCs w:val="20"/>
              </w:rPr>
              <w:t>(n = 503)</w:t>
            </w:r>
          </w:p>
        </w:tc>
        <w:tc>
          <w:tcPr>
            <w:tcW w:w="3192" w:type="dxa"/>
            <w:shd w:val="clear" w:color="auto" w:fill="auto"/>
          </w:tcPr>
          <w:p w14:paraId="5A171C30" w14:textId="77777777" w:rsidR="00FF66B9" w:rsidRPr="00FF66B9" w:rsidRDefault="00FF66B9" w:rsidP="00FF66B9">
            <w:pPr>
              <w:rPr>
                <w:b/>
                <w:sz w:val="20"/>
                <w:szCs w:val="20"/>
              </w:rPr>
            </w:pPr>
            <w:proofErr w:type="spellStart"/>
            <w:r w:rsidRPr="00FF66B9">
              <w:rPr>
                <w:b/>
                <w:sz w:val="20"/>
                <w:szCs w:val="20"/>
              </w:rPr>
              <w:t>BIAsp</w:t>
            </w:r>
            <w:proofErr w:type="spellEnd"/>
            <w:r w:rsidRPr="00FF66B9">
              <w:rPr>
                <w:b/>
                <w:sz w:val="20"/>
                <w:szCs w:val="20"/>
              </w:rPr>
              <w:t xml:space="preserve"> 30, %</w:t>
            </w:r>
          </w:p>
          <w:p w14:paraId="43A13DF2" w14:textId="77777777" w:rsidR="00FF66B9" w:rsidRPr="00FF66B9" w:rsidRDefault="00FF66B9" w:rsidP="00FF66B9">
            <w:pPr>
              <w:rPr>
                <w:b/>
                <w:sz w:val="20"/>
                <w:szCs w:val="20"/>
              </w:rPr>
            </w:pPr>
            <w:r w:rsidRPr="00FF66B9">
              <w:rPr>
                <w:b/>
                <w:sz w:val="20"/>
                <w:szCs w:val="20"/>
              </w:rPr>
              <w:t>(n = 363)</w:t>
            </w:r>
          </w:p>
        </w:tc>
      </w:tr>
      <w:tr w:rsidR="00FF66B9" w:rsidRPr="00FF66B9" w14:paraId="23066848" w14:textId="77777777" w:rsidTr="007E05EA">
        <w:tc>
          <w:tcPr>
            <w:tcW w:w="3192" w:type="dxa"/>
            <w:shd w:val="clear" w:color="auto" w:fill="auto"/>
          </w:tcPr>
          <w:p w14:paraId="6CAC2EE3" w14:textId="77777777" w:rsidR="00FF66B9" w:rsidRPr="00FF66B9" w:rsidRDefault="00FF66B9" w:rsidP="00FF66B9">
            <w:pPr>
              <w:rPr>
                <w:b/>
                <w:sz w:val="20"/>
                <w:szCs w:val="20"/>
              </w:rPr>
            </w:pPr>
            <w:r w:rsidRPr="00FF66B9">
              <w:rPr>
                <w:sz w:val="20"/>
                <w:szCs w:val="20"/>
              </w:rPr>
              <w:t>Nasopharyngitis</w:t>
            </w:r>
          </w:p>
        </w:tc>
        <w:tc>
          <w:tcPr>
            <w:tcW w:w="3192" w:type="dxa"/>
            <w:shd w:val="clear" w:color="auto" w:fill="auto"/>
          </w:tcPr>
          <w:p w14:paraId="248FAA09" w14:textId="77777777" w:rsidR="00FF66B9" w:rsidRPr="00FF66B9" w:rsidRDefault="00FF66B9" w:rsidP="00FF66B9">
            <w:pPr>
              <w:rPr>
                <w:b/>
                <w:sz w:val="20"/>
                <w:szCs w:val="20"/>
              </w:rPr>
            </w:pPr>
            <w:r w:rsidRPr="00FF66B9">
              <w:rPr>
                <w:sz w:val="20"/>
                <w:szCs w:val="20"/>
              </w:rPr>
              <w:t>15.3</w:t>
            </w:r>
          </w:p>
        </w:tc>
        <w:tc>
          <w:tcPr>
            <w:tcW w:w="3192" w:type="dxa"/>
            <w:shd w:val="clear" w:color="auto" w:fill="auto"/>
          </w:tcPr>
          <w:p w14:paraId="367AE094" w14:textId="77777777" w:rsidR="00FF66B9" w:rsidRPr="00FF66B9" w:rsidRDefault="00FF66B9" w:rsidP="00FF66B9">
            <w:pPr>
              <w:rPr>
                <w:b/>
                <w:sz w:val="20"/>
                <w:szCs w:val="20"/>
              </w:rPr>
            </w:pPr>
            <w:r w:rsidRPr="00FF66B9">
              <w:rPr>
                <w:sz w:val="20"/>
                <w:szCs w:val="20"/>
              </w:rPr>
              <w:t>11.0</w:t>
            </w:r>
          </w:p>
        </w:tc>
      </w:tr>
      <w:tr w:rsidR="00FF66B9" w:rsidRPr="00FF66B9" w14:paraId="50C5D390" w14:textId="77777777" w:rsidTr="007E05EA">
        <w:tc>
          <w:tcPr>
            <w:tcW w:w="3192" w:type="dxa"/>
            <w:shd w:val="clear" w:color="auto" w:fill="auto"/>
          </w:tcPr>
          <w:p w14:paraId="47DB55D1" w14:textId="77777777" w:rsidR="00FF66B9" w:rsidRPr="00FF66B9" w:rsidRDefault="00FF66B9" w:rsidP="00FF66B9">
            <w:pPr>
              <w:rPr>
                <w:b/>
                <w:sz w:val="20"/>
                <w:szCs w:val="20"/>
              </w:rPr>
            </w:pPr>
            <w:r w:rsidRPr="00FF66B9">
              <w:rPr>
                <w:sz w:val="20"/>
                <w:szCs w:val="20"/>
              </w:rPr>
              <w:t>Upper respiratory tract infection</w:t>
            </w:r>
          </w:p>
        </w:tc>
        <w:tc>
          <w:tcPr>
            <w:tcW w:w="3192" w:type="dxa"/>
            <w:shd w:val="clear" w:color="auto" w:fill="auto"/>
          </w:tcPr>
          <w:p w14:paraId="44780D97" w14:textId="77777777" w:rsidR="00FF66B9" w:rsidRPr="00FF66B9" w:rsidRDefault="00FF66B9" w:rsidP="00FF66B9">
            <w:pPr>
              <w:rPr>
                <w:b/>
                <w:sz w:val="20"/>
                <w:szCs w:val="20"/>
              </w:rPr>
            </w:pPr>
            <w:r w:rsidRPr="00FF66B9">
              <w:rPr>
                <w:sz w:val="20"/>
                <w:szCs w:val="20"/>
              </w:rPr>
              <w:t>7.6</w:t>
            </w:r>
          </w:p>
        </w:tc>
        <w:tc>
          <w:tcPr>
            <w:tcW w:w="3192" w:type="dxa"/>
            <w:shd w:val="clear" w:color="auto" w:fill="auto"/>
          </w:tcPr>
          <w:p w14:paraId="4CAE2B74" w14:textId="77777777" w:rsidR="00FF66B9" w:rsidRPr="00FF66B9" w:rsidRDefault="00FF66B9" w:rsidP="00FF66B9">
            <w:pPr>
              <w:rPr>
                <w:b/>
                <w:sz w:val="20"/>
                <w:szCs w:val="20"/>
              </w:rPr>
            </w:pPr>
            <w:r w:rsidRPr="00FF66B9">
              <w:rPr>
                <w:sz w:val="20"/>
                <w:szCs w:val="20"/>
              </w:rPr>
              <w:t>8.0</w:t>
            </w:r>
          </w:p>
        </w:tc>
      </w:tr>
      <w:tr w:rsidR="00FF66B9" w:rsidRPr="00FF66B9" w14:paraId="01A3C92A" w14:textId="77777777" w:rsidTr="007E05EA">
        <w:tc>
          <w:tcPr>
            <w:tcW w:w="3192" w:type="dxa"/>
            <w:shd w:val="clear" w:color="auto" w:fill="auto"/>
          </w:tcPr>
          <w:p w14:paraId="50520DA8" w14:textId="77777777" w:rsidR="00FF66B9" w:rsidRPr="00FF66B9" w:rsidRDefault="00FF66B9" w:rsidP="00FF66B9">
            <w:pPr>
              <w:rPr>
                <w:b/>
                <w:sz w:val="20"/>
                <w:szCs w:val="20"/>
              </w:rPr>
            </w:pPr>
            <w:r w:rsidRPr="00FF66B9">
              <w:rPr>
                <w:sz w:val="20"/>
                <w:szCs w:val="20"/>
              </w:rPr>
              <w:t>Diabetic retinopathy</w:t>
            </w:r>
          </w:p>
        </w:tc>
        <w:tc>
          <w:tcPr>
            <w:tcW w:w="3192" w:type="dxa"/>
            <w:shd w:val="clear" w:color="auto" w:fill="auto"/>
          </w:tcPr>
          <w:p w14:paraId="76E2D7C5" w14:textId="77777777" w:rsidR="00FF66B9" w:rsidRPr="00FF66B9" w:rsidRDefault="00FF66B9" w:rsidP="00FF66B9">
            <w:pPr>
              <w:rPr>
                <w:b/>
                <w:sz w:val="20"/>
                <w:szCs w:val="20"/>
              </w:rPr>
            </w:pPr>
            <w:r w:rsidRPr="00FF66B9">
              <w:rPr>
                <w:sz w:val="20"/>
                <w:szCs w:val="20"/>
              </w:rPr>
              <w:t>6.2</w:t>
            </w:r>
          </w:p>
        </w:tc>
        <w:tc>
          <w:tcPr>
            <w:tcW w:w="3192" w:type="dxa"/>
            <w:shd w:val="clear" w:color="auto" w:fill="auto"/>
          </w:tcPr>
          <w:p w14:paraId="777C966D" w14:textId="77777777" w:rsidR="00FF66B9" w:rsidRPr="00FF66B9" w:rsidRDefault="00FF66B9" w:rsidP="00FF66B9">
            <w:pPr>
              <w:rPr>
                <w:b/>
                <w:sz w:val="20"/>
                <w:szCs w:val="20"/>
              </w:rPr>
            </w:pPr>
            <w:r w:rsidRPr="00FF66B9">
              <w:rPr>
                <w:sz w:val="20"/>
                <w:szCs w:val="20"/>
              </w:rPr>
              <w:t>4.7</w:t>
            </w:r>
          </w:p>
        </w:tc>
      </w:tr>
      <w:tr w:rsidR="00FF66B9" w:rsidRPr="00FF66B9" w14:paraId="51399C1F" w14:textId="77777777" w:rsidTr="007E05EA">
        <w:tc>
          <w:tcPr>
            <w:tcW w:w="3192" w:type="dxa"/>
            <w:shd w:val="clear" w:color="auto" w:fill="auto"/>
          </w:tcPr>
          <w:p w14:paraId="03690396" w14:textId="77777777" w:rsidR="00FF66B9" w:rsidRPr="00FF66B9" w:rsidRDefault="00FF66B9" w:rsidP="00FF66B9">
            <w:pPr>
              <w:rPr>
                <w:b/>
                <w:sz w:val="20"/>
                <w:szCs w:val="20"/>
              </w:rPr>
            </w:pPr>
            <w:r w:rsidRPr="00FF66B9">
              <w:rPr>
                <w:sz w:val="20"/>
                <w:szCs w:val="20"/>
              </w:rPr>
              <w:t>Headache</w:t>
            </w:r>
          </w:p>
        </w:tc>
        <w:tc>
          <w:tcPr>
            <w:tcW w:w="3192" w:type="dxa"/>
            <w:shd w:val="clear" w:color="auto" w:fill="auto"/>
          </w:tcPr>
          <w:p w14:paraId="6EBB553A" w14:textId="77777777" w:rsidR="00FF66B9" w:rsidRPr="00FF66B9" w:rsidRDefault="00FF66B9" w:rsidP="00FF66B9">
            <w:pPr>
              <w:rPr>
                <w:b/>
                <w:sz w:val="20"/>
                <w:szCs w:val="20"/>
              </w:rPr>
            </w:pPr>
            <w:r w:rsidRPr="00FF66B9">
              <w:rPr>
                <w:sz w:val="20"/>
                <w:szCs w:val="20"/>
              </w:rPr>
              <w:t>4.4</w:t>
            </w:r>
          </w:p>
        </w:tc>
        <w:tc>
          <w:tcPr>
            <w:tcW w:w="3192" w:type="dxa"/>
            <w:shd w:val="clear" w:color="auto" w:fill="auto"/>
          </w:tcPr>
          <w:p w14:paraId="23C17F33" w14:textId="77777777" w:rsidR="00FF66B9" w:rsidRPr="00FF66B9" w:rsidRDefault="00FF66B9" w:rsidP="00FF66B9">
            <w:pPr>
              <w:rPr>
                <w:b/>
                <w:sz w:val="20"/>
                <w:szCs w:val="20"/>
              </w:rPr>
            </w:pPr>
            <w:r w:rsidRPr="00FF66B9">
              <w:rPr>
                <w:sz w:val="20"/>
                <w:szCs w:val="20"/>
              </w:rPr>
              <w:t>6.1</w:t>
            </w:r>
          </w:p>
        </w:tc>
      </w:tr>
    </w:tbl>
    <w:p w14:paraId="2A272DE0" w14:textId="77777777" w:rsidR="00FF66B9" w:rsidRPr="00FF66B9" w:rsidRDefault="00FF66B9" w:rsidP="00FF66B9">
      <w:pPr>
        <w:pStyle w:val="Heading4"/>
      </w:pPr>
      <w:r w:rsidRPr="00FF66B9">
        <w:t>Adverse reactions</w:t>
      </w:r>
    </w:p>
    <w:p w14:paraId="3C17B155" w14:textId="77777777" w:rsidR="00FF66B9" w:rsidRPr="00FF66B9" w:rsidRDefault="00FF66B9" w:rsidP="00FF66B9">
      <w:r w:rsidRPr="00FF66B9">
        <w:t>Adverse reactions listed below are based on clinical trial data and classified according to MedDRA System Organ Class. Frequency categories are defined according to the following convention: Very common (≥ 1/10); common (≥ 1/100 to &lt; 1/10); uncommon (≥ 1/1,000 to &lt; 1/100); rare (≥ 1/10,000 to &lt; 1/1,000); very rare (&lt; 1/10,000); not known (cannot be estimated from the available data).</w:t>
      </w:r>
    </w:p>
    <w:p w14:paraId="73FAE43D" w14:textId="77777777" w:rsidR="00FF66B9" w:rsidRPr="00FF66B9" w:rsidRDefault="00FF66B9" w:rsidP="00FF66B9"/>
    <w:p w14:paraId="7B12FA9B" w14:textId="345ECE84" w:rsidR="00FF66B9" w:rsidRDefault="00FF66B9" w:rsidP="00FF66B9">
      <w:r w:rsidRPr="00FF66B9">
        <w:rPr>
          <w:b/>
        </w:rPr>
        <w:t xml:space="preserve">Table </w:t>
      </w:r>
      <w:r w:rsidRPr="00FF66B9">
        <w:rPr>
          <w:b/>
        </w:rPr>
        <w:fldChar w:fldCharType="begin"/>
      </w:r>
      <w:r w:rsidRPr="00FF66B9">
        <w:rPr>
          <w:b/>
        </w:rPr>
        <w:instrText xml:space="preserve"> SEQ Table \* ARABIC </w:instrText>
      </w:r>
      <w:r w:rsidRPr="00FF66B9">
        <w:rPr>
          <w:b/>
        </w:rPr>
        <w:fldChar w:fldCharType="separate"/>
      </w:r>
      <w:r w:rsidR="00A34057">
        <w:rPr>
          <w:b/>
          <w:noProof/>
        </w:rPr>
        <w:t>4</w:t>
      </w:r>
      <w:r w:rsidRPr="00FF66B9">
        <w:rPr>
          <w:b/>
          <w:lang w:val="en-GB"/>
        </w:rPr>
        <w:fldChar w:fldCharType="end"/>
      </w:r>
      <w:r w:rsidRPr="00FF66B9">
        <w:rPr>
          <w:b/>
        </w:rPr>
        <w:t>: Adverse reactions</w:t>
      </w:r>
    </w:p>
    <w:tbl>
      <w:tblPr>
        <w:tblW w:w="9640"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13"/>
        <w:gridCol w:w="3213"/>
        <w:gridCol w:w="3214"/>
      </w:tblGrid>
      <w:tr w:rsidR="00FF66B9" w:rsidRPr="00FF66B9" w14:paraId="674A74C9" w14:textId="77777777" w:rsidTr="007E05EA">
        <w:trPr>
          <w:trHeight w:val="308"/>
        </w:trPr>
        <w:tc>
          <w:tcPr>
            <w:tcW w:w="3213" w:type="dxa"/>
            <w:tcBorders>
              <w:top w:val="single" w:sz="4" w:space="0" w:color="auto"/>
              <w:right w:val="single" w:sz="4" w:space="0" w:color="auto"/>
            </w:tcBorders>
          </w:tcPr>
          <w:p w14:paraId="222515A8" w14:textId="77777777" w:rsidR="00FF66B9" w:rsidRPr="00FF66B9" w:rsidRDefault="00FF66B9" w:rsidP="00FF66B9">
            <w:r w:rsidRPr="00FF66B9">
              <w:rPr>
                <w:b/>
              </w:rPr>
              <w:t>System Organ Class</w:t>
            </w:r>
          </w:p>
        </w:tc>
        <w:tc>
          <w:tcPr>
            <w:tcW w:w="3213" w:type="dxa"/>
            <w:tcBorders>
              <w:top w:val="single" w:sz="4" w:space="0" w:color="auto"/>
              <w:bottom w:val="single" w:sz="4" w:space="0" w:color="auto"/>
              <w:right w:val="single" w:sz="4" w:space="0" w:color="auto"/>
            </w:tcBorders>
          </w:tcPr>
          <w:p w14:paraId="03BC7F90" w14:textId="77777777" w:rsidR="00FF66B9" w:rsidRPr="00FF66B9" w:rsidRDefault="00FF66B9" w:rsidP="00FF66B9">
            <w:pPr>
              <w:rPr>
                <w:b/>
              </w:rPr>
            </w:pPr>
            <w:r w:rsidRPr="00FF66B9">
              <w:rPr>
                <w:b/>
              </w:rPr>
              <w:t>Preferred Term</w:t>
            </w:r>
          </w:p>
        </w:tc>
        <w:tc>
          <w:tcPr>
            <w:tcW w:w="3214" w:type="dxa"/>
            <w:tcBorders>
              <w:top w:val="single" w:sz="4" w:space="0" w:color="auto"/>
              <w:left w:val="single" w:sz="4" w:space="0" w:color="auto"/>
            </w:tcBorders>
            <w:vAlign w:val="center"/>
          </w:tcPr>
          <w:p w14:paraId="71766D42" w14:textId="77777777" w:rsidR="00FF66B9" w:rsidRPr="00FF66B9" w:rsidRDefault="00FF66B9" w:rsidP="00FF66B9">
            <w:r w:rsidRPr="00FF66B9">
              <w:rPr>
                <w:b/>
              </w:rPr>
              <w:t>Frequency</w:t>
            </w:r>
          </w:p>
        </w:tc>
      </w:tr>
      <w:tr w:rsidR="00FF66B9" w:rsidRPr="00FF66B9" w14:paraId="16301A35" w14:textId="77777777" w:rsidTr="007E05EA">
        <w:trPr>
          <w:trHeight w:val="308"/>
        </w:trPr>
        <w:tc>
          <w:tcPr>
            <w:tcW w:w="3213" w:type="dxa"/>
            <w:vMerge w:val="restart"/>
            <w:tcBorders>
              <w:top w:val="single" w:sz="4" w:space="0" w:color="auto"/>
              <w:right w:val="single" w:sz="4" w:space="0" w:color="auto"/>
            </w:tcBorders>
          </w:tcPr>
          <w:p w14:paraId="2E6F2DF2" w14:textId="77777777" w:rsidR="00FF66B9" w:rsidRPr="00FF66B9" w:rsidRDefault="00FF66B9" w:rsidP="00FF66B9">
            <w:r w:rsidRPr="00FF66B9">
              <w:t>Immune system disorders</w:t>
            </w:r>
          </w:p>
        </w:tc>
        <w:tc>
          <w:tcPr>
            <w:tcW w:w="3213" w:type="dxa"/>
            <w:tcBorders>
              <w:top w:val="single" w:sz="4" w:space="0" w:color="auto"/>
              <w:bottom w:val="single" w:sz="4" w:space="0" w:color="auto"/>
              <w:right w:val="single" w:sz="4" w:space="0" w:color="auto"/>
            </w:tcBorders>
          </w:tcPr>
          <w:p w14:paraId="7A42581B" w14:textId="77777777" w:rsidR="00FF66B9" w:rsidRPr="00FF66B9" w:rsidRDefault="00FF66B9" w:rsidP="00FF66B9">
            <w:r w:rsidRPr="00FF66B9">
              <w:t>Hypersensitivity</w:t>
            </w:r>
          </w:p>
        </w:tc>
        <w:tc>
          <w:tcPr>
            <w:tcW w:w="3214" w:type="dxa"/>
            <w:tcBorders>
              <w:top w:val="single" w:sz="4" w:space="0" w:color="auto"/>
              <w:left w:val="single" w:sz="4" w:space="0" w:color="auto"/>
            </w:tcBorders>
            <w:vAlign w:val="center"/>
          </w:tcPr>
          <w:p w14:paraId="5E3AF0AE" w14:textId="77777777" w:rsidR="00FF66B9" w:rsidRPr="00FF66B9" w:rsidRDefault="00FF66B9" w:rsidP="00FF66B9">
            <w:r w:rsidRPr="00FF66B9">
              <w:t>Rare</w:t>
            </w:r>
          </w:p>
        </w:tc>
      </w:tr>
      <w:tr w:rsidR="00FF66B9" w:rsidRPr="00FF66B9" w14:paraId="7D8C4949" w14:textId="77777777" w:rsidTr="007E05EA">
        <w:trPr>
          <w:trHeight w:val="306"/>
        </w:trPr>
        <w:tc>
          <w:tcPr>
            <w:tcW w:w="3213" w:type="dxa"/>
            <w:vMerge/>
            <w:tcBorders>
              <w:right w:val="single" w:sz="4" w:space="0" w:color="auto"/>
            </w:tcBorders>
          </w:tcPr>
          <w:p w14:paraId="4E6A124F" w14:textId="77777777" w:rsidR="00FF66B9" w:rsidRPr="00FF66B9" w:rsidRDefault="00FF66B9" w:rsidP="00FF66B9"/>
        </w:tc>
        <w:tc>
          <w:tcPr>
            <w:tcW w:w="3213" w:type="dxa"/>
            <w:tcBorders>
              <w:top w:val="single" w:sz="4" w:space="0" w:color="auto"/>
              <w:bottom w:val="single" w:sz="4" w:space="0" w:color="auto"/>
              <w:right w:val="single" w:sz="4" w:space="0" w:color="auto"/>
            </w:tcBorders>
          </w:tcPr>
          <w:p w14:paraId="564D3D3C" w14:textId="77777777" w:rsidR="00FF66B9" w:rsidRPr="00FF66B9" w:rsidRDefault="00FF66B9" w:rsidP="00FF66B9">
            <w:r w:rsidRPr="00FF66B9">
              <w:t>Urticaria</w:t>
            </w:r>
          </w:p>
        </w:tc>
        <w:tc>
          <w:tcPr>
            <w:tcW w:w="3214" w:type="dxa"/>
            <w:tcBorders>
              <w:top w:val="single" w:sz="4" w:space="0" w:color="auto"/>
              <w:left w:val="single" w:sz="4" w:space="0" w:color="auto"/>
            </w:tcBorders>
            <w:vAlign w:val="center"/>
          </w:tcPr>
          <w:p w14:paraId="6C330D26" w14:textId="77777777" w:rsidR="00FF66B9" w:rsidRPr="00FF66B9" w:rsidRDefault="00FF66B9" w:rsidP="00FF66B9">
            <w:r w:rsidRPr="00FF66B9">
              <w:t>Rare</w:t>
            </w:r>
          </w:p>
        </w:tc>
      </w:tr>
      <w:tr w:rsidR="00FF66B9" w:rsidRPr="00FF66B9" w14:paraId="7B1D9F5F" w14:textId="77777777" w:rsidTr="007E05EA">
        <w:trPr>
          <w:trHeight w:val="306"/>
        </w:trPr>
        <w:tc>
          <w:tcPr>
            <w:tcW w:w="3213" w:type="dxa"/>
            <w:tcBorders>
              <w:top w:val="single" w:sz="4" w:space="0" w:color="auto"/>
              <w:bottom w:val="single" w:sz="4" w:space="0" w:color="auto"/>
              <w:right w:val="single" w:sz="4" w:space="0" w:color="auto"/>
            </w:tcBorders>
          </w:tcPr>
          <w:p w14:paraId="09E477AC" w14:textId="77777777" w:rsidR="00FF66B9" w:rsidRPr="00FF66B9" w:rsidRDefault="00FF66B9" w:rsidP="00FF66B9">
            <w:r w:rsidRPr="00FF66B9">
              <w:t>Metabolism and nutrition disorders</w:t>
            </w:r>
          </w:p>
        </w:tc>
        <w:tc>
          <w:tcPr>
            <w:tcW w:w="3213" w:type="dxa"/>
            <w:tcBorders>
              <w:top w:val="single" w:sz="4" w:space="0" w:color="auto"/>
              <w:bottom w:val="single" w:sz="4" w:space="0" w:color="auto"/>
              <w:right w:val="single" w:sz="4" w:space="0" w:color="auto"/>
            </w:tcBorders>
          </w:tcPr>
          <w:p w14:paraId="1CCFC898" w14:textId="77777777" w:rsidR="00FF66B9" w:rsidRPr="00FF66B9" w:rsidRDefault="00FF66B9" w:rsidP="00FF66B9">
            <w:r w:rsidRPr="00FF66B9">
              <w:t>Hypoglycaemia</w:t>
            </w:r>
          </w:p>
        </w:tc>
        <w:tc>
          <w:tcPr>
            <w:tcW w:w="3214" w:type="dxa"/>
            <w:tcBorders>
              <w:top w:val="single" w:sz="4" w:space="0" w:color="auto"/>
              <w:left w:val="single" w:sz="4" w:space="0" w:color="auto"/>
              <w:bottom w:val="single" w:sz="4" w:space="0" w:color="auto"/>
            </w:tcBorders>
          </w:tcPr>
          <w:p w14:paraId="6A4F3127" w14:textId="77777777" w:rsidR="00FF66B9" w:rsidRPr="00FF66B9" w:rsidRDefault="00FF66B9" w:rsidP="00FF66B9">
            <w:r w:rsidRPr="00FF66B9">
              <w:t>Very common</w:t>
            </w:r>
          </w:p>
        </w:tc>
      </w:tr>
      <w:tr w:rsidR="00FF66B9" w:rsidRPr="00FF66B9" w14:paraId="1EBB1085" w14:textId="77777777" w:rsidTr="007E05EA">
        <w:trPr>
          <w:trHeight w:val="306"/>
        </w:trPr>
        <w:tc>
          <w:tcPr>
            <w:tcW w:w="3213" w:type="dxa"/>
            <w:tcBorders>
              <w:top w:val="single" w:sz="4" w:space="0" w:color="auto"/>
              <w:bottom w:val="single" w:sz="4" w:space="0" w:color="auto"/>
              <w:right w:val="single" w:sz="4" w:space="0" w:color="auto"/>
            </w:tcBorders>
          </w:tcPr>
          <w:p w14:paraId="3A780988" w14:textId="77777777" w:rsidR="00FF66B9" w:rsidRPr="00FF66B9" w:rsidRDefault="00FF66B9" w:rsidP="00FF66B9">
            <w:r w:rsidRPr="00FF66B9">
              <w:t>Skin and subcutaneous tissue disorders</w:t>
            </w:r>
          </w:p>
        </w:tc>
        <w:tc>
          <w:tcPr>
            <w:tcW w:w="3213" w:type="dxa"/>
            <w:tcBorders>
              <w:top w:val="single" w:sz="4" w:space="0" w:color="auto"/>
              <w:bottom w:val="single" w:sz="4" w:space="0" w:color="auto"/>
              <w:right w:val="single" w:sz="4" w:space="0" w:color="auto"/>
            </w:tcBorders>
          </w:tcPr>
          <w:p w14:paraId="2A12705D" w14:textId="77777777" w:rsidR="00FF66B9" w:rsidRPr="00FF66B9" w:rsidRDefault="00FF66B9" w:rsidP="00FF66B9">
            <w:r w:rsidRPr="00FF66B9">
              <w:t>Lipodystrophy</w:t>
            </w:r>
          </w:p>
        </w:tc>
        <w:tc>
          <w:tcPr>
            <w:tcW w:w="3214" w:type="dxa"/>
            <w:tcBorders>
              <w:top w:val="single" w:sz="4" w:space="0" w:color="auto"/>
              <w:left w:val="single" w:sz="4" w:space="0" w:color="auto"/>
              <w:bottom w:val="single" w:sz="4" w:space="0" w:color="auto"/>
            </w:tcBorders>
          </w:tcPr>
          <w:p w14:paraId="206D5DFA" w14:textId="77777777" w:rsidR="00FF66B9" w:rsidRPr="00FF66B9" w:rsidRDefault="00FF66B9" w:rsidP="00FF66B9">
            <w:r w:rsidRPr="00FF66B9">
              <w:t>Not known</w:t>
            </w:r>
          </w:p>
        </w:tc>
      </w:tr>
      <w:tr w:rsidR="00FF66B9" w:rsidRPr="00FF66B9" w14:paraId="37609DCE" w14:textId="77777777" w:rsidTr="007E05EA">
        <w:trPr>
          <w:trHeight w:val="129"/>
        </w:trPr>
        <w:tc>
          <w:tcPr>
            <w:tcW w:w="3213" w:type="dxa"/>
            <w:vMerge w:val="restart"/>
            <w:tcBorders>
              <w:top w:val="single" w:sz="4" w:space="0" w:color="auto"/>
              <w:right w:val="single" w:sz="4" w:space="0" w:color="auto"/>
            </w:tcBorders>
          </w:tcPr>
          <w:p w14:paraId="097589D9" w14:textId="77777777" w:rsidR="00FF66B9" w:rsidRPr="00FF66B9" w:rsidRDefault="00FF66B9" w:rsidP="00FF66B9">
            <w:pPr>
              <w:rPr>
                <w:bCs/>
              </w:rPr>
            </w:pPr>
            <w:r w:rsidRPr="00FF66B9">
              <w:t>General disorders and administration site conditions</w:t>
            </w:r>
          </w:p>
        </w:tc>
        <w:tc>
          <w:tcPr>
            <w:tcW w:w="3213" w:type="dxa"/>
            <w:tcBorders>
              <w:top w:val="single" w:sz="4" w:space="0" w:color="auto"/>
              <w:bottom w:val="single" w:sz="4" w:space="0" w:color="auto"/>
              <w:right w:val="single" w:sz="4" w:space="0" w:color="auto"/>
            </w:tcBorders>
          </w:tcPr>
          <w:p w14:paraId="7D3600E7" w14:textId="77777777" w:rsidR="00FF66B9" w:rsidRPr="00FF66B9" w:rsidRDefault="00FF66B9" w:rsidP="00FF66B9">
            <w:r w:rsidRPr="00FF66B9">
              <w:t>Injection site reactions</w:t>
            </w:r>
          </w:p>
        </w:tc>
        <w:tc>
          <w:tcPr>
            <w:tcW w:w="3214" w:type="dxa"/>
            <w:tcBorders>
              <w:top w:val="single" w:sz="4" w:space="0" w:color="auto"/>
              <w:left w:val="single" w:sz="4" w:space="0" w:color="auto"/>
              <w:bottom w:val="single" w:sz="4" w:space="0" w:color="auto"/>
            </w:tcBorders>
            <w:vAlign w:val="center"/>
          </w:tcPr>
          <w:p w14:paraId="1BCD8B2A" w14:textId="77777777" w:rsidR="00FF66B9" w:rsidRPr="00FF66B9" w:rsidRDefault="00FF66B9" w:rsidP="00FF66B9">
            <w:pPr>
              <w:rPr>
                <w:bCs/>
              </w:rPr>
            </w:pPr>
            <w:r w:rsidRPr="00FF66B9">
              <w:t>Common</w:t>
            </w:r>
          </w:p>
        </w:tc>
      </w:tr>
      <w:tr w:rsidR="00FF66B9" w:rsidRPr="00FF66B9" w14:paraId="7319AB1C" w14:textId="77777777" w:rsidTr="007E05EA">
        <w:trPr>
          <w:trHeight w:val="206"/>
        </w:trPr>
        <w:tc>
          <w:tcPr>
            <w:tcW w:w="3213" w:type="dxa"/>
            <w:vMerge/>
            <w:tcBorders>
              <w:right w:val="single" w:sz="4" w:space="0" w:color="auto"/>
            </w:tcBorders>
          </w:tcPr>
          <w:p w14:paraId="1092AF9F" w14:textId="77777777" w:rsidR="00FF66B9" w:rsidRPr="00FF66B9" w:rsidRDefault="00FF66B9" w:rsidP="00FF66B9"/>
        </w:tc>
        <w:tc>
          <w:tcPr>
            <w:tcW w:w="3213" w:type="dxa"/>
            <w:tcBorders>
              <w:top w:val="single" w:sz="4" w:space="0" w:color="auto"/>
              <w:right w:val="single" w:sz="4" w:space="0" w:color="auto"/>
            </w:tcBorders>
          </w:tcPr>
          <w:p w14:paraId="66681AAF" w14:textId="77777777" w:rsidR="00FF66B9" w:rsidRPr="00FF66B9" w:rsidRDefault="00FF66B9" w:rsidP="00FF66B9">
            <w:r w:rsidRPr="00FF66B9">
              <w:t>Peripheral oedema</w:t>
            </w:r>
          </w:p>
        </w:tc>
        <w:tc>
          <w:tcPr>
            <w:tcW w:w="3214" w:type="dxa"/>
            <w:tcBorders>
              <w:top w:val="single" w:sz="4" w:space="0" w:color="auto"/>
              <w:left w:val="single" w:sz="4" w:space="0" w:color="auto"/>
              <w:bottom w:val="single" w:sz="4" w:space="0" w:color="auto"/>
            </w:tcBorders>
            <w:vAlign w:val="center"/>
          </w:tcPr>
          <w:p w14:paraId="42D4A70E" w14:textId="77777777" w:rsidR="00FF66B9" w:rsidRPr="00FF66B9" w:rsidRDefault="00FF66B9" w:rsidP="00FF66B9">
            <w:pPr>
              <w:rPr>
                <w:bCs/>
              </w:rPr>
            </w:pPr>
            <w:r w:rsidRPr="00FF66B9">
              <w:t>Uncommon</w:t>
            </w:r>
          </w:p>
        </w:tc>
      </w:tr>
    </w:tbl>
    <w:p w14:paraId="3AC64802" w14:textId="342578FE" w:rsidR="00FF66B9" w:rsidRPr="00FF66B9" w:rsidRDefault="00FF66B9" w:rsidP="00FF66B9">
      <w:pPr>
        <w:pStyle w:val="Heading4"/>
      </w:pPr>
      <w:r w:rsidRPr="00FF66B9">
        <w:t>Description of selected adverse reactions</w:t>
      </w:r>
    </w:p>
    <w:p w14:paraId="63C551DC" w14:textId="77D483CE" w:rsidR="00FF66B9" w:rsidRPr="00312A37" w:rsidRDefault="00FF66B9" w:rsidP="00312A37">
      <w:pPr>
        <w:rPr>
          <w:i/>
          <w:iCs/>
        </w:rPr>
      </w:pPr>
      <w:r w:rsidRPr="00312A37">
        <w:rPr>
          <w:i/>
          <w:iCs/>
        </w:rPr>
        <w:t>Immune system disorders</w:t>
      </w:r>
    </w:p>
    <w:p w14:paraId="23E25CA9" w14:textId="77777777" w:rsidR="00FF66B9" w:rsidRPr="00FF66B9" w:rsidRDefault="00FF66B9" w:rsidP="00FF66B9">
      <w:r w:rsidRPr="00FF66B9">
        <w:t>As with any insulin therapy, allergic reactions may occur. Immediate type allergic reactions to either insulin itself or the excipients may potentially be life threatening. With RYZODEG 70/30 hypersensitivity (manifested with swelling of tongue and lips, diarrhoea, nausea, tiredness and itching) and urticaria were reported rarely.</w:t>
      </w:r>
    </w:p>
    <w:p w14:paraId="45866260" w14:textId="77777777" w:rsidR="00312A37" w:rsidRDefault="00312A37" w:rsidP="00312A37">
      <w:pPr>
        <w:rPr>
          <w:i/>
          <w:iCs/>
        </w:rPr>
      </w:pPr>
    </w:p>
    <w:p w14:paraId="3E097CE9" w14:textId="3090FEA9" w:rsidR="00FF66B9" w:rsidRPr="00312A37" w:rsidRDefault="00FF66B9" w:rsidP="00312A37">
      <w:pPr>
        <w:rPr>
          <w:i/>
          <w:iCs/>
        </w:rPr>
      </w:pPr>
      <w:r w:rsidRPr="00312A37">
        <w:rPr>
          <w:i/>
          <w:iCs/>
        </w:rPr>
        <w:t>Hypoglycaemia</w:t>
      </w:r>
    </w:p>
    <w:p w14:paraId="0D09D55B" w14:textId="77777777" w:rsidR="00FF66B9" w:rsidRPr="00FF66B9" w:rsidRDefault="00FF66B9" w:rsidP="00FF66B9">
      <w:pPr>
        <w:rPr>
          <w:bCs/>
        </w:rPr>
      </w:pPr>
      <w:r w:rsidRPr="00FF66B9">
        <w:rPr>
          <w:bCs/>
        </w:rPr>
        <w:t xml:space="preserve">As with any insulin therapy, hypoglycaemia may occur if the insulin dose is too high in relation to the insulin requirement. Severe hypoglycaemia may lead to unconsciousness and/or convulsions and may result in temporary or permanent impairment of brain function or even death. The symptoms of hypoglycaemia usually occur suddenly. They may include cold </w:t>
      </w:r>
      <w:r w:rsidRPr="00FF66B9">
        <w:rPr>
          <w:bCs/>
        </w:rPr>
        <w:lastRenderedPageBreak/>
        <w:t>sweats, cool pale skin, fatigue, nervousness or tremor, anxiousness, unusual tiredness or weakness, confusion, difficulty in concentration, drowsiness, excessive hunger, vision changes, headache, nausea and palpitation.</w:t>
      </w:r>
    </w:p>
    <w:p w14:paraId="69594195" w14:textId="77777777" w:rsidR="00312A37" w:rsidRDefault="00312A37" w:rsidP="00312A37">
      <w:pPr>
        <w:rPr>
          <w:i/>
          <w:iCs/>
        </w:rPr>
      </w:pPr>
    </w:p>
    <w:p w14:paraId="4D4ACE50" w14:textId="4F78D391" w:rsidR="00FF66B9" w:rsidRPr="00312A37" w:rsidRDefault="00FF66B9" w:rsidP="00312A37">
      <w:pPr>
        <w:rPr>
          <w:i/>
          <w:iCs/>
        </w:rPr>
      </w:pPr>
      <w:r w:rsidRPr="00312A37">
        <w:rPr>
          <w:i/>
          <w:iCs/>
        </w:rPr>
        <w:t>Injection site reactions</w:t>
      </w:r>
    </w:p>
    <w:p w14:paraId="49D9AD20" w14:textId="77777777" w:rsidR="00FF66B9" w:rsidRDefault="00FF66B9" w:rsidP="00FF66B9">
      <w:r w:rsidRPr="00FF66B9">
        <w:t>As may occur with any insulin therapy, injection site reactions (including injection site haematoma, pain, haemorrhage, erythema, nodules, swelling, discolouration, pruritus, warmth and injection site mass) occurred in subjects treated with RYZODEG 70/30. These reactions are usually mild and transitory and they normally disappear during continued treatment.</w:t>
      </w:r>
    </w:p>
    <w:p w14:paraId="4D983CA8" w14:textId="77777777" w:rsidR="00312A37" w:rsidRDefault="00312A37" w:rsidP="00312A37">
      <w:pPr>
        <w:rPr>
          <w:i/>
          <w:iCs/>
        </w:rPr>
      </w:pPr>
    </w:p>
    <w:p w14:paraId="3ED38B34" w14:textId="2035DE27" w:rsidR="00FF66B9" w:rsidRPr="00312A37" w:rsidRDefault="00FF66B9" w:rsidP="00312A37">
      <w:pPr>
        <w:rPr>
          <w:i/>
          <w:iCs/>
        </w:rPr>
      </w:pPr>
      <w:r w:rsidRPr="00312A37">
        <w:rPr>
          <w:i/>
          <w:iCs/>
        </w:rPr>
        <w:t>Lipodystrophy</w:t>
      </w:r>
    </w:p>
    <w:p w14:paraId="549016EA" w14:textId="77777777" w:rsidR="00FF66B9" w:rsidRPr="00FF66B9" w:rsidRDefault="00FF66B9" w:rsidP="00FF66B9">
      <w:r w:rsidRPr="00FF66B9">
        <w:t>As with any insulin therapy, lipodystrophy (including lipohypertrophy and lipoatrophy) may occur at the injection site. Continuous rotation of the injection site within the particular injection area may help to reduce the risk of developing these reactions.</w:t>
      </w:r>
    </w:p>
    <w:p w14:paraId="3484265A" w14:textId="77777777" w:rsidR="00312A37" w:rsidRDefault="00312A37" w:rsidP="00312A37">
      <w:pPr>
        <w:rPr>
          <w:i/>
          <w:iCs/>
        </w:rPr>
      </w:pPr>
    </w:p>
    <w:p w14:paraId="36CC04B9" w14:textId="645BE59A" w:rsidR="00FF66B9" w:rsidRPr="00312A37" w:rsidRDefault="00FF66B9" w:rsidP="00312A37">
      <w:pPr>
        <w:rPr>
          <w:bCs/>
          <w:i/>
          <w:iCs/>
        </w:rPr>
      </w:pPr>
      <w:r w:rsidRPr="00312A37">
        <w:rPr>
          <w:i/>
          <w:iCs/>
        </w:rPr>
        <w:t>Peripheral oedema</w:t>
      </w:r>
    </w:p>
    <w:p w14:paraId="4BDDEE65" w14:textId="77777777" w:rsidR="00FF66B9" w:rsidRPr="00FF66B9" w:rsidRDefault="00FF66B9" w:rsidP="00FF66B9">
      <w:r w:rsidRPr="00FF66B9">
        <w:t>Insulin, including RYZODEG 70/30, may cause sodium retention and oedema, particularly if previously poor metabolic control is improved by intensified insulin therapy.</w:t>
      </w:r>
    </w:p>
    <w:p w14:paraId="0309E4A7" w14:textId="77777777" w:rsidR="00312A37" w:rsidRDefault="00312A37" w:rsidP="00312A37">
      <w:pPr>
        <w:rPr>
          <w:i/>
          <w:iCs/>
        </w:rPr>
      </w:pPr>
    </w:p>
    <w:p w14:paraId="1C0F7395" w14:textId="4CC029A1" w:rsidR="00FF66B9" w:rsidRPr="00312A37" w:rsidRDefault="00FF66B9" w:rsidP="00312A37">
      <w:pPr>
        <w:rPr>
          <w:i/>
          <w:iCs/>
        </w:rPr>
      </w:pPr>
      <w:r w:rsidRPr="00312A37">
        <w:rPr>
          <w:i/>
          <w:iCs/>
        </w:rPr>
        <w:t>Antibody production</w:t>
      </w:r>
    </w:p>
    <w:p w14:paraId="17D1DB45" w14:textId="77777777" w:rsidR="00FF66B9" w:rsidRPr="00FF66B9" w:rsidRDefault="00FF66B9" w:rsidP="00FF66B9">
      <w:r w:rsidRPr="00FF66B9">
        <w:t>There was no clinically relevant development of insulin antibodies after long-term treatment with RYZODEG 70/30.</w:t>
      </w:r>
    </w:p>
    <w:p w14:paraId="62CCA1C5" w14:textId="77777777" w:rsidR="00312A37" w:rsidRDefault="00312A37" w:rsidP="00312A37">
      <w:pPr>
        <w:rPr>
          <w:i/>
          <w:iCs/>
        </w:rPr>
      </w:pPr>
    </w:p>
    <w:p w14:paraId="68D5AC1F" w14:textId="083E8DA5" w:rsidR="00FF66B9" w:rsidRPr="00312A37" w:rsidRDefault="00FF66B9" w:rsidP="00312A37">
      <w:pPr>
        <w:rPr>
          <w:i/>
          <w:iCs/>
        </w:rPr>
      </w:pPr>
      <w:r w:rsidRPr="00312A37">
        <w:rPr>
          <w:i/>
          <w:iCs/>
        </w:rPr>
        <w:t xml:space="preserve">Paediatric population </w:t>
      </w:r>
    </w:p>
    <w:p w14:paraId="68391B18" w14:textId="4A99119A" w:rsidR="00FF66B9" w:rsidRPr="007F1A03" w:rsidRDefault="00FF66B9" w:rsidP="00FF66B9">
      <w:r w:rsidRPr="00FF66B9">
        <w:t xml:space="preserve">RYZODEG 70/30 has been administered to children (6-11 years) and adolescents (12-18 years) for the investigation of pharmacokinetic properties (see </w:t>
      </w:r>
      <w:r w:rsidR="00BC2460" w:rsidRPr="007F1A03">
        <w:t xml:space="preserve">section 5.2 </w:t>
      </w:r>
      <w:r w:rsidRPr="007F1A03">
        <w:t>Pharmacokinetic</w:t>
      </w:r>
      <w:r w:rsidR="00BC2460" w:rsidRPr="007F1A03">
        <w:t xml:space="preserve"> Propertie</w:t>
      </w:r>
      <w:r w:rsidRPr="007F1A03">
        <w:t xml:space="preserve">s). </w:t>
      </w:r>
      <w:r w:rsidR="00AA04A6" w:rsidRPr="007F1A03">
        <w:t>Clinical trials</w:t>
      </w:r>
      <w:r w:rsidRPr="007F1A03">
        <w:t xml:space="preserve"> have </w:t>
      </w:r>
      <w:r w:rsidR="00AA04A6" w:rsidRPr="007F1A03">
        <w:t xml:space="preserve"> </w:t>
      </w:r>
      <w:r w:rsidR="00553AA9" w:rsidRPr="007F1A03">
        <w:t xml:space="preserve">been </w:t>
      </w:r>
      <w:r w:rsidR="00AA04A6" w:rsidRPr="007F1A03">
        <w:t xml:space="preserve">performed </w:t>
      </w:r>
      <w:r w:rsidR="007E318F" w:rsidRPr="007F1A03">
        <w:t xml:space="preserve">in children aged </w:t>
      </w:r>
      <w:r w:rsidR="002E6B74" w:rsidRPr="007F1A03">
        <w:t>2</w:t>
      </w:r>
      <w:r w:rsidR="007F4EBF" w:rsidRPr="007F1A03">
        <w:t xml:space="preserve"> </w:t>
      </w:r>
      <w:r w:rsidR="007E318F" w:rsidRPr="007F1A03">
        <w:t>to 18 years</w:t>
      </w:r>
      <w:r w:rsidRPr="007F1A03">
        <w:t>.</w:t>
      </w:r>
      <w:r w:rsidR="007E318F" w:rsidRPr="007F1A03">
        <w:t xml:space="preserve"> The frequency, type and severity of adverse reactions in the paediatric population do not indicate differences to the experience in the general diabetes population with the exception of a signal of higher occurrence of severe hypoglycaemia compared to a basal-bolus regimen in the paediatric population (see section</w:t>
      </w:r>
      <w:r w:rsidR="00A34057" w:rsidRPr="007F1A03">
        <w:t>s</w:t>
      </w:r>
      <w:r w:rsidR="007E318F" w:rsidRPr="007F1A03">
        <w:t xml:space="preserve"> </w:t>
      </w:r>
      <w:r w:rsidR="00BC2460" w:rsidRPr="007F1A03">
        <w:t xml:space="preserve">4.2 </w:t>
      </w:r>
      <w:r w:rsidR="00A34057" w:rsidRPr="007F1A03">
        <w:t xml:space="preserve">Dose and Method of Administration, </w:t>
      </w:r>
      <w:r w:rsidR="00BC2460" w:rsidRPr="007F1A03">
        <w:t xml:space="preserve">4.4 </w:t>
      </w:r>
      <w:r w:rsidR="00A34057" w:rsidRPr="007F1A03">
        <w:t>Special Warnings and Precautions for Use’ and ‘Clinical trials’</w:t>
      </w:r>
      <w:r w:rsidR="007E318F" w:rsidRPr="007F1A03">
        <w:t xml:space="preserve">). </w:t>
      </w:r>
    </w:p>
    <w:p w14:paraId="0B2790AB" w14:textId="77777777" w:rsidR="00312A37" w:rsidRPr="007F1A03" w:rsidRDefault="00312A37" w:rsidP="00312A37">
      <w:pPr>
        <w:rPr>
          <w:i/>
          <w:iCs/>
        </w:rPr>
      </w:pPr>
    </w:p>
    <w:p w14:paraId="71D14EE4" w14:textId="5F66F08F" w:rsidR="00FF66B9" w:rsidRPr="007F1A03" w:rsidRDefault="00FF66B9" w:rsidP="00312A37">
      <w:pPr>
        <w:rPr>
          <w:i/>
          <w:iCs/>
        </w:rPr>
      </w:pPr>
      <w:r w:rsidRPr="007F1A03">
        <w:rPr>
          <w:i/>
          <w:iCs/>
        </w:rPr>
        <w:t>Other special populations</w:t>
      </w:r>
    </w:p>
    <w:p w14:paraId="05CC859B" w14:textId="77777777" w:rsidR="00FF66B9" w:rsidRPr="007F1A03" w:rsidRDefault="00FF66B9" w:rsidP="00FF66B9">
      <w:r w:rsidRPr="007F1A03">
        <w:t>Based on results from clinical trials, the frequency, type and severity of adverse reactions observed in the elderly patients and in patients with renal or hepatic impairment do not indicate any differences to the broader experience in the general population.</w:t>
      </w:r>
    </w:p>
    <w:p w14:paraId="122E39B1" w14:textId="6D451F0E" w:rsidR="00791929" w:rsidRPr="007F1A03" w:rsidRDefault="00791929" w:rsidP="00791929">
      <w:pPr>
        <w:pStyle w:val="Heading4"/>
      </w:pPr>
      <w:r w:rsidRPr="007F1A03">
        <w:rPr>
          <w:lang w:val="en-GB"/>
        </w:rPr>
        <w:t xml:space="preserve">Reporting </w:t>
      </w:r>
      <w:r w:rsidR="00A4379A" w:rsidRPr="007F1A03">
        <w:rPr>
          <w:lang w:val="en-GB"/>
        </w:rPr>
        <w:t xml:space="preserve">suspected </w:t>
      </w:r>
      <w:r w:rsidRPr="007F1A03">
        <w:rPr>
          <w:lang w:val="en-GB"/>
        </w:rPr>
        <w:t xml:space="preserve">adverse </w:t>
      </w:r>
      <w:r w:rsidR="00A4379A" w:rsidRPr="007F1A03">
        <w:rPr>
          <w:lang w:val="en-GB"/>
        </w:rPr>
        <w:t>effects</w:t>
      </w:r>
    </w:p>
    <w:p w14:paraId="1267FF7D" w14:textId="40F58569" w:rsidR="00C44B67" w:rsidRDefault="00791929" w:rsidP="00AD4BB0">
      <w:r w:rsidRPr="007F1A03">
        <w:t>Reporting suspected adverse reactions after registration of the medicinal</w:t>
      </w:r>
      <w:r w:rsidRPr="00C44B67">
        <w:t xml:space="preserve"> product is important. It allows continued monitoring of the benefit-risk balance of the medicinal product. Healthcare professionals are asked to report any suspected adverse reactions at </w:t>
      </w:r>
      <w:hyperlink r:id="rId9" w:history="1">
        <w:r w:rsidR="00E37FC8" w:rsidRPr="00E37FC8">
          <w:rPr>
            <w:rStyle w:val="Hyperlink"/>
          </w:rPr>
          <w:t>www.tga.gov.au/reporting-problems</w:t>
        </w:r>
      </w:hyperlink>
      <w:r w:rsidRPr="00C44B67">
        <w:t>.</w:t>
      </w:r>
    </w:p>
    <w:p w14:paraId="3AC11D20" w14:textId="77777777" w:rsidR="00C44B67" w:rsidRDefault="00C44B67" w:rsidP="00AD4BB0">
      <w:pPr>
        <w:pStyle w:val="Heading3"/>
      </w:pPr>
      <w:r>
        <w:lastRenderedPageBreak/>
        <w:t>4.9</w:t>
      </w:r>
      <w:r>
        <w:tab/>
        <w:t>Overdose</w:t>
      </w:r>
    </w:p>
    <w:p w14:paraId="1D872FBD" w14:textId="77777777" w:rsidR="007E05EA" w:rsidRPr="007E05EA" w:rsidRDefault="007E05EA" w:rsidP="007E05EA">
      <w:pPr>
        <w:rPr>
          <w:bCs/>
        </w:rPr>
      </w:pPr>
      <w:r w:rsidRPr="007E05EA">
        <w:rPr>
          <w:bCs/>
        </w:rPr>
        <w:t>A specific overdose for insulin cannot be defined; however, hypoglycaemia may develop over sequential stages if doses are administered which are too high relative to the patient’s requirements:</w:t>
      </w:r>
    </w:p>
    <w:p w14:paraId="663F3AB4" w14:textId="77777777" w:rsidR="007E05EA" w:rsidRPr="007E05EA" w:rsidRDefault="007E05EA" w:rsidP="007E05EA">
      <w:pPr>
        <w:numPr>
          <w:ilvl w:val="0"/>
          <w:numId w:val="11"/>
        </w:numPr>
        <w:rPr>
          <w:bCs/>
        </w:rPr>
      </w:pPr>
      <w:r w:rsidRPr="007E05EA">
        <w:rPr>
          <w:bCs/>
        </w:rPr>
        <w:t>Mild hypoglycaemic episodes can be treated by oral administration of glucose. It is therefore recommended that the patient always carries glucose-containing products. Adjustments in drug dosage, meal patterns, or exercise may be needed.</w:t>
      </w:r>
    </w:p>
    <w:p w14:paraId="22BBEB73" w14:textId="77777777" w:rsidR="007E05EA" w:rsidRPr="007E05EA" w:rsidRDefault="007E05EA" w:rsidP="007E05EA">
      <w:pPr>
        <w:numPr>
          <w:ilvl w:val="0"/>
          <w:numId w:val="11"/>
        </w:numPr>
        <w:rPr>
          <w:b/>
          <w:bCs/>
        </w:rPr>
      </w:pPr>
      <w:r w:rsidRPr="007E05EA">
        <w:rPr>
          <w:bCs/>
        </w:rPr>
        <w:t xml:space="preserve">Severe hypoglycaemic episodes, including where the patient is not able to treat themselves, can be treated with glucagon (0.5 to 1 mg) given intramuscularly or subcutaneously by a trained person, or with glucose given intravenously by a healthcare professional. Glucose must be given intravenously, if the patient does not respond to glucagon within 10 to 15 minutes. </w:t>
      </w:r>
      <w:r w:rsidRPr="007E05EA">
        <w:t>After apparent clinical recovery from hypoglycaemia, continued observation and additional carbohydrate intake may be necessary to avoid reoccurrence of hypoglycaemia.</w:t>
      </w:r>
    </w:p>
    <w:p w14:paraId="1E446F60" w14:textId="77777777" w:rsidR="007E05EA" w:rsidRDefault="007E05EA" w:rsidP="00AD4BB0"/>
    <w:p w14:paraId="42716C20" w14:textId="77777777" w:rsidR="00C44B67" w:rsidRDefault="00C44B67" w:rsidP="00AD4BB0">
      <w:r>
        <w:t>For information on the management of overdose, contact the Poisons Information Centre on 13 11 26 (Australia).</w:t>
      </w:r>
    </w:p>
    <w:p w14:paraId="07FB047F" w14:textId="77777777" w:rsidR="00C44B67" w:rsidRDefault="00C44B67" w:rsidP="00AD4BB0">
      <w:pPr>
        <w:pStyle w:val="Heading2"/>
      </w:pPr>
      <w:r>
        <w:t>5.</w:t>
      </w:r>
      <w:r>
        <w:tab/>
        <w:t>PHA</w:t>
      </w:r>
      <w:r w:rsidR="00AA1C28">
        <w:t>R</w:t>
      </w:r>
      <w:r>
        <w:t>MACOLOGICAL PROPERTIES</w:t>
      </w:r>
    </w:p>
    <w:p w14:paraId="43E831DC" w14:textId="05D8FB7C" w:rsidR="00C44B67" w:rsidRDefault="00C44B67" w:rsidP="00AD4BB0">
      <w:pPr>
        <w:pStyle w:val="Heading3"/>
      </w:pPr>
      <w:r>
        <w:t>5.1</w:t>
      </w:r>
      <w:r>
        <w:tab/>
        <w:t>Pharmacodynamic Properties</w:t>
      </w:r>
    </w:p>
    <w:p w14:paraId="70348395" w14:textId="29A8EC88" w:rsidR="008E4FA2" w:rsidRPr="008E4FA2" w:rsidRDefault="008E4FA2" w:rsidP="008E4FA2">
      <w:r w:rsidRPr="007F1A03">
        <w:rPr>
          <w:lang w:val="en-US"/>
        </w:rPr>
        <w:t>ATC code:</w:t>
      </w:r>
      <w:r w:rsidRPr="00D63457">
        <w:rPr>
          <w:lang w:val="en-US"/>
        </w:rPr>
        <w:t xml:space="preserve"> </w:t>
      </w:r>
      <w:r w:rsidRPr="00D63457">
        <w:rPr>
          <w:lang w:val="da-DK"/>
        </w:rPr>
        <w:t>A10AD06</w:t>
      </w:r>
    </w:p>
    <w:p w14:paraId="3DCDA7D4" w14:textId="77777777" w:rsidR="00C44B67" w:rsidRDefault="00C44B67" w:rsidP="00AD4BB0">
      <w:pPr>
        <w:pStyle w:val="Heading4"/>
      </w:pPr>
      <w:r>
        <w:t>Mechanism of action</w:t>
      </w:r>
    </w:p>
    <w:p w14:paraId="15AC40DE" w14:textId="77777777" w:rsidR="00C44B67" w:rsidRDefault="00DB28AD" w:rsidP="00AD4BB0">
      <w:r w:rsidRPr="00DB28AD">
        <w:t>Insulin degludec and insulin aspart bind to the human insulin receptor, resulting in the same pharmacological effects as human insulin. The blood glucose-lowering effect of insulin is due to the facilitated uptake of glucose following the binding of insulin to receptors on muscle and fat cells and to the simultaneous inhibition of glucose output from the liver.</w:t>
      </w:r>
    </w:p>
    <w:p w14:paraId="0C4137C1" w14:textId="77777777" w:rsidR="00DB28AD" w:rsidRDefault="00DB28AD" w:rsidP="00AD4BB0"/>
    <w:p w14:paraId="3D0495F2" w14:textId="77777777" w:rsidR="00DB28AD" w:rsidRPr="00DB28AD" w:rsidRDefault="00DB28AD" w:rsidP="00DB28AD">
      <w:r w:rsidRPr="00DB28AD">
        <w:t>The pharmacodynamic effect of RYZODEG 70/30 is distinctively separated for the two components (Figure 1) and the resulting action profile reflects the individual components, the rapid acting insulin aspart and the ultra-long acting insulin degludec. The ultra-long acting basal component of RYZODEG 70/30 (insulin degludec) forms soluble multi-hexamers upon subcutaneous injection of RYZODEG 70/30 resulting in a depot from which insulin degludec is continuously and slowly absorbed into the circulation leading to a flat and stable glucose-lowering effect. This effect is maintained in the co-formulation with insulin aspart and does not interfere with the rapid acting insulin aspart monomers.</w:t>
      </w:r>
    </w:p>
    <w:p w14:paraId="73F92C8B" w14:textId="77777777" w:rsidR="00DB28AD" w:rsidRPr="00DB28AD" w:rsidRDefault="00DB28AD" w:rsidP="00DB28AD"/>
    <w:p w14:paraId="392EC336" w14:textId="77777777" w:rsidR="00DB28AD" w:rsidRDefault="00DB28AD" w:rsidP="00AD4BB0">
      <w:r w:rsidRPr="00DB28AD">
        <w:t xml:space="preserve">RYZODEG 70/30 has a rapid onset of action occurring soon after injection providing mealtime coverage while the basal component has a flat, stable and ultra-long action profile providing continuous coverage of the basal insulin requirements. The duration of action of a single dose of RYZODEG 70/30 is beyond 24 hours. </w:t>
      </w:r>
    </w:p>
    <w:p w14:paraId="5203CC0D" w14:textId="77777777" w:rsidR="00DB28AD" w:rsidRDefault="00DB28AD" w:rsidP="00AD4BB0"/>
    <w:bookmarkStart w:id="4" w:name="_MON_1369139897"/>
    <w:bookmarkStart w:id="5" w:name="_MON_1374601563"/>
    <w:bookmarkStart w:id="6" w:name="_MON_1374601616"/>
    <w:bookmarkStart w:id="7" w:name="_MON_1374601624"/>
    <w:bookmarkStart w:id="8" w:name="_MON_1376808183"/>
    <w:bookmarkStart w:id="9" w:name="_MON_1376808297"/>
    <w:bookmarkStart w:id="10" w:name="_MON_1376815468"/>
    <w:bookmarkStart w:id="11" w:name="_MON_1376815686"/>
    <w:bookmarkStart w:id="12" w:name="_MON_1376815812"/>
    <w:bookmarkStart w:id="13" w:name="_MON_1376815823"/>
    <w:bookmarkStart w:id="14" w:name="_MON_1376820709"/>
    <w:bookmarkStart w:id="15" w:name="_MON_1376820752"/>
    <w:bookmarkStart w:id="16" w:name="_MON_1376820819"/>
    <w:bookmarkStart w:id="17" w:name="_MON_1369138588"/>
    <w:bookmarkStart w:id="18" w:name="_MON_1369138702"/>
    <w:bookmarkStart w:id="19" w:name="_MON_136913872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MON_1369138740"/>
    <w:bookmarkEnd w:id="20"/>
    <w:p w14:paraId="76B7FBF7" w14:textId="77777777" w:rsidR="00DB28AD" w:rsidRDefault="00DB28AD" w:rsidP="00AD4BB0">
      <w:pPr>
        <w:rPr>
          <w:sz w:val="22"/>
          <w:szCs w:val="22"/>
        </w:rPr>
      </w:pPr>
      <w:r w:rsidRPr="003A5413">
        <w:rPr>
          <w:sz w:val="22"/>
          <w:szCs w:val="22"/>
        </w:rPr>
        <w:object w:dxaOrig="5669" w:dyaOrig="3839" w14:anchorId="30EC7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75pt;height:190.95pt" o:ole="">
            <v:imagedata r:id="rId10" o:title=""/>
          </v:shape>
          <o:OLEObject Type="Embed" ProgID="Word.Picture.8" ShapeID="_x0000_i1025" DrawAspect="Content" ObjectID="_1658061232" r:id="rId11"/>
        </w:object>
      </w:r>
    </w:p>
    <w:p w14:paraId="0B4A2C7E" w14:textId="5CF79970" w:rsidR="00DB28AD" w:rsidRDefault="00DB28AD" w:rsidP="00DB28AD">
      <w:pPr>
        <w:rPr>
          <w:b/>
          <w:bCs/>
        </w:rPr>
      </w:pPr>
      <w:bookmarkStart w:id="21" w:name="_Toc300580791"/>
      <w:r w:rsidRPr="00DB28AD">
        <w:rPr>
          <w:b/>
          <w:bCs/>
        </w:rPr>
        <w:t xml:space="preserve">Figure </w:t>
      </w:r>
      <w:r w:rsidRPr="00DB28AD">
        <w:rPr>
          <w:b/>
          <w:bCs/>
        </w:rPr>
        <w:fldChar w:fldCharType="begin"/>
      </w:r>
      <w:r w:rsidRPr="00DB28AD">
        <w:rPr>
          <w:b/>
          <w:bCs/>
        </w:rPr>
        <w:instrText xml:space="preserve"> SEQ Figure \* ARABIC </w:instrText>
      </w:r>
      <w:r w:rsidRPr="00DB28AD">
        <w:rPr>
          <w:b/>
          <w:bCs/>
        </w:rPr>
        <w:fldChar w:fldCharType="separate"/>
      </w:r>
      <w:r w:rsidR="00A34057">
        <w:rPr>
          <w:b/>
          <w:bCs/>
          <w:noProof/>
        </w:rPr>
        <w:t>1</w:t>
      </w:r>
      <w:r w:rsidRPr="00DB28AD">
        <w:fldChar w:fldCharType="end"/>
      </w:r>
      <w:r w:rsidRPr="00DB28AD">
        <w:rPr>
          <w:b/>
          <w:bCs/>
        </w:rPr>
        <w:t xml:space="preserve">: Mean glucose infusion rate (GIR) profile of RYZODEG </w:t>
      </w:r>
      <w:r w:rsidRPr="00DB28AD">
        <w:rPr>
          <w:b/>
          <w:bCs/>
          <w:lang w:val="en-GB"/>
        </w:rPr>
        <w:t xml:space="preserve">70/30 </w:t>
      </w:r>
      <w:r w:rsidRPr="00DB28AD">
        <w:rPr>
          <w:b/>
          <w:bCs/>
        </w:rPr>
        <w:t>after single dose administration of 0.8 U/kg in type 1 diabetes mellitus (trial 3539)</w:t>
      </w:r>
      <w:bookmarkEnd w:id="21"/>
    </w:p>
    <w:p w14:paraId="379997B2" w14:textId="77777777" w:rsidR="00DB28AD" w:rsidRPr="00DB28AD" w:rsidRDefault="00DB28AD" w:rsidP="00DB28AD">
      <w:pPr>
        <w:rPr>
          <w:b/>
          <w:bCs/>
        </w:rPr>
      </w:pPr>
    </w:p>
    <w:p w14:paraId="1A5D4ACD" w14:textId="77777777" w:rsidR="00DB28AD" w:rsidRPr="00DB28AD" w:rsidRDefault="00DB28AD" w:rsidP="00DB28AD">
      <w:r w:rsidRPr="00DB28AD">
        <w:t xml:space="preserve">The total and maximum glucose-lowering effects of RYZODEG 70/30 increase linearly with increasing doses. Steady-state will occur after 2–3 days of dose administration. </w:t>
      </w:r>
    </w:p>
    <w:p w14:paraId="080B6AB9" w14:textId="77777777" w:rsidR="00DB28AD" w:rsidRPr="00DB28AD" w:rsidRDefault="00DB28AD" w:rsidP="00DB28AD"/>
    <w:p w14:paraId="390A034A" w14:textId="77777777" w:rsidR="00DB28AD" w:rsidRDefault="00DB28AD" w:rsidP="00AD4BB0">
      <w:r w:rsidRPr="00DB28AD">
        <w:t>There is no difference in the pharmacodynamic effect of RYZODEG 70/30 between elderly and younger subjects.</w:t>
      </w:r>
    </w:p>
    <w:p w14:paraId="502CFDAE" w14:textId="77777777" w:rsidR="00C44B67" w:rsidRDefault="00C44B67" w:rsidP="00AD4BB0">
      <w:pPr>
        <w:pStyle w:val="Heading4"/>
      </w:pPr>
      <w:r>
        <w:t>Clinical trials</w:t>
      </w:r>
    </w:p>
    <w:p w14:paraId="690CE735" w14:textId="77777777" w:rsidR="00FC598A" w:rsidRPr="00FC598A" w:rsidRDefault="00FC598A" w:rsidP="00FC598A">
      <w:r w:rsidRPr="00FC598A">
        <w:t>Five (plus one extension) multi-national, randomised, controlled, open-label, treat-to-target clinical trials of 26 weeks or 52 weeks duration were conducted exposing a total of 1360 subjects with diabetes mellitus (362 subjects in type 1 diabetes mellitus and 998 subjects in type 2 diabetes mellitus) to RYZODEG 70/30. RYZODEG 70/30 administered once daily plus oral antidiabetic drugs (OADs) was compared to insulin glargine (</w:t>
      </w:r>
      <w:proofErr w:type="spellStart"/>
      <w:r w:rsidRPr="00FC598A">
        <w:t>IGlar</w:t>
      </w:r>
      <w:proofErr w:type="spellEnd"/>
      <w:r w:rsidRPr="00FC598A">
        <w:t xml:space="preserve">) once daily plus OADs in two trials in type 2 diabetes mellitus. RYZODEG 70/30 once daily plus insulin </w:t>
      </w:r>
      <w:proofErr w:type="spellStart"/>
      <w:r w:rsidRPr="00FC598A">
        <w:t>aspart</w:t>
      </w:r>
      <w:proofErr w:type="spellEnd"/>
      <w:r w:rsidRPr="00FC598A">
        <w:t xml:space="preserve"> (</w:t>
      </w:r>
      <w:proofErr w:type="spellStart"/>
      <w:r w:rsidRPr="00FC598A">
        <w:t>IAsp</w:t>
      </w:r>
      <w:proofErr w:type="spellEnd"/>
      <w:r w:rsidRPr="00FC598A">
        <w:t xml:space="preserve">) was also compared to once daily or twice-daily insulin </w:t>
      </w:r>
      <w:proofErr w:type="spellStart"/>
      <w:r w:rsidRPr="00FC598A">
        <w:t>detemir</w:t>
      </w:r>
      <w:proofErr w:type="spellEnd"/>
      <w:r w:rsidRPr="00FC598A">
        <w:t xml:space="preserve"> (</w:t>
      </w:r>
      <w:proofErr w:type="spellStart"/>
      <w:r w:rsidRPr="00FC598A">
        <w:t>IDet</w:t>
      </w:r>
      <w:proofErr w:type="spellEnd"/>
      <w:r w:rsidRPr="00FC598A">
        <w:t xml:space="preserve">) plus </w:t>
      </w:r>
      <w:proofErr w:type="spellStart"/>
      <w:r w:rsidRPr="00FC598A">
        <w:t>IAsp</w:t>
      </w:r>
      <w:proofErr w:type="spellEnd"/>
      <w:r w:rsidRPr="00FC598A">
        <w:t xml:space="preserve"> in type 1 diabetes mellitus. RYZODEG 70/30 twice daily plus OADs was compared to biphasic insulin </w:t>
      </w:r>
      <w:proofErr w:type="spellStart"/>
      <w:r w:rsidRPr="00FC598A">
        <w:t>aspart</w:t>
      </w:r>
      <w:proofErr w:type="spellEnd"/>
      <w:r w:rsidRPr="00FC598A">
        <w:t xml:space="preserve"> 30 (</w:t>
      </w:r>
      <w:proofErr w:type="spellStart"/>
      <w:r w:rsidRPr="00FC598A">
        <w:t>BIAsp</w:t>
      </w:r>
      <w:proofErr w:type="spellEnd"/>
      <w:r w:rsidRPr="00FC598A">
        <w:t xml:space="preserve"> 30) twice daily plus OADs in two trials in type 2 diabetes mellitus. </w:t>
      </w:r>
      <w:proofErr w:type="spellStart"/>
      <w:r w:rsidRPr="00FC598A">
        <w:t>BIAsp</w:t>
      </w:r>
      <w:proofErr w:type="spellEnd"/>
      <w:r w:rsidRPr="00FC598A">
        <w:t xml:space="preserve"> 30 is a white suspension for subcutaneous injection consisting of 30% soluble insulin aspart and 70% protamine-crystallised insulin </w:t>
      </w:r>
      <w:proofErr w:type="spellStart"/>
      <w:r w:rsidRPr="00FC598A">
        <w:t>aspart</w:t>
      </w:r>
      <w:proofErr w:type="spellEnd"/>
      <w:r w:rsidRPr="00FC598A">
        <w:t xml:space="preserve">, marketed as </w:t>
      </w:r>
      <w:proofErr w:type="spellStart"/>
      <w:r w:rsidRPr="00FC598A">
        <w:t>NovoMix</w:t>
      </w:r>
      <w:proofErr w:type="spellEnd"/>
      <w:r w:rsidRPr="00FC598A">
        <w:rPr>
          <w:vertAlign w:val="superscript"/>
        </w:rPr>
        <w:t>®</w:t>
      </w:r>
      <w:r w:rsidRPr="00FC598A">
        <w:t xml:space="preserve"> 30. </w:t>
      </w:r>
    </w:p>
    <w:p w14:paraId="2F0EC4C8" w14:textId="77777777" w:rsidR="00FC598A" w:rsidRPr="00FC598A" w:rsidRDefault="00FC598A" w:rsidP="00FC598A"/>
    <w:p w14:paraId="649FEF0A" w14:textId="77777777" w:rsidR="00FC598A" w:rsidRPr="00FC598A" w:rsidRDefault="00FC598A" w:rsidP="00FC598A">
      <w:r w:rsidRPr="00FC598A">
        <w:t>Efficacy and safety of once daily and twice daily mealtime dosing of RYZODEG 70/30 either for insulin initiation or insulin intensification were confirmed. RYZODEG 70/30 effectively improved glycaemic control as measured by HbA</w:t>
      </w:r>
      <w:r w:rsidRPr="00FC598A">
        <w:rPr>
          <w:vertAlign w:val="subscript"/>
        </w:rPr>
        <w:t>1c</w:t>
      </w:r>
      <w:r w:rsidRPr="00FC598A">
        <w:t>. Non-inferiority of change from baseline to end-of-trial of HbA</w:t>
      </w:r>
      <w:r w:rsidRPr="00FC598A">
        <w:rPr>
          <w:vertAlign w:val="subscript"/>
        </w:rPr>
        <w:t>1c</w:t>
      </w:r>
      <w:r w:rsidRPr="00FC598A">
        <w:t xml:space="preserve"> was confirmed in all trials against all comparators, when treating subjects to target. All trials comparing insulin products were carried out using a treat-to-target design, where titration of basal insulin was based on pre-breakfast glucose values in order to achieve similar degrees of glycaemic control allowing for objective comparison of overall safety profile of the tested insulins, including risk of hypoglycaemia. </w:t>
      </w:r>
    </w:p>
    <w:p w14:paraId="66A25049" w14:textId="77777777" w:rsidR="00FC598A" w:rsidRPr="00FC598A" w:rsidRDefault="00FC598A" w:rsidP="00FC598A"/>
    <w:p w14:paraId="7BEEF1CF" w14:textId="21C64C5C" w:rsidR="00FC598A" w:rsidRPr="00FC598A" w:rsidRDefault="00FC598A" w:rsidP="00D11AB9">
      <w:pPr>
        <w:pageBreakBefore/>
      </w:pPr>
      <w:r w:rsidRPr="00FC598A">
        <w:lastRenderedPageBreak/>
        <w:t xml:space="preserve">In a non-blinded, treat-to-target clinical trial (trial 3590), insulin-naïve adult subjects with type 2 diabetes mellitus were randomised to 26 weeks of treatment with RYZODEG 70/30 + metformin (Met) or </w:t>
      </w:r>
      <w:proofErr w:type="spellStart"/>
      <w:r w:rsidRPr="00FC598A">
        <w:t>IGlar</w:t>
      </w:r>
      <w:proofErr w:type="spellEnd"/>
      <w:r w:rsidRPr="00FC598A">
        <w:t xml:space="preserve"> + Met. RYZODEG 70/30 was administered once daily at breakfast. </w:t>
      </w:r>
      <w:proofErr w:type="spellStart"/>
      <w:r w:rsidRPr="00FC598A">
        <w:t>IGlar</w:t>
      </w:r>
      <w:proofErr w:type="spellEnd"/>
      <w:r w:rsidRPr="00FC598A">
        <w:t xml:space="preserve"> was administered once daily according to approved labelling. All subjects started on 10 U of either RYZODEG 70/30 or </w:t>
      </w:r>
      <w:proofErr w:type="spellStart"/>
      <w:r w:rsidRPr="00FC598A">
        <w:t>IGlar</w:t>
      </w:r>
      <w:proofErr w:type="spellEnd"/>
      <w:r w:rsidRPr="00FC598A">
        <w:t xml:space="preserve">. RYZODEG 70/30 and </w:t>
      </w:r>
      <w:proofErr w:type="spellStart"/>
      <w:r w:rsidRPr="00FC598A">
        <w:t>IGlar</w:t>
      </w:r>
      <w:proofErr w:type="spellEnd"/>
      <w:r w:rsidRPr="00FC598A">
        <w:t xml:space="preserve"> groups had similar HbA</w:t>
      </w:r>
      <w:r w:rsidRPr="00FC598A">
        <w:rPr>
          <w:vertAlign w:val="subscript"/>
        </w:rPr>
        <w:t>1c</w:t>
      </w:r>
      <w:r w:rsidRPr="00FC598A">
        <w:t xml:space="preserve"> levels with </w:t>
      </w:r>
      <w:proofErr w:type="spellStart"/>
      <w:r w:rsidRPr="00FC598A">
        <w:t>IGlar</w:t>
      </w:r>
      <w:proofErr w:type="spellEnd"/>
      <w:r w:rsidRPr="00FC598A">
        <w:t xml:space="preserve"> resulting in lower </w:t>
      </w:r>
      <w:r w:rsidRPr="00FC598A">
        <w:rPr>
          <w:iCs/>
        </w:rPr>
        <w:t>fasting plasma glucose</w:t>
      </w:r>
      <w:r w:rsidRPr="00FC598A">
        <w:t xml:space="preserve"> (FPG) levels. Treatment with RYZODEG 70/30 resulted in higher rates of confirmed hypoglycaemia but lower rates of nocturnal confirmed hypoglycaemia compared to </w:t>
      </w:r>
      <w:proofErr w:type="spellStart"/>
      <w:r w:rsidRPr="00FC598A">
        <w:t>IGlar</w:t>
      </w:r>
      <w:proofErr w:type="spellEnd"/>
      <w:r w:rsidRPr="00FC598A">
        <w:t xml:space="preserve"> (see Table </w:t>
      </w:r>
      <w:r w:rsidR="00B15689">
        <w:t>5</w:t>
      </w:r>
      <w:r w:rsidRPr="00FC598A">
        <w:t>).</w:t>
      </w:r>
    </w:p>
    <w:p w14:paraId="18BF849E" w14:textId="77777777" w:rsidR="00FC598A" w:rsidRPr="00FC598A" w:rsidRDefault="00FC598A" w:rsidP="00FC598A"/>
    <w:p w14:paraId="064F62F7" w14:textId="4F6C23C3" w:rsidR="00FC598A" w:rsidRPr="00FC598A" w:rsidRDefault="00FC598A" w:rsidP="00FC598A">
      <w:pPr>
        <w:rPr>
          <w:iCs/>
        </w:rPr>
      </w:pPr>
      <w:r w:rsidRPr="00FC598A">
        <w:rPr>
          <w:iCs/>
        </w:rPr>
        <w:t>In a non-blinded, treat-to-target clinical trial (</w:t>
      </w:r>
      <w:r w:rsidRPr="00FC598A">
        <w:t>trial</w:t>
      </w:r>
      <w:r w:rsidRPr="00FC598A">
        <w:rPr>
          <w:iCs/>
        </w:rPr>
        <w:t xml:space="preserve"> 3593), adult </w:t>
      </w:r>
      <w:r w:rsidRPr="00FC598A">
        <w:t>subjects</w:t>
      </w:r>
      <w:r w:rsidRPr="00FC598A">
        <w:rPr>
          <w:iCs/>
        </w:rPr>
        <w:t xml:space="preserve"> with type 2 diabetes mellitus who were inadequately controlled with basal insulin </w:t>
      </w:r>
      <w:r w:rsidRPr="00FC598A">
        <w:t>once daily</w:t>
      </w:r>
      <w:r w:rsidRPr="00FC598A">
        <w:rPr>
          <w:iCs/>
        </w:rPr>
        <w:t xml:space="preserve"> + OADs were randomised to 26 weeks of treatment with RYZODEG </w:t>
      </w:r>
      <w:r w:rsidRPr="00FC598A">
        <w:t>70/30 once daily</w:t>
      </w:r>
      <w:r w:rsidRPr="00FC598A">
        <w:rPr>
          <w:iCs/>
        </w:rPr>
        <w:t xml:space="preserve"> or </w:t>
      </w:r>
      <w:proofErr w:type="spellStart"/>
      <w:r w:rsidRPr="00FC598A">
        <w:rPr>
          <w:iCs/>
        </w:rPr>
        <w:t>IGlar</w:t>
      </w:r>
      <w:proofErr w:type="spellEnd"/>
      <w:r w:rsidRPr="00FC598A">
        <w:rPr>
          <w:iCs/>
        </w:rPr>
        <w:t xml:space="preserve"> </w:t>
      </w:r>
      <w:r w:rsidRPr="00FC598A">
        <w:t>once daily</w:t>
      </w:r>
      <w:r w:rsidRPr="00FC598A">
        <w:rPr>
          <w:iCs/>
        </w:rPr>
        <w:t xml:space="preserve">, both in combination with Met ± pioglitazone (Pio) ± DPP-4 inhibitor. All subjects initiated trial insulin treatment by switching on a unit-to-unit basis from the basal insulin they received before randomisation. Subjects administered RYZODEG </w:t>
      </w:r>
      <w:r w:rsidRPr="00FC598A">
        <w:t>70/30 once daily</w:t>
      </w:r>
      <w:r w:rsidRPr="00FC598A">
        <w:rPr>
          <w:iCs/>
        </w:rPr>
        <w:t xml:space="preserve"> with either the evening meal or the largest meal or administered </w:t>
      </w:r>
      <w:proofErr w:type="spellStart"/>
      <w:r w:rsidRPr="00FC598A">
        <w:rPr>
          <w:iCs/>
        </w:rPr>
        <w:t>IGlar</w:t>
      </w:r>
      <w:proofErr w:type="spellEnd"/>
      <w:r w:rsidRPr="00FC598A">
        <w:rPr>
          <w:iCs/>
        </w:rPr>
        <w:t xml:space="preserve"> </w:t>
      </w:r>
      <w:r w:rsidRPr="00FC598A">
        <w:t>once daily</w:t>
      </w:r>
      <w:r w:rsidRPr="00FC598A">
        <w:rPr>
          <w:iCs/>
        </w:rPr>
        <w:t xml:space="preserve"> according to approved labelling. RYZODEG </w:t>
      </w:r>
      <w:r w:rsidRPr="00FC598A">
        <w:t xml:space="preserve">70/30 </w:t>
      </w:r>
      <w:r w:rsidRPr="00FC598A">
        <w:rPr>
          <w:iCs/>
        </w:rPr>
        <w:t xml:space="preserve">and </w:t>
      </w:r>
      <w:proofErr w:type="spellStart"/>
      <w:r w:rsidRPr="00FC598A">
        <w:rPr>
          <w:iCs/>
        </w:rPr>
        <w:t>IGlar</w:t>
      </w:r>
      <w:proofErr w:type="spellEnd"/>
      <w:r w:rsidRPr="00FC598A">
        <w:rPr>
          <w:iCs/>
        </w:rPr>
        <w:t xml:space="preserve"> groups had similar HbA</w:t>
      </w:r>
      <w:r w:rsidRPr="00FC598A">
        <w:rPr>
          <w:iCs/>
          <w:vertAlign w:val="subscript"/>
        </w:rPr>
        <w:t>1c</w:t>
      </w:r>
      <w:r w:rsidRPr="00FC598A">
        <w:rPr>
          <w:iCs/>
        </w:rPr>
        <w:t xml:space="preserve"> and FPG levels. Treatment with RYZODEG </w:t>
      </w:r>
      <w:r w:rsidRPr="00FC598A">
        <w:t xml:space="preserve">70/30 </w:t>
      </w:r>
      <w:r w:rsidRPr="00FC598A">
        <w:rPr>
          <w:iCs/>
        </w:rPr>
        <w:t xml:space="preserve">resulted in higher rates of confirmed hypoglycaemia but similar rates of nocturnal confirmed hypoglycaemia compared to </w:t>
      </w:r>
      <w:proofErr w:type="spellStart"/>
      <w:r w:rsidRPr="00FC598A">
        <w:rPr>
          <w:iCs/>
        </w:rPr>
        <w:t>IGlar</w:t>
      </w:r>
      <w:proofErr w:type="spellEnd"/>
      <w:r w:rsidRPr="00FC598A">
        <w:rPr>
          <w:iCs/>
        </w:rPr>
        <w:t xml:space="preserve"> (see </w:t>
      </w:r>
      <w:r w:rsidRPr="00FC598A">
        <w:t xml:space="preserve">Table </w:t>
      </w:r>
      <w:r w:rsidR="00B15689">
        <w:t>5</w:t>
      </w:r>
      <w:r w:rsidRPr="00FC598A">
        <w:rPr>
          <w:iCs/>
        </w:rPr>
        <w:t>).</w:t>
      </w:r>
    </w:p>
    <w:p w14:paraId="2E944EBC" w14:textId="77777777" w:rsidR="00FC598A" w:rsidRPr="00FC598A" w:rsidRDefault="00FC598A" w:rsidP="00FC598A">
      <w:pPr>
        <w:rPr>
          <w:iCs/>
        </w:rPr>
      </w:pPr>
    </w:p>
    <w:p w14:paraId="0A9D5432" w14:textId="77777777" w:rsidR="00FC598A" w:rsidRPr="00FC598A" w:rsidRDefault="00FC598A" w:rsidP="00FC598A">
      <w:r w:rsidRPr="00FC598A">
        <w:t xml:space="preserve">The use of RYZODEG 70/30 in combination with </w:t>
      </w:r>
      <w:proofErr w:type="spellStart"/>
      <w:r w:rsidRPr="00FC598A">
        <w:t>sulphonylureas</w:t>
      </w:r>
      <w:proofErr w:type="spellEnd"/>
      <w:r w:rsidRPr="00FC598A">
        <w:t>, GLP-1 agonists, alpha-glucosidase inhibitors and SGLT-2 inhibitors has not been studied.</w:t>
      </w:r>
    </w:p>
    <w:p w14:paraId="50B3CA18" w14:textId="77777777" w:rsidR="00C44B67" w:rsidRDefault="00C44B67" w:rsidP="00AD4BB0"/>
    <w:p w14:paraId="1C5CE2F2" w14:textId="02A4CE7A" w:rsidR="00FC598A" w:rsidRPr="00FC598A" w:rsidRDefault="00FC598A" w:rsidP="00AD4BB0">
      <w:pPr>
        <w:rPr>
          <w:b/>
        </w:rPr>
      </w:pPr>
      <w:r w:rsidRPr="00FC598A">
        <w:rPr>
          <w:b/>
        </w:rPr>
        <w:t xml:space="preserve">Table </w:t>
      </w:r>
      <w:r w:rsidRPr="00FC598A">
        <w:rPr>
          <w:b/>
        </w:rPr>
        <w:fldChar w:fldCharType="begin"/>
      </w:r>
      <w:r w:rsidRPr="00FC598A">
        <w:rPr>
          <w:b/>
        </w:rPr>
        <w:instrText xml:space="preserve"> SEQ Table \* ARABIC </w:instrText>
      </w:r>
      <w:r w:rsidRPr="00FC598A">
        <w:rPr>
          <w:b/>
        </w:rPr>
        <w:fldChar w:fldCharType="separate"/>
      </w:r>
      <w:r w:rsidR="00A34057">
        <w:rPr>
          <w:b/>
          <w:noProof/>
        </w:rPr>
        <w:t>5</w:t>
      </w:r>
      <w:r w:rsidRPr="00FC598A">
        <w:rPr>
          <w:b/>
        </w:rPr>
        <w:fldChar w:fldCharType="end"/>
      </w:r>
      <w:r w:rsidRPr="00FC598A">
        <w:rPr>
          <w:b/>
        </w:rPr>
        <w:t>: Results of two 26-weeks trials of RYZODEG 70/30 once daily versus insulin glargine once daily in type 2 diabetes mellitus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323"/>
        <w:gridCol w:w="1405"/>
        <w:gridCol w:w="1479"/>
        <w:gridCol w:w="1480"/>
        <w:gridCol w:w="1329"/>
      </w:tblGrid>
      <w:tr w:rsidR="00FC598A" w:rsidRPr="00FC598A" w14:paraId="5BA4E74A" w14:textId="77777777" w:rsidTr="00D11AB9">
        <w:trPr>
          <w:tblHeader/>
        </w:trPr>
        <w:tc>
          <w:tcPr>
            <w:tcW w:w="1843" w:type="pct"/>
            <w:shd w:val="clear" w:color="auto" w:fill="auto"/>
          </w:tcPr>
          <w:p w14:paraId="327B2ACB" w14:textId="77777777" w:rsidR="00FC598A" w:rsidRPr="00FC598A" w:rsidRDefault="00FC598A" w:rsidP="00FC598A">
            <w:pPr>
              <w:rPr>
                <w:sz w:val="20"/>
                <w:szCs w:val="20"/>
              </w:rPr>
            </w:pPr>
          </w:p>
        </w:tc>
        <w:tc>
          <w:tcPr>
            <w:tcW w:w="1599" w:type="pct"/>
            <w:gridSpan w:val="2"/>
            <w:shd w:val="clear" w:color="auto" w:fill="auto"/>
          </w:tcPr>
          <w:p w14:paraId="3A256F29" w14:textId="77777777" w:rsidR="00FC598A" w:rsidRPr="00FC598A" w:rsidRDefault="00FC598A" w:rsidP="00FC598A">
            <w:pPr>
              <w:rPr>
                <w:sz w:val="20"/>
                <w:szCs w:val="20"/>
              </w:rPr>
            </w:pPr>
            <w:r w:rsidRPr="00FC598A">
              <w:rPr>
                <w:b/>
                <w:sz w:val="20"/>
                <w:szCs w:val="20"/>
              </w:rPr>
              <w:t>Trial 3590</w:t>
            </w:r>
          </w:p>
        </w:tc>
        <w:tc>
          <w:tcPr>
            <w:tcW w:w="1558" w:type="pct"/>
            <w:gridSpan w:val="2"/>
            <w:shd w:val="clear" w:color="auto" w:fill="auto"/>
          </w:tcPr>
          <w:p w14:paraId="49264153" w14:textId="77777777" w:rsidR="00FC598A" w:rsidRPr="00FC598A" w:rsidRDefault="00FC598A" w:rsidP="00FC598A">
            <w:pPr>
              <w:rPr>
                <w:sz w:val="20"/>
                <w:szCs w:val="20"/>
              </w:rPr>
            </w:pPr>
            <w:r w:rsidRPr="00FC598A">
              <w:rPr>
                <w:b/>
                <w:sz w:val="20"/>
                <w:szCs w:val="20"/>
              </w:rPr>
              <w:t>Trial 3593</w:t>
            </w:r>
          </w:p>
        </w:tc>
      </w:tr>
      <w:tr w:rsidR="00FC598A" w:rsidRPr="00FC598A" w14:paraId="09A6724F" w14:textId="77777777" w:rsidTr="00D11AB9">
        <w:trPr>
          <w:trHeight w:hRule="exact" w:val="1814"/>
          <w:tblHeader/>
        </w:trPr>
        <w:tc>
          <w:tcPr>
            <w:tcW w:w="1843" w:type="pct"/>
            <w:tcBorders>
              <w:bottom w:val="nil"/>
            </w:tcBorders>
            <w:shd w:val="clear" w:color="auto" w:fill="auto"/>
          </w:tcPr>
          <w:p w14:paraId="6049EF6D" w14:textId="77777777" w:rsidR="00FC598A" w:rsidRPr="00FC598A" w:rsidRDefault="00FC598A" w:rsidP="00FC598A">
            <w:pPr>
              <w:rPr>
                <w:sz w:val="20"/>
                <w:szCs w:val="20"/>
              </w:rPr>
            </w:pPr>
          </w:p>
        </w:tc>
        <w:tc>
          <w:tcPr>
            <w:tcW w:w="779" w:type="pct"/>
            <w:tcBorders>
              <w:top w:val="single" w:sz="6" w:space="0" w:color="auto"/>
              <w:bottom w:val="nil"/>
            </w:tcBorders>
            <w:shd w:val="clear" w:color="auto" w:fill="auto"/>
          </w:tcPr>
          <w:p w14:paraId="0F7317DF" w14:textId="77777777" w:rsidR="00FC598A" w:rsidRPr="00FC598A" w:rsidRDefault="00FC598A" w:rsidP="00FC598A">
            <w:pPr>
              <w:rPr>
                <w:sz w:val="20"/>
                <w:szCs w:val="20"/>
              </w:rPr>
            </w:pPr>
            <w:r w:rsidRPr="00FC598A">
              <w:rPr>
                <w:sz w:val="20"/>
                <w:szCs w:val="20"/>
              </w:rPr>
              <w:t xml:space="preserve">RYZODEG 70/30 once daily </w:t>
            </w:r>
          </w:p>
          <w:p w14:paraId="70E4F7AA" w14:textId="6B21ABE0" w:rsidR="00FC598A" w:rsidRPr="00FC598A" w:rsidRDefault="00FC598A" w:rsidP="00D11AB9">
            <w:pPr>
              <w:rPr>
                <w:sz w:val="20"/>
                <w:szCs w:val="20"/>
              </w:rPr>
            </w:pPr>
            <w:r w:rsidRPr="00FC598A">
              <w:rPr>
                <w:sz w:val="20"/>
                <w:szCs w:val="20"/>
              </w:rPr>
              <w:t>+ Metformin</w:t>
            </w:r>
          </w:p>
        </w:tc>
        <w:tc>
          <w:tcPr>
            <w:tcW w:w="820" w:type="pct"/>
            <w:tcBorders>
              <w:bottom w:val="nil"/>
            </w:tcBorders>
            <w:shd w:val="clear" w:color="auto" w:fill="auto"/>
          </w:tcPr>
          <w:p w14:paraId="1AFE3603" w14:textId="77777777" w:rsidR="00FC598A" w:rsidRPr="00FC598A" w:rsidRDefault="00FC598A" w:rsidP="00FC598A">
            <w:pPr>
              <w:rPr>
                <w:sz w:val="20"/>
                <w:szCs w:val="20"/>
              </w:rPr>
            </w:pPr>
            <w:proofErr w:type="spellStart"/>
            <w:r w:rsidRPr="00FC598A">
              <w:rPr>
                <w:sz w:val="20"/>
                <w:szCs w:val="20"/>
              </w:rPr>
              <w:t>IGlar</w:t>
            </w:r>
            <w:proofErr w:type="spellEnd"/>
            <w:r w:rsidRPr="00FC598A">
              <w:rPr>
                <w:sz w:val="20"/>
                <w:szCs w:val="20"/>
              </w:rPr>
              <w:t xml:space="preserve"> once daily  </w:t>
            </w:r>
          </w:p>
          <w:p w14:paraId="41B94122" w14:textId="0E7F0283" w:rsidR="00FC598A" w:rsidRPr="00FC598A" w:rsidRDefault="00FC598A" w:rsidP="00D11AB9">
            <w:pPr>
              <w:rPr>
                <w:sz w:val="20"/>
                <w:szCs w:val="20"/>
              </w:rPr>
            </w:pPr>
            <w:r w:rsidRPr="00FC598A">
              <w:rPr>
                <w:sz w:val="20"/>
                <w:szCs w:val="20"/>
              </w:rPr>
              <w:t xml:space="preserve">+ Metformin </w:t>
            </w:r>
          </w:p>
        </w:tc>
        <w:tc>
          <w:tcPr>
            <w:tcW w:w="821" w:type="pct"/>
            <w:tcBorders>
              <w:bottom w:val="nil"/>
            </w:tcBorders>
            <w:shd w:val="clear" w:color="auto" w:fill="auto"/>
          </w:tcPr>
          <w:p w14:paraId="7B049CE6" w14:textId="77777777" w:rsidR="00FC598A" w:rsidRPr="00FC598A" w:rsidRDefault="00FC598A" w:rsidP="00FC598A">
            <w:pPr>
              <w:rPr>
                <w:sz w:val="20"/>
                <w:szCs w:val="20"/>
              </w:rPr>
            </w:pPr>
            <w:r w:rsidRPr="00FC598A">
              <w:rPr>
                <w:sz w:val="20"/>
                <w:szCs w:val="20"/>
              </w:rPr>
              <w:t xml:space="preserve">RYZODEG </w:t>
            </w:r>
            <w:r w:rsidRPr="00FC598A">
              <w:rPr>
                <w:sz w:val="20"/>
                <w:szCs w:val="20"/>
                <w:lang w:val="en-GB"/>
              </w:rPr>
              <w:t xml:space="preserve">70/30 </w:t>
            </w:r>
            <w:r w:rsidRPr="00FC598A">
              <w:rPr>
                <w:sz w:val="20"/>
                <w:szCs w:val="20"/>
              </w:rPr>
              <w:t xml:space="preserve">once daily </w:t>
            </w:r>
          </w:p>
          <w:p w14:paraId="7B0424CD" w14:textId="77777777" w:rsidR="00FC598A" w:rsidRPr="00FC598A" w:rsidRDefault="00FC598A" w:rsidP="00FC598A">
            <w:pPr>
              <w:rPr>
                <w:sz w:val="20"/>
                <w:szCs w:val="20"/>
              </w:rPr>
            </w:pPr>
            <w:r w:rsidRPr="00FC598A">
              <w:rPr>
                <w:sz w:val="20"/>
                <w:szCs w:val="20"/>
              </w:rPr>
              <w:t xml:space="preserve">+ Metformin </w:t>
            </w:r>
          </w:p>
          <w:p w14:paraId="6904D969" w14:textId="77777777" w:rsidR="00FC598A" w:rsidRPr="00FC598A" w:rsidRDefault="00FC598A" w:rsidP="00FC598A">
            <w:pPr>
              <w:rPr>
                <w:sz w:val="20"/>
                <w:szCs w:val="20"/>
              </w:rPr>
            </w:pPr>
            <w:r w:rsidRPr="00FC598A">
              <w:rPr>
                <w:sz w:val="20"/>
                <w:szCs w:val="20"/>
              </w:rPr>
              <w:t>± pioglitazone</w:t>
            </w:r>
          </w:p>
          <w:p w14:paraId="7A15849B" w14:textId="059C23F9" w:rsidR="00FC598A" w:rsidRPr="00FC598A" w:rsidRDefault="00FC598A" w:rsidP="00D11AB9">
            <w:pPr>
              <w:rPr>
                <w:sz w:val="20"/>
                <w:szCs w:val="20"/>
              </w:rPr>
            </w:pPr>
            <w:r w:rsidRPr="00FC598A">
              <w:rPr>
                <w:sz w:val="20"/>
                <w:szCs w:val="20"/>
              </w:rPr>
              <w:t xml:space="preserve">± DPP-4 inhibitor </w:t>
            </w:r>
          </w:p>
        </w:tc>
        <w:tc>
          <w:tcPr>
            <w:tcW w:w="737" w:type="pct"/>
            <w:tcBorders>
              <w:bottom w:val="nil"/>
            </w:tcBorders>
            <w:shd w:val="clear" w:color="auto" w:fill="auto"/>
          </w:tcPr>
          <w:p w14:paraId="268D2AFE" w14:textId="77777777" w:rsidR="00FC598A" w:rsidRPr="00FC598A" w:rsidRDefault="00FC598A" w:rsidP="00FC598A">
            <w:pPr>
              <w:rPr>
                <w:sz w:val="20"/>
                <w:szCs w:val="20"/>
              </w:rPr>
            </w:pPr>
            <w:proofErr w:type="spellStart"/>
            <w:r w:rsidRPr="00FC598A">
              <w:rPr>
                <w:sz w:val="20"/>
                <w:szCs w:val="20"/>
              </w:rPr>
              <w:t>IGlar</w:t>
            </w:r>
            <w:proofErr w:type="spellEnd"/>
            <w:r w:rsidRPr="00FC598A">
              <w:rPr>
                <w:sz w:val="20"/>
                <w:szCs w:val="20"/>
              </w:rPr>
              <w:t xml:space="preserve"> once daily         </w:t>
            </w:r>
          </w:p>
          <w:p w14:paraId="10B70F58" w14:textId="77777777" w:rsidR="00FC598A" w:rsidRPr="00FC598A" w:rsidRDefault="00FC598A" w:rsidP="00FC598A">
            <w:pPr>
              <w:rPr>
                <w:sz w:val="20"/>
                <w:szCs w:val="20"/>
              </w:rPr>
            </w:pPr>
            <w:r w:rsidRPr="00FC598A">
              <w:rPr>
                <w:sz w:val="20"/>
                <w:szCs w:val="20"/>
              </w:rPr>
              <w:t xml:space="preserve">+ Metformin </w:t>
            </w:r>
          </w:p>
          <w:p w14:paraId="59D457DE" w14:textId="77777777" w:rsidR="00FC598A" w:rsidRPr="00FC598A" w:rsidRDefault="00FC598A" w:rsidP="00FC598A">
            <w:pPr>
              <w:rPr>
                <w:sz w:val="20"/>
                <w:szCs w:val="20"/>
              </w:rPr>
            </w:pPr>
            <w:r w:rsidRPr="00FC598A">
              <w:rPr>
                <w:sz w:val="20"/>
                <w:szCs w:val="20"/>
              </w:rPr>
              <w:t>± pioglitazone</w:t>
            </w:r>
          </w:p>
          <w:p w14:paraId="423BC2A1" w14:textId="2FE73556" w:rsidR="00FC598A" w:rsidRPr="00FC598A" w:rsidRDefault="00FC598A" w:rsidP="00D11AB9">
            <w:pPr>
              <w:rPr>
                <w:sz w:val="20"/>
                <w:szCs w:val="20"/>
              </w:rPr>
            </w:pPr>
            <w:r w:rsidRPr="00FC598A">
              <w:rPr>
                <w:sz w:val="20"/>
                <w:szCs w:val="20"/>
              </w:rPr>
              <w:t xml:space="preserve">± DPP-4 inhibitor </w:t>
            </w:r>
          </w:p>
        </w:tc>
      </w:tr>
      <w:tr w:rsidR="00FC598A" w:rsidRPr="00FC598A" w14:paraId="400C6047" w14:textId="77777777" w:rsidTr="00D11AB9">
        <w:trPr>
          <w:tblHeader/>
        </w:trPr>
        <w:tc>
          <w:tcPr>
            <w:tcW w:w="1843" w:type="pct"/>
            <w:tcBorders>
              <w:top w:val="nil"/>
              <w:bottom w:val="single" w:sz="6" w:space="0" w:color="auto"/>
            </w:tcBorders>
            <w:shd w:val="clear" w:color="auto" w:fill="auto"/>
          </w:tcPr>
          <w:p w14:paraId="517BEFAE" w14:textId="77777777" w:rsidR="00FC598A" w:rsidRPr="00FC598A" w:rsidRDefault="00FC598A" w:rsidP="00FC598A">
            <w:pPr>
              <w:rPr>
                <w:sz w:val="20"/>
                <w:szCs w:val="20"/>
              </w:rPr>
            </w:pPr>
          </w:p>
        </w:tc>
        <w:tc>
          <w:tcPr>
            <w:tcW w:w="779" w:type="pct"/>
            <w:tcBorders>
              <w:top w:val="nil"/>
              <w:bottom w:val="single" w:sz="4" w:space="0" w:color="auto"/>
            </w:tcBorders>
            <w:shd w:val="clear" w:color="auto" w:fill="auto"/>
          </w:tcPr>
          <w:p w14:paraId="1AA6BBC8" w14:textId="77777777" w:rsidR="00FC598A" w:rsidRPr="00FC598A" w:rsidRDefault="00FC598A" w:rsidP="00FC598A">
            <w:pPr>
              <w:rPr>
                <w:sz w:val="20"/>
                <w:szCs w:val="20"/>
              </w:rPr>
            </w:pPr>
            <w:r w:rsidRPr="00FC598A">
              <w:rPr>
                <w:sz w:val="20"/>
                <w:szCs w:val="20"/>
              </w:rPr>
              <w:t>Insulin naïve</w:t>
            </w:r>
          </w:p>
        </w:tc>
        <w:tc>
          <w:tcPr>
            <w:tcW w:w="820" w:type="pct"/>
            <w:tcBorders>
              <w:top w:val="nil"/>
              <w:bottom w:val="single" w:sz="4" w:space="0" w:color="auto"/>
            </w:tcBorders>
            <w:shd w:val="clear" w:color="auto" w:fill="auto"/>
          </w:tcPr>
          <w:p w14:paraId="097EABC5" w14:textId="77777777" w:rsidR="00FC598A" w:rsidRPr="00FC598A" w:rsidRDefault="00FC598A" w:rsidP="00FC598A">
            <w:pPr>
              <w:rPr>
                <w:sz w:val="20"/>
                <w:szCs w:val="20"/>
              </w:rPr>
            </w:pPr>
            <w:r w:rsidRPr="00FC598A">
              <w:rPr>
                <w:sz w:val="20"/>
                <w:szCs w:val="20"/>
              </w:rPr>
              <w:t>Insulin naïve</w:t>
            </w:r>
          </w:p>
        </w:tc>
        <w:tc>
          <w:tcPr>
            <w:tcW w:w="821" w:type="pct"/>
            <w:tcBorders>
              <w:top w:val="nil"/>
              <w:bottom w:val="single" w:sz="4" w:space="0" w:color="auto"/>
            </w:tcBorders>
            <w:shd w:val="clear" w:color="auto" w:fill="auto"/>
          </w:tcPr>
          <w:p w14:paraId="5B905C50" w14:textId="77777777" w:rsidR="00FC598A" w:rsidRPr="00FC598A" w:rsidRDefault="00FC598A" w:rsidP="00FC598A">
            <w:pPr>
              <w:rPr>
                <w:sz w:val="20"/>
                <w:szCs w:val="20"/>
              </w:rPr>
            </w:pPr>
            <w:r w:rsidRPr="00FC598A">
              <w:rPr>
                <w:sz w:val="20"/>
                <w:szCs w:val="20"/>
              </w:rPr>
              <w:t>Insulin users</w:t>
            </w:r>
          </w:p>
        </w:tc>
        <w:tc>
          <w:tcPr>
            <w:tcW w:w="737" w:type="pct"/>
            <w:tcBorders>
              <w:top w:val="nil"/>
              <w:bottom w:val="single" w:sz="4" w:space="0" w:color="auto"/>
            </w:tcBorders>
            <w:shd w:val="clear" w:color="auto" w:fill="auto"/>
          </w:tcPr>
          <w:p w14:paraId="4C32484C" w14:textId="77777777" w:rsidR="00FC598A" w:rsidRPr="00FC598A" w:rsidRDefault="00FC598A" w:rsidP="00FC598A">
            <w:pPr>
              <w:rPr>
                <w:sz w:val="20"/>
                <w:szCs w:val="20"/>
              </w:rPr>
            </w:pPr>
            <w:r w:rsidRPr="00FC598A">
              <w:rPr>
                <w:sz w:val="20"/>
                <w:szCs w:val="20"/>
              </w:rPr>
              <w:t>Insulin users</w:t>
            </w:r>
          </w:p>
        </w:tc>
      </w:tr>
      <w:tr w:rsidR="00FC598A" w:rsidRPr="00FC598A" w14:paraId="19E3FFB6" w14:textId="77777777" w:rsidTr="0032378C">
        <w:tc>
          <w:tcPr>
            <w:tcW w:w="1843" w:type="pct"/>
            <w:tcBorders>
              <w:top w:val="single" w:sz="6" w:space="0" w:color="auto"/>
            </w:tcBorders>
            <w:shd w:val="clear" w:color="auto" w:fill="auto"/>
          </w:tcPr>
          <w:p w14:paraId="35D66760" w14:textId="77777777" w:rsidR="00FC598A" w:rsidRPr="00FC598A" w:rsidRDefault="00FC598A" w:rsidP="00FC598A">
            <w:pPr>
              <w:rPr>
                <w:sz w:val="20"/>
                <w:szCs w:val="20"/>
              </w:rPr>
            </w:pPr>
            <w:r w:rsidRPr="00FC598A">
              <w:rPr>
                <w:sz w:val="20"/>
                <w:szCs w:val="20"/>
              </w:rPr>
              <w:t xml:space="preserve">n </w:t>
            </w:r>
          </w:p>
        </w:tc>
        <w:tc>
          <w:tcPr>
            <w:tcW w:w="779" w:type="pct"/>
            <w:tcBorders>
              <w:top w:val="single" w:sz="4" w:space="0" w:color="auto"/>
            </w:tcBorders>
            <w:shd w:val="clear" w:color="auto" w:fill="auto"/>
          </w:tcPr>
          <w:p w14:paraId="7D4890B5" w14:textId="77777777" w:rsidR="00FC598A" w:rsidRPr="00FC598A" w:rsidRDefault="00FC598A" w:rsidP="00FC598A">
            <w:pPr>
              <w:rPr>
                <w:sz w:val="20"/>
                <w:szCs w:val="20"/>
              </w:rPr>
            </w:pPr>
            <w:r w:rsidRPr="00FC598A">
              <w:rPr>
                <w:sz w:val="20"/>
                <w:szCs w:val="20"/>
              </w:rPr>
              <w:t>266</w:t>
            </w:r>
          </w:p>
        </w:tc>
        <w:tc>
          <w:tcPr>
            <w:tcW w:w="820" w:type="pct"/>
            <w:tcBorders>
              <w:top w:val="single" w:sz="4" w:space="0" w:color="auto"/>
            </w:tcBorders>
            <w:shd w:val="clear" w:color="auto" w:fill="auto"/>
          </w:tcPr>
          <w:p w14:paraId="63E470DA" w14:textId="77777777" w:rsidR="00FC598A" w:rsidRPr="00FC598A" w:rsidRDefault="00FC598A" w:rsidP="00FC598A">
            <w:pPr>
              <w:rPr>
                <w:sz w:val="20"/>
                <w:szCs w:val="20"/>
              </w:rPr>
            </w:pPr>
            <w:r w:rsidRPr="00FC598A">
              <w:rPr>
                <w:sz w:val="20"/>
                <w:szCs w:val="20"/>
              </w:rPr>
              <w:t>263</w:t>
            </w:r>
          </w:p>
        </w:tc>
        <w:tc>
          <w:tcPr>
            <w:tcW w:w="821" w:type="pct"/>
            <w:tcBorders>
              <w:top w:val="single" w:sz="4" w:space="0" w:color="auto"/>
            </w:tcBorders>
            <w:shd w:val="clear" w:color="auto" w:fill="auto"/>
          </w:tcPr>
          <w:p w14:paraId="4DCA5A33" w14:textId="77777777" w:rsidR="00FC598A" w:rsidRPr="00FC598A" w:rsidRDefault="00FC598A" w:rsidP="00FC598A">
            <w:pPr>
              <w:rPr>
                <w:sz w:val="20"/>
                <w:szCs w:val="20"/>
              </w:rPr>
            </w:pPr>
            <w:r w:rsidRPr="00FC598A">
              <w:rPr>
                <w:sz w:val="20"/>
                <w:szCs w:val="20"/>
              </w:rPr>
              <w:t>230</w:t>
            </w:r>
          </w:p>
        </w:tc>
        <w:tc>
          <w:tcPr>
            <w:tcW w:w="737" w:type="pct"/>
            <w:tcBorders>
              <w:top w:val="single" w:sz="4" w:space="0" w:color="auto"/>
            </w:tcBorders>
            <w:shd w:val="clear" w:color="auto" w:fill="auto"/>
          </w:tcPr>
          <w:p w14:paraId="66F32BCB" w14:textId="77777777" w:rsidR="00FC598A" w:rsidRPr="00FC598A" w:rsidRDefault="00FC598A" w:rsidP="00FC598A">
            <w:pPr>
              <w:rPr>
                <w:sz w:val="20"/>
                <w:szCs w:val="20"/>
              </w:rPr>
            </w:pPr>
            <w:r w:rsidRPr="00FC598A">
              <w:rPr>
                <w:sz w:val="20"/>
                <w:szCs w:val="20"/>
              </w:rPr>
              <w:t>233</w:t>
            </w:r>
          </w:p>
        </w:tc>
      </w:tr>
      <w:tr w:rsidR="00FC598A" w:rsidRPr="00FC598A" w14:paraId="53018111" w14:textId="77777777" w:rsidTr="0032378C">
        <w:tc>
          <w:tcPr>
            <w:tcW w:w="5000" w:type="pct"/>
            <w:gridSpan w:val="5"/>
            <w:shd w:val="clear" w:color="auto" w:fill="auto"/>
          </w:tcPr>
          <w:p w14:paraId="5AD5B159" w14:textId="77777777" w:rsidR="00FC598A" w:rsidRPr="00FC598A" w:rsidRDefault="00FC598A" w:rsidP="00FC598A">
            <w:pPr>
              <w:rPr>
                <w:b/>
                <w:sz w:val="20"/>
                <w:szCs w:val="20"/>
              </w:rPr>
            </w:pPr>
            <w:r w:rsidRPr="00FC598A">
              <w:rPr>
                <w:b/>
                <w:sz w:val="20"/>
                <w:szCs w:val="20"/>
              </w:rPr>
              <w:t>Mean HbA</w:t>
            </w:r>
            <w:r w:rsidRPr="00FC598A">
              <w:rPr>
                <w:b/>
                <w:sz w:val="20"/>
                <w:szCs w:val="20"/>
                <w:vertAlign w:val="subscript"/>
              </w:rPr>
              <w:t>1c</w:t>
            </w:r>
            <w:r w:rsidRPr="00FC598A">
              <w:rPr>
                <w:b/>
                <w:sz w:val="20"/>
                <w:szCs w:val="20"/>
              </w:rPr>
              <w:t xml:space="preserve"> (%)</w:t>
            </w:r>
          </w:p>
        </w:tc>
      </w:tr>
      <w:tr w:rsidR="00FC598A" w:rsidRPr="00FC598A" w14:paraId="0922B8E1" w14:textId="77777777" w:rsidTr="0032378C">
        <w:tc>
          <w:tcPr>
            <w:tcW w:w="1843" w:type="pct"/>
            <w:shd w:val="clear" w:color="auto" w:fill="auto"/>
          </w:tcPr>
          <w:p w14:paraId="7BC14BEE" w14:textId="77777777" w:rsidR="00FC598A" w:rsidRPr="00FC598A" w:rsidRDefault="00FC598A" w:rsidP="00FC598A">
            <w:pPr>
              <w:rPr>
                <w:sz w:val="20"/>
                <w:szCs w:val="20"/>
              </w:rPr>
            </w:pPr>
            <w:r w:rsidRPr="00FC598A">
              <w:rPr>
                <w:sz w:val="20"/>
                <w:szCs w:val="20"/>
              </w:rPr>
              <w:t>End of trial</w:t>
            </w:r>
          </w:p>
          <w:p w14:paraId="418AD2BC" w14:textId="77777777" w:rsidR="00FC598A" w:rsidRPr="00FC598A" w:rsidRDefault="00FC598A" w:rsidP="00FC598A">
            <w:pPr>
              <w:rPr>
                <w:sz w:val="20"/>
                <w:szCs w:val="20"/>
              </w:rPr>
            </w:pPr>
            <w:r w:rsidRPr="00FC598A">
              <w:rPr>
                <w:sz w:val="20"/>
                <w:szCs w:val="20"/>
              </w:rPr>
              <w:t>Mean change from baseline</w:t>
            </w:r>
          </w:p>
        </w:tc>
        <w:tc>
          <w:tcPr>
            <w:tcW w:w="779" w:type="pct"/>
            <w:shd w:val="clear" w:color="auto" w:fill="auto"/>
          </w:tcPr>
          <w:p w14:paraId="05C35815" w14:textId="77777777" w:rsidR="00FC598A" w:rsidRPr="00FC598A" w:rsidRDefault="00FC598A" w:rsidP="00FC598A">
            <w:pPr>
              <w:rPr>
                <w:sz w:val="20"/>
                <w:szCs w:val="20"/>
              </w:rPr>
            </w:pPr>
            <w:r w:rsidRPr="00FC598A">
              <w:rPr>
                <w:sz w:val="20"/>
                <w:szCs w:val="20"/>
              </w:rPr>
              <w:t>7.2</w:t>
            </w:r>
          </w:p>
          <w:p w14:paraId="3216D2AE" w14:textId="77777777" w:rsidR="00FC598A" w:rsidRPr="00FC598A" w:rsidRDefault="00FC598A" w:rsidP="00FC598A">
            <w:pPr>
              <w:rPr>
                <w:sz w:val="20"/>
                <w:szCs w:val="20"/>
              </w:rPr>
            </w:pPr>
            <w:r w:rsidRPr="00FC598A">
              <w:rPr>
                <w:sz w:val="20"/>
                <w:szCs w:val="20"/>
              </w:rPr>
              <w:t>-1.65</w:t>
            </w:r>
          </w:p>
        </w:tc>
        <w:tc>
          <w:tcPr>
            <w:tcW w:w="820" w:type="pct"/>
            <w:shd w:val="clear" w:color="auto" w:fill="auto"/>
          </w:tcPr>
          <w:p w14:paraId="309D27C4" w14:textId="77777777" w:rsidR="00FC598A" w:rsidRPr="00FC598A" w:rsidRDefault="00FC598A" w:rsidP="00FC598A">
            <w:pPr>
              <w:rPr>
                <w:sz w:val="20"/>
                <w:szCs w:val="20"/>
              </w:rPr>
            </w:pPr>
            <w:r w:rsidRPr="00FC598A">
              <w:rPr>
                <w:sz w:val="20"/>
                <w:szCs w:val="20"/>
              </w:rPr>
              <w:t>7.2</w:t>
            </w:r>
          </w:p>
          <w:p w14:paraId="180B59C8" w14:textId="77777777" w:rsidR="00FC598A" w:rsidRPr="00FC598A" w:rsidRDefault="00FC598A" w:rsidP="00FC598A">
            <w:pPr>
              <w:rPr>
                <w:sz w:val="20"/>
                <w:szCs w:val="20"/>
              </w:rPr>
            </w:pPr>
            <w:r w:rsidRPr="00FC598A">
              <w:rPr>
                <w:sz w:val="20"/>
                <w:szCs w:val="20"/>
              </w:rPr>
              <w:t>-1.72</w:t>
            </w:r>
          </w:p>
        </w:tc>
        <w:tc>
          <w:tcPr>
            <w:tcW w:w="821" w:type="pct"/>
            <w:shd w:val="clear" w:color="auto" w:fill="auto"/>
          </w:tcPr>
          <w:p w14:paraId="067FFD64" w14:textId="77777777" w:rsidR="00FC598A" w:rsidRPr="00FC598A" w:rsidRDefault="00FC598A" w:rsidP="00FC598A">
            <w:pPr>
              <w:rPr>
                <w:sz w:val="20"/>
                <w:szCs w:val="20"/>
              </w:rPr>
            </w:pPr>
            <w:r w:rsidRPr="00FC598A">
              <w:rPr>
                <w:sz w:val="20"/>
                <w:szCs w:val="20"/>
              </w:rPr>
              <w:t>7.3</w:t>
            </w:r>
          </w:p>
          <w:p w14:paraId="77288D7D" w14:textId="77777777" w:rsidR="00FC598A" w:rsidRPr="00FC598A" w:rsidRDefault="00FC598A" w:rsidP="00FC598A">
            <w:pPr>
              <w:rPr>
                <w:sz w:val="20"/>
                <w:szCs w:val="20"/>
              </w:rPr>
            </w:pPr>
            <w:r w:rsidRPr="00FC598A">
              <w:rPr>
                <w:sz w:val="20"/>
                <w:szCs w:val="20"/>
              </w:rPr>
              <w:t>-0.98</w:t>
            </w:r>
          </w:p>
        </w:tc>
        <w:tc>
          <w:tcPr>
            <w:tcW w:w="737" w:type="pct"/>
            <w:shd w:val="clear" w:color="auto" w:fill="auto"/>
          </w:tcPr>
          <w:p w14:paraId="69C8DC09" w14:textId="77777777" w:rsidR="00FC598A" w:rsidRPr="00FC598A" w:rsidRDefault="00FC598A" w:rsidP="00FC598A">
            <w:pPr>
              <w:rPr>
                <w:sz w:val="20"/>
                <w:szCs w:val="20"/>
              </w:rPr>
            </w:pPr>
            <w:r w:rsidRPr="00FC598A">
              <w:rPr>
                <w:sz w:val="20"/>
                <w:szCs w:val="20"/>
              </w:rPr>
              <w:t>7.4</w:t>
            </w:r>
          </w:p>
          <w:p w14:paraId="59AE2733" w14:textId="77777777" w:rsidR="00FC598A" w:rsidRPr="00FC598A" w:rsidRDefault="00FC598A" w:rsidP="00FC598A">
            <w:pPr>
              <w:rPr>
                <w:sz w:val="20"/>
                <w:szCs w:val="20"/>
              </w:rPr>
            </w:pPr>
            <w:r w:rsidRPr="00FC598A">
              <w:rPr>
                <w:sz w:val="20"/>
                <w:szCs w:val="20"/>
              </w:rPr>
              <w:t>-1.00</w:t>
            </w:r>
          </w:p>
        </w:tc>
      </w:tr>
      <w:tr w:rsidR="00FC598A" w:rsidRPr="00FC598A" w14:paraId="0E938BE6" w14:textId="77777777" w:rsidTr="0032378C">
        <w:trPr>
          <w:trHeight w:hRule="exact" w:val="794"/>
        </w:trPr>
        <w:tc>
          <w:tcPr>
            <w:tcW w:w="1843" w:type="pct"/>
            <w:shd w:val="clear" w:color="auto" w:fill="auto"/>
          </w:tcPr>
          <w:p w14:paraId="141B520E" w14:textId="77777777" w:rsidR="00FC598A" w:rsidRPr="00FC598A" w:rsidRDefault="00FC598A" w:rsidP="00FC598A">
            <w:pPr>
              <w:rPr>
                <w:sz w:val="20"/>
                <w:szCs w:val="20"/>
              </w:rPr>
            </w:pPr>
            <w:r w:rsidRPr="00FC598A">
              <w:rPr>
                <w:sz w:val="20"/>
                <w:szCs w:val="20"/>
              </w:rPr>
              <w:t xml:space="preserve">Estimated treatment difference [95% CI] RYZODEG 70/30 once daily minus </w:t>
            </w:r>
            <w:proofErr w:type="spellStart"/>
            <w:r w:rsidRPr="00FC598A">
              <w:rPr>
                <w:sz w:val="20"/>
                <w:szCs w:val="20"/>
              </w:rPr>
              <w:t>IGlar</w:t>
            </w:r>
            <w:proofErr w:type="spellEnd"/>
            <w:r w:rsidRPr="00FC598A">
              <w:rPr>
                <w:sz w:val="20"/>
                <w:szCs w:val="20"/>
              </w:rPr>
              <w:t xml:space="preserve"> once daily</w:t>
            </w:r>
          </w:p>
        </w:tc>
        <w:tc>
          <w:tcPr>
            <w:tcW w:w="1599" w:type="pct"/>
            <w:gridSpan w:val="2"/>
            <w:shd w:val="clear" w:color="auto" w:fill="auto"/>
          </w:tcPr>
          <w:p w14:paraId="77278D0B" w14:textId="77777777" w:rsidR="00FC598A" w:rsidRPr="00FC598A" w:rsidRDefault="00FC598A" w:rsidP="00FC598A">
            <w:pPr>
              <w:rPr>
                <w:sz w:val="20"/>
                <w:szCs w:val="20"/>
              </w:rPr>
            </w:pPr>
            <w:r w:rsidRPr="00FC598A">
              <w:rPr>
                <w:sz w:val="20"/>
                <w:szCs w:val="20"/>
              </w:rPr>
              <w:t>0.03 [-0.14;0.20]</w:t>
            </w:r>
          </w:p>
        </w:tc>
        <w:tc>
          <w:tcPr>
            <w:tcW w:w="1558" w:type="pct"/>
            <w:gridSpan w:val="2"/>
            <w:shd w:val="clear" w:color="auto" w:fill="auto"/>
          </w:tcPr>
          <w:p w14:paraId="435AD469" w14:textId="77777777" w:rsidR="00FC598A" w:rsidRPr="00FC598A" w:rsidRDefault="00FC598A" w:rsidP="00FC598A">
            <w:pPr>
              <w:rPr>
                <w:sz w:val="20"/>
                <w:szCs w:val="20"/>
              </w:rPr>
            </w:pPr>
            <w:r w:rsidRPr="00FC598A">
              <w:rPr>
                <w:sz w:val="20"/>
                <w:szCs w:val="20"/>
              </w:rPr>
              <w:t>-0.03 [-0.20;0.14]</w:t>
            </w:r>
          </w:p>
        </w:tc>
      </w:tr>
      <w:tr w:rsidR="00FC598A" w:rsidRPr="00FC598A" w14:paraId="13B5BC4B" w14:textId="77777777" w:rsidTr="0032378C">
        <w:tc>
          <w:tcPr>
            <w:tcW w:w="5000" w:type="pct"/>
            <w:gridSpan w:val="5"/>
            <w:shd w:val="clear" w:color="auto" w:fill="auto"/>
          </w:tcPr>
          <w:p w14:paraId="4D6AC288" w14:textId="77777777" w:rsidR="00FC598A" w:rsidRPr="00FC598A" w:rsidRDefault="00FC598A" w:rsidP="00FC598A">
            <w:pPr>
              <w:rPr>
                <w:b/>
                <w:sz w:val="20"/>
                <w:szCs w:val="20"/>
              </w:rPr>
            </w:pPr>
            <w:r w:rsidRPr="00FC598A">
              <w:rPr>
                <w:b/>
                <w:sz w:val="20"/>
                <w:szCs w:val="20"/>
              </w:rPr>
              <w:t xml:space="preserve">Fasting Plasma Glucose (FPG) in mmol/L </w:t>
            </w:r>
          </w:p>
        </w:tc>
      </w:tr>
      <w:tr w:rsidR="00FC598A" w:rsidRPr="00FC598A" w14:paraId="33071E48" w14:textId="77777777" w:rsidTr="0032378C">
        <w:tc>
          <w:tcPr>
            <w:tcW w:w="1843" w:type="pct"/>
            <w:shd w:val="clear" w:color="auto" w:fill="auto"/>
          </w:tcPr>
          <w:p w14:paraId="3E053767" w14:textId="77777777" w:rsidR="00FC598A" w:rsidRPr="00FC598A" w:rsidRDefault="00FC598A" w:rsidP="00FC598A">
            <w:pPr>
              <w:rPr>
                <w:sz w:val="20"/>
                <w:szCs w:val="20"/>
              </w:rPr>
            </w:pPr>
            <w:r w:rsidRPr="00FC598A">
              <w:rPr>
                <w:sz w:val="20"/>
                <w:szCs w:val="20"/>
              </w:rPr>
              <w:t>End of trial</w:t>
            </w:r>
          </w:p>
          <w:p w14:paraId="692B400F" w14:textId="77777777" w:rsidR="00FC598A" w:rsidRPr="00FC598A" w:rsidRDefault="00FC598A" w:rsidP="00FC598A">
            <w:pPr>
              <w:rPr>
                <w:sz w:val="20"/>
                <w:szCs w:val="20"/>
              </w:rPr>
            </w:pPr>
            <w:r w:rsidRPr="00FC598A">
              <w:rPr>
                <w:sz w:val="20"/>
                <w:szCs w:val="20"/>
              </w:rPr>
              <w:t>Mean change from baseline</w:t>
            </w:r>
          </w:p>
        </w:tc>
        <w:tc>
          <w:tcPr>
            <w:tcW w:w="779" w:type="pct"/>
            <w:shd w:val="clear" w:color="auto" w:fill="auto"/>
          </w:tcPr>
          <w:p w14:paraId="3B4570E4" w14:textId="77777777" w:rsidR="00FC598A" w:rsidRPr="00FC598A" w:rsidRDefault="00FC598A" w:rsidP="00FC598A">
            <w:pPr>
              <w:rPr>
                <w:sz w:val="20"/>
                <w:szCs w:val="20"/>
              </w:rPr>
            </w:pPr>
            <w:r w:rsidRPr="00FC598A">
              <w:rPr>
                <w:sz w:val="20"/>
                <w:szCs w:val="20"/>
              </w:rPr>
              <w:t xml:space="preserve">6.8 </w:t>
            </w:r>
          </w:p>
          <w:p w14:paraId="7208B4D0" w14:textId="77777777" w:rsidR="00FC598A" w:rsidRPr="00FC598A" w:rsidRDefault="00FC598A" w:rsidP="00FC598A">
            <w:pPr>
              <w:rPr>
                <w:sz w:val="20"/>
                <w:szCs w:val="20"/>
              </w:rPr>
            </w:pPr>
            <w:r w:rsidRPr="00FC598A">
              <w:rPr>
                <w:sz w:val="20"/>
                <w:szCs w:val="20"/>
              </w:rPr>
              <w:t xml:space="preserve">-3.32 </w:t>
            </w:r>
          </w:p>
        </w:tc>
        <w:tc>
          <w:tcPr>
            <w:tcW w:w="820" w:type="pct"/>
            <w:shd w:val="clear" w:color="auto" w:fill="auto"/>
          </w:tcPr>
          <w:p w14:paraId="530D9589" w14:textId="77777777" w:rsidR="00FC598A" w:rsidRPr="00FC598A" w:rsidRDefault="00FC598A" w:rsidP="00FC598A">
            <w:pPr>
              <w:rPr>
                <w:sz w:val="20"/>
                <w:szCs w:val="20"/>
              </w:rPr>
            </w:pPr>
            <w:r w:rsidRPr="00FC598A">
              <w:rPr>
                <w:sz w:val="20"/>
                <w:szCs w:val="20"/>
              </w:rPr>
              <w:t xml:space="preserve">6.3 </w:t>
            </w:r>
          </w:p>
          <w:p w14:paraId="4B2E79EB" w14:textId="77777777" w:rsidR="00FC598A" w:rsidRPr="00FC598A" w:rsidRDefault="00FC598A" w:rsidP="00FC598A">
            <w:pPr>
              <w:rPr>
                <w:sz w:val="20"/>
                <w:szCs w:val="20"/>
              </w:rPr>
            </w:pPr>
            <w:r w:rsidRPr="00FC598A">
              <w:rPr>
                <w:sz w:val="20"/>
                <w:szCs w:val="20"/>
              </w:rPr>
              <w:t>-4.02</w:t>
            </w:r>
          </w:p>
        </w:tc>
        <w:tc>
          <w:tcPr>
            <w:tcW w:w="821" w:type="pct"/>
            <w:shd w:val="clear" w:color="auto" w:fill="auto"/>
          </w:tcPr>
          <w:p w14:paraId="5107FB58" w14:textId="77777777" w:rsidR="00FC598A" w:rsidRPr="00FC598A" w:rsidRDefault="00FC598A" w:rsidP="00FC598A">
            <w:pPr>
              <w:rPr>
                <w:sz w:val="20"/>
                <w:szCs w:val="20"/>
              </w:rPr>
            </w:pPr>
            <w:r w:rsidRPr="00FC598A">
              <w:rPr>
                <w:sz w:val="20"/>
                <w:szCs w:val="20"/>
              </w:rPr>
              <w:t xml:space="preserve">6.3 </w:t>
            </w:r>
          </w:p>
          <w:p w14:paraId="3A424A0B" w14:textId="77777777" w:rsidR="00FC598A" w:rsidRPr="00FC598A" w:rsidRDefault="00FC598A" w:rsidP="00FC598A">
            <w:pPr>
              <w:rPr>
                <w:sz w:val="20"/>
                <w:szCs w:val="20"/>
              </w:rPr>
            </w:pPr>
            <w:r w:rsidRPr="00FC598A">
              <w:rPr>
                <w:sz w:val="20"/>
                <w:szCs w:val="20"/>
              </w:rPr>
              <w:t xml:space="preserve">-1.68 </w:t>
            </w:r>
          </w:p>
        </w:tc>
        <w:tc>
          <w:tcPr>
            <w:tcW w:w="737" w:type="pct"/>
            <w:shd w:val="clear" w:color="auto" w:fill="auto"/>
          </w:tcPr>
          <w:p w14:paraId="1C1F5121" w14:textId="77777777" w:rsidR="00FC598A" w:rsidRPr="00FC598A" w:rsidRDefault="00FC598A" w:rsidP="00FC598A">
            <w:pPr>
              <w:rPr>
                <w:sz w:val="20"/>
                <w:szCs w:val="20"/>
              </w:rPr>
            </w:pPr>
            <w:r w:rsidRPr="00FC598A">
              <w:rPr>
                <w:sz w:val="20"/>
                <w:szCs w:val="20"/>
              </w:rPr>
              <w:t>6.0</w:t>
            </w:r>
          </w:p>
          <w:p w14:paraId="78781D40" w14:textId="77777777" w:rsidR="00FC598A" w:rsidRPr="00FC598A" w:rsidRDefault="00FC598A" w:rsidP="00FC598A">
            <w:pPr>
              <w:rPr>
                <w:sz w:val="20"/>
                <w:szCs w:val="20"/>
              </w:rPr>
            </w:pPr>
            <w:r w:rsidRPr="00FC598A">
              <w:rPr>
                <w:sz w:val="20"/>
                <w:szCs w:val="20"/>
              </w:rPr>
              <w:t xml:space="preserve">-1.88 </w:t>
            </w:r>
          </w:p>
        </w:tc>
      </w:tr>
      <w:tr w:rsidR="00FC598A" w:rsidRPr="00FC598A" w14:paraId="5D9A34E8" w14:textId="77777777" w:rsidTr="0032378C">
        <w:trPr>
          <w:trHeight w:hRule="exact" w:val="794"/>
        </w:trPr>
        <w:tc>
          <w:tcPr>
            <w:tcW w:w="1843" w:type="pct"/>
            <w:shd w:val="clear" w:color="auto" w:fill="auto"/>
          </w:tcPr>
          <w:p w14:paraId="332177B7" w14:textId="77777777" w:rsidR="00FC598A" w:rsidRPr="00FC598A" w:rsidRDefault="00FC598A" w:rsidP="00FC598A">
            <w:pPr>
              <w:rPr>
                <w:sz w:val="20"/>
                <w:szCs w:val="20"/>
              </w:rPr>
            </w:pPr>
            <w:r w:rsidRPr="00FC598A">
              <w:rPr>
                <w:sz w:val="20"/>
                <w:szCs w:val="20"/>
              </w:rPr>
              <w:t xml:space="preserve">Estimated treatment difference [95% CI] RYZODEG 70/30 once daily minus </w:t>
            </w:r>
            <w:proofErr w:type="spellStart"/>
            <w:r w:rsidRPr="00FC598A">
              <w:rPr>
                <w:sz w:val="20"/>
                <w:szCs w:val="20"/>
              </w:rPr>
              <w:t>IGlar</w:t>
            </w:r>
            <w:proofErr w:type="spellEnd"/>
            <w:r w:rsidRPr="00FC598A">
              <w:rPr>
                <w:sz w:val="20"/>
                <w:szCs w:val="20"/>
              </w:rPr>
              <w:t xml:space="preserve"> once daily</w:t>
            </w:r>
          </w:p>
        </w:tc>
        <w:tc>
          <w:tcPr>
            <w:tcW w:w="1599" w:type="pct"/>
            <w:gridSpan w:val="2"/>
            <w:shd w:val="clear" w:color="auto" w:fill="auto"/>
          </w:tcPr>
          <w:p w14:paraId="25FA6CDE" w14:textId="77777777" w:rsidR="00FC598A" w:rsidRPr="00FC598A" w:rsidRDefault="00FC598A" w:rsidP="00FC598A">
            <w:pPr>
              <w:rPr>
                <w:sz w:val="20"/>
                <w:szCs w:val="20"/>
              </w:rPr>
            </w:pPr>
            <w:r w:rsidRPr="00FC598A">
              <w:rPr>
                <w:sz w:val="20"/>
                <w:szCs w:val="20"/>
              </w:rPr>
              <w:t>0.51 [0.09;0.93]</w:t>
            </w:r>
          </w:p>
          <w:p w14:paraId="132F3BC5" w14:textId="77777777" w:rsidR="00FC598A" w:rsidRPr="00FC598A" w:rsidRDefault="00FC598A" w:rsidP="00FC598A">
            <w:pPr>
              <w:rPr>
                <w:sz w:val="20"/>
                <w:szCs w:val="20"/>
              </w:rPr>
            </w:pPr>
          </w:p>
        </w:tc>
        <w:tc>
          <w:tcPr>
            <w:tcW w:w="1558" w:type="pct"/>
            <w:gridSpan w:val="2"/>
            <w:shd w:val="clear" w:color="auto" w:fill="auto"/>
          </w:tcPr>
          <w:p w14:paraId="1614B41C" w14:textId="77777777" w:rsidR="00FC598A" w:rsidRPr="00FC598A" w:rsidRDefault="00FC598A" w:rsidP="00FC598A">
            <w:pPr>
              <w:rPr>
                <w:sz w:val="20"/>
                <w:szCs w:val="20"/>
              </w:rPr>
            </w:pPr>
            <w:r w:rsidRPr="00FC598A">
              <w:rPr>
                <w:sz w:val="20"/>
                <w:szCs w:val="20"/>
              </w:rPr>
              <w:t>0.33 [-0.11;0.77]</w:t>
            </w:r>
          </w:p>
          <w:p w14:paraId="334E4AD9" w14:textId="77777777" w:rsidR="00FC598A" w:rsidRPr="00FC598A" w:rsidRDefault="00FC598A" w:rsidP="00FC598A">
            <w:pPr>
              <w:rPr>
                <w:sz w:val="20"/>
                <w:szCs w:val="20"/>
              </w:rPr>
            </w:pPr>
          </w:p>
        </w:tc>
      </w:tr>
      <w:tr w:rsidR="00FC598A" w:rsidRPr="00FC598A" w14:paraId="30D55F16" w14:textId="77777777" w:rsidTr="0032378C">
        <w:tc>
          <w:tcPr>
            <w:tcW w:w="5000" w:type="pct"/>
            <w:gridSpan w:val="5"/>
            <w:shd w:val="clear" w:color="auto" w:fill="auto"/>
          </w:tcPr>
          <w:p w14:paraId="7FEC8C75" w14:textId="77777777" w:rsidR="00FC598A" w:rsidRPr="00FC598A" w:rsidRDefault="00FC598A" w:rsidP="00FC598A">
            <w:pPr>
              <w:rPr>
                <w:b/>
                <w:sz w:val="20"/>
                <w:szCs w:val="20"/>
              </w:rPr>
            </w:pPr>
            <w:r w:rsidRPr="00FC598A">
              <w:rPr>
                <w:b/>
                <w:sz w:val="20"/>
                <w:szCs w:val="20"/>
              </w:rPr>
              <w:t>End-of-Trial Prandial Blood Glucose Increment (Plasma) in mmol/L</w:t>
            </w:r>
          </w:p>
        </w:tc>
      </w:tr>
      <w:tr w:rsidR="00FC598A" w:rsidRPr="00FC598A" w14:paraId="3DCAE52E" w14:textId="77777777" w:rsidTr="0032378C">
        <w:tc>
          <w:tcPr>
            <w:tcW w:w="1843" w:type="pct"/>
            <w:shd w:val="clear" w:color="auto" w:fill="auto"/>
          </w:tcPr>
          <w:p w14:paraId="04ADAF21" w14:textId="77777777" w:rsidR="00FC598A" w:rsidRPr="00FC598A" w:rsidRDefault="00FC598A" w:rsidP="00FC598A">
            <w:pPr>
              <w:rPr>
                <w:sz w:val="20"/>
                <w:szCs w:val="20"/>
              </w:rPr>
            </w:pPr>
            <w:r w:rsidRPr="00FC598A">
              <w:rPr>
                <w:sz w:val="20"/>
                <w:szCs w:val="20"/>
              </w:rPr>
              <w:t>90 minutes Post Breakfast</w:t>
            </w:r>
          </w:p>
          <w:p w14:paraId="16243A31" w14:textId="77777777" w:rsidR="00FC598A" w:rsidRPr="00FC598A" w:rsidRDefault="00FC598A" w:rsidP="00FC598A">
            <w:pPr>
              <w:rPr>
                <w:sz w:val="20"/>
                <w:szCs w:val="20"/>
              </w:rPr>
            </w:pPr>
            <w:r w:rsidRPr="00FC598A">
              <w:rPr>
                <w:sz w:val="20"/>
                <w:szCs w:val="20"/>
              </w:rPr>
              <w:t>Mean change from baseline</w:t>
            </w:r>
          </w:p>
        </w:tc>
        <w:tc>
          <w:tcPr>
            <w:tcW w:w="779" w:type="pct"/>
            <w:tcBorders>
              <w:bottom w:val="single" w:sz="6" w:space="0" w:color="auto"/>
            </w:tcBorders>
            <w:shd w:val="clear" w:color="auto" w:fill="auto"/>
          </w:tcPr>
          <w:p w14:paraId="06D91BEE" w14:textId="77777777" w:rsidR="00FC598A" w:rsidRPr="00FC598A" w:rsidRDefault="00FC598A" w:rsidP="00FC598A">
            <w:pPr>
              <w:rPr>
                <w:sz w:val="20"/>
                <w:szCs w:val="20"/>
              </w:rPr>
            </w:pPr>
            <w:r w:rsidRPr="00FC598A">
              <w:rPr>
                <w:sz w:val="20"/>
                <w:szCs w:val="20"/>
              </w:rPr>
              <w:t xml:space="preserve">1.9 </w:t>
            </w:r>
          </w:p>
          <w:p w14:paraId="521140CB" w14:textId="77777777" w:rsidR="00FC598A" w:rsidRPr="00FC598A" w:rsidRDefault="00FC598A" w:rsidP="00FC598A">
            <w:pPr>
              <w:rPr>
                <w:sz w:val="20"/>
                <w:szCs w:val="20"/>
              </w:rPr>
            </w:pPr>
            <w:r w:rsidRPr="00FC598A">
              <w:rPr>
                <w:sz w:val="20"/>
                <w:szCs w:val="20"/>
              </w:rPr>
              <w:t>-1.5</w:t>
            </w:r>
          </w:p>
        </w:tc>
        <w:tc>
          <w:tcPr>
            <w:tcW w:w="820" w:type="pct"/>
            <w:tcBorders>
              <w:bottom w:val="single" w:sz="6" w:space="0" w:color="auto"/>
            </w:tcBorders>
            <w:shd w:val="clear" w:color="auto" w:fill="auto"/>
          </w:tcPr>
          <w:p w14:paraId="7AEF8296" w14:textId="77777777" w:rsidR="00FC598A" w:rsidRPr="00FC598A" w:rsidRDefault="00FC598A" w:rsidP="00FC598A">
            <w:pPr>
              <w:rPr>
                <w:sz w:val="20"/>
                <w:szCs w:val="20"/>
              </w:rPr>
            </w:pPr>
            <w:r w:rsidRPr="00FC598A">
              <w:rPr>
                <w:sz w:val="20"/>
                <w:szCs w:val="20"/>
              </w:rPr>
              <w:t>3.4</w:t>
            </w:r>
          </w:p>
          <w:p w14:paraId="5171A256" w14:textId="77777777" w:rsidR="00FC598A" w:rsidRPr="00FC598A" w:rsidRDefault="00FC598A" w:rsidP="00FC598A">
            <w:pPr>
              <w:rPr>
                <w:sz w:val="20"/>
                <w:szCs w:val="20"/>
              </w:rPr>
            </w:pPr>
            <w:r w:rsidRPr="00FC598A">
              <w:rPr>
                <w:sz w:val="20"/>
                <w:szCs w:val="20"/>
              </w:rPr>
              <w:t>-0.3</w:t>
            </w:r>
          </w:p>
        </w:tc>
        <w:tc>
          <w:tcPr>
            <w:tcW w:w="821" w:type="pct"/>
            <w:tcBorders>
              <w:top w:val="single" w:sz="6" w:space="0" w:color="auto"/>
              <w:bottom w:val="single" w:sz="6" w:space="0" w:color="auto"/>
            </w:tcBorders>
            <w:shd w:val="clear" w:color="auto" w:fill="E6E6E6"/>
          </w:tcPr>
          <w:p w14:paraId="0F6DA22D" w14:textId="77777777" w:rsidR="00FC598A" w:rsidRPr="00FC598A" w:rsidRDefault="00FC598A" w:rsidP="00FC598A">
            <w:pPr>
              <w:rPr>
                <w:sz w:val="20"/>
                <w:szCs w:val="20"/>
              </w:rPr>
            </w:pPr>
          </w:p>
        </w:tc>
        <w:tc>
          <w:tcPr>
            <w:tcW w:w="737" w:type="pct"/>
            <w:tcBorders>
              <w:top w:val="single" w:sz="6" w:space="0" w:color="auto"/>
              <w:bottom w:val="single" w:sz="6" w:space="0" w:color="auto"/>
            </w:tcBorders>
            <w:shd w:val="clear" w:color="auto" w:fill="E6E6E6"/>
          </w:tcPr>
          <w:p w14:paraId="7BF33F28" w14:textId="77777777" w:rsidR="00FC598A" w:rsidRPr="00FC598A" w:rsidRDefault="00FC598A" w:rsidP="00FC598A">
            <w:pPr>
              <w:rPr>
                <w:sz w:val="20"/>
                <w:szCs w:val="20"/>
              </w:rPr>
            </w:pPr>
          </w:p>
        </w:tc>
      </w:tr>
      <w:tr w:rsidR="00FC598A" w:rsidRPr="00FC598A" w14:paraId="43677FE1" w14:textId="77777777" w:rsidTr="0032378C">
        <w:tc>
          <w:tcPr>
            <w:tcW w:w="1843" w:type="pct"/>
            <w:shd w:val="clear" w:color="auto" w:fill="auto"/>
          </w:tcPr>
          <w:p w14:paraId="2BC6F519" w14:textId="77777777" w:rsidR="00FC598A" w:rsidRPr="00FC598A" w:rsidRDefault="00FC598A" w:rsidP="00FC598A">
            <w:pPr>
              <w:rPr>
                <w:sz w:val="20"/>
                <w:szCs w:val="20"/>
              </w:rPr>
            </w:pPr>
            <w:r w:rsidRPr="00FC598A">
              <w:rPr>
                <w:sz w:val="20"/>
                <w:szCs w:val="20"/>
              </w:rPr>
              <w:lastRenderedPageBreak/>
              <w:t>90 minutes Post Dinner</w:t>
            </w:r>
          </w:p>
          <w:p w14:paraId="0AB57C54" w14:textId="77777777" w:rsidR="00FC598A" w:rsidRPr="00FC598A" w:rsidRDefault="00FC598A" w:rsidP="00FC598A">
            <w:pPr>
              <w:rPr>
                <w:sz w:val="20"/>
                <w:szCs w:val="20"/>
              </w:rPr>
            </w:pPr>
            <w:r w:rsidRPr="00FC598A">
              <w:rPr>
                <w:sz w:val="20"/>
                <w:szCs w:val="20"/>
              </w:rPr>
              <w:t>Mean change from baseline</w:t>
            </w:r>
          </w:p>
        </w:tc>
        <w:tc>
          <w:tcPr>
            <w:tcW w:w="779" w:type="pct"/>
            <w:tcBorders>
              <w:top w:val="single" w:sz="6" w:space="0" w:color="auto"/>
              <w:bottom w:val="single" w:sz="6" w:space="0" w:color="auto"/>
            </w:tcBorders>
            <w:shd w:val="clear" w:color="auto" w:fill="E6E6E6"/>
          </w:tcPr>
          <w:p w14:paraId="6F6F577D" w14:textId="77777777" w:rsidR="00FC598A" w:rsidRPr="00FC598A" w:rsidRDefault="00FC598A" w:rsidP="00FC598A">
            <w:pPr>
              <w:rPr>
                <w:sz w:val="20"/>
                <w:szCs w:val="20"/>
              </w:rPr>
            </w:pPr>
          </w:p>
        </w:tc>
        <w:tc>
          <w:tcPr>
            <w:tcW w:w="820" w:type="pct"/>
            <w:tcBorders>
              <w:top w:val="single" w:sz="6" w:space="0" w:color="auto"/>
              <w:bottom w:val="single" w:sz="6" w:space="0" w:color="auto"/>
            </w:tcBorders>
            <w:shd w:val="clear" w:color="auto" w:fill="E6E6E6"/>
          </w:tcPr>
          <w:p w14:paraId="1D7C405C" w14:textId="77777777" w:rsidR="00FC598A" w:rsidRPr="00FC598A" w:rsidRDefault="00FC598A" w:rsidP="00FC598A">
            <w:pPr>
              <w:rPr>
                <w:sz w:val="20"/>
                <w:szCs w:val="20"/>
              </w:rPr>
            </w:pPr>
          </w:p>
        </w:tc>
        <w:tc>
          <w:tcPr>
            <w:tcW w:w="821" w:type="pct"/>
            <w:shd w:val="clear" w:color="auto" w:fill="auto"/>
          </w:tcPr>
          <w:p w14:paraId="42BDDD44" w14:textId="77777777" w:rsidR="00FC598A" w:rsidRPr="00FC598A" w:rsidRDefault="00FC598A" w:rsidP="00FC598A">
            <w:pPr>
              <w:rPr>
                <w:sz w:val="20"/>
                <w:szCs w:val="20"/>
              </w:rPr>
            </w:pPr>
            <w:r w:rsidRPr="00FC598A">
              <w:rPr>
                <w:sz w:val="20"/>
                <w:szCs w:val="20"/>
              </w:rPr>
              <w:t>1.2</w:t>
            </w:r>
          </w:p>
          <w:p w14:paraId="08DE5D5D" w14:textId="77777777" w:rsidR="00FC598A" w:rsidRPr="00FC598A" w:rsidRDefault="00FC598A" w:rsidP="00FC598A">
            <w:pPr>
              <w:rPr>
                <w:sz w:val="20"/>
                <w:szCs w:val="20"/>
              </w:rPr>
            </w:pPr>
            <w:r w:rsidRPr="00FC598A">
              <w:rPr>
                <w:sz w:val="20"/>
                <w:szCs w:val="20"/>
              </w:rPr>
              <w:t>-1.5</w:t>
            </w:r>
          </w:p>
        </w:tc>
        <w:tc>
          <w:tcPr>
            <w:tcW w:w="737" w:type="pct"/>
            <w:shd w:val="clear" w:color="auto" w:fill="auto"/>
          </w:tcPr>
          <w:p w14:paraId="55B05C3A" w14:textId="77777777" w:rsidR="00FC598A" w:rsidRPr="00FC598A" w:rsidRDefault="00FC598A" w:rsidP="00FC598A">
            <w:pPr>
              <w:rPr>
                <w:sz w:val="20"/>
                <w:szCs w:val="20"/>
              </w:rPr>
            </w:pPr>
            <w:r w:rsidRPr="00FC598A">
              <w:rPr>
                <w:sz w:val="20"/>
                <w:szCs w:val="20"/>
              </w:rPr>
              <w:t>2.6</w:t>
            </w:r>
          </w:p>
          <w:p w14:paraId="69CEF3AF" w14:textId="77777777" w:rsidR="00FC598A" w:rsidRPr="00FC598A" w:rsidRDefault="00FC598A" w:rsidP="00FC598A">
            <w:pPr>
              <w:rPr>
                <w:sz w:val="20"/>
                <w:szCs w:val="20"/>
              </w:rPr>
            </w:pPr>
            <w:r w:rsidRPr="00FC598A">
              <w:rPr>
                <w:sz w:val="20"/>
                <w:szCs w:val="20"/>
              </w:rPr>
              <w:t>-0.6</w:t>
            </w:r>
          </w:p>
        </w:tc>
      </w:tr>
      <w:tr w:rsidR="00FC598A" w:rsidRPr="00FC598A" w14:paraId="78579D6E" w14:textId="77777777" w:rsidTr="0032378C">
        <w:tc>
          <w:tcPr>
            <w:tcW w:w="5000" w:type="pct"/>
            <w:gridSpan w:val="5"/>
            <w:shd w:val="clear" w:color="auto" w:fill="auto"/>
          </w:tcPr>
          <w:p w14:paraId="74A1A584" w14:textId="77777777" w:rsidR="00FC598A" w:rsidRPr="00FC598A" w:rsidRDefault="00FC598A" w:rsidP="00FC598A">
            <w:pPr>
              <w:rPr>
                <w:b/>
                <w:sz w:val="20"/>
                <w:szCs w:val="20"/>
              </w:rPr>
            </w:pPr>
            <w:r w:rsidRPr="00FC598A">
              <w:rPr>
                <w:b/>
                <w:sz w:val="20"/>
                <w:szCs w:val="20"/>
              </w:rPr>
              <w:t>Hypoglycaemia Rate per Patient year of exposure</w:t>
            </w:r>
          </w:p>
        </w:tc>
      </w:tr>
      <w:tr w:rsidR="00FC598A" w:rsidRPr="00FC598A" w14:paraId="2FA5FE48" w14:textId="77777777" w:rsidTr="0032378C">
        <w:tc>
          <w:tcPr>
            <w:tcW w:w="1843" w:type="pct"/>
            <w:shd w:val="clear" w:color="auto" w:fill="auto"/>
          </w:tcPr>
          <w:p w14:paraId="543F7521" w14:textId="77777777" w:rsidR="00FC598A" w:rsidRPr="00FC598A" w:rsidRDefault="00FC598A" w:rsidP="00FC598A">
            <w:pPr>
              <w:rPr>
                <w:sz w:val="20"/>
                <w:szCs w:val="20"/>
              </w:rPr>
            </w:pPr>
            <w:r w:rsidRPr="00FC598A">
              <w:rPr>
                <w:sz w:val="20"/>
                <w:szCs w:val="20"/>
              </w:rPr>
              <w:t>Severe hypoglycaemia</w:t>
            </w:r>
          </w:p>
        </w:tc>
        <w:tc>
          <w:tcPr>
            <w:tcW w:w="779" w:type="pct"/>
            <w:shd w:val="clear" w:color="auto" w:fill="auto"/>
          </w:tcPr>
          <w:p w14:paraId="217D49AF" w14:textId="77777777" w:rsidR="00FC598A" w:rsidRPr="00FC598A" w:rsidRDefault="00FC598A" w:rsidP="00FC598A">
            <w:pPr>
              <w:rPr>
                <w:sz w:val="20"/>
                <w:szCs w:val="20"/>
              </w:rPr>
            </w:pPr>
            <w:r w:rsidRPr="00FC598A">
              <w:rPr>
                <w:sz w:val="20"/>
                <w:szCs w:val="20"/>
              </w:rPr>
              <w:t>0.01</w:t>
            </w:r>
          </w:p>
        </w:tc>
        <w:tc>
          <w:tcPr>
            <w:tcW w:w="820" w:type="pct"/>
            <w:shd w:val="clear" w:color="auto" w:fill="auto"/>
          </w:tcPr>
          <w:p w14:paraId="5E80781E" w14:textId="77777777" w:rsidR="00FC598A" w:rsidRPr="00FC598A" w:rsidRDefault="00FC598A" w:rsidP="00FC598A">
            <w:pPr>
              <w:rPr>
                <w:sz w:val="20"/>
                <w:szCs w:val="20"/>
              </w:rPr>
            </w:pPr>
            <w:r w:rsidRPr="00FC598A">
              <w:rPr>
                <w:sz w:val="20"/>
                <w:szCs w:val="20"/>
              </w:rPr>
              <w:t>0.01</w:t>
            </w:r>
          </w:p>
        </w:tc>
        <w:tc>
          <w:tcPr>
            <w:tcW w:w="821" w:type="pct"/>
            <w:shd w:val="clear" w:color="auto" w:fill="auto"/>
          </w:tcPr>
          <w:p w14:paraId="018D03EC" w14:textId="77777777" w:rsidR="00FC598A" w:rsidRPr="00FC598A" w:rsidRDefault="00FC598A" w:rsidP="00FC598A">
            <w:pPr>
              <w:rPr>
                <w:sz w:val="20"/>
                <w:szCs w:val="20"/>
              </w:rPr>
            </w:pPr>
            <w:r w:rsidRPr="00FC598A">
              <w:rPr>
                <w:sz w:val="20"/>
                <w:szCs w:val="20"/>
              </w:rPr>
              <w:t>0.00</w:t>
            </w:r>
          </w:p>
        </w:tc>
        <w:tc>
          <w:tcPr>
            <w:tcW w:w="737" w:type="pct"/>
            <w:shd w:val="clear" w:color="auto" w:fill="auto"/>
          </w:tcPr>
          <w:p w14:paraId="19DC333A" w14:textId="77777777" w:rsidR="00FC598A" w:rsidRPr="00FC598A" w:rsidRDefault="00FC598A" w:rsidP="00FC598A">
            <w:pPr>
              <w:rPr>
                <w:sz w:val="20"/>
                <w:szCs w:val="20"/>
              </w:rPr>
            </w:pPr>
            <w:r w:rsidRPr="00FC598A">
              <w:rPr>
                <w:sz w:val="20"/>
                <w:szCs w:val="20"/>
              </w:rPr>
              <w:t>0.04</w:t>
            </w:r>
          </w:p>
        </w:tc>
      </w:tr>
      <w:tr w:rsidR="00FC598A" w:rsidRPr="00FC598A" w14:paraId="769658B9" w14:textId="77777777" w:rsidTr="0032378C">
        <w:tc>
          <w:tcPr>
            <w:tcW w:w="1843" w:type="pct"/>
            <w:shd w:val="clear" w:color="auto" w:fill="auto"/>
          </w:tcPr>
          <w:p w14:paraId="0E18D6B4" w14:textId="77777777" w:rsidR="00FC598A" w:rsidRPr="00FC598A" w:rsidRDefault="00FC598A" w:rsidP="00FC598A">
            <w:pPr>
              <w:rPr>
                <w:sz w:val="20"/>
                <w:szCs w:val="20"/>
              </w:rPr>
            </w:pPr>
            <w:r w:rsidRPr="00FC598A">
              <w:rPr>
                <w:sz w:val="20"/>
                <w:szCs w:val="20"/>
              </w:rPr>
              <w:t xml:space="preserve">Confirmed hypoglycaemia </w:t>
            </w:r>
          </w:p>
        </w:tc>
        <w:tc>
          <w:tcPr>
            <w:tcW w:w="779" w:type="pct"/>
            <w:shd w:val="clear" w:color="auto" w:fill="auto"/>
          </w:tcPr>
          <w:p w14:paraId="69F17E9C" w14:textId="77777777" w:rsidR="00FC598A" w:rsidRPr="00FC598A" w:rsidRDefault="00FC598A" w:rsidP="00FC598A">
            <w:pPr>
              <w:rPr>
                <w:sz w:val="20"/>
                <w:szCs w:val="20"/>
              </w:rPr>
            </w:pPr>
            <w:r w:rsidRPr="00FC598A">
              <w:rPr>
                <w:sz w:val="20"/>
                <w:szCs w:val="20"/>
              </w:rPr>
              <w:t>4.23</w:t>
            </w:r>
          </w:p>
        </w:tc>
        <w:tc>
          <w:tcPr>
            <w:tcW w:w="820" w:type="pct"/>
            <w:shd w:val="clear" w:color="auto" w:fill="auto"/>
          </w:tcPr>
          <w:p w14:paraId="7093063E" w14:textId="77777777" w:rsidR="00FC598A" w:rsidRPr="00FC598A" w:rsidRDefault="00FC598A" w:rsidP="00FC598A">
            <w:pPr>
              <w:rPr>
                <w:sz w:val="20"/>
                <w:szCs w:val="20"/>
              </w:rPr>
            </w:pPr>
            <w:r w:rsidRPr="00FC598A">
              <w:rPr>
                <w:sz w:val="20"/>
                <w:szCs w:val="20"/>
              </w:rPr>
              <w:t>1.85</w:t>
            </w:r>
          </w:p>
        </w:tc>
        <w:tc>
          <w:tcPr>
            <w:tcW w:w="821" w:type="pct"/>
            <w:shd w:val="clear" w:color="auto" w:fill="auto"/>
          </w:tcPr>
          <w:p w14:paraId="53635954" w14:textId="77777777" w:rsidR="00FC598A" w:rsidRPr="00FC598A" w:rsidRDefault="00FC598A" w:rsidP="00FC598A">
            <w:pPr>
              <w:rPr>
                <w:sz w:val="20"/>
                <w:szCs w:val="20"/>
              </w:rPr>
            </w:pPr>
            <w:r w:rsidRPr="00FC598A">
              <w:rPr>
                <w:sz w:val="20"/>
                <w:szCs w:val="20"/>
              </w:rPr>
              <w:t>4.31</w:t>
            </w:r>
          </w:p>
        </w:tc>
        <w:tc>
          <w:tcPr>
            <w:tcW w:w="737" w:type="pct"/>
            <w:shd w:val="clear" w:color="auto" w:fill="auto"/>
          </w:tcPr>
          <w:p w14:paraId="2566DF6E" w14:textId="77777777" w:rsidR="00FC598A" w:rsidRPr="00FC598A" w:rsidRDefault="00FC598A" w:rsidP="00FC598A">
            <w:pPr>
              <w:rPr>
                <w:sz w:val="20"/>
                <w:szCs w:val="20"/>
              </w:rPr>
            </w:pPr>
            <w:r w:rsidRPr="00FC598A">
              <w:rPr>
                <w:sz w:val="20"/>
                <w:szCs w:val="20"/>
              </w:rPr>
              <w:t>3.20</w:t>
            </w:r>
          </w:p>
        </w:tc>
      </w:tr>
      <w:tr w:rsidR="00FC598A" w:rsidRPr="00FC598A" w14:paraId="0E92E70D" w14:textId="77777777" w:rsidTr="0032378C">
        <w:trPr>
          <w:trHeight w:val="585"/>
        </w:trPr>
        <w:tc>
          <w:tcPr>
            <w:tcW w:w="1843" w:type="pct"/>
            <w:shd w:val="clear" w:color="auto" w:fill="auto"/>
          </w:tcPr>
          <w:p w14:paraId="00D6A247" w14:textId="77777777" w:rsidR="00FC598A" w:rsidRPr="00FC598A" w:rsidRDefault="00FC598A" w:rsidP="00FC598A">
            <w:pPr>
              <w:rPr>
                <w:sz w:val="20"/>
                <w:szCs w:val="20"/>
              </w:rPr>
            </w:pPr>
            <w:r w:rsidRPr="00FC598A">
              <w:rPr>
                <w:sz w:val="20"/>
                <w:szCs w:val="20"/>
              </w:rPr>
              <w:t>Treatment ratio [95%] RYZODEG 70/30 once daily/</w:t>
            </w:r>
            <w:proofErr w:type="spellStart"/>
            <w:r w:rsidRPr="00FC598A">
              <w:rPr>
                <w:sz w:val="20"/>
                <w:szCs w:val="20"/>
              </w:rPr>
              <w:t>IGlar</w:t>
            </w:r>
            <w:proofErr w:type="spellEnd"/>
            <w:r w:rsidRPr="00FC598A">
              <w:rPr>
                <w:sz w:val="20"/>
                <w:szCs w:val="20"/>
              </w:rPr>
              <w:t xml:space="preserve"> once daily</w:t>
            </w:r>
          </w:p>
        </w:tc>
        <w:tc>
          <w:tcPr>
            <w:tcW w:w="1599" w:type="pct"/>
            <w:gridSpan w:val="2"/>
            <w:shd w:val="clear" w:color="auto" w:fill="auto"/>
          </w:tcPr>
          <w:p w14:paraId="451C3504" w14:textId="77777777" w:rsidR="00FC598A" w:rsidRPr="00FC598A" w:rsidRDefault="00FC598A" w:rsidP="00FC598A">
            <w:pPr>
              <w:rPr>
                <w:sz w:val="20"/>
                <w:szCs w:val="20"/>
              </w:rPr>
            </w:pPr>
            <w:r w:rsidRPr="00FC598A">
              <w:rPr>
                <w:sz w:val="20"/>
                <w:szCs w:val="20"/>
              </w:rPr>
              <w:t>2.17 [1.59;2.94]</w:t>
            </w:r>
          </w:p>
        </w:tc>
        <w:tc>
          <w:tcPr>
            <w:tcW w:w="1558" w:type="pct"/>
            <w:gridSpan w:val="2"/>
            <w:shd w:val="clear" w:color="auto" w:fill="auto"/>
          </w:tcPr>
          <w:p w14:paraId="662AAF45" w14:textId="77777777" w:rsidR="00FC598A" w:rsidRPr="00FC598A" w:rsidRDefault="00FC598A" w:rsidP="00FC598A">
            <w:pPr>
              <w:rPr>
                <w:sz w:val="20"/>
                <w:szCs w:val="20"/>
              </w:rPr>
            </w:pPr>
            <w:r w:rsidRPr="00FC598A">
              <w:rPr>
                <w:sz w:val="20"/>
                <w:szCs w:val="20"/>
              </w:rPr>
              <w:t>1.43 [1.07;1.92]</w:t>
            </w:r>
          </w:p>
        </w:tc>
      </w:tr>
      <w:tr w:rsidR="00FC598A" w:rsidRPr="00FC598A" w14:paraId="7BE0B257" w14:textId="77777777" w:rsidTr="0032378C">
        <w:tc>
          <w:tcPr>
            <w:tcW w:w="1843" w:type="pct"/>
            <w:shd w:val="clear" w:color="auto" w:fill="auto"/>
          </w:tcPr>
          <w:p w14:paraId="34B6904D" w14:textId="77777777" w:rsidR="00FC598A" w:rsidRPr="00FC598A" w:rsidRDefault="00FC598A" w:rsidP="00FC598A">
            <w:pPr>
              <w:rPr>
                <w:sz w:val="20"/>
                <w:szCs w:val="20"/>
              </w:rPr>
            </w:pPr>
            <w:r w:rsidRPr="00FC598A">
              <w:rPr>
                <w:sz w:val="20"/>
                <w:szCs w:val="20"/>
              </w:rPr>
              <w:t xml:space="preserve">Nocturnal confirmed hypoglycaemia </w:t>
            </w:r>
          </w:p>
        </w:tc>
        <w:tc>
          <w:tcPr>
            <w:tcW w:w="779" w:type="pct"/>
            <w:shd w:val="clear" w:color="auto" w:fill="auto"/>
          </w:tcPr>
          <w:p w14:paraId="5ACAA4C0" w14:textId="77777777" w:rsidR="00FC598A" w:rsidRPr="00FC598A" w:rsidRDefault="00FC598A" w:rsidP="00FC598A">
            <w:pPr>
              <w:rPr>
                <w:sz w:val="20"/>
                <w:szCs w:val="20"/>
              </w:rPr>
            </w:pPr>
            <w:r w:rsidRPr="00FC598A">
              <w:rPr>
                <w:sz w:val="20"/>
                <w:szCs w:val="20"/>
              </w:rPr>
              <w:t>0.19</w:t>
            </w:r>
          </w:p>
        </w:tc>
        <w:tc>
          <w:tcPr>
            <w:tcW w:w="820" w:type="pct"/>
            <w:shd w:val="clear" w:color="auto" w:fill="auto"/>
          </w:tcPr>
          <w:p w14:paraId="2B1F3E3B" w14:textId="77777777" w:rsidR="00FC598A" w:rsidRPr="00FC598A" w:rsidRDefault="00FC598A" w:rsidP="00FC598A">
            <w:pPr>
              <w:rPr>
                <w:sz w:val="20"/>
                <w:szCs w:val="20"/>
              </w:rPr>
            </w:pPr>
            <w:r w:rsidRPr="00FC598A">
              <w:rPr>
                <w:sz w:val="20"/>
                <w:szCs w:val="20"/>
              </w:rPr>
              <w:t>0.46</w:t>
            </w:r>
          </w:p>
        </w:tc>
        <w:tc>
          <w:tcPr>
            <w:tcW w:w="821" w:type="pct"/>
            <w:shd w:val="clear" w:color="auto" w:fill="auto"/>
          </w:tcPr>
          <w:p w14:paraId="68A32729" w14:textId="77777777" w:rsidR="00FC598A" w:rsidRPr="00FC598A" w:rsidRDefault="00FC598A" w:rsidP="00FC598A">
            <w:pPr>
              <w:rPr>
                <w:sz w:val="20"/>
                <w:szCs w:val="20"/>
              </w:rPr>
            </w:pPr>
            <w:r w:rsidRPr="00FC598A">
              <w:rPr>
                <w:sz w:val="20"/>
                <w:szCs w:val="20"/>
              </w:rPr>
              <w:t>0.82</w:t>
            </w:r>
          </w:p>
        </w:tc>
        <w:tc>
          <w:tcPr>
            <w:tcW w:w="737" w:type="pct"/>
            <w:shd w:val="clear" w:color="auto" w:fill="auto"/>
          </w:tcPr>
          <w:p w14:paraId="562245E8" w14:textId="77777777" w:rsidR="00FC598A" w:rsidRPr="00FC598A" w:rsidRDefault="00FC598A" w:rsidP="00FC598A">
            <w:pPr>
              <w:rPr>
                <w:sz w:val="20"/>
                <w:szCs w:val="20"/>
              </w:rPr>
            </w:pPr>
            <w:r w:rsidRPr="00FC598A">
              <w:rPr>
                <w:sz w:val="20"/>
                <w:szCs w:val="20"/>
              </w:rPr>
              <w:t>1.01</w:t>
            </w:r>
          </w:p>
        </w:tc>
      </w:tr>
      <w:tr w:rsidR="00FC598A" w:rsidRPr="00FC598A" w14:paraId="0FE636A3" w14:textId="77777777" w:rsidTr="0032378C">
        <w:trPr>
          <w:trHeight w:val="356"/>
        </w:trPr>
        <w:tc>
          <w:tcPr>
            <w:tcW w:w="1843" w:type="pct"/>
            <w:shd w:val="clear" w:color="auto" w:fill="auto"/>
          </w:tcPr>
          <w:p w14:paraId="7626A45F" w14:textId="77777777" w:rsidR="00FC598A" w:rsidRPr="00FC598A" w:rsidRDefault="00FC598A" w:rsidP="00FC598A">
            <w:pPr>
              <w:rPr>
                <w:sz w:val="20"/>
                <w:szCs w:val="20"/>
              </w:rPr>
            </w:pPr>
            <w:r w:rsidRPr="00FC598A">
              <w:rPr>
                <w:sz w:val="20"/>
                <w:szCs w:val="20"/>
              </w:rPr>
              <w:t>Treatment ratio [95%] RYZODEG 70/30 once daily/</w:t>
            </w:r>
            <w:proofErr w:type="spellStart"/>
            <w:r w:rsidRPr="00FC598A">
              <w:rPr>
                <w:sz w:val="20"/>
                <w:szCs w:val="20"/>
              </w:rPr>
              <w:t>IGlar</w:t>
            </w:r>
            <w:proofErr w:type="spellEnd"/>
            <w:r w:rsidRPr="00FC598A">
              <w:rPr>
                <w:sz w:val="20"/>
                <w:szCs w:val="20"/>
              </w:rPr>
              <w:t xml:space="preserve"> once daily</w:t>
            </w:r>
          </w:p>
        </w:tc>
        <w:tc>
          <w:tcPr>
            <w:tcW w:w="1599" w:type="pct"/>
            <w:gridSpan w:val="2"/>
            <w:shd w:val="clear" w:color="auto" w:fill="auto"/>
          </w:tcPr>
          <w:p w14:paraId="437CB896" w14:textId="77777777" w:rsidR="00FC598A" w:rsidRPr="00FC598A" w:rsidRDefault="00FC598A" w:rsidP="00FC598A">
            <w:pPr>
              <w:rPr>
                <w:sz w:val="20"/>
                <w:szCs w:val="20"/>
              </w:rPr>
            </w:pPr>
            <w:r w:rsidRPr="00FC598A">
              <w:rPr>
                <w:sz w:val="20"/>
                <w:szCs w:val="20"/>
              </w:rPr>
              <w:t>0.29 [0.13;0.65]</w:t>
            </w:r>
          </w:p>
        </w:tc>
        <w:tc>
          <w:tcPr>
            <w:tcW w:w="1558" w:type="pct"/>
            <w:gridSpan w:val="2"/>
            <w:shd w:val="clear" w:color="auto" w:fill="auto"/>
          </w:tcPr>
          <w:p w14:paraId="22C237DF" w14:textId="77777777" w:rsidR="00FC598A" w:rsidRPr="00FC598A" w:rsidRDefault="00FC598A" w:rsidP="00FC598A">
            <w:pPr>
              <w:rPr>
                <w:sz w:val="20"/>
                <w:szCs w:val="20"/>
              </w:rPr>
            </w:pPr>
            <w:r w:rsidRPr="00FC598A">
              <w:rPr>
                <w:sz w:val="20"/>
                <w:szCs w:val="20"/>
              </w:rPr>
              <w:t>0.80 [0.49;1.30]</w:t>
            </w:r>
          </w:p>
        </w:tc>
      </w:tr>
    </w:tbl>
    <w:p w14:paraId="0DCACFC7" w14:textId="77777777" w:rsidR="00FC598A" w:rsidRDefault="00FC598A" w:rsidP="00AD4BB0">
      <w:pPr>
        <w:rPr>
          <w:i/>
          <w:sz w:val="20"/>
          <w:szCs w:val="20"/>
        </w:rPr>
      </w:pPr>
      <w:r w:rsidRPr="00FC598A">
        <w:rPr>
          <w:i/>
          <w:sz w:val="20"/>
          <w:szCs w:val="20"/>
        </w:rPr>
        <w:t>(n = no. of subjects in the full analysis set (FAS))</w:t>
      </w:r>
    </w:p>
    <w:p w14:paraId="3891C07D" w14:textId="77777777" w:rsidR="00FC598A" w:rsidRDefault="00FC598A" w:rsidP="00FC598A"/>
    <w:p w14:paraId="4A9241EB" w14:textId="0791E19C" w:rsidR="00FC598A" w:rsidRPr="00FC598A" w:rsidRDefault="00FC598A" w:rsidP="00FC598A">
      <w:bookmarkStart w:id="22" w:name="OLE_LINK7"/>
      <w:bookmarkStart w:id="23" w:name="OLE_LINK8"/>
      <w:r w:rsidRPr="00FC598A">
        <w:t xml:space="preserve">In a non-blinded, treat-to-target clinical trial (trial 3592), adult subjects with type 2 diabetes mellitus who were inadequately controlled on once daily or twice daily premixed or self-mixed insulin regimen </w:t>
      </w:r>
      <w:r w:rsidRPr="00FC598A">
        <w:rPr>
          <w:b/>
        </w:rPr>
        <w:t>±</w:t>
      </w:r>
      <w:r w:rsidRPr="00FC598A">
        <w:t xml:space="preserve"> OADs were randomised to 26 weeks of treatment with RYZODEG 70/30 twice daily or </w:t>
      </w:r>
      <w:proofErr w:type="spellStart"/>
      <w:r w:rsidRPr="00FC598A">
        <w:t>BIAsp</w:t>
      </w:r>
      <w:proofErr w:type="spellEnd"/>
      <w:r w:rsidRPr="00FC598A">
        <w:t xml:space="preserve"> 30 twice daily, both </w:t>
      </w:r>
      <w:r w:rsidRPr="00FC598A">
        <w:rPr>
          <w:b/>
        </w:rPr>
        <w:t>±</w:t>
      </w:r>
      <w:r w:rsidRPr="00FC598A">
        <w:t xml:space="preserve"> Met, </w:t>
      </w:r>
      <w:r w:rsidRPr="00FC598A">
        <w:rPr>
          <w:b/>
        </w:rPr>
        <w:t>±</w:t>
      </w:r>
      <w:r w:rsidRPr="00FC598A">
        <w:t xml:space="preserve"> DPP-4 inhibitor, </w:t>
      </w:r>
      <w:r w:rsidRPr="00FC598A">
        <w:rPr>
          <w:b/>
        </w:rPr>
        <w:t>±</w:t>
      </w:r>
      <w:r w:rsidRPr="00FC598A">
        <w:t xml:space="preserve"> Pio. RYZODEG 70/30 and </w:t>
      </w:r>
      <w:proofErr w:type="spellStart"/>
      <w:r w:rsidRPr="00FC598A">
        <w:t>BIAsp</w:t>
      </w:r>
      <w:proofErr w:type="spellEnd"/>
      <w:r w:rsidRPr="00FC598A">
        <w:t xml:space="preserve"> 30 were administered before the breakfast and main evening meals. Subjects on premixed insulin twice daily transferred their doses unit-to-unit to trial insulin. Subjects on a self-mixed regimen transferred to trial insulin at doses corresponding to their respective self-mixed pre-meal dose. Subjects previously receiving premixed or self-mixed insulin once daily were to divide their dose into 2 equal doses. RYZODEG 70/30 and </w:t>
      </w:r>
      <w:proofErr w:type="spellStart"/>
      <w:r w:rsidRPr="00FC598A">
        <w:t>BIAsp</w:t>
      </w:r>
      <w:proofErr w:type="spellEnd"/>
      <w:r w:rsidRPr="00FC598A">
        <w:t xml:space="preserve"> 30 groups had similar HbA</w:t>
      </w:r>
      <w:r w:rsidRPr="00FC598A">
        <w:rPr>
          <w:vertAlign w:val="subscript"/>
        </w:rPr>
        <w:t>1c</w:t>
      </w:r>
      <w:r w:rsidRPr="00FC598A">
        <w:t xml:space="preserve"> levels with RYZODEG 70/30 resulting in significantly lower FPG levels. Treatment with RYZODEG 70/30 resulted in significantly lower rates of confirmed hypoglycaemia and lower rates of nocturnal confirmed hypoglycaemia compared to </w:t>
      </w:r>
      <w:proofErr w:type="spellStart"/>
      <w:r w:rsidRPr="00FC598A">
        <w:t>BIAsp</w:t>
      </w:r>
      <w:proofErr w:type="spellEnd"/>
      <w:r w:rsidRPr="00FC598A">
        <w:t xml:space="preserve"> 30 (see Table </w:t>
      </w:r>
      <w:r w:rsidR="00B15689">
        <w:t>6</w:t>
      </w:r>
      <w:r w:rsidRPr="00FC598A">
        <w:t>).</w:t>
      </w:r>
      <w:bookmarkEnd w:id="22"/>
      <w:bookmarkEnd w:id="23"/>
    </w:p>
    <w:p w14:paraId="67F7AB49" w14:textId="77777777" w:rsidR="00FC598A" w:rsidRPr="00FC598A" w:rsidRDefault="00FC598A" w:rsidP="00FC598A"/>
    <w:p w14:paraId="23730456" w14:textId="0288D580" w:rsidR="00FC598A" w:rsidRDefault="00FC598A" w:rsidP="00FC598A">
      <w:r w:rsidRPr="00FC598A">
        <w:t xml:space="preserve">In a non-blinded, treat-to-target clinical </w:t>
      </w:r>
      <w:r w:rsidRPr="00FC598A">
        <w:rPr>
          <w:iCs/>
        </w:rPr>
        <w:t xml:space="preserve">trial </w:t>
      </w:r>
      <w:r w:rsidRPr="00FC598A">
        <w:t xml:space="preserve">(trial 3597), Asian adult subjects with type 2 diabetes mellitus who were inadequately controlled on basal insulin, premixed or self-mixed insulin in an once daily or twice daily insulin regimen </w:t>
      </w:r>
      <w:r w:rsidRPr="00FC598A">
        <w:rPr>
          <w:b/>
        </w:rPr>
        <w:t>±</w:t>
      </w:r>
      <w:r w:rsidRPr="00FC598A">
        <w:t xml:space="preserve"> Met were randomised to 26 weeks of treatment with RYZODEG 70/30 twice daily or </w:t>
      </w:r>
      <w:proofErr w:type="spellStart"/>
      <w:r w:rsidRPr="00FC598A">
        <w:t>BIAsp</w:t>
      </w:r>
      <w:proofErr w:type="spellEnd"/>
      <w:r w:rsidRPr="00FC598A">
        <w:t xml:space="preserve"> 30 twice daily, with or without Met.  Subjects on once daily insulin split the total dose of their previous insulin treatment into 2 equal doses of trial insulin for twice daily administration. Subjects on twice daily insulin transferred their doses on a unit-to-unit basis to the trial insulin. RYZODEG 70/30 and </w:t>
      </w:r>
      <w:proofErr w:type="spellStart"/>
      <w:r w:rsidRPr="00FC598A">
        <w:t>BIAsp</w:t>
      </w:r>
      <w:proofErr w:type="spellEnd"/>
      <w:r w:rsidRPr="00FC598A">
        <w:t xml:space="preserve"> 30 was administered at the breakfast and main evening meal. RYZODEG 70/30 and </w:t>
      </w:r>
      <w:proofErr w:type="spellStart"/>
      <w:r w:rsidRPr="00FC598A">
        <w:t>BIAsp</w:t>
      </w:r>
      <w:proofErr w:type="spellEnd"/>
      <w:r w:rsidRPr="00FC598A">
        <w:t xml:space="preserve"> 30 groups had similar HbA</w:t>
      </w:r>
      <w:r w:rsidRPr="00FC598A">
        <w:rPr>
          <w:vertAlign w:val="subscript"/>
        </w:rPr>
        <w:t>1c</w:t>
      </w:r>
      <w:r w:rsidRPr="00FC598A">
        <w:t xml:space="preserve"> levels with RYZODEG 70/30 resulting in significantly lower FPG levels. Treatment with RYZODEG 70/30 resulted in similar rates of confirmed hypoglycaemia and nocturnal confirmed hypoglycaemia compared to </w:t>
      </w:r>
      <w:proofErr w:type="spellStart"/>
      <w:r w:rsidRPr="00FC598A">
        <w:t>BIAsp</w:t>
      </w:r>
      <w:proofErr w:type="spellEnd"/>
      <w:r w:rsidRPr="00FC598A">
        <w:t xml:space="preserve"> 30 (see Table </w:t>
      </w:r>
      <w:r w:rsidR="00B15689">
        <w:t>6</w:t>
      </w:r>
      <w:r w:rsidRPr="00FC598A">
        <w:t>).</w:t>
      </w:r>
    </w:p>
    <w:p w14:paraId="0E7A118A" w14:textId="77777777" w:rsidR="00FC598A" w:rsidRDefault="00FC598A" w:rsidP="00FC598A"/>
    <w:p w14:paraId="7BFF9ABE" w14:textId="56733FF8" w:rsidR="00FC598A" w:rsidRPr="00FC598A" w:rsidRDefault="00FC598A" w:rsidP="00D11AB9">
      <w:pPr>
        <w:pageBreakBefore/>
        <w:rPr>
          <w:b/>
        </w:rPr>
      </w:pPr>
      <w:r w:rsidRPr="00FC598A">
        <w:rPr>
          <w:b/>
        </w:rPr>
        <w:lastRenderedPageBreak/>
        <w:t xml:space="preserve">Table </w:t>
      </w:r>
      <w:r w:rsidRPr="00FC598A">
        <w:rPr>
          <w:b/>
        </w:rPr>
        <w:fldChar w:fldCharType="begin"/>
      </w:r>
      <w:r w:rsidRPr="00FC598A">
        <w:rPr>
          <w:b/>
        </w:rPr>
        <w:instrText xml:space="preserve"> SEQ Table \* ARABIC </w:instrText>
      </w:r>
      <w:r w:rsidRPr="00FC598A">
        <w:rPr>
          <w:b/>
        </w:rPr>
        <w:fldChar w:fldCharType="separate"/>
      </w:r>
      <w:r w:rsidR="00B15689">
        <w:rPr>
          <w:b/>
          <w:noProof/>
        </w:rPr>
        <w:t>6</w:t>
      </w:r>
      <w:r w:rsidRPr="00FC598A">
        <w:rPr>
          <w:b/>
        </w:rPr>
        <w:fldChar w:fldCharType="end"/>
      </w:r>
      <w:r w:rsidRPr="00FC598A">
        <w:rPr>
          <w:b/>
        </w:rPr>
        <w:t xml:space="preserve">: Results of two 26-weeks trials of RYZODEG 70/30 versus </w:t>
      </w:r>
      <w:proofErr w:type="spellStart"/>
      <w:r w:rsidRPr="00FC598A">
        <w:rPr>
          <w:b/>
        </w:rPr>
        <w:t>BIAsp</w:t>
      </w:r>
      <w:proofErr w:type="spellEnd"/>
      <w:r w:rsidRPr="00FC598A">
        <w:rPr>
          <w:b/>
        </w:rPr>
        <w:t xml:space="preserve"> 30 in type 2 diabetes mellitus </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529"/>
        <w:gridCol w:w="1542"/>
        <w:gridCol w:w="1526"/>
        <w:gridCol w:w="1592"/>
        <w:gridCol w:w="1459"/>
      </w:tblGrid>
      <w:tr w:rsidR="00FC598A" w:rsidRPr="00FC598A" w14:paraId="21A0C9D6" w14:textId="77777777" w:rsidTr="0032378C">
        <w:trPr>
          <w:trHeight w:val="338"/>
        </w:trPr>
        <w:tc>
          <w:tcPr>
            <w:tcW w:w="1829" w:type="pct"/>
            <w:shd w:val="clear" w:color="auto" w:fill="auto"/>
          </w:tcPr>
          <w:p w14:paraId="17E07365" w14:textId="77777777" w:rsidR="00FC598A" w:rsidRPr="00FC598A" w:rsidRDefault="00FC598A" w:rsidP="00FC598A">
            <w:pPr>
              <w:rPr>
                <w:sz w:val="20"/>
                <w:szCs w:val="20"/>
              </w:rPr>
            </w:pPr>
          </w:p>
        </w:tc>
        <w:tc>
          <w:tcPr>
            <w:tcW w:w="1590" w:type="pct"/>
            <w:gridSpan w:val="2"/>
            <w:shd w:val="clear" w:color="auto" w:fill="auto"/>
          </w:tcPr>
          <w:p w14:paraId="18B7B3A6" w14:textId="77777777" w:rsidR="00FC598A" w:rsidRPr="00FC598A" w:rsidRDefault="00FC598A" w:rsidP="00FC598A">
            <w:pPr>
              <w:rPr>
                <w:sz w:val="20"/>
                <w:szCs w:val="20"/>
              </w:rPr>
            </w:pPr>
            <w:r w:rsidRPr="00FC598A">
              <w:rPr>
                <w:b/>
                <w:sz w:val="20"/>
                <w:szCs w:val="20"/>
              </w:rPr>
              <w:t>Trial 3592</w:t>
            </w:r>
          </w:p>
        </w:tc>
        <w:tc>
          <w:tcPr>
            <w:tcW w:w="1581" w:type="pct"/>
            <w:gridSpan w:val="2"/>
            <w:shd w:val="clear" w:color="auto" w:fill="auto"/>
          </w:tcPr>
          <w:p w14:paraId="5A73A57E" w14:textId="77777777" w:rsidR="00FC598A" w:rsidRPr="00FC598A" w:rsidRDefault="00FC598A" w:rsidP="00FC598A">
            <w:pPr>
              <w:rPr>
                <w:sz w:val="20"/>
                <w:szCs w:val="20"/>
              </w:rPr>
            </w:pPr>
            <w:r w:rsidRPr="00FC598A">
              <w:rPr>
                <w:b/>
                <w:sz w:val="20"/>
                <w:szCs w:val="20"/>
              </w:rPr>
              <w:t>Trial 3597</w:t>
            </w:r>
          </w:p>
        </w:tc>
      </w:tr>
      <w:tr w:rsidR="00FC598A" w:rsidRPr="00FC598A" w14:paraId="2D9CA9EE" w14:textId="77777777" w:rsidTr="0032378C">
        <w:trPr>
          <w:trHeight w:hRule="exact" w:val="2041"/>
        </w:trPr>
        <w:tc>
          <w:tcPr>
            <w:tcW w:w="1829" w:type="pct"/>
            <w:tcBorders>
              <w:bottom w:val="nil"/>
            </w:tcBorders>
            <w:shd w:val="clear" w:color="auto" w:fill="auto"/>
          </w:tcPr>
          <w:p w14:paraId="306BE245" w14:textId="77777777" w:rsidR="00FC598A" w:rsidRPr="00FC598A" w:rsidRDefault="00FC598A" w:rsidP="00FC598A">
            <w:pPr>
              <w:rPr>
                <w:sz w:val="20"/>
                <w:szCs w:val="20"/>
              </w:rPr>
            </w:pPr>
          </w:p>
        </w:tc>
        <w:tc>
          <w:tcPr>
            <w:tcW w:w="799" w:type="pct"/>
            <w:tcBorders>
              <w:bottom w:val="nil"/>
            </w:tcBorders>
            <w:shd w:val="clear" w:color="auto" w:fill="auto"/>
          </w:tcPr>
          <w:p w14:paraId="35D44E81" w14:textId="77777777" w:rsidR="00FC598A" w:rsidRPr="00FC598A" w:rsidRDefault="00FC598A" w:rsidP="00FC598A">
            <w:pPr>
              <w:rPr>
                <w:sz w:val="20"/>
                <w:szCs w:val="20"/>
              </w:rPr>
            </w:pPr>
            <w:r w:rsidRPr="00FC598A">
              <w:rPr>
                <w:sz w:val="20"/>
                <w:szCs w:val="20"/>
              </w:rPr>
              <w:t xml:space="preserve">RYZODEG 70/30 twice daily </w:t>
            </w:r>
            <w:r w:rsidRPr="00FC598A">
              <w:rPr>
                <w:sz w:val="20"/>
                <w:szCs w:val="20"/>
              </w:rPr>
              <w:br/>
            </w:r>
            <w:r w:rsidRPr="00FC598A">
              <w:rPr>
                <w:sz w:val="20"/>
                <w:szCs w:val="20"/>
              </w:rPr>
              <w:sym w:font="Symbol" w:char="F0B1"/>
            </w:r>
            <w:r w:rsidRPr="00FC598A">
              <w:rPr>
                <w:sz w:val="20"/>
                <w:szCs w:val="20"/>
              </w:rPr>
              <w:t xml:space="preserve"> metformin </w:t>
            </w:r>
          </w:p>
          <w:p w14:paraId="2CD471BF" w14:textId="77777777" w:rsidR="00FC598A" w:rsidRPr="00FC598A" w:rsidRDefault="00FC598A" w:rsidP="00FC598A">
            <w:pPr>
              <w:rPr>
                <w:sz w:val="20"/>
                <w:szCs w:val="20"/>
              </w:rPr>
            </w:pPr>
            <w:r w:rsidRPr="00FC598A">
              <w:rPr>
                <w:sz w:val="20"/>
                <w:szCs w:val="20"/>
              </w:rPr>
              <w:t>± pioglitazone</w:t>
            </w:r>
          </w:p>
          <w:p w14:paraId="6D1C7FC8" w14:textId="04C6321E" w:rsidR="00FC598A" w:rsidRPr="00FC598A" w:rsidRDefault="00FC598A" w:rsidP="00D11AB9">
            <w:pPr>
              <w:rPr>
                <w:sz w:val="20"/>
                <w:szCs w:val="20"/>
              </w:rPr>
            </w:pPr>
            <w:r w:rsidRPr="00FC598A">
              <w:rPr>
                <w:sz w:val="20"/>
                <w:szCs w:val="20"/>
              </w:rPr>
              <w:t>± DPP-4 inhibitor</w:t>
            </w:r>
          </w:p>
        </w:tc>
        <w:tc>
          <w:tcPr>
            <w:tcW w:w="791" w:type="pct"/>
            <w:tcBorders>
              <w:bottom w:val="nil"/>
            </w:tcBorders>
            <w:shd w:val="clear" w:color="auto" w:fill="auto"/>
          </w:tcPr>
          <w:p w14:paraId="795EFBDC" w14:textId="77777777" w:rsidR="00FC598A" w:rsidRPr="00FC598A" w:rsidRDefault="00FC598A" w:rsidP="00FC598A">
            <w:pPr>
              <w:rPr>
                <w:sz w:val="20"/>
                <w:szCs w:val="20"/>
              </w:rPr>
            </w:pPr>
            <w:proofErr w:type="spellStart"/>
            <w:r w:rsidRPr="00FC598A">
              <w:rPr>
                <w:sz w:val="20"/>
                <w:szCs w:val="20"/>
              </w:rPr>
              <w:t>BIAsp</w:t>
            </w:r>
            <w:proofErr w:type="spellEnd"/>
            <w:r w:rsidRPr="00FC598A">
              <w:rPr>
                <w:sz w:val="20"/>
                <w:szCs w:val="20"/>
              </w:rPr>
              <w:t xml:space="preserve"> 30 twice daily  </w:t>
            </w:r>
          </w:p>
          <w:p w14:paraId="4BF12FD1" w14:textId="77777777" w:rsidR="00FC598A" w:rsidRPr="00FC598A" w:rsidRDefault="00FC598A" w:rsidP="00FC598A">
            <w:pPr>
              <w:rPr>
                <w:sz w:val="20"/>
                <w:szCs w:val="20"/>
              </w:rPr>
            </w:pPr>
            <w:r w:rsidRPr="00FC598A">
              <w:rPr>
                <w:sz w:val="20"/>
                <w:szCs w:val="20"/>
              </w:rPr>
              <w:t xml:space="preserve"> </w:t>
            </w:r>
            <w:r w:rsidRPr="00FC598A">
              <w:rPr>
                <w:sz w:val="20"/>
                <w:szCs w:val="20"/>
              </w:rPr>
              <w:sym w:font="Symbol" w:char="F0B1"/>
            </w:r>
            <w:r w:rsidRPr="00FC598A">
              <w:rPr>
                <w:sz w:val="20"/>
                <w:szCs w:val="20"/>
              </w:rPr>
              <w:t xml:space="preserve"> metformin </w:t>
            </w:r>
          </w:p>
          <w:p w14:paraId="7EC4395E" w14:textId="77777777" w:rsidR="00FC598A" w:rsidRPr="00FC598A" w:rsidRDefault="00FC598A" w:rsidP="00FC598A">
            <w:pPr>
              <w:rPr>
                <w:sz w:val="20"/>
                <w:szCs w:val="20"/>
              </w:rPr>
            </w:pPr>
            <w:r w:rsidRPr="00FC598A">
              <w:rPr>
                <w:sz w:val="20"/>
                <w:szCs w:val="20"/>
              </w:rPr>
              <w:t>± pioglitazone</w:t>
            </w:r>
          </w:p>
          <w:p w14:paraId="48D9C030" w14:textId="2B5069D3" w:rsidR="00FC598A" w:rsidRPr="00FC598A" w:rsidRDefault="00FC598A" w:rsidP="00D11AB9">
            <w:pPr>
              <w:rPr>
                <w:sz w:val="20"/>
                <w:szCs w:val="20"/>
              </w:rPr>
            </w:pPr>
            <w:r w:rsidRPr="00FC598A">
              <w:rPr>
                <w:sz w:val="20"/>
                <w:szCs w:val="20"/>
              </w:rPr>
              <w:t>± DPP-4 inhibitor</w:t>
            </w:r>
          </w:p>
        </w:tc>
        <w:tc>
          <w:tcPr>
            <w:tcW w:w="825" w:type="pct"/>
            <w:tcBorders>
              <w:bottom w:val="nil"/>
            </w:tcBorders>
            <w:shd w:val="clear" w:color="auto" w:fill="auto"/>
          </w:tcPr>
          <w:p w14:paraId="64AEC0C9" w14:textId="6CD2B0CA" w:rsidR="00FC598A" w:rsidRPr="00FC598A" w:rsidRDefault="00FC598A" w:rsidP="00D11AB9">
            <w:pPr>
              <w:rPr>
                <w:sz w:val="20"/>
                <w:szCs w:val="20"/>
              </w:rPr>
            </w:pPr>
            <w:r w:rsidRPr="00FC598A">
              <w:rPr>
                <w:sz w:val="20"/>
                <w:szCs w:val="20"/>
              </w:rPr>
              <w:t xml:space="preserve">RYZODEG 70/30 twice daily </w:t>
            </w:r>
            <w:r w:rsidRPr="00FC598A">
              <w:rPr>
                <w:sz w:val="20"/>
                <w:szCs w:val="20"/>
              </w:rPr>
              <w:br/>
            </w:r>
            <w:r w:rsidRPr="00FC598A">
              <w:rPr>
                <w:sz w:val="20"/>
                <w:szCs w:val="20"/>
              </w:rPr>
              <w:sym w:font="Symbol" w:char="F0B1"/>
            </w:r>
            <w:r w:rsidRPr="00FC598A">
              <w:rPr>
                <w:sz w:val="20"/>
                <w:szCs w:val="20"/>
              </w:rPr>
              <w:t xml:space="preserve"> metformin</w:t>
            </w:r>
          </w:p>
        </w:tc>
        <w:tc>
          <w:tcPr>
            <w:tcW w:w="756" w:type="pct"/>
            <w:tcBorders>
              <w:bottom w:val="nil"/>
            </w:tcBorders>
            <w:shd w:val="clear" w:color="auto" w:fill="auto"/>
          </w:tcPr>
          <w:p w14:paraId="1F26C693" w14:textId="1D13C947" w:rsidR="00FC598A" w:rsidRPr="00FC598A" w:rsidRDefault="00FC598A" w:rsidP="00D11AB9">
            <w:pPr>
              <w:rPr>
                <w:sz w:val="20"/>
                <w:szCs w:val="20"/>
              </w:rPr>
            </w:pPr>
            <w:proofErr w:type="spellStart"/>
            <w:r w:rsidRPr="00FC598A">
              <w:rPr>
                <w:sz w:val="20"/>
                <w:szCs w:val="20"/>
              </w:rPr>
              <w:t>BIAsp</w:t>
            </w:r>
            <w:proofErr w:type="spellEnd"/>
            <w:r w:rsidRPr="00FC598A">
              <w:rPr>
                <w:sz w:val="20"/>
                <w:szCs w:val="20"/>
              </w:rPr>
              <w:t xml:space="preserve"> 30 twice daily </w:t>
            </w:r>
            <w:r w:rsidRPr="00FC598A">
              <w:rPr>
                <w:sz w:val="20"/>
                <w:szCs w:val="20"/>
              </w:rPr>
              <w:sym w:font="Symbol" w:char="F0B1"/>
            </w:r>
            <w:r w:rsidRPr="00FC598A">
              <w:rPr>
                <w:sz w:val="20"/>
                <w:szCs w:val="20"/>
              </w:rPr>
              <w:t xml:space="preserve"> metformin</w:t>
            </w:r>
          </w:p>
        </w:tc>
      </w:tr>
      <w:tr w:rsidR="00FC598A" w:rsidRPr="00FC598A" w14:paraId="30AA2896" w14:textId="77777777" w:rsidTr="0032378C">
        <w:trPr>
          <w:trHeight w:val="233"/>
        </w:trPr>
        <w:tc>
          <w:tcPr>
            <w:tcW w:w="1829" w:type="pct"/>
            <w:tcBorders>
              <w:top w:val="nil"/>
              <w:bottom w:val="single" w:sz="6" w:space="0" w:color="auto"/>
            </w:tcBorders>
            <w:shd w:val="clear" w:color="auto" w:fill="auto"/>
          </w:tcPr>
          <w:p w14:paraId="6E2FCF99" w14:textId="77777777" w:rsidR="00FC598A" w:rsidRPr="00FC598A" w:rsidRDefault="00FC598A" w:rsidP="00FC598A">
            <w:pPr>
              <w:rPr>
                <w:sz w:val="20"/>
                <w:szCs w:val="20"/>
              </w:rPr>
            </w:pPr>
          </w:p>
        </w:tc>
        <w:tc>
          <w:tcPr>
            <w:tcW w:w="799" w:type="pct"/>
            <w:tcBorders>
              <w:top w:val="nil"/>
              <w:bottom w:val="single" w:sz="6" w:space="0" w:color="auto"/>
            </w:tcBorders>
            <w:shd w:val="clear" w:color="auto" w:fill="auto"/>
          </w:tcPr>
          <w:p w14:paraId="3B3C0D01" w14:textId="77777777" w:rsidR="00FC598A" w:rsidRPr="00FC598A" w:rsidRDefault="00FC598A" w:rsidP="00FC598A">
            <w:pPr>
              <w:rPr>
                <w:sz w:val="20"/>
                <w:szCs w:val="20"/>
              </w:rPr>
            </w:pPr>
            <w:r w:rsidRPr="00FC598A">
              <w:rPr>
                <w:sz w:val="20"/>
                <w:szCs w:val="20"/>
              </w:rPr>
              <w:t>Insulin users</w:t>
            </w:r>
          </w:p>
        </w:tc>
        <w:tc>
          <w:tcPr>
            <w:tcW w:w="791" w:type="pct"/>
            <w:tcBorders>
              <w:top w:val="nil"/>
              <w:bottom w:val="single" w:sz="6" w:space="0" w:color="auto"/>
            </w:tcBorders>
            <w:shd w:val="clear" w:color="auto" w:fill="auto"/>
          </w:tcPr>
          <w:p w14:paraId="09CBB2E9" w14:textId="77777777" w:rsidR="00FC598A" w:rsidRPr="00FC598A" w:rsidRDefault="00FC598A" w:rsidP="00FC598A">
            <w:pPr>
              <w:rPr>
                <w:sz w:val="20"/>
                <w:szCs w:val="20"/>
              </w:rPr>
            </w:pPr>
            <w:r w:rsidRPr="00FC598A">
              <w:rPr>
                <w:sz w:val="20"/>
                <w:szCs w:val="20"/>
              </w:rPr>
              <w:t>Insulin users</w:t>
            </w:r>
          </w:p>
        </w:tc>
        <w:tc>
          <w:tcPr>
            <w:tcW w:w="825" w:type="pct"/>
            <w:tcBorders>
              <w:top w:val="nil"/>
              <w:bottom w:val="single" w:sz="6" w:space="0" w:color="auto"/>
            </w:tcBorders>
            <w:shd w:val="clear" w:color="auto" w:fill="auto"/>
          </w:tcPr>
          <w:p w14:paraId="669B5C6C" w14:textId="77777777" w:rsidR="00FC598A" w:rsidRPr="00FC598A" w:rsidRDefault="00FC598A" w:rsidP="00FC598A">
            <w:pPr>
              <w:rPr>
                <w:sz w:val="20"/>
                <w:szCs w:val="20"/>
              </w:rPr>
            </w:pPr>
            <w:r w:rsidRPr="00FC598A">
              <w:rPr>
                <w:sz w:val="20"/>
                <w:szCs w:val="20"/>
              </w:rPr>
              <w:t>Insulin users</w:t>
            </w:r>
          </w:p>
        </w:tc>
        <w:tc>
          <w:tcPr>
            <w:tcW w:w="756" w:type="pct"/>
            <w:tcBorders>
              <w:top w:val="nil"/>
              <w:bottom w:val="single" w:sz="6" w:space="0" w:color="auto"/>
            </w:tcBorders>
            <w:shd w:val="clear" w:color="auto" w:fill="auto"/>
          </w:tcPr>
          <w:p w14:paraId="71359BE2" w14:textId="77777777" w:rsidR="00FC598A" w:rsidRPr="00FC598A" w:rsidRDefault="00FC598A" w:rsidP="00FC598A">
            <w:pPr>
              <w:rPr>
                <w:sz w:val="20"/>
                <w:szCs w:val="20"/>
              </w:rPr>
            </w:pPr>
            <w:r w:rsidRPr="00FC598A">
              <w:rPr>
                <w:sz w:val="20"/>
                <w:szCs w:val="20"/>
              </w:rPr>
              <w:t>Insulin users</w:t>
            </w:r>
          </w:p>
        </w:tc>
      </w:tr>
      <w:tr w:rsidR="00FC598A" w:rsidRPr="00FC598A" w14:paraId="18AB8B22" w14:textId="77777777" w:rsidTr="0032378C">
        <w:trPr>
          <w:trHeight w:val="233"/>
        </w:trPr>
        <w:tc>
          <w:tcPr>
            <w:tcW w:w="1829" w:type="pct"/>
            <w:tcBorders>
              <w:top w:val="single" w:sz="6" w:space="0" w:color="auto"/>
            </w:tcBorders>
            <w:shd w:val="clear" w:color="auto" w:fill="auto"/>
          </w:tcPr>
          <w:p w14:paraId="0AE3C329" w14:textId="77777777" w:rsidR="00FC598A" w:rsidRPr="00FC598A" w:rsidRDefault="00FC598A" w:rsidP="00FC598A">
            <w:pPr>
              <w:rPr>
                <w:sz w:val="20"/>
                <w:szCs w:val="20"/>
              </w:rPr>
            </w:pPr>
            <w:r w:rsidRPr="00FC598A">
              <w:rPr>
                <w:sz w:val="20"/>
                <w:szCs w:val="20"/>
              </w:rPr>
              <w:t xml:space="preserve">n </w:t>
            </w:r>
          </w:p>
        </w:tc>
        <w:tc>
          <w:tcPr>
            <w:tcW w:w="799" w:type="pct"/>
            <w:tcBorders>
              <w:top w:val="single" w:sz="6" w:space="0" w:color="auto"/>
            </w:tcBorders>
            <w:shd w:val="clear" w:color="auto" w:fill="auto"/>
          </w:tcPr>
          <w:p w14:paraId="5EC2A601" w14:textId="77777777" w:rsidR="00FC598A" w:rsidRPr="00FC598A" w:rsidRDefault="00FC598A" w:rsidP="00FC598A">
            <w:pPr>
              <w:rPr>
                <w:sz w:val="20"/>
                <w:szCs w:val="20"/>
              </w:rPr>
            </w:pPr>
            <w:r w:rsidRPr="00FC598A">
              <w:rPr>
                <w:sz w:val="20"/>
                <w:szCs w:val="20"/>
              </w:rPr>
              <w:t>224</w:t>
            </w:r>
          </w:p>
        </w:tc>
        <w:tc>
          <w:tcPr>
            <w:tcW w:w="791" w:type="pct"/>
            <w:tcBorders>
              <w:top w:val="single" w:sz="6" w:space="0" w:color="auto"/>
            </w:tcBorders>
            <w:shd w:val="clear" w:color="auto" w:fill="auto"/>
          </w:tcPr>
          <w:p w14:paraId="6C675159" w14:textId="77777777" w:rsidR="00FC598A" w:rsidRPr="00FC598A" w:rsidRDefault="00FC598A" w:rsidP="00FC598A">
            <w:pPr>
              <w:rPr>
                <w:sz w:val="20"/>
                <w:szCs w:val="20"/>
              </w:rPr>
            </w:pPr>
            <w:r w:rsidRPr="00FC598A">
              <w:rPr>
                <w:sz w:val="20"/>
                <w:szCs w:val="20"/>
              </w:rPr>
              <w:t>222</w:t>
            </w:r>
          </w:p>
        </w:tc>
        <w:tc>
          <w:tcPr>
            <w:tcW w:w="825" w:type="pct"/>
            <w:tcBorders>
              <w:top w:val="single" w:sz="6" w:space="0" w:color="auto"/>
            </w:tcBorders>
            <w:shd w:val="clear" w:color="auto" w:fill="auto"/>
          </w:tcPr>
          <w:p w14:paraId="52A8AD21" w14:textId="77777777" w:rsidR="00FC598A" w:rsidRPr="00FC598A" w:rsidRDefault="00FC598A" w:rsidP="00FC598A">
            <w:pPr>
              <w:rPr>
                <w:sz w:val="20"/>
                <w:szCs w:val="20"/>
              </w:rPr>
            </w:pPr>
            <w:r w:rsidRPr="00FC598A">
              <w:rPr>
                <w:sz w:val="20"/>
                <w:szCs w:val="20"/>
              </w:rPr>
              <w:t>280</w:t>
            </w:r>
          </w:p>
        </w:tc>
        <w:tc>
          <w:tcPr>
            <w:tcW w:w="756" w:type="pct"/>
            <w:tcBorders>
              <w:top w:val="single" w:sz="6" w:space="0" w:color="auto"/>
            </w:tcBorders>
            <w:shd w:val="clear" w:color="auto" w:fill="auto"/>
          </w:tcPr>
          <w:p w14:paraId="2C06B71D" w14:textId="77777777" w:rsidR="00FC598A" w:rsidRPr="00FC598A" w:rsidRDefault="00FC598A" w:rsidP="00FC598A">
            <w:pPr>
              <w:rPr>
                <w:sz w:val="20"/>
                <w:szCs w:val="20"/>
              </w:rPr>
            </w:pPr>
            <w:r w:rsidRPr="00FC598A">
              <w:rPr>
                <w:sz w:val="20"/>
                <w:szCs w:val="20"/>
              </w:rPr>
              <w:t>142</w:t>
            </w:r>
          </w:p>
        </w:tc>
      </w:tr>
      <w:tr w:rsidR="00FC598A" w:rsidRPr="00FC598A" w14:paraId="528C8537" w14:textId="77777777" w:rsidTr="0032378C">
        <w:tc>
          <w:tcPr>
            <w:tcW w:w="5000" w:type="pct"/>
            <w:gridSpan w:val="5"/>
            <w:shd w:val="clear" w:color="auto" w:fill="auto"/>
          </w:tcPr>
          <w:p w14:paraId="080568A7" w14:textId="77777777" w:rsidR="00FC598A" w:rsidRPr="00FC598A" w:rsidRDefault="00FC598A" w:rsidP="00FC598A">
            <w:pPr>
              <w:rPr>
                <w:b/>
                <w:sz w:val="20"/>
                <w:szCs w:val="20"/>
              </w:rPr>
            </w:pPr>
            <w:r w:rsidRPr="00FC598A">
              <w:rPr>
                <w:b/>
                <w:sz w:val="20"/>
                <w:szCs w:val="20"/>
              </w:rPr>
              <w:t>Mean HbA</w:t>
            </w:r>
            <w:r w:rsidRPr="00FC598A">
              <w:rPr>
                <w:b/>
                <w:sz w:val="20"/>
                <w:szCs w:val="20"/>
                <w:vertAlign w:val="subscript"/>
              </w:rPr>
              <w:t>1c</w:t>
            </w:r>
            <w:r w:rsidRPr="00FC598A">
              <w:rPr>
                <w:b/>
                <w:sz w:val="20"/>
                <w:szCs w:val="20"/>
              </w:rPr>
              <w:t xml:space="preserve"> (%)</w:t>
            </w:r>
          </w:p>
        </w:tc>
      </w:tr>
      <w:tr w:rsidR="00FC598A" w:rsidRPr="00FC598A" w14:paraId="27A66636" w14:textId="77777777" w:rsidTr="0032378C">
        <w:tc>
          <w:tcPr>
            <w:tcW w:w="1829" w:type="pct"/>
            <w:shd w:val="clear" w:color="auto" w:fill="auto"/>
          </w:tcPr>
          <w:p w14:paraId="73DF71CF" w14:textId="77777777" w:rsidR="00FC598A" w:rsidRPr="00FC598A" w:rsidRDefault="00FC598A" w:rsidP="00FC598A">
            <w:pPr>
              <w:rPr>
                <w:sz w:val="20"/>
                <w:szCs w:val="20"/>
              </w:rPr>
            </w:pPr>
            <w:r w:rsidRPr="00FC598A">
              <w:rPr>
                <w:sz w:val="20"/>
                <w:szCs w:val="20"/>
              </w:rPr>
              <w:t>End of trial</w:t>
            </w:r>
          </w:p>
          <w:p w14:paraId="5E1E0271" w14:textId="77777777" w:rsidR="00FC598A" w:rsidRPr="00FC598A" w:rsidRDefault="00FC598A" w:rsidP="00FC598A">
            <w:pPr>
              <w:rPr>
                <w:sz w:val="20"/>
                <w:szCs w:val="20"/>
              </w:rPr>
            </w:pPr>
            <w:r w:rsidRPr="00FC598A">
              <w:rPr>
                <w:sz w:val="20"/>
                <w:szCs w:val="20"/>
              </w:rPr>
              <w:t>Mean change from baseline</w:t>
            </w:r>
          </w:p>
        </w:tc>
        <w:tc>
          <w:tcPr>
            <w:tcW w:w="799" w:type="pct"/>
            <w:shd w:val="clear" w:color="auto" w:fill="auto"/>
          </w:tcPr>
          <w:p w14:paraId="405086C9" w14:textId="77777777" w:rsidR="00FC598A" w:rsidRPr="00FC598A" w:rsidRDefault="00FC598A" w:rsidP="00FC598A">
            <w:pPr>
              <w:rPr>
                <w:sz w:val="20"/>
                <w:szCs w:val="20"/>
              </w:rPr>
            </w:pPr>
            <w:r w:rsidRPr="00FC598A">
              <w:rPr>
                <w:sz w:val="20"/>
                <w:szCs w:val="20"/>
              </w:rPr>
              <w:t>7.1</w:t>
            </w:r>
          </w:p>
          <w:p w14:paraId="6C4FAFC6" w14:textId="77777777" w:rsidR="00FC598A" w:rsidRPr="00FC598A" w:rsidRDefault="00FC598A" w:rsidP="00FC598A">
            <w:pPr>
              <w:rPr>
                <w:sz w:val="20"/>
                <w:szCs w:val="20"/>
              </w:rPr>
            </w:pPr>
            <w:r w:rsidRPr="00FC598A">
              <w:rPr>
                <w:sz w:val="20"/>
                <w:szCs w:val="20"/>
              </w:rPr>
              <w:t>-1.28</w:t>
            </w:r>
          </w:p>
        </w:tc>
        <w:tc>
          <w:tcPr>
            <w:tcW w:w="791" w:type="pct"/>
            <w:shd w:val="clear" w:color="auto" w:fill="auto"/>
          </w:tcPr>
          <w:p w14:paraId="48172834" w14:textId="77777777" w:rsidR="00FC598A" w:rsidRPr="00FC598A" w:rsidRDefault="00FC598A" w:rsidP="00FC598A">
            <w:pPr>
              <w:rPr>
                <w:sz w:val="20"/>
                <w:szCs w:val="20"/>
              </w:rPr>
            </w:pPr>
            <w:r w:rsidRPr="00FC598A">
              <w:rPr>
                <w:sz w:val="20"/>
                <w:szCs w:val="20"/>
              </w:rPr>
              <w:t>7.1</w:t>
            </w:r>
          </w:p>
          <w:p w14:paraId="3B6E34AC" w14:textId="77777777" w:rsidR="00FC598A" w:rsidRPr="00FC598A" w:rsidRDefault="00FC598A" w:rsidP="00FC598A">
            <w:pPr>
              <w:rPr>
                <w:sz w:val="20"/>
                <w:szCs w:val="20"/>
              </w:rPr>
            </w:pPr>
            <w:r w:rsidRPr="00FC598A">
              <w:rPr>
                <w:sz w:val="20"/>
                <w:szCs w:val="20"/>
              </w:rPr>
              <w:t>-1.30</w:t>
            </w:r>
          </w:p>
        </w:tc>
        <w:tc>
          <w:tcPr>
            <w:tcW w:w="825" w:type="pct"/>
            <w:shd w:val="clear" w:color="auto" w:fill="auto"/>
          </w:tcPr>
          <w:p w14:paraId="0DE785E6" w14:textId="77777777" w:rsidR="00FC598A" w:rsidRPr="00FC598A" w:rsidRDefault="00FC598A" w:rsidP="00FC598A">
            <w:pPr>
              <w:rPr>
                <w:sz w:val="20"/>
                <w:szCs w:val="20"/>
              </w:rPr>
            </w:pPr>
            <w:r w:rsidRPr="00FC598A">
              <w:rPr>
                <w:sz w:val="20"/>
                <w:szCs w:val="20"/>
              </w:rPr>
              <w:t>7.1</w:t>
            </w:r>
          </w:p>
          <w:p w14:paraId="0608931D" w14:textId="77777777" w:rsidR="00FC598A" w:rsidRPr="00FC598A" w:rsidRDefault="00FC598A" w:rsidP="00FC598A">
            <w:pPr>
              <w:rPr>
                <w:sz w:val="20"/>
                <w:szCs w:val="20"/>
              </w:rPr>
            </w:pPr>
            <w:r w:rsidRPr="00FC598A">
              <w:rPr>
                <w:sz w:val="20"/>
                <w:szCs w:val="20"/>
              </w:rPr>
              <w:t>-1.38</w:t>
            </w:r>
          </w:p>
        </w:tc>
        <w:tc>
          <w:tcPr>
            <w:tcW w:w="756" w:type="pct"/>
            <w:shd w:val="clear" w:color="auto" w:fill="auto"/>
          </w:tcPr>
          <w:p w14:paraId="120068C0" w14:textId="77777777" w:rsidR="00FC598A" w:rsidRPr="00FC598A" w:rsidRDefault="00FC598A" w:rsidP="00FC598A">
            <w:pPr>
              <w:rPr>
                <w:sz w:val="20"/>
                <w:szCs w:val="20"/>
              </w:rPr>
            </w:pPr>
            <w:r w:rsidRPr="00FC598A">
              <w:rPr>
                <w:sz w:val="20"/>
                <w:szCs w:val="20"/>
              </w:rPr>
              <w:t>7.0</w:t>
            </w:r>
          </w:p>
          <w:p w14:paraId="34BF3D7B" w14:textId="77777777" w:rsidR="00FC598A" w:rsidRPr="00FC598A" w:rsidRDefault="00FC598A" w:rsidP="00FC598A">
            <w:pPr>
              <w:rPr>
                <w:sz w:val="20"/>
                <w:szCs w:val="20"/>
              </w:rPr>
            </w:pPr>
            <w:r w:rsidRPr="00FC598A">
              <w:rPr>
                <w:sz w:val="20"/>
                <w:szCs w:val="20"/>
              </w:rPr>
              <w:t>-1.42</w:t>
            </w:r>
          </w:p>
        </w:tc>
      </w:tr>
      <w:tr w:rsidR="00FC598A" w:rsidRPr="00FC598A" w14:paraId="11C4DE62" w14:textId="77777777" w:rsidTr="0032378C">
        <w:trPr>
          <w:trHeight w:val="201"/>
        </w:trPr>
        <w:tc>
          <w:tcPr>
            <w:tcW w:w="1829" w:type="pct"/>
            <w:shd w:val="clear" w:color="auto" w:fill="auto"/>
          </w:tcPr>
          <w:p w14:paraId="35ABE6E1" w14:textId="77777777" w:rsidR="00FC598A" w:rsidRPr="00FC598A" w:rsidRDefault="00FC598A" w:rsidP="00FC598A">
            <w:pPr>
              <w:rPr>
                <w:sz w:val="20"/>
                <w:szCs w:val="20"/>
              </w:rPr>
            </w:pPr>
            <w:r w:rsidRPr="00FC598A">
              <w:rPr>
                <w:sz w:val="20"/>
                <w:szCs w:val="20"/>
              </w:rPr>
              <w:t xml:space="preserve">Estimated treatment difference [95% CI] RYZODEG 70/30 twice daily minus </w:t>
            </w:r>
            <w:proofErr w:type="spellStart"/>
            <w:r w:rsidRPr="00FC598A">
              <w:rPr>
                <w:sz w:val="20"/>
                <w:szCs w:val="20"/>
              </w:rPr>
              <w:t>BIAsp</w:t>
            </w:r>
            <w:proofErr w:type="spellEnd"/>
            <w:r w:rsidRPr="00FC598A">
              <w:rPr>
                <w:sz w:val="20"/>
                <w:szCs w:val="20"/>
              </w:rPr>
              <w:t xml:space="preserve"> 30 twice daily</w:t>
            </w:r>
          </w:p>
        </w:tc>
        <w:tc>
          <w:tcPr>
            <w:tcW w:w="1590" w:type="pct"/>
            <w:gridSpan w:val="2"/>
            <w:shd w:val="clear" w:color="auto" w:fill="auto"/>
          </w:tcPr>
          <w:p w14:paraId="1EC52799" w14:textId="77777777" w:rsidR="00FC598A" w:rsidRPr="00FC598A" w:rsidRDefault="00FC598A" w:rsidP="00FC598A">
            <w:pPr>
              <w:rPr>
                <w:sz w:val="20"/>
                <w:szCs w:val="20"/>
              </w:rPr>
            </w:pPr>
            <w:r w:rsidRPr="00FC598A">
              <w:rPr>
                <w:sz w:val="20"/>
                <w:szCs w:val="20"/>
              </w:rPr>
              <w:t>-0.03 [-0.18;0.13]</w:t>
            </w:r>
          </w:p>
        </w:tc>
        <w:tc>
          <w:tcPr>
            <w:tcW w:w="1581" w:type="pct"/>
            <w:gridSpan w:val="2"/>
            <w:shd w:val="clear" w:color="auto" w:fill="auto"/>
          </w:tcPr>
          <w:p w14:paraId="0C8CD49A" w14:textId="77777777" w:rsidR="00FC598A" w:rsidRPr="00FC598A" w:rsidRDefault="00FC598A" w:rsidP="00FC598A">
            <w:pPr>
              <w:rPr>
                <w:sz w:val="20"/>
                <w:szCs w:val="20"/>
              </w:rPr>
            </w:pPr>
            <w:r w:rsidRPr="00FC598A">
              <w:rPr>
                <w:sz w:val="20"/>
                <w:szCs w:val="20"/>
              </w:rPr>
              <w:t>0.05 [-0.10;0.20]</w:t>
            </w:r>
          </w:p>
        </w:tc>
      </w:tr>
      <w:tr w:rsidR="00FC598A" w:rsidRPr="00FC598A" w14:paraId="70B1A701" w14:textId="77777777" w:rsidTr="0032378C">
        <w:tc>
          <w:tcPr>
            <w:tcW w:w="5000" w:type="pct"/>
            <w:gridSpan w:val="5"/>
            <w:shd w:val="clear" w:color="auto" w:fill="auto"/>
          </w:tcPr>
          <w:p w14:paraId="4893FF30" w14:textId="77777777" w:rsidR="00FC598A" w:rsidRPr="00FC598A" w:rsidRDefault="00FC598A" w:rsidP="00FC598A">
            <w:pPr>
              <w:rPr>
                <w:b/>
                <w:sz w:val="20"/>
                <w:szCs w:val="20"/>
              </w:rPr>
            </w:pPr>
            <w:r w:rsidRPr="00FC598A">
              <w:rPr>
                <w:b/>
                <w:sz w:val="20"/>
                <w:szCs w:val="20"/>
              </w:rPr>
              <w:t>FPG in mmol/L</w:t>
            </w:r>
          </w:p>
        </w:tc>
      </w:tr>
      <w:tr w:rsidR="00FC598A" w:rsidRPr="00FC598A" w14:paraId="49799550" w14:textId="77777777" w:rsidTr="0032378C">
        <w:tc>
          <w:tcPr>
            <w:tcW w:w="1829" w:type="pct"/>
            <w:shd w:val="clear" w:color="auto" w:fill="auto"/>
          </w:tcPr>
          <w:p w14:paraId="6A60D802" w14:textId="77777777" w:rsidR="00FC598A" w:rsidRPr="00FC598A" w:rsidRDefault="00FC598A" w:rsidP="00FC598A">
            <w:pPr>
              <w:rPr>
                <w:sz w:val="20"/>
                <w:szCs w:val="20"/>
              </w:rPr>
            </w:pPr>
            <w:r w:rsidRPr="00FC598A">
              <w:rPr>
                <w:sz w:val="20"/>
                <w:szCs w:val="20"/>
              </w:rPr>
              <w:t>End of trial</w:t>
            </w:r>
          </w:p>
          <w:p w14:paraId="204BAE4E" w14:textId="77777777" w:rsidR="00FC598A" w:rsidRPr="00FC598A" w:rsidRDefault="00FC598A" w:rsidP="00FC598A">
            <w:pPr>
              <w:rPr>
                <w:sz w:val="20"/>
                <w:szCs w:val="20"/>
              </w:rPr>
            </w:pPr>
            <w:r w:rsidRPr="00FC598A">
              <w:rPr>
                <w:sz w:val="20"/>
                <w:szCs w:val="20"/>
              </w:rPr>
              <w:t>Mean change from baseline</w:t>
            </w:r>
          </w:p>
        </w:tc>
        <w:tc>
          <w:tcPr>
            <w:tcW w:w="799" w:type="pct"/>
            <w:shd w:val="clear" w:color="auto" w:fill="auto"/>
          </w:tcPr>
          <w:p w14:paraId="126A9731" w14:textId="77777777" w:rsidR="00FC598A" w:rsidRPr="00FC598A" w:rsidRDefault="00FC598A" w:rsidP="00FC598A">
            <w:pPr>
              <w:rPr>
                <w:sz w:val="20"/>
                <w:szCs w:val="20"/>
              </w:rPr>
            </w:pPr>
            <w:r w:rsidRPr="00FC598A">
              <w:rPr>
                <w:sz w:val="20"/>
                <w:szCs w:val="20"/>
              </w:rPr>
              <w:t xml:space="preserve">5.8 </w:t>
            </w:r>
          </w:p>
          <w:p w14:paraId="1E36F6C3" w14:textId="77777777" w:rsidR="00FC598A" w:rsidRPr="00FC598A" w:rsidRDefault="00FC598A" w:rsidP="00FC598A">
            <w:pPr>
              <w:rPr>
                <w:sz w:val="20"/>
                <w:szCs w:val="20"/>
              </w:rPr>
            </w:pPr>
            <w:r w:rsidRPr="00FC598A">
              <w:rPr>
                <w:sz w:val="20"/>
                <w:szCs w:val="20"/>
              </w:rPr>
              <w:t xml:space="preserve">-3.09 </w:t>
            </w:r>
          </w:p>
        </w:tc>
        <w:tc>
          <w:tcPr>
            <w:tcW w:w="791" w:type="pct"/>
            <w:shd w:val="clear" w:color="auto" w:fill="auto"/>
          </w:tcPr>
          <w:p w14:paraId="3DA56703" w14:textId="77777777" w:rsidR="00FC598A" w:rsidRPr="00FC598A" w:rsidRDefault="00FC598A" w:rsidP="00FC598A">
            <w:pPr>
              <w:rPr>
                <w:sz w:val="20"/>
                <w:szCs w:val="20"/>
              </w:rPr>
            </w:pPr>
            <w:r w:rsidRPr="00FC598A">
              <w:rPr>
                <w:sz w:val="20"/>
                <w:szCs w:val="20"/>
              </w:rPr>
              <w:t xml:space="preserve">6.8 </w:t>
            </w:r>
          </w:p>
          <w:p w14:paraId="0D6DC592" w14:textId="77777777" w:rsidR="00FC598A" w:rsidRPr="00FC598A" w:rsidRDefault="00FC598A" w:rsidP="00FC598A">
            <w:pPr>
              <w:rPr>
                <w:sz w:val="20"/>
                <w:szCs w:val="20"/>
              </w:rPr>
            </w:pPr>
            <w:r w:rsidRPr="00FC598A">
              <w:rPr>
                <w:sz w:val="20"/>
                <w:szCs w:val="20"/>
              </w:rPr>
              <w:t xml:space="preserve">-1.76 </w:t>
            </w:r>
          </w:p>
        </w:tc>
        <w:tc>
          <w:tcPr>
            <w:tcW w:w="825" w:type="pct"/>
            <w:shd w:val="clear" w:color="auto" w:fill="auto"/>
          </w:tcPr>
          <w:p w14:paraId="47411F98" w14:textId="77777777" w:rsidR="00FC598A" w:rsidRPr="00FC598A" w:rsidRDefault="00FC598A" w:rsidP="00FC598A">
            <w:pPr>
              <w:rPr>
                <w:sz w:val="20"/>
                <w:szCs w:val="20"/>
              </w:rPr>
            </w:pPr>
            <w:r w:rsidRPr="00FC598A">
              <w:rPr>
                <w:sz w:val="20"/>
                <w:szCs w:val="20"/>
              </w:rPr>
              <w:t xml:space="preserve">5.4 </w:t>
            </w:r>
          </w:p>
          <w:p w14:paraId="2865F4D8" w14:textId="77777777" w:rsidR="00FC598A" w:rsidRPr="00FC598A" w:rsidRDefault="00FC598A" w:rsidP="00FC598A">
            <w:pPr>
              <w:rPr>
                <w:sz w:val="20"/>
                <w:szCs w:val="20"/>
              </w:rPr>
            </w:pPr>
            <w:r w:rsidRPr="00FC598A">
              <w:rPr>
                <w:sz w:val="20"/>
                <w:szCs w:val="20"/>
              </w:rPr>
              <w:t xml:space="preserve">-2.55 </w:t>
            </w:r>
          </w:p>
        </w:tc>
        <w:tc>
          <w:tcPr>
            <w:tcW w:w="756" w:type="pct"/>
            <w:shd w:val="clear" w:color="auto" w:fill="auto"/>
          </w:tcPr>
          <w:p w14:paraId="6A6EC826" w14:textId="77777777" w:rsidR="00FC598A" w:rsidRPr="00FC598A" w:rsidRDefault="00FC598A" w:rsidP="00FC598A">
            <w:pPr>
              <w:rPr>
                <w:sz w:val="20"/>
                <w:szCs w:val="20"/>
              </w:rPr>
            </w:pPr>
            <w:r w:rsidRPr="00FC598A">
              <w:rPr>
                <w:sz w:val="20"/>
                <w:szCs w:val="20"/>
              </w:rPr>
              <w:t xml:space="preserve">6.5 </w:t>
            </w:r>
          </w:p>
          <w:p w14:paraId="37015729" w14:textId="77777777" w:rsidR="00FC598A" w:rsidRPr="00FC598A" w:rsidRDefault="00FC598A" w:rsidP="00FC598A">
            <w:pPr>
              <w:rPr>
                <w:sz w:val="20"/>
                <w:szCs w:val="20"/>
              </w:rPr>
            </w:pPr>
            <w:r w:rsidRPr="00FC598A">
              <w:rPr>
                <w:sz w:val="20"/>
                <w:szCs w:val="20"/>
              </w:rPr>
              <w:t xml:space="preserve">-1.47 </w:t>
            </w:r>
          </w:p>
        </w:tc>
      </w:tr>
      <w:tr w:rsidR="00FC598A" w:rsidRPr="00FC598A" w14:paraId="3A0BEC92" w14:textId="77777777" w:rsidTr="0032378C">
        <w:tc>
          <w:tcPr>
            <w:tcW w:w="1829" w:type="pct"/>
            <w:shd w:val="clear" w:color="auto" w:fill="auto"/>
          </w:tcPr>
          <w:p w14:paraId="5861FA99" w14:textId="77777777" w:rsidR="00FC598A" w:rsidRPr="00FC598A" w:rsidRDefault="00FC598A" w:rsidP="00FC598A">
            <w:pPr>
              <w:rPr>
                <w:sz w:val="20"/>
                <w:szCs w:val="20"/>
              </w:rPr>
            </w:pPr>
            <w:r w:rsidRPr="00FC598A">
              <w:rPr>
                <w:sz w:val="20"/>
                <w:szCs w:val="20"/>
              </w:rPr>
              <w:t xml:space="preserve">Estimated treatment difference [95% CI] RYZODEG 70/30 twice daily minus </w:t>
            </w:r>
            <w:proofErr w:type="spellStart"/>
            <w:r w:rsidRPr="00FC598A">
              <w:rPr>
                <w:sz w:val="20"/>
                <w:szCs w:val="20"/>
              </w:rPr>
              <w:t>BIAsp</w:t>
            </w:r>
            <w:proofErr w:type="spellEnd"/>
            <w:r w:rsidRPr="00FC598A">
              <w:rPr>
                <w:sz w:val="20"/>
                <w:szCs w:val="20"/>
              </w:rPr>
              <w:t xml:space="preserve"> 30 twice daily</w:t>
            </w:r>
          </w:p>
        </w:tc>
        <w:tc>
          <w:tcPr>
            <w:tcW w:w="1590" w:type="pct"/>
            <w:gridSpan w:val="2"/>
            <w:shd w:val="clear" w:color="auto" w:fill="auto"/>
          </w:tcPr>
          <w:p w14:paraId="41D7A5EF" w14:textId="77777777" w:rsidR="00FC598A" w:rsidRPr="00FC598A" w:rsidRDefault="00FC598A" w:rsidP="00FC598A">
            <w:pPr>
              <w:rPr>
                <w:sz w:val="20"/>
                <w:szCs w:val="20"/>
              </w:rPr>
            </w:pPr>
            <w:r w:rsidRPr="00FC598A">
              <w:rPr>
                <w:sz w:val="20"/>
                <w:szCs w:val="20"/>
              </w:rPr>
              <w:t>-1.14 [-1.53;-0.76]</w:t>
            </w:r>
          </w:p>
          <w:p w14:paraId="0905A050" w14:textId="77777777" w:rsidR="00FC598A" w:rsidRPr="00FC598A" w:rsidRDefault="00FC598A" w:rsidP="00FC598A">
            <w:pPr>
              <w:rPr>
                <w:sz w:val="20"/>
                <w:szCs w:val="20"/>
              </w:rPr>
            </w:pPr>
          </w:p>
        </w:tc>
        <w:tc>
          <w:tcPr>
            <w:tcW w:w="1581" w:type="pct"/>
            <w:gridSpan w:val="2"/>
            <w:shd w:val="clear" w:color="auto" w:fill="auto"/>
          </w:tcPr>
          <w:p w14:paraId="37E3D26A" w14:textId="77777777" w:rsidR="00FC598A" w:rsidRPr="00FC598A" w:rsidRDefault="00FC598A" w:rsidP="00FC598A">
            <w:pPr>
              <w:rPr>
                <w:sz w:val="20"/>
                <w:szCs w:val="20"/>
              </w:rPr>
            </w:pPr>
            <w:r w:rsidRPr="00FC598A">
              <w:rPr>
                <w:sz w:val="20"/>
                <w:szCs w:val="20"/>
              </w:rPr>
              <w:t>-1.06 [-1.43;-0.70]</w:t>
            </w:r>
          </w:p>
        </w:tc>
      </w:tr>
      <w:tr w:rsidR="00FC598A" w:rsidRPr="00FC598A" w14:paraId="14BDF35E" w14:textId="77777777" w:rsidTr="0032378C">
        <w:tc>
          <w:tcPr>
            <w:tcW w:w="5000" w:type="pct"/>
            <w:gridSpan w:val="5"/>
            <w:shd w:val="clear" w:color="auto" w:fill="auto"/>
          </w:tcPr>
          <w:p w14:paraId="767F827D" w14:textId="77777777" w:rsidR="00FC598A" w:rsidRPr="00FC598A" w:rsidRDefault="00FC598A" w:rsidP="00FC598A">
            <w:pPr>
              <w:rPr>
                <w:b/>
                <w:sz w:val="20"/>
                <w:szCs w:val="20"/>
              </w:rPr>
            </w:pPr>
            <w:r w:rsidRPr="00FC598A">
              <w:rPr>
                <w:b/>
                <w:sz w:val="20"/>
                <w:szCs w:val="20"/>
              </w:rPr>
              <w:t>Hypoglycaemia Rate per Patient year of exposure</w:t>
            </w:r>
          </w:p>
        </w:tc>
      </w:tr>
      <w:tr w:rsidR="00FC598A" w:rsidRPr="00FC598A" w14:paraId="1C7E12AB" w14:textId="77777777" w:rsidTr="0032378C">
        <w:tc>
          <w:tcPr>
            <w:tcW w:w="1829" w:type="pct"/>
            <w:shd w:val="clear" w:color="auto" w:fill="auto"/>
          </w:tcPr>
          <w:p w14:paraId="562E1DA9" w14:textId="77777777" w:rsidR="00FC598A" w:rsidRPr="00FC598A" w:rsidRDefault="00FC598A" w:rsidP="00FC598A">
            <w:pPr>
              <w:rPr>
                <w:sz w:val="20"/>
                <w:szCs w:val="20"/>
              </w:rPr>
            </w:pPr>
            <w:r w:rsidRPr="00FC598A">
              <w:rPr>
                <w:sz w:val="20"/>
                <w:szCs w:val="20"/>
              </w:rPr>
              <w:t>Severe hypoglycaemia</w:t>
            </w:r>
          </w:p>
        </w:tc>
        <w:tc>
          <w:tcPr>
            <w:tcW w:w="799" w:type="pct"/>
            <w:shd w:val="clear" w:color="auto" w:fill="auto"/>
          </w:tcPr>
          <w:p w14:paraId="4234C54B" w14:textId="77777777" w:rsidR="00FC598A" w:rsidRPr="00FC598A" w:rsidRDefault="00FC598A" w:rsidP="00FC598A">
            <w:pPr>
              <w:rPr>
                <w:sz w:val="20"/>
                <w:szCs w:val="20"/>
              </w:rPr>
            </w:pPr>
            <w:r w:rsidRPr="00FC598A">
              <w:rPr>
                <w:sz w:val="20"/>
                <w:szCs w:val="20"/>
              </w:rPr>
              <w:t>0.09</w:t>
            </w:r>
          </w:p>
        </w:tc>
        <w:tc>
          <w:tcPr>
            <w:tcW w:w="791" w:type="pct"/>
            <w:shd w:val="clear" w:color="auto" w:fill="auto"/>
          </w:tcPr>
          <w:p w14:paraId="7D81B379" w14:textId="77777777" w:rsidR="00FC598A" w:rsidRPr="00FC598A" w:rsidRDefault="00FC598A" w:rsidP="00FC598A">
            <w:pPr>
              <w:rPr>
                <w:sz w:val="20"/>
                <w:szCs w:val="20"/>
              </w:rPr>
            </w:pPr>
            <w:r w:rsidRPr="00FC598A">
              <w:rPr>
                <w:sz w:val="20"/>
                <w:szCs w:val="20"/>
              </w:rPr>
              <w:t>0.25</w:t>
            </w:r>
          </w:p>
        </w:tc>
        <w:tc>
          <w:tcPr>
            <w:tcW w:w="825" w:type="pct"/>
            <w:shd w:val="clear" w:color="auto" w:fill="auto"/>
          </w:tcPr>
          <w:p w14:paraId="73CF1201" w14:textId="77777777" w:rsidR="00FC598A" w:rsidRPr="00FC598A" w:rsidRDefault="00FC598A" w:rsidP="00FC598A">
            <w:pPr>
              <w:rPr>
                <w:sz w:val="20"/>
                <w:szCs w:val="20"/>
              </w:rPr>
            </w:pPr>
            <w:r w:rsidRPr="00FC598A">
              <w:rPr>
                <w:sz w:val="20"/>
                <w:szCs w:val="20"/>
              </w:rPr>
              <w:t>0.05</w:t>
            </w:r>
          </w:p>
        </w:tc>
        <w:tc>
          <w:tcPr>
            <w:tcW w:w="756" w:type="pct"/>
            <w:shd w:val="clear" w:color="auto" w:fill="auto"/>
          </w:tcPr>
          <w:p w14:paraId="69F2A3AD" w14:textId="77777777" w:rsidR="00FC598A" w:rsidRPr="00FC598A" w:rsidRDefault="00FC598A" w:rsidP="00FC598A">
            <w:pPr>
              <w:rPr>
                <w:sz w:val="20"/>
                <w:szCs w:val="20"/>
              </w:rPr>
            </w:pPr>
            <w:r w:rsidRPr="00FC598A">
              <w:rPr>
                <w:sz w:val="20"/>
                <w:szCs w:val="20"/>
              </w:rPr>
              <w:t>0.03</w:t>
            </w:r>
          </w:p>
        </w:tc>
      </w:tr>
      <w:tr w:rsidR="00FC598A" w:rsidRPr="00FC598A" w14:paraId="7D61F9AD" w14:textId="77777777" w:rsidTr="0032378C">
        <w:trPr>
          <w:trHeight w:val="129"/>
        </w:trPr>
        <w:tc>
          <w:tcPr>
            <w:tcW w:w="1829" w:type="pct"/>
            <w:shd w:val="clear" w:color="auto" w:fill="auto"/>
          </w:tcPr>
          <w:p w14:paraId="2B9EF666" w14:textId="77777777" w:rsidR="00FC598A" w:rsidRPr="00FC598A" w:rsidRDefault="00FC598A" w:rsidP="00FC598A">
            <w:pPr>
              <w:rPr>
                <w:sz w:val="20"/>
                <w:szCs w:val="20"/>
              </w:rPr>
            </w:pPr>
            <w:r w:rsidRPr="00FC598A">
              <w:rPr>
                <w:sz w:val="20"/>
                <w:szCs w:val="20"/>
              </w:rPr>
              <w:t xml:space="preserve">Confirmed hypoglycaemia </w:t>
            </w:r>
          </w:p>
        </w:tc>
        <w:tc>
          <w:tcPr>
            <w:tcW w:w="799" w:type="pct"/>
            <w:shd w:val="clear" w:color="auto" w:fill="auto"/>
          </w:tcPr>
          <w:p w14:paraId="0C5F7D73" w14:textId="77777777" w:rsidR="00FC598A" w:rsidRPr="00FC598A" w:rsidRDefault="00FC598A" w:rsidP="00FC598A">
            <w:pPr>
              <w:rPr>
                <w:sz w:val="20"/>
                <w:szCs w:val="20"/>
              </w:rPr>
            </w:pPr>
            <w:r w:rsidRPr="00FC598A">
              <w:rPr>
                <w:sz w:val="20"/>
                <w:szCs w:val="20"/>
              </w:rPr>
              <w:t>9.72</w:t>
            </w:r>
          </w:p>
        </w:tc>
        <w:tc>
          <w:tcPr>
            <w:tcW w:w="791" w:type="pct"/>
            <w:shd w:val="clear" w:color="auto" w:fill="auto"/>
          </w:tcPr>
          <w:p w14:paraId="465C68D0" w14:textId="77777777" w:rsidR="00FC598A" w:rsidRPr="00FC598A" w:rsidRDefault="00FC598A" w:rsidP="00FC598A">
            <w:pPr>
              <w:rPr>
                <w:sz w:val="20"/>
                <w:szCs w:val="20"/>
              </w:rPr>
            </w:pPr>
            <w:r w:rsidRPr="00FC598A">
              <w:rPr>
                <w:sz w:val="20"/>
                <w:szCs w:val="20"/>
              </w:rPr>
              <w:t>13.96</w:t>
            </w:r>
          </w:p>
        </w:tc>
        <w:tc>
          <w:tcPr>
            <w:tcW w:w="825" w:type="pct"/>
            <w:shd w:val="clear" w:color="auto" w:fill="auto"/>
          </w:tcPr>
          <w:p w14:paraId="622DCAB4" w14:textId="77777777" w:rsidR="00FC598A" w:rsidRPr="00FC598A" w:rsidRDefault="00FC598A" w:rsidP="00FC598A">
            <w:pPr>
              <w:rPr>
                <w:sz w:val="20"/>
                <w:szCs w:val="20"/>
              </w:rPr>
            </w:pPr>
            <w:r w:rsidRPr="00FC598A">
              <w:rPr>
                <w:sz w:val="20"/>
                <w:szCs w:val="20"/>
              </w:rPr>
              <w:t>9.56</w:t>
            </w:r>
          </w:p>
        </w:tc>
        <w:tc>
          <w:tcPr>
            <w:tcW w:w="756" w:type="pct"/>
            <w:shd w:val="clear" w:color="auto" w:fill="auto"/>
          </w:tcPr>
          <w:p w14:paraId="11C63EC0" w14:textId="77777777" w:rsidR="00FC598A" w:rsidRPr="00FC598A" w:rsidRDefault="00FC598A" w:rsidP="00FC598A">
            <w:pPr>
              <w:rPr>
                <w:sz w:val="20"/>
                <w:szCs w:val="20"/>
              </w:rPr>
            </w:pPr>
            <w:r w:rsidRPr="00FC598A">
              <w:rPr>
                <w:sz w:val="20"/>
                <w:szCs w:val="20"/>
              </w:rPr>
              <w:t>9.52</w:t>
            </w:r>
          </w:p>
        </w:tc>
      </w:tr>
      <w:tr w:rsidR="00FC598A" w:rsidRPr="00FC598A" w14:paraId="74C7C1BE" w14:textId="77777777" w:rsidTr="0032378C">
        <w:trPr>
          <w:trHeight w:val="117"/>
        </w:trPr>
        <w:tc>
          <w:tcPr>
            <w:tcW w:w="1829" w:type="pct"/>
            <w:shd w:val="clear" w:color="auto" w:fill="auto"/>
          </w:tcPr>
          <w:p w14:paraId="32B46F50" w14:textId="77777777" w:rsidR="00FC598A" w:rsidRPr="00FC598A" w:rsidRDefault="00FC598A" w:rsidP="00FC598A">
            <w:pPr>
              <w:rPr>
                <w:sz w:val="20"/>
                <w:szCs w:val="20"/>
              </w:rPr>
            </w:pPr>
            <w:r w:rsidRPr="00FC598A">
              <w:rPr>
                <w:sz w:val="20"/>
                <w:szCs w:val="20"/>
              </w:rPr>
              <w:t>Treatment ratio [95%] RYZODEG</w:t>
            </w:r>
            <w:r w:rsidRPr="00FC598A" w:rsidDel="008B14D0">
              <w:rPr>
                <w:sz w:val="20"/>
                <w:szCs w:val="20"/>
              </w:rPr>
              <w:t xml:space="preserve"> </w:t>
            </w:r>
            <w:r w:rsidRPr="00FC598A">
              <w:rPr>
                <w:sz w:val="20"/>
                <w:szCs w:val="20"/>
              </w:rPr>
              <w:t>70/30 twice daily/</w:t>
            </w:r>
            <w:proofErr w:type="spellStart"/>
            <w:r w:rsidRPr="00FC598A">
              <w:rPr>
                <w:sz w:val="20"/>
                <w:szCs w:val="20"/>
              </w:rPr>
              <w:t>BIAsp</w:t>
            </w:r>
            <w:proofErr w:type="spellEnd"/>
            <w:r w:rsidRPr="00FC598A">
              <w:rPr>
                <w:sz w:val="20"/>
                <w:szCs w:val="20"/>
              </w:rPr>
              <w:t xml:space="preserve"> 30 twice daily</w:t>
            </w:r>
          </w:p>
        </w:tc>
        <w:tc>
          <w:tcPr>
            <w:tcW w:w="1590" w:type="pct"/>
            <w:gridSpan w:val="2"/>
            <w:shd w:val="clear" w:color="auto" w:fill="auto"/>
          </w:tcPr>
          <w:p w14:paraId="4F1F2781" w14:textId="77777777" w:rsidR="00FC598A" w:rsidRPr="00FC598A" w:rsidRDefault="00FC598A" w:rsidP="00FC598A">
            <w:pPr>
              <w:rPr>
                <w:sz w:val="20"/>
                <w:szCs w:val="20"/>
              </w:rPr>
            </w:pPr>
            <w:r w:rsidRPr="00FC598A">
              <w:rPr>
                <w:sz w:val="20"/>
                <w:szCs w:val="20"/>
              </w:rPr>
              <w:t>0.68 [0.52;0.89]</w:t>
            </w:r>
          </w:p>
        </w:tc>
        <w:tc>
          <w:tcPr>
            <w:tcW w:w="1581" w:type="pct"/>
            <w:gridSpan w:val="2"/>
            <w:shd w:val="clear" w:color="auto" w:fill="auto"/>
          </w:tcPr>
          <w:p w14:paraId="793B58BA" w14:textId="77777777" w:rsidR="00FC598A" w:rsidRPr="00FC598A" w:rsidRDefault="00FC598A" w:rsidP="00FC598A">
            <w:pPr>
              <w:rPr>
                <w:sz w:val="20"/>
                <w:szCs w:val="20"/>
              </w:rPr>
            </w:pPr>
            <w:r w:rsidRPr="00FC598A">
              <w:rPr>
                <w:sz w:val="20"/>
                <w:szCs w:val="20"/>
              </w:rPr>
              <w:t>1.00 [0.76;1.32]</w:t>
            </w:r>
          </w:p>
        </w:tc>
      </w:tr>
      <w:tr w:rsidR="00FC598A" w:rsidRPr="00FC598A" w14:paraId="49B86772" w14:textId="77777777" w:rsidTr="0032378C">
        <w:trPr>
          <w:trHeight w:val="249"/>
        </w:trPr>
        <w:tc>
          <w:tcPr>
            <w:tcW w:w="1829" w:type="pct"/>
            <w:shd w:val="clear" w:color="auto" w:fill="auto"/>
          </w:tcPr>
          <w:p w14:paraId="2E607EB3" w14:textId="77777777" w:rsidR="00FC598A" w:rsidRPr="00FC598A" w:rsidRDefault="00FC598A" w:rsidP="00FC598A">
            <w:pPr>
              <w:rPr>
                <w:sz w:val="20"/>
                <w:szCs w:val="20"/>
              </w:rPr>
            </w:pPr>
            <w:r w:rsidRPr="00FC598A">
              <w:rPr>
                <w:sz w:val="20"/>
                <w:szCs w:val="20"/>
              </w:rPr>
              <w:t xml:space="preserve">Nocturnal confirmed hypoglycaemia </w:t>
            </w:r>
          </w:p>
        </w:tc>
        <w:tc>
          <w:tcPr>
            <w:tcW w:w="799" w:type="pct"/>
            <w:shd w:val="clear" w:color="auto" w:fill="auto"/>
          </w:tcPr>
          <w:p w14:paraId="46E9696D" w14:textId="77777777" w:rsidR="00FC598A" w:rsidRPr="00FC598A" w:rsidRDefault="00FC598A" w:rsidP="00FC598A">
            <w:pPr>
              <w:rPr>
                <w:sz w:val="20"/>
                <w:szCs w:val="20"/>
              </w:rPr>
            </w:pPr>
            <w:r w:rsidRPr="00FC598A">
              <w:rPr>
                <w:sz w:val="20"/>
                <w:szCs w:val="20"/>
              </w:rPr>
              <w:t>0.74</w:t>
            </w:r>
          </w:p>
        </w:tc>
        <w:tc>
          <w:tcPr>
            <w:tcW w:w="791" w:type="pct"/>
            <w:shd w:val="clear" w:color="auto" w:fill="auto"/>
          </w:tcPr>
          <w:p w14:paraId="037E509F" w14:textId="77777777" w:rsidR="00FC598A" w:rsidRPr="00FC598A" w:rsidRDefault="00FC598A" w:rsidP="00FC598A">
            <w:pPr>
              <w:rPr>
                <w:sz w:val="20"/>
                <w:szCs w:val="20"/>
              </w:rPr>
            </w:pPr>
            <w:r w:rsidRPr="00FC598A">
              <w:rPr>
                <w:sz w:val="20"/>
                <w:szCs w:val="20"/>
              </w:rPr>
              <w:t>2.53</w:t>
            </w:r>
          </w:p>
        </w:tc>
        <w:tc>
          <w:tcPr>
            <w:tcW w:w="825" w:type="pct"/>
            <w:shd w:val="clear" w:color="auto" w:fill="auto"/>
          </w:tcPr>
          <w:p w14:paraId="1FE784F5" w14:textId="77777777" w:rsidR="00FC598A" w:rsidRPr="00FC598A" w:rsidRDefault="00FC598A" w:rsidP="00FC598A">
            <w:pPr>
              <w:rPr>
                <w:sz w:val="20"/>
                <w:szCs w:val="20"/>
              </w:rPr>
            </w:pPr>
            <w:r w:rsidRPr="00FC598A">
              <w:rPr>
                <w:sz w:val="20"/>
                <w:szCs w:val="20"/>
              </w:rPr>
              <w:t>1.11</w:t>
            </w:r>
          </w:p>
        </w:tc>
        <w:tc>
          <w:tcPr>
            <w:tcW w:w="756" w:type="pct"/>
            <w:shd w:val="clear" w:color="auto" w:fill="auto"/>
          </w:tcPr>
          <w:p w14:paraId="0FE47064" w14:textId="77777777" w:rsidR="00FC598A" w:rsidRPr="00FC598A" w:rsidRDefault="00FC598A" w:rsidP="00FC598A">
            <w:pPr>
              <w:rPr>
                <w:sz w:val="20"/>
                <w:szCs w:val="20"/>
              </w:rPr>
            </w:pPr>
            <w:r w:rsidRPr="00FC598A">
              <w:rPr>
                <w:sz w:val="20"/>
                <w:szCs w:val="20"/>
              </w:rPr>
              <w:t>1.55</w:t>
            </w:r>
          </w:p>
        </w:tc>
      </w:tr>
      <w:tr w:rsidR="00FC598A" w:rsidRPr="00FC598A" w14:paraId="533C3784" w14:textId="77777777" w:rsidTr="0032378C">
        <w:trPr>
          <w:trHeight w:val="333"/>
        </w:trPr>
        <w:tc>
          <w:tcPr>
            <w:tcW w:w="1829" w:type="pct"/>
            <w:shd w:val="clear" w:color="auto" w:fill="auto"/>
          </w:tcPr>
          <w:p w14:paraId="42656651" w14:textId="77777777" w:rsidR="00FC598A" w:rsidRPr="00FC598A" w:rsidRDefault="00FC598A" w:rsidP="00FC598A">
            <w:pPr>
              <w:rPr>
                <w:sz w:val="20"/>
                <w:szCs w:val="20"/>
              </w:rPr>
            </w:pPr>
            <w:r w:rsidRPr="00FC598A">
              <w:rPr>
                <w:sz w:val="20"/>
                <w:szCs w:val="20"/>
              </w:rPr>
              <w:t>Treatment ratio [95%] RYZODEG 70/30 twice daily/</w:t>
            </w:r>
            <w:proofErr w:type="spellStart"/>
            <w:r w:rsidRPr="00FC598A">
              <w:rPr>
                <w:sz w:val="20"/>
                <w:szCs w:val="20"/>
              </w:rPr>
              <w:t>BIAsp</w:t>
            </w:r>
            <w:proofErr w:type="spellEnd"/>
            <w:r w:rsidRPr="00FC598A">
              <w:rPr>
                <w:sz w:val="20"/>
                <w:szCs w:val="20"/>
              </w:rPr>
              <w:t xml:space="preserve"> 30 twice daily</w:t>
            </w:r>
          </w:p>
        </w:tc>
        <w:tc>
          <w:tcPr>
            <w:tcW w:w="1590" w:type="pct"/>
            <w:gridSpan w:val="2"/>
            <w:shd w:val="clear" w:color="auto" w:fill="auto"/>
          </w:tcPr>
          <w:p w14:paraId="47130C77" w14:textId="77777777" w:rsidR="00FC598A" w:rsidRPr="00FC598A" w:rsidRDefault="00FC598A" w:rsidP="00FC598A">
            <w:pPr>
              <w:rPr>
                <w:sz w:val="20"/>
                <w:szCs w:val="20"/>
              </w:rPr>
            </w:pPr>
            <w:r w:rsidRPr="00FC598A">
              <w:rPr>
                <w:sz w:val="20"/>
                <w:szCs w:val="20"/>
              </w:rPr>
              <w:t>0.27 [0.18;0.41]</w:t>
            </w:r>
          </w:p>
        </w:tc>
        <w:tc>
          <w:tcPr>
            <w:tcW w:w="1581" w:type="pct"/>
            <w:gridSpan w:val="2"/>
            <w:shd w:val="clear" w:color="auto" w:fill="auto"/>
          </w:tcPr>
          <w:p w14:paraId="40D1FF4E" w14:textId="77777777" w:rsidR="00FC598A" w:rsidRPr="00FC598A" w:rsidRDefault="00FC598A" w:rsidP="00FC598A">
            <w:pPr>
              <w:rPr>
                <w:sz w:val="20"/>
                <w:szCs w:val="20"/>
              </w:rPr>
            </w:pPr>
            <w:r w:rsidRPr="00FC598A">
              <w:rPr>
                <w:sz w:val="20"/>
                <w:szCs w:val="20"/>
              </w:rPr>
              <w:t>0.67 [0.43;1.06]</w:t>
            </w:r>
          </w:p>
        </w:tc>
      </w:tr>
    </w:tbl>
    <w:p w14:paraId="482A972C" w14:textId="77777777" w:rsidR="00FC598A" w:rsidRPr="00FC598A" w:rsidRDefault="00FC598A" w:rsidP="00FC598A">
      <w:pPr>
        <w:rPr>
          <w:i/>
          <w:sz w:val="20"/>
          <w:szCs w:val="20"/>
        </w:rPr>
      </w:pPr>
      <w:r w:rsidRPr="00FC598A">
        <w:rPr>
          <w:i/>
          <w:sz w:val="20"/>
          <w:szCs w:val="20"/>
        </w:rPr>
        <w:t>(n = no. of subjects in the FAS)</w:t>
      </w:r>
    </w:p>
    <w:p w14:paraId="24F6531F" w14:textId="77777777" w:rsidR="00FC598A" w:rsidRDefault="00FC598A" w:rsidP="00FC598A">
      <w:bookmarkStart w:id="24" w:name="OLE_LINK9"/>
      <w:bookmarkStart w:id="25" w:name="OLE_LINK10"/>
    </w:p>
    <w:p w14:paraId="18DF8177" w14:textId="1E69EBB0" w:rsidR="00FC598A" w:rsidRDefault="00FC598A" w:rsidP="00FC598A">
      <w:r w:rsidRPr="00FC598A">
        <w:t xml:space="preserve">In a non-blinded, treat-to-target clinical trial (trial 3594), adult subjects with type 1 diabetes mellitus were randomised to 26 weeks of treatment with RYZODEG 70/30 and </w:t>
      </w:r>
      <w:proofErr w:type="spellStart"/>
      <w:r w:rsidRPr="00FC598A">
        <w:t>IAsp</w:t>
      </w:r>
      <w:proofErr w:type="spellEnd"/>
      <w:r w:rsidRPr="00FC598A">
        <w:t xml:space="preserve"> or </w:t>
      </w:r>
      <w:proofErr w:type="spellStart"/>
      <w:r w:rsidRPr="00FC598A">
        <w:t>IDet</w:t>
      </w:r>
      <w:proofErr w:type="spellEnd"/>
      <w:r w:rsidRPr="00FC598A">
        <w:t xml:space="preserve"> and </w:t>
      </w:r>
      <w:proofErr w:type="spellStart"/>
      <w:r w:rsidRPr="00FC598A">
        <w:t>IAsp</w:t>
      </w:r>
      <w:proofErr w:type="spellEnd"/>
      <w:r w:rsidRPr="00FC598A">
        <w:t xml:space="preserve">. RYZODEG 70/30 was administered once daily with any main meal while allowing for a switch to another main meal. </w:t>
      </w:r>
      <w:proofErr w:type="spellStart"/>
      <w:r w:rsidRPr="00FC598A">
        <w:t>IAsp</w:t>
      </w:r>
      <w:proofErr w:type="spellEnd"/>
      <w:r w:rsidRPr="00FC598A">
        <w:t xml:space="preserve"> was administered for the remaining insulin requiring meals. </w:t>
      </w:r>
      <w:proofErr w:type="spellStart"/>
      <w:r w:rsidRPr="00FC598A">
        <w:t>IDet</w:t>
      </w:r>
      <w:proofErr w:type="spellEnd"/>
      <w:r w:rsidRPr="00FC598A" w:rsidDel="003126DC">
        <w:t xml:space="preserve"> </w:t>
      </w:r>
      <w:r w:rsidRPr="00FC598A">
        <w:t xml:space="preserve">was administered once daily at evening meal or bedtime. A second dose of </w:t>
      </w:r>
      <w:proofErr w:type="spellStart"/>
      <w:r w:rsidRPr="00FC598A">
        <w:t>IDet</w:t>
      </w:r>
      <w:proofErr w:type="spellEnd"/>
      <w:r w:rsidRPr="00FC598A" w:rsidDel="003126DC">
        <w:t xml:space="preserve"> </w:t>
      </w:r>
      <w:r w:rsidRPr="00FC598A">
        <w:t>was added to breakfast after 8 weeks in cases of inadequate glycaemic control (mean pre-dinner PG &gt; 6.0 mmol/L, deterioration of HbA</w:t>
      </w:r>
      <w:r w:rsidRPr="00FC598A">
        <w:rPr>
          <w:vertAlign w:val="subscript"/>
        </w:rPr>
        <w:t>1c</w:t>
      </w:r>
      <w:r w:rsidRPr="00FC598A">
        <w:t xml:space="preserve"> from baselines &lt; 8.0% or improvement of HbA</w:t>
      </w:r>
      <w:r w:rsidRPr="00FC598A">
        <w:rPr>
          <w:vertAlign w:val="subscript"/>
        </w:rPr>
        <w:t>1c</w:t>
      </w:r>
      <w:r w:rsidRPr="00FC598A">
        <w:t xml:space="preserve"> &lt;0.5% when baseline HbA</w:t>
      </w:r>
      <w:r w:rsidRPr="00FC598A">
        <w:rPr>
          <w:vertAlign w:val="subscript"/>
        </w:rPr>
        <w:t>1c</w:t>
      </w:r>
      <w:r w:rsidRPr="00FC598A">
        <w:t xml:space="preserve"> ranges from 8.0-10%). RYZODEG 70/30 and </w:t>
      </w:r>
      <w:proofErr w:type="spellStart"/>
      <w:r w:rsidRPr="00FC598A">
        <w:t>IDet</w:t>
      </w:r>
      <w:proofErr w:type="spellEnd"/>
      <w:r w:rsidRPr="00FC598A" w:rsidDel="003126DC">
        <w:t xml:space="preserve"> </w:t>
      </w:r>
      <w:r w:rsidRPr="00FC598A">
        <w:t>groups had similar HbA</w:t>
      </w:r>
      <w:r w:rsidRPr="00FC598A">
        <w:rPr>
          <w:vertAlign w:val="subscript"/>
        </w:rPr>
        <w:t>1c</w:t>
      </w:r>
      <w:r w:rsidRPr="00FC598A">
        <w:t xml:space="preserve"> and FPG levels and similar rates of confirmed hypoglycaemia. Treatment with RYZODEG 70/30 resulted in lower rates of nocturnal confirmed hypoglycaemia compared to </w:t>
      </w:r>
      <w:proofErr w:type="spellStart"/>
      <w:r w:rsidRPr="00FC598A">
        <w:t>IDet</w:t>
      </w:r>
      <w:proofErr w:type="spellEnd"/>
      <w:r w:rsidRPr="00FC598A">
        <w:t xml:space="preserve"> (see Table </w:t>
      </w:r>
      <w:r w:rsidR="00B15689">
        <w:t>7</w:t>
      </w:r>
      <w:r w:rsidRPr="00FC598A">
        <w:t>).</w:t>
      </w:r>
      <w:bookmarkEnd w:id="24"/>
      <w:bookmarkEnd w:id="25"/>
    </w:p>
    <w:p w14:paraId="5176645B" w14:textId="77777777" w:rsidR="00FC598A" w:rsidRDefault="00FC598A" w:rsidP="00FC598A"/>
    <w:p w14:paraId="45F4E4C1" w14:textId="60837350" w:rsidR="00FC598A" w:rsidRPr="00FC598A" w:rsidRDefault="00FC598A" w:rsidP="00D11AB9">
      <w:pPr>
        <w:pageBreakBefore/>
        <w:rPr>
          <w:b/>
        </w:rPr>
      </w:pPr>
      <w:r w:rsidRPr="00FC598A">
        <w:rPr>
          <w:b/>
        </w:rPr>
        <w:lastRenderedPageBreak/>
        <w:t xml:space="preserve">Table </w:t>
      </w:r>
      <w:r w:rsidRPr="00FC598A">
        <w:rPr>
          <w:b/>
        </w:rPr>
        <w:fldChar w:fldCharType="begin"/>
      </w:r>
      <w:r w:rsidRPr="00FC598A">
        <w:rPr>
          <w:b/>
        </w:rPr>
        <w:instrText xml:space="preserve"> SEQ Table \* ARABIC </w:instrText>
      </w:r>
      <w:r w:rsidRPr="00FC598A">
        <w:rPr>
          <w:b/>
        </w:rPr>
        <w:fldChar w:fldCharType="separate"/>
      </w:r>
      <w:r w:rsidR="00B15689">
        <w:rPr>
          <w:b/>
          <w:noProof/>
        </w:rPr>
        <w:t>7</w:t>
      </w:r>
      <w:r w:rsidRPr="00FC598A">
        <w:rPr>
          <w:b/>
        </w:rPr>
        <w:fldChar w:fldCharType="end"/>
      </w:r>
      <w:r w:rsidRPr="00FC598A">
        <w:rPr>
          <w:b/>
        </w:rPr>
        <w:t>: Results of a 26 week trial with RYZODEG 70/30 versus insulin detemir in type 1 diabetes mellitus</w:t>
      </w:r>
    </w:p>
    <w:tbl>
      <w:tblPr>
        <w:tblW w:w="496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323"/>
        <w:gridCol w:w="2822"/>
        <w:gridCol w:w="2815"/>
      </w:tblGrid>
      <w:tr w:rsidR="00FC598A" w:rsidRPr="00FC598A" w14:paraId="56BA05D3" w14:textId="77777777" w:rsidTr="0032378C">
        <w:trPr>
          <w:trHeight w:val="395"/>
        </w:trPr>
        <w:tc>
          <w:tcPr>
            <w:tcW w:w="1854" w:type="pct"/>
            <w:shd w:val="clear" w:color="auto" w:fill="auto"/>
          </w:tcPr>
          <w:p w14:paraId="5EF896F4" w14:textId="77777777" w:rsidR="00FC598A" w:rsidRPr="00FC598A" w:rsidRDefault="00FC598A" w:rsidP="00FC598A">
            <w:pPr>
              <w:rPr>
                <w:sz w:val="20"/>
                <w:szCs w:val="20"/>
              </w:rPr>
            </w:pPr>
          </w:p>
        </w:tc>
        <w:tc>
          <w:tcPr>
            <w:tcW w:w="3146" w:type="pct"/>
            <w:gridSpan w:val="2"/>
            <w:shd w:val="clear" w:color="auto" w:fill="auto"/>
          </w:tcPr>
          <w:p w14:paraId="01C3FC7D" w14:textId="77777777" w:rsidR="00FC598A" w:rsidRPr="00FC598A" w:rsidRDefault="00FC598A" w:rsidP="00FC598A">
            <w:pPr>
              <w:rPr>
                <w:sz w:val="20"/>
                <w:szCs w:val="20"/>
              </w:rPr>
            </w:pPr>
            <w:r w:rsidRPr="00FC598A">
              <w:rPr>
                <w:b/>
                <w:sz w:val="20"/>
                <w:szCs w:val="20"/>
              </w:rPr>
              <w:t>Trial 3594</w:t>
            </w:r>
          </w:p>
        </w:tc>
      </w:tr>
      <w:tr w:rsidR="00FC598A" w:rsidRPr="00FC598A" w14:paraId="5E274754" w14:textId="77777777" w:rsidTr="0032378C">
        <w:trPr>
          <w:trHeight w:val="395"/>
        </w:trPr>
        <w:tc>
          <w:tcPr>
            <w:tcW w:w="1854" w:type="pct"/>
            <w:shd w:val="clear" w:color="auto" w:fill="auto"/>
          </w:tcPr>
          <w:p w14:paraId="397E5542" w14:textId="77777777" w:rsidR="00FC598A" w:rsidRPr="00FC598A" w:rsidRDefault="00FC598A" w:rsidP="00FC598A">
            <w:pPr>
              <w:rPr>
                <w:sz w:val="20"/>
                <w:szCs w:val="20"/>
              </w:rPr>
            </w:pPr>
          </w:p>
        </w:tc>
        <w:tc>
          <w:tcPr>
            <w:tcW w:w="1575" w:type="pct"/>
            <w:shd w:val="clear" w:color="auto" w:fill="auto"/>
          </w:tcPr>
          <w:p w14:paraId="3E999B25" w14:textId="77777777" w:rsidR="00FC598A" w:rsidRPr="00FC598A" w:rsidRDefault="00FC598A" w:rsidP="00FC598A">
            <w:pPr>
              <w:rPr>
                <w:sz w:val="20"/>
                <w:szCs w:val="20"/>
              </w:rPr>
            </w:pPr>
            <w:r w:rsidRPr="00FC598A">
              <w:rPr>
                <w:sz w:val="20"/>
                <w:szCs w:val="20"/>
              </w:rPr>
              <w:t xml:space="preserve">RYZODEG 70/30 once daily + </w:t>
            </w:r>
            <w:proofErr w:type="spellStart"/>
            <w:r w:rsidRPr="00FC598A">
              <w:rPr>
                <w:sz w:val="20"/>
                <w:szCs w:val="20"/>
              </w:rPr>
              <w:t>IAsp</w:t>
            </w:r>
            <w:proofErr w:type="spellEnd"/>
          </w:p>
        </w:tc>
        <w:tc>
          <w:tcPr>
            <w:tcW w:w="1571" w:type="pct"/>
            <w:shd w:val="clear" w:color="auto" w:fill="auto"/>
          </w:tcPr>
          <w:p w14:paraId="25E1AFF0" w14:textId="77777777" w:rsidR="00FC598A" w:rsidRPr="00FC598A" w:rsidRDefault="00FC598A" w:rsidP="00FC598A">
            <w:pPr>
              <w:rPr>
                <w:sz w:val="20"/>
                <w:szCs w:val="20"/>
              </w:rPr>
            </w:pPr>
            <w:proofErr w:type="spellStart"/>
            <w:r w:rsidRPr="00FC598A">
              <w:rPr>
                <w:sz w:val="20"/>
                <w:szCs w:val="20"/>
              </w:rPr>
              <w:t>IDet</w:t>
            </w:r>
            <w:proofErr w:type="spellEnd"/>
            <w:r w:rsidRPr="00FC598A">
              <w:rPr>
                <w:sz w:val="20"/>
                <w:szCs w:val="20"/>
              </w:rPr>
              <w:t xml:space="preserve"> once daily/twice daily + </w:t>
            </w:r>
            <w:r w:rsidRPr="00FC598A">
              <w:rPr>
                <w:sz w:val="20"/>
                <w:szCs w:val="20"/>
              </w:rPr>
              <w:br/>
            </w:r>
            <w:proofErr w:type="spellStart"/>
            <w:r w:rsidRPr="00FC598A">
              <w:rPr>
                <w:sz w:val="20"/>
                <w:szCs w:val="20"/>
              </w:rPr>
              <w:t>IAsp</w:t>
            </w:r>
            <w:proofErr w:type="spellEnd"/>
          </w:p>
        </w:tc>
      </w:tr>
      <w:tr w:rsidR="00FC598A" w:rsidRPr="00FC598A" w14:paraId="19799317" w14:textId="77777777" w:rsidTr="0032378C">
        <w:tc>
          <w:tcPr>
            <w:tcW w:w="1854" w:type="pct"/>
            <w:shd w:val="clear" w:color="auto" w:fill="auto"/>
          </w:tcPr>
          <w:p w14:paraId="23E843C0" w14:textId="77777777" w:rsidR="00FC598A" w:rsidRPr="00FC598A" w:rsidRDefault="00FC598A" w:rsidP="00FC598A">
            <w:pPr>
              <w:rPr>
                <w:sz w:val="20"/>
                <w:szCs w:val="20"/>
              </w:rPr>
            </w:pPr>
            <w:r w:rsidRPr="00FC598A">
              <w:rPr>
                <w:sz w:val="20"/>
                <w:szCs w:val="20"/>
              </w:rPr>
              <w:t xml:space="preserve">n </w:t>
            </w:r>
          </w:p>
        </w:tc>
        <w:tc>
          <w:tcPr>
            <w:tcW w:w="1575" w:type="pct"/>
            <w:shd w:val="clear" w:color="auto" w:fill="auto"/>
          </w:tcPr>
          <w:p w14:paraId="207BD540" w14:textId="77777777" w:rsidR="00FC598A" w:rsidRPr="00FC598A" w:rsidRDefault="00FC598A" w:rsidP="00FC598A">
            <w:pPr>
              <w:rPr>
                <w:sz w:val="20"/>
                <w:szCs w:val="20"/>
              </w:rPr>
            </w:pPr>
            <w:r w:rsidRPr="00FC598A">
              <w:rPr>
                <w:sz w:val="20"/>
                <w:szCs w:val="20"/>
              </w:rPr>
              <w:t>366</w:t>
            </w:r>
          </w:p>
        </w:tc>
        <w:tc>
          <w:tcPr>
            <w:tcW w:w="1571" w:type="pct"/>
            <w:shd w:val="clear" w:color="auto" w:fill="auto"/>
          </w:tcPr>
          <w:p w14:paraId="49B0AA14" w14:textId="77777777" w:rsidR="00FC598A" w:rsidRPr="00FC598A" w:rsidRDefault="00FC598A" w:rsidP="00FC598A">
            <w:pPr>
              <w:rPr>
                <w:sz w:val="20"/>
                <w:szCs w:val="20"/>
              </w:rPr>
            </w:pPr>
            <w:r w:rsidRPr="00FC598A">
              <w:rPr>
                <w:sz w:val="20"/>
                <w:szCs w:val="20"/>
              </w:rPr>
              <w:t>182</w:t>
            </w:r>
          </w:p>
        </w:tc>
      </w:tr>
      <w:tr w:rsidR="00FC598A" w:rsidRPr="00FC598A" w14:paraId="468901C6" w14:textId="77777777" w:rsidTr="0032378C">
        <w:tc>
          <w:tcPr>
            <w:tcW w:w="5000" w:type="pct"/>
            <w:gridSpan w:val="3"/>
            <w:shd w:val="clear" w:color="auto" w:fill="auto"/>
          </w:tcPr>
          <w:p w14:paraId="680C9A51" w14:textId="77777777" w:rsidR="00FC598A" w:rsidRPr="00FC598A" w:rsidRDefault="00FC598A" w:rsidP="00FC598A">
            <w:pPr>
              <w:rPr>
                <w:b/>
                <w:sz w:val="20"/>
                <w:szCs w:val="20"/>
              </w:rPr>
            </w:pPr>
            <w:r w:rsidRPr="00FC598A">
              <w:rPr>
                <w:b/>
                <w:sz w:val="20"/>
                <w:szCs w:val="20"/>
              </w:rPr>
              <w:t>Mean HbA</w:t>
            </w:r>
            <w:r w:rsidRPr="00FC598A">
              <w:rPr>
                <w:b/>
                <w:sz w:val="20"/>
                <w:szCs w:val="20"/>
                <w:vertAlign w:val="subscript"/>
              </w:rPr>
              <w:t>1c</w:t>
            </w:r>
            <w:r w:rsidRPr="00FC598A">
              <w:rPr>
                <w:b/>
                <w:sz w:val="20"/>
                <w:szCs w:val="20"/>
              </w:rPr>
              <w:t xml:space="preserve"> (%)</w:t>
            </w:r>
          </w:p>
        </w:tc>
      </w:tr>
      <w:tr w:rsidR="00FC598A" w:rsidRPr="00FC598A" w14:paraId="5721A1FD" w14:textId="77777777" w:rsidTr="0032378C">
        <w:tc>
          <w:tcPr>
            <w:tcW w:w="1854" w:type="pct"/>
            <w:shd w:val="clear" w:color="auto" w:fill="auto"/>
          </w:tcPr>
          <w:p w14:paraId="1115D56F" w14:textId="77777777" w:rsidR="00FC598A" w:rsidRPr="00FC598A" w:rsidRDefault="00FC598A" w:rsidP="00FC598A">
            <w:pPr>
              <w:rPr>
                <w:sz w:val="20"/>
                <w:szCs w:val="20"/>
              </w:rPr>
            </w:pPr>
            <w:r w:rsidRPr="00FC598A">
              <w:rPr>
                <w:sz w:val="20"/>
                <w:szCs w:val="20"/>
              </w:rPr>
              <w:t>End of trial</w:t>
            </w:r>
          </w:p>
          <w:p w14:paraId="0DA9C843" w14:textId="77777777" w:rsidR="00FC598A" w:rsidRPr="00FC598A" w:rsidRDefault="00FC598A" w:rsidP="00FC598A">
            <w:pPr>
              <w:rPr>
                <w:sz w:val="20"/>
                <w:szCs w:val="20"/>
              </w:rPr>
            </w:pPr>
            <w:r w:rsidRPr="00FC598A">
              <w:rPr>
                <w:sz w:val="20"/>
                <w:szCs w:val="20"/>
              </w:rPr>
              <w:t>Mean change from baseline</w:t>
            </w:r>
          </w:p>
        </w:tc>
        <w:tc>
          <w:tcPr>
            <w:tcW w:w="1575" w:type="pct"/>
            <w:shd w:val="clear" w:color="auto" w:fill="auto"/>
          </w:tcPr>
          <w:p w14:paraId="45746A03" w14:textId="77777777" w:rsidR="00FC598A" w:rsidRPr="00FC598A" w:rsidRDefault="00FC598A" w:rsidP="00FC598A">
            <w:pPr>
              <w:rPr>
                <w:sz w:val="20"/>
                <w:szCs w:val="20"/>
              </w:rPr>
            </w:pPr>
            <w:r w:rsidRPr="00FC598A">
              <w:rPr>
                <w:sz w:val="20"/>
                <w:szCs w:val="20"/>
              </w:rPr>
              <w:t>7.6</w:t>
            </w:r>
          </w:p>
          <w:p w14:paraId="1E13CD5C" w14:textId="77777777" w:rsidR="00FC598A" w:rsidRPr="00FC598A" w:rsidRDefault="00FC598A" w:rsidP="00FC598A">
            <w:pPr>
              <w:rPr>
                <w:sz w:val="20"/>
                <w:szCs w:val="20"/>
              </w:rPr>
            </w:pPr>
            <w:r w:rsidRPr="00FC598A">
              <w:rPr>
                <w:sz w:val="20"/>
                <w:szCs w:val="20"/>
              </w:rPr>
              <w:t>-0.73</w:t>
            </w:r>
          </w:p>
        </w:tc>
        <w:tc>
          <w:tcPr>
            <w:tcW w:w="1571" w:type="pct"/>
            <w:shd w:val="clear" w:color="auto" w:fill="auto"/>
          </w:tcPr>
          <w:p w14:paraId="78B9F4D8" w14:textId="77777777" w:rsidR="00FC598A" w:rsidRPr="00FC598A" w:rsidRDefault="00FC598A" w:rsidP="00FC598A">
            <w:pPr>
              <w:rPr>
                <w:sz w:val="20"/>
                <w:szCs w:val="20"/>
              </w:rPr>
            </w:pPr>
            <w:r w:rsidRPr="00FC598A">
              <w:rPr>
                <w:sz w:val="20"/>
                <w:szCs w:val="20"/>
              </w:rPr>
              <w:t>7.6</w:t>
            </w:r>
          </w:p>
          <w:p w14:paraId="10F30C0A" w14:textId="77777777" w:rsidR="00FC598A" w:rsidRPr="00FC598A" w:rsidRDefault="00FC598A" w:rsidP="00FC598A">
            <w:pPr>
              <w:rPr>
                <w:sz w:val="20"/>
                <w:szCs w:val="20"/>
              </w:rPr>
            </w:pPr>
            <w:r w:rsidRPr="00FC598A">
              <w:rPr>
                <w:sz w:val="20"/>
                <w:szCs w:val="20"/>
              </w:rPr>
              <w:t>-0.68</w:t>
            </w:r>
          </w:p>
        </w:tc>
      </w:tr>
      <w:tr w:rsidR="00FC598A" w:rsidRPr="00FC598A" w14:paraId="44D5DA3F" w14:textId="77777777" w:rsidTr="0032378C">
        <w:tc>
          <w:tcPr>
            <w:tcW w:w="1854" w:type="pct"/>
            <w:shd w:val="clear" w:color="auto" w:fill="auto"/>
          </w:tcPr>
          <w:p w14:paraId="40505641" w14:textId="77777777" w:rsidR="00FC598A" w:rsidRPr="00FC598A" w:rsidRDefault="00FC598A" w:rsidP="00FC598A">
            <w:pPr>
              <w:rPr>
                <w:sz w:val="20"/>
                <w:szCs w:val="20"/>
              </w:rPr>
            </w:pPr>
            <w:r w:rsidRPr="00FC598A">
              <w:rPr>
                <w:sz w:val="20"/>
                <w:szCs w:val="20"/>
              </w:rPr>
              <w:t xml:space="preserve">Estimated treatment difference [95% CI] RYZODEG 70/30 once daily minus </w:t>
            </w:r>
            <w:proofErr w:type="spellStart"/>
            <w:r w:rsidRPr="00FC598A">
              <w:rPr>
                <w:sz w:val="20"/>
                <w:szCs w:val="20"/>
              </w:rPr>
              <w:t>IDet</w:t>
            </w:r>
            <w:proofErr w:type="spellEnd"/>
            <w:r w:rsidRPr="00FC598A">
              <w:rPr>
                <w:sz w:val="20"/>
                <w:szCs w:val="20"/>
              </w:rPr>
              <w:t xml:space="preserve"> once daily/twice daily</w:t>
            </w:r>
          </w:p>
        </w:tc>
        <w:tc>
          <w:tcPr>
            <w:tcW w:w="3146" w:type="pct"/>
            <w:gridSpan w:val="2"/>
            <w:shd w:val="clear" w:color="auto" w:fill="auto"/>
          </w:tcPr>
          <w:p w14:paraId="6509D24E" w14:textId="77777777" w:rsidR="00FC598A" w:rsidRPr="00FC598A" w:rsidRDefault="00FC598A" w:rsidP="00FC598A">
            <w:pPr>
              <w:rPr>
                <w:sz w:val="20"/>
                <w:szCs w:val="20"/>
              </w:rPr>
            </w:pPr>
            <w:r w:rsidRPr="00FC598A">
              <w:rPr>
                <w:sz w:val="20"/>
                <w:szCs w:val="20"/>
              </w:rPr>
              <w:t>-0.05 [-0.18;0.08]</w:t>
            </w:r>
          </w:p>
        </w:tc>
      </w:tr>
      <w:tr w:rsidR="00FC598A" w:rsidRPr="00FC598A" w14:paraId="5237DE59" w14:textId="77777777" w:rsidTr="0032378C">
        <w:tc>
          <w:tcPr>
            <w:tcW w:w="5000" w:type="pct"/>
            <w:gridSpan w:val="3"/>
            <w:shd w:val="clear" w:color="auto" w:fill="auto"/>
          </w:tcPr>
          <w:p w14:paraId="5B22698B" w14:textId="77777777" w:rsidR="00FC598A" w:rsidRPr="00FC598A" w:rsidRDefault="00FC598A" w:rsidP="00FC598A">
            <w:pPr>
              <w:rPr>
                <w:b/>
                <w:sz w:val="20"/>
                <w:szCs w:val="20"/>
              </w:rPr>
            </w:pPr>
            <w:r w:rsidRPr="00FC598A">
              <w:rPr>
                <w:b/>
                <w:sz w:val="20"/>
                <w:szCs w:val="20"/>
              </w:rPr>
              <w:t>FPG in mmol/L</w:t>
            </w:r>
          </w:p>
        </w:tc>
      </w:tr>
      <w:tr w:rsidR="00FC598A" w:rsidRPr="00FC598A" w14:paraId="5DBC5928" w14:textId="77777777" w:rsidTr="0032378C">
        <w:tc>
          <w:tcPr>
            <w:tcW w:w="1854" w:type="pct"/>
            <w:shd w:val="clear" w:color="auto" w:fill="auto"/>
          </w:tcPr>
          <w:p w14:paraId="4459E8E7" w14:textId="77777777" w:rsidR="00FC598A" w:rsidRPr="00FC598A" w:rsidRDefault="00FC598A" w:rsidP="00FC598A">
            <w:pPr>
              <w:rPr>
                <w:sz w:val="20"/>
                <w:szCs w:val="20"/>
              </w:rPr>
            </w:pPr>
            <w:r w:rsidRPr="00FC598A">
              <w:rPr>
                <w:sz w:val="20"/>
                <w:szCs w:val="20"/>
              </w:rPr>
              <w:t>End of trial</w:t>
            </w:r>
          </w:p>
          <w:p w14:paraId="4848C753" w14:textId="77777777" w:rsidR="00FC598A" w:rsidRPr="00FC598A" w:rsidRDefault="00FC598A" w:rsidP="00FC598A">
            <w:pPr>
              <w:rPr>
                <w:sz w:val="20"/>
                <w:szCs w:val="20"/>
              </w:rPr>
            </w:pPr>
            <w:r w:rsidRPr="00FC598A">
              <w:rPr>
                <w:sz w:val="20"/>
                <w:szCs w:val="20"/>
              </w:rPr>
              <w:t>Mean change from baseline</w:t>
            </w:r>
          </w:p>
        </w:tc>
        <w:tc>
          <w:tcPr>
            <w:tcW w:w="1575" w:type="pct"/>
            <w:shd w:val="clear" w:color="auto" w:fill="auto"/>
          </w:tcPr>
          <w:p w14:paraId="2B139A17" w14:textId="77777777" w:rsidR="00FC598A" w:rsidRPr="00FC598A" w:rsidRDefault="00FC598A" w:rsidP="00FC598A">
            <w:pPr>
              <w:rPr>
                <w:sz w:val="20"/>
                <w:szCs w:val="20"/>
              </w:rPr>
            </w:pPr>
            <w:r w:rsidRPr="00FC598A">
              <w:rPr>
                <w:sz w:val="20"/>
                <w:szCs w:val="20"/>
              </w:rPr>
              <w:t>8.7</w:t>
            </w:r>
          </w:p>
          <w:p w14:paraId="2A0B1D27" w14:textId="77777777" w:rsidR="00FC598A" w:rsidRPr="00FC598A" w:rsidRDefault="00FC598A" w:rsidP="00FC598A">
            <w:pPr>
              <w:rPr>
                <w:sz w:val="20"/>
                <w:szCs w:val="20"/>
              </w:rPr>
            </w:pPr>
            <w:r w:rsidRPr="00FC598A">
              <w:rPr>
                <w:sz w:val="20"/>
                <w:szCs w:val="20"/>
              </w:rPr>
              <w:t xml:space="preserve">-1.61 </w:t>
            </w:r>
          </w:p>
        </w:tc>
        <w:tc>
          <w:tcPr>
            <w:tcW w:w="1571" w:type="pct"/>
            <w:shd w:val="clear" w:color="auto" w:fill="auto"/>
          </w:tcPr>
          <w:p w14:paraId="076A2EDF" w14:textId="77777777" w:rsidR="00FC598A" w:rsidRPr="00FC598A" w:rsidRDefault="00FC598A" w:rsidP="00FC598A">
            <w:pPr>
              <w:rPr>
                <w:sz w:val="20"/>
                <w:szCs w:val="20"/>
              </w:rPr>
            </w:pPr>
            <w:r w:rsidRPr="00FC598A">
              <w:rPr>
                <w:sz w:val="20"/>
                <w:szCs w:val="20"/>
              </w:rPr>
              <w:t xml:space="preserve">8.6 </w:t>
            </w:r>
          </w:p>
          <w:p w14:paraId="0F94E25A" w14:textId="77777777" w:rsidR="00FC598A" w:rsidRPr="00FC598A" w:rsidRDefault="00FC598A" w:rsidP="00FC598A">
            <w:pPr>
              <w:rPr>
                <w:sz w:val="20"/>
                <w:szCs w:val="20"/>
              </w:rPr>
            </w:pPr>
            <w:r w:rsidRPr="00FC598A">
              <w:rPr>
                <w:sz w:val="20"/>
                <w:szCs w:val="20"/>
              </w:rPr>
              <w:t>-2.41</w:t>
            </w:r>
          </w:p>
        </w:tc>
      </w:tr>
      <w:tr w:rsidR="00FC598A" w:rsidRPr="00FC598A" w14:paraId="120CD26C" w14:textId="77777777" w:rsidTr="0032378C">
        <w:tc>
          <w:tcPr>
            <w:tcW w:w="1854" w:type="pct"/>
            <w:shd w:val="clear" w:color="auto" w:fill="auto"/>
          </w:tcPr>
          <w:p w14:paraId="1DB531CB" w14:textId="77777777" w:rsidR="00FC598A" w:rsidRPr="00FC598A" w:rsidRDefault="00FC598A" w:rsidP="00FC598A">
            <w:pPr>
              <w:rPr>
                <w:sz w:val="20"/>
                <w:szCs w:val="20"/>
              </w:rPr>
            </w:pPr>
            <w:r w:rsidRPr="00FC598A">
              <w:rPr>
                <w:sz w:val="20"/>
                <w:szCs w:val="20"/>
              </w:rPr>
              <w:t xml:space="preserve">Estimated treatment difference [95% CI] RYZODEG 70/30 once daily minus </w:t>
            </w:r>
            <w:proofErr w:type="spellStart"/>
            <w:r w:rsidRPr="00FC598A">
              <w:rPr>
                <w:sz w:val="20"/>
                <w:szCs w:val="20"/>
              </w:rPr>
              <w:t>IDet</w:t>
            </w:r>
            <w:proofErr w:type="spellEnd"/>
            <w:r w:rsidRPr="00FC598A">
              <w:rPr>
                <w:sz w:val="20"/>
                <w:szCs w:val="20"/>
              </w:rPr>
              <w:t xml:space="preserve"> once daily/twice daily</w:t>
            </w:r>
          </w:p>
        </w:tc>
        <w:tc>
          <w:tcPr>
            <w:tcW w:w="3146" w:type="pct"/>
            <w:gridSpan w:val="2"/>
            <w:shd w:val="clear" w:color="auto" w:fill="auto"/>
          </w:tcPr>
          <w:p w14:paraId="4B43FF8E" w14:textId="77777777" w:rsidR="00FC598A" w:rsidRPr="00FC598A" w:rsidRDefault="00FC598A" w:rsidP="00FC598A">
            <w:pPr>
              <w:rPr>
                <w:sz w:val="20"/>
                <w:szCs w:val="20"/>
              </w:rPr>
            </w:pPr>
            <w:r w:rsidRPr="00FC598A">
              <w:rPr>
                <w:sz w:val="20"/>
                <w:szCs w:val="20"/>
              </w:rPr>
              <w:t>0.23 [-0.46;0.91]</w:t>
            </w:r>
          </w:p>
          <w:p w14:paraId="0AAFB704" w14:textId="77777777" w:rsidR="00FC598A" w:rsidRPr="00FC598A" w:rsidRDefault="00FC598A" w:rsidP="00FC598A">
            <w:pPr>
              <w:rPr>
                <w:sz w:val="20"/>
                <w:szCs w:val="20"/>
              </w:rPr>
            </w:pPr>
          </w:p>
        </w:tc>
      </w:tr>
      <w:tr w:rsidR="00FC598A" w:rsidRPr="00FC598A" w14:paraId="108C2570" w14:textId="77777777" w:rsidTr="0032378C">
        <w:tc>
          <w:tcPr>
            <w:tcW w:w="5000" w:type="pct"/>
            <w:gridSpan w:val="3"/>
            <w:shd w:val="clear" w:color="auto" w:fill="auto"/>
          </w:tcPr>
          <w:p w14:paraId="10F13508" w14:textId="77777777" w:rsidR="00FC598A" w:rsidRPr="00FC598A" w:rsidRDefault="00FC598A" w:rsidP="00FC598A">
            <w:pPr>
              <w:rPr>
                <w:b/>
                <w:sz w:val="20"/>
                <w:szCs w:val="20"/>
              </w:rPr>
            </w:pPr>
            <w:r w:rsidRPr="00FC598A">
              <w:rPr>
                <w:b/>
                <w:sz w:val="20"/>
                <w:szCs w:val="20"/>
              </w:rPr>
              <w:t>Hypoglycaemia Rate per Patient year of exposure</w:t>
            </w:r>
          </w:p>
        </w:tc>
      </w:tr>
      <w:tr w:rsidR="00FC598A" w:rsidRPr="00FC598A" w14:paraId="2785E3FC" w14:textId="77777777" w:rsidTr="0032378C">
        <w:tc>
          <w:tcPr>
            <w:tcW w:w="1854" w:type="pct"/>
            <w:shd w:val="clear" w:color="auto" w:fill="auto"/>
          </w:tcPr>
          <w:p w14:paraId="6B84EFA2" w14:textId="77777777" w:rsidR="00FC598A" w:rsidRPr="00FC598A" w:rsidRDefault="00FC598A" w:rsidP="00FC598A">
            <w:pPr>
              <w:rPr>
                <w:sz w:val="20"/>
                <w:szCs w:val="20"/>
              </w:rPr>
            </w:pPr>
            <w:r w:rsidRPr="00FC598A">
              <w:rPr>
                <w:sz w:val="20"/>
                <w:szCs w:val="20"/>
              </w:rPr>
              <w:t>Severe hypoglycaemia</w:t>
            </w:r>
          </w:p>
        </w:tc>
        <w:tc>
          <w:tcPr>
            <w:tcW w:w="1575" w:type="pct"/>
            <w:shd w:val="clear" w:color="auto" w:fill="auto"/>
          </w:tcPr>
          <w:p w14:paraId="65EA11A9" w14:textId="77777777" w:rsidR="00FC598A" w:rsidRPr="00FC598A" w:rsidRDefault="00FC598A" w:rsidP="00FC598A">
            <w:pPr>
              <w:rPr>
                <w:sz w:val="20"/>
                <w:szCs w:val="20"/>
              </w:rPr>
            </w:pPr>
            <w:r w:rsidRPr="00FC598A">
              <w:rPr>
                <w:sz w:val="20"/>
                <w:szCs w:val="20"/>
              </w:rPr>
              <w:t>0.33</w:t>
            </w:r>
          </w:p>
        </w:tc>
        <w:tc>
          <w:tcPr>
            <w:tcW w:w="1571" w:type="pct"/>
            <w:shd w:val="clear" w:color="auto" w:fill="auto"/>
          </w:tcPr>
          <w:p w14:paraId="5FB46B51" w14:textId="77777777" w:rsidR="00FC598A" w:rsidRPr="00FC598A" w:rsidRDefault="00FC598A" w:rsidP="00FC598A">
            <w:pPr>
              <w:rPr>
                <w:sz w:val="20"/>
                <w:szCs w:val="20"/>
              </w:rPr>
            </w:pPr>
            <w:r w:rsidRPr="00FC598A">
              <w:rPr>
                <w:sz w:val="20"/>
                <w:szCs w:val="20"/>
              </w:rPr>
              <w:t>0.42</w:t>
            </w:r>
          </w:p>
        </w:tc>
      </w:tr>
      <w:tr w:rsidR="00FC598A" w:rsidRPr="00FC598A" w14:paraId="75732538" w14:textId="77777777" w:rsidTr="0032378C">
        <w:tc>
          <w:tcPr>
            <w:tcW w:w="1854" w:type="pct"/>
            <w:shd w:val="clear" w:color="auto" w:fill="auto"/>
          </w:tcPr>
          <w:p w14:paraId="5688010E" w14:textId="77777777" w:rsidR="00FC598A" w:rsidRPr="00FC598A" w:rsidRDefault="00FC598A" w:rsidP="00FC598A">
            <w:pPr>
              <w:rPr>
                <w:sz w:val="20"/>
                <w:szCs w:val="20"/>
              </w:rPr>
            </w:pPr>
            <w:r w:rsidRPr="00FC598A">
              <w:rPr>
                <w:sz w:val="20"/>
                <w:szCs w:val="20"/>
              </w:rPr>
              <w:t xml:space="preserve">Confirmed hypoglycaemia </w:t>
            </w:r>
          </w:p>
        </w:tc>
        <w:tc>
          <w:tcPr>
            <w:tcW w:w="1575" w:type="pct"/>
            <w:shd w:val="clear" w:color="auto" w:fill="auto"/>
          </w:tcPr>
          <w:p w14:paraId="3A9D4D01" w14:textId="77777777" w:rsidR="00FC598A" w:rsidRPr="00FC598A" w:rsidRDefault="00FC598A" w:rsidP="00FC598A">
            <w:pPr>
              <w:rPr>
                <w:sz w:val="20"/>
                <w:szCs w:val="20"/>
              </w:rPr>
            </w:pPr>
            <w:r w:rsidRPr="00FC598A">
              <w:rPr>
                <w:sz w:val="20"/>
                <w:szCs w:val="20"/>
              </w:rPr>
              <w:t>39.2</w:t>
            </w:r>
          </w:p>
        </w:tc>
        <w:tc>
          <w:tcPr>
            <w:tcW w:w="1571" w:type="pct"/>
            <w:shd w:val="clear" w:color="auto" w:fill="auto"/>
          </w:tcPr>
          <w:p w14:paraId="3F9FEDD0" w14:textId="77777777" w:rsidR="00FC598A" w:rsidRPr="00FC598A" w:rsidRDefault="00FC598A" w:rsidP="00FC598A">
            <w:pPr>
              <w:rPr>
                <w:sz w:val="20"/>
                <w:szCs w:val="20"/>
              </w:rPr>
            </w:pPr>
            <w:r w:rsidRPr="00FC598A">
              <w:rPr>
                <w:sz w:val="20"/>
                <w:szCs w:val="20"/>
              </w:rPr>
              <w:t>44.3</w:t>
            </w:r>
          </w:p>
        </w:tc>
      </w:tr>
      <w:tr w:rsidR="00FC598A" w:rsidRPr="00FC598A" w14:paraId="2035ADF0" w14:textId="77777777" w:rsidTr="0032378C">
        <w:tc>
          <w:tcPr>
            <w:tcW w:w="1854" w:type="pct"/>
            <w:shd w:val="clear" w:color="auto" w:fill="auto"/>
          </w:tcPr>
          <w:p w14:paraId="5D67BB52" w14:textId="77777777" w:rsidR="00FC598A" w:rsidRPr="00FC598A" w:rsidRDefault="00FC598A" w:rsidP="00FC598A">
            <w:pPr>
              <w:rPr>
                <w:sz w:val="20"/>
                <w:szCs w:val="20"/>
              </w:rPr>
            </w:pPr>
            <w:r w:rsidRPr="00FC598A">
              <w:rPr>
                <w:sz w:val="20"/>
                <w:szCs w:val="20"/>
              </w:rPr>
              <w:t xml:space="preserve">Treatment ratio [95%] RYZODEG 70/30 once daily/ </w:t>
            </w:r>
            <w:proofErr w:type="spellStart"/>
            <w:r w:rsidRPr="00FC598A">
              <w:rPr>
                <w:sz w:val="20"/>
                <w:szCs w:val="20"/>
              </w:rPr>
              <w:t>IDet</w:t>
            </w:r>
            <w:proofErr w:type="spellEnd"/>
            <w:r w:rsidRPr="00FC598A">
              <w:rPr>
                <w:sz w:val="20"/>
                <w:szCs w:val="20"/>
              </w:rPr>
              <w:t xml:space="preserve"> once daily/twice daily</w:t>
            </w:r>
          </w:p>
        </w:tc>
        <w:tc>
          <w:tcPr>
            <w:tcW w:w="3146" w:type="pct"/>
            <w:gridSpan w:val="2"/>
            <w:shd w:val="clear" w:color="auto" w:fill="auto"/>
          </w:tcPr>
          <w:p w14:paraId="6F8A1ADE" w14:textId="77777777" w:rsidR="00FC598A" w:rsidRPr="00FC598A" w:rsidRDefault="00FC598A" w:rsidP="00FC598A">
            <w:pPr>
              <w:rPr>
                <w:sz w:val="20"/>
                <w:szCs w:val="20"/>
              </w:rPr>
            </w:pPr>
            <w:r w:rsidRPr="00FC598A">
              <w:rPr>
                <w:sz w:val="20"/>
                <w:szCs w:val="20"/>
              </w:rPr>
              <w:t>0.91 [0.76;1.09]</w:t>
            </w:r>
          </w:p>
        </w:tc>
      </w:tr>
      <w:tr w:rsidR="00FC598A" w:rsidRPr="00FC598A" w14:paraId="2C3C2FC4" w14:textId="77777777" w:rsidTr="0032378C">
        <w:tc>
          <w:tcPr>
            <w:tcW w:w="1854" w:type="pct"/>
            <w:shd w:val="clear" w:color="auto" w:fill="auto"/>
          </w:tcPr>
          <w:p w14:paraId="465E8A42" w14:textId="77777777" w:rsidR="00FC598A" w:rsidRPr="00FC598A" w:rsidRDefault="00FC598A" w:rsidP="00FC598A">
            <w:pPr>
              <w:rPr>
                <w:sz w:val="20"/>
                <w:szCs w:val="20"/>
              </w:rPr>
            </w:pPr>
            <w:r w:rsidRPr="00FC598A">
              <w:rPr>
                <w:sz w:val="20"/>
                <w:szCs w:val="20"/>
              </w:rPr>
              <w:t xml:space="preserve">Nocturnal confirmed hypoglycaemia </w:t>
            </w:r>
          </w:p>
        </w:tc>
        <w:tc>
          <w:tcPr>
            <w:tcW w:w="1575" w:type="pct"/>
            <w:shd w:val="clear" w:color="auto" w:fill="auto"/>
          </w:tcPr>
          <w:p w14:paraId="33EAD70D" w14:textId="77777777" w:rsidR="00FC598A" w:rsidRPr="00FC598A" w:rsidRDefault="00FC598A" w:rsidP="00FC598A">
            <w:pPr>
              <w:rPr>
                <w:sz w:val="20"/>
                <w:szCs w:val="20"/>
              </w:rPr>
            </w:pPr>
            <w:r w:rsidRPr="00FC598A">
              <w:rPr>
                <w:sz w:val="20"/>
                <w:szCs w:val="20"/>
              </w:rPr>
              <w:t>3.71</w:t>
            </w:r>
          </w:p>
        </w:tc>
        <w:tc>
          <w:tcPr>
            <w:tcW w:w="1571" w:type="pct"/>
            <w:shd w:val="clear" w:color="auto" w:fill="auto"/>
          </w:tcPr>
          <w:p w14:paraId="5348D5BA" w14:textId="77777777" w:rsidR="00FC598A" w:rsidRPr="00FC598A" w:rsidRDefault="00FC598A" w:rsidP="00FC598A">
            <w:pPr>
              <w:rPr>
                <w:sz w:val="20"/>
                <w:szCs w:val="20"/>
              </w:rPr>
            </w:pPr>
            <w:r w:rsidRPr="00FC598A">
              <w:rPr>
                <w:sz w:val="20"/>
                <w:szCs w:val="20"/>
              </w:rPr>
              <w:t>5.72</w:t>
            </w:r>
          </w:p>
        </w:tc>
      </w:tr>
      <w:tr w:rsidR="00FC598A" w:rsidRPr="00FC598A" w14:paraId="047C1171" w14:textId="77777777" w:rsidTr="0032378C">
        <w:tc>
          <w:tcPr>
            <w:tcW w:w="1854" w:type="pct"/>
            <w:shd w:val="clear" w:color="auto" w:fill="auto"/>
          </w:tcPr>
          <w:p w14:paraId="1C013AF6" w14:textId="77777777" w:rsidR="00FC598A" w:rsidRPr="00FC598A" w:rsidRDefault="00FC598A" w:rsidP="00FC598A">
            <w:pPr>
              <w:rPr>
                <w:sz w:val="20"/>
                <w:szCs w:val="20"/>
              </w:rPr>
            </w:pPr>
            <w:r w:rsidRPr="00FC598A">
              <w:rPr>
                <w:sz w:val="20"/>
                <w:szCs w:val="20"/>
              </w:rPr>
              <w:t xml:space="preserve">Treatment ratio [95%] RYZODEG 70/30 once daily/ </w:t>
            </w:r>
            <w:proofErr w:type="spellStart"/>
            <w:r w:rsidRPr="00FC598A">
              <w:rPr>
                <w:sz w:val="20"/>
                <w:szCs w:val="20"/>
              </w:rPr>
              <w:t>IDet</w:t>
            </w:r>
            <w:proofErr w:type="spellEnd"/>
            <w:r w:rsidRPr="00FC598A">
              <w:rPr>
                <w:sz w:val="20"/>
                <w:szCs w:val="20"/>
              </w:rPr>
              <w:t xml:space="preserve"> once daily/twice daily</w:t>
            </w:r>
          </w:p>
        </w:tc>
        <w:tc>
          <w:tcPr>
            <w:tcW w:w="3146" w:type="pct"/>
            <w:gridSpan w:val="2"/>
            <w:shd w:val="clear" w:color="auto" w:fill="auto"/>
          </w:tcPr>
          <w:p w14:paraId="763FB127" w14:textId="77777777" w:rsidR="00FC598A" w:rsidRPr="00FC598A" w:rsidRDefault="00FC598A" w:rsidP="00FC598A">
            <w:pPr>
              <w:rPr>
                <w:sz w:val="20"/>
                <w:szCs w:val="20"/>
              </w:rPr>
            </w:pPr>
            <w:r w:rsidRPr="00FC598A">
              <w:rPr>
                <w:sz w:val="20"/>
                <w:szCs w:val="20"/>
              </w:rPr>
              <w:t>0.63 [0.49;0.81]</w:t>
            </w:r>
          </w:p>
        </w:tc>
      </w:tr>
    </w:tbl>
    <w:p w14:paraId="26B5E1A9" w14:textId="77777777" w:rsidR="00FC598A" w:rsidRPr="00FC598A" w:rsidRDefault="00FC598A" w:rsidP="00FC598A">
      <w:pPr>
        <w:rPr>
          <w:bCs/>
          <w:i/>
          <w:sz w:val="20"/>
          <w:szCs w:val="20"/>
        </w:rPr>
      </w:pPr>
      <w:r w:rsidRPr="00FC598A">
        <w:rPr>
          <w:i/>
          <w:sz w:val="20"/>
          <w:szCs w:val="20"/>
        </w:rPr>
        <w:t>(n = no. of subjects in the FAS)</w:t>
      </w:r>
    </w:p>
    <w:p w14:paraId="1049102E" w14:textId="77777777" w:rsidR="00312A37" w:rsidRDefault="00312A37" w:rsidP="00312A37">
      <w:pPr>
        <w:rPr>
          <w:i/>
          <w:iCs/>
        </w:rPr>
      </w:pPr>
    </w:p>
    <w:p w14:paraId="2A9EE06B" w14:textId="0FC53B53" w:rsidR="002D6FD6" w:rsidRPr="00312A37" w:rsidRDefault="002D6FD6" w:rsidP="00312A37">
      <w:pPr>
        <w:rPr>
          <w:i/>
          <w:iCs/>
        </w:rPr>
      </w:pPr>
      <w:r w:rsidRPr="00312A37">
        <w:rPr>
          <w:i/>
          <w:iCs/>
        </w:rPr>
        <w:t>Paediatric population</w:t>
      </w:r>
    </w:p>
    <w:p w14:paraId="58B19520" w14:textId="5FF2639B" w:rsidR="0045536A" w:rsidRDefault="002D6FD6" w:rsidP="0083278B">
      <w:r w:rsidRPr="002D6FD6">
        <w:t xml:space="preserve">The efficacy and safety of </w:t>
      </w:r>
      <w:r w:rsidR="00861832">
        <w:rPr>
          <w:bCs/>
          <w:iCs/>
          <w:lang w:val="en-GB"/>
        </w:rPr>
        <w:t>RYZODEG 70/30</w:t>
      </w:r>
      <w:r w:rsidRPr="002D6FD6">
        <w:t xml:space="preserve"> have been studied in a randomised, controlled clinical trial in children and adolescents with diabetes mellitus type 1 for a period of 16 weeks (n=362). Patients in the </w:t>
      </w:r>
      <w:r w:rsidR="00861832">
        <w:rPr>
          <w:bCs/>
          <w:iCs/>
          <w:lang w:val="en-GB"/>
        </w:rPr>
        <w:t>RYZODEG 70/30</w:t>
      </w:r>
      <w:r w:rsidRPr="002D6FD6">
        <w:t xml:space="preserve"> arm included 40 exposed children aged 2-5 years, 61 children aged 6-11 years and 80 adolescents aged 12-17 years. </w:t>
      </w:r>
      <w:r w:rsidR="00861832">
        <w:rPr>
          <w:bCs/>
          <w:iCs/>
          <w:lang w:val="en-GB"/>
        </w:rPr>
        <w:t>RYZODEG 70/30</w:t>
      </w:r>
      <w:r w:rsidRPr="002D6FD6">
        <w:t xml:space="preserve"> dosed once daily with the main meal plus insulin aspart for the remaining meals showed similar reduction in HbA</w:t>
      </w:r>
      <w:r w:rsidRPr="002D6FD6">
        <w:rPr>
          <w:vertAlign w:val="subscript"/>
        </w:rPr>
        <w:t>1c</w:t>
      </w:r>
      <w:r w:rsidRPr="002D6FD6">
        <w:t xml:space="preserve"> at week 16 and no differences in FPG and SMPG compared to comparator insulin detemir dosed once or twice daily plus mealtime insulin aspart. At week 16, the mean total daily insulin dose was 0.88 vs 1.01 units/kg in the </w:t>
      </w:r>
      <w:r w:rsidR="00861832">
        <w:rPr>
          <w:bCs/>
          <w:iCs/>
          <w:lang w:val="en-GB"/>
        </w:rPr>
        <w:t>RYZODEG 70/30</w:t>
      </w:r>
      <w:r w:rsidRPr="002D6FD6">
        <w:t xml:space="preserve"> and insulin detemir arms, respectively.  </w:t>
      </w:r>
    </w:p>
    <w:p w14:paraId="1907F64C" w14:textId="15116DE5" w:rsidR="00D72DDE" w:rsidRDefault="002D6FD6" w:rsidP="0083278B">
      <w:r w:rsidRPr="002D6FD6">
        <w:t xml:space="preserve"> </w:t>
      </w:r>
    </w:p>
    <w:p w14:paraId="17078AF4" w14:textId="16AD5C36" w:rsidR="00D72DDE" w:rsidRPr="007F1A03" w:rsidRDefault="0045536A" w:rsidP="0045536A">
      <w:pPr>
        <w:rPr>
          <w:b/>
        </w:rPr>
      </w:pPr>
      <w:bookmarkStart w:id="26" w:name="_Hlk31892350"/>
      <w:r w:rsidRPr="007F1A03">
        <w:rPr>
          <w:b/>
        </w:rPr>
        <w:t xml:space="preserve">Table </w:t>
      </w:r>
      <w:r w:rsidRPr="007F1A03">
        <w:rPr>
          <w:b/>
        </w:rPr>
        <w:fldChar w:fldCharType="begin"/>
      </w:r>
      <w:r w:rsidRPr="007F1A03">
        <w:rPr>
          <w:b/>
        </w:rPr>
        <w:instrText xml:space="preserve"> SEQ Table \* ARABIC </w:instrText>
      </w:r>
      <w:r w:rsidRPr="007F1A03">
        <w:rPr>
          <w:b/>
        </w:rPr>
        <w:fldChar w:fldCharType="separate"/>
      </w:r>
      <w:r w:rsidRPr="007F1A03">
        <w:rPr>
          <w:b/>
          <w:noProof/>
        </w:rPr>
        <w:t>8</w:t>
      </w:r>
      <w:r w:rsidRPr="007F1A03">
        <w:rPr>
          <w:b/>
        </w:rPr>
        <w:fldChar w:fldCharType="end"/>
      </w:r>
      <w:r w:rsidRPr="007F1A03">
        <w:rPr>
          <w:b/>
        </w:rPr>
        <w:t xml:space="preserve">: </w:t>
      </w:r>
      <w:bookmarkEnd w:id="26"/>
      <w:r w:rsidR="008078CE" w:rsidRPr="007F1A03">
        <w:rPr>
          <w:b/>
        </w:rPr>
        <w:t>Mean change in HbA</w:t>
      </w:r>
      <w:r w:rsidR="008078CE" w:rsidRPr="007F1A03">
        <w:rPr>
          <w:b/>
          <w:vertAlign w:val="subscript"/>
        </w:rPr>
        <w:t>1c</w:t>
      </w:r>
      <w:r w:rsidRPr="007F1A03">
        <w:rPr>
          <w:b/>
        </w:rPr>
        <w:t xml:space="preserve"> </w:t>
      </w:r>
      <w:r w:rsidR="00262723" w:rsidRPr="007F1A03">
        <w:rPr>
          <w:b/>
        </w:rPr>
        <w:t>at</w:t>
      </w:r>
      <w:r w:rsidRPr="007F1A03">
        <w:rPr>
          <w:b/>
        </w:rPr>
        <w:t xml:space="preserve"> </w:t>
      </w:r>
      <w:r w:rsidR="00262723" w:rsidRPr="007F1A03">
        <w:rPr>
          <w:b/>
        </w:rPr>
        <w:t xml:space="preserve">week </w:t>
      </w:r>
      <w:r w:rsidRPr="007F1A03">
        <w:rPr>
          <w:b/>
        </w:rPr>
        <w:t xml:space="preserve">16 </w:t>
      </w:r>
      <w:r w:rsidR="00262723" w:rsidRPr="007F1A03">
        <w:rPr>
          <w:b/>
        </w:rPr>
        <w:t>for</w:t>
      </w:r>
      <w:r w:rsidRPr="007F1A03">
        <w:rPr>
          <w:b/>
        </w:rPr>
        <w:t xml:space="preserve"> RYZODEG 70/30 versus insulin detemir in paediatric patients with type 1 diabetes mellitus</w:t>
      </w:r>
    </w:p>
    <w:tbl>
      <w:tblPr>
        <w:tblW w:w="496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322"/>
        <w:gridCol w:w="1412"/>
        <w:gridCol w:w="1412"/>
        <w:gridCol w:w="1409"/>
        <w:gridCol w:w="1405"/>
      </w:tblGrid>
      <w:tr w:rsidR="00F63F98" w:rsidRPr="007F1A03" w14:paraId="309C859F" w14:textId="77777777" w:rsidTr="00B51DED">
        <w:trPr>
          <w:trHeight w:val="395"/>
        </w:trPr>
        <w:tc>
          <w:tcPr>
            <w:tcW w:w="1854" w:type="pct"/>
            <w:shd w:val="clear" w:color="auto" w:fill="auto"/>
          </w:tcPr>
          <w:p w14:paraId="7DBC167E" w14:textId="77777777" w:rsidR="00F63F98" w:rsidRPr="007F1A03" w:rsidRDefault="00F63F98" w:rsidP="00B51DED">
            <w:pPr>
              <w:rPr>
                <w:sz w:val="20"/>
                <w:szCs w:val="20"/>
              </w:rPr>
            </w:pPr>
          </w:p>
        </w:tc>
        <w:tc>
          <w:tcPr>
            <w:tcW w:w="3146" w:type="pct"/>
            <w:gridSpan w:val="4"/>
            <w:shd w:val="clear" w:color="auto" w:fill="auto"/>
          </w:tcPr>
          <w:p w14:paraId="33B7E36C" w14:textId="26E411BD" w:rsidR="00F63F98" w:rsidRPr="007F1A03" w:rsidRDefault="00F63F98" w:rsidP="00B51DED">
            <w:pPr>
              <w:rPr>
                <w:sz w:val="20"/>
                <w:szCs w:val="20"/>
              </w:rPr>
            </w:pPr>
            <w:r w:rsidRPr="007F1A03">
              <w:rPr>
                <w:b/>
                <w:sz w:val="20"/>
                <w:szCs w:val="20"/>
              </w:rPr>
              <w:t>Trial 3</w:t>
            </w:r>
            <w:r w:rsidR="008C365A" w:rsidRPr="007F1A03">
              <w:rPr>
                <w:b/>
                <w:sz w:val="20"/>
                <w:szCs w:val="20"/>
              </w:rPr>
              <w:t>816</w:t>
            </w:r>
          </w:p>
        </w:tc>
      </w:tr>
      <w:tr w:rsidR="00F63F98" w:rsidRPr="007F1A03" w14:paraId="0601A464" w14:textId="77777777" w:rsidTr="006F314F">
        <w:trPr>
          <w:trHeight w:val="395"/>
        </w:trPr>
        <w:tc>
          <w:tcPr>
            <w:tcW w:w="1854" w:type="pct"/>
            <w:shd w:val="clear" w:color="auto" w:fill="auto"/>
          </w:tcPr>
          <w:p w14:paraId="7FBEE100" w14:textId="77777777" w:rsidR="00F63F98" w:rsidRPr="007F1A03" w:rsidRDefault="00F63F98" w:rsidP="00B51DED">
            <w:pPr>
              <w:rPr>
                <w:sz w:val="20"/>
                <w:szCs w:val="20"/>
              </w:rPr>
            </w:pPr>
          </w:p>
        </w:tc>
        <w:tc>
          <w:tcPr>
            <w:tcW w:w="1576" w:type="pct"/>
            <w:gridSpan w:val="2"/>
            <w:shd w:val="clear" w:color="auto" w:fill="auto"/>
          </w:tcPr>
          <w:p w14:paraId="58CABEB3" w14:textId="77777777" w:rsidR="00F63F98" w:rsidRPr="007F1A03" w:rsidRDefault="00F63F98" w:rsidP="00B51DED">
            <w:pPr>
              <w:rPr>
                <w:sz w:val="20"/>
                <w:szCs w:val="20"/>
              </w:rPr>
            </w:pPr>
            <w:r w:rsidRPr="007F1A03">
              <w:rPr>
                <w:sz w:val="20"/>
                <w:szCs w:val="20"/>
              </w:rPr>
              <w:t xml:space="preserve">RYZODEG 70/30 once daily + </w:t>
            </w:r>
            <w:proofErr w:type="spellStart"/>
            <w:r w:rsidRPr="007F1A03">
              <w:rPr>
                <w:sz w:val="20"/>
                <w:szCs w:val="20"/>
              </w:rPr>
              <w:t>IAsp</w:t>
            </w:r>
            <w:proofErr w:type="spellEnd"/>
          </w:p>
        </w:tc>
        <w:tc>
          <w:tcPr>
            <w:tcW w:w="1570" w:type="pct"/>
            <w:gridSpan w:val="2"/>
            <w:shd w:val="clear" w:color="auto" w:fill="auto"/>
          </w:tcPr>
          <w:p w14:paraId="7502C30C" w14:textId="77777777" w:rsidR="00F63F98" w:rsidRPr="007F1A03" w:rsidRDefault="00F63F98" w:rsidP="00B51DED">
            <w:pPr>
              <w:rPr>
                <w:sz w:val="20"/>
                <w:szCs w:val="20"/>
              </w:rPr>
            </w:pPr>
            <w:proofErr w:type="spellStart"/>
            <w:r w:rsidRPr="007F1A03">
              <w:rPr>
                <w:sz w:val="20"/>
                <w:szCs w:val="20"/>
              </w:rPr>
              <w:t>IDet</w:t>
            </w:r>
            <w:proofErr w:type="spellEnd"/>
            <w:r w:rsidRPr="007F1A03">
              <w:rPr>
                <w:sz w:val="20"/>
                <w:szCs w:val="20"/>
              </w:rPr>
              <w:t xml:space="preserve"> once daily/twice daily + </w:t>
            </w:r>
            <w:r w:rsidRPr="007F1A03">
              <w:rPr>
                <w:sz w:val="20"/>
                <w:szCs w:val="20"/>
              </w:rPr>
              <w:br/>
            </w:r>
            <w:proofErr w:type="spellStart"/>
            <w:r w:rsidRPr="007F1A03">
              <w:rPr>
                <w:sz w:val="20"/>
                <w:szCs w:val="20"/>
              </w:rPr>
              <w:t>IAsp</w:t>
            </w:r>
            <w:proofErr w:type="spellEnd"/>
          </w:p>
        </w:tc>
      </w:tr>
      <w:tr w:rsidR="006F314F" w:rsidRPr="007F1A03" w14:paraId="39FBA8BA" w14:textId="77777777" w:rsidTr="006F314F">
        <w:tc>
          <w:tcPr>
            <w:tcW w:w="1854" w:type="pct"/>
            <w:shd w:val="clear" w:color="auto" w:fill="auto"/>
          </w:tcPr>
          <w:p w14:paraId="080C3BB7" w14:textId="4491AC37" w:rsidR="006F314F" w:rsidRPr="007F1A03" w:rsidRDefault="006F314F" w:rsidP="00B51DED">
            <w:pPr>
              <w:rPr>
                <w:sz w:val="20"/>
                <w:szCs w:val="20"/>
              </w:rPr>
            </w:pPr>
          </w:p>
        </w:tc>
        <w:tc>
          <w:tcPr>
            <w:tcW w:w="788" w:type="pct"/>
            <w:shd w:val="clear" w:color="auto" w:fill="auto"/>
          </w:tcPr>
          <w:p w14:paraId="0029A474" w14:textId="6332930A" w:rsidR="006F314F" w:rsidRPr="007F1A03" w:rsidRDefault="009E76A6" w:rsidP="006F314F">
            <w:pPr>
              <w:jc w:val="center"/>
              <w:rPr>
                <w:sz w:val="20"/>
                <w:szCs w:val="20"/>
              </w:rPr>
            </w:pPr>
            <w:r w:rsidRPr="007F1A03">
              <w:rPr>
                <w:sz w:val="20"/>
                <w:szCs w:val="20"/>
              </w:rPr>
              <w:t>N</w:t>
            </w:r>
          </w:p>
        </w:tc>
        <w:tc>
          <w:tcPr>
            <w:tcW w:w="788" w:type="pct"/>
            <w:shd w:val="clear" w:color="auto" w:fill="auto"/>
          </w:tcPr>
          <w:p w14:paraId="585B9579" w14:textId="772E677B" w:rsidR="006F314F" w:rsidRPr="007F1A03" w:rsidRDefault="00262723" w:rsidP="006F314F">
            <w:pPr>
              <w:jc w:val="center"/>
              <w:rPr>
                <w:sz w:val="20"/>
                <w:szCs w:val="20"/>
              </w:rPr>
            </w:pPr>
            <w:r w:rsidRPr="007F1A03">
              <w:rPr>
                <w:sz w:val="20"/>
                <w:szCs w:val="20"/>
              </w:rPr>
              <w:t>Mean (SD)</w:t>
            </w:r>
          </w:p>
        </w:tc>
        <w:tc>
          <w:tcPr>
            <w:tcW w:w="786" w:type="pct"/>
            <w:shd w:val="clear" w:color="auto" w:fill="auto"/>
          </w:tcPr>
          <w:p w14:paraId="7CE6DE92" w14:textId="26526C09" w:rsidR="006F314F" w:rsidRPr="007F1A03" w:rsidRDefault="00262723" w:rsidP="006F314F">
            <w:pPr>
              <w:jc w:val="center"/>
              <w:rPr>
                <w:sz w:val="20"/>
                <w:szCs w:val="20"/>
              </w:rPr>
            </w:pPr>
            <w:r w:rsidRPr="007F1A03">
              <w:rPr>
                <w:sz w:val="20"/>
                <w:szCs w:val="20"/>
              </w:rPr>
              <w:t>N</w:t>
            </w:r>
          </w:p>
        </w:tc>
        <w:tc>
          <w:tcPr>
            <w:tcW w:w="784" w:type="pct"/>
            <w:shd w:val="clear" w:color="auto" w:fill="auto"/>
          </w:tcPr>
          <w:p w14:paraId="4C82336D" w14:textId="598A333C" w:rsidR="006F314F" w:rsidRPr="007F1A03" w:rsidRDefault="00262723" w:rsidP="006F314F">
            <w:pPr>
              <w:jc w:val="center"/>
              <w:rPr>
                <w:sz w:val="20"/>
                <w:szCs w:val="20"/>
              </w:rPr>
            </w:pPr>
            <w:r w:rsidRPr="007F1A03">
              <w:rPr>
                <w:sz w:val="20"/>
                <w:szCs w:val="20"/>
              </w:rPr>
              <w:t>Mean (SD)</w:t>
            </w:r>
          </w:p>
        </w:tc>
      </w:tr>
      <w:tr w:rsidR="00262723" w:rsidRPr="007F1A03" w14:paraId="6B09BE5C" w14:textId="77777777" w:rsidTr="006F314F">
        <w:tc>
          <w:tcPr>
            <w:tcW w:w="1854" w:type="pct"/>
            <w:shd w:val="clear" w:color="auto" w:fill="auto"/>
          </w:tcPr>
          <w:p w14:paraId="06415B9D" w14:textId="53E9F290" w:rsidR="00262723" w:rsidRPr="007F1A03" w:rsidRDefault="00262723" w:rsidP="00262723">
            <w:pPr>
              <w:rPr>
                <w:sz w:val="20"/>
                <w:szCs w:val="20"/>
              </w:rPr>
            </w:pPr>
            <w:r w:rsidRPr="007F1A03">
              <w:rPr>
                <w:sz w:val="20"/>
                <w:szCs w:val="20"/>
              </w:rPr>
              <w:t xml:space="preserve">1 – 5 years </w:t>
            </w:r>
          </w:p>
        </w:tc>
        <w:tc>
          <w:tcPr>
            <w:tcW w:w="788" w:type="pct"/>
            <w:shd w:val="clear" w:color="auto" w:fill="auto"/>
          </w:tcPr>
          <w:p w14:paraId="665CF899" w14:textId="7BFD779E" w:rsidR="00262723" w:rsidRPr="007F1A03" w:rsidRDefault="00262723" w:rsidP="00262723">
            <w:pPr>
              <w:jc w:val="center"/>
              <w:rPr>
                <w:sz w:val="20"/>
                <w:szCs w:val="20"/>
              </w:rPr>
            </w:pPr>
            <w:r w:rsidRPr="007F1A03">
              <w:rPr>
                <w:sz w:val="20"/>
                <w:szCs w:val="20"/>
              </w:rPr>
              <w:t>40</w:t>
            </w:r>
          </w:p>
        </w:tc>
        <w:tc>
          <w:tcPr>
            <w:tcW w:w="788" w:type="pct"/>
            <w:shd w:val="clear" w:color="auto" w:fill="auto"/>
          </w:tcPr>
          <w:p w14:paraId="65FD7CEA" w14:textId="0C927246" w:rsidR="00262723" w:rsidRPr="007F1A03" w:rsidRDefault="00262723" w:rsidP="00262723">
            <w:pPr>
              <w:jc w:val="center"/>
              <w:rPr>
                <w:sz w:val="20"/>
                <w:szCs w:val="20"/>
              </w:rPr>
            </w:pPr>
            <w:r w:rsidRPr="007F1A03">
              <w:rPr>
                <w:sz w:val="20"/>
                <w:szCs w:val="20"/>
              </w:rPr>
              <w:t>-0.4 (1.0)</w:t>
            </w:r>
          </w:p>
        </w:tc>
        <w:tc>
          <w:tcPr>
            <w:tcW w:w="786" w:type="pct"/>
            <w:shd w:val="clear" w:color="auto" w:fill="auto"/>
          </w:tcPr>
          <w:p w14:paraId="166221BA" w14:textId="14BF6704" w:rsidR="00262723" w:rsidRPr="007F1A03" w:rsidRDefault="00262723" w:rsidP="00262723">
            <w:pPr>
              <w:jc w:val="center"/>
              <w:rPr>
                <w:sz w:val="20"/>
                <w:szCs w:val="20"/>
              </w:rPr>
            </w:pPr>
            <w:r w:rsidRPr="007F1A03">
              <w:rPr>
                <w:sz w:val="20"/>
                <w:szCs w:val="20"/>
              </w:rPr>
              <w:t>41</w:t>
            </w:r>
          </w:p>
        </w:tc>
        <w:tc>
          <w:tcPr>
            <w:tcW w:w="784" w:type="pct"/>
            <w:shd w:val="clear" w:color="auto" w:fill="auto"/>
          </w:tcPr>
          <w:p w14:paraId="59CEBBDC" w14:textId="3A782261" w:rsidR="00262723" w:rsidRPr="007F1A03" w:rsidRDefault="00262723" w:rsidP="00262723">
            <w:pPr>
              <w:jc w:val="center"/>
              <w:rPr>
                <w:sz w:val="20"/>
                <w:szCs w:val="20"/>
              </w:rPr>
            </w:pPr>
            <w:r w:rsidRPr="007F1A03">
              <w:rPr>
                <w:sz w:val="20"/>
                <w:szCs w:val="20"/>
              </w:rPr>
              <w:t>-0.5 (0.8)</w:t>
            </w:r>
          </w:p>
        </w:tc>
      </w:tr>
      <w:tr w:rsidR="00262723" w:rsidRPr="007F1A03" w14:paraId="23B9F0F3" w14:textId="77777777" w:rsidTr="006F314F">
        <w:tc>
          <w:tcPr>
            <w:tcW w:w="1854" w:type="pct"/>
            <w:shd w:val="clear" w:color="auto" w:fill="auto"/>
          </w:tcPr>
          <w:p w14:paraId="2EE938E5" w14:textId="06911590" w:rsidR="00262723" w:rsidRPr="007F1A03" w:rsidRDefault="00262723" w:rsidP="00262723">
            <w:pPr>
              <w:rPr>
                <w:sz w:val="20"/>
                <w:szCs w:val="20"/>
              </w:rPr>
            </w:pPr>
            <w:r w:rsidRPr="007F1A03">
              <w:rPr>
                <w:sz w:val="20"/>
                <w:szCs w:val="20"/>
              </w:rPr>
              <w:t>6 – 11 years</w:t>
            </w:r>
          </w:p>
        </w:tc>
        <w:tc>
          <w:tcPr>
            <w:tcW w:w="788" w:type="pct"/>
            <w:shd w:val="clear" w:color="auto" w:fill="auto"/>
          </w:tcPr>
          <w:p w14:paraId="00F5FFDD" w14:textId="2DD6E420" w:rsidR="00262723" w:rsidRPr="007F1A03" w:rsidRDefault="00262723" w:rsidP="00262723">
            <w:pPr>
              <w:jc w:val="center"/>
              <w:rPr>
                <w:sz w:val="20"/>
                <w:szCs w:val="20"/>
              </w:rPr>
            </w:pPr>
            <w:r w:rsidRPr="007F1A03">
              <w:rPr>
                <w:sz w:val="20"/>
                <w:szCs w:val="20"/>
              </w:rPr>
              <w:t>61</w:t>
            </w:r>
          </w:p>
        </w:tc>
        <w:tc>
          <w:tcPr>
            <w:tcW w:w="788" w:type="pct"/>
            <w:shd w:val="clear" w:color="auto" w:fill="auto"/>
          </w:tcPr>
          <w:p w14:paraId="44387A44" w14:textId="6936AB3D" w:rsidR="00262723" w:rsidRPr="007F1A03" w:rsidRDefault="00262723" w:rsidP="00262723">
            <w:pPr>
              <w:jc w:val="center"/>
              <w:rPr>
                <w:sz w:val="20"/>
                <w:szCs w:val="20"/>
              </w:rPr>
            </w:pPr>
            <w:r w:rsidRPr="007F1A03">
              <w:rPr>
                <w:sz w:val="20"/>
                <w:szCs w:val="20"/>
              </w:rPr>
              <w:t>-0.1 (1.0)</w:t>
            </w:r>
          </w:p>
        </w:tc>
        <w:tc>
          <w:tcPr>
            <w:tcW w:w="786" w:type="pct"/>
            <w:shd w:val="clear" w:color="auto" w:fill="auto"/>
          </w:tcPr>
          <w:p w14:paraId="4C3A6877" w14:textId="5B9FCB9F" w:rsidR="00262723" w:rsidRPr="007F1A03" w:rsidRDefault="00262723" w:rsidP="00262723">
            <w:pPr>
              <w:jc w:val="center"/>
              <w:rPr>
                <w:sz w:val="20"/>
                <w:szCs w:val="20"/>
              </w:rPr>
            </w:pPr>
            <w:r w:rsidRPr="007F1A03">
              <w:rPr>
                <w:sz w:val="20"/>
                <w:szCs w:val="20"/>
              </w:rPr>
              <w:t>61</w:t>
            </w:r>
          </w:p>
        </w:tc>
        <w:tc>
          <w:tcPr>
            <w:tcW w:w="784" w:type="pct"/>
            <w:shd w:val="clear" w:color="auto" w:fill="auto"/>
          </w:tcPr>
          <w:p w14:paraId="45B74AB6" w14:textId="2DCBC060" w:rsidR="00262723" w:rsidRPr="007F1A03" w:rsidRDefault="00262723" w:rsidP="00262723">
            <w:pPr>
              <w:jc w:val="center"/>
              <w:rPr>
                <w:sz w:val="20"/>
                <w:szCs w:val="20"/>
              </w:rPr>
            </w:pPr>
            <w:r w:rsidRPr="007F1A03">
              <w:rPr>
                <w:sz w:val="20"/>
                <w:szCs w:val="20"/>
              </w:rPr>
              <w:t>-0.3 (0.9)</w:t>
            </w:r>
          </w:p>
        </w:tc>
      </w:tr>
      <w:tr w:rsidR="00262723" w:rsidRPr="007F1A03" w14:paraId="5D906D82" w14:textId="77777777" w:rsidTr="006F314F">
        <w:tc>
          <w:tcPr>
            <w:tcW w:w="1854" w:type="pct"/>
            <w:shd w:val="clear" w:color="auto" w:fill="auto"/>
          </w:tcPr>
          <w:p w14:paraId="44B4B37A" w14:textId="3AF05A9B" w:rsidR="00262723" w:rsidRPr="007F1A03" w:rsidRDefault="00262723" w:rsidP="00262723">
            <w:pPr>
              <w:rPr>
                <w:sz w:val="20"/>
                <w:szCs w:val="20"/>
              </w:rPr>
            </w:pPr>
            <w:r w:rsidRPr="007F1A03">
              <w:rPr>
                <w:sz w:val="20"/>
                <w:szCs w:val="20"/>
              </w:rPr>
              <w:t>12 – 17 years</w:t>
            </w:r>
          </w:p>
        </w:tc>
        <w:tc>
          <w:tcPr>
            <w:tcW w:w="788" w:type="pct"/>
            <w:shd w:val="clear" w:color="auto" w:fill="auto"/>
          </w:tcPr>
          <w:p w14:paraId="205935AD" w14:textId="4A97AF81" w:rsidR="00262723" w:rsidRPr="007F1A03" w:rsidRDefault="00262723" w:rsidP="00262723">
            <w:pPr>
              <w:jc w:val="center"/>
              <w:rPr>
                <w:sz w:val="20"/>
                <w:szCs w:val="20"/>
              </w:rPr>
            </w:pPr>
            <w:r w:rsidRPr="007F1A03">
              <w:rPr>
                <w:sz w:val="20"/>
                <w:szCs w:val="20"/>
              </w:rPr>
              <w:t>80</w:t>
            </w:r>
          </w:p>
        </w:tc>
        <w:tc>
          <w:tcPr>
            <w:tcW w:w="788" w:type="pct"/>
            <w:shd w:val="clear" w:color="auto" w:fill="auto"/>
          </w:tcPr>
          <w:p w14:paraId="63563273" w14:textId="71542BC2" w:rsidR="00262723" w:rsidRPr="007F1A03" w:rsidRDefault="00262723" w:rsidP="00262723">
            <w:pPr>
              <w:jc w:val="center"/>
              <w:rPr>
                <w:sz w:val="20"/>
                <w:szCs w:val="20"/>
              </w:rPr>
            </w:pPr>
            <w:r w:rsidRPr="007F1A03">
              <w:rPr>
                <w:sz w:val="20"/>
                <w:szCs w:val="20"/>
              </w:rPr>
              <w:t>-0.3 (1.0)</w:t>
            </w:r>
          </w:p>
        </w:tc>
        <w:tc>
          <w:tcPr>
            <w:tcW w:w="786" w:type="pct"/>
            <w:shd w:val="clear" w:color="auto" w:fill="auto"/>
          </w:tcPr>
          <w:p w14:paraId="07DAA244" w14:textId="49EFA54B" w:rsidR="00262723" w:rsidRPr="007F1A03" w:rsidRDefault="00262723" w:rsidP="00262723">
            <w:pPr>
              <w:jc w:val="center"/>
              <w:rPr>
                <w:sz w:val="20"/>
                <w:szCs w:val="20"/>
              </w:rPr>
            </w:pPr>
            <w:r w:rsidRPr="007F1A03">
              <w:rPr>
                <w:sz w:val="20"/>
                <w:szCs w:val="20"/>
              </w:rPr>
              <w:t>77</w:t>
            </w:r>
          </w:p>
        </w:tc>
        <w:tc>
          <w:tcPr>
            <w:tcW w:w="784" w:type="pct"/>
            <w:shd w:val="clear" w:color="auto" w:fill="auto"/>
          </w:tcPr>
          <w:p w14:paraId="7CDA4B87" w14:textId="7C9FF43E" w:rsidR="00262723" w:rsidRPr="007F1A03" w:rsidRDefault="00262723" w:rsidP="00262723">
            <w:pPr>
              <w:jc w:val="center"/>
              <w:rPr>
                <w:sz w:val="20"/>
                <w:szCs w:val="20"/>
              </w:rPr>
            </w:pPr>
            <w:r w:rsidRPr="007F1A03">
              <w:rPr>
                <w:sz w:val="20"/>
                <w:szCs w:val="20"/>
              </w:rPr>
              <w:t>-0.1 (1.0)</w:t>
            </w:r>
          </w:p>
        </w:tc>
      </w:tr>
    </w:tbl>
    <w:p w14:paraId="3DBDB219" w14:textId="4861ECDE" w:rsidR="008078CE" w:rsidRPr="007F1A03" w:rsidRDefault="008078CE"/>
    <w:p w14:paraId="0783FE4F" w14:textId="4BD88B64" w:rsidR="008078CE" w:rsidRPr="0045536A" w:rsidRDefault="00262723" w:rsidP="008078CE">
      <w:pPr>
        <w:rPr>
          <w:b/>
        </w:rPr>
      </w:pPr>
      <w:r w:rsidRPr="007F1A03">
        <w:rPr>
          <w:b/>
        </w:rPr>
        <w:lastRenderedPageBreak/>
        <w:t xml:space="preserve">Table </w:t>
      </w:r>
      <w:r w:rsidRPr="007F1A03">
        <w:rPr>
          <w:b/>
        </w:rPr>
        <w:fldChar w:fldCharType="begin"/>
      </w:r>
      <w:r w:rsidRPr="007F1A03">
        <w:rPr>
          <w:b/>
        </w:rPr>
        <w:instrText xml:space="preserve"> SEQ Table \* ARABIC </w:instrText>
      </w:r>
      <w:r w:rsidRPr="007F1A03">
        <w:rPr>
          <w:b/>
        </w:rPr>
        <w:fldChar w:fldCharType="separate"/>
      </w:r>
      <w:r w:rsidRPr="007F1A03">
        <w:rPr>
          <w:b/>
          <w:noProof/>
        </w:rPr>
        <w:t>9</w:t>
      </w:r>
      <w:r w:rsidRPr="007F1A03">
        <w:rPr>
          <w:b/>
        </w:rPr>
        <w:fldChar w:fldCharType="end"/>
      </w:r>
      <w:r w:rsidRPr="007F1A03">
        <w:rPr>
          <w:b/>
        </w:rPr>
        <w:t>: Hypoglycaemia rates in</w:t>
      </w:r>
      <w:r w:rsidR="008078CE" w:rsidRPr="007F1A03">
        <w:rPr>
          <w:b/>
        </w:rPr>
        <w:t xml:space="preserve"> a 16 week trial with RYZODEG 70/30 versus insulin detemir in paediatric patients with type 1 diabetes mellitus</w:t>
      </w:r>
    </w:p>
    <w:tbl>
      <w:tblPr>
        <w:tblW w:w="496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63"/>
        <w:gridCol w:w="668"/>
        <w:gridCol w:w="658"/>
        <w:gridCol w:w="13"/>
        <w:gridCol w:w="668"/>
        <w:gridCol w:w="9"/>
        <w:gridCol w:w="670"/>
        <w:gridCol w:w="7"/>
        <w:gridCol w:w="663"/>
        <w:gridCol w:w="11"/>
        <w:gridCol w:w="659"/>
        <w:gridCol w:w="9"/>
        <w:gridCol w:w="661"/>
        <w:gridCol w:w="9"/>
        <w:gridCol w:w="661"/>
        <w:gridCol w:w="9"/>
        <w:gridCol w:w="661"/>
        <w:gridCol w:w="9"/>
        <w:gridCol w:w="652"/>
      </w:tblGrid>
      <w:tr w:rsidR="008078CE" w:rsidRPr="00FC598A" w14:paraId="147EC384" w14:textId="77777777" w:rsidTr="009F04FB">
        <w:trPr>
          <w:trHeight w:val="395"/>
        </w:trPr>
        <w:tc>
          <w:tcPr>
            <w:tcW w:w="1262" w:type="pct"/>
            <w:shd w:val="clear" w:color="auto" w:fill="auto"/>
          </w:tcPr>
          <w:p w14:paraId="4C0A2208" w14:textId="77777777" w:rsidR="008078CE" w:rsidRPr="00FC598A" w:rsidRDefault="008078CE" w:rsidP="008078CE">
            <w:pPr>
              <w:rPr>
                <w:sz w:val="20"/>
                <w:szCs w:val="20"/>
              </w:rPr>
            </w:pPr>
          </w:p>
        </w:tc>
        <w:tc>
          <w:tcPr>
            <w:tcW w:w="3738" w:type="pct"/>
            <w:gridSpan w:val="18"/>
            <w:shd w:val="clear" w:color="auto" w:fill="auto"/>
          </w:tcPr>
          <w:p w14:paraId="3BC876B5" w14:textId="77777777" w:rsidR="008078CE" w:rsidRPr="00FC598A" w:rsidRDefault="008078CE" w:rsidP="008078CE">
            <w:pPr>
              <w:rPr>
                <w:sz w:val="20"/>
                <w:szCs w:val="20"/>
              </w:rPr>
            </w:pPr>
            <w:r w:rsidRPr="00FC598A">
              <w:rPr>
                <w:b/>
                <w:sz w:val="20"/>
                <w:szCs w:val="20"/>
              </w:rPr>
              <w:t>Trial 3</w:t>
            </w:r>
            <w:r>
              <w:rPr>
                <w:b/>
                <w:sz w:val="20"/>
                <w:szCs w:val="20"/>
              </w:rPr>
              <w:t>816</w:t>
            </w:r>
          </w:p>
        </w:tc>
      </w:tr>
      <w:tr w:rsidR="009F04FB" w:rsidRPr="00FC598A" w14:paraId="733F02E6" w14:textId="77777777" w:rsidTr="009F04FB">
        <w:trPr>
          <w:trHeight w:val="395"/>
        </w:trPr>
        <w:tc>
          <w:tcPr>
            <w:tcW w:w="1262" w:type="pct"/>
            <w:shd w:val="clear" w:color="auto" w:fill="auto"/>
          </w:tcPr>
          <w:p w14:paraId="5E1F568C" w14:textId="77777777" w:rsidR="008078CE" w:rsidRPr="00FC598A" w:rsidRDefault="008078CE" w:rsidP="008078CE">
            <w:pPr>
              <w:rPr>
                <w:sz w:val="20"/>
                <w:szCs w:val="20"/>
              </w:rPr>
            </w:pPr>
          </w:p>
        </w:tc>
        <w:tc>
          <w:tcPr>
            <w:tcW w:w="1877" w:type="pct"/>
            <w:gridSpan w:val="9"/>
            <w:shd w:val="clear" w:color="auto" w:fill="auto"/>
          </w:tcPr>
          <w:p w14:paraId="73483084" w14:textId="77777777" w:rsidR="008078CE" w:rsidRPr="00FC598A" w:rsidRDefault="008078CE" w:rsidP="008078CE">
            <w:pPr>
              <w:rPr>
                <w:sz w:val="20"/>
                <w:szCs w:val="20"/>
              </w:rPr>
            </w:pPr>
            <w:r w:rsidRPr="00FC598A">
              <w:rPr>
                <w:sz w:val="20"/>
                <w:szCs w:val="20"/>
              </w:rPr>
              <w:t xml:space="preserve">RYZODEG 70/30 once daily + </w:t>
            </w:r>
            <w:proofErr w:type="spellStart"/>
            <w:r w:rsidRPr="00FC598A">
              <w:rPr>
                <w:sz w:val="20"/>
                <w:szCs w:val="20"/>
              </w:rPr>
              <w:t>IAsp</w:t>
            </w:r>
            <w:proofErr w:type="spellEnd"/>
          </w:p>
        </w:tc>
        <w:tc>
          <w:tcPr>
            <w:tcW w:w="1862" w:type="pct"/>
            <w:gridSpan w:val="9"/>
            <w:shd w:val="clear" w:color="auto" w:fill="auto"/>
          </w:tcPr>
          <w:p w14:paraId="337A3B3B" w14:textId="77777777" w:rsidR="008078CE" w:rsidRPr="00FC598A" w:rsidRDefault="008078CE" w:rsidP="008078CE">
            <w:pPr>
              <w:rPr>
                <w:sz w:val="20"/>
                <w:szCs w:val="20"/>
              </w:rPr>
            </w:pPr>
            <w:proofErr w:type="spellStart"/>
            <w:r w:rsidRPr="00FC598A">
              <w:rPr>
                <w:sz w:val="20"/>
                <w:szCs w:val="20"/>
              </w:rPr>
              <w:t>IDet</w:t>
            </w:r>
            <w:proofErr w:type="spellEnd"/>
            <w:r w:rsidRPr="00FC598A">
              <w:rPr>
                <w:sz w:val="20"/>
                <w:szCs w:val="20"/>
              </w:rPr>
              <w:t xml:space="preserve"> once daily/twice daily + </w:t>
            </w:r>
            <w:r w:rsidRPr="00FC598A">
              <w:rPr>
                <w:sz w:val="20"/>
                <w:szCs w:val="20"/>
              </w:rPr>
              <w:br/>
            </w:r>
            <w:proofErr w:type="spellStart"/>
            <w:r w:rsidRPr="00FC598A">
              <w:rPr>
                <w:sz w:val="20"/>
                <w:szCs w:val="20"/>
              </w:rPr>
              <w:t>IAsp</w:t>
            </w:r>
            <w:proofErr w:type="spellEnd"/>
          </w:p>
        </w:tc>
      </w:tr>
      <w:tr w:rsidR="009F04FB" w:rsidRPr="00FC598A" w14:paraId="590F8145" w14:textId="77777777" w:rsidTr="009F04FB">
        <w:tc>
          <w:tcPr>
            <w:tcW w:w="1262" w:type="pct"/>
            <w:shd w:val="clear" w:color="auto" w:fill="auto"/>
          </w:tcPr>
          <w:p w14:paraId="535F21CC" w14:textId="77777777" w:rsidR="00D31AD2" w:rsidRPr="00FC598A" w:rsidRDefault="00D31AD2" w:rsidP="008078CE">
            <w:pPr>
              <w:rPr>
                <w:sz w:val="20"/>
                <w:szCs w:val="20"/>
              </w:rPr>
            </w:pPr>
          </w:p>
        </w:tc>
        <w:tc>
          <w:tcPr>
            <w:tcW w:w="372" w:type="pct"/>
            <w:shd w:val="clear" w:color="auto" w:fill="auto"/>
          </w:tcPr>
          <w:p w14:paraId="17F79E16" w14:textId="40E1D5D6" w:rsidR="00D31AD2" w:rsidRPr="00FC598A" w:rsidRDefault="00D31AD2" w:rsidP="008078CE">
            <w:pPr>
              <w:jc w:val="center"/>
              <w:rPr>
                <w:sz w:val="20"/>
                <w:szCs w:val="20"/>
              </w:rPr>
            </w:pPr>
            <w:r>
              <w:rPr>
                <w:sz w:val="20"/>
                <w:szCs w:val="20"/>
              </w:rPr>
              <w:t>N</w:t>
            </w:r>
          </w:p>
        </w:tc>
        <w:tc>
          <w:tcPr>
            <w:tcW w:w="367" w:type="pct"/>
            <w:shd w:val="clear" w:color="auto" w:fill="auto"/>
          </w:tcPr>
          <w:p w14:paraId="03A06CD9" w14:textId="7BA89B51" w:rsidR="00D31AD2" w:rsidRPr="00FC598A" w:rsidRDefault="00D31AD2" w:rsidP="008078CE">
            <w:pPr>
              <w:jc w:val="center"/>
              <w:rPr>
                <w:sz w:val="20"/>
                <w:szCs w:val="20"/>
              </w:rPr>
            </w:pPr>
            <w:r>
              <w:rPr>
                <w:sz w:val="20"/>
                <w:szCs w:val="20"/>
              </w:rPr>
              <w:t>n</w:t>
            </w:r>
          </w:p>
        </w:tc>
        <w:tc>
          <w:tcPr>
            <w:tcW w:w="379" w:type="pct"/>
            <w:gridSpan w:val="2"/>
            <w:shd w:val="clear" w:color="auto" w:fill="auto"/>
          </w:tcPr>
          <w:p w14:paraId="6EB439EC" w14:textId="77777777" w:rsidR="00D31AD2" w:rsidRPr="00FC598A" w:rsidRDefault="00D31AD2" w:rsidP="008078CE">
            <w:pPr>
              <w:jc w:val="center"/>
              <w:rPr>
                <w:sz w:val="20"/>
                <w:szCs w:val="20"/>
              </w:rPr>
            </w:pPr>
            <w:r>
              <w:rPr>
                <w:sz w:val="20"/>
                <w:szCs w:val="20"/>
              </w:rPr>
              <w:t>%</w:t>
            </w:r>
          </w:p>
        </w:tc>
        <w:tc>
          <w:tcPr>
            <w:tcW w:w="378" w:type="pct"/>
            <w:gridSpan w:val="2"/>
            <w:shd w:val="clear" w:color="auto" w:fill="auto"/>
          </w:tcPr>
          <w:p w14:paraId="131F114B" w14:textId="29E715C8" w:rsidR="00D31AD2" w:rsidRPr="00FC598A" w:rsidRDefault="00D31AD2" w:rsidP="008078CE">
            <w:pPr>
              <w:jc w:val="center"/>
              <w:rPr>
                <w:sz w:val="20"/>
                <w:szCs w:val="20"/>
              </w:rPr>
            </w:pPr>
            <w:r>
              <w:rPr>
                <w:sz w:val="20"/>
                <w:szCs w:val="20"/>
              </w:rPr>
              <w:t>E</w:t>
            </w:r>
          </w:p>
        </w:tc>
        <w:tc>
          <w:tcPr>
            <w:tcW w:w="380" w:type="pct"/>
            <w:gridSpan w:val="3"/>
            <w:shd w:val="clear" w:color="auto" w:fill="auto"/>
          </w:tcPr>
          <w:p w14:paraId="3C7C7D3A" w14:textId="04CB22B9" w:rsidR="00D31AD2" w:rsidRPr="00FC598A" w:rsidRDefault="00D31AD2" w:rsidP="008078CE">
            <w:pPr>
              <w:jc w:val="center"/>
              <w:rPr>
                <w:sz w:val="20"/>
                <w:szCs w:val="20"/>
              </w:rPr>
            </w:pPr>
            <w:r>
              <w:rPr>
                <w:sz w:val="20"/>
                <w:szCs w:val="20"/>
              </w:rPr>
              <w:t>R</w:t>
            </w:r>
          </w:p>
        </w:tc>
        <w:tc>
          <w:tcPr>
            <w:tcW w:w="373" w:type="pct"/>
            <w:gridSpan w:val="2"/>
            <w:shd w:val="clear" w:color="auto" w:fill="auto"/>
          </w:tcPr>
          <w:p w14:paraId="2D885261" w14:textId="56B3692A" w:rsidR="00D31AD2" w:rsidRPr="00FC598A" w:rsidRDefault="00D31AD2" w:rsidP="008078CE">
            <w:pPr>
              <w:jc w:val="center"/>
              <w:rPr>
                <w:sz w:val="20"/>
                <w:szCs w:val="20"/>
              </w:rPr>
            </w:pPr>
            <w:r>
              <w:rPr>
                <w:sz w:val="20"/>
                <w:szCs w:val="20"/>
              </w:rPr>
              <w:t>N</w:t>
            </w:r>
          </w:p>
        </w:tc>
        <w:tc>
          <w:tcPr>
            <w:tcW w:w="374" w:type="pct"/>
            <w:gridSpan w:val="2"/>
            <w:shd w:val="clear" w:color="auto" w:fill="auto"/>
          </w:tcPr>
          <w:p w14:paraId="0EDCDCFC" w14:textId="387E0C87" w:rsidR="00D31AD2" w:rsidRPr="00FC598A" w:rsidRDefault="00D31AD2" w:rsidP="008078CE">
            <w:pPr>
              <w:jc w:val="center"/>
              <w:rPr>
                <w:sz w:val="20"/>
                <w:szCs w:val="20"/>
              </w:rPr>
            </w:pPr>
            <w:r>
              <w:rPr>
                <w:sz w:val="20"/>
                <w:szCs w:val="20"/>
              </w:rPr>
              <w:t>n</w:t>
            </w:r>
          </w:p>
        </w:tc>
        <w:tc>
          <w:tcPr>
            <w:tcW w:w="374" w:type="pct"/>
            <w:gridSpan w:val="2"/>
            <w:shd w:val="clear" w:color="auto" w:fill="auto"/>
          </w:tcPr>
          <w:p w14:paraId="24AF55DB" w14:textId="77777777" w:rsidR="00D31AD2" w:rsidRPr="00FC598A" w:rsidRDefault="00D31AD2" w:rsidP="008078CE">
            <w:pPr>
              <w:jc w:val="center"/>
              <w:rPr>
                <w:sz w:val="20"/>
                <w:szCs w:val="20"/>
              </w:rPr>
            </w:pPr>
            <w:r>
              <w:rPr>
                <w:sz w:val="20"/>
                <w:szCs w:val="20"/>
              </w:rPr>
              <w:t>%</w:t>
            </w:r>
          </w:p>
        </w:tc>
        <w:tc>
          <w:tcPr>
            <w:tcW w:w="374" w:type="pct"/>
            <w:gridSpan w:val="2"/>
            <w:shd w:val="clear" w:color="auto" w:fill="auto"/>
          </w:tcPr>
          <w:p w14:paraId="757D66A1" w14:textId="66D737E8" w:rsidR="00D31AD2" w:rsidRPr="00FC598A" w:rsidRDefault="00D31AD2" w:rsidP="008078CE">
            <w:pPr>
              <w:jc w:val="center"/>
              <w:rPr>
                <w:sz w:val="20"/>
                <w:szCs w:val="20"/>
              </w:rPr>
            </w:pPr>
            <w:r>
              <w:rPr>
                <w:sz w:val="20"/>
                <w:szCs w:val="20"/>
              </w:rPr>
              <w:t>E</w:t>
            </w:r>
          </w:p>
        </w:tc>
        <w:tc>
          <w:tcPr>
            <w:tcW w:w="366" w:type="pct"/>
            <w:shd w:val="clear" w:color="auto" w:fill="auto"/>
          </w:tcPr>
          <w:p w14:paraId="4A166AE4" w14:textId="69889E37" w:rsidR="00D31AD2" w:rsidRPr="00FC598A" w:rsidRDefault="00D31AD2" w:rsidP="008078CE">
            <w:pPr>
              <w:jc w:val="center"/>
              <w:rPr>
                <w:sz w:val="20"/>
                <w:szCs w:val="20"/>
              </w:rPr>
            </w:pPr>
            <w:r>
              <w:rPr>
                <w:sz w:val="20"/>
                <w:szCs w:val="20"/>
              </w:rPr>
              <w:t>R</w:t>
            </w:r>
          </w:p>
        </w:tc>
      </w:tr>
      <w:tr w:rsidR="006F314F" w:rsidRPr="00FC598A" w14:paraId="13CA8F83" w14:textId="77777777" w:rsidTr="006F314F">
        <w:tc>
          <w:tcPr>
            <w:tcW w:w="5000" w:type="pct"/>
            <w:gridSpan w:val="19"/>
            <w:shd w:val="clear" w:color="auto" w:fill="auto"/>
          </w:tcPr>
          <w:p w14:paraId="4ACC1EE8" w14:textId="524157DB" w:rsidR="006F314F" w:rsidRPr="006F314F" w:rsidRDefault="006F314F" w:rsidP="006F314F">
            <w:pPr>
              <w:rPr>
                <w:b/>
                <w:bCs/>
                <w:sz w:val="20"/>
                <w:szCs w:val="20"/>
              </w:rPr>
            </w:pPr>
            <w:r>
              <w:rPr>
                <w:b/>
                <w:bCs/>
                <w:sz w:val="20"/>
                <w:szCs w:val="20"/>
              </w:rPr>
              <w:t>Confirmed Hypoglycaemia</w:t>
            </w:r>
          </w:p>
        </w:tc>
      </w:tr>
      <w:tr w:rsidR="009F04FB" w:rsidRPr="00FC598A" w14:paraId="1668910F" w14:textId="77777777" w:rsidTr="009F04FB">
        <w:tc>
          <w:tcPr>
            <w:tcW w:w="1262" w:type="pct"/>
            <w:shd w:val="clear" w:color="auto" w:fill="auto"/>
          </w:tcPr>
          <w:p w14:paraId="126036C1" w14:textId="65F2B734" w:rsidR="00D31AD2" w:rsidRDefault="00D31AD2" w:rsidP="006F314F">
            <w:pPr>
              <w:rPr>
                <w:sz w:val="20"/>
                <w:szCs w:val="20"/>
              </w:rPr>
            </w:pPr>
            <w:r>
              <w:rPr>
                <w:sz w:val="20"/>
                <w:szCs w:val="20"/>
              </w:rPr>
              <w:t xml:space="preserve">1 – 5 years </w:t>
            </w:r>
          </w:p>
        </w:tc>
        <w:tc>
          <w:tcPr>
            <w:tcW w:w="372" w:type="pct"/>
            <w:shd w:val="clear" w:color="auto" w:fill="auto"/>
          </w:tcPr>
          <w:p w14:paraId="3AF1005A" w14:textId="397016E7" w:rsidR="00D31AD2" w:rsidRPr="00FC598A" w:rsidRDefault="00D31AD2" w:rsidP="006F314F">
            <w:pPr>
              <w:jc w:val="center"/>
              <w:rPr>
                <w:sz w:val="20"/>
                <w:szCs w:val="20"/>
              </w:rPr>
            </w:pPr>
            <w:r>
              <w:rPr>
                <w:sz w:val="20"/>
                <w:szCs w:val="20"/>
              </w:rPr>
              <w:t>40</w:t>
            </w:r>
          </w:p>
        </w:tc>
        <w:tc>
          <w:tcPr>
            <w:tcW w:w="373" w:type="pct"/>
            <w:gridSpan w:val="2"/>
            <w:shd w:val="clear" w:color="auto" w:fill="auto"/>
          </w:tcPr>
          <w:p w14:paraId="10214144" w14:textId="323F27FF" w:rsidR="00D31AD2" w:rsidRPr="00FC598A" w:rsidRDefault="00D31AD2" w:rsidP="006F314F">
            <w:pPr>
              <w:jc w:val="center"/>
              <w:rPr>
                <w:sz w:val="20"/>
                <w:szCs w:val="20"/>
              </w:rPr>
            </w:pPr>
            <w:r>
              <w:rPr>
                <w:sz w:val="20"/>
                <w:szCs w:val="20"/>
              </w:rPr>
              <w:t xml:space="preserve">39 </w:t>
            </w:r>
          </w:p>
        </w:tc>
        <w:tc>
          <w:tcPr>
            <w:tcW w:w="378" w:type="pct"/>
            <w:gridSpan w:val="2"/>
            <w:shd w:val="clear" w:color="auto" w:fill="auto"/>
          </w:tcPr>
          <w:p w14:paraId="5EB32BD5" w14:textId="77777777" w:rsidR="00D31AD2" w:rsidRPr="00FC598A" w:rsidRDefault="00D31AD2" w:rsidP="006F314F">
            <w:pPr>
              <w:jc w:val="center"/>
              <w:rPr>
                <w:sz w:val="20"/>
                <w:szCs w:val="20"/>
              </w:rPr>
            </w:pPr>
            <w:r>
              <w:rPr>
                <w:sz w:val="20"/>
                <w:szCs w:val="20"/>
              </w:rPr>
              <w:t>97.5</w:t>
            </w:r>
          </w:p>
        </w:tc>
        <w:tc>
          <w:tcPr>
            <w:tcW w:w="378" w:type="pct"/>
            <w:gridSpan w:val="2"/>
            <w:shd w:val="clear" w:color="auto" w:fill="auto"/>
          </w:tcPr>
          <w:p w14:paraId="1AA56B1D" w14:textId="0E2411E4" w:rsidR="00D31AD2" w:rsidRPr="00FC598A" w:rsidRDefault="00D31AD2" w:rsidP="006F314F">
            <w:pPr>
              <w:jc w:val="center"/>
              <w:rPr>
                <w:sz w:val="20"/>
                <w:szCs w:val="20"/>
              </w:rPr>
            </w:pPr>
            <w:r>
              <w:rPr>
                <w:sz w:val="20"/>
                <w:szCs w:val="20"/>
              </w:rPr>
              <w:t>520</w:t>
            </w:r>
          </w:p>
        </w:tc>
        <w:tc>
          <w:tcPr>
            <w:tcW w:w="375" w:type="pct"/>
            <w:gridSpan w:val="2"/>
            <w:shd w:val="clear" w:color="auto" w:fill="auto"/>
          </w:tcPr>
          <w:p w14:paraId="66D17530" w14:textId="35005DB6" w:rsidR="00D31AD2" w:rsidRPr="00FC598A" w:rsidRDefault="00D31AD2" w:rsidP="006F314F">
            <w:pPr>
              <w:jc w:val="center"/>
              <w:rPr>
                <w:sz w:val="20"/>
                <w:szCs w:val="20"/>
              </w:rPr>
            </w:pPr>
            <w:r>
              <w:rPr>
                <w:sz w:val="20"/>
                <w:szCs w:val="20"/>
              </w:rPr>
              <w:t>4335</w:t>
            </w:r>
          </w:p>
        </w:tc>
        <w:tc>
          <w:tcPr>
            <w:tcW w:w="373" w:type="pct"/>
            <w:gridSpan w:val="2"/>
            <w:shd w:val="clear" w:color="auto" w:fill="auto"/>
          </w:tcPr>
          <w:p w14:paraId="395AEF53" w14:textId="16F864D7" w:rsidR="00D31AD2" w:rsidRPr="00FC598A" w:rsidRDefault="00D31AD2" w:rsidP="0012648A">
            <w:pPr>
              <w:jc w:val="center"/>
              <w:rPr>
                <w:sz w:val="20"/>
                <w:szCs w:val="20"/>
              </w:rPr>
            </w:pPr>
            <w:r>
              <w:rPr>
                <w:sz w:val="20"/>
                <w:szCs w:val="20"/>
              </w:rPr>
              <w:t>41</w:t>
            </w:r>
          </w:p>
        </w:tc>
        <w:tc>
          <w:tcPr>
            <w:tcW w:w="374" w:type="pct"/>
            <w:gridSpan w:val="2"/>
            <w:shd w:val="clear" w:color="auto" w:fill="auto"/>
          </w:tcPr>
          <w:p w14:paraId="0C89A814" w14:textId="7D542B13" w:rsidR="00D31AD2" w:rsidRPr="00FC598A" w:rsidRDefault="00D31AD2" w:rsidP="006F314F">
            <w:pPr>
              <w:jc w:val="center"/>
              <w:rPr>
                <w:sz w:val="20"/>
                <w:szCs w:val="20"/>
              </w:rPr>
            </w:pPr>
            <w:r>
              <w:rPr>
                <w:sz w:val="20"/>
                <w:szCs w:val="20"/>
              </w:rPr>
              <w:t xml:space="preserve">37 </w:t>
            </w:r>
          </w:p>
        </w:tc>
        <w:tc>
          <w:tcPr>
            <w:tcW w:w="374" w:type="pct"/>
            <w:gridSpan w:val="2"/>
            <w:shd w:val="clear" w:color="auto" w:fill="auto"/>
          </w:tcPr>
          <w:p w14:paraId="693136C6" w14:textId="77777777" w:rsidR="00D31AD2" w:rsidRPr="00FC598A" w:rsidRDefault="00D31AD2" w:rsidP="006F314F">
            <w:pPr>
              <w:jc w:val="center"/>
              <w:rPr>
                <w:sz w:val="20"/>
                <w:szCs w:val="20"/>
              </w:rPr>
            </w:pPr>
            <w:r>
              <w:rPr>
                <w:sz w:val="20"/>
                <w:szCs w:val="20"/>
              </w:rPr>
              <w:t>90.2</w:t>
            </w:r>
          </w:p>
        </w:tc>
        <w:tc>
          <w:tcPr>
            <w:tcW w:w="374" w:type="pct"/>
            <w:gridSpan w:val="2"/>
            <w:shd w:val="clear" w:color="auto" w:fill="auto"/>
          </w:tcPr>
          <w:p w14:paraId="200F3CB9" w14:textId="3F7BFD52" w:rsidR="00D31AD2" w:rsidRPr="00FC598A" w:rsidRDefault="00D31AD2" w:rsidP="006F314F">
            <w:pPr>
              <w:jc w:val="center"/>
              <w:rPr>
                <w:sz w:val="20"/>
                <w:szCs w:val="20"/>
              </w:rPr>
            </w:pPr>
            <w:r>
              <w:rPr>
                <w:sz w:val="20"/>
                <w:szCs w:val="20"/>
              </w:rPr>
              <w:t>559</w:t>
            </w:r>
          </w:p>
        </w:tc>
        <w:tc>
          <w:tcPr>
            <w:tcW w:w="366" w:type="pct"/>
            <w:shd w:val="clear" w:color="auto" w:fill="auto"/>
          </w:tcPr>
          <w:p w14:paraId="1801C17D" w14:textId="4BF1FAB0" w:rsidR="00D31AD2" w:rsidRPr="00FC598A" w:rsidRDefault="00D31AD2" w:rsidP="006F314F">
            <w:pPr>
              <w:jc w:val="center"/>
              <w:rPr>
                <w:sz w:val="20"/>
                <w:szCs w:val="20"/>
              </w:rPr>
            </w:pPr>
            <w:r>
              <w:rPr>
                <w:sz w:val="20"/>
                <w:szCs w:val="20"/>
              </w:rPr>
              <w:t>4564</w:t>
            </w:r>
          </w:p>
        </w:tc>
      </w:tr>
      <w:tr w:rsidR="009F04FB" w:rsidRPr="00FC598A" w14:paraId="0C1C8E1E" w14:textId="77777777" w:rsidTr="009F04FB">
        <w:tc>
          <w:tcPr>
            <w:tcW w:w="1262" w:type="pct"/>
            <w:shd w:val="clear" w:color="auto" w:fill="auto"/>
          </w:tcPr>
          <w:p w14:paraId="4246B57F" w14:textId="2B6B3948" w:rsidR="00D31AD2" w:rsidRDefault="00D31AD2" w:rsidP="006F314F">
            <w:pPr>
              <w:rPr>
                <w:sz w:val="20"/>
                <w:szCs w:val="20"/>
              </w:rPr>
            </w:pPr>
            <w:r>
              <w:rPr>
                <w:sz w:val="20"/>
                <w:szCs w:val="20"/>
              </w:rPr>
              <w:t>6 – 11 years</w:t>
            </w:r>
          </w:p>
        </w:tc>
        <w:tc>
          <w:tcPr>
            <w:tcW w:w="372" w:type="pct"/>
            <w:shd w:val="clear" w:color="auto" w:fill="auto"/>
          </w:tcPr>
          <w:p w14:paraId="7918E8B5" w14:textId="4DC238BF" w:rsidR="00D31AD2" w:rsidRPr="00FC598A" w:rsidRDefault="00D31AD2" w:rsidP="006F314F">
            <w:pPr>
              <w:jc w:val="center"/>
              <w:rPr>
                <w:sz w:val="20"/>
                <w:szCs w:val="20"/>
              </w:rPr>
            </w:pPr>
            <w:r>
              <w:rPr>
                <w:sz w:val="20"/>
                <w:szCs w:val="20"/>
              </w:rPr>
              <w:t xml:space="preserve"> 61</w:t>
            </w:r>
          </w:p>
        </w:tc>
        <w:tc>
          <w:tcPr>
            <w:tcW w:w="373" w:type="pct"/>
            <w:gridSpan w:val="2"/>
            <w:shd w:val="clear" w:color="auto" w:fill="auto"/>
          </w:tcPr>
          <w:p w14:paraId="2DADAD04" w14:textId="31A6038E" w:rsidR="00D31AD2" w:rsidRPr="00FC598A" w:rsidRDefault="00D31AD2" w:rsidP="006F314F">
            <w:pPr>
              <w:jc w:val="center"/>
              <w:rPr>
                <w:sz w:val="20"/>
                <w:szCs w:val="20"/>
              </w:rPr>
            </w:pPr>
            <w:r>
              <w:rPr>
                <w:sz w:val="20"/>
                <w:szCs w:val="20"/>
              </w:rPr>
              <w:t>56</w:t>
            </w:r>
          </w:p>
        </w:tc>
        <w:tc>
          <w:tcPr>
            <w:tcW w:w="378" w:type="pct"/>
            <w:gridSpan w:val="2"/>
            <w:shd w:val="clear" w:color="auto" w:fill="auto"/>
          </w:tcPr>
          <w:p w14:paraId="13F73FCC" w14:textId="77777777" w:rsidR="00D31AD2" w:rsidRPr="00FC598A" w:rsidRDefault="00D31AD2" w:rsidP="006F314F">
            <w:pPr>
              <w:jc w:val="center"/>
              <w:rPr>
                <w:sz w:val="20"/>
                <w:szCs w:val="20"/>
              </w:rPr>
            </w:pPr>
            <w:r>
              <w:rPr>
                <w:sz w:val="20"/>
                <w:szCs w:val="20"/>
              </w:rPr>
              <w:t>91.8</w:t>
            </w:r>
          </w:p>
        </w:tc>
        <w:tc>
          <w:tcPr>
            <w:tcW w:w="378" w:type="pct"/>
            <w:gridSpan w:val="2"/>
            <w:shd w:val="clear" w:color="auto" w:fill="auto"/>
          </w:tcPr>
          <w:p w14:paraId="0F573CD2" w14:textId="63C5AEBA" w:rsidR="00D31AD2" w:rsidRPr="00FC598A" w:rsidRDefault="00D31AD2" w:rsidP="006F314F">
            <w:pPr>
              <w:jc w:val="center"/>
              <w:rPr>
                <w:sz w:val="20"/>
                <w:szCs w:val="20"/>
              </w:rPr>
            </w:pPr>
            <w:r>
              <w:rPr>
                <w:sz w:val="20"/>
                <w:szCs w:val="20"/>
              </w:rPr>
              <w:t>960</w:t>
            </w:r>
          </w:p>
        </w:tc>
        <w:tc>
          <w:tcPr>
            <w:tcW w:w="375" w:type="pct"/>
            <w:gridSpan w:val="2"/>
            <w:shd w:val="clear" w:color="auto" w:fill="auto"/>
          </w:tcPr>
          <w:p w14:paraId="7AD35129" w14:textId="0690B594" w:rsidR="00D31AD2" w:rsidRPr="00FC598A" w:rsidRDefault="00D31AD2" w:rsidP="006F314F">
            <w:pPr>
              <w:jc w:val="center"/>
              <w:rPr>
                <w:sz w:val="20"/>
                <w:szCs w:val="20"/>
              </w:rPr>
            </w:pPr>
            <w:r>
              <w:rPr>
                <w:sz w:val="20"/>
                <w:szCs w:val="20"/>
              </w:rPr>
              <w:t>5140</w:t>
            </w:r>
          </w:p>
        </w:tc>
        <w:tc>
          <w:tcPr>
            <w:tcW w:w="373" w:type="pct"/>
            <w:gridSpan w:val="2"/>
            <w:shd w:val="clear" w:color="auto" w:fill="auto"/>
          </w:tcPr>
          <w:p w14:paraId="50F4EC29" w14:textId="2F4EAD98" w:rsidR="00D31AD2" w:rsidRPr="00FC598A" w:rsidRDefault="00D31AD2" w:rsidP="006F314F">
            <w:pPr>
              <w:jc w:val="center"/>
              <w:rPr>
                <w:sz w:val="20"/>
                <w:szCs w:val="20"/>
              </w:rPr>
            </w:pPr>
            <w:r>
              <w:rPr>
                <w:sz w:val="20"/>
                <w:szCs w:val="20"/>
              </w:rPr>
              <w:t>61</w:t>
            </w:r>
          </w:p>
        </w:tc>
        <w:tc>
          <w:tcPr>
            <w:tcW w:w="374" w:type="pct"/>
            <w:gridSpan w:val="2"/>
            <w:shd w:val="clear" w:color="auto" w:fill="auto"/>
          </w:tcPr>
          <w:p w14:paraId="17DD8284" w14:textId="040547A5" w:rsidR="00D31AD2" w:rsidRPr="00FC598A" w:rsidRDefault="00D31AD2" w:rsidP="006F314F">
            <w:pPr>
              <w:jc w:val="center"/>
              <w:rPr>
                <w:sz w:val="20"/>
                <w:szCs w:val="20"/>
              </w:rPr>
            </w:pPr>
            <w:r>
              <w:rPr>
                <w:sz w:val="20"/>
                <w:szCs w:val="20"/>
              </w:rPr>
              <w:t xml:space="preserve">58 </w:t>
            </w:r>
          </w:p>
        </w:tc>
        <w:tc>
          <w:tcPr>
            <w:tcW w:w="374" w:type="pct"/>
            <w:gridSpan w:val="2"/>
            <w:shd w:val="clear" w:color="auto" w:fill="auto"/>
          </w:tcPr>
          <w:p w14:paraId="45B489EB" w14:textId="77777777" w:rsidR="00D31AD2" w:rsidRPr="00FC598A" w:rsidRDefault="00D31AD2" w:rsidP="006F314F">
            <w:pPr>
              <w:jc w:val="center"/>
              <w:rPr>
                <w:sz w:val="20"/>
                <w:szCs w:val="20"/>
              </w:rPr>
            </w:pPr>
            <w:r>
              <w:rPr>
                <w:sz w:val="20"/>
                <w:szCs w:val="20"/>
              </w:rPr>
              <w:t>95.1</w:t>
            </w:r>
          </w:p>
        </w:tc>
        <w:tc>
          <w:tcPr>
            <w:tcW w:w="374" w:type="pct"/>
            <w:gridSpan w:val="2"/>
            <w:shd w:val="clear" w:color="auto" w:fill="auto"/>
          </w:tcPr>
          <w:p w14:paraId="3A1BD6F6" w14:textId="3100F777" w:rsidR="00D31AD2" w:rsidRPr="00FC598A" w:rsidRDefault="00D31AD2" w:rsidP="006F314F">
            <w:pPr>
              <w:jc w:val="center"/>
              <w:rPr>
                <w:sz w:val="20"/>
                <w:szCs w:val="20"/>
              </w:rPr>
            </w:pPr>
            <w:r>
              <w:rPr>
                <w:sz w:val="20"/>
                <w:szCs w:val="20"/>
              </w:rPr>
              <w:t>1065</w:t>
            </w:r>
          </w:p>
        </w:tc>
        <w:tc>
          <w:tcPr>
            <w:tcW w:w="366" w:type="pct"/>
            <w:shd w:val="clear" w:color="auto" w:fill="auto"/>
          </w:tcPr>
          <w:p w14:paraId="27E4B5BB" w14:textId="2DCF5D46" w:rsidR="00D31AD2" w:rsidRPr="00FC598A" w:rsidRDefault="00D31AD2" w:rsidP="006F314F">
            <w:pPr>
              <w:jc w:val="center"/>
              <w:rPr>
                <w:sz w:val="20"/>
                <w:szCs w:val="20"/>
              </w:rPr>
            </w:pPr>
            <w:r>
              <w:rPr>
                <w:sz w:val="20"/>
                <w:szCs w:val="20"/>
              </w:rPr>
              <w:t>5809</w:t>
            </w:r>
          </w:p>
        </w:tc>
      </w:tr>
      <w:tr w:rsidR="009F04FB" w:rsidRPr="00FC598A" w14:paraId="6FAA09F7" w14:textId="77777777" w:rsidTr="009F04FB">
        <w:tc>
          <w:tcPr>
            <w:tcW w:w="1262" w:type="pct"/>
            <w:shd w:val="clear" w:color="auto" w:fill="auto"/>
          </w:tcPr>
          <w:p w14:paraId="34EEB51F" w14:textId="4B814E81" w:rsidR="00D31AD2" w:rsidRDefault="00D31AD2" w:rsidP="006F314F">
            <w:pPr>
              <w:rPr>
                <w:sz w:val="20"/>
                <w:szCs w:val="20"/>
              </w:rPr>
            </w:pPr>
            <w:r>
              <w:rPr>
                <w:sz w:val="20"/>
                <w:szCs w:val="20"/>
              </w:rPr>
              <w:t>12 – 17 years</w:t>
            </w:r>
          </w:p>
        </w:tc>
        <w:tc>
          <w:tcPr>
            <w:tcW w:w="372" w:type="pct"/>
            <w:shd w:val="clear" w:color="auto" w:fill="auto"/>
          </w:tcPr>
          <w:p w14:paraId="5B703F5D" w14:textId="20AF6CDB" w:rsidR="00D31AD2" w:rsidRPr="00FC598A" w:rsidRDefault="00D31AD2" w:rsidP="006F314F">
            <w:pPr>
              <w:jc w:val="center"/>
              <w:rPr>
                <w:sz w:val="20"/>
                <w:szCs w:val="20"/>
              </w:rPr>
            </w:pPr>
            <w:r>
              <w:rPr>
                <w:sz w:val="20"/>
                <w:szCs w:val="20"/>
              </w:rPr>
              <w:t>80</w:t>
            </w:r>
          </w:p>
        </w:tc>
        <w:tc>
          <w:tcPr>
            <w:tcW w:w="373" w:type="pct"/>
            <w:gridSpan w:val="2"/>
            <w:shd w:val="clear" w:color="auto" w:fill="auto"/>
          </w:tcPr>
          <w:p w14:paraId="44A745CC" w14:textId="66D07CFA" w:rsidR="00D31AD2" w:rsidRPr="00FC598A" w:rsidRDefault="00D31AD2" w:rsidP="006F314F">
            <w:pPr>
              <w:jc w:val="center"/>
              <w:rPr>
                <w:sz w:val="20"/>
                <w:szCs w:val="20"/>
              </w:rPr>
            </w:pPr>
            <w:r>
              <w:rPr>
                <w:sz w:val="20"/>
                <w:szCs w:val="20"/>
              </w:rPr>
              <w:t xml:space="preserve">73 </w:t>
            </w:r>
          </w:p>
        </w:tc>
        <w:tc>
          <w:tcPr>
            <w:tcW w:w="378" w:type="pct"/>
            <w:gridSpan w:val="2"/>
            <w:shd w:val="clear" w:color="auto" w:fill="auto"/>
          </w:tcPr>
          <w:p w14:paraId="6A208898" w14:textId="77777777" w:rsidR="00D31AD2" w:rsidRPr="00FC598A" w:rsidRDefault="00D31AD2" w:rsidP="006F314F">
            <w:pPr>
              <w:jc w:val="center"/>
              <w:rPr>
                <w:sz w:val="20"/>
                <w:szCs w:val="20"/>
              </w:rPr>
            </w:pPr>
            <w:r>
              <w:rPr>
                <w:sz w:val="20"/>
                <w:szCs w:val="20"/>
              </w:rPr>
              <w:t>91.3</w:t>
            </w:r>
          </w:p>
        </w:tc>
        <w:tc>
          <w:tcPr>
            <w:tcW w:w="378" w:type="pct"/>
            <w:gridSpan w:val="2"/>
            <w:shd w:val="clear" w:color="auto" w:fill="auto"/>
          </w:tcPr>
          <w:p w14:paraId="7D252CF2" w14:textId="78FC5B3A" w:rsidR="00D31AD2" w:rsidRPr="00FC598A" w:rsidRDefault="00D31AD2" w:rsidP="006F314F">
            <w:pPr>
              <w:jc w:val="center"/>
              <w:rPr>
                <w:sz w:val="20"/>
                <w:szCs w:val="20"/>
              </w:rPr>
            </w:pPr>
            <w:r>
              <w:rPr>
                <w:sz w:val="20"/>
                <w:szCs w:val="20"/>
              </w:rPr>
              <w:t>1052</w:t>
            </w:r>
          </w:p>
        </w:tc>
        <w:tc>
          <w:tcPr>
            <w:tcW w:w="375" w:type="pct"/>
            <w:gridSpan w:val="2"/>
            <w:shd w:val="clear" w:color="auto" w:fill="auto"/>
          </w:tcPr>
          <w:p w14:paraId="602D6D49" w14:textId="682A105E" w:rsidR="00D31AD2" w:rsidRPr="00FC598A" w:rsidRDefault="00D31AD2" w:rsidP="006F314F">
            <w:pPr>
              <w:jc w:val="center"/>
              <w:rPr>
                <w:sz w:val="20"/>
                <w:szCs w:val="20"/>
              </w:rPr>
            </w:pPr>
            <w:r>
              <w:rPr>
                <w:sz w:val="20"/>
                <w:szCs w:val="20"/>
              </w:rPr>
              <w:t>4366</w:t>
            </w:r>
          </w:p>
        </w:tc>
        <w:tc>
          <w:tcPr>
            <w:tcW w:w="373" w:type="pct"/>
            <w:gridSpan w:val="2"/>
            <w:shd w:val="clear" w:color="auto" w:fill="auto"/>
          </w:tcPr>
          <w:p w14:paraId="34C6BF67" w14:textId="7AA1C6AD" w:rsidR="00D31AD2" w:rsidRPr="00FC598A" w:rsidRDefault="00D31AD2" w:rsidP="006F314F">
            <w:pPr>
              <w:jc w:val="center"/>
              <w:rPr>
                <w:sz w:val="20"/>
                <w:szCs w:val="20"/>
              </w:rPr>
            </w:pPr>
            <w:r>
              <w:rPr>
                <w:sz w:val="20"/>
                <w:szCs w:val="20"/>
              </w:rPr>
              <w:t>77</w:t>
            </w:r>
          </w:p>
        </w:tc>
        <w:tc>
          <w:tcPr>
            <w:tcW w:w="374" w:type="pct"/>
            <w:gridSpan w:val="2"/>
            <w:shd w:val="clear" w:color="auto" w:fill="auto"/>
          </w:tcPr>
          <w:p w14:paraId="49C682FA" w14:textId="458873C8" w:rsidR="00D31AD2" w:rsidRPr="00FC598A" w:rsidRDefault="00D31AD2" w:rsidP="006F314F">
            <w:pPr>
              <w:jc w:val="center"/>
              <w:rPr>
                <w:sz w:val="20"/>
                <w:szCs w:val="20"/>
              </w:rPr>
            </w:pPr>
            <w:r>
              <w:rPr>
                <w:sz w:val="20"/>
                <w:szCs w:val="20"/>
              </w:rPr>
              <w:t xml:space="preserve">69 </w:t>
            </w:r>
          </w:p>
        </w:tc>
        <w:tc>
          <w:tcPr>
            <w:tcW w:w="374" w:type="pct"/>
            <w:gridSpan w:val="2"/>
            <w:shd w:val="clear" w:color="auto" w:fill="auto"/>
          </w:tcPr>
          <w:p w14:paraId="17773503" w14:textId="77777777" w:rsidR="00D31AD2" w:rsidRPr="00FC598A" w:rsidRDefault="00D31AD2" w:rsidP="006F314F">
            <w:pPr>
              <w:jc w:val="center"/>
              <w:rPr>
                <w:sz w:val="20"/>
                <w:szCs w:val="20"/>
              </w:rPr>
            </w:pPr>
            <w:r>
              <w:rPr>
                <w:sz w:val="20"/>
                <w:szCs w:val="20"/>
              </w:rPr>
              <w:t>89.6</w:t>
            </w:r>
          </w:p>
        </w:tc>
        <w:tc>
          <w:tcPr>
            <w:tcW w:w="374" w:type="pct"/>
            <w:gridSpan w:val="2"/>
            <w:shd w:val="clear" w:color="auto" w:fill="auto"/>
          </w:tcPr>
          <w:p w14:paraId="533974D4" w14:textId="2EAB0D01" w:rsidR="00D31AD2" w:rsidRPr="00FC598A" w:rsidRDefault="00D31AD2" w:rsidP="006F314F">
            <w:pPr>
              <w:jc w:val="center"/>
              <w:rPr>
                <w:sz w:val="20"/>
                <w:szCs w:val="20"/>
              </w:rPr>
            </w:pPr>
            <w:r>
              <w:rPr>
                <w:sz w:val="20"/>
                <w:szCs w:val="20"/>
              </w:rPr>
              <w:t>1048</w:t>
            </w:r>
          </w:p>
        </w:tc>
        <w:tc>
          <w:tcPr>
            <w:tcW w:w="366" w:type="pct"/>
            <w:shd w:val="clear" w:color="auto" w:fill="auto"/>
          </w:tcPr>
          <w:p w14:paraId="5F9B9B84" w14:textId="516C1C3C" w:rsidR="00D31AD2" w:rsidRPr="00FC598A" w:rsidRDefault="00D31AD2" w:rsidP="006F314F">
            <w:pPr>
              <w:jc w:val="center"/>
              <w:rPr>
                <w:sz w:val="20"/>
                <w:szCs w:val="20"/>
              </w:rPr>
            </w:pPr>
            <w:r>
              <w:rPr>
                <w:sz w:val="20"/>
                <w:szCs w:val="20"/>
              </w:rPr>
              <w:t>4490</w:t>
            </w:r>
          </w:p>
        </w:tc>
      </w:tr>
      <w:tr w:rsidR="006F314F" w:rsidRPr="00FC598A" w14:paraId="08CFBF23" w14:textId="77777777" w:rsidTr="006F314F">
        <w:tc>
          <w:tcPr>
            <w:tcW w:w="5000" w:type="pct"/>
            <w:gridSpan w:val="19"/>
            <w:shd w:val="clear" w:color="auto" w:fill="auto"/>
          </w:tcPr>
          <w:p w14:paraId="32913CA1" w14:textId="7B0261BB" w:rsidR="006F314F" w:rsidRPr="006F314F" w:rsidRDefault="006F314F" w:rsidP="006F314F">
            <w:pPr>
              <w:rPr>
                <w:b/>
                <w:bCs/>
                <w:sz w:val="20"/>
                <w:szCs w:val="20"/>
              </w:rPr>
            </w:pPr>
            <w:r>
              <w:rPr>
                <w:b/>
                <w:bCs/>
                <w:sz w:val="20"/>
                <w:szCs w:val="20"/>
              </w:rPr>
              <w:t>Severe Hypoglycaemia</w:t>
            </w:r>
          </w:p>
        </w:tc>
      </w:tr>
      <w:tr w:rsidR="009F04FB" w:rsidRPr="00FC598A" w14:paraId="3B3BBB30" w14:textId="77777777" w:rsidTr="009F04FB">
        <w:tc>
          <w:tcPr>
            <w:tcW w:w="1262" w:type="pct"/>
            <w:shd w:val="clear" w:color="auto" w:fill="auto"/>
          </w:tcPr>
          <w:p w14:paraId="2B20777E" w14:textId="4F8E7EEB" w:rsidR="00D31AD2" w:rsidRDefault="00D31AD2" w:rsidP="009E76A6">
            <w:pPr>
              <w:rPr>
                <w:sz w:val="20"/>
                <w:szCs w:val="20"/>
              </w:rPr>
            </w:pPr>
            <w:r>
              <w:rPr>
                <w:sz w:val="20"/>
                <w:szCs w:val="20"/>
              </w:rPr>
              <w:t xml:space="preserve">1 – 5 years </w:t>
            </w:r>
          </w:p>
        </w:tc>
        <w:tc>
          <w:tcPr>
            <w:tcW w:w="372" w:type="pct"/>
            <w:shd w:val="clear" w:color="auto" w:fill="auto"/>
          </w:tcPr>
          <w:p w14:paraId="1FEB2D9A" w14:textId="371CC0FF" w:rsidR="00D31AD2" w:rsidRPr="00FC598A" w:rsidRDefault="00D31AD2" w:rsidP="0012648A">
            <w:pPr>
              <w:jc w:val="center"/>
              <w:rPr>
                <w:sz w:val="20"/>
                <w:szCs w:val="20"/>
              </w:rPr>
            </w:pPr>
            <w:r>
              <w:rPr>
                <w:sz w:val="20"/>
                <w:szCs w:val="20"/>
              </w:rPr>
              <w:t>40</w:t>
            </w:r>
          </w:p>
        </w:tc>
        <w:tc>
          <w:tcPr>
            <w:tcW w:w="373" w:type="pct"/>
            <w:gridSpan w:val="2"/>
            <w:shd w:val="clear" w:color="auto" w:fill="auto"/>
          </w:tcPr>
          <w:p w14:paraId="1794EF92" w14:textId="56056BB7" w:rsidR="00D31AD2" w:rsidRPr="00FC598A" w:rsidRDefault="00D31AD2" w:rsidP="009E76A6">
            <w:pPr>
              <w:jc w:val="center"/>
              <w:rPr>
                <w:sz w:val="20"/>
                <w:szCs w:val="20"/>
              </w:rPr>
            </w:pPr>
            <w:r>
              <w:rPr>
                <w:sz w:val="20"/>
                <w:szCs w:val="20"/>
              </w:rPr>
              <w:t>4</w:t>
            </w:r>
          </w:p>
        </w:tc>
        <w:tc>
          <w:tcPr>
            <w:tcW w:w="373" w:type="pct"/>
            <w:shd w:val="clear" w:color="auto" w:fill="auto"/>
          </w:tcPr>
          <w:p w14:paraId="04BC3915" w14:textId="77777777" w:rsidR="00D31AD2" w:rsidRPr="00FC598A" w:rsidRDefault="00D31AD2" w:rsidP="009E76A6">
            <w:pPr>
              <w:jc w:val="center"/>
              <w:rPr>
                <w:sz w:val="20"/>
                <w:szCs w:val="20"/>
              </w:rPr>
            </w:pPr>
            <w:r>
              <w:rPr>
                <w:sz w:val="20"/>
                <w:szCs w:val="20"/>
              </w:rPr>
              <w:t>10.0</w:t>
            </w:r>
          </w:p>
        </w:tc>
        <w:tc>
          <w:tcPr>
            <w:tcW w:w="378" w:type="pct"/>
            <w:gridSpan w:val="2"/>
            <w:shd w:val="clear" w:color="auto" w:fill="auto"/>
          </w:tcPr>
          <w:p w14:paraId="43E690A7" w14:textId="33BF28C8" w:rsidR="00D31AD2" w:rsidRPr="00FC598A" w:rsidRDefault="009F04FB" w:rsidP="009E76A6">
            <w:pPr>
              <w:jc w:val="center"/>
              <w:rPr>
                <w:sz w:val="20"/>
                <w:szCs w:val="20"/>
              </w:rPr>
            </w:pPr>
            <w:r>
              <w:rPr>
                <w:sz w:val="20"/>
                <w:szCs w:val="20"/>
              </w:rPr>
              <w:t>5</w:t>
            </w:r>
          </w:p>
        </w:tc>
        <w:tc>
          <w:tcPr>
            <w:tcW w:w="374" w:type="pct"/>
            <w:gridSpan w:val="2"/>
            <w:shd w:val="clear" w:color="auto" w:fill="auto"/>
          </w:tcPr>
          <w:p w14:paraId="47B782DD" w14:textId="6A7659FA" w:rsidR="00D31AD2" w:rsidRPr="00FC598A" w:rsidRDefault="009F04FB" w:rsidP="009E76A6">
            <w:pPr>
              <w:jc w:val="center"/>
              <w:rPr>
                <w:sz w:val="20"/>
                <w:szCs w:val="20"/>
              </w:rPr>
            </w:pPr>
            <w:r>
              <w:rPr>
                <w:sz w:val="20"/>
                <w:szCs w:val="20"/>
              </w:rPr>
              <w:t>42</w:t>
            </w:r>
          </w:p>
        </w:tc>
        <w:tc>
          <w:tcPr>
            <w:tcW w:w="373" w:type="pct"/>
            <w:gridSpan w:val="2"/>
            <w:shd w:val="clear" w:color="auto" w:fill="auto"/>
          </w:tcPr>
          <w:p w14:paraId="603AF5BF" w14:textId="4079AD41" w:rsidR="00D31AD2" w:rsidRPr="00FC598A" w:rsidRDefault="00D31AD2" w:rsidP="0012648A">
            <w:pPr>
              <w:jc w:val="center"/>
              <w:rPr>
                <w:sz w:val="20"/>
                <w:szCs w:val="20"/>
              </w:rPr>
            </w:pPr>
            <w:r>
              <w:rPr>
                <w:sz w:val="20"/>
                <w:szCs w:val="20"/>
              </w:rPr>
              <w:t>41</w:t>
            </w:r>
          </w:p>
        </w:tc>
        <w:tc>
          <w:tcPr>
            <w:tcW w:w="374" w:type="pct"/>
            <w:gridSpan w:val="2"/>
            <w:shd w:val="clear" w:color="auto" w:fill="auto"/>
          </w:tcPr>
          <w:p w14:paraId="6624356B" w14:textId="353EFA11" w:rsidR="00D31AD2" w:rsidRPr="00FC598A" w:rsidRDefault="00D31AD2" w:rsidP="009E76A6">
            <w:pPr>
              <w:jc w:val="center"/>
              <w:rPr>
                <w:sz w:val="20"/>
                <w:szCs w:val="20"/>
              </w:rPr>
            </w:pPr>
            <w:r>
              <w:rPr>
                <w:sz w:val="20"/>
                <w:szCs w:val="20"/>
              </w:rPr>
              <w:t xml:space="preserve">2 </w:t>
            </w:r>
          </w:p>
        </w:tc>
        <w:tc>
          <w:tcPr>
            <w:tcW w:w="373" w:type="pct"/>
            <w:gridSpan w:val="2"/>
            <w:shd w:val="clear" w:color="auto" w:fill="auto"/>
          </w:tcPr>
          <w:p w14:paraId="06DE0B3C" w14:textId="77777777" w:rsidR="00D31AD2" w:rsidRPr="00FC598A" w:rsidRDefault="00D31AD2" w:rsidP="009E76A6">
            <w:pPr>
              <w:jc w:val="center"/>
              <w:rPr>
                <w:sz w:val="20"/>
                <w:szCs w:val="20"/>
              </w:rPr>
            </w:pPr>
            <w:r>
              <w:rPr>
                <w:sz w:val="20"/>
                <w:szCs w:val="20"/>
              </w:rPr>
              <w:t>4.9</w:t>
            </w:r>
          </w:p>
        </w:tc>
        <w:tc>
          <w:tcPr>
            <w:tcW w:w="374" w:type="pct"/>
            <w:gridSpan w:val="2"/>
            <w:shd w:val="clear" w:color="auto" w:fill="auto"/>
          </w:tcPr>
          <w:p w14:paraId="0F61A3C3" w14:textId="5966B29F" w:rsidR="00D31AD2" w:rsidRPr="00FC598A" w:rsidRDefault="009F04FB" w:rsidP="009E76A6">
            <w:pPr>
              <w:jc w:val="center"/>
              <w:rPr>
                <w:sz w:val="20"/>
                <w:szCs w:val="20"/>
              </w:rPr>
            </w:pPr>
            <w:r>
              <w:rPr>
                <w:sz w:val="20"/>
                <w:szCs w:val="20"/>
              </w:rPr>
              <w:t>2</w:t>
            </w:r>
          </w:p>
        </w:tc>
        <w:tc>
          <w:tcPr>
            <w:tcW w:w="373" w:type="pct"/>
            <w:gridSpan w:val="2"/>
            <w:shd w:val="clear" w:color="auto" w:fill="auto"/>
          </w:tcPr>
          <w:p w14:paraId="1622419C" w14:textId="3B66F2A7" w:rsidR="00D31AD2" w:rsidRPr="00FC598A" w:rsidRDefault="009F04FB" w:rsidP="009E76A6">
            <w:pPr>
              <w:jc w:val="center"/>
              <w:rPr>
                <w:sz w:val="20"/>
                <w:szCs w:val="20"/>
              </w:rPr>
            </w:pPr>
            <w:r>
              <w:rPr>
                <w:sz w:val="20"/>
                <w:szCs w:val="20"/>
              </w:rPr>
              <w:t>16</w:t>
            </w:r>
          </w:p>
        </w:tc>
      </w:tr>
      <w:tr w:rsidR="009F04FB" w:rsidRPr="00FC598A" w14:paraId="06E0C6BD" w14:textId="77777777" w:rsidTr="009F04FB">
        <w:tc>
          <w:tcPr>
            <w:tcW w:w="1262" w:type="pct"/>
            <w:shd w:val="clear" w:color="auto" w:fill="auto"/>
          </w:tcPr>
          <w:p w14:paraId="4C7E2B91" w14:textId="28A7EA65" w:rsidR="00D31AD2" w:rsidRDefault="00D31AD2" w:rsidP="009E76A6">
            <w:pPr>
              <w:rPr>
                <w:sz w:val="20"/>
                <w:szCs w:val="20"/>
              </w:rPr>
            </w:pPr>
            <w:r>
              <w:rPr>
                <w:sz w:val="20"/>
                <w:szCs w:val="20"/>
              </w:rPr>
              <w:t>6 – 11 years</w:t>
            </w:r>
          </w:p>
        </w:tc>
        <w:tc>
          <w:tcPr>
            <w:tcW w:w="372" w:type="pct"/>
            <w:shd w:val="clear" w:color="auto" w:fill="auto"/>
          </w:tcPr>
          <w:p w14:paraId="1296E2E7" w14:textId="55B431A4" w:rsidR="00D31AD2" w:rsidRPr="00FC598A" w:rsidRDefault="00D31AD2" w:rsidP="009E76A6">
            <w:pPr>
              <w:jc w:val="center"/>
              <w:rPr>
                <w:sz w:val="20"/>
                <w:szCs w:val="20"/>
              </w:rPr>
            </w:pPr>
            <w:r>
              <w:rPr>
                <w:sz w:val="20"/>
                <w:szCs w:val="20"/>
              </w:rPr>
              <w:t>61</w:t>
            </w:r>
          </w:p>
        </w:tc>
        <w:tc>
          <w:tcPr>
            <w:tcW w:w="373" w:type="pct"/>
            <w:gridSpan w:val="2"/>
            <w:shd w:val="clear" w:color="auto" w:fill="auto"/>
          </w:tcPr>
          <w:p w14:paraId="1F5A34CA" w14:textId="3EAFF8AF" w:rsidR="00D31AD2" w:rsidRPr="00FC598A" w:rsidRDefault="00D31AD2" w:rsidP="009E76A6">
            <w:pPr>
              <w:jc w:val="center"/>
              <w:rPr>
                <w:sz w:val="20"/>
                <w:szCs w:val="20"/>
              </w:rPr>
            </w:pPr>
            <w:r>
              <w:rPr>
                <w:sz w:val="20"/>
                <w:szCs w:val="20"/>
              </w:rPr>
              <w:t>3</w:t>
            </w:r>
          </w:p>
        </w:tc>
        <w:tc>
          <w:tcPr>
            <w:tcW w:w="373" w:type="pct"/>
            <w:shd w:val="clear" w:color="auto" w:fill="auto"/>
          </w:tcPr>
          <w:p w14:paraId="54E1AE56" w14:textId="77777777" w:rsidR="00D31AD2" w:rsidRPr="00FC598A" w:rsidRDefault="00D31AD2" w:rsidP="009E76A6">
            <w:pPr>
              <w:jc w:val="center"/>
              <w:rPr>
                <w:sz w:val="20"/>
                <w:szCs w:val="20"/>
              </w:rPr>
            </w:pPr>
            <w:r>
              <w:rPr>
                <w:sz w:val="20"/>
                <w:szCs w:val="20"/>
              </w:rPr>
              <w:t>4.9</w:t>
            </w:r>
          </w:p>
        </w:tc>
        <w:tc>
          <w:tcPr>
            <w:tcW w:w="378" w:type="pct"/>
            <w:gridSpan w:val="2"/>
            <w:shd w:val="clear" w:color="auto" w:fill="auto"/>
          </w:tcPr>
          <w:p w14:paraId="70E9F95F" w14:textId="7777B2FA" w:rsidR="00D31AD2" w:rsidRPr="00FC598A" w:rsidRDefault="009F04FB" w:rsidP="009E76A6">
            <w:pPr>
              <w:jc w:val="center"/>
              <w:rPr>
                <w:sz w:val="20"/>
                <w:szCs w:val="20"/>
              </w:rPr>
            </w:pPr>
            <w:r>
              <w:rPr>
                <w:sz w:val="20"/>
                <w:szCs w:val="20"/>
              </w:rPr>
              <w:t>4</w:t>
            </w:r>
          </w:p>
        </w:tc>
        <w:tc>
          <w:tcPr>
            <w:tcW w:w="374" w:type="pct"/>
            <w:gridSpan w:val="2"/>
            <w:shd w:val="clear" w:color="auto" w:fill="auto"/>
          </w:tcPr>
          <w:p w14:paraId="62A7FE6D" w14:textId="7204A546" w:rsidR="00D31AD2" w:rsidRPr="00FC598A" w:rsidRDefault="009F04FB" w:rsidP="009E76A6">
            <w:pPr>
              <w:jc w:val="center"/>
              <w:rPr>
                <w:sz w:val="20"/>
                <w:szCs w:val="20"/>
              </w:rPr>
            </w:pPr>
            <w:r>
              <w:rPr>
                <w:sz w:val="20"/>
                <w:szCs w:val="20"/>
              </w:rPr>
              <w:t>21</w:t>
            </w:r>
          </w:p>
        </w:tc>
        <w:tc>
          <w:tcPr>
            <w:tcW w:w="373" w:type="pct"/>
            <w:gridSpan w:val="2"/>
            <w:shd w:val="clear" w:color="auto" w:fill="auto"/>
          </w:tcPr>
          <w:p w14:paraId="23F34ADE" w14:textId="718B61AF" w:rsidR="00D31AD2" w:rsidRPr="00FC598A" w:rsidRDefault="00D31AD2" w:rsidP="009E76A6">
            <w:pPr>
              <w:jc w:val="center"/>
              <w:rPr>
                <w:sz w:val="20"/>
                <w:szCs w:val="20"/>
              </w:rPr>
            </w:pPr>
            <w:r>
              <w:rPr>
                <w:sz w:val="20"/>
                <w:szCs w:val="20"/>
              </w:rPr>
              <w:t>61</w:t>
            </w:r>
          </w:p>
        </w:tc>
        <w:tc>
          <w:tcPr>
            <w:tcW w:w="374" w:type="pct"/>
            <w:gridSpan w:val="2"/>
            <w:shd w:val="clear" w:color="auto" w:fill="auto"/>
          </w:tcPr>
          <w:p w14:paraId="61D87BA7" w14:textId="45CBC43D" w:rsidR="00D31AD2" w:rsidRPr="00FC598A" w:rsidRDefault="00D31AD2" w:rsidP="009E76A6">
            <w:pPr>
              <w:jc w:val="center"/>
              <w:rPr>
                <w:sz w:val="20"/>
                <w:szCs w:val="20"/>
              </w:rPr>
            </w:pPr>
            <w:r>
              <w:rPr>
                <w:sz w:val="20"/>
                <w:szCs w:val="20"/>
              </w:rPr>
              <w:t>0</w:t>
            </w:r>
          </w:p>
        </w:tc>
        <w:tc>
          <w:tcPr>
            <w:tcW w:w="373" w:type="pct"/>
            <w:gridSpan w:val="2"/>
            <w:shd w:val="clear" w:color="auto" w:fill="auto"/>
          </w:tcPr>
          <w:p w14:paraId="0BB12F2E" w14:textId="77777777" w:rsidR="00D31AD2" w:rsidRPr="00FC598A" w:rsidRDefault="00D31AD2" w:rsidP="009E76A6">
            <w:pPr>
              <w:jc w:val="center"/>
              <w:rPr>
                <w:sz w:val="20"/>
                <w:szCs w:val="20"/>
              </w:rPr>
            </w:pPr>
            <w:r>
              <w:rPr>
                <w:sz w:val="20"/>
                <w:szCs w:val="20"/>
              </w:rPr>
              <w:t>0.0</w:t>
            </w:r>
          </w:p>
        </w:tc>
        <w:tc>
          <w:tcPr>
            <w:tcW w:w="374" w:type="pct"/>
            <w:gridSpan w:val="2"/>
            <w:shd w:val="clear" w:color="auto" w:fill="auto"/>
          </w:tcPr>
          <w:p w14:paraId="276BBF32" w14:textId="37456079" w:rsidR="00D31AD2" w:rsidRPr="00FC598A" w:rsidRDefault="009F04FB" w:rsidP="009E76A6">
            <w:pPr>
              <w:jc w:val="center"/>
              <w:rPr>
                <w:sz w:val="20"/>
                <w:szCs w:val="20"/>
              </w:rPr>
            </w:pPr>
            <w:r>
              <w:rPr>
                <w:sz w:val="20"/>
                <w:szCs w:val="20"/>
              </w:rPr>
              <w:t>0</w:t>
            </w:r>
          </w:p>
        </w:tc>
        <w:tc>
          <w:tcPr>
            <w:tcW w:w="373" w:type="pct"/>
            <w:gridSpan w:val="2"/>
            <w:shd w:val="clear" w:color="auto" w:fill="auto"/>
          </w:tcPr>
          <w:p w14:paraId="490CB0A0" w14:textId="7B92C71D" w:rsidR="00D31AD2" w:rsidRPr="00FC598A" w:rsidRDefault="009F04FB" w:rsidP="009E76A6">
            <w:pPr>
              <w:jc w:val="center"/>
              <w:rPr>
                <w:sz w:val="20"/>
                <w:szCs w:val="20"/>
              </w:rPr>
            </w:pPr>
            <w:r>
              <w:rPr>
                <w:sz w:val="20"/>
                <w:szCs w:val="20"/>
              </w:rPr>
              <w:t>0</w:t>
            </w:r>
          </w:p>
        </w:tc>
      </w:tr>
      <w:tr w:rsidR="009F04FB" w:rsidRPr="00FC598A" w14:paraId="6C0D2796" w14:textId="77777777" w:rsidTr="009F04FB">
        <w:tc>
          <w:tcPr>
            <w:tcW w:w="1262" w:type="pct"/>
            <w:shd w:val="clear" w:color="auto" w:fill="auto"/>
          </w:tcPr>
          <w:p w14:paraId="6AEA417C" w14:textId="4CD7E32E" w:rsidR="00D31AD2" w:rsidRDefault="00D31AD2" w:rsidP="009E76A6">
            <w:pPr>
              <w:rPr>
                <w:sz w:val="20"/>
                <w:szCs w:val="20"/>
              </w:rPr>
            </w:pPr>
            <w:r>
              <w:rPr>
                <w:sz w:val="20"/>
                <w:szCs w:val="20"/>
              </w:rPr>
              <w:t>12 – 17 years</w:t>
            </w:r>
          </w:p>
        </w:tc>
        <w:tc>
          <w:tcPr>
            <w:tcW w:w="372" w:type="pct"/>
            <w:shd w:val="clear" w:color="auto" w:fill="auto"/>
          </w:tcPr>
          <w:p w14:paraId="5B983249" w14:textId="469849ED" w:rsidR="00D31AD2" w:rsidRPr="00FC598A" w:rsidRDefault="00D31AD2" w:rsidP="009E76A6">
            <w:pPr>
              <w:jc w:val="center"/>
              <w:rPr>
                <w:sz w:val="20"/>
                <w:szCs w:val="20"/>
              </w:rPr>
            </w:pPr>
            <w:r>
              <w:rPr>
                <w:sz w:val="20"/>
                <w:szCs w:val="20"/>
              </w:rPr>
              <w:t>80</w:t>
            </w:r>
          </w:p>
        </w:tc>
        <w:tc>
          <w:tcPr>
            <w:tcW w:w="373" w:type="pct"/>
            <w:gridSpan w:val="2"/>
            <w:shd w:val="clear" w:color="auto" w:fill="auto"/>
          </w:tcPr>
          <w:p w14:paraId="37DF2690" w14:textId="5F8D148C" w:rsidR="00D31AD2" w:rsidRPr="00FC598A" w:rsidRDefault="00D31AD2" w:rsidP="009E76A6">
            <w:pPr>
              <w:jc w:val="center"/>
              <w:rPr>
                <w:sz w:val="20"/>
                <w:szCs w:val="20"/>
              </w:rPr>
            </w:pPr>
            <w:r>
              <w:rPr>
                <w:sz w:val="20"/>
                <w:szCs w:val="20"/>
              </w:rPr>
              <w:t>4</w:t>
            </w:r>
          </w:p>
        </w:tc>
        <w:tc>
          <w:tcPr>
            <w:tcW w:w="373" w:type="pct"/>
            <w:shd w:val="clear" w:color="auto" w:fill="auto"/>
          </w:tcPr>
          <w:p w14:paraId="3E269102" w14:textId="77777777" w:rsidR="00D31AD2" w:rsidRPr="00FC598A" w:rsidRDefault="00D31AD2" w:rsidP="009E76A6">
            <w:pPr>
              <w:jc w:val="center"/>
              <w:rPr>
                <w:sz w:val="20"/>
                <w:szCs w:val="20"/>
              </w:rPr>
            </w:pPr>
            <w:r>
              <w:rPr>
                <w:sz w:val="20"/>
                <w:szCs w:val="20"/>
              </w:rPr>
              <w:t>5.0</w:t>
            </w:r>
          </w:p>
        </w:tc>
        <w:tc>
          <w:tcPr>
            <w:tcW w:w="378" w:type="pct"/>
            <w:gridSpan w:val="2"/>
            <w:shd w:val="clear" w:color="auto" w:fill="auto"/>
          </w:tcPr>
          <w:p w14:paraId="6895DC7B" w14:textId="48ED967A" w:rsidR="00D31AD2" w:rsidRPr="00FC598A" w:rsidRDefault="009F04FB" w:rsidP="009E76A6">
            <w:pPr>
              <w:jc w:val="center"/>
              <w:rPr>
                <w:sz w:val="20"/>
                <w:szCs w:val="20"/>
              </w:rPr>
            </w:pPr>
            <w:r>
              <w:rPr>
                <w:sz w:val="20"/>
                <w:szCs w:val="20"/>
              </w:rPr>
              <w:t>5</w:t>
            </w:r>
          </w:p>
        </w:tc>
        <w:tc>
          <w:tcPr>
            <w:tcW w:w="374" w:type="pct"/>
            <w:gridSpan w:val="2"/>
            <w:shd w:val="clear" w:color="auto" w:fill="auto"/>
          </w:tcPr>
          <w:p w14:paraId="06D7272D" w14:textId="26A62E5D" w:rsidR="00D31AD2" w:rsidRPr="00FC598A" w:rsidRDefault="009F04FB" w:rsidP="009E76A6">
            <w:pPr>
              <w:jc w:val="center"/>
              <w:rPr>
                <w:sz w:val="20"/>
                <w:szCs w:val="20"/>
              </w:rPr>
            </w:pPr>
            <w:r>
              <w:rPr>
                <w:sz w:val="20"/>
                <w:szCs w:val="20"/>
              </w:rPr>
              <w:t>21</w:t>
            </w:r>
          </w:p>
        </w:tc>
        <w:tc>
          <w:tcPr>
            <w:tcW w:w="373" w:type="pct"/>
            <w:gridSpan w:val="2"/>
            <w:shd w:val="clear" w:color="auto" w:fill="auto"/>
          </w:tcPr>
          <w:p w14:paraId="3866A71C" w14:textId="1C4E7845" w:rsidR="00D31AD2" w:rsidRPr="00FC598A" w:rsidRDefault="00D31AD2" w:rsidP="009E76A6">
            <w:pPr>
              <w:jc w:val="center"/>
              <w:rPr>
                <w:sz w:val="20"/>
                <w:szCs w:val="20"/>
              </w:rPr>
            </w:pPr>
            <w:r>
              <w:rPr>
                <w:sz w:val="20"/>
                <w:szCs w:val="20"/>
              </w:rPr>
              <w:t>77</w:t>
            </w:r>
          </w:p>
        </w:tc>
        <w:tc>
          <w:tcPr>
            <w:tcW w:w="374" w:type="pct"/>
            <w:gridSpan w:val="2"/>
            <w:shd w:val="clear" w:color="auto" w:fill="auto"/>
          </w:tcPr>
          <w:p w14:paraId="07069A0E" w14:textId="7F0E8D7D" w:rsidR="00D31AD2" w:rsidRPr="00FC598A" w:rsidRDefault="00D31AD2" w:rsidP="009E76A6">
            <w:pPr>
              <w:jc w:val="center"/>
              <w:rPr>
                <w:sz w:val="20"/>
                <w:szCs w:val="20"/>
              </w:rPr>
            </w:pPr>
            <w:r>
              <w:rPr>
                <w:sz w:val="20"/>
                <w:szCs w:val="20"/>
              </w:rPr>
              <w:t xml:space="preserve">1 </w:t>
            </w:r>
          </w:p>
        </w:tc>
        <w:tc>
          <w:tcPr>
            <w:tcW w:w="373" w:type="pct"/>
            <w:gridSpan w:val="2"/>
            <w:shd w:val="clear" w:color="auto" w:fill="auto"/>
          </w:tcPr>
          <w:p w14:paraId="7D48AA0E" w14:textId="77777777" w:rsidR="00D31AD2" w:rsidRPr="00FC598A" w:rsidRDefault="00D31AD2" w:rsidP="009E76A6">
            <w:pPr>
              <w:jc w:val="center"/>
              <w:rPr>
                <w:sz w:val="20"/>
                <w:szCs w:val="20"/>
              </w:rPr>
            </w:pPr>
            <w:r>
              <w:rPr>
                <w:sz w:val="20"/>
                <w:szCs w:val="20"/>
              </w:rPr>
              <w:t>1.3</w:t>
            </w:r>
          </w:p>
        </w:tc>
        <w:tc>
          <w:tcPr>
            <w:tcW w:w="374" w:type="pct"/>
            <w:gridSpan w:val="2"/>
            <w:shd w:val="clear" w:color="auto" w:fill="auto"/>
          </w:tcPr>
          <w:p w14:paraId="67B0CF73" w14:textId="504D762F" w:rsidR="00D31AD2" w:rsidRPr="00FC598A" w:rsidRDefault="009F04FB" w:rsidP="009E76A6">
            <w:pPr>
              <w:jc w:val="center"/>
              <w:rPr>
                <w:sz w:val="20"/>
                <w:szCs w:val="20"/>
              </w:rPr>
            </w:pPr>
            <w:r>
              <w:rPr>
                <w:sz w:val="20"/>
                <w:szCs w:val="20"/>
              </w:rPr>
              <w:t>2</w:t>
            </w:r>
          </w:p>
        </w:tc>
        <w:tc>
          <w:tcPr>
            <w:tcW w:w="373" w:type="pct"/>
            <w:gridSpan w:val="2"/>
            <w:shd w:val="clear" w:color="auto" w:fill="auto"/>
          </w:tcPr>
          <w:p w14:paraId="2350C11C" w14:textId="46BBBF18" w:rsidR="00D31AD2" w:rsidRPr="00FC598A" w:rsidRDefault="009F04FB" w:rsidP="009E76A6">
            <w:pPr>
              <w:jc w:val="center"/>
              <w:rPr>
                <w:sz w:val="20"/>
                <w:szCs w:val="20"/>
              </w:rPr>
            </w:pPr>
            <w:r>
              <w:rPr>
                <w:sz w:val="20"/>
                <w:szCs w:val="20"/>
              </w:rPr>
              <w:t>9</w:t>
            </w:r>
          </w:p>
        </w:tc>
      </w:tr>
      <w:tr w:rsidR="009E76A6" w:rsidRPr="00FC598A" w14:paraId="65ED1990" w14:textId="77777777" w:rsidTr="006F314F">
        <w:tc>
          <w:tcPr>
            <w:tcW w:w="5000" w:type="pct"/>
            <w:gridSpan w:val="19"/>
            <w:shd w:val="clear" w:color="auto" w:fill="auto"/>
          </w:tcPr>
          <w:p w14:paraId="2B0B273D" w14:textId="575890D8" w:rsidR="009E76A6" w:rsidRPr="006F314F" w:rsidRDefault="009E76A6" w:rsidP="009E76A6">
            <w:pPr>
              <w:rPr>
                <w:b/>
                <w:bCs/>
                <w:sz w:val="20"/>
                <w:szCs w:val="20"/>
              </w:rPr>
            </w:pPr>
            <w:r>
              <w:rPr>
                <w:b/>
                <w:bCs/>
                <w:sz w:val="20"/>
                <w:szCs w:val="20"/>
              </w:rPr>
              <w:t xml:space="preserve">Nocturnal </w:t>
            </w:r>
            <w:r w:rsidR="00912E24">
              <w:rPr>
                <w:b/>
                <w:bCs/>
                <w:sz w:val="20"/>
                <w:szCs w:val="20"/>
              </w:rPr>
              <w:t xml:space="preserve">Confirmed </w:t>
            </w:r>
            <w:r>
              <w:rPr>
                <w:b/>
                <w:bCs/>
                <w:sz w:val="20"/>
                <w:szCs w:val="20"/>
              </w:rPr>
              <w:t>Hypoglycaemia</w:t>
            </w:r>
          </w:p>
        </w:tc>
      </w:tr>
      <w:tr w:rsidR="009F04FB" w:rsidRPr="00FC598A" w14:paraId="2D1F7C25" w14:textId="77777777" w:rsidTr="009F04FB">
        <w:tc>
          <w:tcPr>
            <w:tcW w:w="1262" w:type="pct"/>
            <w:shd w:val="clear" w:color="auto" w:fill="auto"/>
          </w:tcPr>
          <w:p w14:paraId="1399696E" w14:textId="6E45641C" w:rsidR="009F04FB" w:rsidRDefault="009F04FB" w:rsidP="009E76A6">
            <w:pPr>
              <w:rPr>
                <w:sz w:val="20"/>
                <w:szCs w:val="20"/>
              </w:rPr>
            </w:pPr>
            <w:r>
              <w:rPr>
                <w:sz w:val="20"/>
                <w:szCs w:val="20"/>
              </w:rPr>
              <w:t xml:space="preserve">1 – 5 years </w:t>
            </w:r>
          </w:p>
        </w:tc>
        <w:tc>
          <w:tcPr>
            <w:tcW w:w="373" w:type="pct"/>
            <w:shd w:val="clear" w:color="auto" w:fill="auto"/>
          </w:tcPr>
          <w:p w14:paraId="483466DA" w14:textId="69D18174" w:rsidR="009F04FB" w:rsidRPr="00FC598A" w:rsidRDefault="009F04FB" w:rsidP="0012648A">
            <w:pPr>
              <w:jc w:val="center"/>
              <w:rPr>
                <w:sz w:val="20"/>
                <w:szCs w:val="20"/>
              </w:rPr>
            </w:pPr>
            <w:r>
              <w:rPr>
                <w:sz w:val="20"/>
                <w:szCs w:val="20"/>
              </w:rPr>
              <w:t>40</w:t>
            </w:r>
          </w:p>
        </w:tc>
        <w:tc>
          <w:tcPr>
            <w:tcW w:w="374" w:type="pct"/>
            <w:gridSpan w:val="2"/>
            <w:shd w:val="clear" w:color="auto" w:fill="auto"/>
          </w:tcPr>
          <w:p w14:paraId="7F6E6451" w14:textId="15392BE8" w:rsidR="009F04FB" w:rsidRPr="00FC598A" w:rsidRDefault="009F04FB" w:rsidP="009E76A6">
            <w:pPr>
              <w:jc w:val="center"/>
              <w:rPr>
                <w:sz w:val="20"/>
                <w:szCs w:val="20"/>
              </w:rPr>
            </w:pPr>
            <w:r>
              <w:rPr>
                <w:sz w:val="20"/>
                <w:szCs w:val="20"/>
              </w:rPr>
              <w:t xml:space="preserve">18 </w:t>
            </w:r>
          </w:p>
        </w:tc>
        <w:tc>
          <w:tcPr>
            <w:tcW w:w="374" w:type="pct"/>
            <w:gridSpan w:val="2"/>
            <w:shd w:val="clear" w:color="auto" w:fill="auto"/>
          </w:tcPr>
          <w:p w14:paraId="50845969" w14:textId="77777777" w:rsidR="009F04FB" w:rsidRPr="00FC598A" w:rsidRDefault="009F04FB" w:rsidP="009E76A6">
            <w:pPr>
              <w:jc w:val="center"/>
              <w:rPr>
                <w:sz w:val="20"/>
                <w:szCs w:val="20"/>
              </w:rPr>
            </w:pPr>
            <w:r>
              <w:rPr>
                <w:sz w:val="20"/>
                <w:szCs w:val="20"/>
              </w:rPr>
              <w:t>45.0</w:t>
            </w:r>
          </w:p>
        </w:tc>
        <w:tc>
          <w:tcPr>
            <w:tcW w:w="374" w:type="pct"/>
            <w:shd w:val="clear" w:color="auto" w:fill="auto"/>
          </w:tcPr>
          <w:p w14:paraId="0066E020" w14:textId="0DF9E1E2" w:rsidR="009F04FB" w:rsidRPr="00FC598A" w:rsidRDefault="009F04FB" w:rsidP="009E76A6">
            <w:pPr>
              <w:jc w:val="center"/>
              <w:rPr>
                <w:sz w:val="20"/>
                <w:szCs w:val="20"/>
              </w:rPr>
            </w:pPr>
            <w:r>
              <w:rPr>
                <w:sz w:val="20"/>
                <w:szCs w:val="20"/>
              </w:rPr>
              <w:t>55</w:t>
            </w:r>
          </w:p>
        </w:tc>
        <w:tc>
          <w:tcPr>
            <w:tcW w:w="374" w:type="pct"/>
            <w:gridSpan w:val="2"/>
            <w:shd w:val="clear" w:color="auto" w:fill="auto"/>
          </w:tcPr>
          <w:p w14:paraId="490B82F1" w14:textId="3B789A47" w:rsidR="009F04FB" w:rsidRPr="00FC598A" w:rsidRDefault="009F04FB" w:rsidP="009E76A6">
            <w:pPr>
              <w:jc w:val="center"/>
              <w:rPr>
                <w:sz w:val="20"/>
                <w:szCs w:val="20"/>
              </w:rPr>
            </w:pPr>
            <w:r>
              <w:rPr>
                <w:sz w:val="20"/>
                <w:szCs w:val="20"/>
              </w:rPr>
              <w:t>459</w:t>
            </w:r>
          </w:p>
        </w:tc>
        <w:tc>
          <w:tcPr>
            <w:tcW w:w="374" w:type="pct"/>
            <w:gridSpan w:val="2"/>
            <w:shd w:val="clear" w:color="auto" w:fill="auto"/>
          </w:tcPr>
          <w:p w14:paraId="36F43FD7" w14:textId="10464190" w:rsidR="009F04FB" w:rsidRPr="00FC598A" w:rsidRDefault="009F04FB" w:rsidP="0012648A">
            <w:pPr>
              <w:jc w:val="center"/>
              <w:rPr>
                <w:sz w:val="20"/>
                <w:szCs w:val="20"/>
              </w:rPr>
            </w:pPr>
            <w:r>
              <w:rPr>
                <w:sz w:val="20"/>
                <w:szCs w:val="20"/>
              </w:rPr>
              <w:t>41</w:t>
            </w:r>
          </w:p>
        </w:tc>
        <w:tc>
          <w:tcPr>
            <w:tcW w:w="374" w:type="pct"/>
            <w:gridSpan w:val="2"/>
            <w:shd w:val="clear" w:color="auto" w:fill="auto"/>
          </w:tcPr>
          <w:p w14:paraId="59AB39C8" w14:textId="441D9EA4" w:rsidR="009F04FB" w:rsidRPr="00FC598A" w:rsidRDefault="009F04FB" w:rsidP="009E76A6">
            <w:pPr>
              <w:jc w:val="center"/>
              <w:rPr>
                <w:sz w:val="20"/>
                <w:szCs w:val="20"/>
              </w:rPr>
            </w:pPr>
            <w:r>
              <w:rPr>
                <w:sz w:val="20"/>
                <w:szCs w:val="20"/>
              </w:rPr>
              <w:t xml:space="preserve">21 </w:t>
            </w:r>
          </w:p>
        </w:tc>
        <w:tc>
          <w:tcPr>
            <w:tcW w:w="374" w:type="pct"/>
            <w:gridSpan w:val="2"/>
            <w:shd w:val="clear" w:color="auto" w:fill="auto"/>
          </w:tcPr>
          <w:p w14:paraId="14C12523" w14:textId="77777777" w:rsidR="009F04FB" w:rsidRPr="00FC598A" w:rsidRDefault="009F04FB" w:rsidP="009E76A6">
            <w:pPr>
              <w:jc w:val="center"/>
              <w:rPr>
                <w:sz w:val="20"/>
                <w:szCs w:val="20"/>
              </w:rPr>
            </w:pPr>
            <w:r>
              <w:rPr>
                <w:sz w:val="20"/>
                <w:szCs w:val="20"/>
              </w:rPr>
              <w:t>51.2</w:t>
            </w:r>
          </w:p>
        </w:tc>
        <w:tc>
          <w:tcPr>
            <w:tcW w:w="374" w:type="pct"/>
            <w:gridSpan w:val="2"/>
            <w:shd w:val="clear" w:color="auto" w:fill="auto"/>
          </w:tcPr>
          <w:p w14:paraId="50BA7BD7" w14:textId="0E79643A" w:rsidR="009F04FB" w:rsidRPr="00FC598A" w:rsidRDefault="009F04FB" w:rsidP="009E76A6">
            <w:pPr>
              <w:jc w:val="center"/>
              <w:rPr>
                <w:sz w:val="20"/>
                <w:szCs w:val="20"/>
              </w:rPr>
            </w:pPr>
            <w:r>
              <w:rPr>
                <w:sz w:val="20"/>
                <w:szCs w:val="20"/>
              </w:rPr>
              <w:t>52</w:t>
            </w:r>
          </w:p>
        </w:tc>
        <w:tc>
          <w:tcPr>
            <w:tcW w:w="374" w:type="pct"/>
            <w:gridSpan w:val="2"/>
            <w:shd w:val="clear" w:color="auto" w:fill="auto"/>
          </w:tcPr>
          <w:p w14:paraId="18D48C85" w14:textId="410BF07A" w:rsidR="009F04FB" w:rsidRPr="00FC598A" w:rsidRDefault="009F04FB" w:rsidP="009E76A6">
            <w:pPr>
              <w:jc w:val="center"/>
              <w:rPr>
                <w:sz w:val="20"/>
                <w:szCs w:val="20"/>
              </w:rPr>
            </w:pPr>
            <w:r>
              <w:rPr>
                <w:sz w:val="20"/>
                <w:szCs w:val="20"/>
              </w:rPr>
              <w:t>425</w:t>
            </w:r>
          </w:p>
        </w:tc>
      </w:tr>
      <w:tr w:rsidR="009F04FB" w:rsidRPr="00FC598A" w14:paraId="5E5CB83F" w14:textId="77777777" w:rsidTr="009F04FB">
        <w:tc>
          <w:tcPr>
            <w:tcW w:w="1262" w:type="pct"/>
            <w:shd w:val="clear" w:color="auto" w:fill="auto"/>
          </w:tcPr>
          <w:p w14:paraId="7BA021F5" w14:textId="771E6ACC" w:rsidR="009F04FB" w:rsidRDefault="009F04FB" w:rsidP="009E76A6">
            <w:pPr>
              <w:rPr>
                <w:sz w:val="20"/>
                <w:szCs w:val="20"/>
              </w:rPr>
            </w:pPr>
            <w:r>
              <w:rPr>
                <w:sz w:val="20"/>
                <w:szCs w:val="20"/>
              </w:rPr>
              <w:t>6 – 11 years</w:t>
            </w:r>
          </w:p>
        </w:tc>
        <w:tc>
          <w:tcPr>
            <w:tcW w:w="373" w:type="pct"/>
            <w:shd w:val="clear" w:color="auto" w:fill="auto"/>
          </w:tcPr>
          <w:p w14:paraId="5579097B" w14:textId="3BE7D169" w:rsidR="009F04FB" w:rsidRPr="00FC598A" w:rsidRDefault="009F04FB" w:rsidP="009E76A6">
            <w:pPr>
              <w:jc w:val="center"/>
              <w:rPr>
                <w:sz w:val="20"/>
                <w:szCs w:val="20"/>
              </w:rPr>
            </w:pPr>
            <w:r>
              <w:rPr>
                <w:sz w:val="20"/>
                <w:szCs w:val="20"/>
              </w:rPr>
              <w:t>61</w:t>
            </w:r>
          </w:p>
        </w:tc>
        <w:tc>
          <w:tcPr>
            <w:tcW w:w="374" w:type="pct"/>
            <w:gridSpan w:val="2"/>
            <w:shd w:val="clear" w:color="auto" w:fill="auto"/>
          </w:tcPr>
          <w:p w14:paraId="4943A8E4" w14:textId="59BBA56D" w:rsidR="009F04FB" w:rsidRPr="00FC598A" w:rsidRDefault="009F04FB" w:rsidP="009E76A6">
            <w:pPr>
              <w:jc w:val="center"/>
              <w:rPr>
                <w:sz w:val="20"/>
                <w:szCs w:val="20"/>
              </w:rPr>
            </w:pPr>
            <w:r>
              <w:rPr>
                <w:sz w:val="20"/>
                <w:szCs w:val="20"/>
              </w:rPr>
              <w:t>38</w:t>
            </w:r>
          </w:p>
        </w:tc>
        <w:tc>
          <w:tcPr>
            <w:tcW w:w="374" w:type="pct"/>
            <w:gridSpan w:val="2"/>
            <w:shd w:val="clear" w:color="auto" w:fill="auto"/>
          </w:tcPr>
          <w:p w14:paraId="73D48AAD" w14:textId="77777777" w:rsidR="009F04FB" w:rsidRPr="00FC598A" w:rsidRDefault="009F04FB" w:rsidP="009E76A6">
            <w:pPr>
              <w:jc w:val="center"/>
              <w:rPr>
                <w:sz w:val="20"/>
                <w:szCs w:val="20"/>
              </w:rPr>
            </w:pPr>
            <w:r>
              <w:rPr>
                <w:sz w:val="20"/>
                <w:szCs w:val="20"/>
              </w:rPr>
              <w:t>62.3</w:t>
            </w:r>
          </w:p>
        </w:tc>
        <w:tc>
          <w:tcPr>
            <w:tcW w:w="374" w:type="pct"/>
            <w:shd w:val="clear" w:color="auto" w:fill="auto"/>
          </w:tcPr>
          <w:p w14:paraId="3BD907C8" w14:textId="47B94F62" w:rsidR="009F04FB" w:rsidRPr="00FC598A" w:rsidRDefault="009F04FB" w:rsidP="009E76A6">
            <w:pPr>
              <w:jc w:val="center"/>
              <w:rPr>
                <w:sz w:val="20"/>
                <w:szCs w:val="20"/>
              </w:rPr>
            </w:pPr>
            <w:r>
              <w:rPr>
                <w:sz w:val="20"/>
                <w:szCs w:val="20"/>
              </w:rPr>
              <w:t>108</w:t>
            </w:r>
          </w:p>
        </w:tc>
        <w:tc>
          <w:tcPr>
            <w:tcW w:w="374" w:type="pct"/>
            <w:gridSpan w:val="2"/>
            <w:shd w:val="clear" w:color="auto" w:fill="auto"/>
          </w:tcPr>
          <w:p w14:paraId="43B31A74" w14:textId="334A8D5B" w:rsidR="009F04FB" w:rsidRPr="00FC598A" w:rsidRDefault="009F04FB" w:rsidP="009E76A6">
            <w:pPr>
              <w:jc w:val="center"/>
              <w:rPr>
                <w:sz w:val="20"/>
                <w:szCs w:val="20"/>
              </w:rPr>
            </w:pPr>
            <w:r>
              <w:rPr>
                <w:sz w:val="20"/>
                <w:szCs w:val="20"/>
              </w:rPr>
              <w:t>578</w:t>
            </w:r>
          </w:p>
        </w:tc>
        <w:tc>
          <w:tcPr>
            <w:tcW w:w="374" w:type="pct"/>
            <w:gridSpan w:val="2"/>
            <w:shd w:val="clear" w:color="auto" w:fill="auto"/>
          </w:tcPr>
          <w:p w14:paraId="68C5ADCC" w14:textId="37456189" w:rsidR="009F04FB" w:rsidRPr="00FC598A" w:rsidRDefault="009F04FB" w:rsidP="009E76A6">
            <w:pPr>
              <w:jc w:val="center"/>
              <w:rPr>
                <w:sz w:val="20"/>
                <w:szCs w:val="20"/>
              </w:rPr>
            </w:pPr>
            <w:r>
              <w:rPr>
                <w:sz w:val="20"/>
                <w:szCs w:val="20"/>
              </w:rPr>
              <w:t>61</w:t>
            </w:r>
          </w:p>
        </w:tc>
        <w:tc>
          <w:tcPr>
            <w:tcW w:w="374" w:type="pct"/>
            <w:gridSpan w:val="2"/>
            <w:shd w:val="clear" w:color="auto" w:fill="auto"/>
          </w:tcPr>
          <w:p w14:paraId="490AB5FF" w14:textId="3B05DC83" w:rsidR="009F04FB" w:rsidRPr="00FC598A" w:rsidRDefault="009F04FB" w:rsidP="009E76A6">
            <w:pPr>
              <w:jc w:val="center"/>
              <w:rPr>
                <w:sz w:val="20"/>
                <w:szCs w:val="20"/>
              </w:rPr>
            </w:pPr>
            <w:r>
              <w:rPr>
                <w:sz w:val="20"/>
                <w:szCs w:val="20"/>
              </w:rPr>
              <w:t>34</w:t>
            </w:r>
          </w:p>
        </w:tc>
        <w:tc>
          <w:tcPr>
            <w:tcW w:w="374" w:type="pct"/>
            <w:gridSpan w:val="2"/>
            <w:shd w:val="clear" w:color="auto" w:fill="auto"/>
          </w:tcPr>
          <w:p w14:paraId="4430F325" w14:textId="77777777" w:rsidR="009F04FB" w:rsidRPr="00FC598A" w:rsidRDefault="009F04FB" w:rsidP="009E76A6">
            <w:pPr>
              <w:jc w:val="center"/>
              <w:rPr>
                <w:sz w:val="20"/>
                <w:szCs w:val="20"/>
              </w:rPr>
            </w:pPr>
            <w:r>
              <w:rPr>
                <w:sz w:val="20"/>
                <w:szCs w:val="20"/>
              </w:rPr>
              <w:t>55.7</w:t>
            </w:r>
          </w:p>
        </w:tc>
        <w:tc>
          <w:tcPr>
            <w:tcW w:w="374" w:type="pct"/>
            <w:gridSpan w:val="2"/>
            <w:shd w:val="clear" w:color="auto" w:fill="auto"/>
          </w:tcPr>
          <w:p w14:paraId="24ECA790" w14:textId="63767A22" w:rsidR="009F04FB" w:rsidRPr="00FC598A" w:rsidRDefault="009F04FB" w:rsidP="009E76A6">
            <w:pPr>
              <w:jc w:val="center"/>
              <w:rPr>
                <w:sz w:val="20"/>
                <w:szCs w:val="20"/>
              </w:rPr>
            </w:pPr>
            <w:r>
              <w:rPr>
                <w:sz w:val="20"/>
                <w:szCs w:val="20"/>
              </w:rPr>
              <w:t>85</w:t>
            </w:r>
          </w:p>
        </w:tc>
        <w:tc>
          <w:tcPr>
            <w:tcW w:w="374" w:type="pct"/>
            <w:gridSpan w:val="2"/>
            <w:shd w:val="clear" w:color="auto" w:fill="auto"/>
          </w:tcPr>
          <w:p w14:paraId="3AF4DA05" w14:textId="6B3DDF15" w:rsidR="009F04FB" w:rsidRPr="00FC598A" w:rsidRDefault="009F04FB" w:rsidP="009E76A6">
            <w:pPr>
              <w:jc w:val="center"/>
              <w:rPr>
                <w:sz w:val="20"/>
                <w:szCs w:val="20"/>
              </w:rPr>
            </w:pPr>
            <w:r>
              <w:rPr>
                <w:sz w:val="20"/>
                <w:szCs w:val="20"/>
              </w:rPr>
              <w:t>464</w:t>
            </w:r>
          </w:p>
        </w:tc>
      </w:tr>
      <w:tr w:rsidR="009F04FB" w:rsidRPr="00FC598A" w14:paraId="533985BC" w14:textId="77777777" w:rsidTr="009F04FB">
        <w:tc>
          <w:tcPr>
            <w:tcW w:w="1262" w:type="pct"/>
            <w:shd w:val="clear" w:color="auto" w:fill="auto"/>
          </w:tcPr>
          <w:p w14:paraId="70A503A5" w14:textId="64F41236" w:rsidR="009F04FB" w:rsidRDefault="009F04FB" w:rsidP="009E76A6">
            <w:pPr>
              <w:rPr>
                <w:sz w:val="20"/>
                <w:szCs w:val="20"/>
              </w:rPr>
            </w:pPr>
            <w:r>
              <w:rPr>
                <w:sz w:val="20"/>
                <w:szCs w:val="20"/>
              </w:rPr>
              <w:t>12 – 17 years</w:t>
            </w:r>
          </w:p>
        </w:tc>
        <w:tc>
          <w:tcPr>
            <w:tcW w:w="373" w:type="pct"/>
            <w:shd w:val="clear" w:color="auto" w:fill="auto"/>
          </w:tcPr>
          <w:p w14:paraId="5A14630F" w14:textId="4A9011DA" w:rsidR="009F04FB" w:rsidRPr="00FC598A" w:rsidRDefault="009F04FB" w:rsidP="009E76A6">
            <w:pPr>
              <w:jc w:val="center"/>
              <w:rPr>
                <w:sz w:val="20"/>
                <w:szCs w:val="20"/>
              </w:rPr>
            </w:pPr>
            <w:r>
              <w:rPr>
                <w:sz w:val="20"/>
                <w:szCs w:val="20"/>
              </w:rPr>
              <w:t>80</w:t>
            </w:r>
          </w:p>
        </w:tc>
        <w:tc>
          <w:tcPr>
            <w:tcW w:w="374" w:type="pct"/>
            <w:gridSpan w:val="2"/>
            <w:shd w:val="clear" w:color="auto" w:fill="auto"/>
          </w:tcPr>
          <w:p w14:paraId="0589C71B" w14:textId="1289E6D6" w:rsidR="009F04FB" w:rsidRPr="00FC598A" w:rsidRDefault="009F04FB" w:rsidP="009E76A6">
            <w:pPr>
              <w:jc w:val="center"/>
              <w:rPr>
                <w:sz w:val="20"/>
                <w:szCs w:val="20"/>
              </w:rPr>
            </w:pPr>
            <w:r>
              <w:rPr>
                <w:sz w:val="20"/>
                <w:szCs w:val="20"/>
              </w:rPr>
              <w:t>45</w:t>
            </w:r>
          </w:p>
        </w:tc>
        <w:tc>
          <w:tcPr>
            <w:tcW w:w="374" w:type="pct"/>
            <w:gridSpan w:val="2"/>
            <w:shd w:val="clear" w:color="auto" w:fill="auto"/>
          </w:tcPr>
          <w:p w14:paraId="7BF0C76B" w14:textId="77777777" w:rsidR="009F04FB" w:rsidRPr="00FC598A" w:rsidRDefault="009F04FB" w:rsidP="009E76A6">
            <w:pPr>
              <w:jc w:val="center"/>
              <w:rPr>
                <w:sz w:val="20"/>
                <w:szCs w:val="20"/>
              </w:rPr>
            </w:pPr>
            <w:r>
              <w:rPr>
                <w:sz w:val="20"/>
                <w:szCs w:val="20"/>
              </w:rPr>
              <w:t>56.3</w:t>
            </w:r>
          </w:p>
        </w:tc>
        <w:tc>
          <w:tcPr>
            <w:tcW w:w="374" w:type="pct"/>
            <w:shd w:val="clear" w:color="auto" w:fill="auto"/>
          </w:tcPr>
          <w:p w14:paraId="5F1F471C" w14:textId="25FCDD9B" w:rsidR="009F04FB" w:rsidRPr="00FC598A" w:rsidRDefault="009F04FB" w:rsidP="009E76A6">
            <w:pPr>
              <w:jc w:val="center"/>
              <w:rPr>
                <w:sz w:val="20"/>
                <w:szCs w:val="20"/>
              </w:rPr>
            </w:pPr>
            <w:r>
              <w:rPr>
                <w:sz w:val="20"/>
                <w:szCs w:val="20"/>
              </w:rPr>
              <w:t>153</w:t>
            </w:r>
          </w:p>
        </w:tc>
        <w:tc>
          <w:tcPr>
            <w:tcW w:w="374" w:type="pct"/>
            <w:gridSpan w:val="2"/>
            <w:shd w:val="clear" w:color="auto" w:fill="auto"/>
          </w:tcPr>
          <w:p w14:paraId="11A81B85" w14:textId="36014BC9" w:rsidR="009F04FB" w:rsidRPr="00FC598A" w:rsidRDefault="009F04FB" w:rsidP="009E76A6">
            <w:pPr>
              <w:jc w:val="center"/>
              <w:rPr>
                <w:sz w:val="20"/>
                <w:szCs w:val="20"/>
              </w:rPr>
            </w:pPr>
            <w:r>
              <w:rPr>
                <w:sz w:val="20"/>
                <w:szCs w:val="20"/>
              </w:rPr>
              <w:t>635</w:t>
            </w:r>
          </w:p>
        </w:tc>
        <w:tc>
          <w:tcPr>
            <w:tcW w:w="374" w:type="pct"/>
            <w:gridSpan w:val="2"/>
            <w:shd w:val="clear" w:color="auto" w:fill="auto"/>
          </w:tcPr>
          <w:p w14:paraId="3F3A55F2" w14:textId="60C676DF" w:rsidR="009F04FB" w:rsidRPr="00FC598A" w:rsidRDefault="009F04FB" w:rsidP="009E76A6">
            <w:pPr>
              <w:jc w:val="center"/>
              <w:rPr>
                <w:sz w:val="20"/>
                <w:szCs w:val="20"/>
              </w:rPr>
            </w:pPr>
            <w:r>
              <w:rPr>
                <w:sz w:val="20"/>
                <w:szCs w:val="20"/>
              </w:rPr>
              <w:t>77</w:t>
            </w:r>
          </w:p>
        </w:tc>
        <w:tc>
          <w:tcPr>
            <w:tcW w:w="374" w:type="pct"/>
            <w:gridSpan w:val="2"/>
            <w:shd w:val="clear" w:color="auto" w:fill="auto"/>
          </w:tcPr>
          <w:p w14:paraId="79348671" w14:textId="4868BCFC" w:rsidR="009F04FB" w:rsidRPr="00FC598A" w:rsidRDefault="009F04FB" w:rsidP="009E76A6">
            <w:pPr>
              <w:jc w:val="center"/>
              <w:rPr>
                <w:sz w:val="20"/>
                <w:szCs w:val="20"/>
              </w:rPr>
            </w:pPr>
            <w:r>
              <w:rPr>
                <w:sz w:val="20"/>
                <w:szCs w:val="20"/>
              </w:rPr>
              <w:t>51</w:t>
            </w:r>
          </w:p>
        </w:tc>
        <w:tc>
          <w:tcPr>
            <w:tcW w:w="374" w:type="pct"/>
            <w:gridSpan w:val="2"/>
            <w:shd w:val="clear" w:color="auto" w:fill="auto"/>
          </w:tcPr>
          <w:p w14:paraId="2A37118C" w14:textId="77777777" w:rsidR="009F04FB" w:rsidRPr="00FC598A" w:rsidRDefault="009F04FB" w:rsidP="009E76A6">
            <w:pPr>
              <w:jc w:val="center"/>
              <w:rPr>
                <w:sz w:val="20"/>
                <w:szCs w:val="20"/>
              </w:rPr>
            </w:pPr>
            <w:r>
              <w:rPr>
                <w:sz w:val="20"/>
                <w:szCs w:val="20"/>
              </w:rPr>
              <w:t>66.2</w:t>
            </w:r>
          </w:p>
        </w:tc>
        <w:tc>
          <w:tcPr>
            <w:tcW w:w="374" w:type="pct"/>
            <w:gridSpan w:val="2"/>
            <w:shd w:val="clear" w:color="auto" w:fill="auto"/>
          </w:tcPr>
          <w:p w14:paraId="1DA8F929" w14:textId="47B0661C" w:rsidR="009F04FB" w:rsidRPr="00FC598A" w:rsidRDefault="009F04FB" w:rsidP="009E76A6">
            <w:pPr>
              <w:jc w:val="center"/>
              <w:rPr>
                <w:sz w:val="20"/>
                <w:szCs w:val="20"/>
              </w:rPr>
            </w:pPr>
            <w:r>
              <w:rPr>
                <w:sz w:val="20"/>
                <w:szCs w:val="20"/>
              </w:rPr>
              <w:t>154</w:t>
            </w:r>
          </w:p>
        </w:tc>
        <w:tc>
          <w:tcPr>
            <w:tcW w:w="374" w:type="pct"/>
            <w:gridSpan w:val="2"/>
            <w:shd w:val="clear" w:color="auto" w:fill="auto"/>
          </w:tcPr>
          <w:p w14:paraId="6F16A80A" w14:textId="67BA9A1E" w:rsidR="009F04FB" w:rsidRPr="00FC598A" w:rsidRDefault="009F04FB" w:rsidP="009E76A6">
            <w:pPr>
              <w:jc w:val="center"/>
              <w:rPr>
                <w:sz w:val="20"/>
                <w:szCs w:val="20"/>
              </w:rPr>
            </w:pPr>
            <w:r>
              <w:rPr>
                <w:sz w:val="20"/>
                <w:szCs w:val="20"/>
              </w:rPr>
              <w:t>660</w:t>
            </w:r>
          </w:p>
        </w:tc>
      </w:tr>
    </w:tbl>
    <w:p w14:paraId="4B1EF57A" w14:textId="4C534B57" w:rsidR="00F63F98" w:rsidRPr="00C71071" w:rsidRDefault="00C71071" w:rsidP="0083278B">
      <w:pPr>
        <w:rPr>
          <w:sz w:val="20"/>
          <w:szCs w:val="20"/>
        </w:rPr>
      </w:pPr>
      <w:r w:rsidRPr="00C71071">
        <w:rPr>
          <w:sz w:val="20"/>
          <w:szCs w:val="20"/>
        </w:rPr>
        <w:t>N = Number of patients</w:t>
      </w:r>
    </w:p>
    <w:p w14:paraId="327E13FC" w14:textId="7CB765DC" w:rsidR="00C71071" w:rsidRDefault="00C71071" w:rsidP="0083278B">
      <w:pPr>
        <w:rPr>
          <w:sz w:val="20"/>
          <w:szCs w:val="20"/>
        </w:rPr>
      </w:pPr>
      <w:r w:rsidRPr="00C71071">
        <w:rPr>
          <w:sz w:val="20"/>
          <w:szCs w:val="20"/>
        </w:rPr>
        <w:t xml:space="preserve">n = number of patients </w:t>
      </w:r>
      <w:r>
        <w:rPr>
          <w:sz w:val="20"/>
          <w:szCs w:val="20"/>
        </w:rPr>
        <w:t>experiencing</w:t>
      </w:r>
      <w:r w:rsidRPr="00C71071">
        <w:rPr>
          <w:sz w:val="20"/>
          <w:szCs w:val="20"/>
        </w:rPr>
        <w:t xml:space="preserve"> an event</w:t>
      </w:r>
    </w:p>
    <w:p w14:paraId="0CE2374D" w14:textId="77777777" w:rsidR="009F04FB" w:rsidRPr="009F04FB" w:rsidRDefault="009F04FB" w:rsidP="009F04FB">
      <w:pPr>
        <w:rPr>
          <w:sz w:val="20"/>
          <w:szCs w:val="20"/>
        </w:rPr>
      </w:pPr>
      <w:r w:rsidRPr="009F04FB">
        <w:rPr>
          <w:sz w:val="20"/>
          <w:szCs w:val="20"/>
        </w:rPr>
        <w:t>%: Percentage of Subjects with the Event</w:t>
      </w:r>
    </w:p>
    <w:p w14:paraId="5D7038BF" w14:textId="77777777" w:rsidR="009F04FB" w:rsidRPr="009F04FB" w:rsidRDefault="009F04FB" w:rsidP="009F04FB">
      <w:pPr>
        <w:rPr>
          <w:sz w:val="20"/>
          <w:szCs w:val="20"/>
        </w:rPr>
      </w:pPr>
      <w:r w:rsidRPr="009F04FB">
        <w:rPr>
          <w:sz w:val="20"/>
          <w:szCs w:val="20"/>
        </w:rPr>
        <w:t>E: Number of Events</w:t>
      </w:r>
    </w:p>
    <w:p w14:paraId="22CB9785" w14:textId="353DE4EF" w:rsidR="009F04FB" w:rsidRDefault="009F04FB" w:rsidP="009F04FB">
      <w:r w:rsidRPr="009F04FB">
        <w:rPr>
          <w:sz w:val="20"/>
          <w:szCs w:val="20"/>
        </w:rPr>
        <w:t>R: Event Rate per 100 Patient Year(s) of Exposure</w:t>
      </w:r>
    </w:p>
    <w:p w14:paraId="41AEC21F" w14:textId="77777777" w:rsidR="00C71071" w:rsidRDefault="00C71071" w:rsidP="0083278B"/>
    <w:p w14:paraId="2C144269" w14:textId="61806DF7" w:rsidR="002D6FD6" w:rsidRPr="002D6FD6" w:rsidRDefault="002D6FD6" w:rsidP="0083278B">
      <w:r w:rsidRPr="002D6FD6">
        <w:t xml:space="preserve">Efficacy and safety evaluation for adolescent patients with type 2 diabetes mellitus has been made using data from adolescent and adult patients with type 1 diabetes mellitus and adult patients with type 2 diabetes mellitus. This assessment supports the use of </w:t>
      </w:r>
      <w:r w:rsidR="00861832">
        <w:rPr>
          <w:bCs/>
          <w:iCs/>
          <w:lang w:val="en-GB"/>
        </w:rPr>
        <w:t>RYZODEG 70/30</w:t>
      </w:r>
      <w:r w:rsidRPr="002D6FD6">
        <w:t xml:space="preserve"> in adolescent patients with type 2 diabetes mellitus.</w:t>
      </w:r>
    </w:p>
    <w:p w14:paraId="0396AF1F" w14:textId="77777777" w:rsidR="00312A37" w:rsidRDefault="00312A37" w:rsidP="00312A37">
      <w:pPr>
        <w:rPr>
          <w:i/>
          <w:iCs/>
        </w:rPr>
      </w:pPr>
    </w:p>
    <w:p w14:paraId="2044924F" w14:textId="1C818D89" w:rsidR="00FC598A" w:rsidRPr="00312A37" w:rsidRDefault="00FC598A" w:rsidP="00312A37">
      <w:pPr>
        <w:rPr>
          <w:i/>
          <w:iCs/>
        </w:rPr>
      </w:pPr>
      <w:r w:rsidRPr="00312A37">
        <w:rPr>
          <w:i/>
          <w:iCs/>
        </w:rPr>
        <w:t>Cardiovascular evaluation</w:t>
      </w:r>
    </w:p>
    <w:p w14:paraId="01ADA437" w14:textId="4B4F20BD" w:rsidR="00CA26CB" w:rsidRDefault="00CA26CB" w:rsidP="007644BB">
      <w:pPr>
        <w:rPr>
          <w:iCs/>
          <w:lang w:val="en-GB"/>
        </w:rPr>
      </w:pPr>
      <w:r w:rsidRPr="00CA26CB">
        <w:rPr>
          <w:iCs/>
          <w:lang w:val="en-GB"/>
        </w:rPr>
        <w:t xml:space="preserve">DEVOTE was a randomised, double-blind, </w:t>
      </w:r>
      <w:r w:rsidR="007644BB" w:rsidRPr="007F1A03">
        <w:rPr>
          <w:iCs/>
          <w:lang w:val="en-GB"/>
        </w:rPr>
        <w:t xml:space="preserve">active-controlled, treat-to-target </w:t>
      </w:r>
      <w:r w:rsidRPr="007F1A03">
        <w:rPr>
          <w:iCs/>
          <w:lang w:val="en-GB"/>
        </w:rPr>
        <w:t xml:space="preserve">and event-driven clinical trial with a median duration of 2 years comparing the cardiovascular safety of insulin degludec versus insulin glargine (100 units/ml) in 7,637 patients with type 2 diabetes mellitus at high risk of cardiovascular events. </w:t>
      </w:r>
      <w:r w:rsidR="007644BB" w:rsidRPr="007F1A03">
        <w:rPr>
          <w:iCs/>
          <w:lang w:val="en-GB"/>
        </w:rPr>
        <w:t>Patients eligible to enter the trial were 50 years of age or older and had established, stable, cardiovascular, cerebrovascular, peripheral artery disease, chronic kidney disease or N</w:t>
      </w:r>
      <w:r w:rsidR="00250E8A" w:rsidRPr="007F1A03">
        <w:rPr>
          <w:iCs/>
          <w:lang w:val="en-GB"/>
        </w:rPr>
        <w:t>Y</w:t>
      </w:r>
      <w:r w:rsidR="007644BB" w:rsidRPr="007F1A03">
        <w:rPr>
          <w:iCs/>
          <w:lang w:val="en-GB"/>
        </w:rPr>
        <w:t>HA class II and III heart failure (85% of the enrolled population) or were 60 years of age or older and had other specified risk factors for cardiovascular disease (15% of the enrolled population).</w:t>
      </w:r>
    </w:p>
    <w:p w14:paraId="7D817857" w14:textId="77777777" w:rsidR="00070F4C" w:rsidRPr="00CA26CB" w:rsidRDefault="00070F4C" w:rsidP="00CA26CB">
      <w:pPr>
        <w:rPr>
          <w:iCs/>
          <w:lang w:val="en-GB"/>
        </w:rPr>
      </w:pPr>
    </w:p>
    <w:p w14:paraId="6AF2A1CF" w14:textId="77777777" w:rsidR="00CA26CB" w:rsidRDefault="00CA26CB" w:rsidP="00CA26CB">
      <w:pPr>
        <w:rPr>
          <w:iCs/>
          <w:lang w:val="en-GB"/>
        </w:rPr>
      </w:pPr>
      <w:r w:rsidRPr="00CA26CB">
        <w:rPr>
          <w:iCs/>
          <w:lang w:val="en-GB"/>
        </w:rPr>
        <w:t xml:space="preserve">The primary analysis was time from randomisation to first occurrence of a 3-component major adverse cardiovascular event (MACE) defined as cardiovascular death, non-fatal myocardial infarction, or non-fatal stroke. The trial was designed as a non-inferiority trial to exclude a pre-specified risk margin of 1.3 for the hazard ratio of MACE comparing insulin degludec to insulin glargine. The cardiovascular safety of insulin degludec as compared to insulin glargine was confirmed (Figure </w:t>
      </w:r>
      <w:r w:rsidR="00B15689">
        <w:rPr>
          <w:iCs/>
          <w:lang w:val="en-GB"/>
        </w:rPr>
        <w:t>2</w:t>
      </w:r>
      <w:r w:rsidRPr="00CA26CB">
        <w:rPr>
          <w:iCs/>
          <w:lang w:val="en-GB"/>
        </w:rPr>
        <w:t xml:space="preserve">). </w:t>
      </w:r>
    </w:p>
    <w:p w14:paraId="79366ADF" w14:textId="77777777" w:rsidR="00CA26CB" w:rsidRDefault="00CA26CB" w:rsidP="00CA26CB">
      <w:pPr>
        <w:rPr>
          <w:rFonts w:eastAsia="Times New Roman"/>
          <w:noProof/>
          <w:sz w:val="22"/>
          <w:szCs w:val="22"/>
          <w:lang w:val="en-US"/>
        </w:rPr>
      </w:pPr>
      <w:r w:rsidRPr="000A20E2">
        <w:rPr>
          <w:rFonts w:eastAsia="Times New Roman"/>
          <w:noProof/>
          <w:sz w:val="22"/>
          <w:szCs w:val="22"/>
          <w:lang w:val="en-US"/>
        </w:rPr>
        <w:object w:dxaOrig="7260" w:dyaOrig="2880" w14:anchorId="79A79163">
          <v:shape id="_x0000_i1026" type="#_x0000_t75" style="width:362.5pt;height:2in" o:ole="">
            <v:imagedata r:id="rId12" o:title=""/>
          </v:shape>
          <o:OLEObject Type="Embed" ProgID="Word.Document.12" ShapeID="_x0000_i1026" DrawAspect="Content" ObjectID="_1658061233" r:id="rId13">
            <o:FieldCodes>\s</o:FieldCodes>
          </o:OLEObject>
        </w:object>
      </w:r>
    </w:p>
    <w:p w14:paraId="37AEE3C6" w14:textId="77777777" w:rsidR="00CA26CB" w:rsidRPr="007F1A03" w:rsidRDefault="00070F4C" w:rsidP="00CA26CB">
      <w:pPr>
        <w:rPr>
          <w:iCs/>
          <w:sz w:val="20"/>
          <w:szCs w:val="20"/>
          <w:lang w:val="en-GB"/>
        </w:rPr>
      </w:pPr>
      <w:r w:rsidRPr="007F1A03">
        <w:rPr>
          <w:iCs/>
          <w:sz w:val="20"/>
          <w:szCs w:val="20"/>
          <w:lang w:val="en-US"/>
        </w:rPr>
        <w:t>N: Number of subjects with a first EAC confirmed event during trial. %: Percentage of subjects with a first EAC confirmed event, relative to the number of randomised subjects. EAC: Event adjudication committee. CV: Cardiovascular. MI: Myocardial infarction. CI: 95% confidence interval</w:t>
      </w:r>
    </w:p>
    <w:p w14:paraId="4B64F906" w14:textId="311F84F5" w:rsidR="00CA26CB" w:rsidRPr="00CA26CB" w:rsidRDefault="00CA26CB" w:rsidP="00CA26CB">
      <w:pPr>
        <w:rPr>
          <w:iCs/>
          <w:u w:val="single"/>
          <w:lang w:val="en-GB"/>
        </w:rPr>
      </w:pPr>
      <w:r w:rsidRPr="00DB28AD">
        <w:rPr>
          <w:b/>
          <w:bCs/>
        </w:rPr>
        <w:t xml:space="preserve">Figure </w:t>
      </w:r>
      <w:r w:rsidRPr="00DB28AD">
        <w:rPr>
          <w:b/>
          <w:bCs/>
        </w:rPr>
        <w:fldChar w:fldCharType="begin"/>
      </w:r>
      <w:r w:rsidRPr="00DB28AD">
        <w:rPr>
          <w:b/>
          <w:bCs/>
        </w:rPr>
        <w:instrText xml:space="preserve"> SEQ Figure \* ARABIC </w:instrText>
      </w:r>
      <w:r w:rsidRPr="00DB28AD">
        <w:rPr>
          <w:b/>
          <w:bCs/>
        </w:rPr>
        <w:fldChar w:fldCharType="separate"/>
      </w:r>
      <w:r w:rsidR="00B15689">
        <w:rPr>
          <w:b/>
          <w:bCs/>
          <w:noProof/>
        </w:rPr>
        <w:t>2</w:t>
      </w:r>
      <w:r w:rsidRPr="00DB28AD">
        <w:fldChar w:fldCharType="end"/>
      </w:r>
      <w:r w:rsidRPr="00DB28AD">
        <w:rPr>
          <w:b/>
          <w:bCs/>
        </w:rPr>
        <w:t xml:space="preserve">: </w:t>
      </w:r>
      <w:r w:rsidRPr="00CA26CB">
        <w:rPr>
          <w:b/>
          <w:bCs/>
          <w:lang w:val="en-GB"/>
        </w:rPr>
        <w:t>Forest plot of a</w:t>
      </w:r>
      <w:proofErr w:type="spellStart"/>
      <w:r w:rsidRPr="00CA26CB">
        <w:rPr>
          <w:b/>
          <w:bCs/>
          <w:lang w:val="en-US"/>
        </w:rPr>
        <w:t>nalysis</w:t>
      </w:r>
      <w:proofErr w:type="spellEnd"/>
      <w:r w:rsidRPr="00CA26CB">
        <w:rPr>
          <w:b/>
          <w:bCs/>
          <w:lang w:val="en-US"/>
        </w:rPr>
        <w:t xml:space="preserve"> of the composite 3-point MACE and individual cardiovascular endpoints in DEVOTE</w:t>
      </w:r>
    </w:p>
    <w:p w14:paraId="7BB229B4" w14:textId="77777777" w:rsidR="00070F4C" w:rsidRDefault="00070F4C" w:rsidP="00FC598A">
      <w:pPr>
        <w:rPr>
          <w:lang w:val="en-GB"/>
        </w:rPr>
      </w:pPr>
    </w:p>
    <w:p w14:paraId="6359533E" w14:textId="213C69B9" w:rsidR="00070F4C" w:rsidRPr="00070F4C" w:rsidRDefault="00070F4C" w:rsidP="00070F4C">
      <w:pPr>
        <w:rPr>
          <w:lang w:val="en-GB"/>
        </w:rPr>
      </w:pPr>
      <w:r w:rsidRPr="00070F4C">
        <w:rPr>
          <w:lang w:val="en-GB"/>
        </w:rPr>
        <w:t xml:space="preserve">The cardiovascular safety of </w:t>
      </w:r>
      <w:r w:rsidRPr="00070F4C">
        <w:rPr>
          <w:iCs/>
          <w:lang w:val="en-GB"/>
        </w:rPr>
        <w:t>insulin degludec</w:t>
      </w:r>
      <w:r w:rsidRPr="00070F4C">
        <w:rPr>
          <w:lang w:val="en-GB"/>
        </w:rPr>
        <w:t xml:space="preserve"> as compared to insulin glargine (100</w:t>
      </w:r>
      <w:r w:rsidRPr="00070F4C">
        <w:rPr>
          <w:iCs/>
          <w:lang w:val="en-GB"/>
        </w:rPr>
        <w:t> </w:t>
      </w:r>
      <w:r w:rsidRPr="00070F4C">
        <w:rPr>
          <w:lang w:val="en-GB"/>
        </w:rPr>
        <w:t>units/ml) was confirmed (HR: 0.91; 95% CI [0.78;1.06], p = 0.209).</w:t>
      </w:r>
    </w:p>
    <w:p w14:paraId="2B1F36DE" w14:textId="77777777" w:rsidR="00070F4C" w:rsidRDefault="00070F4C" w:rsidP="00FC598A">
      <w:pPr>
        <w:rPr>
          <w:lang w:val="en-GB"/>
        </w:rPr>
      </w:pPr>
    </w:p>
    <w:p w14:paraId="6788B36B" w14:textId="1062F3E3" w:rsidR="00070F4C" w:rsidRDefault="00070F4C" w:rsidP="00070F4C">
      <w:pPr>
        <w:rPr>
          <w:iCs/>
          <w:lang w:val="en-GB"/>
        </w:rPr>
      </w:pPr>
      <w:r w:rsidRPr="00070F4C">
        <w:rPr>
          <w:iCs/>
          <w:lang w:val="en-GB"/>
        </w:rPr>
        <w:t>Similar improvements in HbA</w:t>
      </w:r>
      <w:r w:rsidRPr="00070F4C">
        <w:rPr>
          <w:iCs/>
          <w:vertAlign w:val="subscript"/>
          <w:lang w:val="en-GB"/>
        </w:rPr>
        <w:t>1c</w:t>
      </w:r>
      <w:r w:rsidRPr="00070F4C">
        <w:rPr>
          <w:iCs/>
          <w:lang w:val="en-GB"/>
        </w:rPr>
        <w:t xml:space="preserve"> were achieved with insulin degludec and insulin glargine, and a greater reduction in FPG was achieved with insulin degludec.</w:t>
      </w:r>
    </w:p>
    <w:p w14:paraId="025808BC" w14:textId="77777777" w:rsidR="00070F4C" w:rsidRPr="00070F4C" w:rsidRDefault="00070F4C" w:rsidP="00070F4C">
      <w:pPr>
        <w:rPr>
          <w:iCs/>
          <w:lang w:val="en-GB"/>
        </w:rPr>
      </w:pPr>
    </w:p>
    <w:p w14:paraId="0653C741" w14:textId="32C9433B" w:rsidR="00070F4C" w:rsidRDefault="00070F4C" w:rsidP="00070F4C">
      <w:pPr>
        <w:rPr>
          <w:iCs/>
          <w:lang w:val="en-GB"/>
        </w:rPr>
      </w:pPr>
      <w:r w:rsidRPr="00070F4C">
        <w:rPr>
          <w:iCs/>
          <w:lang w:val="en-GB"/>
        </w:rPr>
        <w:t>Insulin degludec was superior compared to insulin glargine in terms of a lower rate of severe hypoglycaemic events and a lower proportion of subjects experiencing severe hypoglycaemia. The rate of nocturnal severe hypoglycaemia was significantly lower for insulin degludec compared to insulin glargine.</w:t>
      </w:r>
    </w:p>
    <w:p w14:paraId="14CAC816" w14:textId="77777777" w:rsidR="00C44B67" w:rsidRDefault="00C44B67" w:rsidP="00AD4BB0">
      <w:pPr>
        <w:pStyle w:val="Heading3"/>
      </w:pPr>
      <w:r>
        <w:t>5.2</w:t>
      </w:r>
      <w:r>
        <w:tab/>
        <w:t>Pharmacokinetic Properties</w:t>
      </w:r>
    </w:p>
    <w:p w14:paraId="426AB807" w14:textId="77777777" w:rsidR="00C44B67" w:rsidRDefault="00C44B67" w:rsidP="00AD4BB0">
      <w:pPr>
        <w:pStyle w:val="Heading4"/>
      </w:pPr>
      <w:r>
        <w:t>Absorption</w:t>
      </w:r>
    </w:p>
    <w:p w14:paraId="1322BBB0" w14:textId="77777777" w:rsidR="00C44B67" w:rsidRPr="00C44B67" w:rsidRDefault="00DB28AD" w:rsidP="00AD4BB0">
      <w:r w:rsidRPr="00DB28AD">
        <w:t xml:space="preserve">After subcutaneous injection, soluble and stable multi-hexamers of insulin degludec are formed creating a depot in the subcutaneous tissue, while not interfering with the rapid release of insulin aspart monomers into the circulation. Insulin degludec monomers gradually separate from the multi-hexamers resulting in a slow and continuous delivery of insulin degludec into the circulation. Steady-state serum concentrations of the ultra-long acting component (insulin degludec) is reached after 2-3 days of daily RYZODEG 70/30 administration. The rapid absorption characteristics of the </w:t>
      </w:r>
      <w:proofErr w:type="spellStart"/>
      <w:r w:rsidRPr="00DB28AD">
        <w:t>well established</w:t>
      </w:r>
      <w:proofErr w:type="spellEnd"/>
      <w:r w:rsidRPr="00DB28AD">
        <w:t xml:space="preserve"> insulin </w:t>
      </w:r>
      <w:proofErr w:type="spellStart"/>
      <w:r w:rsidRPr="00DB28AD">
        <w:t>aspart</w:t>
      </w:r>
      <w:proofErr w:type="spellEnd"/>
      <w:r w:rsidRPr="00DB28AD">
        <w:t xml:space="preserve"> are maintained by RYZODEG 70/30. The pharmacokinetic profile for insulin aspart appears 14 minutes after injection with a peak concentration after 72 minutes.</w:t>
      </w:r>
    </w:p>
    <w:p w14:paraId="36870BEE" w14:textId="77777777" w:rsidR="00C44B67" w:rsidRPr="00C44B67" w:rsidRDefault="00C44B67" w:rsidP="00AD4BB0">
      <w:pPr>
        <w:pStyle w:val="Heading4"/>
      </w:pPr>
      <w:r>
        <w:t>Distribution</w:t>
      </w:r>
    </w:p>
    <w:p w14:paraId="75E17DC1" w14:textId="77777777" w:rsidR="00C44B67" w:rsidRDefault="00DB28AD" w:rsidP="00AD4BB0">
      <w:r w:rsidRPr="00DB28AD">
        <w:t>The affinity of insulin degludec to serum albumin corresponds to a plasma protein binding of &gt;99% in human plasma. Insulin aspart has a low binding to plasma proteins, &lt;10%, similar to that seen with regular human insulin.</w:t>
      </w:r>
    </w:p>
    <w:p w14:paraId="66A23C36" w14:textId="77777777" w:rsidR="00C44B67" w:rsidRDefault="00C44B67" w:rsidP="00AD4BB0">
      <w:pPr>
        <w:pStyle w:val="Heading4"/>
      </w:pPr>
      <w:r>
        <w:t>Metabolism</w:t>
      </w:r>
    </w:p>
    <w:p w14:paraId="78ECE16B" w14:textId="77777777" w:rsidR="00C44B67" w:rsidRDefault="00DB28AD" w:rsidP="00AD4BB0">
      <w:r w:rsidRPr="00DB28AD">
        <w:t>Degradation of insulin degludec and insulin aspart is similar to that of human insulin.</w:t>
      </w:r>
    </w:p>
    <w:p w14:paraId="3290C51A" w14:textId="77777777" w:rsidR="00C44B67" w:rsidRDefault="00C44B67" w:rsidP="00AD4BB0">
      <w:pPr>
        <w:pStyle w:val="Heading4"/>
      </w:pPr>
      <w:r>
        <w:lastRenderedPageBreak/>
        <w:t>Excretion</w:t>
      </w:r>
    </w:p>
    <w:p w14:paraId="76E63A67" w14:textId="77777777" w:rsidR="00C44B67" w:rsidRDefault="00FC598A" w:rsidP="00AD4BB0">
      <w:r w:rsidRPr="00FC598A">
        <w:t>The half-life after subcutaneous administration of RYZODEG 70/30 is determined by the rate of absorption from the subcutaneous tissue. The half-life of the basal component, insulin degludec, at steady-state is approximately 25 hours independent of dose.</w:t>
      </w:r>
    </w:p>
    <w:p w14:paraId="795B77F4" w14:textId="77777777" w:rsidR="00FC598A" w:rsidRPr="00FC598A" w:rsidRDefault="00FC598A" w:rsidP="00FC598A">
      <w:pPr>
        <w:pStyle w:val="Heading4"/>
      </w:pPr>
      <w:r w:rsidRPr="00FC598A">
        <w:t>Linearity</w:t>
      </w:r>
    </w:p>
    <w:p w14:paraId="4515B344" w14:textId="77777777" w:rsidR="00FC598A" w:rsidRPr="00FC598A" w:rsidRDefault="00FC598A" w:rsidP="00FC598A">
      <w:r w:rsidRPr="00FC598A">
        <w:t>Total exposure with RYZODEG 70/30 increases proportionally with increasing dose of the basal component (insulin degludec) and the mealtime component (insulin aspart) in type 1 and type 2 diabetes mellitus.</w:t>
      </w:r>
    </w:p>
    <w:p w14:paraId="6C8B19A2" w14:textId="77777777" w:rsidR="00FC598A" w:rsidRPr="00FC598A" w:rsidRDefault="00FC598A" w:rsidP="00FC598A">
      <w:pPr>
        <w:pStyle w:val="Heading4"/>
      </w:pPr>
      <w:r w:rsidRPr="00FC598A">
        <w:t>Special populations</w:t>
      </w:r>
    </w:p>
    <w:p w14:paraId="2F634534" w14:textId="77777777" w:rsidR="00FC598A" w:rsidRPr="00FC598A" w:rsidRDefault="00FC598A" w:rsidP="00FC598A">
      <w:r w:rsidRPr="00FC598A">
        <w:t>Elderly, race, renal and hepatic impairment</w:t>
      </w:r>
    </w:p>
    <w:p w14:paraId="0E629E5B" w14:textId="77777777" w:rsidR="00FC598A" w:rsidRDefault="00FC598A" w:rsidP="00FC598A">
      <w:r w:rsidRPr="00FC598A">
        <w:t>There are no clinically relevant differences in the pharmacokinetics of RYZODEG 70/30 between elderly and younger adult subjects, between races or between healthy subjects and subjects with renal or hepatic impairment.</w:t>
      </w:r>
    </w:p>
    <w:p w14:paraId="7861C0F4" w14:textId="77777777" w:rsidR="00FC598A" w:rsidRPr="00FC598A" w:rsidRDefault="00FC598A" w:rsidP="00FC598A"/>
    <w:p w14:paraId="59343DCF" w14:textId="77777777" w:rsidR="00FC598A" w:rsidRDefault="00FC598A" w:rsidP="00FC598A">
      <w:pPr>
        <w:rPr>
          <w:rStyle w:val="Heading4Char"/>
        </w:rPr>
      </w:pPr>
      <w:r w:rsidRPr="00FC598A">
        <w:rPr>
          <w:rStyle w:val="Heading4Char"/>
        </w:rPr>
        <w:t>Gender</w:t>
      </w:r>
    </w:p>
    <w:p w14:paraId="44342110" w14:textId="77777777" w:rsidR="00FC598A" w:rsidRPr="00FC598A" w:rsidRDefault="00FC598A" w:rsidP="00FC598A">
      <w:r w:rsidRPr="00FC598A">
        <w:t>There are no gender differences in the pharmacokinetic properties of RYZODEG 70/30.</w:t>
      </w:r>
    </w:p>
    <w:p w14:paraId="1EE54E1D" w14:textId="77777777" w:rsidR="00FC598A" w:rsidRPr="00FC598A" w:rsidRDefault="00FC598A" w:rsidP="00FC598A">
      <w:pPr>
        <w:pStyle w:val="Heading4"/>
      </w:pPr>
      <w:r w:rsidRPr="00FC598A">
        <w:t xml:space="preserve">Paediatric population </w:t>
      </w:r>
    </w:p>
    <w:p w14:paraId="5DF26635" w14:textId="77777777" w:rsidR="006C4D44" w:rsidRDefault="00FC598A" w:rsidP="00AD4BB0">
      <w:r w:rsidRPr="00FC598A">
        <w:t xml:space="preserve">The pharmacokinetic properties of RYZODEG 70/30 in type 1 diabetes mellitus were investigated in children (6-11 years) and adolescents (12-18 years) and compared to adults after single dose administration. </w:t>
      </w:r>
    </w:p>
    <w:p w14:paraId="3747D785" w14:textId="77777777" w:rsidR="006C4D44" w:rsidRDefault="006C4D44" w:rsidP="00AD4BB0"/>
    <w:p w14:paraId="5A23E21B" w14:textId="16E94020" w:rsidR="006C4D44" w:rsidRDefault="006C4D44" w:rsidP="006C4D44">
      <w:pPr>
        <w:rPr>
          <w:lang w:val="en-GB"/>
        </w:rPr>
      </w:pPr>
      <w:r w:rsidRPr="006C4D44">
        <w:rPr>
          <w:lang w:val="en-GB"/>
        </w:rPr>
        <w:t xml:space="preserve">The steady state pharmacokinetics properties of the insulin degludec component of </w:t>
      </w:r>
      <w:r w:rsidR="00861832">
        <w:rPr>
          <w:bCs/>
          <w:iCs/>
          <w:lang w:val="en-GB"/>
        </w:rPr>
        <w:t>RYZODEG 70/30</w:t>
      </w:r>
      <w:r w:rsidRPr="006C4D44">
        <w:rPr>
          <w:lang w:val="en-GB"/>
        </w:rPr>
        <w:t xml:space="preserve"> were investigated using population pharmacokinetic analysis in children down to 1 year of age.</w:t>
      </w:r>
    </w:p>
    <w:p w14:paraId="2DA60904" w14:textId="77777777" w:rsidR="006C4D44" w:rsidRPr="006C4D44" w:rsidRDefault="006C4D44" w:rsidP="006C4D44">
      <w:pPr>
        <w:rPr>
          <w:lang w:val="en-GB"/>
        </w:rPr>
      </w:pPr>
    </w:p>
    <w:p w14:paraId="55B4A4CF" w14:textId="0E2CD2E0" w:rsidR="006C4D44" w:rsidRDefault="00FC598A" w:rsidP="00AD4BB0">
      <w:r w:rsidRPr="00FC598A">
        <w:t xml:space="preserve">Total exposure and peak concentration of insulin aspart </w:t>
      </w:r>
      <w:r w:rsidR="006C4D44">
        <w:t>we</w:t>
      </w:r>
      <w:r w:rsidRPr="00FC598A">
        <w:t xml:space="preserve">re higher in children than in adults and </w:t>
      </w:r>
      <w:r w:rsidR="006C4D44">
        <w:t>we</w:t>
      </w:r>
      <w:r w:rsidRPr="00FC598A">
        <w:t xml:space="preserve">re similar for adolescents and adults. </w:t>
      </w:r>
    </w:p>
    <w:p w14:paraId="0E23888C" w14:textId="77777777" w:rsidR="006C4D44" w:rsidRDefault="006C4D44" w:rsidP="00AD4BB0"/>
    <w:p w14:paraId="043A1331" w14:textId="5E7B6614" w:rsidR="00FC598A" w:rsidRDefault="00B16BD8" w:rsidP="00AD4BB0">
      <w:r w:rsidRPr="007F1A03">
        <w:t>At steady state,</w:t>
      </w:r>
      <w:r>
        <w:t xml:space="preserve"> t</w:t>
      </w:r>
      <w:r w:rsidR="00FC598A" w:rsidRPr="00FC598A">
        <w:t xml:space="preserve">he pharmacokinetic properties of insulin degludec in children </w:t>
      </w:r>
      <w:r w:rsidR="006C4D44">
        <w:t xml:space="preserve">(1-11 years) </w:t>
      </w:r>
      <w:r w:rsidR="00FC598A" w:rsidRPr="00FC598A">
        <w:t xml:space="preserve">and adolescents </w:t>
      </w:r>
      <w:r w:rsidR="006C4D44">
        <w:t xml:space="preserve">(12-18 years) </w:t>
      </w:r>
      <w:r w:rsidR="00FC598A" w:rsidRPr="00FC598A">
        <w:t xml:space="preserve">were comparable to those observed in adults with type 1 diabetes mellitus. Total exposure of insulin degludec after single dose administration </w:t>
      </w:r>
      <w:r w:rsidR="006C4D44">
        <w:t>wa</w:t>
      </w:r>
      <w:r w:rsidR="00FC598A" w:rsidRPr="00FC598A">
        <w:t>s, however, higher in children and adolescents than in adults with type 1 diabetes mellitus.</w:t>
      </w:r>
    </w:p>
    <w:p w14:paraId="42FEF859" w14:textId="77777777" w:rsidR="00C44B67" w:rsidRDefault="00F72421" w:rsidP="00AD4BB0">
      <w:pPr>
        <w:pStyle w:val="Heading3"/>
      </w:pPr>
      <w:r>
        <w:t>5.3</w:t>
      </w:r>
      <w:r>
        <w:tab/>
        <w:t>Preclinical Safety Data</w:t>
      </w:r>
    </w:p>
    <w:p w14:paraId="4A8A34FD" w14:textId="77777777" w:rsidR="00F72421" w:rsidRDefault="00F72421" w:rsidP="00AD4BB0">
      <w:pPr>
        <w:pStyle w:val="Heading4"/>
      </w:pPr>
      <w:r>
        <w:t>Genotoxicity</w:t>
      </w:r>
    </w:p>
    <w:p w14:paraId="331FB2C4" w14:textId="77777777" w:rsidR="00F72421" w:rsidRDefault="00500653" w:rsidP="00AD4BB0">
      <w:r w:rsidRPr="00500653">
        <w:t>Genotoxicity studies have not been carried out with insulin degludec. Insulin aspart did not cause gene mutations, chromosomal damage or DNA damage in a range of genotoxicity tests.</w:t>
      </w:r>
    </w:p>
    <w:p w14:paraId="6219CF69" w14:textId="77777777" w:rsidR="00F72421" w:rsidRDefault="00F72421" w:rsidP="00AD4BB0">
      <w:pPr>
        <w:pStyle w:val="Heading4"/>
      </w:pPr>
      <w:r>
        <w:t>Carcinogenicity</w:t>
      </w:r>
    </w:p>
    <w:p w14:paraId="1336D08E" w14:textId="77777777" w:rsidR="00500653" w:rsidRPr="00500653" w:rsidRDefault="00500653" w:rsidP="00500653">
      <w:r w:rsidRPr="00500653">
        <w:t xml:space="preserve">Standard 2-year carcinogenicity studies in animals have not been performed with insulin degludec and insulin aspart, either alone or in combination. </w:t>
      </w:r>
    </w:p>
    <w:p w14:paraId="38EB9028" w14:textId="77777777" w:rsidR="00500653" w:rsidRPr="00500653" w:rsidRDefault="00500653" w:rsidP="00500653"/>
    <w:p w14:paraId="40062DB1" w14:textId="77777777" w:rsidR="00500653" w:rsidRPr="00500653" w:rsidRDefault="00500653" w:rsidP="00500653">
      <w:r w:rsidRPr="00500653">
        <w:t xml:space="preserve">In a 52-week study with insulin degludec, rats received subcutaneous doses of up to 10 U/kg/day (resulting in 5 times the AUC in humans at a dose of 0.8 U/kg/day). No treatment-related increases in incidences of hyperplasia, benign or malignant tumours were recorded, and no treatment-related changes in female mammary gland cell proliferation were found </w:t>
      </w:r>
      <w:r w:rsidRPr="00500653">
        <w:lastRenderedPageBreak/>
        <w:t xml:space="preserve">using </w:t>
      </w:r>
      <w:proofErr w:type="spellStart"/>
      <w:r w:rsidRPr="00500653">
        <w:t>BrdU</w:t>
      </w:r>
      <w:proofErr w:type="spellEnd"/>
      <w:r w:rsidRPr="00500653">
        <w:t xml:space="preserve"> incorporation. </w:t>
      </w:r>
      <w:r w:rsidRPr="00500653">
        <w:rPr>
          <w:i/>
        </w:rPr>
        <w:t>In vitro</w:t>
      </w:r>
      <w:r w:rsidRPr="00500653">
        <w:t xml:space="preserve"> studies showed the ratio of mitogenic relative to metabolic potency for insulin degludec is unchanged compared to human insulin.</w:t>
      </w:r>
    </w:p>
    <w:p w14:paraId="4813AD00" w14:textId="77777777" w:rsidR="00F72421" w:rsidRDefault="00500653" w:rsidP="00500653">
      <w:r w:rsidRPr="00500653">
        <w:br/>
        <w:t xml:space="preserve">In 52-week repeat dose toxicity studies with insulin aspart in Sprague-Dawley rats at subcutaneous doses up to 50 U/kg/day, the only significant toxicity findings were related to hypoglycaemia. At a higher dose of 200 U/kg/day in female Sprague-Dawley rats, insulin aspart, like human insulin, caused induction of mammary tumours. The clinical relevance of these findings is not known. Neither clinical nor epidemiological studies conducted to date have shown an association between insulin use and carcinogenesis but the available evidence is considered too limited to be conclusive at this time. </w:t>
      </w:r>
      <w:r w:rsidRPr="00500653">
        <w:rPr>
          <w:i/>
        </w:rPr>
        <w:t>In vitro</w:t>
      </w:r>
      <w:r w:rsidRPr="00500653">
        <w:t xml:space="preserve"> studies showed that the mitogenic activity of insulin aspart does not differ from that observed with human insulin.</w:t>
      </w:r>
    </w:p>
    <w:p w14:paraId="35E0C0B4" w14:textId="77777777" w:rsidR="00F72421" w:rsidRDefault="00F72421" w:rsidP="00AD4BB0">
      <w:pPr>
        <w:pStyle w:val="Heading2"/>
      </w:pPr>
      <w:r>
        <w:t>6.</w:t>
      </w:r>
      <w:r>
        <w:tab/>
        <w:t>PHARMACEUTICAL PARTICULARS</w:t>
      </w:r>
    </w:p>
    <w:p w14:paraId="0A4D7BDB" w14:textId="77777777" w:rsidR="00F72421" w:rsidRDefault="00F72421" w:rsidP="00AD4BB0">
      <w:pPr>
        <w:pStyle w:val="Heading3"/>
      </w:pPr>
      <w:r>
        <w:t>6.1</w:t>
      </w:r>
      <w:r>
        <w:tab/>
        <w:t>List of Excipients</w:t>
      </w:r>
    </w:p>
    <w:p w14:paraId="59953874" w14:textId="77777777" w:rsidR="00DB28AD" w:rsidRPr="00DB28AD" w:rsidRDefault="00DB28AD" w:rsidP="00DB28AD">
      <w:pPr>
        <w:rPr>
          <w:bCs/>
        </w:rPr>
      </w:pPr>
    </w:p>
    <w:p w14:paraId="4CA3A750" w14:textId="3F07F232" w:rsidR="00F72421" w:rsidRPr="00F6716B" w:rsidRDefault="00DB28AD" w:rsidP="00AD4BB0">
      <w:pPr>
        <w:rPr>
          <w:bCs/>
        </w:rPr>
      </w:pPr>
      <w:r w:rsidRPr="00DB28AD">
        <w:t xml:space="preserve">RYZODEG 70/30 </w:t>
      </w:r>
      <w:r w:rsidRPr="00DB28AD">
        <w:rPr>
          <w:bCs/>
        </w:rPr>
        <w:t xml:space="preserve">contains the following inactive ingredients: glycerol, </w:t>
      </w:r>
      <w:proofErr w:type="spellStart"/>
      <w:r w:rsidRPr="00DB28AD">
        <w:rPr>
          <w:bCs/>
        </w:rPr>
        <w:t>metacresol</w:t>
      </w:r>
      <w:proofErr w:type="spellEnd"/>
      <w:r w:rsidRPr="00DB28AD">
        <w:rPr>
          <w:bCs/>
        </w:rPr>
        <w:t>, phenol, sodium chloride, zinc acetate, hydrochloric acid and sodium hydroxide for pH adjust</w:t>
      </w:r>
      <w:r w:rsidR="00F6716B">
        <w:rPr>
          <w:bCs/>
        </w:rPr>
        <w:t>ment, and water for injections.</w:t>
      </w:r>
    </w:p>
    <w:p w14:paraId="3D56747D" w14:textId="77777777" w:rsidR="00F72421" w:rsidRDefault="00F72421" w:rsidP="00AD4BB0">
      <w:pPr>
        <w:pStyle w:val="Heading3"/>
      </w:pPr>
      <w:r>
        <w:t>6.2</w:t>
      </w:r>
      <w:r>
        <w:tab/>
        <w:t>Incompatibilities</w:t>
      </w:r>
    </w:p>
    <w:p w14:paraId="38BFC3BD" w14:textId="5D8227E4" w:rsidR="00F72421" w:rsidRDefault="00F72421" w:rsidP="00AD4BB0">
      <w:r>
        <w:t xml:space="preserve">Incompatibilities were either not assessed or not identified as part of the </w:t>
      </w:r>
      <w:r w:rsidR="00F6716B">
        <w:t>registration of this medicine.</w:t>
      </w:r>
    </w:p>
    <w:p w14:paraId="2FC50BD1" w14:textId="77777777" w:rsidR="00F72421" w:rsidRDefault="00F72421" w:rsidP="00AD4BB0">
      <w:pPr>
        <w:pStyle w:val="Heading3"/>
      </w:pPr>
      <w:r>
        <w:t>6.3</w:t>
      </w:r>
      <w:r>
        <w:tab/>
        <w:t>Shelf Life</w:t>
      </w:r>
    </w:p>
    <w:p w14:paraId="356328D1" w14:textId="11A05B5B" w:rsidR="007E05EA" w:rsidRPr="007E05EA" w:rsidRDefault="009B21F4" w:rsidP="00F6716B">
      <w:r>
        <w:t>In Australia, information on the shelf life can be found on the public summary of the Australian Register of Therapeutic Goods (ARTG). The expiry date can be found on the packaging.</w:t>
      </w:r>
    </w:p>
    <w:p w14:paraId="3821B63D" w14:textId="77777777" w:rsidR="00F72421" w:rsidRDefault="00F72421" w:rsidP="00AD4BB0">
      <w:pPr>
        <w:pStyle w:val="Heading3"/>
      </w:pPr>
      <w:r>
        <w:t>6.4</w:t>
      </w:r>
      <w:r>
        <w:tab/>
        <w:t>Special Precautions for Storage</w:t>
      </w:r>
    </w:p>
    <w:p w14:paraId="0059139D" w14:textId="77777777" w:rsidR="007E05EA" w:rsidRPr="007E05EA" w:rsidRDefault="007E05EA" w:rsidP="007E05EA">
      <w:r w:rsidRPr="007E05EA">
        <w:t xml:space="preserve">Before use: </w:t>
      </w:r>
    </w:p>
    <w:p w14:paraId="74520C27" w14:textId="77777777" w:rsidR="007E05EA" w:rsidRPr="007E05EA" w:rsidRDefault="007E05EA" w:rsidP="007E05EA">
      <w:pPr>
        <w:rPr>
          <w:u w:val="single"/>
        </w:rPr>
      </w:pPr>
      <w:r w:rsidRPr="007E05EA">
        <w:rPr>
          <w:u w:val="single"/>
        </w:rPr>
        <w:t>FlexTouch and Penfill</w:t>
      </w:r>
    </w:p>
    <w:p w14:paraId="0AA93520" w14:textId="77777777" w:rsidR="007E05EA" w:rsidRPr="007E05EA" w:rsidRDefault="007E05EA" w:rsidP="007E05EA">
      <w:r w:rsidRPr="007E05EA">
        <w:t>Store at 2°C to 8°C. Refrigerate. Do not freeze.</w:t>
      </w:r>
      <w:r w:rsidRPr="007E05EA">
        <w:rPr>
          <w:bCs/>
        </w:rPr>
        <w:t xml:space="preserve"> Store RYZODEG </w:t>
      </w:r>
      <w:r w:rsidRPr="007E05EA">
        <w:t xml:space="preserve">70/30 </w:t>
      </w:r>
      <w:r w:rsidRPr="007E05EA">
        <w:rPr>
          <w:bCs/>
        </w:rPr>
        <w:t xml:space="preserve">away from the freezing element in the refrigerator. </w:t>
      </w:r>
    </w:p>
    <w:p w14:paraId="1867BF5B" w14:textId="77777777" w:rsidR="007E05EA" w:rsidRPr="007E05EA" w:rsidRDefault="007E05EA" w:rsidP="007E05EA">
      <w:r w:rsidRPr="007E05EA">
        <w:br/>
        <w:t xml:space="preserve">In-use or carried as a spare: </w:t>
      </w:r>
    </w:p>
    <w:p w14:paraId="5F24B869" w14:textId="77777777" w:rsidR="007E05EA" w:rsidRPr="007E05EA" w:rsidRDefault="007E05EA" w:rsidP="007E05EA">
      <w:pPr>
        <w:rPr>
          <w:u w:val="single"/>
        </w:rPr>
      </w:pPr>
      <w:r w:rsidRPr="007E05EA">
        <w:rPr>
          <w:u w:val="single"/>
        </w:rPr>
        <w:t>FlexTouch</w:t>
      </w:r>
    </w:p>
    <w:p w14:paraId="1EC37062" w14:textId="7875682C" w:rsidR="007E05EA" w:rsidRPr="007F1A03" w:rsidRDefault="007E05EA" w:rsidP="007E05EA">
      <w:r w:rsidRPr="007E05EA">
        <w:t>Store below 30°C or in the refrigerator between 2°C to 8°C for up to 28 days. Keep the cap on the pen in order to protect from light.</w:t>
      </w:r>
      <w:r w:rsidR="008E4FA2">
        <w:t xml:space="preserve"> </w:t>
      </w:r>
      <w:r w:rsidR="008E4FA2" w:rsidRPr="007F1A03">
        <w:t>Protect from heat.</w:t>
      </w:r>
    </w:p>
    <w:p w14:paraId="4ABB2A14" w14:textId="77777777" w:rsidR="007E05EA" w:rsidRPr="007F1A03" w:rsidRDefault="007E05EA" w:rsidP="007E05EA">
      <w:r w:rsidRPr="007F1A03">
        <w:t xml:space="preserve"> </w:t>
      </w:r>
    </w:p>
    <w:p w14:paraId="094A303D" w14:textId="77777777" w:rsidR="007E05EA" w:rsidRPr="007F1A03" w:rsidRDefault="007E05EA" w:rsidP="007E05EA">
      <w:pPr>
        <w:rPr>
          <w:u w:val="single"/>
        </w:rPr>
      </w:pPr>
      <w:r w:rsidRPr="007F1A03">
        <w:rPr>
          <w:u w:val="single"/>
        </w:rPr>
        <w:t>Penfill</w:t>
      </w:r>
    </w:p>
    <w:p w14:paraId="7E294802" w14:textId="5869C554" w:rsidR="00F72421" w:rsidRPr="007F1A03" w:rsidRDefault="007E05EA" w:rsidP="00AD4BB0">
      <w:r w:rsidRPr="007F1A03">
        <w:t>Store below 30°C for up to 28 days. Do not refrigerate. Keep cartridges in the outer carton in order to protect from light.</w:t>
      </w:r>
      <w:r w:rsidR="008E4FA2" w:rsidRPr="007F1A03">
        <w:t xml:space="preserve"> Protect from heat.</w:t>
      </w:r>
    </w:p>
    <w:p w14:paraId="10BC693E" w14:textId="77777777" w:rsidR="00F72421" w:rsidRDefault="00F72421" w:rsidP="00AD4BB0">
      <w:pPr>
        <w:pStyle w:val="Heading3"/>
      </w:pPr>
      <w:r w:rsidRPr="007F1A03">
        <w:t>6.5</w:t>
      </w:r>
      <w:r w:rsidRPr="007F1A03">
        <w:tab/>
        <w:t>Nature and Contents of Container</w:t>
      </w:r>
    </w:p>
    <w:p w14:paraId="271E3462" w14:textId="77777777" w:rsidR="007E05EA" w:rsidRPr="007E05EA" w:rsidRDefault="007E05EA" w:rsidP="007E05EA">
      <w:r w:rsidRPr="007E05EA">
        <w:t>RYZODEG 70/30 FlexTouch: 3</w:t>
      </w:r>
      <w:r w:rsidRPr="007E05EA">
        <w:rPr>
          <w:bCs/>
        </w:rPr>
        <w:t> </w:t>
      </w:r>
      <w:r w:rsidRPr="007E05EA">
        <w:t>mL solution in cartridge (type 1 glass) with a plunger (halobutyl) and a stopper (halobutyl/polyisoprene) contained in a pre-filled multidose disposable pen made of polypropylene.</w:t>
      </w:r>
    </w:p>
    <w:p w14:paraId="4CCC6AAB" w14:textId="77777777" w:rsidR="007E05EA" w:rsidRPr="007E05EA" w:rsidRDefault="007E05EA" w:rsidP="007E05EA">
      <w:r w:rsidRPr="007E05EA">
        <w:t>Pack sizes: 1</w:t>
      </w:r>
      <w:r w:rsidRPr="007E05EA">
        <w:rPr>
          <w:bCs/>
        </w:rPr>
        <w:t> </w:t>
      </w:r>
      <w:r w:rsidRPr="007E05EA">
        <w:t>x 3</w:t>
      </w:r>
      <w:r w:rsidRPr="007E05EA">
        <w:rPr>
          <w:bCs/>
        </w:rPr>
        <w:t> </w:t>
      </w:r>
      <w:r w:rsidRPr="007E05EA">
        <w:t>mL, 5</w:t>
      </w:r>
      <w:r w:rsidRPr="007E05EA">
        <w:rPr>
          <w:bCs/>
        </w:rPr>
        <w:t> </w:t>
      </w:r>
      <w:r w:rsidRPr="007E05EA">
        <w:t>x 3</w:t>
      </w:r>
      <w:r w:rsidRPr="007E05EA">
        <w:rPr>
          <w:bCs/>
        </w:rPr>
        <w:t> </w:t>
      </w:r>
      <w:r w:rsidRPr="007E05EA">
        <w:t>mL</w:t>
      </w:r>
      <w:r w:rsidRPr="007E05EA">
        <w:rPr>
          <w:bCs/>
        </w:rPr>
        <w:t>.</w:t>
      </w:r>
    </w:p>
    <w:p w14:paraId="5924FE82" w14:textId="77777777" w:rsidR="007E05EA" w:rsidRPr="007E05EA" w:rsidRDefault="007E05EA" w:rsidP="007E05EA"/>
    <w:p w14:paraId="7B4499A3" w14:textId="77777777" w:rsidR="007E05EA" w:rsidRPr="007E05EA" w:rsidRDefault="007E05EA" w:rsidP="007E05EA">
      <w:r w:rsidRPr="007E05EA">
        <w:lastRenderedPageBreak/>
        <w:t>RYZODEG 70/30 Penfill: 3</w:t>
      </w:r>
      <w:r w:rsidRPr="007E05EA">
        <w:rPr>
          <w:bCs/>
        </w:rPr>
        <w:t> </w:t>
      </w:r>
      <w:r w:rsidRPr="007E05EA">
        <w:t>mL solution in cartridge (type 1 glass) with a plunger (halobutyl) and a stopper (halobutyl/polyisoprene) in a carton.</w:t>
      </w:r>
    </w:p>
    <w:p w14:paraId="11C70F4F" w14:textId="77777777" w:rsidR="007E05EA" w:rsidRPr="007E05EA" w:rsidRDefault="007E05EA" w:rsidP="007E05EA">
      <w:r w:rsidRPr="007E05EA">
        <w:t>Pack size: 5</w:t>
      </w:r>
      <w:r w:rsidRPr="007E05EA">
        <w:rPr>
          <w:bCs/>
        </w:rPr>
        <w:t> </w:t>
      </w:r>
      <w:r w:rsidRPr="007E05EA">
        <w:t>x 3</w:t>
      </w:r>
      <w:r w:rsidRPr="007E05EA">
        <w:rPr>
          <w:bCs/>
        </w:rPr>
        <w:t> </w:t>
      </w:r>
      <w:r w:rsidRPr="007E05EA">
        <w:t>mL.</w:t>
      </w:r>
    </w:p>
    <w:p w14:paraId="1CA2FE60" w14:textId="77777777" w:rsidR="007E05EA" w:rsidRPr="007E05EA" w:rsidRDefault="007E05EA" w:rsidP="007E05EA"/>
    <w:p w14:paraId="340576F4" w14:textId="77777777" w:rsidR="00F72421" w:rsidRDefault="007E05EA" w:rsidP="00AD4BB0">
      <w:r w:rsidRPr="007E05EA">
        <w:t>Not all pack sizes may be marketed.</w:t>
      </w:r>
    </w:p>
    <w:p w14:paraId="50B12C75" w14:textId="77777777" w:rsidR="00F72421" w:rsidRDefault="00F72421" w:rsidP="00AD4BB0">
      <w:pPr>
        <w:pStyle w:val="Heading3"/>
      </w:pPr>
      <w:r>
        <w:t>6.6</w:t>
      </w:r>
      <w:r>
        <w:tab/>
        <w:t>Special Precautions for Disposal</w:t>
      </w:r>
    </w:p>
    <w:p w14:paraId="380358B9" w14:textId="3B77703E" w:rsidR="00F72421" w:rsidRDefault="00C63ED1" w:rsidP="00AD4BB0">
      <w:r w:rsidRPr="007F1A03">
        <w:t>I</w:t>
      </w:r>
      <w:r w:rsidR="00F72421" w:rsidRPr="007F1A03">
        <w:t>n</w:t>
      </w:r>
      <w:r w:rsidR="00F72421">
        <w:t xml:space="preserve"> Australia, any unused medicine or waste material should be disposed of by taki</w:t>
      </w:r>
      <w:r w:rsidR="00F72421" w:rsidRPr="007F1A03">
        <w:t>n</w:t>
      </w:r>
      <w:r w:rsidRPr="007F1A03">
        <w:t>g</w:t>
      </w:r>
      <w:r w:rsidR="00F72421">
        <w:t xml:space="preserve"> it to your local pharmacy.</w:t>
      </w:r>
    </w:p>
    <w:p w14:paraId="736F9156" w14:textId="0B6E4B0A" w:rsidR="00F72421" w:rsidRDefault="00F72421" w:rsidP="00AD4BB0">
      <w:pPr>
        <w:pStyle w:val="Heading3"/>
      </w:pPr>
      <w:r>
        <w:t>6.7</w:t>
      </w:r>
      <w:r>
        <w:tab/>
        <w:t>Physi</w:t>
      </w:r>
      <w:r w:rsidR="00E97D02">
        <w:t>c</w:t>
      </w:r>
      <w:r>
        <w:t>ochemical Properties</w:t>
      </w:r>
    </w:p>
    <w:p w14:paraId="649E668B" w14:textId="77777777" w:rsidR="00C83EBD" w:rsidRPr="00AD4BB0" w:rsidRDefault="00C83EBD" w:rsidP="00C83EBD">
      <w:pPr>
        <w:pStyle w:val="Heading4"/>
      </w:pPr>
      <w:r w:rsidRPr="00AD4BB0">
        <w:t xml:space="preserve">Insulin degludec </w:t>
      </w:r>
    </w:p>
    <w:p w14:paraId="2BD0CFBE" w14:textId="77777777" w:rsidR="00C83EBD" w:rsidRPr="00AD4BB0" w:rsidRDefault="00C83EBD" w:rsidP="00C83EBD">
      <w:r w:rsidRPr="00AD4BB0">
        <w:t>Insulin degludec differs from human insulin in that the threonine in position B30 has been omitted and a side-chain consisting of glutamic acid and a C16 fatty acid has been attached (chemical name: LysB29(</w:t>
      </w:r>
      <w:proofErr w:type="spellStart"/>
      <w:r w:rsidRPr="00AD4BB0">
        <w:t>Nε</w:t>
      </w:r>
      <w:proofErr w:type="spellEnd"/>
      <w:r w:rsidRPr="00AD4BB0">
        <w:t>-</w:t>
      </w:r>
      <w:proofErr w:type="spellStart"/>
      <w:r w:rsidRPr="00AD4BB0">
        <w:t>hexadecandioyl</w:t>
      </w:r>
      <w:proofErr w:type="spellEnd"/>
      <w:r w:rsidRPr="00AD4BB0">
        <w:t>-γ-</w:t>
      </w:r>
      <w:proofErr w:type="spellStart"/>
      <w:r w:rsidRPr="00AD4BB0">
        <w:t>Glu</w:t>
      </w:r>
      <w:proofErr w:type="spellEnd"/>
      <w:r w:rsidRPr="00AD4BB0">
        <w:t xml:space="preserve">) des(B30) human insulin). </w:t>
      </w:r>
      <w:r w:rsidRPr="00AD4BB0">
        <w:rPr>
          <w:bCs/>
        </w:rPr>
        <w:t xml:space="preserve"> </w:t>
      </w:r>
    </w:p>
    <w:p w14:paraId="04BE7F6C" w14:textId="77777777" w:rsidR="00C83EBD" w:rsidRPr="00AD4BB0" w:rsidRDefault="00C83EBD" w:rsidP="00C83EBD">
      <w:pPr>
        <w:pStyle w:val="Heading4"/>
      </w:pPr>
      <w:r w:rsidRPr="00AD4BB0">
        <w:t>Insulin aspart</w:t>
      </w:r>
    </w:p>
    <w:p w14:paraId="1B2B0C15" w14:textId="77777777" w:rsidR="00C83EBD" w:rsidRDefault="00C83EBD" w:rsidP="00C83EBD">
      <w:r w:rsidRPr="00AD4BB0">
        <w:t>Insulin aspart is homologous with regular human insulin with the exception of a single substitution of the amino acid proline by aspartic acid in position B28.</w:t>
      </w:r>
      <w:r w:rsidRPr="00AD4BB0">
        <w:rPr>
          <w:bCs/>
        </w:rPr>
        <w:t xml:space="preserve"> </w:t>
      </w:r>
    </w:p>
    <w:p w14:paraId="1A27922C" w14:textId="77777777" w:rsidR="00E97D02" w:rsidRDefault="00E97D02" w:rsidP="00AD4BB0">
      <w:pPr>
        <w:pStyle w:val="Heading4"/>
      </w:pPr>
      <w:r>
        <w:t>Chemical structure</w:t>
      </w:r>
    </w:p>
    <w:p w14:paraId="7B1F5442" w14:textId="77777777" w:rsidR="00E97D02" w:rsidRPr="007872A2" w:rsidRDefault="00AD4BB0" w:rsidP="007872A2">
      <w:pPr>
        <w:rPr>
          <w:i/>
          <w:iCs/>
        </w:rPr>
      </w:pPr>
      <w:r w:rsidRPr="007872A2">
        <w:rPr>
          <w:i/>
          <w:iCs/>
        </w:rPr>
        <w:t>Insulin degludec</w:t>
      </w:r>
    </w:p>
    <w:p w14:paraId="7BF0639B" w14:textId="77777777" w:rsidR="00DB28AD" w:rsidRDefault="00DB28AD" w:rsidP="00DB28AD">
      <w:r w:rsidRPr="00AD4BB0">
        <w:t>Insulin degludec has a molecular formula of C</w:t>
      </w:r>
      <w:r w:rsidRPr="00AD4BB0">
        <w:rPr>
          <w:vertAlign w:val="subscript"/>
        </w:rPr>
        <w:t>274</w:t>
      </w:r>
      <w:r w:rsidRPr="00AD4BB0">
        <w:t>H</w:t>
      </w:r>
      <w:r w:rsidRPr="00AD4BB0">
        <w:rPr>
          <w:vertAlign w:val="subscript"/>
        </w:rPr>
        <w:t>411</w:t>
      </w:r>
      <w:r w:rsidRPr="00AD4BB0">
        <w:t>N</w:t>
      </w:r>
      <w:r w:rsidRPr="00AD4BB0">
        <w:rPr>
          <w:vertAlign w:val="subscript"/>
        </w:rPr>
        <w:t>65</w:t>
      </w:r>
      <w:r w:rsidRPr="00AD4BB0">
        <w:t>O</w:t>
      </w:r>
      <w:r w:rsidRPr="00AD4BB0">
        <w:rPr>
          <w:vertAlign w:val="subscript"/>
        </w:rPr>
        <w:t>81</w:t>
      </w:r>
      <w:r w:rsidRPr="00AD4BB0">
        <w:t>S</w:t>
      </w:r>
      <w:r w:rsidRPr="00AD4BB0">
        <w:rPr>
          <w:vertAlign w:val="subscript"/>
        </w:rPr>
        <w:t>6</w:t>
      </w:r>
      <w:r w:rsidRPr="00AD4BB0">
        <w:t xml:space="preserve"> and a molecular weight of 6103.97 </w:t>
      </w:r>
      <w:proofErr w:type="spellStart"/>
      <w:r w:rsidRPr="00AD4BB0">
        <w:t>daltons</w:t>
      </w:r>
      <w:proofErr w:type="spellEnd"/>
      <w:r w:rsidRPr="00AD4BB0">
        <w:t xml:space="preserve">. </w:t>
      </w:r>
    </w:p>
    <w:p w14:paraId="502A266C" w14:textId="77777777" w:rsidR="00DB28AD" w:rsidRDefault="00DB28AD" w:rsidP="00DB28AD"/>
    <w:p w14:paraId="56CF9730" w14:textId="77777777" w:rsidR="00AD4BB0" w:rsidRDefault="00AD4BB0" w:rsidP="00AD4BB0">
      <w:r w:rsidRPr="00AD4BB0">
        <w:rPr>
          <w:noProof/>
          <w:lang w:eastAsia="en-AU"/>
        </w:rPr>
        <w:drawing>
          <wp:inline distT="0" distB="0" distL="0" distR="0" wp14:anchorId="006F3057" wp14:editId="449E2237">
            <wp:extent cx="5731510" cy="1768152"/>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768152"/>
                    </a:xfrm>
                    <a:prstGeom prst="rect">
                      <a:avLst/>
                    </a:prstGeom>
                    <a:noFill/>
                    <a:ln>
                      <a:noFill/>
                    </a:ln>
                  </pic:spPr>
                </pic:pic>
              </a:graphicData>
            </a:graphic>
          </wp:inline>
        </w:drawing>
      </w:r>
    </w:p>
    <w:p w14:paraId="74E7FCFA" w14:textId="77777777" w:rsidR="00AD4BB0" w:rsidRPr="007872A2" w:rsidRDefault="00AD4BB0" w:rsidP="007872A2">
      <w:pPr>
        <w:rPr>
          <w:i/>
          <w:iCs/>
        </w:rPr>
      </w:pPr>
      <w:r w:rsidRPr="007872A2">
        <w:rPr>
          <w:i/>
          <w:iCs/>
        </w:rPr>
        <w:t>Insulin aspart</w:t>
      </w:r>
    </w:p>
    <w:p w14:paraId="02E0FC48" w14:textId="39B5C09A" w:rsidR="00DB28AD" w:rsidRPr="00AD4BB0" w:rsidRDefault="00DB28AD" w:rsidP="00DB28AD">
      <w:r w:rsidRPr="00AD4BB0">
        <w:t>Insulin aspart has a molecular formula of C</w:t>
      </w:r>
      <w:r w:rsidRPr="00AD4BB0">
        <w:rPr>
          <w:vertAlign w:val="subscript"/>
        </w:rPr>
        <w:t>256</w:t>
      </w:r>
      <w:r w:rsidRPr="00AD4BB0">
        <w:t>H</w:t>
      </w:r>
      <w:r w:rsidRPr="00AD4BB0">
        <w:rPr>
          <w:vertAlign w:val="subscript"/>
        </w:rPr>
        <w:t>381</w:t>
      </w:r>
      <w:r w:rsidRPr="00AD4BB0">
        <w:t>N</w:t>
      </w:r>
      <w:r w:rsidRPr="00AD4BB0">
        <w:rPr>
          <w:vertAlign w:val="subscript"/>
        </w:rPr>
        <w:t>65</w:t>
      </w:r>
      <w:r w:rsidRPr="00AD4BB0">
        <w:t>O</w:t>
      </w:r>
      <w:r w:rsidRPr="00AD4BB0">
        <w:rPr>
          <w:vertAlign w:val="subscript"/>
        </w:rPr>
        <w:t>79</w:t>
      </w:r>
      <w:r w:rsidRPr="00AD4BB0">
        <w:t>S</w:t>
      </w:r>
      <w:r w:rsidRPr="00AD4BB0">
        <w:rPr>
          <w:vertAlign w:val="subscript"/>
        </w:rPr>
        <w:t>6</w:t>
      </w:r>
      <w:r w:rsidRPr="00AD4BB0">
        <w:t xml:space="preserve"> and a molecular weight of 5825.8 </w:t>
      </w:r>
      <w:proofErr w:type="spellStart"/>
      <w:r w:rsidRPr="00AD4BB0">
        <w:t>daltons</w:t>
      </w:r>
      <w:proofErr w:type="spellEnd"/>
      <w:r w:rsidRPr="00AD4BB0">
        <w:t xml:space="preserve">. </w:t>
      </w:r>
    </w:p>
    <w:p w14:paraId="0C3B1A92" w14:textId="77777777" w:rsidR="00DB28AD" w:rsidRPr="00DB28AD" w:rsidRDefault="00DB28AD" w:rsidP="00DB28AD"/>
    <w:p w14:paraId="5277004C" w14:textId="77777777" w:rsidR="00AD4BB0" w:rsidRPr="00AD4BB0" w:rsidRDefault="00AD4BB0" w:rsidP="00AD4BB0">
      <w:r w:rsidRPr="00AD4BB0">
        <w:rPr>
          <w:noProof/>
          <w:lang w:eastAsia="en-AU"/>
        </w:rPr>
        <w:drawing>
          <wp:inline distT="0" distB="0" distL="0" distR="0" wp14:anchorId="0193830F" wp14:editId="131784AF">
            <wp:extent cx="48234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3460" cy="685800"/>
                    </a:xfrm>
                    <a:prstGeom prst="rect">
                      <a:avLst/>
                    </a:prstGeom>
                    <a:noFill/>
                    <a:ln>
                      <a:noFill/>
                    </a:ln>
                  </pic:spPr>
                </pic:pic>
              </a:graphicData>
            </a:graphic>
          </wp:inline>
        </w:drawing>
      </w:r>
    </w:p>
    <w:p w14:paraId="3A53495A" w14:textId="77777777" w:rsidR="00E97D02" w:rsidRDefault="00E97D02" w:rsidP="00AD4BB0">
      <w:pPr>
        <w:pStyle w:val="Heading4"/>
      </w:pPr>
      <w:r>
        <w:t>CAS number</w:t>
      </w:r>
    </w:p>
    <w:p w14:paraId="2831E5E0" w14:textId="0CAAB176" w:rsidR="00E97D02" w:rsidRPr="007F1A03" w:rsidRDefault="008E4FA2" w:rsidP="00AD4BB0">
      <w:r w:rsidRPr="007F1A03">
        <w:t>Insulin degludec:</w:t>
      </w:r>
      <w:r w:rsidR="00DB28AD" w:rsidRPr="007F1A03">
        <w:t xml:space="preserve"> 844439-96-9.</w:t>
      </w:r>
    </w:p>
    <w:p w14:paraId="50C2EB06" w14:textId="1ECD2BFE" w:rsidR="008E4FA2" w:rsidRDefault="008E4FA2" w:rsidP="00AD4BB0">
      <w:r w:rsidRPr="007F1A03">
        <w:t>insulin aspart: 116094-23-6.</w:t>
      </w:r>
    </w:p>
    <w:p w14:paraId="1D4C9699" w14:textId="77777777" w:rsidR="00E97D02" w:rsidRDefault="00E97D02" w:rsidP="00AD4BB0">
      <w:pPr>
        <w:pStyle w:val="Heading2"/>
      </w:pPr>
      <w:r>
        <w:lastRenderedPageBreak/>
        <w:t>7.</w:t>
      </w:r>
      <w:r>
        <w:tab/>
        <w:t>MEDICINE SCHEDULE (POISONS STANDARD)</w:t>
      </w:r>
    </w:p>
    <w:p w14:paraId="1E3A255B" w14:textId="77777777" w:rsidR="00E97D02" w:rsidRDefault="00F6716B" w:rsidP="00AD4BB0">
      <w:r>
        <w:t>S4</w:t>
      </w:r>
    </w:p>
    <w:p w14:paraId="37B7C942" w14:textId="77777777" w:rsidR="00E97D02" w:rsidRDefault="00E97D02" w:rsidP="00AD4BB0">
      <w:pPr>
        <w:pStyle w:val="Heading2"/>
      </w:pPr>
      <w:r>
        <w:t xml:space="preserve">8. </w:t>
      </w:r>
      <w:r>
        <w:tab/>
        <w:t>SPONSOR</w:t>
      </w:r>
    </w:p>
    <w:p w14:paraId="20B0C178" w14:textId="77777777" w:rsidR="00F6716B" w:rsidRPr="00F6716B" w:rsidRDefault="00F6716B" w:rsidP="00F6716B">
      <w:r w:rsidRPr="00F6716B">
        <w:t>Novo Nordisk Pharmaceuticals Pty Ltd</w:t>
      </w:r>
    </w:p>
    <w:p w14:paraId="37FADFED" w14:textId="77777777" w:rsidR="00F6716B" w:rsidRPr="00F6716B" w:rsidRDefault="00F6716B" w:rsidP="00F6716B">
      <w:r w:rsidRPr="00F6716B">
        <w:t>Level 3,</w:t>
      </w:r>
    </w:p>
    <w:p w14:paraId="2E6D5DF1" w14:textId="77777777" w:rsidR="00F6716B" w:rsidRPr="00F6716B" w:rsidRDefault="00F6716B" w:rsidP="00F6716B">
      <w:r w:rsidRPr="00F6716B">
        <w:t>21 Solent Circuit,</w:t>
      </w:r>
    </w:p>
    <w:p w14:paraId="34B9AE09" w14:textId="0B66A35C" w:rsidR="00E97D02" w:rsidRDefault="00F6716B" w:rsidP="00AD4BB0">
      <w:r w:rsidRPr="00F6716B">
        <w:t>Baulkham Hills, NSW,  2153</w:t>
      </w:r>
    </w:p>
    <w:p w14:paraId="42055417" w14:textId="6177C986" w:rsidR="008E4FA2" w:rsidRDefault="008E4FA2" w:rsidP="00AD4BB0"/>
    <w:p w14:paraId="4B7B0B58" w14:textId="2BE0DC16" w:rsidR="008E4FA2" w:rsidRDefault="008E4FA2" w:rsidP="00AD4BB0">
      <w:r w:rsidRPr="007F1A03">
        <w:t>www.novonordisk.com.au</w:t>
      </w:r>
    </w:p>
    <w:p w14:paraId="52564DAF" w14:textId="77777777" w:rsidR="00E97D02" w:rsidRDefault="00E97D02" w:rsidP="00AD4BB0">
      <w:pPr>
        <w:pStyle w:val="Heading2"/>
      </w:pPr>
      <w:r>
        <w:t>9.</w:t>
      </w:r>
      <w:r>
        <w:tab/>
        <w:t>DATE OF FIRST APPROVAL</w:t>
      </w:r>
    </w:p>
    <w:p w14:paraId="53EF182D" w14:textId="77777777" w:rsidR="00E97D02" w:rsidRDefault="00F6716B" w:rsidP="00AD4BB0">
      <w:r w:rsidRPr="00F6716B">
        <w:t>29 November 2017</w:t>
      </w:r>
    </w:p>
    <w:p w14:paraId="167F5BE1" w14:textId="77777777" w:rsidR="00E97D02" w:rsidRDefault="00E97D02" w:rsidP="00AD4BB0">
      <w:pPr>
        <w:pStyle w:val="Heading2"/>
      </w:pPr>
      <w:r>
        <w:t>10.</w:t>
      </w:r>
      <w:r>
        <w:tab/>
        <w:t>DATE OF REVISION</w:t>
      </w:r>
    </w:p>
    <w:p w14:paraId="2EF47EF0" w14:textId="4D9BFBDD" w:rsidR="00E97D02" w:rsidRDefault="000604E4" w:rsidP="00AD4BB0">
      <w:r>
        <w:t>10 March 2020</w:t>
      </w:r>
    </w:p>
    <w:p w14:paraId="74B67980" w14:textId="1D302799" w:rsidR="00E97D02" w:rsidRDefault="00E97D02" w:rsidP="00AD4BB0">
      <w:bookmarkStart w:id="27" w:name="_GoBack"/>
      <w:bookmarkEnd w:id="27"/>
    </w:p>
    <w:p w14:paraId="17602C2C" w14:textId="77777777" w:rsidR="00E97D02" w:rsidRDefault="00E97D02" w:rsidP="00AD4BB0">
      <w:pPr>
        <w:pStyle w:val="Heading3"/>
      </w:pPr>
      <w:r>
        <w:t>Summary table of changes</w:t>
      </w:r>
    </w:p>
    <w:tbl>
      <w:tblPr>
        <w:tblStyle w:val="TableGrid"/>
        <w:tblW w:w="0" w:type="auto"/>
        <w:tblLook w:val="04A0" w:firstRow="1" w:lastRow="0" w:firstColumn="1" w:lastColumn="0" w:noHBand="0" w:noVBand="1"/>
      </w:tblPr>
      <w:tblGrid>
        <w:gridCol w:w="2330"/>
        <w:gridCol w:w="6686"/>
      </w:tblGrid>
      <w:tr w:rsidR="00E97D02" w14:paraId="38FDF507" w14:textId="77777777" w:rsidTr="00E97D02">
        <w:tc>
          <w:tcPr>
            <w:tcW w:w="2376" w:type="dxa"/>
          </w:tcPr>
          <w:p w14:paraId="5F8B5372" w14:textId="77777777" w:rsidR="00E97D02" w:rsidRPr="00E97D02" w:rsidRDefault="00E97D02" w:rsidP="00AD4BB0">
            <w:r>
              <w:t>Section changed</w:t>
            </w:r>
          </w:p>
        </w:tc>
        <w:tc>
          <w:tcPr>
            <w:tcW w:w="6866" w:type="dxa"/>
          </w:tcPr>
          <w:p w14:paraId="7F0D36D8" w14:textId="77777777" w:rsidR="00E97D02" w:rsidRPr="00E97D02" w:rsidRDefault="00E97D02" w:rsidP="00AD4BB0">
            <w:r>
              <w:t>Summary of new information</w:t>
            </w:r>
          </w:p>
        </w:tc>
      </w:tr>
      <w:tr w:rsidR="00E97D02" w14:paraId="502C002B" w14:textId="77777777" w:rsidTr="00E97D02">
        <w:tc>
          <w:tcPr>
            <w:tcW w:w="2376" w:type="dxa"/>
          </w:tcPr>
          <w:p w14:paraId="01ADF16D" w14:textId="77777777" w:rsidR="00E97D02" w:rsidRDefault="00003C98" w:rsidP="00AD4BB0">
            <w:r>
              <w:t>Various</w:t>
            </w:r>
          </w:p>
        </w:tc>
        <w:tc>
          <w:tcPr>
            <w:tcW w:w="6866" w:type="dxa"/>
          </w:tcPr>
          <w:p w14:paraId="09139AF3" w14:textId="77777777" w:rsidR="00E97D02" w:rsidRDefault="00003C98" w:rsidP="00AD4BB0">
            <w:r>
              <w:t>Updated to new TGA format; extension of indication for use in children and adolescents with corre</w:t>
            </w:r>
            <w:r w:rsidR="00861832">
              <w:t>s</w:t>
            </w:r>
            <w:r>
              <w:t>ponding updates throughout the PI, inclusion of clinical trial data for DEVOTE</w:t>
            </w:r>
          </w:p>
        </w:tc>
      </w:tr>
      <w:tr w:rsidR="00E97D02" w14:paraId="5E114370" w14:textId="77777777" w:rsidTr="00E97D02">
        <w:tc>
          <w:tcPr>
            <w:tcW w:w="2376" w:type="dxa"/>
          </w:tcPr>
          <w:p w14:paraId="430F62AE" w14:textId="77777777" w:rsidR="00E97D02" w:rsidRDefault="00E97D02" w:rsidP="00AD4BB0"/>
        </w:tc>
        <w:tc>
          <w:tcPr>
            <w:tcW w:w="6866" w:type="dxa"/>
          </w:tcPr>
          <w:p w14:paraId="40497B70" w14:textId="77777777" w:rsidR="00E97D02" w:rsidRDefault="00E97D02" w:rsidP="00AD4BB0"/>
        </w:tc>
      </w:tr>
      <w:tr w:rsidR="00E97D02" w14:paraId="4E6F651E" w14:textId="77777777" w:rsidTr="00E97D02">
        <w:tc>
          <w:tcPr>
            <w:tcW w:w="2376" w:type="dxa"/>
          </w:tcPr>
          <w:p w14:paraId="57551207" w14:textId="77777777" w:rsidR="00E97D02" w:rsidRDefault="00E97D02" w:rsidP="00AD4BB0"/>
        </w:tc>
        <w:tc>
          <w:tcPr>
            <w:tcW w:w="6866" w:type="dxa"/>
          </w:tcPr>
          <w:p w14:paraId="75A1776C" w14:textId="77777777" w:rsidR="00E97D02" w:rsidRDefault="00E97D02" w:rsidP="00AD4BB0"/>
        </w:tc>
      </w:tr>
    </w:tbl>
    <w:p w14:paraId="2287058B" w14:textId="77777777" w:rsidR="00E97D02" w:rsidRPr="00E97D02" w:rsidRDefault="00E97D02" w:rsidP="00AD4BB0"/>
    <w:sectPr w:rsidR="00E97D02" w:rsidRPr="00E97D0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C6EA" w14:textId="77777777" w:rsidR="00D11AB9" w:rsidRDefault="00D11AB9" w:rsidP="009124CB">
      <w:r>
        <w:separator/>
      </w:r>
    </w:p>
  </w:endnote>
  <w:endnote w:type="continuationSeparator" w:id="0">
    <w:p w14:paraId="50FB7EC8" w14:textId="77777777" w:rsidR="00D11AB9" w:rsidRDefault="00D11AB9" w:rsidP="0091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310F" w14:textId="77777777" w:rsidR="00D11AB9" w:rsidRDefault="00D11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B7A8" w14:textId="4D413E84" w:rsidR="00D11AB9" w:rsidRPr="009124CB" w:rsidRDefault="00D11AB9" w:rsidP="0043718A">
    <w:pPr>
      <w:pStyle w:val="Footer"/>
    </w:pPr>
    <w:r>
      <w:rPr>
        <w:lang w:val="en-GB"/>
      </w:rPr>
      <w:fldChar w:fldCharType="begin"/>
    </w:r>
    <w:r>
      <w:rPr>
        <w:lang w:val="en-GB"/>
      </w:rPr>
      <w:instrText xml:space="preserve"> FILENAME  </w:instrText>
    </w:r>
    <w:r>
      <w:rPr>
        <w:lang w:val="en-GB"/>
      </w:rPr>
      <w:fldChar w:fldCharType="separate"/>
    </w:r>
    <w:r>
      <w:rPr>
        <w:noProof/>
        <w:lang w:val="en-GB"/>
      </w:rPr>
      <w:t>Ryzodeg-piv2.docx</w:t>
    </w:r>
    <w:r>
      <w:rPr>
        <w:lang w:val="en-GB"/>
      </w:rPr>
      <w:fldChar w:fldCharType="end"/>
    </w:r>
    <w:r w:rsidRPr="009124CB">
      <w:rPr>
        <w:lang w:val="en-GB"/>
      </w:rPr>
      <w:tab/>
    </w:r>
    <w:r w:rsidRPr="009124CB">
      <w:rPr>
        <w:lang w:val="en-GB"/>
      </w:rPr>
      <w:tab/>
    </w:r>
    <w:r w:rsidRPr="0043718A">
      <w:t xml:space="preserve">Page </w:t>
    </w:r>
    <w:r w:rsidRPr="0043718A">
      <w:rPr>
        <w:b/>
        <w:bCs/>
      </w:rPr>
      <w:fldChar w:fldCharType="begin"/>
    </w:r>
    <w:r w:rsidRPr="0043718A">
      <w:rPr>
        <w:b/>
        <w:bCs/>
      </w:rPr>
      <w:instrText xml:space="preserve"> PAGE </w:instrText>
    </w:r>
    <w:r w:rsidRPr="0043718A">
      <w:rPr>
        <w:b/>
        <w:bCs/>
      </w:rPr>
      <w:fldChar w:fldCharType="separate"/>
    </w:r>
    <w:r w:rsidR="00961EDB">
      <w:rPr>
        <w:b/>
        <w:bCs/>
        <w:noProof/>
      </w:rPr>
      <w:t>22</w:t>
    </w:r>
    <w:r w:rsidRPr="0043718A">
      <w:rPr>
        <w:lang w:val="en-GB"/>
      </w:rPr>
      <w:fldChar w:fldCharType="end"/>
    </w:r>
    <w:r w:rsidRPr="0043718A">
      <w:t xml:space="preserve"> of </w:t>
    </w:r>
    <w:r w:rsidRPr="0043718A">
      <w:rPr>
        <w:b/>
        <w:bCs/>
      </w:rPr>
      <w:fldChar w:fldCharType="begin"/>
    </w:r>
    <w:r w:rsidRPr="0043718A">
      <w:rPr>
        <w:b/>
        <w:bCs/>
      </w:rPr>
      <w:instrText xml:space="preserve"> NUMPAGES  </w:instrText>
    </w:r>
    <w:r w:rsidRPr="0043718A">
      <w:rPr>
        <w:b/>
        <w:bCs/>
      </w:rPr>
      <w:fldChar w:fldCharType="separate"/>
    </w:r>
    <w:r w:rsidR="00961EDB">
      <w:rPr>
        <w:b/>
        <w:bCs/>
        <w:noProof/>
      </w:rPr>
      <w:t>22</w:t>
    </w:r>
    <w:r w:rsidRPr="0043718A">
      <w:rPr>
        <w:lang w:val="en-GB"/>
      </w:rPr>
      <w:fldChar w:fldCharType="end"/>
    </w:r>
  </w:p>
  <w:p w14:paraId="2EAD89D0" w14:textId="77777777" w:rsidR="00D11AB9" w:rsidRDefault="00D11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3AEB" w14:textId="77777777" w:rsidR="00D11AB9" w:rsidRDefault="00D11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1E82" w14:textId="77777777" w:rsidR="00D11AB9" w:rsidRDefault="00D11AB9" w:rsidP="009124CB">
      <w:r>
        <w:separator/>
      </w:r>
    </w:p>
  </w:footnote>
  <w:footnote w:type="continuationSeparator" w:id="0">
    <w:p w14:paraId="222E34BE" w14:textId="77777777" w:rsidR="00D11AB9" w:rsidRDefault="00D11AB9" w:rsidP="0091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6B21" w14:textId="77777777" w:rsidR="00D11AB9" w:rsidRDefault="00D11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11AB9" w:rsidRPr="000B2145" w14:paraId="2F60B9AE" w14:textId="77777777" w:rsidTr="00D11AB9">
      <w:trPr>
        <w:trHeight w:val="590"/>
      </w:trPr>
      <w:tc>
        <w:tcPr>
          <w:tcW w:w="8720" w:type="dxa"/>
          <w:shd w:val="clear" w:color="auto" w:fill="E4F2E0"/>
        </w:tcPr>
        <w:p w14:paraId="21FE2F13" w14:textId="77777777" w:rsidR="00D11AB9" w:rsidRPr="000B2145" w:rsidRDefault="00D11AB9" w:rsidP="00BD611A">
          <w:pPr>
            <w:pStyle w:val="Footer"/>
            <w:rPr>
              <w:b/>
              <w:sz w:val="18"/>
              <w:szCs w:val="18"/>
            </w:rPr>
          </w:pPr>
          <w:r w:rsidRPr="00FD2D53">
            <w:rPr>
              <w:b/>
              <w:sz w:val="18"/>
              <w:szCs w:val="18"/>
            </w:rPr>
            <w:t xml:space="preserve">AusPAR - RYZODEG 70/30 FLEXTOUCH and RYZODEG 70/30 PENFILL - insulin </w:t>
          </w:r>
          <w:proofErr w:type="spellStart"/>
          <w:r w:rsidRPr="00FD2D53">
            <w:rPr>
              <w:b/>
              <w:sz w:val="18"/>
              <w:szCs w:val="18"/>
            </w:rPr>
            <w:t>degludec</w:t>
          </w:r>
          <w:proofErr w:type="spellEnd"/>
          <w:r w:rsidRPr="00FD2D53">
            <w:rPr>
              <w:b/>
              <w:sz w:val="18"/>
              <w:szCs w:val="18"/>
            </w:rPr>
            <w:t xml:space="preserve"> (</w:t>
          </w:r>
          <w:proofErr w:type="spellStart"/>
          <w:r w:rsidRPr="00FD2D53">
            <w:rPr>
              <w:b/>
              <w:sz w:val="18"/>
              <w:szCs w:val="18"/>
            </w:rPr>
            <w:t>rys</w:t>
          </w:r>
          <w:proofErr w:type="spellEnd"/>
          <w:r w:rsidRPr="00FD2D53">
            <w:rPr>
              <w:b/>
              <w:sz w:val="18"/>
              <w:szCs w:val="18"/>
            </w:rPr>
            <w:t xml:space="preserve">) and insulin </w:t>
          </w:r>
          <w:proofErr w:type="spellStart"/>
          <w:r w:rsidRPr="00FD2D53">
            <w:rPr>
              <w:b/>
              <w:sz w:val="18"/>
              <w:szCs w:val="18"/>
            </w:rPr>
            <w:t>aspart</w:t>
          </w:r>
          <w:proofErr w:type="spellEnd"/>
          <w:r w:rsidRPr="00FD2D53">
            <w:rPr>
              <w:b/>
              <w:sz w:val="18"/>
              <w:szCs w:val="18"/>
            </w:rPr>
            <w:t xml:space="preserve"> (</w:t>
          </w:r>
          <w:proofErr w:type="spellStart"/>
          <w:r w:rsidRPr="00FD2D53">
            <w:rPr>
              <w:b/>
              <w:sz w:val="18"/>
              <w:szCs w:val="18"/>
            </w:rPr>
            <w:t>rys</w:t>
          </w:r>
          <w:proofErr w:type="spellEnd"/>
          <w:r w:rsidRPr="00FD2D53">
            <w:rPr>
              <w:b/>
              <w:sz w:val="18"/>
              <w:szCs w:val="18"/>
            </w:rPr>
            <w:t>) - Novo Nordisk Pharmaceuticals Pty Ltd - PM-2018-04154-1-5</w:t>
          </w:r>
          <w:r>
            <w:rPr>
              <w:b/>
              <w:sz w:val="18"/>
              <w:szCs w:val="18"/>
            </w:rPr>
            <w:t xml:space="preserve"> </w:t>
          </w:r>
          <w:r w:rsidRPr="00FD2D53">
            <w:rPr>
              <w:b/>
              <w:sz w:val="18"/>
              <w:szCs w:val="18"/>
            </w:rPr>
            <w:t>FINAL 17 July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C41C36B" w14:textId="77777777" w:rsidR="00D11AB9" w:rsidRDefault="00D11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EDD1" w14:textId="77777777" w:rsidR="00D11AB9" w:rsidRDefault="00D11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60E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62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8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E015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632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9EBB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CE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F891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063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6A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666CF1"/>
    <w:multiLevelType w:val="hybridMultilevel"/>
    <w:tmpl w:val="E8D009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3E23A0"/>
    <w:multiLevelType w:val="hybridMultilevel"/>
    <w:tmpl w:val="48E27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B1"/>
    <w:rsid w:val="00003C98"/>
    <w:rsid w:val="00035CB3"/>
    <w:rsid w:val="00050F79"/>
    <w:rsid w:val="000604E4"/>
    <w:rsid w:val="00070F4C"/>
    <w:rsid w:val="00076BA7"/>
    <w:rsid w:val="000D050D"/>
    <w:rsid w:val="0012648A"/>
    <w:rsid w:val="00146961"/>
    <w:rsid w:val="0017005A"/>
    <w:rsid w:val="001C1869"/>
    <w:rsid w:val="001D6DA1"/>
    <w:rsid w:val="001F59A6"/>
    <w:rsid w:val="00246172"/>
    <w:rsid w:val="00250E8A"/>
    <w:rsid w:val="00262723"/>
    <w:rsid w:val="002B5E19"/>
    <w:rsid w:val="002D6CA5"/>
    <w:rsid w:val="002D6FD6"/>
    <w:rsid w:val="002D7EBE"/>
    <w:rsid w:val="002E6B74"/>
    <w:rsid w:val="00312A37"/>
    <w:rsid w:val="003146E7"/>
    <w:rsid w:val="0032378C"/>
    <w:rsid w:val="0037359C"/>
    <w:rsid w:val="00381379"/>
    <w:rsid w:val="003861E1"/>
    <w:rsid w:val="003F6359"/>
    <w:rsid w:val="0043718A"/>
    <w:rsid w:val="00442604"/>
    <w:rsid w:val="0045536A"/>
    <w:rsid w:val="004E78DE"/>
    <w:rsid w:val="004F784D"/>
    <w:rsid w:val="00500653"/>
    <w:rsid w:val="0050647B"/>
    <w:rsid w:val="00553AA9"/>
    <w:rsid w:val="00574458"/>
    <w:rsid w:val="00581433"/>
    <w:rsid w:val="005B6BBB"/>
    <w:rsid w:val="005D5A56"/>
    <w:rsid w:val="006109F9"/>
    <w:rsid w:val="006476C8"/>
    <w:rsid w:val="006540AD"/>
    <w:rsid w:val="006C4D44"/>
    <w:rsid w:val="006F314F"/>
    <w:rsid w:val="00741A0F"/>
    <w:rsid w:val="007644BB"/>
    <w:rsid w:val="007872A2"/>
    <w:rsid w:val="00791929"/>
    <w:rsid w:val="007D08D0"/>
    <w:rsid w:val="007D29B1"/>
    <w:rsid w:val="007E05EA"/>
    <w:rsid w:val="007E318F"/>
    <w:rsid w:val="007F1A03"/>
    <w:rsid w:val="007F4EBF"/>
    <w:rsid w:val="008078CE"/>
    <w:rsid w:val="008278D5"/>
    <w:rsid w:val="0083278B"/>
    <w:rsid w:val="00845CAD"/>
    <w:rsid w:val="00861832"/>
    <w:rsid w:val="008B6E4C"/>
    <w:rsid w:val="008C1637"/>
    <w:rsid w:val="008C365A"/>
    <w:rsid w:val="008E4FA2"/>
    <w:rsid w:val="008F1314"/>
    <w:rsid w:val="008F5C7C"/>
    <w:rsid w:val="009124CB"/>
    <w:rsid w:val="00912E24"/>
    <w:rsid w:val="00943E3C"/>
    <w:rsid w:val="00961EDB"/>
    <w:rsid w:val="009722D6"/>
    <w:rsid w:val="00976274"/>
    <w:rsid w:val="009B21F4"/>
    <w:rsid w:val="009B61B8"/>
    <w:rsid w:val="009E76A6"/>
    <w:rsid w:val="009E7E9F"/>
    <w:rsid w:val="009F04FB"/>
    <w:rsid w:val="00A34057"/>
    <w:rsid w:val="00A37903"/>
    <w:rsid w:val="00A4379A"/>
    <w:rsid w:val="00A44F1B"/>
    <w:rsid w:val="00A842CA"/>
    <w:rsid w:val="00AA04A6"/>
    <w:rsid w:val="00AA1C28"/>
    <w:rsid w:val="00AB3CBC"/>
    <w:rsid w:val="00AD4BB0"/>
    <w:rsid w:val="00B11126"/>
    <w:rsid w:val="00B1262F"/>
    <w:rsid w:val="00B15689"/>
    <w:rsid w:val="00B16BD8"/>
    <w:rsid w:val="00B3485D"/>
    <w:rsid w:val="00B51DED"/>
    <w:rsid w:val="00BC2460"/>
    <w:rsid w:val="00BD611A"/>
    <w:rsid w:val="00BE273D"/>
    <w:rsid w:val="00BE3F81"/>
    <w:rsid w:val="00C44B67"/>
    <w:rsid w:val="00C55DDC"/>
    <w:rsid w:val="00C63ED1"/>
    <w:rsid w:val="00C71071"/>
    <w:rsid w:val="00C83EBD"/>
    <w:rsid w:val="00CA26CB"/>
    <w:rsid w:val="00D04109"/>
    <w:rsid w:val="00D11AB9"/>
    <w:rsid w:val="00D31AD2"/>
    <w:rsid w:val="00D42B0F"/>
    <w:rsid w:val="00D56FBE"/>
    <w:rsid w:val="00D63457"/>
    <w:rsid w:val="00D72DDE"/>
    <w:rsid w:val="00DB28AD"/>
    <w:rsid w:val="00E37FC8"/>
    <w:rsid w:val="00E442AB"/>
    <w:rsid w:val="00E62508"/>
    <w:rsid w:val="00E85E8F"/>
    <w:rsid w:val="00E97D02"/>
    <w:rsid w:val="00EC2C8C"/>
    <w:rsid w:val="00F17541"/>
    <w:rsid w:val="00F22270"/>
    <w:rsid w:val="00F63F98"/>
    <w:rsid w:val="00F6716B"/>
    <w:rsid w:val="00F72421"/>
    <w:rsid w:val="00FC598A"/>
    <w:rsid w:val="00FD50F0"/>
    <w:rsid w:val="00FF66B9"/>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E4288"/>
  <w15:docId w15:val="{52B8279E-E8D6-496B-98B9-8159B68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BB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F6359"/>
    <w:pPr>
      <w:keepNext/>
      <w:keepLines/>
      <w:spacing w:before="480"/>
      <w:jc w:val="center"/>
      <w:outlineLvl w:val="0"/>
    </w:pPr>
    <w:rPr>
      <w:rFonts w:eastAsiaTheme="majorEastAsia"/>
      <w:b/>
      <w:bCs/>
    </w:rPr>
  </w:style>
  <w:style w:type="paragraph" w:styleId="Heading2">
    <w:name w:val="heading 2"/>
    <w:basedOn w:val="Normal"/>
    <w:next w:val="Normal"/>
    <w:link w:val="Heading2Char"/>
    <w:uiPriority w:val="9"/>
    <w:unhideWhenUsed/>
    <w:qFormat/>
    <w:rsid w:val="003F6359"/>
    <w:pPr>
      <w:keepNext/>
      <w:keepLines/>
      <w:spacing w:before="200"/>
      <w:outlineLvl w:val="1"/>
    </w:pPr>
    <w:rPr>
      <w:rFonts w:eastAsiaTheme="majorEastAsia"/>
      <w:b/>
      <w:bCs/>
    </w:rPr>
  </w:style>
  <w:style w:type="paragraph" w:styleId="Heading3">
    <w:name w:val="heading 3"/>
    <w:basedOn w:val="Normal"/>
    <w:next w:val="Normal"/>
    <w:link w:val="Heading3Char"/>
    <w:uiPriority w:val="9"/>
    <w:unhideWhenUsed/>
    <w:qFormat/>
    <w:rsid w:val="00D56FBE"/>
    <w:pPr>
      <w:keepNext/>
      <w:keepLines/>
      <w:spacing w:before="200"/>
      <w:outlineLvl w:val="2"/>
    </w:pPr>
    <w:rPr>
      <w:rFonts w:eastAsiaTheme="majorEastAsia"/>
      <w:b/>
      <w:bCs/>
    </w:rPr>
  </w:style>
  <w:style w:type="paragraph" w:styleId="Heading4">
    <w:name w:val="heading 4"/>
    <w:basedOn w:val="Normal"/>
    <w:next w:val="Normal"/>
    <w:link w:val="Heading4Char"/>
    <w:uiPriority w:val="9"/>
    <w:unhideWhenUsed/>
    <w:qFormat/>
    <w:rsid w:val="00D56FBE"/>
    <w:pPr>
      <w:keepNext/>
      <w:keepLines/>
      <w:spacing w:before="200"/>
      <w:outlineLvl w:val="3"/>
    </w:pPr>
    <w:rPr>
      <w:rFonts w:eastAsiaTheme="majorEastAsia"/>
      <w:bCs/>
      <w:iCs/>
      <w:u w:val="single"/>
    </w:rPr>
  </w:style>
  <w:style w:type="paragraph" w:styleId="Heading5">
    <w:name w:val="heading 5"/>
    <w:basedOn w:val="Normal"/>
    <w:next w:val="Normal"/>
    <w:link w:val="Heading5Char"/>
    <w:uiPriority w:val="9"/>
    <w:unhideWhenUsed/>
    <w:qFormat/>
    <w:rsid w:val="003F63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B28AD"/>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B348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5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3F6359"/>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D56FB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D56FBE"/>
    <w:rPr>
      <w:rFonts w:ascii="Times New Roman" w:eastAsiaTheme="majorEastAsia" w:hAnsi="Times New Roman" w:cs="Times New Roman"/>
      <w:bCs/>
      <w:iCs/>
      <w:sz w:val="24"/>
      <w:szCs w:val="24"/>
      <w:u w:val="single"/>
    </w:rPr>
  </w:style>
  <w:style w:type="character" w:customStyle="1" w:styleId="Heading5Char">
    <w:name w:val="Heading 5 Char"/>
    <w:basedOn w:val="DefaultParagraphFont"/>
    <w:link w:val="Heading5"/>
    <w:uiPriority w:val="9"/>
    <w:rsid w:val="003F6359"/>
    <w:rPr>
      <w:rFonts w:asciiTheme="majorHAnsi" w:eastAsiaTheme="majorEastAsia" w:hAnsiTheme="majorHAnsi" w:cstheme="majorBidi"/>
      <w:color w:val="243F60" w:themeColor="accent1" w:themeShade="7F"/>
    </w:rPr>
  </w:style>
  <w:style w:type="paragraph" w:styleId="Subtitle">
    <w:name w:val="Subtitle"/>
    <w:basedOn w:val="Normal"/>
    <w:next w:val="Normal"/>
    <w:link w:val="SubtitleChar"/>
    <w:uiPriority w:val="11"/>
    <w:qFormat/>
    <w:rsid w:val="003F635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F6359"/>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C44B67"/>
    <w:rPr>
      <w:color w:val="0000FF" w:themeColor="hyperlink"/>
      <w:u w:val="single"/>
    </w:rPr>
  </w:style>
  <w:style w:type="table" w:styleId="TableGrid">
    <w:name w:val="Table Grid"/>
    <w:basedOn w:val="TableNormal"/>
    <w:uiPriority w:val="59"/>
    <w:rsid w:val="00E9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7D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D4BB0"/>
    <w:rPr>
      <w:rFonts w:ascii="Tahoma" w:hAnsi="Tahoma" w:cs="Tahoma"/>
      <w:sz w:val="16"/>
      <w:szCs w:val="16"/>
    </w:rPr>
  </w:style>
  <w:style w:type="character" w:customStyle="1" w:styleId="BalloonTextChar">
    <w:name w:val="Balloon Text Char"/>
    <w:basedOn w:val="DefaultParagraphFont"/>
    <w:link w:val="BalloonText"/>
    <w:uiPriority w:val="99"/>
    <w:semiHidden/>
    <w:rsid w:val="00AD4BB0"/>
    <w:rPr>
      <w:rFonts w:ascii="Tahoma" w:hAnsi="Tahoma" w:cs="Tahoma"/>
      <w:sz w:val="16"/>
      <w:szCs w:val="16"/>
    </w:rPr>
  </w:style>
  <w:style w:type="character" w:customStyle="1" w:styleId="Heading6Char">
    <w:name w:val="Heading 6 Char"/>
    <w:basedOn w:val="DefaultParagraphFont"/>
    <w:link w:val="Heading6"/>
    <w:uiPriority w:val="9"/>
    <w:rsid w:val="00DB28A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B3485D"/>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uiPriority w:val="99"/>
    <w:semiHidden/>
    <w:unhideWhenUsed/>
    <w:rsid w:val="00070F4C"/>
    <w:pPr>
      <w:spacing w:after="120"/>
    </w:pPr>
  </w:style>
  <w:style w:type="character" w:customStyle="1" w:styleId="BodyTextChar">
    <w:name w:val="Body Text Char"/>
    <w:basedOn w:val="DefaultParagraphFont"/>
    <w:link w:val="BodyText"/>
    <w:uiPriority w:val="99"/>
    <w:semiHidden/>
    <w:rsid w:val="00070F4C"/>
    <w:rPr>
      <w:rFonts w:ascii="Times New Roman" w:hAnsi="Times New Roman" w:cs="Times New Roman"/>
      <w:sz w:val="24"/>
      <w:szCs w:val="24"/>
    </w:rPr>
  </w:style>
  <w:style w:type="paragraph" w:styleId="Header">
    <w:name w:val="header"/>
    <w:basedOn w:val="Normal"/>
    <w:link w:val="HeaderChar"/>
    <w:uiPriority w:val="99"/>
    <w:unhideWhenUsed/>
    <w:rsid w:val="009124CB"/>
    <w:pPr>
      <w:tabs>
        <w:tab w:val="center" w:pos="4513"/>
        <w:tab w:val="right" w:pos="9026"/>
      </w:tabs>
    </w:pPr>
  </w:style>
  <w:style w:type="character" w:customStyle="1" w:styleId="HeaderChar">
    <w:name w:val="Header Char"/>
    <w:basedOn w:val="DefaultParagraphFont"/>
    <w:link w:val="Header"/>
    <w:uiPriority w:val="99"/>
    <w:rsid w:val="009124CB"/>
    <w:rPr>
      <w:rFonts w:ascii="Times New Roman" w:hAnsi="Times New Roman" w:cs="Times New Roman"/>
      <w:sz w:val="24"/>
      <w:szCs w:val="24"/>
    </w:rPr>
  </w:style>
  <w:style w:type="paragraph" w:styleId="Footer">
    <w:name w:val="footer"/>
    <w:basedOn w:val="Normal"/>
    <w:link w:val="FooterChar"/>
    <w:unhideWhenUsed/>
    <w:rsid w:val="009124CB"/>
    <w:pPr>
      <w:tabs>
        <w:tab w:val="center" w:pos="4513"/>
        <w:tab w:val="right" w:pos="9026"/>
      </w:tabs>
    </w:pPr>
  </w:style>
  <w:style w:type="character" w:customStyle="1" w:styleId="FooterChar">
    <w:name w:val="Footer Char"/>
    <w:basedOn w:val="DefaultParagraphFont"/>
    <w:link w:val="Footer"/>
    <w:rsid w:val="009124C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63457"/>
    <w:rPr>
      <w:sz w:val="20"/>
      <w:szCs w:val="20"/>
    </w:rPr>
  </w:style>
  <w:style w:type="character" w:customStyle="1" w:styleId="FootnoteTextChar">
    <w:name w:val="Footnote Text Char"/>
    <w:basedOn w:val="DefaultParagraphFont"/>
    <w:link w:val="FootnoteText"/>
    <w:uiPriority w:val="99"/>
    <w:semiHidden/>
    <w:rsid w:val="00D6345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63457"/>
    <w:rPr>
      <w:vertAlign w:val="superscript"/>
    </w:rPr>
  </w:style>
  <w:style w:type="character" w:styleId="CommentReference">
    <w:name w:val="annotation reference"/>
    <w:basedOn w:val="DefaultParagraphFont"/>
    <w:uiPriority w:val="99"/>
    <w:semiHidden/>
    <w:unhideWhenUsed/>
    <w:rsid w:val="00D63457"/>
    <w:rPr>
      <w:sz w:val="16"/>
      <w:szCs w:val="16"/>
    </w:rPr>
  </w:style>
  <w:style w:type="paragraph" w:styleId="CommentText">
    <w:name w:val="annotation text"/>
    <w:basedOn w:val="Normal"/>
    <w:link w:val="CommentTextChar"/>
    <w:uiPriority w:val="99"/>
    <w:unhideWhenUsed/>
    <w:rsid w:val="00D63457"/>
    <w:rPr>
      <w:sz w:val="20"/>
      <w:szCs w:val="20"/>
    </w:rPr>
  </w:style>
  <w:style w:type="character" w:customStyle="1" w:styleId="CommentTextChar">
    <w:name w:val="Comment Text Char"/>
    <w:basedOn w:val="DefaultParagraphFont"/>
    <w:link w:val="CommentText"/>
    <w:uiPriority w:val="99"/>
    <w:rsid w:val="00D6345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457"/>
    <w:rPr>
      <w:b/>
      <w:bCs/>
    </w:rPr>
  </w:style>
  <w:style w:type="character" w:customStyle="1" w:styleId="CommentSubjectChar">
    <w:name w:val="Comment Subject Char"/>
    <w:basedOn w:val="CommentTextChar"/>
    <w:link w:val="CommentSubject"/>
    <w:uiPriority w:val="99"/>
    <w:semiHidden/>
    <w:rsid w:val="00D63457"/>
    <w:rPr>
      <w:rFonts w:ascii="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C63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rp.novocorp.net\aunr\039-2000\Reg\Labelling\PI\Draft\Ryzodeg\www.tga.gov.au\reporting-problems" TargetMode="External"/><Relationship Id="rId13" Type="http://schemas.openxmlformats.org/officeDocument/2006/relationships/package" Target="embeddings/Microsoft_Word_Document.doc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orp.novocorp.net\aunr\039-2000\Reg\Labelling\PI\Draft\Ryzodeg\www.tga.gov.au\reporting-problems" TargetMode="External"/><Relationship Id="rId14" Type="http://schemas.openxmlformats.org/officeDocument/2006/relationships/image" Target="media/image3.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F0D0-7241-4AD9-AED6-E14F7D08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7697</Words>
  <Characters>42262</Characters>
  <Application>Microsoft Office Word</Application>
  <DocSecurity>0</DocSecurity>
  <Lines>939</Lines>
  <Paragraphs>531</Paragraphs>
  <ScaleCrop>false</ScaleCrop>
  <HeadingPairs>
    <vt:vector size="2" baseType="variant">
      <vt:variant>
        <vt:lpstr>Title</vt:lpstr>
      </vt:variant>
      <vt:variant>
        <vt:i4>1</vt:i4>
      </vt:variant>
    </vt:vector>
  </HeadingPairs>
  <TitlesOfParts>
    <vt:vector size="1" baseType="lpstr">
      <vt:lpstr>Attachment: Product Information Insulin degludec (rys) and Insulin aspart (rys)</vt:lpstr>
    </vt:vector>
  </TitlesOfParts>
  <Company>Novo Nordisk A/S</Company>
  <LinksUpToDate>false</LinksUpToDate>
  <CharactersWithSpaces>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Insulin degludec (rys) and Insulin aspart (rys)</dc:title>
  <dc:subject>prescription medicines</dc:subject>
  <dc:creator>KIFO (Kim Foster)</dc:creator>
  <dc:description/>
  <dcterms:created xsi:type="dcterms:W3CDTF">2020-08-04T05:37:00Z</dcterms:created>
  <dcterms:modified xsi:type="dcterms:W3CDTF">2020-08-04T05:47:00Z</dcterms:modified>
</cp:coreProperties>
</file>