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39A60" w14:textId="3DE8037B" w:rsidR="00B03698" w:rsidRDefault="00B03698" w:rsidP="00EE5E3B">
      <w:r w:rsidRPr="00B03698">
        <w:rPr>
          <w:noProof/>
          <w:highlight w:val="lightGray"/>
          <w:lang w:eastAsia="en-AU"/>
        </w:rPr>
        <mc:AlternateContent>
          <mc:Choice Requires="wps">
            <w:drawing>
              <wp:inline distT="0" distB="0" distL="0" distR="0" wp14:anchorId="5034D2E7" wp14:editId="158BBD90">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B65F" w14:textId="77777777" w:rsidR="00B03698" w:rsidRPr="00BE2A26" w:rsidRDefault="00B03698" w:rsidP="00B03698">
                            <w:pPr>
                              <w:rPr>
                                <w:rFonts w:ascii="Wingdings 3" w:hAnsi="Wingdings 3"/>
                              </w:rPr>
                            </w:pPr>
                            <w:r w:rsidRPr="00BE2A26">
                              <w:rPr>
                                <w:rFonts w:ascii="SimSun" w:eastAsia="SimSun" w:hAnsi="SimSun" w:hint="eastAsia"/>
                                <w:sz w:val="40"/>
                              </w:rPr>
                              <w:t>▼</w:t>
                            </w:r>
                          </w:p>
                        </w:txbxContent>
                      </wps:txbx>
                      <wps:bodyPr rot="0" vert="horz" wrap="square" lIns="0" tIns="0" rIns="0" bIns="0" anchor="t" anchorCtr="0" upright="1">
                        <a:noAutofit/>
                      </wps:bodyPr>
                    </wps:wsp>
                  </a:graphicData>
                </a:graphic>
              </wp:inline>
            </w:drawing>
          </mc:Choice>
          <mc:Fallback>
            <w:pict>
              <v:shapetype w14:anchorId="5034D2E7"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4xdAIAAP4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" stroked="f">
                <v:textbox inset="0,0,0,0">
                  <w:txbxContent>
                    <w:p w14:paraId="00C5B65F" w14:textId="77777777" w:rsidR="00B03698" w:rsidRPr="00BE2A26" w:rsidRDefault="00B03698" w:rsidP="00B03698">
                      <w:pPr>
                        <w:rPr>
                          <w:rFonts w:ascii="Wingdings 3" w:hAnsi="Wingdings 3"/>
                        </w:rPr>
                      </w:pPr>
                      <w:r w:rsidRPr="00BE2A26">
                        <w:rPr>
                          <w:rFonts w:ascii="SimSun" w:eastAsia="SimSun" w:hAnsi="SimSun" w:hint="eastAsia"/>
                          <w:sz w:val="40"/>
                        </w:rPr>
                        <w:t>▼</w:t>
                      </w:r>
                    </w:p>
                  </w:txbxContent>
                </v:textbox>
                <w10:anchorlock/>
              </v:shape>
            </w:pict>
          </mc:Fallback>
        </mc:AlternateContent>
      </w:r>
      <w:r w:rsidRPr="00B03698">
        <w:t xml:space="preserve">This medicinal product is subject to additional monitoring in Australia. This will allow quick identification of new safety information. Healthcare professionals are asked to report any suspected adverse events at </w:t>
      </w:r>
      <w:hyperlink r:id="rId8" w:history="1">
        <w:r w:rsidRPr="00B03698">
          <w:rPr>
            <w:color w:val="0000FF" w:themeColor="hyperlink"/>
            <w:u w:val="single"/>
          </w:rPr>
          <w:t>www.tga.gov.au/reporting-problems</w:t>
        </w:r>
      </w:hyperlink>
      <w:r w:rsidRPr="00B03698">
        <w:t>.</w:t>
      </w:r>
    </w:p>
    <w:p w14:paraId="67C0FFCA" w14:textId="62C8D3D6" w:rsidR="003F6359" w:rsidRPr="0036165E" w:rsidRDefault="003F6359" w:rsidP="00EE5E3B">
      <w:pPr>
        <w:pStyle w:val="Heading1"/>
        <w:spacing w:line="360" w:lineRule="auto"/>
        <w:jc w:val="left"/>
      </w:pPr>
      <w:r w:rsidRPr="0036165E">
        <w:t>AUSTRALIAN PRODUCT INFORMATION</w:t>
      </w:r>
    </w:p>
    <w:p w14:paraId="7221D1E1" w14:textId="7541F600" w:rsidR="00AB3CBC" w:rsidRPr="0036165E" w:rsidRDefault="00813E27" w:rsidP="00EE5E3B">
      <w:pPr>
        <w:pStyle w:val="Heading1"/>
        <w:spacing w:before="240"/>
        <w:jc w:val="left"/>
      </w:pPr>
      <w:r w:rsidRPr="0036165E">
        <w:t>Xultophy</w:t>
      </w:r>
      <w:r w:rsidR="00E3589B" w:rsidRPr="00E3589B">
        <w:rPr>
          <w:vertAlign w:val="superscript"/>
        </w:rPr>
        <w:t>®</w:t>
      </w:r>
      <w:r w:rsidR="003F6359" w:rsidRPr="0036165E">
        <w:t xml:space="preserve"> </w:t>
      </w:r>
      <w:r w:rsidR="008C7DEA" w:rsidRPr="0036165E">
        <w:t>(</w:t>
      </w:r>
      <w:r w:rsidR="002F7BCB" w:rsidRPr="0036165E">
        <w:t>insulin degludec/liraglutide</w:t>
      </w:r>
      <w:r w:rsidR="008C7DEA" w:rsidRPr="0036165E">
        <w:t>)</w:t>
      </w:r>
      <w:r w:rsidR="00FA2FCB" w:rsidRPr="0036165E">
        <w:t xml:space="preserve"> </w:t>
      </w:r>
      <w:r w:rsidR="008C7DEA" w:rsidRPr="0036165E">
        <w:t>solution for injection</w:t>
      </w:r>
    </w:p>
    <w:p w14:paraId="6BBD93D9" w14:textId="77777777" w:rsidR="003F6359" w:rsidRPr="0036165E" w:rsidRDefault="003F6359" w:rsidP="00EE5E3B">
      <w:pPr>
        <w:pStyle w:val="Heading2"/>
      </w:pPr>
      <w:r w:rsidRPr="0036165E">
        <w:t>1.</w:t>
      </w:r>
      <w:r w:rsidRPr="0036165E">
        <w:tab/>
        <w:t>NAME OF THE MEDICINE</w:t>
      </w:r>
    </w:p>
    <w:p w14:paraId="62DDE8F6" w14:textId="6E2D6E4D" w:rsidR="003F6359" w:rsidRPr="0036165E" w:rsidRDefault="00E62866" w:rsidP="00EE5E3B">
      <w:pPr>
        <w:rPr>
          <w:lang w:val="en-GB"/>
        </w:rPr>
      </w:pPr>
      <w:r w:rsidRPr="0036165E">
        <w:rPr>
          <w:lang w:val="en-GB"/>
        </w:rPr>
        <w:t>I</w:t>
      </w:r>
      <w:r w:rsidR="002F7BCB" w:rsidRPr="0036165E">
        <w:rPr>
          <w:lang w:val="en-GB"/>
        </w:rPr>
        <w:t>nsulin degludec</w:t>
      </w:r>
      <w:r w:rsidR="00F2339F" w:rsidRPr="0036165E">
        <w:rPr>
          <w:lang w:val="en-GB"/>
        </w:rPr>
        <w:t xml:space="preserve"> and </w:t>
      </w:r>
      <w:r w:rsidR="002F7BCB" w:rsidRPr="0036165E">
        <w:rPr>
          <w:lang w:val="en-GB"/>
        </w:rPr>
        <w:t>liraglutide</w:t>
      </w:r>
      <w:r w:rsidR="00F2339F" w:rsidRPr="0036165E">
        <w:rPr>
          <w:lang w:val="en-GB"/>
        </w:rPr>
        <w:t>.</w:t>
      </w:r>
      <w:r w:rsidR="005F4A93" w:rsidRPr="0036165E">
        <w:rPr>
          <w:lang w:val="en-GB"/>
        </w:rPr>
        <w:t xml:space="preserve"> </w:t>
      </w:r>
    </w:p>
    <w:p w14:paraId="763F0C64" w14:textId="77777777" w:rsidR="003F6359" w:rsidRPr="0036165E" w:rsidRDefault="003F6359" w:rsidP="00EE5E3B">
      <w:pPr>
        <w:pStyle w:val="Heading2"/>
        <w:rPr>
          <w:lang w:val="en-GB"/>
        </w:rPr>
      </w:pPr>
      <w:r w:rsidRPr="0036165E">
        <w:rPr>
          <w:lang w:val="en-GB"/>
        </w:rPr>
        <w:t>2.</w:t>
      </w:r>
      <w:r w:rsidRPr="0036165E">
        <w:rPr>
          <w:lang w:val="en-GB"/>
        </w:rPr>
        <w:tab/>
        <w:t>QUALITATIVE AND QUANTITATIVE COMPOSITION</w:t>
      </w:r>
    </w:p>
    <w:p w14:paraId="7861344D" w14:textId="77777777" w:rsidR="00801F72" w:rsidRDefault="005F4A93" w:rsidP="00EE5E3B">
      <w:pPr>
        <w:rPr>
          <w:lang w:val="en-GB"/>
        </w:rPr>
      </w:pPr>
      <w:r w:rsidRPr="0036165E">
        <w:rPr>
          <w:lang w:val="en-GB"/>
        </w:rPr>
        <w:t xml:space="preserve">One mL of solution contains </w:t>
      </w:r>
      <w:r w:rsidR="00CF42A7" w:rsidRPr="0036165E">
        <w:rPr>
          <w:lang w:val="en-GB"/>
        </w:rPr>
        <w:t>100 units insulin degludec and 3.6</w:t>
      </w:r>
      <w:r w:rsidRPr="0036165E">
        <w:rPr>
          <w:lang w:val="en-GB"/>
        </w:rPr>
        <w:t xml:space="preserve"> mg </w:t>
      </w:r>
      <w:r w:rsidR="00CF42A7" w:rsidRPr="0036165E">
        <w:rPr>
          <w:lang w:val="en-GB"/>
        </w:rPr>
        <w:t>lirag</w:t>
      </w:r>
      <w:r w:rsidRPr="0036165E">
        <w:rPr>
          <w:lang w:val="en-GB"/>
        </w:rPr>
        <w:t xml:space="preserve">lutide. </w:t>
      </w:r>
    </w:p>
    <w:p w14:paraId="04838159" w14:textId="77777777" w:rsidR="00801F72" w:rsidRDefault="005F4A93" w:rsidP="00EE5E3B">
      <w:pPr>
        <w:rPr>
          <w:lang w:val="en-GB"/>
        </w:rPr>
      </w:pPr>
      <w:r w:rsidRPr="0036165E">
        <w:rPr>
          <w:lang w:val="en-GB"/>
        </w:rPr>
        <w:t xml:space="preserve">One pre-filled pen contains </w:t>
      </w:r>
      <w:r w:rsidR="00CF42A7" w:rsidRPr="0036165E">
        <w:rPr>
          <w:lang w:val="en-GB"/>
        </w:rPr>
        <w:t>3 mL equivalent to 300 units insulin degludec and 10.8 mg lir</w:t>
      </w:r>
      <w:r w:rsidRPr="0036165E">
        <w:rPr>
          <w:lang w:val="en-GB"/>
        </w:rPr>
        <w:t>aglutide.</w:t>
      </w:r>
      <w:r w:rsidR="0082487F">
        <w:rPr>
          <w:lang w:val="en-GB"/>
        </w:rPr>
        <w:t xml:space="preserve"> </w:t>
      </w:r>
    </w:p>
    <w:p w14:paraId="6771B8DE" w14:textId="77777777" w:rsidR="00801F72" w:rsidRDefault="00CF42A7" w:rsidP="00EE5E3B">
      <w:pPr>
        <w:rPr>
          <w:lang w:val="en-GB"/>
        </w:rPr>
      </w:pPr>
      <w:r w:rsidRPr="0036165E">
        <w:rPr>
          <w:lang w:val="en-GB"/>
        </w:rPr>
        <w:t xml:space="preserve">Insulin degludec </w:t>
      </w:r>
      <w:r w:rsidR="00F2339F" w:rsidRPr="0036165E">
        <w:rPr>
          <w:lang w:val="en-GB"/>
        </w:rPr>
        <w:t xml:space="preserve">(rys) </w:t>
      </w:r>
      <w:r w:rsidRPr="0036165E">
        <w:rPr>
          <w:lang w:val="en-GB"/>
        </w:rPr>
        <w:t xml:space="preserve">and liraglutide </w:t>
      </w:r>
      <w:r w:rsidR="00F2339F" w:rsidRPr="0036165E">
        <w:rPr>
          <w:lang w:val="en-GB"/>
        </w:rPr>
        <w:t xml:space="preserve">(rys) </w:t>
      </w:r>
      <w:r w:rsidRPr="0036165E">
        <w:rPr>
          <w:lang w:val="en-GB"/>
        </w:rPr>
        <w:t xml:space="preserve">are produced by recombinant DNA technology using </w:t>
      </w:r>
      <w:r w:rsidRPr="0036165E">
        <w:rPr>
          <w:i/>
          <w:lang w:val="en-GB"/>
        </w:rPr>
        <w:t>Saccharomyces cerevisiae</w:t>
      </w:r>
      <w:r w:rsidRPr="0036165E">
        <w:rPr>
          <w:lang w:val="en-GB"/>
        </w:rPr>
        <w:t>.</w:t>
      </w:r>
      <w:r w:rsidR="0082487F">
        <w:rPr>
          <w:lang w:val="en-GB"/>
        </w:rPr>
        <w:t xml:space="preserve"> </w:t>
      </w:r>
    </w:p>
    <w:p w14:paraId="3B7DE164" w14:textId="35FA894A" w:rsidR="008476E4" w:rsidRPr="0036165E" w:rsidRDefault="008476E4" w:rsidP="00EE5E3B">
      <w:r w:rsidRPr="0036165E">
        <w:t>For the full list of excipients, see Section 6.1 List of Excipients.</w:t>
      </w:r>
    </w:p>
    <w:p w14:paraId="56F9684F" w14:textId="77777777" w:rsidR="00D56FBE" w:rsidRPr="0036165E" w:rsidRDefault="00D56FBE" w:rsidP="00EE5E3B">
      <w:pPr>
        <w:pStyle w:val="Heading2"/>
      </w:pPr>
      <w:r w:rsidRPr="0036165E">
        <w:t xml:space="preserve">3. </w:t>
      </w:r>
      <w:r w:rsidRPr="0036165E">
        <w:tab/>
        <w:t>PHARMACEUTICAL FORM</w:t>
      </w:r>
    </w:p>
    <w:p w14:paraId="1FC5E3F7" w14:textId="23D06519" w:rsidR="00D56FBE" w:rsidRPr="0036165E" w:rsidRDefault="002F7BCB" w:rsidP="00EE5E3B">
      <w:r w:rsidRPr="0036165E">
        <w:t>Xultophy</w:t>
      </w:r>
      <w:r w:rsidR="00223444" w:rsidRPr="0036165E">
        <w:t xml:space="preserve"> </w:t>
      </w:r>
      <w:r w:rsidR="00E62866" w:rsidRPr="0036165E">
        <w:t>(</w:t>
      </w:r>
      <w:r w:rsidR="00E62866" w:rsidRPr="0036165E">
        <w:rPr>
          <w:lang w:val="en-GB"/>
        </w:rPr>
        <w:t xml:space="preserve">insulin degludec/liraglutide) is a </w:t>
      </w:r>
      <w:r w:rsidR="00100EAA" w:rsidRPr="0036165E">
        <w:t xml:space="preserve">solution for injection </w:t>
      </w:r>
      <w:r w:rsidR="00223444" w:rsidRPr="0036165E">
        <w:t xml:space="preserve">provided in a </w:t>
      </w:r>
      <w:r w:rsidR="00E62866" w:rsidRPr="0036165E">
        <w:t xml:space="preserve">3 mL </w:t>
      </w:r>
      <w:r w:rsidR="00223444" w:rsidRPr="0036165E">
        <w:t>pre-filled multidose disposable pen.</w:t>
      </w:r>
      <w:r w:rsidR="0082487F">
        <w:t xml:space="preserve"> </w:t>
      </w:r>
      <w:r w:rsidR="008C161D" w:rsidRPr="0036165E">
        <w:t>Clear,</w:t>
      </w:r>
      <w:r w:rsidR="00223444" w:rsidRPr="0036165E">
        <w:t xml:space="preserve"> colourless</w:t>
      </w:r>
      <w:r w:rsidR="00407C4D" w:rsidRPr="0036165E">
        <w:t>,</w:t>
      </w:r>
      <w:r w:rsidR="00223444" w:rsidRPr="0036165E">
        <w:t xml:space="preserve"> isotonic solution</w:t>
      </w:r>
      <w:r w:rsidR="008C161D" w:rsidRPr="0036165E">
        <w:t>.</w:t>
      </w:r>
      <w:r w:rsidR="00223444" w:rsidRPr="0036165E">
        <w:t xml:space="preserve"> </w:t>
      </w:r>
    </w:p>
    <w:p w14:paraId="05C73182" w14:textId="77777777" w:rsidR="00D56FBE" w:rsidRPr="0036165E" w:rsidRDefault="00D56FBE" w:rsidP="00EE5E3B">
      <w:pPr>
        <w:pStyle w:val="Heading2"/>
      </w:pPr>
      <w:r w:rsidRPr="0036165E">
        <w:t xml:space="preserve">4. </w:t>
      </w:r>
      <w:r w:rsidRPr="0036165E">
        <w:tab/>
        <w:t>CLINICAL PARTICULARS</w:t>
      </w:r>
    </w:p>
    <w:p w14:paraId="45C2F33C" w14:textId="25C97B31" w:rsidR="00D56FBE" w:rsidRPr="0036165E" w:rsidRDefault="00D56FBE" w:rsidP="00EE5E3B">
      <w:pPr>
        <w:pStyle w:val="Heading3"/>
      </w:pPr>
      <w:r w:rsidRPr="0036165E">
        <w:t>4.1</w:t>
      </w:r>
      <w:r w:rsidRPr="0036165E">
        <w:tab/>
        <w:t>Therapeutic Indications</w:t>
      </w:r>
    </w:p>
    <w:p w14:paraId="6C95FBFE" w14:textId="3193674E" w:rsidR="00F53E4F" w:rsidRPr="0036165E" w:rsidRDefault="00484BA3" w:rsidP="00EE5E3B">
      <w:r w:rsidRPr="0036165E">
        <w:t xml:space="preserve">Xultophy is indicated </w:t>
      </w:r>
      <w:r w:rsidR="000626E5" w:rsidRPr="000626E5">
        <w:t xml:space="preserve">as an adjunct to diet and exercise </w:t>
      </w:r>
      <w:r w:rsidRPr="0036165E">
        <w:t xml:space="preserve">for the treatment of adults with type 2 diabetes mellitus to improve glycaemic control in combination with </w:t>
      </w:r>
      <w:r w:rsidR="00F53E4F">
        <w:t>metformin, with or without other</w:t>
      </w:r>
      <w:r w:rsidRPr="0036165E">
        <w:t xml:space="preserve"> oral glucose-lowering medicinal products (see </w:t>
      </w:r>
      <w:r w:rsidR="0033227D" w:rsidRPr="0036165E">
        <w:t xml:space="preserve">Section </w:t>
      </w:r>
      <w:r w:rsidRPr="0036165E">
        <w:t xml:space="preserve">5.1 Pharmacodynamic Properties-Clinical trials and </w:t>
      </w:r>
      <w:r w:rsidR="0033227D" w:rsidRPr="0036165E">
        <w:t xml:space="preserve">Section </w:t>
      </w:r>
      <w:r w:rsidRPr="0036165E">
        <w:t>4.4 Special Warnings and Precautions for Use’ for available data on the different combinations).</w:t>
      </w:r>
    </w:p>
    <w:p w14:paraId="76EBA25D" w14:textId="77777777" w:rsidR="00D56FBE" w:rsidRPr="0036165E" w:rsidRDefault="00D56FBE" w:rsidP="00EE5E3B">
      <w:pPr>
        <w:pStyle w:val="Heading3"/>
      </w:pPr>
      <w:r w:rsidRPr="0036165E">
        <w:t xml:space="preserve">4.2 </w:t>
      </w:r>
      <w:r w:rsidRPr="0036165E">
        <w:tab/>
        <w:t>Dose and Method of Administration</w:t>
      </w:r>
    </w:p>
    <w:p w14:paraId="48C0CB1C" w14:textId="77777777" w:rsidR="00D56FBE" w:rsidRPr="0036165E" w:rsidRDefault="00D56FBE" w:rsidP="00EE5E3B">
      <w:pPr>
        <w:pStyle w:val="Heading3"/>
      </w:pPr>
      <w:r w:rsidRPr="0036165E">
        <w:t>Dosage</w:t>
      </w:r>
    </w:p>
    <w:p w14:paraId="35E7085A" w14:textId="69661E38" w:rsidR="00005316" w:rsidRPr="0036165E" w:rsidRDefault="00005316" w:rsidP="00EE5E3B">
      <w:pPr>
        <w:rPr>
          <w:lang w:val="en-GB"/>
        </w:rPr>
      </w:pPr>
      <w:r w:rsidRPr="0036165E">
        <w:rPr>
          <w:lang w:val="en-GB"/>
        </w:rPr>
        <w:t>Xultophy is given once daily by subcutaneous administration. Xultophy can be administered at any time of the day, preferably at the same time of the day.</w:t>
      </w:r>
    </w:p>
    <w:p w14:paraId="1A233576" w14:textId="7EEEE2F7" w:rsidR="00005316" w:rsidRPr="001267CA" w:rsidRDefault="00005316" w:rsidP="00EE5E3B">
      <w:pPr>
        <w:rPr>
          <w:lang w:val="en-GB"/>
        </w:rPr>
      </w:pPr>
      <w:r w:rsidRPr="0036165E">
        <w:rPr>
          <w:lang w:val="en-GB"/>
        </w:rPr>
        <w:t>Xultophy is to be dosed in accordance with the individual patient</w:t>
      </w:r>
      <w:r w:rsidR="00C16771" w:rsidRPr="0036165E">
        <w:rPr>
          <w:lang w:val="en-GB"/>
        </w:rPr>
        <w:t>’</w:t>
      </w:r>
      <w:r w:rsidRPr="0036165E">
        <w:rPr>
          <w:lang w:val="en-GB"/>
        </w:rPr>
        <w:t>s needs. It is</w:t>
      </w:r>
      <w:r w:rsidR="00F06672" w:rsidRPr="0036165E">
        <w:rPr>
          <w:lang w:val="en-GB"/>
        </w:rPr>
        <w:t xml:space="preserve"> </w:t>
      </w:r>
      <w:r w:rsidRPr="0036165E">
        <w:rPr>
          <w:lang w:val="en-GB"/>
        </w:rPr>
        <w:t>recommended to optimise glycaemic control via dose adjustment based on fasting plasma</w:t>
      </w:r>
      <w:r w:rsidR="00F06672" w:rsidRPr="0036165E">
        <w:rPr>
          <w:lang w:val="en-GB"/>
        </w:rPr>
        <w:t xml:space="preserve"> </w:t>
      </w:r>
      <w:r w:rsidRPr="0036165E">
        <w:rPr>
          <w:lang w:val="en-GB"/>
        </w:rPr>
        <w:t>glucose</w:t>
      </w:r>
    </w:p>
    <w:p w14:paraId="7B3AECA6" w14:textId="0AB83EA8" w:rsidR="00F06672" w:rsidRDefault="00005316" w:rsidP="00EE5E3B">
      <w:pPr>
        <w:rPr>
          <w:lang w:val="en-GB"/>
        </w:rPr>
      </w:pPr>
      <w:r w:rsidRPr="0036165E">
        <w:rPr>
          <w:lang w:val="en-GB"/>
        </w:rPr>
        <w:t>As with all insulin products, adjustment of dose may be necessary if patients undertake</w:t>
      </w:r>
      <w:r w:rsidR="00F06672" w:rsidRPr="0036165E">
        <w:rPr>
          <w:lang w:val="en-GB"/>
        </w:rPr>
        <w:t xml:space="preserve"> </w:t>
      </w:r>
      <w:r w:rsidRPr="0036165E">
        <w:rPr>
          <w:lang w:val="en-GB"/>
        </w:rPr>
        <w:t>increased physical activity, change their usual diet or during concomitant illness.</w:t>
      </w:r>
      <w:r w:rsidR="00F06672" w:rsidRPr="0036165E">
        <w:rPr>
          <w:lang w:val="en-GB"/>
        </w:rPr>
        <w:t xml:space="preserve"> </w:t>
      </w:r>
      <w:r w:rsidRPr="0036165E">
        <w:rPr>
          <w:lang w:val="en-GB"/>
        </w:rPr>
        <w:t>Xultophy is administered as dose steps. One dose step contains 1 unit of insulin degludec</w:t>
      </w:r>
      <w:r w:rsidR="00F06672" w:rsidRPr="0036165E">
        <w:rPr>
          <w:lang w:val="en-GB"/>
        </w:rPr>
        <w:t xml:space="preserve"> </w:t>
      </w:r>
      <w:r w:rsidRPr="0036165E">
        <w:rPr>
          <w:lang w:val="en-GB"/>
        </w:rPr>
        <w:t xml:space="preserve">and 0.036 mg of </w:t>
      </w:r>
      <w:r w:rsidRPr="0036165E">
        <w:rPr>
          <w:lang w:val="en-GB"/>
        </w:rPr>
        <w:lastRenderedPageBreak/>
        <w:t>liraglutide. The pre-filled pen can provide from 1 up to 50 dose steps in</w:t>
      </w:r>
      <w:r w:rsidR="00F06672" w:rsidRPr="0036165E">
        <w:rPr>
          <w:lang w:val="en-GB"/>
        </w:rPr>
        <w:t xml:space="preserve"> </w:t>
      </w:r>
      <w:r w:rsidRPr="0036165E">
        <w:rPr>
          <w:lang w:val="en-GB"/>
        </w:rPr>
        <w:t>one injection in increments of one dose step. The maximum daily dose of Xultophy is</w:t>
      </w:r>
      <w:r w:rsidR="00F06672" w:rsidRPr="0036165E">
        <w:rPr>
          <w:lang w:val="en-GB"/>
        </w:rPr>
        <w:t xml:space="preserve"> </w:t>
      </w:r>
      <w:r w:rsidRPr="0036165E">
        <w:rPr>
          <w:lang w:val="en-GB"/>
        </w:rPr>
        <w:t>50 dose steps (50 units insulin degludec and 1.8 mg liraglutide). The dose counter on the</w:t>
      </w:r>
      <w:r w:rsidR="00F06672" w:rsidRPr="0036165E">
        <w:rPr>
          <w:lang w:val="en-GB"/>
        </w:rPr>
        <w:t xml:space="preserve"> </w:t>
      </w:r>
      <w:r w:rsidRPr="0036165E">
        <w:rPr>
          <w:lang w:val="en-GB"/>
        </w:rPr>
        <w:t>pen shows the number of dose steps.</w:t>
      </w:r>
    </w:p>
    <w:p w14:paraId="442C9D8F" w14:textId="77777777" w:rsidR="007E5D2B" w:rsidRPr="00570350" w:rsidRDefault="007E5D2B" w:rsidP="00EE5E3B">
      <w:pPr>
        <w:spacing w:after="0" w:line="240" w:lineRule="auto"/>
        <w:rPr>
          <w:i/>
          <w:iCs/>
          <w:u w:val="single"/>
          <w:lang w:val="en-GB"/>
        </w:rPr>
      </w:pPr>
      <w:r w:rsidRPr="00570350">
        <w:rPr>
          <w:i/>
          <w:iCs/>
          <w:u w:val="single"/>
          <w:lang w:val="en-GB"/>
        </w:rPr>
        <w:t>Add-on to oral glucose-lowering medicinal products</w:t>
      </w:r>
    </w:p>
    <w:p w14:paraId="2870AAE4" w14:textId="6B316F13" w:rsidR="00C16771" w:rsidRPr="0036165E" w:rsidRDefault="007E5D2B" w:rsidP="00EE5E3B">
      <w:pPr>
        <w:rPr>
          <w:lang w:val="en-GB"/>
        </w:rPr>
      </w:pPr>
      <w:r w:rsidRPr="0036165E">
        <w:rPr>
          <w:lang w:val="en-GB"/>
        </w:rPr>
        <w:t>The recommended starting dose of Xultophy is 10 dose steps (10 units insulin degludec</w:t>
      </w:r>
      <w:r w:rsidR="00C16771" w:rsidRPr="0036165E">
        <w:rPr>
          <w:lang w:val="en-GB"/>
        </w:rPr>
        <w:t xml:space="preserve"> and 0.36 mg liraglutide).</w:t>
      </w:r>
    </w:p>
    <w:p w14:paraId="3CC34091" w14:textId="4A5F20D4" w:rsidR="007E5D2B" w:rsidRPr="0036165E" w:rsidRDefault="00C16771" w:rsidP="00EE5E3B">
      <w:pPr>
        <w:rPr>
          <w:lang w:val="en-GB"/>
        </w:rPr>
      </w:pPr>
      <w:r w:rsidRPr="0036165E">
        <w:rPr>
          <w:lang w:val="en-GB"/>
        </w:rPr>
        <w:t xml:space="preserve">Xultophy can be added to existing oral antidiabetic treatment. When Xultophy is added to sulfonylurea therapy, a reduction in the dose of sulfonylurea should be considered (see </w:t>
      </w:r>
      <w:r w:rsidR="009E6985">
        <w:rPr>
          <w:lang w:val="en-GB"/>
        </w:rPr>
        <w:t>Section</w:t>
      </w:r>
      <w:r w:rsidRPr="0036165E">
        <w:rPr>
          <w:lang w:val="en-GB"/>
        </w:rPr>
        <w:t xml:space="preserve"> </w:t>
      </w:r>
      <w:r w:rsidRPr="0036165E">
        <w:t>4.4 Special Warnings and Precautions for Use</w:t>
      </w:r>
      <w:r w:rsidR="00892173">
        <w:t xml:space="preserve"> - Hypoglycaemia</w:t>
      </w:r>
      <w:r w:rsidRPr="0036165E">
        <w:rPr>
          <w:lang w:val="en-GB"/>
        </w:rPr>
        <w:t>).</w:t>
      </w:r>
    </w:p>
    <w:p w14:paraId="208ABDCA" w14:textId="77777777" w:rsidR="00C16771" w:rsidRPr="00570350" w:rsidRDefault="00C16771" w:rsidP="00EE5E3B">
      <w:pPr>
        <w:spacing w:after="0" w:line="240" w:lineRule="auto"/>
        <w:rPr>
          <w:u w:val="single"/>
          <w:lang w:val="en-GB"/>
        </w:rPr>
      </w:pPr>
      <w:r w:rsidRPr="00570350">
        <w:rPr>
          <w:i/>
          <w:iCs/>
          <w:u w:val="single"/>
          <w:lang w:val="en-GB"/>
        </w:rPr>
        <w:t>Transfer from GLP-1 receptor agonist</w:t>
      </w:r>
    </w:p>
    <w:p w14:paraId="18AD9688" w14:textId="20438AEF" w:rsidR="00C16771" w:rsidRPr="0036165E" w:rsidRDefault="00C16771" w:rsidP="00EE5E3B">
      <w:pPr>
        <w:rPr>
          <w:lang w:val="en-GB"/>
        </w:rPr>
      </w:pPr>
      <w:r w:rsidRPr="0036165E">
        <w:rPr>
          <w:lang w:val="en-GB"/>
        </w:rPr>
        <w:t>Therapy with GLP-1 receptor agonists should be discontinued prior to initiation of Xultophy. When transferring from a GLP-1 receptor agonist, the recommended starting dose of Xultophy is 16 dose steps (16 units insulin degludec and 0.6 mg liraglutide). The recommended starting dose should not be exceeded. If transferring from a long-acting GLP-1 receptor agonist (e.g. once-weekly dosing), the prolonged action should be considered. Treatment with Xultophy should be initiated at the moment the next dose of the long-acting GLP-1 receptor agonist would have been taken. Close glucose monitoring is recommended during the transfer and in the following weeks.</w:t>
      </w:r>
    </w:p>
    <w:p w14:paraId="2A310396" w14:textId="7A51AD3F" w:rsidR="00C16771" w:rsidRPr="00570350" w:rsidRDefault="00C16771" w:rsidP="00EE5E3B">
      <w:pPr>
        <w:spacing w:after="0" w:line="240" w:lineRule="auto"/>
        <w:rPr>
          <w:i/>
          <w:iCs/>
          <w:u w:val="single"/>
          <w:lang w:val="en-GB"/>
        </w:rPr>
      </w:pPr>
      <w:r w:rsidRPr="00570350">
        <w:rPr>
          <w:i/>
          <w:iCs/>
          <w:u w:val="single"/>
          <w:lang w:val="en-GB"/>
        </w:rPr>
        <w:t xml:space="preserve">Transfer from </w:t>
      </w:r>
      <w:r w:rsidR="00A60AAA">
        <w:rPr>
          <w:i/>
          <w:iCs/>
          <w:u w:val="single"/>
          <w:lang w:val="en-GB"/>
        </w:rPr>
        <w:t>any</w:t>
      </w:r>
      <w:r w:rsidRPr="00570350">
        <w:rPr>
          <w:i/>
          <w:iCs/>
          <w:u w:val="single"/>
          <w:lang w:val="en-GB"/>
        </w:rPr>
        <w:t xml:space="preserve"> insulin</w:t>
      </w:r>
      <w:r w:rsidR="00A60AAA">
        <w:rPr>
          <w:i/>
          <w:iCs/>
          <w:u w:val="single"/>
          <w:lang w:val="en-GB"/>
        </w:rPr>
        <w:t xml:space="preserve"> regimen</w:t>
      </w:r>
    </w:p>
    <w:p w14:paraId="3E391A28" w14:textId="0C8CAFD8" w:rsidR="00223444" w:rsidRDefault="00C16771" w:rsidP="00EE5E3B">
      <w:pPr>
        <w:rPr>
          <w:lang w:val="en-GB"/>
        </w:rPr>
      </w:pPr>
      <w:r w:rsidRPr="0036165E">
        <w:rPr>
          <w:lang w:val="en-GB"/>
        </w:rPr>
        <w:t>Therapy with insulin should be discontinued prior to initiation of Xultophy. When</w:t>
      </w:r>
      <w:r w:rsidR="00041BCB" w:rsidRPr="0036165E">
        <w:rPr>
          <w:lang w:val="en-GB"/>
        </w:rPr>
        <w:t xml:space="preserve"> </w:t>
      </w:r>
      <w:r w:rsidRPr="0036165E">
        <w:rPr>
          <w:lang w:val="en-GB"/>
        </w:rPr>
        <w:t>transferring from insulin therapy, the recommended starting dose of Xultophy is</w:t>
      </w:r>
      <w:r w:rsidR="00041BCB" w:rsidRPr="0036165E">
        <w:rPr>
          <w:lang w:val="en-GB"/>
        </w:rPr>
        <w:t xml:space="preserve"> </w:t>
      </w:r>
      <w:r w:rsidRPr="0036165E">
        <w:rPr>
          <w:lang w:val="en-GB"/>
        </w:rPr>
        <w:t xml:space="preserve">16 dose steps (16 units insulin degludec and 0.6 mg liraglutide) (see </w:t>
      </w:r>
      <w:r w:rsidR="009E6985">
        <w:rPr>
          <w:lang w:val="en-GB"/>
        </w:rPr>
        <w:t>Section</w:t>
      </w:r>
      <w:r w:rsidR="00041BCB" w:rsidRPr="0036165E">
        <w:rPr>
          <w:lang w:val="en-GB"/>
        </w:rPr>
        <w:t>s</w:t>
      </w:r>
      <w:r w:rsidRPr="0036165E">
        <w:rPr>
          <w:lang w:val="en-GB"/>
        </w:rPr>
        <w:t xml:space="preserve"> </w:t>
      </w:r>
      <w:r w:rsidR="00041BCB" w:rsidRPr="0036165E">
        <w:rPr>
          <w:lang w:val="en-GB"/>
        </w:rPr>
        <w:t>5.1 Pharmacodynamic Properties-Clinical trials</w:t>
      </w:r>
      <w:r w:rsidRPr="0036165E">
        <w:rPr>
          <w:lang w:val="en-GB"/>
        </w:rPr>
        <w:t xml:space="preserve"> and </w:t>
      </w:r>
      <w:r w:rsidR="00041BCB" w:rsidRPr="0036165E">
        <w:t>4.4 Special Warnings and Precautions for Use</w:t>
      </w:r>
      <w:r w:rsidRPr="0036165E">
        <w:rPr>
          <w:lang w:val="en-GB"/>
        </w:rPr>
        <w:t>). The recommended starting dose should not be exceeded</w:t>
      </w:r>
      <w:r w:rsidR="00D26F89">
        <w:rPr>
          <w:lang w:val="en-GB"/>
        </w:rPr>
        <w:t>,</w:t>
      </w:r>
      <w:r w:rsidR="00D26F89" w:rsidRPr="00D26F89">
        <w:rPr>
          <w:lang w:val="en-GB"/>
        </w:rPr>
        <w:t xml:space="preserve"> but may be reduced to</w:t>
      </w:r>
      <w:r w:rsidR="00D26F89">
        <w:rPr>
          <w:lang w:val="en-GB"/>
        </w:rPr>
        <w:t xml:space="preserve"> </w:t>
      </w:r>
      <w:r w:rsidR="00D26F89" w:rsidRPr="00D26F89">
        <w:rPr>
          <w:lang w:val="en-GB"/>
        </w:rPr>
        <w:t xml:space="preserve">avoid hypoglycaemia in selected cases. </w:t>
      </w:r>
      <w:r w:rsidRPr="0036165E">
        <w:rPr>
          <w:lang w:val="en-GB"/>
        </w:rPr>
        <w:t>Close glucose monitoring is</w:t>
      </w:r>
      <w:r w:rsidR="00041BCB" w:rsidRPr="0036165E">
        <w:rPr>
          <w:lang w:val="en-GB"/>
        </w:rPr>
        <w:t xml:space="preserve"> </w:t>
      </w:r>
      <w:r w:rsidRPr="0036165E">
        <w:rPr>
          <w:lang w:val="en-GB"/>
        </w:rPr>
        <w:t>recommended during the transfer and in the following weeks.</w:t>
      </w:r>
    </w:p>
    <w:p w14:paraId="07E94604" w14:textId="77777777" w:rsidR="009A6903" w:rsidRPr="009A6903" w:rsidRDefault="009A6903" w:rsidP="00EE5E3B">
      <w:pPr>
        <w:spacing w:after="0" w:line="240" w:lineRule="auto"/>
        <w:rPr>
          <w:i/>
          <w:iCs/>
          <w:lang w:val="en-GB"/>
        </w:rPr>
      </w:pPr>
      <w:r w:rsidRPr="009A6903">
        <w:rPr>
          <w:i/>
          <w:iCs/>
          <w:lang w:val="en-GB"/>
        </w:rPr>
        <w:t>Titration of Xultophy</w:t>
      </w:r>
    </w:p>
    <w:p w14:paraId="0C42A27A" w14:textId="2C3A3BE8" w:rsidR="009A6903" w:rsidRDefault="009A6903" w:rsidP="00EE5E3B">
      <w:pPr>
        <w:rPr>
          <w:lang w:val="en-GB"/>
        </w:rPr>
      </w:pPr>
      <w:r w:rsidRPr="009A6903">
        <w:rPr>
          <w:lang w:val="en-GB"/>
        </w:rPr>
        <w:t>After starting the recommended starting dose of X</w:t>
      </w:r>
      <w:r>
        <w:rPr>
          <w:lang w:val="en-GB"/>
        </w:rPr>
        <w:t>ultophy (</w:t>
      </w:r>
      <w:r w:rsidRPr="009A6903">
        <w:rPr>
          <w:lang w:val="en-GB"/>
        </w:rPr>
        <w:t xml:space="preserve">see </w:t>
      </w:r>
      <w:r>
        <w:rPr>
          <w:lang w:val="en-GB"/>
        </w:rPr>
        <w:t xml:space="preserve">Section 4.2 </w:t>
      </w:r>
      <w:r w:rsidRPr="009A6903">
        <w:rPr>
          <w:lang w:val="en-GB"/>
        </w:rPr>
        <w:t>Dos</w:t>
      </w:r>
      <w:r>
        <w:rPr>
          <w:lang w:val="en-GB"/>
        </w:rPr>
        <w:t xml:space="preserve">e and Method of </w:t>
      </w:r>
      <w:r w:rsidRPr="009A6903">
        <w:rPr>
          <w:lang w:val="en-GB"/>
        </w:rPr>
        <w:t>Administration</w:t>
      </w:r>
      <w:r>
        <w:rPr>
          <w:lang w:val="en-GB"/>
        </w:rPr>
        <w:t>)</w:t>
      </w:r>
      <w:r w:rsidRPr="009A6903">
        <w:rPr>
          <w:lang w:val="en-GB"/>
        </w:rPr>
        <w:t xml:space="preserve">, titrate the dosage upwards or downwards by two units (see </w:t>
      </w:r>
      <w:r w:rsidRPr="00AD30BE">
        <w:rPr>
          <w:b/>
          <w:bCs/>
          <w:lang w:val="en-GB"/>
        </w:rPr>
        <w:fldChar w:fldCharType="begin"/>
      </w:r>
      <w:r w:rsidRPr="00AD30BE">
        <w:rPr>
          <w:b/>
          <w:bCs/>
          <w:lang w:val="en-GB"/>
        </w:rPr>
        <w:instrText xml:space="preserve"> REF _Ref56099750 \h </w:instrText>
      </w:r>
      <w:r w:rsidR="00AD30BE">
        <w:rPr>
          <w:b/>
          <w:bCs/>
          <w:lang w:val="en-GB"/>
        </w:rPr>
        <w:instrText xml:space="preserve"> \* MERGEFORMAT </w:instrText>
      </w:r>
      <w:r w:rsidRPr="00AD30BE">
        <w:rPr>
          <w:b/>
          <w:bCs/>
          <w:lang w:val="en-GB"/>
        </w:rPr>
      </w:r>
      <w:r w:rsidRPr="00AD30BE">
        <w:rPr>
          <w:b/>
          <w:bCs/>
          <w:lang w:val="en-GB"/>
        </w:rPr>
        <w:fldChar w:fldCharType="separate"/>
      </w:r>
      <w:r w:rsidR="00503238" w:rsidRPr="00503238">
        <w:rPr>
          <w:b/>
          <w:bCs/>
          <w:sz w:val="22"/>
          <w:szCs w:val="22"/>
        </w:rPr>
        <w:t>Table 1</w:t>
      </w:r>
      <w:r w:rsidRPr="00AD30BE">
        <w:rPr>
          <w:b/>
          <w:bCs/>
          <w:lang w:val="en-GB"/>
        </w:rPr>
        <w:fldChar w:fldCharType="end"/>
      </w:r>
      <w:r w:rsidRPr="009A6903">
        <w:rPr>
          <w:lang w:val="en-GB"/>
        </w:rPr>
        <w:t>) once weekly or twice weekly (every three to four days), based on the patient’s metabolic needs, blood glucose monitoring results, and glyc</w:t>
      </w:r>
      <w:r>
        <w:rPr>
          <w:lang w:val="en-GB"/>
        </w:rPr>
        <w:t>a</w:t>
      </w:r>
      <w:r w:rsidRPr="009A6903">
        <w:rPr>
          <w:lang w:val="en-GB"/>
        </w:rPr>
        <w:t>emic control goal until the desired fasting plasma glucose is achieved.</w:t>
      </w:r>
    </w:p>
    <w:p w14:paraId="2EB8716E" w14:textId="228A9AEA" w:rsidR="009A6903" w:rsidRPr="009A6903" w:rsidRDefault="009A6903" w:rsidP="00EE5E3B">
      <w:pPr>
        <w:pStyle w:val="Caption"/>
        <w:keepNext/>
        <w:spacing w:after="0"/>
      </w:pPr>
      <w:bookmarkStart w:id="0" w:name="_Ref56099750"/>
      <w:bookmarkStart w:id="1" w:name="_Ref57880455"/>
      <w:r w:rsidRPr="00AD30BE">
        <w:rPr>
          <w:color w:val="auto"/>
          <w:sz w:val="22"/>
          <w:szCs w:val="22"/>
        </w:rPr>
        <w:t xml:space="preserve">Table </w:t>
      </w:r>
      <w:r w:rsidRPr="00AD30BE">
        <w:rPr>
          <w:color w:val="auto"/>
          <w:sz w:val="22"/>
          <w:szCs w:val="22"/>
        </w:rPr>
        <w:fldChar w:fldCharType="begin"/>
      </w:r>
      <w:r w:rsidRPr="00AD30BE">
        <w:rPr>
          <w:color w:val="auto"/>
          <w:sz w:val="22"/>
          <w:szCs w:val="22"/>
        </w:rPr>
        <w:instrText xml:space="preserve"> SEQ Table \* ARABIC </w:instrText>
      </w:r>
      <w:r w:rsidRPr="00AD30BE">
        <w:rPr>
          <w:color w:val="auto"/>
          <w:sz w:val="22"/>
          <w:szCs w:val="22"/>
        </w:rPr>
        <w:fldChar w:fldCharType="separate"/>
      </w:r>
      <w:r w:rsidR="00503238">
        <w:rPr>
          <w:noProof/>
          <w:color w:val="auto"/>
          <w:sz w:val="22"/>
          <w:szCs w:val="22"/>
        </w:rPr>
        <w:t>1</w:t>
      </w:r>
      <w:r w:rsidRPr="00AD30BE">
        <w:rPr>
          <w:color w:val="auto"/>
          <w:sz w:val="22"/>
          <w:szCs w:val="22"/>
        </w:rPr>
        <w:fldChar w:fldCharType="end"/>
      </w:r>
      <w:bookmarkEnd w:id="0"/>
      <w:r w:rsidRPr="00AD30BE">
        <w:rPr>
          <w:color w:val="auto"/>
          <w:sz w:val="22"/>
          <w:szCs w:val="22"/>
        </w:rPr>
        <w:t xml:space="preserve"> Titration of Xultophy</w:t>
      </w:r>
      <w:bookmarkEnd w:id="1"/>
    </w:p>
    <w:tbl>
      <w:tblPr>
        <w:tblW w:w="6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2947"/>
      </w:tblGrid>
      <w:tr w:rsidR="009A6903" w:rsidRPr="00906F9B" w14:paraId="40D1BE39" w14:textId="77777777" w:rsidTr="009A6903">
        <w:trPr>
          <w:cantSplit/>
        </w:trPr>
        <w:tc>
          <w:tcPr>
            <w:tcW w:w="3213" w:type="dxa"/>
            <w:shd w:val="clear" w:color="auto" w:fill="auto"/>
          </w:tcPr>
          <w:p w14:paraId="74E45905" w14:textId="77777777" w:rsidR="009A6903" w:rsidRDefault="009A6903" w:rsidP="00EE5E3B">
            <w:pPr>
              <w:spacing w:after="0" w:line="240" w:lineRule="auto"/>
              <w:rPr>
                <w:b/>
                <w:sz w:val="20"/>
                <w:szCs w:val="20"/>
              </w:rPr>
            </w:pPr>
            <w:r>
              <w:rPr>
                <w:b/>
                <w:sz w:val="20"/>
                <w:szCs w:val="20"/>
              </w:rPr>
              <w:t>P</w:t>
            </w:r>
            <w:r w:rsidRPr="00906F9B">
              <w:rPr>
                <w:b/>
                <w:sz w:val="20"/>
                <w:szCs w:val="20"/>
              </w:rPr>
              <w:t>re-breakfast plasma glucose</w:t>
            </w:r>
            <w:r>
              <w:rPr>
                <w:b/>
                <w:sz w:val="20"/>
                <w:szCs w:val="20"/>
              </w:rPr>
              <w:t>*</w:t>
            </w:r>
          </w:p>
          <w:p w14:paraId="77380505" w14:textId="77777777" w:rsidR="009A6903" w:rsidRPr="00906F9B" w:rsidRDefault="009A6903" w:rsidP="00EE5E3B">
            <w:pPr>
              <w:spacing w:after="0" w:line="240" w:lineRule="auto"/>
              <w:rPr>
                <w:bCs/>
                <w:sz w:val="20"/>
                <w:szCs w:val="20"/>
              </w:rPr>
            </w:pPr>
            <w:r w:rsidRPr="00906F9B">
              <w:rPr>
                <w:bCs/>
                <w:sz w:val="20"/>
                <w:szCs w:val="20"/>
              </w:rPr>
              <w:t>mmoL/L</w:t>
            </w:r>
          </w:p>
        </w:tc>
        <w:tc>
          <w:tcPr>
            <w:tcW w:w="2947" w:type="dxa"/>
            <w:shd w:val="clear" w:color="auto" w:fill="auto"/>
          </w:tcPr>
          <w:p w14:paraId="3B257E23" w14:textId="77777777" w:rsidR="009A6903" w:rsidRDefault="009A6903" w:rsidP="00EE5E3B">
            <w:pPr>
              <w:spacing w:after="0" w:line="240" w:lineRule="auto"/>
              <w:rPr>
                <w:b/>
                <w:sz w:val="20"/>
                <w:szCs w:val="20"/>
              </w:rPr>
            </w:pPr>
            <w:r>
              <w:rPr>
                <w:b/>
                <w:sz w:val="20"/>
                <w:szCs w:val="20"/>
              </w:rPr>
              <w:t>D</w:t>
            </w:r>
            <w:r w:rsidRPr="00906F9B">
              <w:rPr>
                <w:b/>
                <w:sz w:val="20"/>
                <w:szCs w:val="20"/>
              </w:rPr>
              <w:t>ose adjustment</w:t>
            </w:r>
            <w:r>
              <w:rPr>
                <w:b/>
                <w:sz w:val="20"/>
                <w:szCs w:val="20"/>
              </w:rPr>
              <w:t xml:space="preserve"> (twice weekly)</w:t>
            </w:r>
          </w:p>
          <w:p w14:paraId="2864DF28" w14:textId="77777777" w:rsidR="009A6903" w:rsidRPr="00906F9B" w:rsidRDefault="009A6903" w:rsidP="00EE5E3B">
            <w:pPr>
              <w:spacing w:after="0" w:line="240" w:lineRule="auto"/>
              <w:rPr>
                <w:bCs/>
                <w:sz w:val="20"/>
                <w:szCs w:val="20"/>
              </w:rPr>
            </w:pPr>
            <w:r w:rsidRPr="00906F9B">
              <w:rPr>
                <w:bCs/>
                <w:sz w:val="20"/>
                <w:szCs w:val="20"/>
              </w:rPr>
              <w:t>Xultophy (dose steps)</w:t>
            </w:r>
          </w:p>
        </w:tc>
      </w:tr>
      <w:tr w:rsidR="009A6903" w:rsidRPr="00906F9B" w14:paraId="4DFFDD94" w14:textId="77777777" w:rsidTr="009A6903">
        <w:tc>
          <w:tcPr>
            <w:tcW w:w="3213" w:type="dxa"/>
          </w:tcPr>
          <w:p w14:paraId="497B6F7E" w14:textId="77777777" w:rsidR="009A6903" w:rsidRPr="00906F9B" w:rsidRDefault="009A6903" w:rsidP="00EE5E3B">
            <w:pPr>
              <w:spacing w:after="0" w:line="240" w:lineRule="auto"/>
              <w:rPr>
                <w:sz w:val="20"/>
                <w:szCs w:val="20"/>
              </w:rPr>
            </w:pPr>
            <w:r>
              <w:rPr>
                <w:sz w:val="20"/>
                <w:szCs w:val="20"/>
              </w:rPr>
              <w:t>&lt; 4.0</w:t>
            </w:r>
          </w:p>
        </w:tc>
        <w:tc>
          <w:tcPr>
            <w:tcW w:w="2947" w:type="dxa"/>
          </w:tcPr>
          <w:p w14:paraId="1F7105FF" w14:textId="77777777" w:rsidR="009A6903" w:rsidRPr="00906F9B" w:rsidRDefault="009A6903" w:rsidP="00EE5E3B">
            <w:pPr>
              <w:pStyle w:val="ListParagraph"/>
              <w:spacing w:after="0" w:line="240" w:lineRule="auto"/>
              <w:ind w:left="0"/>
              <w:contextualSpacing w:val="0"/>
              <w:rPr>
                <w:sz w:val="20"/>
                <w:szCs w:val="20"/>
              </w:rPr>
            </w:pPr>
            <w:r>
              <w:rPr>
                <w:sz w:val="20"/>
                <w:szCs w:val="20"/>
              </w:rPr>
              <w:t>-2</w:t>
            </w:r>
          </w:p>
        </w:tc>
      </w:tr>
      <w:tr w:rsidR="009A6903" w:rsidRPr="00906F9B" w14:paraId="2861A884" w14:textId="77777777" w:rsidTr="009A6903">
        <w:tc>
          <w:tcPr>
            <w:tcW w:w="3213" w:type="dxa"/>
          </w:tcPr>
          <w:p w14:paraId="6BE45DB7" w14:textId="77777777" w:rsidR="009A6903" w:rsidRPr="00906F9B" w:rsidRDefault="009A6903" w:rsidP="00EE5E3B">
            <w:pPr>
              <w:spacing w:after="0" w:line="240" w:lineRule="auto"/>
              <w:rPr>
                <w:sz w:val="20"/>
                <w:szCs w:val="20"/>
              </w:rPr>
            </w:pPr>
            <w:r>
              <w:rPr>
                <w:sz w:val="20"/>
                <w:szCs w:val="20"/>
              </w:rPr>
              <w:t>4.0 – 5.0</w:t>
            </w:r>
          </w:p>
        </w:tc>
        <w:tc>
          <w:tcPr>
            <w:tcW w:w="2947" w:type="dxa"/>
          </w:tcPr>
          <w:p w14:paraId="32EC2559" w14:textId="77777777" w:rsidR="009A6903" w:rsidRPr="00906F9B" w:rsidRDefault="009A6903" w:rsidP="00EE5E3B">
            <w:pPr>
              <w:spacing w:after="0" w:line="240" w:lineRule="auto"/>
              <w:rPr>
                <w:sz w:val="20"/>
                <w:szCs w:val="20"/>
              </w:rPr>
            </w:pPr>
            <w:r>
              <w:rPr>
                <w:sz w:val="20"/>
                <w:szCs w:val="20"/>
              </w:rPr>
              <w:t>0</w:t>
            </w:r>
          </w:p>
        </w:tc>
      </w:tr>
      <w:tr w:rsidR="009A6903" w:rsidRPr="00906F9B" w14:paraId="107A7555" w14:textId="77777777" w:rsidTr="009A6903">
        <w:tc>
          <w:tcPr>
            <w:tcW w:w="3213" w:type="dxa"/>
          </w:tcPr>
          <w:p w14:paraId="458A99FB" w14:textId="77777777" w:rsidR="009A6903" w:rsidRPr="00036F76" w:rsidRDefault="009A6903" w:rsidP="00EE5E3B">
            <w:pPr>
              <w:spacing w:after="0" w:line="240" w:lineRule="auto"/>
              <w:rPr>
                <w:sz w:val="20"/>
                <w:szCs w:val="20"/>
              </w:rPr>
            </w:pPr>
            <w:r>
              <w:rPr>
                <w:sz w:val="20"/>
                <w:szCs w:val="20"/>
              </w:rPr>
              <w:t>&gt;</w:t>
            </w:r>
            <w:r w:rsidRPr="00036F76">
              <w:rPr>
                <w:sz w:val="20"/>
                <w:szCs w:val="20"/>
              </w:rPr>
              <w:t xml:space="preserve"> </w:t>
            </w:r>
            <w:r>
              <w:rPr>
                <w:sz w:val="20"/>
                <w:szCs w:val="20"/>
              </w:rPr>
              <w:t>5</w:t>
            </w:r>
            <w:r w:rsidRPr="00036F76">
              <w:rPr>
                <w:sz w:val="20"/>
                <w:szCs w:val="20"/>
              </w:rPr>
              <w:t>.0</w:t>
            </w:r>
          </w:p>
        </w:tc>
        <w:tc>
          <w:tcPr>
            <w:tcW w:w="2947" w:type="dxa"/>
          </w:tcPr>
          <w:p w14:paraId="71421DB4" w14:textId="77777777" w:rsidR="009A6903" w:rsidRPr="00906F9B" w:rsidRDefault="009A6903" w:rsidP="00EE5E3B">
            <w:pPr>
              <w:spacing w:after="0" w:line="240" w:lineRule="auto"/>
              <w:rPr>
                <w:sz w:val="20"/>
                <w:szCs w:val="20"/>
              </w:rPr>
            </w:pPr>
            <w:r>
              <w:rPr>
                <w:sz w:val="20"/>
                <w:szCs w:val="20"/>
              </w:rPr>
              <w:t>+2</w:t>
            </w:r>
          </w:p>
        </w:tc>
      </w:tr>
    </w:tbl>
    <w:p w14:paraId="642EE0CC" w14:textId="44F409EE" w:rsidR="009A6903" w:rsidRDefault="009A6903" w:rsidP="00EE5E3B">
      <w:pPr>
        <w:rPr>
          <w:lang w:val="en-GB"/>
        </w:rPr>
      </w:pPr>
      <w:r>
        <w:rPr>
          <w:sz w:val="20"/>
          <w:szCs w:val="20"/>
        </w:rPr>
        <w:t>*Self-measured plasma glucose</w:t>
      </w:r>
    </w:p>
    <w:p w14:paraId="00EEA413" w14:textId="77777777" w:rsidR="00801F72" w:rsidRDefault="00801F72" w:rsidP="00EE5E3B">
      <w:pPr>
        <w:pStyle w:val="Heading3"/>
      </w:pPr>
      <w:r>
        <w:lastRenderedPageBreak/>
        <w:t>Other special populations</w:t>
      </w:r>
    </w:p>
    <w:p w14:paraId="5E192C97" w14:textId="77777777" w:rsidR="00801F72" w:rsidRPr="00610511" w:rsidRDefault="00801F72" w:rsidP="00EE5E3B">
      <w:pPr>
        <w:keepNext/>
        <w:spacing w:after="0" w:line="240" w:lineRule="auto"/>
        <w:rPr>
          <w:i/>
          <w:iCs/>
        </w:rPr>
      </w:pPr>
      <w:r w:rsidRPr="00570350">
        <w:rPr>
          <w:i/>
          <w:iCs/>
          <w:u w:val="single"/>
        </w:rPr>
        <w:t>Elderly patients (&gt;65 years old)</w:t>
      </w:r>
    </w:p>
    <w:p w14:paraId="06D085D6" w14:textId="77777777" w:rsidR="00801F72" w:rsidRDefault="00801F72" w:rsidP="00EE5E3B">
      <w:r>
        <w:t>Xultophy can be used in elderly patients. Glucose monitoring is to be intensified and the dose adjusted on an individual basis.</w:t>
      </w:r>
    </w:p>
    <w:p w14:paraId="08AB0DAE" w14:textId="77777777" w:rsidR="00801F72" w:rsidRPr="002F7BCB" w:rsidRDefault="00801F72" w:rsidP="00EE5E3B">
      <w:pPr>
        <w:spacing w:after="0" w:line="240" w:lineRule="auto"/>
        <w:rPr>
          <w:i/>
          <w:iCs/>
        </w:rPr>
      </w:pPr>
      <w:r w:rsidRPr="00570350">
        <w:rPr>
          <w:i/>
          <w:iCs/>
          <w:u w:val="single"/>
        </w:rPr>
        <w:t>Renal impairment</w:t>
      </w:r>
    </w:p>
    <w:p w14:paraId="253882C3" w14:textId="77777777" w:rsidR="00801F72" w:rsidRPr="002F7BCB" w:rsidRDefault="00801F72" w:rsidP="00EE5E3B">
      <w:r>
        <w:t>When Xultophy is used in patients with mild, moderate or severe renal impairment, glucose monitoring is to be intensified and the dose adjusted on an individual basis. Xultophy cannot be recommended for use in patients with end-stage renal disease (see Section 5.2, Pharmacokinetic Properties).</w:t>
      </w:r>
    </w:p>
    <w:p w14:paraId="03FD2F50" w14:textId="77777777" w:rsidR="00801F72" w:rsidRPr="002F7BCB" w:rsidRDefault="00801F72" w:rsidP="00EE5E3B">
      <w:pPr>
        <w:spacing w:after="0" w:line="240" w:lineRule="auto"/>
        <w:rPr>
          <w:i/>
          <w:iCs/>
        </w:rPr>
      </w:pPr>
      <w:r w:rsidRPr="00570350">
        <w:rPr>
          <w:i/>
          <w:iCs/>
          <w:u w:val="single"/>
        </w:rPr>
        <w:t>Hepatic impairment</w:t>
      </w:r>
    </w:p>
    <w:p w14:paraId="230CB395" w14:textId="77777777" w:rsidR="00801F72" w:rsidRPr="002F7BCB" w:rsidRDefault="00801F72" w:rsidP="00EE5E3B">
      <w:r>
        <w:t>When Xultophy is used in patients with hepatic impairment, glucose monitoring is to be intensified and the dose adjusted on an individual basis (see Section 5.2, Pharmacokinetic Properties).</w:t>
      </w:r>
    </w:p>
    <w:p w14:paraId="4ADBFCE4" w14:textId="77777777" w:rsidR="00801F72" w:rsidRDefault="00801F72" w:rsidP="00EE5E3B">
      <w:pPr>
        <w:pStyle w:val="Heading3"/>
      </w:pPr>
      <w:r w:rsidRPr="009A6903">
        <w:rPr>
          <w:rFonts w:eastAsiaTheme="minorHAnsi"/>
          <w:b w:val="0"/>
          <w:bCs w:val="0"/>
          <w:i/>
          <w:iCs/>
          <w:u w:val="single"/>
        </w:rPr>
        <w:t>Paediatric population</w:t>
      </w:r>
    </w:p>
    <w:p w14:paraId="20D39E83" w14:textId="2B1330B9" w:rsidR="00801F72" w:rsidRPr="0036165E" w:rsidRDefault="00801F72" w:rsidP="00EE5E3B">
      <w:r>
        <w:t>Xultophy is not recommended for use in children and adolescents below 18 years of age. No studies have been performed with Xultophy in patients below 18 years of age.</w:t>
      </w:r>
    </w:p>
    <w:p w14:paraId="2FAD5430" w14:textId="3178DF93" w:rsidR="00D56FBE" w:rsidRPr="0036165E" w:rsidRDefault="00D56FBE" w:rsidP="00EE5E3B">
      <w:pPr>
        <w:pStyle w:val="Heading3"/>
      </w:pPr>
      <w:r w:rsidRPr="0036165E">
        <w:t xml:space="preserve">Method of </w:t>
      </w:r>
      <w:r w:rsidR="00155F22" w:rsidRPr="0036165E">
        <w:t>a</w:t>
      </w:r>
      <w:r w:rsidRPr="0036165E">
        <w:t>dministration</w:t>
      </w:r>
    </w:p>
    <w:p w14:paraId="1BCFA926" w14:textId="1436619D" w:rsidR="00041BCB" w:rsidRPr="0036165E" w:rsidRDefault="00041BCB" w:rsidP="00EE5E3B">
      <w:pPr>
        <w:rPr>
          <w:lang w:val="en-GB"/>
        </w:rPr>
      </w:pPr>
      <w:r w:rsidRPr="0036165E">
        <w:rPr>
          <w:lang w:val="en-GB"/>
        </w:rPr>
        <w:t>Xultophy is for subcutaneous use only. Xultophy must not be administered</w:t>
      </w:r>
      <w:r w:rsidR="00C5591B" w:rsidRPr="0036165E">
        <w:rPr>
          <w:lang w:val="en-GB"/>
        </w:rPr>
        <w:t xml:space="preserve"> </w:t>
      </w:r>
      <w:r w:rsidRPr="0036165E">
        <w:rPr>
          <w:lang w:val="en-GB"/>
        </w:rPr>
        <w:t>intravenously or intramuscularly.</w:t>
      </w:r>
    </w:p>
    <w:p w14:paraId="15769250" w14:textId="2FCAE220" w:rsidR="00041BCB" w:rsidRDefault="00041BCB" w:rsidP="00EE5E3B">
      <w:pPr>
        <w:rPr>
          <w:lang w:val="en-GB"/>
        </w:rPr>
      </w:pPr>
      <w:r w:rsidRPr="0036165E">
        <w:rPr>
          <w:lang w:val="en-GB"/>
        </w:rPr>
        <w:t>Xultophy is administered subcutaneously by injection in the thigh, the upper arm or the</w:t>
      </w:r>
      <w:r w:rsidR="00C5591B" w:rsidRPr="0036165E">
        <w:rPr>
          <w:lang w:val="en-GB"/>
        </w:rPr>
        <w:t xml:space="preserve"> </w:t>
      </w:r>
      <w:r w:rsidRPr="0036165E">
        <w:rPr>
          <w:lang w:val="en-GB"/>
        </w:rPr>
        <w:t xml:space="preserve">abdomen. Injection sites </w:t>
      </w:r>
      <w:r w:rsidR="00924BD5">
        <w:rPr>
          <w:lang w:val="en-GB"/>
        </w:rPr>
        <w:t>should</w:t>
      </w:r>
      <w:r w:rsidR="00924BD5" w:rsidRPr="0036165E">
        <w:rPr>
          <w:lang w:val="en-GB"/>
        </w:rPr>
        <w:t xml:space="preserve"> </w:t>
      </w:r>
      <w:r w:rsidRPr="0036165E">
        <w:rPr>
          <w:lang w:val="en-GB"/>
        </w:rPr>
        <w:t>always be rotated within the same region in order to reduce</w:t>
      </w:r>
      <w:r w:rsidR="00C5591B" w:rsidRPr="0036165E">
        <w:rPr>
          <w:lang w:val="en-GB"/>
        </w:rPr>
        <w:t xml:space="preserve"> </w:t>
      </w:r>
      <w:r w:rsidRPr="0036165E">
        <w:rPr>
          <w:lang w:val="en-GB"/>
        </w:rPr>
        <w:t>the risk of lipodystrophy</w:t>
      </w:r>
      <w:r w:rsidR="00924BD5">
        <w:rPr>
          <w:lang w:val="en-GB"/>
        </w:rPr>
        <w:t xml:space="preserve"> </w:t>
      </w:r>
      <w:r w:rsidR="00924BD5" w:rsidRPr="00924BD5">
        <w:rPr>
          <w:bCs/>
          <w:iCs/>
          <w:lang w:val="en-US"/>
        </w:rPr>
        <w:t>and cutaneous amyloidosis (see sections 4.4 Special Warnings and Precautions for Use and 4.8 Adverse Effects</w:t>
      </w:r>
      <w:r w:rsidR="00892173">
        <w:rPr>
          <w:bCs/>
          <w:iCs/>
          <w:lang w:val="en-US"/>
        </w:rPr>
        <w:t xml:space="preserve"> (Undesirable Effects)</w:t>
      </w:r>
      <w:r w:rsidR="00924BD5" w:rsidRPr="00924BD5">
        <w:rPr>
          <w:bCs/>
          <w:iCs/>
          <w:lang w:val="en-US"/>
        </w:rPr>
        <w:t>)</w:t>
      </w:r>
      <w:r w:rsidR="00924BD5" w:rsidRPr="00924BD5">
        <w:rPr>
          <w:lang w:val="en-GB"/>
        </w:rPr>
        <w:t>.</w:t>
      </w:r>
      <w:r w:rsidR="00924BD5">
        <w:rPr>
          <w:lang w:val="en-GB"/>
        </w:rPr>
        <w:t xml:space="preserve"> </w:t>
      </w:r>
      <w:r w:rsidRPr="0036165E">
        <w:rPr>
          <w:lang w:val="en-GB"/>
        </w:rPr>
        <w:t xml:space="preserve">For further instructions on administration, see </w:t>
      </w:r>
      <w:r w:rsidR="009E6985">
        <w:rPr>
          <w:lang w:val="en-GB"/>
        </w:rPr>
        <w:t>Section</w:t>
      </w:r>
      <w:r w:rsidRPr="0036165E">
        <w:rPr>
          <w:lang w:val="en-GB"/>
        </w:rPr>
        <w:t xml:space="preserve"> 6.</w:t>
      </w:r>
      <w:r w:rsidR="00C5591B" w:rsidRPr="0036165E">
        <w:rPr>
          <w:lang w:val="en-GB"/>
        </w:rPr>
        <w:t>6</w:t>
      </w:r>
      <w:r w:rsidR="00924BD5">
        <w:rPr>
          <w:lang w:val="en-GB"/>
        </w:rPr>
        <w:t xml:space="preserve"> Special Precautions for Disposal</w:t>
      </w:r>
      <w:r w:rsidRPr="0036165E">
        <w:rPr>
          <w:lang w:val="en-GB"/>
        </w:rPr>
        <w:t>.</w:t>
      </w:r>
    </w:p>
    <w:p w14:paraId="71940503" w14:textId="77777777" w:rsidR="00C5650A" w:rsidRDefault="00C5650A" w:rsidP="00EE5E3B">
      <w:pPr>
        <w:pStyle w:val="Heading3"/>
      </w:pPr>
      <w:r w:rsidRPr="00C5650A">
        <w:t>Instructions for use and handling</w:t>
      </w:r>
    </w:p>
    <w:p w14:paraId="612F9004" w14:textId="6D699D50" w:rsidR="00C5650A" w:rsidRDefault="00C5650A" w:rsidP="00EE5E3B">
      <w:pPr>
        <w:rPr>
          <w:lang w:val="da-DK"/>
        </w:rPr>
      </w:pPr>
      <w:r w:rsidRPr="009E6985">
        <w:t xml:space="preserve">Detailed instruction accompanying the pre-filled pen must be followed. </w:t>
      </w:r>
      <w:r w:rsidR="00801F72" w:rsidRPr="00801F72">
        <w:t>Discard 21 days after first opening</w:t>
      </w:r>
      <w:r w:rsidR="00801F72">
        <w:t xml:space="preserve">. </w:t>
      </w:r>
      <w:r w:rsidRPr="009E6985">
        <w:t>The pre-filled pen is designed to be used with NovoFine</w:t>
      </w:r>
      <w:r w:rsidRPr="009E6985">
        <w:rPr>
          <w:vertAlign w:val="superscript"/>
        </w:rPr>
        <w:t>®</w:t>
      </w:r>
      <w:r w:rsidRPr="009E6985">
        <w:t xml:space="preserve"> injection needles up to a length of 8 mm and as thin as 32G. </w:t>
      </w:r>
      <w:r w:rsidR="00E3589B" w:rsidRPr="009E6985">
        <w:t>Xultophy</w:t>
      </w:r>
      <w:r w:rsidRPr="009E6985">
        <w:t xml:space="preserve"> pen is for use by one person only. </w:t>
      </w:r>
      <w:r w:rsidR="00E3589B" w:rsidRPr="009E6985">
        <w:t>Xultophy</w:t>
      </w:r>
      <w:r w:rsidRPr="009E6985">
        <w:t xml:space="preserve"> must not be used if the solution does not appear clear and colourless. </w:t>
      </w:r>
      <w:r w:rsidR="00E3589B" w:rsidRPr="009E6985">
        <w:t>Xultophy</w:t>
      </w:r>
      <w:r w:rsidRPr="009E6985">
        <w:t xml:space="preserve"> which has been frozen must not be used.</w:t>
      </w:r>
      <w:bookmarkStart w:id="2" w:name="_GoBack"/>
      <w:bookmarkEnd w:id="2"/>
    </w:p>
    <w:p w14:paraId="07D219C3" w14:textId="77777777" w:rsidR="00155F22" w:rsidRPr="0036165E" w:rsidRDefault="00155F22" w:rsidP="00EE5E3B">
      <w:pPr>
        <w:pStyle w:val="Heading3"/>
      </w:pPr>
      <w:r w:rsidRPr="0036165E">
        <w:t>Missed dose</w:t>
      </w:r>
    </w:p>
    <w:p w14:paraId="1C139797" w14:textId="5C1651A5" w:rsidR="00155F22" w:rsidRPr="0036165E" w:rsidRDefault="00155F22" w:rsidP="00EE5E3B">
      <w:r w:rsidRPr="0036165E">
        <w:t>Patients who forget a dose are advised to take it upon discovery and then resume their usual once-daily dosing schedule. A minimum of 8 hours between injections should always be ensured. This also applies when administration at the same time of the day is not possible.</w:t>
      </w:r>
    </w:p>
    <w:p w14:paraId="078A4D33" w14:textId="77777777" w:rsidR="00D56FBE" w:rsidRPr="0036165E" w:rsidRDefault="00F17541" w:rsidP="00EE5E3B">
      <w:pPr>
        <w:pStyle w:val="Heading3"/>
      </w:pPr>
      <w:r w:rsidRPr="0036165E">
        <w:t>4.3</w:t>
      </w:r>
      <w:r w:rsidRPr="0036165E">
        <w:tab/>
      </w:r>
      <w:r w:rsidR="00D56FBE" w:rsidRPr="0036165E">
        <w:t>Contraindications</w:t>
      </w:r>
    </w:p>
    <w:p w14:paraId="5FC0605D" w14:textId="6E0A1238" w:rsidR="00D56FBE" w:rsidRPr="0036165E" w:rsidRDefault="005B4399" w:rsidP="00EE5E3B">
      <w:r w:rsidRPr="0036165E">
        <w:t xml:space="preserve">Hypersensitivity to either or both active substances or to any of the excipients listed in </w:t>
      </w:r>
      <w:r w:rsidR="009E6985">
        <w:t>Section</w:t>
      </w:r>
      <w:r w:rsidRPr="0036165E">
        <w:t xml:space="preserve"> </w:t>
      </w:r>
      <w:r w:rsidR="00AF7AB3" w:rsidRPr="0036165E">
        <w:t>6.1</w:t>
      </w:r>
      <w:r w:rsidRPr="0036165E">
        <w:t xml:space="preserve"> List of Excipients</w:t>
      </w:r>
      <w:r w:rsidR="00AF7AB3" w:rsidRPr="0036165E">
        <w:t>.</w:t>
      </w:r>
    </w:p>
    <w:p w14:paraId="723DAA85" w14:textId="77777777" w:rsidR="00D56FBE" w:rsidRPr="0036165E" w:rsidRDefault="00F17541" w:rsidP="00EE5E3B">
      <w:pPr>
        <w:pStyle w:val="Heading3"/>
      </w:pPr>
      <w:r w:rsidRPr="0036165E">
        <w:t>4.4</w:t>
      </w:r>
      <w:r w:rsidRPr="0036165E">
        <w:tab/>
      </w:r>
      <w:r w:rsidR="00D56FBE" w:rsidRPr="0036165E">
        <w:t>Special Warnings and Precautions for Use</w:t>
      </w:r>
    </w:p>
    <w:p w14:paraId="42C3AF3F" w14:textId="5103D704" w:rsidR="00652A78" w:rsidRPr="0036165E" w:rsidRDefault="002F7BCB" w:rsidP="00EE5E3B">
      <w:r w:rsidRPr="0036165E">
        <w:rPr>
          <w:bCs/>
        </w:rPr>
        <w:t>Xultophy</w:t>
      </w:r>
      <w:r w:rsidR="00652A78" w:rsidRPr="0036165E">
        <w:t xml:space="preserve"> should not be used in patients with type 1 diabetes mellitus or for the treatment of diabetic ketoacidosis.</w:t>
      </w:r>
    </w:p>
    <w:p w14:paraId="4B1A664B" w14:textId="77777777" w:rsidR="00485048" w:rsidRPr="0036165E" w:rsidRDefault="00485048" w:rsidP="00EE5E3B">
      <w:pPr>
        <w:pStyle w:val="Heading3"/>
        <w:rPr>
          <w:lang w:val="en-GB"/>
        </w:rPr>
      </w:pPr>
      <w:r w:rsidRPr="0036165E">
        <w:rPr>
          <w:lang w:val="en-GB"/>
        </w:rPr>
        <w:t>Hypoglycaemia</w:t>
      </w:r>
    </w:p>
    <w:p w14:paraId="0488C52C" w14:textId="5F4712FD" w:rsidR="00485048" w:rsidRPr="0036165E" w:rsidRDefault="00485048" w:rsidP="00EE5E3B">
      <w:pPr>
        <w:rPr>
          <w:rFonts w:eastAsiaTheme="majorEastAsia"/>
          <w:bCs/>
          <w:iCs/>
          <w:lang w:val="en-GB"/>
        </w:rPr>
      </w:pPr>
      <w:r w:rsidRPr="0036165E">
        <w:rPr>
          <w:rFonts w:eastAsiaTheme="majorEastAsia"/>
          <w:bCs/>
          <w:iCs/>
          <w:lang w:val="en-GB"/>
        </w:rPr>
        <w:t>Hypoglycaemia may occur if the dose of Xultophy is higher than required. Omission of</w:t>
      </w:r>
      <w:r w:rsidR="003A1645" w:rsidRPr="0036165E">
        <w:rPr>
          <w:rFonts w:eastAsiaTheme="majorEastAsia"/>
          <w:bCs/>
          <w:iCs/>
          <w:lang w:val="en-GB"/>
        </w:rPr>
        <w:t xml:space="preserve"> </w:t>
      </w:r>
      <w:r w:rsidRPr="0036165E">
        <w:rPr>
          <w:rFonts w:eastAsiaTheme="majorEastAsia"/>
          <w:bCs/>
          <w:iCs/>
          <w:lang w:val="en-GB"/>
        </w:rPr>
        <w:t>a meal or unplanned strenuous physical exercise may lead to hypoglycaemia. When</w:t>
      </w:r>
      <w:r w:rsidR="003A1645" w:rsidRPr="0036165E">
        <w:rPr>
          <w:rFonts w:eastAsiaTheme="majorEastAsia"/>
          <w:bCs/>
          <w:iCs/>
          <w:lang w:val="en-GB"/>
        </w:rPr>
        <w:t xml:space="preserve"> </w:t>
      </w:r>
      <w:r w:rsidRPr="0036165E">
        <w:rPr>
          <w:rFonts w:eastAsiaTheme="majorEastAsia"/>
          <w:bCs/>
          <w:iCs/>
          <w:lang w:val="en-GB"/>
        </w:rPr>
        <w:t>Xultophy is used in combination with sulfonylurea, the risk of hypoglycaemia may be</w:t>
      </w:r>
      <w:r w:rsidR="003A1645" w:rsidRPr="0036165E">
        <w:rPr>
          <w:rFonts w:eastAsiaTheme="majorEastAsia"/>
          <w:bCs/>
          <w:iCs/>
          <w:lang w:val="en-GB"/>
        </w:rPr>
        <w:t xml:space="preserve"> </w:t>
      </w:r>
      <w:r w:rsidRPr="0036165E">
        <w:rPr>
          <w:rFonts w:eastAsiaTheme="majorEastAsia"/>
          <w:bCs/>
          <w:iCs/>
          <w:lang w:val="en-GB"/>
        </w:rPr>
        <w:t>lowered by a reduction in the dose of sulfonylurea. Concomitant diseases in the kidney,</w:t>
      </w:r>
      <w:r w:rsidR="003A1645" w:rsidRPr="0036165E">
        <w:rPr>
          <w:rFonts w:eastAsiaTheme="majorEastAsia"/>
          <w:bCs/>
          <w:iCs/>
          <w:lang w:val="en-GB"/>
        </w:rPr>
        <w:t xml:space="preserve"> </w:t>
      </w:r>
      <w:r w:rsidRPr="0036165E">
        <w:rPr>
          <w:rFonts w:eastAsiaTheme="majorEastAsia"/>
          <w:bCs/>
          <w:iCs/>
          <w:lang w:val="en-GB"/>
        </w:rPr>
        <w:t>liver or diseases affecting the adrenal, pituitary or thyroid gland may require changes of</w:t>
      </w:r>
      <w:r w:rsidR="003A1645" w:rsidRPr="0036165E">
        <w:rPr>
          <w:rFonts w:eastAsiaTheme="majorEastAsia"/>
          <w:bCs/>
          <w:iCs/>
          <w:lang w:val="en-GB"/>
        </w:rPr>
        <w:t xml:space="preserve"> </w:t>
      </w:r>
      <w:r w:rsidRPr="0036165E">
        <w:rPr>
          <w:rFonts w:eastAsiaTheme="majorEastAsia"/>
          <w:bCs/>
          <w:iCs/>
          <w:lang w:val="en-GB"/>
        </w:rPr>
        <w:t>the Xultophy dose. Patients whose blood glucose control is greatly improved (e.g. by</w:t>
      </w:r>
      <w:r w:rsidR="003A1645" w:rsidRPr="0036165E">
        <w:rPr>
          <w:rFonts w:eastAsiaTheme="majorEastAsia"/>
          <w:bCs/>
          <w:iCs/>
          <w:lang w:val="en-GB"/>
        </w:rPr>
        <w:t xml:space="preserve"> </w:t>
      </w:r>
      <w:r w:rsidRPr="0036165E">
        <w:rPr>
          <w:rFonts w:eastAsiaTheme="majorEastAsia"/>
          <w:bCs/>
          <w:iCs/>
          <w:lang w:val="en-GB"/>
        </w:rPr>
        <w:t>intensified therapy) may experience a change in their usual warning symptoms (see</w:t>
      </w:r>
      <w:r w:rsidR="003A1645" w:rsidRPr="0036165E">
        <w:rPr>
          <w:rFonts w:eastAsiaTheme="majorEastAsia"/>
          <w:bCs/>
          <w:iCs/>
          <w:lang w:val="en-GB"/>
        </w:rPr>
        <w:t xml:space="preserve"> </w:t>
      </w:r>
      <w:r w:rsidR="009E6985">
        <w:rPr>
          <w:rFonts w:eastAsiaTheme="majorEastAsia"/>
          <w:bCs/>
          <w:iCs/>
          <w:lang w:val="en-GB"/>
        </w:rPr>
        <w:t>Section</w:t>
      </w:r>
      <w:r w:rsidRPr="0036165E">
        <w:rPr>
          <w:rFonts w:eastAsiaTheme="majorEastAsia"/>
          <w:bCs/>
          <w:iCs/>
          <w:lang w:val="en-GB"/>
        </w:rPr>
        <w:t xml:space="preserve"> 4.2</w:t>
      </w:r>
      <w:r w:rsidR="003A1645" w:rsidRPr="0036165E">
        <w:rPr>
          <w:rFonts w:eastAsiaTheme="majorEastAsia"/>
          <w:bCs/>
          <w:iCs/>
          <w:lang w:val="en-GB"/>
        </w:rPr>
        <w:t xml:space="preserve"> Dose and Method of Administration</w:t>
      </w:r>
      <w:r w:rsidRPr="0036165E">
        <w:rPr>
          <w:rFonts w:eastAsiaTheme="majorEastAsia"/>
          <w:bCs/>
          <w:iCs/>
          <w:lang w:val="en-GB"/>
        </w:rPr>
        <w:t>) of hypoglycaemia and must be advised accordingly. Usual warning</w:t>
      </w:r>
      <w:r w:rsidR="003A1645" w:rsidRPr="0036165E">
        <w:rPr>
          <w:rFonts w:eastAsiaTheme="majorEastAsia"/>
          <w:bCs/>
          <w:iCs/>
          <w:lang w:val="en-GB"/>
        </w:rPr>
        <w:t xml:space="preserve"> </w:t>
      </w:r>
      <w:r w:rsidRPr="0036165E">
        <w:rPr>
          <w:rFonts w:eastAsiaTheme="majorEastAsia"/>
          <w:bCs/>
          <w:iCs/>
          <w:lang w:val="en-GB"/>
        </w:rPr>
        <w:t>symptoms of hypoglycaemia may disappear in patients with long-standing diabetes. As</w:t>
      </w:r>
      <w:r w:rsidR="003A1645" w:rsidRPr="0036165E">
        <w:rPr>
          <w:rFonts w:eastAsiaTheme="majorEastAsia"/>
          <w:bCs/>
          <w:iCs/>
          <w:lang w:val="en-GB"/>
        </w:rPr>
        <w:t xml:space="preserve"> </w:t>
      </w:r>
      <w:r w:rsidRPr="0036165E">
        <w:rPr>
          <w:rFonts w:eastAsiaTheme="majorEastAsia"/>
          <w:bCs/>
          <w:iCs/>
          <w:lang w:val="en-GB"/>
        </w:rPr>
        <w:t>with all products with a basal insulin component, prolonged effect of Xultophy may</w:t>
      </w:r>
      <w:r w:rsidR="003A1645" w:rsidRPr="0036165E">
        <w:rPr>
          <w:rFonts w:eastAsiaTheme="majorEastAsia"/>
          <w:bCs/>
          <w:iCs/>
          <w:lang w:val="en-GB"/>
        </w:rPr>
        <w:t xml:space="preserve"> </w:t>
      </w:r>
      <w:r w:rsidRPr="0036165E">
        <w:rPr>
          <w:rFonts w:eastAsiaTheme="majorEastAsia"/>
          <w:bCs/>
          <w:iCs/>
          <w:lang w:val="en-GB"/>
        </w:rPr>
        <w:t>delay recovery from hypoglycaemia.</w:t>
      </w:r>
    </w:p>
    <w:p w14:paraId="0E00D366" w14:textId="77777777" w:rsidR="00485048" w:rsidRPr="0036165E" w:rsidRDefault="00485048" w:rsidP="00EE5E3B">
      <w:pPr>
        <w:pStyle w:val="Heading3"/>
        <w:rPr>
          <w:lang w:val="en-GB"/>
        </w:rPr>
      </w:pPr>
      <w:r w:rsidRPr="0036165E">
        <w:rPr>
          <w:lang w:val="en-GB"/>
        </w:rPr>
        <w:t>Hyperglycaemia</w:t>
      </w:r>
    </w:p>
    <w:p w14:paraId="67ABE353" w14:textId="44B04AE7" w:rsidR="00485048" w:rsidRPr="0036165E" w:rsidRDefault="00485048" w:rsidP="00EE5E3B">
      <w:pPr>
        <w:rPr>
          <w:rFonts w:eastAsiaTheme="majorEastAsia"/>
          <w:bCs/>
          <w:iCs/>
          <w:lang w:val="en-GB"/>
        </w:rPr>
      </w:pPr>
      <w:r w:rsidRPr="0036165E">
        <w:rPr>
          <w:rFonts w:eastAsiaTheme="majorEastAsia"/>
          <w:bCs/>
          <w:iCs/>
          <w:lang w:val="en-GB"/>
        </w:rPr>
        <w:t>Inadequate dosing and/or discontinuation of antidiabetic treatment may lead to</w:t>
      </w:r>
      <w:r w:rsidR="003A1645" w:rsidRPr="0036165E">
        <w:rPr>
          <w:rFonts w:eastAsiaTheme="majorEastAsia"/>
          <w:bCs/>
          <w:iCs/>
          <w:lang w:val="en-GB"/>
        </w:rPr>
        <w:t xml:space="preserve"> </w:t>
      </w:r>
      <w:r w:rsidRPr="0036165E">
        <w:rPr>
          <w:rFonts w:eastAsiaTheme="majorEastAsia"/>
          <w:bCs/>
          <w:iCs/>
          <w:lang w:val="en-GB"/>
        </w:rPr>
        <w:t>hyperglycaemia and potentially to ketoacidotic coma. In case of discontinuation of</w:t>
      </w:r>
      <w:r w:rsidR="003A1645" w:rsidRPr="0036165E">
        <w:rPr>
          <w:rFonts w:eastAsiaTheme="majorEastAsia"/>
          <w:bCs/>
          <w:iCs/>
          <w:lang w:val="en-GB"/>
        </w:rPr>
        <w:t xml:space="preserve"> </w:t>
      </w:r>
      <w:r w:rsidRPr="0036165E">
        <w:rPr>
          <w:rFonts w:eastAsiaTheme="majorEastAsia"/>
          <w:bCs/>
          <w:iCs/>
          <w:lang w:val="en-GB"/>
        </w:rPr>
        <w:t>Xultophy, ensure that instruction for initiation of alternative antidiabetic medication is</w:t>
      </w:r>
      <w:r w:rsidR="003A1645" w:rsidRPr="0036165E">
        <w:rPr>
          <w:rFonts w:eastAsiaTheme="majorEastAsia"/>
          <w:bCs/>
          <w:iCs/>
          <w:lang w:val="en-GB"/>
        </w:rPr>
        <w:t xml:space="preserve"> </w:t>
      </w:r>
      <w:r w:rsidRPr="0036165E">
        <w:rPr>
          <w:rFonts w:eastAsiaTheme="majorEastAsia"/>
          <w:bCs/>
          <w:iCs/>
          <w:lang w:val="en-GB"/>
        </w:rPr>
        <w:t>followed. Furthermore, concomitant illness, especially infections, may lead to</w:t>
      </w:r>
      <w:r w:rsidR="003A1645" w:rsidRPr="0036165E">
        <w:rPr>
          <w:rFonts w:eastAsiaTheme="majorEastAsia"/>
          <w:bCs/>
          <w:iCs/>
          <w:lang w:val="en-GB"/>
        </w:rPr>
        <w:t xml:space="preserve"> </w:t>
      </w:r>
      <w:r w:rsidRPr="0036165E">
        <w:rPr>
          <w:rFonts w:eastAsiaTheme="majorEastAsia"/>
          <w:bCs/>
          <w:iCs/>
          <w:lang w:val="en-GB"/>
        </w:rPr>
        <w:t>hyperglycaemia and thereby cause an increased requirement for antidiabetic treatment.</w:t>
      </w:r>
      <w:r w:rsidR="003A1645" w:rsidRPr="0036165E">
        <w:rPr>
          <w:rFonts w:eastAsiaTheme="majorEastAsia"/>
          <w:bCs/>
          <w:iCs/>
          <w:lang w:val="en-GB"/>
        </w:rPr>
        <w:t xml:space="preserve"> </w:t>
      </w:r>
      <w:r w:rsidRPr="0036165E">
        <w:rPr>
          <w:rFonts w:eastAsiaTheme="majorEastAsia"/>
          <w:bCs/>
          <w:iCs/>
          <w:lang w:val="en-GB"/>
        </w:rPr>
        <w:t>Usually, the first symptoms of hyperglycaemia develop gradually over a period of hours</w:t>
      </w:r>
      <w:r w:rsidR="003A1645" w:rsidRPr="0036165E">
        <w:rPr>
          <w:rFonts w:eastAsiaTheme="majorEastAsia"/>
          <w:bCs/>
          <w:iCs/>
          <w:lang w:val="en-GB"/>
        </w:rPr>
        <w:t xml:space="preserve"> </w:t>
      </w:r>
      <w:r w:rsidRPr="0036165E">
        <w:rPr>
          <w:rFonts w:eastAsiaTheme="majorEastAsia"/>
          <w:bCs/>
          <w:iCs/>
          <w:lang w:val="en-GB"/>
        </w:rPr>
        <w:t>or days. They include thirst, increased frequency of urination, nausea, vomiting,</w:t>
      </w:r>
      <w:r w:rsidR="003A1645" w:rsidRPr="0036165E">
        <w:rPr>
          <w:rFonts w:eastAsiaTheme="majorEastAsia"/>
          <w:bCs/>
          <w:iCs/>
          <w:lang w:val="en-GB"/>
        </w:rPr>
        <w:t xml:space="preserve"> </w:t>
      </w:r>
      <w:r w:rsidRPr="0036165E">
        <w:rPr>
          <w:rFonts w:eastAsiaTheme="majorEastAsia"/>
          <w:bCs/>
          <w:iCs/>
          <w:lang w:val="en-GB"/>
        </w:rPr>
        <w:t>drowsiness, flushed dry skin, dry mouth, and loss of appetite as well as acetone odour of</w:t>
      </w:r>
      <w:r w:rsidR="003A1645" w:rsidRPr="0036165E">
        <w:rPr>
          <w:rFonts w:eastAsiaTheme="majorEastAsia"/>
          <w:bCs/>
          <w:iCs/>
          <w:lang w:val="en-GB"/>
        </w:rPr>
        <w:t xml:space="preserve"> </w:t>
      </w:r>
      <w:r w:rsidRPr="0036165E">
        <w:rPr>
          <w:rFonts w:eastAsiaTheme="majorEastAsia"/>
          <w:bCs/>
          <w:iCs/>
          <w:lang w:val="en-GB"/>
        </w:rPr>
        <w:t>breath. Administration of rapid-acting insulin should be considered in situations of</w:t>
      </w:r>
      <w:r w:rsidR="003A1645" w:rsidRPr="0036165E">
        <w:rPr>
          <w:rFonts w:eastAsiaTheme="majorEastAsia"/>
          <w:bCs/>
          <w:iCs/>
          <w:lang w:val="en-GB"/>
        </w:rPr>
        <w:t xml:space="preserve"> </w:t>
      </w:r>
      <w:r w:rsidRPr="0036165E">
        <w:rPr>
          <w:rFonts w:eastAsiaTheme="majorEastAsia"/>
          <w:bCs/>
          <w:iCs/>
          <w:lang w:val="en-GB"/>
        </w:rPr>
        <w:t xml:space="preserve">severe hyperglycaemia. Untreated </w:t>
      </w:r>
      <w:r w:rsidR="003A1645" w:rsidRPr="0036165E">
        <w:rPr>
          <w:rFonts w:eastAsiaTheme="majorEastAsia"/>
          <w:bCs/>
          <w:iCs/>
          <w:lang w:val="en-GB"/>
        </w:rPr>
        <w:t>h</w:t>
      </w:r>
      <w:r w:rsidRPr="0036165E">
        <w:rPr>
          <w:rFonts w:eastAsiaTheme="majorEastAsia"/>
          <w:bCs/>
          <w:iCs/>
          <w:lang w:val="en-GB"/>
        </w:rPr>
        <w:t>yperglycaemic events eventually lead to</w:t>
      </w:r>
      <w:r w:rsidR="003A1645" w:rsidRPr="0036165E">
        <w:rPr>
          <w:rFonts w:eastAsiaTheme="majorEastAsia"/>
          <w:bCs/>
          <w:iCs/>
          <w:lang w:val="en-GB"/>
        </w:rPr>
        <w:t xml:space="preserve"> </w:t>
      </w:r>
      <w:r w:rsidRPr="0036165E">
        <w:rPr>
          <w:rFonts w:eastAsiaTheme="majorEastAsia"/>
          <w:bCs/>
          <w:iCs/>
          <w:lang w:val="en-GB"/>
        </w:rPr>
        <w:t>hyperosmolar coma/diabetic ketoacidosis, which is potentially lethal.</w:t>
      </w:r>
    </w:p>
    <w:p w14:paraId="5D726403" w14:textId="77777777" w:rsidR="00DA3611" w:rsidRPr="000944C5" w:rsidRDefault="00DA3611" w:rsidP="00EE5E3B">
      <w:pPr>
        <w:keepNext/>
        <w:keepLines/>
        <w:spacing w:before="200" w:after="0" w:line="240" w:lineRule="auto"/>
        <w:outlineLvl w:val="3"/>
        <w:rPr>
          <w:rFonts w:eastAsiaTheme="majorEastAsia"/>
          <w:b/>
          <w:iCs/>
          <w:lang w:val="en-US"/>
        </w:rPr>
      </w:pPr>
      <w:r w:rsidRPr="000944C5">
        <w:rPr>
          <w:rFonts w:eastAsiaTheme="majorEastAsia"/>
          <w:b/>
          <w:iCs/>
          <w:lang w:val="en-US"/>
        </w:rPr>
        <w:t>Skin and subcutaneous tissue disorders</w:t>
      </w:r>
    </w:p>
    <w:p w14:paraId="0873BD1B" w14:textId="77777777" w:rsidR="00DA3611" w:rsidRPr="00DA3611" w:rsidRDefault="00DA3611" w:rsidP="00EE5E3B">
      <w:pPr>
        <w:keepNext/>
        <w:keepLines/>
        <w:spacing w:after="0" w:line="240" w:lineRule="auto"/>
        <w:outlineLvl w:val="3"/>
        <w:rPr>
          <w:rFonts w:eastAsiaTheme="majorEastAsia"/>
          <w:bCs/>
          <w:iCs/>
          <w:lang w:val="en-US"/>
        </w:rPr>
      </w:pPr>
      <w:r w:rsidRPr="00DA3611">
        <w:rPr>
          <w:rFonts w:eastAsiaTheme="majorEastAsia"/>
          <w:bCs/>
          <w:iCs/>
          <w:lang w:val="en-US"/>
        </w:rPr>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from an affected to an unaffected area, and dose adjustment of antidiabetic medications may be considered.</w:t>
      </w:r>
    </w:p>
    <w:p w14:paraId="483CC6C3" w14:textId="77777777" w:rsidR="00485048" w:rsidRPr="0036165E" w:rsidRDefault="00485048" w:rsidP="00EE5E3B">
      <w:pPr>
        <w:pStyle w:val="Heading3"/>
        <w:rPr>
          <w:lang w:val="en-GB"/>
        </w:rPr>
      </w:pPr>
      <w:r w:rsidRPr="0036165E">
        <w:rPr>
          <w:lang w:val="en-GB"/>
        </w:rPr>
        <w:t>Combination of thiazolidinediones and insulin medicinal products</w:t>
      </w:r>
    </w:p>
    <w:p w14:paraId="19C7481D" w14:textId="3A365556" w:rsidR="00D56FBE" w:rsidRPr="0036165E" w:rsidRDefault="00485048" w:rsidP="00EE5E3B">
      <w:pPr>
        <w:rPr>
          <w:rFonts w:eastAsiaTheme="majorEastAsia"/>
          <w:bCs/>
          <w:iCs/>
          <w:lang w:val="en-GB"/>
        </w:rPr>
      </w:pPr>
      <w:r w:rsidRPr="0036165E">
        <w:rPr>
          <w:rFonts w:eastAsiaTheme="majorEastAsia"/>
          <w:bCs/>
          <w:iCs/>
          <w:lang w:val="en-GB"/>
        </w:rPr>
        <w:t>Cases of cardiac failure have been reported when thiazolidinediones were used in</w:t>
      </w:r>
      <w:r w:rsidR="003A1645" w:rsidRPr="0036165E">
        <w:rPr>
          <w:rFonts w:eastAsiaTheme="majorEastAsia"/>
          <w:bCs/>
          <w:iCs/>
          <w:lang w:val="en-GB"/>
        </w:rPr>
        <w:t xml:space="preserve"> </w:t>
      </w:r>
      <w:r w:rsidRPr="0036165E">
        <w:rPr>
          <w:rFonts w:eastAsiaTheme="majorEastAsia"/>
          <w:bCs/>
          <w:iCs/>
          <w:lang w:val="en-GB"/>
        </w:rPr>
        <w:t>combination with insulin medicinal products, especially in patients with risk factors for</w:t>
      </w:r>
      <w:r w:rsidR="003A1645" w:rsidRPr="0036165E">
        <w:rPr>
          <w:rFonts w:eastAsiaTheme="majorEastAsia"/>
          <w:bCs/>
          <w:iCs/>
          <w:lang w:val="en-GB"/>
        </w:rPr>
        <w:t xml:space="preserve"> </w:t>
      </w:r>
      <w:r w:rsidRPr="0036165E">
        <w:rPr>
          <w:rFonts w:eastAsiaTheme="majorEastAsia"/>
          <w:bCs/>
          <w:iCs/>
          <w:lang w:val="en-GB"/>
        </w:rPr>
        <w:t>development of cardiac failure. This should be kept in mind if treatment with the</w:t>
      </w:r>
      <w:r w:rsidR="003A1645" w:rsidRPr="0036165E">
        <w:rPr>
          <w:rFonts w:eastAsiaTheme="majorEastAsia"/>
          <w:bCs/>
          <w:iCs/>
          <w:lang w:val="en-GB"/>
        </w:rPr>
        <w:t xml:space="preserve"> </w:t>
      </w:r>
      <w:r w:rsidRPr="0036165E">
        <w:rPr>
          <w:rFonts w:eastAsiaTheme="majorEastAsia"/>
          <w:bCs/>
          <w:iCs/>
          <w:lang w:val="en-GB"/>
        </w:rPr>
        <w:t>combination of thiazolidinediones and Xultophy is considered. If the combination is</w:t>
      </w:r>
      <w:r w:rsidR="003A1645" w:rsidRPr="0036165E">
        <w:rPr>
          <w:rFonts w:eastAsiaTheme="majorEastAsia"/>
          <w:bCs/>
          <w:iCs/>
          <w:lang w:val="en-GB"/>
        </w:rPr>
        <w:t xml:space="preserve"> </w:t>
      </w:r>
      <w:r w:rsidRPr="0036165E">
        <w:rPr>
          <w:rFonts w:eastAsiaTheme="majorEastAsia"/>
          <w:bCs/>
          <w:iCs/>
          <w:lang w:val="en-GB"/>
        </w:rPr>
        <w:t>used, patients should be observed for signs and symptoms of heart failure, weight gain</w:t>
      </w:r>
      <w:r w:rsidR="003A1645" w:rsidRPr="0036165E">
        <w:rPr>
          <w:rFonts w:eastAsiaTheme="majorEastAsia"/>
          <w:bCs/>
          <w:iCs/>
          <w:lang w:val="en-GB"/>
        </w:rPr>
        <w:t xml:space="preserve"> </w:t>
      </w:r>
      <w:r w:rsidRPr="0036165E">
        <w:rPr>
          <w:rFonts w:eastAsiaTheme="majorEastAsia"/>
          <w:bCs/>
          <w:iCs/>
          <w:lang w:val="en-GB"/>
        </w:rPr>
        <w:t xml:space="preserve">and oedema. </w:t>
      </w:r>
      <w:r w:rsidR="009E6985">
        <w:rPr>
          <w:rFonts w:eastAsiaTheme="majorEastAsia"/>
          <w:bCs/>
          <w:iCs/>
          <w:lang w:val="en-GB"/>
        </w:rPr>
        <w:t>T</w:t>
      </w:r>
      <w:r w:rsidRPr="0036165E">
        <w:rPr>
          <w:rFonts w:eastAsiaTheme="majorEastAsia"/>
          <w:bCs/>
          <w:iCs/>
          <w:lang w:val="en-GB"/>
        </w:rPr>
        <w:t>hiazolidinediones should be discontinued if any deterioration in cardiac</w:t>
      </w:r>
      <w:r w:rsidR="003A1645" w:rsidRPr="0036165E">
        <w:rPr>
          <w:rFonts w:eastAsiaTheme="majorEastAsia"/>
          <w:bCs/>
          <w:iCs/>
          <w:lang w:val="en-GB"/>
        </w:rPr>
        <w:t xml:space="preserve"> </w:t>
      </w:r>
      <w:r w:rsidRPr="0036165E">
        <w:rPr>
          <w:rFonts w:eastAsiaTheme="majorEastAsia"/>
          <w:bCs/>
          <w:iCs/>
          <w:lang w:val="en-GB"/>
        </w:rPr>
        <w:t>symptoms occurs.</w:t>
      </w:r>
    </w:p>
    <w:p w14:paraId="596E692A" w14:textId="7CA4093B" w:rsidR="003A1645" w:rsidRPr="0036165E" w:rsidRDefault="003A1645" w:rsidP="00EE5E3B">
      <w:pPr>
        <w:pStyle w:val="Heading3"/>
      </w:pPr>
      <w:r w:rsidRPr="0036165E">
        <w:t>Eye disorder</w:t>
      </w:r>
    </w:p>
    <w:p w14:paraId="3C030CC0" w14:textId="5174A0C7" w:rsidR="003A1645" w:rsidRPr="0036165E" w:rsidRDefault="003A1645" w:rsidP="00EE5E3B">
      <w:pPr>
        <w:rPr>
          <w:iCs/>
        </w:rPr>
      </w:pPr>
      <w:r w:rsidRPr="0036165E">
        <w:rPr>
          <w:iCs/>
        </w:rPr>
        <w:t>Intensification of therapy with insulin, a component of Xultophy, with abrupt</w:t>
      </w:r>
      <w:r w:rsidR="008A1D28" w:rsidRPr="0036165E">
        <w:rPr>
          <w:iCs/>
        </w:rPr>
        <w:t xml:space="preserve"> </w:t>
      </w:r>
      <w:r w:rsidRPr="0036165E">
        <w:rPr>
          <w:iCs/>
        </w:rPr>
        <w:t>improvement in glycaemic control may be associated with temporary worsening of</w:t>
      </w:r>
      <w:r w:rsidR="008A1D28" w:rsidRPr="0036165E">
        <w:rPr>
          <w:iCs/>
        </w:rPr>
        <w:t xml:space="preserve"> </w:t>
      </w:r>
      <w:r w:rsidRPr="0036165E">
        <w:rPr>
          <w:iCs/>
        </w:rPr>
        <w:t>diabetic retinopathy, while long-term improved glycaemic control decreases the risk of</w:t>
      </w:r>
      <w:r w:rsidR="008A1D28" w:rsidRPr="0036165E">
        <w:rPr>
          <w:iCs/>
        </w:rPr>
        <w:t xml:space="preserve"> </w:t>
      </w:r>
      <w:r w:rsidRPr="0036165E">
        <w:rPr>
          <w:iCs/>
        </w:rPr>
        <w:t>progression of diabetic retinopathy.</w:t>
      </w:r>
    </w:p>
    <w:p w14:paraId="241A8DFF" w14:textId="2A9C9B66" w:rsidR="003A1645" w:rsidRPr="0036165E" w:rsidRDefault="003A1645" w:rsidP="00EE5E3B">
      <w:pPr>
        <w:pStyle w:val="Heading3"/>
      </w:pPr>
      <w:r w:rsidRPr="0036165E">
        <w:t>Antibody formation</w:t>
      </w:r>
    </w:p>
    <w:p w14:paraId="55024F0D" w14:textId="0248D8A6" w:rsidR="003A1645" w:rsidRPr="0036165E" w:rsidRDefault="003A1645" w:rsidP="00EE5E3B">
      <w:pPr>
        <w:rPr>
          <w:iCs/>
        </w:rPr>
      </w:pPr>
      <w:r w:rsidRPr="0036165E">
        <w:rPr>
          <w:iCs/>
        </w:rPr>
        <w:t>Administration of Xultophy may cause formation of antibodies against insulin</w:t>
      </w:r>
      <w:r w:rsidR="008A1D28" w:rsidRPr="0036165E">
        <w:rPr>
          <w:iCs/>
        </w:rPr>
        <w:t xml:space="preserve"> </w:t>
      </w:r>
      <w:r w:rsidRPr="0036165E">
        <w:rPr>
          <w:iCs/>
        </w:rPr>
        <w:t>degludec and/or liraglutide. In rare cases, the presence of such antibodies may</w:t>
      </w:r>
      <w:r w:rsidR="008A1D28" w:rsidRPr="0036165E">
        <w:rPr>
          <w:iCs/>
        </w:rPr>
        <w:t xml:space="preserve"> </w:t>
      </w:r>
      <w:r w:rsidRPr="0036165E">
        <w:rPr>
          <w:iCs/>
        </w:rPr>
        <w:t>necessitate adjustment of the Xultophy dose in order to correct a tendency to hyper- or</w:t>
      </w:r>
      <w:r w:rsidR="008A1D28" w:rsidRPr="0036165E">
        <w:rPr>
          <w:iCs/>
        </w:rPr>
        <w:t xml:space="preserve"> </w:t>
      </w:r>
      <w:r w:rsidRPr="0036165E">
        <w:rPr>
          <w:iCs/>
        </w:rPr>
        <w:t>hypoglycaemia. Very few patients developed insulin degludec specific antibodies,</w:t>
      </w:r>
      <w:r w:rsidR="008A1D28" w:rsidRPr="0036165E">
        <w:rPr>
          <w:iCs/>
        </w:rPr>
        <w:t xml:space="preserve"> </w:t>
      </w:r>
      <w:r w:rsidRPr="0036165E">
        <w:rPr>
          <w:iCs/>
        </w:rPr>
        <w:t>antibodies cross-reacting to human insulin or anti-liraglutide antibodies following</w:t>
      </w:r>
      <w:r w:rsidR="008A1D28" w:rsidRPr="0036165E">
        <w:rPr>
          <w:iCs/>
        </w:rPr>
        <w:t xml:space="preserve"> </w:t>
      </w:r>
      <w:r w:rsidRPr="0036165E">
        <w:rPr>
          <w:iCs/>
        </w:rPr>
        <w:t>treatment with Xultophy. Antibody formation has not been associated with reduced</w:t>
      </w:r>
      <w:r w:rsidR="008A1D28" w:rsidRPr="0036165E">
        <w:rPr>
          <w:iCs/>
        </w:rPr>
        <w:t xml:space="preserve"> </w:t>
      </w:r>
      <w:r w:rsidRPr="0036165E">
        <w:rPr>
          <w:iCs/>
        </w:rPr>
        <w:t>efficacy of Xultophy.</w:t>
      </w:r>
    </w:p>
    <w:p w14:paraId="71853BC8" w14:textId="1E7AEADC" w:rsidR="003A1645" w:rsidRPr="0036165E" w:rsidRDefault="003A1645" w:rsidP="00EE5E3B">
      <w:pPr>
        <w:pStyle w:val="Heading3"/>
      </w:pPr>
      <w:r w:rsidRPr="0036165E">
        <w:t>Acute pancreatitis</w:t>
      </w:r>
    </w:p>
    <w:p w14:paraId="6C90C55F" w14:textId="3FAC106D" w:rsidR="003A1645" w:rsidRPr="0036165E" w:rsidRDefault="003A1645" w:rsidP="00EE5E3B">
      <w:pPr>
        <w:rPr>
          <w:iCs/>
        </w:rPr>
      </w:pPr>
      <w:r w:rsidRPr="0036165E">
        <w:rPr>
          <w:iCs/>
        </w:rPr>
        <w:t>Acute pancreatitis has been observed with the use of GLP-1 receptor agonists. Patients</w:t>
      </w:r>
      <w:r w:rsidR="008A1D28" w:rsidRPr="0036165E">
        <w:rPr>
          <w:iCs/>
        </w:rPr>
        <w:t xml:space="preserve"> </w:t>
      </w:r>
      <w:r w:rsidRPr="0036165E">
        <w:rPr>
          <w:iCs/>
        </w:rPr>
        <w:t>should be informed of the characteristic symptoms of acute pancreatitis. If pancreatitis is</w:t>
      </w:r>
      <w:r w:rsidR="008A1D28" w:rsidRPr="0036165E">
        <w:rPr>
          <w:iCs/>
        </w:rPr>
        <w:t xml:space="preserve"> </w:t>
      </w:r>
      <w:r w:rsidRPr="0036165E">
        <w:rPr>
          <w:iCs/>
        </w:rPr>
        <w:t>suspected, Xultophy should be discontinued; if acute pancreatitis is confirmed,</w:t>
      </w:r>
      <w:r w:rsidR="008A1D28" w:rsidRPr="0036165E">
        <w:rPr>
          <w:iCs/>
        </w:rPr>
        <w:t xml:space="preserve"> </w:t>
      </w:r>
      <w:r w:rsidRPr="0036165E">
        <w:rPr>
          <w:iCs/>
        </w:rPr>
        <w:t>Xultophy should not be restarted. In the absence of other signs and symptoms of acute</w:t>
      </w:r>
      <w:r w:rsidR="008A1D28" w:rsidRPr="0036165E">
        <w:rPr>
          <w:iCs/>
        </w:rPr>
        <w:t xml:space="preserve"> </w:t>
      </w:r>
      <w:r w:rsidRPr="0036165E">
        <w:rPr>
          <w:iCs/>
        </w:rPr>
        <w:t>pancreatitis, elevations in pancreatic enzymes alone are not predictive of acute</w:t>
      </w:r>
      <w:r w:rsidR="008A1D28" w:rsidRPr="0036165E">
        <w:rPr>
          <w:iCs/>
        </w:rPr>
        <w:t xml:space="preserve"> </w:t>
      </w:r>
      <w:r w:rsidRPr="0036165E">
        <w:rPr>
          <w:iCs/>
        </w:rPr>
        <w:t xml:space="preserve">pancreatitis (see </w:t>
      </w:r>
      <w:r w:rsidR="009E6985">
        <w:rPr>
          <w:iCs/>
        </w:rPr>
        <w:t>Section</w:t>
      </w:r>
      <w:r w:rsidRPr="0036165E">
        <w:rPr>
          <w:iCs/>
        </w:rPr>
        <w:t xml:space="preserve"> </w:t>
      </w:r>
      <w:r w:rsidR="008A1D28" w:rsidRPr="0036165E">
        <w:rPr>
          <w:iCs/>
        </w:rPr>
        <w:t>4.8 Adverse Effects (Undesirable Effects)</w:t>
      </w:r>
      <w:r w:rsidRPr="0036165E">
        <w:rPr>
          <w:iCs/>
        </w:rPr>
        <w:t>).</w:t>
      </w:r>
    </w:p>
    <w:p w14:paraId="198C5B76" w14:textId="0BA65C71" w:rsidR="003A1645" w:rsidRPr="0036165E" w:rsidRDefault="003A1645" w:rsidP="00EE5E3B">
      <w:pPr>
        <w:pStyle w:val="Heading3"/>
      </w:pPr>
      <w:r w:rsidRPr="0036165E">
        <w:t>Thyroid adverse events</w:t>
      </w:r>
    </w:p>
    <w:p w14:paraId="46D050AC" w14:textId="77777777" w:rsidR="003316CD" w:rsidRDefault="003A1645" w:rsidP="00EE5E3B">
      <w:pPr>
        <w:rPr>
          <w:iCs/>
        </w:rPr>
      </w:pPr>
      <w:r w:rsidRPr="0036165E">
        <w:rPr>
          <w:iCs/>
        </w:rPr>
        <w:t>Thyroid adverse events, such as goitre have been reported in clinical trials with GLP-1</w:t>
      </w:r>
      <w:r w:rsidR="008A1D28" w:rsidRPr="0036165E">
        <w:rPr>
          <w:iCs/>
        </w:rPr>
        <w:t xml:space="preserve"> </w:t>
      </w:r>
      <w:r w:rsidRPr="0036165E">
        <w:rPr>
          <w:iCs/>
        </w:rPr>
        <w:t>receptor agonists, including liraglutide, and in particular in patients with pre-existing</w:t>
      </w:r>
      <w:r w:rsidR="008A1D28" w:rsidRPr="0036165E">
        <w:rPr>
          <w:iCs/>
        </w:rPr>
        <w:t xml:space="preserve"> </w:t>
      </w:r>
      <w:r w:rsidRPr="0036165E">
        <w:rPr>
          <w:iCs/>
        </w:rPr>
        <w:t>thyroid disease.</w:t>
      </w:r>
      <w:r w:rsidR="008A1D28" w:rsidRPr="0036165E">
        <w:rPr>
          <w:iCs/>
        </w:rPr>
        <w:t xml:space="preserve"> </w:t>
      </w:r>
      <w:r w:rsidRPr="0036165E">
        <w:rPr>
          <w:iCs/>
        </w:rPr>
        <w:t>Xultophy should therefore be used with caution in these patients.</w:t>
      </w:r>
      <w:r w:rsidR="008A1D28" w:rsidRPr="0036165E">
        <w:rPr>
          <w:iCs/>
        </w:rPr>
        <w:t xml:space="preserve"> </w:t>
      </w:r>
    </w:p>
    <w:p w14:paraId="45C72139" w14:textId="4F49919D" w:rsidR="003316CD" w:rsidRDefault="003A1645" w:rsidP="00EE5E3B">
      <w:pPr>
        <w:pStyle w:val="Heading3"/>
      </w:pPr>
      <w:r w:rsidRPr="0036165E">
        <w:t>Inflammatory bowel disease and diabete</w:t>
      </w:r>
      <w:r w:rsidR="003F13D7">
        <w:t>c</w:t>
      </w:r>
      <w:r w:rsidRPr="0036165E">
        <w:t xml:space="preserve"> gastroparesis</w:t>
      </w:r>
      <w:r w:rsidR="008A1D28" w:rsidRPr="0036165E">
        <w:t xml:space="preserve"> </w:t>
      </w:r>
    </w:p>
    <w:p w14:paraId="51E2AE9A" w14:textId="46FF0150" w:rsidR="008A1D28" w:rsidRPr="0036165E" w:rsidRDefault="008A1D28" w:rsidP="00EE5E3B">
      <w:pPr>
        <w:rPr>
          <w:iCs/>
        </w:rPr>
      </w:pPr>
      <w:r w:rsidRPr="0036165E">
        <w:rPr>
          <w:iCs/>
        </w:rPr>
        <w:t>There is no experience with Xultophy in patients with inflammatory bowel disease and diabetic gastroparesis. Xultophy is therefore not recommended in these patients.</w:t>
      </w:r>
    </w:p>
    <w:p w14:paraId="0C762BC7" w14:textId="630748F1" w:rsidR="003A1645" w:rsidRPr="0036165E" w:rsidRDefault="003A1645" w:rsidP="00EE5E3B">
      <w:pPr>
        <w:pStyle w:val="Heading3"/>
      </w:pPr>
      <w:r w:rsidRPr="0036165E">
        <w:t>Dehydration</w:t>
      </w:r>
    </w:p>
    <w:p w14:paraId="29862430" w14:textId="3FE23121" w:rsidR="008A1D28" w:rsidRPr="0036165E" w:rsidRDefault="008A1D28" w:rsidP="00EE5E3B">
      <w:pPr>
        <w:rPr>
          <w:iCs/>
        </w:rPr>
      </w:pPr>
      <w:r w:rsidRPr="0036165E">
        <w:rPr>
          <w:iCs/>
        </w:rPr>
        <w:t>Signs and symptoms of dehydration, including renal impairment and acute renal failure, have been reported in clinical trials with GLP-1 receptor agonists, including liraglutide, a component of Xultophy. Patients treated with Xultophy should be advised of the potential risk of dehydration in relation to gastrointestinal side effects and take precautions to avoid fluid depletion.</w:t>
      </w:r>
    </w:p>
    <w:p w14:paraId="6BCEB255" w14:textId="1FAB866C" w:rsidR="003A1645" w:rsidRPr="0036165E" w:rsidRDefault="003A1645" w:rsidP="00EE5E3B">
      <w:pPr>
        <w:pStyle w:val="Heading3"/>
      </w:pPr>
      <w:r w:rsidRPr="0036165E">
        <w:t>Avoidance of medication errors</w:t>
      </w:r>
    </w:p>
    <w:p w14:paraId="12508E51" w14:textId="5964DCCC" w:rsidR="008A1D28" w:rsidRDefault="008A1D28" w:rsidP="00EE5E3B">
      <w:pPr>
        <w:rPr>
          <w:iCs/>
          <w:lang w:val="da-DK"/>
        </w:rPr>
      </w:pPr>
      <w:r w:rsidRPr="0036165E">
        <w:rPr>
          <w:iCs/>
        </w:rPr>
        <w:t>Patients must be instructed to always check the pen label before each injection to avoid accidental mix-ups between Xultophy and other injectable diabetes medicinal products.</w:t>
      </w:r>
      <w:r w:rsidR="00511051">
        <w:rPr>
          <w:iCs/>
        </w:rPr>
        <w:t xml:space="preserve"> </w:t>
      </w:r>
      <w:r w:rsidR="00511051" w:rsidRPr="00511051">
        <w:rPr>
          <w:iCs/>
          <w:lang w:val="da-DK"/>
        </w:rPr>
        <w:t>Patients who are blind or have poor vision must be instructed to always get help/assistance from another person who has good vision and is trained in using the insulin device</w:t>
      </w:r>
      <w:r w:rsidR="00511051">
        <w:rPr>
          <w:iCs/>
          <w:lang w:val="da-DK"/>
        </w:rPr>
        <w:t>.</w:t>
      </w:r>
    </w:p>
    <w:p w14:paraId="0D7751BC" w14:textId="4294FD03" w:rsidR="00511051" w:rsidRPr="0036165E" w:rsidRDefault="00511051" w:rsidP="00EE5E3B">
      <w:pPr>
        <w:rPr>
          <w:iCs/>
        </w:rPr>
      </w:pPr>
      <w:r w:rsidRPr="00511051">
        <w:rPr>
          <w:iCs/>
        </w:rPr>
        <w:t>To avoid dosing errors and potential overdose, patients and healthcare professionals should never use a</w:t>
      </w:r>
      <w:r>
        <w:rPr>
          <w:iCs/>
        </w:rPr>
        <w:t xml:space="preserve"> </w:t>
      </w:r>
      <w:r w:rsidRPr="00511051">
        <w:rPr>
          <w:iCs/>
        </w:rPr>
        <w:t xml:space="preserve">syringe to draw the medicinal product from the cartridge in the pre-filled pen. </w:t>
      </w:r>
    </w:p>
    <w:p w14:paraId="2808E29A" w14:textId="6EC76928" w:rsidR="003A1645" w:rsidRPr="0036165E" w:rsidRDefault="003A1645" w:rsidP="00EE5E3B">
      <w:pPr>
        <w:pStyle w:val="Heading3"/>
      </w:pPr>
      <w:r w:rsidRPr="0036165E">
        <w:t>Populations not studied</w:t>
      </w:r>
    </w:p>
    <w:p w14:paraId="0EB8DC70" w14:textId="09F19EA8" w:rsidR="008A1D28" w:rsidRPr="0036165E" w:rsidRDefault="008A1D28" w:rsidP="00EE5E3B">
      <w:pPr>
        <w:rPr>
          <w:iCs/>
        </w:rPr>
      </w:pPr>
      <w:r w:rsidRPr="0036165E">
        <w:rPr>
          <w:iCs/>
        </w:rPr>
        <w:t xml:space="preserve">Transfer to Xultophy from doses of basal insulin &lt;20 and &gt;50 units has not been studied. </w:t>
      </w:r>
    </w:p>
    <w:p w14:paraId="731A1EA3" w14:textId="63839B5F" w:rsidR="008A1D28" w:rsidRPr="0036165E" w:rsidRDefault="008A1D28" w:rsidP="00EE5E3B">
      <w:pPr>
        <w:rPr>
          <w:iCs/>
        </w:rPr>
      </w:pPr>
      <w:r w:rsidRPr="0036165E">
        <w:rPr>
          <w:iCs/>
        </w:rPr>
        <w:t>There is no therapeutic experience in patients with congestive heart failure New York Heart Association (NYHA) class IV and Xultophy is therefore not recommended for use in these patients.</w:t>
      </w:r>
    </w:p>
    <w:p w14:paraId="0D263F1B" w14:textId="62619D80" w:rsidR="00D56FBE" w:rsidRPr="0036165E" w:rsidRDefault="00D56FBE" w:rsidP="00EE5E3B">
      <w:pPr>
        <w:pStyle w:val="Heading3"/>
      </w:pPr>
      <w:r w:rsidRPr="0036165E">
        <w:t xml:space="preserve">Use in </w:t>
      </w:r>
      <w:r w:rsidR="003A1645" w:rsidRPr="0036165E">
        <w:t xml:space="preserve">the </w:t>
      </w:r>
      <w:r w:rsidRPr="0036165E">
        <w:t>elderly</w:t>
      </w:r>
    </w:p>
    <w:p w14:paraId="0F4F95A0" w14:textId="3E7B3DF5" w:rsidR="00D56FBE" w:rsidRPr="0036165E" w:rsidRDefault="00A373B1" w:rsidP="00EE5E3B">
      <w:r w:rsidRPr="0036165E">
        <w:t xml:space="preserve">See </w:t>
      </w:r>
      <w:r w:rsidR="0036165E">
        <w:rPr>
          <w:iCs/>
        </w:rPr>
        <w:t>S</w:t>
      </w:r>
      <w:r w:rsidR="004D3075" w:rsidRPr="0036165E">
        <w:rPr>
          <w:iCs/>
        </w:rPr>
        <w:t xml:space="preserve">ection </w:t>
      </w:r>
      <w:r w:rsidR="00801F72">
        <w:rPr>
          <w:iCs/>
        </w:rPr>
        <w:t>4.2 Dose and Method of Administration</w:t>
      </w:r>
      <w:r w:rsidRPr="0036165E">
        <w:t>.</w:t>
      </w:r>
    </w:p>
    <w:p w14:paraId="7B2BD20B" w14:textId="04F2EE23" w:rsidR="00D56FBE" w:rsidRPr="0036165E" w:rsidRDefault="00D56FBE" w:rsidP="00EE5E3B">
      <w:pPr>
        <w:pStyle w:val="Heading3"/>
      </w:pPr>
      <w:r w:rsidRPr="0036165E">
        <w:t xml:space="preserve">Paediatric </w:t>
      </w:r>
      <w:r w:rsidR="004D3075" w:rsidRPr="0036165E">
        <w:t>u</w:t>
      </w:r>
      <w:r w:rsidRPr="0036165E">
        <w:t>se</w:t>
      </w:r>
    </w:p>
    <w:p w14:paraId="5B25F5AB" w14:textId="63189F22" w:rsidR="00F17541" w:rsidRPr="0036165E" w:rsidRDefault="004D3075" w:rsidP="00EE5E3B">
      <w:r w:rsidRPr="0036165E">
        <w:t xml:space="preserve">See </w:t>
      </w:r>
      <w:r w:rsidR="0036165E">
        <w:rPr>
          <w:iCs/>
        </w:rPr>
        <w:t>S</w:t>
      </w:r>
      <w:r w:rsidRPr="0036165E">
        <w:rPr>
          <w:iCs/>
        </w:rPr>
        <w:t xml:space="preserve">ection </w:t>
      </w:r>
      <w:r w:rsidR="00801F72">
        <w:rPr>
          <w:iCs/>
        </w:rPr>
        <w:t>4.2 Dose and Method of Administration</w:t>
      </w:r>
      <w:r w:rsidR="00801F72" w:rsidRPr="0036165E">
        <w:t>.</w:t>
      </w:r>
    </w:p>
    <w:p w14:paraId="5A4E7CC2" w14:textId="77777777" w:rsidR="00F17541" w:rsidRPr="0036165E" w:rsidRDefault="00F17541" w:rsidP="00EE5E3B">
      <w:pPr>
        <w:pStyle w:val="Heading3"/>
      </w:pPr>
      <w:r w:rsidRPr="0036165E">
        <w:t>Effects on laboratory tests</w:t>
      </w:r>
    </w:p>
    <w:p w14:paraId="1014FDF0" w14:textId="77777777" w:rsidR="00F17541" w:rsidRPr="0036165E" w:rsidRDefault="00A373B1" w:rsidP="00EE5E3B">
      <w:r w:rsidRPr="0036165E">
        <w:t>No data available.</w:t>
      </w:r>
    </w:p>
    <w:p w14:paraId="105EA367" w14:textId="493BF8F6" w:rsidR="00F17541" w:rsidRPr="0036165E" w:rsidRDefault="00F17541" w:rsidP="00EE5E3B">
      <w:pPr>
        <w:pStyle w:val="Heading3"/>
      </w:pPr>
      <w:r w:rsidRPr="0036165E">
        <w:t>4.5</w:t>
      </w:r>
      <w:r w:rsidRPr="0036165E">
        <w:tab/>
        <w:t>Interaction</w:t>
      </w:r>
      <w:r w:rsidR="008C7DEA" w:rsidRPr="0036165E">
        <w:t>s</w:t>
      </w:r>
      <w:r w:rsidRPr="0036165E">
        <w:t xml:space="preserve"> with Other Medicines and Other Form</w:t>
      </w:r>
      <w:r w:rsidR="00100EAA" w:rsidRPr="0036165E">
        <w:t>s</w:t>
      </w:r>
      <w:r w:rsidRPr="0036165E">
        <w:t xml:space="preserve"> of Interactions</w:t>
      </w:r>
    </w:p>
    <w:p w14:paraId="2B20A3AF" w14:textId="4AEC8A4A" w:rsidR="009D6CEC" w:rsidRPr="0036165E" w:rsidRDefault="009D6CEC" w:rsidP="00EE5E3B">
      <w:pPr>
        <w:pStyle w:val="Heading3"/>
        <w:rPr>
          <w:lang w:val="en-GB"/>
        </w:rPr>
      </w:pPr>
      <w:r w:rsidRPr="0036165E">
        <w:rPr>
          <w:lang w:val="en-GB"/>
        </w:rPr>
        <w:t>Pharmacodynamic interactions</w:t>
      </w:r>
    </w:p>
    <w:p w14:paraId="698ACC7B" w14:textId="77777777" w:rsidR="005A5DA5" w:rsidRDefault="009D6CEC" w:rsidP="00EE5E3B">
      <w:pPr>
        <w:spacing w:after="0" w:line="240" w:lineRule="auto"/>
        <w:rPr>
          <w:iCs/>
          <w:lang w:val="en-GB"/>
        </w:rPr>
      </w:pPr>
      <w:r w:rsidRPr="0036165E">
        <w:rPr>
          <w:iCs/>
          <w:lang w:val="en-GB"/>
        </w:rPr>
        <w:t xml:space="preserve">Interaction studies with Xultophy have not been performed. A number of substances affect glucose metabolism and may require dose adjustment of Xultophy. </w:t>
      </w:r>
    </w:p>
    <w:p w14:paraId="29EE7EDD" w14:textId="77777777" w:rsidR="005A5DA5" w:rsidRDefault="005A5DA5" w:rsidP="00EE5E3B">
      <w:pPr>
        <w:spacing w:after="0" w:line="240" w:lineRule="auto"/>
        <w:rPr>
          <w:iCs/>
          <w:lang w:val="en-GB"/>
        </w:rPr>
      </w:pPr>
    </w:p>
    <w:p w14:paraId="7F342F64" w14:textId="0CD386FE" w:rsidR="009D6CEC" w:rsidRPr="0036165E" w:rsidRDefault="009D6CEC" w:rsidP="00EE5E3B">
      <w:pPr>
        <w:spacing w:after="0" w:line="240" w:lineRule="auto"/>
        <w:rPr>
          <w:iCs/>
          <w:lang w:val="en-GB"/>
        </w:rPr>
      </w:pPr>
      <w:r w:rsidRPr="0036165E">
        <w:rPr>
          <w:iCs/>
          <w:lang w:val="en-GB"/>
        </w:rPr>
        <w:t>The following substances may reduce the Xultophy requirement:</w:t>
      </w:r>
    </w:p>
    <w:p w14:paraId="53CA3B60" w14:textId="328BDAEB" w:rsidR="009D6CEC" w:rsidRPr="0036165E" w:rsidRDefault="009D6CEC" w:rsidP="00EE5E3B">
      <w:pPr>
        <w:rPr>
          <w:iCs/>
          <w:lang w:val="en-GB"/>
        </w:rPr>
      </w:pPr>
      <w:r w:rsidRPr="0036165E">
        <w:rPr>
          <w:iCs/>
          <w:lang w:val="en-GB"/>
        </w:rPr>
        <w:t>Antidiabetic products, monoamine oxidase inhibitors (MAOI), beta-blockers, angiotensin converting enzyme (ACE) inhibitors, salicylates, anabolic steroids and sulfonamides.</w:t>
      </w:r>
    </w:p>
    <w:p w14:paraId="1054B143" w14:textId="648CFB5D" w:rsidR="009D6CEC" w:rsidRPr="0036165E" w:rsidRDefault="009D6CEC" w:rsidP="00EE5E3B">
      <w:pPr>
        <w:spacing w:after="0" w:line="240" w:lineRule="auto"/>
        <w:rPr>
          <w:iCs/>
          <w:lang w:val="en-GB"/>
        </w:rPr>
      </w:pPr>
      <w:r w:rsidRPr="0036165E">
        <w:rPr>
          <w:iCs/>
          <w:lang w:val="en-GB"/>
        </w:rPr>
        <w:t>The following substances may increase the Xultophy requirement:</w:t>
      </w:r>
    </w:p>
    <w:p w14:paraId="5DDFBD2D" w14:textId="4B0DEF83" w:rsidR="009D6CEC" w:rsidRPr="0036165E" w:rsidRDefault="009D6CEC" w:rsidP="00EE5E3B">
      <w:pPr>
        <w:rPr>
          <w:iCs/>
          <w:lang w:val="en-GB"/>
        </w:rPr>
      </w:pPr>
      <w:r w:rsidRPr="0036165E">
        <w:rPr>
          <w:iCs/>
          <w:lang w:val="en-GB"/>
        </w:rPr>
        <w:t>Oral contraceptives, thiazides, glucocorticoids, thyroid hormones, sympathomimetics, growth hormones and danazol. Beta-blockers may mask the symptoms of hypoglycaemia.</w:t>
      </w:r>
    </w:p>
    <w:p w14:paraId="6B696167" w14:textId="519537DD" w:rsidR="009D6CEC" w:rsidRPr="0036165E" w:rsidRDefault="009D6CEC" w:rsidP="00EE5E3B">
      <w:pPr>
        <w:rPr>
          <w:iCs/>
          <w:lang w:val="en-GB"/>
        </w:rPr>
      </w:pPr>
      <w:r w:rsidRPr="0036165E">
        <w:rPr>
          <w:iCs/>
          <w:lang w:val="en-GB"/>
        </w:rPr>
        <w:t>Octreotide/lanreotide may either increase or decrease the Xultophy requirement.</w:t>
      </w:r>
    </w:p>
    <w:p w14:paraId="41ED6C02" w14:textId="70AA553F" w:rsidR="009D6CEC" w:rsidRPr="0036165E" w:rsidRDefault="009D6CEC" w:rsidP="00EE5E3B">
      <w:pPr>
        <w:rPr>
          <w:iCs/>
        </w:rPr>
      </w:pPr>
      <w:r w:rsidRPr="0036165E">
        <w:rPr>
          <w:iCs/>
          <w:lang w:val="en-GB"/>
        </w:rPr>
        <w:t>Alcohol may intensify or reduce the hypoglycaemic effect of Xultophy.</w:t>
      </w:r>
    </w:p>
    <w:p w14:paraId="651C851D" w14:textId="77777777" w:rsidR="009D6CEC" w:rsidRPr="0036165E" w:rsidRDefault="009D6CEC" w:rsidP="00EE5E3B">
      <w:pPr>
        <w:pStyle w:val="Heading3"/>
      </w:pPr>
      <w:r w:rsidRPr="0036165E">
        <w:t>Pharmacokinetic interactions</w:t>
      </w:r>
    </w:p>
    <w:p w14:paraId="122B8493" w14:textId="6F821F9B" w:rsidR="009D6CEC" w:rsidRPr="0036165E" w:rsidRDefault="009D6CEC" w:rsidP="00EE5E3B">
      <w:pPr>
        <w:spacing w:after="0" w:line="240" w:lineRule="auto"/>
        <w:rPr>
          <w:i/>
        </w:rPr>
      </w:pPr>
      <w:r w:rsidRPr="00570350">
        <w:rPr>
          <w:iCs/>
          <w:u w:val="single"/>
        </w:rPr>
        <w:t>In vitro</w:t>
      </w:r>
      <w:r w:rsidRPr="00570350">
        <w:rPr>
          <w:i/>
          <w:u w:val="single"/>
        </w:rPr>
        <w:t xml:space="preserve"> assessment of drug-drug interaction</w:t>
      </w:r>
    </w:p>
    <w:p w14:paraId="00A23E26" w14:textId="19F40461" w:rsidR="009D6CEC" w:rsidRPr="0036165E" w:rsidRDefault="009D6CEC" w:rsidP="00EE5E3B">
      <w:pPr>
        <w:rPr>
          <w:i/>
        </w:rPr>
      </w:pPr>
      <w:r w:rsidRPr="0036165E">
        <w:rPr>
          <w:iCs/>
        </w:rPr>
        <w:t>Liraglutide has shown very low potential to be involved in pharmacokinetic interactions with</w:t>
      </w:r>
      <w:r w:rsidR="00C72A0A" w:rsidRPr="0036165E">
        <w:rPr>
          <w:iCs/>
        </w:rPr>
        <w:t xml:space="preserve"> </w:t>
      </w:r>
      <w:r w:rsidRPr="0036165E">
        <w:rPr>
          <w:iCs/>
        </w:rPr>
        <w:t>other active substances related to cytochrome P450 (CYP) and plasma protein binding.</w:t>
      </w:r>
    </w:p>
    <w:p w14:paraId="53F7A6CC" w14:textId="6E037EA2" w:rsidR="00735B45" w:rsidRPr="0036165E" w:rsidRDefault="00735B45" w:rsidP="00EE5E3B">
      <w:pPr>
        <w:spacing w:after="0" w:line="240" w:lineRule="auto"/>
        <w:rPr>
          <w:lang w:val="en-US"/>
        </w:rPr>
      </w:pPr>
      <w:r w:rsidRPr="00570350">
        <w:rPr>
          <w:u w:val="single"/>
          <w:lang w:val="en-US"/>
        </w:rPr>
        <w:t xml:space="preserve">In vivo </w:t>
      </w:r>
      <w:r w:rsidRPr="00570350">
        <w:rPr>
          <w:i/>
          <w:iCs/>
          <w:u w:val="single"/>
          <w:lang w:val="en-US"/>
        </w:rPr>
        <w:t>assessment of drug-drug interaction</w:t>
      </w:r>
    </w:p>
    <w:p w14:paraId="493694AD" w14:textId="7B8C3294" w:rsidR="00735B45" w:rsidRPr="0036165E" w:rsidRDefault="00A14648" w:rsidP="00EE5E3B">
      <w:pPr>
        <w:rPr>
          <w:lang w:val="en-US"/>
        </w:rPr>
      </w:pPr>
      <w:r w:rsidRPr="0036165E">
        <w:rPr>
          <w:lang w:val="en-US"/>
        </w:rPr>
        <w:t xml:space="preserve">The delay of gastric emptying caused by liraglutide </w:t>
      </w:r>
      <w:r w:rsidRPr="0036165E">
        <w:t xml:space="preserve">may influence absorption of concomitantly administered oral medicinal products. Interaction studies did not show any clinically relevant delay of absorption </w:t>
      </w:r>
      <w:r w:rsidR="00735B45" w:rsidRPr="0036165E">
        <w:t>of the compounds that were studied, however clinically relevant interactions with other compounds where the effect is dependent on C</w:t>
      </w:r>
      <w:r w:rsidR="00735B45" w:rsidRPr="0036165E">
        <w:rPr>
          <w:vertAlign w:val="subscript"/>
        </w:rPr>
        <w:t>max</w:t>
      </w:r>
      <w:r w:rsidR="00735B45" w:rsidRPr="0036165E">
        <w:t xml:space="preserve"> and t</w:t>
      </w:r>
      <w:r w:rsidR="00735B45" w:rsidRPr="0036165E">
        <w:rPr>
          <w:vertAlign w:val="subscript"/>
        </w:rPr>
        <w:t>max</w:t>
      </w:r>
      <w:r w:rsidR="00735B45" w:rsidRPr="0036165E">
        <w:t xml:space="preserve">, drugs with narrow therapeutic index, or medications associated with local gastrointestinal irritation (e.g. bisphosphonates, potassium chloride) cannot be excluded. </w:t>
      </w:r>
    </w:p>
    <w:p w14:paraId="7D4A1367" w14:textId="4DF280A5" w:rsidR="00735B45" w:rsidRPr="0036165E" w:rsidRDefault="00735B45" w:rsidP="00EE5E3B">
      <w:r w:rsidRPr="0036165E">
        <w:rPr>
          <w:lang w:val="en-US"/>
        </w:rPr>
        <w:t>Few patients treated with liraglutide reported at least one episode of severe diarrhoea.</w:t>
      </w:r>
      <w:r w:rsidRPr="0036165E">
        <w:rPr>
          <w:lang w:val="en-GB"/>
        </w:rPr>
        <w:t xml:space="preserve"> D</w:t>
      </w:r>
      <w:r w:rsidRPr="0036165E">
        <w:rPr>
          <w:lang w:val="en-US"/>
        </w:rPr>
        <w:t>iarrhoea may affect the absorption of concomitant oral medicinal products.</w:t>
      </w:r>
    </w:p>
    <w:p w14:paraId="241D12B0" w14:textId="171DFA79" w:rsidR="00735B45" w:rsidRPr="0036165E" w:rsidRDefault="00735B45" w:rsidP="00EE5E3B">
      <w:pPr>
        <w:pStyle w:val="Heading4"/>
        <w:rPr>
          <w:u w:val="none"/>
          <w:lang w:val="en-GB"/>
        </w:rPr>
      </w:pPr>
      <w:r w:rsidRPr="005A5DA5">
        <w:rPr>
          <w:i/>
          <w:iCs w:val="0"/>
          <w:u w:val="none"/>
          <w:lang w:val="en-GB"/>
        </w:rPr>
        <w:t>Warfarin and other coumarin derivatives</w:t>
      </w:r>
    </w:p>
    <w:p w14:paraId="6D1AB880" w14:textId="0FCF2052" w:rsidR="003102AA" w:rsidRPr="0036165E" w:rsidRDefault="00735B45" w:rsidP="00EE5E3B">
      <w:pPr>
        <w:rPr>
          <w:lang w:val="en-US"/>
        </w:rPr>
      </w:pPr>
      <w:r w:rsidRPr="0036165E">
        <w:rPr>
          <w:lang w:val="en-US"/>
        </w:rPr>
        <w:t xml:space="preserve">No interaction study has been performed. </w:t>
      </w:r>
      <w:r w:rsidRPr="0036165E">
        <w:rPr>
          <w:bCs/>
          <w:lang w:val="en-GB"/>
        </w:rPr>
        <w:t xml:space="preserve">A clinically relevant interaction with active substances with poor solubility or with narrow therapeutic index such as warfarin cannot be excluded. </w:t>
      </w:r>
      <w:r w:rsidRPr="0036165E">
        <w:rPr>
          <w:lang w:val="en-US"/>
        </w:rPr>
        <w:t xml:space="preserve">Upon initiation of </w:t>
      </w:r>
      <w:r w:rsidRPr="0036165E">
        <w:rPr>
          <w:iCs/>
          <w:lang w:val="en-US"/>
        </w:rPr>
        <w:t xml:space="preserve">Xultophy </w:t>
      </w:r>
      <w:r w:rsidRPr="0036165E">
        <w:rPr>
          <w:lang w:val="en-US"/>
        </w:rPr>
        <w:t>treatment in patients on warfarin or other coumarin derivatives, more frequent monitoring of INR (International Normalised Ratio) is recommended.</w:t>
      </w:r>
    </w:p>
    <w:p w14:paraId="3F8CA0A1" w14:textId="77777777" w:rsidR="00735B45" w:rsidRPr="005A5DA5" w:rsidRDefault="00735B45" w:rsidP="00EE5E3B">
      <w:pPr>
        <w:keepNext/>
        <w:spacing w:after="0" w:line="240" w:lineRule="auto"/>
        <w:rPr>
          <w:i/>
          <w:iCs/>
        </w:rPr>
      </w:pPr>
      <w:r w:rsidRPr="005A5DA5">
        <w:rPr>
          <w:i/>
          <w:iCs/>
          <w:lang w:val="en-GB"/>
        </w:rPr>
        <w:t>Paracetamol (Acetaminophen)</w:t>
      </w:r>
    </w:p>
    <w:p w14:paraId="10FB1922" w14:textId="77777777" w:rsidR="00735B45" w:rsidRPr="0036165E" w:rsidRDefault="00735B45" w:rsidP="00EE5E3B">
      <w:pPr>
        <w:rPr>
          <w:lang w:val="en-US"/>
        </w:rPr>
      </w:pPr>
      <w:r w:rsidRPr="0036165E">
        <w:rPr>
          <w:lang w:val="en-US"/>
        </w:rPr>
        <w:t>Liraglutide did not change the overall exposure of paracetamol following a single dose of 1000 mg. Paracetamol C</w:t>
      </w:r>
      <w:r w:rsidRPr="0036165E">
        <w:rPr>
          <w:vertAlign w:val="subscript"/>
          <w:lang w:val="en-US"/>
        </w:rPr>
        <w:t>max</w:t>
      </w:r>
      <w:r w:rsidRPr="0036165E">
        <w:rPr>
          <w:lang w:val="en-US"/>
        </w:rPr>
        <w:t xml:space="preserve"> was decreased by 31% and median t</w:t>
      </w:r>
      <w:r w:rsidRPr="0036165E">
        <w:rPr>
          <w:vertAlign w:val="subscript"/>
          <w:lang w:val="en-US"/>
        </w:rPr>
        <w:t>max</w:t>
      </w:r>
      <w:r w:rsidRPr="0036165E">
        <w:rPr>
          <w:lang w:val="en-US"/>
        </w:rPr>
        <w:t xml:space="preserve"> was delayed up to 15 min. No dose adjustment for concomitant use of paracetamol is required.</w:t>
      </w:r>
    </w:p>
    <w:p w14:paraId="71B19E93" w14:textId="77777777" w:rsidR="00735B45" w:rsidRPr="005A5DA5" w:rsidRDefault="00735B45" w:rsidP="00EE5E3B">
      <w:pPr>
        <w:spacing w:after="0" w:line="240" w:lineRule="auto"/>
        <w:rPr>
          <w:i/>
          <w:iCs/>
        </w:rPr>
      </w:pPr>
      <w:r w:rsidRPr="005A5DA5">
        <w:rPr>
          <w:i/>
          <w:iCs/>
          <w:lang w:val="en-GB"/>
        </w:rPr>
        <w:t>Atorvastatin</w:t>
      </w:r>
    </w:p>
    <w:p w14:paraId="461D5BFF" w14:textId="77777777" w:rsidR="00735B45" w:rsidRPr="0036165E" w:rsidRDefault="00735B45" w:rsidP="00EE5E3B">
      <w:pPr>
        <w:rPr>
          <w:lang w:val="en-US"/>
        </w:rPr>
      </w:pPr>
      <w:r w:rsidRPr="0036165E">
        <w:rPr>
          <w:lang w:val="en-US"/>
        </w:rPr>
        <w:t>Liraglutide did not change the overall exposure of atorvastatin to a clinically relevant degree following single dose administration of atorvastatin 40 mg. Therefore, no dose adjustment of atorvastatin is required when given with liraglutide. Atorvastatin C</w:t>
      </w:r>
      <w:r w:rsidRPr="0036165E">
        <w:rPr>
          <w:vertAlign w:val="subscript"/>
          <w:lang w:val="en-US"/>
        </w:rPr>
        <w:t>max</w:t>
      </w:r>
      <w:r w:rsidRPr="0036165E">
        <w:rPr>
          <w:lang w:val="en-US"/>
        </w:rPr>
        <w:t xml:space="preserve"> was decreased by 38% and median t</w:t>
      </w:r>
      <w:r w:rsidRPr="0036165E">
        <w:rPr>
          <w:vertAlign w:val="subscript"/>
          <w:lang w:val="en-US"/>
        </w:rPr>
        <w:t>max</w:t>
      </w:r>
      <w:r w:rsidRPr="0036165E">
        <w:rPr>
          <w:lang w:val="en-US"/>
        </w:rPr>
        <w:t xml:space="preserve"> was delayed from 1 h to 3 h with liraglutide.</w:t>
      </w:r>
    </w:p>
    <w:p w14:paraId="2FDCD645" w14:textId="77777777" w:rsidR="00735B45" w:rsidRPr="005A5DA5" w:rsidRDefault="00735B45" w:rsidP="00EE5E3B">
      <w:pPr>
        <w:keepNext/>
        <w:spacing w:after="0" w:line="240" w:lineRule="auto"/>
        <w:rPr>
          <w:i/>
          <w:iCs/>
        </w:rPr>
      </w:pPr>
      <w:r w:rsidRPr="005A5DA5">
        <w:rPr>
          <w:i/>
          <w:iCs/>
          <w:lang w:val="en-GB"/>
        </w:rPr>
        <w:t>Griseofulvin</w:t>
      </w:r>
    </w:p>
    <w:p w14:paraId="4614D821" w14:textId="77777777" w:rsidR="00735B45" w:rsidRPr="0036165E" w:rsidRDefault="00735B45" w:rsidP="00EE5E3B">
      <w:pPr>
        <w:rPr>
          <w:lang w:val="en-US"/>
        </w:rPr>
      </w:pPr>
      <w:r w:rsidRPr="0036165E">
        <w:rPr>
          <w:lang w:val="en-US"/>
        </w:rPr>
        <w:t>Liraglutide did not change the overall exposure of griseofulvin following administration of a single dose of griseofulvin 500 mg. Griseofulvin C</w:t>
      </w:r>
      <w:r w:rsidRPr="0036165E">
        <w:rPr>
          <w:vertAlign w:val="subscript"/>
          <w:lang w:val="en-US"/>
        </w:rPr>
        <w:t>max</w:t>
      </w:r>
      <w:r w:rsidRPr="0036165E">
        <w:rPr>
          <w:lang w:val="en-US"/>
        </w:rPr>
        <w:t xml:space="preserve"> increased by 37% while median t</w:t>
      </w:r>
      <w:r w:rsidRPr="0036165E">
        <w:rPr>
          <w:vertAlign w:val="subscript"/>
          <w:lang w:val="en-US"/>
        </w:rPr>
        <w:t>max</w:t>
      </w:r>
      <w:r w:rsidRPr="0036165E">
        <w:rPr>
          <w:lang w:val="en-US"/>
        </w:rPr>
        <w:t xml:space="preserve"> did not change. Dose adjustments of griseofulvin and other compounds with low solubility and high permeability are not required.</w:t>
      </w:r>
    </w:p>
    <w:p w14:paraId="241FAA45" w14:textId="77777777" w:rsidR="00735B45" w:rsidRPr="005A5DA5" w:rsidRDefault="00735B45" w:rsidP="00EE5E3B">
      <w:pPr>
        <w:spacing w:after="0" w:line="240" w:lineRule="auto"/>
        <w:rPr>
          <w:i/>
          <w:iCs/>
        </w:rPr>
      </w:pPr>
      <w:r w:rsidRPr="005A5DA5">
        <w:rPr>
          <w:i/>
          <w:iCs/>
          <w:lang w:val="en-GB"/>
        </w:rPr>
        <w:t>Digoxin</w:t>
      </w:r>
    </w:p>
    <w:p w14:paraId="6DD3E87D" w14:textId="77777777" w:rsidR="00735B45" w:rsidRPr="0036165E" w:rsidRDefault="00735B45" w:rsidP="00EE5E3B">
      <w:pPr>
        <w:rPr>
          <w:lang w:val="en-US"/>
        </w:rPr>
      </w:pPr>
      <w:r w:rsidRPr="0036165E">
        <w:rPr>
          <w:lang w:val="en-US"/>
        </w:rPr>
        <w:t>A single dose administration of digoxin 1 mg with liraglutide resulted in a reduction of digoxin AUC by 16%; C</w:t>
      </w:r>
      <w:r w:rsidRPr="0036165E">
        <w:rPr>
          <w:vertAlign w:val="subscript"/>
          <w:lang w:val="en-US"/>
        </w:rPr>
        <w:t>max</w:t>
      </w:r>
      <w:r w:rsidRPr="0036165E">
        <w:rPr>
          <w:lang w:val="en-US"/>
        </w:rPr>
        <w:t xml:space="preserve"> decreased by 31%. Digoxin median time to maximum concentration (t</w:t>
      </w:r>
      <w:r w:rsidRPr="0036165E">
        <w:rPr>
          <w:vertAlign w:val="subscript"/>
          <w:lang w:val="en-US"/>
        </w:rPr>
        <w:t>max</w:t>
      </w:r>
      <w:r w:rsidRPr="0036165E">
        <w:rPr>
          <w:lang w:val="en-US"/>
        </w:rPr>
        <w:t>) was delayed from 1 h to 1.5 h. No dose adjustment of digoxin is required based on these results.</w:t>
      </w:r>
    </w:p>
    <w:p w14:paraId="6E700E4D" w14:textId="77777777" w:rsidR="00735B45" w:rsidRPr="005A5DA5" w:rsidRDefault="00735B45" w:rsidP="00EE5E3B">
      <w:pPr>
        <w:spacing w:after="0" w:line="240" w:lineRule="auto"/>
        <w:rPr>
          <w:i/>
          <w:iCs/>
          <w:lang w:val="en-GB"/>
        </w:rPr>
      </w:pPr>
      <w:r w:rsidRPr="005A5DA5">
        <w:rPr>
          <w:i/>
          <w:iCs/>
          <w:lang w:val="en-GB"/>
        </w:rPr>
        <w:t xml:space="preserve">Lisinopril </w:t>
      </w:r>
    </w:p>
    <w:p w14:paraId="5BE18DE4" w14:textId="77777777" w:rsidR="00735B45" w:rsidRPr="0036165E" w:rsidRDefault="00735B45" w:rsidP="00EE5E3B">
      <w:pPr>
        <w:rPr>
          <w:lang w:val="en-US"/>
        </w:rPr>
      </w:pPr>
      <w:r w:rsidRPr="0036165E">
        <w:rPr>
          <w:lang w:val="en-US"/>
        </w:rPr>
        <w:t>A single dose administration of lisinopril 20 mg with liraglutide resulted in a reduction of lisinopril AUC by 15%; C</w:t>
      </w:r>
      <w:r w:rsidRPr="0036165E">
        <w:rPr>
          <w:vertAlign w:val="subscript"/>
          <w:lang w:val="en-US"/>
        </w:rPr>
        <w:t>max</w:t>
      </w:r>
      <w:r w:rsidRPr="0036165E">
        <w:rPr>
          <w:lang w:val="en-US"/>
        </w:rPr>
        <w:t xml:space="preserve"> decreased by 27%. Lisinopril median t</w:t>
      </w:r>
      <w:r w:rsidRPr="0036165E">
        <w:rPr>
          <w:vertAlign w:val="subscript"/>
          <w:lang w:val="en-US"/>
        </w:rPr>
        <w:t>max</w:t>
      </w:r>
      <w:r w:rsidRPr="0036165E">
        <w:rPr>
          <w:lang w:val="en-US"/>
        </w:rPr>
        <w:t xml:space="preserve"> was delayed from 6 h to 8 h with liraglutide. No dose adjustment of lisinopril is required based on these results.</w:t>
      </w:r>
    </w:p>
    <w:p w14:paraId="54B57BC1" w14:textId="77777777" w:rsidR="00735B45" w:rsidRPr="005A5DA5" w:rsidRDefault="00735B45" w:rsidP="00EE5E3B">
      <w:pPr>
        <w:spacing w:after="0" w:line="240" w:lineRule="auto"/>
        <w:rPr>
          <w:i/>
          <w:iCs/>
          <w:lang w:val="en-GB"/>
        </w:rPr>
      </w:pPr>
      <w:r w:rsidRPr="005A5DA5">
        <w:rPr>
          <w:i/>
          <w:iCs/>
          <w:lang w:val="en-GB"/>
        </w:rPr>
        <w:t>Oral contraceptives</w:t>
      </w:r>
    </w:p>
    <w:p w14:paraId="040EDA4F" w14:textId="4EB3BC73" w:rsidR="00034C1A" w:rsidRPr="0036165E" w:rsidRDefault="00735B45" w:rsidP="00EE5E3B">
      <w:pPr>
        <w:rPr>
          <w:lang w:val="en-US"/>
        </w:rPr>
      </w:pPr>
      <w:r w:rsidRPr="0036165E">
        <w:rPr>
          <w:lang w:val="en-US"/>
        </w:rPr>
        <w:t>Liraglutide lowered ethinylestradiol and levonorgestrel C</w:t>
      </w:r>
      <w:r w:rsidRPr="0036165E">
        <w:rPr>
          <w:vertAlign w:val="subscript"/>
          <w:lang w:val="en-US"/>
        </w:rPr>
        <w:t>max</w:t>
      </w:r>
      <w:r w:rsidRPr="0036165E">
        <w:rPr>
          <w:lang w:val="en-US"/>
        </w:rPr>
        <w:t xml:space="preserve"> by 12% and 13%, respectively, following administration of a single dose of an oral contraceptive product. T</w:t>
      </w:r>
      <w:r w:rsidRPr="0036165E">
        <w:rPr>
          <w:vertAlign w:val="subscript"/>
          <w:lang w:val="en-US"/>
        </w:rPr>
        <w:t>max</w:t>
      </w:r>
      <w:r w:rsidRPr="0036165E">
        <w:rPr>
          <w:lang w:val="en-US"/>
        </w:rPr>
        <w:t xml:space="preserve"> was 1.5 h later with liraglutide for both compounds. There was no clinically relevant effect on the overall exposure of either ethinylestradiol or levonorgestrel. The contraceptive effect is therefore anticipated to be unaffected when co-administered with liraglutide.</w:t>
      </w:r>
    </w:p>
    <w:p w14:paraId="4CA21597" w14:textId="77777777" w:rsidR="00F17541" w:rsidRPr="0036165E" w:rsidRDefault="00F17541" w:rsidP="00EE5E3B">
      <w:pPr>
        <w:pStyle w:val="Heading3"/>
      </w:pPr>
      <w:r w:rsidRPr="0036165E">
        <w:t>4.6</w:t>
      </w:r>
      <w:r w:rsidRPr="0036165E">
        <w:tab/>
        <w:t>Fertility, Pregnancy and Lactation</w:t>
      </w:r>
    </w:p>
    <w:p w14:paraId="01231DB9" w14:textId="741EC3E7" w:rsidR="00F17541" w:rsidRPr="0036165E" w:rsidRDefault="00F17541" w:rsidP="00EE5E3B">
      <w:pPr>
        <w:pStyle w:val="Heading3"/>
      </w:pPr>
      <w:r w:rsidRPr="0036165E">
        <w:t>Effects on fertility</w:t>
      </w:r>
    </w:p>
    <w:p w14:paraId="01A942F7" w14:textId="3975620E" w:rsidR="00AB3DB0" w:rsidRPr="0036165E" w:rsidRDefault="00AB3DB0" w:rsidP="00EE5E3B">
      <w:r w:rsidRPr="0036165E">
        <w:t>There is no clinical experience with Xultophy with respect to fertility</w:t>
      </w:r>
      <w:r w:rsidR="00F313C7">
        <w:t xml:space="preserve"> </w:t>
      </w:r>
      <w:r w:rsidR="00F313C7" w:rsidRPr="00F313C7">
        <w:t>and no animal fertility studies have been performed with insulin degludec and liraglutide in combination</w:t>
      </w:r>
      <w:r w:rsidRPr="0036165E">
        <w:t xml:space="preserve">. Animal reproduction studies with insulin degludec </w:t>
      </w:r>
      <w:r w:rsidR="00F313C7">
        <w:t xml:space="preserve">as a single agent </w:t>
      </w:r>
      <w:r w:rsidRPr="0036165E">
        <w:t xml:space="preserve">have not revealed any adverse effects on fertility. </w:t>
      </w:r>
      <w:r w:rsidR="00340E80" w:rsidRPr="0036165E">
        <w:t>In a combined fertility and embryofetal study in male and female rats, treatment with subcutaneous doses of insulin degludec</w:t>
      </w:r>
      <w:r w:rsidR="00340E80" w:rsidRPr="0036165E" w:rsidDel="0071208D">
        <w:t xml:space="preserve"> </w:t>
      </w:r>
      <w:r w:rsidR="00340E80" w:rsidRPr="0036165E">
        <w:t>up to 21 U/kg/day (yielding 5-6 times the AUC in humans at a dose of 0.8 U/kg/day) prior to mating and in female rats during gestation had no effect on mating performance or fertility.</w:t>
      </w:r>
      <w:r w:rsidR="00457035">
        <w:t xml:space="preserve"> </w:t>
      </w:r>
      <w:r w:rsidR="00340E80" w:rsidRPr="0036165E">
        <w:rPr>
          <w:lang w:val="en-US"/>
        </w:rPr>
        <w:t>No adverse effects on fertility were observed in male and female rats given subcutaneous doses of liraglutide at ≤1 mg/kg/day, yielding exposure to liraglutide (plasma AUC) 11-13 times higher than that of patients at the maximum recommended human dose.</w:t>
      </w:r>
    </w:p>
    <w:p w14:paraId="7601BDCC" w14:textId="1369DC6B" w:rsidR="0067435A" w:rsidRPr="0036165E" w:rsidRDefault="0067435A" w:rsidP="00EE5E3B">
      <w:pPr>
        <w:pStyle w:val="Heading3"/>
      </w:pPr>
      <w:r w:rsidRPr="0036165E">
        <w:t>Women of childbearing potential/contraception in males and females</w:t>
      </w:r>
    </w:p>
    <w:p w14:paraId="7DEF5E71" w14:textId="6B3FD8C5" w:rsidR="0067435A" w:rsidRPr="0036165E" w:rsidRDefault="0067435A" w:rsidP="00EE5E3B">
      <w:r w:rsidRPr="0036165E">
        <w:t>Because of lack of experience during pregnancy, women of childbearing potential should be advised to discontinue Xultophy if they wish to become pregnant.</w:t>
      </w:r>
    </w:p>
    <w:p w14:paraId="6B12E0AE" w14:textId="4AA9B908" w:rsidR="00F17541" w:rsidRPr="0036165E" w:rsidRDefault="00F17541" w:rsidP="00EE5E3B">
      <w:pPr>
        <w:pStyle w:val="Heading3"/>
      </w:pPr>
      <w:r w:rsidRPr="0036165E">
        <w:t>Use in pregnancy</w:t>
      </w:r>
    </w:p>
    <w:p w14:paraId="4E425704" w14:textId="3B828BA0" w:rsidR="00F17541" w:rsidRPr="0036165E" w:rsidRDefault="004D7F11" w:rsidP="00EE5E3B">
      <w:r w:rsidRPr="0036165E">
        <w:t xml:space="preserve">Pregnancy Category: </w:t>
      </w:r>
      <w:r w:rsidR="0067435A" w:rsidRPr="0036165E">
        <w:t>B3</w:t>
      </w:r>
    </w:p>
    <w:p w14:paraId="7E47795D" w14:textId="3ED98822" w:rsidR="00653701" w:rsidRPr="0036165E" w:rsidRDefault="00653701" w:rsidP="00EE5E3B">
      <w:pPr>
        <w:rPr>
          <w:rFonts w:eastAsiaTheme="majorEastAsia"/>
          <w:bCs/>
          <w:iCs/>
          <w:lang w:val="en-GB"/>
        </w:rPr>
      </w:pPr>
      <w:r w:rsidRPr="0036165E">
        <w:rPr>
          <w:rFonts w:eastAsiaTheme="majorEastAsia"/>
          <w:bCs/>
          <w:iCs/>
          <w:lang w:val="en-GB"/>
        </w:rPr>
        <w:t xml:space="preserve">There is no clinical experience with use of Xultophy in pregnant women. The potential risk for humans is unknown and therefore Xultophy should not be used during pregnancy. If a patient becomes pregnant, treatment with Xultophy should be discontinued. </w:t>
      </w:r>
    </w:p>
    <w:p w14:paraId="5C18093B" w14:textId="390BF084" w:rsidR="00085B6D" w:rsidRPr="0036165E" w:rsidRDefault="00F313C7" w:rsidP="00EE5E3B">
      <w:r w:rsidRPr="00F313C7">
        <w:rPr>
          <w:rFonts w:eastAsiaTheme="majorEastAsia"/>
          <w:bCs/>
          <w:iCs/>
        </w:rPr>
        <w:t>No animal embryofetal development studies have been performed with insulin degludec and liraglutide in combination</w:t>
      </w:r>
      <w:r>
        <w:rPr>
          <w:rFonts w:eastAsiaTheme="majorEastAsia"/>
          <w:bCs/>
          <w:iCs/>
        </w:rPr>
        <w:t xml:space="preserve">. </w:t>
      </w:r>
      <w:r w:rsidR="00653701" w:rsidRPr="0036165E">
        <w:rPr>
          <w:rFonts w:eastAsiaTheme="majorEastAsia"/>
          <w:bCs/>
          <w:iCs/>
        </w:rPr>
        <w:t xml:space="preserve">In rats, treatment with insulin degludec </w:t>
      </w:r>
      <w:r>
        <w:t xml:space="preserve">as a single agent </w:t>
      </w:r>
      <w:r w:rsidR="00653701" w:rsidRPr="0036165E">
        <w:rPr>
          <w:rFonts w:eastAsiaTheme="majorEastAsia"/>
          <w:bCs/>
          <w:iCs/>
        </w:rPr>
        <w:t xml:space="preserve">at subcutaneous doses ≥13 U/kg/day (resulting in 2.6 times the AUC in humans at a dose of 0.8 U/kg/day) caused an increase in the incidence of fetal skeletal abnormalities. Similar effects were seen with human insulin, and these are probably secondary to maternal hypoglycaemia. No adverse effects on embryofetal development were observed in rabbits at subcutaneous doses up to 3 U/kg/day (resulting in 9 times the human AUC at a dose of 0.8 U/kg/day). </w:t>
      </w:r>
      <w:r w:rsidR="00653701" w:rsidRPr="0036165E">
        <w:rPr>
          <w:rFonts w:eastAsiaTheme="majorEastAsia"/>
          <w:bCs/>
          <w:iCs/>
          <w:lang w:val="en-US"/>
        </w:rPr>
        <w:t xml:space="preserve">Increased embryofetal death and minor fetal skeletal abnormalities (kinked ribs) were observed in rats given liraglutide at 1 mg/kg/day by subcutaneous injection (yielding 11-times the plasma AUC in humans at the maximum recommended clinical dose). In rabbits treated at doses ≥0.01 mg/kg/day (relative exposure, ≥0.2), there was retardation of fetal growth and an increased incidence of several minor skeletal and visceral abnormalities. Postnatal body weight gain was reduced in the offspring of rats treated with liraglutide during gestation and lactation. These findings may have occurred secondary to reduced maternal food consumption. Placental transfer of liraglutide and/or its metabolites was demonstrated in the animal species.  </w:t>
      </w:r>
    </w:p>
    <w:p w14:paraId="430DA88A" w14:textId="5B4E6DDA" w:rsidR="00F17541" w:rsidRPr="0036165E" w:rsidRDefault="00F17541" w:rsidP="00EE5E3B">
      <w:pPr>
        <w:pStyle w:val="Heading3"/>
      </w:pPr>
      <w:r w:rsidRPr="0036165E">
        <w:t>Use in lactation</w:t>
      </w:r>
    </w:p>
    <w:p w14:paraId="7E078FD2" w14:textId="4B5A3BD2" w:rsidR="00F17541" w:rsidRPr="0036165E" w:rsidRDefault="00FB00DD" w:rsidP="00EE5E3B">
      <w:r w:rsidRPr="0036165E">
        <w:t xml:space="preserve">There is no clinical experience with use of Xultophy during breast-feeding. It is not known whether insulin degludec or liraglutide is excreted in human milk. In rats, insulin degludec </w:t>
      </w:r>
      <w:r w:rsidR="00F313C7">
        <w:t>and its metabolites were</w:t>
      </w:r>
      <w:r w:rsidR="00F313C7" w:rsidRPr="0036165E">
        <w:t xml:space="preserve"> </w:t>
      </w:r>
      <w:r w:rsidRPr="0036165E">
        <w:t xml:space="preserve">secreted in milk; the </w:t>
      </w:r>
      <w:r w:rsidR="00F313C7">
        <w:t xml:space="preserve">peak </w:t>
      </w:r>
      <w:r w:rsidRPr="0036165E">
        <w:t>concentration</w:t>
      </w:r>
      <w:r w:rsidR="00F313C7">
        <w:t xml:space="preserve"> of insulin degludec</w:t>
      </w:r>
      <w:r w:rsidRPr="0036165E">
        <w:t xml:space="preserve"> in milk was </w:t>
      </w:r>
      <w:r w:rsidR="00F313C7">
        <w:t>less than half of that</w:t>
      </w:r>
      <w:r w:rsidRPr="0036165E">
        <w:t xml:space="preserve"> in plasma. </w:t>
      </w:r>
      <w:r w:rsidR="00F313C7">
        <w:t>Studies in lactating rats</w:t>
      </w:r>
      <w:r w:rsidRPr="0036165E">
        <w:t xml:space="preserve"> have shown that the transfer of liraglutide and metabolites of close structural relationship into milk was low.</w:t>
      </w:r>
      <w:r w:rsidR="00715880">
        <w:t xml:space="preserve"> </w:t>
      </w:r>
      <w:r w:rsidRPr="0036165E">
        <w:t>Because of lack of experience, Xultophy should not be used during breast-feeding.</w:t>
      </w:r>
    </w:p>
    <w:p w14:paraId="03255564" w14:textId="6AD924A0" w:rsidR="00F17541" w:rsidRPr="0036165E" w:rsidRDefault="00F17541" w:rsidP="00EE5E3B">
      <w:pPr>
        <w:pStyle w:val="Heading3"/>
      </w:pPr>
      <w:r w:rsidRPr="0036165E">
        <w:t>4.7</w:t>
      </w:r>
      <w:r w:rsidRPr="0036165E">
        <w:tab/>
        <w:t>Effects on Ability to Drive and Use Machines</w:t>
      </w:r>
    </w:p>
    <w:p w14:paraId="3D738901" w14:textId="4D28DCD4" w:rsidR="003D669B" w:rsidRPr="0036165E" w:rsidRDefault="003D669B" w:rsidP="00EE5E3B">
      <w:r w:rsidRPr="0036165E">
        <w:t>The patient’s ability to concentrate and react may be impaired as a result of hypoglycaemia. This may constitute a risk in situations where these abilities are of special importance (e.g. driving a car or using machines).</w:t>
      </w:r>
    </w:p>
    <w:p w14:paraId="2FC4AB3A" w14:textId="30F490E8" w:rsidR="00C74F8F" w:rsidRPr="0036165E" w:rsidRDefault="003D669B" w:rsidP="00EE5E3B">
      <w:r w:rsidRPr="0036165E">
        <w:t>Patients must be advised to take precautions to avoid hypoglycaemia while driving. This is particularly important in those who have reduced or absent awareness of the warning signs of hypoglycaemia or have frequent episodes of hypoglycaemia. The advisability of driving should be considered in these circumstances.</w:t>
      </w:r>
    </w:p>
    <w:p w14:paraId="046FF310" w14:textId="50B4E081" w:rsidR="00F17541" w:rsidRPr="0036165E" w:rsidRDefault="00F17541" w:rsidP="00EE5E3B">
      <w:pPr>
        <w:pStyle w:val="Heading3"/>
      </w:pPr>
      <w:r w:rsidRPr="0036165E">
        <w:t>4.8</w:t>
      </w:r>
      <w:r w:rsidRPr="0036165E">
        <w:tab/>
        <w:t>Adverse Effects</w:t>
      </w:r>
      <w:r w:rsidR="00C74F8F" w:rsidRPr="0036165E">
        <w:t xml:space="preserve"> (Undesirable Effects)</w:t>
      </w:r>
    </w:p>
    <w:p w14:paraId="55CC703F" w14:textId="275F0590" w:rsidR="00AF7AB3" w:rsidRPr="0036165E" w:rsidRDefault="00AF7AB3" w:rsidP="00EE5E3B">
      <w:pPr>
        <w:pStyle w:val="Heading3"/>
      </w:pPr>
      <w:r w:rsidRPr="0036165E">
        <w:t xml:space="preserve">Summary of the </w:t>
      </w:r>
      <w:r w:rsidR="00715880">
        <w:t>s</w:t>
      </w:r>
      <w:r w:rsidRPr="0036165E">
        <w:t xml:space="preserve">afety </w:t>
      </w:r>
      <w:r w:rsidR="00715880">
        <w:t>p</w:t>
      </w:r>
      <w:r w:rsidRPr="0036165E">
        <w:t>rofile</w:t>
      </w:r>
    </w:p>
    <w:p w14:paraId="391EEAB0" w14:textId="0C3D7946" w:rsidR="00607DC0" w:rsidRPr="0036165E" w:rsidRDefault="00607DC0" w:rsidP="00EE5E3B">
      <w:pPr>
        <w:rPr>
          <w:iCs/>
        </w:rPr>
      </w:pPr>
      <w:r w:rsidRPr="0036165E">
        <w:rPr>
          <w:iCs/>
        </w:rPr>
        <w:t>In the clinical development programme Xultophy did not show increased incidence of specific adverse reactions as compared to the two monocomponents insulin degludec and liraglutide.</w:t>
      </w:r>
    </w:p>
    <w:p w14:paraId="3B2245CF" w14:textId="429DCB72" w:rsidR="00D210EA" w:rsidRPr="0036165E" w:rsidRDefault="00607DC0" w:rsidP="00EE5E3B">
      <w:r w:rsidRPr="0036165E">
        <w:rPr>
          <w:iCs/>
        </w:rPr>
        <w:t xml:space="preserve">The most frequently reported adverse reactions during treatment with Xultophy </w:t>
      </w:r>
      <w:r w:rsidR="00635172">
        <w:rPr>
          <w:iCs/>
        </w:rPr>
        <w:t>are</w:t>
      </w:r>
      <w:r w:rsidR="00635172" w:rsidRPr="0036165E">
        <w:rPr>
          <w:iCs/>
        </w:rPr>
        <w:t xml:space="preserve"> </w:t>
      </w:r>
      <w:r w:rsidRPr="0036165E">
        <w:rPr>
          <w:iCs/>
        </w:rPr>
        <w:t xml:space="preserve">hypoglycaemia and gastrointestinal adverse reactions (see </w:t>
      </w:r>
      <w:r w:rsidR="009E6985">
        <w:rPr>
          <w:iCs/>
        </w:rPr>
        <w:t>Section</w:t>
      </w:r>
      <w:r w:rsidRPr="0036165E">
        <w:rPr>
          <w:iCs/>
        </w:rPr>
        <w:t xml:space="preserve"> ‘Description of selected adverse drug reactions’ below).</w:t>
      </w:r>
    </w:p>
    <w:p w14:paraId="7A9BAFC0" w14:textId="3A92A410" w:rsidR="00E043F6" w:rsidRDefault="00E043F6" w:rsidP="00EE5E3B">
      <w:pPr>
        <w:pStyle w:val="Heading3"/>
      </w:pPr>
      <w:r w:rsidRPr="0036165E">
        <w:t xml:space="preserve">Adverse </w:t>
      </w:r>
      <w:r w:rsidR="00825436">
        <w:t>effects</w:t>
      </w:r>
      <w:r w:rsidRPr="0036165E">
        <w:t xml:space="preserve"> from clinical trials</w:t>
      </w:r>
    </w:p>
    <w:p w14:paraId="08FFE2B6" w14:textId="77055DA7" w:rsidR="00121E71" w:rsidRPr="00570350" w:rsidRDefault="00AF7AB3" w:rsidP="00EE5E3B">
      <w:pPr>
        <w:spacing w:after="0" w:line="240" w:lineRule="auto"/>
        <w:rPr>
          <w:u w:val="single"/>
        </w:rPr>
      </w:pPr>
      <w:r w:rsidRPr="00570350">
        <w:rPr>
          <w:i/>
          <w:iCs/>
          <w:u w:val="single"/>
        </w:rPr>
        <w:t xml:space="preserve">Tabulated </w:t>
      </w:r>
      <w:r w:rsidR="005A5DA5">
        <w:rPr>
          <w:i/>
          <w:iCs/>
          <w:u w:val="single"/>
        </w:rPr>
        <w:t>l</w:t>
      </w:r>
      <w:r w:rsidRPr="00570350">
        <w:rPr>
          <w:i/>
          <w:iCs/>
          <w:u w:val="single"/>
        </w:rPr>
        <w:t xml:space="preserve">ist of </w:t>
      </w:r>
      <w:r w:rsidR="005A5DA5">
        <w:rPr>
          <w:i/>
          <w:iCs/>
          <w:u w:val="single"/>
        </w:rPr>
        <w:t>a</w:t>
      </w:r>
      <w:r w:rsidR="00121E71" w:rsidRPr="00570350">
        <w:rPr>
          <w:i/>
          <w:iCs/>
          <w:u w:val="single"/>
        </w:rPr>
        <w:t xml:space="preserve">dverse </w:t>
      </w:r>
      <w:r w:rsidR="005A5DA5">
        <w:rPr>
          <w:i/>
          <w:iCs/>
          <w:u w:val="single"/>
        </w:rPr>
        <w:t>e</w:t>
      </w:r>
      <w:r w:rsidR="00121E71" w:rsidRPr="00570350">
        <w:rPr>
          <w:i/>
          <w:iCs/>
          <w:u w:val="single"/>
        </w:rPr>
        <w:t>vent</w:t>
      </w:r>
      <w:r w:rsidR="008870C8" w:rsidRPr="00570350">
        <w:rPr>
          <w:i/>
          <w:iCs/>
          <w:u w:val="single"/>
        </w:rPr>
        <w:t>s</w:t>
      </w:r>
    </w:p>
    <w:p w14:paraId="48262C6D" w14:textId="27713AD8" w:rsidR="00FD6B15" w:rsidRPr="00825436" w:rsidRDefault="00FD6B15" w:rsidP="00EE5E3B">
      <w:pPr>
        <w:spacing w:after="0" w:line="240" w:lineRule="auto"/>
        <w:rPr>
          <w:u w:val="single"/>
        </w:rPr>
      </w:pPr>
    </w:p>
    <w:p w14:paraId="70CA6901" w14:textId="26958ED5" w:rsidR="00FD6B15" w:rsidRPr="00EB0A07" w:rsidRDefault="00825436" w:rsidP="00EE5E3B">
      <w:pPr>
        <w:pStyle w:val="Caption"/>
        <w:rPr>
          <w:sz w:val="22"/>
          <w:szCs w:val="22"/>
        </w:rPr>
      </w:pPr>
      <w:r w:rsidRPr="00EB0A07">
        <w:rPr>
          <w:color w:val="auto"/>
          <w:sz w:val="22"/>
          <w:szCs w:val="22"/>
        </w:rPr>
        <w:t xml:space="preserve">Table </w:t>
      </w:r>
      <w:r w:rsidRPr="00EB0A07">
        <w:rPr>
          <w:color w:val="auto"/>
          <w:sz w:val="22"/>
          <w:szCs w:val="22"/>
        </w:rPr>
        <w:fldChar w:fldCharType="begin"/>
      </w:r>
      <w:r w:rsidRPr="00A544E6">
        <w:rPr>
          <w:color w:val="auto"/>
          <w:sz w:val="22"/>
          <w:szCs w:val="22"/>
        </w:rPr>
        <w:instrText xml:space="preserve"> SEQ Table \* ARABIC </w:instrText>
      </w:r>
      <w:r w:rsidRPr="00EB0A07">
        <w:rPr>
          <w:color w:val="auto"/>
          <w:sz w:val="22"/>
          <w:szCs w:val="22"/>
        </w:rPr>
        <w:fldChar w:fldCharType="separate"/>
      </w:r>
      <w:r w:rsidR="00503238">
        <w:rPr>
          <w:noProof/>
          <w:color w:val="auto"/>
          <w:sz w:val="22"/>
          <w:szCs w:val="22"/>
        </w:rPr>
        <w:t>2</w:t>
      </w:r>
      <w:r w:rsidRPr="00EB0A07">
        <w:rPr>
          <w:color w:val="auto"/>
          <w:sz w:val="22"/>
          <w:szCs w:val="22"/>
        </w:rPr>
        <w:fldChar w:fldCharType="end"/>
      </w:r>
      <w:r w:rsidRPr="00EB0A07">
        <w:rPr>
          <w:color w:val="auto"/>
          <w:sz w:val="22"/>
          <w:szCs w:val="22"/>
        </w:rPr>
        <w:t xml:space="preserve"> </w:t>
      </w:r>
      <w:bookmarkStart w:id="3" w:name="_Toc56773418"/>
      <w:r w:rsidR="00EB0A07" w:rsidRPr="00F366D6">
        <w:rPr>
          <w:color w:val="auto"/>
          <w:sz w:val="22"/>
          <w:szCs w:val="22"/>
        </w:rPr>
        <w:t xml:space="preserve">Treatment emergent adverse events (excluding hypoglycaemia*) reported in </w:t>
      </w:r>
      <w:r w:rsidR="00724F28" w:rsidRPr="00F366D6">
        <w:rPr>
          <w:color w:val="auto"/>
          <w:sz w:val="22"/>
          <w:szCs w:val="22"/>
        </w:rPr>
        <w:t>≥</w:t>
      </w:r>
      <w:r w:rsidR="00EB0A07" w:rsidRPr="00F366D6">
        <w:rPr>
          <w:color w:val="auto"/>
          <w:sz w:val="22"/>
          <w:szCs w:val="22"/>
        </w:rPr>
        <w:t xml:space="preserve">2% of patients on Xultophy and more frequently than in patients on comparator </w:t>
      </w:r>
      <w:bookmarkEnd w:id="3"/>
      <w:r w:rsidR="00FF0F7D" w:rsidRPr="00F366D6">
        <w:rPr>
          <w:color w:val="auto"/>
          <w:sz w:val="22"/>
          <w:szCs w:val="22"/>
        </w:rPr>
        <w:t>or placebo</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1121"/>
        <w:gridCol w:w="1107"/>
        <w:gridCol w:w="1243"/>
        <w:gridCol w:w="1193"/>
      </w:tblGrid>
      <w:tr w:rsidR="00FF0F7D" w:rsidRPr="00FA4B58" w14:paraId="0179EE0F" w14:textId="77777777" w:rsidTr="00936901">
        <w:tc>
          <w:tcPr>
            <w:tcW w:w="3836" w:type="dxa"/>
            <w:shd w:val="clear" w:color="auto" w:fill="auto"/>
          </w:tcPr>
          <w:p w14:paraId="0975301E" w14:textId="77777777" w:rsidR="00FF0F7D" w:rsidRPr="00FA4B58" w:rsidRDefault="00FF0F7D" w:rsidP="00EE5E3B">
            <w:pPr>
              <w:suppressAutoHyphens/>
              <w:spacing w:after="0" w:line="240" w:lineRule="auto"/>
              <w:rPr>
                <w:rFonts w:eastAsia="Calibri"/>
                <w:b/>
                <w:bCs/>
                <w:sz w:val="20"/>
                <w:szCs w:val="20"/>
              </w:rPr>
            </w:pPr>
          </w:p>
          <w:p w14:paraId="6FC3AE23"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System Organ Class</w:t>
            </w:r>
          </w:p>
          <w:p w14:paraId="40FC5A3E" w14:textId="77777777" w:rsidR="00FF0F7D" w:rsidRPr="00FA4B58" w:rsidRDefault="00FF0F7D" w:rsidP="00EE5E3B">
            <w:pPr>
              <w:suppressAutoHyphens/>
              <w:spacing w:after="0" w:line="240" w:lineRule="auto"/>
              <w:rPr>
                <w:rFonts w:eastAsia="Calibri"/>
                <w:bCs/>
                <w:sz w:val="20"/>
                <w:szCs w:val="20"/>
              </w:rPr>
            </w:pPr>
            <w:r w:rsidRPr="00FA4B58">
              <w:rPr>
                <w:rFonts w:eastAsia="Calibri"/>
                <w:bCs/>
                <w:sz w:val="20"/>
                <w:szCs w:val="20"/>
              </w:rPr>
              <w:t xml:space="preserve">     Preferred Term</w:t>
            </w:r>
          </w:p>
        </w:tc>
        <w:tc>
          <w:tcPr>
            <w:tcW w:w="1121" w:type="dxa"/>
            <w:shd w:val="clear" w:color="auto" w:fill="auto"/>
          </w:tcPr>
          <w:p w14:paraId="2C1EDB29" w14:textId="1100739A" w:rsidR="00FF0F7D" w:rsidRDefault="00FF0F7D" w:rsidP="00EE5E3B">
            <w:pPr>
              <w:suppressAutoHyphens/>
              <w:spacing w:after="0" w:line="240" w:lineRule="auto"/>
              <w:rPr>
                <w:rFonts w:eastAsia="Calibri"/>
                <w:b/>
                <w:bCs/>
                <w:sz w:val="20"/>
                <w:szCs w:val="20"/>
              </w:rPr>
            </w:pPr>
            <w:r>
              <w:rPr>
                <w:rFonts w:eastAsia="Calibri"/>
                <w:b/>
                <w:bCs/>
                <w:sz w:val="20"/>
                <w:szCs w:val="20"/>
              </w:rPr>
              <w:t>Xultophy</w:t>
            </w:r>
          </w:p>
          <w:p w14:paraId="36CA772E" w14:textId="77777777" w:rsidR="00FF0F7D" w:rsidRPr="00FA4B58" w:rsidRDefault="00FF0F7D" w:rsidP="00EE5E3B">
            <w:pPr>
              <w:suppressAutoHyphens/>
              <w:spacing w:after="0" w:line="240" w:lineRule="auto"/>
              <w:rPr>
                <w:rFonts w:eastAsia="Calibri"/>
                <w:b/>
                <w:bCs/>
                <w:sz w:val="20"/>
                <w:szCs w:val="20"/>
              </w:rPr>
            </w:pPr>
          </w:p>
          <w:p w14:paraId="104AFDE6"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 xml:space="preserve">N = </w:t>
            </w:r>
            <w:r>
              <w:rPr>
                <w:rFonts w:eastAsia="Calibri"/>
                <w:b/>
                <w:bCs/>
                <w:sz w:val="20"/>
                <w:szCs w:val="20"/>
              </w:rPr>
              <w:t>2133</w:t>
            </w:r>
          </w:p>
          <w:p w14:paraId="27FB2065"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w:t>
            </w:r>
          </w:p>
        </w:tc>
        <w:tc>
          <w:tcPr>
            <w:tcW w:w="1107" w:type="dxa"/>
            <w:shd w:val="clear" w:color="auto" w:fill="auto"/>
          </w:tcPr>
          <w:p w14:paraId="6816933D" w14:textId="77777777" w:rsidR="00FF0F7D" w:rsidRDefault="00FF0F7D" w:rsidP="00EE5E3B">
            <w:pPr>
              <w:suppressAutoHyphens/>
              <w:spacing w:after="0" w:line="240" w:lineRule="auto"/>
              <w:rPr>
                <w:rFonts w:eastAsia="Calibri"/>
                <w:b/>
                <w:bCs/>
                <w:sz w:val="20"/>
                <w:szCs w:val="20"/>
              </w:rPr>
            </w:pPr>
            <w:r w:rsidRPr="00FA4B58">
              <w:rPr>
                <w:rFonts w:eastAsia="Calibri"/>
                <w:b/>
                <w:bCs/>
                <w:sz w:val="20"/>
                <w:szCs w:val="20"/>
              </w:rPr>
              <w:t>Basal Insulins</w:t>
            </w:r>
          </w:p>
          <w:p w14:paraId="451B6F1D" w14:textId="77777777" w:rsidR="00FF0F7D" w:rsidRPr="00FA4B58" w:rsidRDefault="00FF0F7D" w:rsidP="00EE5E3B">
            <w:pPr>
              <w:suppressAutoHyphens/>
              <w:spacing w:after="0" w:line="240" w:lineRule="auto"/>
              <w:rPr>
                <w:rFonts w:eastAsia="Calibri"/>
                <w:b/>
                <w:bCs/>
                <w:sz w:val="20"/>
                <w:szCs w:val="20"/>
              </w:rPr>
            </w:pPr>
          </w:p>
          <w:p w14:paraId="48829136"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 xml:space="preserve">N = </w:t>
            </w:r>
            <w:r>
              <w:rPr>
                <w:rFonts w:eastAsia="Calibri"/>
                <w:b/>
                <w:bCs/>
                <w:sz w:val="20"/>
                <w:szCs w:val="20"/>
              </w:rPr>
              <w:t>1143</w:t>
            </w:r>
          </w:p>
          <w:p w14:paraId="5409B11D"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w:t>
            </w:r>
          </w:p>
        </w:tc>
        <w:tc>
          <w:tcPr>
            <w:tcW w:w="1243" w:type="dxa"/>
          </w:tcPr>
          <w:p w14:paraId="12DC7FFA" w14:textId="77777777" w:rsidR="00FF0F7D" w:rsidRDefault="00FF0F7D" w:rsidP="00EE5E3B">
            <w:pPr>
              <w:suppressAutoHyphens/>
              <w:spacing w:after="0" w:line="240" w:lineRule="auto"/>
              <w:rPr>
                <w:rFonts w:eastAsia="Calibri"/>
                <w:b/>
                <w:bCs/>
                <w:sz w:val="20"/>
                <w:szCs w:val="20"/>
              </w:rPr>
            </w:pPr>
            <w:r w:rsidRPr="00FA4B58">
              <w:rPr>
                <w:rFonts w:eastAsia="Calibri"/>
                <w:b/>
                <w:bCs/>
                <w:sz w:val="20"/>
                <w:szCs w:val="20"/>
              </w:rPr>
              <w:t>GLP-1 Receptor</w:t>
            </w:r>
          </w:p>
          <w:p w14:paraId="30265683" w14:textId="77777777" w:rsidR="00FF0F7D" w:rsidRDefault="00FF0F7D" w:rsidP="00EE5E3B">
            <w:pPr>
              <w:suppressAutoHyphens/>
              <w:spacing w:after="0" w:line="240" w:lineRule="auto"/>
              <w:rPr>
                <w:rFonts w:eastAsia="Calibri"/>
                <w:b/>
                <w:bCs/>
                <w:sz w:val="20"/>
                <w:szCs w:val="20"/>
              </w:rPr>
            </w:pPr>
            <w:r w:rsidRPr="00FA4B58">
              <w:rPr>
                <w:rFonts w:eastAsia="Calibri"/>
                <w:b/>
                <w:bCs/>
                <w:sz w:val="20"/>
                <w:szCs w:val="20"/>
              </w:rPr>
              <w:t>Agonists</w:t>
            </w:r>
          </w:p>
          <w:p w14:paraId="49D1BE60" w14:textId="77777777" w:rsidR="00FF0F7D" w:rsidRDefault="00FF0F7D" w:rsidP="00EE5E3B">
            <w:pPr>
              <w:suppressAutoHyphens/>
              <w:spacing w:after="0" w:line="240" w:lineRule="auto"/>
              <w:rPr>
                <w:rFonts w:eastAsia="Calibri"/>
                <w:b/>
                <w:bCs/>
                <w:sz w:val="20"/>
                <w:szCs w:val="20"/>
              </w:rPr>
            </w:pPr>
            <w:r>
              <w:rPr>
                <w:rFonts w:eastAsia="Calibri"/>
                <w:b/>
                <w:bCs/>
                <w:sz w:val="20"/>
                <w:szCs w:val="20"/>
              </w:rPr>
              <w:t>N = 557</w:t>
            </w:r>
          </w:p>
          <w:p w14:paraId="0E813A1A" w14:textId="77777777" w:rsidR="00FF0F7D" w:rsidRPr="00FA4B58" w:rsidRDefault="00FF0F7D" w:rsidP="00EE5E3B">
            <w:pPr>
              <w:suppressAutoHyphens/>
              <w:spacing w:after="0" w:line="240" w:lineRule="auto"/>
              <w:rPr>
                <w:rFonts w:eastAsia="Calibri"/>
                <w:b/>
                <w:bCs/>
                <w:sz w:val="20"/>
                <w:szCs w:val="20"/>
              </w:rPr>
            </w:pPr>
            <w:r>
              <w:rPr>
                <w:rFonts w:eastAsia="Calibri"/>
                <w:b/>
                <w:bCs/>
                <w:sz w:val="20"/>
                <w:szCs w:val="20"/>
              </w:rPr>
              <w:t>%</w:t>
            </w:r>
          </w:p>
        </w:tc>
        <w:tc>
          <w:tcPr>
            <w:tcW w:w="1193" w:type="dxa"/>
          </w:tcPr>
          <w:p w14:paraId="0E9EA707" w14:textId="77777777" w:rsidR="00FF0F7D" w:rsidRDefault="00FF0F7D" w:rsidP="00EE5E3B">
            <w:pPr>
              <w:suppressAutoHyphens/>
              <w:spacing w:after="0" w:line="240" w:lineRule="auto"/>
              <w:rPr>
                <w:rFonts w:eastAsia="Calibri"/>
                <w:b/>
                <w:bCs/>
                <w:sz w:val="20"/>
                <w:szCs w:val="20"/>
              </w:rPr>
            </w:pPr>
            <w:r w:rsidRPr="00FA4B58">
              <w:rPr>
                <w:rFonts w:eastAsia="Calibri"/>
                <w:b/>
                <w:bCs/>
                <w:sz w:val="20"/>
                <w:szCs w:val="20"/>
              </w:rPr>
              <w:t>Placebo</w:t>
            </w:r>
          </w:p>
          <w:p w14:paraId="777A7821" w14:textId="77777777" w:rsidR="00FF0F7D" w:rsidRDefault="00FF0F7D" w:rsidP="00EE5E3B">
            <w:pPr>
              <w:suppressAutoHyphens/>
              <w:spacing w:after="0" w:line="240" w:lineRule="auto"/>
              <w:rPr>
                <w:rFonts w:eastAsia="Calibri"/>
                <w:b/>
                <w:bCs/>
                <w:sz w:val="20"/>
                <w:szCs w:val="20"/>
              </w:rPr>
            </w:pPr>
          </w:p>
          <w:p w14:paraId="305F79DC" w14:textId="77777777" w:rsidR="00FF0F7D" w:rsidRDefault="00FF0F7D" w:rsidP="00EE5E3B">
            <w:pPr>
              <w:suppressAutoHyphens/>
              <w:spacing w:after="0" w:line="240" w:lineRule="auto"/>
              <w:rPr>
                <w:rFonts w:eastAsia="Calibri"/>
                <w:b/>
                <w:bCs/>
                <w:sz w:val="20"/>
                <w:szCs w:val="20"/>
              </w:rPr>
            </w:pPr>
            <w:r>
              <w:rPr>
                <w:rFonts w:eastAsia="Calibri"/>
                <w:b/>
                <w:bCs/>
                <w:sz w:val="20"/>
                <w:szCs w:val="20"/>
              </w:rPr>
              <w:t>N = 146</w:t>
            </w:r>
          </w:p>
          <w:p w14:paraId="59D2A7BD" w14:textId="77777777" w:rsidR="00FF0F7D" w:rsidRPr="00FA4B58" w:rsidRDefault="00FF0F7D" w:rsidP="00EE5E3B">
            <w:pPr>
              <w:suppressAutoHyphens/>
              <w:spacing w:after="0" w:line="240" w:lineRule="auto"/>
              <w:rPr>
                <w:rFonts w:eastAsia="Calibri"/>
                <w:b/>
                <w:bCs/>
                <w:sz w:val="20"/>
                <w:szCs w:val="20"/>
              </w:rPr>
            </w:pPr>
            <w:r>
              <w:rPr>
                <w:rFonts w:eastAsia="Calibri"/>
                <w:b/>
                <w:bCs/>
                <w:sz w:val="20"/>
                <w:szCs w:val="20"/>
              </w:rPr>
              <w:t>%</w:t>
            </w:r>
          </w:p>
        </w:tc>
      </w:tr>
      <w:tr w:rsidR="00FF0F7D" w:rsidRPr="00FA4B58" w14:paraId="7552F142" w14:textId="77777777" w:rsidTr="00936901">
        <w:tc>
          <w:tcPr>
            <w:tcW w:w="3836" w:type="dxa"/>
            <w:shd w:val="clear" w:color="auto" w:fill="auto"/>
          </w:tcPr>
          <w:p w14:paraId="3DAE543F" w14:textId="77777777" w:rsidR="00FF0F7D" w:rsidRPr="00FA4B58" w:rsidRDefault="00FF0F7D" w:rsidP="00EE5E3B">
            <w:pPr>
              <w:suppressAutoHyphens/>
              <w:spacing w:after="0" w:line="240" w:lineRule="auto"/>
              <w:rPr>
                <w:rFonts w:eastAsia="Calibri"/>
                <w:b/>
                <w:bCs/>
                <w:sz w:val="20"/>
                <w:szCs w:val="20"/>
              </w:rPr>
            </w:pPr>
          </w:p>
        </w:tc>
        <w:tc>
          <w:tcPr>
            <w:tcW w:w="1121" w:type="dxa"/>
            <w:shd w:val="clear" w:color="auto" w:fill="auto"/>
          </w:tcPr>
          <w:p w14:paraId="63E2C176"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0D24C99A" w14:textId="77777777" w:rsidR="00FF0F7D" w:rsidRPr="00FA4B58" w:rsidRDefault="00FF0F7D" w:rsidP="00EE5E3B">
            <w:pPr>
              <w:suppressAutoHyphens/>
              <w:spacing w:after="0" w:line="240" w:lineRule="auto"/>
              <w:rPr>
                <w:rFonts w:eastAsia="Calibri"/>
                <w:bCs/>
                <w:sz w:val="20"/>
                <w:szCs w:val="20"/>
              </w:rPr>
            </w:pPr>
          </w:p>
        </w:tc>
        <w:tc>
          <w:tcPr>
            <w:tcW w:w="1243" w:type="dxa"/>
          </w:tcPr>
          <w:p w14:paraId="5756C47A" w14:textId="77777777" w:rsidR="00FF0F7D" w:rsidRPr="00FA4B58" w:rsidRDefault="00FF0F7D" w:rsidP="00EE5E3B">
            <w:pPr>
              <w:suppressAutoHyphens/>
              <w:spacing w:after="0" w:line="240" w:lineRule="auto"/>
              <w:rPr>
                <w:rFonts w:eastAsia="Calibri"/>
                <w:bCs/>
                <w:sz w:val="20"/>
                <w:szCs w:val="20"/>
              </w:rPr>
            </w:pPr>
          </w:p>
        </w:tc>
        <w:tc>
          <w:tcPr>
            <w:tcW w:w="1193" w:type="dxa"/>
          </w:tcPr>
          <w:p w14:paraId="36BC6A9E" w14:textId="77777777" w:rsidR="00FF0F7D" w:rsidRPr="00FA4B58" w:rsidRDefault="00FF0F7D" w:rsidP="00EE5E3B">
            <w:pPr>
              <w:suppressAutoHyphens/>
              <w:spacing w:after="0" w:line="240" w:lineRule="auto"/>
              <w:rPr>
                <w:rFonts w:eastAsia="Calibri"/>
                <w:bCs/>
                <w:sz w:val="20"/>
                <w:szCs w:val="20"/>
              </w:rPr>
            </w:pPr>
          </w:p>
        </w:tc>
      </w:tr>
      <w:tr w:rsidR="00FF0F7D" w:rsidRPr="00FA4B58" w14:paraId="10FFD04D" w14:textId="77777777" w:rsidTr="00936901">
        <w:tc>
          <w:tcPr>
            <w:tcW w:w="3836" w:type="dxa"/>
            <w:shd w:val="clear" w:color="auto" w:fill="auto"/>
          </w:tcPr>
          <w:p w14:paraId="09FE6438" w14:textId="77777777" w:rsidR="00FF0F7D" w:rsidRPr="00FA4B58" w:rsidRDefault="00FF0F7D" w:rsidP="00EE5E3B">
            <w:pPr>
              <w:suppressAutoHyphens/>
              <w:spacing w:after="0" w:line="240" w:lineRule="auto"/>
              <w:rPr>
                <w:rFonts w:eastAsia="Calibri"/>
                <w:b/>
                <w:bCs/>
                <w:sz w:val="20"/>
                <w:szCs w:val="20"/>
              </w:rPr>
            </w:pPr>
            <w:r w:rsidRPr="00FA4B58">
              <w:rPr>
                <w:rFonts w:eastAsia="Calibri"/>
                <w:b/>
                <w:bCs/>
                <w:sz w:val="20"/>
                <w:szCs w:val="20"/>
              </w:rPr>
              <w:t>Gastrointestinal disorders</w:t>
            </w:r>
          </w:p>
        </w:tc>
        <w:tc>
          <w:tcPr>
            <w:tcW w:w="1121" w:type="dxa"/>
            <w:shd w:val="clear" w:color="auto" w:fill="auto"/>
          </w:tcPr>
          <w:p w14:paraId="7F5779E7"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59EC90A5" w14:textId="77777777" w:rsidR="00FF0F7D" w:rsidRPr="00FA4B58" w:rsidRDefault="00FF0F7D" w:rsidP="00EE5E3B">
            <w:pPr>
              <w:suppressAutoHyphens/>
              <w:spacing w:after="0" w:line="240" w:lineRule="auto"/>
              <w:rPr>
                <w:rFonts w:eastAsia="Calibri"/>
                <w:bCs/>
                <w:sz w:val="20"/>
                <w:szCs w:val="20"/>
              </w:rPr>
            </w:pPr>
          </w:p>
        </w:tc>
        <w:tc>
          <w:tcPr>
            <w:tcW w:w="1243" w:type="dxa"/>
          </w:tcPr>
          <w:p w14:paraId="63760259" w14:textId="77777777" w:rsidR="00FF0F7D" w:rsidRPr="00FA4B58" w:rsidRDefault="00FF0F7D" w:rsidP="00EE5E3B">
            <w:pPr>
              <w:suppressAutoHyphens/>
              <w:spacing w:after="0" w:line="240" w:lineRule="auto"/>
              <w:rPr>
                <w:rFonts w:eastAsia="Calibri"/>
                <w:bCs/>
                <w:sz w:val="20"/>
                <w:szCs w:val="20"/>
              </w:rPr>
            </w:pPr>
          </w:p>
        </w:tc>
        <w:tc>
          <w:tcPr>
            <w:tcW w:w="1193" w:type="dxa"/>
          </w:tcPr>
          <w:p w14:paraId="41450C90" w14:textId="77777777" w:rsidR="00FF0F7D" w:rsidRPr="00FA4B58" w:rsidRDefault="00FF0F7D" w:rsidP="00EE5E3B">
            <w:pPr>
              <w:suppressAutoHyphens/>
              <w:spacing w:after="0" w:line="240" w:lineRule="auto"/>
              <w:rPr>
                <w:rFonts w:eastAsia="Calibri"/>
                <w:bCs/>
                <w:sz w:val="20"/>
                <w:szCs w:val="20"/>
              </w:rPr>
            </w:pPr>
          </w:p>
        </w:tc>
      </w:tr>
      <w:tr w:rsidR="00FF0F7D" w:rsidRPr="00FA4B58" w14:paraId="0C82ED80" w14:textId="77777777" w:rsidTr="00936901">
        <w:tc>
          <w:tcPr>
            <w:tcW w:w="3836" w:type="dxa"/>
            <w:shd w:val="clear" w:color="auto" w:fill="auto"/>
          </w:tcPr>
          <w:p w14:paraId="40E6C13C" w14:textId="77777777" w:rsidR="00FF0F7D" w:rsidRPr="00FA4B58" w:rsidRDefault="00FF0F7D" w:rsidP="00EE5E3B">
            <w:pPr>
              <w:suppressAutoHyphens/>
              <w:spacing w:after="0" w:line="240" w:lineRule="auto"/>
              <w:ind w:left="313"/>
              <w:rPr>
                <w:rFonts w:eastAsia="Calibri"/>
                <w:bCs/>
                <w:sz w:val="20"/>
                <w:szCs w:val="20"/>
              </w:rPr>
            </w:pPr>
            <w:r w:rsidRPr="00FA4B58">
              <w:rPr>
                <w:rFonts w:eastAsia="Calibri"/>
                <w:bCs/>
                <w:sz w:val="20"/>
                <w:szCs w:val="20"/>
              </w:rPr>
              <w:t>Nausea</w:t>
            </w:r>
          </w:p>
        </w:tc>
        <w:tc>
          <w:tcPr>
            <w:tcW w:w="1121" w:type="dxa"/>
            <w:shd w:val="clear" w:color="auto" w:fill="auto"/>
          </w:tcPr>
          <w:p w14:paraId="6F8FFB87"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8.3</w:t>
            </w:r>
          </w:p>
        </w:tc>
        <w:tc>
          <w:tcPr>
            <w:tcW w:w="1107" w:type="dxa"/>
            <w:shd w:val="clear" w:color="auto" w:fill="auto"/>
          </w:tcPr>
          <w:p w14:paraId="01B156FE" w14:textId="77777777" w:rsidR="00FF0F7D" w:rsidRPr="00FA4B58" w:rsidRDefault="00FF0F7D" w:rsidP="00EE5E3B">
            <w:pPr>
              <w:suppressAutoHyphens/>
              <w:spacing w:after="0" w:line="240" w:lineRule="auto"/>
              <w:rPr>
                <w:rFonts w:eastAsia="Calibri"/>
                <w:bCs/>
                <w:sz w:val="20"/>
                <w:szCs w:val="20"/>
              </w:rPr>
            </w:pPr>
            <w:r w:rsidRPr="00FA4B58">
              <w:rPr>
                <w:rFonts w:eastAsia="Calibri"/>
                <w:bCs/>
                <w:sz w:val="20"/>
                <w:szCs w:val="20"/>
              </w:rPr>
              <w:t>2.</w:t>
            </w:r>
            <w:r>
              <w:rPr>
                <w:rFonts w:eastAsia="Calibri"/>
                <w:bCs/>
                <w:sz w:val="20"/>
                <w:szCs w:val="20"/>
              </w:rPr>
              <w:t>7</w:t>
            </w:r>
          </w:p>
        </w:tc>
        <w:tc>
          <w:tcPr>
            <w:tcW w:w="1243" w:type="dxa"/>
          </w:tcPr>
          <w:p w14:paraId="0B6305F3"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17.8</w:t>
            </w:r>
          </w:p>
        </w:tc>
        <w:tc>
          <w:tcPr>
            <w:tcW w:w="1193" w:type="dxa"/>
          </w:tcPr>
          <w:p w14:paraId="70E7ED2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3.4</w:t>
            </w:r>
          </w:p>
        </w:tc>
      </w:tr>
      <w:tr w:rsidR="00FF0F7D" w:rsidRPr="00FA4B58" w14:paraId="1F4790DE" w14:textId="77777777" w:rsidTr="00936901">
        <w:tc>
          <w:tcPr>
            <w:tcW w:w="3836" w:type="dxa"/>
            <w:shd w:val="clear" w:color="auto" w:fill="auto"/>
          </w:tcPr>
          <w:p w14:paraId="15DDEC25" w14:textId="77777777" w:rsidR="00FF0F7D" w:rsidRPr="00FA4B58" w:rsidRDefault="00FF0F7D" w:rsidP="00EE5E3B">
            <w:pPr>
              <w:suppressAutoHyphens/>
              <w:spacing w:after="0" w:line="240" w:lineRule="auto"/>
              <w:ind w:left="313"/>
              <w:rPr>
                <w:rFonts w:eastAsia="Calibri"/>
                <w:bCs/>
                <w:sz w:val="20"/>
                <w:szCs w:val="20"/>
              </w:rPr>
            </w:pPr>
            <w:r w:rsidRPr="003A4E42">
              <w:rPr>
                <w:rFonts w:eastAsia="Calibri"/>
                <w:bCs/>
                <w:sz w:val="20"/>
                <w:szCs w:val="20"/>
              </w:rPr>
              <w:t>Diarrhoea</w:t>
            </w:r>
          </w:p>
        </w:tc>
        <w:tc>
          <w:tcPr>
            <w:tcW w:w="1121" w:type="dxa"/>
            <w:shd w:val="clear" w:color="auto" w:fill="auto"/>
          </w:tcPr>
          <w:p w14:paraId="7DB8F418"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7.4</w:t>
            </w:r>
          </w:p>
        </w:tc>
        <w:tc>
          <w:tcPr>
            <w:tcW w:w="1107" w:type="dxa"/>
            <w:shd w:val="clear" w:color="auto" w:fill="auto"/>
          </w:tcPr>
          <w:p w14:paraId="3B7946D0"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4.5</w:t>
            </w:r>
          </w:p>
        </w:tc>
        <w:tc>
          <w:tcPr>
            <w:tcW w:w="1243" w:type="dxa"/>
          </w:tcPr>
          <w:p w14:paraId="369E6A6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13.6</w:t>
            </w:r>
          </w:p>
        </w:tc>
        <w:tc>
          <w:tcPr>
            <w:tcW w:w="1193" w:type="dxa"/>
          </w:tcPr>
          <w:p w14:paraId="7665179B"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4.8</w:t>
            </w:r>
          </w:p>
        </w:tc>
      </w:tr>
      <w:tr w:rsidR="00FF0F7D" w:rsidRPr="00FA4B58" w14:paraId="6DB9CB5E" w14:textId="77777777" w:rsidTr="00936901">
        <w:tc>
          <w:tcPr>
            <w:tcW w:w="3836" w:type="dxa"/>
            <w:shd w:val="clear" w:color="auto" w:fill="auto"/>
          </w:tcPr>
          <w:p w14:paraId="178D5C5C" w14:textId="77777777" w:rsidR="00FF0F7D" w:rsidRPr="00FA4B58" w:rsidRDefault="00FF0F7D" w:rsidP="00EE5E3B">
            <w:pPr>
              <w:suppressAutoHyphens/>
              <w:spacing w:after="0" w:line="240" w:lineRule="auto"/>
              <w:ind w:left="313"/>
              <w:rPr>
                <w:rFonts w:eastAsia="Calibri"/>
                <w:bCs/>
                <w:sz w:val="20"/>
                <w:szCs w:val="20"/>
              </w:rPr>
            </w:pPr>
            <w:r w:rsidRPr="003A4E42">
              <w:rPr>
                <w:rFonts w:eastAsia="Calibri"/>
                <w:bCs/>
                <w:sz w:val="20"/>
                <w:szCs w:val="20"/>
              </w:rPr>
              <w:t>Vomiting</w:t>
            </w:r>
          </w:p>
        </w:tc>
        <w:tc>
          <w:tcPr>
            <w:tcW w:w="1121" w:type="dxa"/>
            <w:shd w:val="clear" w:color="auto" w:fill="auto"/>
          </w:tcPr>
          <w:p w14:paraId="251CE261"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3.8</w:t>
            </w:r>
          </w:p>
        </w:tc>
        <w:tc>
          <w:tcPr>
            <w:tcW w:w="1107" w:type="dxa"/>
            <w:shd w:val="clear" w:color="auto" w:fill="auto"/>
          </w:tcPr>
          <w:p w14:paraId="60257C7A"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1.8</w:t>
            </w:r>
          </w:p>
        </w:tc>
        <w:tc>
          <w:tcPr>
            <w:tcW w:w="1243" w:type="dxa"/>
          </w:tcPr>
          <w:p w14:paraId="19253AFA"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7.5</w:t>
            </w:r>
          </w:p>
        </w:tc>
        <w:tc>
          <w:tcPr>
            <w:tcW w:w="1193" w:type="dxa"/>
          </w:tcPr>
          <w:p w14:paraId="44543674"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2.7</w:t>
            </w:r>
          </w:p>
        </w:tc>
      </w:tr>
      <w:tr w:rsidR="00FF0F7D" w:rsidRPr="00FA4B58" w14:paraId="6D4EBB01" w14:textId="77777777" w:rsidTr="00936901">
        <w:tc>
          <w:tcPr>
            <w:tcW w:w="3836" w:type="dxa"/>
            <w:shd w:val="clear" w:color="auto" w:fill="auto"/>
          </w:tcPr>
          <w:p w14:paraId="0BBBBD14" w14:textId="77777777" w:rsidR="00FF0F7D" w:rsidRPr="00FA4B58" w:rsidRDefault="00FF0F7D" w:rsidP="00EE5E3B">
            <w:pPr>
              <w:suppressAutoHyphens/>
              <w:spacing w:after="0" w:line="240" w:lineRule="auto"/>
              <w:ind w:left="313"/>
              <w:rPr>
                <w:rFonts w:eastAsia="Calibri"/>
                <w:bCs/>
                <w:sz w:val="20"/>
                <w:szCs w:val="20"/>
              </w:rPr>
            </w:pPr>
            <w:r w:rsidRPr="006730B7">
              <w:rPr>
                <w:rFonts w:eastAsia="Calibri"/>
                <w:bCs/>
                <w:sz w:val="20"/>
                <w:szCs w:val="20"/>
              </w:rPr>
              <w:t>Dyspepsia</w:t>
            </w:r>
          </w:p>
        </w:tc>
        <w:tc>
          <w:tcPr>
            <w:tcW w:w="1121" w:type="dxa"/>
            <w:shd w:val="clear" w:color="auto" w:fill="auto"/>
          </w:tcPr>
          <w:p w14:paraId="3C515958"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3.2</w:t>
            </w:r>
          </w:p>
        </w:tc>
        <w:tc>
          <w:tcPr>
            <w:tcW w:w="1107" w:type="dxa"/>
            <w:shd w:val="clear" w:color="auto" w:fill="auto"/>
          </w:tcPr>
          <w:p w14:paraId="17DD5DD6"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0.6</w:t>
            </w:r>
          </w:p>
        </w:tc>
        <w:tc>
          <w:tcPr>
            <w:tcW w:w="1243" w:type="dxa"/>
          </w:tcPr>
          <w:p w14:paraId="22659E8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3.9</w:t>
            </w:r>
          </w:p>
        </w:tc>
        <w:tc>
          <w:tcPr>
            <w:tcW w:w="1193" w:type="dxa"/>
          </w:tcPr>
          <w:p w14:paraId="2F806FD3"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0.7</w:t>
            </w:r>
          </w:p>
        </w:tc>
      </w:tr>
      <w:tr w:rsidR="00FF0F7D" w:rsidRPr="00FA4B58" w14:paraId="7A8D3F50" w14:textId="77777777" w:rsidTr="00936901">
        <w:tc>
          <w:tcPr>
            <w:tcW w:w="3836" w:type="dxa"/>
            <w:shd w:val="clear" w:color="auto" w:fill="auto"/>
          </w:tcPr>
          <w:p w14:paraId="00690EE7" w14:textId="77777777" w:rsidR="00FF0F7D" w:rsidRPr="00FA4B58" w:rsidRDefault="00FF0F7D" w:rsidP="00EE5E3B">
            <w:pPr>
              <w:suppressAutoHyphens/>
              <w:spacing w:after="0" w:line="240" w:lineRule="auto"/>
              <w:ind w:left="313"/>
              <w:rPr>
                <w:rFonts w:eastAsia="Calibri"/>
                <w:bCs/>
                <w:sz w:val="20"/>
                <w:szCs w:val="20"/>
              </w:rPr>
            </w:pPr>
            <w:r w:rsidRPr="006730B7">
              <w:rPr>
                <w:rFonts w:eastAsia="Calibri"/>
                <w:bCs/>
                <w:sz w:val="20"/>
                <w:szCs w:val="20"/>
              </w:rPr>
              <w:t>Constipation</w:t>
            </w:r>
          </w:p>
        </w:tc>
        <w:tc>
          <w:tcPr>
            <w:tcW w:w="1121" w:type="dxa"/>
            <w:shd w:val="clear" w:color="auto" w:fill="auto"/>
          </w:tcPr>
          <w:p w14:paraId="596D590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2.6</w:t>
            </w:r>
          </w:p>
        </w:tc>
        <w:tc>
          <w:tcPr>
            <w:tcW w:w="1107" w:type="dxa"/>
            <w:shd w:val="clear" w:color="auto" w:fill="auto"/>
          </w:tcPr>
          <w:p w14:paraId="52FC783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0.7</w:t>
            </w:r>
          </w:p>
        </w:tc>
        <w:tc>
          <w:tcPr>
            <w:tcW w:w="1243" w:type="dxa"/>
          </w:tcPr>
          <w:p w14:paraId="3A9BEF8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3.8</w:t>
            </w:r>
          </w:p>
        </w:tc>
        <w:tc>
          <w:tcPr>
            <w:tcW w:w="1193" w:type="dxa"/>
          </w:tcPr>
          <w:p w14:paraId="0B41E8D1"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0.7</w:t>
            </w:r>
          </w:p>
        </w:tc>
      </w:tr>
      <w:tr w:rsidR="00FF0F7D" w:rsidRPr="00FA4B58" w14:paraId="670AD901" w14:textId="77777777" w:rsidTr="00936901">
        <w:tc>
          <w:tcPr>
            <w:tcW w:w="3836" w:type="dxa"/>
            <w:shd w:val="clear" w:color="auto" w:fill="auto"/>
          </w:tcPr>
          <w:p w14:paraId="17C2D268" w14:textId="77777777" w:rsidR="00FF0F7D" w:rsidRPr="00FA4B58" w:rsidRDefault="00FF0F7D" w:rsidP="00EE5E3B">
            <w:pPr>
              <w:suppressAutoHyphens/>
              <w:spacing w:after="0" w:line="240" w:lineRule="auto"/>
              <w:rPr>
                <w:rFonts w:eastAsia="Calibri"/>
                <w:b/>
                <w:bCs/>
                <w:sz w:val="20"/>
                <w:szCs w:val="20"/>
              </w:rPr>
            </w:pPr>
            <w:r w:rsidRPr="00F70E49">
              <w:rPr>
                <w:rFonts w:eastAsia="Calibri"/>
                <w:b/>
                <w:bCs/>
                <w:sz w:val="20"/>
                <w:szCs w:val="20"/>
              </w:rPr>
              <w:t>Infections and infestations</w:t>
            </w:r>
          </w:p>
        </w:tc>
        <w:tc>
          <w:tcPr>
            <w:tcW w:w="1121" w:type="dxa"/>
            <w:shd w:val="clear" w:color="auto" w:fill="auto"/>
          </w:tcPr>
          <w:p w14:paraId="280E9A74"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5348103B" w14:textId="77777777" w:rsidR="00FF0F7D" w:rsidRPr="00FA4B58" w:rsidRDefault="00FF0F7D" w:rsidP="00EE5E3B">
            <w:pPr>
              <w:suppressAutoHyphens/>
              <w:spacing w:after="0" w:line="240" w:lineRule="auto"/>
              <w:rPr>
                <w:rFonts w:eastAsia="Calibri"/>
                <w:bCs/>
                <w:sz w:val="20"/>
                <w:szCs w:val="20"/>
              </w:rPr>
            </w:pPr>
          </w:p>
        </w:tc>
        <w:tc>
          <w:tcPr>
            <w:tcW w:w="1243" w:type="dxa"/>
          </w:tcPr>
          <w:p w14:paraId="0EA39B33" w14:textId="77777777" w:rsidR="00FF0F7D" w:rsidRPr="00FA4B58" w:rsidRDefault="00FF0F7D" w:rsidP="00EE5E3B">
            <w:pPr>
              <w:suppressAutoHyphens/>
              <w:spacing w:after="0" w:line="240" w:lineRule="auto"/>
              <w:rPr>
                <w:rFonts w:eastAsia="Calibri"/>
                <w:bCs/>
                <w:sz w:val="20"/>
                <w:szCs w:val="20"/>
              </w:rPr>
            </w:pPr>
          </w:p>
        </w:tc>
        <w:tc>
          <w:tcPr>
            <w:tcW w:w="1193" w:type="dxa"/>
          </w:tcPr>
          <w:p w14:paraId="3585BF5B" w14:textId="77777777" w:rsidR="00FF0F7D" w:rsidRPr="00FA4B58" w:rsidRDefault="00FF0F7D" w:rsidP="00EE5E3B">
            <w:pPr>
              <w:suppressAutoHyphens/>
              <w:spacing w:after="0" w:line="240" w:lineRule="auto"/>
              <w:rPr>
                <w:rFonts w:eastAsia="Calibri"/>
                <w:bCs/>
                <w:sz w:val="20"/>
                <w:szCs w:val="20"/>
              </w:rPr>
            </w:pPr>
          </w:p>
        </w:tc>
      </w:tr>
      <w:tr w:rsidR="00FF0F7D" w:rsidRPr="00FA4B58" w14:paraId="70D9975D" w14:textId="77777777" w:rsidTr="00936901">
        <w:tc>
          <w:tcPr>
            <w:tcW w:w="3836" w:type="dxa"/>
            <w:shd w:val="clear" w:color="auto" w:fill="auto"/>
          </w:tcPr>
          <w:p w14:paraId="2633D820" w14:textId="77777777" w:rsidR="00FF0F7D" w:rsidRPr="00503B99" w:rsidRDefault="00FF0F7D" w:rsidP="00EE5E3B">
            <w:pPr>
              <w:suppressAutoHyphens/>
              <w:spacing w:after="0" w:line="240" w:lineRule="auto"/>
              <w:ind w:left="313"/>
              <w:rPr>
                <w:rFonts w:eastAsia="Calibri"/>
                <w:sz w:val="20"/>
                <w:szCs w:val="20"/>
              </w:rPr>
            </w:pPr>
            <w:r w:rsidRPr="00503B99">
              <w:rPr>
                <w:rFonts w:eastAsia="Calibri"/>
                <w:sz w:val="20"/>
                <w:szCs w:val="20"/>
              </w:rPr>
              <w:t>Nasopharyngitis</w:t>
            </w:r>
          </w:p>
        </w:tc>
        <w:tc>
          <w:tcPr>
            <w:tcW w:w="1121" w:type="dxa"/>
            <w:shd w:val="clear" w:color="auto" w:fill="auto"/>
          </w:tcPr>
          <w:p w14:paraId="2DF71885"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9.0</w:t>
            </w:r>
          </w:p>
        </w:tc>
        <w:tc>
          <w:tcPr>
            <w:tcW w:w="1107" w:type="dxa"/>
            <w:shd w:val="clear" w:color="auto" w:fill="auto"/>
          </w:tcPr>
          <w:p w14:paraId="7B74786F"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9.1</w:t>
            </w:r>
          </w:p>
        </w:tc>
        <w:tc>
          <w:tcPr>
            <w:tcW w:w="1243" w:type="dxa"/>
          </w:tcPr>
          <w:p w14:paraId="3E3D3D86"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13.3</w:t>
            </w:r>
          </w:p>
        </w:tc>
        <w:tc>
          <w:tcPr>
            <w:tcW w:w="1193" w:type="dxa"/>
          </w:tcPr>
          <w:p w14:paraId="4E6E199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8.2</w:t>
            </w:r>
          </w:p>
        </w:tc>
      </w:tr>
      <w:tr w:rsidR="00FF0F7D" w:rsidRPr="00FA4B58" w14:paraId="0E11E7AF" w14:textId="77777777" w:rsidTr="00936901">
        <w:tc>
          <w:tcPr>
            <w:tcW w:w="3836" w:type="dxa"/>
            <w:shd w:val="clear" w:color="auto" w:fill="auto"/>
          </w:tcPr>
          <w:p w14:paraId="6690CA3C" w14:textId="77777777" w:rsidR="00FF0F7D" w:rsidRPr="00FA4B58" w:rsidRDefault="00FF0F7D" w:rsidP="00EE5E3B">
            <w:pPr>
              <w:suppressAutoHyphens/>
              <w:spacing w:after="0" w:line="240" w:lineRule="auto"/>
              <w:ind w:left="313"/>
              <w:rPr>
                <w:rFonts w:eastAsia="Calibri"/>
                <w:b/>
                <w:bCs/>
                <w:sz w:val="20"/>
                <w:szCs w:val="20"/>
              </w:rPr>
            </w:pPr>
            <w:r w:rsidRPr="004F71A8">
              <w:rPr>
                <w:rFonts w:eastAsia="Calibri"/>
                <w:bCs/>
                <w:sz w:val="20"/>
                <w:szCs w:val="20"/>
              </w:rPr>
              <w:t>Upper respiratory tract infection</w:t>
            </w:r>
          </w:p>
        </w:tc>
        <w:tc>
          <w:tcPr>
            <w:tcW w:w="1121" w:type="dxa"/>
            <w:shd w:val="clear" w:color="auto" w:fill="auto"/>
          </w:tcPr>
          <w:p w14:paraId="5BAB5EF3"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5.8</w:t>
            </w:r>
          </w:p>
        </w:tc>
        <w:tc>
          <w:tcPr>
            <w:tcW w:w="1107" w:type="dxa"/>
            <w:shd w:val="clear" w:color="auto" w:fill="auto"/>
          </w:tcPr>
          <w:p w14:paraId="5866737B"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5.4</w:t>
            </w:r>
          </w:p>
        </w:tc>
        <w:tc>
          <w:tcPr>
            <w:tcW w:w="1243" w:type="dxa"/>
          </w:tcPr>
          <w:p w14:paraId="6D692267"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7.4</w:t>
            </w:r>
          </w:p>
        </w:tc>
        <w:tc>
          <w:tcPr>
            <w:tcW w:w="1193" w:type="dxa"/>
          </w:tcPr>
          <w:p w14:paraId="7559B8C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4.1</w:t>
            </w:r>
          </w:p>
        </w:tc>
      </w:tr>
      <w:tr w:rsidR="00FF0F7D" w:rsidRPr="00FA4B58" w14:paraId="3BCE8FF7" w14:textId="77777777" w:rsidTr="00936901">
        <w:tc>
          <w:tcPr>
            <w:tcW w:w="3836" w:type="dxa"/>
            <w:shd w:val="clear" w:color="auto" w:fill="auto"/>
          </w:tcPr>
          <w:p w14:paraId="5FF1EC21" w14:textId="77777777" w:rsidR="00FF0F7D" w:rsidRPr="003F0937" w:rsidRDefault="00FF0F7D" w:rsidP="00EE5E3B">
            <w:pPr>
              <w:suppressAutoHyphens/>
              <w:spacing w:after="0" w:line="240" w:lineRule="auto"/>
              <w:ind w:left="313"/>
              <w:rPr>
                <w:rFonts w:eastAsia="Calibri"/>
                <w:bCs/>
                <w:sz w:val="20"/>
                <w:szCs w:val="20"/>
              </w:rPr>
            </w:pPr>
            <w:r w:rsidRPr="003F0937">
              <w:rPr>
                <w:rFonts w:eastAsia="Calibri"/>
                <w:bCs/>
                <w:sz w:val="20"/>
                <w:szCs w:val="20"/>
              </w:rPr>
              <w:t>Influenza</w:t>
            </w:r>
          </w:p>
        </w:tc>
        <w:tc>
          <w:tcPr>
            <w:tcW w:w="1121" w:type="dxa"/>
            <w:shd w:val="clear" w:color="auto" w:fill="auto"/>
          </w:tcPr>
          <w:p w14:paraId="5EFC99BC"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3.6</w:t>
            </w:r>
          </w:p>
        </w:tc>
        <w:tc>
          <w:tcPr>
            <w:tcW w:w="1107" w:type="dxa"/>
            <w:shd w:val="clear" w:color="auto" w:fill="auto"/>
          </w:tcPr>
          <w:p w14:paraId="1BA2A2C8"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3.7</w:t>
            </w:r>
          </w:p>
        </w:tc>
        <w:tc>
          <w:tcPr>
            <w:tcW w:w="1243" w:type="dxa"/>
          </w:tcPr>
          <w:p w14:paraId="494B923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2.5</w:t>
            </w:r>
          </w:p>
        </w:tc>
        <w:tc>
          <w:tcPr>
            <w:tcW w:w="1193" w:type="dxa"/>
          </w:tcPr>
          <w:p w14:paraId="73346333"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5.5</w:t>
            </w:r>
          </w:p>
        </w:tc>
      </w:tr>
      <w:tr w:rsidR="00FF0F7D" w:rsidRPr="00FA4B58" w14:paraId="695A7B79" w14:textId="77777777" w:rsidTr="00936901">
        <w:tc>
          <w:tcPr>
            <w:tcW w:w="3836" w:type="dxa"/>
            <w:shd w:val="clear" w:color="auto" w:fill="auto"/>
          </w:tcPr>
          <w:p w14:paraId="7E75DB0E" w14:textId="77777777" w:rsidR="00FF0F7D" w:rsidRPr="003F0937" w:rsidRDefault="00FF0F7D" w:rsidP="00EE5E3B">
            <w:pPr>
              <w:suppressAutoHyphens/>
              <w:spacing w:after="0" w:line="240" w:lineRule="auto"/>
              <w:ind w:left="313"/>
              <w:rPr>
                <w:rFonts w:eastAsia="Calibri"/>
                <w:bCs/>
                <w:sz w:val="20"/>
                <w:szCs w:val="20"/>
              </w:rPr>
            </w:pPr>
            <w:r w:rsidRPr="003F0937">
              <w:rPr>
                <w:rFonts w:eastAsia="Calibri"/>
                <w:bCs/>
                <w:sz w:val="20"/>
                <w:szCs w:val="20"/>
              </w:rPr>
              <w:t>Bronchitis</w:t>
            </w:r>
          </w:p>
        </w:tc>
        <w:tc>
          <w:tcPr>
            <w:tcW w:w="1121" w:type="dxa"/>
            <w:shd w:val="clear" w:color="auto" w:fill="auto"/>
          </w:tcPr>
          <w:p w14:paraId="0A61B09C"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2.5</w:t>
            </w:r>
          </w:p>
        </w:tc>
        <w:tc>
          <w:tcPr>
            <w:tcW w:w="1107" w:type="dxa"/>
            <w:shd w:val="clear" w:color="auto" w:fill="auto"/>
          </w:tcPr>
          <w:p w14:paraId="60C1025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2.4</w:t>
            </w:r>
          </w:p>
        </w:tc>
        <w:tc>
          <w:tcPr>
            <w:tcW w:w="1243" w:type="dxa"/>
          </w:tcPr>
          <w:p w14:paraId="6783FA94"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2.5</w:t>
            </w:r>
          </w:p>
        </w:tc>
        <w:tc>
          <w:tcPr>
            <w:tcW w:w="1193" w:type="dxa"/>
          </w:tcPr>
          <w:p w14:paraId="4D30EF55"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2.7</w:t>
            </w:r>
          </w:p>
        </w:tc>
      </w:tr>
      <w:tr w:rsidR="00FF0F7D" w:rsidRPr="00FA4B58" w14:paraId="6A5ABFE5" w14:textId="77777777" w:rsidTr="00936901">
        <w:tc>
          <w:tcPr>
            <w:tcW w:w="3836" w:type="dxa"/>
            <w:shd w:val="clear" w:color="auto" w:fill="auto"/>
          </w:tcPr>
          <w:p w14:paraId="4F3FCADD" w14:textId="77777777" w:rsidR="00FF0F7D" w:rsidRPr="003F0937" w:rsidRDefault="00FF0F7D" w:rsidP="00EE5E3B">
            <w:pPr>
              <w:suppressAutoHyphens/>
              <w:spacing w:after="0" w:line="240" w:lineRule="auto"/>
              <w:ind w:left="313"/>
              <w:rPr>
                <w:rFonts w:eastAsia="Calibri"/>
                <w:bCs/>
                <w:sz w:val="20"/>
                <w:szCs w:val="20"/>
              </w:rPr>
            </w:pPr>
            <w:r w:rsidRPr="003F0937">
              <w:rPr>
                <w:rFonts w:eastAsia="Calibri"/>
                <w:bCs/>
                <w:sz w:val="20"/>
                <w:szCs w:val="20"/>
              </w:rPr>
              <w:t>Sinusitis</w:t>
            </w:r>
          </w:p>
        </w:tc>
        <w:tc>
          <w:tcPr>
            <w:tcW w:w="1121" w:type="dxa"/>
            <w:shd w:val="clear" w:color="auto" w:fill="auto"/>
          </w:tcPr>
          <w:p w14:paraId="5D566E6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2.3</w:t>
            </w:r>
          </w:p>
        </w:tc>
        <w:tc>
          <w:tcPr>
            <w:tcW w:w="1107" w:type="dxa"/>
            <w:shd w:val="clear" w:color="auto" w:fill="auto"/>
          </w:tcPr>
          <w:p w14:paraId="57D74C40"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1.2</w:t>
            </w:r>
          </w:p>
        </w:tc>
        <w:tc>
          <w:tcPr>
            <w:tcW w:w="1243" w:type="dxa"/>
          </w:tcPr>
          <w:p w14:paraId="7995085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3.8</w:t>
            </w:r>
          </w:p>
        </w:tc>
        <w:tc>
          <w:tcPr>
            <w:tcW w:w="1193" w:type="dxa"/>
          </w:tcPr>
          <w:p w14:paraId="656EE52C"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2.1</w:t>
            </w:r>
          </w:p>
        </w:tc>
      </w:tr>
      <w:tr w:rsidR="00FF0F7D" w:rsidRPr="00FA4B58" w14:paraId="7A0A9AC7" w14:textId="77777777" w:rsidTr="00936901">
        <w:tc>
          <w:tcPr>
            <w:tcW w:w="3836" w:type="dxa"/>
            <w:shd w:val="clear" w:color="auto" w:fill="auto"/>
          </w:tcPr>
          <w:p w14:paraId="36809826" w14:textId="77777777" w:rsidR="00FF0F7D" w:rsidRPr="003F0937" w:rsidRDefault="00FF0F7D" w:rsidP="00EE5E3B">
            <w:pPr>
              <w:suppressAutoHyphens/>
              <w:spacing w:after="0" w:line="240" w:lineRule="auto"/>
              <w:ind w:left="313"/>
              <w:rPr>
                <w:rFonts w:eastAsia="Calibri"/>
                <w:bCs/>
                <w:sz w:val="20"/>
                <w:szCs w:val="20"/>
              </w:rPr>
            </w:pPr>
            <w:r w:rsidRPr="003F0937">
              <w:rPr>
                <w:rFonts w:eastAsia="Calibri"/>
                <w:bCs/>
                <w:sz w:val="20"/>
                <w:szCs w:val="20"/>
              </w:rPr>
              <w:t>Urinary tract infection</w:t>
            </w:r>
          </w:p>
        </w:tc>
        <w:tc>
          <w:tcPr>
            <w:tcW w:w="1121" w:type="dxa"/>
            <w:shd w:val="clear" w:color="auto" w:fill="auto"/>
          </w:tcPr>
          <w:p w14:paraId="7E59A91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2.1</w:t>
            </w:r>
          </w:p>
        </w:tc>
        <w:tc>
          <w:tcPr>
            <w:tcW w:w="1107" w:type="dxa"/>
            <w:shd w:val="clear" w:color="auto" w:fill="auto"/>
          </w:tcPr>
          <w:p w14:paraId="50B9D065"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2.3</w:t>
            </w:r>
          </w:p>
        </w:tc>
        <w:tc>
          <w:tcPr>
            <w:tcW w:w="1243" w:type="dxa"/>
          </w:tcPr>
          <w:p w14:paraId="037C8D2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4.7</w:t>
            </w:r>
          </w:p>
        </w:tc>
        <w:tc>
          <w:tcPr>
            <w:tcW w:w="1193" w:type="dxa"/>
          </w:tcPr>
          <w:p w14:paraId="5C3F0E0B"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0.7</w:t>
            </w:r>
          </w:p>
        </w:tc>
      </w:tr>
      <w:tr w:rsidR="00FF0F7D" w:rsidRPr="00FA4B58" w14:paraId="4C211456" w14:textId="77777777" w:rsidTr="00936901">
        <w:tc>
          <w:tcPr>
            <w:tcW w:w="3836" w:type="dxa"/>
            <w:shd w:val="clear" w:color="auto" w:fill="auto"/>
          </w:tcPr>
          <w:p w14:paraId="03E0BBE2" w14:textId="77777777" w:rsidR="00FF0F7D" w:rsidRPr="00FA4B58" w:rsidRDefault="00FF0F7D" w:rsidP="00EE5E3B">
            <w:pPr>
              <w:suppressAutoHyphens/>
              <w:spacing w:after="0" w:line="240" w:lineRule="auto"/>
              <w:rPr>
                <w:rFonts w:eastAsia="Calibri"/>
                <w:b/>
                <w:bCs/>
                <w:sz w:val="20"/>
                <w:szCs w:val="20"/>
              </w:rPr>
            </w:pPr>
            <w:r w:rsidRPr="00A10512">
              <w:rPr>
                <w:rFonts w:eastAsia="Calibri"/>
                <w:b/>
                <w:bCs/>
                <w:sz w:val="20"/>
                <w:szCs w:val="20"/>
              </w:rPr>
              <w:t>Investigations</w:t>
            </w:r>
          </w:p>
        </w:tc>
        <w:tc>
          <w:tcPr>
            <w:tcW w:w="1121" w:type="dxa"/>
            <w:shd w:val="clear" w:color="auto" w:fill="auto"/>
          </w:tcPr>
          <w:p w14:paraId="5F947CAE"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5E800629" w14:textId="77777777" w:rsidR="00FF0F7D" w:rsidRPr="00FA4B58" w:rsidRDefault="00FF0F7D" w:rsidP="00EE5E3B">
            <w:pPr>
              <w:suppressAutoHyphens/>
              <w:spacing w:after="0" w:line="240" w:lineRule="auto"/>
              <w:rPr>
                <w:rFonts w:eastAsia="Calibri"/>
                <w:bCs/>
                <w:sz w:val="20"/>
                <w:szCs w:val="20"/>
              </w:rPr>
            </w:pPr>
          </w:p>
        </w:tc>
        <w:tc>
          <w:tcPr>
            <w:tcW w:w="1243" w:type="dxa"/>
          </w:tcPr>
          <w:p w14:paraId="707942C3" w14:textId="77777777" w:rsidR="00FF0F7D" w:rsidRPr="00FA4B58" w:rsidRDefault="00FF0F7D" w:rsidP="00EE5E3B">
            <w:pPr>
              <w:suppressAutoHyphens/>
              <w:spacing w:after="0" w:line="240" w:lineRule="auto"/>
              <w:rPr>
                <w:rFonts w:eastAsia="Calibri"/>
                <w:bCs/>
                <w:sz w:val="20"/>
                <w:szCs w:val="20"/>
              </w:rPr>
            </w:pPr>
          </w:p>
        </w:tc>
        <w:tc>
          <w:tcPr>
            <w:tcW w:w="1193" w:type="dxa"/>
          </w:tcPr>
          <w:p w14:paraId="770313F2" w14:textId="77777777" w:rsidR="00FF0F7D" w:rsidRPr="00FA4B58" w:rsidRDefault="00FF0F7D" w:rsidP="00EE5E3B">
            <w:pPr>
              <w:suppressAutoHyphens/>
              <w:spacing w:after="0" w:line="240" w:lineRule="auto"/>
              <w:rPr>
                <w:rFonts w:eastAsia="Calibri"/>
                <w:bCs/>
                <w:sz w:val="20"/>
                <w:szCs w:val="20"/>
              </w:rPr>
            </w:pPr>
          </w:p>
        </w:tc>
      </w:tr>
      <w:tr w:rsidR="00FF0F7D" w:rsidRPr="00FA4B58" w14:paraId="7C70B220" w14:textId="77777777" w:rsidTr="00936901">
        <w:tc>
          <w:tcPr>
            <w:tcW w:w="3836" w:type="dxa"/>
            <w:shd w:val="clear" w:color="auto" w:fill="auto"/>
          </w:tcPr>
          <w:p w14:paraId="2C1616F6" w14:textId="77777777" w:rsidR="00FF0F7D" w:rsidRPr="00FA4B58" w:rsidRDefault="00FF0F7D" w:rsidP="00EE5E3B">
            <w:pPr>
              <w:suppressAutoHyphens/>
              <w:spacing w:after="0" w:line="240" w:lineRule="auto"/>
              <w:ind w:left="313"/>
              <w:rPr>
                <w:rFonts w:eastAsia="Calibri"/>
                <w:b/>
                <w:bCs/>
                <w:sz w:val="20"/>
                <w:szCs w:val="20"/>
              </w:rPr>
            </w:pPr>
            <w:r w:rsidRPr="00846186">
              <w:rPr>
                <w:rFonts w:eastAsia="Calibri"/>
                <w:bCs/>
                <w:sz w:val="20"/>
                <w:szCs w:val="20"/>
              </w:rPr>
              <w:t>Lipase increased</w:t>
            </w:r>
          </w:p>
        </w:tc>
        <w:tc>
          <w:tcPr>
            <w:tcW w:w="1121" w:type="dxa"/>
            <w:shd w:val="clear" w:color="auto" w:fill="auto"/>
          </w:tcPr>
          <w:p w14:paraId="667BAE8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6.2</w:t>
            </w:r>
          </w:p>
        </w:tc>
        <w:tc>
          <w:tcPr>
            <w:tcW w:w="1107" w:type="dxa"/>
            <w:shd w:val="clear" w:color="auto" w:fill="auto"/>
          </w:tcPr>
          <w:p w14:paraId="31E3AF70"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2.8</w:t>
            </w:r>
          </w:p>
        </w:tc>
        <w:tc>
          <w:tcPr>
            <w:tcW w:w="1243" w:type="dxa"/>
          </w:tcPr>
          <w:p w14:paraId="06CE243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7.5</w:t>
            </w:r>
          </w:p>
        </w:tc>
        <w:tc>
          <w:tcPr>
            <w:tcW w:w="1193" w:type="dxa"/>
          </w:tcPr>
          <w:p w14:paraId="2D504B97"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4.1</w:t>
            </w:r>
          </w:p>
        </w:tc>
      </w:tr>
      <w:tr w:rsidR="00FF0F7D" w:rsidRPr="00BD6B5C" w14:paraId="32A3B245" w14:textId="77777777" w:rsidTr="00936901">
        <w:tc>
          <w:tcPr>
            <w:tcW w:w="3836" w:type="dxa"/>
            <w:shd w:val="clear" w:color="auto" w:fill="auto"/>
          </w:tcPr>
          <w:p w14:paraId="0A6E6067" w14:textId="77777777" w:rsidR="00FF0F7D" w:rsidRPr="00BD6B5C" w:rsidRDefault="00FF0F7D" w:rsidP="00EE5E3B">
            <w:pPr>
              <w:suppressAutoHyphens/>
              <w:spacing w:after="0" w:line="240" w:lineRule="auto"/>
              <w:ind w:left="29"/>
              <w:rPr>
                <w:rFonts w:eastAsia="Calibri"/>
                <w:b/>
                <w:bCs/>
                <w:sz w:val="20"/>
                <w:szCs w:val="20"/>
              </w:rPr>
            </w:pPr>
            <w:r w:rsidRPr="00BD6B5C">
              <w:rPr>
                <w:rFonts w:eastAsia="Calibri"/>
                <w:b/>
                <w:bCs/>
                <w:sz w:val="20"/>
                <w:szCs w:val="20"/>
              </w:rPr>
              <w:t>Metabolism and nutrition disorders</w:t>
            </w:r>
          </w:p>
        </w:tc>
        <w:tc>
          <w:tcPr>
            <w:tcW w:w="1121" w:type="dxa"/>
            <w:shd w:val="clear" w:color="auto" w:fill="auto"/>
          </w:tcPr>
          <w:p w14:paraId="4774FCC0" w14:textId="77777777" w:rsidR="00FF0F7D" w:rsidRPr="00BD6B5C" w:rsidRDefault="00FF0F7D" w:rsidP="00EE5E3B">
            <w:pPr>
              <w:suppressAutoHyphens/>
              <w:spacing w:after="0" w:line="240" w:lineRule="auto"/>
              <w:rPr>
                <w:rFonts w:eastAsia="Calibri"/>
                <w:bCs/>
                <w:sz w:val="20"/>
                <w:szCs w:val="20"/>
              </w:rPr>
            </w:pPr>
          </w:p>
        </w:tc>
        <w:tc>
          <w:tcPr>
            <w:tcW w:w="1107" w:type="dxa"/>
            <w:shd w:val="clear" w:color="auto" w:fill="auto"/>
          </w:tcPr>
          <w:p w14:paraId="6E112777" w14:textId="77777777" w:rsidR="00FF0F7D" w:rsidRPr="00BD6B5C" w:rsidRDefault="00FF0F7D" w:rsidP="00EE5E3B">
            <w:pPr>
              <w:suppressAutoHyphens/>
              <w:spacing w:after="0" w:line="240" w:lineRule="auto"/>
              <w:rPr>
                <w:rFonts w:eastAsia="Calibri"/>
                <w:bCs/>
                <w:sz w:val="20"/>
                <w:szCs w:val="20"/>
              </w:rPr>
            </w:pPr>
          </w:p>
        </w:tc>
        <w:tc>
          <w:tcPr>
            <w:tcW w:w="1243" w:type="dxa"/>
          </w:tcPr>
          <w:p w14:paraId="2323F8A4" w14:textId="77777777" w:rsidR="00FF0F7D" w:rsidRPr="00BD6B5C" w:rsidRDefault="00FF0F7D" w:rsidP="00EE5E3B">
            <w:pPr>
              <w:suppressAutoHyphens/>
              <w:spacing w:after="0" w:line="240" w:lineRule="auto"/>
              <w:rPr>
                <w:rFonts w:eastAsia="Calibri"/>
                <w:bCs/>
                <w:sz w:val="20"/>
                <w:szCs w:val="20"/>
              </w:rPr>
            </w:pPr>
          </w:p>
        </w:tc>
        <w:tc>
          <w:tcPr>
            <w:tcW w:w="1193" w:type="dxa"/>
          </w:tcPr>
          <w:p w14:paraId="36068186" w14:textId="77777777" w:rsidR="00FF0F7D" w:rsidRPr="00BD6B5C" w:rsidRDefault="00FF0F7D" w:rsidP="00EE5E3B">
            <w:pPr>
              <w:suppressAutoHyphens/>
              <w:spacing w:after="0" w:line="240" w:lineRule="auto"/>
              <w:rPr>
                <w:rFonts w:eastAsia="Calibri"/>
                <w:bCs/>
                <w:sz w:val="20"/>
                <w:szCs w:val="20"/>
              </w:rPr>
            </w:pPr>
          </w:p>
        </w:tc>
      </w:tr>
      <w:tr w:rsidR="00FF0F7D" w:rsidRPr="00BD6B5C" w14:paraId="64FBC3EC" w14:textId="77777777" w:rsidTr="00936901">
        <w:tc>
          <w:tcPr>
            <w:tcW w:w="3836" w:type="dxa"/>
            <w:shd w:val="clear" w:color="auto" w:fill="auto"/>
          </w:tcPr>
          <w:p w14:paraId="4CFACA92" w14:textId="77777777" w:rsidR="00FF0F7D" w:rsidRPr="00BD6B5C" w:rsidRDefault="00FF0F7D" w:rsidP="00EE5E3B">
            <w:pPr>
              <w:suppressAutoHyphens/>
              <w:spacing w:after="0" w:line="240" w:lineRule="auto"/>
              <w:ind w:left="313"/>
              <w:rPr>
                <w:rFonts w:eastAsia="Calibri"/>
                <w:bCs/>
                <w:sz w:val="20"/>
                <w:szCs w:val="20"/>
              </w:rPr>
            </w:pPr>
            <w:r w:rsidRPr="00BD6B5C">
              <w:rPr>
                <w:rFonts w:eastAsia="Calibri"/>
                <w:bCs/>
                <w:sz w:val="20"/>
                <w:szCs w:val="20"/>
              </w:rPr>
              <w:t>Dyslipidaemia</w:t>
            </w:r>
          </w:p>
        </w:tc>
        <w:tc>
          <w:tcPr>
            <w:tcW w:w="1121" w:type="dxa"/>
            <w:shd w:val="clear" w:color="auto" w:fill="auto"/>
          </w:tcPr>
          <w:p w14:paraId="4C3A2425"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3.2</w:t>
            </w:r>
          </w:p>
        </w:tc>
        <w:tc>
          <w:tcPr>
            <w:tcW w:w="1107" w:type="dxa"/>
            <w:shd w:val="clear" w:color="auto" w:fill="auto"/>
          </w:tcPr>
          <w:p w14:paraId="6D8988DD"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3.0</w:t>
            </w:r>
          </w:p>
        </w:tc>
        <w:tc>
          <w:tcPr>
            <w:tcW w:w="1243" w:type="dxa"/>
          </w:tcPr>
          <w:p w14:paraId="505475ED"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2.7</w:t>
            </w:r>
          </w:p>
        </w:tc>
        <w:tc>
          <w:tcPr>
            <w:tcW w:w="1193" w:type="dxa"/>
          </w:tcPr>
          <w:p w14:paraId="533CF7D0"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4.1</w:t>
            </w:r>
          </w:p>
        </w:tc>
      </w:tr>
      <w:tr w:rsidR="00FF0F7D" w:rsidRPr="00FA4B58" w14:paraId="370ED52E" w14:textId="77777777" w:rsidTr="00936901">
        <w:tc>
          <w:tcPr>
            <w:tcW w:w="3836" w:type="dxa"/>
            <w:shd w:val="clear" w:color="auto" w:fill="auto"/>
          </w:tcPr>
          <w:p w14:paraId="29981B03" w14:textId="77777777" w:rsidR="00FF0F7D" w:rsidRPr="00BD6B5C" w:rsidRDefault="00FF0F7D" w:rsidP="00EE5E3B">
            <w:pPr>
              <w:suppressAutoHyphens/>
              <w:spacing w:after="0" w:line="240" w:lineRule="auto"/>
              <w:ind w:left="313"/>
              <w:rPr>
                <w:rFonts w:eastAsia="Calibri"/>
                <w:bCs/>
                <w:sz w:val="20"/>
                <w:szCs w:val="20"/>
              </w:rPr>
            </w:pPr>
            <w:r w:rsidRPr="00BD6B5C">
              <w:rPr>
                <w:rFonts w:eastAsia="Calibri"/>
                <w:bCs/>
                <w:sz w:val="20"/>
                <w:szCs w:val="20"/>
              </w:rPr>
              <w:t>Decreased appetite</w:t>
            </w:r>
          </w:p>
        </w:tc>
        <w:tc>
          <w:tcPr>
            <w:tcW w:w="1121" w:type="dxa"/>
            <w:shd w:val="clear" w:color="auto" w:fill="auto"/>
          </w:tcPr>
          <w:p w14:paraId="4B51199B"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2.6</w:t>
            </w:r>
          </w:p>
        </w:tc>
        <w:tc>
          <w:tcPr>
            <w:tcW w:w="1107" w:type="dxa"/>
            <w:shd w:val="clear" w:color="auto" w:fill="auto"/>
          </w:tcPr>
          <w:p w14:paraId="01502F25"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0.6</w:t>
            </w:r>
          </w:p>
        </w:tc>
        <w:tc>
          <w:tcPr>
            <w:tcW w:w="1243" w:type="dxa"/>
          </w:tcPr>
          <w:p w14:paraId="7C2D5E21" w14:textId="77777777" w:rsidR="00FF0F7D" w:rsidRPr="00BD6B5C" w:rsidRDefault="00FF0F7D" w:rsidP="00EE5E3B">
            <w:pPr>
              <w:suppressAutoHyphens/>
              <w:spacing w:after="0" w:line="240" w:lineRule="auto"/>
              <w:rPr>
                <w:rFonts w:eastAsia="Calibri"/>
                <w:bCs/>
                <w:sz w:val="20"/>
                <w:szCs w:val="20"/>
              </w:rPr>
            </w:pPr>
            <w:r w:rsidRPr="00BD6B5C">
              <w:rPr>
                <w:rFonts w:eastAsia="Calibri"/>
                <w:bCs/>
                <w:sz w:val="20"/>
                <w:szCs w:val="20"/>
              </w:rPr>
              <w:t>5.4</w:t>
            </w:r>
          </w:p>
        </w:tc>
        <w:tc>
          <w:tcPr>
            <w:tcW w:w="1193" w:type="dxa"/>
          </w:tcPr>
          <w:p w14:paraId="738100F6" w14:textId="77777777" w:rsidR="00FF0F7D" w:rsidRPr="00FA4B58" w:rsidRDefault="00FF0F7D" w:rsidP="00EE5E3B">
            <w:pPr>
              <w:suppressAutoHyphens/>
              <w:spacing w:after="0" w:line="240" w:lineRule="auto"/>
              <w:rPr>
                <w:rFonts w:eastAsia="Calibri"/>
                <w:bCs/>
                <w:sz w:val="20"/>
                <w:szCs w:val="20"/>
              </w:rPr>
            </w:pPr>
            <w:r w:rsidRPr="00BD6B5C">
              <w:rPr>
                <w:rFonts w:eastAsia="Calibri"/>
                <w:bCs/>
                <w:sz w:val="20"/>
                <w:szCs w:val="20"/>
              </w:rPr>
              <w:t>0</w:t>
            </w:r>
          </w:p>
        </w:tc>
      </w:tr>
      <w:tr w:rsidR="00FF0F7D" w:rsidRPr="00FA4B58" w14:paraId="72C2C6DF" w14:textId="77777777" w:rsidTr="00936901">
        <w:tc>
          <w:tcPr>
            <w:tcW w:w="3836" w:type="dxa"/>
            <w:shd w:val="clear" w:color="auto" w:fill="auto"/>
          </w:tcPr>
          <w:p w14:paraId="4F150A45" w14:textId="77777777" w:rsidR="00FF0F7D" w:rsidRPr="00FA4B58" w:rsidRDefault="00FF0F7D" w:rsidP="00EE5E3B">
            <w:pPr>
              <w:suppressAutoHyphens/>
              <w:spacing w:after="0" w:line="240" w:lineRule="auto"/>
              <w:rPr>
                <w:rFonts w:eastAsia="Calibri"/>
                <w:b/>
                <w:bCs/>
                <w:sz w:val="20"/>
                <w:szCs w:val="20"/>
              </w:rPr>
            </w:pPr>
            <w:r w:rsidRPr="00F44B8B">
              <w:rPr>
                <w:rFonts w:eastAsia="Calibri"/>
                <w:b/>
                <w:bCs/>
                <w:sz w:val="20"/>
                <w:szCs w:val="20"/>
              </w:rPr>
              <w:t>Musculoskeletal and connective tissue</w:t>
            </w:r>
            <w:r>
              <w:rPr>
                <w:rFonts w:eastAsia="Calibri"/>
                <w:b/>
                <w:bCs/>
                <w:sz w:val="20"/>
                <w:szCs w:val="20"/>
              </w:rPr>
              <w:t xml:space="preserve"> </w:t>
            </w:r>
            <w:r w:rsidRPr="00F44B8B">
              <w:rPr>
                <w:rFonts w:eastAsia="Calibri"/>
                <w:b/>
                <w:bCs/>
                <w:sz w:val="20"/>
                <w:szCs w:val="20"/>
              </w:rPr>
              <w:t>disorders</w:t>
            </w:r>
          </w:p>
        </w:tc>
        <w:tc>
          <w:tcPr>
            <w:tcW w:w="1121" w:type="dxa"/>
            <w:shd w:val="clear" w:color="auto" w:fill="auto"/>
          </w:tcPr>
          <w:p w14:paraId="7537DA9F"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7ACAF2A1" w14:textId="77777777" w:rsidR="00FF0F7D" w:rsidRPr="00FA4B58" w:rsidRDefault="00FF0F7D" w:rsidP="00EE5E3B">
            <w:pPr>
              <w:suppressAutoHyphens/>
              <w:spacing w:after="0" w:line="240" w:lineRule="auto"/>
              <w:rPr>
                <w:rFonts w:eastAsia="Calibri"/>
                <w:bCs/>
                <w:sz w:val="20"/>
                <w:szCs w:val="20"/>
              </w:rPr>
            </w:pPr>
          </w:p>
        </w:tc>
        <w:tc>
          <w:tcPr>
            <w:tcW w:w="1243" w:type="dxa"/>
          </w:tcPr>
          <w:p w14:paraId="56CB07D8" w14:textId="77777777" w:rsidR="00FF0F7D" w:rsidRPr="00FA4B58" w:rsidRDefault="00FF0F7D" w:rsidP="00EE5E3B">
            <w:pPr>
              <w:suppressAutoHyphens/>
              <w:spacing w:after="0" w:line="240" w:lineRule="auto"/>
              <w:rPr>
                <w:rFonts w:eastAsia="Calibri"/>
                <w:bCs/>
                <w:sz w:val="20"/>
                <w:szCs w:val="20"/>
              </w:rPr>
            </w:pPr>
          </w:p>
        </w:tc>
        <w:tc>
          <w:tcPr>
            <w:tcW w:w="1193" w:type="dxa"/>
          </w:tcPr>
          <w:p w14:paraId="45F8BEF6" w14:textId="77777777" w:rsidR="00FF0F7D" w:rsidRPr="00FA4B58" w:rsidRDefault="00FF0F7D" w:rsidP="00EE5E3B">
            <w:pPr>
              <w:suppressAutoHyphens/>
              <w:spacing w:after="0" w:line="240" w:lineRule="auto"/>
              <w:rPr>
                <w:rFonts w:eastAsia="Calibri"/>
                <w:bCs/>
                <w:sz w:val="20"/>
                <w:szCs w:val="20"/>
              </w:rPr>
            </w:pPr>
          </w:p>
        </w:tc>
      </w:tr>
      <w:tr w:rsidR="00FF0F7D" w:rsidRPr="00FA4B58" w14:paraId="0BBE1180" w14:textId="77777777" w:rsidTr="00936901">
        <w:tc>
          <w:tcPr>
            <w:tcW w:w="3836" w:type="dxa"/>
            <w:shd w:val="clear" w:color="auto" w:fill="auto"/>
          </w:tcPr>
          <w:p w14:paraId="35543B3E" w14:textId="77777777" w:rsidR="00FF0F7D" w:rsidRPr="00D57EEA" w:rsidRDefault="00FF0F7D" w:rsidP="00EE5E3B">
            <w:pPr>
              <w:suppressAutoHyphens/>
              <w:spacing w:after="0" w:line="240" w:lineRule="auto"/>
              <w:ind w:left="313"/>
              <w:rPr>
                <w:rFonts w:eastAsia="Calibri"/>
                <w:bCs/>
                <w:sz w:val="20"/>
                <w:szCs w:val="20"/>
              </w:rPr>
            </w:pPr>
            <w:r w:rsidRPr="003838AB">
              <w:rPr>
                <w:rFonts w:eastAsia="Calibri"/>
                <w:bCs/>
                <w:sz w:val="20"/>
                <w:szCs w:val="20"/>
              </w:rPr>
              <w:t>Arthralgia</w:t>
            </w:r>
          </w:p>
        </w:tc>
        <w:tc>
          <w:tcPr>
            <w:tcW w:w="1121" w:type="dxa"/>
            <w:shd w:val="clear" w:color="auto" w:fill="auto"/>
          </w:tcPr>
          <w:p w14:paraId="7B719874"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3.0</w:t>
            </w:r>
          </w:p>
        </w:tc>
        <w:tc>
          <w:tcPr>
            <w:tcW w:w="1107" w:type="dxa"/>
            <w:shd w:val="clear" w:color="auto" w:fill="auto"/>
          </w:tcPr>
          <w:p w14:paraId="4FF29FAA"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2.4</w:t>
            </w:r>
          </w:p>
        </w:tc>
        <w:tc>
          <w:tcPr>
            <w:tcW w:w="1243" w:type="dxa"/>
          </w:tcPr>
          <w:p w14:paraId="29E40A9C"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4.5</w:t>
            </w:r>
          </w:p>
        </w:tc>
        <w:tc>
          <w:tcPr>
            <w:tcW w:w="1193" w:type="dxa"/>
          </w:tcPr>
          <w:p w14:paraId="2C77D1F3"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2.1</w:t>
            </w:r>
          </w:p>
        </w:tc>
      </w:tr>
      <w:tr w:rsidR="00FF0F7D" w:rsidRPr="00FA4B58" w14:paraId="3E3C46C7" w14:textId="77777777" w:rsidTr="00936901">
        <w:tc>
          <w:tcPr>
            <w:tcW w:w="3836" w:type="dxa"/>
            <w:shd w:val="clear" w:color="auto" w:fill="auto"/>
          </w:tcPr>
          <w:p w14:paraId="15B21426" w14:textId="77777777" w:rsidR="00FF0F7D" w:rsidRPr="00D57EEA" w:rsidRDefault="00FF0F7D" w:rsidP="00EE5E3B">
            <w:pPr>
              <w:suppressAutoHyphens/>
              <w:spacing w:after="0" w:line="240" w:lineRule="auto"/>
              <w:ind w:left="313"/>
              <w:rPr>
                <w:rFonts w:eastAsia="Calibri"/>
                <w:bCs/>
                <w:sz w:val="20"/>
                <w:szCs w:val="20"/>
              </w:rPr>
            </w:pPr>
            <w:r w:rsidRPr="00496103">
              <w:rPr>
                <w:rFonts w:eastAsia="Calibri"/>
                <w:bCs/>
                <w:sz w:val="20"/>
                <w:szCs w:val="20"/>
              </w:rPr>
              <w:t>Pain in extremity</w:t>
            </w:r>
          </w:p>
        </w:tc>
        <w:tc>
          <w:tcPr>
            <w:tcW w:w="1121" w:type="dxa"/>
            <w:shd w:val="clear" w:color="auto" w:fill="auto"/>
          </w:tcPr>
          <w:p w14:paraId="6BBBB591"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2.3</w:t>
            </w:r>
          </w:p>
        </w:tc>
        <w:tc>
          <w:tcPr>
            <w:tcW w:w="1107" w:type="dxa"/>
            <w:shd w:val="clear" w:color="auto" w:fill="auto"/>
          </w:tcPr>
          <w:p w14:paraId="1B316B9F"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2.3</w:t>
            </w:r>
          </w:p>
        </w:tc>
        <w:tc>
          <w:tcPr>
            <w:tcW w:w="1243" w:type="dxa"/>
          </w:tcPr>
          <w:p w14:paraId="51FA749F"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3.2</w:t>
            </w:r>
          </w:p>
        </w:tc>
        <w:tc>
          <w:tcPr>
            <w:tcW w:w="1193" w:type="dxa"/>
          </w:tcPr>
          <w:p w14:paraId="1058EB01"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1.4</w:t>
            </w:r>
          </w:p>
        </w:tc>
      </w:tr>
      <w:tr w:rsidR="00FF0F7D" w:rsidRPr="00FA4B58" w14:paraId="76ACC1D7" w14:textId="77777777" w:rsidTr="00936901">
        <w:tc>
          <w:tcPr>
            <w:tcW w:w="3836" w:type="dxa"/>
            <w:shd w:val="clear" w:color="auto" w:fill="auto"/>
          </w:tcPr>
          <w:p w14:paraId="297409B9" w14:textId="77777777" w:rsidR="00FF0F7D" w:rsidRPr="00FA4B58" w:rsidRDefault="00FF0F7D" w:rsidP="00EE5E3B">
            <w:pPr>
              <w:suppressAutoHyphens/>
              <w:spacing w:after="0" w:line="240" w:lineRule="auto"/>
              <w:rPr>
                <w:rFonts w:eastAsia="Calibri"/>
                <w:b/>
                <w:bCs/>
                <w:sz w:val="20"/>
                <w:szCs w:val="20"/>
              </w:rPr>
            </w:pPr>
            <w:r w:rsidRPr="008B5243">
              <w:rPr>
                <w:rFonts w:eastAsia="Calibri"/>
                <w:b/>
                <w:bCs/>
                <w:sz w:val="20"/>
                <w:szCs w:val="20"/>
              </w:rPr>
              <w:t>Nervous system disorders</w:t>
            </w:r>
          </w:p>
        </w:tc>
        <w:tc>
          <w:tcPr>
            <w:tcW w:w="1121" w:type="dxa"/>
            <w:shd w:val="clear" w:color="auto" w:fill="auto"/>
          </w:tcPr>
          <w:p w14:paraId="63A5D858"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6C699583" w14:textId="77777777" w:rsidR="00FF0F7D" w:rsidRPr="00FA4B58" w:rsidRDefault="00FF0F7D" w:rsidP="00EE5E3B">
            <w:pPr>
              <w:suppressAutoHyphens/>
              <w:spacing w:after="0" w:line="240" w:lineRule="auto"/>
              <w:rPr>
                <w:rFonts w:eastAsia="Calibri"/>
                <w:bCs/>
                <w:sz w:val="20"/>
                <w:szCs w:val="20"/>
              </w:rPr>
            </w:pPr>
          </w:p>
        </w:tc>
        <w:tc>
          <w:tcPr>
            <w:tcW w:w="1243" w:type="dxa"/>
          </w:tcPr>
          <w:p w14:paraId="2999B1DC" w14:textId="77777777" w:rsidR="00FF0F7D" w:rsidRPr="00FA4B58" w:rsidRDefault="00FF0F7D" w:rsidP="00EE5E3B">
            <w:pPr>
              <w:suppressAutoHyphens/>
              <w:spacing w:after="0" w:line="240" w:lineRule="auto"/>
              <w:rPr>
                <w:rFonts w:eastAsia="Calibri"/>
                <w:bCs/>
                <w:sz w:val="20"/>
                <w:szCs w:val="20"/>
              </w:rPr>
            </w:pPr>
          </w:p>
        </w:tc>
        <w:tc>
          <w:tcPr>
            <w:tcW w:w="1193" w:type="dxa"/>
          </w:tcPr>
          <w:p w14:paraId="084914B9" w14:textId="77777777" w:rsidR="00FF0F7D" w:rsidRPr="00FA4B58" w:rsidRDefault="00FF0F7D" w:rsidP="00EE5E3B">
            <w:pPr>
              <w:suppressAutoHyphens/>
              <w:spacing w:after="0" w:line="240" w:lineRule="auto"/>
              <w:rPr>
                <w:rFonts w:eastAsia="Calibri"/>
                <w:bCs/>
                <w:sz w:val="20"/>
                <w:szCs w:val="20"/>
              </w:rPr>
            </w:pPr>
          </w:p>
        </w:tc>
      </w:tr>
      <w:tr w:rsidR="00FF0F7D" w:rsidRPr="00FA4B58" w14:paraId="715A3413" w14:textId="77777777" w:rsidTr="00936901">
        <w:tc>
          <w:tcPr>
            <w:tcW w:w="3836" w:type="dxa"/>
            <w:shd w:val="clear" w:color="auto" w:fill="auto"/>
          </w:tcPr>
          <w:p w14:paraId="5C953DA1" w14:textId="77777777" w:rsidR="00FF0F7D" w:rsidRPr="00FA4B58" w:rsidRDefault="00FF0F7D" w:rsidP="00EE5E3B">
            <w:pPr>
              <w:suppressAutoHyphens/>
              <w:spacing w:after="0" w:line="240" w:lineRule="auto"/>
              <w:ind w:left="313"/>
              <w:rPr>
                <w:rFonts w:eastAsia="Calibri"/>
                <w:bCs/>
                <w:sz w:val="20"/>
                <w:szCs w:val="20"/>
              </w:rPr>
            </w:pPr>
            <w:r w:rsidRPr="00A85ED5">
              <w:rPr>
                <w:rFonts w:eastAsia="Calibri"/>
                <w:bCs/>
                <w:sz w:val="20"/>
                <w:szCs w:val="20"/>
              </w:rPr>
              <w:t>Headache</w:t>
            </w:r>
          </w:p>
        </w:tc>
        <w:tc>
          <w:tcPr>
            <w:tcW w:w="1121" w:type="dxa"/>
            <w:shd w:val="clear" w:color="auto" w:fill="auto"/>
          </w:tcPr>
          <w:p w14:paraId="646A3250"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8.7</w:t>
            </w:r>
          </w:p>
        </w:tc>
        <w:tc>
          <w:tcPr>
            <w:tcW w:w="1107" w:type="dxa"/>
            <w:shd w:val="clear" w:color="auto" w:fill="auto"/>
          </w:tcPr>
          <w:p w14:paraId="59190552"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7.1</w:t>
            </w:r>
          </w:p>
        </w:tc>
        <w:tc>
          <w:tcPr>
            <w:tcW w:w="1243" w:type="dxa"/>
          </w:tcPr>
          <w:p w14:paraId="2FEE07F6"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12.4</w:t>
            </w:r>
          </w:p>
        </w:tc>
        <w:tc>
          <w:tcPr>
            <w:tcW w:w="1193" w:type="dxa"/>
          </w:tcPr>
          <w:p w14:paraId="59B434CB"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5.5</w:t>
            </w:r>
          </w:p>
        </w:tc>
      </w:tr>
      <w:tr w:rsidR="00FF0F7D" w:rsidRPr="00FA4B58" w14:paraId="7EF3BC41" w14:textId="77777777" w:rsidTr="00936901">
        <w:tc>
          <w:tcPr>
            <w:tcW w:w="3836" w:type="dxa"/>
            <w:shd w:val="clear" w:color="auto" w:fill="auto"/>
          </w:tcPr>
          <w:p w14:paraId="2C8C9F0F" w14:textId="77777777" w:rsidR="00FF0F7D" w:rsidRPr="00A85ED5" w:rsidRDefault="00FF0F7D" w:rsidP="00EE5E3B">
            <w:pPr>
              <w:suppressAutoHyphens/>
              <w:spacing w:after="0" w:line="240" w:lineRule="auto"/>
              <w:ind w:left="313"/>
              <w:rPr>
                <w:rFonts w:eastAsia="Calibri"/>
                <w:bCs/>
                <w:sz w:val="20"/>
                <w:szCs w:val="20"/>
              </w:rPr>
            </w:pPr>
            <w:r w:rsidRPr="006B48FF">
              <w:rPr>
                <w:rFonts w:eastAsia="Calibri"/>
                <w:bCs/>
                <w:sz w:val="20"/>
                <w:szCs w:val="20"/>
              </w:rPr>
              <w:t>Dizziness</w:t>
            </w:r>
          </w:p>
        </w:tc>
        <w:tc>
          <w:tcPr>
            <w:tcW w:w="1121" w:type="dxa"/>
            <w:shd w:val="clear" w:color="auto" w:fill="auto"/>
          </w:tcPr>
          <w:p w14:paraId="29BEDA7E"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2.2</w:t>
            </w:r>
          </w:p>
        </w:tc>
        <w:tc>
          <w:tcPr>
            <w:tcW w:w="1107" w:type="dxa"/>
            <w:shd w:val="clear" w:color="auto" w:fill="auto"/>
          </w:tcPr>
          <w:p w14:paraId="19D0D7A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1.6</w:t>
            </w:r>
          </w:p>
        </w:tc>
        <w:tc>
          <w:tcPr>
            <w:tcW w:w="1243" w:type="dxa"/>
          </w:tcPr>
          <w:p w14:paraId="7BEE3799"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4.3</w:t>
            </w:r>
          </w:p>
        </w:tc>
        <w:tc>
          <w:tcPr>
            <w:tcW w:w="1193" w:type="dxa"/>
          </w:tcPr>
          <w:p w14:paraId="7CD7D42D"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1.4</w:t>
            </w:r>
          </w:p>
        </w:tc>
      </w:tr>
      <w:tr w:rsidR="00FF0F7D" w:rsidRPr="00FA4B58" w14:paraId="7B2CA550" w14:textId="77777777" w:rsidTr="00936901">
        <w:tc>
          <w:tcPr>
            <w:tcW w:w="3836" w:type="dxa"/>
            <w:shd w:val="clear" w:color="auto" w:fill="auto"/>
          </w:tcPr>
          <w:p w14:paraId="6789F7D5" w14:textId="77777777" w:rsidR="00FF0F7D" w:rsidRPr="00FA4B58" w:rsidRDefault="00FF0F7D" w:rsidP="00EE5E3B">
            <w:pPr>
              <w:suppressAutoHyphens/>
              <w:spacing w:after="0" w:line="240" w:lineRule="auto"/>
              <w:rPr>
                <w:rFonts w:eastAsia="Calibri"/>
                <w:b/>
                <w:bCs/>
                <w:sz w:val="20"/>
                <w:szCs w:val="20"/>
              </w:rPr>
            </w:pPr>
            <w:r w:rsidRPr="001106CF">
              <w:rPr>
                <w:rFonts w:eastAsia="Calibri"/>
                <w:b/>
                <w:bCs/>
                <w:sz w:val="20"/>
                <w:szCs w:val="20"/>
              </w:rPr>
              <w:t>Respiratory, thoracic and mediastinal</w:t>
            </w:r>
            <w:r>
              <w:rPr>
                <w:rFonts w:eastAsia="Calibri"/>
                <w:b/>
                <w:bCs/>
                <w:sz w:val="20"/>
                <w:szCs w:val="20"/>
              </w:rPr>
              <w:t xml:space="preserve"> </w:t>
            </w:r>
            <w:r w:rsidRPr="001106CF">
              <w:rPr>
                <w:rFonts w:eastAsia="Calibri"/>
                <w:b/>
                <w:bCs/>
                <w:sz w:val="20"/>
                <w:szCs w:val="20"/>
              </w:rPr>
              <w:t>disorders</w:t>
            </w:r>
          </w:p>
        </w:tc>
        <w:tc>
          <w:tcPr>
            <w:tcW w:w="1121" w:type="dxa"/>
            <w:shd w:val="clear" w:color="auto" w:fill="auto"/>
          </w:tcPr>
          <w:p w14:paraId="32F587B6" w14:textId="77777777" w:rsidR="00FF0F7D" w:rsidRPr="00FA4B58" w:rsidRDefault="00FF0F7D" w:rsidP="00EE5E3B">
            <w:pPr>
              <w:suppressAutoHyphens/>
              <w:spacing w:after="0" w:line="240" w:lineRule="auto"/>
              <w:rPr>
                <w:rFonts w:eastAsia="Calibri"/>
                <w:bCs/>
                <w:sz w:val="20"/>
                <w:szCs w:val="20"/>
              </w:rPr>
            </w:pPr>
          </w:p>
        </w:tc>
        <w:tc>
          <w:tcPr>
            <w:tcW w:w="1107" w:type="dxa"/>
            <w:shd w:val="clear" w:color="auto" w:fill="auto"/>
          </w:tcPr>
          <w:p w14:paraId="10642916" w14:textId="77777777" w:rsidR="00FF0F7D" w:rsidRPr="00FA4B58" w:rsidRDefault="00FF0F7D" w:rsidP="00EE5E3B">
            <w:pPr>
              <w:suppressAutoHyphens/>
              <w:spacing w:after="0" w:line="240" w:lineRule="auto"/>
              <w:rPr>
                <w:rFonts w:eastAsia="Calibri"/>
                <w:bCs/>
                <w:sz w:val="20"/>
                <w:szCs w:val="20"/>
              </w:rPr>
            </w:pPr>
          </w:p>
        </w:tc>
        <w:tc>
          <w:tcPr>
            <w:tcW w:w="1243" w:type="dxa"/>
          </w:tcPr>
          <w:p w14:paraId="6D88EDE8" w14:textId="77777777" w:rsidR="00FF0F7D" w:rsidRPr="00FA4B58" w:rsidRDefault="00FF0F7D" w:rsidP="00EE5E3B">
            <w:pPr>
              <w:suppressAutoHyphens/>
              <w:spacing w:after="0" w:line="240" w:lineRule="auto"/>
              <w:rPr>
                <w:rFonts w:eastAsia="Calibri"/>
                <w:bCs/>
                <w:sz w:val="20"/>
                <w:szCs w:val="20"/>
              </w:rPr>
            </w:pPr>
          </w:p>
        </w:tc>
        <w:tc>
          <w:tcPr>
            <w:tcW w:w="1193" w:type="dxa"/>
          </w:tcPr>
          <w:p w14:paraId="391BD0F9" w14:textId="77777777" w:rsidR="00FF0F7D" w:rsidRPr="00FA4B58" w:rsidRDefault="00FF0F7D" w:rsidP="00EE5E3B">
            <w:pPr>
              <w:suppressAutoHyphens/>
              <w:spacing w:after="0" w:line="240" w:lineRule="auto"/>
              <w:rPr>
                <w:rFonts w:eastAsia="Calibri"/>
                <w:bCs/>
                <w:sz w:val="20"/>
                <w:szCs w:val="20"/>
              </w:rPr>
            </w:pPr>
          </w:p>
        </w:tc>
      </w:tr>
      <w:tr w:rsidR="00FF0F7D" w:rsidRPr="00FA4B58" w14:paraId="442D3740" w14:textId="77777777" w:rsidTr="00936901">
        <w:tc>
          <w:tcPr>
            <w:tcW w:w="3836" w:type="dxa"/>
            <w:shd w:val="clear" w:color="auto" w:fill="auto"/>
          </w:tcPr>
          <w:p w14:paraId="7ACEEB7D" w14:textId="77777777" w:rsidR="00FF0F7D" w:rsidRPr="00FA4B58" w:rsidRDefault="00FF0F7D" w:rsidP="00EE5E3B">
            <w:pPr>
              <w:suppressAutoHyphens/>
              <w:spacing w:after="0" w:line="240" w:lineRule="auto"/>
              <w:ind w:left="313"/>
              <w:rPr>
                <w:rFonts w:eastAsia="Calibri"/>
                <w:b/>
                <w:bCs/>
                <w:sz w:val="20"/>
                <w:szCs w:val="20"/>
              </w:rPr>
            </w:pPr>
            <w:r w:rsidRPr="00E525A5">
              <w:rPr>
                <w:rFonts w:eastAsia="Calibri"/>
                <w:bCs/>
                <w:sz w:val="20"/>
                <w:szCs w:val="20"/>
              </w:rPr>
              <w:t>Cough</w:t>
            </w:r>
          </w:p>
        </w:tc>
        <w:tc>
          <w:tcPr>
            <w:tcW w:w="1121" w:type="dxa"/>
            <w:shd w:val="clear" w:color="auto" w:fill="auto"/>
          </w:tcPr>
          <w:p w14:paraId="6F2D1D4F"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2.4</w:t>
            </w:r>
          </w:p>
        </w:tc>
        <w:tc>
          <w:tcPr>
            <w:tcW w:w="1107" w:type="dxa"/>
            <w:shd w:val="clear" w:color="auto" w:fill="auto"/>
          </w:tcPr>
          <w:p w14:paraId="30CA4621"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1.9</w:t>
            </w:r>
          </w:p>
        </w:tc>
        <w:tc>
          <w:tcPr>
            <w:tcW w:w="1243" w:type="dxa"/>
          </w:tcPr>
          <w:p w14:paraId="5AF11F27"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1.6</w:t>
            </w:r>
          </w:p>
        </w:tc>
        <w:tc>
          <w:tcPr>
            <w:tcW w:w="1193" w:type="dxa"/>
          </w:tcPr>
          <w:p w14:paraId="6F44F9BA" w14:textId="77777777" w:rsidR="00FF0F7D" w:rsidRPr="00FA4B58" w:rsidRDefault="00FF0F7D" w:rsidP="00EE5E3B">
            <w:pPr>
              <w:suppressAutoHyphens/>
              <w:spacing w:after="0" w:line="240" w:lineRule="auto"/>
              <w:rPr>
                <w:rFonts w:eastAsia="Calibri"/>
                <w:bCs/>
                <w:sz w:val="20"/>
                <w:szCs w:val="20"/>
              </w:rPr>
            </w:pPr>
            <w:r>
              <w:rPr>
                <w:rFonts w:eastAsia="Calibri"/>
                <w:bCs/>
                <w:sz w:val="20"/>
                <w:szCs w:val="20"/>
              </w:rPr>
              <w:t>0.7</w:t>
            </w:r>
          </w:p>
        </w:tc>
      </w:tr>
    </w:tbl>
    <w:p w14:paraId="15AD74A2" w14:textId="77777777" w:rsidR="00FF0F7D" w:rsidRPr="00FF0F7D" w:rsidRDefault="00FF0F7D" w:rsidP="00EE5E3B">
      <w:pPr>
        <w:spacing w:after="0" w:line="240" w:lineRule="auto"/>
        <w:rPr>
          <w:bCs/>
          <w:i/>
          <w:sz w:val="18"/>
          <w:szCs w:val="18"/>
          <w:lang w:val="en-US"/>
        </w:rPr>
      </w:pPr>
      <w:r w:rsidRPr="00FF0F7D">
        <w:rPr>
          <w:bCs/>
          <w:i/>
          <w:sz w:val="18"/>
          <w:szCs w:val="18"/>
          <w:lang w:val="en-US"/>
        </w:rPr>
        <w:t>%: percentage of subjects. Trials included: NN9068-3697-main-ext, NN9068-3912, NN9068-3851, NN9068</w:t>
      </w:r>
      <w:r w:rsidRPr="00FF0F7D">
        <w:rPr>
          <w:bCs/>
          <w:i/>
          <w:sz w:val="18"/>
          <w:szCs w:val="18"/>
          <w:lang w:val="en-US"/>
        </w:rPr>
        <w:noBreakHyphen/>
        <w:t>3951, NN9068-3952 (excluding extension trial), NN9068-4185.</w:t>
      </w:r>
    </w:p>
    <w:p w14:paraId="77CEA008" w14:textId="1CD7BAC0" w:rsidR="00FF0F7D" w:rsidRDefault="00FF0F7D" w:rsidP="00EE5E3B">
      <w:pPr>
        <w:spacing w:after="0" w:line="240" w:lineRule="auto"/>
        <w:rPr>
          <w:bCs/>
          <w:i/>
          <w:sz w:val="18"/>
          <w:szCs w:val="18"/>
          <w:lang w:val="en-US"/>
        </w:rPr>
      </w:pPr>
      <w:r w:rsidRPr="00FF0F7D">
        <w:rPr>
          <w:bCs/>
          <w:i/>
          <w:sz w:val="18"/>
          <w:szCs w:val="18"/>
          <w:lang w:val="en-US"/>
        </w:rPr>
        <w:t>* Hypoglycaemia (System Organ Class: Metabolism and nutrition disorders) was reported in Xultophy with a frequency of 'very common' (≥1/10).</w:t>
      </w:r>
    </w:p>
    <w:p w14:paraId="1B240EFA" w14:textId="188085AA" w:rsidR="00936901" w:rsidRPr="00936901" w:rsidRDefault="00936901" w:rsidP="00EE5E3B">
      <w:pPr>
        <w:spacing w:after="0" w:line="240" w:lineRule="auto"/>
        <w:rPr>
          <w:i/>
          <w:sz w:val="18"/>
          <w:szCs w:val="18"/>
          <w:lang w:val="en-GB"/>
        </w:rPr>
      </w:pPr>
      <w:r w:rsidRPr="00936901">
        <w:rPr>
          <w:bCs/>
          <w:i/>
          <w:sz w:val="18"/>
          <w:szCs w:val="18"/>
          <w:lang w:val="en-US"/>
        </w:rPr>
        <w:t>MedDRA version 22.0</w:t>
      </w:r>
    </w:p>
    <w:p w14:paraId="0888E686" w14:textId="77777777" w:rsidR="00FF0F7D" w:rsidRDefault="00FF0F7D" w:rsidP="00EE5E3B">
      <w:pPr>
        <w:spacing w:after="0" w:line="240" w:lineRule="auto"/>
        <w:rPr>
          <w:sz w:val="20"/>
          <w:szCs w:val="20"/>
          <w:lang w:val="en-GB"/>
        </w:rPr>
      </w:pPr>
    </w:p>
    <w:p w14:paraId="72B8AC2C" w14:textId="60183EEE" w:rsidR="00FD6B15" w:rsidRPr="00825436" w:rsidRDefault="00CD21EA" w:rsidP="00EE5E3B">
      <w:pPr>
        <w:spacing w:after="0" w:line="240" w:lineRule="auto"/>
        <w:rPr>
          <w:i/>
          <w:iCs/>
          <w:u w:val="single"/>
        </w:rPr>
      </w:pPr>
      <w:r w:rsidRPr="00825436">
        <w:rPr>
          <w:i/>
          <w:iCs/>
          <w:u w:val="single"/>
        </w:rPr>
        <w:t>Tabulated list of adverse reactions</w:t>
      </w:r>
    </w:p>
    <w:p w14:paraId="4894A0B3" w14:textId="49F91C03" w:rsidR="00E043F6" w:rsidRDefault="00E043F6" w:rsidP="00EE5E3B">
      <w:pPr>
        <w:spacing w:after="0" w:line="240" w:lineRule="auto"/>
      </w:pPr>
      <w:r>
        <w:t>Adverse reactions associated with Xultophy are given below, listed by system organ</w:t>
      </w:r>
      <w:r w:rsidR="00FF0F7D">
        <w:t xml:space="preserve"> </w:t>
      </w:r>
      <w:r>
        <w:t>class and frequency. Frequency categories are defined as: Very common (≥1/10),</w:t>
      </w:r>
    </w:p>
    <w:p w14:paraId="73E86732" w14:textId="715E4E94" w:rsidR="00E043F6" w:rsidRDefault="00E043F6" w:rsidP="00EE5E3B">
      <w:pPr>
        <w:spacing w:after="0" w:line="240" w:lineRule="auto"/>
      </w:pPr>
      <w:r>
        <w:t>common (≥1/100 to &lt;1/10), uncommon (≥1/1,000 to &lt;1/100)</w:t>
      </w:r>
      <w:r w:rsidR="00724F28">
        <w:t xml:space="preserve"> </w:t>
      </w:r>
      <w:r>
        <w:t>and unknown (cannot be estimated from the available</w:t>
      </w:r>
    </w:p>
    <w:p w14:paraId="6E291B8B" w14:textId="77777777" w:rsidR="00E043F6" w:rsidRDefault="00E043F6" w:rsidP="00EE5E3B">
      <w:pPr>
        <w:spacing w:after="0" w:line="240" w:lineRule="auto"/>
      </w:pPr>
      <w:r>
        <w:t>data).</w:t>
      </w:r>
    </w:p>
    <w:p w14:paraId="7453477C" w14:textId="77777777" w:rsidR="00E043F6" w:rsidRDefault="00E043F6" w:rsidP="00EE5E3B">
      <w:pPr>
        <w:spacing w:after="0" w:line="240" w:lineRule="auto"/>
      </w:pPr>
    </w:p>
    <w:p w14:paraId="76C59CF4" w14:textId="200697DD" w:rsidR="00C36DBB" w:rsidRPr="00715880" w:rsidRDefault="00AF7AB3" w:rsidP="00EE5E3B">
      <w:pPr>
        <w:keepNext/>
        <w:spacing w:after="0" w:line="240" w:lineRule="auto"/>
        <w:rPr>
          <w:iCs/>
          <w:sz w:val="22"/>
          <w:szCs w:val="22"/>
        </w:rPr>
      </w:pPr>
      <w:bookmarkStart w:id="4" w:name="_Ref509307287"/>
      <w:bookmarkStart w:id="5" w:name="_Toc514933351"/>
      <w:bookmarkStart w:id="6" w:name="_Toc514933434"/>
      <w:r w:rsidRPr="00715880">
        <w:rPr>
          <w:b/>
          <w:bCs/>
          <w:sz w:val="22"/>
          <w:szCs w:val="22"/>
        </w:rPr>
        <w:t xml:space="preserve">Table </w:t>
      </w:r>
      <w:r w:rsidRPr="00715880">
        <w:rPr>
          <w:b/>
          <w:bCs/>
          <w:sz w:val="22"/>
          <w:szCs w:val="22"/>
        </w:rPr>
        <w:fldChar w:fldCharType="begin"/>
      </w:r>
      <w:r w:rsidRPr="00715880">
        <w:rPr>
          <w:b/>
          <w:bCs/>
          <w:sz w:val="22"/>
          <w:szCs w:val="22"/>
        </w:rPr>
        <w:instrText xml:space="preserve"> SEQ Table \* ARABIC \s 1 </w:instrText>
      </w:r>
      <w:r w:rsidRPr="00715880">
        <w:rPr>
          <w:b/>
          <w:bCs/>
          <w:sz w:val="22"/>
          <w:szCs w:val="22"/>
        </w:rPr>
        <w:fldChar w:fldCharType="separate"/>
      </w:r>
      <w:r w:rsidR="00503238">
        <w:rPr>
          <w:b/>
          <w:bCs/>
          <w:noProof/>
          <w:sz w:val="22"/>
          <w:szCs w:val="22"/>
        </w:rPr>
        <w:t>3</w:t>
      </w:r>
      <w:r w:rsidRPr="00715880">
        <w:rPr>
          <w:sz w:val="22"/>
          <w:szCs w:val="22"/>
        </w:rPr>
        <w:fldChar w:fldCharType="end"/>
      </w:r>
      <w:bookmarkEnd w:id="4"/>
      <w:r w:rsidRPr="00715880">
        <w:rPr>
          <w:sz w:val="22"/>
          <w:szCs w:val="22"/>
        </w:rPr>
        <w:t xml:space="preserve">: </w:t>
      </w:r>
      <w:r w:rsidRPr="00715880">
        <w:rPr>
          <w:b/>
          <w:bCs/>
          <w:sz w:val="22"/>
          <w:szCs w:val="22"/>
        </w:rPr>
        <w:t xml:space="preserve">Adverse reactions </w:t>
      </w:r>
      <w:r w:rsidR="00E043F6" w:rsidRPr="00715880">
        <w:rPr>
          <w:b/>
          <w:bCs/>
          <w:sz w:val="22"/>
          <w:szCs w:val="22"/>
        </w:rPr>
        <w:t>reported in</w:t>
      </w:r>
      <w:r w:rsidRPr="00715880">
        <w:rPr>
          <w:b/>
          <w:bCs/>
          <w:sz w:val="22"/>
          <w:szCs w:val="22"/>
        </w:rPr>
        <w:t xml:space="preserve"> phase 3</w:t>
      </w:r>
      <w:r w:rsidR="00E043F6" w:rsidRPr="00715880">
        <w:rPr>
          <w:b/>
          <w:bCs/>
          <w:sz w:val="22"/>
          <w:szCs w:val="22"/>
        </w:rPr>
        <w:t xml:space="preserve"> controlled</w:t>
      </w:r>
      <w:r w:rsidRPr="00715880">
        <w:rPr>
          <w:b/>
          <w:bCs/>
          <w:sz w:val="22"/>
          <w:szCs w:val="22"/>
        </w:rPr>
        <w:t xml:space="preserve"> trials</w:t>
      </w:r>
      <w:bookmarkEnd w:id="5"/>
      <w:bookmarkEnd w:id="6"/>
    </w:p>
    <w:tbl>
      <w:tblPr>
        <w:tblW w:w="97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36"/>
        <w:gridCol w:w="3237"/>
        <w:gridCol w:w="3237"/>
      </w:tblGrid>
      <w:tr w:rsidR="00C36DBB" w:rsidRPr="00F672EF" w14:paraId="6F4389DA" w14:textId="2C3FC2C7" w:rsidTr="00C36DBB">
        <w:trPr>
          <w:trHeight w:val="220"/>
        </w:trPr>
        <w:tc>
          <w:tcPr>
            <w:tcW w:w="3236" w:type="dxa"/>
            <w:tcBorders>
              <w:top w:val="single" w:sz="4" w:space="0" w:color="auto"/>
              <w:right w:val="single" w:sz="4" w:space="0" w:color="auto"/>
            </w:tcBorders>
          </w:tcPr>
          <w:p w14:paraId="741E710F" w14:textId="77777777" w:rsidR="00C36DBB" w:rsidRPr="00F672EF" w:rsidRDefault="00C36DBB" w:rsidP="00EE5E3B">
            <w:pPr>
              <w:spacing w:after="0" w:line="240" w:lineRule="auto"/>
              <w:rPr>
                <w:b/>
                <w:iCs/>
                <w:sz w:val="20"/>
                <w:szCs w:val="20"/>
                <w:lang w:val="en-GB"/>
              </w:rPr>
            </w:pPr>
            <w:r w:rsidRPr="00F672EF">
              <w:rPr>
                <w:b/>
                <w:iCs/>
                <w:sz w:val="20"/>
                <w:szCs w:val="20"/>
                <w:lang w:val="en-GB"/>
              </w:rPr>
              <w:t>System Organ Class</w:t>
            </w:r>
          </w:p>
        </w:tc>
        <w:tc>
          <w:tcPr>
            <w:tcW w:w="3237" w:type="dxa"/>
            <w:tcBorders>
              <w:top w:val="single" w:sz="4" w:space="0" w:color="auto"/>
              <w:left w:val="single" w:sz="4" w:space="0" w:color="auto"/>
            </w:tcBorders>
          </w:tcPr>
          <w:p w14:paraId="23C59DCD" w14:textId="77777777" w:rsidR="00C36DBB" w:rsidRPr="00F672EF" w:rsidRDefault="00C36DBB" w:rsidP="00EE5E3B">
            <w:pPr>
              <w:spacing w:after="0" w:line="240" w:lineRule="auto"/>
              <w:rPr>
                <w:b/>
                <w:iCs/>
                <w:sz w:val="20"/>
                <w:szCs w:val="20"/>
                <w:lang w:val="en-GB"/>
              </w:rPr>
            </w:pPr>
            <w:r w:rsidRPr="00F672EF">
              <w:rPr>
                <w:b/>
                <w:iCs/>
                <w:sz w:val="20"/>
                <w:szCs w:val="20"/>
                <w:lang w:val="en-GB"/>
              </w:rPr>
              <w:t>Frequency</w:t>
            </w:r>
          </w:p>
        </w:tc>
        <w:tc>
          <w:tcPr>
            <w:tcW w:w="3237" w:type="dxa"/>
            <w:tcBorders>
              <w:top w:val="single" w:sz="4" w:space="0" w:color="auto"/>
              <w:left w:val="single" w:sz="4" w:space="0" w:color="auto"/>
            </w:tcBorders>
          </w:tcPr>
          <w:p w14:paraId="2520162D" w14:textId="39DB00B0" w:rsidR="00C36DBB" w:rsidRPr="00F672EF" w:rsidRDefault="00C36DBB" w:rsidP="00EE5E3B">
            <w:pPr>
              <w:spacing w:after="0" w:line="240" w:lineRule="auto"/>
              <w:rPr>
                <w:b/>
                <w:iCs/>
                <w:sz w:val="20"/>
                <w:szCs w:val="20"/>
                <w:lang w:val="en-GB"/>
              </w:rPr>
            </w:pPr>
            <w:r w:rsidRPr="00F672EF">
              <w:rPr>
                <w:b/>
                <w:iCs/>
                <w:sz w:val="20"/>
                <w:szCs w:val="20"/>
                <w:lang w:val="en-GB"/>
              </w:rPr>
              <w:t>Adverse Drug Reaction</w:t>
            </w:r>
          </w:p>
        </w:tc>
      </w:tr>
      <w:tr w:rsidR="00C36DBB" w:rsidRPr="00F672EF" w14:paraId="21E5AFED" w14:textId="5AFF7392" w:rsidTr="00C36DBB">
        <w:trPr>
          <w:trHeight w:val="220"/>
        </w:trPr>
        <w:tc>
          <w:tcPr>
            <w:tcW w:w="3236" w:type="dxa"/>
            <w:vMerge w:val="restart"/>
            <w:tcBorders>
              <w:top w:val="single" w:sz="4" w:space="0" w:color="auto"/>
              <w:right w:val="single" w:sz="4" w:space="0" w:color="auto"/>
            </w:tcBorders>
          </w:tcPr>
          <w:p w14:paraId="0D0C5BDF" w14:textId="77777777" w:rsidR="00C36DBB" w:rsidRPr="00F672EF" w:rsidRDefault="00C36DBB" w:rsidP="00EE5E3B">
            <w:pPr>
              <w:spacing w:after="0" w:line="240" w:lineRule="auto"/>
              <w:rPr>
                <w:iCs/>
                <w:sz w:val="20"/>
                <w:szCs w:val="20"/>
                <w:lang w:val="en-GB"/>
              </w:rPr>
            </w:pPr>
            <w:r w:rsidRPr="00F672EF">
              <w:rPr>
                <w:iCs/>
                <w:sz w:val="20"/>
                <w:szCs w:val="20"/>
                <w:lang w:val="en-GB"/>
              </w:rPr>
              <w:t>Immune system disorders</w:t>
            </w:r>
          </w:p>
        </w:tc>
        <w:tc>
          <w:tcPr>
            <w:tcW w:w="3237" w:type="dxa"/>
            <w:tcBorders>
              <w:top w:val="single" w:sz="4" w:space="0" w:color="auto"/>
              <w:left w:val="single" w:sz="4" w:space="0" w:color="auto"/>
            </w:tcBorders>
          </w:tcPr>
          <w:p w14:paraId="1653A4CB" w14:textId="1E67A2A6" w:rsidR="00C36DBB" w:rsidRPr="00F672EF" w:rsidRDefault="00C36DBB"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15017CDC" w14:textId="22EAD994" w:rsidR="00C36DBB" w:rsidRPr="00F672EF" w:rsidRDefault="00C36DBB" w:rsidP="00EE5E3B">
            <w:pPr>
              <w:spacing w:after="0" w:line="240" w:lineRule="auto"/>
              <w:rPr>
                <w:iCs/>
                <w:sz w:val="20"/>
                <w:szCs w:val="20"/>
                <w:lang w:val="en-GB"/>
              </w:rPr>
            </w:pPr>
            <w:r w:rsidRPr="00F672EF">
              <w:rPr>
                <w:iCs/>
                <w:sz w:val="20"/>
                <w:szCs w:val="20"/>
                <w:lang w:val="en-GB"/>
              </w:rPr>
              <w:t>Urticaria</w:t>
            </w:r>
          </w:p>
        </w:tc>
      </w:tr>
      <w:tr w:rsidR="00C36DBB" w:rsidRPr="00F672EF" w14:paraId="6CC5BE2B" w14:textId="77777777" w:rsidTr="00C36DBB">
        <w:trPr>
          <w:trHeight w:val="220"/>
        </w:trPr>
        <w:tc>
          <w:tcPr>
            <w:tcW w:w="3236" w:type="dxa"/>
            <w:vMerge/>
            <w:tcBorders>
              <w:right w:val="single" w:sz="4" w:space="0" w:color="auto"/>
            </w:tcBorders>
          </w:tcPr>
          <w:p w14:paraId="6FDFF683" w14:textId="77777777" w:rsidR="00C36DBB" w:rsidRPr="00F672EF" w:rsidRDefault="00C36DBB" w:rsidP="00EE5E3B">
            <w:pPr>
              <w:spacing w:after="0" w:line="240" w:lineRule="auto"/>
              <w:rPr>
                <w:iCs/>
                <w:sz w:val="20"/>
                <w:szCs w:val="20"/>
                <w:lang w:val="en-GB"/>
              </w:rPr>
            </w:pPr>
          </w:p>
        </w:tc>
        <w:tc>
          <w:tcPr>
            <w:tcW w:w="3237" w:type="dxa"/>
            <w:tcBorders>
              <w:top w:val="single" w:sz="4" w:space="0" w:color="auto"/>
              <w:left w:val="single" w:sz="4" w:space="0" w:color="auto"/>
            </w:tcBorders>
          </w:tcPr>
          <w:p w14:paraId="7E00F4D9" w14:textId="07240A95" w:rsidR="00C36DBB" w:rsidRPr="00F672EF" w:rsidRDefault="00C36DBB"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05BE3361" w14:textId="255266BD" w:rsidR="00C36DBB" w:rsidRPr="00F672EF" w:rsidRDefault="00C36DBB" w:rsidP="00EE5E3B">
            <w:pPr>
              <w:spacing w:after="0" w:line="240" w:lineRule="auto"/>
              <w:rPr>
                <w:iCs/>
                <w:sz w:val="20"/>
                <w:szCs w:val="20"/>
                <w:lang w:val="en-GB"/>
              </w:rPr>
            </w:pPr>
            <w:r w:rsidRPr="00F672EF">
              <w:rPr>
                <w:iCs/>
                <w:sz w:val="20"/>
                <w:szCs w:val="20"/>
                <w:lang w:val="en-GB"/>
              </w:rPr>
              <w:t>Hypersensitivity</w:t>
            </w:r>
          </w:p>
        </w:tc>
      </w:tr>
      <w:tr w:rsidR="00C36DBB" w:rsidRPr="00F672EF" w14:paraId="6FF28AFF" w14:textId="751FCF12" w:rsidTr="00C36DBB">
        <w:trPr>
          <w:trHeight w:val="220"/>
        </w:trPr>
        <w:tc>
          <w:tcPr>
            <w:tcW w:w="3236" w:type="dxa"/>
            <w:vMerge/>
            <w:tcBorders>
              <w:right w:val="single" w:sz="4" w:space="0" w:color="auto"/>
            </w:tcBorders>
          </w:tcPr>
          <w:p w14:paraId="039AE913" w14:textId="77777777" w:rsidR="00C36DBB" w:rsidRPr="00F672EF" w:rsidRDefault="00C36DBB" w:rsidP="00EE5E3B">
            <w:pPr>
              <w:spacing w:after="0" w:line="240" w:lineRule="auto"/>
              <w:rPr>
                <w:iCs/>
                <w:sz w:val="20"/>
                <w:szCs w:val="20"/>
                <w:lang w:val="en-GB"/>
              </w:rPr>
            </w:pPr>
          </w:p>
        </w:tc>
        <w:tc>
          <w:tcPr>
            <w:tcW w:w="3237" w:type="dxa"/>
            <w:tcBorders>
              <w:top w:val="single" w:sz="4" w:space="0" w:color="auto"/>
              <w:left w:val="single" w:sz="4" w:space="0" w:color="auto"/>
            </w:tcBorders>
          </w:tcPr>
          <w:p w14:paraId="468B7ACB" w14:textId="69C326C9" w:rsidR="00C36DBB" w:rsidRPr="00F672EF" w:rsidRDefault="00C36DBB" w:rsidP="00EE5E3B">
            <w:pPr>
              <w:spacing w:after="0" w:line="240" w:lineRule="auto"/>
              <w:rPr>
                <w:iCs/>
                <w:sz w:val="20"/>
                <w:szCs w:val="20"/>
                <w:lang w:val="en-GB"/>
              </w:rPr>
            </w:pPr>
            <w:r w:rsidRPr="00F672EF">
              <w:rPr>
                <w:iCs/>
                <w:sz w:val="20"/>
                <w:szCs w:val="20"/>
                <w:lang w:val="en-GB"/>
              </w:rPr>
              <w:t>Unknown</w:t>
            </w:r>
          </w:p>
        </w:tc>
        <w:tc>
          <w:tcPr>
            <w:tcW w:w="3237" w:type="dxa"/>
            <w:tcBorders>
              <w:top w:val="single" w:sz="4" w:space="0" w:color="auto"/>
              <w:left w:val="single" w:sz="4" w:space="0" w:color="auto"/>
            </w:tcBorders>
          </w:tcPr>
          <w:p w14:paraId="6057ECDC" w14:textId="338A07CE" w:rsidR="00C36DBB" w:rsidRPr="00F672EF" w:rsidRDefault="00C36DBB" w:rsidP="00EE5E3B">
            <w:pPr>
              <w:spacing w:after="0" w:line="240" w:lineRule="auto"/>
              <w:rPr>
                <w:iCs/>
                <w:sz w:val="20"/>
                <w:szCs w:val="20"/>
                <w:lang w:val="en-GB"/>
              </w:rPr>
            </w:pPr>
            <w:r w:rsidRPr="00F672EF">
              <w:rPr>
                <w:iCs/>
                <w:sz w:val="20"/>
                <w:szCs w:val="20"/>
                <w:lang w:val="en-GB"/>
              </w:rPr>
              <w:t>Anaphylactic reaction</w:t>
            </w:r>
          </w:p>
        </w:tc>
      </w:tr>
      <w:tr w:rsidR="008F7B2E" w:rsidRPr="00F672EF" w14:paraId="711EE819" w14:textId="28268F90" w:rsidTr="004D53B9">
        <w:trPr>
          <w:trHeight w:val="262"/>
        </w:trPr>
        <w:tc>
          <w:tcPr>
            <w:tcW w:w="3236" w:type="dxa"/>
            <w:vMerge w:val="restart"/>
            <w:tcBorders>
              <w:top w:val="single" w:sz="4" w:space="0" w:color="auto"/>
              <w:right w:val="single" w:sz="4" w:space="0" w:color="auto"/>
            </w:tcBorders>
          </w:tcPr>
          <w:p w14:paraId="46CB3CE4" w14:textId="77777777" w:rsidR="008F7B2E" w:rsidRPr="00F672EF" w:rsidRDefault="008F7B2E" w:rsidP="00EE5E3B">
            <w:pPr>
              <w:spacing w:after="0" w:line="240" w:lineRule="auto"/>
              <w:rPr>
                <w:iCs/>
                <w:sz w:val="20"/>
                <w:szCs w:val="20"/>
                <w:lang w:val="en-GB"/>
              </w:rPr>
            </w:pPr>
            <w:r w:rsidRPr="00F672EF">
              <w:rPr>
                <w:iCs/>
                <w:sz w:val="20"/>
                <w:szCs w:val="20"/>
                <w:lang w:val="en-GB"/>
              </w:rPr>
              <w:t>Metabolism and nutrition disorders</w:t>
            </w:r>
          </w:p>
        </w:tc>
        <w:tc>
          <w:tcPr>
            <w:tcW w:w="3237" w:type="dxa"/>
            <w:tcBorders>
              <w:top w:val="single" w:sz="4" w:space="0" w:color="auto"/>
              <w:left w:val="single" w:sz="4" w:space="0" w:color="auto"/>
              <w:bottom w:val="single" w:sz="4" w:space="0" w:color="auto"/>
            </w:tcBorders>
          </w:tcPr>
          <w:p w14:paraId="5AEA7F35" w14:textId="5630CA18" w:rsidR="008F7B2E" w:rsidRPr="00F672EF" w:rsidRDefault="008F7B2E" w:rsidP="00EE5E3B">
            <w:pPr>
              <w:spacing w:after="0" w:line="240" w:lineRule="auto"/>
              <w:rPr>
                <w:iCs/>
                <w:sz w:val="20"/>
                <w:szCs w:val="20"/>
                <w:lang w:val="en-GB"/>
              </w:rPr>
            </w:pPr>
            <w:r w:rsidRPr="00F672EF">
              <w:rPr>
                <w:iCs/>
                <w:sz w:val="20"/>
                <w:szCs w:val="20"/>
                <w:lang w:val="en-GB"/>
              </w:rPr>
              <w:t>Very common</w:t>
            </w:r>
          </w:p>
        </w:tc>
        <w:tc>
          <w:tcPr>
            <w:tcW w:w="3237" w:type="dxa"/>
            <w:tcBorders>
              <w:top w:val="single" w:sz="4" w:space="0" w:color="auto"/>
              <w:left w:val="single" w:sz="4" w:space="0" w:color="auto"/>
              <w:bottom w:val="single" w:sz="4" w:space="0" w:color="auto"/>
            </w:tcBorders>
          </w:tcPr>
          <w:p w14:paraId="6A5E4068" w14:textId="046C9F88" w:rsidR="008F7B2E" w:rsidRPr="00F672EF" w:rsidRDefault="008F7B2E" w:rsidP="00EE5E3B">
            <w:pPr>
              <w:spacing w:after="0" w:line="240" w:lineRule="auto"/>
              <w:rPr>
                <w:iCs/>
                <w:sz w:val="20"/>
                <w:szCs w:val="20"/>
                <w:lang w:val="en-GB"/>
              </w:rPr>
            </w:pPr>
            <w:r w:rsidRPr="00F672EF">
              <w:rPr>
                <w:iCs/>
                <w:sz w:val="20"/>
                <w:szCs w:val="20"/>
                <w:lang w:val="en-GB"/>
              </w:rPr>
              <w:t>Hypoglycaemia</w:t>
            </w:r>
          </w:p>
        </w:tc>
      </w:tr>
      <w:tr w:rsidR="008F7B2E" w:rsidRPr="00F672EF" w14:paraId="5C10C2DD" w14:textId="77777777" w:rsidTr="004D53B9">
        <w:trPr>
          <w:trHeight w:val="262"/>
        </w:trPr>
        <w:tc>
          <w:tcPr>
            <w:tcW w:w="3236" w:type="dxa"/>
            <w:vMerge/>
            <w:tcBorders>
              <w:right w:val="single" w:sz="4" w:space="0" w:color="auto"/>
            </w:tcBorders>
          </w:tcPr>
          <w:p w14:paraId="6B97DBF1"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bottom w:val="single" w:sz="4" w:space="0" w:color="auto"/>
            </w:tcBorders>
          </w:tcPr>
          <w:p w14:paraId="3BDD9B38" w14:textId="141D6771" w:rsidR="008F7B2E" w:rsidRPr="00F672EF" w:rsidRDefault="008F7B2E" w:rsidP="00EE5E3B">
            <w:pPr>
              <w:spacing w:after="0" w:line="240" w:lineRule="auto"/>
              <w:rPr>
                <w:iCs/>
                <w:sz w:val="20"/>
                <w:szCs w:val="20"/>
                <w:lang w:val="en-GB"/>
              </w:rPr>
            </w:pPr>
            <w:r w:rsidRPr="00F672EF">
              <w:rPr>
                <w:iCs/>
                <w:sz w:val="20"/>
                <w:szCs w:val="20"/>
                <w:lang w:val="en-GB"/>
              </w:rPr>
              <w:t>Common</w:t>
            </w:r>
          </w:p>
        </w:tc>
        <w:tc>
          <w:tcPr>
            <w:tcW w:w="3237" w:type="dxa"/>
            <w:tcBorders>
              <w:top w:val="single" w:sz="4" w:space="0" w:color="auto"/>
              <w:left w:val="single" w:sz="4" w:space="0" w:color="auto"/>
              <w:bottom w:val="single" w:sz="4" w:space="0" w:color="auto"/>
            </w:tcBorders>
          </w:tcPr>
          <w:p w14:paraId="3F98981F" w14:textId="4206A60F" w:rsidR="008F7B2E" w:rsidRPr="00F672EF" w:rsidRDefault="008F7B2E" w:rsidP="00EE5E3B">
            <w:pPr>
              <w:spacing w:after="0" w:line="240" w:lineRule="auto"/>
              <w:rPr>
                <w:iCs/>
                <w:sz w:val="20"/>
                <w:szCs w:val="20"/>
                <w:lang w:val="en-GB"/>
              </w:rPr>
            </w:pPr>
            <w:r w:rsidRPr="00F672EF">
              <w:rPr>
                <w:iCs/>
                <w:sz w:val="20"/>
                <w:szCs w:val="20"/>
                <w:lang w:val="en-GB"/>
              </w:rPr>
              <w:t>Decreased appetite</w:t>
            </w:r>
          </w:p>
        </w:tc>
      </w:tr>
      <w:tr w:rsidR="008F7B2E" w:rsidRPr="00F672EF" w14:paraId="4F702556" w14:textId="77777777" w:rsidTr="004D53B9">
        <w:trPr>
          <w:trHeight w:val="262"/>
        </w:trPr>
        <w:tc>
          <w:tcPr>
            <w:tcW w:w="3236" w:type="dxa"/>
            <w:vMerge/>
            <w:tcBorders>
              <w:bottom w:val="single" w:sz="4" w:space="0" w:color="auto"/>
              <w:right w:val="single" w:sz="4" w:space="0" w:color="auto"/>
            </w:tcBorders>
          </w:tcPr>
          <w:p w14:paraId="748955DB"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bottom w:val="single" w:sz="4" w:space="0" w:color="auto"/>
            </w:tcBorders>
          </w:tcPr>
          <w:p w14:paraId="53AF9863" w14:textId="42A86640"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bottom w:val="single" w:sz="4" w:space="0" w:color="auto"/>
            </w:tcBorders>
          </w:tcPr>
          <w:p w14:paraId="1275E21D" w14:textId="494A2D7E" w:rsidR="008F7B2E" w:rsidRPr="00F672EF" w:rsidRDefault="008F7B2E" w:rsidP="00EE5E3B">
            <w:pPr>
              <w:spacing w:after="0" w:line="240" w:lineRule="auto"/>
              <w:rPr>
                <w:iCs/>
                <w:sz w:val="20"/>
                <w:szCs w:val="20"/>
                <w:lang w:val="en-GB"/>
              </w:rPr>
            </w:pPr>
            <w:r w:rsidRPr="00F672EF">
              <w:rPr>
                <w:iCs/>
                <w:sz w:val="20"/>
                <w:szCs w:val="20"/>
                <w:lang w:val="en-GB"/>
              </w:rPr>
              <w:t>Dehydration</w:t>
            </w:r>
          </w:p>
        </w:tc>
      </w:tr>
      <w:tr w:rsidR="008F7B2E" w:rsidRPr="00F672EF" w14:paraId="4F73DFAE" w14:textId="77777777" w:rsidTr="004D53B9">
        <w:trPr>
          <w:trHeight w:val="262"/>
        </w:trPr>
        <w:tc>
          <w:tcPr>
            <w:tcW w:w="3236" w:type="dxa"/>
            <w:vMerge w:val="restart"/>
            <w:tcBorders>
              <w:top w:val="single" w:sz="4" w:space="0" w:color="auto"/>
              <w:right w:val="single" w:sz="4" w:space="0" w:color="auto"/>
            </w:tcBorders>
          </w:tcPr>
          <w:p w14:paraId="0F6C56BE" w14:textId="73CB6202" w:rsidR="008F7B2E" w:rsidRPr="00F672EF" w:rsidRDefault="008F7B2E" w:rsidP="00EE5E3B">
            <w:pPr>
              <w:spacing w:after="0" w:line="240" w:lineRule="auto"/>
              <w:rPr>
                <w:iCs/>
                <w:sz w:val="20"/>
                <w:szCs w:val="20"/>
                <w:lang w:val="en-GB"/>
              </w:rPr>
            </w:pPr>
            <w:r w:rsidRPr="00F672EF">
              <w:rPr>
                <w:iCs/>
                <w:sz w:val="20"/>
                <w:szCs w:val="20"/>
                <w:lang w:val="en-GB"/>
              </w:rPr>
              <w:t>Gastrointestinal disorders</w:t>
            </w:r>
          </w:p>
        </w:tc>
        <w:tc>
          <w:tcPr>
            <w:tcW w:w="3237" w:type="dxa"/>
            <w:tcBorders>
              <w:top w:val="single" w:sz="4" w:space="0" w:color="auto"/>
              <w:left w:val="single" w:sz="4" w:space="0" w:color="auto"/>
              <w:bottom w:val="single" w:sz="4" w:space="0" w:color="auto"/>
            </w:tcBorders>
          </w:tcPr>
          <w:p w14:paraId="4A487C1B" w14:textId="5408B073" w:rsidR="008F7B2E" w:rsidRPr="00F672EF" w:rsidRDefault="008F7B2E" w:rsidP="00EE5E3B">
            <w:pPr>
              <w:spacing w:after="0" w:line="240" w:lineRule="auto"/>
              <w:rPr>
                <w:iCs/>
                <w:sz w:val="20"/>
                <w:szCs w:val="20"/>
                <w:lang w:val="en-GB"/>
              </w:rPr>
            </w:pPr>
            <w:r w:rsidRPr="00F672EF">
              <w:rPr>
                <w:iCs/>
                <w:sz w:val="20"/>
                <w:szCs w:val="20"/>
                <w:lang w:val="en-GB"/>
              </w:rPr>
              <w:t>Common</w:t>
            </w:r>
          </w:p>
        </w:tc>
        <w:tc>
          <w:tcPr>
            <w:tcW w:w="3237" w:type="dxa"/>
            <w:tcBorders>
              <w:top w:val="single" w:sz="4" w:space="0" w:color="auto"/>
              <w:left w:val="single" w:sz="4" w:space="0" w:color="auto"/>
              <w:bottom w:val="single" w:sz="4" w:space="0" w:color="auto"/>
            </w:tcBorders>
          </w:tcPr>
          <w:p w14:paraId="59CE03C7" w14:textId="34EF1BC2" w:rsidR="008F7B2E" w:rsidRPr="00F672EF" w:rsidRDefault="008F7B2E" w:rsidP="00EE5E3B">
            <w:pPr>
              <w:spacing w:after="0" w:line="240" w:lineRule="auto"/>
              <w:rPr>
                <w:iCs/>
                <w:sz w:val="20"/>
                <w:szCs w:val="20"/>
                <w:lang w:val="en-GB"/>
              </w:rPr>
            </w:pPr>
            <w:r w:rsidRPr="00F672EF">
              <w:rPr>
                <w:iCs/>
                <w:sz w:val="20"/>
                <w:szCs w:val="20"/>
                <w:lang w:val="en-GB"/>
              </w:rPr>
              <w:t>Nausea, Diarrhoea, Vomiting, Constipation, Dyspepsia, Gastritis, Abdominal pain, Gastroesophageal reflux disease, Abdominal distension</w:t>
            </w:r>
          </w:p>
        </w:tc>
      </w:tr>
      <w:tr w:rsidR="008F7B2E" w:rsidRPr="00F672EF" w14:paraId="2C69455F" w14:textId="77777777" w:rsidTr="004D53B9">
        <w:trPr>
          <w:trHeight w:val="262"/>
        </w:trPr>
        <w:tc>
          <w:tcPr>
            <w:tcW w:w="3236" w:type="dxa"/>
            <w:vMerge/>
            <w:tcBorders>
              <w:right w:val="single" w:sz="4" w:space="0" w:color="auto"/>
            </w:tcBorders>
          </w:tcPr>
          <w:p w14:paraId="727D692B"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bottom w:val="single" w:sz="4" w:space="0" w:color="auto"/>
            </w:tcBorders>
          </w:tcPr>
          <w:p w14:paraId="50389433" w14:textId="226EBA99"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bottom w:val="single" w:sz="4" w:space="0" w:color="auto"/>
            </w:tcBorders>
          </w:tcPr>
          <w:p w14:paraId="259A52DA" w14:textId="7E001993" w:rsidR="008F7B2E" w:rsidRPr="00F672EF" w:rsidRDefault="008F7B2E" w:rsidP="00EE5E3B">
            <w:pPr>
              <w:spacing w:after="0" w:line="240" w:lineRule="auto"/>
              <w:rPr>
                <w:iCs/>
                <w:sz w:val="20"/>
                <w:szCs w:val="20"/>
                <w:lang w:val="en-GB"/>
              </w:rPr>
            </w:pPr>
            <w:r w:rsidRPr="00F672EF">
              <w:rPr>
                <w:iCs/>
                <w:sz w:val="20"/>
                <w:szCs w:val="20"/>
                <w:lang w:val="en-GB"/>
              </w:rPr>
              <w:t>Eructation, Flatulence</w:t>
            </w:r>
          </w:p>
        </w:tc>
      </w:tr>
      <w:tr w:rsidR="008F7B2E" w:rsidRPr="00F672EF" w14:paraId="20914D11" w14:textId="77777777" w:rsidTr="004D53B9">
        <w:trPr>
          <w:trHeight w:val="262"/>
        </w:trPr>
        <w:tc>
          <w:tcPr>
            <w:tcW w:w="3236" w:type="dxa"/>
            <w:vMerge/>
            <w:tcBorders>
              <w:bottom w:val="single" w:sz="4" w:space="0" w:color="auto"/>
              <w:right w:val="single" w:sz="4" w:space="0" w:color="auto"/>
            </w:tcBorders>
          </w:tcPr>
          <w:p w14:paraId="27ADED72"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bottom w:val="single" w:sz="4" w:space="0" w:color="auto"/>
            </w:tcBorders>
          </w:tcPr>
          <w:p w14:paraId="567B0568" w14:textId="0CF93F93" w:rsidR="008F7B2E" w:rsidRPr="00F672EF" w:rsidRDefault="008F7B2E" w:rsidP="00EE5E3B">
            <w:pPr>
              <w:spacing w:after="0" w:line="240" w:lineRule="auto"/>
              <w:rPr>
                <w:iCs/>
                <w:sz w:val="20"/>
                <w:szCs w:val="20"/>
                <w:lang w:val="en-GB"/>
              </w:rPr>
            </w:pPr>
            <w:r w:rsidRPr="00F672EF">
              <w:rPr>
                <w:iCs/>
                <w:sz w:val="20"/>
                <w:szCs w:val="20"/>
                <w:lang w:val="en-GB"/>
              </w:rPr>
              <w:t>Unknown</w:t>
            </w:r>
          </w:p>
        </w:tc>
        <w:tc>
          <w:tcPr>
            <w:tcW w:w="3237" w:type="dxa"/>
            <w:tcBorders>
              <w:top w:val="single" w:sz="4" w:space="0" w:color="auto"/>
              <w:left w:val="single" w:sz="4" w:space="0" w:color="auto"/>
              <w:bottom w:val="single" w:sz="4" w:space="0" w:color="auto"/>
            </w:tcBorders>
          </w:tcPr>
          <w:p w14:paraId="488B3C33" w14:textId="68C1CF63" w:rsidR="008F7B2E" w:rsidRPr="00F672EF" w:rsidRDefault="008F7B2E" w:rsidP="00EE5E3B">
            <w:pPr>
              <w:spacing w:after="0" w:line="240" w:lineRule="auto"/>
              <w:rPr>
                <w:iCs/>
                <w:sz w:val="20"/>
                <w:szCs w:val="20"/>
                <w:lang w:val="en-GB"/>
              </w:rPr>
            </w:pPr>
            <w:r w:rsidRPr="00F672EF">
              <w:rPr>
                <w:iCs/>
                <w:sz w:val="20"/>
                <w:szCs w:val="20"/>
                <w:lang w:val="en-GB"/>
              </w:rPr>
              <w:t>Pancreatitis (including necrotising pancreatitis)</w:t>
            </w:r>
          </w:p>
        </w:tc>
      </w:tr>
      <w:tr w:rsidR="008F7B2E" w:rsidRPr="00F672EF" w14:paraId="5EFBC0C3" w14:textId="77777777" w:rsidTr="004D53B9">
        <w:trPr>
          <w:trHeight w:val="262"/>
        </w:trPr>
        <w:tc>
          <w:tcPr>
            <w:tcW w:w="3236" w:type="dxa"/>
            <w:vMerge w:val="restart"/>
            <w:tcBorders>
              <w:top w:val="single" w:sz="4" w:space="0" w:color="auto"/>
              <w:right w:val="single" w:sz="4" w:space="0" w:color="auto"/>
            </w:tcBorders>
          </w:tcPr>
          <w:p w14:paraId="2F8B4CFB" w14:textId="033AD870" w:rsidR="008F7B2E" w:rsidRPr="00F672EF" w:rsidRDefault="008F7B2E" w:rsidP="00EE5E3B">
            <w:pPr>
              <w:spacing w:after="0" w:line="240" w:lineRule="auto"/>
              <w:rPr>
                <w:iCs/>
                <w:sz w:val="20"/>
                <w:szCs w:val="20"/>
                <w:lang w:val="en-GB"/>
              </w:rPr>
            </w:pPr>
            <w:r w:rsidRPr="00F672EF">
              <w:rPr>
                <w:iCs/>
                <w:sz w:val="20"/>
                <w:szCs w:val="20"/>
                <w:lang w:val="en-GB"/>
              </w:rPr>
              <w:t>Hepatobiliary disorders</w:t>
            </w:r>
          </w:p>
        </w:tc>
        <w:tc>
          <w:tcPr>
            <w:tcW w:w="3237" w:type="dxa"/>
            <w:tcBorders>
              <w:top w:val="single" w:sz="4" w:space="0" w:color="auto"/>
              <w:left w:val="single" w:sz="4" w:space="0" w:color="auto"/>
              <w:bottom w:val="single" w:sz="4" w:space="0" w:color="auto"/>
            </w:tcBorders>
          </w:tcPr>
          <w:p w14:paraId="0E14FE59" w14:textId="5E36E539"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bottom w:val="single" w:sz="4" w:space="0" w:color="auto"/>
            </w:tcBorders>
          </w:tcPr>
          <w:p w14:paraId="566E428B" w14:textId="2FD0BCA8" w:rsidR="008F7B2E" w:rsidRPr="00F672EF" w:rsidRDefault="008F7B2E" w:rsidP="00EE5E3B">
            <w:pPr>
              <w:spacing w:after="0" w:line="240" w:lineRule="auto"/>
              <w:rPr>
                <w:iCs/>
                <w:sz w:val="20"/>
                <w:szCs w:val="20"/>
                <w:lang w:val="en-GB"/>
              </w:rPr>
            </w:pPr>
            <w:r w:rsidRPr="00F672EF">
              <w:rPr>
                <w:iCs/>
                <w:sz w:val="20"/>
                <w:szCs w:val="20"/>
                <w:lang w:val="en-GB"/>
              </w:rPr>
              <w:t>Cholelithiasis</w:t>
            </w:r>
          </w:p>
        </w:tc>
      </w:tr>
      <w:tr w:rsidR="008F7B2E" w:rsidRPr="00F672EF" w14:paraId="43D03F65" w14:textId="77777777" w:rsidTr="004D53B9">
        <w:trPr>
          <w:trHeight w:val="262"/>
        </w:trPr>
        <w:tc>
          <w:tcPr>
            <w:tcW w:w="3236" w:type="dxa"/>
            <w:vMerge/>
            <w:tcBorders>
              <w:bottom w:val="single" w:sz="4" w:space="0" w:color="auto"/>
              <w:right w:val="single" w:sz="4" w:space="0" w:color="auto"/>
            </w:tcBorders>
          </w:tcPr>
          <w:p w14:paraId="6ADB1226"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bottom w:val="single" w:sz="4" w:space="0" w:color="auto"/>
            </w:tcBorders>
          </w:tcPr>
          <w:p w14:paraId="71541A83" w14:textId="4B90C83E"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bottom w:val="single" w:sz="4" w:space="0" w:color="auto"/>
            </w:tcBorders>
          </w:tcPr>
          <w:p w14:paraId="428A0435" w14:textId="0F3ECDDA" w:rsidR="008F7B2E" w:rsidRPr="00F672EF" w:rsidRDefault="008F7B2E" w:rsidP="00EE5E3B">
            <w:pPr>
              <w:spacing w:after="0" w:line="240" w:lineRule="auto"/>
              <w:rPr>
                <w:iCs/>
                <w:sz w:val="20"/>
                <w:szCs w:val="20"/>
                <w:lang w:val="en-GB"/>
              </w:rPr>
            </w:pPr>
            <w:r w:rsidRPr="00F672EF">
              <w:rPr>
                <w:iCs/>
                <w:sz w:val="20"/>
                <w:szCs w:val="20"/>
                <w:lang w:val="en-GB"/>
              </w:rPr>
              <w:t>Cholecystitis</w:t>
            </w:r>
          </w:p>
        </w:tc>
      </w:tr>
      <w:tr w:rsidR="008F7B2E" w:rsidRPr="00F672EF" w14:paraId="45A9DE8E" w14:textId="3CD9BF5B" w:rsidTr="00C36DBB">
        <w:trPr>
          <w:trHeight w:val="192"/>
        </w:trPr>
        <w:tc>
          <w:tcPr>
            <w:tcW w:w="3236" w:type="dxa"/>
            <w:vMerge w:val="restart"/>
            <w:tcBorders>
              <w:top w:val="single" w:sz="4" w:space="0" w:color="auto"/>
              <w:right w:val="single" w:sz="4" w:space="0" w:color="auto"/>
            </w:tcBorders>
          </w:tcPr>
          <w:p w14:paraId="49BAEABD" w14:textId="77777777" w:rsidR="008F7B2E" w:rsidRPr="00F672EF" w:rsidRDefault="008F7B2E" w:rsidP="00EE5E3B">
            <w:pPr>
              <w:spacing w:after="0" w:line="240" w:lineRule="auto"/>
              <w:rPr>
                <w:b/>
                <w:bCs/>
                <w:iCs/>
                <w:sz w:val="20"/>
                <w:szCs w:val="20"/>
                <w:lang w:val="en-GB"/>
              </w:rPr>
            </w:pPr>
            <w:r w:rsidRPr="00F672EF">
              <w:rPr>
                <w:iCs/>
                <w:sz w:val="20"/>
                <w:szCs w:val="20"/>
                <w:lang w:val="en-GB"/>
              </w:rPr>
              <w:t>Skin and subcutaneous tissue disorders</w:t>
            </w:r>
          </w:p>
        </w:tc>
        <w:tc>
          <w:tcPr>
            <w:tcW w:w="3237" w:type="dxa"/>
            <w:tcBorders>
              <w:top w:val="single" w:sz="4" w:space="0" w:color="auto"/>
              <w:left w:val="single" w:sz="4" w:space="0" w:color="auto"/>
            </w:tcBorders>
          </w:tcPr>
          <w:p w14:paraId="0BBF5198" w14:textId="77777777"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088EDD47" w14:textId="25CCB618" w:rsidR="008F7B2E" w:rsidRPr="00F672EF" w:rsidRDefault="008F7B2E" w:rsidP="00EE5E3B">
            <w:pPr>
              <w:spacing w:after="0" w:line="240" w:lineRule="auto"/>
              <w:rPr>
                <w:iCs/>
                <w:sz w:val="20"/>
                <w:szCs w:val="20"/>
                <w:lang w:val="en-GB"/>
              </w:rPr>
            </w:pPr>
            <w:r w:rsidRPr="00F672EF">
              <w:rPr>
                <w:iCs/>
                <w:sz w:val="20"/>
                <w:szCs w:val="20"/>
                <w:lang w:val="en-GB"/>
              </w:rPr>
              <w:t>Rash</w:t>
            </w:r>
          </w:p>
        </w:tc>
      </w:tr>
      <w:tr w:rsidR="008F7B2E" w:rsidRPr="00F672EF" w14:paraId="6AFF7080" w14:textId="77777777" w:rsidTr="004D53B9">
        <w:trPr>
          <w:trHeight w:val="192"/>
        </w:trPr>
        <w:tc>
          <w:tcPr>
            <w:tcW w:w="3236" w:type="dxa"/>
            <w:vMerge/>
            <w:tcBorders>
              <w:right w:val="single" w:sz="4" w:space="0" w:color="auto"/>
            </w:tcBorders>
          </w:tcPr>
          <w:p w14:paraId="41EADE32"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6A5B00D9" w14:textId="2205EB6C"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403C791F" w14:textId="51E92EEF" w:rsidR="008F7B2E" w:rsidRPr="00F672EF" w:rsidRDefault="008F7B2E" w:rsidP="00EE5E3B">
            <w:pPr>
              <w:spacing w:after="0" w:line="240" w:lineRule="auto"/>
              <w:rPr>
                <w:iCs/>
                <w:sz w:val="20"/>
                <w:szCs w:val="20"/>
                <w:lang w:val="en-GB"/>
              </w:rPr>
            </w:pPr>
            <w:r w:rsidRPr="00F672EF">
              <w:rPr>
                <w:iCs/>
                <w:sz w:val="20"/>
                <w:szCs w:val="20"/>
                <w:lang w:val="en-GB"/>
              </w:rPr>
              <w:t>Pruritus</w:t>
            </w:r>
          </w:p>
        </w:tc>
      </w:tr>
      <w:tr w:rsidR="008F7B2E" w:rsidRPr="00F672EF" w14:paraId="0343F362" w14:textId="77777777" w:rsidTr="004D53B9">
        <w:trPr>
          <w:trHeight w:val="192"/>
        </w:trPr>
        <w:tc>
          <w:tcPr>
            <w:tcW w:w="3236" w:type="dxa"/>
            <w:vMerge/>
            <w:tcBorders>
              <w:right w:val="single" w:sz="4" w:space="0" w:color="auto"/>
            </w:tcBorders>
          </w:tcPr>
          <w:p w14:paraId="5793AF1B"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57B19292" w14:textId="582558A3"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5250DD3B" w14:textId="2C345934" w:rsidR="008F7B2E" w:rsidRPr="00F672EF" w:rsidRDefault="008F7B2E" w:rsidP="00EE5E3B">
            <w:pPr>
              <w:spacing w:after="0" w:line="240" w:lineRule="auto"/>
              <w:rPr>
                <w:iCs/>
                <w:sz w:val="20"/>
                <w:szCs w:val="20"/>
                <w:lang w:val="en-GB"/>
              </w:rPr>
            </w:pPr>
            <w:r w:rsidRPr="00F672EF">
              <w:rPr>
                <w:iCs/>
                <w:sz w:val="20"/>
                <w:szCs w:val="20"/>
                <w:lang w:val="en-GB"/>
              </w:rPr>
              <w:t>Acquired lipodystrophy</w:t>
            </w:r>
          </w:p>
        </w:tc>
      </w:tr>
      <w:tr w:rsidR="008F7B2E" w:rsidRPr="00F672EF" w14:paraId="38674C9C" w14:textId="77777777" w:rsidTr="00C36DBB">
        <w:trPr>
          <w:trHeight w:val="192"/>
        </w:trPr>
        <w:tc>
          <w:tcPr>
            <w:tcW w:w="3236" w:type="dxa"/>
            <w:vMerge w:val="restart"/>
            <w:tcBorders>
              <w:top w:val="single" w:sz="4" w:space="0" w:color="auto"/>
              <w:right w:val="single" w:sz="4" w:space="0" w:color="auto"/>
            </w:tcBorders>
          </w:tcPr>
          <w:p w14:paraId="6BCE5AC0" w14:textId="4B03861E" w:rsidR="008F7B2E" w:rsidRPr="00F672EF" w:rsidRDefault="008F7B2E" w:rsidP="00EE5E3B">
            <w:pPr>
              <w:spacing w:after="0" w:line="240" w:lineRule="auto"/>
              <w:rPr>
                <w:iCs/>
                <w:sz w:val="20"/>
                <w:szCs w:val="20"/>
                <w:lang w:val="en-GB"/>
              </w:rPr>
            </w:pPr>
            <w:r w:rsidRPr="00F672EF">
              <w:rPr>
                <w:iCs/>
                <w:sz w:val="20"/>
                <w:szCs w:val="20"/>
                <w:lang w:val="en-GB"/>
              </w:rPr>
              <w:t>General disorders and administration site conditions</w:t>
            </w:r>
          </w:p>
        </w:tc>
        <w:tc>
          <w:tcPr>
            <w:tcW w:w="3237" w:type="dxa"/>
            <w:tcBorders>
              <w:top w:val="single" w:sz="4" w:space="0" w:color="auto"/>
              <w:left w:val="single" w:sz="4" w:space="0" w:color="auto"/>
            </w:tcBorders>
          </w:tcPr>
          <w:p w14:paraId="667C6D63" w14:textId="23877254" w:rsidR="008F7B2E" w:rsidRPr="00F672EF" w:rsidRDefault="008F7B2E" w:rsidP="00EE5E3B">
            <w:pPr>
              <w:spacing w:after="0" w:line="240" w:lineRule="auto"/>
              <w:rPr>
                <w:iCs/>
                <w:sz w:val="20"/>
                <w:szCs w:val="20"/>
                <w:lang w:val="en-GB"/>
              </w:rPr>
            </w:pPr>
            <w:r w:rsidRPr="00F672EF">
              <w:rPr>
                <w:iCs/>
                <w:sz w:val="20"/>
                <w:szCs w:val="20"/>
                <w:lang w:val="en-GB"/>
              </w:rPr>
              <w:t>Common</w:t>
            </w:r>
          </w:p>
        </w:tc>
        <w:tc>
          <w:tcPr>
            <w:tcW w:w="3237" w:type="dxa"/>
            <w:tcBorders>
              <w:top w:val="single" w:sz="4" w:space="0" w:color="auto"/>
              <w:left w:val="single" w:sz="4" w:space="0" w:color="auto"/>
            </w:tcBorders>
          </w:tcPr>
          <w:p w14:paraId="4E7D4FB2" w14:textId="6C6616D9" w:rsidR="008F7B2E" w:rsidRPr="00F672EF" w:rsidRDefault="008F7B2E" w:rsidP="00EE5E3B">
            <w:pPr>
              <w:spacing w:after="0" w:line="240" w:lineRule="auto"/>
              <w:rPr>
                <w:iCs/>
                <w:sz w:val="20"/>
                <w:szCs w:val="20"/>
                <w:lang w:val="en-GB"/>
              </w:rPr>
            </w:pPr>
            <w:r w:rsidRPr="00F672EF">
              <w:rPr>
                <w:iCs/>
                <w:sz w:val="20"/>
                <w:szCs w:val="20"/>
                <w:lang w:val="en-GB"/>
              </w:rPr>
              <w:t>Injection site reaction</w:t>
            </w:r>
          </w:p>
        </w:tc>
      </w:tr>
      <w:tr w:rsidR="008F7B2E" w:rsidRPr="00F672EF" w14:paraId="686D05A7" w14:textId="77777777" w:rsidTr="004D53B9">
        <w:trPr>
          <w:trHeight w:val="192"/>
        </w:trPr>
        <w:tc>
          <w:tcPr>
            <w:tcW w:w="3236" w:type="dxa"/>
            <w:vMerge/>
            <w:tcBorders>
              <w:right w:val="single" w:sz="4" w:space="0" w:color="auto"/>
            </w:tcBorders>
          </w:tcPr>
          <w:p w14:paraId="15806FAB"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7B48ADC9" w14:textId="32F61782" w:rsidR="008F7B2E" w:rsidRPr="00F672EF" w:rsidRDefault="008F7B2E" w:rsidP="00EE5E3B">
            <w:pPr>
              <w:spacing w:after="0" w:line="240" w:lineRule="auto"/>
              <w:rPr>
                <w:iCs/>
                <w:sz w:val="20"/>
                <w:szCs w:val="20"/>
                <w:lang w:val="en-GB"/>
              </w:rPr>
            </w:pPr>
            <w:r w:rsidRPr="00F672EF">
              <w:rPr>
                <w:bCs/>
                <w:iCs/>
                <w:sz w:val="20"/>
                <w:szCs w:val="20"/>
                <w:lang w:val="en-GB"/>
              </w:rPr>
              <w:t>Uncommon</w:t>
            </w:r>
          </w:p>
        </w:tc>
        <w:tc>
          <w:tcPr>
            <w:tcW w:w="3237" w:type="dxa"/>
            <w:tcBorders>
              <w:top w:val="single" w:sz="4" w:space="0" w:color="auto"/>
              <w:left w:val="single" w:sz="4" w:space="0" w:color="auto"/>
            </w:tcBorders>
          </w:tcPr>
          <w:p w14:paraId="2E4000D7" w14:textId="199513B4" w:rsidR="008F7B2E" w:rsidRPr="00F672EF" w:rsidRDefault="008F7B2E" w:rsidP="00EE5E3B">
            <w:pPr>
              <w:spacing w:after="0" w:line="240" w:lineRule="auto"/>
              <w:rPr>
                <w:iCs/>
                <w:sz w:val="20"/>
                <w:szCs w:val="20"/>
                <w:lang w:val="en-GB"/>
              </w:rPr>
            </w:pPr>
            <w:r w:rsidRPr="00F672EF">
              <w:rPr>
                <w:iCs/>
                <w:sz w:val="20"/>
                <w:szCs w:val="20"/>
                <w:lang w:val="en-GB"/>
              </w:rPr>
              <w:t>Fatigue</w:t>
            </w:r>
          </w:p>
        </w:tc>
      </w:tr>
      <w:tr w:rsidR="008F7B2E" w:rsidRPr="00F672EF" w14:paraId="5B1E92C3" w14:textId="77777777" w:rsidTr="004D53B9">
        <w:trPr>
          <w:trHeight w:val="192"/>
        </w:trPr>
        <w:tc>
          <w:tcPr>
            <w:tcW w:w="3236" w:type="dxa"/>
            <w:vMerge/>
            <w:tcBorders>
              <w:right w:val="single" w:sz="4" w:space="0" w:color="auto"/>
            </w:tcBorders>
          </w:tcPr>
          <w:p w14:paraId="23187913"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7CE99202" w14:textId="46310C3C" w:rsidR="008F7B2E" w:rsidRPr="00F672EF" w:rsidRDefault="008F7B2E" w:rsidP="00EE5E3B">
            <w:pPr>
              <w:spacing w:after="0" w:line="240" w:lineRule="auto"/>
              <w:rPr>
                <w:iCs/>
                <w:sz w:val="20"/>
                <w:szCs w:val="20"/>
                <w:lang w:val="en-GB"/>
              </w:rPr>
            </w:pPr>
            <w:r w:rsidRPr="00F672EF">
              <w:rPr>
                <w:iCs/>
                <w:sz w:val="20"/>
                <w:szCs w:val="20"/>
                <w:lang w:val="en-GB"/>
              </w:rPr>
              <w:t>Unknown</w:t>
            </w:r>
          </w:p>
        </w:tc>
        <w:tc>
          <w:tcPr>
            <w:tcW w:w="3237" w:type="dxa"/>
            <w:tcBorders>
              <w:top w:val="single" w:sz="4" w:space="0" w:color="auto"/>
              <w:left w:val="single" w:sz="4" w:space="0" w:color="auto"/>
            </w:tcBorders>
          </w:tcPr>
          <w:p w14:paraId="27935B34" w14:textId="66B3CA8F" w:rsidR="008F7B2E" w:rsidRPr="00F672EF" w:rsidRDefault="008F7B2E" w:rsidP="00EE5E3B">
            <w:pPr>
              <w:spacing w:after="0" w:line="240" w:lineRule="auto"/>
              <w:rPr>
                <w:iCs/>
                <w:sz w:val="20"/>
                <w:szCs w:val="20"/>
                <w:lang w:val="en-GB"/>
              </w:rPr>
            </w:pPr>
            <w:r w:rsidRPr="00F672EF">
              <w:rPr>
                <w:iCs/>
                <w:sz w:val="20"/>
                <w:szCs w:val="20"/>
                <w:lang w:val="en-GB"/>
              </w:rPr>
              <w:t>Peripheral oedema (insulin induced)</w:t>
            </w:r>
          </w:p>
        </w:tc>
      </w:tr>
      <w:tr w:rsidR="008F7B2E" w:rsidRPr="00F672EF" w14:paraId="1A7A6AA8" w14:textId="77777777" w:rsidTr="00C36DBB">
        <w:trPr>
          <w:trHeight w:val="192"/>
        </w:trPr>
        <w:tc>
          <w:tcPr>
            <w:tcW w:w="3236" w:type="dxa"/>
            <w:vMerge w:val="restart"/>
            <w:tcBorders>
              <w:top w:val="single" w:sz="4" w:space="0" w:color="auto"/>
              <w:right w:val="single" w:sz="4" w:space="0" w:color="auto"/>
            </w:tcBorders>
          </w:tcPr>
          <w:p w14:paraId="57231D02" w14:textId="0ABAC69D" w:rsidR="008F7B2E" w:rsidRPr="00F672EF" w:rsidRDefault="008F7B2E" w:rsidP="00EE5E3B">
            <w:pPr>
              <w:spacing w:after="0" w:line="240" w:lineRule="auto"/>
              <w:rPr>
                <w:iCs/>
                <w:sz w:val="20"/>
                <w:szCs w:val="20"/>
                <w:lang w:val="en-GB"/>
              </w:rPr>
            </w:pPr>
            <w:r w:rsidRPr="00F672EF">
              <w:rPr>
                <w:iCs/>
                <w:sz w:val="20"/>
                <w:szCs w:val="20"/>
                <w:lang w:val="en-GB"/>
              </w:rPr>
              <w:t>Investigation</w:t>
            </w:r>
          </w:p>
        </w:tc>
        <w:tc>
          <w:tcPr>
            <w:tcW w:w="3237" w:type="dxa"/>
            <w:tcBorders>
              <w:top w:val="single" w:sz="4" w:space="0" w:color="auto"/>
              <w:left w:val="single" w:sz="4" w:space="0" w:color="auto"/>
            </w:tcBorders>
          </w:tcPr>
          <w:p w14:paraId="791CAE4A" w14:textId="6846DE66" w:rsidR="008F7B2E" w:rsidRPr="00F672EF" w:rsidRDefault="008F7B2E" w:rsidP="00EE5E3B">
            <w:pPr>
              <w:spacing w:after="0" w:line="240" w:lineRule="auto"/>
              <w:rPr>
                <w:iCs/>
                <w:sz w:val="20"/>
                <w:szCs w:val="20"/>
                <w:lang w:val="en-GB"/>
              </w:rPr>
            </w:pPr>
            <w:r w:rsidRPr="00F672EF">
              <w:rPr>
                <w:iCs/>
                <w:sz w:val="20"/>
                <w:szCs w:val="20"/>
                <w:lang w:val="en-GB"/>
              </w:rPr>
              <w:t>Common</w:t>
            </w:r>
          </w:p>
        </w:tc>
        <w:tc>
          <w:tcPr>
            <w:tcW w:w="3237" w:type="dxa"/>
            <w:tcBorders>
              <w:top w:val="single" w:sz="4" w:space="0" w:color="auto"/>
              <w:left w:val="single" w:sz="4" w:space="0" w:color="auto"/>
            </w:tcBorders>
          </w:tcPr>
          <w:p w14:paraId="5C57418B" w14:textId="1958371C" w:rsidR="008F7B2E" w:rsidRPr="00F672EF" w:rsidRDefault="008F7B2E" w:rsidP="00EE5E3B">
            <w:pPr>
              <w:spacing w:after="0" w:line="240" w:lineRule="auto"/>
              <w:rPr>
                <w:iCs/>
                <w:sz w:val="20"/>
                <w:szCs w:val="20"/>
                <w:lang w:val="en-GB"/>
              </w:rPr>
            </w:pPr>
            <w:r w:rsidRPr="00F672EF">
              <w:rPr>
                <w:iCs/>
                <w:sz w:val="20"/>
                <w:szCs w:val="20"/>
                <w:lang w:val="en-GB"/>
              </w:rPr>
              <w:t>Increased lipase</w:t>
            </w:r>
          </w:p>
        </w:tc>
      </w:tr>
      <w:tr w:rsidR="008F7B2E" w:rsidRPr="00F672EF" w14:paraId="56D3C856" w14:textId="77777777" w:rsidTr="004D53B9">
        <w:trPr>
          <w:trHeight w:val="192"/>
        </w:trPr>
        <w:tc>
          <w:tcPr>
            <w:tcW w:w="3236" w:type="dxa"/>
            <w:vMerge/>
            <w:tcBorders>
              <w:right w:val="single" w:sz="4" w:space="0" w:color="auto"/>
            </w:tcBorders>
          </w:tcPr>
          <w:p w14:paraId="114E9A2D"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0F7D5FDB" w14:textId="2858D653" w:rsidR="008F7B2E" w:rsidRPr="00F672EF" w:rsidRDefault="008F7B2E" w:rsidP="00EE5E3B">
            <w:pPr>
              <w:spacing w:after="0" w:line="240" w:lineRule="auto"/>
              <w:rPr>
                <w:iCs/>
                <w:sz w:val="20"/>
                <w:szCs w:val="20"/>
                <w:lang w:val="en-GB"/>
              </w:rPr>
            </w:pPr>
            <w:r w:rsidRPr="00F672EF">
              <w:rPr>
                <w:iCs/>
                <w:sz w:val="20"/>
                <w:szCs w:val="20"/>
                <w:lang w:val="en-GB"/>
              </w:rPr>
              <w:t>Common</w:t>
            </w:r>
          </w:p>
        </w:tc>
        <w:tc>
          <w:tcPr>
            <w:tcW w:w="3237" w:type="dxa"/>
            <w:tcBorders>
              <w:top w:val="single" w:sz="4" w:space="0" w:color="auto"/>
              <w:left w:val="single" w:sz="4" w:space="0" w:color="auto"/>
            </w:tcBorders>
          </w:tcPr>
          <w:p w14:paraId="57D30E2D" w14:textId="1E39BEC9" w:rsidR="008F7B2E" w:rsidRPr="00F672EF" w:rsidRDefault="008F7B2E" w:rsidP="00EE5E3B">
            <w:pPr>
              <w:spacing w:after="0" w:line="240" w:lineRule="auto"/>
              <w:rPr>
                <w:iCs/>
                <w:sz w:val="20"/>
                <w:szCs w:val="20"/>
                <w:lang w:val="en-GB"/>
              </w:rPr>
            </w:pPr>
            <w:r w:rsidRPr="00F672EF">
              <w:rPr>
                <w:iCs/>
                <w:sz w:val="20"/>
                <w:szCs w:val="20"/>
                <w:lang w:val="en-GB"/>
              </w:rPr>
              <w:t>Increased amylase</w:t>
            </w:r>
          </w:p>
        </w:tc>
      </w:tr>
      <w:tr w:rsidR="008F7B2E" w:rsidRPr="00F672EF" w14:paraId="78DD55F7" w14:textId="77777777" w:rsidTr="004D53B9">
        <w:trPr>
          <w:trHeight w:val="192"/>
        </w:trPr>
        <w:tc>
          <w:tcPr>
            <w:tcW w:w="3236" w:type="dxa"/>
            <w:vMerge/>
            <w:tcBorders>
              <w:right w:val="single" w:sz="4" w:space="0" w:color="auto"/>
            </w:tcBorders>
          </w:tcPr>
          <w:p w14:paraId="1BB663E5" w14:textId="77777777" w:rsidR="008F7B2E" w:rsidRPr="00F672EF" w:rsidRDefault="008F7B2E" w:rsidP="00EE5E3B">
            <w:pPr>
              <w:spacing w:after="0" w:line="240" w:lineRule="auto"/>
              <w:rPr>
                <w:iCs/>
                <w:sz w:val="20"/>
                <w:szCs w:val="20"/>
                <w:lang w:val="en-GB"/>
              </w:rPr>
            </w:pPr>
          </w:p>
        </w:tc>
        <w:tc>
          <w:tcPr>
            <w:tcW w:w="3237" w:type="dxa"/>
            <w:tcBorders>
              <w:top w:val="single" w:sz="4" w:space="0" w:color="auto"/>
              <w:left w:val="single" w:sz="4" w:space="0" w:color="auto"/>
            </w:tcBorders>
          </w:tcPr>
          <w:p w14:paraId="3F23076E" w14:textId="60DF24E5" w:rsidR="008F7B2E" w:rsidRPr="00F672EF" w:rsidRDefault="008F7B2E" w:rsidP="00EE5E3B">
            <w:pPr>
              <w:spacing w:after="0" w:line="240" w:lineRule="auto"/>
              <w:rPr>
                <w:iCs/>
                <w:sz w:val="20"/>
                <w:szCs w:val="20"/>
                <w:lang w:val="en-GB"/>
              </w:rPr>
            </w:pPr>
            <w:r w:rsidRPr="00F672EF">
              <w:rPr>
                <w:iCs/>
                <w:sz w:val="20"/>
                <w:szCs w:val="20"/>
                <w:lang w:val="en-GB"/>
              </w:rPr>
              <w:t>Uncommon</w:t>
            </w:r>
          </w:p>
        </w:tc>
        <w:tc>
          <w:tcPr>
            <w:tcW w:w="3237" w:type="dxa"/>
            <w:tcBorders>
              <w:top w:val="single" w:sz="4" w:space="0" w:color="auto"/>
              <w:left w:val="single" w:sz="4" w:space="0" w:color="auto"/>
            </w:tcBorders>
          </w:tcPr>
          <w:p w14:paraId="3DE0EC7D" w14:textId="7378F643" w:rsidR="008F7B2E" w:rsidRPr="00F672EF" w:rsidRDefault="008F7B2E" w:rsidP="00EE5E3B">
            <w:pPr>
              <w:spacing w:after="0" w:line="240" w:lineRule="auto"/>
              <w:rPr>
                <w:iCs/>
                <w:sz w:val="20"/>
                <w:szCs w:val="20"/>
                <w:lang w:val="en-GB"/>
              </w:rPr>
            </w:pPr>
            <w:r w:rsidRPr="00F672EF">
              <w:rPr>
                <w:iCs/>
                <w:sz w:val="20"/>
                <w:szCs w:val="20"/>
                <w:lang w:val="en-GB"/>
              </w:rPr>
              <w:t>Increased heart rate</w:t>
            </w:r>
          </w:p>
        </w:tc>
      </w:tr>
    </w:tbl>
    <w:p w14:paraId="34325FF6" w14:textId="1CB3C4CC" w:rsidR="00DA3611" w:rsidRPr="00DA3611" w:rsidRDefault="00DA3611" w:rsidP="00EE5E3B">
      <w:pPr>
        <w:keepNext/>
        <w:keepLines/>
        <w:spacing w:before="200" w:after="0" w:line="240" w:lineRule="auto"/>
        <w:outlineLvl w:val="3"/>
        <w:rPr>
          <w:rFonts w:eastAsiaTheme="majorEastAsia"/>
          <w:bCs/>
          <w:iCs/>
          <w:u w:val="single"/>
        </w:rPr>
      </w:pPr>
      <w:bookmarkStart w:id="7" w:name="_Hlk47012402"/>
      <w:r w:rsidRPr="00DA3611">
        <w:rPr>
          <w:rFonts w:eastAsiaTheme="majorEastAsia"/>
          <w:b/>
          <w:bCs/>
        </w:rPr>
        <w:t xml:space="preserve">Adverse </w:t>
      </w:r>
      <w:r w:rsidR="004566A6">
        <w:rPr>
          <w:rFonts w:eastAsiaTheme="majorEastAsia"/>
          <w:b/>
          <w:bCs/>
        </w:rPr>
        <w:t xml:space="preserve">drug </w:t>
      </w:r>
      <w:r w:rsidRPr="00DA3611">
        <w:rPr>
          <w:rFonts w:eastAsiaTheme="majorEastAsia"/>
          <w:b/>
          <w:bCs/>
        </w:rPr>
        <w:t>reactions from post-marketing sources</w:t>
      </w:r>
    </w:p>
    <w:p w14:paraId="0B9826F4" w14:textId="4A6DBE86" w:rsidR="00DA3611" w:rsidRPr="00DA3611" w:rsidRDefault="00DA3611" w:rsidP="00EE5E3B">
      <w:pPr>
        <w:spacing w:after="0" w:line="240" w:lineRule="auto"/>
      </w:pPr>
      <w:r w:rsidRPr="00DA3611">
        <w:t xml:space="preserve">Adverse reactions </w:t>
      </w:r>
      <w:r w:rsidR="00387240">
        <w:t>associated with Xultophy given below are based on post marketing source data, listed by system organ class and frequency.</w:t>
      </w:r>
    </w:p>
    <w:p w14:paraId="671B1629" w14:textId="77777777" w:rsidR="00DA3611" w:rsidRPr="00DA3611" w:rsidRDefault="00DA3611" w:rsidP="00EE5E3B">
      <w:pPr>
        <w:spacing w:after="0" w:line="240" w:lineRule="auto"/>
      </w:pPr>
    </w:p>
    <w:p w14:paraId="152E1397" w14:textId="5D208F00" w:rsidR="00DA3611" w:rsidRPr="00DA3611" w:rsidRDefault="00DA3611" w:rsidP="00EE5E3B">
      <w:pPr>
        <w:pStyle w:val="Caption"/>
        <w:spacing w:after="0"/>
        <w:rPr>
          <w:i/>
          <w:iCs/>
          <w:color w:val="1F497D" w:themeColor="text2"/>
        </w:rPr>
      </w:pPr>
      <w:r w:rsidRPr="00DA3611">
        <w:rPr>
          <w:color w:val="auto"/>
          <w:sz w:val="22"/>
          <w:szCs w:val="22"/>
        </w:rPr>
        <w:t xml:space="preserve">Table </w:t>
      </w:r>
      <w:r w:rsidRPr="00DA3611">
        <w:rPr>
          <w:color w:val="auto"/>
          <w:sz w:val="22"/>
          <w:szCs w:val="22"/>
        </w:rPr>
        <w:fldChar w:fldCharType="begin"/>
      </w:r>
      <w:r w:rsidRPr="00DA3611">
        <w:rPr>
          <w:color w:val="auto"/>
          <w:sz w:val="22"/>
          <w:szCs w:val="22"/>
        </w:rPr>
        <w:instrText xml:space="preserve"> SEQ Table \* ARABIC </w:instrText>
      </w:r>
      <w:r w:rsidRPr="00DA3611">
        <w:rPr>
          <w:color w:val="auto"/>
          <w:sz w:val="22"/>
          <w:szCs w:val="22"/>
        </w:rPr>
        <w:fldChar w:fldCharType="separate"/>
      </w:r>
      <w:r w:rsidR="00503238">
        <w:rPr>
          <w:noProof/>
          <w:color w:val="auto"/>
          <w:sz w:val="22"/>
          <w:szCs w:val="22"/>
        </w:rPr>
        <w:t>4</w:t>
      </w:r>
      <w:r w:rsidRPr="00DA3611">
        <w:rPr>
          <w:color w:val="auto"/>
          <w:sz w:val="22"/>
          <w:szCs w:val="22"/>
        </w:rPr>
        <w:fldChar w:fldCharType="end"/>
      </w:r>
      <w:r w:rsidRPr="00DA3611">
        <w:rPr>
          <w:color w:val="auto"/>
          <w:sz w:val="22"/>
          <w:szCs w:val="22"/>
        </w:rPr>
        <w:t>: Adverse reactions from post-marketing sources</w:t>
      </w:r>
    </w:p>
    <w:tbl>
      <w:tblPr>
        <w:tblW w:w="9848"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28"/>
        <w:gridCol w:w="3098"/>
        <w:gridCol w:w="3422"/>
      </w:tblGrid>
      <w:tr w:rsidR="004566A6" w:rsidRPr="00DA3611" w14:paraId="66AFDFB9" w14:textId="77777777" w:rsidTr="004566A6">
        <w:trPr>
          <w:trHeight w:val="308"/>
        </w:trPr>
        <w:tc>
          <w:tcPr>
            <w:tcW w:w="3328" w:type="dxa"/>
            <w:tcBorders>
              <w:top w:val="single" w:sz="4" w:space="0" w:color="auto"/>
              <w:right w:val="single" w:sz="4" w:space="0" w:color="auto"/>
            </w:tcBorders>
          </w:tcPr>
          <w:p w14:paraId="23B24287" w14:textId="236EEA77" w:rsidR="004566A6" w:rsidRPr="00DA3611" w:rsidRDefault="004566A6" w:rsidP="00EE5E3B">
            <w:pPr>
              <w:spacing w:after="0" w:line="240" w:lineRule="auto"/>
              <w:rPr>
                <w:sz w:val="20"/>
                <w:szCs w:val="20"/>
              </w:rPr>
            </w:pPr>
            <w:r w:rsidRPr="00DA3611">
              <w:rPr>
                <w:b/>
                <w:sz w:val="20"/>
                <w:szCs w:val="20"/>
              </w:rPr>
              <w:t>System Organ Class</w:t>
            </w:r>
          </w:p>
        </w:tc>
        <w:tc>
          <w:tcPr>
            <w:tcW w:w="3098" w:type="dxa"/>
            <w:tcBorders>
              <w:top w:val="single" w:sz="4" w:space="0" w:color="auto"/>
            </w:tcBorders>
            <w:vAlign w:val="center"/>
          </w:tcPr>
          <w:p w14:paraId="0DF0A4B4" w14:textId="06EACF3A" w:rsidR="004566A6" w:rsidRPr="00DA3611" w:rsidRDefault="004566A6" w:rsidP="00EE5E3B">
            <w:pPr>
              <w:spacing w:after="0" w:line="240" w:lineRule="auto"/>
              <w:rPr>
                <w:b/>
                <w:sz w:val="20"/>
                <w:szCs w:val="20"/>
              </w:rPr>
            </w:pPr>
            <w:r w:rsidRPr="00DA3611">
              <w:rPr>
                <w:b/>
                <w:sz w:val="20"/>
                <w:szCs w:val="20"/>
              </w:rPr>
              <w:t>Frequency</w:t>
            </w:r>
          </w:p>
        </w:tc>
        <w:tc>
          <w:tcPr>
            <w:tcW w:w="3422" w:type="dxa"/>
            <w:tcBorders>
              <w:top w:val="single" w:sz="4" w:space="0" w:color="auto"/>
              <w:bottom w:val="single" w:sz="4" w:space="0" w:color="auto"/>
              <w:right w:val="single" w:sz="4" w:space="0" w:color="auto"/>
            </w:tcBorders>
          </w:tcPr>
          <w:p w14:paraId="08AEF124" w14:textId="6B29EE53" w:rsidR="004566A6" w:rsidRPr="00DA3611" w:rsidRDefault="004566A6" w:rsidP="00EE5E3B">
            <w:pPr>
              <w:spacing w:after="0" w:line="240" w:lineRule="auto"/>
              <w:rPr>
                <w:b/>
                <w:sz w:val="20"/>
                <w:szCs w:val="20"/>
              </w:rPr>
            </w:pPr>
            <w:r w:rsidRPr="00F672EF">
              <w:rPr>
                <w:b/>
                <w:iCs/>
                <w:sz w:val="20"/>
                <w:szCs w:val="20"/>
                <w:lang w:val="en-GB"/>
              </w:rPr>
              <w:t>Adverse Drug Reaction</w:t>
            </w:r>
          </w:p>
        </w:tc>
      </w:tr>
      <w:tr w:rsidR="004566A6" w:rsidRPr="00DA3611" w14:paraId="353F1EFF" w14:textId="77777777" w:rsidTr="004566A6">
        <w:trPr>
          <w:trHeight w:val="306"/>
        </w:trPr>
        <w:tc>
          <w:tcPr>
            <w:tcW w:w="3328" w:type="dxa"/>
            <w:tcBorders>
              <w:top w:val="single" w:sz="4" w:space="0" w:color="auto"/>
              <w:bottom w:val="single" w:sz="4" w:space="0" w:color="auto"/>
              <w:right w:val="single" w:sz="4" w:space="0" w:color="auto"/>
            </w:tcBorders>
          </w:tcPr>
          <w:p w14:paraId="0426B585" w14:textId="77777777" w:rsidR="004566A6" w:rsidRPr="00DA3611" w:rsidRDefault="004566A6" w:rsidP="00EE5E3B">
            <w:pPr>
              <w:spacing w:after="0" w:line="240" w:lineRule="auto"/>
              <w:rPr>
                <w:sz w:val="20"/>
                <w:szCs w:val="20"/>
              </w:rPr>
            </w:pPr>
            <w:r w:rsidRPr="00DA3611">
              <w:rPr>
                <w:sz w:val="20"/>
                <w:szCs w:val="20"/>
              </w:rPr>
              <w:t>Skin and subcutaneous tissue disorders</w:t>
            </w:r>
          </w:p>
        </w:tc>
        <w:tc>
          <w:tcPr>
            <w:tcW w:w="3098" w:type="dxa"/>
            <w:tcBorders>
              <w:top w:val="single" w:sz="4" w:space="0" w:color="auto"/>
              <w:bottom w:val="single" w:sz="4" w:space="0" w:color="auto"/>
            </w:tcBorders>
          </w:tcPr>
          <w:p w14:paraId="546647D6" w14:textId="791CA900" w:rsidR="004566A6" w:rsidRPr="00DA3611" w:rsidRDefault="004566A6" w:rsidP="00EE5E3B">
            <w:pPr>
              <w:spacing w:after="0" w:line="240" w:lineRule="auto"/>
              <w:rPr>
                <w:sz w:val="20"/>
                <w:szCs w:val="20"/>
              </w:rPr>
            </w:pPr>
            <w:r w:rsidRPr="00DA3611">
              <w:rPr>
                <w:sz w:val="20"/>
                <w:szCs w:val="20"/>
              </w:rPr>
              <w:t>Not known</w:t>
            </w:r>
          </w:p>
        </w:tc>
        <w:tc>
          <w:tcPr>
            <w:tcW w:w="3422" w:type="dxa"/>
            <w:tcBorders>
              <w:top w:val="single" w:sz="4" w:space="0" w:color="auto"/>
              <w:bottom w:val="single" w:sz="4" w:space="0" w:color="auto"/>
              <w:right w:val="single" w:sz="4" w:space="0" w:color="auto"/>
            </w:tcBorders>
          </w:tcPr>
          <w:p w14:paraId="5C0E65B7" w14:textId="63EB4942" w:rsidR="004566A6" w:rsidRPr="00DA3611" w:rsidRDefault="004566A6" w:rsidP="00EE5E3B">
            <w:pPr>
              <w:spacing w:after="0" w:line="240" w:lineRule="auto"/>
              <w:rPr>
                <w:sz w:val="20"/>
                <w:szCs w:val="20"/>
              </w:rPr>
            </w:pPr>
            <w:r w:rsidRPr="00DA3611">
              <w:rPr>
                <w:sz w:val="20"/>
                <w:szCs w:val="20"/>
              </w:rPr>
              <w:t>Cutaneous amyloidosis</w:t>
            </w:r>
          </w:p>
        </w:tc>
      </w:tr>
    </w:tbl>
    <w:bookmarkEnd w:id="7"/>
    <w:p w14:paraId="64A28CF3" w14:textId="202E5191" w:rsidR="00AF7AB3" w:rsidRPr="002F7BCB" w:rsidRDefault="00AF7AB3" w:rsidP="00EE5E3B">
      <w:pPr>
        <w:pStyle w:val="Heading3"/>
      </w:pPr>
      <w:r w:rsidRPr="002F7BCB">
        <w:t xml:space="preserve">Description of </w:t>
      </w:r>
      <w:r w:rsidR="00715880">
        <w:t>s</w:t>
      </w:r>
      <w:r w:rsidRPr="002F7BCB">
        <w:t xml:space="preserve">elected </w:t>
      </w:r>
      <w:r w:rsidR="00715880">
        <w:t>a</w:t>
      </w:r>
      <w:r w:rsidRPr="002F7BCB">
        <w:t xml:space="preserve">dverse </w:t>
      </w:r>
      <w:r w:rsidR="00715880">
        <w:t>d</w:t>
      </w:r>
      <w:r w:rsidR="008F7B2E">
        <w:t xml:space="preserve">rug </w:t>
      </w:r>
      <w:r w:rsidR="00715880">
        <w:t>r</w:t>
      </w:r>
      <w:r w:rsidRPr="002F7BCB">
        <w:t>eactions</w:t>
      </w:r>
    </w:p>
    <w:p w14:paraId="4B06236A" w14:textId="4563C205" w:rsidR="00AF7AB3" w:rsidRPr="00570350" w:rsidRDefault="00AF7AB3" w:rsidP="00EE5E3B">
      <w:pPr>
        <w:keepNext/>
        <w:spacing w:after="0" w:line="240" w:lineRule="auto"/>
        <w:rPr>
          <w:i/>
          <w:iCs/>
          <w:u w:val="single"/>
        </w:rPr>
      </w:pPr>
      <w:r w:rsidRPr="00570350">
        <w:rPr>
          <w:i/>
          <w:iCs/>
          <w:u w:val="single"/>
        </w:rPr>
        <w:t>Hypoglycaemia</w:t>
      </w:r>
    </w:p>
    <w:p w14:paraId="45896AE1" w14:textId="0CDB6844" w:rsidR="00AF7AB3" w:rsidRDefault="008F7B2E" w:rsidP="00EE5E3B">
      <w:r>
        <w:t>Hypoglycaemia may occur if the Xultophy dose is higher than required. Severe hypoglycaemia may lead to unconsciousness and/or convulsions and may result in temporary or permanent impairment of brain function or even death. The symptoms of hypoglycaemia usually occur suddenly. They may include cold sweats, cool pale skin, fatigue, nervousness or tremor, anxiousness, unusual tiredness or weakness, confusion, difficulty in concentration, drowsiness, excessive hunger, vision changes, headache, nausea and palpitation.</w:t>
      </w:r>
    </w:p>
    <w:p w14:paraId="74299FBE" w14:textId="2AD83252" w:rsidR="008F7B2E" w:rsidRPr="00570350" w:rsidRDefault="008F7B2E" w:rsidP="00EE5E3B">
      <w:pPr>
        <w:spacing w:after="0" w:line="240" w:lineRule="auto"/>
        <w:rPr>
          <w:i/>
          <w:iCs/>
          <w:u w:val="single"/>
        </w:rPr>
      </w:pPr>
      <w:r w:rsidRPr="00570350">
        <w:rPr>
          <w:i/>
          <w:iCs/>
          <w:u w:val="single"/>
        </w:rPr>
        <w:t>Allergic reactions</w:t>
      </w:r>
    </w:p>
    <w:p w14:paraId="0C099A9B" w14:textId="5B1623D7" w:rsidR="008F7B2E" w:rsidRPr="002F7BCB" w:rsidRDefault="008F7B2E" w:rsidP="00EE5E3B">
      <w:r>
        <w:t>Allergic reactions (manifested with signs and symptoms such as urticaria, rash, pruritus and/or swelling of the face) have been reported for Xultophy. Few cases of anaphylactic reactions with additional symptoms such as hypotension, palpitations, dyspnoea, and oedema have been reported during marketed use of liraglutide. Anaphylactic reactions may potentially be life threatening.</w:t>
      </w:r>
    </w:p>
    <w:p w14:paraId="43D61D9E" w14:textId="6E1C4557" w:rsidR="00AF7AB3" w:rsidRPr="00570350" w:rsidRDefault="00AF7AB3" w:rsidP="00EE5E3B">
      <w:pPr>
        <w:spacing w:after="0" w:line="240" w:lineRule="auto"/>
        <w:rPr>
          <w:i/>
          <w:iCs/>
          <w:u w:val="single"/>
        </w:rPr>
      </w:pPr>
      <w:r w:rsidRPr="00570350">
        <w:rPr>
          <w:i/>
          <w:iCs/>
          <w:u w:val="single"/>
        </w:rPr>
        <w:t xml:space="preserve">Gastrointestinal </w:t>
      </w:r>
      <w:r w:rsidR="005A5DA5">
        <w:rPr>
          <w:i/>
          <w:iCs/>
          <w:u w:val="single"/>
        </w:rPr>
        <w:t>a</w:t>
      </w:r>
      <w:r w:rsidRPr="00570350">
        <w:rPr>
          <w:i/>
          <w:iCs/>
          <w:u w:val="single"/>
        </w:rPr>
        <w:t xml:space="preserve">dverse </w:t>
      </w:r>
      <w:r w:rsidR="005A5DA5">
        <w:rPr>
          <w:i/>
          <w:iCs/>
          <w:u w:val="single"/>
        </w:rPr>
        <w:t>r</w:t>
      </w:r>
      <w:r w:rsidRPr="00570350">
        <w:rPr>
          <w:i/>
          <w:iCs/>
          <w:u w:val="single"/>
        </w:rPr>
        <w:t>eactions</w:t>
      </w:r>
    </w:p>
    <w:p w14:paraId="083B151D" w14:textId="49CFF083" w:rsidR="00AF7AB3" w:rsidRPr="002F7BCB" w:rsidRDefault="00610511" w:rsidP="00EE5E3B">
      <w:pPr>
        <w:rPr>
          <w:iCs/>
        </w:rPr>
      </w:pPr>
      <w:r w:rsidRPr="00610511">
        <w:rPr>
          <w:iCs/>
        </w:rPr>
        <w:t>Gastrointestinal adverse events including nausea, diarrhoea, vomiting, constipation,</w:t>
      </w:r>
      <w:r>
        <w:rPr>
          <w:iCs/>
        </w:rPr>
        <w:t xml:space="preserve"> </w:t>
      </w:r>
      <w:r w:rsidRPr="00610511">
        <w:rPr>
          <w:iCs/>
        </w:rPr>
        <w:t>dyspepsia, gastritis, abdominal pain, gastroesophageal reflux disease, abdominal</w:t>
      </w:r>
      <w:r>
        <w:rPr>
          <w:iCs/>
        </w:rPr>
        <w:t xml:space="preserve"> </w:t>
      </w:r>
      <w:r w:rsidRPr="00610511">
        <w:rPr>
          <w:iCs/>
        </w:rPr>
        <w:t>distension, eructation, flatulence and decreased appetite have been reported in patients</w:t>
      </w:r>
      <w:r>
        <w:rPr>
          <w:iCs/>
        </w:rPr>
        <w:t xml:space="preserve"> </w:t>
      </w:r>
      <w:r w:rsidRPr="00610511">
        <w:rPr>
          <w:iCs/>
        </w:rPr>
        <w:t>treated with Xultophy. These gastrointestinal adverse events may occur more</w:t>
      </w:r>
      <w:r>
        <w:rPr>
          <w:iCs/>
        </w:rPr>
        <w:t xml:space="preserve"> </w:t>
      </w:r>
      <w:r w:rsidRPr="00610511">
        <w:rPr>
          <w:iCs/>
        </w:rPr>
        <w:t>frequently at the beginning of Xultophy therapy and usually diminish within a few</w:t>
      </w:r>
      <w:r>
        <w:rPr>
          <w:iCs/>
        </w:rPr>
        <w:t xml:space="preserve"> </w:t>
      </w:r>
      <w:r w:rsidRPr="00610511">
        <w:rPr>
          <w:iCs/>
        </w:rPr>
        <w:t>days or weeks on continued treatment.</w:t>
      </w:r>
    </w:p>
    <w:p w14:paraId="5A9ADD1D" w14:textId="5BB37848" w:rsidR="005D5F23" w:rsidRPr="00570350" w:rsidRDefault="005D5F23" w:rsidP="00EE5E3B">
      <w:pPr>
        <w:keepNext/>
        <w:spacing w:after="0" w:line="240" w:lineRule="auto"/>
        <w:rPr>
          <w:i/>
          <w:iCs/>
          <w:u w:val="single"/>
        </w:rPr>
      </w:pPr>
      <w:r w:rsidRPr="00570350">
        <w:rPr>
          <w:i/>
          <w:iCs/>
          <w:u w:val="single"/>
        </w:rPr>
        <w:t xml:space="preserve">Injection </w:t>
      </w:r>
      <w:r w:rsidR="005A5DA5">
        <w:rPr>
          <w:i/>
          <w:iCs/>
          <w:u w:val="single"/>
        </w:rPr>
        <w:t>s</w:t>
      </w:r>
      <w:r w:rsidRPr="00570350">
        <w:rPr>
          <w:i/>
          <w:iCs/>
          <w:u w:val="single"/>
        </w:rPr>
        <w:t xml:space="preserve">ite </w:t>
      </w:r>
      <w:r w:rsidR="005A5DA5">
        <w:rPr>
          <w:i/>
          <w:iCs/>
          <w:u w:val="single"/>
        </w:rPr>
        <w:t>r</w:t>
      </w:r>
      <w:r w:rsidRPr="00570350">
        <w:rPr>
          <w:i/>
          <w:iCs/>
          <w:u w:val="single"/>
        </w:rPr>
        <w:t>eactions</w:t>
      </w:r>
    </w:p>
    <w:p w14:paraId="4955900F" w14:textId="5464094D" w:rsidR="005D5F23" w:rsidRPr="002F7BCB" w:rsidRDefault="00610511" w:rsidP="00EE5E3B">
      <w:r>
        <w:t>Injection site reactions (including injection site haematoma, pain, haemorrhage, erythema, nodules, swelling, discolouration, pruritus, warmth and injection site mass) have been reported in patients treated with Xultophy. These reactions were usually mild and transitory and they normally disappear during continued treatment.</w:t>
      </w:r>
    </w:p>
    <w:p w14:paraId="33DAF15D" w14:textId="6BBC8D01" w:rsidR="008F61B7" w:rsidRPr="00570350" w:rsidRDefault="00624BED" w:rsidP="00EE5E3B">
      <w:pPr>
        <w:keepNext/>
        <w:spacing w:after="0" w:line="240" w:lineRule="auto"/>
        <w:rPr>
          <w:i/>
          <w:iCs/>
          <w:u w:val="single"/>
        </w:rPr>
      </w:pPr>
      <w:r>
        <w:rPr>
          <w:i/>
          <w:iCs/>
          <w:u w:val="single"/>
        </w:rPr>
        <w:t>Skin and subcutaneous tissue disorders</w:t>
      </w:r>
    </w:p>
    <w:p w14:paraId="716A5413" w14:textId="5FB6FA99" w:rsidR="008F61B7" w:rsidRPr="002F7BCB" w:rsidRDefault="00610511" w:rsidP="00EE5E3B">
      <w:r>
        <w:t xml:space="preserve">Lipodystrophy (including lipohypertrophy, lipoatrophy) </w:t>
      </w:r>
      <w:r w:rsidR="00624BED">
        <w:t xml:space="preserve">and cutaneous amyloidosis </w:t>
      </w:r>
      <w:r>
        <w:t>may occur at the injection site</w:t>
      </w:r>
      <w:r w:rsidR="00624BED">
        <w:t xml:space="preserve"> and delay local insulin absorption</w:t>
      </w:r>
      <w:r>
        <w:t xml:space="preserve">. Continuous rotation of the injection site within the </w:t>
      </w:r>
      <w:r w:rsidR="00624BED">
        <w:t xml:space="preserve">given </w:t>
      </w:r>
      <w:r>
        <w:t xml:space="preserve">injection area may help to reduce the risk </w:t>
      </w:r>
      <w:r w:rsidR="00624BED">
        <w:t xml:space="preserve">or prevent </w:t>
      </w:r>
      <w:r>
        <w:t>these reactions</w:t>
      </w:r>
      <w:r w:rsidR="00624BED">
        <w:t xml:space="preserve"> (see section 4.4 Special Warnings and Precautions for Use)</w:t>
      </w:r>
      <w:r>
        <w:t>.</w:t>
      </w:r>
    </w:p>
    <w:p w14:paraId="17284E32" w14:textId="5B8E2B5C" w:rsidR="008F61B7" w:rsidRPr="002F7BCB" w:rsidRDefault="00610511" w:rsidP="00EE5E3B">
      <w:pPr>
        <w:spacing w:after="0" w:line="240" w:lineRule="auto"/>
        <w:rPr>
          <w:i/>
          <w:iCs/>
        </w:rPr>
      </w:pPr>
      <w:r w:rsidRPr="00570350">
        <w:rPr>
          <w:i/>
          <w:iCs/>
          <w:u w:val="single"/>
        </w:rPr>
        <w:t xml:space="preserve">Increased </w:t>
      </w:r>
      <w:r w:rsidR="005A5DA5">
        <w:rPr>
          <w:i/>
          <w:iCs/>
          <w:u w:val="single"/>
        </w:rPr>
        <w:t>h</w:t>
      </w:r>
      <w:r w:rsidR="008F61B7" w:rsidRPr="00570350">
        <w:rPr>
          <w:i/>
          <w:iCs/>
          <w:u w:val="single"/>
        </w:rPr>
        <w:t xml:space="preserve">eart </w:t>
      </w:r>
      <w:r w:rsidR="005A5DA5">
        <w:rPr>
          <w:i/>
          <w:iCs/>
          <w:u w:val="single"/>
        </w:rPr>
        <w:t>r</w:t>
      </w:r>
      <w:r w:rsidR="008F61B7" w:rsidRPr="00570350">
        <w:rPr>
          <w:i/>
          <w:iCs/>
          <w:u w:val="single"/>
        </w:rPr>
        <w:t>ate</w:t>
      </w:r>
    </w:p>
    <w:p w14:paraId="255FF2FD" w14:textId="28375FAC" w:rsidR="00EE4BAF" w:rsidRDefault="00610511" w:rsidP="00EE5E3B">
      <w:r>
        <w:t>Mean increase in heart rate from baseline of 2 to 3 beats per minute has been observed in clinical trials with Xultophy. In the LEADER trial, no long-term clinical impact of increased heart rate on the risk of cardiovascular events was observed with liraglutide (a component of Xultophy).</w:t>
      </w:r>
    </w:p>
    <w:p w14:paraId="1E3E60BB" w14:textId="77777777" w:rsidR="00E043F6" w:rsidRPr="002F7BCB" w:rsidRDefault="00E043F6" w:rsidP="00EE5E3B">
      <w:pPr>
        <w:pStyle w:val="Heading3"/>
      </w:pPr>
      <w:r w:rsidRPr="002F7BCB">
        <w:t>Reporting suspected adverse effects</w:t>
      </w:r>
    </w:p>
    <w:p w14:paraId="33463D6A" w14:textId="4B961AB0" w:rsidR="00121E71" w:rsidRPr="002F7BCB" w:rsidRDefault="00E043F6" w:rsidP="00EE5E3B">
      <w:r w:rsidRPr="002F7BCB">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9" w:history="1">
        <w:r w:rsidRPr="002F7BCB">
          <w:rPr>
            <w:rStyle w:val="Hyperlink"/>
          </w:rPr>
          <w:t>www.tga.gov.au/reporting-problems</w:t>
        </w:r>
      </w:hyperlink>
      <w:r w:rsidRPr="002F7BCB">
        <w:t>.</w:t>
      </w:r>
    </w:p>
    <w:p w14:paraId="28AECBA6" w14:textId="71B46230" w:rsidR="00C44B67" w:rsidRPr="002F7BCB" w:rsidRDefault="00C44B67" w:rsidP="00EE5E3B">
      <w:pPr>
        <w:pStyle w:val="Heading3"/>
      </w:pPr>
      <w:r w:rsidRPr="002F7BCB">
        <w:t>4.9</w:t>
      </w:r>
      <w:r w:rsidRPr="002F7BCB">
        <w:tab/>
        <w:t>Overdose</w:t>
      </w:r>
    </w:p>
    <w:p w14:paraId="43304E7C" w14:textId="71883A8D" w:rsidR="00A82731" w:rsidRDefault="00A82731" w:rsidP="00EE5E3B">
      <w:r>
        <w:t>Limited data are available with regard to overdose of Xultophy.</w:t>
      </w:r>
    </w:p>
    <w:p w14:paraId="2F3FC4AA" w14:textId="46C1FAE0" w:rsidR="00A82731" w:rsidRDefault="00A82731" w:rsidP="00EE5E3B">
      <w:r>
        <w:t>Hypoglycaemia may develop if a patient is dosed with more Xultophy than required:</w:t>
      </w:r>
    </w:p>
    <w:p w14:paraId="75717B6C" w14:textId="74596414" w:rsidR="00A82731" w:rsidRDefault="00A82731" w:rsidP="00EE5E3B">
      <w:pPr>
        <w:pStyle w:val="ListParagraph"/>
        <w:numPr>
          <w:ilvl w:val="0"/>
          <w:numId w:val="13"/>
        </w:numPr>
      </w:pPr>
      <w:r>
        <w:t>Mild hypoglycaemic episodes can be treated by oral administration of glucose or other products containing sugar. It is therefore recommended that the patient always carries sugar-containing products</w:t>
      </w:r>
    </w:p>
    <w:p w14:paraId="0DE0C8CB" w14:textId="24A0A337" w:rsidR="00C44B67" w:rsidRDefault="00A82731" w:rsidP="00EE5E3B">
      <w:pPr>
        <w:pStyle w:val="ListParagraph"/>
        <w:numPr>
          <w:ilvl w:val="0"/>
          <w:numId w:val="13"/>
        </w:numPr>
      </w:pPr>
      <w:r>
        <w:t xml:space="preserve">Severe hypoglycaemic episodes, where the patient is not able to treat </w:t>
      </w:r>
      <w:r w:rsidR="003F13D7">
        <w:t>themselves,</w:t>
      </w:r>
      <w:r>
        <w:t xml:space="preserve"> can be treated with glucagon (0.5 to 1 mg) given intramuscularly or subcutaneously by a trained person, or with glucose given intravenously by a healthcare professional. Glucose must be given intravenously if the patient does not respond to glucagon within 10 to 15 minutes. Upon regaining consciousness, administration of oral carbohydrates is recommended for the patient in order to prevent a relapse.</w:t>
      </w:r>
    </w:p>
    <w:p w14:paraId="51D8B641" w14:textId="059E74B8" w:rsidR="00A82731" w:rsidRPr="00741E23" w:rsidRDefault="00A82731" w:rsidP="00EE5E3B">
      <w:r w:rsidRPr="00A82731">
        <w:t xml:space="preserve">For information on the management of overdose, contact the Poison Information Centre on </w:t>
      </w:r>
      <w:r w:rsidRPr="00741E23">
        <w:t>131126 (Australia).</w:t>
      </w:r>
    </w:p>
    <w:p w14:paraId="0383CBCC" w14:textId="14A4C85D" w:rsidR="00C44B67" w:rsidRPr="00741E23" w:rsidRDefault="00C44B67" w:rsidP="00EE5E3B">
      <w:pPr>
        <w:pStyle w:val="Heading2"/>
      </w:pPr>
      <w:r w:rsidRPr="00741E23">
        <w:t>5.</w:t>
      </w:r>
      <w:r w:rsidRPr="00741E23">
        <w:tab/>
        <w:t>PHA</w:t>
      </w:r>
      <w:r w:rsidR="00A32675" w:rsidRPr="00741E23">
        <w:t>R</w:t>
      </w:r>
      <w:r w:rsidRPr="00741E23">
        <w:t>MACOLOGICAL PROPERTIES</w:t>
      </w:r>
    </w:p>
    <w:p w14:paraId="722E0AFD" w14:textId="77777777" w:rsidR="00C44B67" w:rsidRPr="00741E23" w:rsidRDefault="00C44B67" w:rsidP="00EE5E3B">
      <w:pPr>
        <w:pStyle w:val="Heading3"/>
      </w:pPr>
      <w:r w:rsidRPr="00741E23">
        <w:t>5.1</w:t>
      </w:r>
      <w:r w:rsidRPr="00741E23">
        <w:tab/>
        <w:t>Pharmacodynamic Properties</w:t>
      </w:r>
    </w:p>
    <w:p w14:paraId="6B68851B" w14:textId="0DB9314B" w:rsidR="00D436B9" w:rsidRPr="002F7BCB" w:rsidRDefault="00D436B9" w:rsidP="00EE5E3B">
      <w:r w:rsidRPr="00741E23">
        <w:t xml:space="preserve">Pharmacotherapeutic group: Drugs used in diabetes, </w:t>
      </w:r>
      <w:r w:rsidR="00A32675" w:rsidRPr="00741E23">
        <w:t>Insulins and analogues for injection, long-acting.</w:t>
      </w:r>
      <w:r w:rsidRPr="00741E23">
        <w:t xml:space="preserve"> ATC code: A10</w:t>
      </w:r>
      <w:r w:rsidR="00A32675" w:rsidRPr="00741E23">
        <w:t>AE5</w:t>
      </w:r>
      <w:r w:rsidRPr="00741E23">
        <w:t>6.</w:t>
      </w:r>
    </w:p>
    <w:p w14:paraId="23C74257" w14:textId="77777777" w:rsidR="00C44B67" w:rsidRPr="002F7BCB" w:rsidRDefault="00C44B67" w:rsidP="00EE5E3B">
      <w:pPr>
        <w:pStyle w:val="Heading3"/>
      </w:pPr>
      <w:r w:rsidRPr="002F7BCB">
        <w:t>Mechanism of action</w:t>
      </w:r>
    </w:p>
    <w:p w14:paraId="25FC1A59" w14:textId="7FC7FAD3" w:rsidR="0077211B" w:rsidRDefault="00B15912" w:rsidP="00EE5E3B">
      <w:r>
        <w:t xml:space="preserve">Xultophy is a combination product consisting of insulin degludec and liraglutide having complementary mechanisms of action to improve glycaemic control. </w:t>
      </w:r>
      <w:r w:rsidR="00E41BB0">
        <w:t>Xultophy has a stable pharmacodynamic profile with a duration of action reflecting the combination of the individual action profiles of insulin degludec and liraglutide that allows for administration of Xultophy once daily at any time of the day with or without meals. Xultophy improves glycaemic control through the sustained lowering of fasting plasma glucose levels and postprandial blood glucose levels after all meals.</w:t>
      </w:r>
    </w:p>
    <w:p w14:paraId="514DCB27" w14:textId="2BFBFB39" w:rsidR="00B15912" w:rsidRDefault="00B15912" w:rsidP="00EE5E3B">
      <w:r>
        <w:t>Insulin degludec is a basal insulin that forms soluble multihexamers upon subcutaneous injection, resulting in a depot from which insulin degludec is continuously and slowly absorbed into the circulation leading to the ultra-long, flat and stable glucose-lowering effect of insulin degludec with a low day-to-day variability in insulin action.</w:t>
      </w:r>
    </w:p>
    <w:p w14:paraId="3455ACA2" w14:textId="64CB34CD" w:rsidR="00B15912" w:rsidRDefault="00B15912" w:rsidP="00EE5E3B">
      <w:r>
        <w:t xml:space="preserve">Insulin degludec binds to the human insulin receptor </w:t>
      </w:r>
      <w:r w:rsidR="00F313C7">
        <w:t>resulting</w:t>
      </w:r>
      <w:r>
        <w:t xml:space="preserve"> in the same pharmacological effects as human insulin. The blood glucose-lowering effect of insulin degludec is due to the facilitated uptake of glucose following the binding of insulin to receptors on muscle and fat cells and to the simultaneous inhibition of glucose output from the liver.</w:t>
      </w:r>
    </w:p>
    <w:p w14:paraId="69B42F23" w14:textId="633F815E" w:rsidR="00B15912" w:rsidRDefault="00FE40AD" w:rsidP="00EE5E3B">
      <w:r w:rsidRPr="00FE40AD">
        <w:rPr>
          <w:bCs/>
          <w:lang w:val="en-US"/>
        </w:rPr>
        <w:t xml:space="preserve">The GLP-1 receptor </w:t>
      </w:r>
      <w:r>
        <w:rPr>
          <w:bCs/>
          <w:lang w:val="en-US"/>
        </w:rPr>
        <w:t xml:space="preserve">(GLP-1R) </w:t>
      </w:r>
      <w:r w:rsidRPr="00FE40AD">
        <w:rPr>
          <w:bCs/>
          <w:lang w:val="en-US"/>
        </w:rPr>
        <w:t>is the target for native GLP-1, an endogenous incretin hormone that potentiates glucose-dependent insulin secretion from the pancreatic beta cells. Liraglutide exhibits 97% homology to human GLP-1</w:t>
      </w:r>
      <w:r w:rsidR="00B15912">
        <w:t>. Following subcutaneous administration, the protracted action profile is based on three mechanisms: self-association</w:t>
      </w:r>
      <w:r>
        <w:t xml:space="preserve"> (</w:t>
      </w:r>
      <w:r w:rsidR="00B15912">
        <w:t>which results in slow absorption</w:t>
      </w:r>
      <w:r>
        <w:t>),</w:t>
      </w:r>
      <w:r w:rsidR="00B15912">
        <w:t xml:space="preserve"> binding to albumin</w:t>
      </w:r>
      <w:r>
        <w:t>,</w:t>
      </w:r>
      <w:r w:rsidR="00B15912">
        <w:t xml:space="preserve"> and enzymatic stability towards the dipeptidyl peptidase (DPP</w:t>
      </w:r>
      <w:r>
        <w:t>-</w:t>
      </w:r>
      <w:r w:rsidR="00B15912">
        <w:t>IV) and neutral endopeptidase (NEP) enzymes, resulting in a long plasma half-life.</w:t>
      </w:r>
    </w:p>
    <w:p w14:paraId="2A1B8B0B" w14:textId="1652EB7A" w:rsidR="00B15912" w:rsidRDefault="00B15912" w:rsidP="00EE5E3B">
      <w:r>
        <w:t xml:space="preserve">Liraglutide action is mediated via a specific interaction with GLP-1 receptors and improves glycaemic control by lowering fasting and postprandial blood glucose. Liraglutide stimulates insulin secretion and lowers inappropriately high glucagon secretion in a glucose-dependent manner. Thus, when blood glucose is high, insulin secretion is stimulated and glucagon secretion is inhibited. Conversely, during hypoglycaemia liraglutide diminishes insulin secretion and does not impair glucagon secretion. The mechanism of blood glucose lowering </w:t>
      </w:r>
      <w:r w:rsidR="00FE40AD">
        <w:t xml:space="preserve">may </w:t>
      </w:r>
      <w:r>
        <w:t>also involve a minor delay in gastric emptying</w:t>
      </w:r>
      <w:r w:rsidR="00FE40AD">
        <w:t xml:space="preserve"> (see Section 4.5, Interactions </w:t>
      </w:r>
      <w:r w:rsidR="00B84E27">
        <w:t>w</w:t>
      </w:r>
      <w:r w:rsidR="00FE40AD">
        <w:t>ith Other Medicines and Other Forms of Interactions)</w:t>
      </w:r>
      <w:r>
        <w:t>.</w:t>
      </w:r>
    </w:p>
    <w:p w14:paraId="2B65A4A6" w14:textId="7CE1817C" w:rsidR="00B15912" w:rsidRDefault="00A61F7E" w:rsidP="00EE5E3B">
      <w:r w:rsidRPr="00A61F7E">
        <w:rPr>
          <w:bCs/>
        </w:rPr>
        <w:t xml:space="preserve">Liraglutide lowers body weight through decreased food intake and loss of predominantly fat mass.  </w:t>
      </w:r>
    </w:p>
    <w:p w14:paraId="04BB60AA" w14:textId="0A57497C" w:rsidR="00B15912" w:rsidRDefault="00B15912" w:rsidP="00EE5E3B">
      <w:r>
        <w:t xml:space="preserve">GLP-1 is a physiological regulator of appetite and </w:t>
      </w:r>
      <w:r w:rsidR="00A61F7E">
        <w:t xml:space="preserve">food </w:t>
      </w:r>
      <w:r>
        <w:t>intake and GLP-1</w:t>
      </w:r>
      <w:r w:rsidR="00A61F7E">
        <w:t>R</w:t>
      </w:r>
      <w:r>
        <w:t xml:space="preserve"> is present in several areas of the brain involved in appetite regulation</w:t>
      </w:r>
      <w:r w:rsidR="00A61F7E">
        <w:t xml:space="preserve"> as well as the intestine</w:t>
      </w:r>
      <w:r>
        <w:t>. In animal studies, peripheral administration of liraglutide led to uptake in specific brain regions including the hypothalamus, where liraglutide, via specific activation of the GLP-1</w:t>
      </w:r>
      <w:r w:rsidR="00A61F7E">
        <w:t>R</w:t>
      </w:r>
      <w:r>
        <w:t xml:space="preserve">, increased </w:t>
      </w:r>
      <w:r w:rsidR="00A61F7E">
        <w:t xml:space="preserve">key </w:t>
      </w:r>
      <w:r>
        <w:t xml:space="preserve">satiety and decreased </w:t>
      </w:r>
      <w:r w:rsidR="00A61F7E">
        <w:t xml:space="preserve">key </w:t>
      </w:r>
      <w:r>
        <w:t>hunger signals.</w:t>
      </w:r>
    </w:p>
    <w:p w14:paraId="0E794100" w14:textId="51AAD34B" w:rsidR="00A61F7E" w:rsidRDefault="00B15912" w:rsidP="00EE5E3B">
      <w:r>
        <w:t xml:space="preserve">GLP-1 receptors are also expressed in specific locations in the heart, vasculature, immune system, and kidneys. In mouse models of atherosclerosis, liraglutide prevented aortic plaque progression and reduced </w:t>
      </w:r>
      <w:r w:rsidR="00A61F7E" w:rsidRPr="00A61F7E">
        <w:rPr>
          <w:bCs/>
          <w:lang w:val="en-GB"/>
        </w:rPr>
        <w:t>the expression of genes related to inflammation in aortic tissue</w:t>
      </w:r>
      <w:r>
        <w:t>. In addition, liraglutide had a beneficial effect on plasma lipids</w:t>
      </w:r>
      <w:r w:rsidR="00A61F7E" w:rsidRPr="00A61F7E">
        <w:rPr>
          <w:bCs/>
          <w:lang w:val="en-GB"/>
        </w:rPr>
        <w:t>, decreasing plasma triglyceride, total cholesterol, LDL and VLDL, and increasing HDL.</w:t>
      </w:r>
      <w:r w:rsidRPr="00A61F7E">
        <w:t xml:space="preserve"> Liraglutide</w:t>
      </w:r>
      <w:r>
        <w:t xml:space="preserve"> did not reduce the plaque size of already established plaques.</w:t>
      </w:r>
    </w:p>
    <w:p w14:paraId="0DDC09B3" w14:textId="2178B565" w:rsidR="004D53B9" w:rsidRDefault="004D53B9" w:rsidP="00EE5E3B">
      <w:r>
        <w:t>Postprandial glucose reduction was confirmed in a 4 hour standardised meal test sub-study in patients uncontrolled on metformin alone or in combination with pioglitazone. Xultophy decreased the postprandial plasma glucose excursion (mean over 4 hours) significantly more than insulin degludec. The results were similar for Xultophy and liraglutide.</w:t>
      </w:r>
    </w:p>
    <w:p w14:paraId="325F8A6A" w14:textId="1085AD07" w:rsidR="004D53B9" w:rsidRPr="00570350" w:rsidRDefault="004D53B9" w:rsidP="00EE5E3B">
      <w:pPr>
        <w:spacing w:after="0" w:line="240" w:lineRule="auto"/>
        <w:rPr>
          <w:i/>
          <w:iCs/>
          <w:u w:val="single"/>
        </w:rPr>
      </w:pPr>
      <w:r w:rsidRPr="00570350">
        <w:rPr>
          <w:i/>
          <w:iCs/>
          <w:u w:val="single"/>
        </w:rPr>
        <w:t>Insulin secretion/beta cell function</w:t>
      </w:r>
    </w:p>
    <w:p w14:paraId="734BA082" w14:textId="2ED3B2AB" w:rsidR="004D53B9" w:rsidRDefault="004D53B9" w:rsidP="00EE5E3B">
      <w:r>
        <w:t>Xultophy improves beta-cell function compared to insulin degludec as measured by the homeostasis model assessment for beta-cell function (HOMA-β). Improved insulin secretion compared to insulin degludec was demonstrated in a 4 hour standardised meal test sub-study in patients uncontrolled on metformin alone or in combination with pioglitazone after 52 weeks treatment.</w:t>
      </w:r>
    </w:p>
    <w:p w14:paraId="5F804EDD" w14:textId="200346C5" w:rsidR="004D53B9" w:rsidRPr="00570350" w:rsidRDefault="004D53B9" w:rsidP="00EE5E3B">
      <w:pPr>
        <w:spacing w:after="0" w:line="240" w:lineRule="auto"/>
        <w:rPr>
          <w:i/>
          <w:iCs/>
          <w:u w:val="single"/>
        </w:rPr>
      </w:pPr>
      <w:r w:rsidRPr="00570350">
        <w:rPr>
          <w:i/>
          <w:iCs/>
          <w:u w:val="single"/>
        </w:rPr>
        <w:t xml:space="preserve">Cardiac </w:t>
      </w:r>
      <w:r w:rsidR="005A5DA5">
        <w:rPr>
          <w:i/>
          <w:iCs/>
          <w:u w:val="single"/>
        </w:rPr>
        <w:t>e</w:t>
      </w:r>
      <w:r w:rsidRPr="00570350">
        <w:rPr>
          <w:i/>
          <w:iCs/>
          <w:u w:val="single"/>
        </w:rPr>
        <w:t>lectrophysiology (QTc)</w:t>
      </w:r>
    </w:p>
    <w:p w14:paraId="09CDA475" w14:textId="59CB11B7" w:rsidR="004D53B9" w:rsidRDefault="004D53B9" w:rsidP="00EE5E3B">
      <w:r>
        <w:t>The effect of Xultophy on QTc has not been studied.</w:t>
      </w:r>
    </w:p>
    <w:p w14:paraId="2F7B669C" w14:textId="0A7A0ED5" w:rsidR="004D53B9" w:rsidRPr="00E208C5" w:rsidRDefault="004D53B9" w:rsidP="00EE5E3B">
      <w:r>
        <w:t>The effect of liraglutide on cardiac repolarisation was tested in a QTc study. Liraglutide at steady state concentrations with daily doses up to 1.8 mg did not produce QTc prolongation. For insulin degludec, no statistically significant difference was observed between insulin degludec and comparator in change from baseline in QTc intervals based on ECG analysis from a 12-month clinical trial.</w:t>
      </w:r>
    </w:p>
    <w:p w14:paraId="538B7E48" w14:textId="695E15AA" w:rsidR="00C44B67" w:rsidRPr="00FC4CA6" w:rsidRDefault="00C44B67" w:rsidP="00EE5E3B">
      <w:pPr>
        <w:pStyle w:val="Heading3"/>
      </w:pPr>
      <w:r w:rsidRPr="00E208C5">
        <w:t>Clinical trials</w:t>
      </w:r>
    </w:p>
    <w:p w14:paraId="3649E826" w14:textId="09401890" w:rsidR="00906F9B" w:rsidRDefault="00B90CFD" w:rsidP="00EE5E3B">
      <w:r>
        <w:t>I</w:t>
      </w:r>
      <w:r w:rsidR="00906F9B">
        <w:t>mprovement of glycaemic control</w:t>
      </w:r>
      <w:r>
        <w:t>, prevention of microvascular complications</w:t>
      </w:r>
      <w:r w:rsidR="00906F9B">
        <w:t xml:space="preserve"> and reduction of cardiovascular morbidity and mortality are an integral part of the treatment of type 2 diabetes. The safety and efficacy of Xultophy were evaluated in seven randomised, controlled parallel group phase 3 trials in different populations of subjects with type 2 diabetes defined by previous antidiabetes treatment. Comparator treatments comprised basal insulin, GLP-1 RA therapy, placebo and basal bolus </w:t>
      </w:r>
      <w:r>
        <w:t>insulin therapies</w:t>
      </w:r>
      <w:r w:rsidR="00906F9B">
        <w:t>. The trials were of 26 weeks</w:t>
      </w:r>
      <w:r w:rsidR="00D72E74">
        <w:t>’</w:t>
      </w:r>
      <w:r w:rsidR="00906F9B">
        <w:t xml:space="preserve"> duration </w:t>
      </w:r>
      <w:r>
        <w:t xml:space="preserve">with one study further extended to 52 weeks. A total of </w:t>
      </w:r>
      <w:r w:rsidR="00936901">
        <w:t>4432</w:t>
      </w:r>
      <w:r>
        <w:t xml:space="preserve"> patients were </w:t>
      </w:r>
      <w:r w:rsidR="00936901">
        <w:t>randomised</w:t>
      </w:r>
      <w:r>
        <w:t>.</w:t>
      </w:r>
      <w:r w:rsidR="00906F9B">
        <w:t xml:space="preserve"> In all trials, a twice weekly titration regimen for Xultophy was used (see </w:t>
      </w:r>
      <w:r w:rsidR="00580049" w:rsidRPr="00580049">
        <w:rPr>
          <w:b/>
          <w:bCs/>
        </w:rPr>
        <w:fldChar w:fldCharType="begin"/>
      </w:r>
      <w:r w:rsidR="00580049" w:rsidRPr="00580049">
        <w:rPr>
          <w:b/>
          <w:bCs/>
        </w:rPr>
        <w:instrText xml:space="preserve"> REF _Ref56099750 \h </w:instrText>
      </w:r>
      <w:r w:rsidR="00580049">
        <w:rPr>
          <w:b/>
          <w:bCs/>
        </w:rPr>
        <w:instrText xml:space="preserve"> \* MERGEFORMAT </w:instrText>
      </w:r>
      <w:r w:rsidR="00580049" w:rsidRPr="00580049">
        <w:rPr>
          <w:b/>
          <w:bCs/>
        </w:rPr>
      </w:r>
      <w:r w:rsidR="00580049" w:rsidRPr="00580049">
        <w:rPr>
          <w:b/>
          <w:bCs/>
        </w:rPr>
        <w:fldChar w:fldCharType="separate"/>
      </w:r>
      <w:r w:rsidR="00503238" w:rsidRPr="00503238">
        <w:rPr>
          <w:b/>
          <w:bCs/>
          <w:sz w:val="22"/>
          <w:szCs w:val="22"/>
        </w:rPr>
        <w:t xml:space="preserve">Table </w:t>
      </w:r>
      <w:r w:rsidR="00503238" w:rsidRPr="00503238">
        <w:rPr>
          <w:b/>
          <w:bCs/>
          <w:noProof/>
          <w:sz w:val="22"/>
          <w:szCs w:val="22"/>
        </w:rPr>
        <w:t>1</w:t>
      </w:r>
      <w:r w:rsidR="00580049" w:rsidRPr="00580049">
        <w:rPr>
          <w:b/>
          <w:bCs/>
        </w:rPr>
        <w:fldChar w:fldCharType="end"/>
      </w:r>
      <w:r w:rsidR="00906F9B">
        <w:t>). The same titration algorithm was applied for basal insulin comparators. In six studies, Xultophy produced clinically and statistically significant improvements in glycaemic control versus comparators as measured by glycated haemoglobin A1c (HbA</w:t>
      </w:r>
      <w:r w:rsidR="00906F9B" w:rsidRPr="00906F9B">
        <w:rPr>
          <w:vertAlign w:val="subscript"/>
        </w:rPr>
        <w:t>1c</w:t>
      </w:r>
      <w:r w:rsidR="00906F9B">
        <w:t>), whereas one study demonstrated a similar reduction of HbA</w:t>
      </w:r>
      <w:r w:rsidR="00906F9B" w:rsidRPr="00906F9B">
        <w:rPr>
          <w:vertAlign w:val="subscript"/>
        </w:rPr>
        <w:t>1c</w:t>
      </w:r>
      <w:r w:rsidR="00906F9B">
        <w:t xml:space="preserve"> in both treatment arms.</w:t>
      </w:r>
    </w:p>
    <w:p w14:paraId="7DFEA51D" w14:textId="3002E671" w:rsidR="00906F9B" w:rsidRDefault="00B41DD7" w:rsidP="00EE5E3B">
      <w:r>
        <w:t>Large cardiovascular outcomes trials were conducted with liraglutide (the LEADER trial) and insulin degludec (the DEVOTE trial), monocomponents of Xultophy. The LEADER trial included 9,340 patients with type 2 diabetes mellitus at high cardiovascular risk and the DEVOTE trial included 7,637 patients with type 2 diabetes mellitus at high cardiovascular risk.</w:t>
      </w:r>
    </w:p>
    <w:p w14:paraId="258A0EC3" w14:textId="416F5B45" w:rsidR="00570350" w:rsidRDefault="00E54A9C" w:rsidP="00EE5E3B">
      <w:pPr>
        <w:spacing w:after="0" w:line="240" w:lineRule="auto"/>
        <w:rPr>
          <w:i/>
          <w:iCs/>
        </w:rPr>
      </w:pPr>
      <w:r w:rsidRPr="00570350">
        <w:rPr>
          <w:i/>
          <w:iCs/>
          <w:u w:val="single"/>
        </w:rPr>
        <w:t>Glycaemic control</w:t>
      </w:r>
    </w:p>
    <w:p w14:paraId="75437753" w14:textId="0F16667B" w:rsidR="00E54A9C" w:rsidRPr="00AB2269" w:rsidRDefault="00E54A9C" w:rsidP="00EE5E3B">
      <w:pPr>
        <w:spacing w:after="0" w:line="240" w:lineRule="auto"/>
        <w:rPr>
          <w:i/>
          <w:iCs/>
        </w:rPr>
      </w:pPr>
      <w:r w:rsidRPr="00AB2269">
        <w:rPr>
          <w:i/>
          <w:iCs/>
        </w:rPr>
        <w:t>Add-on to metformin alone or in combination with pioglitazone</w:t>
      </w:r>
      <w:r w:rsidR="001E5395" w:rsidRPr="00AB2269">
        <w:rPr>
          <w:i/>
          <w:iCs/>
        </w:rPr>
        <w:t xml:space="preserve"> -</w:t>
      </w:r>
      <w:r w:rsidRPr="00AB2269">
        <w:rPr>
          <w:i/>
          <w:iCs/>
        </w:rPr>
        <w:t xml:space="preserve"> Xultophy compared to insulin degludec and liraglutide (Trial 3697)</w:t>
      </w:r>
    </w:p>
    <w:p w14:paraId="71A9A0A9" w14:textId="0B200A6A" w:rsidR="00906F9B" w:rsidRDefault="00E54A9C" w:rsidP="00EE5E3B">
      <w:r>
        <w:t xml:space="preserve">The efficacy and safety of Xultophy compared to insulin degludec and liraglutide, all once-daily, were studied in a 26-week randomised, controlled, open-label, treat-to-target trial in patients with type 2 diabetes mellitus with a 26-week extension. The starting dose of Xultophy and insulin degludec was 10 dose steps and 10 units, respectively, and the dose was titrated twice weekly according to </w:t>
      </w:r>
      <w:r w:rsidR="00AE0638" w:rsidRPr="00315E5F">
        <w:rPr>
          <w:b/>
          <w:bCs/>
        </w:rPr>
        <w:fldChar w:fldCharType="begin"/>
      </w:r>
      <w:r w:rsidR="00AE0638" w:rsidRPr="00315E5F">
        <w:rPr>
          <w:b/>
          <w:bCs/>
        </w:rPr>
        <w:instrText xml:space="preserve"> REF _Ref56099750 \h </w:instrText>
      </w:r>
      <w:r w:rsidR="00AE0638">
        <w:rPr>
          <w:b/>
          <w:bCs/>
        </w:rPr>
        <w:instrText xml:space="preserve"> \* MERGEFORMAT </w:instrText>
      </w:r>
      <w:r w:rsidR="00AE0638" w:rsidRPr="00315E5F">
        <w:rPr>
          <w:b/>
          <w:bCs/>
        </w:rPr>
      </w:r>
      <w:r w:rsidR="00AE0638"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AE0638" w:rsidRPr="00315E5F">
        <w:rPr>
          <w:b/>
          <w:bCs/>
        </w:rPr>
        <w:fldChar w:fldCharType="end"/>
      </w:r>
      <w:r>
        <w:t>. Patients in the liraglutide arm followed a fixed dose escalation scheme with a starting dose of 0.6 mg and a dose increase of 0.6 mg weekly until the maintenance dose of 1.8 mg was reached. The maximum dose of Xultophy was 50 dose steps, while there was no maximum dose in the insulin degludec arm.</w:t>
      </w:r>
    </w:p>
    <w:p w14:paraId="7FF2FA4C" w14:textId="42712DC1" w:rsidR="00906F9B" w:rsidRDefault="00A70DD8" w:rsidP="00EE5E3B">
      <w:r>
        <w:t>The reduction in HbA</w:t>
      </w:r>
      <w:r w:rsidRPr="00A3367A">
        <w:rPr>
          <w:vertAlign w:val="subscript"/>
        </w:rPr>
        <w:t>1c</w:t>
      </w:r>
      <w:r>
        <w:t xml:space="preserve"> from baseline to 26 weeks was 1.9% with Xultophy, showing superiority to liraglutide (estimated treatment difference -0.64%, p&lt;0.0001) and noninferiority compared to insulin degludec (estimated treatment difference -0.47%, p&lt;0.0001). Body weight was reduced by 0.5 kg with Xultophy with an estimated treatment difference between Xultophy and insulin degludec of -2.22 kg (p&lt;0.0001), confirming superiority compared to insulin degludec. Xultophy showed a statistically significant reduction in overall risk of hypoglycaemia compared to insulin degludec, confirming superiority compared to insulin degludec (p=0.0023). As depicted in </w:t>
      </w:r>
      <w:r w:rsidR="00323D70">
        <w:fldChar w:fldCharType="begin"/>
      </w:r>
      <w:r w:rsidR="00323D70">
        <w:instrText xml:space="preserve"> REF _Ref24644777 \h </w:instrText>
      </w:r>
      <w:r w:rsidR="00EE5E3B">
        <w:instrText xml:space="preserve"> \* MERGEFORMAT </w:instrText>
      </w:r>
      <w:r w:rsidR="00323D70">
        <w:fldChar w:fldCharType="separate"/>
      </w:r>
      <w:r w:rsidR="00503238" w:rsidRPr="007B79E7">
        <w:rPr>
          <w:b/>
          <w:bCs/>
          <w:sz w:val="22"/>
          <w:szCs w:val="22"/>
        </w:rPr>
        <w:t xml:space="preserve">Figure </w:t>
      </w:r>
      <w:r w:rsidR="00503238">
        <w:rPr>
          <w:b/>
          <w:bCs/>
          <w:noProof/>
          <w:sz w:val="22"/>
          <w:szCs w:val="22"/>
        </w:rPr>
        <w:t>1</w:t>
      </w:r>
      <w:r w:rsidR="00323D70">
        <w:fldChar w:fldCharType="end"/>
      </w:r>
      <w:r>
        <w:t>, patients experienced lower rates of hypoglycaemia with Xultophy irrespective of glycaemic control as compared to insulin degludec.</w:t>
      </w:r>
    </w:p>
    <w:p w14:paraId="6DFE764F" w14:textId="6DB8050A" w:rsidR="00906F9B" w:rsidRDefault="009838F9" w:rsidP="00EE5E3B">
      <w:r>
        <w:t>After 26 weeks of treatment, 60.4% of patients treated with Xultophy reached a target of HbA</w:t>
      </w:r>
      <w:r w:rsidRPr="00A3367A">
        <w:rPr>
          <w:vertAlign w:val="subscript"/>
        </w:rPr>
        <w:t>1c</w:t>
      </w:r>
      <w:r>
        <w:t xml:space="preserve"> &lt;7% without confirmed hypoglycaemic episodes. The proportion was significantly larger than observed with insulin degludec (40.9%, odds ratio 2.28, p&lt;0.0001) and similar to that observed with liraglutide (57.7%, odds ratio 1.13, p=0.3184). Rates of confirmed hypoglycaemia were lower with Xultophy than with insulin degludec irrespective of the glycaemic control, see </w:t>
      </w:r>
      <w:r w:rsidR="00A6734B">
        <w:fldChar w:fldCharType="begin"/>
      </w:r>
      <w:r w:rsidR="00A6734B">
        <w:instrText xml:space="preserve"> REF _Ref24644777 \h </w:instrText>
      </w:r>
      <w:r w:rsidR="00EE5E3B">
        <w:instrText xml:space="preserve"> \* MERGEFORMAT </w:instrText>
      </w:r>
      <w:r w:rsidR="00A6734B">
        <w:fldChar w:fldCharType="separate"/>
      </w:r>
      <w:r w:rsidR="00503238" w:rsidRPr="007B79E7">
        <w:rPr>
          <w:b/>
          <w:bCs/>
          <w:sz w:val="22"/>
          <w:szCs w:val="22"/>
        </w:rPr>
        <w:t xml:space="preserve">Figure </w:t>
      </w:r>
      <w:r w:rsidR="00503238">
        <w:rPr>
          <w:b/>
          <w:bCs/>
          <w:noProof/>
          <w:sz w:val="22"/>
          <w:szCs w:val="22"/>
        </w:rPr>
        <w:t>1</w:t>
      </w:r>
      <w:r w:rsidR="00A6734B">
        <w:fldChar w:fldCharType="end"/>
      </w:r>
      <w:r>
        <w:t xml:space="preserve">.The key results of the trial are </w:t>
      </w:r>
      <w:r w:rsidR="00AD30BE">
        <w:t xml:space="preserve">presented </w:t>
      </w:r>
      <w:r>
        <w:t xml:space="preserve">in </w:t>
      </w:r>
      <w:r w:rsidR="007E495A">
        <w:fldChar w:fldCharType="begin"/>
      </w:r>
      <w:r w:rsidR="007E495A">
        <w:instrText xml:space="preserve"> REF _Ref24644777 \h </w:instrText>
      </w:r>
      <w:r w:rsidR="00EE5E3B">
        <w:instrText xml:space="preserve"> \* MERGEFORMAT </w:instrText>
      </w:r>
      <w:r w:rsidR="007E495A">
        <w:fldChar w:fldCharType="separate"/>
      </w:r>
      <w:r w:rsidR="00503238" w:rsidRPr="007B79E7">
        <w:rPr>
          <w:b/>
          <w:bCs/>
          <w:sz w:val="22"/>
          <w:szCs w:val="22"/>
        </w:rPr>
        <w:t xml:space="preserve">Figure </w:t>
      </w:r>
      <w:r w:rsidR="00503238">
        <w:rPr>
          <w:b/>
          <w:bCs/>
          <w:noProof/>
          <w:sz w:val="22"/>
          <w:szCs w:val="22"/>
        </w:rPr>
        <w:t>1</w:t>
      </w:r>
      <w:r w:rsidR="007E495A">
        <w:fldChar w:fldCharType="end"/>
      </w:r>
      <w:r>
        <w:t xml:space="preserve">, </w:t>
      </w:r>
      <w:r w:rsidR="007E495A">
        <w:fldChar w:fldCharType="begin"/>
      </w:r>
      <w:r w:rsidR="007E495A">
        <w:instrText xml:space="preserve"> REF _Ref24644786 \h </w:instrText>
      </w:r>
      <w:r w:rsidR="00EE5E3B">
        <w:instrText xml:space="preserve"> \* MERGEFORMAT </w:instrText>
      </w:r>
      <w:r w:rsidR="007E495A">
        <w:fldChar w:fldCharType="separate"/>
      </w:r>
      <w:r w:rsidR="00503238" w:rsidRPr="007B79E7">
        <w:rPr>
          <w:b/>
          <w:bCs/>
          <w:sz w:val="22"/>
          <w:szCs w:val="22"/>
        </w:rPr>
        <w:t xml:space="preserve">Figure </w:t>
      </w:r>
      <w:r w:rsidR="00503238">
        <w:rPr>
          <w:b/>
          <w:bCs/>
          <w:noProof/>
          <w:sz w:val="22"/>
          <w:szCs w:val="22"/>
        </w:rPr>
        <w:t>2</w:t>
      </w:r>
      <w:r w:rsidR="007E495A">
        <w:fldChar w:fldCharType="end"/>
      </w:r>
      <w:r>
        <w:t xml:space="preserve"> </w:t>
      </w:r>
      <w:r w:rsidR="00465272">
        <w:t xml:space="preserve">and </w:t>
      </w:r>
      <w:r w:rsidR="007E495A">
        <w:fldChar w:fldCharType="begin"/>
      </w:r>
      <w:r w:rsidR="007E495A">
        <w:instrText xml:space="preserve"> REF _Ref24644793 \h </w:instrText>
      </w:r>
      <w:r w:rsidR="00EE5E3B">
        <w:instrText xml:space="preserve"> \* MERGEFORMAT </w:instrText>
      </w:r>
      <w:r w:rsidR="007E495A">
        <w:fldChar w:fldCharType="separate"/>
      </w:r>
      <w:r w:rsidR="00503238" w:rsidRPr="007B79E7">
        <w:rPr>
          <w:b/>
          <w:bCs/>
          <w:sz w:val="22"/>
          <w:szCs w:val="22"/>
        </w:rPr>
        <w:t xml:space="preserve">Figure </w:t>
      </w:r>
      <w:r w:rsidR="00503238">
        <w:rPr>
          <w:b/>
          <w:bCs/>
          <w:noProof/>
          <w:sz w:val="22"/>
          <w:szCs w:val="22"/>
        </w:rPr>
        <w:t>3</w:t>
      </w:r>
      <w:r w:rsidR="007E495A">
        <w:fldChar w:fldCharType="end"/>
      </w:r>
      <w:r>
        <w:t>.</w:t>
      </w:r>
    </w:p>
    <w:p w14:paraId="595FF6E6" w14:textId="0676B6BC" w:rsidR="000214A5" w:rsidRPr="007B79E7" w:rsidRDefault="000214A5" w:rsidP="00EE5E3B">
      <w:pPr>
        <w:spacing w:after="0" w:line="240" w:lineRule="auto"/>
        <w:rPr>
          <w:sz w:val="22"/>
          <w:szCs w:val="22"/>
          <w:lang w:val="da-DK"/>
        </w:rPr>
      </w:pPr>
      <w:bookmarkStart w:id="8" w:name="_Ref24644777"/>
      <w:bookmarkStart w:id="9" w:name="_Ref24644709"/>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1</w:t>
      </w:r>
      <w:r w:rsidRPr="007B79E7">
        <w:rPr>
          <w:b/>
          <w:sz w:val="22"/>
          <w:szCs w:val="22"/>
        </w:rPr>
        <w:fldChar w:fldCharType="end"/>
      </w:r>
      <w:bookmarkEnd w:id="8"/>
      <w:r w:rsidRPr="007B79E7">
        <w:rPr>
          <w:b/>
          <w:sz w:val="22"/>
          <w:szCs w:val="22"/>
        </w:rPr>
        <w:t xml:space="preserve">: </w:t>
      </w:r>
      <w:r w:rsidRPr="007B79E7">
        <w:rPr>
          <w:b/>
          <w:bCs/>
          <w:sz w:val="22"/>
          <w:szCs w:val="22"/>
          <w:lang w:val="en-US"/>
        </w:rPr>
        <w:t>Mean HbA</w:t>
      </w:r>
      <w:r w:rsidRPr="007B79E7">
        <w:rPr>
          <w:b/>
          <w:bCs/>
          <w:sz w:val="22"/>
          <w:szCs w:val="22"/>
          <w:vertAlign w:val="subscript"/>
          <w:lang w:val="en-US"/>
        </w:rPr>
        <w:t xml:space="preserve">1c </w:t>
      </w:r>
      <w:r w:rsidRPr="007B79E7">
        <w:rPr>
          <w:b/>
          <w:bCs/>
          <w:sz w:val="22"/>
          <w:szCs w:val="22"/>
          <w:lang w:val="en-US"/>
        </w:rPr>
        <w:t>(%) by treatment week (upper) and r</w:t>
      </w:r>
      <w:r w:rsidRPr="007B79E7">
        <w:rPr>
          <w:b/>
          <w:sz w:val="22"/>
          <w:szCs w:val="22"/>
          <w:lang w:val="en-US"/>
        </w:rPr>
        <w:t>ate of confirmed hypoglycaemia* per patient year of exposure vs mean HbA</w:t>
      </w:r>
      <w:r w:rsidRPr="007B79E7">
        <w:rPr>
          <w:b/>
          <w:sz w:val="22"/>
          <w:szCs w:val="22"/>
          <w:vertAlign w:val="subscript"/>
          <w:lang w:val="en-US"/>
        </w:rPr>
        <w:t>1c</w:t>
      </w:r>
      <w:r w:rsidRPr="007B79E7">
        <w:rPr>
          <w:b/>
          <w:sz w:val="22"/>
          <w:szCs w:val="22"/>
          <w:lang w:val="en-US"/>
        </w:rPr>
        <w:t xml:space="preserve"> (%) (lower) </w:t>
      </w:r>
      <w:r w:rsidRPr="007B79E7">
        <w:rPr>
          <w:b/>
          <w:bCs/>
          <w:sz w:val="22"/>
          <w:szCs w:val="22"/>
          <w:lang w:val="en-US"/>
        </w:rPr>
        <w:t xml:space="preserve">in </w:t>
      </w:r>
      <w:r w:rsidRPr="007B79E7">
        <w:rPr>
          <w:b/>
          <w:sz w:val="22"/>
          <w:szCs w:val="22"/>
          <w:lang w:val="en-US"/>
        </w:rPr>
        <w:t xml:space="preserve">patients </w:t>
      </w:r>
      <w:r w:rsidRPr="007B79E7">
        <w:rPr>
          <w:b/>
          <w:bCs/>
          <w:sz w:val="22"/>
          <w:szCs w:val="22"/>
          <w:lang w:val="en-US"/>
        </w:rPr>
        <w:t xml:space="preserve">with type 2 diabetes mellitus </w:t>
      </w:r>
      <w:r w:rsidRPr="007B79E7">
        <w:rPr>
          <w:b/>
          <w:sz w:val="22"/>
          <w:szCs w:val="22"/>
          <w:lang w:val="en-US"/>
        </w:rPr>
        <w:t xml:space="preserve">inadequately controlled on </w:t>
      </w:r>
      <w:r w:rsidRPr="007B79E7">
        <w:rPr>
          <w:b/>
          <w:bCs/>
          <w:sz w:val="22"/>
          <w:szCs w:val="22"/>
          <w:lang w:val="en-US"/>
        </w:rPr>
        <w:t>metformin alone or in combination with pioglitazone</w:t>
      </w:r>
      <w:r w:rsidRPr="007B79E7">
        <w:rPr>
          <w:sz w:val="22"/>
          <w:szCs w:val="22"/>
          <w:lang w:val="da-DK"/>
        </w:rPr>
        <w:t>*</w:t>
      </w:r>
      <w:bookmarkEnd w:id="9"/>
    </w:p>
    <w:bookmarkStart w:id="10" w:name="_MON_1428829931"/>
    <w:bookmarkEnd w:id="10"/>
    <w:p w14:paraId="34A0706C" w14:textId="77F41CDD" w:rsidR="00A3367A" w:rsidRDefault="00A3367A" w:rsidP="00EE5E3B">
      <w:pPr>
        <w:spacing w:after="0" w:line="240" w:lineRule="auto"/>
        <w:rPr>
          <w:rStyle w:val="PageNumber"/>
          <w:sz w:val="22"/>
          <w:szCs w:val="22"/>
        </w:rPr>
      </w:pPr>
      <w:r w:rsidRPr="000B5E01">
        <w:rPr>
          <w:rStyle w:val="PageNumber"/>
          <w:sz w:val="22"/>
          <w:szCs w:val="22"/>
        </w:rPr>
        <w:object w:dxaOrig="4536" w:dyaOrig="2430" w14:anchorId="0A05A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21.5pt" o:ole="">
            <v:imagedata r:id="rId10" o:title=""/>
          </v:shape>
          <o:OLEObject Type="Embed" ProgID="Word.Document.12" ShapeID="_x0000_i1025" DrawAspect="Content" ObjectID="_1680004094" r:id="rId11">
            <o:FieldCodes>\s</o:FieldCodes>
          </o:OLEObject>
        </w:object>
      </w:r>
    </w:p>
    <w:p w14:paraId="6B0451D4" w14:textId="77777777" w:rsidR="00A3367A" w:rsidRDefault="00A3367A" w:rsidP="00EE5E3B">
      <w:pPr>
        <w:spacing w:after="0" w:line="240" w:lineRule="auto"/>
      </w:pPr>
    </w:p>
    <w:bookmarkStart w:id="11" w:name="_MON_1465641594"/>
    <w:bookmarkEnd w:id="11"/>
    <w:p w14:paraId="7E02995B" w14:textId="731E3DFF" w:rsidR="009838F9" w:rsidRDefault="000214A5" w:rsidP="00EE5E3B">
      <w:pPr>
        <w:spacing w:after="0" w:line="240" w:lineRule="auto"/>
        <w:rPr>
          <w:b/>
          <w:sz w:val="22"/>
          <w:szCs w:val="22"/>
        </w:rPr>
      </w:pPr>
      <w:r w:rsidRPr="000B5E01">
        <w:rPr>
          <w:b/>
          <w:sz w:val="22"/>
          <w:szCs w:val="22"/>
        </w:rPr>
        <w:object w:dxaOrig="4535" w:dyaOrig="2946" w14:anchorId="65F086D9">
          <v:shape id="_x0000_i1026" type="#_x0000_t75" style="width:226.5pt;height:147pt" o:ole="">
            <v:imagedata r:id="rId12" o:title=""/>
          </v:shape>
          <o:OLEObject Type="Embed" ProgID="Word.Document.12" ShapeID="_x0000_i1026" DrawAspect="Content" ObjectID="_1680004095" r:id="rId13">
            <o:FieldCodes>\s</o:FieldCodes>
          </o:OLEObject>
        </w:object>
      </w:r>
    </w:p>
    <w:p w14:paraId="07633F3A" w14:textId="7C8D917C" w:rsidR="000214A5" w:rsidRPr="000214A5" w:rsidRDefault="000214A5" w:rsidP="00EE5E3B">
      <w:pPr>
        <w:spacing w:after="0" w:line="240" w:lineRule="auto"/>
        <w:rPr>
          <w:sz w:val="20"/>
          <w:szCs w:val="20"/>
          <w:lang w:val="en-GB"/>
        </w:rPr>
      </w:pPr>
      <w:r w:rsidRPr="000214A5">
        <w:rPr>
          <w:sz w:val="20"/>
          <w:szCs w:val="20"/>
          <w:lang w:val="en-GB"/>
        </w:rPr>
        <w:t>IDegLira=Xultophy, IDeg=insulin degludec, Lira=liraglutide, obs. rate=observed rate, PYE=patient year of exposure</w:t>
      </w:r>
    </w:p>
    <w:p w14:paraId="16FDC2C6" w14:textId="2B4101F0" w:rsidR="003C0999" w:rsidRPr="00A3367A" w:rsidRDefault="00A3367A" w:rsidP="00EE5E3B">
      <w:pPr>
        <w:spacing w:line="240" w:lineRule="auto"/>
        <w:rPr>
          <w:b/>
          <w:bCs/>
          <w:lang w:val="en-US"/>
        </w:rPr>
      </w:pPr>
      <w:r>
        <w:rPr>
          <w:sz w:val="20"/>
          <w:szCs w:val="20"/>
          <w:lang w:val="da-DK"/>
        </w:rPr>
        <w:t>*</w:t>
      </w:r>
      <w:r w:rsidRPr="000214A5">
        <w:rPr>
          <w:sz w:val="20"/>
          <w:szCs w:val="20"/>
          <w:lang w:val="da-DK"/>
        </w:rPr>
        <w:t>Confirmed hypoglycaemia is defined as severe hypoglycaemia (episode requiring assistance of another person) and/or minor hypoglycaemia (plasma glucose &lt;3.1</w:t>
      </w:r>
      <w:r>
        <w:rPr>
          <w:sz w:val="20"/>
          <w:szCs w:val="20"/>
          <w:lang w:val="da-DK"/>
        </w:rPr>
        <w:t xml:space="preserve"> </w:t>
      </w:r>
      <w:r w:rsidRPr="000214A5">
        <w:rPr>
          <w:sz w:val="20"/>
          <w:szCs w:val="20"/>
          <w:lang w:val="da-DK"/>
        </w:rPr>
        <w:t>mmol/L irrespectively of symptoms).</w:t>
      </w:r>
      <w:r w:rsidRPr="000214A5">
        <w:rPr>
          <w:lang w:val="en-US"/>
        </w:rPr>
        <w:t xml:space="preserve"> </w:t>
      </w:r>
    </w:p>
    <w:p w14:paraId="34F5BAFE" w14:textId="0C910335" w:rsidR="000214A5" w:rsidRPr="007B79E7" w:rsidRDefault="003C0999" w:rsidP="00EE5E3B">
      <w:pPr>
        <w:keepNext/>
        <w:spacing w:after="0" w:line="240" w:lineRule="auto"/>
        <w:rPr>
          <w:sz w:val="22"/>
          <w:szCs w:val="22"/>
          <w:lang w:val="en-US"/>
        </w:rPr>
      </w:pPr>
      <w:bookmarkStart w:id="12" w:name="_Ref24644786"/>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2</w:t>
      </w:r>
      <w:r w:rsidRPr="007B79E7">
        <w:rPr>
          <w:b/>
          <w:sz w:val="22"/>
          <w:szCs w:val="22"/>
        </w:rPr>
        <w:fldChar w:fldCharType="end"/>
      </w:r>
      <w:bookmarkEnd w:id="12"/>
      <w:r w:rsidRPr="007B79E7">
        <w:rPr>
          <w:b/>
          <w:sz w:val="22"/>
          <w:szCs w:val="22"/>
        </w:rPr>
        <w:t xml:space="preserve">: </w:t>
      </w:r>
      <w:r w:rsidRPr="007B79E7">
        <w:rPr>
          <w:b/>
          <w:bCs/>
          <w:sz w:val="22"/>
          <w:szCs w:val="22"/>
          <w:lang w:val="da-DK"/>
        </w:rPr>
        <w:t>Mean change in body weight by treatment week in patients inadequately controlled on metformin alone or in combination with pioglitazone</w:t>
      </w:r>
    </w:p>
    <w:bookmarkStart w:id="13" w:name="_MON_1429356493"/>
    <w:bookmarkEnd w:id="13"/>
    <w:p w14:paraId="4D42148F" w14:textId="0DF86223" w:rsidR="001F1E3F" w:rsidRDefault="003C0999" w:rsidP="00EE5E3B">
      <w:pPr>
        <w:spacing w:line="240" w:lineRule="auto"/>
        <w:rPr>
          <w:b/>
          <w:bCs/>
        </w:rPr>
      </w:pPr>
      <w:r w:rsidRPr="003C0999">
        <w:rPr>
          <w:b/>
          <w:lang w:val="en-GB"/>
        </w:rPr>
        <w:object w:dxaOrig="4536" w:dyaOrig="2674" w14:anchorId="66BFF51E">
          <v:shape id="_x0000_i1027" type="#_x0000_t75" style="width:225.75pt;height:135pt" o:ole="">
            <v:imagedata r:id="rId14" o:title=""/>
          </v:shape>
          <o:OLEObject Type="Embed" ProgID="Word.Document.12" ShapeID="_x0000_i1027" DrawAspect="Content" ObjectID="_1680004096" r:id="rId15">
            <o:FieldCodes>\s</o:FieldCodes>
          </o:OLEObject>
        </w:object>
      </w:r>
    </w:p>
    <w:p w14:paraId="4CBB9414" w14:textId="068FD603" w:rsidR="00A3367A" w:rsidRDefault="003C0999" w:rsidP="00EE5E3B">
      <w:pPr>
        <w:spacing w:after="0" w:line="240" w:lineRule="auto"/>
        <w:rPr>
          <w:sz w:val="22"/>
          <w:szCs w:val="22"/>
        </w:rPr>
      </w:pPr>
      <w:bookmarkStart w:id="14" w:name="_Ref24644793"/>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3</w:t>
      </w:r>
      <w:r w:rsidRPr="007B79E7">
        <w:rPr>
          <w:b/>
          <w:sz w:val="22"/>
          <w:szCs w:val="22"/>
        </w:rPr>
        <w:fldChar w:fldCharType="end"/>
      </w:r>
      <w:bookmarkEnd w:id="14"/>
      <w:r w:rsidRPr="007B79E7">
        <w:rPr>
          <w:b/>
          <w:sz w:val="22"/>
          <w:szCs w:val="22"/>
        </w:rPr>
        <w:t xml:space="preserve">: </w:t>
      </w:r>
      <w:r w:rsidRPr="007B79E7">
        <w:rPr>
          <w:b/>
          <w:bCs/>
          <w:sz w:val="22"/>
          <w:szCs w:val="22"/>
          <w:lang w:val="en-US"/>
        </w:rPr>
        <w:t xml:space="preserve">Mean cumulative number of confirmed hypoglycaemic* episodes in patients inadequately controlled on </w:t>
      </w:r>
      <w:r w:rsidRPr="007B79E7">
        <w:rPr>
          <w:b/>
          <w:bCs/>
          <w:sz w:val="22"/>
          <w:szCs w:val="22"/>
          <w:lang w:val="da-DK"/>
        </w:rPr>
        <w:t>metformin alone or in combination with pioglitazone</w:t>
      </w:r>
      <w:r w:rsidRPr="007B79E7">
        <w:rPr>
          <w:b/>
          <w:bCs/>
          <w:sz w:val="22"/>
          <w:szCs w:val="22"/>
          <w:lang w:val="en-US"/>
        </w:rPr>
        <w:t xml:space="preserve">. </w:t>
      </w:r>
      <w:bookmarkStart w:id="15" w:name="_MON_1473514716"/>
      <w:bookmarkEnd w:id="15"/>
      <w:r w:rsidR="00A3367A" w:rsidRPr="000B5E01">
        <w:rPr>
          <w:sz w:val="22"/>
          <w:szCs w:val="22"/>
        </w:rPr>
        <w:object w:dxaOrig="4536" w:dyaOrig="2833" w14:anchorId="07D09808">
          <v:shape id="_x0000_i1028" type="#_x0000_t75" style="width:225.75pt;height:143.25pt" o:ole="">
            <v:imagedata r:id="rId16" o:title=""/>
          </v:shape>
          <o:OLEObject Type="Embed" ProgID="Word.Document.12" ShapeID="_x0000_i1028" DrawAspect="Content" ObjectID="_1680004097" r:id="rId17">
            <o:FieldCodes>\s</o:FieldCodes>
          </o:OLEObject>
        </w:object>
      </w:r>
    </w:p>
    <w:p w14:paraId="6427A19D" w14:textId="0CD98F44" w:rsidR="003C0999" w:rsidRPr="00FC4CA6" w:rsidRDefault="003C0999" w:rsidP="00EE5E3B">
      <w:pPr>
        <w:spacing w:line="240" w:lineRule="auto"/>
        <w:rPr>
          <w:b/>
          <w:bCs/>
        </w:rPr>
      </w:pPr>
      <w:r w:rsidRPr="003C0999">
        <w:rPr>
          <w:sz w:val="20"/>
          <w:szCs w:val="20"/>
          <w:lang w:val="da-DK"/>
        </w:rPr>
        <w:t>*Confirmed hypoglycaemia is defined as severe hypoglycaemia (episode requiring assistance of another person) and/or minor hypoglycaemia (plasma glucose &lt;3.1</w:t>
      </w:r>
      <w:r>
        <w:rPr>
          <w:sz w:val="20"/>
          <w:szCs w:val="20"/>
          <w:lang w:val="da-DK"/>
        </w:rPr>
        <w:t xml:space="preserve"> </w:t>
      </w:r>
      <w:r w:rsidRPr="003C0999">
        <w:rPr>
          <w:sz w:val="20"/>
          <w:szCs w:val="20"/>
          <w:lang w:val="da-DK"/>
        </w:rPr>
        <w:t>mmol/L irrespectively of symptoms).</w:t>
      </w:r>
      <w:r w:rsidRPr="003C0999">
        <w:rPr>
          <w:b/>
          <w:bCs/>
          <w:lang w:val="en-US"/>
        </w:rPr>
        <w:t xml:space="preserve"> </w:t>
      </w:r>
    </w:p>
    <w:p w14:paraId="10B79B1D" w14:textId="526F4039" w:rsidR="003C0999" w:rsidRPr="003C0999" w:rsidRDefault="003C0999" w:rsidP="00EE5E3B">
      <w:pPr>
        <w:rPr>
          <w:lang w:val="en-US"/>
        </w:rPr>
      </w:pPr>
      <w:r w:rsidRPr="003C0999">
        <w:rPr>
          <w:lang w:val="en-US"/>
        </w:rPr>
        <w:t>The rate per patient year of exposure of severe hypoglycaemia defined as an episode requiring assistance of another person was 0.01 (2</w:t>
      </w:r>
      <w:r>
        <w:rPr>
          <w:lang w:val="en-US"/>
        </w:rPr>
        <w:t xml:space="preserve"> </w:t>
      </w:r>
      <w:r w:rsidRPr="003C0999">
        <w:rPr>
          <w:lang w:val="en-US"/>
        </w:rPr>
        <w:t>patients out of 825) for Xultophy, 0.01 (2</w:t>
      </w:r>
      <w:r>
        <w:rPr>
          <w:lang w:val="en-US"/>
        </w:rPr>
        <w:t xml:space="preserve"> </w:t>
      </w:r>
      <w:r w:rsidRPr="003C0999">
        <w:rPr>
          <w:lang w:val="en-US"/>
        </w:rPr>
        <w:t>patients out of 412) for insulin degludec and 0.00 (0</w:t>
      </w:r>
      <w:r>
        <w:rPr>
          <w:lang w:val="en-US"/>
        </w:rPr>
        <w:t xml:space="preserve"> </w:t>
      </w:r>
      <w:r w:rsidRPr="003C0999">
        <w:rPr>
          <w:lang w:val="en-US"/>
        </w:rPr>
        <w:t>patients out of 412) for liraglutide. The rate of nocturnal hypoglycaemic events was similar with Xultophy and insulin degludec treatment.</w:t>
      </w:r>
    </w:p>
    <w:p w14:paraId="38CB1E1D" w14:textId="5F6D063E" w:rsidR="0028075D" w:rsidRPr="00E208C5" w:rsidRDefault="003C0999" w:rsidP="00EE5E3B">
      <w:r w:rsidRPr="003C0999">
        <w:rPr>
          <w:lang w:val="en-US"/>
        </w:rPr>
        <w:t>Patients treated with Xultophy overall experienced less gastrointestinal side effects than patients treated with liraglutide. This might be due to the slower increase in the dose of the liraglutide component during treatment initiation when using Xultophy as compared to using liraglutide alone.</w:t>
      </w:r>
    </w:p>
    <w:p w14:paraId="720922B2" w14:textId="06B29035" w:rsidR="003C0999" w:rsidRPr="00A921EB" w:rsidRDefault="003C0999" w:rsidP="00EE5E3B">
      <w:pPr>
        <w:keepNext/>
        <w:spacing w:after="0" w:line="240" w:lineRule="auto"/>
        <w:rPr>
          <w:i/>
          <w:lang w:val="en-US"/>
        </w:rPr>
      </w:pPr>
      <w:r w:rsidRPr="00A921EB">
        <w:rPr>
          <w:i/>
          <w:lang w:val="en-US"/>
        </w:rPr>
        <w:t xml:space="preserve">Add-on to metformin alone or in combination with pioglitazone – 52-week data: </w:t>
      </w:r>
      <w:r w:rsidRPr="00A921EB">
        <w:rPr>
          <w:i/>
          <w:lang w:val="en-GB"/>
        </w:rPr>
        <w:t>Xultophy compared to insulin degludec and liraglutide</w:t>
      </w:r>
      <w:r w:rsidRPr="00A921EB">
        <w:rPr>
          <w:i/>
          <w:lang w:val="en-US"/>
        </w:rPr>
        <w:t xml:space="preserve"> (Trial 3697-ext)</w:t>
      </w:r>
    </w:p>
    <w:p w14:paraId="634F0078" w14:textId="28340F69" w:rsidR="0028075D" w:rsidRDefault="003C0999" w:rsidP="00EE5E3B">
      <w:pPr>
        <w:rPr>
          <w:lang w:val="en-US"/>
        </w:rPr>
      </w:pPr>
      <w:r w:rsidRPr="003C0999">
        <w:rPr>
          <w:lang w:val="en-US"/>
        </w:rPr>
        <w:t>The efficacy and safety of Xultophy were sustained up to 52</w:t>
      </w:r>
      <w:r>
        <w:rPr>
          <w:lang w:val="en-US"/>
        </w:rPr>
        <w:t xml:space="preserve"> </w:t>
      </w:r>
      <w:r w:rsidRPr="003C0999">
        <w:rPr>
          <w:lang w:val="en-US"/>
        </w:rPr>
        <w:t>weeks of treatment. The reduction in HbA</w:t>
      </w:r>
      <w:r w:rsidRPr="003C0999">
        <w:rPr>
          <w:vertAlign w:val="subscript"/>
          <w:lang w:val="en-US"/>
        </w:rPr>
        <w:t>1c</w:t>
      </w:r>
      <w:r w:rsidRPr="003C0999">
        <w:rPr>
          <w:lang w:val="en-US"/>
        </w:rPr>
        <w:t xml:space="preserve"> from baseline to 52</w:t>
      </w:r>
      <w:r w:rsidR="00A3367A">
        <w:rPr>
          <w:lang w:val="en-US"/>
        </w:rPr>
        <w:t xml:space="preserve"> </w:t>
      </w:r>
      <w:r w:rsidRPr="003C0999">
        <w:rPr>
          <w:lang w:val="en-US"/>
        </w:rPr>
        <w:t>weeks was 1.84% with Xultophy with an estimated treatment difference of -0.65% compared to liraglutide (p&lt;0.0001) and -0.46% compared to insulin degludec (p&lt;0.0001). Body weight was reduced by 0.4</w:t>
      </w:r>
      <w:r>
        <w:rPr>
          <w:lang w:val="en-US"/>
        </w:rPr>
        <w:t xml:space="preserve"> </w:t>
      </w:r>
      <w:r w:rsidRPr="003C0999">
        <w:rPr>
          <w:lang w:val="en-US"/>
        </w:rPr>
        <w:t>kg with an estimated treatment difference between Xultophy and insulin degludec of -2.80</w:t>
      </w:r>
      <w:r>
        <w:rPr>
          <w:lang w:val="en-US"/>
        </w:rPr>
        <w:t xml:space="preserve"> </w:t>
      </w:r>
      <w:r w:rsidRPr="003C0999">
        <w:rPr>
          <w:lang w:val="en-US"/>
        </w:rPr>
        <w:t>kg (p&lt;0.0001), and the rate of confirmed hypoglycaemia remained 1.8</w:t>
      </w:r>
      <w:r>
        <w:rPr>
          <w:lang w:val="en-US"/>
        </w:rPr>
        <w:t xml:space="preserve"> </w:t>
      </w:r>
      <w:r w:rsidRPr="003C0999">
        <w:rPr>
          <w:lang w:val="en-US"/>
        </w:rPr>
        <w:t>events per patient year of exposure maintaining a significant reduction in overall risk of confirmed hypoglycaemia compared to insulin degludec.</w:t>
      </w:r>
    </w:p>
    <w:p w14:paraId="68FB57FB" w14:textId="07CB83E3" w:rsidR="00E36F7C" w:rsidRPr="00A921EB" w:rsidRDefault="00E36F7C" w:rsidP="00EE5E3B">
      <w:pPr>
        <w:spacing w:after="0" w:line="240" w:lineRule="auto"/>
        <w:rPr>
          <w:i/>
          <w:lang w:val="en-US"/>
        </w:rPr>
      </w:pPr>
      <w:r w:rsidRPr="00A921EB">
        <w:rPr>
          <w:i/>
          <w:lang w:val="en-US"/>
        </w:rPr>
        <w:t>Add-on to sulfonylurea alone or in combination with metformin</w:t>
      </w:r>
      <w:r w:rsidR="001E5395" w:rsidRPr="00A921EB">
        <w:rPr>
          <w:i/>
          <w:lang w:val="en-US"/>
        </w:rPr>
        <w:t xml:space="preserve"> -</w:t>
      </w:r>
      <w:r w:rsidRPr="00A921EB">
        <w:rPr>
          <w:i/>
          <w:lang w:val="en-US"/>
        </w:rPr>
        <w:t xml:space="preserve"> </w:t>
      </w:r>
      <w:r w:rsidRPr="00A921EB">
        <w:rPr>
          <w:i/>
          <w:lang w:val="en-GB"/>
        </w:rPr>
        <w:t>Xultophy compared to placebo</w:t>
      </w:r>
      <w:r w:rsidRPr="00A921EB">
        <w:rPr>
          <w:i/>
          <w:lang w:val="en-US"/>
        </w:rPr>
        <w:t xml:space="preserve"> (Trial 3951)</w:t>
      </w:r>
    </w:p>
    <w:p w14:paraId="1EA48B60" w14:textId="1B485E36" w:rsidR="003C0999" w:rsidRDefault="00E36F7C" w:rsidP="00EE5E3B">
      <w:r w:rsidRPr="00E36F7C">
        <w:rPr>
          <w:lang w:val="en-US"/>
        </w:rPr>
        <w:t>The efficacy and safety of Xultophy as add-on to sulfonylurea alone or in combination with metformin were studied in a 26-week randomised, placebo-controlled, double-blind, treat-to-target trial in 435</w:t>
      </w:r>
      <w:r>
        <w:rPr>
          <w:lang w:val="en-US"/>
        </w:rPr>
        <w:t xml:space="preserve"> </w:t>
      </w:r>
      <w:r w:rsidRPr="00E36F7C">
        <w:rPr>
          <w:lang w:val="en-US"/>
        </w:rPr>
        <w:t>patients with type 2 diabetes mellitus of which 289 were treated with Xultophy. The starting dose of Xultophy was 10</w:t>
      </w:r>
      <w:r>
        <w:rPr>
          <w:lang w:val="en-US"/>
        </w:rPr>
        <w:t xml:space="preserve"> </w:t>
      </w:r>
      <w:r w:rsidRPr="00E36F7C">
        <w:rPr>
          <w:lang w:val="en-US"/>
        </w:rPr>
        <w:t xml:space="preserve">dose steps, and the dose was titrated twice weekly. Titration was performed as outlined in </w:t>
      </w:r>
      <w:r w:rsidR="00315E5F" w:rsidRPr="00315E5F">
        <w:rPr>
          <w:b/>
          <w:bCs/>
        </w:rPr>
        <w:fldChar w:fldCharType="begin"/>
      </w:r>
      <w:r w:rsidR="00315E5F" w:rsidRPr="00315E5F">
        <w:rPr>
          <w:b/>
          <w:bCs/>
        </w:rPr>
        <w:instrText xml:space="preserve"> REF _Ref56099750 \h </w:instrText>
      </w:r>
      <w:r w:rsidR="00315E5F">
        <w:rPr>
          <w:b/>
          <w:bCs/>
        </w:rPr>
        <w:instrText xml:space="preserve"> \* MERGEFORMAT </w:instrText>
      </w:r>
      <w:r w:rsidR="00315E5F" w:rsidRPr="00315E5F">
        <w:rPr>
          <w:b/>
          <w:bCs/>
        </w:rPr>
      </w:r>
      <w:r w:rsidR="00315E5F"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315E5F" w:rsidRPr="00315E5F">
        <w:rPr>
          <w:b/>
          <w:bCs/>
        </w:rPr>
        <w:fldChar w:fldCharType="end"/>
      </w:r>
      <w:r w:rsidRPr="00E36F7C">
        <w:rPr>
          <w:lang w:val="en-US"/>
        </w:rPr>
        <w:t xml:space="preserve"> though with a titration target of 4–6</w:t>
      </w:r>
      <w:r>
        <w:rPr>
          <w:lang w:val="en-US"/>
        </w:rPr>
        <w:t xml:space="preserve"> </w:t>
      </w:r>
      <w:r w:rsidRPr="00E36F7C">
        <w:rPr>
          <w:lang w:val="en-US"/>
        </w:rPr>
        <w:t>mmol/L</w:t>
      </w:r>
      <w:r>
        <w:rPr>
          <w:lang w:val="en-US"/>
        </w:rPr>
        <w:t>.</w:t>
      </w:r>
    </w:p>
    <w:p w14:paraId="388109CF" w14:textId="703FFABF" w:rsidR="003C0999" w:rsidRDefault="00E36F7C" w:rsidP="00EE5E3B">
      <w:r w:rsidRPr="00E36F7C">
        <w:rPr>
          <w:lang w:val="da-DK"/>
        </w:rPr>
        <w:t>The reduction in HbA</w:t>
      </w:r>
      <w:r w:rsidRPr="00E36F7C">
        <w:rPr>
          <w:vertAlign w:val="subscript"/>
          <w:lang w:val="da-DK"/>
        </w:rPr>
        <w:t>1c</w:t>
      </w:r>
      <w:r w:rsidRPr="00E36F7C">
        <w:rPr>
          <w:lang w:val="da-DK"/>
        </w:rPr>
        <w:t xml:space="preserve"> from baseline to 26</w:t>
      </w:r>
      <w:r>
        <w:rPr>
          <w:lang w:val="da-DK"/>
        </w:rPr>
        <w:t xml:space="preserve"> </w:t>
      </w:r>
      <w:r w:rsidRPr="00E36F7C">
        <w:rPr>
          <w:lang w:val="da-DK"/>
        </w:rPr>
        <w:t>weeks was 1.45% with Xultophy, showing superiority to placebo (estimated treatment difference -1.02%, p&lt;0.0001). Body weight was increased by 0.5</w:t>
      </w:r>
      <w:r>
        <w:rPr>
          <w:lang w:val="da-DK"/>
        </w:rPr>
        <w:t xml:space="preserve"> </w:t>
      </w:r>
      <w:r w:rsidRPr="00E36F7C">
        <w:rPr>
          <w:lang w:val="da-DK"/>
        </w:rPr>
        <w:t>kg with Xultophy with an estimated treatment difference between Xultophy and placebo of 1.48</w:t>
      </w:r>
      <w:r>
        <w:rPr>
          <w:lang w:val="da-DK"/>
        </w:rPr>
        <w:t xml:space="preserve"> </w:t>
      </w:r>
      <w:r w:rsidRPr="00E36F7C">
        <w:rPr>
          <w:lang w:val="da-DK"/>
        </w:rPr>
        <w:t>kg (p&lt;0.0001).</w:t>
      </w:r>
    </w:p>
    <w:p w14:paraId="7ADE9299" w14:textId="0CCFA967" w:rsidR="00E36F7C" w:rsidRDefault="00E36F7C" w:rsidP="00EE5E3B">
      <w:pPr>
        <w:rPr>
          <w:u w:val="single"/>
          <w:lang w:val="en-US"/>
        </w:rPr>
      </w:pPr>
      <w:r w:rsidRPr="00E36F7C">
        <w:rPr>
          <w:lang w:val="en-US"/>
        </w:rPr>
        <w:t xml:space="preserve">The key results of the trial are </w:t>
      </w:r>
      <w:r w:rsidR="00AD30BE">
        <w:rPr>
          <w:lang w:val="en-US"/>
        </w:rPr>
        <w:t>p</w:t>
      </w:r>
      <w:r w:rsidR="00AD30BE">
        <w:t>resented</w:t>
      </w:r>
      <w:r w:rsidRPr="00E36F7C">
        <w:rPr>
          <w:lang w:val="en-US"/>
        </w:rPr>
        <w:t xml:space="preserve"> in </w:t>
      </w:r>
      <w:r>
        <w:rPr>
          <w:lang w:val="en-US"/>
        </w:rPr>
        <w:fldChar w:fldCharType="begin"/>
      </w:r>
      <w:r>
        <w:rPr>
          <w:lang w:val="en-US"/>
        </w:rPr>
        <w:instrText xml:space="preserve"> REF _Ref24645818 \h </w:instrText>
      </w:r>
      <w:r>
        <w:rPr>
          <w:lang w:val="en-US"/>
        </w:rPr>
      </w:r>
      <w:r w:rsidR="00EE5E3B">
        <w:rPr>
          <w:lang w:val="en-US"/>
        </w:rPr>
        <w:instrText xml:space="preserve"> \* MERGEFORMAT </w:instrText>
      </w:r>
      <w:r>
        <w:rPr>
          <w:lang w:val="en-US"/>
        </w:rPr>
        <w:fldChar w:fldCharType="separate"/>
      </w:r>
      <w:r w:rsidR="00503238" w:rsidRPr="007B79E7">
        <w:rPr>
          <w:b/>
          <w:bCs/>
          <w:sz w:val="22"/>
          <w:szCs w:val="22"/>
        </w:rPr>
        <w:t xml:space="preserve">Figure </w:t>
      </w:r>
      <w:r w:rsidR="00503238">
        <w:rPr>
          <w:b/>
          <w:bCs/>
          <w:noProof/>
          <w:sz w:val="22"/>
          <w:szCs w:val="22"/>
        </w:rPr>
        <w:t>4</w:t>
      </w:r>
      <w:r>
        <w:rPr>
          <w:lang w:val="en-US"/>
        </w:rPr>
        <w:fldChar w:fldCharType="end"/>
      </w:r>
      <w:r w:rsidRPr="00E36F7C">
        <w:rPr>
          <w:lang w:val="en-US"/>
        </w:rPr>
        <w:t xml:space="preserve">, </w:t>
      </w:r>
      <w:r>
        <w:rPr>
          <w:lang w:val="en-US"/>
        </w:rPr>
        <w:fldChar w:fldCharType="begin"/>
      </w:r>
      <w:r>
        <w:rPr>
          <w:lang w:val="en-US"/>
        </w:rPr>
        <w:instrText xml:space="preserve"> REF _Ref24645827 \h </w:instrText>
      </w:r>
      <w:r>
        <w:rPr>
          <w:lang w:val="en-US"/>
        </w:rPr>
      </w:r>
      <w:r w:rsidR="00EE5E3B">
        <w:rPr>
          <w:lang w:val="en-US"/>
        </w:rPr>
        <w:instrText xml:space="preserve"> \* MERGEFORMAT </w:instrText>
      </w:r>
      <w:r>
        <w:rPr>
          <w:lang w:val="en-US"/>
        </w:rPr>
        <w:fldChar w:fldCharType="separate"/>
      </w:r>
      <w:r w:rsidR="00503238" w:rsidRPr="007B79E7">
        <w:rPr>
          <w:b/>
          <w:bCs/>
          <w:sz w:val="22"/>
          <w:szCs w:val="22"/>
        </w:rPr>
        <w:t xml:space="preserve">Figure </w:t>
      </w:r>
      <w:r w:rsidR="00503238">
        <w:rPr>
          <w:b/>
          <w:bCs/>
          <w:noProof/>
          <w:sz w:val="22"/>
          <w:szCs w:val="22"/>
        </w:rPr>
        <w:t>5</w:t>
      </w:r>
      <w:r>
        <w:rPr>
          <w:lang w:val="en-US"/>
        </w:rPr>
        <w:fldChar w:fldCharType="end"/>
      </w:r>
      <w:r w:rsidR="00465272">
        <w:rPr>
          <w:lang w:val="en-US"/>
        </w:rPr>
        <w:t xml:space="preserve"> and</w:t>
      </w:r>
      <w:r w:rsidRPr="00E36F7C">
        <w:rPr>
          <w:lang w:val="en-US"/>
        </w:rPr>
        <w:t xml:space="preserve"> </w:t>
      </w:r>
      <w:r>
        <w:rPr>
          <w:lang w:val="en-US"/>
        </w:rPr>
        <w:fldChar w:fldCharType="begin"/>
      </w:r>
      <w:r>
        <w:rPr>
          <w:lang w:val="en-US"/>
        </w:rPr>
        <w:instrText xml:space="preserve"> REF _Ref24645836 \h </w:instrText>
      </w:r>
      <w:r>
        <w:rPr>
          <w:lang w:val="en-US"/>
        </w:rPr>
      </w:r>
      <w:r w:rsidR="00EE5E3B">
        <w:rPr>
          <w:lang w:val="en-US"/>
        </w:rPr>
        <w:instrText xml:space="preserve"> \* MERGEFORMAT </w:instrText>
      </w:r>
      <w:r>
        <w:rPr>
          <w:lang w:val="en-US"/>
        </w:rPr>
        <w:fldChar w:fldCharType="separate"/>
      </w:r>
      <w:r w:rsidR="00503238" w:rsidRPr="007B79E7">
        <w:rPr>
          <w:b/>
          <w:bCs/>
          <w:sz w:val="22"/>
          <w:szCs w:val="22"/>
        </w:rPr>
        <w:t xml:space="preserve">Figure </w:t>
      </w:r>
      <w:r w:rsidR="00503238">
        <w:rPr>
          <w:b/>
          <w:bCs/>
          <w:noProof/>
          <w:sz w:val="22"/>
          <w:szCs w:val="22"/>
        </w:rPr>
        <w:t>6</w:t>
      </w:r>
      <w:r>
        <w:rPr>
          <w:lang w:val="en-US"/>
        </w:rPr>
        <w:fldChar w:fldCharType="end"/>
      </w:r>
      <w:r w:rsidRPr="00E36F7C">
        <w:rPr>
          <w:lang w:val="en-US"/>
        </w:rPr>
        <w:t>.</w:t>
      </w:r>
      <w:r w:rsidRPr="00E36F7C">
        <w:rPr>
          <w:u w:val="single"/>
          <w:lang w:val="en-US"/>
        </w:rPr>
        <w:t xml:space="preserve"> </w:t>
      </w:r>
    </w:p>
    <w:p w14:paraId="62707298" w14:textId="6DC2E351" w:rsidR="00E36F7C" w:rsidRPr="007B79E7" w:rsidRDefault="00E36F7C" w:rsidP="00EE5E3B">
      <w:pPr>
        <w:spacing w:after="0" w:line="240" w:lineRule="auto"/>
        <w:rPr>
          <w:sz w:val="22"/>
          <w:szCs w:val="22"/>
          <w:u w:val="single"/>
          <w:lang w:val="en-US"/>
        </w:rPr>
      </w:pPr>
      <w:bookmarkStart w:id="16" w:name="_Ref24645818"/>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4</w:t>
      </w:r>
      <w:r w:rsidRPr="007B79E7">
        <w:rPr>
          <w:b/>
          <w:sz w:val="22"/>
          <w:szCs w:val="22"/>
        </w:rPr>
        <w:fldChar w:fldCharType="end"/>
      </w:r>
      <w:bookmarkEnd w:id="16"/>
      <w:r w:rsidRPr="007B79E7">
        <w:rPr>
          <w:b/>
          <w:sz w:val="22"/>
          <w:szCs w:val="22"/>
        </w:rPr>
        <w:t xml:space="preserve">: </w:t>
      </w:r>
      <w:r w:rsidRPr="007B79E7">
        <w:rPr>
          <w:b/>
          <w:bCs/>
          <w:sz w:val="22"/>
          <w:szCs w:val="22"/>
          <w:lang w:val="en-US"/>
        </w:rPr>
        <w:t>Mean HbA</w:t>
      </w:r>
      <w:r w:rsidRPr="007B79E7">
        <w:rPr>
          <w:b/>
          <w:bCs/>
          <w:sz w:val="22"/>
          <w:szCs w:val="22"/>
          <w:vertAlign w:val="subscript"/>
          <w:lang w:val="en-US"/>
        </w:rPr>
        <w:t>1c</w:t>
      </w:r>
      <w:r w:rsidRPr="007B79E7">
        <w:rPr>
          <w:b/>
          <w:bCs/>
          <w:sz w:val="22"/>
          <w:szCs w:val="22"/>
          <w:lang w:val="en-US"/>
        </w:rPr>
        <w:t xml:space="preserve"> (%) by treatment week in patients with type 2 diabetes mellitus inadequately controlled on sulfonylurea alone or in combination with metformin </w:t>
      </w:r>
    </w:p>
    <w:bookmarkStart w:id="17" w:name="_MON_1450523202"/>
    <w:bookmarkEnd w:id="17"/>
    <w:p w14:paraId="20792C2C" w14:textId="1159E02C" w:rsidR="00E36F7C" w:rsidRPr="00E36F7C" w:rsidRDefault="00E36F7C" w:rsidP="00EE5E3B">
      <w:pPr>
        <w:spacing w:line="240" w:lineRule="auto"/>
        <w:rPr>
          <w:lang w:val="en-US"/>
        </w:rPr>
      </w:pPr>
      <w:r w:rsidRPr="00E36F7C">
        <w:rPr>
          <w:lang w:val="en-GB"/>
        </w:rPr>
        <w:object w:dxaOrig="4535" w:dyaOrig="2379" w14:anchorId="07DA26F9">
          <v:shape id="_x0000_i1029" type="#_x0000_t75" style="width:224.25pt;height:120pt" o:ole="">
            <v:imagedata r:id="rId18" o:title=""/>
          </v:shape>
          <o:OLEObject Type="Embed" ProgID="Word.Document.12" ShapeID="_x0000_i1029" DrawAspect="Content" ObjectID="_1680004098" r:id="rId19">
            <o:FieldCodes>\s</o:FieldCodes>
          </o:OLEObject>
        </w:object>
      </w:r>
    </w:p>
    <w:p w14:paraId="0272887B" w14:textId="3ED4D03E" w:rsidR="00E36F7C" w:rsidRPr="007B79E7" w:rsidRDefault="00E36F7C" w:rsidP="00EE5E3B">
      <w:pPr>
        <w:keepNext/>
        <w:spacing w:after="0" w:line="240" w:lineRule="auto"/>
        <w:rPr>
          <w:b/>
          <w:bCs/>
          <w:sz w:val="22"/>
          <w:szCs w:val="22"/>
          <w:lang w:val="en-US"/>
        </w:rPr>
      </w:pPr>
      <w:bookmarkStart w:id="18" w:name="_Ref24645827"/>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5</w:t>
      </w:r>
      <w:r w:rsidRPr="007B79E7">
        <w:rPr>
          <w:b/>
          <w:sz w:val="22"/>
          <w:szCs w:val="22"/>
        </w:rPr>
        <w:fldChar w:fldCharType="end"/>
      </w:r>
      <w:bookmarkEnd w:id="18"/>
      <w:r w:rsidRPr="007B79E7">
        <w:rPr>
          <w:b/>
          <w:sz w:val="22"/>
          <w:szCs w:val="22"/>
        </w:rPr>
        <w:t xml:space="preserve">: </w:t>
      </w:r>
      <w:r w:rsidRPr="007B79E7">
        <w:rPr>
          <w:b/>
          <w:bCs/>
          <w:sz w:val="22"/>
          <w:szCs w:val="22"/>
          <w:lang w:val="da-DK"/>
        </w:rPr>
        <w:t>Mean change in body weight by treatment week in patients inadequately controlled on sulfonylurea alone or in combination with metformin</w:t>
      </w:r>
    </w:p>
    <w:bookmarkStart w:id="19" w:name="_MON_1450612240"/>
    <w:bookmarkEnd w:id="19"/>
    <w:p w14:paraId="7EEA8AD5" w14:textId="77777777" w:rsidR="00E36F7C" w:rsidRPr="00E36F7C" w:rsidRDefault="00E36F7C" w:rsidP="00EE5E3B">
      <w:pPr>
        <w:spacing w:line="240" w:lineRule="auto"/>
        <w:rPr>
          <w:b/>
          <w:lang w:val="da-DK"/>
        </w:rPr>
      </w:pPr>
      <w:r w:rsidRPr="00E36F7C">
        <w:rPr>
          <w:lang w:val="da-DK"/>
        </w:rPr>
        <w:object w:dxaOrig="4535" w:dyaOrig="2670" w14:anchorId="5715D022">
          <v:shape id="_x0000_i1030" type="#_x0000_t75" style="width:224.25pt;height:135.75pt" o:ole="">
            <v:imagedata r:id="rId20" o:title=""/>
          </v:shape>
          <o:OLEObject Type="Embed" ProgID="Word.Document.12" ShapeID="_x0000_i1030" DrawAspect="Content" ObjectID="_1680004099" r:id="rId21">
            <o:FieldCodes>\s</o:FieldCodes>
          </o:OLEObject>
        </w:object>
      </w:r>
    </w:p>
    <w:p w14:paraId="06DCF769" w14:textId="0084510E" w:rsidR="00E36F7C" w:rsidRPr="007B79E7" w:rsidRDefault="00E36F7C" w:rsidP="00EE5E3B">
      <w:pPr>
        <w:keepNext/>
        <w:spacing w:after="0" w:line="240" w:lineRule="auto"/>
        <w:rPr>
          <w:b/>
          <w:sz w:val="22"/>
          <w:szCs w:val="22"/>
          <w:lang w:val="da-DK"/>
        </w:rPr>
      </w:pPr>
      <w:bookmarkStart w:id="20" w:name="_Ref24645836"/>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6</w:t>
      </w:r>
      <w:r w:rsidRPr="007B79E7">
        <w:rPr>
          <w:b/>
          <w:sz w:val="22"/>
          <w:szCs w:val="22"/>
        </w:rPr>
        <w:fldChar w:fldCharType="end"/>
      </w:r>
      <w:bookmarkEnd w:id="20"/>
      <w:r w:rsidRPr="007B79E7">
        <w:rPr>
          <w:b/>
          <w:sz w:val="22"/>
          <w:szCs w:val="22"/>
        </w:rPr>
        <w:t xml:space="preserve">: </w:t>
      </w:r>
      <w:r w:rsidRPr="007B79E7">
        <w:rPr>
          <w:b/>
          <w:bCs/>
          <w:sz w:val="22"/>
          <w:szCs w:val="22"/>
          <w:lang w:val="da-DK"/>
        </w:rPr>
        <w:t>Mean cumulative number of hypoglycaemic episodes in patients inadequately controlled on sulfonylurea alone or in combination with metformin</w:t>
      </w:r>
    </w:p>
    <w:bookmarkStart w:id="21" w:name="_MON_1473515109"/>
    <w:bookmarkEnd w:id="21"/>
    <w:p w14:paraId="59F414D9" w14:textId="3747D1ED" w:rsidR="00E36F7C" w:rsidRPr="00E36F7C" w:rsidRDefault="00E36F7C" w:rsidP="00EE5E3B">
      <w:pPr>
        <w:spacing w:line="240" w:lineRule="auto"/>
        <w:rPr>
          <w:b/>
          <w:bCs/>
          <w:lang w:val="en-US"/>
        </w:rPr>
      </w:pPr>
      <w:r w:rsidRPr="00E36F7C">
        <w:rPr>
          <w:b/>
          <w:lang w:val="da-DK"/>
        </w:rPr>
        <w:object w:dxaOrig="4536" w:dyaOrig="2908" w14:anchorId="090A17ED">
          <v:shape id="_x0000_i1031" type="#_x0000_t75" style="width:225.75pt;height:144.75pt" o:ole="">
            <v:imagedata r:id="rId22" o:title=""/>
          </v:shape>
          <o:OLEObject Type="Embed" ProgID="Word.Document.12" ShapeID="_x0000_i1031" DrawAspect="Content" ObjectID="_1680004100" r:id="rId23">
            <o:FieldCodes>\s</o:FieldCodes>
          </o:OLEObject>
        </w:object>
      </w:r>
    </w:p>
    <w:p w14:paraId="74348E4D" w14:textId="6830F844" w:rsidR="003C0999" w:rsidRDefault="0046123D" w:rsidP="00EE5E3B">
      <w:r w:rsidRPr="0046123D">
        <w:rPr>
          <w:lang w:val="en-US"/>
        </w:rPr>
        <w:t>The rate per patient year of exposure of severe hypoglycaemia was 0.02 (2</w:t>
      </w:r>
      <w:r>
        <w:rPr>
          <w:lang w:val="en-US"/>
        </w:rPr>
        <w:t xml:space="preserve"> </w:t>
      </w:r>
      <w:r w:rsidRPr="0046123D">
        <w:rPr>
          <w:lang w:val="en-US"/>
        </w:rPr>
        <w:t>patients out of 288) for Xultophy and 0.00 (0</w:t>
      </w:r>
      <w:r>
        <w:rPr>
          <w:lang w:val="en-US"/>
        </w:rPr>
        <w:t xml:space="preserve"> </w:t>
      </w:r>
      <w:r w:rsidRPr="0046123D">
        <w:rPr>
          <w:lang w:val="en-US"/>
        </w:rPr>
        <w:t xml:space="preserve">patients out of 146) for placebo. </w:t>
      </w:r>
    </w:p>
    <w:p w14:paraId="754B09E5" w14:textId="142F80C1" w:rsidR="0046123D" w:rsidRPr="00A921EB" w:rsidRDefault="0046123D" w:rsidP="00EE5E3B">
      <w:pPr>
        <w:spacing w:after="0" w:line="240" w:lineRule="auto"/>
        <w:rPr>
          <w:i/>
          <w:lang w:val="en-GB"/>
        </w:rPr>
      </w:pPr>
      <w:r w:rsidRPr="00A921EB">
        <w:rPr>
          <w:i/>
          <w:lang w:val="en-US"/>
        </w:rPr>
        <w:t xml:space="preserve">Add-on to SGLT2i </w:t>
      </w:r>
      <w:r w:rsidRPr="00A921EB">
        <w:rPr>
          <w:bCs/>
          <w:i/>
          <w:lang w:val="en-US"/>
        </w:rPr>
        <w:t>alone or in combination with</w:t>
      </w:r>
      <w:r w:rsidRPr="00A921EB">
        <w:rPr>
          <w:i/>
          <w:lang w:val="en-US"/>
        </w:rPr>
        <w:t xml:space="preserve"> metformin</w:t>
      </w:r>
      <w:r w:rsidR="001E5395" w:rsidRPr="00A921EB">
        <w:rPr>
          <w:i/>
          <w:lang w:val="en-US"/>
        </w:rPr>
        <w:t xml:space="preserve"> -</w:t>
      </w:r>
      <w:r w:rsidRPr="00A921EB">
        <w:rPr>
          <w:i/>
          <w:lang w:val="en-US"/>
        </w:rPr>
        <w:t xml:space="preserve"> </w:t>
      </w:r>
      <w:r w:rsidRPr="00A921EB">
        <w:rPr>
          <w:i/>
          <w:lang w:val="en-GB"/>
        </w:rPr>
        <w:t>Xultophy compared to insulin glargine U100 (Trial 4229)</w:t>
      </w:r>
    </w:p>
    <w:p w14:paraId="476A5A57" w14:textId="216A9579" w:rsidR="003C0999" w:rsidRDefault="0046123D" w:rsidP="00EE5E3B">
      <w:r w:rsidRPr="0046123D">
        <w:rPr>
          <w:lang w:val="da-DK"/>
        </w:rPr>
        <w:t>In an open label trial comparing the efficacy and safety of Xultophy and insulin glargine U100, both as add-on to SGLT2i ± OAD, Xultophy was superior to insulin glargine in reducing mean HbA</w:t>
      </w:r>
      <w:r w:rsidRPr="0046123D">
        <w:rPr>
          <w:vertAlign w:val="subscript"/>
          <w:lang w:val="da-DK"/>
        </w:rPr>
        <w:t>1c</w:t>
      </w:r>
      <w:r w:rsidRPr="0046123D">
        <w:rPr>
          <w:lang w:val="da-DK"/>
        </w:rPr>
        <w:t xml:space="preserve"> after 26 weeks by 1.9% (from 8.2% to 6.3%) versus 1.7% (from 8.4% to 6.7%) with an estimated treatment difference of -0.36% [-0.50; -0.21]. Compared to baseline, Xultophy resulted in an unchanged mean body weight compared to a mean weight increase of 2.0 kg for patients treated with insulin glargine (estimated treatment difference -1.92 kg [95% CI: -2.64; -1.19]). The percentage of patients experiencing severe or blood-glucose confirmed symptomatic hypoglycaemia was 12.9% in the Xultophy group and 19.5% in the insulin glargine group (estimated treatment ratio 0.42 [95% CI: 0.23; 0.75]). The mean daily insulin dose at end of trial was 36 units for patients treated with Xultophy and 54 units for patients treated with insulin glargine. Adding Xultophy to SGLT2i ± OAD resulted in 42.1% of patients reaching HbA</w:t>
      </w:r>
      <w:r w:rsidRPr="0046123D">
        <w:rPr>
          <w:vertAlign w:val="subscript"/>
          <w:lang w:val="da-DK"/>
        </w:rPr>
        <w:t>1c</w:t>
      </w:r>
      <w:r w:rsidRPr="0046123D">
        <w:rPr>
          <w:lang w:val="da-DK"/>
        </w:rPr>
        <w:t xml:space="preserve"> target &lt;7% without severe or blood-glucose confirmed symptomatic hypoglycaemic episodes and without weight gain compared to 16.8% of patients treated with insulin glargine added to SGLT2i ± OAD (odds ratio 3.36, [2.09; 5.41]). Safety results from the trial were comparable to the known safety profile of Xultophy.</w:t>
      </w:r>
    </w:p>
    <w:p w14:paraId="7C250F01" w14:textId="10F4FEE7" w:rsidR="000A3FF0" w:rsidRPr="000A3FF0" w:rsidRDefault="000A3FF0" w:rsidP="00EE5E3B">
      <w:pPr>
        <w:keepNext/>
        <w:spacing w:after="0" w:line="240" w:lineRule="auto"/>
        <w:rPr>
          <w:iCs/>
          <w:lang w:val="en-GB"/>
        </w:rPr>
      </w:pPr>
      <w:r w:rsidRPr="000C2389">
        <w:rPr>
          <w:i/>
          <w:iCs/>
        </w:rPr>
        <w:t>Transfer from GLP-</w:t>
      </w:r>
      <w:r w:rsidRPr="00A921EB">
        <w:rPr>
          <w:i/>
          <w:iCs/>
        </w:rPr>
        <w:t>1 receptor agonist therapy</w:t>
      </w:r>
      <w:r w:rsidR="00A921EB" w:rsidRPr="00A921EB">
        <w:rPr>
          <w:i/>
          <w:iCs/>
        </w:rPr>
        <w:t xml:space="preserve"> - </w:t>
      </w:r>
      <w:r w:rsidRPr="00A921EB">
        <w:rPr>
          <w:i/>
          <w:iCs/>
          <w:lang w:val="en-GB"/>
        </w:rPr>
        <w:t>Xultophy compared to GLP-1 receptor agonist therapy (Trial 3851):</w:t>
      </w:r>
    </w:p>
    <w:p w14:paraId="77E3B038" w14:textId="038FA905" w:rsidR="003C0999" w:rsidRDefault="000A3FF0" w:rsidP="00EE5E3B">
      <w:r w:rsidRPr="000A3FF0">
        <w:rPr>
          <w:lang w:val="da-DK"/>
        </w:rPr>
        <w:t>The efficacy and safety of Xultophy (once-daily) compared to unchanged GLP-1 receptor agonist therapy, were studied in a 26-weeks randomised, open-label, treat-to-target trial in patients with type 2 diabetes mellitus inadequately controlled on a maximum approved or tolerated dose of GLP-1 receptor agonist and metformin alone (74.2%) or in combination with pioglitazone (2.5%), sulfonylurea (21.2%) or both (2.1%).</w:t>
      </w:r>
      <w:r>
        <w:rPr>
          <w:lang w:val="da-DK"/>
        </w:rPr>
        <w:t xml:space="preserve"> </w:t>
      </w:r>
      <w:r w:rsidRPr="000A3FF0">
        <w:rPr>
          <w:lang w:val="en-GB"/>
        </w:rPr>
        <w:t xml:space="preserve">The starting dose of </w:t>
      </w:r>
      <w:r w:rsidR="00813E27">
        <w:rPr>
          <w:lang w:val="en-GB"/>
        </w:rPr>
        <w:t>Xultophy</w:t>
      </w:r>
      <w:r w:rsidRPr="000A3FF0">
        <w:rPr>
          <w:lang w:val="en-GB"/>
        </w:rPr>
        <w:t xml:space="preserve"> was 16 dose steps (16</w:t>
      </w:r>
      <w:r w:rsidR="00701610">
        <w:rPr>
          <w:lang w:val="en-GB"/>
        </w:rPr>
        <w:t xml:space="preserve"> </w:t>
      </w:r>
      <w:r w:rsidRPr="000A3FF0">
        <w:rPr>
          <w:lang w:val="en-GB"/>
        </w:rPr>
        <w:t>units insulin degludec and 0.6</w:t>
      </w:r>
      <w:r w:rsidR="00701610">
        <w:rPr>
          <w:lang w:val="en-GB"/>
        </w:rPr>
        <w:t xml:space="preserve"> </w:t>
      </w:r>
      <w:r w:rsidRPr="000A3FF0">
        <w:rPr>
          <w:lang w:val="en-GB"/>
        </w:rPr>
        <w:t xml:space="preserve">mg liraglutide) and the dose was titrated twice weekly according to </w:t>
      </w:r>
      <w:r w:rsidR="00315E5F" w:rsidRPr="00315E5F">
        <w:rPr>
          <w:b/>
          <w:bCs/>
        </w:rPr>
        <w:fldChar w:fldCharType="begin"/>
      </w:r>
      <w:r w:rsidR="00315E5F" w:rsidRPr="00315E5F">
        <w:rPr>
          <w:b/>
          <w:bCs/>
        </w:rPr>
        <w:instrText xml:space="preserve"> REF _Ref56099750 \h </w:instrText>
      </w:r>
      <w:r w:rsidR="00315E5F">
        <w:rPr>
          <w:b/>
          <w:bCs/>
        </w:rPr>
        <w:instrText xml:space="preserve"> \* MERGEFORMAT </w:instrText>
      </w:r>
      <w:r w:rsidR="00315E5F" w:rsidRPr="00315E5F">
        <w:rPr>
          <w:b/>
          <w:bCs/>
        </w:rPr>
      </w:r>
      <w:r w:rsidR="00315E5F"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315E5F" w:rsidRPr="00315E5F">
        <w:rPr>
          <w:b/>
          <w:bCs/>
        </w:rPr>
        <w:fldChar w:fldCharType="end"/>
      </w:r>
      <w:r w:rsidRPr="000A3FF0">
        <w:rPr>
          <w:lang w:val="en-GB"/>
        </w:rPr>
        <w:t>. Patients in the GLP-1 receptor agonist arm were to continue pretrial GLP-1 receptor agonist treatment.</w:t>
      </w:r>
      <w:r w:rsidR="00DA6F56">
        <w:rPr>
          <w:lang w:val="en-GB"/>
        </w:rPr>
        <w:t xml:space="preserve"> </w:t>
      </w:r>
      <w:r w:rsidR="007B79E7">
        <w:rPr>
          <w:lang w:val="en-GB"/>
        </w:rPr>
        <w:t>T</w:t>
      </w:r>
      <w:r w:rsidRPr="000A3FF0">
        <w:rPr>
          <w:lang w:val="da-DK"/>
        </w:rPr>
        <w:t>he reduction in HbA</w:t>
      </w:r>
      <w:r w:rsidRPr="000A3FF0">
        <w:rPr>
          <w:vertAlign w:val="subscript"/>
          <w:lang w:val="da-DK"/>
        </w:rPr>
        <w:t>1c</w:t>
      </w:r>
      <w:r w:rsidRPr="000A3FF0">
        <w:rPr>
          <w:lang w:val="da-DK"/>
        </w:rPr>
        <w:t xml:space="preserve"> from baseline to 26</w:t>
      </w:r>
      <w:r w:rsidR="00701610">
        <w:rPr>
          <w:lang w:val="da-DK"/>
        </w:rPr>
        <w:t xml:space="preserve"> </w:t>
      </w:r>
      <w:r w:rsidRPr="000A3FF0">
        <w:rPr>
          <w:lang w:val="da-DK"/>
        </w:rPr>
        <w:t xml:space="preserve">weeks was 1.3% with Xultophy, showing superiority compared to unchanged GLP-1 receptor agonist (estimated treatment difference -0.94, p&lt;0.001). </w:t>
      </w:r>
    </w:p>
    <w:p w14:paraId="2E26292F" w14:textId="15A27D42" w:rsidR="003C0999" w:rsidRDefault="000A3FF0" w:rsidP="00EE5E3B">
      <w:pPr>
        <w:rPr>
          <w:lang w:val="da-DK"/>
        </w:rPr>
      </w:pPr>
      <w:r w:rsidRPr="000A3FF0">
        <w:rPr>
          <w:lang w:val="da-DK"/>
        </w:rPr>
        <w:t xml:space="preserve">The key results of the trial are </w:t>
      </w:r>
      <w:r w:rsidR="00AD30BE">
        <w:rPr>
          <w:lang w:val="da-DK"/>
        </w:rPr>
        <w:t>presented</w:t>
      </w:r>
      <w:r w:rsidR="00AD30BE" w:rsidRPr="000A3FF0">
        <w:rPr>
          <w:lang w:val="da-DK"/>
        </w:rPr>
        <w:t xml:space="preserve"> </w:t>
      </w:r>
      <w:r w:rsidRPr="000A3FF0">
        <w:rPr>
          <w:lang w:val="da-DK"/>
        </w:rPr>
        <w:t xml:space="preserve">in </w:t>
      </w:r>
      <w:r w:rsidR="00DA6F56">
        <w:rPr>
          <w:lang w:val="en-GB"/>
        </w:rPr>
        <w:fldChar w:fldCharType="begin"/>
      </w:r>
      <w:r w:rsidR="00DA6F56">
        <w:rPr>
          <w:lang w:val="en-GB"/>
        </w:rPr>
        <w:instrText xml:space="preserve"> REF _Ref24720972 \h </w:instrText>
      </w:r>
      <w:r w:rsidR="00DA6F56">
        <w:rPr>
          <w:lang w:val="en-GB"/>
        </w:rPr>
      </w:r>
      <w:r w:rsidR="00EE5E3B">
        <w:rPr>
          <w:lang w:val="en-GB"/>
        </w:rPr>
        <w:instrText xml:space="preserve"> \* MERGEFORMAT </w:instrText>
      </w:r>
      <w:r w:rsidR="00DA6F56">
        <w:rPr>
          <w:lang w:val="en-GB"/>
        </w:rPr>
        <w:fldChar w:fldCharType="separate"/>
      </w:r>
      <w:r w:rsidR="00503238" w:rsidRPr="007B79E7">
        <w:rPr>
          <w:b/>
          <w:bCs/>
          <w:sz w:val="22"/>
          <w:szCs w:val="22"/>
        </w:rPr>
        <w:t xml:space="preserve">Figure </w:t>
      </w:r>
      <w:r w:rsidR="00503238">
        <w:rPr>
          <w:b/>
          <w:bCs/>
          <w:noProof/>
          <w:sz w:val="22"/>
          <w:szCs w:val="22"/>
        </w:rPr>
        <w:t>7</w:t>
      </w:r>
      <w:r w:rsidR="00DA6F56">
        <w:rPr>
          <w:lang w:val="en-GB"/>
        </w:rPr>
        <w:fldChar w:fldCharType="end"/>
      </w:r>
      <w:r w:rsidRPr="000A3FF0">
        <w:rPr>
          <w:lang w:val="da-DK"/>
        </w:rPr>
        <w:t>.</w:t>
      </w:r>
    </w:p>
    <w:p w14:paraId="030DCAFC" w14:textId="3722C4F0" w:rsidR="000A3FF0" w:rsidRPr="007B79E7" w:rsidRDefault="00DA6F56" w:rsidP="00EE5E3B">
      <w:pPr>
        <w:spacing w:after="0" w:line="240" w:lineRule="auto"/>
        <w:rPr>
          <w:sz w:val="22"/>
          <w:szCs w:val="22"/>
          <w:lang w:val="da-DK"/>
        </w:rPr>
      </w:pPr>
      <w:bookmarkStart w:id="22" w:name="_Ref24720972"/>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7</w:t>
      </w:r>
      <w:r w:rsidRPr="007B79E7">
        <w:rPr>
          <w:b/>
          <w:sz w:val="22"/>
          <w:szCs w:val="22"/>
        </w:rPr>
        <w:fldChar w:fldCharType="end"/>
      </w:r>
      <w:bookmarkEnd w:id="22"/>
      <w:r w:rsidRPr="007B79E7">
        <w:rPr>
          <w:b/>
          <w:sz w:val="22"/>
          <w:szCs w:val="22"/>
        </w:rPr>
        <w:t xml:space="preserve">: </w:t>
      </w:r>
      <w:r w:rsidR="000A3FF0" w:rsidRPr="007B79E7">
        <w:rPr>
          <w:b/>
          <w:bCs/>
          <w:sz w:val="22"/>
          <w:szCs w:val="22"/>
          <w:lang w:val="da-DK"/>
        </w:rPr>
        <w:t>Mean HbA</w:t>
      </w:r>
      <w:r w:rsidR="000A3FF0" w:rsidRPr="007B79E7">
        <w:rPr>
          <w:b/>
          <w:bCs/>
          <w:sz w:val="22"/>
          <w:szCs w:val="22"/>
          <w:vertAlign w:val="subscript"/>
          <w:lang w:val="da-DK"/>
        </w:rPr>
        <w:t>1c</w:t>
      </w:r>
      <w:r w:rsidR="000A3FF0" w:rsidRPr="007B79E7">
        <w:rPr>
          <w:b/>
          <w:bCs/>
          <w:sz w:val="22"/>
          <w:szCs w:val="22"/>
          <w:lang w:val="da-DK"/>
        </w:rPr>
        <w:t> (%) by treatment week in patients with type 2 diabetes mellitus inadequately controlled on GLP-1 receptor agonists</w:t>
      </w:r>
    </w:p>
    <w:bookmarkStart w:id="23" w:name="_MON_1475565936"/>
    <w:bookmarkEnd w:id="23"/>
    <w:p w14:paraId="197922CE" w14:textId="7520E233" w:rsidR="000A3FF0" w:rsidRPr="00E208C5" w:rsidRDefault="000A3FF0" w:rsidP="00EE5E3B">
      <w:pPr>
        <w:spacing w:after="0" w:line="240" w:lineRule="auto"/>
      </w:pPr>
      <w:r>
        <w:rPr>
          <w:b/>
          <w:szCs w:val="22"/>
        </w:rPr>
        <w:object w:dxaOrig="4536" w:dyaOrig="2439" w14:anchorId="7CE19513">
          <v:shape id="_x0000_i1032" type="#_x0000_t75" style="width:225.75pt;height:120.75pt" o:ole="">
            <v:imagedata r:id="rId24" o:title=""/>
          </v:shape>
          <o:OLEObject Type="Embed" ProgID="Word.Document.12" ShapeID="_x0000_i1032" DrawAspect="Content" ObjectID="_1680004101" r:id="rId25">
            <o:FieldCodes>\s</o:FieldCodes>
          </o:OLEObject>
        </w:object>
      </w:r>
    </w:p>
    <w:p w14:paraId="68D1F5CD" w14:textId="79FAB4D4" w:rsidR="00A2533A" w:rsidRPr="000A3FF0" w:rsidRDefault="000A3FF0" w:rsidP="00EE5E3B">
      <w:pPr>
        <w:rPr>
          <w:b/>
          <w:bCs/>
          <w:sz w:val="20"/>
          <w:szCs w:val="20"/>
          <w:lang w:val="pt-BR"/>
        </w:rPr>
      </w:pPr>
      <w:r w:rsidRPr="000A3FF0">
        <w:rPr>
          <w:noProof/>
          <w:sz w:val="20"/>
          <w:szCs w:val="20"/>
          <w:lang w:val="pt-BR"/>
        </w:rPr>
        <w:t>IDegLira=Xultophy, GLP-1 RA=GLP-1 receptor agonist</w:t>
      </w:r>
    </w:p>
    <w:p w14:paraId="155DF594" w14:textId="40EF6F33" w:rsidR="000A3FF0" w:rsidRPr="00DA6F56" w:rsidRDefault="00DA6F56" w:rsidP="00EE5E3B">
      <w:pPr>
        <w:rPr>
          <w:lang w:val="da-DK"/>
        </w:rPr>
      </w:pPr>
      <w:r w:rsidRPr="00DA6F56">
        <w:rPr>
          <w:rFonts w:eastAsia="Times New Roman"/>
          <w:noProof/>
          <w:sz w:val="22"/>
          <w:lang w:val="en-GB"/>
        </w:rPr>
        <w:t>The rate per patient year of exposure (percentage of patients) of severe hypoglycaemia was 0.01 (1</w:t>
      </w:r>
      <w:r>
        <w:rPr>
          <w:rFonts w:eastAsia="Times New Roman"/>
          <w:noProof/>
          <w:sz w:val="22"/>
          <w:lang w:val="en-GB"/>
        </w:rPr>
        <w:t xml:space="preserve"> </w:t>
      </w:r>
      <w:r w:rsidRPr="00DA6F56">
        <w:rPr>
          <w:rFonts w:eastAsia="Times New Roman"/>
          <w:noProof/>
          <w:sz w:val="22"/>
          <w:lang w:val="en-GB"/>
        </w:rPr>
        <w:t>patient out of 291) for Xultophy and 0.00 (0</w:t>
      </w:r>
      <w:r>
        <w:rPr>
          <w:rFonts w:eastAsia="Times New Roman"/>
          <w:noProof/>
          <w:sz w:val="22"/>
          <w:lang w:val="en-GB"/>
        </w:rPr>
        <w:t xml:space="preserve"> </w:t>
      </w:r>
      <w:r w:rsidRPr="00DA6F56">
        <w:rPr>
          <w:rFonts w:eastAsia="Times New Roman"/>
          <w:noProof/>
          <w:sz w:val="22"/>
          <w:lang w:val="en-GB"/>
        </w:rPr>
        <w:t xml:space="preserve">patients out of 199) for GLP-1 receptor agonists. </w:t>
      </w:r>
    </w:p>
    <w:p w14:paraId="28825178" w14:textId="61D73904" w:rsidR="00701610" w:rsidRPr="00A921EB" w:rsidRDefault="006E2DED" w:rsidP="00EE5E3B">
      <w:pPr>
        <w:spacing w:after="0" w:line="240" w:lineRule="auto"/>
        <w:rPr>
          <w:i/>
          <w:iCs/>
          <w:lang w:val="en-GB"/>
        </w:rPr>
      </w:pPr>
      <w:r w:rsidRPr="00A921EB">
        <w:rPr>
          <w:i/>
          <w:iCs/>
        </w:rPr>
        <w:t xml:space="preserve">Transfer from </w:t>
      </w:r>
      <w:r w:rsidR="00701610" w:rsidRPr="00A921EB">
        <w:rPr>
          <w:i/>
          <w:iCs/>
          <w:lang w:val="en-GB"/>
        </w:rPr>
        <w:t xml:space="preserve">insulin glargine U100 </w:t>
      </w:r>
      <w:r w:rsidR="00A921EB" w:rsidRPr="00A921EB">
        <w:rPr>
          <w:i/>
          <w:iCs/>
          <w:lang w:val="en-GB"/>
        </w:rPr>
        <w:t xml:space="preserve">- </w:t>
      </w:r>
      <w:r w:rsidR="00701610" w:rsidRPr="00A921EB">
        <w:rPr>
          <w:i/>
          <w:iCs/>
          <w:lang w:val="en-GB"/>
        </w:rPr>
        <w:t>Xultophy compared to basal-bolus insulin regimen (Trial 4185)</w:t>
      </w:r>
      <w:r w:rsidR="009C6905" w:rsidRPr="00A921EB">
        <w:rPr>
          <w:i/>
          <w:iCs/>
          <w:lang w:val="en-GB"/>
        </w:rPr>
        <w:t>:</w:t>
      </w:r>
      <w:r w:rsidR="00701610" w:rsidRPr="00A921EB">
        <w:rPr>
          <w:i/>
          <w:iCs/>
          <w:lang w:val="en-GB"/>
        </w:rPr>
        <w:t xml:space="preserve">  </w:t>
      </w:r>
    </w:p>
    <w:p w14:paraId="1460CF9A" w14:textId="6BFD1560" w:rsidR="000A3FF0" w:rsidRPr="00DA6F56" w:rsidRDefault="00701610" w:rsidP="00EE5E3B">
      <w:pPr>
        <w:rPr>
          <w:lang w:val="en-GB"/>
        </w:rPr>
      </w:pPr>
      <w:r w:rsidRPr="00701610">
        <w:rPr>
          <w:lang w:val="da-DK"/>
        </w:rPr>
        <w:t>The efficacy and safety of Xultophy compared to a basal-bolus insulin regimen consisting of insulin glargine U100 in combination with prandial insulin aspart at main meals, were studied in a 26-week randomised, open-label, treat-to-target trial in patients with type 2 diabetes mellitus inadequately controlled on insulin glargine U100 (20–50</w:t>
      </w:r>
      <w:r w:rsidR="006D537E">
        <w:rPr>
          <w:lang w:val="da-DK"/>
        </w:rPr>
        <w:t xml:space="preserve"> </w:t>
      </w:r>
      <w:r w:rsidRPr="00701610">
        <w:rPr>
          <w:lang w:val="da-DK"/>
        </w:rPr>
        <w:t>units) and metformin. The starting dose of Xultophy was 16</w:t>
      </w:r>
      <w:r w:rsidR="006D537E">
        <w:rPr>
          <w:lang w:val="da-DK"/>
        </w:rPr>
        <w:t xml:space="preserve"> </w:t>
      </w:r>
      <w:r w:rsidRPr="00701610">
        <w:rPr>
          <w:lang w:val="da-DK"/>
        </w:rPr>
        <w:t>dose steps. In the basal-bolus arm, the starting dose of insulin glargine U100 was equal to the pretrial daily dose and the starting dose of prandial insulin aspart was 4</w:t>
      </w:r>
      <w:r w:rsidR="006D537E">
        <w:rPr>
          <w:lang w:val="da-DK"/>
        </w:rPr>
        <w:t xml:space="preserve"> </w:t>
      </w:r>
      <w:r w:rsidRPr="00701610">
        <w:rPr>
          <w:lang w:val="da-DK"/>
        </w:rPr>
        <w:t xml:space="preserve">units before main meals. The dose of Xultophy and insulin glargine U100 was titrated twice weekly according to </w:t>
      </w:r>
      <w:r w:rsidR="00315E5F" w:rsidRPr="00315E5F">
        <w:rPr>
          <w:b/>
          <w:bCs/>
        </w:rPr>
        <w:fldChar w:fldCharType="begin"/>
      </w:r>
      <w:r w:rsidR="00315E5F" w:rsidRPr="00315E5F">
        <w:rPr>
          <w:b/>
          <w:bCs/>
        </w:rPr>
        <w:instrText xml:space="preserve"> REF _Ref56099750 \h </w:instrText>
      </w:r>
      <w:r w:rsidR="00315E5F">
        <w:rPr>
          <w:b/>
          <w:bCs/>
        </w:rPr>
        <w:instrText xml:space="preserve"> \* MERGEFORMAT </w:instrText>
      </w:r>
      <w:r w:rsidR="00315E5F" w:rsidRPr="00315E5F">
        <w:rPr>
          <w:b/>
          <w:bCs/>
        </w:rPr>
      </w:r>
      <w:r w:rsidR="00315E5F"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315E5F" w:rsidRPr="00315E5F">
        <w:rPr>
          <w:b/>
          <w:bCs/>
        </w:rPr>
        <w:fldChar w:fldCharType="end"/>
      </w:r>
      <w:r w:rsidRPr="00701610">
        <w:rPr>
          <w:lang w:val="da-DK"/>
        </w:rPr>
        <w:t>, whereas prandial insulin aspart was titrated twice weekly based on preprandial and bedtime self-measured plasma glucose (SMPG) obtained on the three previous days. The maximum daily dose was 50</w:t>
      </w:r>
      <w:r w:rsidR="006D537E">
        <w:rPr>
          <w:lang w:val="da-DK"/>
        </w:rPr>
        <w:t xml:space="preserve"> </w:t>
      </w:r>
      <w:r w:rsidRPr="00701610">
        <w:rPr>
          <w:lang w:val="da-DK"/>
        </w:rPr>
        <w:t>dose steps for Xultophy, while there was no maximum dose for insulin glargine U100 and insulin aspart.</w:t>
      </w:r>
    </w:p>
    <w:p w14:paraId="0DA88B52" w14:textId="4D7936BF" w:rsidR="006D537E" w:rsidRPr="006D537E" w:rsidRDefault="006D537E" w:rsidP="00EE5E3B">
      <w:pPr>
        <w:rPr>
          <w:lang w:val="en-GB"/>
        </w:rPr>
      </w:pPr>
      <w:r w:rsidRPr="006D537E">
        <w:rPr>
          <w:lang w:val="en-GB"/>
        </w:rPr>
        <w:t>The reduction in HbA</w:t>
      </w:r>
      <w:r w:rsidRPr="006D537E">
        <w:rPr>
          <w:vertAlign w:val="subscript"/>
          <w:lang w:val="en-GB"/>
        </w:rPr>
        <w:t>1c</w:t>
      </w:r>
      <w:r w:rsidRPr="006D537E">
        <w:rPr>
          <w:lang w:val="en-GB"/>
        </w:rPr>
        <w:t xml:space="preserve"> from baseline to 26</w:t>
      </w:r>
      <w:r>
        <w:rPr>
          <w:lang w:val="en-GB"/>
        </w:rPr>
        <w:t xml:space="preserve"> </w:t>
      </w:r>
      <w:r w:rsidRPr="006D537E">
        <w:rPr>
          <w:lang w:val="en-GB"/>
        </w:rPr>
        <w:t>weeks was -1.5% with Xultophy and -1.5% with basal-bolus regimen, confirming noninferiority of Xultophy compared to basal-bolus regimen (estimated treatment difference -0.02, p&lt;0.0001). The overall rate of severe or blood glucose confirmed symptomatic hypoglycaemia was lower with Xultophy compared to basal-bolus regimen (estimated treatment ratio 0.11, p&lt;0.0001), confirming superiority compared to basal-bolus regimen. Body weight was reduced by -0.9</w:t>
      </w:r>
      <w:r w:rsidR="00813E27">
        <w:rPr>
          <w:lang w:val="en-GB"/>
        </w:rPr>
        <w:t xml:space="preserve"> </w:t>
      </w:r>
      <w:r w:rsidRPr="006D537E">
        <w:rPr>
          <w:lang w:val="en-GB"/>
        </w:rPr>
        <w:t>kg with Xultophy and increased by 2.6</w:t>
      </w:r>
      <w:r>
        <w:rPr>
          <w:lang w:val="en-GB"/>
        </w:rPr>
        <w:t xml:space="preserve"> </w:t>
      </w:r>
      <w:r w:rsidRPr="006D537E">
        <w:rPr>
          <w:lang w:val="en-GB"/>
        </w:rPr>
        <w:t>kg with basal-bolus regimen with an estimated treatment difference between Xultophy and basal-bolus regimen of -3.57</w:t>
      </w:r>
      <w:r>
        <w:rPr>
          <w:lang w:val="en-GB"/>
        </w:rPr>
        <w:t xml:space="preserve"> </w:t>
      </w:r>
      <w:r w:rsidRPr="006D537E">
        <w:rPr>
          <w:lang w:val="en-GB"/>
        </w:rPr>
        <w:t>kg, confirming superiority of Xultophy</w:t>
      </w:r>
      <w:r>
        <w:rPr>
          <w:lang w:val="en-GB"/>
        </w:rPr>
        <w:t xml:space="preserve"> </w:t>
      </w:r>
      <w:r w:rsidRPr="006D537E">
        <w:rPr>
          <w:lang w:val="en-GB"/>
        </w:rPr>
        <w:t>compared to basal-bolus regimen (p&lt;0.0001).</w:t>
      </w:r>
    </w:p>
    <w:p w14:paraId="15F57DEB" w14:textId="0B417A28" w:rsidR="006D537E" w:rsidRPr="006D537E" w:rsidRDefault="006D537E" w:rsidP="00EE5E3B">
      <w:pPr>
        <w:rPr>
          <w:lang w:val="en-GB"/>
        </w:rPr>
      </w:pPr>
      <w:r w:rsidRPr="006D537E">
        <w:rPr>
          <w:lang w:val="en-GB"/>
        </w:rPr>
        <w:t>After 26</w:t>
      </w:r>
      <w:r>
        <w:rPr>
          <w:lang w:val="en-GB"/>
        </w:rPr>
        <w:t xml:space="preserve"> </w:t>
      </w:r>
      <w:r w:rsidRPr="006D537E">
        <w:rPr>
          <w:lang w:val="en-GB"/>
        </w:rPr>
        <w:t>weeks of treatment, there was no statistically significant difference in FPG between Xultophy and basal-bolus regimen.</w:t>
      </w:r>
    </w:p>
    <w:p w14:paraId="336A1127" w14:textId="557213D2" w:rsidR="000A3FF0" w:rsidRPr="00DA6F56" w:rsidRDefault="006D537E" w:rsidP="00EE5E3B">
      <w:pPr>
        <w:rPr>
          <w:lang w:val="en-GB"/>
        </w:rPr>
      </w:pPr>
      <w:r w:rsidRPr="006D537E">
        <w:rPr>
          <w:lang w:val="da-DK"/>
        </w:rPr>
        <w:t>Daily dose of the insulin degludec component of Xultophy after 26</w:t>
      </w:r>
      <w:r>
        <w:rPr>
          <w:lang w:val="da-DK"/>
        </w:rPr>
        <w:t xml:space="preserve"> </w:t>
      </w:r>
      <w:r w:rsidRPr="006D537E">
        <w:rPr>
          <w:lang w:val="da-DK"/>
        </w:rPr>
        <w:t>weeks of treatment was statistically significantly lower compared to basal insulin dose in the basal-bolus arm (40</w:t>
      </w:r>
      <w:r>
        <w:rPr>
          <w:lang w:val="da-DK"/>
        </w:rPr>
        <w:t xml:space="preserve"> </w:t>
      </w:r>
      <w:r w:rsidRPr="006D537E">
        <w:rPr>
          <w:lang w:val="da-DK"/>
        </w:rPr>
        <w:t>units vs 52</w:t>
      </w:r>
      <w:r>
        <w:rPr>
          <w:lang w:val="da-DK"/>
        </w:rPr>
        <w:t xml:space="preserve"> </w:t>
      </w:r>
      <w:r w:rsidRPr="006D537E">
        <w:rPr>
          <w:lang w:val="da-DK"/>
        </w:rPr>
        <w:t>units, p&lt;0.0001) and statistically significantly lower compared to total insulin dose in the basal-bolus arm (40</w:t>
      </w:r>
      <w:r>
        <w:rPr>
          <w:lang w:val="da-DK"/>
        </w:rPr>
        <w:t xml:space="preserve"> </w:t>
      </w:r>
      <w:r w:rsidRPr="006D537E">
        <w:rPr>
          <w:lang w:val="da-DK"/>
        </w:rPr>
        <w:t>units vs 84</w:t>
      </w:r>
      <w:r>
        <w:rPr>
          <w:lang w:val="da-DK"/>
        </w:rPr>
        <w:t xml:space="preserve"> </w:t>
      </w:r>
      <w:r w:rsidRPr="006D537E">
        <w:rPr>
          <w:lang w:val="da-DK"/>
        </w:rPr>
        <w:t>units</w:t>
      </w:r>
      <w:r w:rsidR="003F13D7">
        <w:rPr>
          <w:lang w:val="da-DK"/>
        </w:rPr>
        <w:t>).</w:t>
      </w:r>
    </w:p>
    <w:p w14:paraId="12D044A2" w14:textId="7E10869B" w:rsidR="000A3FF0" w:rsidRDefault="00943A57" w:rsidP="00EE5E3B">
      <w:pPr>
        <w:rPr>
          <w:lang w:val="da-DK"/>
        </w:rPr>
      </w:pPr>
      <w:r w:rsidRPr="00943A57">
        <w:rPr>
          <w:lang w:val="da-DK"/>
        </w:rPr>
        <w:t>Daily dose of the insulin degludec component of Xultophy after 26</w:t>
      </w:r>
      <w:r>
        <w:rPr>
          <w:lang w:val="da-DK"/>
        </w:rPr>
        <w:t xml:space="preserve"> </w:t>
      </w:r>
      <w:r w:rsidRPr="00943A57">
        <w:rPr>
          <w:lang w:val="da-DK"/>
        </w:rPr>
        <w:t>weeks of treatment was statistically significantly lower compared to basal insulin dose in the basal-bolus arm (40</w:t>
      </w:r>
      <w:r>
        <w:rPr>
          <w:lang w:val="da-DK"/>
        </w:rPr>
        <w:t xml:space="preserve"> </w:t>
      </w:r>
      <w:r w:rsidRPr="00943A57">
        <w:rPr>
          <w:lang w:val="da-DK"/>
        </w:rPr>
        <w:t>units vs 52</w:t>
      </w:r>
      <w:r>
        <w:rPr>
          <w:lang w:val="da-DK"/>
        </w:rPr>
        <w:t xml:space="preserve"> </w:t>
      </w:r>
      <w:r w:rsidRPr="00943A57">
        <w:rPr>
          <w:lang w:val="da-DK"/>
        </w:rPr>
        <w:t>units, p&lt;0.0001) and statistically significantly lower compared to total insulin dose in the basal-bolus arm (40</w:t>
      </w:r>
      <w:r>
        <w:rPr>
          <w:lang w:val="da-DK"/>
        </w:rPr>
        <w:t xml:space="preserve"> </w:t>
      </w:r>
      <w:r w:rsidRPr="00943A57">
        <w:rPr>
          <w:lang w:val="da-DK"/>
        </w:rPr>
        <w:t>units vs 84</w:t>
      </w:r>
      <w:r>
        <w:rPr>
          <w:lang w:val="da-DK"/>
        </w:rPr>
        <w:t xml:space="preserve"> </w:t>
      </w:r>
      <w:r w:rsidRPr="00943A57">
        <w:rPr>
          <w:lang w:val="da-DK"/>
        </w:rPr>
        <w:t>units, p&lt;0.0001).</w:t>
      </w:r>
    </w:p>
    <w:p w14:paraId="4EB3A502" w14:textId="1A9E2E19" w:rsidR="00943A57" w:rsidRPr="00943A57" w:rsidRDefault="00943A57" w:rsidP="00EE5E3B">
      <w:pPr>
        <w:rPr>
          <w:lang w:val="en-GB"/>
        </w:rPr>
      </w:pPr>
      <w:r w:rsidRPr="00943A57">
        <w:rPr>
          <w:lang w:val="en-GB"/>
        </w:rPr>
        <w:t>After 26</w:t>
      </w:r>
      <w:r>
        <w:rPr>
          <w:lang w:val="en-GB"/>
        </w:rPr>
        <w:t xml:space="preserve"> </w:t>
      </w:r>
      <w:r w:rsidRPr="00943A57">
        <w:rPr>
          <w:lang w:val="en-GB"/>
        </w:rPr>
        <w:t>weeks of treatment with Xultophy, 57.6% of patients reached the HbA</w:t>
      </w:r>
      <w:r w:rsidRPr="00943A57">
        <w:rPr>
          <w:vertAlign w:val="subscript"/>
          <w:lang w:val="en-GB"/>
        </w:rPr>
        <w:t>1c</w:t>
      </w:r>
      <w:r w:rsidRPr="00943A57">
        <w:rPr>
          <w:lang w:val="en-GB"/>
        </w:rPr>
        <w:t xml:space="preserve"> target of &lt;7% without severe or blood glucose confirmed symptomatic hypoglycaemic episodes compared to basal-bolus regimen (33.5%). The estimated odds of reaching target was statistically significantly higher for Xultophy compared to basal-bolus regimen (p&lt;0.0001).</w:t>
      </w:r>
    </w:p>
    <w:p w14:paraId="5CCE1624" w14:textId="17DB2BC6" w:rsidR="00943A57" w:rsidRPr="00943A57" w:rsidRDefault="00943A57" w:rsidP="00EE5E3B">
      <w:pPr>
        <w:rPr>
          <w:lang w:val="en-GB"/>
        </w:rPr>
      </w:pPr>
      <w:r w:rsidRPr="00943A57">
        <w:rPr>
          <w:lang w:val="en-GB"/>
        </w:rPr>
        <w:t>The rate per patient year of exposure of severe hypoglycaemia was 0.02 (3</w:t>
      </w:r>
      <w:r w:rsidR="00534CA6">
        <w:rPr>
          <w:lang w:val="en-GB"/>
        </w:rPr>
        <w:t xml:space="preserve"> </w:t>
      </w:r>
      <w:r w:rsidRPr="00943A57">
        <w:rPr>
          <w:lang w:val="en-GB"/>
        </w:rPr>
        <w:t>patients out of 252) for Xultophy and 0.08 (4</w:t>
      </w:r>
      <w:r>
        <w:rPr>
          <w:lang w:val="en-GB"/>
        </w:rPr>
        <w:t xml:space="preserve"> </w:t>
      </w:r>
      <w:r w:rsidRPr="00943A57">
        <w:rPr>
          <w:lang w:val="en-GB"/>
        </w:rPr>
        <w:t>patients out of 253) for basal-bolus regimen.</w:t>
      </w:r>
    </w:p>
    <w:p w14:paraId="4A8E432B" w14:textId="62912BE6" w:rsidR="00943A57" w:rsidRDefault="00943A57" w:rsidP="00EE5E3B">
      <w:pPr>
        <w:rPr>
          <w:lang w:val="da-DK"/>
        </w:rPr>
      </w:pPr>
      <w:r w:rsidRPr="00943A57">
        <w:rPr>
          <w:lang w:val="da-DK"/>
        </w:rPr>
        <w:t>The rate of nocturnal severe or blood glucose confirmed symptomatic hypoglycaemia was statistically significantly lower with Xultophy compared to basal-bolus regimen (estimated treatment ratio 0.08, p&lt;0.0001).</w:t>
      </w:r>
    </w:p>
    <w:p w14:paraId="6241B65C" w14:textId="25EF4E48" w:rsidR="00534CA6" w:rsidRDefault="00534CA6" w:rsidP="00EE5E3B">
      <w:pPr>
        <w:rPr>
          <w:u w:val="single"/>
          <w:lang w:val="en-US"/>
        </w:rPr>
      </w:pPr>
      <w:r w:rsidRPr="00534CA6">
        <w:rPr>
          <w:lang w:val="en-GB"/>
        </w:rPr>
        <w:t xml:space="preserve">The key results of the trial are </w:t>
      </w:r>
      <w:r w:rsidR="00AD30BE">
        <w:rPr>
          <w:lang w:val="en-GB"/>
        </w:rPr>
        <w:t>presented</w:t>
      </w:r>
      <w:r w:rsidR="00AD30BE" w:rsidRPr="00534CA6">
        <w:rPr>
          <w:lang w:val="en-GB"/>
        </w:rPr>
        <w:t xml:space="preserve"> </w:t>
      </w:r>
      <w:r w:rsidRPr="00534CA6">
        <w:rPr>
          <w:lang w:val="en-GB"/>
        </w:rPr>
        <w:t xml:space="preserve">in </w:t>
      </w:r>
      <w:r>
        <w:rPr>
          <w:lang w:val="en-GB"/>
        </w:rPr>
        <w:fldChar w:fldCharType="begin"/>
      </w:r>
      <w:r>
        <w:rPr>
          <w:lang w:val="en-GB"/>
        </w:rPr>
        <w:instrText xml:space="preserve"> REF _Ref24722524 \h </w:instrText>
      </w:r>
      <w:r>
        <w:rPr>
          <w:lang w:val="en-GB"/>
        </w:rPr>
      </w:r>
      <w:r w:rsidR="00EE5E3B">
        <w:rPr>
          <w:lang w:val="en-GB"/>
        </w:rPr>
        <w:instrText xml:space="preserve"> \* MERGEFORMAT </w:instrText>
      </w:r>
      <w:r>
        <w:rPr>
          <w:lang w:val="en-GB"/>
        </w:rPr>
        <w:fldChar w:fldCharType="separate"/>
      </w:r>
      <w:r w:rsidR="00503238" w:rsidRPr="007B79E7">
        <w:rPr>
          <w:b/>
          <w:bCs/>
          <w:sz w:val="22"/>
          <w:szCs w:val="22"/>
        </w:rPr>
        <w:t xml:space="preserve">Figure </w:t>
      </w:r>
      <w:r w:rsidR="00503238">
        <w:rPr>
          <w:b/>
          <w:bCs/>
          <w:noProof/>
          <w:sz w:val="22"/>
          <w:szCs w:val="22"/>
        </w:rPr>
        <w:t>8</w:t>
      </w:r>
      <w:r>
        <w:rPr>
          <w:lang w:val="en-GB"/>
        </w:rPr>
        <w:fldChar w:fldCharType="end"/>
      </w:r>
      <w:r w:rsidRPr="00534CA6">
        <w:rPr>
          <w:lang w:val="en-GB"/>
        </w:rPr>
        <w:t xml:space="preserve">, </w:t>
      </w:r>
      <w:r>
        <w:rPr>
          <w:lang w:val="en-GB"/>
        </w:rPr>
        <w:fldChar w:fldCharType="begin"/>
      </w:r>
      <w:r>
        <w:rPr>
          <w:lang w:val="en-GB"/>
        </w:rPr>
        <w:instrText xml:space="preserve"> REF _Ref24722531 \h </w:instrText>
      </w:r>
      <w:r>
        <w:rPr>
          <w:lang w:val="en-GB"/>
        </w:rPr>
      </w:r>
      <w:r w:rsidR="00EE5E3B">
        <w:rPr>
          <w:lang w:val="en-GB"/>
        </w:rPr>
        <w:instrText xml:space="preserve"> \* MERGEFORMAT </w:instrText>
      </w:r>
      <w:r>
        <w:rPr>
          <w:lang w:val="en-GB"/>
        </w:rPr>
        <w:fldChar w:fldCharType="separate"/>
      </w:r>
      <w:r w:rsidR="00503238" w:rsidRPr="007B79E7">
        <w:rPr>
          <w:b/>
          <w:bCs/>
          <w:sz w:val="22"/>
          <w:szCs w:val="22"/>
        </w:rPr>
        <w:t xml:space="preserve">Figure </w:t>
      </w:r>
      <w:r w:rsidR="00503238">
        <w:rPr>
          <w:b/>
          <w:bCs/>
          <w:noProof/>
          <w:sz w:val="22"/>
          <w:szCs w:val="22"/>
        </w:rPr>
        <w:t>9</w:t>
      </w:r>
      <w:r>
        <w:rPr>
          <w:lang w:val="en-GB"/>
        </w:rPr>
        <w:fldChar w:fldCharType="end"/>
      </w:r>
      <w:r w:rsidR="00465272">
        <w:rPr>
          <w:lang w:val="en-GB"/>
        </w:rPr>
        <w:t xml:space="preserve"> and</w:t>
      </w:r>
      <w:r w:rsidRPr="00534CA6">
        <w:rPr>
          <w:lang w:val="en-GB"/>
        </w:rPr>
        <w:t xml:space="preserve"> </w:t>
      </w:r>
      <w:r>
        <w:rPr>
          <w:lang w:val="en-GB"/>
        </w:rPr>
        <w:fldChar w:fldCharType="begin"/>
      </w:r>
      <w:r>
        <w:rPr>
          <w:lang w:val="en-GB"/>
        </w:rPr>
        <w:instrText xml:space="preserve"> REF _Ref24722539 \h </w:instrText>
      </w:r>
      <w:r>
        <w:rPr>
          <w:lang w:val="en-GB"/>
        </w:rPr>
      </w:r>
      <w:r w:rsidR="00EE5E3B">
        <w:rPr>
          <w:lang w:val="en-GB"/>
        </w:rPr>
        <w:instrText xml:space="preserve"> \* MERGEFORMAT </w:instrText>
      </w:r>
      <w:r>
        <w:rPr>
          <w:lang w:val="en-GB"/>
        </w:rPr>
        <w:fldChar w:fldCharType="separate"/>
      </w:r>
      <w:r w:rsidR="00503238" w:rsidRPr="00FC4CA6">
        <w:rPr>
          <w:b/>
          <w:bCs/>
        </w:rPr>
        <w:t xml:space="preserve">Figure </w:t>
      </w:r>
      <w:r w:rsidR="00503238">
        <w:rPr>
          <w:b/>
          <w:bCs/>
          <w:noProof/>
        </w:rPr>
        <w:t>10</w:t>
      </w:r>
      <w:r>
        <w:rPr>
          <w:lang w:val="en-GB"/>
        </w:rPr>
        <w:fldChar w:fldCharType="end"/>
      </w:r>
      <w:r w:rsidRPr="00534CA6">
        <w:rPr>
          <w:lang w:val="en-GB"/>
        </w:rPr>
        <w:t>.</w:t>
      </w:r>
      <w:r w:rsidRPr="00534CA6">
        <w:rPr>
          <w:u w:val="single"/>
          <w:lang w:val="en-US"/>
        </w:rPr>
        <w:t xml:space="preserve"> </w:t>
      </w:r>
    </w:p>
    <w:p w14:paraId="21D95982" w14:textId="3773BACC" w:rsidR="00534CA6" w:rsidRPr="007B79E7" w:rsidRDefault="00534CA6" w:rsidP="00EE5E3B">
      <w:pPr>
        <w:spacing w:after="0" w:line="240" w:lineRule="auto"/>
        <w:rPr>
          <w:sz w:val="22"/>
          <w:szCs w:val="22"/>
          <w:u w:val="single"/>
          <w:lang w:val="en-US"/>
        </w:rPr>
      </w:pPr>
      <w:bookmarkStart w:id="24" w:name="_Ref24722524"/>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8</w:t>
      </w:r>
      <w:r w:rsidRPr="007B79E7">
        <w:rPr>
          <w:b/>
          <w:sz w:val="22"/>
          <w:szCs w:val="22"/>
        </w:rPr>
        <w:fldChar w:fldCharType="end"/>
      </w:r>
      <w:bookmarkEnd w:id="24"/>
      <w:r w:rsidRPr="007B79E7">
        <w:rPr>
          <w:b/>
          <w:sz w:val="22"/>
          <w:szCs w:val="22"/>
        </w:rPr>
        <w:t xml:space="preserve">: </w:t>
      </w:r>
      <w:r w:rsidRPr="007B79E7">
        <w:rPr>
          <w:b/>
          <w:bCs/>
          <w:sz w:val="22"/>
          <w:szCs w:val="22"/>
          <w:lang w:val="en-GB"/>
        </w:rPr>
        <w:t>Mean HbA</w:t>
      </w:r>
      <w:r w:rsidRPr="007B79E7">
        <w:rPr>
          <w:b/>
          <w:bCs/>
          <w:sz w:val="22"/>
          <w:szCs w:val="22"/>
          <w:vertAlign w:val="subscript"/>
          <w:lang w:val="en-GB"/>
        </w:rPr>
        <w:t>1c</w:t>
      </w:r>
      <w:r w:rsidRPr="007B79E7">
        <w:rPr>
          <w:b/>
          <w:bCs/>
          <w:sz w:val="22"/>
          <w:szCs w:val="22"/>
          <w:lang w:val="en-GB"/>
        </w:rPr>
        <w:t> (%) by treatment week in patients with type 2 diabetes mellitus inadequately controlled on insulin glargine U100</w:t>
      </w:r>
    </w:p>
    <w:bookmarkStart w:id="25" w:name="_MON_1551517784"/>
    <w:bookmarkEnd w:id="25"/>
    <w:p w14:paraId="0DFDC071" w14:textId="77777777" w:rsidR="00534CA6" w:rsidRPr="00534CA6" w:rsidRDefault="00534CA6" w:rsidP="00EE5E3B">
      <w:pPr>
        <w:spacing w:after="0" w:line="240" w:lineRule="auto"/>
        <w:rPr>
          <w:b/>
          <w:bCs/>
          <w:lang w:val="en-US"/>
        </w:rPr>
      </w:pPr>
      <w:r w:rsidRPr="00534CA6">
        <w:rPr>
          <w:b/>
          <w:bCs/>
          <w:lang w:val="da-DK"/>
        </w:rPr>
        <w:object w:dxaOrig="4536" w:dyaOrig="2380" w14:anchorId="546E7E1E">
          <v:shape id="_x0000_i1033" type="#_x0000_t75" style="width:225.75pt;height:120pt" o:ole="">
            <v:imagedata r:id="rId26" o:title=""/>
          </v:shape>
          <o:OLEObject Type="Embed" ProgID="Word.Document.12" ShapeID="_x0000_i1033" DrawAspect="Content" ObjectID="_1680004102" r:id="rId27">
            <o:FieldCodes>\s</o:FieldCodes>
          </o:OLEObject>
        </w:object>
      </w:r>
    </w:p>
    <w:p w14:paraId="5ACC5A6F" w14:textId="60D0676F" w:rsidR="00534CA6" w:rsidRPr="00534CA6" w:rsidRDefault="00534CA6" w:rsidP="00EE5E3B">
      <w:pPr>
        <w:rPr>
          <w:sz w:val="20"/>
          <w:szCs w:val="20"/>
          <w:lang w:val="en-GB"/>
        </w:rPr>
      </w:pPr>
      <w:r w:rsidRPr="00534CA6">
        <w:rPr>
          <w:sz w:val="20"/>
          <w:szCs w:val="20"/>
          <w:lang w:val="en-GB"/>
        </w:rPr>
        <w:t>IDegLira=</w:t>
      </w:r>
      <w:r w:rsidR="00813E27">
        <w:rPr>
          <w:sz w:val="20"/>
          <w:szCs w:val="20"/>
          <w:lang w:val="en-GB"/>
        </w:rPr>
        <w:t>Xultophy</w:t>
      </w:r>
      <w:r w:rsidRPr="00534CA6">
        <w:rPr>
          <w:sz w:val="20"/>
          <w:szCs w:val="20"/>
          <w:lang w:val="en-GB"/>
        </w:rPr>
        <w:t>, IGlar + IAsp = insulin glargine U100 + insulin aspart</w:t>
      </w:r>
    </w:p>
    <w:p w14:paraId="6E37CA69" w14:textId="0D12F953" w:rsidR="00534CA6" w:rsidRPr="007B79E7" w:rsidRDefault="00534CA6" w:rsidP="00EE5E3B">
      <w:pPr>
        <w:keepNext/>
        <w:spacing w:after="0" w:line="240" w:lineRule="auto"/>
        <w:rPr>
          <w:b/>
          <w:bCs/>
          <w:sz w:val="22"/>
          <w:szCs w:val="22"/>
          <w:lang w:val="en-GB"/>
        </w:rPr>
      </w:pPr>
      <w:bookmarkStart w:id="26" w:name="_Ref24722531"/>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9</w:t>
      </w:r>
      <w:r w:rsidRPr="007B79E7">
        <w:rPr>
          <w:b/>
          <w:sz w:val="22"/>
          <w:szCs w:val="22"/>
        </w:rPr>
        <w:fldChar w:fldCharType="end"/>
      </w:r>
      <w:bookmarkEnd w:id="26"/>
      <w:r w:rsidRPr="007B79E7">
        <w:rPr>
          <w:b/>
          <w:sz w:val="22"/>
          <w:szCs w:val="22"/>
        </w:rPr>
        <w:t xml:space="preserve">: </w:t>
      </w:r>
      <w:r w:rsidRPr="007B79E7">
        <w:rPr>
          <w:b/>
          <w:bCs/>
          <w:sz w:val="22"/>
          <w:szCs w:val="22"/>
          <w:lang w:val="da-DK"/>
        </w:rPr>
        <w:t xml:space="preserve">Mean cumulative number of severe or blood glucose confirmed </w:t>
      </w:r>
      <w:r w:rsidRPr="007B79E7">
        <w:rPr>
          <w:b/>
          <w:bCs/>
          <w:sz w:val="22"/>
          <w:szCs w:val="22"/>
          <w:lang w:val="en-GB"/>
        </w:rPr>
        <w:t>symptomatic hypoglycaemic episodes in patients inadequately controlled on insulin glargine U100</w:t>
      </w:r>
    </w:p>
    <w:bookmarkStart w:id="27" w:name="_MON_1551517766"/>
    <w:bookmarkEnd w:id="27"/>
    <w:p w14:paraId="6D5D13EE" w14:textId="77777777" w:rsidR="00534CA6" w:rsidRPr="00534CA6" w:rsidRDefault="00534CA6" w:rsidP="00EE5E3B">
      <w:pPr>
        <w:rPr>
          <w:lang w:val="en-GB"/>
        </w:rPr>
      </w:pPr>
      <w:r w:rsidRPr="00534CA6">
        <w:rPr>
          <w:b/>
          <w:lang w:val="da-DK"/>
        </w:rPr>
        <w:object w:dxaOrig="4536" w:dyaOrig="2553" w14:anchorId="2DE917C5">
          <v:shape id="_x0000_i1034" type="#_x0000_t75" style="width:225.75pt;height:128.25pt" o:ole="">
            <v:imagedata r:id="rId28" o:title=""/>
          </v:shape>
          <o:OLEObject Type="Embed" ProgID="Word.Document.12" ShapeID="_x0000_i1034" DrawAspect="Content" ObjectID="_1680004103" r:id="rId29">
            <o:FieldCodes>\s</o:FieldCodes>
          </o:OLEObject>
        </w:object>
      </w:r>
    </w:p>
    <w:p w14:paraId="54F063F4" w14:textId="14145D8A" w:rsidR="00534CA6" w:rsidRPr="00534CA6" w:rsidRDefault="00534CA6" w:rsidP="00EE5E3B">
      <w:pPr>
        <w:keepNext/>
        <w:spacing w:after="0" w:line="240" w:lineRule="auto"/>
        <w:rPr>
          <w:b/>
          <w:bCs/>
          <w:lang w:val="en-GB"/>
        </w:rPr>
      </w:pPr>
      <w:bookmarkStart w:id="28" w:name="_Ref24722539"/>
      <w:r w:rsidRPr="00FC4CA6">
        <w:rPr>
          <w:b/>
          <w:bCs/>
        </w:rPr>
        <w:t xml:space="preserve">Figure </w:t>
      </w:r>
      <w:r w:rsidRPr="00FC4CA6">
        <w:rPr>
          <w:b/>
          <w:bCs/>
        </w:rPr>
        <w:fldChar w:fldCharType="begin"/>
      </w:r>
      <w:r w:rsidRPr="00E208C5">
        <w:rPr>
          <w:b/>
          <w:bCs/>
        </w:rPr>
        <w:instrText xml:space="preserve"> SEQ Figure \* ARABIC \s 1 </w:instrText>
      </w:r>
      <w:r w:rsidRPr="00FC4CA6">
        <w:rPr>
          <w:b/>
          <w:bCs/>
        </w:rPr>
        <w:fldChar w:fldCharType="separate"/>
      </w:r>
      <w:r w:rsidR="00503238">
        <w:rPr>
          <w:b/>
          <w:bCs/>
          <w:noProof/>
        </w:rPr>
        <w:t>10</w:t>
      </w:r>
      <w:r w:rsidRPr="00FC4CA6">
        <w:rPr>
          <w:b/>
        </w:rPr>
        <w:fldChar w:fldCharType="end"/>
      </w:r>
      <w:bookmarkEnd w:id="28"/>
      <w:r w:rsidRPr="00FC4CA6">
        <w:rPr>
          <w:b/>
        </w:rPr>
        <w:t xml:space="preserve">: </w:t>
      </w:r>
      <w:r w:rsidRPr="00534CA6">
        <w:rPr>
          <w:b/>
          <w:bCs/>
          <w:lang w:val="da-DK"/>
        </w:rPr>
        <w:t>LSMean change in body weight by treatment week in patients inadequately controlled on insulin glargine U100</w:t>
      </w:r>
    </w:p>
    <w:bookmarkStart w:id="29" w:name="_MON_1551517736"/>
    <w:bookmarkEnd w:id="29"/>
    <w:p w14:paraId="25375917" w14:textId="77777777" w:rsidR="00534CA6" w:rsidRPr="00534CA6" w:rsidRDefault="00534CA6" w:rsidP="00EE5E3B">
      <w:pPr>
        <w:rPr>
          <w:b/>
          <w:bCs/>
          <w:lang w:val="en-GB"/>
        </w:rPr>
      </w:pPr>
      <w:r w:rsidRPr="00534CA6">
        <w:rPr>
          <w:b/>
          <w:bCs/>
          <w:lang w:val="da-DK"/>
        </w:rPr>
        <w:object w:dxaOrig="4536" w:dyaOrig="2323" w14:anchorId="0A68C064">
          <v:shape id="_x0000_i1035" type="#_x0000_t75" style="width:225.75pt;height:116.25pt" o:ole="">
            <v:imagedata r:id="rId30" o:title=""/>
          </v:shape>
          <o:OLEObject Type="Embed" ProgID="Word.Document.12" ShapeID="_x0000_i1035" DrawAspect="Content" ObjectID="_1680004104" r:id="rId31">
            <o:FieldCodes>\s</o:FieldCodes>
          </o:OLEObject>
        </w:object>
      </w:r>
    </w:p>
    <w:p w14:paraId="10D70CDF" w14:textId="57F42BFC" w:rsidR="00813E27" w:rsidRPr="00A921EB" w:rsidRDefault="00813E27" w:rsidP="00EE5E3B">
      <w:pPr>
        <w:keepNext/>
        <w:spacing w:after="0" w:line="240" w:lineRule="auto"/>
        <w:rPr>
          <w:i/>
          <w:lang w:val="en-GB"/>
        </w:rPr>
      </w:pPr>
      <w:bookmarkStart w:id="30" w:name="_Toc410894348"/>
      <w:r w:rsidRPr="00A921EB">
        <w:rPr>
          <w:i/>
          <w:lang w:val="en-GB"/>
        </w:rPr>
        <w:t xml:space="preserve">Transfer from </w:t>
      </w:r>
      <w:bookmarkEnd w:id="30"/>
      <w:r w:rsidRPr="00A921EB">
        <w:rPr>
          <w:i/>
          <w:lang w:val="en-GB"/>
        </w:rPr>
        <w:t>insulin glargine</w:t>
      </w:r>
      <w:r w:rsidR="00A921EB" w:rsidRPr="00A921EB">
        <w:rPr>
          <w:i/>
          <w:lang w:val="en-GB"/>
        </w:rPr>
        <w:t xml:space="preserve"> - </w:t>
      </w:r>
      <w:r w:rsidRPr="00A921EB">
        <w:rPr>
          <w:i/>
          <w:lang w:val="en-GB"/>
        </w:rPr>
        <w:t>Xultophy compared to insulin glargine U100 (Trial 3952)</w:t>
      </w:r>
    </w:p>
    <w:p w14:paraId="68572DB9" w14:textId="19F7F2F7" w:rsidR="00813E27" w:rsidRDefault="00813E27" w:rsidP="00EE5E3B">
      <w:pPr>
        <w:rPr>
          <w:lang w:val="da-DK"/>
        </w:rPr>
      </w:pPr>
      <w:r w:rsidRPr="00813E27">
        <w:rPr>
          <w:lang w:val="da-DK"/>
        </w:rPr>
        <w:t>The efficacy and safety of Xultophy compared to insulin glargine, both once-daily, were studied in a 26-week randomised, open-label, treat-to-target trial in patients with type 2 diabetes mellitus inadequately controlled on insulin glargine (20–50</w:t>
      </w:r>
      <w:r>
        <w:rPr>
          <w:lang w:val="da-DK"/>
        </w:rPr>
        <w:t xml:space="preserve"> </w:t>
      </w:r>
      <w:r w:rsidRPr="00813E27">
        <w:rPr>
          <w:lang w:val="da-DK"/>
        </w:rPr>
        <w:t>units) and metformin. The starting dose of Xultophy was 16</w:t>
      </w:r>
      <w:r>
        <w:rPr>
          <w:lang w:val="da-DK"/>
        </w:rPr>
        <w:t xml:space="preserve"> </w:t>
      </w:r>
      <w:r w:rsidRPr="00813E27">
        <w:rPr>
          <w:lang w:val="da-DK"/>
        </w:rPr>
        <w:t xml:space="preserve">dose steps and for insulin glargine the starting dose was equal to the pretrial daily dose. The dose was titrated twice weekly </w:t>
      </w:r>
      <w:r w:rsidRPr="00701610">
        <w:rPr>
          <w:lang w:val="da-DK"/>
        </w:rPr>
        <w:t xml:space="preserve">according to </w:t>
      </w:r>
      <w:r w:rsidR="00AE0638" w:rsidRPr="00315E5F">
        <w:rPr>
          <w:b/>
          <w:bCs/>
        </w:rPr>
        <w:fldChar w:fldCharType="begin"/>
      </w:r>
      <w:r w:rsidR="00AE0638" w:rsidRPr="00315E5F">
        <w:rPr>
          <w:b/>
          <w:bCs/>
        </w:rPr>
        <w:instrText xml:space="preserve"> REF _Ref56099750 \h </w:instrText>
      </w:r>
      <w:r w:rsidR="00AE0638">
        <w:rPr>
          <w:b/>
          <w:bCs/>
        </w:rPr>
        <w:instrText xml:space="preserve"> \* MERGEFORMAT </w:instrText>
      </w:r>
      <w:r w:rsidR="00AE0638" w:rsidRPr="00315E5F">
        <w:rPr>
          <w:b/>
          <w:bCs/>
        </w:rPr>
      </w:r>
      <w:r w:rsidR="00AE0638"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AE0638" w:rsidRPr="00315E5F">
        <w:rPr>
          <w:b/>
          <w:bCs/>
        </w:rPr>
        <w:fldChar w:fldCharType="end"/>
      </w:r>
      <w:r w:rsidRPr="00813E27">
        <w:rPr>
          <w:lang w:val="da-DK"/>
        </w:rPr>
        <w:t>. The maximum allowed dose was 50</w:t>
      </w:r>
      <w:r>
        <w:rPr>
          <w:lang w:val="da-DK"/>
        </w:rPr>
        <w:t xml:space="preserve"> </w:t>
      </w:r>
      <w:r w:rsidRPr="00813E27">
        <w:rPr>
          <w:lang w:val="da-DK"/>
        </w:rPr>
        <w:t>dose steps for Xultophy, while there was no maximum dose for insulin glargine.</w:t>
      </w:r>
    </w:p>
    <w:p w14:paraId="219B1AE0" w14:textId="5E6EDD7F" w:rsidR="00813E27" w:rsidRPr="00813E27" w:rsidRDefault="00813E27" w:rsidP="00EE5E3B">
      <w:pPr>
        <w:rPr>
          <w:lang w:val="en-GB"/>
        </w:rPr>
      </w:pPr>
      <w:r w:rsidRPr="00813E27">
        <w:rPr>
          <w:lang w:val="en-GB"/>
        </w:rPr>
        <w:t>The reduction in HbA</w:t>
      </w:r>
      <w:r w:rsidRPr="00813E27">
        <w:rPr>
          <w:vertAlign w:val="subscript"/>
          <w:lang w:val="en-GB"/>
        </w:rPr>
        <w:t>1c</w:t>
      </w:r>
      <w:r w:rsidRPr="00813E27">
        <w:rPr>
          <w:lang w:val="en-GB"/>
        </w:rPr>
        <w:t xml:space="preserve"> from baseline to 26</w:t>
      </w:r>
      <w:r>
        <w:rPr>
          <w:lang w:val="en-GB"/>
        </w:rPr>
        <w:t xml:space="preserve"> </w:t>
      </w:r>
      <w:r w:rsidRPr="00813E27">
        <w:rPr>
          <w:lang w:val="en-GB"/>
        </w:rPr>
        <w:t xml:space="preserve">weeks was 1.8% with Xultophy and 1.1% with insulin glargine, confirming superiority of </w:t>
      </w:r>
      <w:r>
        <w:rPr>
          <w:lang w:val="en-GB"/>
        </w:rPr>
        <w:t>Xultophy</w:t>
      </w:r>
      <w:r w:rsidRPr="00813E27">
        <w:rPr>
          <w:lang w:val="en-GB"/>
        </w:rPr>
        <w:t xml:space="preserve"> compared to insulin glargine (estimated treatment difference -0.59, p&lt;0.001). Body weight was reduced by 1.4</w:t>
      </w:r>
      <w:r>
        <w:rPr>
          <w:lang w:val="en-GB"/>
        </w:rPr>
        <w:t xml:space="preserve"> </w:t>
      </w:r>
      <w:r w:rsidRPr="00813E27">
        <w:rPr>
          <w:lang w:val="en-GB"/>
        </w:rPr>
        <w:t>kg with Xultophy and increased by 1.8</w:t>
      </w:r>
      <w:r>
        <w:rPr>
          <w:lang w:val="en-GB"/>
        </w:rPr>
        <w:t xml:space="preserve"> </w:t>
      </w:r>
      <w:r w:rsidRPr="00813E27">
        <w:rPr>
          <w:lang w:val="en-GB"/>
        </w:rPr>
        <w:t>kg with insulin glargine with an estimated treatment difference between Xultophy and insulin glargine of -3.20</w:t>
      </w:r>
      <w:r>
        <w:rPr>
          <w:lang w:val="en-GB"/>
        </w:rPr>
        <w:t xml:space="preserve"> </w:t>
      </w:r>
      <w:r w:rsidRPr="00813E27">
        <w:rPr>
          <w:lang w:val="en-GB"/>
        </w:rPr>
        <w:t xml:space="preserve">kg, confirming superiority of Xultophy compared to insulin glargine (p&lt;0.001). </w:t>
      </w:r>
    </w:p>
    <w:p w14:paraId="5662CDA1" w14:textId="575C5988" w:rsidR="00813E27" w:rsidRPr="00813E27" w:rsidRDefault="00813E27" w:rsidP="00EE5E3B">
      <w:pPr>
        <w:rPr>
          <w:lang w:val="en-GB"/>
        </w:rPr>
      </w:pPr>
      <w:r w:rsidRPr="00813E27">
        <w:rPr>
          <w:lang w:val="en-GB"/>
        </w:rPr>
        <w:t>After 26</w:t>
      </w:r>
      <w:r>
        <w:rPr>
          <w:lang w:val="en-GB"/>
        </w:rPr>
        <w:t xml:space="preserve"> </w:t>
      </w:r>
      <w:r w:rsidRPr="00813E27">
        <w:rPr>
          <w:lang w:val="en-GB"/>
        </w:rPr>
        <w:t xml:space="preserve">weeks of treatment, there was no statistically significant difference in FPG between </w:t>
      </w:r>
      <w:r>
        <w:rPr>
          <w:lang w:val="en-GB"/>
        </w:rPr>
        <w:t>Xultophy</w:t>
      </w:r>
      <w:r w:rsidRPr="00813E27">
        <w:rPr>
          <w:lang w:val="en-GB"/>
        </w:rPr>
        <w:t xml:space="preserve"> and insulin glargine. Daily dose of the insulin degludec component of Xultophy after 26 weeks of treatment was statistically significantly lower for </w:t>
      </w:r>
      <w:r>
        <w:rPr>
          <w:lang w:val="en-GB"/>
        </w:rPr>
        <w:t>Xultophy</w:t>
      </w:r>
      <w:r w:rsidRPr="00813E27">
        <w:rPr>
          <w:lang w:val="en-GB"/>
        </w:rPr>
        <w:t xml:space="preserve"> compared to the insulin glargine dose (41</w:t>
      </w:r>
      <w:r>
        <w:rPr>
          <w:lang w:val="en-GB"/>
        </w:rPr>
        <w:t xml:space="preserve"> </w:t>
      </w:r>
      <w:r w:rsidRPr="00813E27">
        <w:rPr>
          <w:lang w:val="en-GB"/>
        </w:rPr>
        <w:t>units vs 66</w:t>
      </w:r>
      <w:r>
        <w:rPr>
          <w:lang w:val="en-GB"/>
        </w:rPr>
        <w:t xml:space="preserve"> </w:t>
      </w:r>
      <w:r w:rsidRPr="00813E27">
        <w:rPr>
          <w:lang w:val="en-GB"/>
        </w:rPr>
        <w:t xml:space="preserve">units, p&lt;0.001), resulting in an insulin sparring effect of </w:t>
      </w:r>
      <w:r>
        <w:rPr>
          <w:lang w:val="en-GB"/>
        </w:rPr>
        <w:t>Xultophy</w:t>
      </w:r>
      <w:r w:rsidRPr="00813E27">
        <w:rPr>
          <w:lang w:val="en-GB"/>
        </w:rPr>
        <w:t xml:space="preserve">. </w:t>
      </w:r>
    </w:p>
    <w:p w14:paraId="09883885" w14:textId="5741BD9F" w:rsidR="00813E27" w:rsidRDefault="00813E27" w:rsidP="00EE5E3B">
      <w:pPr>
        <w:rPr>
          <w:lang w:val="en-GB"/>
        </w:rPr>
      </w:pPr>
      <w:r w:rsidRPr="00813E27">
        <w:rPr>
          <w:lang w:val="da-DK"/>
        </w:rPr>
        <w:t xml:space="preserve">The overall rate of hypoglycaemia was lower with </w:t>
      </w:r>
      <w:r>
        <w:rPr>
          <w:lang w:val="da-DK"/>
        </w:rPr>
        <w:t>Xultophy</w:t>
      </w:r>
      <w:r w:rsidRPr="00813E27">
        <w:rPr>
          <w:lang w:val="da-DK"/>
        </w:rPr>
        <w:t xml:space="preserve"> compared to insulin glargine (estimated treatment ratio 0.43, p&lt;0.001), confirming superiority compared to insulin glargine. </w:t>
      </w:r>
    </w:p>
    <w:p w14:paraId="197A4A75" w14:textId="1DFE558D" w:rsidR="002475AD" w:rsidRPr="002475AD" w:rsidRDefault="000C7842" w:rsidP="00EE5E3B">
      <w:pPr>
        <w:rPr>
          <w:lang w:val="en-US"/>
        </w:rPr>
      </w:pPr>
      <w:r>
        <w:rPr>
          <w:lang w:val="en-US"/>
        </w:rPr>
        <w:t xml:space="preserve">After </w:t>
      </w:r>
      <w:r w:rsidR="002475AD" w:rsidRPr="002475AD">
        <w:rPr>
          <w:lang w:val="en-US"/>
        </w:rPr>
        <w:t>26</w:t>
      </w:r>
      <w:r w:rsidR="002475AD">
        <w:rPr>
          <w:lang w:val="en-US"/>
        </w:rPr>
        <w:t xml:space="preserve"> </w:t>
      </w:r>
      <w:r w:rsidR="002475AD" w:rsidRPr="002475AD">
        <w:rPr>
          <w:lang w:val="en-US"/>
        </w:rPr>
        <w:t>weeks of treatment, 54.3% of patients treated with Xultophy</w:t>
      </w:r>
      <w:r w:rsidR="002475AD">
        <w:rPr>
          <w:lang w:val="en-US"/>
        </w:rPr>
        <w:t xml:space="preserve"> </w:t>
      </w:r>
      <w:r w:rsidR="002475AD" w:rsidRPr="002475AD">
        <w:rPr>
          <w:lang w:val="en-US"/>
        </w:rPr>
        <w:t>reached the HbA</w:t>
      </w:r>
      <w:r w:rsidR="002475AD" w:rsidRPr="002475AD">
        <w:rPr>
          <w:vertAlign w:val="subscript"/>
          <w:lang w:val="en-US"/>
        </w:rPr>
        <w:t>1c</w:t>
      </w:r>
      <w:r w:rsidR="002475AD" w:rsidRPr="002475AD">
        <w:rPr>
          <w:lang w:val="en-US"/>
        </w:rPr>
        <w:t xml:space="preserve"> target of &lt;7% without confirmed hypoglycaemic episodes compared to 29.4% of patients treated with insulin glargine (odds ratio 3.24, p&lt;0.001).</w:t>
      </w:r>
    </w:p>
    <w:p w14:paraId="03872A6C" w14:textId="4B6CE482" w:rsidR="002475AD" w:rsidRPr="002475AD" w:rsidRDefault="002475AD" w:rsidP="00EE5E3B">
      <w:pPr>
        <w:rPr>
          <w:lang w:val="en-US"/>
        </w:rPr>
      </w:pPr>
      <w:r w:rsidRPr="002475AD">
        <w:rPr>
          <w:lang w:val="en-US"/>
        </w:rPr>
        <w:t>The rate per patient year of exposure of severe hypoglycaemia was 0.00 (0</w:t>
      </w:r>
      <w:r>
        <w:rPr>
          <w:lang w:val="en-US"/>
        </w:rPr>
        <w:t xml:space="preserve"> </w:t>
      </w:r>
      <w:r w:rsidRPr="002475AD">
        <w:rPr>
          <w:lang w:val="en-US"/>
        </w:rPr>
        <w:t>patients out of 278) for Xultophy</w:t>
      </w:r>
      <w:r>
        <w:rPr>
          <w:lang w:val="en-US"/>
        </w:rPr>
        <w:t xml:space="preserve"> </w:t>
      </w:r>
      <w:r w:rsidRPr="002475AD">
        <w:rPr>
          <w:lang w:val="en-US"/>
        </w:rPr>
        <w:t>and 0.01 (1</w:t>
      </w:r>
      <w:r>
        <w:rPr>
          <w:lang w:val="en-US"/>
        </w:rPr>
        <w:t xml:space="preserve"> </w:t>
      </w:r>
      <w:r w:rsidRPr="002475AD">
        <w:rPr>
          <w:lang w:val="en-US"/>
        </w:rPr>
        <w:t>patient out of 279) for insulin glargine.</w:t>
      </w:r>
    </w:p>
    <w:p w14:paraId="6F82481C" w14:textId="0B432C40" w:rsidR="00943A57" w:rsidRDefault="002475AD" w:rsidP="00EE5E3B">
      <w:pPr>
        <w:rPr>
          <w:lang w:val="da-DK"/>
        </w:rPr>
      </w:pPr>
      <w:r w:rsidRPr="002475AD">
        <w:rPr>
          <w:lang w:val="da-DK"/>
        </w:rPr>
        <w:t xml:space="preserve">The rate of nocturnal hypoglycaemia was statistically significantly lower with </w:t>
      </w:r>
      <w:r w:rsidR="00E3589B">
        <w:rPr>
          <w:lang w:val="da-DK"/>
        </w:rPr>
        <w:t>Xultophy</w:t>
      </w:r>
      <w:r w:rsidRPr="002475AD">
        <w:rPr>
          <w:lang w:val="da-DK"/>
        </w:rPr>
        <w:t xml:space="preserve"> compared to insulin glargine (estimated treatment ratio 0.17, p&lt;0.001).</w:t>
      </w:r>
    </w:p>
    <w:p w14:paraId="11BE0173" w14:textId="2EDBCB35" w:rsidR="002475AD" w:rsidRDefault="00E3589B" w:rsidP="00EE5E3B">
      <w:pPr>
        <w:rPr>
          <w:lang w:val="en-GB"/>
        </w:rPr>
      </w:pPr>
      <w:r>
        <w:rPr>
          <w:lang w:val="da-DK"/>
        </w:rPr>
        <w:t>Xultophy</w:t>
      </w:r>
      <w:r w:rsidR="002475AD" w:rsidRPr="002475AD">
        <w:rPr>
          <w:lang w:val="da-DK"/>
        </w:rPr>
        <w:t xml:space="preserve"> significantly improved overall physical health and diabetes management and significantly reduced treatment burden compared to insulin glargine.</w:t>
      </w:r>
    </w:p>
    <w:p w14:paraId="5C72D33B" w14:textId="2B053FF9" w:rsidR="002475AD" w:rsidRDefault="002475AD" w:rsidP="00EE5E3B">
      <w:pPr>
        <w:rPr>
          <w:u w:val="single"/>
          <w:lang w:val="en-US"/>
        </w:rPr>
      </w:pPr>
      <w:r w:rsidRPr="002475AD">
        <w:rPr>
          <w:lang w:val="en-US"/>
        </w:rPr>
        <w:t xml:space="preserve">The key results of the trial are </w:t>
      </w:r>
      <w:r w:rsidR="00AD30BE">
        <w:rPr>
          <w:lang w:val="en-US"/>
        </w:rPr>
        <w:t>presented</w:t>
      </w:r>
      <w:r w:rsidR="00AD30BE" w:rsidRPr="002475AD">
        <w:rPr>
          <w:lang w:val="en-US"/>
        </w:rPr>
        <w:t xml:space="preserve"> </w:t>
      </w:r>
      <w:r w:rsidRPr="002475AD">
        <w:rPr>
          <w:lang w:val="en-US"/>
        </w:rPr>
        <w:t xml:space="preserve">in </w:t>
      </w:r>
      <w:r w:rsidR="002433F8">
        <w:rPr>
          <w:lang w:val="en-US"/>
        </w:rPr>
        <w:fldChar w:fldCharType="begin"/>
      </w:r>
      <w:r w:rsidR="002433F8">
        <w:rPr>
          <w:lang w:val="en-US"/>
        </w:rPr>
        <w:instrText xml:space="preserve"> REF _Ref24981299 \h </w:instrText>
      </w:r>
      <w:r w:rsidR="002433F8">
        <w:rPr>
          <w:lang w:val="en-US"/>
        </w:rPr>
      </w:r>
      <w:r w:rsidR="00EE5E3B">
        <w:rPr>
          <w:lang w:val="en-US"/>
        </w:rPr>
        <w:instrText xml:space="preserve"> \* MERGEFORMAT </w:instrText>
      </w:r>
      <w:r w:rsidR="002433F8">
        <w:rPr>
          <w:lang w:val="en-US"/>
        </w:rPr>
        <w:fldChar w:fldCharType="separate"/>
      </w:r>
      <w:r w:rsidR="00503238" w:rsidRPr="007B79E7">
        <w:rPr>
          <w:b/>
          <w:bCs/>
          <w:sz w:val="22"/>
          <w:szCs w:val="22"/>
        </w:rPr>
        <w:t xml:space="preserve">Figure </w:t>
      </w:r>
      <w:r w:rsidR="00503238">
        <w:rPr>
          <w:b/>
          <w:bCs/>
          <w:noProof/>
          <w:sz w:val="22"/>
          <w:szCs w:val="22"/>
        </w:rPr>
        <w:t>11</w:t>
      </w:r>
      <w:r w:rsidR="002433F8">
        <w:rPr>
          <w:lang w:val="en-US"/>
        </w:rPr>
        <w:fldChar w:fldCharType="end"/>
      </w:r>
      <w:r w:rsidRPr="002475AD">
        <w:rPr>
          <w:lang w:val="en-US"/>
        </w:rPr>
        <w:t xml:space="preserve">, </w:t>
      </w:r>
      <w:r w:rsidR="002433F8">
        <w:rPr>
          <w:lang w:val="en-US"/>
        </w:rPr>
        <w:fldChar w:fldCharType="begin"/>
      </w:r>
      <w:r w:rsidR="002433F8">
        <w:rPr>
          <w:lang w:val="en-US"/>
        </w:rPr>
        <w:instrText xml:space="preserve"> REF _Ref24981306 \h </w:instrText>
      </w:r>
      <w:r w:rsidR="002433F8">
        <w:rPr>
          <w:lang w:val="en-US"/>
        </w:rPr>
      </w:r>
      <w:r w:rsidR="00EE5E3B">
        <w:rPr>
          <w:lang w:val="en-US"/>
        </w:rPr>
        <w:instrText xml:space="preserve"> \* MERGEFORMAT </w:instrText>
      </w:r>
      <w:r w:rsidR="002433F8">
        <w:rPr>
          <w:lang w:val="en-US"/>
        </w:rPr>
        <w:fldChar w:fldCharType="separate"/>
      </w:r>
      <w:r w:rsidR="00503238" w:rsidRPr="00192EB8">
        <w:rPr>
          <w:b/>
          <w:bCs/>
          <w:sz w:val="22"/>
          <w:szCs w:val="22"/>
        </w:rPr>
        <w:t xml:space="preserve">Figure </w:t>
      </w:r>
      <w:r w:rsidR="00503238">
        <w:rPr>
          <w:b/>
          <w:bCs/>
          <w:noProof/>
          <w:sz w:val="22"/>
          <w:szCs w:val="22"/>
        </w:rPr>
        <w:t>12</w:t>
      </w:r>
      <w:r w:rsidR="002433F8">
        <w:rPr>
          <w:lang w:val="en-US"/>
        </w:rPr>
        <w:fldChar w:fldCharType="end"/>
      </w:r>
      <w:r w:rsidR="00465272">
        <w:rPr>
          <w:lang w:val="en-US"/>
        </w:rPr>
        <w:t xml:space="preserve"> and</w:t>
      </w:r>
      <w:r w:rsidRPr="002475AD">
        <w:rPr>
          <w:lang w:val="en-US"/>
        </w:rPr>
        <w:t xml:space="preserve"> </w:t>
      </w:r>
      <w:r w:rsidR="002433F8">
        <w:rPr>
          <w:lang w:val="en-US"/>
        </w:rPr>
        <w:fldChar w:fldCharType="begin"/>
      </w:r>
      <w:r w:rsidR="002433F8">
        <w:rPr>
          <w:lang w:val="en-US"/>
        </w:rPr>
        <w:instrText xml:space="preserve"> REF _Ref24981315 \h </w:instrText>
      </w:r>
      <w:r w:rsidR="002433F8">
        <w:rPr>
          <w:lang w:val="en-US"/>
        </w:rPr>
      </w:r>
      <w:r w:rsidR="00EE5E3B">
        <w:rPr>
          <w:lang w:val="en-US"/>
        </w:rPr>
        <w:instrText xml:space="preserve"> \* MERGEFORMAT </w:instrText>
      </w:r>
      <w:r w:rsidR="002433F8">
        <w:rPr>
          <w:lang w:val="en-US"/>
        </w:rPr>
        <w:fldChar w:fldCharType="separate"/>
      </w:r>
      <w:r w:rsidR="00503238" w:rsidRPr="00192EB8">
        <w:rPr>
          <w:b/>
          <w:bCs/>
          <w:sz w:val="22"/>
          <w:szCs w:val="22"/>
        </w:rPr>
        <w:t xml:space="preserve">Figure </w:t>
      </w:r>
      <w:r w:rsidR="00503238">
        <w:rPr>
          <w:b/>
          <w:bCs/>
          <w:noProof/>
          <w:sz w:val="22"/>
          <w:szCs w:val="22"/>
        </w:rPr>
        <w:t>13</w:t>
      </w:r>
      <w:r w:rsidR="002433F8">
        <w:rPr>
          <w:lang w:val="en-US"/>
        </w:rPr>
        <w:fldChar w:fldCharType="end"/>
      </w:r>
      <w:r w:rsidRPr="002475AD">
        <w:rPr>
          <w:u w:val="single"/>
          <w:lang w:val="en-US"/>
        </w:rPr>
        <w:t xml:space="preserve"> </w:t>
      </w:r>
    </w:p>
    <w:p w14:paraId="4B2AE092" w14:textId="700ED919" w:rsidR="002475AD" w:rsidRPr="007B79E7" w:rsidRDefault="002475AD" w:rsidP="00EE5E3B">
      <w:pPr>
        <w:keepNext/>
        <w:spacing w:after="0" w:line="240" w:lineRule="auto"/>
        <w:rPr>
          <w:b/>
          <w:bCs/>
          <w:sz w:val="22"/>
          <w:szCs w:val="22"/>
          <w:lang w:val="en-US"/>
        </w:rPr>
      </w:pPr>
      <w:bookmarkStart w:id="31" w:name="_Ref24981299"/>
      <w:r w:rsidRPr="007B79E7">
        <w:rPr>
          <w:b/>
          <w:bCs/>
          <w:sz w:val="22"/>
          <w:szCs w:val="22"/>
        </w:rPr>
        <w:t xml:space="preserve">Figure </w:t>
      </w:r>
      <w:r w:rsidRPr="007B79E7">
        <w:rPr>
          <w:b/>
          <w:bCs/>
          <w:sz w:val="22"/>
          <w:szCs w:val="22"/>
        </w:rPr>
        <w:fldChar w:fldCharType="begin"/>
      </w:r>
      <w:r w:rsidRPr="007B79E7">
        <w:rPr>
          <w:b/>
          <w:bCs/>
          <w:sz w:val="22"/>
          <w:szCs w:val="22"/>
        </w:rPr>
        <w:instrText xml:space="preserve"> SEQ Figure \* ARABIC \s 1 </w:instrText>
      </w:r>
      <w:r w:rsidRPr="007B79E7">
        <w:rPr>
          <w:b/>
          <w:bCs/>
          <w:sz w:val="22"/>
          <w:szCs w:val="22"/>
        </w:rPr>
        <w:fldChar w:fldCharType="separate"/>
      </w:r>
      <w:r w:rsidR="00503238">
        <w:rPr>
          <w:b/>
          <w:bCs/>
          <w:noProof/>
          <w:sz w:val="22"/>
          <w:szCs w:val="22"/>
        </w:rPr>
        <w:t>11</w:t>
      </w:r>
      <w:r w:rsidRPr="007B79E7">
        <w:rPr>
          <w:b/>
          <w:sz w:val="22"/>
          <w:szCs w:val="22"/>
        </w:rPr>
        <w:fldChar w:fldCharType="end"/>
      </w:r>
      <w:bookmarkEnd w:id="31"/>
      <w:r w:rsidRPr="007B79E7">
        <w:rPr>
          <w:b/>
          <w:sz w:val="22"/>
          <w:szCs w:val="22"/>
        </w:rPr>
        <w:t xml:space="preserve">: </w:t>
      </w:r>
      <w:r w:rsidRPr="007B79E7">
        <w:rPr>
          <w:b/>
          <w:bCs/>
          <w:sz w:val="22"/>
          <w:szCs w:val="22"/>
          <w:lang w:val="en-US"/>
        </w:rPr>
        <w:t>Mean HbA</w:t>
      </w:r>
      <w:r w:rsidRPr="007B79E7">
        <w:rPr>
          <w:b/>
          <w:bCs/>
          <w:sz w:val="22"/>
          <w:szCs w:val="22"/>
          <w:vertAlign w:val="subscript"/>
          <w:lang w:val="en-US"/>
        </w:rPr>
        <w:t>1c</w:t>
      </w:r>
      <w:r w:rsidRPr="007B79E7">
        <w:rPr>
          <w:b/>
          <w:bCs/>
          <w:sz w:val="22"/>
          <w:szCs w:val="22"/>
          <w:lang w:val="en-US"/>
        </w:rPr>
        <w:t xml:space="preserve"> (%) by treatment week in </w:t>
      </w:r>
      <w:r w:rsidRPr="007B79E7">
        <w:rPr>
          <w:b/>
          <w:sz w:val="22"/>
          <w:szCs w:val="22"/>
          <w:lang w:val="en-US"/>
        </w:rPr>
        <w:t xml:space="preserve">patients </w:t>
      </w:r>
      <w:r w:rsidRPr="007B79E7">
        <w:rPr>
          <w:b/>
          <w:bCs/>
          <w:sz w:val="22"/>
          <w:szCs w:val="22"/>
          <w:lang w:val="en-US"/>
        </w:rPr>
        <w:t xml:space="preserve">with type 2 diabetes mellitus </w:t>
      </w:r>
      <w:r w:rsidRPr="007B79E7">
        <w:rPr>
          <w:b/>
          <w:sz w:val="22"/>
          <w:szCs w:val="22"/>
          <w:lang w:val="en-US"/>
        </w:rPr>
        <w:t xml:space="preserve">inadequately controlled on </w:t>
      </w:r>
      <w:r w:rsidRPr="007B79E7">
        <w:rPr>
          <w:b/>
          <w:bCs/>
          <w:sz w:val="22"/>
          <w:szCs w:val="22"/>
          <w:lang w:val="en-US"/>
        </w:rPr>
        <w:t>insulin glargine</w:t>
      </w:r>
    </w:p>
    <w:bookmarkStart w:id="32" w:name="_MON_1493023952"/>
    <w:bookmarkEnd w:id="32"/>
    <w:p w14:paraId="49A5553D" w14:textId="28D8E65A" w:rsidR="002475AD" w:rsidRDefault="002475AD" w:rsidP="00EE5E3B">
      <w:pPr>
        <w:rPr>
          <w:lang w:val="en-GB"/>
        </w:rPr>
      </w:pPr>
      <w:r>
        <w:rPr>
          <w:rStyle w:val="PageNumber"/>
          <w:sz w:val="22"/>
          <w:szCs w:val="22"/>
        </w:rPr>
        <w:object w:dxaOrig="4536" w:dyaOrig="2324" w14:anchorId="5D588AFD">
          <v:shape id="_x0000_i1036" type="#_x0000_t75" style="width:225.75pt;height:117pt" o:ole="">
            <v:imagedata r:id="rId32" o:title=""/>
          </v:shape>
          <o:OLEObject Type="Embed" ProgID="Word.Document.12" ShapeID="_x0000_i1036" DrawAspect="Content" ObjectID="_1680004105" r:id="rId33">
            <o:FieldCodes>\s</o:FieldCodes>
          </o:OLEObject>
        </w:object>
      </w:r>
    </w:p>
    <w:p w14:paraId="057F7276" w14:textId="02767F62" w:rsidR="002475AD" w:rsidRPr="00192EB8" w:rsidRDefault="002475AD" w:rsidP="00EE5E3B">
      <w:pPr>
        <w:keepNext/>
        <w:spacing w:after="0" w:line="240" w:lineRule="auto"/>
        <w:rPr>
          <w:sz w:val="22"/>
          <w:szCs w:val="22"/>
          <w:lang w:val="en-GB"/>
        </w:rPr>
      </w:pPr>
      <w:bookmarkStart w:id="33" w:name="_Ref24981306"/>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12</w:t>
      </w:r>
      <w:r w:rsidRPr="00192EB8">
        <w:rPr>
          <w:b/>
          <w:sz w:val="22"/>
          <w:szCs w:val="22"/>
        </w:rPr>
        <w:fldChar w:fldCharType="end"/>
      </w:r>
      <w:bookmarkEnd w:id="33"/>
      <w:r w:rsidRPr="00192EB8">
        <w:rPr>
          <w:b/>
          <w:sz w:val="22"/>
          <w:szCs w:val="22"/>
        </w:rPr>
        <w:t xml:space="preserve">: </w:t>
      </w:r>
      <w:r w:rsidRPr="00192EB8">
        <w:rPr>
          <w:b/>
          <w:bCs/>
          <w:sz w:val="22"/>
          <w:szCs w:val="22"/>
          <w:lang w:val="da-DK"/>
        </w:rPr>
        <w:t>Mean change in body weight by treatment week in patients inadequately controlled on insulin glargine</w:t>
      </w:r>
    </w:p>
    <w:bookmarkStart w:id="34" w:name="_MON_1492938590"/>
    <w:bookmarkEnd w:id="34"/>
    <w:p w14:paraId="249B01AF" w14:textId="031A8D3C" w:rsidR="002475AD" w:rsidRDefault="002475AD" w:rsidP="00EE5E3B">
      <w:pPr>
        <w:rPr>
          <w:rStyle w:val="PageNumber"/>
          <w:sz w:val="22"/>
          <w:szCs w:val="22"/>
        </w:rPr>
      </w:pPr>
      <w:r>
        <w:rPr>
          <w:rStyle w:val="PageNumber"/>
          <w:sz w:val="22"/>
          <w:szCs w:val="22"/>
        </w:rPr>
        <w:object w:dxaOrig="4537" w:dyaOrig="2381" w14:anchorId="3817C62D">
          <v:shape id="_x0000_i1037" type="#_x0000_t75" style="width:225pt;height:117.75pt" o:ole="">
            <v:imagedata r:id="rId34" o:title=""/>
          </v:shape>
          <o:OLEObject Type="Embed" ProgID="Word.Document.12" ShapeID="_x0000_i1037" DrawAspect="Content" ObjectID="_1680004106" r:id="rId35">
            <o:FieldCodes>\s</o:FieldCodes>
          </o:OLEObject>
        </w:object>
      </w:r>
    </w:p>
    <w:p w14:paraId="3049B2ED" w14:textId="561F9F0D" w:rsidR="002475AD" w:rsidRPr="00192EB8" w:rsidRDefault="002475AD" w:rsidP="00EE5E3B">
      <w:pPr>
        <w:keepNext/>
        <w:spacing w:after="0" w:line="240" w:lineRule="auto"/>
        <w:rPr>
          <w:rStyle w:val="PageNumber"/>
          <w:sz w:val="22"/>
          <w:szCs w:val="22"/>
        </w:rPr>
      </w:pPr>
      <w:bookmarkStart w:id="35" w:name="_Ref24981315"/>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13</w:t>
      </w:r>
      <w:r w:rsidRPr="00192EB8">
        <w:rPr>
          <w:b/>
          <w:sz w:val="22"/>
          <w:szCs w:val="22"/>
        </w:rPr>
        <w:fldChar w:fldCharType="end"/>
      </w:r>
      <w:bookmarkEnd w:id="35"/>
      <w:r w:rsidRPr="00192EB8">
        <w:rPr>
          <w:b/>
          <w:sz w:val="22"/>
          <w:szCs w:val="22"/>
        </w:rPr>
        <w:t xml:space="preserve">: </w:t>
      </w:r>
      <w:r w:rsidRPr="00192EB8">
        <w:rPr>
          <w:b/>
          <w:sz w:val="22"/>
          <w:szCs w:val="22"/>
          <w:lang w:val="en-US"/>
        </w:rPr>
        <w:t xml:space="preserve"> Mean cumulative number of hypoglycaemic episodes in patients inadequately controlled on insulin glargine</w:t>
      </w:r>
    </w:p>
    <w:bookmarkStart w:id="36" w:name="_MON_1492938677"/>
    <w:bookmarkEnd w:id="36"/>
    <w:p w14:paraId="4570868E" w14:textId="0E1381C9" w:rsidR="002475AD" w:rsidRDefault="002475AD" w:rsidP="00EE5E3B">
      <w:pPr>
        <w:rPr>
          <w:rStyle w:val="PageNumber"/>
          <w:sz w:val="22"/>
          <w:szCs w:val="22"/>
        </w:rPr>
      </w:pPr>
      <w:r>
        <w:rPr>
          <w:rStyle w:val="PageNumber"/>
          <w:sz w:val="22"/>
          <w:szCs w:val="22"/>
        </w:rPr>
        <w:object w:dxaOrig="4536" w:dyaOrig="2552" w14:anchorId="7D1AF41A">
          <v:shape id="_x0000_i1038" type="#_x0000_t75" style="width:225.75pt;height:126.75pt" o:ole="">
            <v:imagedata r:id="rId36" o:title=""/>
          </v:shape>
          <o:OLEObject Type="Embed" ProgID="Word.Document.12" ShapeID="_x0000_i1038" DrawAspect="Content" ObjectID="_1680004107" r:id="rId37">
            <o:FieldCodes>\s</o:FieldCodes>
          </o:OLEObject>
        </w:object>
      </w:r>
    </w:p>
    <w:p w14:paraId="55563479" w14:textId="09858755" w:rsidR="0017211C" w:rsidRPr="00A921EB" w:rsidRDefault="0017211C" w:rsidP="00EE5E3B">
      <w:pPr>
        <w:keepNext/>
        <w:spacing w:after="0" w:line="240" w:lineRule="auto"/>
        <w:rPr>
          <w:i/>
          <w:iCs/>
          <w:lang w:val="en-GB"/>
        </w:rPr>
      </w:pPr>
      <w:r w:rsidRPr="00A921EB">
        <w:rPr>
          <w:i/>
          <w:iCs/>
          <w:lang w:val="en-GB"/>
        </w:rPr>
        <w:t xml:space="preserve">Transfer from basal insulin therapies </w:t>
      </w:r>
      <w:r w:rsidR="00A921EB" w:rsidRPr="00A921EB">
        <w:rPr>
          <w:i/>
          <w:iCs/>
          <w:lang w:val="en-GB"/>
        </w:rPr>
        <w:t xml:space="preserve">- </w:t>
      </w:r>
      <w:r w:rsidRPr="00A921EB">
        <w:rPr>
          <w:i/>
          <w:iCs/>
          <w:lang w:val="en-GB"/>
        </w:rPr>
        <w:t>Xultophy compared to insulin degludec (Trial 3912)</w:t>
      </w:r>
    </w:p>
    <w:p w14:paraId="6348FFF0" w14:textId="370E089A" w:rsidR="002433F8" w:rsidRDefault="0017211C" w:rsidP="00EE5E3B">
      <w:pPr>
        <w:rPr>
          <w:lang w:val="en-GB"/>
        </w:rPr>
      </w:pPr>
      <w:r w:rsidRPr="0017211C">
        <w:rPr>
          <w:lang w:val="da-DK"/>
        </w:rPr>
        <w:t xml:space="preserve">The efficacy and safety of </w:t>
      </w:r>
      <w:r w:rsidR="00E3589B">
        <w:rPr>
          <w:lang w:val="da-DK"/>
        </w:rPr>
        <w:t>Xultophy</w:t>
      </w:r>
      <w:r w:rsidRPr="0017211C">
        <w:rPr>
          <w:lang w:val="da-DK"/>
        </w:rPr>
        <w:t xml:space="preserve"> compared to insulin degludec, both once-daily, were studied in a 26-week</w:t>
      </w:r>
      <w:r w:rsidR="00D72E74">
        <w:rPr>
          <w:lang w:val="da-DK"/>
        </w:rPr>
        <w:t>,</w:t>
      </w:r>
      <w:r w:rsidRPr="0017211C">
        <w:rPr>
          <w:lang w:val="da-DK"/>
        </w:rPr>
        <w:t xml:space="preserve"> randomised, double-blind, treat-to-target trial in patients with type 2 diabetes mellitus inadequately controlled on basal insulin (20–40</w:t>
      </w:r>
      <w:r>
        <w:rPr>
          <w:lang w:val="da-DK"/>
        </w:rPr>
        <w:t xml:space="preserve"> </w:t>
      </w:r>
      <w:r w:rsidRPr="0017211C">
        <w:rPr>
          <w:lang w:val="da-DK"/>
        </w:rPr>
        <w:t xml:space="preserve">units) and metformin alone or in combination with sulfonylurea/glinides. Basal insulin and sulfonylurea/glinides were discontinued at randomisation. The starting dose of </w:t>
      </w:r>
      <w:r w:rsidR="00E3589B">
        <w:rPr>
          <w:lang w:val="da-DK"/>
        </w:rPr>
        <w:t>Xultophy</w:t>
      </w:r>
      <w:r w:rsidRPr="0017211C">
        <w:rPr>
          <w:lang w:val="da-DK"/>
        </w:rPr>
        <w:t xml:space="preserve"> and insulin degludec was 16</w:t>
      </w:r>
      <w:r>
        <w:rPr>
          <w:lang w:val="da-DK"/>
        </w:rPr>
        <w:t xml:space="preserve"> </w:t>
      </w:r>
      <w:r w:rsidRPr="0017211C">
        <w:rPr>
          <w:lang w:val="da-DK"/>
        </w:rPr>
        <w:t>dose steps and 16</w:t>
      </w:r>
      <w:r>
        <w:rPr>
          <w:lang w:val="da-DK"/>
        </w:rPr>
        <w:t xml:space="preserve"> </w:t>
      </w:r>
      <w:r w:rsidRPr="0017211C">
        <w:rPr>
          <w:lang w:val="da-DK"/>
        </w:rPr>
        <w:t xml:space="preserve">units, respectively, and the dose was titrated twice weekly </w:t>
      </w:r>
      <w:r w:rsidRPr="00701610">
        <w:rPr>
          <w:lang w:val="da-DK"/>
        </w:rPr>
        <w:t xml:space="preserve">according to </w:t>
      </w:r>
      <w:r w:rsidR="00315E5F" w:rsidRPr="00315E5F">
        <w:rPr>
          <w:b/>
          <w:bCs/>
        </w:rPr>
        <w:fldChar w:fldCharType="begin"/>
      </w:r>
      <w:r w:rsidR="00315E5F" w:rsidRPr="00315E5F">
        <w:rPr>
          <w:b/>
          <w:bCs/>
        </w:rPr>
        <w:instrText xml:space="preserve"> REF _Ref56099750 \h </w:instrText>
      </w:r>
      <w:r w:rsidR="00315E5F">
        <w:rPr>
          <w:b/>
          <w:bCs/>
        </w:rPr>
        <w:instrText xml:space="preserve"> \* MERGEFORMAT </w:instrText>
      </w:r>
      <w:r w:rsidR="00315E5F" w:rsidRPr="00315E5F">
        <w:rPr>
          <w:b/>
          <w:bCs/>
        </w:rPr>
      </w:r>
      <w:r w:rsidR="00315E5F" w:rsidRPr="00315E5F">
        <w:rPr>
          <w:b/>
          <w:bCs/>
        </w:rPr>
        <w:fldChar w:fldCharType="separate"/>
      </w:r>
      <w:r w:rsidR="00503238" w:rsidRPr="00503238">
        <w:rPr>
          <w:b/>
          <w:bCs/>
          <w:sz w:val="22"/>
          <w:szCs w:val="22"/>
        </w:rPr>
        <w:t xml:space="preserve">Table </w:t>
      </w:r>
      <w:r w:rsidR="00503238" w:rsidRPr="00503238">
        <w:rPr>
          <w:b/>
          <w:bCs/>
          <w:noProof/>
          <w:sz w:val="22"/>
          <w:szCs w:val="22"/>
        </w:rPr>
        <w:t>1</w:t>
      </w:r>
      <w:r w:rsidR="00315E5F" w:rsidRPr="00315E5F">
        <w:rPr>
          <w:b/>
          <w:bCs/>
        </w:rPr>
        <w:fldChar w:fldCharType="end"/>
      </w:r>
      <w:r w:rsidRPr="0017211C">
        <w:rPr>
          <w:lang w:val="da-DK"/>
        </w:rPr>
        <w:t xml:space="preserve"> above. The maximum allowed dose was 50</w:t>
      </w:r>
      <w:r>
        <w:rPr>
          <w:lang w:val="da-DK"/>
        </w:rPr>
        <w:t xml:space="preserve"> </w:t>
      </w:r>
      <w:r w:rsidRPr="0017211C">
        <w:rPr>
          <w:lang w:val="da-DK"/>
        </w:rPr>
        <w:t xml:space="preserve">dose steps for </w:t>
      </w:r>
      <w:r w:rsidR="00E3589B">
        <w:rPr>
          <w:lang w:val="da-DK"/>
        </w:rPr>
        <w:t>Xultophy</w:t>
      </w:r>
      <w:r w:rsidRPr="0017211C">
        <w:rPr>
          <w:lang w:val="da-DK"/>
        </w:rPr>
        <w:t xml:space="preserve"> and 50</w:t>
      </w:r>
      <w:r>
        <w:rPr>
          <w:lang w:val="da-DK"/>
        </w:rPr>
        <w:t xml:space="preserve"> </w:t>
      </w:r>
      <w:r w:rsidRPr="0017211C">
        <w:rPr>
          <w:lang w:val="da-DK"/>
        </w:rPr>
        <w:t>units for insulin degludec.</w:t>
      </w:r>
    </w:p>
    <w:p w14:paraId="43F07952" w14:textId="62A57715" w:rsidR="0017211C" w:rsidRPr="0017211C" w:rsidRDefault="0017211C" w:rsidP="00EE5E3B">
      <w:pPr>
        <w:rPr>
          <w:lang w:val="en-GB"/>
        </w:rPr>
      </w:pPr>
      <w:r w:rsidRPr="0017211C">
        <w:rPr>
          <w:lang w:val="en-GB"/>
        </w:rPr>
        <w:t>The reduction in HbA</w:t>
      </w:r>
      <w:r w:rsidRPr="0017211C">
        <w:rPr>
          <w:vertAlign w:val="subscript"/>
          <w:lang w:val="en-GB"/>
        </w:rPr>
        <w:t>1c</w:t>
      </w:r>
      <w:r w:rsidRPr="0017211C">
        <w:rPr>
          <w:lang w:val="en-GB"/>
        </w:rPr>
        <w:t xml:space="preserve"> from baseline to end of trial was 1.9% with </w:t>
      </w:r>
      <w:r w:rsidR="00E3589B">
        <w:rPr>
          <w:lang w:val="en-GB"/>
        </w:rPr>
        <w:t>Xultophy</w:t>
      </w:r>
      <w:r w:rsidRPr="0017211C">
        <w:rPr>
          <w:lang w:val="en-GB"/>
        </w:rPr>
        <w:t>, showing superiority compared to insulin degludec at a maximum insulin degludec dose of 50</w:t>
      </w:r>
      <w:r w:rsidR="008F3695">
        <w:rPr>
          <w:lang w:val="en-GB"/>
        </w:rPr>
        <w:t xml:space="preserve"> </w:t>
      </w:r>
      <w:r w:rsidRPr="0017211C">
        <w:rPr>
          <w:lang w:val="en-GB"/>
        </w:rPr>
        <w:t>units (estimated treatment difference -1.05%, p&lt;0.0001). Body weight was reduced by 2.7</w:t>
      </w:r>
      <w:r w:rsidR="008F3695">
        <w:rPr>
          <w:lang w:val="en-GB"/>
        </w:rPr>
        <w:t xml:space="preserve"> </w:t>
      </w:r>
      <w:r w:rsidRPr="0017211C">
        <w:rPr>
          <w:lang w:val="en-GB"/>
        </w:rPr>
        <w:t xml:space="preserve">kg with </w:t>
      </w:r>
      <w:r w:rsidR="00E3589B">
        <w:rPr>
          <w:lang w:val="en-GB"/>
        </w:rPr>
        <w:t>Xultophy</w:t>
      </w:r>
      <w:r w:rsidRPr="0017211C">
        <w:rPr>
          <w:lang w:val="en-GB"/>
        </w:rPr>
        <w:t xml:space="preserve"> showing a statistically significant reduction compared to insulin degludec (estimated treatment difference -2.51</w:t>
      </w:r>
      <w:r w:rsidR="008F3695">
        <w:rPr>
          <w:lang w:val="en-GB"/>
        </w:rPr>
        <w:t xml:space="preserve"> </w:t>
      </w:r>
      <w:r w:rsidRPr="0017211C">
        <w:rPr>
          <w:lang w:val="en-GB"/>
        </w:rPr>
        <w:t xml:space="preserve">kg, p&lt;0.0001), and the overall risk of hypoglycaemia was similar with </w:t>
      </w:r>
      <w:r w:rsidR="00E3589B">
        <w:rPr>
          <w:lang w:val="en-GB"/>
        </w:rPr>
        <w:t>Xultophy</w:t>
      </w:r>
      <w:r w:rsidRPr="0017211C">
        <w:rPr>
          <w:lang w:val="en-GB"/>
        </w:rPr>
        <w:t xml:space="preserve"> and insulin degludec despite statistically significantly lower end of trial HbA</w:t>
      </w:r>
      <w:r w:rsidRPr="0017211C">
        <w:rPr>
          <w:vertAlign w:val="subscript"/>
          <w:lang w:val="en-GB"/>
        </w:rPr>
        <w:t>1c</w:t>
      </w:r>
      <w:r w:rsidRPr="0017211C">
        <w:rPr>
          <w:lang w:val="en-GB"/>
        </w:rPr>
        <w:t xml:space="preserve"> with </w:t>
      </w:r>
      <w:r w:rsidR="00E3589B">
        <w:rPr>
          <w:lang w:val="en-GB"/>
        </w:rPr>
        <w:t>Xultophy</w:t>
      </w:r>
      <w:r w:rsidRPr="0017211C">
        <w:rPr>
          <w:lang w:val="en-GB"/>
        </w:rPr>
        <w:t xml:space="preserve">. </w:t>
      </w:r>
    </w:p>
    <w:p w14:paraId="32B5E9EC" w14:textId="00D64B1B" w:rsidR="0017211C" w:rsidRPr="0017211C" w:rsidRDefault="0017211C" w:rsidP="00EE5E3B">
      <w:pPr>
        <w:rPr>
          <w:lang w:val="en-US"/>
        </w:rPr>
      </w:pPr>
      <w:r w:rsidRPr="0017211C">
        <w:rPr>
          <w:lang w:val="en-GB"/>
        </w:rPr>
        <w:t>A</w:t>
      </w:r>
      <w:r w:rsidRPr="0017211C">
        <w:rPr>
          <w:lang w:val="en-US"/>
        </w:rPr>
        <w:t>fter 26</w:t>
      </w:r>
      <w:r w:rsidR="008F3695">
        <w:rPr>
          <w:lang w:val="en-US"/>
        </w:rPr>
        <w:t xml:space="preserve"> </w:t>
      </w:r>
      <w:r w:rsidRPr="0017211C">
        <w:rPr>
          <w:lang w:val="en-US"/>
        </w:rPr>
        <w:t xml:space="preserve">weeks of treatment, 48.7% of patients treated with </w:t>
      </w:r>
      <w:r w:rsidR="00E3589B">
        <w:rPr>
          <w:lang w:val="en-US"/>
        </w:rPr>
        <w:t>Xultophy</w:t>
      </w:r>
      <w:r w:rsidRPr="0017211C">
        <w:rPr>
          <w:lang w:val="en-US"/>
        </w:rPr>
        <w:t xml:space="preserve"> reached the HbA</w:t>
      </w:r>
      <w:r w:rsidRPr="0017211C">
        <w:rPr>
          <w:vertAlign w:val="subscript"/>
          <w:lang w:val="en-US"/>
        </w:rPr>
        <w:t>1c</w:t>
      </w:r>
      <w:r w:rsidRPr="0017211C">
        <w:rPr>
          <w:lang w:val="en-US"/>
        </w:rPr>
        <w:t xml:space="preserve"> target of &lt;7% without confirmed hypoglycaemic episodes compared to 15.6% treated with insulin degludec (odds ratio 5.57, p&lt;0.0001). </w:t>
      </w:r>
    </w:p>
    <w:p w14:paraId="19255F84" w14:textId="380C028E" w:rsidR="0017211C" w:rsidRPr="0017211C" w:rsidRDefault="0017211C" w:rsidP="00EE5E3B">
      <w:pPr>
        <w:rPr>
          <w:lang w:val="en-US"/>
        </w:rPr>
      </w:pPr>
      <w:r w:rsidRPr="0017211C">
        <w:rPr>
          <w:lang w:val="en-US"/>
        </w:rPr>
        <w:t>The rate per patient year of exposure of severe hypoglycaemia was 0.01 (1</w:t>
      </w:r>
      <w:r w:rsidR="008F3695">
        <w:rPr>
          <w:lang w:val="en-US"/>
        </w:rPr>
        <w:t xml:space="preserve"> </w:t>
      </w:r>
      <w:r w:rsidRPr="0017211C">
        <w:rPr>
          <w:lang w:val="en-US"/>
        </w:rPr>
        <w:t xml:space="preserve">patient out of 199) for </w:t>
      </w:r>
      <w:r w:rsidR="00E3589B">
        <w:rPr>
          <w:lang w:val="en-US"/>
        </w:rPr>
        <w:t>Xultophy</w:t>
      </w:r>
      <w:r w:rsidRPr="0017211C">
        <w:rPr>
          <w:lang w:val="en-US"/>
        </w:rPr>
        <w:t xml:space="preserve"> and 0.00 (0</w:t>
      </w:r>
      <w:r w:rsidR="008F3695">
        <w:rPr>
          <w:lang w:val="en-US"/>
        </w:rPr>
        <w:t xml:space="preserve"> </w:t>
      </w:r>
      <w:r w:rsidRPr="0017211C">
        <w:rPr>
          <w:lang w:val="en-US"/>
        </w:rPr>
        <w:t xml:space="preserve">patients out of 199) for insulin degludec. </w:t>
      </w:r>
    </w:p>
    <w:p w14:paraId="59200BA3" w14:textId="5E94715C" w:rsidR="002433F8" w:rsidRDefault="0017211C" w:rsidP="00EE5E3B">
      <w:pPr>
        <w:rPr>
          <w:lang w:val="en-US"/>
        </w:rPr>
      </w:pPr>
      <w:r w:rsidRPr="0017211C">
        <w:rPr>
          <w:lang w:val="en-US"/>
        </w:rPr>
        <w:t xml:space="preserve">The rate of nocturnal hypoglycaemic events was similar with </w:t>
      </w:r>
      <w:r w:rsidR="00E3589B">
        <w:rPr>
          <w:lang w:val="en-US"/>
        </w:rPr>
        <w:t>Xultophy</w:t>
      </w:r>
      <w:r w:rsidRPr="0017211C">
        <w:rPr>
          <w:lang w:val="en-US"/>
        </w:rPr>
        <w:t xml:space="preserve"> and insulin degludec treatment. </w:t>
      </w:r>
    </w:p>
    <w:p w14:paraId="7FCDB02F" w14:textId="0DB88245" w:rsidR="009416C9" w:rsidRDefault="009416C9" w:rsidP="00EE5E3B">
      <w:pPr>
        <w:rPr>
          <w:lang w:val="en-GB"/>
        </w:rPr>
      </w:pPr>
      <w:r>
        <w:rPr>
          <w:lang w:val="en-US"/>
        </w:rPr>
        <w:t xml:space="preserve">The key results are </w:t>
      </w:r>
      <w:r w:rsidR="00AD30BE">
        <w:rPr>
          <w:lang w:val="en-US"/>
        </w:rPr>
        <w:t xml:space="preserve">presented </w:t>
      </w:r>
      <w:r>
        <w:rPr>
          <w:lang w:val="en-US"/>
        </w:rPr>
        <w:t xml:space="preserve">in </w:t>
      </w:r>
      <w:r>
        <w:rPr>
          <w:lang w:val="en-US"/>
        </w:rPr>
        <w:fldChar w:fldCharType="begin"/>
      </w:r>
      <w:r>
        <w:rPr>
          <w:lang w:val="en-US"/>
        </w:rPr>
        <w:instrText xml:space="preserve"> REF _Ref24982469 \h </w:instrText>
      </w:r>
      <w:r>
        <w:rPr>
          <w:lang w:val="en-US"/>
        </w:rPr>
      </w:r>
      <w:r w:rsidR="00EE5E3B">
        <w:rPr>
          <w:lang w:val="en-US"/>
        </w:rPr>
        <w:instrText xml:space="preserve"> \* MERGEFORMAT </w:instrText>
      </w:r>
      <w:r>
        <w:rPr>
          <w:lang w:val="en-US"/>
        </w:rPr>
        <w:fldChar w:fldCharType="separate"/>
      </w:r>
      <w:r w:rsidR="00503238" w:rsidRPr="00192EB8">
        <w:rPr>
          <w:b/>
          <w:bCs/>
          <w:sz w:val="22"/>
          <w:szCs w:val="22"/>
        </w:rPr>
        <w:t xml:space="preserve">Figure </w:t>
      </w:r>
      <w:r w:rsidR="00503238">
        <w:rPr>
          <w:b/>
          <w:bCs/>
          <w:noProof/>
          <w:sz w:val="22"/>
          <w:szCs w:val="22"/>
        </w:rPr>
        <w:t>14</w:t>
      </w:r>
      <w:r>
        <w:rPr>
          <w:lang w:val="en-US"/>
        </w:rPr>
        <w:fldChar w:fldCharType="end"/>
      </w:r>
      <w:r>
        <w:rPr>
          <w:lang w:val="en-US"/>
        </w:rPr>
        <w:t xml:space="preserve">, </w:t>
      </w:r>
      <w:r>
        <w:rPr>
          <w:lang w:val="en-US"/>
        </w:rPr>
        <w:fldChar w:fldCharType="begin"/>
      </w:r>
      <w:r>
        <w:rPr>
          <w:lang w:val="en-US"/>
        </w:rPr>
        <w:instrText xml:space="preserve"> REF _Ref24982475 \h </w:instrText>
      </w:r>
      <w:r>
        <w:rPr>
          <w:lang w:val="en-US"/>
        </w:rPr>
      </w:r>
      <w:r w:rsidR="00EE5E3B">
        <w:rPr>
          <w:lang w:val="en-US"/>
        </w:rPr>
        <w:instrText xml:space="preserve"> \* MERGEFORMAT </w:instrText>
      </w:r>
      <w:r>
        <w:rPr>
          <w:lang w:val="en-US"/>
        </w:rPr>
        <w:fldChar w:fldCharType="separate"/>
      </w:r>
      <w:r w:rsidR="00503238" w:rsidRPr="00192EB8">
        <w:rPr>
          <w:b/>
          <w:bCs/>
          <w:sz w:val="22"/>
          <w:szCs w:val="22"/>
        </w:rPr>
        <w:t xml:space="preserve">Figure </w:t>
      </w:r>
      <w:r w:rsidR="00503238">
        <w:rPr>
          <w:b/>
          <w:bCs/>
          <w:noProof/>
          <w:sz w:val="22"/>
          <w:szCs w:val="22"/>
        </w:rPr>
        <w:t>15</w:t>
      </w:r>
      <w:r>
        <w:rPr>
          <w:lang w:val="en-US"/>
        </w:rPr>
        <w:fldChar w:fldCharType="end"/>
      </w:r>
      <w:r>
        <w:rPr>
          <w:lang w:val="en-US"/>
        </w:rPr>
        <w:t xml:space="preserve"> and </w:t>
      </w:r>
      <w:r w:rsidR="00465272">
        <w:rPr>
          <w:lang w:val="en-US"/>
        </w:rPr>
        <w:fldChar w:fldCharType="begin"/>
      </w:r>
      <w:r w:rsidR="00465272">
        <w:rPr>
          <w:lang w:val="en-US"/>
        </w:rPr>
        <w:instrText xml:space="preserve"> REF _Ref56110417 \h </w:instrText>
      </w:r>
      <w:r w:rsidR="00465272">
        <w:rPr>
          <w:lang w:val="en-US"/>
        </w:rPr>
      </w:r>
      <w:r w:rsidR="00EE5E3B">
        <w:rPr>
          <w:lang w:val="en-US"/>
        </w:rPr>
        <w:instrText xml:space="preserve"> \* MERGEFORMAT </w:instrText>
      </w:r>
      <w:r w:rsidR="00465272">
        <w:rPr>
          <w:lang w:val="en-US"/>
        </w:rPr>
        <w:fldChar w:fldCharType="separate"/>
      </w:r>
      <w:r w:rsidR="00503238" w:rsidRPr="00192EB8">
        <w:rPr>
          <w:b/>
          <w:bCs/>
          <w:sz w:val="22"/>
          <w:szCs w:val="22"/>
        </w:rPr>
        <w:t xml:space="preserve">Figure </w:t>
      </w:r>
      <w:r w:rsidR="00503238">
        <w:rPr>
          <w:b/>
          <w:bCs/>
          <w:noProof/>
          <w:sz w:val="22"/>
          <w:szCs w:val="22"/>
        </w:rPr>
        <w:t>16</w:t>
      </w:r>
      <w:r w:rsidR="00465272">
        <w:rPr>
          <w:lang w:val="en-US"/>
        </w:rPr>
        <w:fldChar w:fldCharType="end"/>
      </w:r>
      <w:r>
        <w:rPr>
          <w:lang w:val="en-US"/>
        </w:rPr>
        <w:t>.</w:t>
      </w:r>
    </w:p>
    <w:p w14:paraId="7D6810B3" w14:textId="24C273C6" w:rsidR="0017211C" w:rsidRPr="00192EB8" w:rsidRDefault="008F3695" w:rsidP="00EE5E3B">
      <w:pPr>
        <w:keepNext/>
        <w:spacing w:after="0" w:line="240" w:lineRule="auto"/>
        <w:rPr>
          <w:sz w:val="22"/>
          <w:szCs w:val="22"/>
          <w:lang w:val="en-US"/>
        </w:rPr>
      </w:pPr>
      <w:bookmarkStart w:id="37" w:name="_Ref24982469"/>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14</w:t>
      </w:r>
      <w:r w:rsidRPr="00192EB8">
        <w:rPr>
          <w:b/>
          <w:sz w:val="22"/>
          <w:szCs w:val="22"/>
        </w:rPr>
        <w:fldChar w:fldCharType="end"/>
      </w:r>
      <w:bookmarkEnd w:id="37"/>
      <w:r w:rsidRPr="00192EB8">
        <w:rPr>
          <w:b/>
          <w:sz w:val="22"/>
          <w:szCs w:val="22"/>
        </w:rPr>
        <w:t xml:space="preserve">: </w:t>
      </w:r>
      <w:r w:rsidRPr="00192EB8">
        <w:rPr>
          <w:b/>
          <w:sz w:val="22"/>
          <w:szCs w:val="22"/>
          <w:lang w:val="en-US"/>
        </w:rPr>
        <w:t xml:space="preserve"> </w:t>
      </w:r>
      <w:r w:rsidR="0017211C" w:rsidRPr="00192EB8">
        <w:rPr>
          <w:b/>
          <w:bCs/>
          <w:sz w:val="22"/>
          <w:szCs w:val="22"/>
          <w:lang w:val="en-US"/>
        </w:rPr>
        <w:t>Mean HbA</w:t>
      </w:r>
      <w:r w:rsidR="0017211C" w:rsidRPr="00192EB8">
        <w:rPr>
          <w:b/>
          <w:bCs/>
          <w:sz w:val="22"/>
          <w:szCs w:val="22"/>
          <w:vertAlign w:val="subscript"/>
          <w:lang w:val="en-US"/>
        </w:rPr>
        <w:t>1c</w:t>
      </w:r>
      <w:r w:rsidR="0059121A" w:rsidRPr="00192EB8">
        <w:rPr>
          <w:b/>
          <w:bCs/>
          <w:sz w:val="22"/>
          <w:szCs w:val="22"/>
          <w:lang w:val="en-US"/>
        </w:rPr>
        <w:t xml:space="preserve"> </w:t>
      </w:r>
      <w:r w:rsidR="0017211C" w:rsidRPr="00192EB8">
        <w:rPr>
          <w:b/>
          <w:bCs/>
          <w:sz w:val="22"/>
          <w:szCs w:val="22"/>
          <w:lang w:val="en-US"/>
        </w:rPr>
        <w:t>(%) by treatment week in patients with type 2 diabetes mellitus inadequately controlled on basal insulin</w:t>
      </w:r>
    </w:p>
    <w:bookmarkStart w:id="38" w:name="_MON_1428838784"/>
    <w:bookmarkEnd w:id="38"/>
    <w:bookmarkStart w:id="39" w:name="_MON_1428839315"/>
    <w:bookmarkEnd w:id="39"/>
    <w:p w14:paraId="1687F929" w14:textId="4C5CD5D8" w:rsidR="0017211C" w:rsidRPr="0017211C" w:rsidRDefault="0017211C" w:rsidP="00EE5E3B">
      <w:pPr>
        <w:spacing w:after="0" w:line="240" w:lineRule="auto"/>
        <w:rPr>
          <w:bCs/>
          <w:sz w:val="20"/>
          <w:szCs w:val="20"/>
          <w:lang w:val="en-US"/>
        </w:rPr>
      </w:pPr>
      <w:r w:rsidRPr="0017211C">
        <w:rPr>
          <w:lang w:val="en-GB"/>
        </w:rPr>
        <w:object w:dxaOrig="4535" w:dyaOrig="2473" w14:anchorId="19C56A78">
          <v:shape id="_x0000_i1039" type="#_x0000_t75" style="width:224.25pt;height:123.75pt" o:ole="">
            <v:imagedata r:id="rId38" o:title=""/>
          </v:shape>
          <o:OLEObject Type="Embed" ProgID="Word.Document.12" ShapeID="_x0000_i1039" DrawAspect="Content" ObjectID="_1680004108" r:id="rId39">
            <o:FieldCodes>\s</o:FieldCodes>
          </o:OLEObject>
        </w:object>
      </w:r>
      <w:r w:rsidRPr="0017211C">
        <w:rPr>
          <w:lang w:val="en-GB"/>
        </w:rPr>
        <w:br/>
      </w:r>
      <w:r w:rsidRPr="0017211C">
        <w:rPr>
          <w:sz w:val="20"/>
          <w:szCs w:val="20"/>
          <w:lang w:val="en-GB"/>
        </w:rPr>
        <w:t>IDegLira=</w:t>
      </w:r>
      <w:r w:rsidR="00E3589B">
        <w:rPr>
          <w:sz w:val="20"/>
          <w:szCs w:val="20"/>
          <w:lang w:val="en-GB"/>
        </w:rPr>
        <w:t>Xultophy</w:t>
      </w:r>
      <w:r w:rsidRPr="0017211C">
        <w:rPr>
          <w:sz w:val="20"/>
          <w:szCs w:val="20"/>
          <w:lang w:val="en-GB"/>
        </w:rPr>
        <w:t>, IDeg=insulin degludec</w:t>
      </w:r>
    </w:p>
    <w:p w14:paraId="796E4DAB" w14:textId="31191E8E" w:rsidR="0017211C" w:rsidRPr="00192EB8" w:rsidRDefault="008F3695" w:rsidP="00EE5E3B">
      <w:pPr>
        <w:keepNext/>
        <w:spacing w:before="200" w:after="0" w:line="240" w:lineRule="auto"/>
        <w:rPr>
          <w:b/>
          <w:bCs/>
          <w:sz w:val="22"/>
          <w:szCs w:val="22"/>
          <w:lang w:val="en-US"/>
        </w:rPr>
      </w:pPr>
      <w:bookmarkStart w:id="40" w:name="_Ref24982475"/>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15</w:t>
      </w:r>
      <w:r w:rsidRPr="00192EB8">
        <w:rPr>
          <w:b/>
          <w:sz w:val="22"/>
          <w:szCs w:val="22"/>
        </w:rPr>
        <w:fldChar w:fldCharType="end"/>
      </w:r>
      <w:bookmarkEnd w:id="40"/>
      <w:r w:rsidRPr="00192EB8">
        <w:rPr>
          <w:b/>
          <w:sz w:val="22"/>
          <w:szCs w:val="22"/>
        </w:rPr>
        <w:t xml:space="preserve">: </w:t>
      </w:r>
      <w:r w:rsidRPr="00192EB8">
        <w:rPr>
          <w:b/>
          <w:sz w:val="22"/>
          <w:szCs w:val="22"/>
          <w:lang w:val="en-US"/>
        </w:rPr>
        <w:t xml:space="preserve"> </w:t>
      </w:r>
      <w:r w:rsidR="0017211C" w:rsidRPr="00192EB8">
        <w:rPr>
          <w:b/>
          <w:sz w:val="22"/>
          <w:szCs w:val="22"/>
          <w:lang w:val="en-GB"/>
        </w:rPr>
        <w:t>Mean change in body weight by treatment week in patients inadequately controlled on basal insulin</w:t>
      </w:r>
    </w:p>
    <w:bookmarkStart w:id="41" w:name="_MON_1429358013"/>
    <w:bookmarkEnd w:id="41"/>
    <w:p w14:paraId="62C36CB1" w14:textId="77777777" w:rsidR="00622305" w:rsidRDefault="0017211C" w:rsidP="00EE5E3B">
      <w:pPr>
        <w:spacing w:line="240" w:lineRule="auto"/>
        <w:rPr>
          <w:lang w:val="en-US"/>
        </w:rPr>
      </w:pPr>
      <w:r w:rsidRPr="0017211C">
        <w:rPr>
          <w:b/>
          <w:lang w:val="en-GB"/>
        </w:rPr>
        <w:object w:dxaOrig="4536" w:dyaOrig="2676" w14:anchorId="3E28BE4C">
          <v:shape id="_x0000_i1040" type="#_x0000_t75" style="width:225.75pt;height:134.25pt" o:ole="">
            <v:imagedata r:id="rId40" o:title=""/>
          </v:shape>
          <o:OLEObject Type="Embed" ProgID="Word.Document.12" ShapeID="_x0000_i1040" DrawAspect="Content" ObjectID="_1680004109" r:id="rId41">
            <o:FieldCodes>\s</o:FieldCodes>
          </o:OLEObject>
        </w:object>
      </w:r>
      <w:bookmarkStart w:id="42" w:name="_Ref24982481"/>
    </w:p>
    <w:p w14:paraId="6C1AA126" w14:textId="16A28867" w:rsidR="0017211C" w:rsidRPr="00192EB8" w:rsidRDefault="008F3695" w:rsidP="00EE5E3B">
      <w:pPr>
        <w:keepNext/>
        <w:spacing w:after="0" w:line="240" w:lineRule="auto"/>
        <w:rPr>
          <w:b/>
          <w:sz w:val="22"/>
          <w:szCs w:val="22"/>
          <w:lang w:val="en-GB"/>
        </w:rPr>
      </w:pPr>
      <w:bookmarkStart w:id="43" w:name="_Ref56110417"/>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16</w:t>
      </w:r>
      <w:r w:rsidRPr="00192EB8">
        <w:rPr>
          <w:b/>
          <w:sz w:val="22"/>
          <w:szCs w:val="22"/>
        </w:rPr>
        <w:fldChar w:fldCharType="end"/>
      </w:r>
      <w:bookmarkEnd w:id="42"/>
      <w:bookmarkEnd w:id="43"/>
      <w:r w:rsidRPr="00192EB8">
        <w:rPr>
          <w:b/>
          <w:sz w:val="22"/>
          <w:szCs w:val="22"/>
        </w:rPr>
        <w:t xml:space="preserve">: </w:t>
      </w:r>
      <w:r w:rsidRPr="00192EB8">
        <w:rPr>
          <w:b/>
          <w:sz w:val="22"/>
          <w:szCs w:val="22"/>
          <w:lang w:val="en-US"/>
        </w:rPr>
        <w:t xml:space="preserve"> </w:t>
      </w:r>
      <w:r w:rsidR="0017211C" w:rsidRPr="00192EB8">
        <w:rPr>
          <w:b/>
          <w:sz w:val="22"/>
          <w:szCs w:val="22"/>
          <w:lang w:val="en-US"/>
        </w:rPr>
        <w:t xml:space="preserve"> Mean cumulative number of hypoglycaemic episodes in patients inadequately controlled on basal insulin</w:t>
      </w:r>
    </w:p>
    <w:bookmarkStart w:id="44" w:name="_MON_1473514743"/>
    <w:bookmarkEnd w:id="44"/>
    <w:p w14:paraId="26F443F9" w14:textId="40977107" w:rsidR="0017211C" w:rsidRDefault="0017211C" w:rsidP="00EE5E3B">
      <w:pPr>
        <w:spacing w:line="240" w:lineRule="auto"/>
        <w:rPr>
          <w:b/>
          <w:lang w:val="en-US"/>
        </w:rPr>
      </w:pPr>
      <w:r w:rsidRPr="0017211C">
        <w:rPr>
          <w:lang w:val="en-GB"/>
        </w:rPr>
        <w:object w:dxaOrig="4536" w:dyaOrig="2909" w14:anchorId="3C193690">
          <v:shape id="_x0000_i1041" type="#_x0000_t75" style="width:225.75pt;height:146.25pt" o:ole="">
            <v:imagedata r:id="rId42" o:title=""/>
          </v:shape>
          <o:OLEObject Type="Embed" ProgID="Word.Document.12" ShapeID="_x0000_i1041" DrawAspect="Content" ObjectID="_1680004110" r:id="rId43">
            <o:FieldCodes>\s</o:FieldCodes>
          </o:OLEObject>
        </w:object>
      </w:r>
    </w:p>
    <w:p w14:paraId="2024C446" w14:textId="77777777" w:rsidR="00F672EF" w:rsidRDefault="00F672EF" w:rsidP="00EE5E3B">
      <w:pPr>
        <w:keepNext/>
        <w:spacing w:after="0" w:line="240" w:lineRule="auto"/>
        <w:rPr>
          <w:b/>
          <w:bCs/>
          <w:sz w:val="22"/>
          <w:szCs w:val="22"/>
        </w:rPr>
      </w:pPr>
      <w:bookmarkStart w:id="45" w:name="_Ref24982513"/>
    </w:p>
    <w:bookmarkEnd w:id="45"/>
    <w:p w14:paraId="4C5A1643" w14:textId="4EE4E5AF" w:rsidR="0059121A" w:rsidRPr="00720299" w:rsidRDefault="0059121A" w:rsidP="00EE5E3B">
      <w:pPr>
        <w:keepNext/>
        <w:spacing w:after="0" w:line="240" w:lineRule="auto"/>
        <w:rPr>
          <w:i/>
          <w:iCs/>
          <w:u w:val="single"/>
          <w:lang w:val="en-GB"/>
        </w:rPr>
      </w:pPr>
      <w:r w:rsidRPr="00720299">
        <w:rPr>
          <w:i/>
          <w:iCs/>
          <w:u w:val="single"/>
          <w:lang w:val="en-GB"/>
        </w:rPr>
        <w:t>Cardiovascular evaluation</w:t>
      </w:r>
    </w:p>
    <w:p w14:paraId="24DCBCE2" w14:textId="0946ADA3" w:rsidR="004E0216" w:rsidRPr="00CB252F" w:rsidRDefault="0059121A" w:rsidP="00EE5E3B">
      <w:pPr>
        <w:tabs>
          <w:tab w:val="left" w:pos="567"/>
          <w:tab w:val="left" w:pos="1048"/>
        </w:tabs>
        <w:suppressAutoHyphens/>
        <w:spacing w:after="240" w:line="264" w:lineRule="auto"/>
        <w:rPr>
          <w:lang w:val="en-US"/>
        </w:rPr>
      </w:pPr>
      <w:r w:rsidRPr="00720299">
        <w:rPr>
          <w:rFonts w:eastAsia="Times New Roman"/>
          <w:i/>
          <w:lang w:val="en-GB"/>
        </w:rPr>
        <w:t>Liraglutide (Victoza</w:t>
      </w:r>
      <w:r w:rsidRPr="00720299">
        <w:rPr>
          <w:rFonts w:eastAsia="Times New Roman"/>
          <w:i/>
          <w:vertAlign w:val="superscript"/>
          <w:lang w:val="en-GB"/>
        </w:rPr>
        <w:t>®</w:t>
      </w:r>
      <w:r w:rsidRPr="00720299">
        <w:rPr>
          <w:rFonts w:eastAsia="Times New Roman"/>
          <w:i/>
          <w:lang w:val="en-GB"/>
        </w:rPr>
        <w:t>)</w:t>
      </w:r>
      <w:r w:rsidRPr="0059121A">
        <w:rPr>
          <w:rFonts w:eastAsia="Times New Roman"/>
          <w:iCs/>
          <w:u w:val="single"/>
          <w:lang w:val="en-GB"/>
        </w:rPr>
        <w:br/>
      </w:r>
      <w:r w:rsidR="004E0216" w:rsidRPr="00CB252F">
        <w:rPr>
          <w:lang w:val="en-US"/>
        </w:rPr>
        <w:t xml:space="preserve">The Liraglutide Effect and Action in Diabetes Evaluation of Cardiovascular Outcome Results (LEADER) trial was a multicentre, placebo-controlled, double-blind clinical trial. 9,340 patients were randomly allocated to either </w:t>
      </w:r>
      <w:r w:rsidR="004E0216">
        <w:rPr>
          <w:lang w:val="en-US"/>
        </w:rPr>
        <w:t>liraglutide</w:t>
      </w:r>
      <w:r w:rsidR="004E0216" w:rsidRPr="00CB252F">
        <w:rPr>
          <w:lang w:val="en-US"/>
        </w:rPr>
        <w:t xml:space="preserve"> (4,668) or placebo (4,672), both in addition to standards of care for managing HbA</w:t>
      </w:r>
      <w:r w:rsidR="004E0216" w:rsidRPr="00CB252F">
        <w:rPr>
          <w:vertAlign w:val="subscript"/>
          <w:lang w:val="en-US"/>
        </w:rPr>
        <w:t>1c</w:t>
      </w:r>
      <w:r w:rsidR="004E0216" w:rsidRPr="00CB252F">
        <w:rPr>
          <w:lang w:val="en-US"/>
        </w:rPr>
        <w:t xml:space="preserve"> and cardiovascular (CV) risk factors. Patients had type 2 diabetes and were anti-diabetic medication naïve or treated with one or more OADs or insulin (human NPH insulin, long-acting insulin or premixed insulin – either alone or in combination with OAD(s)) - at baseline (SOC). Patients were also at high risk of cardiovascular events, defined as either 50 years of age and with concomitant cardiovascular, cerebrovascular, peripheral vascular disease, chronic renal failure or chronic heart failure, or 60 years of age and other specified risk factors of vascular disease.   </w:t>
      </w:r>
    </w:p>
    <w:p w14:paraId="31DE420A" w14:textId="7A6A442A" w:rsidR="00CB252F" w:rsidRPr="00CB252F" w:rsidRDefault="004E0216" w:rsidP="00EE5E3B">
      <w:pPr>
        <w:spacing w:after="0" w:line="240" w:lineRule="auto"/>
        <w:rPr>
          <w:rFonts w:eastAsia="Times New Roman"/>
          <w:noProof/>
          <w:sz w:val="22"/>
          <w:szCs w:val="22"/>
          <w:lang w:val="en-US"/>
        </w:rPr>
      </w:pPr>
      <w:r w:rsidRPr="00CB252F">
        <w:rPr>
          <w:lang w:val="en-US"/>
        </w:rPr>
        <w:t xml:space="preserve">The primary endpoint was the time from randomisation to first occurrence of any major adverse cardiovascular events (MACE): CV death, non-fatal myocardial infarction, or non-fatal stroke. </w:t>
      </w:r>
      <w:r>
        <w:rPr>
          <w:lang w:val="en-US"/>
        </w:rPr>
        <w:t>Liraglutide</w:t>
      </w:r>
      <w:r w:rsidRPr="00CB252F">
        <w:rPr>
          <w:lang w:val="en-US"/>
        </w:rPr>
        <w:t xml:space="preserve"> significantly reduced the risk of MACE vs placebo with an estimated hazard ratio [95% CI] of 0.87 [0.78, 0.97] (p=0.005), corresponding to a relative risk reduction of 13%  (</w:t>
      </w:r>
      <w:r>
        <w:rPr>
          <w:lang w:val="en-US"/>
        </w:rPr>
        <w:fldChar w:fldCharType="begin"/>
      </w:r>
      <w:r>
        <w:rPr>
          <w:lang w:val="en-US"/>
        </w:rPr>
        <w:instrText xml:space="preserve"> REF _Ref24984472 \h </w:instrText>
      </w:r>
      <w:r>
        <w:rPr>
          <w:lang w:val="en-US"/>
        </w:rPr>
      </w:r>
      <w:r w:rsidR="00EE5E3B">
        <w:rPr>
          <w:lang w:val="en-US"/>
        </w:rPr>
        <w:instrText xml:space="preserve"> \* MERGEFORMAT </w:instrText>
      </w:r>
      <w:r>
        <w:rPr>
          <w:lang w:val="en-US"/>
        </w:rPr>
        <w:fldChar w:fldCharType="separate"/>
      </w:r>
      <w:r w:rsidR="00503238" w:rsidRPr="00192EB8">
        <w:rPr>
          <w:b/>
          <w:bCs/>
          <w:sz w:val="22"/>
          <w:szCs w:val="22"/>
        </w:rPr>
        <w:t xml:space="preserve">Figure </w:t>
      </w:r>
      <w:r w:rsidR="00503238">
        <w:rPr>
          <w:b/>
          <w:bCs/>
          <w:noProof/>
          <w:sz w:val="22"/>
          <w:szCs w:val="22"/>
        </w:rPr>
        <w:t>17</w:t>
      </w:r>
      <w:r>
        <w:rPr>
          <w:lang w:val="en-US"/>
        </w:rPr>
        <w:fldChar w:fldCharType="end"/>
      </w:r>
      <w:r w:rsidRPr="00CB252F">
        <w:rPr>
          <w:lang w:val="en-US"/>
        </w:rPr>
        <w:t xml:space="preserve">). The number of subjects that needed to be treated with </w:t>
      </w:r>
      <w:r>
        <w:rPr>
          <w:lang w:val="en-US"/>
        </w:rPr>
        <w:t>liraglutide</w:t>
      </w:r>
      <w:r w:rsidRPr="00CB252F">
        <w:rPr>
          <w:lang w:val="en-US"/>
        </w:rPr>
        <w:t xml:space="preserve"> for 3 years to prevent the first MACE was 66. The estimated hazard ratio (HR) was consistently below 1 for all 3 MACE components.</w:t>
      </w:r>
    </w:p>
    <w:p w14:paraId="36984CE1" w14:textId="7138DDDB" w:rsidR="00CB252F" w:rsidRDefault="00CB252F" w:rsidP="00EE5E3B">
      <w:pPr>
        <w:spacing w:after="0" w:line="240" w:lineRule="auto"/>
        <w:rPr>
          <w:rFonts w:eastAsia="Times New Roman"/>
          <w:noProof/>
          <w:sz w:val="22"/>
          <w:szCs w:val="22"/>
          <w:lang w:val="en-US"/>
        </w:rPr>
      </w:pPr>
    </w:p>
    <w:p w14:paraId="2DA40EA0" w14:textId="0F953829" w:rsidR="004E0216" w:rsidRPr="00192EB8" w:rsidRDefault="004E0216" w:rsidP="00EE5E3B">
      <w:pPr>
        <w:keepNext/>
        <w:spacing w:after="0" w:line="240" w:lineRule="auto"/>
        <w:rPr>
          <w:rFonts w:eastAsia="Times New Roman"/>
          <w:noProof/>
          <w:sz w:val="22"/>
          <w:szCs w:val="22"/>
          <w:lang w:val="en-US"/>
        </w:rPr>
      </w:pPr>
      <w:bookmarkStart w:id="46" w:name="_Ref24984472"/>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17</w:t>
      </w:r>
      <w:r w:rsidRPr="00192EB8">
        <w:rPr>
          <w:b/>
          <w:sz w:val="22"/>
          <w:szCs w:val="22"/>
        </w:rPr>
        <w:fldChar w:fldCharType="end"/>
      </w:r>
      <w:bookmarkEnd w:id="46"/>
      <w:r w:rsidRPr="00192EB8">
        <w:rPr>
          <w:b/>
          <w:sz w:val="22"/>
          <w:szCs w:val="22"/>
        </w:rPr>
        <w:t xml:space="preserve">: </w:t>
      </w:r>
      <w:r w:rsidRPr="00192EB8">
        <w:rPr>
          <w:b/>
          <w:sz w:val="22"/>
          <w:szCs w:val="22"/>
          <w:lang w:val="en-US"/>
        </w:rPr>
        <w:t xml:space="preserve">  </w:t>
      </w:r>
      <w:r w:rsidRPr="00192EB8">
        <w:rPr>
          <w:rFonts w:eastAsia="Times New Roman"/>
          <w:b/>
          <w:sz w:val="22"/>
          <w:szCs w:val="22"/>
          <w:lang w:val="en-US"/>
        </w:rPr>
        <w:t>Kaplan Meier plot of time to first MACE – Full analysis set (FAS) population</w:t>
      </w:r>
    </w:p>
    <w:bookmarkStart w:id="47" w:name="_MON_1534865364"/>
    <w:bookmarkEnd w:id="47"/>
    <w:p w14:paraId="0BCA2603" w14:textId="77777777" w:rsidR="00CB252F" w:rsidRPr="00CB252F" w:rsidRDefault="00CB252F" w:rsidP="00EE5E3B">
      <w:pPr>
        <w:spacing w:after="0" w:line="240" w:lineRule="auto"/>
        <w:rPr>
          <w:rFonts w:eastAsia="Times New Roman"/>
          <w:noProof/>
          <w:sz w:val="22"/>
          <w:szCs w:val="22"/>
          <w:lang w:val="en-US"/>
        </w:rPr>
      </w:pPr>
      <w:r w:rsidRPr="00CB252F">
        <w:rPr>
          <w:rFonts w:eastAsia="Times New Roman"/>
          <w:sz w:val="22"/>
          <w:szCs w:val="22"/>
          <w:lang w:val="en-US"/>
        </w:rPr>
        <w:object w:dxaOrig="5670" w:dyaOrig="3633" w14:anchorId="02F0FE92">
          <v:shape id="_x0000_i1042" type="#_x0000_t75" style="width:283.5pt;height:181.5pt" o:ole="">
            <v:imagedata r:id="rId44" o:title=""/>
          </v:shape>
          <o:OLEObject Type="Embed" ProgID="Word.Document.12" ShapeID="_x0000_i1042" DrawAspect="Content" ObjectID="_1680004111" r:id="rId45">
            <o:FieldCodes>\s</o:FieldCodes>
          </o:OLEObject>
        </w:object>
      </w:r>
    </w:p>
    <w:p w14:paraId="6521057F" w14:textId="35E16C83" w:rsidR="00CB252F" w:rsidRPr="00CB252F" w:rsidRDefault="00CB252F" w:rsidP="00EE5E3B">
      <w:pPr>
        <w:spacing w:after="0" w:line="240" w:lineRule="auto"/>
        <w:rPr>
          <w:rFonts w:eastAsia="Times New Roman"/>
          <w:noProof/>
          <w:sz w:val="22"/>
          <w:szCs w:val="22"/>
          <w:lang w:val="en-US"/>
        </w:rPr>
      </w:pPr>
    </w:p>
    <w:p w14:paraId="389C1B03" w14:textId="59C5FAD0" w:rsidR="00CB252F" w:rsidRPr="00657007" w:rsidRDefault="00657007" w:rsidP="00EE5E3B">
      <w:pPr>
        <w:spacing w:after="0" w:line="240" w:lineRule="auto"/>
        <w:rPr>
          <w:rFonts w:eastAsia="Times New Roman"/>
          <w:iCs/>
          <w:lang w:val="en-US"/>
        </w:rPr>
      </w:pPr>
      <w:r w:rsidRPr="00657007">
        <w:rPr>
          <w:lang w:val="en-US"/>
        </w:rPr>
        <w:t>Liraglutide</w:t>
      </w:r>
      <w:r w:rsidRPr="00CB252F">
        <w:rPr>
          <w:lang w:val="en-US"/>
        </w:rPr>
        <w:t xml:space="preserve"> also significantly reduced the time to first expanded MACE (primary MACE, unstable angina pectoris leading to hospitalisation, coronary revascularisation, or hospitalisation due to heart failure) and other secondary endpoints (</w:t>
      </w:r>
      <w:r>
        <w:rPr>
          <w:lang w:val="en-US"/>
        </w:rPr>
        <w:fldChar w:fldCharType="begin"/>
      </w:r>
      <w:r>
        <w:rPr>
          <w:lang w:val="en-US"/>
        </w:rPr>
        <w:instrText xml:space="preserve"> REF _Ref24984888 \h </w:instrText>
      </w:r>
      <w:r>
        <w:rPr>
          <w:lang w:val="en-US"/>
        </w:rPr>
      </w:r>
      <w:r w:rsidR="00EE5E3B">
        <w:rPr>
          <w:lang w:val="en-US"/>
        </w:rPr>
        <w:instrText xml:space="preserve"> \* MERGEFORMAT </w:instrText>
      </w:r>
      <w:r>
        <w:rPr>
          <w:lang w:val="en-US"/>
        </w:rPr>
        <w:fldChar w:fldCharType="separate"/>
      </w:r>
      <w:r w:rsidR="00503238" w:rsidRPr="00192EB8">
        <w:rPr>
          <w:b/>
          <w:bCs/>
          <w:sz w:val="22"/>
          <w:szCs w:val="22"/>
        </w:rPr>
        <w:t xml:space="preserve">Figure </w:t>
      </w:r>
      <w:r w:rsidR="00503238">
        <w:rPr>
          <w:b/>
          <w:bCs/>
          <w:noProof/>
          <w:sz w:val="22"/>
          <w:szCs w:val="22"/>
        </w:rPr>
        <w:t>18</w:t>
      </w:r>
      <w:r>
        <w:rPr>
          <w:lang w:val="en-US"/>
        </w:rPr>
        <w:fldChar w:fldCharType="end"/>
      </w:r>
      <w:r w:rsidRPr="00CB252F">
        <w:rPr>
          <w:lang w:val="en-US"/>
        </w:rPr>
        <w:t>).</w:t>
      </w:r>
    </w:p>
    <w:p w14:paraId="43BB0A9A" w14:textId="77777777" w:rsidR="004E0216" w:rsidRPr="00CB252F" w:rsidRDefault="004E0216" w:rsidP="00EE5E3B">
      <w:pPr>
        <w:spacing w:after="0" w:line="240" w:lineRule="auto"/>
        <w:rPr>
          <w:rFonts w:eastAsia="Times New Roman"/>
          <w:noProof/>
          <w:sz w:val="22"/>
          <w:szCs w:val="22"/>
          <w:lang w:val="en-US"/>
        </w:rPr>
      </w:pPr>
    </w:p>
    <w:p w14:paraId="57C51842" w14:textId="23FA899D" w:rsidR="00CB252F" w:rsidRPr="00192EB8" w:rsidRDefault="004E0216" w:rsidP="00EE5E3B">
      <w:pPr>
        <w:keepNext/>
        <w:spacing w:after="0" w:line="240" w:lineRule="auto"/>
        <w:rPr>
          <w:rFonts w:eastAsia="Times New Roman"/>
          <w:noProof/>
          <w:sz w:val="22"/>
          <w:szCs w:val="22"/>
          <w:lang w:val="en-US"/>
        </w:rPr>
      </w:pPr>
      <w:bookmarkStart w:id="48" w:name="_Ref24984888"/>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18</w:t>
      </w:r>
      <w:r w:rsidRPr="00192EB8">
        <w:rPr>
          <w:b/>
          <w:sz w:val="22"/>
          <w:szCs w:val="22"/>
        </w:rPr>
        <w:fldChar w:fldCharType="end"/>
      </w:r>
      <w:bookmarkEnd w:id="48"/>
      <w:r w:rsidRPr="00192EB8">
        <w:rPr>
          <w:b/>
          <w:sz w:val="22"/>
          <w:szCs w:val="22"/>
        </w:rPr>
        <w:t xml:space="preserve">: </w:t>
      </w:r>
      <w:r w:rsidRPr="00192EB8">
        <w:rPr>
          <w:b/>
          <w:sz w:val="22"/>
          <w:szCs w:val="22"/>
          <w:lang w:val="en-US"/>
        </w:rPr>
        <w:t xml:space="preserve">  </w:t>
      </w:r>
      <w:r w:rsidRPr="00192EB8">
        <w:rPr>
          <w:rFonts w:eastAsia="Times New Roman"/>
          <w:b/>
          <w:sz w:val="22"/>
          <w:szCs w:val="22"/>
          <w:lang w:val="en-GB"/>
        </w:rPr>
        <w:t>Forest plot of analyses of individual cardiovascular event types – FAS population</w:t>
      </w:r>
    </w:p>
    <w:p w14:paraId="264DEC1A" w14:textId="45F6AB38" w:rsidR="00CB252F" w:rsidRPr="00CB252F" w:rsidRDefault="00CB252F" w:rsidP="00EE5E3B">
      <w:pPr>
        <w:spacing w:after="0" w:line="240" w:lineRule="auto"/>
        <w:rPr>
          <w:rFonts w:eastAsia="Times New Roman"/>
          <w:noProof/>
          <w:sz w:val="22"/>
          <w:szCs w:val="22"/>
          <w:lang w:val="en-US"/>
        </w:rPr>
      </w:pPr>
      <w:r w:rsidRPr="00CB252F">
        <w:rPr>
          <w:rFonts w:ascii="Calibri" w:eastAsia="Times New Roman" w:hAnsi="Calibri"/>
          <w:sz w:val="22"/>
          <w:szCs w:val="22"/>
          <w:lang w:val="en-GB"/>
        </w:rPr>
        <w:object w:dxaOrig="7380" w:dyaOrig="5640" w14:anchorId="7262DD0F">
          <v:shape id="_x0000_i1043" type="#_x0000_t75" style="width:369pt;height:282pt" o:ole="">
            <v:imagedata r:id="rId46" o:title=""/>
          </v:shape>
          <o:OLEObject Type="Embed" ProgID="Word.Document.12" ShapeID="_x0000_i1043" DrawAspect="Content" ObjectID="_1680004112" r:id="rId47">
            <o:FieldCodes>\s</o:FieldCodes>
          </o:OLEObject>
        </w:object>
      </w:r>
    </w:p>
    <w:p w14:paraId="16675D51" w14:textId="77777777" w:rsidR="00CB252F" w:rsidRPr="00CB252F" w:rsidRDefault="00CB252F" w:rsidP="00EE5E3B">
      <w:pPr>
        <w:spacing w:after="0" w:line="240" w:lineRule="auto"/>
        <w:rPr>
          <w:rFonts w:eastAsia="Times New Roman"/>
          <w:noProof/>
          <w:sz w:val="22"/>
          <w:szCs w:val="22"/>
          <w:lang w:val="en-US"/>
        </w:rPr>
      </w:pPr>
    </w:p>
    <w:p w14:paraId="004A3D24" w14:textId="244C70D9" w:rsidR="00032E83" w:rsidRPr="00032E83" w:rsidRDefault="00657007" w:rsidP="00EE5E3B">
      <w:pPr>
        <w:spacing w:after="0" w:line="240" w:lineRule="auto"/>
        <w:rPr>
          <w:lang w:val="en-GB"/>
        </w:rPr>
      </w:pPr>
      <w:r w:rsidRPr="00720299">
        <w:rPr>
          <w:rFonts w:eastAsia="Times New Roman"/>
          <w:i/>
          <w:iCs/>
          <w:szCs w:val="22"/>
          <w:lang w:val="en-GB"/>
        </w:rPr>
        <w:t>Insulin degludec (Tresiba</w:t>
      </w:r>
      <w:r w:rsidRPr="00720299">
        <w:rPr>
          <w:rFonts w:eastAsia="Times New Roman"/>
          <w:i/>
          <w:iCs/>
          <w:szCs w:val="22"/>
          <w:vertAlign w:val="superscript"/>
          <w:lang w:val="en-GB"/>
        </w:rPr>
        <w:t>®</w:t>
      </w:r>
      <w:r w:rsidRPr="00720299">
        <w:rPr>
          <w:rFonts w:eastAsia="Times New Roman"/>
          <w:i/>
          <w:iCs/>
          <w:szCs w:val="22"/>
          <w:lang w:val="en-GB"/>
        </w:rPr>
        <w:t>)</w:t>
      </w:r>
      <w:r w:rsidRPr="00657007">
        <w:rPr>
          <w:rFonts w:eastAsia="Times New Roman"/>
          <w:szCs w:val="22"/>
          <w:u w:val="single"/>
          <w:lang w:val="en-GB"/>
        </w:rPr>
        <w:br/>
      </w:r>
      <w:r w:rsidR="00032E83" w:rsidRPr="00032E83">
        <w:rPr>
          <w:lang w:val="en-GB"/>
        </w:rPr>
        <w:t>DEVOTE was a randomised, double-blind, active-controlled, treat-to-target and event-driven clinical trial with a median duration of 2 years comparing the cardiovascular safety of Tresiba versus insulin glargine (100 units/mL) in 7,637 patients with type 2 diabetes mellitus at high risk of cardiovascular events. Patients eligible to enter the trial were 50 years of age or older and had established, stable, cardiovascular, cerebrovascular, peripheral artery disease, chronic kidney disease or NYHA class II and III heart failure (85% of the enrolled population) or were 60 years of age or older and had other specified risk factors for cardiovascular disease (15% of the enrolled population).</w:t>
      </w:r>
    </w:p>
    <w:p w14:paraId="3B1849B9" w14:textId="77777777" w:rsidR="00032E83" w:rsidRPr="00032E83" w:rsidRDefault="00032E83" w:rsidP="00EE5E3B">
      <w:pPr>
        <w:spacing w:after="0" w:line="240" w:lineRule="auto"/>
        <w:rPr>
          <w:lang w:val="en-GB"/>
        </w:rPr>
      </w:pPr>
    </w:p>
    <w:p w14:paraId="2774455E" w14:textId="1B33EBA2" w:rsidR="00032E83" w:rsidRPr="00CB252F" w:rsidRDefault="00032E83" w:rsidP="00EE5E3B">
      <w:pPr>
        <w:rPr>
          <w:lang w:val="en-US"/>
        </w:rPr>
      </w:pPr>
      <w:r w:rsidRPr="00032E83">
        <w:rPr>
          <w:lang w:val="en-GB"/>
        </w:rPr>
        <w:t>The primary analysis was time from randomisation to first occurrence of a 3-component major adverse cardiovascular event (MACE) defined as cardiovascular death, non-fatal myocardial infarction, or non-fatal stroke. The trial was designed as a non-inferiority trial to exclude a pre-specified risk margin of 1.3 for the hazard ratio of MACE comparing Tresiba to insulin glargine. The cardiovascular safety of Tresiba as compared to insulin glargine was confirmed (</w:t>
      </w:r>
      <w:r w:rsidR="00872DC7">
        <w:rPr>
          <w:lang w:val="en-US"/>
        </w:rPr>
        <w:fldChar w:fldCharType="begin"/>
      </w:r>
      <w:r w:rsidR="00872DC7">
        <w:rPr>
          <w:rFonts w:eastAsia="Times New Roman"/>
          <w:noProof/>
          <w:sz w:val="22"/>
          <w:lang w:val="da-DK"/>
        </w:rPr>
        <w:instrText xml:space="preserve"> REF _Ref24985969 \h </w:instrText>
      </w:r>
      <w:r w:rsidR="00872DC7">
        <w:rPr>
          <w:lang w:val="en-US"/>
        </w:rPr>
      </w:r>
      <w:r w:rsidR="00EE5E3B">
        <w:rPr>
          <w:lang w:val="en-US"/>
        </w:rPr>
        <w:instrText xml:space="preserve"> \* MERGEFORMAT </w:instrText>
      </w:r>
      <w:r w:rsidR="00872DC7">
        <w:rPr>
          <w:lang w:val="en-US"/>
        </w:rPr>
        <w:fldChar w:fldCharType="separate"/>
      </w:r>
      <w:r w:rsidR="00503238" w:rsidRPr="00192EB8">
        <w:rPr>
          <w:b/>
          <w:bCs/>
          <w:sz w:val="22"/>
          <w:szCs w:val="22"/>
        </w:rPr>
        <w:t xml:space="preserve">Figure </w:t>
      </w:r>
      <w:r w:rsidR="00503238">
        <w:rPr>
          <w:b/>
          <w:bCs/>
          <w:noProof/>
          <w:sz w:val="22"/>
          <w:szCs w:val="22"/>
        </w:rPr>
        <w:t>19</w:t>
      </w:r>
      <w:r w:rsidR="00872DC7">
        <w:rPr>
          <w:lang w:val="en-US"/>
        </w:rPr>
        <w:fldChar w:fldCharType="end"/>
      </w:r>
      <w:r w:rsidRPr="00032E83">
        <w:rPr>
          <w:lang w:val="en-GB"/>
        </w:rPr>
        <w:t xml:space="preserve">). </w:t>
      </w:r>
    </w:p>
    <w:p w14:paraId="5015CD2F" w14:textId="636E2D1A" w:rsidR="002433F8" w:rsidRPr="00192EB8" w:rsidRDefault="002A6E9A" w:rsidP="00EE5E3B">
      <w:pPr>
        <w:keepNext/>
        <w:spacing w:after="0" w:line="240" w:lineRule="auto"/>
        <w:rPr>
          <w:sz w:val="22"/>
          <w:szCs w:val="22"/>
          <w:lang w:val="en-GB"/>
        </w:rPr>
      </w:pPr>
      <w:bookmarkStart w:id="49" w:name="_Ref24985969"/>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19</w:t>
      </w:r>
      <w:r w:rsidRPr="00192EB8">
        <w:rPr>
          <w:b/>
          <w:sz w:val="22"/>
          <w:szCs w:val="22"/>
        </w:rPr>
        <w:fldChar w:fldCharType="end"/>
      </w:r>
      <w:bookmarkEnd w:id="49"/>
      <w:r w:rsidRPr="00192EB8">
        <w:rPr>
          <w:b/>
          <w:sz w:val="22"/>
          <w:szCs w:val="22"/>
        </w:rPr>
        <w:t xml:space="preserve">: </w:t>
      </w:r>
      <w:r w:rsidRPr="00192EB8">
        <w:rPr>
          <w:b/>
          <w:sz w:val="22"/>
          <w:szCs w:val="22"/>
          <w:lang w:val="en-US"/>
        </w:rPr>
        <w:t xml:space="preserve">  </w:t>
      </w:r>
      <w:r w:rsidRPr="00192EB8">
        <w:rPr>
          <w:b/>
          <w:sz w:val="22"/>
          <w:szCs w:val="22"/>
          <w:lang w:val="da-DK"/>
        </w:rPr>
        <w:t>Forest plot of a</w:t>
      </w:r>
      <w:r w:rsidRPr="00192EB8">
        <w:rPr>
          <w:b/>
          <w:sz w:val="22"/>
          <w:szCs w:val="22"/>
          <w:lang w:val="en-US"/>
        </w:rPr>
        <w:t>nalysis of the composite 3-point MACE and individual cardiovascular endpoints in DEVOTE</w:t>
      </w:r>
    </w:p>
    <w:p w14:paraId="6067F916" w14:textId="303D89E8" w:rsidR="002A6E9A" w:rsidRDefault="002A6E9A" w:rsidP="00EE5E3B">
      <w:pPr>
        <w:rPr>
          <w:lang w:val="en-GB"/>
        </w:rPr>
      </w:pPr>
      <w:r w:rsidRPr="002A6E9A">
        <w:rPr>
          <w:lang w:val="da-DK"/>
        </w:rPr>
        <w:object w:dxaOrig="7260" w:dyaOrig="2880" w14:anchorId="75ED7AD0">
          <v:shape id="_x0000_i1044" type="#_x0000_t75" style="width:363pt;height:2in" o:ole="" filled="t">
            <v:imagedata r:id="rId48" o:title=""/>
          </v:shape>
          <o:OLEObject Type="Embed" ProgID="Word.Document.12" ShapeID="_x0000_i1044" DrawAspect="Content" ObjectID="_1680004113" r:id="rId49">
            <o:FieldCodes>\s</o:FieldCodes>
          </o:OLEObject>
        </w:object>
      </w:r>
      <w:r w:rsidRPr="002A6E9A">
        <w:rPr>
          <w:lang w:val="da-DK"/>
        </w:rPr>
        <w:br/>
      </w:r>
      <w:r w:rsidRPr="00DF190F">
        <w:rPr>
          <w:sz w:val="16"/>
        </w:rPr>
        <w:t>N: Number of subjects with a first EAC confirmed event during trial. %: Percentage of subjects with a first EAC confirmed event relative to the number of randomised subjects. EAC: Event adjudication committee. CV: Cardiovascular. MI: Myocardial infarction. CI: 95% confidence interval.</w:t>
      </w:r>
    </w:p>
    <w:p w14:paraId="13587406" w14:textId="4837AEB8" w:rsidR="002A6E9A" w:rsidRDefault="00872DC7" w:rsidP="00EE5E3B">
      <w:pPr>
        <w:rPr>
          <w:lang w:val="en-GB"/>
        </w:rPr>
      </w:pPr>
      <w:r w:rsidRPr="00872DC7">
        <w:rPr>
          <w:lang w:val="da-DK"/>
        </w:rPr>
        <w:t>At baseline, HbA</w:t>
      </w:r>
      <w:r w:rsidRPr="00872DC7">
        <w:rPr>
          <w:vertAlign w:val="subscript"/>
          <w:lang w:val="da-DK"/>
        </w:rPr>
        <w:t xml:space="preserve">1c </w:t>
      </w:r>
      <w:r w:rsidRPr="00872DC7">
        <w:rPr>
          <w:lang w:val="da-DK"/>
        </w:rPr>
        <w:t>was 8.4% in both treatment groups and after 2 years HbA</w:t>
      </w:r>
      <w:r w:rsidRPr="00872DC7">
        <w:rPr>
          <w:vertAlign w:val="subscript"/>
          <w:lang w:val="da-DK"/>
        </w:rPr>
        <w:t>1c</w:t>
      </w:r>
      <w:r w:rsidRPr="00872DC7">
        <w:rPr>
          <w:lang w:val="da-DK"/>
        </w:rPr>
        <w:t xml:space="preserve"> was 7.5% both with insulin degludec and insulin glargine. </w:t>
      </w:r>
    </w:p>
    <w:p w14:paraId="3F30E52F" w14:textId="1D2671E0" w:rsidR="00872DC7" w:rsidRPr="00A921EB" w:rsidRDefault="00872DC7" w:rsidP="00EE5E3B">
      <w:pPr>
        <w:spacing w:after="0" w:line="240" w:lineRule="auto"/>
        <w:rPr>
          <w:i/>
          <w:iCs/>
          <w:lang w:val="en-GB"/>
        </w:rPr>
      </w:pPr>
      <w:r w:rsidRPr="00720299">
        <w:rPr>
          <w:i/>
          <w:iCs/>
          <w:u w:val="single"/>
          <w:lang w:val="en-GB"/>
        </w:rPr>
        <w:t>Nausea</w:t>
      </w:r>
    </w:p>
    <w:p w14:paraId="00FA2425" w14:textId="31E3792C" w:rsidR="002A6E9A" w:rsidRDefault="00872DC7" w:rsidP="00EE5E3B">
      <w:pPr>
        <w:rPr>
          <w:lang w:val="en-US"/>
        </w:rPr>
      </w:pPr>
      <w:r w:rsidRPr="00872DC7">
        <w:rPr>
          <w:lang w:val="en-US"/>
        </w:rPr>
        <w:t xml:space="preserve">The proportion of patients reporting nausea at any point during treatment with </w:t>
      </w:r>
      <w:r w:rsidR="00E3589B">
        <w:rPr>
          <w:lang w:val="en-US"/>
        </w:rPr>
        <w:t>Xultophy</w:t>
      </w:r>
      <w:r w:rsidRPr="00872DC7">
        <w:rPr>
          <w:lang w:val="en-US"/>
        </w:rPr>
        <w:t xml:space="preserve"> was below 4%, see </w:t>
      </w:r>
      <w:r>
        <w:rPr>
          <w:lang w:val="en-US"/>
        </w:rPr>
        <w:fldChar w:fldCharType="begin"/>
      </w:r>
      <w:r>
        <w:rPr>
          <w:lang w:val="en-US"/>
        </w:rPr>
        <w:instrText xml:space="preserve"> REF _Ref24986523 \h </w:instrText>
      </w:r>
      <w:r>
        <w:rPr>
          <w:lang w:val="en-US"/>
        </w:rPr>
      </w:r>
      <w:r w:rsidR="00EE5E3B">
        <w:rPr>
          <w:lang w:val="en-US"/>
        </w:rPr>
        <w:instrText xml:space="preserve"> \* MERGEFORMAT </w:instrText>
      </w:r>
      <w:r>
        <w:rPr>
          <w:lang w:val="en-US"/>
        </w:rPr>
        <w:fldChar w:fldCharType="separate"/>
      </w:r>
      <w:r w:rsidR="00503238" w:rsidRPr="00192EB8">
        <w:rPr>
          <w:b/>
          <w:bCs/>
          <w:sz w:val="22"/>
          <w:szCs w:val="22"/>
        </w:rPr>
        <w:t xml:space="preserve">Figure </w:t>
      </w:r>
      <w:r w:rsidR="00503238">
        <w:rPr>
          <w:b/>
          <w:bCs/>
          <w:noProof/>
          <w:sz w:val="22"/>
          <w:szCs w:val="22"/>
        </w:rPr>
        <w:t>20</w:t>
      </w:r>
      <w:r>
        <w:rPr>
          <w:lang w:val="en-US"/>
        </w:rPr>
        <w:fldChar w:fldCharType="end"/>
      </w:r>
      <w:r w:rsidRPr="00872DC7">
        <w:rPr>
          <w:lang w:val="en-US"/>
        </w:rPr>
        <w:t xml:space="preserve">, and was transient in nature for most patients. </w:t>
      </w:r>
    </w:p>
    <w:p w14:paraId="1E3BB351" w14:textId="62A69C1B" w:rsidR="00872DC7" w:rsidRPr="00192EB8" w:rsidRDefault="00872DC7" w:rsidP="00EE5E3B">
      <w:pPr>
        <w:keepNext/>
        <w:spacing w:after="0" w:line="240" w:lineRule="auto"/>
        <w:rPr>
          <w:sz w:val="22"/>
          <w:szCs w:val="22"/>
          <w:lang w:val="en-GB"/>
        </w:rPr>
      </w:pPr>
      <w:bookmarkStart w:id="50" w:name="_Ref24986523"/>
      <w:r w:rsidRPr="00192EB8">
        <w:rPr>
          <w:b/>
          <w:bCs/>
          <w:sz w:val="22"/>
          <w:szCs w:val="22"/>
        </w:rPr>
        <w:t xml:space="preserve">Figure </w:t>
      </w:r>
      <w:r w:rsidRPr="00192EB8">
        <w:rPr>
          <w:b/>
          <w:bCs/>
          <w:sz w:val="22"/>
          <w:szCs w:val="22"/>
        </w:rPr>
        <w:fldChar w:fldCharType="begin"/>
      </w:r>
      <w:r w:rsidRPr="00192EB8">
        <w:rPr>
          <w:b/>
          <w:bCs/>
          <w:sz w:val="22"/>
          <w:szCs w:val="22"/>
        </w:rPr>
        <w:instrText xml:space="preserve"> SEQ Figure \* ARABIC \s 1 </w:instrText>
      </w:r>
      <w:r w:rsidRPr="00192EB8">
        <w:rPr>
          <w:b/>
          <w:bCs/>
          <w:sz w:val="22"/>
          <w:szCs w:val="22"/>
        </w:rPr>
        <w:fldChar w:fldCharType="separate"/>
      </w:r>
      <w:r w:rsidR="00503238">
        <w:rPr>
          <w:b/>
          <w:bCs/>
          <w:noProof/>
          <w:sz w:val="22"/>
          <w:szCs w:val="22"/>
        </w:rPr>
        <w:t>20</w:t>
      </w:r>
      <w:r w:rsidRPr="00192EB8">
        <w:rPr>
          <w:b/>
          <w:sz w:val="22"/>
          <w:szCs w:val="22"/>
        </w:rPr>
        <w:fldChar w:fldCharType="end"/>
      </w:r>
      <w:bookmarkEnd w:id="50"/>
      <w:r w:rsidRPr="00192EB8">
        <w:rPr>
          <w:b/>
          <w:sz w:val="22"/>
          <w:szCs w:val="22"/>
        </w:rPr>
        <w:t xml:space="preserve">: </w:t>
      </w:r>
      <w:r w:rsidRPr="00192EB8">
        <w:rPr>
          <w:b/>
          <w:sz w:val="22"/>
          <w:szCs w:val="22"/>
          <w:lang w:val="en-US"/>
        </w:rPr>
        <w:t xml:space="preserve">  </w:t>
      </w:r>
      <w:r w:rsidRPr="00192EB8">
        <w:rPr>
          <w:b/>
          <w:sz w:val="22"/>
          <w:szCs w:val="22"/>
          <w:lang w:val="da-DK"/>
        </w:rPr>
        <w:t xml:space="preserve">Percentage of patients with nausea by treatment week in patients inadequately controlled on </w:t>
      </w:r>
      <w:r w:rsidRPr="00192EB8">
        <w:rPr>
          <w:b/>
          <w:bCs/>
          <w:sz w:val="22"/>
          <w:szCs w:val="22"/>
          <w:lang w:val="en-US"/>
        </w:rPr>
        <w:t>metformin alone or in combination with pioglitazone</w:t>
      </w:r>
      <w:r w:rsidRPr="00192EB8">
        <w:rPr>
          <w:b/>
          <w:sz w:val="22"/>
          <w:szCs w:val="22"/>
          <w:lang w:val="da-DK"/>
        </w:rPr>
        <w:t xml:space="preserve"> (upper) and in patients inadequately controlled on </w:t>
      </w:r>
      <w:r w:rsidRPr="00192EB8">
        <w:rPr>
          <w:b/>
          <w:bCs/>
          <w:sz w:val="22"/>
          <w:szCs w:val="22"/>
          <w:lang w:val="da-DK"/>
        </w:rPr>
        <w:t>basal insulin (</w:t>
      </w:r>
      <w:r w:rsidRPr="00192EB8">
        <w:rPr>
          <w:b/>
          <w:sz w:val="22"/>
          <w:szCs w:val="22"/>
          <w:lang w:val="da-DK"/>
        </w:rPr>
        <w:t xml:space="preserve">lower) </w:t>
      </w:r>
    </w:p>
    <w:bookmarkStart w:id="51" w:name="_MON_1469290771"/>
    <w:bookmarkEnd w:id="51"/>
    <w:p w14:paraId="52481C61" w14:textId="77777777" w:rsidR="00872DC7" w:rsidRPr="00872DC7" w:rsidRDefault="00872DC7" w:rsidP="00EE5E3B">
      <w:pPr>
        <w:suppressAutoHyphens/>
        <w:spacing w:after="120" w:line="264" w:lineRule="auto"/>
        <w:rPr>
          <w:rFonts w:eastAsia="SimSun"/>
          <w:noProof/>
          <w:sz w:val="22"/>
          <w:szCs w:val="22"/>
          <w:lang w:val="en-US"/>
        </w:rPr>
      </w:pPr>
      <w:r w:rsidRPr="00872DC7">
        <w:rPr>
          <w:rFonts w:eastAsia="Times New Roman"/>
          <w:sz w:val="22"/>
          <w:szCs w:val="22"/>
          <w:lang w:val="en-GB"/>
        </w:rPr>
        <w:object w:dxaOrig="4536" w:dyaOrig="2790" w14:anchorId="76BC1ADD">
          <v:shape id="_x0000_i1045" type="#_x0000_t75" style="width:225.75pt;height:138.75pt" o:ole="">
            <v:imagedata r:id="rId50" o:title=""/>
          </v:shape>
          <o:OLEObject Type="Embed" ProgID="Word.Document.12" ShapeID="_x0000_i1045" DrawAspect="Content" ObjectID="_1680004114" r:id="rId51">
            <o:FieldCodes>\s</o:FieldCodes>
          </o:OLEObject>
        </w:object>
      </w:r>
    </w:p>
    <w:bookmarkStart w:id="52" w:name="_MON_1429959419"/>
    <w:bookmarkStart w:id="53" w:name="_MON_1429959432"/>
    <w:bookmarkEnd w:id="52"/>
    <w:bookmarkEnd w:id="53"/>
    <w:bookmarkStart w:id="54" w:name="_MON_1429959405"/>
    <w:bookmarkEnd w:id="54"/>
    <w:p w14:paraId="3375A33C" w14:textId="77777777" w:rsidR="00872DC7" w:rsidRPr="00872DC7" w:rsidRDefault="00872DC7" w:rsidP="00EE5E3B">
      <w:pPr>
        <w:suppressAutoHyphens/>
        <w:spacing w:after="120" w:line="264" w:lineRule="auto"/>
        <w:rPr>
          <w:rFonts w:eastAsia="Times New Roman"/>
          <w:szCs w:val="22"/>
          <w:lang w:val="en-GB"/>
        </w:rPr>
      </w:pPr>
      <w:r w:rsidRPr="00872DC7">
        <w:rPr>
          <w:rFonts w:eastAsia="Times New Roman"/>
          <w:sz w:val="22"/>
          <w:szCs w:val="22"/>
          <w:lang w:val="en-GB"/>
        </w:rPr>
        <w:object w:dxaOrig="4410" w:dyaOrig="2795" w14:anchorId="295F90F0">
          <v:shape id="_x0000_i1046" type="#_x0000_t75" style="width:220.5pt;height:137.25pt" o:ole="">
            <v:imagedata r:id="rId52" o:title=""/>
          </v:shape>
          <o:OLEObject Type="Embed" ProgID="Word.Document.12" ShapeID="_x0000_i1046" DrawAspect="Content" ObjectID="_1680004115" r:id="rId53">
            <o:FieldCodes>\s</o:FieldCodes>
          </o:OLEObject>
        </w:object>
      </w:r>
    </w:p>
    <w:p w14:paraId="580138E2" w14:textId="77777777" w:rsidR="00A22E96" w:rsidRPr="00720299" w:rsidRDefault="00A22E96" w:rsidP="00EE5E3B">
      <w:pPr>
        <w:keepNext/>
        <w:spacing w:after="0" w:line="240" w:lineRule="auto"/>
        <w:rPr>
          <w:i/>
          <w:iCs/>
          <w:u w:val="single"/>
          <w:lang w:val="en-US"/>
        </w:rPr>
      </w:pPr>
      <w:r w:rsidRPr="00720299">
        <w:rPr>
          <w:i/>
          <w:iCs/>
          <w:u w:val="single"/>
          <w:lang w:val="en-US"/>
        </w:rPr>
        <w:t>Blood pressure</w:t>
      </w:r>
    </w:p>
    <w:p w14:paraId="7ED9D1FF" w14:textId="7C59E26E" w:rsidR="00A22E96" w:rsidRPr="00A22E96" w:rsidRDefault="00A22E96" w:rsidP="00EE5E3B">
      <w:pPr>
        <w:rPr>
          <w:lang w:val="en-US"/>
        </w:rPr>
      </w:pPr>
      <w:r w:rsidRPr="00A22E96">
        <w:rPr>
          <w:lang w:val="en-US"/>
        </w:rPr>
        <w:t xml:space="preserve">In patients inadequately controlled on metformin alone or in combination with pioglitazone, </w:t>
      </w:r>
      <w:r w:rsidR="00E3589B">
        <w:rPr>
          <w:lang w:val="en-US"/>
        </w:rPr>
        <w:t>Xultophy</w:t>
      </w:r>
      <w:r w:rsidRPr="00A22E96">
        <w:rPr>
          <w:lang w:val="en-US"/>
        </w:rPr>
        <w:t xml:space="preserve"> reduced mean systolic blood pressure by 1.8</w:t>
      </w:r>
      <w:r>
        <w:rPr>
          <w:lang w:val="en-US"/>
        </w:rPr>
        <w:t xml:space="preserve"> </w:t>
      </w:r>
      <w:r w:rsidRPr="00A22E96">
        <w:rPr>
          <w:lang w:val="en-US"/>
        </w:rPr>
        <w:t>mmHg compared to a reduction of 0.7</w:t>
      </w:r>
      <w:r w:rsidR="00A8198D">
        <w:rPr>
          <w:lang w:val="en-US"/>
        </w:rPr>
        <w:t xml:space="preserve"> </w:t>
      </w:r>
      <w:r w:rsidRPr="00A22E96">
        <w:rPr>
          <w:lang w:val="en-US"/>
        </w:rPr>
        <w:t>mmHg with insulin degludec and 2.7 mmHg with liraglutide. In patients inadequately controlled on sulfonylurea alone or in combination with metformin, the reduction was 3.5</w:t>
      </w:r>
      <w:r w:rsidR="00A8198D">
        <w:rPr>
          <w:lang w:val="en-US"/>
        </w:rPr>
        <w:t xml:space="preserve"> </w:t>
      </w:r>
      <w:r w:rsidRPr="00A22E96">
        <w:rPr>
          <w:lang w:val="en-US"/>
        </w:rPr>
        <w:t xml:space="preserve">mmHg with </w:t>
      </w:r>
      <w:r w:rsidR="00E3589B">
        <w:rPr>
          <w:lang w:val="en-US"/>
        </w:rPr>
        <w:t>Xultophy</w:t>
      </w:r>
      <w:r w:rsidRPr="00A22E96">
        <w:rPr>
          <w:lang w:val="en-US"/>
        </w:rPr>
        <w:t xml:space="preserve"> and 3.2</w:t>
      </w:r>
      <w:r w:rsidR="00A8198D">
        <w:rPr>
          <w:lang w:val="en-US"/>
        </w:rPr>
        <w:t xml:space="preserve"> </w:t>
      </w:r>
      <w:r w:rsidRPr="00A22E96">
        <w:rPr>
          <w:lang w:val="en-US"/>
        </w:rPr>
        <w:t xml:space="preserve">mmHg with placebo. The differences were not statistically significant. In patients inadequately controlled on GLP-1 receptor agonists, systolic blood pressure was reduced by 0.6 mmHg with </w:t>
      </w:r>
      <w:r w:rsidR="00E3589B">
        <w:rPr>
          <w:lang w:val="en-US"/>
        </w:rPr>
        <w:t>Xultophy</w:t>
      </w:r>
      <w:r w:rsidRPr="00A22E96">
        <w:rPr>
          <w:lang w:val="en-US"/>
        </w:rPr>
        <w:t xml:space="preserve"> and 0.5</w:t>
      </w:r>
      <w:r w:rsidR="00A8198D">
        <w:rPr>
          <w:lang w:val="en-US"/>
        </w:rPr>
        <w:t xml:space="preserve"> </w:t>
      </w:r>
      <w:r w:rsidRPr="00A22E96">
        <w:rPr>
          <w:lang w:val="en-US"/>
        </w:rPr>
        <w:t>mmHg with continued GLP-1 receptor agonist therapy, respectively. The difference was not statistically significant. In three trials with patients inadequately controlled on basal insulin, systolic blood pressure was reduced by 5.4</w:t>
      </w:r>
      <w:r w:rsidR="00A8198D">
        <w:rPr>
          <w:lang w:val="en-US"/>
        </w:rPr>
        <w:t xml:space="preserve"> </w:t>
      </w:r>
      <w:r w:rsidRPr="00A22E96">
        <w:rPr>
          <w:lang w:val="en-US"/>
        </w:rPr>
        <w:t xml:space="preserve">mmHg with </w:t>
      </w:r>
      <w:r w:rsidR="00E3589B">
        <w:rPr>
          <w:lang w:val="en-US"/>
        </w:rPr>
        <w:t>Xultophy</w:t>
      </w:r>
      <w:r w:rsidRPr="00A22E96">
        <w:rPr>
          <w:lang w:val="en-US"/>
        </w:rPr>
        <w:t xml:space="preserve"> vs 1.7</w:t>
      </w:r>
      <w:r w:rsidR="00A8198D">
        <w:rPr>
          <w:lang w:val="en-US"/>
        </w:rPr>
        <w:t xml:space="preserve"> </w:t>
      </w:r>
      <w:r w:rsidRPr="00A22E96">
        <w:rPr>
          <w:lang w:val="en-US"/>
        </w:rPr>
        <w:t>mmHg with insulin degludec, with a statistically significant estimated treatment difference of -3.71</w:t>
      </w:r>
      <w:r w:rsidR="00A8198D">
        <w:rPr>
          <w:lang w:val="en-US"/>
        </w:rPr>
        <w:t xml:space="preserve"> </w:t>
      </w:r>
      <w:r w:rsidRPr="00A22E96">
        <w:rPr>
          <w:lang w:val="en-US"/>
        </w:rPr>
        <w:t>mmHg (p=0.0028) (Trial 3912), reduced by 3.7</w:t>
      </w:r>
      <w:r w:rsidR="00A8198D">
        <w:rPr>
          <w:lang w:val="en-US"/>
        </w:rPr>
        <w:t xml:space="preserve"> </w:t>
      </w:r>
      <w:r w:rsidRPr="00A22E96">
        <w:rPr>
          <w:lang w:val="en-US"/>
        </w:rPr>
        <w:t xml:space="preserve">mmHg with </w:t>
      </w:r>
      <w:r w:rsidR="00E3589B">
        <w:rPr>
          <w:lang w:val="en-US"/>
        </w:rPr>
        <w:t>Xultophy</w:t>
      </w:r>
      <w:r w:rsidRPr="00A22E96">
        <w:rPr>
          <w:lang w:val="en-US"/>
        </w:rPr>
        <w:t xml:space="preserve"> vs 0.2</w:t>
      </w:r>
      <w:r w:rsidR="00A8198D">
        <w:rPr>
          <w:lang w:val="en-US"/>
        </w:rPr>
        <w:t xml:space="preserve"> </w:t>
      </w:r>
      <w:r w:rsidRPr="00A22E96">
        <w:rPr>
          <w:lang w:val="en-US"/>
        </w:rPr>
        <w:t>mmHg with insulin glargine, with a statistically significant estimated treatment difference of -3.57</w:t>
      </w:r>
      <w:r w:rsidR="00A8198D">
        <w:rPr>
          <w:lang w:val="en-US"/>
        </w:rPr>
        <w:t xml:space="preserve"> </w:t>
      </w:r>
      <w:r w:rsidRPr="00A22E96">
        <w:rPr>
          <w:lang w:val="en-US"/>
        </w:rPr>
        <w:t>mmHg (p&lt;0.001) (Trial 3952) and reduced by 4.5</w:t>
      </w:r>
      <w:r w:rsidR="00A8198D">
        <w:rPr>
          <w:lang w:val="en-US"/>
        </w:rPr>
        <w:t xml:space="preserve"> </w:t>
      </w:r>
      <w:r w:rsidRPr="00A22E96">
        <w:rPr>
          <w:lang w:val="en-US"/>
        </w:rPr>
        <w:t xml:space="preserve">mmHg with </w:t>
      </w:r>
      <w:r w:rsidR="00E3589B">
        <w:rPr>
          <w:lang w:val="en-US"/>
        </w:rPr>
        <w:t>Xultophy</w:t>
      </w:r>
      <w:r w:rsidRPr="00A22E96">
        <w:rPr>
          <w:lang w:val="en-US"/>
        </w:rPr>
        <w:t xml:space="preserve"> vs 1.16</w:t>
      </w:r>
      <w:r w:rsidR="00A8198D">
        <w:rPr>
          <w:lang w:val="en-US"/>
        </w:rPr>
        <w:t xml:space="preserve"> </w:t>
      </w:r>
      <w:r w:rsidRPr="00A22E96">
        <w:rPr>
          <w:lang w:val="en-US"/>
        </w:rPr>
        <w:t>mmHg with insulin glargine U100 plus insulin aspart, with a statistically significant estimated treatment difference of -3.70</w:t>
      </w:r>
      <w:r w:rsidR="00A8198D">
        <w:rPr>
          <w:lang w:val="en-US"/>
        </w:rPr>
        <w:t xml:space="preserve"> </w:t>
      </w:r>
      <w:r w:rsidRPr="00A22E96">
        <w:rPr>
          <w:lang w:val="en-US"/>
        </w:rPr>
        <w:t>mmHg (p=0.0003) (Trial 4185).</w:t>
      </w:r>
    </w:p>
    <w:p w14:paraId="055A274A" w14:textId="1F5088AE" w:rsidR="00A22E96" w:rsidRPr="00A22E96" w:rsidRDefault="00A22E96" w:rsidP="00EE5E3B">
      <w:pPr>
        <w:keepNext/>
        <w:spacing w:after="0" w:line="240" w:lineRule="auto"/>
        <w:rPr>
          <w:iCs/>
          <w:lang w:val="en-GB"/>
        </w:rPr>
      </w:pPr>
      <w:r w:rsidRPr="00720299">
        <w:rPr>
          <w:i/>
          <w:iCs/>
          <w:u w:val="single"/>
          <w:lang w:val="en-GB"/>
        </w:rPr>
        <w:t>Microvascular evaluation</w:t>
      </w:r>
    </w:p>
    <w:p w14:paraId="04A8A2EC" w14:textId="6EA1FAE7" w:rsidR="00872DC7" w:rsidRDefault="00A22E96" w:rsidP="00EE5E3B">
      <w:pPr>
        <w:rPr>
          <w:lang w:val="en-GB"/>
        </w:rPr>
      </w:pPr>
      <w:r w:rsidRPr="00A22E96">
        <w:rPr>
          <w:iCs/>
          <w:lang w:val="da-DK"/>
        </w:rPr>
        <w:t>In the LEADER trial, microvascular events comprised nephropathy and retinopathy outcomes. The analysis of time to first microvascular event for liraglutide vs placebo had a HR of 0.84 [0.73, 0.97]. The HR for liraglutide vs placebo was 0.78 [0.67, 0.92] for time to first nephropathy event and 1.15 [0.87, 1.52] for time to first retinopathy event.</w:t>
      </w:r>
    </w:p>
    <w:p w14:paraId="531DFD19" w14:textId="77777777" w:rsidR="00C44B67" w:rsidRPr="00E208C5" w:rsidRDefault="00C44B67" w:rsidP="00EE5E3B">
      <w:pPr>
        <w:pStyle w:val="Heading3"/>
      </w:pPr>
      <w:r w:rsidRPr="00E208C5">
        <w:t>5.2</w:t>
      </w:r>
      <w:r w:rsidRPr="00E208C5">
        <w:tab/>
        <w:t>Pharmacokinetic Properties</w:t>
      </w:r>
    </w:p>
    <w:p w14:paraId="4D91B1BF" w14:textId="32BD45A0" w:rsidR="0096704A" w:rsidRPr="0096704A" w:rsidRDefault="0096704A" w:rsidP="00EE5E3B">
      <w:pPr>
        <w:rPr>
          <w:lang w:val="en-GB"/>
        </w:rPr>
      </w:pPr>
      <w:r w:rsidRPr="0096704A">
        <w:rPr>
          <w:lang w:val="en-GB"/>
        </w:rPr>
        <w:t xml:space="preserve">Overall the pharmacokinetics of insulin degludec and liraglutide were not affected in a clinically relevant manner when administered as </w:t>
      </w:r>
      <w:r w:rsidR="00E3589B">
        <w:rPr>
          <w:lang w:val="en-GB"/>
        </w:rPr>
        <w:t>Xultophy</w:t>
      </w:r>
      <w:r w:rsidRPr="0096704A">
        <w:rPr>
          <w:lang w:val="en-GB"/>
        </w:rPr>
        <w:t xml:space="preserve"> compared with independent injections of insulin degludec and liraglutide.</w:t>
      </w:r>
    </w:p>
    <w:p w14:paraId="40838930" w14:textId="6F983248" w:rsidR="0077211B" w:rsidRPr="00FC4CA6" w:rsidRDefault="0096704A" w:rsidP="00EE5E3B">
      <w:r w:rsidRPr="0096704A">
        <w:rPr>
          <w:lang w:val="da-DK"/>
        </w:rPr>
        <w:t xml:space="preserve">The following reflects the pharmacokinetic properties of </w:t>
      </w:r>
      <w:r w:rsidR="00E3589B">
        <w:rPr>
          <w:lang w:val="da-DK"/>
        </w:rPr>
        <w:t>Xultophy</w:t>
      </w:r>
      <w:r w:rsidRPr="0096704A">
        <w:rPr>
          <w:lang w:val="da-DK"/>
        </w:rPr>
        <w:t xml:space="preserve"> unless stated that the presented data is from administration of insulin degludec or liraglutide alone.</w:t>
      </w:r>
    </w:p>
    <w:p w14:paraId="1132DFDD" w14:textId="3CCDE167" w:rsidR="00C44B67" w:rsidRPr="00E208C5" w:rsidRDefault="00C44B67" w:rsidP="00EE5E3B">
      <w:pPr>
        <w:pStyle w:val="Heading3"/>
      </w:pPr>
      <w:r w:rsidRPr="00E208C5">
        <w:t>Absorption</w:t>
      </w:r>
    </w:p>
    <w:p w14:paraId="699D8D13" w14:textId="414CFFF7" w:rsidR="0096704A" w:rsidRPr="0096704A" w:rsidRDefault="0096704A" w:rsidP="00EE5E3B">
      <w:pPr>
        <w:rPr>
          <w:lang w:val="en-GB"/>
        </w:rPr>
      </w:pPr>
      <w:r w:rsidRPr="0096704A">
        <w:rPr>
          <w:lang w:val="en-GB"/>
        </w:rPr>
        <w:t xml:space="preserve">The overall exposure of insulin degludec was equivalent following administration of </w:t>
      </w:r>
      <w:r w:rsidR="00E3589B">
        <w:rPr>
          <w:lang w:val="en-GB"/>
        </w:rPr>
        <w:t>Xultophy</w:t>
      </w:r>
      <w:r w:rsidRPr="0096704A">
        <w:rPr>
          <w:lang w:val="en-GB"/>
        </w:rPr>
        <w:t xml:space="preserve"> versus insulin degludec alone while the C</w:t>
      </w:r>
      <w:r w:rsidRPr="0096704A">
        <w:rPr>
          <w:vertAlign w:val="subscript"/>
          <w:lang w:val="en-GB"/>
        </w:rPr>
        <w:t>max</w:t>
      </w:r>
      <w:r w:rsidRPr="0096704A">
        <w:rPr>
          <w:lang w:val="en-GB"/>
        </w:rPr>
        <w:t xml:space="preserve"> was higher by 12%. The overall exposure of liraglutide was equivalent following administration of </w:t>
      </w:r>
      <w:r w:rsidR="00E3589B">
        <w:rPr>
          <w:lang w:val="en-GB"/>
        </w:rPr>
        <w:t>Xultophy</w:t>
      </w:r>
      <w:r w:rsidRPr="0096704A">
        <w:rPr>
          <w:lang w:val="en-GB"/>
        </w:rPr>
        <w:t xml:space="preserve"> versus liraglutide alone while C</w:t>
      </w:r>
      <w:r w:rsidRPr="0096704A">
        <w:rPr>
          <w:vertAlign w:val="subscript"/>
          <w:lang w:val="en-GB"/>
        </w:rPr>
        <w:t>max</w:t>
      </w:r>
      <w:r w:rsidRPr="0096704A">
        <w:rPr>
          <w:lang w:val="en-GB"/>
        </w:rPr>
        <w:t xml:space="preserve"> was lower by 23%. The differences are considered of no clinical relevance since </w:t>
      </w:r>
      <w:r w:rsidR="00E3589B">
        <w:rPr>
          <w:lang w:val="en-GB"/>
        </w:rPr>
        <w:t>Xultophy</w:t>
      </w:r>
      <w:r w:rsidRPr="0096704A">
        <w:rPr>
          <w:lang w:val="en-GB"/>
        </w:rPr>
        <w:t xml:space="preserve"> is initiated and titrated according to the individual patient’s blood glucose targets. </w:t>
      </w:r>
    </w:p>
    <w:p w14:paraId="5C39FD0C" w14:textId="42046E83" w:rsidR="0096704A" w:rsidRPr="0096704A" w:rsidRDefault="0096704A" w:rsidP="00EE5E3B">
      <w:pPr>
        <w:rPr>
          <w:lang w:val="en-US"/>
        </w:rPr>
      </w:pPr>
      <w:r w:rsidRPr="0096704A">
        <w:rPr>
          <w:lang w:val="en-GB"/>
        </w:rPr>
        <w:t xml:space="preserve">Insulin degludec and liraglutide exposure increased proportionally with the </w:t>
      </w:r>
      <w:r w:rsidR="00E3589B">
        <w:rPr>
          <w:lang w:val="en-GB"/>
        </w:rPr>
        <w:t>Xultophy</w:t>
      </w:r>
      <w:r w:rsidRPr="0096704A">
        <w:rPr>
          <w:lang w:val="en-GB"/>
        </w:rPr>
        <w:t xml:space="preserve"> dose within the full dose range based on a population pharmacokinetic analysis. </w:t>
      </w:r>
    </w:p>
    <w:p w14:paraId="04B34747" w14:textId="3F1071E1" w:rsidR="0077211B" w:rsidRPr="00FC4CA6" w:rsidRDefault="0096704A" w:rsidP="00EE5E3B">
      <w:r w:rsidRPr="0096704A">
        <w:rPr>
          <w:lang w:val="da-DK"/>
        </w:rPr>
        <w:t xml:space="preserve">The pharmacokinetic profile of </w:t>
      </w:r>
      <w:r w:rsidR="00E3589B">
        <w:rPr>
          <w:lang w:val="da-DK"/>
        </w:rPr>
        <w:t>Xultophy</w:t>
      </w:r>
      <w:r w:rsidRPr="0096704A">
        <w:rPr>
          <w:lang w:val="da-DK"/>
        </w:rPr>
        <w:t xml:space="preserve"> is consistent with once daily-dosing and s</w:t>
      </w:r>
      <w:r w:rsidRPr="0096704A">
        <w:rPr>
          <w:lang w:val="en-US"/>
        </w:rPr>
        <w:t>teady state concentration of insulin degludec and liraglutide is reached after 2–3 days of daily administration.</w:t>
      </w:r>
    </w:p>
    <w:p w14:paraId="6CC22F4E" w14:textId="280ADFCE" w:rsidR="00C44B67" w:rsidRPr="00FC4CA6" w:rsidRDefault="00C44B67" w:rsidP="00EE5E3B">
      <w:pPr>
        <w:pStyle w:val="Heading3"/>
      </w:pPr>
      <w:r w:rsidRPr="00E208C5">
        <w:t>Distribution</w:t>
      </w:r>
    </w:p>
    <w:p w14:paraId="709DAC3C" w14:textId="239205D5" w:rsidR="00C44B67" w:rsidRPr="00E208C5" w:rsidRDefault="0096704A" w:rsidP="00EE5E3B">
      <w:r w:rsidRPr="0096704A">
        <w:rPr>
          <w:lang w:val="da-DK"/>
        </w:rPr>
        <w:t>Insulin degludec and liraglutide are extensively bound to plasma protein (&gt;99% and &gt;98%, respectively).</w:t>
      </w:r>
    </w:p>
    <w:p w14:paraId="6BE55F06" w14:textId="5A344D95" w:rsidR="00C44B67" w:rsidRPr="00FC4CA6" w:rsidRDefault="0096704A" w:rsidP="00EE5E3B">
      <w:pPr>
        <w:pStyle w:val="Heading3"/>
      </w:pPr>
      <w:r>
        <w:rPr>
          <w:lang w:val="en-GB"/>
        </w:rPr>
        <w:t>Metabolism</w:t>
      </w:r>
    </w:p>
    <w:p w14:paraId="39983D13" w14:textId="77777777" w:rsidR="0096704A" w:rsidRPr="00050CD2" w:rsidRDefault="0096704A" w:rsidP="00EE5E3B">
      <w:pPr>
        <w:pStyle w:val="Heading4"/>
        <w:spacing w:before="0" w:line="240" w:lineRule="auto"/>
        <w:rPr>
          <w:i/>
          <w:lang w:val="en-GB"/>
        </w:rPr>
      </w:pPr>
      <w:r w:rsidRPr="00050CD2">
        <w:rPr>
          <w:i/>
          <w:lang w:val="en-GB"/>
        </w:rPr>
        <w:t xml:space="preserve">Insulin degludec  </w:t>
      </w:r>
    </w:p>
    <w:p w14:paraId="3CA568FC" w14:textId="7DEE45F8" w:rsidR="0096704A" w:rsidRPr="0096704A" w:rsidRDefault="0096704A" w:rsidP="00EE5E3B">
      <w:pPr>
        <w:rPr>
          <w:lang w:val="en-GB"/>
        </w:rPr>
      </w:pPr>
      <w:r w:rsidRPr="0096704A">
        <w:rPr>
          <w:lang w:val="da-DK"/>
        </w:rPr>
        <w:t>Degradation of insulin degludec is similar to that of human insulin</w:t>
      </w:r>
      <w:r w:rsidRPr="0096704A">
        <w:rPr>
          <w:lang w:val="en-GB"/>
        </w:rPr>
        <w:t>.</w:t>
      </w:r>
    </w:p>
    <w:p w14:paraId="30B94E76" w14:textId="77777777" w:rsidR="0096704A" w:rsidRPr="00050CD2" w:rsidRDefault="0096704A" w:rsidP="00EE5E3B">
      <w:pPr>
        <w:pStyle w:val="Heading4"/>
        <w:rPr>
          <w:i/>
          <w:lang w:val="en-GB"/>
        </w:rPr>
      </w:pPr>
      <w:r w:rsidRPr="00050CD2">
        <w:rPr>
          <w:i/>
          <w:lang w:val="en-GB"/>
        </w:rPr>
        <w:t>Liraglutide</w:t>
      </w:r>
    </w:p>
    <w:p w14:paraId="22E7325D" w14:textId="64ACA5CC" w:rsidR="0096704A" w:rsidRPr="0096704A" w:rsidRDefault="0096704A" w:rsidP="00EE5E3B">
      <w:pPr>
        <w:rPr>
          <w:bCs/>
          <w:iCs/>
          <w:lang w:val="en-US"/>
        </w:rPr>
      </w:pPr>
      <w:r w:rsidRPr="0096704A">
        <w:rPr>
          <w:bCs/>
          <w:iCs/>
          <w:lang w:val="en-US"/>
        </w:rPr>
        <w:t>During the 24 hours following administration of a single [</w:t>
      </w:r>
      <w:r w:rsidRPr="0096704A">
        <w:rPr>
          <w:bCs/>
          <w:iCs/>
          <w:vertAlign w:val="superscript"/>
          <w:lang w:val="en-US"/>
        </w:rPr>
        <w:t>3</w:t>
      </w:r>
      <w:r w:rsidRPr="0096704A">
        <w:rPr>
          <w:bCs/>
          <w:iCs/>
          <w:lang w:val="en-US"/>
        </w:rPr>
        <w:t>H]-liraglutide dose to healthy subjects, the major component in plasma was intact liraglutide. Two minor plasma metabolites were detected (</w:t>
      </w:r>
      <w:r w:rsidRPr="0096704A">
        <w:rPr>
          <w:bCs/>
          <w:iCs/>
          <w:lang w:val="da-DK"/>
        </w:rPr>
        <w:sym w:font="Symbol" w:char="F0A3"/>
      </w:r>
      <w:r w:rsidRPr="0096704A">
        <w:rPr>
          <w:bCs/>
          <w:iCs/>
          <w:lang w:val="en-US"/>
        </w:rPr>
        <w:t xml:space="preserve"> 9% and </w:t>
      </w:r>
      <w:r w:rsidRPr="0096704A">
        <w:rPr>
          <w:bCs/>
          <w:iCs/>
          <w:lang w:val="da-DK"/>
        </w:rPr>
        <w:sym w:font="Symbol" w:char="F0A3"/>
      </w:r>
      <w:r w:rsidRPr="0096704A">
        <w:rPr>
          <w:bCs/>
          <w:iCs/>
          <w:lang w:val="en-US"/>
        </w:rPr>
        <w:t xml:space="preserve"> 5% of total plasma radioactivity exposure). Liraglutide is endogenously metabolised in a similar manner to large proteins without a specific organ as major route of elimination.</w:t>
      </w:r>
    </w:p>
    <w:p w14:paraId="6B114E2E" w14:textId="4E617B4B" w:rsidR="00C44B67" w:rsidRPr="00E208C5" w:rsidRDefault="00CC4770" w:rsidP="00EE5E3B">
      <w:pPr>
        <w:pStyle w:val="Heading3"/>
      </w:pPr>
      <w:r>
        <w:t>Excretion</w:t>
      </w:r>
    </w:p>
    <w:p w14:paraId="6A26C61A" w14:textId="2391440B" w:rsidR="0077211B" w:rsidRPr="00FC4CA6" w:rsidRDefault="00CC4770" w:rsidP="00EE5E3B">
      <w:r w:rsidRPr="00CC4770">
        <w:rPr>
          <w:lang w:val="da-DK"/>
        </w:rPr>
        <w:t>The half-life of insulin degludec is approximately 25</w:t>
      </w:r>
      <w:r>
        <w:rPr>
          <w:lang w:val="da-DK"/>
        </w:rPr>
        <w:t xml:space="preserve"> </w:t>
      </w:r>
      <w:r w:rsidRPr="00CC4770">
        <w:rPr>
          <w:lang w:val="da-DK"/>
        </w:rPr>
        <w:t>hours and the half-life of liraglutide is approximately 13</w:t>
      </w:r>
      <w:r>
        <w:rPr>
          <w:lang w:val="da-DK"/>
        </w:rPr>
        <w:t xml:space="preserve"> </w:t>
      </w:r>
      <w:r w:rsidRPr="00CC4770">
        <w:rPr>
          <w:lang w:val="da-DK"/>
        </w:rPr>
        <w:t>hours.</w:t>
      </w:r>
    </w:p>
    <w:p w14:paraId="6C8AB7FF" w14:textId="7D3F750E" w:rsidR="006B7F99" w:rsidRPr="00FC4CA6" w:rsidRDefault="006B7F99" w:rsidP="00EE5E3B">
      <w:pPr>
        <w:pStyle w:val="Heading3"/>
      </w:pPr>
      <w:r w:rsidRPr="00E208C5">
        <w:t>Special Populations</w:t>
      </w:r>
    </w:p>
    <w:p w14:paraId="5628DE92" w14:textId="77777777" w:rsidR="00E3589B" w:rsidRPr="00E3589B" w:rsidRDefault="00E3589B" w:rsidP="00EE5E3B">
      <w:pPr>
        <w:keepNext/>
        <w:spacing w:after="0" w:line="240" w:lineRule="auto"/>
        <w:rPr>
          <w:i/>
          <w:u w:val="single"/>
          <w:lang w:val="en-GB"/>
        </w:rPr>
      </w:pPr>
      <w:r w:rsidRPr="00E3589B">
        <w:rPr>
          <w:i/>
          <w:u w:val="single"/>
          <w:lang w:val="en-GB"/>
        </w:rPr>
        <w:t>Paediatric population</w:t>
      </w:r>
    </w:p>
    <w:p w14:paraId="61FB8522" w14:textId="7A61CA85" w:rsidR="00E3589B" w:rsidRPr="00E3589B" w:rsidRDefault="00E3589B" w:rsidP="00EE5E3B">
      <w:pPr>
        <w:keepNext/>
        <w:spacing w:line="240" w:lineRule="auto"/>
        <w:rPr>
          <w:iCs/>
          <w:lang w:val="da-DK"/>
        </w:rPr>
      </w:pPr>
      <w:r w:rsidRPr="00E3589B">
        <w:rPr>
          <w:iCs/>
          <w:lang w:val="da-DK"/>
        </w:rPr>
        <w:t xml:space="preserve">No studies have been performed with </w:t>
      </w:r>
      <w:r>
        <w:rPr>
          <w:iCs/>
          <w:lang w:val="da-DK"/>
        </w:rPr>
        <w:t>Xultophy</w:t>
      </w:r>
      <w:r w:rsidRPr="00E3589B">
        <w:rPr>
          <w:iCs/>
          <w:lang w:val="da-DK"/>
        </w:rPr>
        <w:t xml:space="preserve"> in children and adolescents below 18</w:t>
      </w:r>
      <w:r>
        <w:rPr>
          <w:iCs/>
          <w:lang w:val="da-DK"/>
        </w:rPr>
        <w:t xml:space="preserve"> </w:t>
      </w:r>
      <w:r w:rsidRPr="00E3589B">
        <w:rPr>
          <w:iCs/>
          <w:lang w:val="da-DK"/>
        </w:rPr>
        <w:t xml:space="preserve">years of age.  </w:t>
      </w:r>
    </w:p>
    <w:p w14:paraId="459C1ADB" w14:textId="68F033AE" w:rsidR="00CC4770" w:rsidRPr="00CC4770" w:rsidRDefault="00CC4770" w:rsidP="00EE5E3B">
      <w:pPr>
        <w:keepNext/>
        <w:spacing w:after="0" w:line="240" w:lineRule="auto"/>
        <w:rPr>
          <w:i/>
          <w:u w:val="single"/>
          <w:lang w:val="en-GB"/>
        </w:rPr>
      </w:pPr>
      <w:r w:rsidRPr="00CC4770">
        <w:rPr>
          <w:i/>
          <w:u w:val="single"/>
          <w:lang w:val="en-GB"/>
        </w:rPr>
        <w:t>Elderly patients</w:t>
      </w:r>
    </w:p>
    <w:p w14:paraId="10BF190E" w14:textId="16EC1797" w:rsidR="00CC4770" w:rsidRPr="00CC4770" w:rsidRDefault="00CC4770" w:rsidP="00EE5E3B">
      <w:pPr>
        <w:rPr>
          <w:lang w:val="en-GB"/>
        </w:rPr>
      </w:pPr>
      <w:r w:rsidRPr="00CC4770">
        <w:rPr>
          <w:lang w:val="en-GB"/>
        </w:rPr>
        <w:t xml:space="preserve">Age had no clinically relevant effect on the pharmacokinetics of </w:t>
      </w:r>
      <w:r w:rsidR="00E3589B">
        <w:rPr>
          <w:lang w:val="en-GB"/>
        </w:rPr>
        <w:t>Xultophy</w:t>
      </w:r>
      <w:r w:rsidRPr="00CC4770">
        <w:rPr>
          <w:lang w:val="en-GB"/>
        </w:rPr>
        <w:t xml:space="preserve"> based on results from a population pharmacokinetic analysis including adult patients up to 83</w:t>
      </w:r>
      <w:r>
        <w:rPr>
          <w:lang w:val="en-GB"/>
        </w:rPr>
        <w:t xml:space="preserve"> </w:t>
      </w:r>
      <w:r w:rsidRPr="00CC4770">
        <w:rPr>
          <w:lang w:val="en-GB"/>
        </w:rPr>
        <w:t xml:space="preserve">years treated with </w:t>
      </w:r>
      <w:r w:rsidR="00E3589B">
        <w:rPr>
          <w:lang w:val="en-GB"/>
        </w:rPr>
        <w:t>Xultophy</w:t>
      </w:r>
      <w:r w:rsidRPr="00CC4770">
        <w:rPr>
          <w:lang w:val="en-GB"/>
        </w:rPr>
        <w:t>.</w:t>
      </w:r>
    </w:p>
    <w:p w14:paraId="0E30EB3B" w14:textId="77777777" w:rsidR="00CC4770" w:rsidRPr="00CC4770" w:rsidRDefault="00CC4770" w:rsidP="00EE5E3B">
      <w:pPr>
        <w:keepNext/>
        <w:spacing w:after="0" w:line="240" w:lineRule="auto"/>
        <w:rPr>
          <w:i/>
          <w:u w:val="single"/>
          <w:lang w:val="en-GB"/>
        </w:rPr>
      </w:pPr>
      <w:r w:rsidRPr="00CC4770">
        <w:rPr>
          <w:i/>
          <w:u w:val="single"/>
          <w:lang w:val="en-GB"/>
        </w:rPr>
        <w:t>Gender</w:t>
      </w:r>
    </w:p>
    <w:p w14:paraId="05BCF24E" w14:textId="7A51BB2B" w:rsidR="00CC4770" w:rsidRPr="00CC4770" w:rsidRDefault="00CC4770" w:rsidP="00EE5E3B">
      <w:pPr>
        <w:rPr>
          <w:lang w:val="en-GB"/>
        </w:rPr>
      </w:pPr>
      <w:r w:rsidRPr="00CC4770">
        <w:rPr>
          <w:lang w:val="en-GB"/>
        </w:rPr>
        <w:t xml:space="preserve">Gender had no clinically relevant effect on the pharmacokinetics of </w:t>
      </w:r>
      <w:r w:rsidR="00E3589B">
        <w:rPr>
          <w:lang w:val="en-GB"/>
        </w:rPr>
        <w:t>Xultophy</w:t>
      </w:r>
      <w:r w:rsidRPr="00CC4770">
        <w:rPr>
          <w:lang w:val="en-GB"/>
        </w:rPr>
        <w:t xml:space="preserve"> based on results from a population pharmacokinetic analysis.</w:t>
      </w:r>
    </w:p>
    <w:p w14:paraId="3CA852D5" w14:textId="77777777" w:rsidR="00CC4770" w:rsidRPr="00CC4770" w:rsidRDefault="00CC4770" w:rsidP="00EE5E3B">
      <w:pPr>
        <w:keepNext/>
        <w:spacing w:after="0" w:line="240" w:lineRule="auto"/>
        <w:rPr>
          <w:i/>
          <w:u w:val="single"/>
          <w:lang w:val="en-GB"/>
        </w:rPr>
      </w:pPr>
      <w:r w:rsidRPr="00CC4770">
        <w:rPr>
          <w:i/>
          <w:u w:val="single"/>
          <w:lang w:val="en-GB"/>
        </w:rPr>
        <w:t xml:space="preserve">Ethnic origin </w:t>
      </w:r>
    </w:p>
    <w:p w14:paraId="207E8D92" w14:textId="2C864D1E" w:rsidR="00CC4770" w:rsidRPr="00CC4770" w:rsidRDefault="00CC4770" w:rsidP="00EE5E3B">
      <w:pPr>
        <w:rPr>
          <w:lang w:val="en-GB"/>
        </w:rPr>
      </w:pPr>
      <w:r w:rsidRPr="00CC4770">
        <w:rPr>
          <w:lang w:val="en-GB"/>
        </w:rPr>
        <w:t xml:space="preserve">Ethnic origin had no clinically relevant effect on the pharmacokinetics of </w:t>
      </w:r>
      <w:r w:rsidR="00E3589B">
        <w:rPr>
          <w:lang w:val="en-GB"/>
        </w:rPr>
        <w:t>Xultophy</w:t>
      </w:r>
      <w:r w:rsidRPr="00CC4770">
        <w:rPr>
          <w:lang w:val="en-GB"/>
        </w:rPr>
        <w:t xml:space="preserve"> based on results from a population pharmacokinetic analysis including patients with different ethnic origins.</w:t>
      </w:r>
    </w:p>
    <w:p w14:paraId="3209EBDD" w14:textId="37495256" w:rsidR="00CC4770" w:rsidRPr="00CC4770" w:rsidRDefault="00CC4770" w:rsidP="00EE5E3B">
      <w:pPr>
        <w:spacing w:after="0" w:line="240" w:lineRule="auto"/>
        <w:rPr>
          <w:i/>
          <w:u w:val="single"/>
          <w:lang w:val="en-GB"/>
        </w:rPr>
      </w:pPr>
      <w:r w:rsidRPr="00CC4770">
        <w:rPr>
          <w:i/>
          <w:u w:val="single"/>
          <w:lang w:val="en-GB"/>
        </w:rPr>
        <w:t>Renal impairment</w:t>
      </w:r>
    </w:p>
    <w:p w14:paraId="41AA3E40" w14:textId="77777777" w:rsidR="00CC4770" w:rsidRPr="00050CD2" w:rsidRDefault="00CC4770" w:rsidP="00EE5E3B">
      <w:pPr>
        <w:spacing w:after="0" w:line="240" w:lineRule="auto"/>
        <w:rPr>
          <w:i/>
          <w:lang w:val="en-GB"/>
        </w:rPr>
      </w:pPr>
      <w:r w:rsidRPr="00050CD2">
        <w:rPr>
          <w:i/>
          <w:lang w:val="en-GB"/>
        </w:rPr>
        <w:t>Insulin degludec</w:t>
      </w:r>
    </w:p>
    <w:p w14:paraId="3B22E33C" w14:textId="4F987462" w:rsidR="00CC4770" w:rsidRPr="00CC4770" w:rsidRDefault="00CC4770" w:rsidP="00EE5E3B">
      <w:pPr>
        <w:rPr>
          <w:lang w:val="en-GB"/>
        </w:rPr>
      </w:pPr>
      <w:r w:rsidRPr="00CC4770">
        <w:rPr>
          <w:lang w:val="en-GB"/>
        </w:rPr>
        <w:t xml:space="preserve">There </w:t>
      </w:r>
      <w:r w:rsidR="00830828">
        <w:rPr>
          <w:lang w:val="en-GB"/>
        </w:rPr>
        <w:t xml:space="preserve">are </w:t>
      </w:r>
      <w:r w:rsidRPr="00CC4770">
        <w:rPr>
          <w:lang w:val="en-GB"/>
        </w:rPr>
        <w:t>no difference</w:t>
      </w:r>
      <w:r w:rsidR="00830828">
        <w:rPr>
          <w:lang w:val="en-GB"/>
        </w:rPr>
        <w:t>s</w:t>
      </w:r>
      <w:r w:rsidRPr="00CC4770">
        <w:rPr>
          <w:lang w:val="en-GB"/>
        </w:rPr>
        <w:t xml:space="preserve"> in the pharmacokinetics of insulin degludec between healthy subjects and patients with renal impairment</w:t>
      </w:r>
      <w:r w:rsidR="00830828">
        <w:rPr>
          <w:lang w:val="en-GB"/>
        </w:rPr>
        <w:t xml:space="preserve"> </w:t>
      </w:r>
      <w:r w:rsidR="00830828" w:rsidRPr="00830828">
        <w:t xml:space="preserve">following a single dose. </w:t>
      </w:r>
    </w:p>
    <w:p w14:paraId="4474414C" w14:textId="77777777" w:rsidR="00CC4770" w:rsidRPr="00050CD2" w:rsidRDefault="00CC4770" w:rsidP="00EE5E3B">
      <w:pPr>
        <w:spacing w:after="0" w:line="240" w:lineRule="auto"/>
        <w:rPr>
          <w:i/>
          <w:lang w:val="en-GB"/>
        </w:rPr>
      </w:pPr>
      <w:r w:rsidRPr="00050CD2">
        <w:rPr>
          <w:i/>
          <w:lang w:val="en-GB"/>
        </w:rPr>
        <w:t>Liraglutide</w:t>
      </w:r>
    </w:p>
    <w:p w14:paraId="3AF9EBE8" w14:textId="5750E2FE" w:rsidR="00CC4770" w:rsidRPr="00CC4770" w:rsidRDefault="00830828" w:rsidP="00EE5E3B">
      <w:pPr>
        <w:rPr>
          <w:lang w:val="en-GB"/>
        </w:rPr>
      </w:pPr>
      <w:r w:rsidRPr="00830828">
        <w:t>Liraglutide exposure was mildly reduced in subjects with renal impairment compared to individuals with normal renal function in a single-dose trial. Liraglutide exposure was lowered by 33%, 14%, 27% and 26%, respectively, in subjects with mild (creatinine clearance, CrCL 50-80</w:t>
      </w:r>
      <w:r>
        <w:t xml:space="preserve"> </w:t>
      </w:r>
      <w:r w:rsidRPr="00830828">
        <w:t>mL/min), moderate (CrCL 30-50</w:t>
      </w:r>
      <w:r>
        <w:t xml:space="preserve"> </w:t>
      </w:r>
      <w:r w:rsidRPr="00830828">
        <w:t>mL/min), and severe (CrCL &lt;30</w:t>
      </w:r>
      <w:r>
        <w:t xml:space="preserve"> </w:t>
      </w:r>
      <w:r w:rsidRPr="00830828">
        <w:t>mL/min) renal impairment and in end</w:t>
      </w:r>
      <w:r w:rsidRPr="00830828">
        <w:noBreakHyphen/>
        <w:t>stage renal disease requiring dialysis.</w:t>
      </w:r>
    </w:p>
    <w:p w14:paraId="20DC0152" w14:textId="12E8904D" w:rsidR="00CC4770" w:rsidRPr="00CC4770" w:rsidRDefault="00CC4770" w:rsidP="00EE5E3B">
      <w:pPr>
        <w:keepNext/>
        <w:spacing w:after="0" w:line="240" w:lineRule="auto"/>
        <w:rPr>
          <w:i/>
          <w:u w:val="single"/>
          <w:lang w:val="en-GB"/>
        </w:rPr>
      </w:pPr>
      <w:r w:rsidRPr="00CC4770">
        <w:rPr>
          <w:i/>
          <w:u w:val="single"/>
          <w:lang w:val="en-GB"/>
        </w:rPr>
        <w:t>Hepatic impairment</w:t>
      </w:r>
    </w:p>
    <w:p w14:paraId="332B58B1" w14:textId="77777777" w:rsidR="00CC4770" w:rsidRPr="00050CD2" w:rsidRDefault="00CC4770" w:rsidP="00EE5E3B">
      <w:pPr>
        <w:spacing w:after="0" w:line="240" w:lineRule="auto"/>
        <w:rPr>
          <w:i/>
          <w:lang w:val="en-GB"/>
        </w:rPr>
      </w:pPr>
      <w:r w:rsidRPr="00050CD2">
        <w:rPr>
          <w:i/>
          <w:lang w:val="en-GB"/>
        </w:rPr>
        <w:t>Insulin degludec</w:t>
      </w:r>
    </w:p>
    <w:p w14:paraId="20F65718" w14:textId="552100F7" w:rsidR="00CC4770" w:rsidRPr="00CC4770" w:rsidRDefault="00CC4770" w:rsidP="00EE5E3B">
      <w:pPr>
        <w:rPr>
          <w:lang w:val="en-GB"/>
        </w:rPr>
      </w:pPr>
      <w:r w:rsidRPr="00CC4770">
        <w:rPr>
          <w:lang w:val="en-GB"/>
        </w:rPr>
        <w:t xml:space="preserve">There </w:t>
      </w:r>
      <w:r w:rsidR="00830828">
        <w:rPr>
          <w:lang w:val="en-GB"/>
        </w:rPr>
        <w:t>are</w:t>
      </w:r>
      <w:r w:rsidRPr="00CC4770">
        <w:rPr>
          <w:lang w:val="en-GB"/>
        </w:rPr>
        <w:t xml:space="preserve"> no difference</w:t>
      </w:r>
      <w:r w:rsidR="00830828">
        <w:rPr>
          <w:lang w:val="en-GB"/>
        </w:rPr>
        <w:t>s</w:t>
      </w:r>
      <w:r w:rsidRPr="00CC4770">
        <w:rPr>
          <w:lang w:val="en-GB"/>
        </w:rPr>
        <w:t xml:space="preserve"> in the pharmacokinetics of insulin </w:t>
      </w:r>
      <w:r w:rsidRPr="00CC4770">
        <w:rPr>
          <w:iCs/>
          <w:lang w:val="en-GB"/>
        </w:rPr>
        <w:t xml:space="preserve">degludec </w:t>
      </w:r>
      <w:r w:rsidRPr="00CC4770">
        <w:rPr>
          <w:lang w:val="en-GB"/>
        </w:rPr>
        <w:t>between healthy subjects and patients with hepatic impairment</w:t>
      </w:r>
      <w:r w:rsidR="00830828">
        <w:rPr>
          <w:lang w:val="en-GB"/>
        </w:rPr>
        <w:t xml:space="preserve"> following a single dose</w:t>
      </w:r>
      <w:r w:rsidRPr="00CC4770">
        <w:rPr>
          <w:lang w:val="en-GB"/>
        </w:rPr>
        <w:t>.</w:t>
      </w:r>
    </w:p>
    <w:p w14:paraId="2577F090" w14:textId="62561242" w:rsidR="00CC4770" w:rsidRPr="00050CD2" w:rsidRDefault="00CC4770" w:rsidP="00EE5E3B">
      <w:pPr>
        <w:spacing w:after="0" w:line="240" w:lineRule="auto"/>
        <w:rPr>
          <w:i/>
          <w:lang w:val="en-GB"/>
        </w:rPr>
      </w:pPr>
      <w:r w:rsidRPr="00050CD2">
        <w:rPr>
          <w:i/>
          <w:lang w:val="en-GB"/>
        </w:rPr>
        <w:t>Liraglutide</w:t>
      </w:r>
    </w:p>
    <w:p w14:paraId="6F5CA950" w14:textId="1CAFDFC0" w:rsidR="009820D9" w:rsidRPr="00FC4CA6" w:rsidRDefault="00CC4770" w:rsidP="00EE5E3B">
      <w:r w:rsidRPr="00CC4770">
        <w:rPr>
          <w:lang w:val="da-DK"/>
        </w:rPr>
        <w:t xml:space="preserve">The pharmacokinetics of liraglutide was evaluated in </w:t>
      </w:r>
      <w:r w:rsidRPr="00CC4770">
        <w:rPr>
          <w:lang w:val="en-US"/>
        </w:rPr>
        <w:t>patients</w:t>
      </w:r>
      <w:r w:rsidRPr="00CC4770">
        <w:rPr>
          <w:lang w:val="da-DK"/>
        </w:rPr>
        <w:t xml:space="preserve"> with varying degree of hepatic impairment in a single-dose trial. </w:t>
      </w:r>
      <w:r w:rsidR="00520D3A" w:rsidRPr="00520D3A">
        <w:rPr>
          <w:lang w:val="en-GB"/>
        </w:rPr>
        <w:t>Liraglutide exposure was decreased by 23% and 13% in subjects with mild or moderate hepatic impairment respectively, compared to healthy subjects. Exposure was significantly lower (44%) in subjects with severe hepatic impairment (Child Pugh score</w:t>
      </w:r>
      <w:r w:rsidR="00520D3A">
        <w:rPr>
          <w:lang w:val="en-GB"/>
        </w:rPr>
        <w:t xml:space="preserve"> </w:t>
      </w:r>
      <w:r w:rsidR="00520D3A" w:rsidRPr="00520D3A">
        <w:rPr>
          <w:lang w:val="en-GB"/>
        </w:rPr>
        <w:t>&gt;9).</w:t>
      </w:r>
    </w:p>
    <w:p w14:paraId="50D86749" w14:textId="2337916C" w:rsidR="00C44B67" w:rsidRDefault="00F72421" w:rsidP="00EE5E3B">
      <w:pPr>
        <w:pStyle w:val="Heading3"/>
      </w:pPr>
      <w:r w:rsidRPr="00E208C5">
        <w:t>5.3</w:t>
      </w:r>
      <w:r w:rsidRPr="00E208C5">
        <w:tab/>
        <w:t>Preclinical Safety Data</w:t>
      </w:r>
    </w:p>
    <w:p w14:paraId="11755EAF" w14:textId="07A0FDEB" w:rsidR="00F72421" w:rsidRPr="002F7BCB" w:rsidRDefault="007F0760" w:rsidP="00EE5E3B">
      <w:pPr>
        <w:pStyle w:val="Heading3"/>
      </w:pPr>
      <w:r w:rsidRPr="002F7BCB">
        <w:t>Genotoxicity</w:t>
      </w:r>
    </w:p>
    <w:p w14:paraId="604EA7FB" w14:textId="33F67D6B" w:rsidR="007F0760" w:rsidRPr="007F0760" w:rsidRDefault="007F0760" w:rsidP="00EE5E3B">
      <w:pPr>
        <w:rPr>
          <w:lang w:val="en-GB"/>
        </w:rPr>
      </w:pPr>
      <w:r w:rsidRPr="007F0760">
        <w:t>Genotoxicity studies have not been carried out with insulin degludec.</w:t>
      </w:r>
      <w:r w:rsidR="00FF645F">
        <w:rPr>
          <w:i/>
          <w:iCs/>
          <w:u w:val="single"/>
          <w:lang w:val="en-GB"/>
        </w:rPr>
        <w:t xml:space="preserve"> </w:t>
      </w:r>
      <w:r w:rsidRPr="007F0760">
        <w:rPr>
          <w:lang w:val="en-US"/>
        </w:rPr>
        <w:t xml:space="preserve">Liraglutide was not mutagenic in the bacterial Ames assay, and not clastogenic in human lymphocytes </w:t>
      </w:r>
      <w:r w:rsidRPr="007F0760">
        <w:rPr>
          <w:i/>
          <w:lang w:val="en-US"/>
        </w:rPr>
        <w:t>in vitro</w:t>
      </w:r>
      <w:r w:rsidRPr="007F0760">
        <w:rPr>
          <w:lang w:val="en-US"/>
        </w:rPr>
        <w:t xml:space="preserve">, or in rat lymphocytes and bone marrow </w:t>
      </w:r>
      <w:r w:rsidRPr="007F0760">
        <w:rPr>
          <w:i/>
          <w:lang w:val="en-US"/>
        </w:rPr>
        <w:t>in vivo</w:t>
      </w:r>
      <w:r w:rsidRPr="007F0760">
        <w:rPr>
          <w:lang w:val="en-US"/>
        </w:rPr>
        <w:t>.</w:t>
      </w:r>
    </w:p>
    <w:p w14:paraId="19F28F50" w14:textId="4639CFF3" w:rsidR="00721292" w:rsidRPr="00D72E74" w:rsidRDefault="007F0760" w:rsidP="00EE5E3B">
      <w:pPr>
        <w:pStyle w:val="Heading3"/>
        <w:rPr>
          <w:lang w:val="en-GB"/>
        </w:rPr>
      </w:pPr>
      <w:r w:rsidRPr="00D72E74">
        <w:rPr>
          <w:lang w:val="en-GB"/>
        </w:rPr>
        <w:t>Carcinogenicity</w:t>
      </w:r>
    </w:p>
    <w:p w14:paraId="355070D3" w14:textId="77777777" w:rsidR="00FF645F" w:rsidRPr="00FF645F" w:rsidRDefault="00FF645F" w:rsidP="00EE5E3B">
      <w:pPr>
        <w:spacing w:after="0" w:line="240" w:lineRule="auto"/>
        <w:rPr>
          <w:lang w:val="en-GB"/>
        </w:rPr>
      </w:pPr>
      <w:r w:rsidRPr="00FF645F">
        <w:rPr>
          <w:lang w:val="en-GB"/>
        </w:rPr>
        <w:t>No animal carcinogenicity studies have been performed with insulin degludec and liraglutide in combination. Data for the individual agents are described below.</w:t>
      </w:r>
    </w:p>
    <w:p w14:paraId="631499C3" w14:textId="77777777" w:rsidR="00FF645F" w:rsidRDefault="00FF645F" w:rsidP="00EE5E3B">
      <w:pPr>
        <w:spacing w:after="0" w:line="240" w:lineRule="auto"/>
        <w:rPr>
          <w:i/>
          <w:iCs/>
          <w:u w:val="single"/>
          <w:lang w:val="en-GB"/>
        </w:rPr>
      </w:pPr>
    </w:p>
    <w:p w14:paraId="5007BE01" w14:textId="6A052977" w:rsidR="007F0760" w:rsidRPr="00D72E74" w:rsidRDefault="007F0760" w:rsidP="00EE5E3B">
      <w:pPr>
        <w:spacing w:after="0" w:line="240" w:lineRule="auto"/>
        <w:rPr>
          <w:i/>
          <w:iCs/>
          <w:u w:val="single"/>
          <w:lang w:val="en-GB"/>
        </w:rPr>
      </w:pPr>
      <w:r w:rsidRPr="00D72E74">
        <w:rPr>
          <w:i/>
          <w:iCs/>
          <w:u w:val="single"/>
          <w:lang w:val="en-GB"/>
        </w:rPr>
        <w:t>Insulin degludec</w:t>
      </w:r>
    </w:p>
    <w:p w14:paraId="54110288" w14:textId="7CA959E8" w:rsidR="007F0760" w:rsidRPr="007F0760" w:rsidRDefault="007F0760" w:rsidP="00EE5E3B">
      <w:pPr>
        <w:rPr>
          <w:lang w:val="en-GB"/>
        </w:rPr>
      </w:pPr>
      <w:r w:rsidRPr="007F0760">
        <w:t>Standard 2-year carcinogenicity studies in animals have not been performed to evaluate the carcinogenic potential of insulin degludec. In a 52-week study, rats received subcutaneous doses of insulin degludec up to 10 U/kg/day (resulting in 5 times the AUC in humans at a dose of 0.8 U/kg/day). No treatment-related increases in incidences of hyperplasia, benign or malignant tumo</w:t>
      </w:r>
      <w:r w:rsidR="00990454">
        <w:t>u</w:t>
      </w:r>
      <w:r w:rsidRPr="007F0760">
        <w:t xml:space="preserve">rs were recorded, and no treatment related changes in the female mammary gland cell proliferation were found using BrdU incorporation. </w:t>
      </w:r>
      <w:r w:rsidRPr="007F0760">
        <w:rPr>
          <w:i/>
        </w:rPr>
        <w:t xml:space="preserve">In vitro </w:t>
      </w:r>
      <w:r w:rsidRPr="007F0760">
        <w:t>studies showed the ratio of mitogenic relative to metabolic potency for insulin degludec is unchanged compared to human insulin</w:t>
      </w:r>
    </w:p>
    <w:p w14:paraId="2B9AF0E7" w14:textId="77777777" w:rsidR="007F0760" w:rsidRPr="00D72E74" w:rsidRDefault="007F0760" w:rsidP="00EE5E3B">
      <w:pPr>
        <w:spacing w:after="0" w:line="240" w:lineRule="auto"/>
        <w:rPr>
          <w:i/>
          <w:iCs/>
          <w:u w:val="single"/>
          <w:lang w:val="en-GB"/>
        </w:rPr>
      </w:pPr>
      <w:r w:rsidRPr="00D72E74">
        <w:rPr>
          <w:i/>
          <w:iCs/>
          <w:u w:val="single"/>
          <w:lang w:val="en-GB"/>
        </w:rPr>
        <w:t>Liraglutide</w:t>
      </w:r>
    </w:p>
    <w:p w14:paraId="2DE86AB4" w14:textId="50A2D1EB" w:rsidR="00721292" w:rsidRPr="007F0760" w:rsidRDefault="007F0760" w:rsidP="00EE5E3B">
      <w:pPr>
        <w:rPr>
          <w:lang w:val="en-GB"/>
        </w:rPr>
      </w:pPr>
      <w:r w:rsidRPr="007F0760">
        <w:rPr>
          <w:lang w:val="en-US"/>
        </w:rPr>
        <w:t xml:space="preserve">Liraglutide caused thyroid C-cell adenomas and carcinomas in two-year studies in mice and rats. C-cell neoplasia was observed in mice at subcutaneous doses ≥1 mg/kg/day (relative exposure based on plasma AUC, ≥7.7) and in rats at all doses tested (≥0.075 mg/kg/day subcutaneously; relative exposure, ≥0.5). </w:t>
      </w:r>
      <w:r w:rsidRPr="007F0760">
        <w:rPr>
          <w:iCs/>
        </w:rPr>
        <w:t xml:space="preserve">No tumours or other C-cell proliferative changes were seen in monkeys treated with liraglutide for 20 months (≤5 mg/kg/day subcutaneously; relative exposure, ≤64). The findings in mice and rats are mediated by a specific GLP-1 receptor-mediated mechanism to which rodents are particularly sensitive. The relevance for humans is likely to be low but cannot presently be completely excluded. </w:t>
      </w:r>
    </w:p>
    <w:p w14:paraId="69320916" w14:textId="77777777" w:rsidR="00F72421" w:rsidRPr="002F7BCB" w:rsidRDefault="00F72421" w:rsidP="00EE5E3B">
      <w:pPr>
        <w:pStyle w:val="Heading2"/>
      </w:pPr>
      <w:r w:rsidRPr="002F7BCB">
        <w:t>6.</w:t>
      </w:r>
      <w:r w:rsidRPr="002F7BCB">
        <w:tab/>
        <w:t>PHARMACEUTICAL PARTICULARS</w:t>
      </w:r>
    </w:p>
    <w:p w14:paraId="3F938D73" w14:textId="32EB843B" w:rsidR="00F72421" w:rsidRPr="007862AA" w:rsidRDefault="00F72421" w:rsidP="00EE5E3B">
      <w:pPr>
        <w:pStyle w:val="Heading3"/>
      </w:pPr>
      <w:r w:rsidRPr="007862AA">
        <w:t>6.1</w:t>
      </w:r>
      <w:r w:rsidRPr="007862AA">
        <w:tab/>
        <w:t>List of Excipients</w:t>
      </w:r>
    </w:p>
    <w:p w14:paraId="1AA6434E" w14:textId="2682F751" w:rsidR="00B21F96" w:rsidRPr="007862AA" w:rsidRDefault="00257DA6" w:rsidP="00EE5E3B">
      <w:pPr>
        <w:spacing w:after="0" w:line="240" w:lineRule="auto"/>
      </w:pPr>
      <w:r w:rsidRPr="007862AA">
        <w:t>Glycerol</w:t>
      </w:r>
    </w:p>
    <w:p w14:paraId="3CCC7770" w14:textId="77777777" w:rsidR="00B21F96" w:rsidRPr="007862AA" w:rsidRDefault="00B21F96" w:rsidP="00EE5E3B">
      <w:pPr>
        <w:spacing w:after="0" w:line="240" w:lineRule="auto"/>
      </w:pPr>
      <w:r w:rsidRPr="007862AA">
        <w:t>Phenol</w:t>
      </w:r>
    </w:p>
    <w:p w14:paraId="17E06CAA" w14:textId="3E7A2BCA" w:rsidR="00257DA6" w:rsidRPr="007862AA" w:rsidRDefault="00257DA6" w:rsidP="00EE5E3B">
      <w:pPr>
        <w:spacing w:after="0" w:line="240" w:lineRule="auto"/>
      </w:pPr>
      <w:r w:rsidRPr="007862AA">
        <w:t>Zinc acetate</w:t>
      </w:r>
    </w:p>
    <w:p w14:paraId="0B0EE639" w14:textId="392A6470" w:rsidR="00B21F96" w:rsidRPr="007862AA" w:rsidRDefault="00B21F96" w:rsidP="00EE5E3B">
      <w:pPr>
        <w:spacing w:after="0" w:line="240" w:lineRule="auto"/>
      </w:pPr>
      <w:r w:rsidRPr="007862AA">
        <w:t>Hydrochloric acid</w:t>
      </w:r>
      <w:r w:rsidR="00257DA6" w:rsidRPr="007862AA">
        <w:t xml:space="preserve"> (for pH adjustment)</w:t>
      </w:r>
    </w:p>
    <w:p w14:paraId="55A2C6B6" w14:textId="75A48429" w:rsidR="00B21F96" w:rsidRPr="007862AA" w:rsidRDefault="00B21F96" w:rsidP="00EE5E3B">
      <w:pPr>
        <w:spacing w:after="0" w:line="240" w:lineRule="auto"/>
      </w:pPr>
      <w:r w:rsidRPr="007862AA">
        <w:t>Sodium hydroxide</w:t>
      </w:r>
      <w:r w:rsidR="00257DA6" w:rsidRPr="007862AA">
        <w:t xml:space="preserve"> (for pH adjustment)</w:t>
      </w:r>
    </w:p>
    <w:p w14:paraId="60AE222F" w14:textId="77777777" w:rsidR="00F72421" w:rsidRPr="002F7BCB" w:rsidRDefault="00B21F96" w:rsidP="00EE5E3B">
      <w:r w:rsidRPr="007862AA">
        <w:t xml:space="preserve">Water for injections </w:t>
      </w:r>
    </w:p>
    <w:p w14:paraId="13625EC3" w14:textId="77777777" w:rsidR="00F72421" w:rsidRPr="002F7BCB" w:rsidRDefault="00F72421" w:rsidP="00EE5E3B">
      <w:pPr>
        <w:pStyle w:val="Heading3"/>
      </w:pPr>
      <w:r w:rsidRPr="002F7BCB">
        <w:t>6.2</w:t>
      </w:r>
      <w:r w:rsidRPr="002F7BCB">
        <w:tab/>
        <w:t>Incompatibilities</w:t>
      </w:r>
    </w:p>
    <w:p w14:paraId="3FDA11B7" w14:textId="608761AA" w:rsidR="00F72421" w:rsidRPr="002F7BCB" w:rsidRDefault="00200DF6" w:rsidP="00EE5E3B">
      <w:r w:rsidRPr="00200DF6">
        <w:rPr>
          <w:lang w:val="en-GB"/>
        </w:rPr>
        <w:t xml:space="preserve">Substances added to </w:t>
      </w:r>
      <w:r w:rsidR="00E3589B">
        <w:rPr>
          <w:lang w:val="en-GB"/>
        </w:rPr>
        <w:t>Xultophy</w:t>
      </w:r>
      <w:r w:rsidRPr="00200DF6">
        <w:rPr>
          <w:lang w:val="en-GB"/>
        </w:rPr>
        <w:t xml:space="preserve"> may cause degradation of the active substances.</w:t>
      </w:r>
      <w:r>
        <w:rPr>
          <w:lang w:val="en-GB"/>
        </w:rPr>
        <w:t xml:space="preserve"> </w:t>
      </w:r>
      <w:r w:rsidR="00E3589B">
        <w:rPr>
          <w:lang w:val="en-GB"/>
        </w:rPr>
        <w:t>Xultophy</w:t>
      </w:r>
      <w:r w:rsidRPr="00200DF6">
        <w:rPr>
          <w:lang w:val="en-GB"/>
        </w:rPr>
        <w:t xml:space="preserve"> must not be added to infusion fluids. </w:t>
      </w:r>
      <w:r w:rsidRPr="00200DF6">
        <w:rPr>
          <w:lang w:val="da-DK"/>
        </w:rPr>
        <w:t>This medicinal product must not be mixed with other medicinal products.</w:t>
      </w:r>
    </w:p>
    <w:p w14:paraId="2BE68022" w14:textId="103C94F1" w:rsidR="00F72421" w:rsidRPr="002F7BCB" w:rsidRDefault="00F72421" w:rsidP="00EE5E3B">
      <w:pPr>
        <w:pStyle w:val="Heading3"/>
      </w:pPr>
      <w:r w:rsidRPr="002F7BCB">
        <w:t>6.3</w:t>
      </w:r>
      <w:r w:rsidRPr="002F7BCB">
        <w:tab/>
        <w:t>Shelf Life</w:t>
      </w:r>
    </w:p>
    <w:p w14:paraId="44CE6C59" w14:textId="3C5CDF5D" w:rsidR="00F72421" w:rsidRPr="002F7BCB" w:rsidRDefault="00200DF6" w:rsidP="00EE5E3B">
      <w:r w:rsidRPr="002F7BCB">
        <w:t>In Australia, information on the shelf life can be found on the public summary of the Australian Register of Therapeutic Goods (ARTG). The expiry date can be found on the packaging.</w:t>
      </w:r>
    </w:p>
    <w:p w14:paraId="54551EE0" w14:textId="4739FAC6" w:rsidR="00F72421" w:rsidRPr="00FC4CA6" w:rsidRDefault="00F72421" w:rsidP="00EE5E3B">
      <w:pPr>
        <w:pStyle w:val="Heading3"/>
      </w:pPr>
      <w:r w:rsidRPr="002F7BCB">
        <w:t>6.4</w:t>
      </w:r>
      <w:r w:rsidRPr="002F7BCB">
        <w:tab/>
        <w:t>Special Precautions for Storage</w:t>
      </w:r>
    </w:p>
    <w:p w14:paraId="0A0746B7" w14:textId="032DC67D" w:rsidR="00200DF6" w:rsidRPr="00200DF6" w:rsidRDefault="00200DF6" w:rsidP="00EE5E3B">
      <w:pPr>
        <w:spacing w:after="0" w:line="240" w:lineRule="auto"/>
        <w:rPr>
          <w:i/>
          <w:u w:val="single"/>
          <w:lang w:val="en-GB"/>
        </w:rPr>
      </w:pPr>
      <w:r w:rsidRPr="00200DF6">
        <w:rPr>
          <w:i/>
          <w:u w:val="single"/>
          <w:lang w:val="en-GB"/>
        </w:rPr>
        <w:t>Before first opening</w:t>
      </w:r>
    </w:p>
    <w:p w14:paraId="54308A5C" w14:textId="77777777" w:rsidR="00200DF6" w:rsidRPr="00200DF6" w:rsidRDefault="00200DF6" w:rsidP="00EE5E3B">
      <w:pPr>
        <w:rPr>
          <w:iCs/>
          <w:lang w:val="en-GB"/>
        </w:rPr>
      </w:pPr>
      <w:r w:rsidRPr="00200DF6">
        <w:rPr>
          <w:iCs/>
          <w:lang w:val="en-GB"/>
        </w:rPr>
        <w:t>Store in a refrigerator (2°C – 8°C). Keep away from the freezing element. Do not freeze. Keep the cap on the pre-filled pen in order to protect from light.</w:t>
      </w:r>
    </w:p>
    <w:p w14:paraId="6538C7E2" w14:textId="13CC43BD" w:rsidR="00200DF6" w:rsidRPr="00200DF6" w:rsidRDefault="00200DF6" w:rsidP="00EE5E3B">
      <w:pPr>
        <w:spacing w:after="0" w:line="240" w:lineRule="auto"/>
        <w:rPr>
          <w:i/>
          <w:u w:val="single"/>
          <w:lang w:val="en-GB"/>
        </w:rPr>
      </w:pPr>
      <w:r w:rsidRPr="00200DF6">
        <w:rPr>
          <w:i/>
          <w:u w:val="single"/>
          <w:lang w:val="en-GB"/>
        </w:rPr>
        <w:t>After first opening</w:t>
      </w:r>
    </w:p>
    <w:p w14:paraId="4F76DE6E" w14:textId="07E54417" w:rsidR="001F781C" w:rsidRPr="00200DF6" w:rsidRDefault="00BF7EB3" w:rsidP="00EE5E3B">
      <w:pPr>
        <w:rPr>
          <w:iCs/>
          <w:lang w:val="en-GB"/>
        </w:rPr>
      </w:pPr>
      <w:r w:rsidRPr="00BF7EB3">
        <w:rPr>
          <w:iCs/>
          <w:lang w:val="en-GB"/>
        </w:rPr>
        <w:t xml:space="preserve">Store </w:t>
      </w:r>
      <w:r w:rsidR="001F781C">
        <w:rPr>
          <w:iCs/>
          <w:lang w:val="en-GB"/>
        </w:rPr>
        <w:t>below</w:t>
      </w:r>
      <w:r w:rsidRPr="00BF7EB3">
        <w:rPr>
          <w:iCs/>
          <w:lang w:val="en-GB"/>
        </w:rPr>
        <w:t xml:space="preserve"> 30°C or in a refrigerator (2°C – 8°C)</w:t>
      </w:r>
      <w:r w:rsidR="001F781C">
        <w:rPr>
          <w:iCs/>
          <w:lang w:val="en-GB"/>
        </w:rPr>
        <w:t xml:space="preserve"> for up to 21 days</w:t>
      </w:r>
      <w:r w:rsidRPr="00BF7EB3">
        <w:rPr>
          <w:iCs/>
          <w:lang w:val="en-GB"/>
        </w:rPr>
        <w:t>.</w:t>
      </w:r>
      <w:r w:rsidR="00200DF6" w:rsidRPr="00200DF6">
        <w:rPr>
          <w:iCs/>
          <w:lang w:val="en-GB"/>
        </w:rPr>
        <w:t xml:space="preserve"> Do not freeze. Keep the cap on the pre-filled pen in order to protect from light. </w:t>
      </w:r>
      <w:r w:rsidR="001F781C">
        <w:rPr>
          <w:iCs/>
          <w:lang w:val="en-GB"/>
        </w:rPr>
        <w:t>Protect from heat.</w:t>
      </w:r>
    </w:p>
    <w:p w14:paraId="4AB4593C" w14:textId="0552A26D" w:rsidR="00F72421" w:rsidRPr="002F7BCB" w:rsidRDefault="00F72421" w:rsidP="00EE5E3B">
      <w:pPr>
        <w:pStyle w:val="Heading3"/>
      </w:pPr>
      <w:r w:rsidRPr="00E208C5">
        <w:t>6.5</w:t>
      </w:r>
      <w:r w:rsidRPr="00E208C5">
        <w:tab/>
      </w:r>
      <w:r w:rsidRPr="002F7BCB">
        <w:t>Nature and Contents of Container</w:t>
      </w:r>
    </w:p>
    <w:p w14:paraId="12EAF60E" w14:textId="4EB8D135" w:rsidR="00F72421" w:rsidRPr="007862AA" w:rsidRDefault="006A2948" w:rsidP="00EE5E3B">
      <w:r w:rsidRPr="006A2948">
        <w:rPr>
          <w:lang w:val="en-GB"/>
        </w:rPr>
        <w:t>3</w:t>
      </w:r>
      <w:r>
        <w:rPr>
          <w:lang w:val="en-GB"/>
        </w:rPr>
        <w:t xml:space="preserve"> </w:t>
      </w:r>
      <w:r w:rsidRPr="006A2948">
        <w:rPr>
          <w:lang w:val="en-GB"/>
        </w:rPr>
        <w:t>mL solution in a cartridge (type 1 glass) with a plunger (halobutyl) and a stopper (halobutyl/polyisoprene) contained in a pre-filled multidose disposable pen made of polypropylene, polycarbonate and acrylonitrile butadiene styrene.</w:t>
      </w:r>
      <w:r>
        <w:rPr>
          <w:lang w:val="en-GB"/>
        </w:rPr>
        <w:t xml:space="preserve"> </w:t>
      </w:r>
      <w:r w:rsidRPr="006A2948">
        <w:rPr>
          <w:lang w:val="en-GB"/>
        </w:rPr>
        <w:t>Pack sizes of 1, 3 and 5</w:t>
      </w:r>
      <w:r>
        <w:rPr>
          <w:lang w:val="en-GB"/>
        </w:rPr>
        <w:t xml:space="preserve"> </w:t>
      </w:r>
      <w:r w:rsidRPr="006A2948">
        <w:rPr>
          <w:lang w:val="en-GB"/>
        </w:rPr>
        <w:t>pre-filled pens.</w:t>
      </w:r>
      <w:r>
        <w:rPr>
          <w:lang w:val="en-GB"/>
        </w:rPr>
        <w:t xml:space="preserve"> </w:t>
      </w:r>
      <w:r w:rsidRPr="006A2948">
        <w:rPr>
          <w:lang w:val="da-DK"/>
        </w:rPr>
        <w:t>Not all pack sizes may be marketed</w:t>
      </w:r>
      <w:r w:rsidRPr="006A2948">
        <w:rPr>
          <w:i/>
          <w:lang w:val="da-DK"/>
        </w:rPr>
        <w:t>.</w:t>
      </w:r>
    </w:p>
    <w:p w14:paraId="5AEE3D5E" w14:textId="77777777" w:rsidR="00F72421" w:rsidRPr="007862AA" w:rsidRDefault="00F72421" w:rsidP="00EE5E3B">
      <w:pPr>
        <w:pStyle w:val="Heading3"/>
      </w:pPr>
      <w:r w:rsidRPr="007862AA">
        <w:t>6.6</w:t>
      </w:r>
      <w:r w:rsidRPr="007862AA">
        <w:tab/>
        <w:t>Special Precautions for Disposal</w:t>
      </w:r>
    </w:p>
    <w:p w14:paraId="00B52787" w14:textId="09CBFC90" w:rsidR="00F72421" w:rsidRPr="006A2948" w:rsidRDefault="006A2948" w:rsidP="00EE5E3B">
      <w:pPr>
        <w:rPr>
          <w:lang w:val="da-DK"/>
        </w:rPr>
      </w:pPr>
      <w:r w:rsidRPr="006A2948">
        <w:rPr>
          <w:lang w:val="en-GB"/>
        </w:rPr>
        <w:t>In Australia, any unused medicine or waste material should be disposed of by taking it to your local pharmacy.</w:t>
      </w:r>
      <w:bookmarkStart w:id="55" w:name="_Toc239048992"/>
      <w:r w:rsidR="009E6985">
        <w:rPr>
          <w:lang w:val="en-GB"/>
        </w:rPr>
        <w:t xml:space="preserve"> </w:t>
      </w:r>
      <w:bookmarkEnd w:id="55"/>
      <w:r w:rsidR="00C5650A" w:rsidRPr="00C5650A">
        <w:rPr>
          <w:lang w:val="en-GB"/>
        </w:rPr>
        <w:t>The patient should discard the needle after each injection.</w:t>
      </w:r>
    </w:p>
    <w:p w14:paraId="40BA1A7E" w14:textId="77777777" w:rsidR="00F72421" w:rsidRPr="00D72E74" w:rsidRDefault="00F72421" w:rsidP="00EE5E3B">
      <w:pPr>
        <w:pStyle w:val="Heading3"/>
        <w:rPr>
          <w:lang w:val="da-DK"/>
        </w:rPr>
      </w:pPr>
      <w:r w:rsidRPr="00D72E74">
        <w:rPr>
          <w:lang w:val="da-DK"/>
        </w:rPr>
        <w:t>6.7</w:t>
      </w:r>
      <w:r w:rsidRPr="00D72E74">
        <w:rPr>
          <w:lang w:val="da-DK"/>
        </w:rPr>
        <w:tab/>
        <w:t>Physi</w:t>
      </w:r>
      <w:r w:rsidR="00E97D02" w:rsidRPr="00D72E74">
        <w:rPr>
          <w:lang w:val="da-DK"/>
        </w:rPr>
        <w:t>c</w:t>
      </w:r>
      <w:r w:rsidRPr="00D72E74">
        <w:rPr>
          <w:lang w:val="da-DK"/>
        </w:rPr>
        <w:t>ochemical Properties</w:t>
      </w:r>
    </w:p>
    <w:p w14:paraId="3E97334F" w14:textId="20BAD2AC" w:rsidR="00E97D02" w:rsidRPr="00D72E74" w:rsidRDefault="00E97D02" w:rsidP="00EE5E3B">
      <w:pPr>
        <w:pStyle w:val="Heading3"/>
        <w:rPr>
          <w:lang w:val="da-DK"/>
        </w:rPr>
      </w:pPr>
      <w:r w:rsidRPr="00D72E74">
        <w:rPr>
          <w:lang w:val="da-DK"/>
        </w:rPr>
        <w:t>Chemical structure</w:t>
      </w:r>
    </w:p>
    <w:p w14:paraId="51D87C6D" w14:textId="77777777" w:rsidR="001F781C" w:rsidRDefault="001F781C" w:rsidP="00EE5E3B">
      <w:pPr>
        <w:spacing w:after="0" w:line="240" w:lineRule="auto"/>
        <w:rPr>
          <w:lang w:val="da-DK"/>
        </w:rPr>
      </w:pPr>
      <w:r w:rsidRPr="00C11121">
        <w:rPr>
          <w:i/>
          <w:u w:val="single"/>
          <w:lang w:val="en-GB"/>
        </w:rPr>
        <w:t>Insulin degludec</w:t>
      </w:r>
      <w:r>
        <w:rPr>
          <w:lang w:val="da-DK"/>
        </w:rPr>
        <w:t xml:space="preserve"> </w:t>
      </w:r>
    </w:p>
    <w:p w14:paraId="04402D87" w14:textId="4323B6AB" w:rsidR="00A32675" w:rsidRPr="00D72E74" w:rsidRDefault="00B21F96" w:rsidP="00EE5E3B">
      <w:pPr>
        <w:spacing w:after="0" w:line="240" w:lineRule="auto"/>
        <w:rPr>
          <w:lang w:val="da-DK"/>
        </w:rPr>
      </w:pPr>
      <w:r w:rsidRPr="00D72E74">
        <w:rPr>
          <w:lang w:val="da-DK"/>
        </w:rPr>
        <w:t>Molecular formula: C</w:t>
      </w:r>
      <w:r w:rsidR="00A32675" w:rsidRPr="00D72E74">
        <w:rPr>
          <w:vertAlign w:val="subscript"/>
          <w:lang w:val="da-DK"/>
        </w:rPr>
        <w:t>274</w:t>
      </w:r>
      <w:r w:rsidRPr="00D72E74">
        <w:rPr>
          <w:lang w:val="da-DK"/>
        </w:rPr>
        <w:t xml:space="preserve"> H</w:t>
      </w:r>
      <w:r w:rsidR="00A32675" w:rsidRPr="00D72E74">
        <w:rPr>
          <w:vertAlign w:val="subscript"/>
          <w:lang w:val="da-DK"/>
        </w:rPr>
        <w:t>411</w:t>
      </w:r>
      <w:r w:rsidRPr="00D72E74">
        <w:rPr>
          <w:lang w:val="da-DK"/>
        </w:rPr>
        <w:t xml:space="preserve"> N</w:t>
      </w:r>
      <w:r w:rsidR="008277AA" w:rsidRPr="00D72E74">
        <w:rPr>
          <w:vertAlign w:val="subscript"/>
          <w:lang w:val="da-DK"/>
        </w:rPr>
        <w:t>6</w:t>
      </w:r>
      <w:r w:rsidRPr="00D72E74">
        <w:rPr>
          <w:vertAlign w:val="subscript"/>
          <w:lang w:val="da-DK"/>
        </w:rPr>
        <w:t>5</w:t>
      </w:r>
      <w:r w:rsidRPr="00D72E74">
        <w:rPr>
          <w:lang w:val="da-DK"/>
        </w:rPr>
        <w:t xml:space="preserve"> O</w:t>
      </w:r>
      <w:r w:rsidR="008277AA" w:rsidRPr="00D72E74">
        <w:rPr>
          <w:vertAlign w:val="subscript"/>
          <w:lang w:val="da-DK"/>
        </w:rPr>
        <w:t>81</w:t>
      </w:r>
      <w:r w:rsidR="00A32675" w:rsidRPr="00D72E74">
        <w:rPr>
          <w:lang w:val="da-DK"/>
        </w:rPr>
        <w:t xml:space="preserve"> </w:t>
      </w:r>
      <w:r w:rsidR="008277AA" w:rsidRPr="00D72E74">
        <w:rPr>
          <w:lang w:val="da-DK"/>
        </w:rPr>
        <w:t>S</w:t>
      </w:r>
      <w:r w:rsidR="008277AA" w:rsidRPr="00D72E74">
        <w:rPr>
          <w:vertAlign w:val="subscript"/>
          <w:lang w:val="da-DK"/>
        </w:rPr>
        <w:t>6</w:t>
      </w:r>
    </w:p>
    <w:p w14:paraId="5AF16E67" w14:textId="3F7C5172" w:rsidR="008277AA" w:rsidRPr="00D00314" w:rsidRDefault="00B21F96" w:rsidP="00EE5E3B">
      <w:pPr>
        <w:spacing w:after="0" w:line="240" w:lineRule="auto"/>
        <w:rPr>
          <w:lang w:val="en-GB"/>
        </w:rPr>
      </w:pPr>
      <w:r w:rsidRPr="00D72E74">
        <w:rPr>
          <w:lang w:val="da-DK"/>
        </w:rPr>
        <w:t xml:space="preserve">Molecular weight: </w:t>
      </w:r>
      <w:r w:rsidR="001F781C">
        <w:rPr>
          <w:lang w:val="en-GB"/>
        </w:rPr>
        <w:t xml:space="preserve"> </w:t>
      </w:r>
      <w:r w:rsidR="008277AA" w:rsidRPr="00D00314">
        <w:rPr>
          <w:lang w:val="en-GB"/>
        </w:rPr>
        <w:t>6103.97</w:t>
      </w:r>
      <w:r w:rsidR="006A2948" w:rsidRPr="00D00314">
        <w:rPr>
          <w:lang w:val="en-GB"/>
        </w:rPr>
        <w:t xml:space="preserve"> </w:t>
      </w:r>
      <w:r w:rsidRPr="00D00314">
        <w:rPr>
          <w:lang w:val="en-GB"/>
        </w:rPr>
        <w:t>dalton</w:t>
      </w:r>
      <w:r w:rsidR="00D436B9" w:rsidRPr="00D00314">
        <w:rPr>
          <w:lang w:val="en-GB"/>
        </w:rPr>
        <w:t>s</w:t>
      </w:r>
    </w:p>
    <w:p w14:paraId="38C83B87" w14:textId="74A07079" w:rsidR="008277AA" w:rsidRPr="00D00314" w:rsidRDefault="008277AA" w:rsidP="00EE5E3B">
      <w:pPr>
        <w:rPr>
          <w:lang w:val="en-GB"/>
        </w:rPr>
      </w:pPr>
    </w:p>
    <w:p w14:paraId="4A07C845" w14:textId="1F4D51D7" w:rsidR="008277AA" w:rsidRPr="007862AA" w:rsidRDefault="008277AA" w:rsidP="00EE5E3B">
      <w:pPr>
        <w:keepNext/>
        <w:rPr>
          <w:lang w:val="en-GB"/>
        </w:rPr>
      </w:pPr>
      <w:r w:rsidRPr="007862AA">
        <w:rPr>
          <w:lang w:val="en-GB"/>
        </w:rPr>
        <w:t>Structural formula:</w:t>
      </w:r>
    </w:p>
    <w:p w14:paraId="01E7E05A" w14:textId="6FA5ACFC" w:rsidR="00B21F96" w:rsidRPr="007862AA" w:rsidRDefault="008277AA" w:rsidP="00EE5E3B">
      <w:pPr>
        <w:rPr>
          <w:b/>
          <w:sz w:val="22"/>
          <w:szCs w:val="22"/>
        </w:rPr>
      </w:pPr>
      <w:r w:rsidRPr="007862AA">
        <w:rPr>
          <w:noProof/>
          <w:lang w:eastAsia="en-AU"/>
        </w:rPr>
        <w:drawing>
          <wp:inline distT="0" distB="0" distL="0" distR="0" wp14:anchorId="41EA3ACE" wp14:editId="5ACD914C">
            <wp:extent cx="5731510" cy="172668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1726685"/>
                    </a:xfrm>
                    <a:prstGeom prst="rect">
                      <a:avLst/>
                    </a:prstGeom>
                    <a:noFill/>
                    <a:ln>
                      <a:noFill/>
                    </a:ln>
                  </pic:spPr>
                </pic:pic>
              </a:graphicData>
            </a:graphic>
          </wp:inline>
        </w:drawing>
      </w:r>
    </w:p>
    <w:p w14:paraId="5672132E" w14:textId="6F666F8E" w:rsidR="001F781C" w:rsidRDefault="001F781C" w:rsidP="00EE5E3B">
      <w:pPr>
        <w:spacing w:after="0" w:line="240" w:lineRule="auto"/>
        <w:rPr>
          <w:lang w:val="da-DK"/>
        </w:rPr>
      </w:pPr>
      <w:r>
        <w:rPr>
          <w:i/>
          <w:u w:val="single"/>
          <w:lang w:val="pt-BR"/>
        </w:rPr>
        <w:t>Liraglutide</w:t>
      </w:r>
      <w:r>
        <w:rPr>
          <w:lang w:val="da-DK"/>
        </w:rPr>
        <w:t xml:space="preserve"> </w:t>
      </w:r>
    </w:p>
    <w:p w14:paraId="27F6B769" w14:textId="63983FCB" w:rsidR="001F781C" w:rsidRPr="00D72E74" w:rsidRDefault="001F781C" w:rsidP="00EE5E3B">
      <w:pPr>
        <w:spacing w:after="0" w:line="240" w:lineRule="auto"/>
        <w:rPr>
          <w:lang w:val="da-DK"/>
        </w:rPr>
      </w:pPr>
      <w:r w:rsidRPr="00D72E74">
        <w:rPr>
          <w:lang w:val="da-DK"/>
        </w:rPr>
        <w:t>Molecular formula: C</w:t>
      </w:r>
      <w:r w:rsidRPr="00D72E74">
        <w:rPr>
          <w:vertAlign w:val="subscript"/>
          <w:lang w:val="da-DK"/>
        </w:rPr>
        <w:t>172</w:t>
      </w:r>
      <w:r w:rsidRPr="00D72E74">
        <w:rPr>
          <w:lang w:val="da-DK"/>
        </w:rPr>
        <w:t xml:space="preserve"> H</w:t>
      </w:r>
      <w:r w:rsidRPr="00D72E74">
        <w:rPr>
          <w:vertAlign w:val="subscript"/>
          <w:lang w:val="da-DK"/>
        </w:rPr>
        <w:t>265</w:t>
      </w:r>
      <w:r w:rsidRPr="00D72E74">
        <w:rPr>
          <w:lang w:val="da-DK"/>
        </w:rPr>
        <w:t xml:space="preserve"> N</w:t>
      </w:r>
      <w:r w:rsidRPr="00D72E74">
        <w:rPr>
          <w:vertAlign w:val="subscript"/>
          <w:lang w:val="da-DK"/>
        </w:rPr>
        <w:t>43</w:t>
      </w:r>
      <w:r w:rsidRPr="00D72E74">
        <w:rPr>
          <w:lang w:val="da-DK"/>
        </w:rPr>
        <w:t xml:space="preserve"> O</w:t>
      </w:r>
      <w:r w:rsidRPr="00D72E74">
        <w:rPr>
          <w:vertAlign w:val="subscript"/>
          <w:lang w:val="da-DK"/>
        </w:rPr>
        <w:t>51</w:t>
      </w:r>
    </w:p>
    <w:p w14:paraId="02A9B733" w14:textId="77777777" w:rsidR="001F781C" w:rsidRDefault="001F781C" w:rsidP="00EE5E3B">
      <w:pPr>
        <w:spacing w:after="0" w:line="240" w:lineRule="auto"/>
        <w:rPr>
          <w:lang w:val="da-DK"/>
        </w:rPr>
      </w:pPr>
    </w:p>
    <w:p w14:paraId="7330A6E2" w14:textId="2343C28E" w:rsidR="001F781C" w:rsidRDefault="001F781C" w:rsidP="00EE5E3B">
      <w:pPr>
        <w:spacing w:after="0" w:line="240" w:lineRule="auto"/>
        <w:rPr>
          <w:lang w:val="en-GB"/>
        </w:rPr>
      </w:pPr>
      <w:r w:rsidRPr="00D72E74">
        <w:rPr>
          <w:lang w:val="da-DK"/>
        </w:rPr>
        <w:t xml:space="preserve">Molecular weight: </w:t>
      </w:r>
      <w:r w:rsidRPr="00D00314">
        <w:rPr>
          <w:lang w:val="en-GB"/>
        </w:rPr>
        <w:t>3751.20 daltons</w:t>
      </w:r>
    </w:p>
    <w:p w14:paraId="798B7B34" w14:textId="77777777" w:rsidR="001F781C" w:rsidRDefault="001F781C" w:rsidP="00EE5E3B">
      <w:pPr>
        <w:spacing w:after="0" w:line="240" w:lineRule="auto"/>
        <w:rPr>
          <w:lang w:val="en-GB"/>
        </w:rPr>
      </w:pPr>
    </w:p>
    <w:p w14:paraId="670DBAC1" w14:textId="3FF17A1B" w:rsidR="008277AA" w:rsidRPr="00C11121" w:rsidRDefault="008277AA" w:rsidP="00EE5E3B">
      <w:pPr>
        <w:keepNext/>
        <w:rPr>
          <w:lang w:val="en-GB"/>
        </w:rPr>
      </w:pPr>
      <w:r w:rsidRPr="00C11121">
        <w:rPr>
          <w:lang w:val="en-GB"/>
        </w:rPr>
        <w:t>Structural formula:</w:t>
      </w:r>
    </w:p>
    <w:p w14:paraId="0152BF2F" w14:textId="27AD1D28" w:rsidR="008277AA" w:rsidRPr="007862AA" w:rsidRDefault="008277AA" w:rsidP="00EE5E3B">
      <w:pPr>
        <w:rPr>
          <w:lang w:val="fr-FR"/>
        </w:rPr>
      </w:pPr>
      <w:r w:rsidRPr="007862AA">
        <w:object w:dxaOrig="9151" w:dyaOrig="3242" w14:anchorId="40D788EF">
          <v:shape id="_x0000_i1047" type="#_x0000_t75" style="width:458.25pt;height:162.75pt" o:ole="">
            <v:imagedata r:id="rId55" o:title=""/>
          </v:shape>
          <o:OLEObject Type="Embed" ProgID="Word.Document.12" ShapeID="_x0000_i1047" DrawAspect="Content" ObjectID="_1680004116" r:id="rId56">
            <o:FieldCodes>\s</o:FieldCodes>
          </o:OLEObject>
        </w:object>
      </w:r>
    </w:p>
    <w:p w14:paraId="37969604" w14:textId="2DE644D6" w:rsidR="00E97D02" w:rsidRPr="00B03698" w:rsidRDefault="00E97D02" w:rsidP="00EE5E3B">
      <w:pPr>
        <w:pStyle w:val="Heading3"/>
        <w:rPr>
          <w:lang w:val="fr-FR"/>
        </w:rPr>
      </w:pPr>
      <w:r w:rsidRPr="00B03698">
        <w:rPr>
          <w:lang w:val="fr-FR"/>
        </w:rPr>
        <w:t>CAS</w:t>
      </w:r>
      <w:r w:rsidR="001F781C" w:rsidRPr="00B03698">
        <w:rPr>
          <w:lang w:val="fr-FR"/>
        </w:rPr>
        <w:t xml:space="preserve"> number</w:t>
      </w:r>
    </w:p>
    <w:p w14:paraId="5934E181" w14:textId="75EB9636" w:rsidR="00AD30BE" w:rsidRPr="00B03698" w:rsidRDefault="001F781C" w:rsidP="00EE5E3B">
      <w:pPr>
        <w:spacing w:after="0" w:line="240" w:lineRule="auto"/>
        <w:rPr>
          <w:lang w:val="fr-FR"/>
        </w:rPr>
      </w:pPr>
      <w:r w:rsidRPr="00B03698">
        <w:rPr>
          <w:i/>
          <w:u w:val="single"/>
          <w:lang w:val="fr-FR"/>
        </w:rPr>
        <w:t>Insulin degludec</w:t>
      </w:r>
    </w:p>
    <w:p w14:paraId="5FD0963A" w14:textId="69EE98F7" w:rsidR="00A32675" w:rsidRPr="00B03698" w:rsidRDefault="00A32675" w:rsidP="00EE5E3B">
      <w:pPr>
        <w:rPr>
          <w:lang w:val="fr-FR"/>
        </w:rPr>
      </w:pPr>
      <w:r w:rsidRPr="00B03698">
        <w:rPr>
          <w:lang w:val="fr-FR"/>
        </w:rPr>
        <w:t>844439-96-9</w:t>
      </w:r>
    </w:p>
    <w:p w14:paraId="1EB01706" w14:textId="6025ADED" w:rsidR="001F781C" w:rsidRPr="00B03698" w:rsidRDefault="001F781C" w:rsidP="00EE5E3B">
      <w:pPr>
        <w:spacing w:after="0" w:line="240" w:lineRule="auto"/>
        <w:rPr>
          <w:i/>
          <w:u w:val="single"/>
          <w:lang w:val="fr-FR"/>
        </w:rPr>
      </w:pPr>
      <w:r w:rsidRPr="00B03698">
        <w:rPr>
          <w:i/>
          <w:u w:val="single"/>
          <w:lang w:val="fr-FR"/>
        </w:rPr>
        <w:t>Liraglutide</w:t>
      </w:r>
    </w:p>
    <w:p w14:paraId="2705EF93" w14:textId="016F259C" w:rsidR="00E97D02" w:rsidRPr="00B03698" w:rsidRDefault="00A32675" w:rsidP="00EE5E3B">
      <w:pPr>
        <w:rPr>
          <w:lang w:val="fr-FR"/>
        </w:rPr>
      </w:pPr>
      <w:r w:rsidRPr="00B03698">
        <w:rPr>
          <w:lang w:val="fr-FR"/>
        </w:rPr>
        <w:t>204656-20-2</w:t>
      </w:r>
    </w:p>
    <w:p w14:paraId="29C495E6" w14:textId="77777777" w:rsidR="00E97D02" w:rsidRPr="00FC4CA6" w:rsidRDefault="00E97D02" w:rsidP="00EE5E3B">
      <w:pPr>
        <w:pStyle w:val="Heading2"/>
      </w:pPr>
      <w:r w:rsidRPr="00FC4CA6">
        <w:t>7.</w:t>
      </w:r>
      <w:r w:rsidRPr="00FC4CA6">
        <w:tab/>
        <w:t>MEDICINE SCHEDULE (POISONS STANDARD)</w:t>
      </w:r>
    </w:p>
    <w:p w14:paraId="75B75492" w14:textId="77777777" w:rsidR="00E97D02" w:rsidRPr="00E208C5" w:rsidRDefault="00B21F96" w:rsidP="00EE5E3B">
      <w:r w:rsidRPr="00E208C5">
        <w:t>S4</w:t>
      </w:r>
    </w:p>
    <w:p w14:paraId="153451D6" w14:textId="77777777" w:rsidR="00E97D02" w:rsidRPr="00E208C5" w:rsidRDefault="00E97D02" w:rsidP="00EE5E3B">
      <w:pPr>
        <w:pStyle w:val="Heading2"/>
      </w:pPr>
      <w:r w:rsidRPr="00E208C5">
        <w:t xml:space="preserve">8. </w:t>
      </w:r>
      <w:r w:rsidRPr="00E208C5">
        <w:tab/>
        <w:t>SPONSOR</w:t>
      </w:r>
    </w:p>
    <w:p w14:paraId="13344EB2" w14:textId="77777777" w:rsidR="00907011" w:rsidRPr="00E208C5" w:rsidRDefault="00907011" w:rsidP="00EE5E3B">
      <w:pPr>
        <w:spacing w:after="0" w:line="240" w:lineRule="auto"/>
        <w:rPr>
          <w:b/>
          <w:bCs/>
        </w:rPr>
      </w:pPr>
      <w:r w:rsidRPr="00E208C5">
        <w:t>Novo Nordisk Pharmaceuticals Pty Limited</w:t>
      </w:r>
    </w:p>
    <w:p w14:paraId="58BBAEDF" w14:textId="77777777" w:rsidR="00907011" w:rsidRPr="00E208C5" w:rsidRDefault="00907011" w:rsidP="00EE5E3B">
      <w:pPr>
        <w:spacing w:after="0" w:line="240" w:lineRule="auto"/>
      </w:pPr>
      <w:r w:rsidRPr="00E208C5">
        <w:t>Level 3, 21 Solent Circuit,</w:t>
      </w:r>
    </w:p>
    <w:p w14:paraId="3330814C" w14:textId="77777777" w:rsidR="00907011" w:rsidRPr="002F7BCB" w:rsidRDefault="00907011" w:rsidP="00EE5E3B">
      <w:pPr>
        <w:spacing w:after="0" w:line="240" w:lineRule="auto"/>
      </w:pPr>
      <w:r w:rsidRPr="002F7BCB">
        <w:t>Baulkham Hills,</w:t>
      </w:r>
    </w:p>
    <w:p w14:paraId="66DD03BE" w14:textId="77777777" w:rsidR="00907011" w:rsidRPr="002F7BCB" w:rsidRDefault="00907011" w:rsidP="00EE5E3B">
      <w:pPr>
        <w:spacing w:after="0" w:line="240" w:lineRule="auto"/>
      </w:pPr>
      <w:r w:rsidRPr="002F7BCB">
        <w:t>NSW 2153,</w:t>
      </w:r>
    </w:p>
    <w:p w14:paraId="47E586A2" w14:textId="6AD1A9A0" w:rsidR="00907011" w:rsidRPr="002F7BCB" w:rsidRDefault="00907011" w:rsidP="00EE5E3B">
      <w:r w:rsidRPr="002F7BCB">
        <w:t>Australia.</w:t>
      </w:r>
    </w:p>
    <w:p w14:paraId="0865609B" w14:textId="342EAF9B" w:rsidR="00F33760" w:rsidRPr="002F7BCB" w:rsidRDefault="00EE5E3B" w:rsidP="00EE5E3B">
      <w:hyperlink r:id="rId57" w:history="1">
        <w:r w:rsidR="00765437" w:rsidRPr="00765437">
          <w:rPr>
            <w:rStyle w:val="Hyperlink"/>
          </w:rPr>
          <w:t>http://www.novonordisk.com.au</w:t>
        </w:r>
      </w:hyperlink>
    </w:p>
    <w:p w14:paraId="4B6AE34C" w14:textId="77777777" w:rsidR="00E97D02" w:rsidRPr="00E208C5" w:rsidRDefault="00E97D02" w:rsidP="00EE5E3B">
      <w:pPr>
        <w:pStyle w:val="Heading2"/>
      </w:pPr>
      <w:r w:rsidRPr="002F7BCB">
        <w:t>9.</w:t>
      </w:r>
      <w:r w:rsidRPr="002F7BCB">
        <w:tab/>
        <w:t>DATE OF FIRST APPROVAL</w:t>
      </w:r>
    </w:p>
    <w:p w14:paraId="5E9EAA68" w14:textId="0DD45A63" w:rsidR="00E97D02" w:rsidRPr="00E208C5" w:rsidRDefault="00F366D6" w:rsidP="00EE5E3B">
      <w:r>
        <w:t>17 December 2020</w:t>
      </w:r>
    </w:p>
    <w:p w14:paraId="07FC42C8" w14:textId="77777777" w:rsidR="00E97D02" w:rsidRPr="00E208C5" w:rsidRDefault="00E97D02" w:rsidP="00EE5E3B">
      <w:pPr>
        <w:pStyle w:val="Heading2"/>
      </w:pPr>
      <w:r w:rsidRPr="00E208C5">
        <w:t>10.</w:t>
      </w:r>
      <w:r w:rsidRPr="00E208C5">
        <w:tab/>
        <w:t>DATE OF REVISION</w:t>
      </w:r>
    </w:p>
    <w:p w14:paraId="739AB4D1" w14:textId="77777777" w:rsidR="00E97D02" w:rsidRPr="00E208C5" w:rsidRDefault="00E97D02" w:rsidP="00EE5E3B"/>
    <w:p w14:paraId="522F2A4A" w14:textId="77777777" w:rsidR="00E97D02" w:rsidRPr="00E208C5" w:rsidRDefault="00E97D02" w:rsidP="00EE5E3B">
      <w:pPr>
        <w:pStyle w:val="Heading3"/>
      </w:pPr>
      <w:r w:rsidRPr="00E208C5">
        <w:t>Summary table of changes</w:t>
      </w:r>
    </w:p>
    <w:tbl>
      <w:tblPr>
        <w:tblStyle w:val="TableGrid"/>
        <w:tblW w:w="0" w:type="auto"/>
        <w:tblLook w:val="04A0" w:firstRow="1" w:lastRow="0" w:firstColumn="1" w:lastColumn="0" w:noHBand="0" w:noVBand="1"/>
      </w:tblPr>
      <w:tblGrid>
        <w:gridCol w:w="2332"/>
        <w:gridCol w:w="6684"/>
      </w:tblGrid>
      <w:tr w:rsidR="00E97D02" w:rsidRPr="00E208C5" w14:paraId="7788949F" w14:textId="77777777" w:rsidTr="00E97D02">
        <w:tc>
          <w:tcPr>
            <w:tcW w:w="2376" w:type="dxa"/>
          </w:tcPr>
          <w:p w14:paraId="767631BF" w14:textId="77777777" w:rsidR="00E97D02" w:rsidRPr="00E208C5" w:rsidRDefault="00E97D02" w:rsidP="00EE5E3B">
            <w:pPr>
              <w:rPr>
                <w:b/>
              </w:rPr>
            </w:pPr>
            <w:r w:rsidRPr="00E208C5">
              <w:rPr>
                <w:b/>
              </w:rPr>
              <w:t>Section changed</w:t>
            </w:r>
          </w:p>
        </w:tc>
        <w:tc>
          <w:tcPr>
            <w:tcW w:w="6866" w:type="dxa"/>
          </w:tcPr>
          <w:p w14:paraId="2F5F5690" w14:textId="77777777" w:rsidR="00E97D02" w:rsidRPr="00E208C5" w:rsidRDefault="00E97D02" w:rsidP="00EE5E3B">
            <w:pPr>
              <w:rPr>
                <w:b/>
              </w:rPr>
            </w:pPr>
            <w:r w:rsidRPr="00E208C5">
              <w:rPr>
                <w:b/>
              </w:rPr>
              <w:t>Summary of new information</w:t>
            </w:r>
          </w:p>
        </w:tc>
      </w:tr>
      <w:tr w:rsidR="00E97D02" w:rsidRPr="00E208C5" w14:paraId="1EE1B0B2" w14:textId="77777777" w:rsidTr="00E97D02">
        <w:tc>
          <w:tcPr>
            <w:tcW w:w="2376" w:type="dxa"/>
          </w:tcPr>
          <w:p w14:paraId="4DBA8E73" w14:textId="77777777" w:rsidR="00E97D02" w:rsidRPr="00E208C5" w:rsidRDefault="00E97D02" w:rsidP="00EE5E3B"/>
        </w:tc>
        <w:tc>
          <w:tcPr>
            <w:tcW w:w="6866" w:type="dxa"/>
          </w:tcPr>
          <w:p w14:paraId="08F7A0D5" w14:textId="77777777" w:rsidR="00E97D02" w:rsidRPr="00E208C5" w:rsidRDefault="00E97D02" w:rsidP="00EE5E3B"/>
        </w:tc>
      </w:tr>
      <w:tr w:rsidR="00E97D02" w:rsidRPr="00E208C5" w14:paraId="70DAD78D" w14:textId="77777777" w:rsidTr="00E97D02">
        <w:tc>
          <w:tcPr>
            <w:tcW w:w="2376" w:type="dxa"/>
          </w:tcPr>
          <w:p w14:paraId="534461AC" w14:textId="77777777" w:rsidR="00E97D02" w:rsidRPr="00E208C5" w:rsidRDefault="00E97D02" w:rsidP="00EE5E3B"/>
        </w:tc>
        <w:tc>
          <w:tcPr>
            <w:tcW w:w="6866" w:type="dxa"/>
          </w:tcPr>
          <w:p w14:paraId="0163E87E" w14:textId="77777777" w:rsidR="00E97D02" w:rsidRPr="00E208C5" w:rsidRDefault="00E97D02" w:rsidP="00EE5E3B"/>
        </w:tc>
      </w:tr>
      <w:tr w:rsidR="00E97D02" w:rsidRPr="00E208C5" w14:paraId="6A206A85" w14:textId="77777777" w:rsidTr="00E97D02">
        <w:tc>
          <w:tcPr>
            <w:tcW w:w="2376" w:type="dxa"/>
          </w:tcPr>
          <w:p w14:paraId="168C3BC1" w14:textId="77777777" w:rsidR="00E97D02" w:rsidRPr="00E208C5" w:rsidRDefault="00E97D02" w:rsidP="00EE5E3B"/>
        </w:tc>
        <w:tc>
          <w:tcPr>
            <w:tcW w:w="6866" w:type="dxa"/>
          </w:tcPr>
          <w:p w14:paraId="1CDD1FFA" w14:textId="77777777" w:rsidR="00E97D02" w:rsidRPr="00E208C5" w:rsidRDefault="00E97D02" w:rsidP="00EE5E3B"/>
        </w:tc>
      </w:tr>
    </w:tbl>
    <w:p w14:paraId="78A37310" w14:textId="77777777" w:rsidR="00E97D02" w:rsidRPr="00E208C5" w:rsidRDefault="00E97D02" w:rsidP="00EE5E3B"/>
    <w:sectPr w:rsidR="00E97D02" w:rsidRPr="00E208C5" w:rsidSect="00D3791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1216A" w14:textId="77777777" w:rsidR="00D530B0" w:rsidRDefault="00D530B0" w:rsidP="00601F02">
      <w:pPr>
        <w:spacing w:after="0" w:line="240" w:lineRule="auto"/>
      </w:pPr>
      <w:r>
        <w:separator/>
      </w:r>
    </w:p>
  </w:endnote>
  <w:endnote w:type="continuationSeparator" w:id="0">
    <w:p w14:paraId="5402E5AF" w14:textId="77777777" w:rsidR="00D530B0" w:rsidRDefault="00D530B0" w:rsidP="0060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E8DE5" w14:textId="77777777" w:rsidR="00EE5E3B" w:rsidRDefault="00EE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3920" w14:textId="50A47194" w:rsidR="00D37914" w:rsidRPr="001C27E2" w:rsidRDefault="00D37914" w:rsidP="00A55E24">
    <w:pPr>
      <w:pStyle w:val="Header"/>
      <w:tabs>
        <w:tab w:val="clear" w:pos="4513"/>
      </w:tabs>
      <w:ind w:right="600"/>
      <w:rPr>
        <w:i/>
        <w:iCs/>
        <w:sz w:val="20"/>
        <w:szCs w:val="20"/>
      </w:rPr>
    </w:pPr>
    <w:r w:rsidRPr="001C27E2">
      <w:rPr>
        <w:i/>
        <w:iCs/>
        <w:sz w:val="20"/>
        <w:szCs w:val="20"/>
        <w:lang w:val="en-GB"/>
      </w:rPr>
      <w:fldChar w:fldCharType="begin"/>
    </w:r>
    <w:r w:rsidRPr="001C27E2">
      <w:rPr>
        <w:i/>
        <w:iCs/>
        <w:sz w:val="20"/>
        <w:szCs w:val="20"/>
        <w:lang w:val="en-GB"/>
      </w:rPr>
      <w:instrText xml:space="preserve"> FILENAME </w:instrText>
    </w:r>
    <w:r w:rsidRPr="001C27E2">
      <w:rPr>
        <w:i/>
        <w:iCs/>
        <w:sz w:val="20"/>
        <w:szCs w:val="20"/>
        <w:lang w:val="en-GB"/>
      </w:rPr>
      <w:fldChar w:fldCharType="separate"/>
    </w:r>
    <w:r>
      <w:rPr>
        <w:i/>
        <w:iCs/>
        <w:noProof/>
        <w:sz w:val="20"/>
        <w:szCs w:val="20"/>
        <w:lang w:val="en-GB"/>
      </w:rPr>
      <w:t>Xultophy pi1.docx</w:t>
    </w:r>
    <w:r w:rsidRPr="001C27E2">
      <w:rPr>
        <w:i/>
        <w:iCs/>
        <w:sz w:val="20"/>
        <w:szCs w:val="20"/>
      </w:rPr>
      <w:fldChar w:fldCharType="end"/>
    </w:r>
    <w:r w:rsidRPr="001C27E2">
      <w:rPr>
        <w:i/>
        <w:iCs/>
        <w:sz w:val="20"/>
        <w:szCs w:val="20"/>
      </w:rPr>
      <w:tab/>
    </w:r>
    <w:sdt>
      <w:sdtPr>
        <w:rPr>
          <w:i/>
          <w:iCs/>
          <w:sz w:val="20"/>
          <w:szCs w:val="20"/>
        </w:rPr>
        <w:id w:val="-1471124312"/>
        <w:docPartObj>
          <w:docPartGallery w:val="Page Numbers (Top of Page)"/>
          <w:docPartUnique/>
        </w:docPartObj>
      </w:sdtPr>
      <w:sdtEndPr/>
      <w:sdtContent>
        <w:r w:rsidRPr="001C27E2">
          <w:rPr>
            <w:i/>
            <w:iCs/>
            <w:sz w:val="20"/>
            <w:szCs w:val="20"/>
          </w:rPr>
          <w:t xml:space="preserve">Page </w:t>
        </w:r>
        <w:r w:rsidRPr="001C27E2">
          <w:rPr>
            <w:b/>
            <w:bCs/>
            <w:i/>
            <w:iCs/>
            <w:sz w:val="20"/>
            <w:szCs w:val="20"/>
          </w:rPr>
          <w:fldChar w:fldCharType="begin"/>
        </w:r>
        <w:r w:rsidRPr="001C27E2">
          <w:rPr>
            <w:b/>
            <w:bCs/>
            <w:i/>
            <w:iCs/>
            <w:sz w:val="20"/>
            <w:szCs w:val="20"/>
          </w:rPr>
          <w:instrText xml:space="preserve"> PAGE </w:instrText>
        </w:r>
        <w:r w:rsidRPr="001C27E2">
          <w:rPr>
            <w:b/>
            <w:bCs/>
            <w:i/>
            <w:iCs/>
            <w:sz w:val="20"/>
            <w:szCs w:val="20"/>
          </w:rPr>
          <w:fldChar w:fldCharType="separate"/>
        </w:r>
        <w:r w:rsidR="00EE5E3B">
          <w:rPr>
            <w:b/>
            <w:bCs/>
            <w:i/>
            <w:iCs/>
            <w:noProof/>
            <w:sz w:val="20"/>
            <w:szCs w:val="20"/>
          </w:rPr>
          <w:t>34</w:t>
        </w:r>
        <w:r w:rsidRPr="001C27E2">
          <w:rPr>
            <w:b/>
            <w:bCs/>
            <w:i/>
            <w:iCs/>
            <w:sz w:val="20"/>
            <w:szCs w:val="20"/>
          </w:rPr>
          <w:fldChar w:fldCharType="end"/>
        </w:r>
        <w:r w:rsidRPr="001C27E2">
          <w:rPr>
            <w:i/>
            <w:iCs/>
            <w:sz w:val="20"/>
            <w:szCs w:val="20"/>
          </w:rPr>
          <w:t xml:space="preserve"> of </w:t>
        </w:r>
        <w:r>
          <w:rPr>
            <w:b/>
            <w:bCs/>
            <w:i/>
            <w:iCs/>
            <w:sz w:val="20"/>
            <w:szCs w:val="20"/>
          </w:rPr>
          <w:t>32</w:t>
        </w:r>
      </w:sdtContent>
    </w:sdt>
  </w:p>
  <w:p w14:paraId="4AE759DD" w14:textId="77777777" w:rsidR="00D37914" w:rsidRDefault="00D37914" w:rsidP="00E234F5">
    <w:pPr>
      <w:pStyle w:val="Header"/>
      <w:jc w:val="right"/>
    </w:pPr>
    <w:r>
      <w:rPr>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8F41" w14:textId="77777777" w:rsidR="00EE5E3B" w:rsidRDefault="00EE5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64ABF" w14:textId="77777777" w:rsidR="00D530B0" w:rsidRDefault="00D530B0" w:rsidP="00601F02">
      <w:pPr>
        <w:spacing w:after="0" w:line="240" w:lineRule="auto"/>
      </w:pPr>
      <w:r>
        <w:separator/>
      </w:r>
    </w:p>
  </w:footnote>
  <w:footnote w:type="continuationSeparator" w:id="0">
    <w:p w14:paraId="485F8640" w14:textId="77777777" w:rsidR="00D530B0" w:rsidRDefault="00D530B0" w:rsidP="00601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9FE3D" w14:textId="77777777" w:rsidR="00EE5E3B" w:rsidRDefault="00EE5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F7676" w14:textId="77777777" w:rsidR="00D37914" w:rsidRDefault="00D37914" w:rsidP="00EE5E3B">
    <w:pPr>
      <w:pStyle w:val="Header"/>
    </w:pPr>
  </w:p>
  <w:tbl>
    <w:tblPr>
      <w:tblStyle w:val="TableGrid"/>
      <w:tblW w:w="0" w:type="auto"/>
      <w:shd w:val="clear" w:color="auto" w:fill="E4F2E0"/>
      <w:tblLook w:val="04A0" w:firstRow="1" w:lastRow="0" w:firstColumn="1" w:lastColumn="0" w:noHBand="0" w:noVBand="1"/>
    </w:tblPr>
    <w:tblGrid>
      <w:gridCol w:w="8897"/>
    </w:tblGrid>
    <w:tr w:rsidR="00EE5E3B" w:rsidRPr="000B2145" w14:paraId="3125A4EC" w14:textId="77777777" w:rsidTr="0039143F">
      <w:trPr>
        <w:trHeight w:val="1012"/>
      </w:trPr>
      <w:tc>
        <w:tcPr>
          <w:tcW w:w="8897" w:type="dxa"/>
          <w:shd w:val="clear" w:color="auto" w:fill="E4F2E0"/>
        </w:tcPr>
        <w:p w14:paraId="25E3D9C2" w14:textId="77777777" w:rsidR="00EE5E3B" w:rsidRPr="000B2145" w:rsidRDefault="00EE5E3B" w:rsidP="00EE5E3B">
          <w:pPr>
            <w:pStyle w:val="Footer"/>
            <w:rPr>
              <w:b/>
              <w:sz w:val="18"/>
              <w:szCs w:val="18"/>
            </w:rPr>
          </w:pPr>
          <w:r w:rsidRPr="00EA0C3C">
            <w:rPr>
              <w:b/>
              <w:sz w:val="18"/>
              <w:szCs w:val="18"/>
            </w:rPr>
            <w:t>Attachment 1:</w:t>
          </w:r>
          <w:r>
            <w:t xml:space="preserve"> </w:t>
          </w:r>
          <w:r w:rsidRPr="0085419E">
            <w:rPr>
              <w:b/>
            </w:rPr>
            <w:t>AusPAR - Xultophy – insulin degludec/liraglutide – Novo Nordisk Pharmaceuticals Pty Ltd PM 2019 05122-1-5</w:t>
          </w:r>
          <w:r>
            <w:rPr>
              <w:b/>
            </w:rPr>
            <w:t xml:space="preserve"> </w:t>
          </w:r>
          <w:r w:rsidRPr="0085419E">
            <w:rPr>
              <w:b/>
            </w:rPr>
            <w:t>FINAL 22 March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2F102FDC" w14:textId="77777777" w:rsidR="00D37914" w:rsidRDefault="00D37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02C0B" w14:textId="77777777" w:rsidR="00EE5E3B" w:rsidRDefault="00EE5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60E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462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C5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E015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D632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9EBB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CE7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F89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063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76AF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95F26"/>
    <w:multiLevelType w:val="hybridMultilevel"/>
    <w:tmpl w:val="D8F2528A"/>
    <w:lvl w:ilvl="0" w:tplc="82EE8E04">
      <w:start w:val="721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30C6CCA"/>
    <w:multiLevelType w:val="hybridMultilevel"/>
    <w:tmpl w:val="5F4E91E8"/>
    <w:lvl w:ilvl="0" w:tplc="C5AAC7B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11D47"/>
    <w:multiLevelType w:val="hybridMultilevel"/>
    <w:tmpl w:val="856C09D8"/>
    <w:lvl w:ilvl="0" w:tplc="42308B54">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F1E00"/>
    <w:multiLevelType w:val="hybridMultilevel"/>
    <w:tmpl w:val="EE6EB1AC"/>
    <w:lvl w:ilvl="0" w:tplc="B15803FA">
      <w:start w:val="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6711A8"/>
    <w:multiLevelType w:val="hybridMultilevel"/>
    <w:tmpl w:val="9F9824AE"/>
    <w:lvl w:ilvl="0" w:tplc="C86C789C">
      <w:start w:val="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5437CD"/>
    <w:multiLevelType w:val="hybridMultilevel"/>
    <w:tmpl w:val="621418CC"/>
    <w:lvl w:ilvl="0" w:tplc="4D0E7DE0">
      <w:start w:val="4"/>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1930A12"/>
    <w:multiLevelType w:val="hybridMultilevel"/>
    <w:tmpl w:val="8DEE8A7A"/>
    <w:lvl w:ilvl="0" w:tplc="167E477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9400DD"/>
    <w:multiLevelType w:val="hybridMultilevel"/>
    <w:tmpl w:val="319458EC"/>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7F484046"/>
    <w:multiLevelType w:val="hybridMultilevel"/>
    <w:tmpl w:val="8CBC807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8"/>
  </w:num>
  <w:num w:numId="14">
    <w:abstractNumId w:val="11"/>
  </w:num>
  <w:num w:numId="15">
    <w:abstractNumId w:val="12"/>
  </w:num>
  <w:num w:numId="16">
    <w:abstractNumId w:val="14"/>
  </w:num>
  <w:num w:numId="17">
    <w:abstractNumId w:val="15"/>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C7"/>
    <w:rsid w:val="00005316"/>
    <w:rsid w:val="000214A5"/>
    <w:rsid w:val="00023ED6"/>
    <w:rsid w:val="00027800"/>
    <w:rsid w:val="00032E83"/>
    <w:rsid w:val="00034C1A"/>
    <w:rsid w:val="00036F76"/>
    <w:rsid w:val="00041BCB"/>
    <w:rsid w:val="00044769"/>
    <w:rsid w:val="00050CD2"/>
    <w:rsid w:val="00051DAE"/>
    <w:rsid w:val="00053804"/>
    <w:rsid w:val="00061034"/>
    <w:rsid w:val="000626E5"/>
    <w:rsid w:val="00085B6D"/>
    <w:rsid w:val="00093BAE"/>
    <w:rsid w:val="000944C5"/>
    <w:rsid w:val="000A2943"/>
    <w:rsid w:val="000A2ED9"/>
    <w:rsid w:val="000A3FF0"/>
    <w:rsid w:val="000A4E3B"/>
    <w:rsid w:val="000A5D99"/>
    <w:rsid w:val="000B3BBA"/>
    <w:rsid w:val="000C0086"/>
    <w:rsid w:val="000C2389"/>
    <w:rsid w:val="000C32D5"/>
    <w:rsid w:val="000C7842"/>
    <w:rsid w:val="000D4888"/>
    <w:rsid w:val="000E1993"/>
    <w:rsid w:val="000E65D0"/>
    <w:rsid w:val="00100EAA"/>
    <w:rsid w:val="00110B6F"/>
    <w:rsid w:val="00121E71"/>
    <w:rsid w:val="001267CA"/>
    <w:rsid w:val="00134C5B"/>
    <w:rsid w:val="00136132"/>
    <w:rsid w:val="00141051"/>
    <w:rsid w:val="0014354B"/>
    <w:rsid w:val="001545BC"/>
    <w:rsid w:val="00155F22"/>
    <w:rsid w:val="00163AEC"/>
    <w:rsid w:val="00165C02"/>
    <w:rsid w:val="00166C90"/>
    <w:rsid w:val="001716EE"/>
    <w:rsid w:val="0017211C"/>
    <w:rsid w:val="001757FC"/>
    <w:rsid w:val="00175F66"/>
    <w:rsid w:val="001774E8"/>
    <w:rsid w:val="00192EB8"/>
    <w:rsid w:val="00195411"/>
    <w:rsid w:val="0019666F"/>
    <w:rsid w:val="001A0DDD"/>
    <w:rsid w:val="001A19F4"/>
    <w:rsid w:val="001B0402"/>
    <w:rsid w:val="001B47C1"/>
    <w:rsid w:val="001B49F0"/>
    <w:rsid w:val="001C0326"/>
    <w:rsid w:val="001C27E2"/>
    <w:rsid w:val="001C765A"/>
    <w:rsid w:val="001D0CE5"/>
    <w:rsid w:val="001D177A"/>
    <w:rsid w:val="001D19D7"/>
    <w:rsid w:val="001E0356"/>
    <w:rsid w:val="001E3564"/>
    <w:rsid w:val="001E5395"/>
    <w:rsid w:val="001E67AB"/>
    <w:rsid w:val="001E7D57"/>
    <w:rsid w:val="001F16E0"/>
    <w:rsid w:val="001F1E3F"/>
    <w:rsid w:val="001F3E07"/>
    <w:rsid w:val="001F57C5"/>
    <w:rsid w:val="001F781C"/>
    <w:rsid w:val="00200DF6"/>
    <w:rsid w:val="0020370F"/>
    <w:rsid w:val="00207C2C"/>
    <w:rsid w:val="00210DD5"/>
    <w:rsid w:val="00210F8A"/>
    <w:rsid w:val="00211EF3"/>
    <w:rsid w:val="002213EF"/>
    <w:rsid w:val="00223444"/>
    <w:rsid w:val="00224142"/>
    <w:rsid w:val="00225579"/>
    <w:rsid w:val="00237978"/>
    <w:rsid w:val="002402A3"/>
    <w:rsid w:val="002433F8"/>
    <w:rsid w:val="002475AD"/>
    <w:rsid w:val="00256C1E"/>
    <w:rsid w:val="00257DA6"/>
    <w:rsid w:val="00260BA0"/>
    <w:rsid w:val="0027175E"/>
    <w:rsid w:val="00272795"/>
    <w:rsid w:val="00273BA0"/>
    <w:rsid w:val="00277DB2"/>
    <w:rsid w:val="0028075D"/>
    <w:rsid w:val="0029154D"/>
    <w:rsid w:val="00291B69"/>
    <w:rsid w:val="002A41D0"/>
    <w:rsid w:val="002A6985"/>
    <w:rsid w:val="002A6E9A"/>
    <w:rsid w:val="002B48A0"/>
    <w:rsid w:val="002B7F2C"/>
    <w:rsid w:val="002C55AA"/>
    <w:rsid w:val="002D01F1"/>
    <w:rsid w:val="002D4114"/>
    <w:rsid w:val="002D51AA"/>
    <w:rsid w:val="002E015B"/>
    <w:rsid w:val="002E0F39"/>
    <w:rsid w:val="002F10E8"/>
    <w:rsid w:val="002F3F5E"/>
    <w:rsid w:val="002F6854"/>
    <w:rsid w:val="002F7BCB"/>
    <w:rsid w:val="00302A46"/>
    <w:rsid w:val="003102AA"/>
    <w:rsid w:val="00314326"/>
    <w:rsid w:val="00314810"/>
    <w:rsid w:val="00315E5F"/>
    <w:rsid w:val="00323D70"/>
    <w:rsid w:val="003316CD"/>
    <w:rsid w:val="0033227D"/>
    <w:rsid w:val="00340E80"/>
    <w:rsid w:val="00345931"/>
    <w:rsid w:val="00346D00"/>
    <w:rsid w:val="0035264A"/>
    <w:rsid w:val="00356B98"/>
    <w:rsid w:val="003610C1"/>
    <w:rsid w:val="0036165E"/>
    <w:rsid w:val="00370AED"/>
    <w:rsid w:val="00372C56"/>
    <w:rsid w:val="003823BD"/>
    <w:rsid w:val="00387240"/>
    <w:rsid w:val="0039083E"/>
    <w:rsid w:val="003930BC"/>
    <w:rsid w:val="003A1645"/>
    <w:rsid w:val="003B0FB0"/>
    <w:rsid w:val="003B6BFE"/>
    <w:rsid w:val="003C0999"/>
    <w:rsid w:val="003C0FD1"/>
    <w:rsid w:val="003D4B5A"/>
    <w:rsid w:val="003D669B"/>
    <w:rsid w:val="003E0011"/>
    <w:rsid w:val="003E2470"/>
    <w:rsid w:val="003E3C19"/>
    <w:rsid w:val="003F0ACA"/>
    <w:rsid w:val="003F13D7"/>
    <w:rsid w:val="003F4E02"/>
    <w:rsid w:val="003F6359"/>
    <w:rsid w:val="003F6CC4"/>
    <w:rsid w:val="004003D5"/>
    <w:rsid w:val="0040360B"/>
    <w:rsid w:val="00407C4D"/>
    <w:rsid w:val="004132AD"/>
    <w:rsid w:val="0042029A"/>
    <w:rsid w:val="004268DF"/>
    <w:rsid w:val="00426B9E"/>
    <w:rsid w:val="00431228"/>
    <w:rsid w:val="00432BA5"/>
    <w:rsid w:val="004372B8"/>
    <w:rsid w:val="00445B99"/>
    <w:rsid w:val="00450F57"/>
    <w:rsid w:val="004566A6"/>
    <w:rsid w:val="00457035"/>
    <w:rsid w:val="00457EC1"/>
    <w:rsid w:val="0046123D"/>
    <w:rsid w:val="00462245"/>
    <w:rsid w:val="00463CBA"/>
    <w:rsid w:val="00465272"/>
    <w:rsid w:val="00470F5F"/>
    <w:rsid w:val="0048227A"/>
    <w:rsid w:val="00484BA3"/>
    <w:rsid w:val="00485048"/>
    <w:rsid w:val="00490A38"/>
    <w:rsid w:val="004923B6"/>
    <w:rsid w:val="0049320F"/>
    <w:rsid w:val="004974E0"/>
    <w:rsid w:val="004A482E"/>
    <w:rsid w:val="004B20F6"/>
    <w:rsid w:val="004D3075"/>
    <w:rsid w:val="004D3389"/>
    <w:rsid w:val="004D53B9"/>
    <w:rsid w:val="004D65A6"/>
    <w:rsid w:val="004D7DD9"/>
    <w:rsid w:val="004D7F11"/>
    <w:rsid w:val="004E0216"/>
    <w:rsid w:val="004E4FD0"/>
    <w:rsid w:val="004E6DF3"/>
    <w:rsid w:val="004F5892"/>
    <w:rsid w:val="004F619A"/>
    <w:rsid w:val="00500DBC"/>
    <w:rsid w:val="00501D2A"/>
    <w:rsid w:val="00503238"/>
    <w:rsid w:val="00511051"/>
    <w:rsid w:val="005145DA"/>
    <w:rsid w:val="00520D3A"/>
    <w:rsid w:val="0052300A"/>
    <w:rsid w:val="00534717"/>
    <w:rsid w:val="00534CA6"/>
    <w:rsid w:val="00536039"/>
    <w:rsid w:val="00542AA0"/>
    <w:rsid w:val="00552092"/>
    <w:rsid w:val="00557EBB"/>
    <w:rsid w:val="00563B69"/>
    <w:rsid w:val="00570350"/>
    <w:rsid w:val="0057631D"/>
    <w:rsid w:val="00580049"/>
    <w:rsid w:val="00582DF8"/>
    <w:rsid w:val="0059121A"/>
    <w:rsid w:val="005A0220"/>
    <w:rsid w:val="005A5D07"/>
    <w:rsid w:val="005A5DA5"/>
    <w:rsid w:val="005B28F5"/>
    <w:rsid w:val="005B29CF"/>
    <w:rsid w:val="005B3DA7"/>
    <w:rsid w:val="005B4399"/>
    <w:rsid w:val="005B548A"/>
    <w:rsid w:val="005C1818"/>
    <w:rsid w:val="005C5E8B"/>
    <w:rsid w:val="005C6541"/>
    <w:rsid w:val="005D0D31"/>
    <w:rsid w:val="005D5F23"/>
    <w:rsid w:val="005D6C26"/>
    <w:rsid w:val="005E23B9"/>
    <w:rsid w:val="005E58F2"/>
    <w:rsid w:val="005F4A93"/>
    <w:rsid w:val="00601F02"/>
    <w:rsid w:val="006029F2"/>
    <w:rsid w:val="00607DC0"/>
    <w:rsid w:val="00610511"/>
    <w:rsid w:val="00622305"/>
    <w:rsid w:val="00624BED"/>
    <w:rsid w:val="00624D7A"/>
    <w:rsid w:val="00634EC8"/>
    <w:rsid w:val="00635172"/>
    <w:rsid w:val="006370BD"/>
    <w:rsid w:val="00641D31"/>
    <w:rsid w:val="00646041"/>
    <w:rsid w:val="00652A78"/>
    <w:rsid w:val="00653701"/>
    <w:rsid w:val="00655F50"/>
    <w:rsid w:val="00656117"/>
    <w:rsid w:val="00657007"/>
    <w:rsid w:val="0067435A"/>
    <w:rsid w:val="00677F90"/>
    <w:rsid w:val="00696BCE"/>
    <w:rsid w:val="006A2948"/>
    <w:rsid w:val="006A29E7"/>
    <w:rsid w:val="006A2D12"/>
    <w:rsid w:val="006A7C77"/>
    <w:rsid w:val="006B06BE"/>
    <w:rsid w:val="006B21E5"/>
    <w:rsid w:val="006B7F99"/>
    <w:rsid w:val="006C0B9D"/>
    <w:rsid w:val="006C13DB"/>
    <w:rsid w:val="006C4DAF"/>
    <w:rsid w:val="006C5E18"/>
    <w:rsid w:val="006D537E"/>
    <w:rsid w:val="006E013C"/>
    <w:rsid w:val="006E2DED"/>
    <w:rsid w:val="00701610"/>
    <w:rsid w:val="00705CF8"/>
    <w:rsid w:val="00715880"/>
    <w:rsid w:val="0071750C"/>
    <w:rsid w:val="00720299"/>
    <w:rsid w:val="00721292"/>
    <w:rsid w:val="00724F28"/>
    <w:rsid w:val="0072557B"/>
    <w:rsid w:val="00735B45"/>
    <w:rsid w:val="00736A7A"/>
    <w:rsid w:val="00741E23"/>
    <w:rsid w:val="00745D0A"/>
    <w:rsid w:val="00752BE3"/>
    <w:rsid w:val="00764621"/>
    <w:rsid w:val="0076520A"/>
    <w:rsid w:val="00765437"/>
    <w:rsid w:val="00771A20"/>
    <w:rsid w:val="00771A2B"/>
    <w:rsid w:val="0077211B"/>
    <w:rsid w:val="007772E3"/>
    <w:rsid w:val="007862AA"/>
    <w:rsid w:val="007934FB"/>
    <w:rsid w:val="0079412C"/>
    <w:rsid w:val="007A1122"/>
    <w:rsid w:val="007A168D"/>
    <w:rsid w:val="007B1772"/>
    <w:rsid w:val="007B1916"/>
    <w:rsid w:val="007B79E7"/>
    <w:rsid w:val="007E317D"/>
    <w:rsid w:val="007E495A"/>
    <w:rsid w:val="007E5D2B"/>
    <w:rsid w:val="007F0760"/>
    <w:rsid w:val="007F1078"/>
    <w:rsid w:val="007F170C"/>
    <w:rsid w:val="007F1BE8"/>
    <w:rsid w:val="007F5D38"/>
    <w:rsid w:val="00801AE2"/>
    <w:rsid w:val="00801F72"/>
    <w:rsid w:val="0080230D"/>
    <w:rsid w:val="00805B22"/>
    <w:rsid w:val="00812B0B"/>
    <w:rsid w:val="00813A67"/>
    <w:rsid w:val="00813E27"/>
    <w:rsid w:val="008239E6"/>
    <w:rsid w:val="0082487F"/>
    <w:rsid w:val="00825436"/>
    <w:rsid w:val="008277AA"/>
    <w:rsid w:val="00830828"/>
    <w:rsid w:val="008320A4"/>
    <w:rsid w:val="00840025"/>
    <w:rsid w:val="008476E4"/>
    <w:rsid w:val="00854B57"/>
    <w:rsid w:val="008566F4"/>
    <w:rsid w:val="00857A3B"/>
    <w:rsid w:val="00872DC7"/>
    <w:rsid w:val="008778B4"/>
    <w:rsid w:val="008870C8"/>
    <w:rsid w:val="00892173"/>
    <w:rsid w:val="00896A29"/>
    <w:rsid w:val="008A0351"/>
    <w:rsid w:val="008A1CC7"/>
    <w:rsid w:val="008A1D28"/>
    <w:rsid w:val="008C0582"/>
    <w:rsid w:val="008C161D"/>
    <w:rsid w:val="008C52E8"/>
    <w:rsid w:val="008C58CF"/>
    <w:rsid w:val="008C7DEA"/>
    <w:rsid w:val="008D3FF2"/>
    <w:rsid w:val="008D41C2"/>
    <w:rsid w:val="008D5B1B"/>
    <w:rsid w:val="008E011C"/>
    <w:rsid w:val="008E1790"/>
    <w:rsid w:val="008E3101"/>
    <w:rsid w:val="008F0406"/>
    <w:rsid w:val="008F3695"/>
    <w:rsid w:val="008F5996"/>
    <w:rsid w:val="008F61B7"/>
    <w:rsid w:val="008F7B2E"/>
    <w:rsid w:val="008F7E02"/>
    <w:rsid w:val="00906F9B"/>
    <w:rsid w:val="00907011"/>
    <w:rsid w:val="00911FAC"/>
    <w:rsid w:val="00924BD5"/>
    <w:rsid w:val="00931CF5"/>
    <w:rsid w:val="00935D70"/>
    <w:rsid w:val="00936901"/>
    <w:rsid w:val="009416C9"/>
    <w:rsid w:val="00943A57"/>
    <w:rsid w:val="009627BA"/>
    <w:rsid w:val="0096704A"/>
    <w:rsid w:val="009722D6"/>
    <w:rsid w:val="00974CFB"/>
    <w:rsid w:val="009820D9"/>
    <w:rsid w:val="009838F9"/>
    <w:rsid w:val="00990454"/>
    <w:rsid w:val="009906CE"/>
    <w:rsid w:val="009A6903"/>
    <w:rsid w:val="009B6327"/>
    <w:rsid w:val="009C6905"/>
    <w:rsid w:val="009D20E3"/>
    <w:rsid w:val="009D3922"/>
    <w:rsid w:val="009D451D"/>
    <w:rsid w:val="009D6CEC"/>
    <w:rsid w:val="009E1119"/>
    <w:rsid w:val="009E2714"/>
    <w:rsid w:val="009E6985"/>
    <w:rsid w:val="009F253A"/>
    <w:rsid w:val="009F4843"/>
    <w:rsid w:val="00A07548"/>
    <w:rsid w:val="00A14648"/>
    <w:rsid w:val="00A2253D"/>
    <w:rsid w:val="00A22E96"/>
    <w:rsid w:val="00A23734"/>
    <w:rsid w:val="00A23F9B"/>
    <w:rsid w:val="00A23FE4"/>
    <w:rsid w:val="00A2533A"/>
    <w:rsid w:val="00A267CB"/>
    <w:rsid w:val="00A307F2"/>
    <w:rsid w:val="00A32675"/>
    <w:rsid w:val="00A3367A"/>
    <w:rsid w:val="00A35F6A"/>
    <w:rsid w:val="00A365DA"/>
    <w:rsid w:val="00A373B1"/>
    <w:rsid w:val="00A544E6"/>
    <w:rsid w:val="00A55E24"/>
    <w:rsid w:val="00A60AAA"/>
    <w:rsid w:val="00A61F7E"/>
    <w:rsid w:val="00A62210"/>
    <w:rsid w:val="00A6734B"/>
    <w:rsid w:val="00A70DD8"/>
    <w:rsid w:val="00A8198D"/>
    <w:rsid w:val="00A82731"/>
    <w:rsid w:val="00A83AB7"/>
    <w:rsid w:val="00A86289"/>
    <w:rsid w:val="00A921EB"/>
    <w:rsid w:val="00A93105"/>
    <w:rsid w:val="00A94BBC"/>
    <w:rsid w:val="00AA4520"/>
    <w:rsid w:val="00AB0CED"/>
    <w:rsid w:val="00AB2269"/>
    <w:rsid w:val="00AB3CBC"/>
    <w:rsid w:val="00AB3DB0"/>
    <w:rsid w:val="00AD0B60"/>
    <w:rsid w:val="00AD30BE"/>
    <w:rsid w:val="00AE0638"/>
    <w:rsid w:val="00AE6302"/>
    <w:rsid w:val="00AE7A32"/>
    <w:rsid w:val="00AF0FAC"/>
    <w:rsid w:val="00AF3149"/>
    <w:rsid w:val="00AF3828"/>
    <w:rsid w:val="00AF7AB3"/>
    <w:rsid w:val="00B033CB"/>
    <w:rsid w:val="00B03698"/>
    <w:rsid w:val="00B044E5"/>
    <w:rsid w:val="00B10369"/>
    <w:rsid w:val="00B14A72"/>
    <w:rsid w:val="00B15912"/>
    <w:rsid w:val="00B21F96"/>
    <w:rsid w:val="00B2658F"/>
    <w:rsid w:val="00B272D2"/>
    <w:rsid w:val="00B27D76"/>
    <w:rsid w:val="00B35B71"/>
    <w:rsid w:val="00B41DD7"/>
    <w:rsid w:val="00B43B98"/>
    <w:rsid w:val="00B46CE1"/>
    <w:rsid w:val="00B5635B"/>
    <w:rsid w:val="00B66B70"/>
    <w:rsid w:val="00B70704"/>
    <w:rsid w:val="00B70B8E"/>
    <w:rsid w:val="00B762D9"/>
    <w:rsid w:val="00B836C2"/>
    <w:rsid w:val="00B84E27"/>
    <w:rsid w:val="00B86054"/>
    <w:rsid w:val="00B90CFD"/>
    <w:rsid w:val="00B92629"/>
    <w:rsid w:val="00BA071A"/>
    <w:rsid w:val="00BA251E"/>
    <w:rsid w:val="00BA5B1B"/>
    <w:rsid w:val="00BB030F"/>
    <w:rsid w:val="00BB7D27"/>
    <w:rsid w:val="00BC12FC"/>
    <w:rsid w:val="00BD36AF"/>
    <w:rsid w:val="00BF49B4"/>
    <w:rsid w:val="00BF7EB3"/>
    <w:rsid w:val="00C0455F"/>
    <w:rsid w:val="00C0592F"/>
    <w:rsid w:val="00C1027A"/>
    <w:rsid w:val="00C11121"/>
    <w:rsid w:val="00C16771"/>
    <w:rsid w:val="00C24DF2"/>
    <w:rsid w:val="00C36DBB"/>
    <w:rsid w:val="00C40DC8"/>
    <w:rsid w:val="00C44B67"/>
    <w:rsid w:val="00C472BE"/>
    <w:rsid w:val="00C54515"/>
    <w:rsid w:val="00C5591B"/>
    <w:rsid w:val="00C5650A"/>
    <w:rsid w:val="00C62B70"/>
    <w:rsid w:val="00C72A0A"/>
    <w:rsid w:val="00C73C89"/>
    <w:rsid w:val="00C74F8F"/>
    <w:rsid w:val="00C763F4"/>
    <w:rsid w:val="00C77047"/>
    <w:rsid w:val="00C82FE2"/>
    <w:rsid w:val="00C848E4"/>
    <w:rsid w:val="00C85E34"/>
    <w:rsid w:val="00C901B8"/>
    <w:rsid w:val="00C96654"/>
    <w:rsid w:val="00C96FBD"/>
    <w:rsid w:val="00CA038A"/>
    <w:rsid w:val="00CB1D12"/>
    <w:rsid w:val="00CB252F"/>
    <w:rsid w:val="00CB67FC"/>
    <w:rsid w:val="00CC4770"/>
    <w:rsid w:val="00CD137F"/>
    <w:rsid w:val="00CD1FA0"/>
    <w:rsid w:val="00CD21EA"/>
    <w:rsid w:val="00CD301E"/>
    <w:rsid w:val="00CD7182"/>
    <w:rsid w:val="00CE1041"/>
    <w:rsid w:val="00CE69BE"/>
    <w:rsid w:val="00CF42A7"/>
    <w:rsid w:val="00D00314"/>
    <w:rsid w:val="00D036A0"/>
    <w:rsid w:val="00D1006E"/>
    <w:rsid w:val="00D117F0"/>
    <w:rsid w:val="00D13846"/>
    <w:rsid w:val="00D17B3D"/>
    <w:rsid w:val="00D17B78"/>
    <w:rsid w:val="00D210EA"/>
    <w:rsid w:val="00D26F89"/>
    <w:rsid w:val="00D37914"/>
    <w:rsid w:val="00D436B9"/>
    <w:rsid w:val="00D530B0"/>
    <w:rsid w:val="00D56FBE"/>
    <w:rsid w:val="00D637D7"/>
    <w:rsid w:val="00D66743"/>
    <w:rsid w:val="00D72E74"/>
    <w:rsid w:val="00D748CE"/>
    <w:rsid w:val="00D80904"/>
    <w:rsid w:val="00D9406B"/>
    <w:rsid w:val="00D97EBC"/>
    <w:rsid w:val="00DA3611"/>
    <w:rsid w:val="00DA4E2B"/>
    <w:rsid w:val="00DA4F5B"/>
    <w:rsid w:val="00DA6F56"/>
    <w:rsid w:val="00DC2DF7"/>
    <w:rsid w:val="00DC2E51"/>
    <w:rsid w:val="00DC7AAE"/>
    <w:rsid w:val="00DD418A"/>
    <w:rsid w:val="00DE0896"/>
    <w:rsid w:val="00DF6514"/>
    <w:rsid w:val="00E043F6"/>
    <w:rsid w:val="00E053D8"/>
    <w:rsid w:val="00E17B8F"/>
    <w:rsid w:val="00E208C5"/>
    <w:rsid w:val="00E234F5"/>
    <w:rsid w:val="00E3589B"/>
    <w:rsid w:val="00E36F7C"/>
    <w:rsid w:val="00E41BB0"/>
    <w:rsid w:val="00E47947"/>
    <w:rsid w:val="00E52C4C"/>
    <w:rsid w:val="00E54A9C"/>
    <w:rsid w:val="00E5527C"/>
    <w:rsid w:val="00E62866"/>
    <w:rsid w:val="00E64B83"/>
    <w:rsid w:val="00E67EC0"/>
    <w:rsid w:val="00E704C8"/>
    <w:rsid w:val="00E73C3A"/>
    <w:rsid w:val="00E75595"/>
    <w:rsid w:val="00E91502"/>
    <w:rsid w:val="00E95EC3"/>
    <w:rsid w:val="00E97D02"/>
    <w:rsid w:val="00EB0A07"/>
    <w:rsid w:val="00EB3936"/>
    <w:rsid w:val="00EB572B"/>
    <w:rsid w:val="00EB5BE4"/>
    <w:rsid w:val="00ED196E"/>
    <w:rsid w:val="00ED3106"/>
    <w:rsid w:val="00ED63B7"/>
    <w:rsid w:val="00ED7AA4"/>
    <w:rsid w:val="00EE4BAF"/>
    <w:rsid w:val="00EE5E3B"/>
    <w:rsid w:val="00EF2769"/>
    <w:rsid w:val="00EF3236"/>
    <w:rsid w:val="00F012F0"/>
    <w:rsid w:val="00F06672"/>
    <w:rsid w:val="00F110FB"/>
    <w:rsid w:val="00F1446F"/>
    <w:rsid w:val="00F17541"/>
    <w:rsid w:val="00F2339F"/>
    <w:rsid w:val="00F23E03"/>
    <w:rsid w:val="00F313C7"/>
    <w:rsid w:val="00F33760"/>
    <w:rsid w:val="00F36183"/>
    <w:rsid w:val="00F366D6"/>
    <w:rsid w:val="00F53E4F"/>
    <w:rsid w:val="00F54B34"/>
    <w:rsid w:val="00F56BDD"/>
    <w:rsid w:val="00F57D58"/>
    <w:rsid w:val="00F57F0F"/>
    <w:rsid w:val="00F672EF"/>
    <w:rsid w:val="00F72421"/>
    <w:rsid w:val="00F75394"/>
    <w:rsid w:val="00F87CCB"/>
    <w:rsid w:val="00F93C7F"/>
    <w:rsid w:val="00F94C4E"/>
    <w:rsid w:val="00FA2FCB"/>
    <w:rsid w:val="00FA752A"/>
    <w:rsid w:val="00FB00DD"/>
    <w:rsid w:val="00FB535A"/>
    <w:rsid w:val="00FB6E83"/>
    <w:rsid w:val="00FC0CD3"/>
    <w:rsid w:val="00FC4439"/>
    <w:rsid w:val="00FC4CA6"/>
    <w:rsid w:val="00FC6935"/>
    <w:rsid w:val="00FD27D2"/>
    <w:rsid w:val="00FD3D8E"/>
    <w:rsid w:val="00FD49D5"/>
    <w:rsid w:val="00FD6B15"/>
    <w:rsid w:val="00FE40AD"/>
    <w:rsid w:val="00FF0F7D"/>
    <w:rsid w:val="00FF645F"/>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6DFD2D"/>
  <w15:docId w15:val="{9CEE6B63-0FD3-4FE3-A432-0B86BD80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B67"/>
    <w:rPr>
      <w:rFonts w:ascii="Times New Roman" w:hAnsi="Times New Roman" w:cs="Times New Roman"/>
      <w:sz w:val="24"/>
      <w:szCs w:val="24"/>
    </w:rPr>
  </w:style>
  <w:style w:type="paragraph" w:styleId="Heading1">
    <w:name w:val="heading 1"/>
    <w:basedOn w:val="Normal"/>
    <w:next w:val="Normal"/>
    <w:link w:val="Heading1Char"/>
    <w:uiPriority w:val="9"/>
    <w:qFormat/>
    <w:rsid w:val="003F6359"/>
    <w:pPr>
      <w:keepNext/>
      <w:keepLines/>
      <w:spacing w:before="480" w:after="0"/>
      <w:jc w:val="center"/>
      <w:outlineLvl w:val="0"/>
    </w:pPr>
    <w:rPr>
      <w:rFonts w:eastAsiaTheme="majorEastAsia"/>
      <w:b/>
      <w:bCs/>
    </w:rPr>
  </w:style>
  <w:style w:type="paragraph" w:styleId="Heading2">
    <w:name w:val="heading 2"/>
    <w:basedOn w:val="Normal"/>
    <w:next w:val="Normal"/>
    <w:link w:val="Heading2Char"/>
    <w:uiPriority w:val="9"/>
    <w:unhideWhenUsed/>
    <w:qFormat/>
    <w:rsid w:val="003F6359"/>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D56FBE"/>
    <w:pPr>
      <w:keepNext/>
      <w:keepLines/>
      <w:spacing w:before="200" w:after="0"/>
      <w:outlineLvl w:val="2"/>
    </w:pPr>
    <w:rPr>
      <w:rFonts w:eastAsiaTheme="majorEastAsia"/>
      <w:b/>
      <w:bCs/>
    </w:rPr>
  </w:style>
  <w:style w:type="paragraph" w:styleId="Heading4">
    <w:name w:val="heading 4"/>
    <w:basedOn w:val="Normal"/>
    <w:next w:val="Normal"/>
    <w:link w:val="Heading4Char"/>
    <w:uiPriority w:val="9"/>
    <w:unhideWhenUsed/>
    <w:qFormat/>
    <w:rsid w:val="00D56FBE"/>
    <w:pPr>
      <w:keepNext/>
      <w:keepLines/>
      <w:spacing w:before="200" w:after="0"/>
      <w:outlineLvl w:val="3"/>
    </w:pPr>
    <w:rPr>
      <w:rFonts w:eastAsiaTheme="majorEastAsia"/>
      <w:bCs/>
      <w:iCs/>
      <w:u w:val="single"/>
    </w:rPr>
  </w:style>
  <w:style w:type="paragraph" w:styleId="Heading5">
    <w:name w:val="heading 5"/>
    <w:basedOn w:val="Normal"/>
    <w:next w:val="Normal"/>
    <w:link w:val="Heading5Char"/>
    <w:uiPriority w:val="9"/>
    <w:unhideWhenUsed/>
    <w:qFormat/>
    <w:rsid w:val="003F635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21F96"/>
    <w:pPr>
      <w:keepNext/>
      <w:keepLines/>
      <w:spacing w:before="200" w:after="0"/>
      <w:outlineLvl w:val="5"/>
    </w:pPr>
    <w:rPr>
      <w:rFonts w:eastAsiaTheme="majorEastAsia"/>
      <w:i/>
      <w:iCs/>
    </w:rPr>
  </w:style>
  <w:style w:type="paragraph" w:styleId="Heading7">
    <w:name w:val="heading 7"/>
    <w:basedOn w:val="Normal"/>
    <w:next w:val="Normal"/>
    <w:link w:val="Heading7Char"/>
    <w:uiPriority w:val="9"/>
    <w:semiHidden/>
    <w:unhideWhenUsed/>
    <w:qFormat/>
    <w:rsid w:val="00D3791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379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79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359"/>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3F6359"/>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D56FBE"/>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D56FBE"/>
    <w:rPr>
      <w:rFonts w:ascii="Times New Roman" w:eastAsiaTheme="majorEastAsia" w:hAnsi="Times New Roman" w:cs="Times New Roman"/>
      <w:bCs/>
      <w:iCs/>
      <w:sz w:val="24"/>
      <w:szCs w:val="24"/>
      <w:u w:val="single"/>
    </w:rPr>
  </w:style>
  <w:style w:type="character" w:customStyle="1" w:styleId="Heading5Char">
    <w:name w:val="Heading 5 Char"/>
    <w:basedOn w:val="DefaultParagraphFont"/>
    <w:link w:val="Heading5"/>
    <w:uiPriority w:val="9"/>
    <w:rsid w:val="003F6359"/>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3F635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635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C44B67"/>
    <w:rPr>
      <w:color w:val="0000FF" w:themeColor="hyperlink"/>
      <w:u w:val="single"/>
    </w:rPr>
  </w:style>
  <w:style w:type="table" w:styleId="TableGrid">
    <w:name w:val="Table Grid"/>
    <w:basedOn w:val="TableNormal"/>
    <w:uiPriority w:val="59"/>
    <w:rsid w:val="00E97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97D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rsid w:val="00B21F96"/>
    <w:rPr>
      <w:rFonts w:ascii="Times New Roman" w:eastAsiaTheme="majorEastAsia" w:hAnsi="Times New Roman" w:cs="Times New Roman"/>
      <w:i/>
      <w:iCs/>
      <w:sz w:val="24"/>
      <w:szCs w:val="24"/>
    </w:rPr>
  </w:style>
  <w:style w:type="paragraph" w:styleId="Caption">
    <w:name w:val="caption"/>
    <w:basedOn w:val="Normal"/>
    <w:next w:val="Normal"/>
    <w:uiPriority w:val="35"/>
    <w:unhideWhenUsed/>
    <w:qFormat/>
    <w:rsid w:val="001F1E3F"/>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1F1E3F"/>
    <w:pPr>
      <w:spacing w:after="120"/>
    </w:pPr>
  </w:style>
  <w:style w:type="character" w:customStyle="1" w:styleId="BodyTextChar">
    <w:name w:val="Body Text Char"/>
    <w:basedOn w:val="DefaultParagraphFont"/>
    <w:link w:val="BodyText"/>
    <w:uiPriority w:val="99"/>
    <w:semiHidden/>
    <w:rsid w:val="001F1E3F"/>
    <w:rPr>
      <w:rFonts w:ascii="Times New Roman" w:hAnsi="Times New Roman" w:cs="Times New Roman"/>
      <w:sz w:val="24"/>
      <w:szCs w:val="24"/>
    </w:rPr>
  </w:style>
  <w:style w:type="paragraph" w:customStyle="1" w:styleId="TableText">
    <w:name w:val="Table Text"/>
    <w:link w:val="TableTextChar"/>
    <w:qFormat/>
    <w:rsid w:val="001F1E3F"/>
    <w:pPr>
      <w:keepNext/>
      <w:keepLines/>
      <w:suppressAutoHyphens/>
      <w:spacing w:after="20" w:line="264" w:lineRule="auto"/>
    </w:pPr>
    <w:rPr>
      <w:rFonts w:ascii="Times New Roman" w:eastAsia="Times New Roman" w:hAnsi="Times New Roman" w:cs="Times New Roman"/>
      <w:sz w:val="20"/>
      <w:szCs w:val="24"/>
      <w:lang w:val="en-GB" w:eastAsia="en-GB"/>
    </w:rPr>
  </w:style>
  <w:style w:type="character" w:customStyle="1" w:styleId="TableTextChar">
    <w:name w:val="Table Text Char"/>
    <w:link w:val="TableText"/>
    <w:locked/>
    <w:rsid w:val="001F1E3F"/>
    <w:rPr>
      <w:rFonts w:ascii="Times New Roman" w:eastAsia="Times New Roman" w:hAnsi="Times New Roman" w:cs="Times New Roman"/>
      <w:sz w:val="20"/>
      <w:szCs w:val="24"/>
      <w:lang w:val="en-GB" w:eastAsia="en-GB"/>
    </w:rPr>
  </w:style>
  <w:style w:type="character" w:styleId="CommentReference">
    <w:name w:val="annotation reference"/>
    <w:basedOn w:val="DefaultParagraphFont"/>
    <w:uiPriority w:val="99"/>
    <w:semiHidden/>
    <w:unhideWhenUsed/>
    <w:rsid w:val="003B0FB0"/>
    <w:rPr>
      <w:sz w:val="16"/>
      <w:szCs w:val="16"/>
    </w:rPr>
  </w:style>
  <w:style w:type="paragraph" w:styleId="CommentText">
    <w:name w:val="annotation text"/>
    <w:basedOn w:val="Normal"/>
    <w:link w:val="CommentTextChar"/>
    <w:uiPriority w:val="99"/>
    <w:unhideWhenUsed/>
    <w:rsid w:val="003B0FB0"/>
    <w:pPr>
      <w:spacing w:line="240" w:lineRule="auto"/>
    </w:pPr>
    <w:rPr>
      <w:sz w:val="20"/>
      <w:szCs w:val="20"/>
    </w:rPr>
  </w:style>
  <w:style w:type="character" w:customStyle="1" w:styleId="CommentTextChar">
    <w:name w:val="Comment Text Char"/>
    <w:basedOn w:val="DefaultParagraphFont"/>
    <w:link w:val="CommentText"/>
    <w:uiPriority w:val="99"/>
    <w:rsid w:val="003B0F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0FB0"/>
    <w:rPr>
      <w:b/>
      <w:bCs/>
    </w:rPr>
  </w:style>
  <w:style w:type="character" w:customStyle="1" w:styleId="CommentSubjectChar">
    <w:name w:val="Comment Subject Char"/>
    <w:basedOn w:val="CommentTextChar"/>
    <w:link w:val="CommentSubject"/>
    <w:uiPriority w:val="99"/>
    <w:semiHidden/>
    <w:rsid w:val="003B0F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3B0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FB0"/>
    <w:rPr>
      <w:rFonts w:ascii="Tahoma" w:hAnsi="Tahoma" w:cs="Tahoma"/>
      <w:sz w:val="16"/>
      <w:szCs w:val="16"/>
    </w:rPr>
  </w:style>
  <w:style w:type="paragraph" w:styleId="Header">
    <w:name w:val="header"/>
    <w:basedOn w:val="Normal"/>
    <w:link w:val="HeaderChar"/>
    <w:uiPriority w:val="99"/>
    <w:unhideWhenUsed/>
    <w:rsid w:val="00601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F02"/>
    <w:rPr>
      <w:rFonts w:ascii="Times New Roman" w:hAnsi="Times New Roman" w:cs="Times New Roman"/>
      <w:sz w:val="24"/>
      <w:szCs w:val="24"/>
    </w:rPr>
  </w:style>
  <w:style w:type="paragraph" w:styleId="Footer">
    <w:name w:val="footer"/>
    <w:basedOn w:val="Normal"/>
    <w:link w:val="FooterChar"/>
    <w:unhideWhenUsed/>
    <w:rsid w:val="00601F02"/>
    <w:pPr>
      <w:tabs>
        <w:tab w:val="center" w:pos="4513"/>
        <w:tab w:val="right" w:pos="9026"/>
      </w:tabs>
      <w:spacing w:after="0" w:line="240" w:lineRule="auto"/>
    </w:pPr>
  </w:style>
  <w:style w:type="character" w:customStyle="1" w:styleId="FooterChar">
    <w:name w:val="Footer Char"/>
    <w:basedOn w:val="DefaultParagraphFont"/>
    <w:link w:val="Footer"/>
    <w:rsid w:val="00601F02"/>
    <w:rPr>
      <w:rFonts w:ascii="Times New Roman" w:hAnsi="Times New Roman" w:cs="Times New Roman"/>
      <w:sz w:val="24"/>
      <w:szCs w:val="24"/>
    </w:rPr>
  </w:style>
  <w:style w:type="paragraph" w:styleId="FootnoteText">
    <w:name w:val="footnote text"/>
    <w:basedOn w:val="Normal"/>
    <w:link w:val="FootnoteTextChar"/>
    <w:uiPriority w:val="99"/>
    <w:unhideWhenUsed/>
    <w:rsid w:val="003E0011"/>
    <w:pPr>
      <w:spacing w:after="0" w:line="240" w:lineRule="auto"/>
    </w:pPr>
    <w:rPr>
      <w:sz w:val="20"/>
      <w:szCs w:val="20"/>
    </w:rPr>
  </w:style>
  <w:style w:type="character" w:customStyle="1" w:styleId="FootnoteTextChar">
    <w:name w:val="Footnote Text Char"/>
    <w:basedOn w:val="DefaultParagraphFont"/>
    <w:link w:val="FootnoteText"/>
    <w:uiPriority w:val="99"/>
    <w:rsid w:val="003E001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3E0011"/>
    <w:rPr>
      <w:vertAlign w:val="superscript"/>
    </w:rPr>
  </w:style>
  <w:style w:type="paragraph" w:styleId="ListParagraph">
    <w:name w:val="List Paragraph"/>
    <w:basedOn w:val="Normal"/>
    <w:uiPriority w:val="34"/>
    <w:qFormat/>
    <w:rsid w:val="00C82FE2"/>
    <w:pPr>
      <w:ind w:left="720"/>
      <w:contextualSpacing/>
    </w:pPr>
  </w:style>
  <w:style w:type="paragraph" w:styleId="Revision">
    <w:name w:val="Revision"/>
    <w:hidden/>
    <w:uiPriority w:val="99"/>
    <w:semiHidden/>
    <w:rsid w:val="005E23B9"/>
    <w:pPr>
      <w:spacing w:after="0" w:line="240" w:lineRule="auto"/>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0A5D99"/>
    <w:rPr>
      <w:color w:val="605E5C"/>
      <w:shd w:val="clear" w:color="auto" w:fill="E1DFDD"/>
    </w:rPr>
  </w:style>
  <w:style w:type="character" w:styleId="Strong">
    <w:name w:val="Strong"/>
    <w:basedOn w:val="DefaultParagraphFont"/>
    <w:uiPriority w:val="22"/>
    <w:rsid w:val="00E36F7C"/>
    <w:rPr>
      <w:b/>
      <w:bCs/>
    </w:rPr>
  </w:style>
  <w:style w:type="character" w:styleId="PageNumber">
    <w:name w:val="page number"/>
    <w:basedOn w:val="DefaultParagraphFont"/>
    <w:uiPriority w:val="5"/>
    <w:rsid w:val="002475AD"/>
  </w:style>
  <w:style w:type="paragraph" w:customStyle="1" w:styleId="BulletList">
    <w:name w:val="Bullet List"/>
    <w:basedOn w:val="BodyText"/>
    <w:uiPriority w:val="8"/>
    <w:qFormat/>
    <w:rsid w:val="0059121A"/>
    <w:pPr>
      <w:keepNext/>
      <w:numPr>
        <w:numId w:val="18"/>
      </w:numPr>
      <w:tabs>
        <w:tab w:val="left" w:pos="397"/>
      </w:tabs>
      <w:suppressAutoHyphens/>
      <w:spacing w:after="0" w:line="264" w:lineRule="auto"/>
      <w:ind w:left="357" w:hanging="357"/>
    </w:pPr>
    <w:rPr>
      <w:rFonts w:eastAsia="Times New Roman"/>
      <w:lang w:val="en-GB"/>
    </w:rPr>
  </w:style>
  <w:style w:type="character" w:customStyle="1" w:styleId="Heading7Char">
    <w:name w:val="Heading 7 Char"/>
    <w:basedOn w:val="DefaultParagraphFont"/>
    <w:link w:val="Heading7"/>
    <w:uiPriority w:val="9"/>
    <w:semiHidden/>
    <w:rsid w:val="00D37914"/>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D379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791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4.docx"/><Relationship Id="rId21" Type="http://schemas.openxmlformats.org/officeDocument/2006/relationships/package" Target="embeddings/Microsoft_Word_Document5.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8.docx"/><Relationship Id="rId50" Type="http://schemas.openxmlformats.org/officeDocument/2006/relationships/image" Target="media/image21.emf"/><Relationship Id="rId55" Type="http://schemas.openxmlformats.org/officeDocument/2006/relationships/image" Target="media/image24.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41" Type="http://schemas.openxmlformats.org/officeDocument/2006/relationships/package" Target="embeddings/Microsoft_Word_Document15.docx"/><Relationship Id="rId54" Type="http://schemas.openxmlformats.org/officeDocument/2006/relationships/image" Target="media/image23.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3.docx"/><Relationship Id="rId40" Type="http://schemas.openxmlformats.org/officeDocument/2006/relationships/image" Target="media/image16.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19.docx"/><Relationship Id="rId57" Type="http://schemas.openxmlformats.org/officeDocument/2006/relationships/hyperlink" Target="http://www.novonordisk.com.au" TargetMode="External"/><Relationship Id="rId61"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orp.novocorp.net\aunr\039-2000\Reg\Labelling\PI\Superseded\Ozempic\20190828-nbe-versions\www.tga.gov.au\reporting-problem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0.emf"/><Relationship Id="rId56" Type="http://schemas.openxmlformats.org/officeDocument/2006/relationships/package" Target="embeddings/Microsoft_Word_Document22.docx"/><Relationship Id="rId64" Type="http://schemas.openxmlformats.org/officeDocument/2006/relationships/fontTable" Target="fontTable.xml"/><Relationship Id="rId8" Type="http://schemas.openxmlformats.org/officeDocument/2006/relationships/hyperlink" Target="http://www.tga.gov.au/reporting-problems" TargetMode="External"/><Relationship Id="rId51" Type="http://schemas.openxmlformats.org/officeDocument/2006/relationships/package" Target="embeddings/Microsoft_Word_Document20.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3CB29-C3CD-4F96-BABD-96BF28CA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10383</Words>
  <Characters>60119</Characters>
  <Application>Microsoft Office Word</Application>
  <DocSecurity>0</DocSecurity>
  <Lines>1541</Lines>
  <Paragraphs>859</Paragraphs>
  <ScaleCrop>false</ScaleCrop>
  <HeadingPairs>
    <vt:vector size="2" baseType="variant">
      <vt:variant>
        <vt:lpstr>Title</vt:lpstr>
      </vt:variant>
      <vt:variant>
        <vt:i4>1</vt:i4>
      </vt:variant>
    </vt:vector>
  </HeadingPairs>
  <TitlesOfParts>
    <vt:vector size="1" baseType="lpstr">
      <vt:lpstr>Attachment 1: Product Information for insulin degludec/liraglutide</vt:lpstr>
    </vt:vector>
  </TitlesOfParts>
  <Company>Novo Nordisk A/S</Company>
  <LinksUpToDate>false</LinksUpToDate>
  <CharactersWithSpaces>69643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Product Information for insulin degludec/liraglutide</dc:title>
  <dc:subject>prescription medicines</dc:subject>
  <dc:creator>Novo Nordisk A/S</dc:creator>
  <cp:keywords/>
  <dc:description>Equivalent to 1.3.1.1 - PI-2nd response to Delegates Overview-clean.docx.</dc:description>
  <cp:lastPrinted>2020-12-07T05:39:00Z</cp:lastPrinted>
  <dcterms:created xsi:type="dcterms:W3CDTF">2021-04-15T05:01:00Z</dcterms:created>
  <dcterms:modified xsi:type="dcterms:W3CDTF">2021-04-15T05:01:00Z</dcterms:modified>
</cp:coreProperties>
</file>