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468322D" w14:textId="77777777" w:rsidTr="00BF1190">
        <w:trPr>
          <w:trHeight w:val="1863"/>
        </w:trPr>
        <w:tc>
          <w:tcPr>
            <w:tcW w:w="3652" w:type="dxa"/>
            <w:tcBorders>
              <w:top w:val="nil"/>
              <w:left w:val="nil"/>
              <w:bottom w:val="nil"/>
              <w:right w:val="nil"/>
            </w:tcBorders>
          </w:tcPr>
          <w:p w14:paraId="328E33DB" w14:textId="1C3FA407" w:rsidR="008E7846" w:rsidRPr="00096AA7" w:rsidRDefault="00986356" w:rsidP="007B4A4F">
            <w:pPr>
              <w:pStyle w:val="Date"/>
              <w:framePr w:hSpace="0" w:wrap="auto" w:vAnchor="margin" w:hAnchor="text" w:yAlign="inline"/>
              <w:suppressOverlap w:val="0"/>
            </w:pPr>
            <w:r>
              <w:t>August</w:t>
            </w:r>
            <w:r w:rsidR="00732E2C">
              <w:t xml:space="preserve">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6202F4A" w14:textId="77777777" w:rsidTr="0032583B">
        <w:trPr>
          <w:trHeight w:val="868"/>
        </w:trPr>
        <w:tc>
          <w:tcPr>
            <w:tcW w:w="9079" w:type="dxa"/>
          </w:tcPr>
          <w:p w14:paraId="7C59A51C" w14:textId="0064C988" w:rsidR="0032583B" w:rsidRPr="007B4A4F" w:rsidRDefault="0032583B" w:rsidP="007B4A4F">
            <w:pPr>
              <w:pStyle w:val="Title"/>
              <w:framePr w:hSpace="0" w:wrap="auto" w:vAnchor="margin" w:yAlign="inline"/>
            </w:pPr>
            <w:r w:rsidRPr="007B4A4F">
              <w:t>Australian Pu</w:t>
            </w:r>
            <w:r w:rsidR="00CD6560" w:rsidRPr="007B4A4F">
              <w:t>blic Assessment Report for Insulin aspart (rys)</w:t>
            </w:r>
          </w:p>
        </w:tc>
      </w:tr>
      <w:tr w:rsidR="0032583B" w:rsidRPr="00B64760" w14:paraId="318FB79B" w14:textId="77777777" w:rsidTr="0032583B">
        <w:tc>
          <w:tcPr>
            <w:tcW w:w="9079" w:type="dxa"/>
          </w:tcPr>
          <w:p w14:paraId="6BC2F722" w14:textId="35508531" w:rsidR="0032583B" w:rsidRPr="008E7846" w:rsidRDefault="00CD6560" w:rsidP="007B4A4F">
            <w:pPr>
              <w:pStyle w:val="Subtitle"/>
              <w:framePr w:hSpace="0" w:wrap="auto" w:vAnchor="margin" w:yAlign="inline"/>
            </w:pPr>
            <w:r>
              <w:t>Proprietary Product Name: Fiasp</w:t>
            </w:r>
            <w:r w:rsidR="00006189">
              <w:t>,</w:t>
            </w:r>
            <w:r>
              <w:t xml:space="preserve"> Fiasp </w:t>
            </w:r>
            <w:r w:rsidR="00D153BF">
              <w:t>P</w:t>
            </w:r>
            <w:r>
              <w:t>enfill</w:t>
            </w:r>
            <w:r w:rsidR="00006189">
              <w:t>,</w:t>
            </w:r>
            <w:r w:rsidR="00986356">
              <w:t xml:space="preserve"> and</w:t>
            </w:r>
            <w:r>
              <w:t xml:space="preserve"> Fiasp Flex</w:t>
            </w:r>
            <w:r w:rsidR="00986356">
              <w:t>T</w:t>
            </w:r>
            <w:r>
              <w:t>ouch</w:t>
            </w:r>
          </w:p>
        </w:tc>
      </w:tr>
      <w:tr w:rsidR="0032583B" w:rsidRPr="00B64760" w14:paraId="5F50F3E3" w14:textId="77777777" w:rsidTr="0032583B">
        <w:trPr>
          <w:trHeight w:val="486"/>
        </w:trPr>
        <w:tc>
          <w:tcPr>
            <w:tcW w:w="9079" w:type="dxa"/>
          </w:tcPr>
          <w:p w14:paraId="718390A5" w14:textId="2C78FE6C" w:rsidR="0032583B" w:rsidRPr="008E7846" w:rsidRDefault="00CD6560" w:rsidP="007B4A4F">
            <w:pPr>
              <w:pStyle w:val="Subtitle"/>
              <w:framePr w:hSpace="0" w:wrap="auto" w:vAnchor="margin" w:yAlign="inline"/>
            </w:pPr>
            <w:r>
              <w:t>Sponsor: Novo Nordisk Pharmaceuticals Pty Ltd</w:t>
            </w:r>
          </w:p>
        </w:tc>
      </w:tr>
    </w:tbl>
    <w:p w14:paraId="3FA945AC" w14:textId="77777777" w:rsidR="008E7846" w:rsidRPr="0085156D" w:rsidRDefault="008E7846" w:rsidP="0085156D">
      <w:r w:rsidRPr="0085156D">
        <w:br w:type="page"/>
      </w:r>
    </w:p>
    <w:p w14:paraId="5BE2BB23" w14:textId="77777777" w:rsidR="008E7846" w:rsidRPr="001F6CBA" w:rsidRDefault="008E7846" w:rsidP="007B4A4F">
      <w:pPr>
        <w:pStyle w:val="NonTOCHeading2"/>
      </w:pPr>
      <w:r w:rsidRPr="001F6CBA">
        <w:lastRenderedPageBreak/>
        <w:t>About the Therapeutic Goods Administration (TGA)</w:t>
      </w:r>
    </w:p>
    <w:p w14:paraId="24321DE2"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1B13DB8"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79994C8"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9EDADCC"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0E314FBE" w14:textId="419385EF"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14CCDD54" w14:textId="77777777" w:rsidR="008E7846" w:rsidRDefault="008E7846" w:rsidP="00875A6B">
      <w:pPr>
        <w:pStyle w:val="NonTOCHeading2"/>
      </w:pPr>
      <w:r>
        <w:t>About AusPARs</w:t>
      </w:r>
    </w:p>
    <w:p w14:paraId="1253A6ED"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E37898C" w14:textId="77777777" w:rsidR="008E7846" w:rsidRDefault="008E7846" w:rsidP="008E7846">
      <w:pPr>
        <w:pStyle w:val="ListBullet"/>
        <w:numPr>
          <w:ilvl w:val="0"/>
          <w:numId w:val="3"/>
        </w:numPr>
        <w:ind w:left="357" w:hanging="357"/>
      </w:pPr>
      <w:r>
        <w:t>AusPARs are prepared and published by the TGA.</w:t>
      </w:r>
    </w:p>
    <w:p w14:paraId="23A48339"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794AE07E"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8934A38"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5931757" w14:textId="77777777" w:rsidR="00924482" w:rsidRPr="00DF1D7F" w:rsidRDefault="00924482" w:rsidP="00F54B65">
      <w:pPr>
        <w:pStyle w:val="LegalSubheading"/>
        <w:spacing w:before="3120"/>
      </w:pPr>
      <w:r w:rsidRPr="00DF1D7F">
        <w:t>Copyright</w:t>
      </w:r>
    </w:p>
    <w:p w14:paraId="06F34C03" w14:textId="5385EDCD" w:rsidR="00924482" w:rsidRDefault="00924482" w:rsidP="00924482">
      <w:pPr>
        <w:pStyle w:val="LegalCopy"/>
      </w:pPr>
      <w:r w:rsidRPr="00191B3B">
        <w:rPr>
          <w:rFonts w:cs="Arial"/>
          <w:lang w:val="en-GB"/>
        </w:rPr>
        <w:t>© Comm</w:t>
      </w:r>
      <w:r w:rsidR="00732E2C">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3EB7B5AE" w14:textId="77777777" w:rsidR="00924482" w:rsidRDefault="00924482" w:rsidP="00924482">
      <w:pPr>
        <w:pStyle w:val="LegalCopy"/>
        <w:sectPr w:rsidR="00924482" w:rsidSect="007B4A4F">
          <w:headerReference w:type="default" r:id="rId10"/>
          <w:footerReference w:type="default" r:id="rId11"/>
          <w:headerReference w:type="first" r:id="rId12"/>
          <w:pgSz w:w="11906" w:h="16838" w:code="9"/>
          <w:pgMar w:top="425"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8C19C98" w14:textId="77777777" w:rsidR="0089635C" w:rsidRPr="0089635C" w:rsidRDefault="0089635C" w:rsidP="0010788A">
          <w:pPr>
            <w:pStyle w:val="Contents"/>
          </w:pPr>
          <w:r w:rsidRPr="0010788A">
            <w:t>Contents</w:t>
          </w:r>
        </w:p>
        <w:p w14:paraId="42B2B4D1" w14:textId="32162106" w:rsidR="00006189" w:rsidRDefault="00960520">
          <w:pPr>
            <w:pStyle w:val="TOC2"/>
            <w:rPr>
              <w:rFonts w:asciiTheme="minorHAnsi" w:eastAsiaTheme="minorEastAsia" w:hAnsiTheme="minorHAnsi" w:cstheme="minorBidi"/>
              <w:b w:val="0"/>
              <w:noProof/>
              <w:sz w:val="22"/>
              <w:lang w:eastAsia="en-AU"/>
            </w:rPr>
          </w:pPr>
          <w:r>
            <w:fldChar w:fldCharType="begin"/>
          </w:r>
          <w:r>
            <w:instrText xml:space="preserve"> TOC \o "3-3" \h \z \t "Heading 1,1,Heading 2,2" </w:instrText>
          </w:r>
          <w:r>
            <w:fldChar w:fldCharType="separate"/>
          </w:r>
          <w:hyperlink w:anchor="_Toc49509590" w:history="1">
            <w:r w:rsidR="00006189" w:rsidRPr="00792F05">
              <w:rPr>
                <w:rStyle w:val="Hyperlink"/>
                <w:noProof/>
              </w:rPr>
              <w:t>Common abbreviations</w:t>
            </w:r>
            <w:r w:rsidR="00006189">
              <w:rPr>
                <w:noProof/>
                <w:webHidden/>
              </w:rPr>
              <w:tab/>
            </w:r>
            <w:r w:rsidR="00006189">
              <w:rPr>
                <w:noProof/>
                <w:webHidden/>
              </w:rPr>
              <w:fldChar w:fldCharType="begin"/>
            </w:r>
            <w:r w:rsidR="00006189">
              <w:rPr>
                <w:noProof/>
                <w:webHidden/>
              </w:rPr>
              <w:instrText xml:space="preserve"> PAGEREF _Toc49509590 \h </w:instrText>
            </w:r>
            <w:r w:rsidR="00006189">
              <w:rPr>
                <w:noProof/>
                <w:webHidden/>
              </w:rPr>
            </w:r>
            <w:r w:rsidR="00006189">
              <w:rPr>
                <w:noProof/>
                <w:webHidden/>
              </w:rPr>
              <w:fldChar w:fldCharType="separate"/>
            </w:r>
            <w:r w:rsidR="00006189">
              <w:rPr>
                <w:noProof/>
                <w:webHidden/>
              </w:rPr>
              <w:t>4</w:t>
            </w:r>
            <w:r w:rsidR="00006189">
              <w:rPr>
                <w:noProof/>
                <w:webHidden/>
              </w:rPr>
              <w:fldChar w:fldCharType="end"/>
            </w:r>
          </w:hyperlink>
        </w:p>
        <w:p w14:paraId="5CCF81D4" w14:textId="23E53559" w:rsidR="00006189" w:rsidRDefault="007B4A4F">
          <w:pPr>
            <w:pStyle w:val="TOC2"/>
            <w:rPr>
              <w:rFonts w:asciiTheme="minorHAnsi" w:eastAsiaTheme="minorEastAsia" w:hAnsiTheme="minorHAnsi" w:cstheme="minorBidi"/>
              <w:b w:val="0"/>
              <w:noProof/>
              <w:sz w:val="22"/>
              <w:lang w:eastAsia="en-AU"/>
            </w:rPr>
          </w:pPr>
          <w:hyperlink w:anchor="_Toc49509591" w:history="1">
            <w:r w:rsidR="00006189" w:rsidRPr="00792F05">
              <w:rPr>
                <w:rStyle w:val="Hyperlink"/>
                <w:noProof/>
              </w:rPr>
              <w:t>I. Introduction to product submission</w:t>
            </w:r>
            <w:r w:rsidR="00006189">
              <w:rPr>
                <w:noProof/>
                <w:webHidden/>
              </w:rPr>
              <w:tab/>
            </w:r>
            <w:r w:rsidR="00006189">
              <w:rPr>
                <w:noProof/>
                <w:webHidden/>
              </w:rPr>
              <w:fldChar w:fldCharType="begin"/>
            </w:r>
            <w:r w:rsidR="00006189">
              <w:rPr>
                <w:noProof/>
                <w:webHidden/>
              </w:rPr>
              <w:instrText xml:space="preserve"> PAGEREF _Toc49509591 \h </w:instrText>
            </w:r>
            <w:r w:rsidR="00006189">
              <w:rPr>
                <w:noProof/>
                <w:webHidden/>
              </w:rPr>
            </w:r>
            <w:r w:rsidR="00006189">
              <w:rPr>
                <w:noProof/>
                <w:webHidden/>
              </w:rPr>
              <w:fldChar w:fldCharType="separate"/>
            </w:r>
            <w:r w:rsidR="00006189">
              <w:rPr>
                <w:noProof/>
                <w:webHidden/>
              </w:rPr>
              <w:t>6</w:t>
            </w:r>
            <w:r w:rsidR="00006189">
              <w:rPr>
                <w:noProof/>
                <w:webHidden/>
              </w:rPr>
              <w:fldChar w:fldCharType="end"/>
            </w:r>
          </w:hyperlink>
        </w:p>
        <w:p w14:paraId="1FB47BEF" w14:textId="2FA7F1B8" w:rsidR="00006189" w:rsidRDefault="007B4A4F">
          <w:pPr>
            <w:pStyle w:val="TOC3"/>
            <w:rPr>
              <w:rFonts w:asciiTheme="minorHAnsi" w:eastAsiaTheme="minorEastAsia" w:hAnsiTheme="minorHAnsi" w:cstheme="minorBidi"/>
              <w:noProof/>
              <w:lang w:eastAsia="en-AU"/>
            </w:rPr>
          </w:pPr>
          <w:hyperlink w:anchor="_Toc49509592" w:history="1">
            <w:r w:rsidR="00006189" w:rsidRPr="00792F05">
              <w:rPr>
                <w:rStyle w:val="Hyperlink"/>
                <w:noProof/>
                <w:lang w:eastAsia="en-AU"/>
              </w:rPr>
              <w:t>Submission details</w:t>
            </w:r>
            <w:r w:rsidR="00006189">
              <w:rPr>
                <w:noProof/>
                <w:webHidden/>
              </w:rPr>
              <w:tab/>
            </w:r>
            <w:r w:rsidR="00006189">
              <w:rPr>
                <w:noProof/>
                <w:webHidden/>
              </w:rPr>
              <w:fldChar w:fldCharType="begin"/>
            </w:r>
            <w:r w:rsidR="00006189">
              <w:rPr>
                <w:noProof/>
                <w:webHidden/>
              </w:rPr>
              <w:instrText xml:space="preserve"> PAGEREF _Toc49509592 \h </w:instrText>
            </w:r>
            <w:r w:rsidR="00006189">
              <w:rPr>
                <w:noProof/>
                <w:webHidden/>
              </w:rPr>
            </w:r>
            <w:r w:rsidR="00006189">
              <w:rPr>
                <w:noProof/>
                <w:webHidden/>
              </w:rPr>
              <w:fldChar w:fldCharType="separate"/>
            </w:r>
            <w:r w:rsidR="00006189">
              <w:rPr>
                <w:noProof/>
                <w:webHidden/>
              </w:rPr>
              <w:t>6</w:t>
            </w:r>
            <w:r w:rsidR="00006189">
              <w:rPr>
                <w:noProof/>
                <w:webHidden/>
              </w:rPr>
              <w:fldChar w:fldCharType="end"/>
            </w:r>
          </w:hyperlink>
        </w:p>
        <w:p w14:paraId="6A033219" w14:textId="79FAEFA0" w:rsidR="00006189" w:rsidRDefault="007B4A4F">
          <w:pPr>
            <w:pStyle w:val="TOC3"/>
            <w:rPr>
              <w:rFonts w:asciiTheme="minorHAnsi" w:eastAsiaTheme="minorEastAsia" w:hAnsiTheme="minorHAnsi" w:cstheme="minorBidi"/>
              <w:noProof/>
              <w:lang w:eastAsia="en-AU"/>
            </w:rPr>
          </w:pPr>
          <w:hyperlink w:anchor="_Toc49509593" w:history="1">
            <w:r w:rsidR="00006189" w:rsidRPr="00792F05">
              <w:rPr>
                <w:rStyle w:val="Hyperlink"/>
                <w:noProof/>
              </w:rPr>
              <w:t>Product background</w:t>
            </w:r>
            <w:r w:rsidR="00006189">
              <w:rPr>
                <w:noProof/>
                <w:webHidden/>
              </w:rPr>
              <w:tab/>
            </w:r>
            <w:r w:rsidR="00006189">
              <w:rPr>
                <w:noProof/>
                <w:webHidden/>
              </w:rPr>
              <w:fldChar w:fldCharType="begin"/>
            </w:r>
            <w:r w:rsidR="00006189">
              <w:rPr>
                <w:noProof/>
                <w:webHidden/>
              </w:rPr>
              <w:instrText xml:space="preserve"> PAGEREF _Toc49509593 \h </w:instrText>
            </w:r>
            <w:r w:rsidR="00006189">
              <w:rPr>
                <w:noProof/>
                <w:webHidden/>
              </w:rPr>
            </w:r>
            <w:r w:rsidR="00006189">
              <w:rPr>
                <w:noProof/>
                <w:webHidden/>
              </w:rPr>
              <w:fldChar w:fldCharType="separate"/>
            </w:r>
            <w:r w:rsidR="00006189">
              <w:rPr>
                <w:noProof/>
                <w:webHidden/>
              </w:rPr>
              <w:t>7</w:t>
            </w:r>
            <w:r w:rsidR="00006189">
              <w:rPr>
                <w:noProof/>
                <w:webHidden/>
              </w:rPr>
              <w:fldChar w:fldCharType="end"/>
            </w:r>
          </w:hyperlink>
        </w:p>
        <w:p w14:paraId="17A5E4B7" w14:textId="675F2399" w:rsidR="00006189" w:rsidRDefault="007B4A4F">
          <w:pPr>
            <w:pStyle w:val="TOC3"/>
            <w:rPr>
              <w:rFonts w:asciiTheme="minorHAnsi" w:eastAsiaTheme="minorEastAsia" w:hAnsiTheme="minorHAnsi" w:cstheme="minorBidi"/>
              <w:noProof/>
              <w:lang w:eastAsia="en-AU"/>
            </w:rPr>
          </w:pPr>
          <w:hyperlink w:anchor="_Toc49509594" w:history="1">
            <w:r w:rsidR="00006189" w:rsidRPr="00792F05">
              <w:rPr>
                <w:rStyle w:val="Hyperlink"/>
                <w:noProof/>
              </w:rPr>
              <w:t>Regulatory status</w:t>
            </w:r>
            <w:r w:rsidR="00006189">
              <w:rPr>
                <w:noProof/>
                <w:webHidden/>
              </w:rPr>
              <w:tab/>
            </w:r>
            <w:r w:rsidR="00006189">
              <w:rPr>
                <w:noProof/>
                <w:webHidden/>
              </w:rPr>
              <w:fldChar w:fldCharType="begin"/>
            </w:r>
            <w:r w:rsidR="00006189">
              <w:rPr>
                <w:noProof/>
                <w:webHidden/>
              </w:rPr>
              <w:instrText xml:space="preserve"> PAGEREF _Toc49509594 \h </w:instrText>
            </w:r>
            <w:r w:rsidR="00006189">
              <w:rPr>
                <w:noProof/>
                <w:webHidden/>
              </w:rPr>
            </w:r>
            <w:r w:rsidR="00006189">
              <w:rPr>
                <w:noProof/>
                <w:webHidden/>
              </w:rPr>
              <w:fldChar w:fldCharType="separate"/>
            </w:r>
            <w:r w:rsidR="00006189">
              <w:rPr>
                <w:noProof/>
                <w:webHidden/>
              </w:rPr>
              <w:t>8</w:t>
            </w:r>
            <w:r w:rsidR="00006189">
              <w:rPr>
                <w:noProof/>
                <w:webHidden/>
              </w:rPr>
              <w:fldChar w:fldCharType="end"/>
            </w:r>
          </w:hyperlink>
        </w:p>
        <w:p w14:paraId="52440F14" w14:textId="0CDB1EFF" w:rsidR="00006189" w:rsidRDefault="007B4A4F">
          <w:pPr>
            <w:pStyle w:val="TOC3"/>
            <w:rPr>
              <w:rFonts w:asciiTheme="minorHAnsi" w:eastAsiaTheme="minorEastAsia" w:hAnsiTheme="minorHAnsi" w:cstheme="minorBidi"/>
              <w:noProof/>
              <w:lang w:eastAsia="en-AU"/>
            </w:rPr>
          </w:pPr>
          <w:hyperlink w:anchor="_Toc49509595" w:history="1">
            <w:r w:rsidR="00006189" w:rsidRPr="00792F05">
              <w:rPr>
                <w:rStyle w:val="Hyperlink"/>
                <w:noProof/>
              </w:rPr>
              <w:t>Product Information</w:t>
            </w:r>
            <w:r w:rsidR="00006189">
              <w:rPr>
                <w:noProof/>
                <w:webHidden/>
              </w:rPr>
              <w:tab/>
            </w:r>
            <w:r w:rsidR="00006189">
              <w:rPr>
                <w:noProof/>
                <w:webHidden/>
              </w:rPr>
              <w:fldChar w:fldCharType="begin"/>
            </w:r>
            <w:r w:rsidR="00006189">
              <w:rPr>
                <w:noProof/>
                <w:webHidden/>
              </w:rPr>
              <w:instrText xml:space="preserve"> PAGEREF _Toc49509595 \h </w:instrText>
            </w:r>
            <w:r w:rsidR="00006189">
              <w:rPr>
                <w:noProof/>
                <w:webHidden/>
              </w:rPr>
            </w:r>
            <w:r w:rsidR="00006189">
              <w:rPr>
                <w:noProof/>
                <w:webHidden/>
              </w:rPr>
              <w:fldChar w:fldCharType="separate"/>
            </w:r>
            <w:r w:rsidR="00006189">
              <w:rPr>
                <w:noProof/>
                <w:webHidden/>
              </w:rPr>
              <w:t>9</w:t>
            </w:r>
            <w:r w:rsidR="00006189">
              <w:rPr>
                <w:noProof/>
                <w:webHidden/>
              </w:rPr>
              <w:fldChar w:fldCharType="end"/>
            </w:r>
          </w:hyperlink>
        </w:p>
        <w:p w14:paraId="180360DD" w14:textId="4FE17BAC" w:rsidR="00006189" w:rsidRDefault="007B4A4F">
          <w:pPr>
            <w:pStyle w:val="TOC2"/>
            <w:rPr>
              <w:rFonts w:asciiTheme="minorHAnsi" w:eastAsiaTheme="minorEastAsia" w:hAnsiTheme="minorHAnsi" w:cstheme="minorBidi"/>
              <w:b w:val="0"/>
              <w:noProof/>
              <w:sz w:val="22"/>
              <w:lang w:eastAsia="en-AU"/>
            </w:rPr>
          </w:pPr>
          <w:hyperlink w:anchor="_Toc49509596" w:history="1">
            <w:r w:rsidR="00006189" w:rsidRPr="00792F05">
              <w:rPr>
                <w:rStyle w:val="Hyperlink"/>
                <w:noProof/>
              </w:rPr>
              <w:t>II. Registration timeline</w:t>
            </w:r>
            <w:r w:rsidR="00006189">
              <w:rPr>
                <w:noProof/>
                <w:webHidden/>
              </w:rPr>
              <w:tab/>
            </w:r>
            <w:r w:rsidR="00006189">
              <w:rPr>
                <w:noProof/>
                <w:webHidden/>
              </w:rPr>
              <w:fldChar w:fldCharType="begin"/>
            </w:r>
            <w:r w:rsidR="00006189">
              <w:rPr>
                <w:noProof/>
                <w:webHidden/>
              </w:rPr>
              <w:instrText xml:space="preserve"> PAGEREF _Toc49509596 \h </w:instrText>
            </w:r>
            <w:r w:rsidR="00006189">
              <w:rPr>
                <w:noProof/>
                <w:webHidden/>
              </w:rPr>
            </w:r>
            <w:r w:rsidR="00006189">
              <w:rPr>
                <w:noProof/>
                <w:webHidden/>
              </w:rPr>
              <w:fldChar w:fldCharType="separate"/>
            </w:r>
            <w:r w:rsidR="00006189">
              <w:rPr>
                <w:noProof/>
                <w:webHidden/>
              </w:rPr>
              <w:t>9</w:t>
            </w:r>
            <w:r w:rsidR="00006189">
              <w:rPr>
                <w:noProof/>
                <w:webHidden/>
              </w:rPr>
              <w:fldChar w:fldCharType="end"/>
            </w:r>
          </w:hyperlink>
        </w:p>
        <w:p w14:paraId="54A7B5A8" w14:textId="5BAFAFC9" w:rsidR="00006189" w:rsidRDefault="007B4A4F">
          <w:pPr>
            <w:pStyle w:val="TOC2"/>
            <w:rPr>
              <w:rFonts w:asciiTheme="minorHAnsi" w:eastAsiaTheme="minorEastAsia" w:hAnsiTheme="minorHAnsi" w:cstheme="minorBidi"/>
              <w:b w:val="0"/>
              <w:noProof/>
              <w:sz w:val="22"/>
              <w:lang w:eastAsia="en-AU"/>
            </w:rPr>
          </w:pPr>
          <w:hyperlink w:anchor="_Toc49509597" w:history="1">
            <w:r w:rsidR="00006189" w:rsidRPr="00792F05">
              <w:rPr>
                <w:rStyle w:val="Hyperlink"/>
                <w:noProof/>
              </w:rPr>
              <w:t>III. Submission overview and risk/benefit assessment</w:t>
            </w:r>
            <w:r w:rsidR="00006189">
              <w:rPr>
                <w:noProof/>
                <w:webHidden/>
              </w:rPr>
              <w:tab/>
            </w:r>
            <w:r w:rsidR="00006189">
              <w:rPr>
                <w:noProof/>
                <w:webHidden/>
              </w:rPr>
              <w:fldChar w:fldCharType="begin"/>
            </w:r>
            <w:r w:rsidR="00006189">
              <w:rPr>
                <w:noProof/>
                <w:webHidden/>
              </w:rPr>
              <w:instrText xml:space="preserve"> PAGEREF _Toc49509597 \h </w:instrText>
            </w:r>
            <w:r w:rsidR="00006189">
              <w:rPr>
                <w:noProof/>
                <w:webHidden/>
              </w:rPr>
            </w:r>
            <w:r w:rsidR="00006189">
              <w:rPr>
                <w:noProof/>
                <w:webHidden/>
              </w:rPr>
              <w:fldChar w:fldCharType="separate"/>
            </w:r>
            <w:r w:rsidR="00006189">
              <w:rPr>
                <w:noProof/>
                <w:webHidden/>
              </w:rPr>
              <w:t>9</w:t>
            </w:r>
            <w:r w:rsidR="00006189">
              <w:rPr>
                <w:noProof/>
                <w:webHidden/>
              </w:rPr>
              <w:fldChar w:fldCharType="end"/>
            </w:r>
          </w:hyperlink>
        </w:p>
        <w:p w14:paraId="40F0D0C9" w14:textId="6DA93756" w:rsidR="00006189" w:rsidRDefault="007B4A4F">
          <w:pPr>
            <w:pStyle w:val="TOC3"/>
            <w:rPr>
              <w:rFonts w:asciiTheme="minorHAnsi" w:eastAsiaTheme="minorEastAsia" w:hAnsiTheme="minorHAnsi" w:cstheme="minorBidi"/>
              <w:noProof/>
              <w:lang w:eastAsia="en-AU"/>
            </w:rPr>
          </w:pPr>
          <w:hyperlink w:anchor="_Toc49509598" w:history="1">
            <w:r w:rsidR="00006189" w:rsidRPr="00792F05">
              <w:rPr>
                <w:rStyle w:val="Hyperlink"/>
                <w:noProof/>
              </w:rPr>
              <w:t>Quality</w:t>
            </w:r>
            <w:r w:rsidR="00006189">
              <w:rPr>
                <w:noProof/>
                <w:webHidden/>
              </w:rPr>
              <w:tab/>
            </w:r>
            <w:r w:rsidR="00006189">
              <w:rPr>
                <w:noProof/>
                <w:webHidden/>
              </w:rPr>
              <w:fldChar w:fldCharType="begin"/>
            </w:r>
            <w:r w:rsidR="00006189">
              <w:rPr>
                <w:noProof/>
                <w:webHidden/>
              </w:rPr>
              <w:instrText xml:space="preserve"> PAGEREF _Toc49509598 \h </w:instrText>
            </w:r>
            <w:r w:rsidR="00006189">
              <w:rPr>
                <w:noProof/>
                <w:webHidden/>
              </w:rPr>
            </w:r>
            <w:r w:rsidR="00006189">
              <w:rPr>
                <w:noProof/>
                <w:webHidden/>
              </w:rPr>
              <w:fldChar w:fldCharType="separate"/>
            </w:r>
            <w:r w:rsidR="00006189">
              <w:rPr>
                <w:noProof/>
                <w:webHidden/>
              </w:rPr>
              <w:t>9</w:t>
            </w:r>
            <w:r w:rsidR="00006189">
              <w:rPr>
                <w:noProof/>
                <w:webHidden/>
              </w:rPr>
              <w:fldChar w:fldCharType="end"/>
            </w:r>
          </w:hyperlink>
        </w:p>
        <w:p w14:paraId="7186984B" w14:textId="7C8B5D04" w:rsidR="00006189" w:rsidRDefault="007B4A4F">
          <w:pPr>
            <w:pStyle w:val="TOC3"/>
            <w:rPr>
              <w:rFonts w:asciiTheme="minorHAnsi" w:eastAsiaTheme="minorEastAsia" w:hAnsiTheme="minorHAnsi" w:cstheme="minorBidi"/>
              <w:noProof/>
              <w:lang w:eastAsia="en-AU"/>
            </w:rPr>
          </w:pPr>
          <w:hyperlink w:anchor="_Toc49509599" w:history="1">
            <w:r w:rsidR="00006189" w:rsidRPr="00792F05">
              <w:rPr>
                <w:rStyle w:val="Hyperlink"/>
                <w:noProof/>
              </w:rPr>
              <w:t>Nonclinical</w:t>
            </w:r>
            <w:r w:rsidR="00006189">
              <w:rPr>
                <w:noProof/>
                <w:webHidden/>
              </w:rPr>
              <w:tab/>
            </w:r>
            <w:r w:rsidR="00006189">
              <w:rPr>
                <w:noProof/>
                <w:webHidden/>
              </w:rPr>
              <w:fldChar w:fldCharType="begin"/>
            </w:r>
            <w:r w:rsidR="00006189">
              <w:rPr>
                <w:noProof/>
                <w:webHidden/>
              </w:rPr>
              <w:instrText xml:space="preserve"> PAGEREF _Toc49509599 \h </w:instrText>
            </w:r>
            <w:r w:rsidR="00006189">
              <w:rPr>
                <w:noProof/>
                <w:webHidden/>
              </w:rPr>
            </w:r>
            <w:r w:rsidR="00006189">
              <w:rPr>
                <w:noProof/>
                <w:webHidden/>
              </w:rPr>
              <w:fldChar w:fldCharType="separate"/>
            </w:r>
            <w:r w:rsidR="00006189">
              <w:rPr>
                <w:noProof/>
                <w:webHidden/>
              </w:rPr>
              <w:t>10</w:t>
            </w:r>
            <w:r w:rsidR="00006189">
              <w:rPr>
                <w:noProof/>
                <w:webHidden/>
              </w:rPr>
              <w:fldChar w:fldCharType="end"/>
            </w:r>
          </w:hyperlink>
        </w:p>
        <w:p w14:paraId="538D56F4" w14:textId="449B8B88" w:rsidR="00006189" w:rsidRDefault="007B4A4F">
          <w:pPr>
            <w:pStyle w:val="TOC3"/>
            <w:rPr>
              <w:rFonts w:asciiTheme="minorHAnsi" w:eastAsiaTheme="minorEastAsia" w:hAnsiTheme="minorHAnsi" w:cstheme="minorBidi"/>
              <w:noProof/>
              <w:lang w:eastAsia="en-AU"/>
            </w:rPr>
          </w:pPr>
          <w:hyperlink w:anchor="_Toc49509600" w:history="1">
            <w:r w:rsidR="00006189" w:rsidRPr="00792F05">
              <w:rPr>
                <w:rStyle w:val="Hyperlink"/>
                <w:noProof/>
              </w:rPr>
              <w:t>Clinical</w:t>
            </w:r>
            <w:r w:rsidR="00006189">
              <w:rPr>
                <w:noProof/>
                <w:webHidden/>
              </w:rPr>
              <w:tab/>
            </w:r>
            <w:r w:rsidR="00006189">
              <w:rPr>
                <w:noProof/>
                <w:webHidden/>
              </w:rPr>
              <w:fldChar w:fldCharType="begin"/>
            </w:r>
            <w:r w:rsidR="00006189">
              <w:rPr>
                <w:noProof/>
                <w:webHidden/>
              </w:rPr>
              <w:instrText xml:space="preserve"> PAGEREF _Toc49509600 \h </w:instrText>
            </w:r>
            <w:r w:rsidR="00006189">
              <w:rPr>
                <w:noProof/>
                <w:webHidden/>
              </w:rPr>
            </w:r>
            <w:r w:rsidR="00006189">
              <w:rPr>
                <w:noProof/>
                <w:webHidden/>
              </w:rPr>
              <w:fldChar w:fldCharType="separate"/>
            </w:r>
            <w:r w:rsidR="00006189">
              <w:rPr>
                <w:noProof/>
                <w:webHidden/>
              </w:rPr>
              <w:t>10</w:t>
            </w:r>
            <w:r w:rsidR="00006189">
              <w:rPr>
                <w:noProof/>
                <w:webHidden/>
              </w:rPr>
              <w:fldChar w:fldCharType="end"/>
            </w:r>
          </w:hyperlink>
        </w:p>
        <w:p w14:paraId="704DA315" w14:textId="386C63A0" w:rsidR="00006189" w:rsidRDefault="007B4A4F">
          <w:pPr>
            <w:pStyle w:val="TOC3"/>
            <w:rPr>
              <w:rFonts w:asciiTheme="minorHAnsi" w:eastAsiaTheme="minorEastAsia" w:hAnsiTheme="minorHAnsi" w:cstheme="minorBidi"/>
              <w:noProof/>
              <w:lang w:eastAsia="en-AU"/>
            </w:rPr>
          </w:pPr>
          <w:hyperlink w:anchor="_Toc49509601" w:history="1">
            <w:r w:rsidR="00006189" w:rsidRPr="00792F05">
              <w:rPr>
                <w:rStyle w:val="Hyperlink"/>
                <w:noProof/>
                <w:lang w:eastAsia="en-AU"/>
              </w:rPr>
              <w:t>Risk management plan</w:t>
            </w:r>
            <w:r w:rsidR="00006189">
              <w:rPr>
                <w:noProof/>
                <w:webHidden/>
              </w:rPr>
              <w:tab/>
            </w:r>
            <w:r w:rsidR="00006189">
              <w:rPr>
                <w:noProof/>
                <w:webHidden/>
              </w:rPr>
              <w:fldChar w:fldCharType="begin"/>
            </w:r>
            <w:r w:rsidR="00006189">
              <w:rPr>
                <w:noProof/>
                <w:webHidden/>
              </w:rPr>
              <w:instrText xml:space="preserve"> PAGEREF _Toc49509601 \h </w:instrText>
            </w:r>
            <w:r w:rsidR="00006189">
              <w:rPr>
                <w:noProof/>
                <w:webHidden/>
              </w:rPr>
            </w:r>
            <w:r w:rsidR="00006189">
              <w:rPr>
                <w:noProof/>
                <w:webHidden/>
              </w:rPr>
              <w:fldChar w:fldCharType="separate"/>
            </w:r>
            <w:r w:rsidR="00006189">
              <w:rPr>
                <w:noProof/>
                <w:webHidden/>
              </w:rPr>
              <w:t>18</w:t>
            </w:r>
            <w:r w:rsidR="00006189">
              <w:rPr>
                <w:noProof/>
                <w:webHidden/>
              </w:rPr>
              <w:fldChar w:fldCharType="end"/>
            </w:r>
          </w:hyperlink>
        </w:p>
        <w:p w14:paraId="6D7651AA" w14:textId="6FD7F46F" w:rsidR="00006189" w:rsidRDefault="007B4A4F">
          <w:pPr>
            <w:pStyle w:val="TOC3"/>
            <w:rPr>
              <w:rFonts w:asciiTheme="minorHAnsi" w:eastAsiaTheme="minorEastAsia" w:hAnsiTheme="minorHAnsi" w:cstheme="minorBidi"/>
              <w:noProof/>
              <w:lang w:eastAsia="en-AU"/>
            </w:rPr>
          </w:pPr>
          <w:hyperlink w:anchor="_Toc49509602" w:history="1">
            <w:r w:rsidR="00006189" w:rsidRPr="00792F05">
              <w:rPr>
                <w:rStyle w:val="Hyperlink"/>
                <w:noProof/>
              </w:rPr>
              <w:t>Risk-benefit analysis</w:t>
            </w:r>
            <w:r w:rsidR="00006189">
              <w:rPr>
                <w:noProof/>
                <w:webHidden/>
              </w:rPr>
              <w:tab/>
            </w:r>
            <w:r w:rsidR="00006189">
              <w:rPr>
                <w:noProof/>
                <w:webHidden/>
              </w:rPr>
              <w:fldChar w:fldCharType="begin"/>
            </w:r>
            <w:r w:rsidR="00006189">
              <w:rPr>
                <w:noProof/>
                <w:webHidden/>
              </w:rPr>
              <w:instrText xml:space="preserve"> PAGEREF _Toc49509602 \h </w:instrText>
            </w:r>
            <w:r w:rsidR="00006189">
              <w:rPr>
                <w:noProof/>
                <w:webHidden/>
              </w:rPr>
            </w:r>
            <w:r w:rsidR="00006189">
              <w:rPr>
                <w:noProof/>
                <w:webHidden/>
              </w:rPr>
              <w:fldChar w:fldCharType="separate"/>
            </w:r>
            <w:r w:rsidR="00006189">
              <w:rPr>
                <w:noProof/>
                <w:webHidden/>
              </w:rPr>
              <w:t>19</w:t>
            </w:r>
            <w:r w:rsidR="00006189">
              <w:rPr>
                <w:noProof/>
                <w:webHidden/>
              </w:rPr>
              <w:fldChar w:fldCharType="end"/>
            </w:r>
          </w:hyperlink>
        </w:p>
        <w:p w14:paraId="6F27DC78" w14:textId="5284ADCE" w:rsidR="00006189" w:rsidRDefault="007B4A4F">
          <w:pPr>
            <w:pStyle w:val="TOC3"/>
            <w:rPr>
              <w:rFonts w:asciiTheme="minorHAnsi" w:eastAsiaTheme="minorEastAsia" w:hAnsiTheme="minorHAnsi" w:cstheme="minorBidi"/>
              <w:noProof/>
              <w:lang w:eastAsia="en-AU"/>
            </w:rPr>
          </w:pPr>
          <w:hyperlink w:anchor="_Toc49509603" w:history="1">
            <w:r w:rsidR="00006189" w:rsidRPr="00792F05">
              <w:rPr>
                <w:rStyle w:val="Hyperlink"/>
                <w:noProof/>
              </w:rPr>
              <w:t>Outcome</w:t>
            </w:r>
            <w:r w:rsidR="00006189">
              <w:rPr>
                <w:noProof/>
                <w:webHidden/>
              </w:rPr>
              <w:tab/>
            </w:r>
            <w:r w:rsidR="00006189">
              <w:rPr>
                <w:noProof/>
                <w:webHidden/>
              </w:rPr>
              <w:fldChar w:fldCharType="begin"/>
            </w:r>
            <w:r w:rsidR="00006189">
              <w:rPr>
                <w:noProof/>
                <w:webHidden/>
              </w:rPr>
              <w:instrText xml:space="preserve"> PAGEREF _Toc49509603 \h </w:instrText>
            </w:r>
            <w:r w:rsidR="00006189">
              <w:rPr>
                <w:noProof/>
                <w:webHidden/>
              </w:rPr>
            </w:r>
            <w:r w:rsidR="00006189">
              <w:rPr>
                <w:noProof/>
                <w:webHidden/>
              </w:rPr>
              <w:fldChar w:fldCharType="separate"/>
            </w:r>
            <w:r w:rsidR="00006189">
              <w:rPr>
                <w:noProof/>
                <w:webHidden/>
              </w:rPr>
              <w:t>19</w:t>
            </w:r>
            <w:r w:rsidR="00006189">
              <w:rPr>
                <w:noProof/>
                <w:webHidden/>
              </w:rPr>
              <w:fldChar w:fldCharType="end"/>
            </w:r>
          </w:hyperlink>
        </w:p>
        <w:p w14:paraId="6741CF38" w14:textId="44BF872B" w:rsidR="00006189" w:rsidRDefault="007B4A4F">
          <w:pPr>
            <w:pStyle w:val="TOC2"/>
            <w:rPr>
              <w:rFonts w:asciiTheme="minorHAnsi" w:eastAsiaTheme="minorEastAsia" w:hAnsiTheme="minorHAnsi" w:cstheme="minorBidi"/>
              <w:b w:val="0"/>
              <w:noProof/>
              <w:sz w:val="22"/>
              <w:lang w:eastAsia="en-AU"/>
            </w:rPr>
          </w:pPr>
          <w:hyperlink w:anchor="_Toc49509604" w:history="1">
            <w:r w:rsidR="00006189" w:rsidRPr="00792F05">
              <w:rPr>
                <w:rStyle w:val="Hyperlink"/>
                <w:noProof/>
              </w:rPr>
              <w:t>Attachment 1. Product Information</w:t>
            </w:r>
            <w:r w:rsidR="00006189">
              <w:rPr>
                <w:noProof/>
                <w:webHidden/>
              </w:rPr>
              <w:tab/>
            </w:r>
            <w:r w:rsidR="00006189">
              <w:rPr>
                <w:noProof/>
                <w:webHidden/>
              </w:rPr>
              <w:fldChar w:fldCharType="begin"/>
            </w:r>
            <w:r w:rsidR="00006189">
              <w:rPr>
                <w:noProof/>
                <w:webHidden/>
              </w:rPr>
              <w:instrText xml:space="preserve"> PAGEREF _Toc49509604 \h </w:instrText>
            </w:r>
            <w:r w:rsidR="00006189">
              <w:rPr>
                <w:noProof/>
                <w:webHidden/>
              </w:rPr>
            </w:r>
            <w:r w:rsidR="00006189">
              <w:rPr>
                <w:noProof/>
                <w:webHidden/>
              </w:rPr>
              <w:fldChar w:fldCharType="separate"/>
            </w:r>
            <w:r w:rsidR="00006189">
              <w:rPr>
                <w:noProof/>
                <w:webHidden/>
              </w:rPr>
              <w:t>20</w:t>
            </w:r>
            <w:r w:rsidR="00006189">
              <w:rPr>
                <w:noProof/>
                <w:webHidden/>
              </w:rPr>
              <w:fldChar w:fldCharType="end"/>
            </w:r>
          </w:hyperlink>
        </w:p>
        <w:p w14:paraId="4F46147E" w14:textId="0FE0EB61" w:rsidR="003A7F6C" w:rsidRPr="00B811C6" w:rsidRDefault="00960520" w:rsidP="00B811C6">
          <w:pPr>
            <w:pStyle w:val="TOC2"/>
          </w:pPr>
          <w:r>
            <w:fldChar w:fldCharType="end"/>
          </w:r>
        </w:p>
      </w:sdtContent>
    </w:sdt>
    <w:bookmarkStart w:id="2" w:name="_Toc314842482" w:displacedByCustomXml="prev"/>
    <w:p w14:paraId="7660F9A2" w14:textId="6EEA5C5A" w:rsidR="00C52E24" w:rsidRPr="00C52E24" w:rsidRDefault="00441C3F" w:rsidP="007B4A4F">
      <w:pPr>
        <w:pStyle w:val="Heading2"/>
        <w:pageBreakBefore/>
        <w:spacing w:before="0"/>
      </w:pPr>
      <w:bookmarkStart w:id="3" w:name="_Toc351716269"/>
      <w:bookmarkStart w:id="4" w:name="_Toc351718881"/>
      <w:bookmarkStart w:id="5" w:name="_Toc355338616"/>
      <w:bookmarkStart w:id="6" w:name="_Toc356306144"/>
      <w:bookmarkStart w:id="7" w:name="_Toc49509590"/>
      <w:r>
        <w:lastRenderedPageBreak/>
        <w:t>Common</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830"/>
      </w:tblGrid>
      <w:tr w:rsidR="00330D46" w:rsidRPr="00FD119B" w14:paraId="56BA8DC2" w14:textId="77777777" w:rsidTr="001472EF">
        <w:trPr>
          <w:cnfStyle w:val="100000000000" w:firstRow="1" w:lastRow="0" w:firstColumn="0" w:lastColumn="0" w:oddVBand="0" w:evenVBand="0" w:oddHBand="0" w:evenHBand="0" w:firstRowFirstColumn="0" w:firstRowLastColumn="0" w:lastRowFirstColumn="0" w:lastRowLastColumn="0"/>
        </w:trPr>
        <w:tc>
          <w:tcPr>
            <w:tcW w:w="1890" w:type="dxa"/>
          </w:tcPr>
          <w:p w14:paraId="7E96CEB5" w14:textId="77777777" w:rsidR="00330D46" w:rsidRPr="00FD119B" w:rsidRDefault="00330D46" w:rsidP="001813A7">
            <w:pPr>
              <w:rPr>
                <w:lang w:eastAsia="en-US"/>
              </w:rPr>
            </w:pPr>
            <w:r w:rsidRPr="00FD119B">
              <w:rPr>
                <w:lang w:eastAsia="en-US"/>
              </w:rPr>
              <w:t>Abbreviation</w:t>
            </w:r>
          </w:p>
        </w:tc>
        <w:tc>
          <w:tcPr>
            <w:tcW w:w="6830" w:type="dxa"/>
          </w:tcPr>
          <w:p w14:paraId="7A84E10C" w14:textId="77777777" w:rsidR="00330D46" w:rsidRPr="00FD119B" w:rsidRDefault="00330D46" w:rsidP="001813A7">
            <w:pPr>
              <w:rPr>
                <w:lang w:eastAsia="en-US"/>
              </w:rPr>
            </w:pPr>
            <w:r w:rsidRPr="00FD119B">
              <w:rPr>
                <w:lang w:eastAsia="en-US"/>
              </w:rPr>
              <w:t>Meaning</w:t>
            </w:r>
          </w:p>
        </w:tc>
      </w:tr>
      <w:tr w:rsidR="00330D46" w:rsidRPr="00FD119B" w14:paraId="0BF260A9" w14:textId="77777777" w:rsidTr="001472EF">
        <w:tc>
          <w:tcPr>
            <w:tcW w:w="1890" w:type="dxa"/>
          </w:tcPr>
          <w:p w14:paraId="4DDD23D1" w14:textId="77777777" w:rsidR="00330D46" w:rsidRPr="00FD119B" w:rsidRDefault="00330D46" w:rsidP="001813A7">
            <w:pPr>
              <w:rPr>
                <w:color w:val="auto"/>
                <w:lang w:eastAsia="en-US"/>
              </w:rPr>
            </w:pPr>
            <w:r>
              <w:rPr>
                <w:color w:val="auto"/>
                <w:lang w:eastAsia="en-US"/>
              </w:rPr>
              <w:t>ACM</w:t>
            </w:r>
          </w:p>
        </w:tc>
        <w:tc>
          <w:tcPr>
            <w:tcW w:w="6830" w:type="dxa"/>
          </w:tcPr>
          <w:p w14:paraId="37B3E8AF" w14:textId="77777777" w:rsidR="00330D46" w:rsidRPr="00FD119B" w:rsidRDefault="00330D46" w:rsidP="001813A7">
            <w:pPr>
              <w:rPr>
                <w:color w:val="auto"/>
                <w:lang w:eastAsia="en-US"/>
              </w:rPr>
            </w:pPr>
            <w:r>
              <w:t>Advisory Committee on Medicines</w:t>
            </w:r>
          </w:p>
        </w:tc>
      </w:tr>
      <w:tr w:rsidR="00330D46" w:rsidRPr="00FD119B" w14:paraId="208FC2F1" w14:textId="77777777" w:rsidTr="001472EF">
        <w:tc>
          <w:tcPr>
            <w:tcW w:w="1890" w:type="dxa"/>
          </w:tcPr>
          <w:p w14:paraId="6C72FA20" w14:textId="77777777" w:rsidR="00330D46" w:rsidRPr="00FD119B" w:rsidRDefault="00330D46" w:rsidP="001813A7">
            <w:pPr>
              <w:rPr>
                <w:color w:val="auto"/>
                <w:lang w:eastAsia="en-US"/>
              </w:rPr>
            </w:pPr>
            <w:r>
              <w:rPr>
                <w:color w:val="auto"/>
                <w:lang w:eastAsia="en-US"/>
              </w:rPr>
              <w:t>ARTG</w:t>
            </w:r>
          </w:p>
        </w:tc>
        <w:tc>
          <w:tcPr>
            <w:tcW w:w="6830" w:type="dxa"/>
          </w:tcPr>
          <w:p w14:paraId="11F28973" w14:textId="77777777" w:rsidR="00330D46" w:rsidRPr="00FD119B" w:rsidRDefault="00330D46" w:rsidP="001813A7">
            <w:pPr>
              <w:rPr>
                <w:color w:val="auto"/>
                <w:lang w:eastAsia="en-US"/>
              </w:rPr>
            </w:pPr>
            <w:r>
              <w:t>Australian Register of Therapeutic Goods</w:t>
            </w:r>
          </w:p>
        </w:tc>
      </w:tr>
      <w:tr w:rsidR="00330D46" w:rsidRPr="00FD119B" w14:paraId="61CEF09C" w14:textId="77777777" w:rsidTr="001472EF">
        <w:tc>
          <w:tcPr>
            <w:tcW w:w="1890" w:type="dxa"/>
          </w:tcPr>
          <w:p w14:paraId="463659F0" w14:textId="77777777" w:rsidR="00330D46" w:rsidRDefault="00330D46" w:rsidP="001813A7">
            <w:r>
              <w:t>ASA</w:t>
            </w:r>
          </w:p>
        </w:tc>
        <w:tc>
          <w:tcPr>
            <w:tcW w:w="6830" w:type="dxa"/>
          </w:tcPr>
          <w:p w14:paraId="2E25237B" w14:textId="3A106430" w:rsidR="00330D46" w:rsidRDefault="00330D46" w:rsidP="001813A7">
            <w:pPr>
              <w:rPr>
                <w:rFonts w:asciiTheme="minorHAnsi" w:hAnsiTheme="minorHAnsi"/>
              </w:rPr>
            </w:pPr>
            <w:r>
              <w:rPr>
                <w:rFonts w:asciiTheme="minorHAnsi" w:hAnsiTheme="minorHAnsi"/>
              </w:rPr>
              <w:t xml:space="preserve">Australian </w:t>
            </w:r>
            <w:r w:rsidR="00A35518">
              <w:rPr>
                <w:rFonts w:asciiTheme="minorHAnsi" w:hAnsiTheme="minorHAnsi"/>
              </w:rPr>
              <w:t>s</w:t>
            </w:r>
            <w:r>
              <w:rPr>
                <w:rFonts w:asciiTheme="minorHAnsi" w:hAnsiTheme="minorHAnsi"/>
              </w:rPr>
              <w:t>pecific Annex</w:t>
            </w:r>
          </w:p>
        </w:tc>
      </w:tr>
      <w:tr w:rsidR="00A35518" w:rsidRPr="00FD119B" w14:paraId="0A3BAAEA" w14:textId="77777777" w:rsidTr="001472EF">
        <w:tc>
          <w:tcPr>
            <w:tcW w:w="1890" w:type="dxa"/>
          </w:tcPr>
          <w:p w14:paraId="06AC2ACA" w14:textId="431D6F60" w:rsidR="00A35518" w:rsidRDefault="00A35518" w:rsidP="001813A7">
            <w:r>
              <w:t>AUC</w:t>
            </w:r>
          </w:p>
        </w:tc>
        <w:tc>
          <w:tcPr>
            <w:tcW w:w="6830" w:type="dxa"/>
          </w:tcPr>
          <w:p w14:paraId="15F24487" w14:textId="6B0C08A1" w:rsidR="00A35518" w:rsidRDefault="00A35518" w:rsidP="001813A7">
            <w:pPr>
              <w:rPr>
                <w:rFonts w:asciiTheme="minorHAnsi" w:hAnsiTheme="minorHAnsi"/>
              </w:rPr>
            </w:pPr>
            <w:r>
              <w:rPr>
                <w:rFonts w:asciiTheme="minorHAnsi" w:hAnsiTheme="minorHAnsi"/>
              </w:rPr>
              <w:t>Area under the concentration-time curve</w:t>
            </w:r>
          </w:p>
        </w:tc>
      </w:tr>
      <w:tr w:rsidR="00A35518" w:rsidRPr="00FD119B" w14:paraId="3C9EED6B" w14:textId="77777777" w:rsidTr="001472EF">
        <w:tc>
          <w:tcPr>
            <w:tcW w:w="1890" w:type="dxa"/>
          </w:tcPr>
          <w:p w14:paraId="3361E61E" w14:textId="7A747097" w:rsidR="00A35518" w:rsidRPr="00D813E6" w:rsidRDefault="00A35518" w:rsidP="001813A7">
            <w:pPr>
              <w:rPr>
                <w:vertAlign w:val="subscript"/>
              </w:rPr>
            </w:pPr>
            <w:r>
              <w:t>AUC</w:t>
            </w:r>
            <w:r>
              <w:rPr>
                <w:vertAlign w:val="subscript"/>
              </w:rPr>
              <w:t>IAsp</w:t>
            </w:r>
          </w:p>
        </w:tc>
        <w:tc>
          <w:tcPr>
            <w:tcW w:w="6830" w:type="dxa"/>
          </w:tcPr>
          <w:p w14:paraId="4DC5E996" w14:textId="6FC109B2" w:rsidR="00A35518" w:rsidRDefault="00A35518" w:rsidP="001813A7">
            <w:pPr>
              <w:rPr>
                <w:rFonts w:asciiTheme="minorHAnsi" w:hAnsiTheme="minorHAnsi"/>
              </w:rPr>
            </w:pPr>
            <w:r>
              <w:rPr>
                <w:rFonts w:asciiTheme="minorHAnsi" w:hAnsiTheme="minorHAnsi"/>
              </w:rPr>
              <w:t>Area under the insulin aspart concentration time curve</w:t>
            </w:r>
          </w:p>
        </w:tc>
      </w:tr>
      <w:tr w:rsidR="00330D46" w:rsidRPr="00FD119B" w14:paraId="49F890DE" w14:textId="77777777" w:rsidTr="001472EF">
        <w:tc>
          <w:tcPr>
            <w:tcW w:w="1890" w:type="dxa"/>
          </w:tcPr>
          <w:p w14:paraId="5AF18316" w14:textId="77777777" w:rsidR="00330D46" w:rsidRDefault="00330D46" w:rsidP="001813A7">
            <w:r>
              <w:t>B/T</w:t>
            </w:r>
          </w:p>
        </w:tc>
        <w:tc>
          <w:tcPr>
            <w:tcW w:w="6830" w:type="dxa"/>
          </w:tcPr>
          <w:p w14:paraId="7E3ECAD7" w14:textId="77777777" w:rsidR="00330D46" w:rsidRDefault="00330D46" w:rsidP="00F10072">
            <w:pPr>
              <w:rPr>
                <w:rFonts w:asciiTheme="minorHAnsi" w:hAnsiTheme="minorHAnsi"/>
              </w:rPr>
            </w:pPr>
            <w:r>
              <w:t>Bound/total radiolabelled insulin aspart co-precipitated with immunoglobulin</w:t>
            </w:r>
          </w:p>
        </w:tc>
      </w:tr>
      <w:tr w:rsidR="00330D46" w:rsidRPr="00FD119B" w14:paraId="3269E77D" w14:textId="77777777" w:rsidTr="001472EF">
        <w:tc>
          <w:tcPr>
            <w:tcW w:w="1890" w:type="dxa"/>
          </w:tcPr>
          <w:p w14:paraId="5FDA6ABD" w14:textId="77777777" w:rsidR="00330D46" w:rsidRDefault="00330D46" w:rsidP="001813A7">
            <w:r>
              <w:t>CGM</w:t>
            </w:r>
          </w:p>
        </w:tc>
        <w:tc>
          <w:tcPr>
            <w:tcW w:w="6830" w:type="dxa"/>
          </w:tcPr>
          <w:p w14:paraId="593DC98C" w14:textId="77777777" w:rsidR="00330D46" w:rsidRDefault="00330D46" w:rsidP="001813A7">
            <w:r>
              <w:t>Continuous glucose monitoring</w:t>
            </w:r>
          </w:p>
        </w:tc>
      </w:tr>
      <w:tr w:rsidR="00330D46" w:rsidRPr="00FD119B" w14:paraId="35B4F968" w14:textId="77777777" w:rsidTr="001472EF">
        <w:tc>
          <w:tcPr>
            <w:tcW w:w="1890" w:type="dxa"/>
          </w:tcPr>
          <w:p w14:paraId="23E261E8" w14:textId="77777777" w:rsidR="00330D46" w:rsidRDefault="00330D46" w:rsidP="001813A7">
            <w:r>
              <w:t>CGMS</w:t>
            </w:r>
          </w:p>
        </w:tc>
        <w:tc>
          <w:tcPr>
            <w:tcW w:w="6830" w:type="dxa"/>
          </w:tcPr>
          <w:p w14:paraId="3ED2BD4D" w14:textId="77777777" w:rsidR="00330D46" w:rsidRDefault="00330D46" w:rsidP="001813A7">
            <w:r>
              <w:rPr>
                <w:rFonts w:asciiTheme="minorHAnsi" w:hAnsiTheme="minorHAnsi"/>
              </w:rPr>
              <w:t>Continuous glucose monitoring subgroup</w:t>
            </w:r>
          </w:p>
        </w:tc>
      </w:tr>
      <w:tr w:rsidR="00330D46" w:rsidRPr="00FD119B" w14:paraId="4DF3D74C" w14:textId="77777777" w:rsidTr="001472EF">
        <w:tc>
          <w:tcPr>
            <w:tcW w:w="1890" w:type="dxa"/>
          </w:tcPr>
          <w:p w14:paraId="7AD0DABA" w14:textId="77777777" w:rsidR="00330D46" w:rsidRDefault="00330D46" w:rsidP="001813A7">
            <w:r>
              <w:t>CI</w:t>
            </w:r>
          </w:p>
        </w:tc>
        <w:tc>
          <w:tcPr>
            <w:tcW w:w="6830" w:type="dxa"/>
          </w:tcPr>
          <w:p w14:paraId="39640A81" w14:textId="77777777" w:rsidR="00330D46" w:rsidRDefault="00330D46" w:rsidP="001813A7">
            <w:r>
              <w:t>Confidence interval</w:t>
            </w:r>
          </w:p>
        </w:tc>
      </w:tr>
      <w:tr w:rsidR="00330D46" w:rsidRPr="00FD119B" w14:paraId="6D9480F5" w14:textId="77777777" w:rsidTr="001472EF">
        <w:tc>
          <w:tcPr>
            <w:tcW w:w="1890" w:type="dxa"/>
          </w:tcPr>
          <w:p w14:paraId="1E974FAF" w14:textId="77777777" w:rsidR="00330D46" w:rsidRDefault="00330D46" w:rsidP="001813A7">
            <w:r>
              <w:t>CMI</w:t>
            </w:r>
          </w:p>
        </w:tc>
        <w:tc>
          <w:tcPr>
            <w:tcW w:w="6830" w:type="dxa"/>
          </w:tcPr>
          <w:p w14:paraId="2DD8B495" w14:textId="77777777" w:rsidR="00330D46" w:rsidRDefault="00330D46" w:rsidP="001813A7">
            <w:r>
              <w:t>Consumer Medicines Information</w:t>
            </w:r>
          </w:p>
        </w:tc>
      </w:tr>
      <w:tr w:rsidR="00330D46" w:rsidRPr="00FD119B" w14:paraId="0EDD975D" w14:textId="77777777" w:rsidTr="001472EF">
        <w:tc>
          <w:tcPr>
            <w:tcW w:w="1890" w:type="dxa"/>
          </w:tcPr>
          <w:p w14:paraId="7524261F" w14:textId="77777777" w:rsidR="00330D46" w:rsidRPr="00FD119B" w:rsidRDefault="00330D46" w:rsidP="001813A7">
            <w:r>
              <w:t>CSII</w:t>
            </w:r>
          </w:p>
        </w:tc>
        <w:tc>
          <w:tcPr>
            <w:tcW w:w="6830" w:type="dxa"/>
          </w:tcPr>
          <w:p w14:paraId="06D75B7E" w14:textId="77777777" w:rsidR="00330D46" w:rsidRPr="00FD119B" w:rsidRDefault="00330D46" w:rsidP="001813A7">
            <w:r>
              <w:t>Continuous subcutaneous insulin infusion</w:t>
            </w:r>
          </w:p>
        </w:tc>
      </w:tr>
      <w:tr w:rsidR="00330D46" w:rsidRPr="00FD119B" w14:paraId="724D8DF9" w14:textId="77777777" w:rsidTr="001472EF">
        <w:tc>
          <w:tcPr>
            <w:tcW w:w="1890" w:type="dxa"/>
          </w:tcPr>
          <w:p w14:paraId="6604932A" w14:textId="77777777" w:rsidR="00330D46" w:rsidRDefault="00330D46" w:rsidP="001813A7">
            <w:r>
              <w:t>EMA</w:t>
            </w:r>
          </w:p>
        </w:tc>
        <w:tc>
          <w:tcPr>
            <w:tcW w:w="6830" w:type="dxa"/>
          </w:tcPr>
          <w:p w14:paraId="588E9DEE" w14:textId="68FCB142" w:rsidR="00330D46" w:rsidRDefault="00330D46" w:rsidP="001813A7">
            <w:r>
              <w:rPr>
                <w:color w:val="auto"/>
              </w:rPr>
              <w:t>European Medicines Agency</w:t>
            </w:r>
            <w:r w:rsidR="00986356">
              <w:rPr>
                <w:color w:val="auto"/>
              </w:rPr>
              <w:t xml:space="preserve"> (European Union)</w:t>
            </w:r>
          </w:p>
        </w:tc>
      </w:tr>
      <w:tr w:rsidR="00330D46" w:rsidRPr="00FD119B" w14:paraId="583DD7CC" w14:textId="77777777" w:rsidTr="001472EF">
        <w:tc>
          <w:tcPr>
            <w:tcW w:w="1890" w:type="dxa"/>
          </w:tcPr>
          <w:p w14:paraId="244C737C" w14:textId="77777777" w:rsidR="00330D46" w:rsidRDefault="00330D46" w:rsidP="001813A7">
            <w:r>
              <w:t>EU</w:t>
            </w:r>
          </w:p>
        </w:tc>
        <w:tc>
          <w:tcPr>
            <w:tcW w:w="6830" w:type="dxa"/>
          </w:tcPr>
          <w:p w14:paraId="23F7106C" w14:textId="77777777" w:rsidR="00330D46" w:rsidRDefault="00330D46" w:rsidP="001813A7">
            <w:r>
              <w:t>European Union</w:t>
            </w:r>
          </w:p>
        </w:tc>
      </w:tr>
      <w:tr w:rsidR="00330D46" w:rsidRPr="00FD119B" w14:paraId="7790FD85" w14:textId="77777777" w:rsidTr="001472EF">
        <w:tc>
          <w:tcPr>
            <w:tcW w:w="1890" w:type="dxa"/>
          </w:tcPr>
          <w:p w14:paraId="578CA1C6" w14:textId="77777777" w:rsidR="00330D46" w:rsidRDefault="00330D46" w:rsidP="001813A7">
            <w:r>
              <w:t>FAS</w:t>
            </w:r>
          </w:p>
        </w:tc>
        <w:tc>
          <w:tcPr>
            <w:tcW w:w="6830" w:type="dxa"/>
          </w:tcPr>
          <w:p w14:paraId="4926FBA6" w14:textId="77777777" w:rsidR="00330D46" w:rsidRDefault="00330D46" w:rsidP="001813A7">
            <w:r>
              <w:t>Full analysis set</w:t>
            </w:r>
          </w:p>
        </w:tc>
      </w:tr>
      <w:tr w:rsidR="00330D46" w:rsidRPr="00FD119B" w14:paraId="48C0A837" w14:textId="77777777" w:rsidTr="001472EF">
        <w:tc>
          <w:tcPr>
            <w:tcW w:w="1890" w:type="dxa"/>
          </w:tcPr>
          <w:p w14:paraId="105ADEF1" w14:textId="77777777" w:rsidR="00330D46" w:rsidRDefault="00330D46" w:rsidP="001813A7">
            <w:r>
              <w:t>FPG</w:t>
            </w:r>
          </w:p>
        </w:tc>
        <w:tc>
          <w:tcPr>
            <w:tcW w:w="6830" w:type="dxa"/>
          </w:tcPr>
          <w:p w14:paraId="09276E57" w14:textId="77777777" w:rsidR="00330D46" w:rsidRDefault="00330D46" w:rsidP="001813A7">
            <w:r>
              <w:t>Fasting plasma glucose</w:t>
            </w:r>
          </w:p>
        </w:tc>
      </w:tr>
      <w:tr w:rsidR="00330D46" w:rsidRPr="00FD119B" w14:paraId="05EEB59D" w14:textId="77777777" w:rsidTr="001472EF">
        <w:tc>
          <w:tcPr>
            <w:tcW w:w="1890" w:type="dxa"/>
          </w:tcPr>
          <w:p w14:paraId="2202310E" w14:textId="77777777" w:rsidR="00330D46" w:rsidRDefault="00330D46" w:rsidP="001813A7">
            <w:r>
              <w:t>GVP</w:t>
            </w:r>
          </w:p>
        </w:tc>
        <w:tc>
          <w:tcPr>
            <w:tcW w:w="6830" w:type="dxa"/>
          </w:tcPr>
          <w:p w14:paraId="4920AF37" w14:textId="77777777" w:rsidR="00330D46" w:rsidRPr="001813A7" w:rsidRDefault="00330D46" w:rsidP="00892610">
            <w:r w:rsidRPr="001813A7">
              <w:t>Good Pharmacovigilance Practices</w:t>
            </w:r>
          </w:p>
        </w:tc>
      </w:tr>
      <w:tr w:rsidR="00330D46" w:rsidRPr="00FD119B" w14:paraId="674DBEE6" w14:textId="77777777" w:rsidTr="001472EF">
        <w:tc>
          <w:tcPr>
            <w:tcW w:w="1890" w:type="dxa"/>
          </w:tcPr>
          <w:p w14:paraId="31B9F957" w14:textId="77777777" w:rsidR="00330D46" w:rsidRDefault="00330D46" w:rsidP="001813A7">
            <w:r>
              <w:t>HbA1c</w:t>
            </w:r>
          </w:p>
        </w:tc>
        <w:tc>
          <w:tcPr>
            <w:tcW w:w="6830" w:type="dxa"/>
          </w:tcPr>
          <w:p w14:paraId="469F4603" w14:textId="60E95586" w:rsidR="00330D46" w:rsidRDefault="00330D46" w:rsidP="001813A7">
            <w:r>
              <w:t>Glyc</w:t>
            </w:r>
            <w:r w:rsidR="00986356">
              <w:t>ated</w:t>
            </w:r>
            <w:r>
              <w:t xml:space="preserve"> haemoglobin A1c</w:t>
            </w:r>
          </w:p>
        </w:tc>
      </w:tr>
      <w:tr w:rsidR="00330D46" w:rsidRPr="00FD119B" w14:paraId="7DB26CFE" w14:textId="77777777" w:rsidTr="001472EF">
        <w:tc>
          <w:tcPr>
            <w:tcW w:w="1890" w:type="dxa"/>
          </w:tcPr>
          <w:p w14:paraId="2CA16748" w14:textId="77777777" w:rsidR="00330D46" w:rsidRDefault="00330D46" w:rsidP="001813A7">
            <w:r>
              <w:t>ISPAD</w:t>
            </w:r>
          </w:p>
        </w:tc>
        <w:tc>
          <w:tcPr>
            <w:tcW w:w="6830" w:type="dxa"/>
          </w:tcPr>
          <w:p w14:paraId="4703F3F2" w14:textId="0F72E7C5" w:rsidR="00330D46" w:rsidRDefault="00330D46" w:rsidP="00DB6E9A">
            <w:r>
              <w:t>I</w:t>
            </w:r>
            <w:r w:rsidRPr="005F73C7">
              <w:t>nternational Society for Pediatric and Adolescent Diabetes</w:t>
            </w:r>
            <w:r w:rsidR="00986356">
              <w:t xml:space="preserve"> (Berlin, Germany)</w:t>
            </w:r>
          </w:p>
        </w:tc>
      </w:tr>
      <w:tr w:rsidR="00330D46" w:rsidRPr="00FD119B" w14:paraId="2B3D71AD" w14:textId="77777777" w:rsidTr="001472EF">
        <w:tc>
          <w:tcPr>
            <w:tcW w:w="1890" w:type="dxa"/>
          </w:tcPr>
          <w:p w14:paraId="410C438F" w14:textId="77777777" w:rsidR="00330D46" w:rsidRDefault="00330D46" w:rsidP="001813A7">
            <w:r>
              <w:t>IV</w:t>
            </w:r>
          </w:p>
        </w:tc>
        <w:tc>
          <w:tcPr>
            <w:tcW w:w="6830" w:type="dxa"/>
          </w:tcPr>
          <w:p w14:paraId="0E88A563" w14:textId="77777777" w:rsidR="00330D46" w:rsidRDefault="00330D46" w:rsidP="001813A7">
            <w:r>
              <w:t>Intravenous</w:t>
            </w:r>
          </w:p>
        </w:tc>
      </w:tr>
      <w:tr w:rsidR="00330D46" w:rsidRPr="00FD119B" w14:paraId="6B4B4015" w14:textId="77777777" w:rsidTr="001472EF">
        <w:tc>
          <w:tcPr>
            <w:tcW w:w="1890" w:type="dxa"/>
          </w:tcPr>
          <w:p w14:paraId="6F3EC1DA" w14:textId="77777777" w:rsidR="00330D46" w:rsidRDefault="00330D46" w:rsidP="001813A7">
            <w:r>
              <w:t>LLOQ</w:t>
            </w:r>
          </w:p>
        </w:tc>
        <w:tc>
          <w:tcPr>
            <w:tcW w:w="6830" w:type="dxa"/>
          </w:tcPr>
          <w:p w14:paraId="559FB763" w14:textId="63B7CFDC" w:rsidR="00330D46" w:rsidRDefault="00330D46" w:rsidP="001813A7">
            <w:r>
              <w:t xml:space="preserve">Lower </w:t>
            </w:r>
            <w:r w:rsidR="00986356">
              <w:t>limit</w:t>
            </w:r>
            <w:r>
              <w:t xml:space="preserve"> of quantification</w:t>
            </w:r>
          </w:p>
        </w:tc>
      </w:tr>
      <w:tr w:rsidR="00330D46" w:rsidRPr="00FD119B" w14:paraId="408EBAF3" w14:textId="77777777" w:rsidTr="001472EF">
        <w:tc>
          <w:tcPr>
            <w:tcW w:w="1890" w:type="dxa"/>
          </w:tcPr>
          <w:p w14:paraId="40E64DC8" w14:textId="77777777" w:rsidR="00330D46" w:rsidRDefault="00330D46" w:rsidP="001813A7">
            <w:r>
              <w:t>LSMeans</w:t>
            </w:r>
          </w:p>
        </w:tc>
        <w:tc>
          <w:tcPr>
            <w:tcW w:w="6830" w:type="dxa"/>
          </w:tcPr>
          <w:p w14:paraId="5E42B7B6" w14:textId="2A81232C" w:rsidR="00330D46" w:rsidRDefault="00986356" w:rsidP="001813A7">
            <w:r>
              <w:t>L</w:t>
            </w:r>
            <w:r w:rsidR="00330D46">
              <w:t>east</w:t>
            </w:r>
            <w:r w:rsidR="00330D46">
              <w:noBreakHyphen/>
              <w:t>squares means</w:t>
            </w:r>
          </w:p>
        </w:tc>
      </w:tr>
      <w:tr w:rsidR="00330D46" w:rsidRPr="00FD119B" w14:paraId="363E70F8" w14:textId="77777777" w:rsidTr="001472EF">
        <w:tc>
          <w:tcPr>
            <w:tcW w:w="1890" w:type="dxa"/>
          </w:tcPr>
          <w:p w14:paraId="3EA6E374" w14:textId="77777777" w:rsidR="00330D46" w:rsidRDefault="00330D46" w:rsidP="001813A7">
            <w:r>
              <w:t>PD</w:t>
            </w:r>
          </w:p>
        </w:tc>
        <w:tc>
          <w:tcPr>
            <w:tcW w:w="6830" w:type="dxa"/>
          </w:tcPr>
          <w:p w14:paraId="2370B78D" w14:textId="31526446" w:rsidR="00330D46" w:rsidRDefault="00330D46" w:rsidP="001813A7">
            <w:r>
              <w:t>Pharmacodynamic</w:t>
            </w:r>
            <w:r w:rsidR="003A0810">
              <w:t>(</w:t>
            </w:r>
            <w:r>
              <w:t>s</w:t>
            </w:r>
            <w:r w:rsidR="003A0810">
              <w:t>)</w:t>
            </w:r>
          </w:p>
        </w:tc>
      </w:tr>
      <w:tr w:rsidR="00330D46" w:rsidRPr="00FD119B" w14:paraId="608CBC1F" w14:textId="77777777" w:rsidTr="001472EF">
        <w:tc>
          <w:tcPr>
            <w:tcW w:w="1890" w:type="dxa"/>
          </w:tcPr>
          <w:p w14:paraId="14809E48" w14:textId="77777777" w:rsidR="00330D46" w:rsidRDefault="00330D46" w:rsidP="001813A7">
            <w:r>
              <w:t>PG</w:t>
            </w:r>
          </w:p>
        </w:tc>
        <w:tc>
          <w:tcPr>
            <w:tcW w:w="6830" w:type="dxa"/>
          </w:tcPr>
          <w:p w14:paraId="2544EEE0" w14:textId="77777777" w:rsidR="00330D46" w:rsidRDefault="00330D46" w:rsidP="001813A7">
            <w:r>
              <w:t>Plasma glucose</w:t>
            </w:r>
          </w:p>
        </w:tc>
      </w:tr>
      <w:tr w:rsidR="00330D46" w:rsidRPr="00FD119B" w14:paraId="1CA6854F" w14:textId="77777777" w:rsidTr="001472EF">
        <w:tc>
          <w:tcPr>
            <w:tcW w:w="1890" w:type="dxa"/>
          </w:tcPr>
          <w:p w14:paraId="1219ECAC" w14:textId="77777777" w:rsidR="00330D46" w:rsidRDefault="00330D46" w:rsidP="001813A7">
            <w:r>
              <w:t>PI</w:t>
            </w:r>
          </w:p>
        </w:tc>
        <w:tc>
          <w:tcPr>
            <w:tcW w:w="6830" w:type="dxa"/>
          </w:tcPr>
          <w:p w14:paraId="07993C2F" w14:textId="77777777" w:rsidR="00330D46" w:rsidRDefault="00330D46" w:rsidP="001813A7">
            <w:r>
              <w:t>Product Information</w:t>
            </w:r>
          </w:p>
        </w:tc>
      </w:tr>
      <w:tr w:rsidR="00330D46" w:rsidRPr="00FD119B" w14:paraId="69052A29" w14:textId="77777777" w:rsidTr="001472EF">
        <w:tc>
          <w:tcPr>
            <w:tcW w:w="1890" w:type="dxa"/>
          </w:tcPr>
          <w:p w14:paraId="3B54DDF3" w14:textId="77777777" w:rsidR="00330D46" w:rsidRDefault="00330D46" w:rsidP="001813A7">
            <w:r>
              <w:lastRenderedPageBreak/>
              <w:t>PK</w:t>
            </w:r>
          </w:p>
        </w:tc>
        <w:tc>
          <w:tcPr>
            <w:tcW w:w="6830" w:type="dxa"/>
          </w:tcPr>
          <w:p w14:paraId="41D37A3C" w14:textId="34F59F71" w:rsidR="00330D46" w:rsidRDefault="00330D46" w:rsidP="001813A7">
            <w:r>
              <w:t>Pharmacokinetic</w:t>
            </w:r>
            <w:r w:rsidR="003A0810">
              <w:t>(</w:t>
            </w:r>
            <w:r>
              <w:t>s</w:t>
            </w:r>
            <w:r w:rsidR="003A0810">
              <w:t>)</w:t>
            </w:r>
          </w:p>
        </w:tc>
      </w:tr>
      <w:tr w:rsidR="00330D46" w:rsidRPr="00FD119B" w14:paraId="783D9533" w14:textId="77777777" w:rsidTr="001472EF">
        <w:tc>
          <w:tcPr>
            <w:tcW w:w="1890" w:type="dxa"/>
          </w:tcPr>
          <w:p w14:paraId="062F42FC" w14:textId="77777777" w:rsidR="00330D46" w:rsidRDefault="00330D46" w:rsidP="001813A7">
            <w:r>
              <w:t>PSUR</w:t>
            </w:r>
          </w:p>
        </w:tc>
        <w:tc>
          <w:tcPr>
            <w:tcW w:w="6830" w:type="dxa"/>
          </w:tcPr>
          <w:p w14:paraId="5E297A16" w14:textId="77777777" w:rsidR="00330D46" w:rsidRPr="001813A7" w:rsidRDefault="00330D46" w:rsidP="001813A7">
            <w:pPr>
              <w:rPr>
                <w:rFonts w:asciiTheme="minorHAnsi" w:hAnsiTheme="minorHAnsi"/>
              </w:rPr>
            </w:pPr>
            <w:r w:rsidRPr="001813A7">
              <w:t>Periodic safety update report</w:t>
            </w:r>
          </w:p>
        </w:tc>
      </w:tr>
      <w:tr w:rsidR="00330D46" w:rsidRPr="00FD119B" w14:paraId="026E8A11" w14:textId="77777777" w:rsidTr="001472EF">
        <w:tc>
          <w:tcPr>
            <w:tcW w:w="1890" w:type="dxa"/>
          </w:tcPr>
          <w:p w14:paraId="6D91C55A" w14:textId="77777777" w:rsidR="00330D46" w:rsidRDefault="00330D46" w:rsidP="001813A7">
            <w:r>
              <w:t>RMP</w:t>
            </w:r>
          </w:p>
        </w:tc>
        <w:tc>
          <w:tcPr>
            <w:tcW w:w="6830" w:type="dxa"/>
          </w:tcPr>
          <w:p w14:paraId="0C4D0968" w14:textId="77777777" w:rsidR="00330D46" w:rsidRDefault="00330D46" w:rsidP="001813A7">
            <w:r>
              <w:rPr>
                <w:rFonts w:asciiTheme="minorHAnsi" w:hAnsiTheme="minorHAnsi"/>
              </w:rPr>
              <w:t>Risk management plan</w:t>
            </w:r>
          </w:p>
        </w:tc>
      </w:tr>
      <w:tr w:rsidR="00330D46" w:rsidRPr="00FD119B" w14:paraId="612E1E89" w14:textId="77777777" w:rsidTr="001472EF">
        <w:tc>
          <w:tcPr>
            <w:tcW w:w="1890" w:type="dxa"/>
          </w:tcPr>
          <w:p w14:paraId="65B352E4" w14:textId="77777777" w:rsidR="00330D46" w:rsidRDefault="00330D46" w:rsidP="001813A7">
            <w:r>
              <w:t>SC</w:t>
            </w:r>
          </w:p>
        </w:tc>
        <w:tc>
          <w:tcPr>
            <w:tcW w:w="6830" w:type="dxa"/>
          </w:tcPr>
          <w:p w14:paraId="2B7FCED2" w14:textId="77777777" w:rsidR="00330D46" w:rsidRDefault="00330D46" w:rsidP="001813A7">
            <w:r>
              <w:t>Subcutaneous</w:t>
            </w:r>
          </w:p>
        </w:tc>
      </w:tr>
      <w:tr w:rsidR="00330D46" w:rsidRPr="00FD119B" w14:paraId="4478B24A" w14:textId="77777777" w:rsidTr="001472EF">
        <w:tc>
          <w:tcPr>
            <w:tcW w:w="1890" w:type="dxa"/>
          </w:tcPr>
          <w:p w14:paraId="41565C37" w14:textId="77777777" w:rsidR="00330D46" w:rsidRDefault="00330D46" w:rsidP="001813A7">
            <w:r>
              <w:t>T</w:t>
            </w:r>
            <w:r w:rsidRPr="009E332E">
              <w:rPr>
                <w:vertAlign w:val="subscript"/>
              </w:rPr>
              <w:t>½</w:t>
            </w:r>
          </w:p>
        </w:tc>
        <w:tc>
          <w:tcPr>
            <w:tcW w:w="6830" w:type="dxa"/>
          </w:tcPr>
          <w:p w14:paraId="291C79C8" w14:textId="77777777" w:rsidR="00330D46" w:rsidRDefault="00330D46" w:rsidP="001813A7">
            <w:r>
              <w:t>Half-life</w:t>
            </w:r>
          </w:p>
        </w:tc>
      </w:tr>
      <w:tr w:rsidR="00330D46" w:rsidRPr="00FD119B" w14:paraId="44B4AFB3" w14:textId="77777777" w:rsidTr="001472EF">
        <w:tc>
          <w:tcPr>
            <w:tcW w:w="1890" w:type="dxa"/>
          </w:tcPr>
          <w:p w14:paraId="655CA968" w14:textId="77777777" w:rsidR="00330D46" w:rsidRDefault="00330D46" w:rsidP="001813A7">
            <w:r>
              <w:t>T1DM</w:t>
            </w:r>
          </w:p>
        </w:tc>
        <w:tc>
          <w:tcPr>
            <w:tcW w:w="6830" w:type="dxa"/>
          </w:tcPr>
          <w:p w14:paraId="2EDBE388" w14:textId="77777777" w:rsidR="00330D46" w:rsidRDefault="00330D46" w:rsidP="001813A7">
            <w:r>
              <w:t>Type 1 diabetes mellitus</w:t>
            </w:r>
          </w:p>
        </w:tc>
      </w:tr>
      <w:tr w:rsidR="00330D46" w:rsidRPr="00FD119B" w14:paraId="46C047F0" w14:textId="77777777" w:rsidTr="001472EF">
        <w:tc>
          <w:tcPr>
            <w:tcW w:w="1890" w:type="dxa"/>
          </w:tcPr>
          <w:p w14:paraId="62C530F4" w14:textId="77777777" w:rsidR="00330D46" w:rsidRDefault="00330D46" w:rsidP="001813A7">
            <w:r>
              <w:t>T2DM</w:t>
            </w:r>
          </w:p>
        </w:tc>
        <w:tc>
          <w:tcPr>
            <w:tcW w:w="6830" w:type="dxa"/>
          </w:tcPr>
          <w:p w14:paraId="41F3F30E" w14:textId="77777777" w:rsidR="00330D46" w:rsidRDefault="00330D46" w:rsidP="001813A7">
            <w:r>
              <w:t>Type 2 diabetes mellitus</w:t>
            </w:r>
          </w:p>
        </w:tc>
      </w:tr>
      <w:tr w:rsidR="00330D46" w:rsidRPr="00FD119B" w14:paraId="28451B26" w14:textId="77777777" w:rsidTr="001472EF">
        <w:tc>
          <w:tcPr>
            <w:tcW w:w="1890" w:type="dxa"/>
          </w:tcPr>
          <w:p w14:paraId="59949296" w14:textId="77777777" w:rsidR="00330D46" w:rsidRDefault="00330D46" w:rsidP="001472EF">
            <w:r>
              <w:t>T</w:t>
            </w:r>
            <w:r w:rsidRPr="006A6972">
              <w:rPr>
                <w:vertAlign w:val="subscript"/>
              </w:rPr>
              <w:t>max</w:t>
            </w:r>
          </w:p>
        </w:tc>
        <w:tc>
          <w:tcPr>
            <w:tcW w:w="6830" w:type="dxa"/>
          </w:tcPr>
          <w:p w14:paraId="33C85A83" w14:textId="77777777" w:rsidR="00330D46" w:rsidRDefault="00330D46" w:rsidP="001472EF">
            <w:r>
              <w:rPr>
                <w:rFonts w:cs="Calibri"/>
                <w:color w:val="000000"/>
                <w:szCs w:val="22"/>
              </w:rPr>
              <w:t>Time to maximum observed concentration</w:t>
            </w:r>
          </w:p>
        </w:tc>
      </w:tr>
      <w:tr w:rsidR="00330D46" w:rsidRPr="00FD119B" w14:paraId="1FF29D5A" w14:textId="77777777" w:rsidTr="001472EF">
        <w:tc>
          <w:tcPr>
            <w:tcW w:w="1890" w:type="dxa"/>
          </w:tcPr>
          <w:p w14:paraId="7E2F462F" w14:textId="77777777" w:rsidR="00330D46" w:rsidRDefault="00330D46" w:rsidP="001813A7">
            <w:r>
              <w:t>U</w:t>
            </w:r>
          </w:p>
        </w:tc>
        <w:tc>
          <w:tcPr>
            <w:tcW w:w="6830" w:type="dxa"/>
          </w:tcPr>
          <w:p w14:paraId="76A480EB" w14:textId="77777777" w:rsidR="00330D46" w:rsidRDefault="00330D46" w:rsidP="001813A7">
            <w:r>
              <w:t>Units</w:t>
            </w:r>
          </w:p>
        </w:tc>
      </w:tr>
      <w:tr w:rsidR="00330D46" w:rsidRPr="00FD119B" w14:paraId="336F6C65" w14:textId="77777777" w:rsidTr="001472EF">
        <w:tc>
          <w:tcPr>
            <w:tcW w:w="1890" w:type="dxa"/>
          </w:tcPr>
          <w:p w14:paraId="398B416A" w14:textId="77777777" w:rsidR="00330D46" w:rsidRDefault="00330D46" w:rsidP="001813A7">
            <w:r>
              <w:t>USA</w:t>
            </w:r>
          </w:p>
        </w:tc>
        <w:tc>
          <w:tcPr>
            <w:tcW w:w="6830" w:type="dxa"/>
          </w:tcPr>
          <w:p w14:paraId="2E59506F" w14:textId="77777777" w:rsidR="00330D46" w:rsidRDefault="00330D46" w:rsidP="001813A7">
            <w:r>
              <w:t>United States of America</w:t>
            </w:r>
          </w:p>
        </w:tc>
      </w:tr>
    </w:tbl>
    <w:p w14:paraId="352C072E" w14:textId="77777777" w:rsidR="008E7846" w:rsidRDefault="00F53C07" w:rsidP="007B4A4F">
      <w:pPr>
        <w:pStyle w:val="Heading2"/>
        <w:pageBreakBefore/>
        <w:spacing w:before="0"/>
      </w:pPr>
      <w:bookmarkStart w:id="8" w:name="_Toc49509591"/>
      <w:r>
        <w:lastRenderedPageBreak/>
        <w:t>I.</w:t>
      </w:r>
      <w:r w:rsidR="008E7846">
        <w:t xml:space="preserve"> Introduction to product submission</w:t>
      </w:r>
      <w:bookmarkEnd w:id="8"/>
      <w:bookmarkEnd w:id="0"/>
      <w:bookmarkEnd w:id="2"/>
    </w:p>
    <w:p w14:paraId="751C48F3" w14:textId="77777777" w:rsidR="008E7846" w:rsidRDefault="008E7846" w:rsidP="007B4A4F">
      <w:pPr>
        <w:pStyle w:val="Heading3"/>
        <w:rPr>
          <w:lang w:eastAsia="en-AU"/>
        </w:rPr>
      </w:pPr>
      <w:bookmarkStart w:id="9" w:name="_Toc247691502"/>
      <w:bookmarkStart w:id="10" w:name="_Toc314842483"/>
      <w:bookmarkStart w:id="11" w:name="_Toc49509592"/>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5A0B1179" w14:textId="77777777" w:rsidTr="003735BC">
        <w:tc>
          <w:tcPr>
            <w:tcW w:w="2907" w:type="dxa"/>
          </w:tcPr>
          <w:p w14:paraId="592778EE"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A57169B" w14:textId="7E8E0193" w:rsidR="008E7846" w:rsidRPr="003D1E62" w:rsidRDefault="00D52FE6" w:rsidP="001B5C90">
            <w:r>
              <w:t>Extension of indication</w:t>
            </w:r>
            <w:r w:rsidR="00732E2C">
              <w:t>s</w:t>
            </w:r>
          </w:p>
        </w:tc>
      </w:tr>
      <w:tr w:rsidR="008E7846" w:rsidRPr="003D1E62" w14:paraId="5E357484" w14:textId="77777777" w:rsidTr="003735BC">
        <w:tc>
          <w:tcPr>
            <w:tcW w:w="2907" w:type="dxa"/>
          </w:tcPr>
          <w:p w14:paraId="75AA2EA3" w14:textId="77777777" w:rsidR="008E7846" w:rsidRPr="003D1E62" w:rsidRDefault="008E7846" w:rsidP="003D1E62">
            <w:r w:rsidRPr="003D1E62">
              <w:rPr>
                <w:i/>
              </w:rPr>
              <w:t>Decision</w:t>
            </w:r>
            <w:r w:rsidRPr="003D1E62">
              <w:t>:</w:t>
            </w:r>
          </w:p>
        </w:tc>
        <w:tc>
          <w:tcPr>
            <w:tcW w:w="6307" w:type="dxa"/>
          </w:tcPr>
          <w:p w14:paraId="1CCC21B2" w14:textId="77777777" w:rsidR="008E7846" w:rsidRPr="003D1E62" w:rsidRDefault="00D52FE6" w:rsidP="001B5C90">
            <w:r>
              <w:t>Approved</w:t>
            </w:r>
          </w:p>
        </w:tc>
      </w:tr>
      <w:tr w:rsidR="008E7846" w:rsidRPr="003D1E62" w14:paraId="57A9EC91" w14:textId="77777777" w:rsidTr="003735BC">
        <w:tc>
          <w:tcPr>
            <w:tcW w:w="2907" w:type="dxa"/>
          </w:tcPr>
          <w:p w14:paraId="43C3D76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B2B5007" w14:textId="77777777" w:rsidR="008E7846" w:rsidRPr="003D1E62" w:rsidRDefault="00D52FE6" w:rsidP="001B5C90">
            <w:r>
              <w:t>11 March 2020</w:t>
            </w:r>
          </w:p>
        </w:tc>
      </w:tr>
      <w:tr w:rsidR="00ED2922" w:rsidRPr="003D1E62" w14:paraId="4FB490F4" w14:textId="77777777" w:rsidTr="003735BC">
        <w:tc>
          <w:tcPr>
            <w:tcW w:w="2907" w:type="dxa"/>
          </w:tcPr>
          <w:p w14:paraId="2CE55037" w14:textId="77777777" w:rsidR="00ED2922" w:rsidRPr="00441C3F" w:rsidRDefault="00ED2922" w:rsidP="001B5C90">
            <w:pPr>
              <w:rPr>
                <w:i/>
              </w:rPr>
            </w:pPr>
            <w:r w:rsidRPr="00441C3F">
              <w:rPr>
                <w:i/>
              </w:rPr>
              <w:t>Date of entry onto ARTG</w:t>
            </w:r>
            <w:r w:rsidR="00500337">
              <w:rPr>
                <w:i/>
              </w:rPr>
              <w:t>:</w:t>
            </w:r>
          </w:p>
        </w:tc>
        <w:tc>
          <w:tcPr>
            <w:tcW w:w="6307" w:type="dxa"/>
          </w:tcPr>
          <w:p w14:paraId="74432A24" w14:textId="3D5BF9AD" w:rsidR="00ED2922" w:rsidRPr="00441C3F" w:rsidRDefault="00F840C2" w:rsidP="00D153D8">
            <w:pPr>
              <w:rPr>
                <w:i/>
              </w:rPr>
            </w:pPr>
            <w:r>
              <w:t>13 March 2020</w:t>
            </w:r>
          </w:p>
        </w:tc>
      </w:tr>
      <w:tr w:rsidR="00500337" w:rsidRPr="003D1E62" w14:paraId="5F2DCD79" w14:textId="77777777" w:rsidTr="003735BC">
        <w:tc>
          <w:tcPr>
            <w:tcW w:w="2907" w:type="dxa"/>
          </w:tcPr>
          <w:p w14:paraId="5D29AD71" w14:textId="5FEFF563" w:rsidR="00500337" w:rsidRPr="00441C3F" w:rsidRDefault="003503A5" w:rsidP="001B5C90">
            <w:pPr>
              <w:rPr>
                <w:i/>
              </w:rPr>
            </w:pPr>
            <w:r>
              <w:rPr>
                <w:i/>
              </w:rPr>
              <w:t>ARTG numbers</w:t>
            </w:r>
            <w:r w:rsidR="00500337">
              <w:rPr>
                <w:i/>
              </w:rPr>
              <w:t>:</w:t>
            </w:r>
          </w:p>
        </w:tc>
        <w:tc>
          <w:tcPr>
            <w:tcW w:w="6307" w:type="dxa"/>
          </w:tcPr>
          <w:p w14:paraId="22EFA8DC" w14:textId="1B568958" w:rsidR="00500337" w:rsidRPr="00441C3F" w:rsidRDefault="00D52FE6" w:rsidP="00892610">
            <w:r>
              <w:rPr>
                <w:rFonts w:eastAsiaTheme="minorHAnsi" w:cs="Cambria"/>
              </w:rPr>
              <w:t>275375, 275393, 275394</w:t>
            </w:r>
          </w:p>
        </w:tc>
      </w:tr>
      <w:tr w:rsidR="003735BC" w:rsidRPr="003D1E62" w14:paraId="6A397340" w14:textId="77777777" w:rsidTr="003735BC">
        <w:tc>
          <w:tcPr>
            <w:tcW w:w="2907" w:type="dxa"/>
          </w:tcPr>
          <w:p w14:paraId="7B3074B8"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0CFAA7EA" w14:textId="14435ECE" w:rsidR="00CA1BAD" w:rsidRDefault="00D813E6" w:rsidP="00CA1BAD">
            <w:r>
              <w:t>Yes</w:t>
            </w:r>
          </w:p>
          <w:p w14:paraId="0708733C" w14:textId="77777777" w:rsidR="003735BC" w:rsidRPr="00CA1BAD" w:rsidRDefault="003735BC" w:rsidP="003735BC">
            <w:r>
              <w:t>This product will remain in the scheme for 5 years, starting on the date the new indication was approved</w:t>
            </w:r>
          </w:p>
        </w:tc>
      </w:tr>
      <w:tr w:rsidR="008E7846" w:rsidRPr="00487162" w14:paraId="5BFC4761" w14:textId="77777777" w:rsidTr="00BF1190">
        <w:tc>
          <w:tcPr>
            <w:tcW w:w="2907" w:type="dxa"/>
          </w:tcPr>
          <w:p w14:paraId="39074FC4" w14:textId="741CAB5F" w:rsidR="008E7846" w:rsidRPr="00487162" w:rsidRDefault="003503A5" w:rsidP="00E45619">
            <w:pPr>
              <w:rPr>
                <w:i/>
              </w:rPr>
            </w:pPr>
            <w:r>
              <w:rPr>
                <w:i/>
              </w:rPr>
              <w:t>Active ingredients</w:t>
            </w:r>
            <w:r w:rsidR="001B5C90">
              <w:rPr>
                <w:i/>
              </w:rPr>
              <w:t>:</w:t>
            </w:r>
          </w:p>
        </w:tc>
        <w:tc>
          <w:tcPr>
            <w:tcW w:w="6307" w:type="dxa"/>
          </w:tcPr>
          <w:p w14:paraId="688BF328" w14:textId="77777777" w:rsidR="008E7846" w:rsidRPr="00487162" w:rsidRDefault="00033830" w:rsidP="003503A5">
            <w:r>
              <w:t>Insulin aspart (rys)</w:t>
            </w:r>
          </w:p>
        </w:tc>
      </w:tr>
      <w:tr w:rsidR="008E7846" w:rsidRPr="00487162" w14:paraId="4B185CCF" w14:textId="77777777" w:rsidTr="00BF1190">
        <w:tc>
          <w:tcPr>
            <w:tcW w:w="2907" w:type="dxa"/>
          </w:tcPr>
          <w:p w14:paraId="784B4C1F" w14:textId="7D4CD8B7" w:rsidR="008E7846" w:rsidRPr="00487162" w:rsidRDefault="008E7846" w:rsidP="001B5C90">
            <w:pPr>
              <w:rPr>
                <w:i/>
              </w:rPr>
            </w:pPr>
            <w:r w:rsidRPr="00487162">
              <w:rPr>
                <w:i/>
              </w:rPr>
              <w:t>Product</w:t>
            </w:r>
            <w:r w:rsidR="003503A5">
              <w:rPr>
                <w:i/>
              </w:rPr>
              <w:t xml:space="preserve"> names</w:t>
            </w:r>
            <w:r w:rsidR="001B5C90">
              <w:rPr>
                <w:i/>
              </w:rPr>
              <w:t>:</w:t>
            </w:r>
          </w:p>
        </w:tc>
        <w:tc>
          <w:tcPr>
            <w:tcW w:w="6307" w:type="dxa"/>
          </w:tcPr>
          <w:p w14:paraId="7BB43313" w14:textId="0E5877B1" w:rsidR="008E7846" w:rsidRPr="00487162" w:rsidRDefault="006843AB" w:rsidP="006843AB">
            <w:r>
              <w:t>Fiasp;</w:t>
            </w:r>
            <w:r w:rsidR="003503A5" w:rsidRPr="003503A5">
              <w:t xml:space="preserve"> </w:t>
            </w:r>
            <w:r w:rsidR="003503A5">
              <w:t xml:space="preserve">Fiasp </w:t>
            </w:r>
            <w:r w:rsidR="00986356">
              <w:t>P</w:t>
            </w:r>
            <w:r w:rsidR="003503A5">
              <w:t>enfill</w:t>
            </w:r>
            <w:r>
              <w:t>; and</w:t>
            </w:r>
            <w:r w:rsidR="003503A5">
              <w:t xml:space="preserve"> Fiasp </w:t>
            </w:r>
            <w:r w:rsidR="00986356">
              <w:t>F</w:t>
            </w:r>
            <w:r w:rsidR="003503A5">
              <w:t>lex</w:t>
            </w:r>
            <w:r w:rsidR="00986356">
              <w:t>T</w:t>
            </w:r>
            <w:r w:rsidR="003503A5">
              <w:t>ouch</w:t>
            </w:r>
          </w:p>
        </w:tc>
      </w:tr>
      <w:tr w:rsidR="008E7846" w:rsidRPr="00487162" w14:paraId="366CF936" w14:textId="77777777" w:rsidTr="00BF1190">
        <w:tc>
          <w:tcPr>
            <w:tcW w:w="2907" w:type="dxa"/>
          </w:tcPr>
          <w:p w14:paraId="00AD4340"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1F99DC2" w14:textId="77777777" w:rsidR="008E7846" w:rsidRDefault="00033830" w:rsidP="00F12844">
            <w:r>
              <w:t>Novo Nordisk Pharmaceuticals Pty Ltd</w:t>
            </w:r>
          </w:p>
          <w:p w14:paraId="3025D519" w14:textId="14BC3191" w:rsidR="00033830" w:rsidRPr="00487162" w:rsidRDefault="00892610" w:rsidP="00892610">
            <w:r>
              <w:t>Level 3, 21 Sole</w:t>
            </w:r>
            <w:r w:rsidR="00A81299">
              <w:t>nt Circuit, Baulkham Hills, NSW</w:t>
            </w:r>
            <w:r>
              <w:t xml:space="preserve"> 2153</w:t>
            </w:r>
          </w:p>
        </w:tc>
      </w:tr>
      <w:tr w:rsidR="008E7846" w:rsidRPr="00487162" w14:paraId="37BEF338" w14:textId="77777777" w:rsidTr="00BF1190">
        <w:tc>
          <w:tcPr>
            <w:tcW w:w="2907" w:type="dxa"/>
          </w:tcPr>
          <w:p w14:paraId="0DA155A3" w14:textId="14367F4E" w:rsidR="008E7846" w:rsidRPr="00487162" w:rsidRDefault="003503A5" w:rsidP="00E45619">
            <w:pPr>
              <w:rPr>
                <w:i/>
              </w:rPr>
            </w:pPr>
            <w:r>
              <w:rPr>
                <w:i/>
              </w:rPr>
              <w:t>Dose form</w:t>
            </w:r>
            <w:r w:rsidR="001B5C90">
              <w:rPr>
                <w:i/>
              </w:rPr>
              <w:t>:</w:t>
            </w:r>
          </w:p>
        </w:tc>
        <w:tc>
          <w:tcPr>
            <w:tcW w:w="6307" w:type="dxa"/>
          </w:tcPr>
          <w:p w14:paraId="015F1540" w14:textId="4A92AA40" w:rsidR="008E7846" w:rsidRPr="00487162" w:rsidRDefault="000F3404" w:rsidP="00E45619">
            <w:r>
              <w:t>Solution</w:t>
            </w:r>
            <w:r w:rsidR="00DF223F">
              <w:t xml:space="preserve"> for injection</w:t>
            </w:r>
          </w:p>
        </w:tc>
      </w:tr>
      <w:tr w:rsidR="008E7846" w:rsidRPr="00487162" w14:paraId="62E646B9" w14:textId="77777777" w:rsidTr="00BF1190">
        <w:tc>
          <w:tcPr>
            <w:tcW w:w="2907" w:type="dxa"/>
          </w:tcPr>
          <w:p w14:paraId="33858350" w14:textId="1501A710" w:rsidR="008E7846" w:rsidRPr="00487162" w:rsidRDefault="003503A5" w:rsidP="00E45619">
            <w:pPr>
              <w:rPr>
                <w:i/>
              </w:rPr>
            </w:pPr>
            <w:r>
              <w:rPr>
                <w:i/>
              </w:rPr>
              <w:t>Strength</w:t>
            </w:r>
            <w:r w:rsidR="008E7846" w:rsidRPr="00487162">
              <w:rPr>
                <w:i/>
              </w:rPr>
              <w:t xml:space="preserve">: </w:t>
            </w:r>
          </w:p>
        </w:tc>
        <w:tc>
          <w:tcPr>
            <w:tcW w:w="6307" w:type="dxa"/>
          </w:tcPr>
          <w:p w14:paraId="240B5C72" w14:textId="13C50BD3" w:rsidR="008E7846" w:rsidRPr="00487162" w:rsidRDefault="00033830" w:rsidP="00E45619">
            <w:r>
              <w:t>100 units</w:t>
            </w:r>
            <w:r w:rsidR="00892610">
              <w:t xml:space="preserve"> (U)</w:t>
            </w:r>
            <w:r>
              <w:t>/mL</w:t>
            </w:r>
          </w:p>
        </w:tc>
      </w:tr>
      <w:tr w:rsidR="008E7846" w:rsidRPr="00487162" w14:paraId="76DCF44F" w14:textId="77777777" w:rsidTr="00BF1190">
        <w:tc>
          <w:tcPr>
            <w:tcW w:w="2907" w:type="dxa"/>
          </w:tcPr>
          <w:p w14:paraId="373401B9" w14:textId="36B2F17A" w:rsidR="008E7846" w:rsidRPr="00487162" w:rsidRDefault="003503A5" w:rsidP="003503A5">
            <w:pPr>
              <w:rPr>
                <w:i/>
              </w:rPr>
            </w:pPr>
            <w:r>
              <w:rPr>
                <w:i/>
              </w:rPr>
              <w:t>Containers</w:t>
            </w:r>
            <w:r w:rsidR="008E7846" w:rsidRPr="00487162">
              <w:rPr>
                <w:i/>
              </w:rPr>
              <w:t>:</w:t>
            </w:r>
          </w:p>
        </w:tc>
        <w:tc>
          <w:tcPr>
            <w:tcW w:w="6307" w:type="dxa"/>
          </w:tcPr>
          <w:p w14:paraId="6132D9DE" w14:textId="64F7190A" w:rsidR="008E7846" w:rsidRPr="00487162" w:rsidRDefault="00033830" w:rsidP="00E45619">
            <w:r>
              <w:t>Cartridge</w:t>
            </w:r>
            <w:r w:rsidR="000F3404">
              <w:t>, v</w:t>
            </w:r>
            <w:r w:rsidR="009D4D93">
              <w:t>ial</w:t>
            </w:r>
            <w:r w:rsidR="00892610">
              <w:t>, prefilled pen</w:t>
            </w:r>
          </w:p>
        </w:tc>
      </w:tr>
      <w:tr w:rsidR="008E7846" w:rsidRPr="00487162" w14:paraId="06605BFB" w14:textId="77777777" w:rsidTr="00BF1190">
        <w:tc>
          <w:tcPr>
            <w:tcW w:w="2907" w:type="dxa"/>
          </w:tcPr>
          <w:p w14:paraId="159572AA" w14:textId="127107B9" w:rsidR="008E7846" w:rsidRPr="00487162" w:rsidRDefault="003503A5" w:rsidP="00E45619">
            <w:pPr>
              <w:rPr>
                <w:i/>
              </w:rPr>
            </w:pPr>
            <w:r>
              <w:rPr>
                <w:i/>
              </w:rPr>
              <w:t>Pack sizes</w:t>
            </w:r>
            <w:r w:rsidR="008E7846" w:rsidRPr="00487162">
              <w:rPr>
                <w:i/>
              </w:rPr>
              <w:t>:</w:t>
            </w:r>
          </w:p>
        </w:tc>
        <w:tc>
          <w:tcPr>
            <w:tcW w:w="6307" w:type="dxa"/>
          </w:tcPr>
          <w:p w14:paraId="215C8FE5" w14:textId="220A72C0" w:rsidR="008E7846" w:rsidRDefault="00DF223F" w:rsidP="003503A5">
            <w:r>
              <w:t xml:space="preserve">Fiasp </w:t>
            </w:r>
            <w:r w:rsidR="00D153BF">
              <w:t>F</w:t>
            </w:r>
            <w:r>
              <w:t>lex</w:t>
            </w:r>
            <w:r w:rsidR="00986356">
              <w:t>T</w:t>
            </w:r>
            <w:r w:rsidR="009D4D93" w:rsidRPr="003503A5">
              <w:t xml:space="preserve">ouch: </w:t>
            </w:r>
            <w:r w:rsidR="003503A5">
              <w:t>1</w:t>
            </w:r>
            <w:r w:rsidR="00986356">
              <w:t xml:space="preserve"> x 3 mL and 5 x 3 mL prefilled pen(s)</w:t>
            </w:r>
          </w:p>
          <w:p w14:paraId="7708F724" w14:textId="7E52DEBD" w:rsidR="00EC4A9A" w:rsidRPr="009D4D93" w:rsidRDefault="00EC4A9A" w:rsidP="003503A5">
            <w:r w:rsidRPr="003503A5">
              <w:t>Fiasp vial:</w:t>
            </w:r>
            <w:r w:rsidR="00CA3374" w:rsidRPr="003503A5">
              <w:t xml:space="preserve"> </w:t>
            </w:r>
            <w:r w:rsidR="003503A5">
              <w:t>1</w:t>
            </w:r>
            <w:r w:rsidR="00AB1CE1">
              <w:t xml:space="preserve"> x 10 mL vial</w:t>
            </w:r>
          </w:p>
          <w:p w14:paraId="2DFE0DB3" w14:textId="3298EE38" w:rsidR="009D4D93" w:rsidRPr="00487162" w:rsidRDefault="00DF223F" w:rsidP="003503A5">
            <w:r>
              <w:t xml:space="preserve">Fiasp </w:t>
            </w:r>
            <w:r w:rsidR="00D153BF">
              <w:t>P</w:t>
            </w:r>
            <w:r w:rsidR="00EC4A9A" w:rsidRPr="003503A5">
              <w:t>enfill:</w:t>
            </w:r>
            <w:r w:rsidR="00CA3374" w:rsidRPr="003503A5">
              <w:t xml:space="preserve"> </w:t>
            </w:r>
            <w:r w:rsidR="00EC4A9A" w:rsidRPr="003503A5">
              <w:t>5</w:t>
            </w:r>
            <w:r w:rsidR="00AB1CE1">
              <w:t xml:space="preserve"> x 3 mL cartridges</w:t>
            </w:r>
          </w:p>
        </w:tc>
      </w:tr>
      <w:tr w:rsidR="008E7846" w:rsidRPr="00487162" w14:paraId="70454E2B" w14:textId="77777777" w:rsidTr="00BF1190">
        <w:tc>
          <w:tcPr>
            <w:tcW w:w="2907" w:type="dxa"/>
          </w:tcPr>
          <w:p w14:paraId="39B55864"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7D0CD49C" w14:textId="3217BA47" w:rsidR="008E7846" w:rsidRPr="003503A5" w:rsidRDefault="00456D75" w:rsidP="003503A5">
            <w:pPr>
              <w:rPr>
                <w:rFonts w:eastAsia="MS Mincho"/>
                <w:i/>
                <w:lang w:eastAsia="ja-JP"/>
              </w:rPr>
            </w:pPr>
            <w:r w:rsidRPr="003503A5">
              <w:rPr>
                <w:i/>
              </w:rPr>
              <w:t xml:space="preserve">Treatment of diabetes mellitus in adolescents and children aged </w:t>
            </w:r>
            <w:r w:rsidR="00AB1CE1">
              <w:rPr>
                <w:i/>
              </w:rPr>
              <w:t>1 </w:t>
            </w:r>
            <w:r w:rsidRPr="003503A5">
              <w:rPr>
                <w:i/>
              </w:rPr>
              <w:t>year and above</w:t>
            </w:r>
          </w:p>
        </w:tc>
      </w:tr>
      <w:tr w:rsidR="008E7846" w:rsidRPr="00487162" w14:paraId="7BA72667" w14:textId="77777777" w:rsidTr="00BF1190">
        <w:tc>
          <w:tcPr>
            <w:tcW w:w="2907" w:type="dxa"/>
          </w:tcPr>
          <w:p w14:paraId="2DD4BE3C" w14:textId="59E9BE01" w:rsidR="008E7846" w:rsidRPr="00487162" w:rsidRDefault="003503A5" w:rsidP="00E45619">
            <w:pPr>
              <w:rPr>
                <w:i/>
              </w:rPr>
            </w:pPr>
            <w:r>
              <w:rPr>
                <w:i/>
              </w:rPr>
              <w:t>Routes</w:t>
            </w:r>
            <w:r w:rsidR="008E7846" w:rsidRPr="00487162">
              <w:rPr>
                <w:i/>
              </w:rPr>
              <w:t xml:space="preserve"> of administration:</w:t>
            </w:r>
          </w:p>
        </w:tc>
        <w:tc>
          <w:tcPr>
            <w:tcW w:w="6307" w:type="dxa"/>
          </w:tcPr>
          <w:p w14:paraId="5592CBF4" w14:textId="77777777" w:rsidR="008E7846" w:rsidRPr="00487162" w:rsidRDefault="00456D75" w:rsidP="00E45619">
            <w:r>
              <w:t>Subcutaneous (SC), intravenous (IV)</w:t>
            </w:r>
          </w:p>
        </w:tc>
      </w:tr>
      <w:tr w:rsidR="008E7846" w:rsidRPr="00487162" w14:paraId="47D71AA1" w14:textId="77777777" w:rsidTr="00BF1190">
        <w:tc>
          <w:tcPr>
            <w:tcW w:w="2907" w:type="dxa"/>
          </w:tcPr>
          <w:p w14:paraId="56794AA8" w14:textId="77777777" w:rsidR="008E7846" w:rsidRPr="00487162" w:rsidRDefault="008E7846" w:rsidP="00E45619">
            <w:pPr>
              <w:rPr>
                <w:i/>
              </w:rPr>
            </w:pPr>
            <w:r w:rsidRPr="00487162">
              <w:rPr>
                <w:i/>
              </w:rPr>
              <w:t>Dosage:</w:t>
            </w:r>
          </w:p>
        </w:tc>
        <w:tc>
          <w:tcPr>
            <w:tcW w:w="6307" w:type="dxa"/>
          </w:tcPr>
          <w:p w14:paraId="28E194E1" w14:textId="3E910611" w:rsidR="00456D75" w:rsidRPr="00EA4839" w:rsidRDefault="00EA4839" w:rsidP="000F3404">
            <w:r>
              <w:t xml:space="preserve">Fiasp should be administered 0 to </w:t>
            </w:r>
            <w:r w:rsidR="00456D75">
              <w:t>2 minutes prior to starting a m</w:t>
            </w:r>
            <w:r>
              <w:t xml:space="preserve">eal. Administration of Fiasp up </w:t>
            </w:r>
            <w:r w:rsidR="00456D75">
              <w:t>to 20 minutes after starting a meal in adults was as efficacious as NovoRapid</w:t>
            </w:r>
            <w:r w:rsidR="00AB1CE1">
              <w:t>;</w:t>
            </w:r>
            <w:r w:rsidR="00AB1CE1">
              <w:rPr>
                <w:rStyle w:val="FootnoteReference"/>
              </w:rPr>
              <w:footnoteReference w:id="1"/>
            </w:r>
            <w:r w:rsidR="00456D75">
              <w:t xml:space="preserve"> given before a</w:t>
            </w:r>
            <w:r>
              <w:t xml:space="preserve"> </w:t>
            </w:r>
            <w:r w:rsidR="00456D75">
              <w:t>meal</w:t>
            </w:r>
            <w:r w:rsidR="00456D75">
              <w:rPr>
                <w:rFonts w:ascii="TimesNewRomanPS-ItalicMT" w:hAnsi="TimesNewRomanPS-ItalicMT" w:cs="TimesNewRomanPS-ItalicMT"/>
                <w:i/>
                <w:iCs/>
              </w:rPr>
              <w:t>.</w:t>
            </w:r>
          </w:p>
          <w:p w14:paraId="19C710B2" w14:textId="204AD4E1" w:rsidR="008E7846" w:rsidRDefault="00456D75" w:rsidP="000F3404">
            <w:r>
              <w:t>Fiasp can be used for continuous subcutaneous insulin i</w:t>
            </w:r>
            <w:r w:rsidR="00EA4839">
              <w:t xml:space="preserve">nfusion (CSII) in pumps or be </w:t>
            </w:r>
            <w:r>
              <w:t xml:space="preserve">administrated intravenously by healthcare </w:t>
            </w:r>
            <w:r>
              <w:lastRenderedPageBreak/>
              <w:t>professionals.</w:t>
            </w:r>
          </w:p>
          <w:p w14:paraId="0092219D" w14:textId="77777777" w:rsidR="00892610" w:rsidRDefault="00EA4839" w:rsidP="000F3404">
            <w:r>
              <w:t>Dosing with Fiasp is individual and determined in accordance with the needs of the patient, in particular the estimated carbohydrate consumption and glycaemic load of the meal.</w:t>
            </w:r>
          </w:p>
          <w:p w14:paraId="720F164A" w14:textId="17EE8849" w:rsidR="00EA4839" w:rsidRPr="00BE2A17" w:rsidRDefault="00E251EB" w:rsidP="000F3404">
            <w:r>
              <w:t>See the Product Information</w:t>
            </w:r>
            <w:r w:rsidR="00EA4839">
              <w:t xml:space="preserve"> for further details.</w:t>
            </w:r>
          </w:p>
        </w:tc>
      </w:tr>
    </w:tbl>
    <w:p w14:paraId="2225752C" w14:textId="77777777" w:rsidR="008E7846" w:rsidRDefault="008E7846" w:rsidP="008E7846">
      <w:pPr>
        <w:pStyle w:val="Heading3"/>
      </w:pPr>
      <w:bookmarkStart w:id="12" w:name="_Toc247691503"/>
      <w:bookmarkStart w:id="13" w:name="_Toc314842484"/>
      <w:bookmarkStart w:id="14" w:name="_Toc49509593"/>
      <w:r>
        <w:lastRenderedPageBreak/>
        <w:t>Product background</w:t>
      </w:r>
      <w:bookmarkEnd w:id="12"/>
      <w:bookmarkEnd w:id="13"/>
      <w:bookmarkEnd w:id="14"/>
    </w:p>
    <w:p w14:paraId="11516DEE" w14:textId="58402200" w:rsidR="008E7846" w:rsidRDefault="00940A89" w:rsidP="007B4A4F">
      <w:r w:rsidRPr="00940A89">
        <w:t>This AusPAR describes the application by</w:t>
      </w:r>
      <w:r w:rsidR="00456D75">
        <w:t xml:space="preserve"> </w:t>
      </w:r>
      <w:r w:rsidR="00456D75" w:rsidRPr="00BE2A17">
        <w:t>Novo Nordisk Pharmaceuticals Pty Ltd</w:t>
      </w:r>
      <w:r w:rsidR="00BE2A17">
        <w:t xml:space="preserve"> </w:t>
      </w:r>
      <w:r w:rsidR="00456D75">
        <w:t>(</w:t>
      </w:r>
      <w:r w:rsidRPr="00940A89">
        <w:t>the sponsor</w:t>
      </w:r>
      <w:r w:rsidR="00CA3608">
        <w:t xml:space="preserve">) to </w:t>
      </w:r>
      <w:r w:rsidR="007F3BB4">
        <w:t>register</w:t>
      </w:r>
      <w:r w:rsidR="00456D75">
        <w:t xml:space="preserve"> </w:t>
      </w:r>
      <w:r w:rsidR="00BE2A17" w:rsidRPr="00BE2A17">
        <w:t>Fiasp</w:t>
      </w:r>
      <w:r w:rsidR="00BE2A17">
        <w:t xml:space="preserve">, </w:t>
      </w:r>
      <w:r w:rsidR="00BE2A17" w:rsidRPr="00BE2A17">
        <w:t xml:space="preserve">Fiasp </w:t>
      </w:r>
      <w:r w:rsidR="00E41B4B">
        <w:t>P</w:t>
      </w:r>
      <w:r w:rsidR="00BE2A17" w:rsidRPr="00BE2A17">
        <w:t>enfill</w:t>
      </w:r>
      <w:r w:rsidR="00BE2A17">
        <w:t xml:space="preserve"> and </w:t>
      </w:r>
      <w:r w:rsidR="00BE2A17" w:rsidRPr="00BE2A17">
        <w:t xml:space="preserve">Fiasp </w:t>
      </w:r>
      <w:r w:rsidR="00E41B4B">
        <w:t>F</w:t>
      </w:r>
      <w:r w:rsidR="00BE2A17" w:rsidRPr="00BE2A17">
        <w:t>lex</w:t>
      </w:r>
      <w:r w:rsidR="00E41B4B">
        <w:t>T</w:t>
      </w:r>
      <w:r w:rsidR="00BE2A17" w:rsidRPr="00BE2A17">
        <w:t>ouc</w:t>
      </w:r>
      <w:r w:rsidR="00BE2A17">
        <w:t>h containing</w:t>
      </w:r>
      <w:r w:rsidR="00BE2A17" w:rsidRPr="00BE2A17">
        <w:t xml:space="preserve"> </w:t>
      </w:r>
      <w:r w:rsidR="00456D75" w:rsidRPr="00BE2A17">
        <w:t>insulin aspart (rys) 100 units/mL solution for injection</w:t>
      </w:r>
      <w:r w:rsidRPr="00940A89">
        <w:t xml:space="preserve"> </w:t>
      </w:r>
      <w:r w:rsidR="007F3BB4">
        <w:t>for the following proposed extension of indications</w:t>
      </w:r>
      <w:r w:rsidR="00CA3608">
        <w:t>:</w:t>
      </w:r>
    </w:p>
    <w:p w14:paraId="7BF2F12A" w14:textId="4C6C5BC9" w:rsidR="00FF66E4" w:rsidRPr="00BE2A17" w:rsidRDefault="00FF66E4" w:rsidP="00FF66E4">
      <w:pPr>
        <w:ind w:left="720"/>
        <w:rPr>
          <w:rFonts w:eastAsiaTheme="minorHAnsi" w:cs="Cambria"/>
          <w:i/>
        </w:rPr>
      </w:pPr>
      <w:r w:rsidRPr="00BE2A17">
        <w:rPr>
          <w:rFonts w:eastAsiaTheme="minorHAnsi" w:cs="Cambria"/>
          <w:i/>
        </w:rPr>
        <w:t>Treatment of diabetes mellitus in adults, adolescents and children aged 1 year and above.</w:t>
      </w:r>
    </w:p>
    <w:p w14:paraId="030F52B9" w14:textId="3964C6FA" w:rsidR="00030247" w:rsidRDefault="00030247" w:rsidP="007B4A4F">
      <w:pPr>
        <w:rPr>
          <w:lang w:eastAsia="ja-JP"/>
        </w:rPr>
      </w:pPr>
      <w:r w:rsidRPr="0078305B">
        <w:rPr>
          <w:lang w:eastAsia="ja-JP"/>
        </w:rPr>
        <w:t xml:space="preserve">Type 1 diabetes </w:t>
      </w:r>
      <w:r>
        <w:rPr>
          <w:lang w:eastAsia="ja-JP"/>
        </w:rPr>
        <w:t xml:space="preserve">mellitus (T1DM) </w:t>
      </w:r>
      <w:r w:rsidRPr="0078305B">
        <w:rPr>
          <w:lang w:eastAsia="ja-JP"/>
        </w:rPr>
        <w:t xml:space="preserve">is an auto-immune condition in which the immune system is activated to destroy the </w:t>
      </w:r>
      <w:r>
        <w:rPr>
          <w:lang w:eastAsia="ja-JP"/>
        </w:rPr>
        <w:t>beta cells in the pancreas that</w:t>
      </w:r>
      <w:r w:rsidRPr="0078305B">
        <w:rPr>
          <w:lang w:eastAsia="ja-JP"/>
        </w:rPr>
        <w:t xml:space="preserve"> produce insulin. </w:t>
      </w:r>
      <w:r>
        <w:rPr>
          <w:lang w:eastAsia="ja-JP"/>
        </w:rPr>
        <w:t xml:space="preserve">The exact cause of </w:t>
      </w:r>
      <w:r w:rsidRPr="0078305B">
        <w:rPr>
          <w:lang w:eastAsia="ja-JP"/>
        </w:rPr>
        <w:t>this auto-immune reaction</w:t>
      </w:r>
      <w:r>
        <w:rPr>
          <w:lang w:eastAsia="ja-JP"/>
        </w:rPr>
        <w:t xml:space="preserve"> is not known</w:t>
      </w:r>
      <w:r w:rsidRPr="0078305B">
        <w:rPr>
          <w:lang w:eastAsia="ja-JP"/>
        </w:rPr>
        <w:t xml:space="preserve">. </w:t>
      </w:r>
      <w:r>
        <w:rPr>
          <w:lang w:eastAsia="ja-JP"/>
        </w:rPr>
        <w:t xml:space="preserve">Family history of T1DM has a strong link to the development of this condition. </w:t>
      </w:r>
      <w:r w:rsidR="00E41B4B">
        <w:rPr>
          <w:lang w:eastAsia="ja-JP"/>
        </w:rPr>
        <w:t>T1DM</w:t>
      </w:r>
      <w:r w:rsidRPr="0078305B">
        <w:rPr>
          <w:lang w:eastAsia="ja-JP"/>
        </w:rPr>
        <w:t xml:space="preserve"> is not linked to modifiable lifestyle fact</w:t>
      </w:r>
      <w:r>
        <w:rPr>
          <w:lang w:eastAsia="ja-JP"/>
        </w:rPr>
        <w:t>ors. N</w:t>
      </w:r>
      <w:r w:rsidRPr="0078305B">
        <w:rPr>
          <w:lang w:eastAsia="ja-JP"/>
        </w:rPr>
        <w:t xml:space="preserve">o cure </w:t>
      </w:r>
      <w:r>
        <w:rPr>
          <w:lang w:eastAsia="ja-JP"/>
        </w:rPr>
        <w:t xml:space="preserve">has been found so far and this condition </w:t>
      </w:r>
      <w:r w:rsidRPr="0078305B">
        <w:rPr>
          <w:lang w:eastAsia="ja-JP"/>
        </w:rPr>
        <w:t>cannot be prevented.</w:t>
      </w:r>
    </w:p>
    <w:p w14:paraId="7DE53ACD" w14:textId="7ACA6243" w:rsidR="00030247" w:rsidRDefault="00030247" w:rsidP="00D30A40">
      <w:pPr>
        <w:rPr>
          <w:lang w:eastAsia="ja-JP"/>
        </w:rPr>
      </w:pPr>
      <w:r>
        <w:rPr>
          <w:lang w:eastAsia="ja-JP"/>
        </w:rPr>
        <w:t xml:space="preserve">T1DM occurs when pancreas does not produce insulin. In Australia, T1DM accounts for around 10% of all cases of diabetes. It is one of the most common chronic childhood conditions. Onset is usually abrupt and the symptoms include </w:t>
      </w:r>
      <w:r w:rsidRPr="0078305B">
        <w:rPr>
          <w:lang w:eastAsia="ja-JP"/>
        </w:rPr>
        <w:t>excessive thirst and urination, unexplained weight loss, weakness and fatigue and blurred vision</w:t>
      </w:r>
      <w:r w:rsidR="00D30A40">
        <w:rPr>
          <w:lang w:eastAsia="ja-JP"/>
        </w:rPr>
        <w:t>.</w:t>
      </w:r>
    </w:p>
    <w:p w14:paraId="50DD8644" w14:textId="0E459431" w:rsidR="00030247" w:rsidRDefault="00030247" w:rsidP="00D30A40">
      <w:pPr>
        <w:rPr>
          <w:lang w:eastAsia="ja-JP"/>
        </w:rPr>
      </w:pPr>
      <w:r>
        <w:rPr>
          <w:lang w:eastAsia="ja-JP"/>
        </w:rPr>
        <w:t>In Australia, there were 2,600 new c</w:t>
      </w:r>
      <w:r w:rsidR="00D30A40">
        <w:rPr>
          <w:lang w:eastAsia="ja-JP"/>
        </w:rPr>
        <w:t xml:space="preserve">ases of T1DM diagnosed in 2016 </w:t>
      </w:r>
      <w:r>
        <w:rPr>
          <w:lang w:eastAsia="ja-JP"/>
        </w:rPr>
        <w:t>that corresponds to an estimate of 12 cases per 100,000 population.</w:t>
      </w:r>
      <w:r w:rsidR="00C11FF2">
        <w:rPr>
          <w:rStyle w:val="FootnoteReference"/>
          <w:lang w:eastAsia="ja-JP"/>
        </w:rPr>
        <w:footnoteReference w:id="2"/>
      </w:r>
      <w:r>
        <w:rPr>
          <w:lang w:eastAsia="ja-JP"/>
        </w:rPr>
        <w:t xml:space="preserve"> The incidence rate for 0 </w:t>
      </w:r>
      <w:r w:rsidR="00D30A40">
        <w:rPr>
          <w:lang w:eastAsia="ja-JP"/>
        </w:rPr>
        <w:t>to</w:t>
      </w:r>
      <w:r w:rsidRPr="0078305B">
        <w:rPr>
          <w:lang w:eastAsia="ja-JP"/>
        </w:rPr>
        <w:t>14 year olds remained on average 1.5 tim</w:t>
      </w:r>
      <w:r w:rsidR="0006642A">
        <w:rPr>
          <w:lang w:eastAsia="ja-JP"/>
        </w:rPr>
        <w:t xml:space="preserve">es as high as for those aged 15 to </w:t>
      </w:r>
      <w:r w:rsidRPr="0078305B">
        <w:rPr>
          <w:lang w:eastAsia="ja-JP"/>
        </w:rPr>
        <w:t>24 years and 4 times as high as for those aged 25 y</w:t>
      </w:r>
      <w:r>
        <w:rPr>
          <w:lang w:eastAsia="ja-JP"/>
        </w:rPr>
        <w:t>ears and over</w:t>
      </w:r>
      <w:r w:rsidR="00E251EB">
        <w:rPr>
          <w:lang w:eastAsia="ja-JP"/>
        </w:rPr>
        <w:t xml:space="preserve"> (</w:t>
      </w:r>
      <w:r w:rsidR="00E251EB">
        <w:rPr>
          <w:lang w:eastAsia="ja-JP"/>
        </w:rPr>
        <w:fldChar w:fldCharType="begin"/>
      </w:r>
      <w:r w:rsidR="00E251EB">
        <w:rPr>
          <w:lang w:eastAsia="ja-JP"/>
        </w:rPr>
        <w:instrText xml:space="preserve"> REF _Ref42694856 \h </w:instrText>
      </w:r>
      <w:r w:rsidR="00E251EB">
        <w:rPr>
          <w:lang w:eastAsia="ja-JP"/>
        </w:rPr>
      </w:r>
      <w:r w:rsidR="00E251EB">
        <w:rPr>
          <w:lang w:eastAsia="ja-JP"/>
        </w:rPr>
        <w:fldChar w:fldCharType="separate"/>
      </w:r>
      <w:r w:rsidR="00006189">
        <w:t xml:space="preserve">Figure </w:t>
      </w:r>
      <w:r w:rsidR="00006189">
        <w:rPr>
          <w:noProof/>
        </w:rPr>
        <w:t>1</w:t>
      </w:r>
      <w:r w:rsidR="00E251EB">
        <w:rPr>
          <w:lang w:eastAsia="ja-JP"/>
        </w:rPr>
        <w:fldChar w:fldCharType="end"/>
      </w:r>
      <w:r w:rsidR="00E251EB">
        <w:rPr>
          <w:lang w:eastAsia="ja-JP"/>
        </w:rPr>
        <w:t>)</w:t>
      </w:r>
      <w:r>
        <w:rPr>
          <w:lang w:eastAsia="ja-JP"/>
        </w:rPr>
        <w:t>.</w:t>
      </w:r>
    </w:p>
    <w:p w14:paraId="5D74B877" w14:textId="7E745759" w:rsidR="00030247" w:rsidRDefault="00D30A40" w:rsidP="00D30A40">
      <w:pPr>
        <w:pStyle w:val="FigureTitle"/>
      </w:pPr>
      <w:bookmarkStart w:id="15" w:name="_Ref42694856"/>
      <w:bookmarkStart w:id="16" w:name="_Toc25325973"/>
      <w:r>
        <w:t xml:space="preserve">Figure </w:t>
      </w:r>
      <w:fldSimple w:instr=" SEQ Figure \* ARABIC ">
        <w:r w:rsidR="00006189">
          <w:rPr>
            <w:noProof/>
          </w:rPr>
          <w:t>1</w:t>
        </w:r>
      </w:fldSimple>
      <w:bookmarkEnd w:id="15"/>
      <w:r w:rsidR="00030247">
        <w:t>: Trends o</w:t>
      </w:r>
      <w:r w:rsidR="007562A4">
        <w:t>f incidence of type 1 diabetes mellitus</w:t>
      </w:r>
      <w:r w:rsidR="006D2E04">
        <w:t xml:space="preserve"> by age (Australian Institute of Health and Welfare</w:t>
      </w:r>
      <w:r w:rsidR="00030247">
        <w:t>)</w:t>
      </w:r>
      <w:bookmarkEnd w:id="16"/>
    </w:p>
    <w:p w14:paraId="20CF95BE" w14:textId="77777777" w:rsidR="00D30A40" w:rsidRDefault="00030247" w:rsidP="00030247">
      <w:pPr>
        <w:rPr>
          <w:lang w:eastAsia="ja-JP"/>
        </w:rPr>
      </w:pPr>
      <w:r>
        <w:rPr>
          <w:noProof/>
          <w:lang w:eastAsia="en-AU"/>
        </w:rPr>
        <w:drawing>
          <wp:inline distT="0" distB="0" distL="0" distR="0" wp14:anchorId="74E61E1C" wp14:editId="68B0A570">
            <wp:extent cx="4121837" cy="2314575"/>
            <wp:effectExtent l="0" t="0" r="0" b="0"/>
            <wp:docPr id="138" name="Picture 138" descr="Trends of incidence of type 1 diabetes mellitus by age (Australian Institute of Health and 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78"/>
                    <a:stretch/>
                  </pic:blipFill>
                  <pic:spPr bwMode="auto">
                    <a:xfrm>
                      <a:off x="0" y="0"/>
                      <a:ext cx="4129772" cy="2319031"/>
                    </a:xfrm>
                    <a:prstGeom prst="rect">
                      <a:avLst/>
                    </a:prstGeom>
                    <a:ln>
                      <a:noFill/>
                    </a:ln>
                    <a:extLst>
                      <a:ext uri="{53640926-AAD7-44D8-BBD7-CCE9431645EC}">
                        <a14:shadowObscured xmlns:a14="http://schemas.microsoft.com/office/drawing/2010/main"/>
                      </a:ext>
                    </a:extLst>
                  </pic:spPr>
                </pic:pic>
              </a:graphicData>
            </a:graphic>
          </wp:inline>
        </w:drawing>
      </w:r>
    </w:p>
    <w:p w14:paraId="5B26A71E" w14:textId="27F3FD6E" w:rsidR="00030247" w:rsidRDefault="00030247" w:rsidP="00D30A40">
      <w:pPr>
        <w:rPr>
          <w:lang w:eastAsia="ja-JP"/>
        </w:rPr>
      </w:pPr>
      <w:r w:rsidRPr="009D2B98">
        <w:rPr>
          <w:lang w:eastAsia="ja-JP"/>
        </w:rPr>
        <w:t>There</w:t>
      </w:r>
      <w:r>
        <w:rPr>
          <w:lang w:eastAsia="ja-JP"/>
        </w:rPr>
        <w:t xml:space="preserve"> are unique challenges in the management of </w:t>
      </w:r>
      <w:r w:rsidRPr="009D2B98">
        <w:rPr>
          <w:lang w:eastAsia="ja-JP"/>
        </w:rPr>
        <w:t>children and adolescents with diabetes</w:t>
      </w:r>
      <w:r>
        <w:rPr>
          <w:lang w:eastAsia="ja-JP"/>
        </w:rPr>
        <w:t>.</w:t>
      </w:r>
      <w:r w:rsidRPr="009D2B98">
        <w:rPr>
          <w:lang w:eastAsia="ja-JP"/>
        </w:rPr>
        <w:t xml:space="preserve"> These include the obvious differences in the size of the patients, developmental issues </w:t>
      </w:r>
      <w:r w:rsidRPr="009D2B98">
        <w:rPr>
          <w:lang w:eastAsia="ja-JP"/>
        </w:rPr>
        <w:lastRenderedPageBreak/>
        <w:t>such as the unpredictability of</w:t>
      </w:r>
      <w:r>
        <w:rPr>
          <w:lang w:eastAsia="ja-JP"/>
        </w:rPr>
        <w:t xml:space="preserve"> a toddler's dietary intake, </w:t>
      </w:r>
      <w:r w:rsidRPr="009D2B98">
        <w:rPr>
          <w:lang w:eastAsia="ja-JP"/>
        </w:rPr>
        <w:t xml:space="preserve">activity level and inability to communicate symptoms of </w:t>
      </w:r>
      <w:r>
        <w:rPr>
          <w:lang w:eastAsia="ja-JP"/>
        </w:rPr>
        <w:t>hypoglycaemia. Me</w:t>
      </w:r>
      <w:r w:rsidRPr="009D2B98">
        <w:rPr>
          <w:lang w:eastAsia="ja-JP"/>
        </w:rPr>
        <w:t>dical issues such as hypoglyc</w:t>
      </w:r>
      <w:r w:rsidR="0052096E">
        <w:rPr>
          <w:lang w:eastAsia="ja-JP"/>
        </w:rPr>
        <w:t>a</w:t>
      </w:r>
      <w:r w:rsidRPr="009D2B98">
        <w:rPr>
          <w:lang w:eastAsia="ja-JP"/>
        </w:rPr>
        <w:t>emia</w:t>
      </w:r>
      <w:r w:rsidR="00203DD9">
        <w:rPr>
          <w:lang w:eastAsia="ja-JP"/>
        </w:rPr>
        <w:t xml:space="preserve"> and diabetic ketoacidosis</w:t>
      </w:r>
      <w:r>
        <w:rPr>
          <w:lang w:eastAsia="ja-JP"/>
        </w:rPr>
        <w:t xml:space="preserve"> have an increased risk of incidence in children, compared to adults.</w:t>
      </w:r>
    </w:p>
    <w:p w14:paraId="61F165A7" w14:textId="7F8A014A" w:rsidR="00D30A40" w:rsidRDefault="00030247" w:rsidP="00D30A40">
      <w:pPr>
        <w:rPr>
          <w:lang w:eastAsia="ja-JP"/>
        </w:rPr>
      </w:pPr>
      <w:r>
        <w:rPr>
          <w:lang w:eastAsia="ja-JP"/>
        </w:rPr>
        <w:t xml:space="preserve">Insulin therapy is the mainstay of </w:t>
      </w:r>
      <w:bookmarkStart w:id="17" w:name="_Toc25325884"/>
      <w:r w:rsidR="008054AD">
        <w:rPr>
          <w:lang w:eastAsia="ja-JP"/>
        </w:rPr>
        <w:t>treatment for T1DM in children.</w:t>
      </w:r>
    </w:p>
    <w:p w14:paraId="054F9822" w14:textId="6D065295" w:rsidR="00030247" w:rsidRDefault="00D30A40" w:rsidP="00D30A40">
      <w:pPr>
        <w:pStyle w:val="TableTitle"/>
        <w:rPr>
          <w:lang w:eastAsia="ja-JP"/>
        </w:rPr>
      </w:pPr>
      <w:r>
        <w:t xml:space="preserve">Table </w:t>
      </w:r>
      <w:fldSimple w:instr=" SEQ Table \* ARABIC ">
        <w:r w:rsidR="00006189">
          <w:rPr>
            <w:noProof/>
          </w:rPr>
          <w:t>1</w:t>
        </w:r>
      </w:fldSimple>
      <w:r w:rsidR="00030247">
        <w:t xml:space="preserve">: List of </w:t>
      </w:r>
      <w:r w:rsidR="00E215A4">
        <w:t xml:space="preserve">the </w:t>
      </w:r>
      <w:r w:rsidR="00030247">
        <w:t>TGA approved fast-acting insulins available for children and adolescents</w:t>
      </w:r>
      <w:bookmarkEnd w:id="17"/>
    </w:p>
    <w:tbl>
      <w:tblPr>
        <w:tblStyle w:val="TableTGAblue"/>
        <w:tblW w:w="0" w:type="auto"/>
        <w:tblLook w:val="04A0" w:firstRow="1" w:lastRow="0" w:firstColumn="1" w:lastColumn="0" w:noHBand="0" w:noVBand="1"/>
      </w:tblPr>
      <w:tblGrid>
        <w:gridCol w:w="1300"/>
        <w:gridCol w:w="1437"/>
        <w:gridCol w:w="5983"/>
      </w:tblGrid>
      <w:tr w:rsidR="008054AD" w:rsidRPr="00E251EB" w14:paraId="3EA418FE" w14:textId="77777777" w:rsidTr="00E251EB">
        <w:trPr>
          <w:cnfStyle w:val="100000000000" w:firstRow="1" w:lastRow="0" w:firstColumn="0" w:lastColumn="0" w:oddVBand="0" w:evenVBand="0" w:oddHBand="0" w:evenHBand="0" w:firstRowFirstColumn="0" w:firstRowLastColumn="0" w:lastRowFirstColumn="0" w:lastRowLastColumn="0"/>
        </w:trPr>
        <w:tc>
          <w:tcPr>
            <w:tcW w:w="0" w:type="auto"/>
          </w:tcPr>
          <w:p w14:paraId="598C1369" w14:textId="77777777" w:rsidR="00030247" w:rsidRPr="00E251EB" w:rsidRDefault="00030247" w:rsidP="00C92989">
            <w:pPr>
              <w:ind w:left="0" w:right="0"/>
              <w:rPr>
                <w:lang w:eastAsia="ja-JP"/>
              </w:rPr>
            </w:pPr>
            <w:r w:rsidRPr="00E251EB">
              <w:rPr>
                <w:lang w:eastAsia="ja-JP"/>
              </w:rPr>
              <w:t>Trade name</w:t>
            </w:r>
          </w:p>
        </w:tc>
        <w:tc>
          <w:tcPr>
            <w:tcW w:w="0" w:type="auto"/>
          </w:tcPr>
          <w:p w14:paraId="6DD192C9" w14:textId="77777777" w:rsidR="00030247" w:rsidRPr="00E251EB" w:rsidRDefault="00030247" w:rsidP="00C92989">
            <w:pPr>
              <w:ind w:left="0" w:right="0"/>
              <w:rPr>
                <w:lang w:eastAsia="ja-JP"/>
              </w:rPr>
            </w:pPr>
            <w:r w:rsidRPr="00E251EB">
              <w:rPr>
                <w:lang w:eastAsia="ja-JP"/>
              </w:rPr>
              <w:t>Active ingredient</w:t>
            </w:r>
          </w:p>
        </w:tc>
        <w:tc>
          <w:tcPr>
            <w:tcW w:w="0" w:type="auto"/>
          </w:tcPr>
          <w:p w14:paraId="1BF91B96" w14:textId="77777777" w:rsidR="00030247" w:rsidRPr="00E251EB" w:rsidRDefault="00030247" w:rsidP="00C92989">
            <w:pPr>
              <w:ind w:left="0" w:right="0"/>
              <w:rPr>
                <w:lang w:eastAsia="ja-JP"/>
              </w:rPr>
            </w:pPr>
            <w:r w:rsidRPr="00E251EB">
              <w:rPr>
                <w:lang w:eastAsia="ja-JP"/>
              </w:rPr>
              <w:t>Indication</w:t>
            </w:r>
          </w:p>
        </w:tc>
      </w:tr>
      <w:tr w:rsidR="008054AD" w:rsidRPr="00E251EB" w14:paraId="48F8412C" w14:textId="77777777" w:rsidTr="00E251EB">
        <w:tc>
          <w:tcPr>
            <w:tcW w:w="0" w:type="auto"/>
          </w:tcPr>
          <w:p w14:paraId="385F9766" w14:textId="03064D8A" w:rsidR="00030247" w:rsidRPr="00E251EB" w:rsidRDefault="00030247" w:rsidP="00C92989">
            <w:pPr>
              <w:ind w:left="0" w:right="0"/>
              <w:rPr>
                <w:lang w:eastAsia="ja-JP"/>
              </w:rPr>
            </w:pPr>
            <w:r w:rsidRPr="00E251EB">
              <w:rPr>
                <w:lang w:eastAsia="ja-JP"/>
              </w:rPr>
              <w:t>H</w:t>
            </w:r>
            <w:r w:rsidR="008054AD" w:rsidRPr="00E251EB">
              <w:rPr>
                <w:lang w:eastAsia="ja-JP"/>
              </w:rPr>
              <w:t>umalog</w:t>
            </w:r>
          </w:p>
        </w:tc>
        <w:tc>
          <w:tcPr>
            <w:tcW w:w="0" w:type="auto"/>
          </w:tcPr>
          <w:p w14:paraId="463FF6B3" w14:textId="77777777" w:rsidR="00030247" w:rsidRPr="00E251EB" w:rsidRDefault="00030247" w:rsidP="00C92989">
            <w:pPr>
              <w:ind w:left="0" w:right="0"/>
              <w:rPr>
                <w:lang w:eastAsia="ja-JP"/>
              </w:rPr>
            </w:pPr>
            <w:r w:rsidRPr="00E251EB">
              <w:rPr>
                <w:lang w:eastAsia="ja-JP"/>
              </w:rPr>
              <w:t>insulin lispro</w:t>
            </w:r>
          </w:p>
        </w:tc>
        <w:tc>
          <w:tcPr>
            <w:tcW w:w="0" w:type="auto"/>
          </w:tcPr>
          <w:p w14:paraId="1EE81848" w14:textId="5762F2AE" w:rsidR="00030247" w:rsidRPr="00D813E6" w:rsidRDefault="00030247" w:rsidP="00C92989">
            <w:pPr>
              <w:ind w:left="0" w:right="0"/>
              <w:rPr>
                <w:i/>
                <w:lang w:eastAsia="ja-JP"/>
              </w:rPr>
            </w:pPr>
            <w:r w:rsidRPr="00D813E6">
              <w:rPr>
                <w:i/>
                <w:lang w:eastAsia="ja-JP"/>
              </w:rPr>
              <w:t xml:space="preserve">For </w:t>
            </w:r>
            <w:r w:rsidR="00E251EB" w:rsidRPr="00D813E6">
              <w:rPr>
                <w:i/>
                <w:lang w:eastAsia="ja-JP"/>
              </w:rPr>
              <w:t>the treatment of patients with t</w:t>
            </w:r>
            <w:r w:rsidRPr="00D813E6">
              <w:rPr>
                <w:i/>
                <w:lang w:eastAsia="ja-JP"/>
              </w:rPr>
              <w:t>ype 1 (</w:t>
            </w:r>
            <w:r w:rsidR="00E45842" w:rsidRPr="00D813E6">
              <w:rPr>
                <w:i/>
                <w:lang w:eastAsia="ja-JP"/>
              </w:rPr>
              <w:t>insulin-de</w:t>
            </w:r>
            <w:r w:rsidR="00E251EB" w:rsidRPr="00D813E6">
              <w:rPr>
                <w:i/>
                <w:lang w:eastAsia="ja-JP"/>
              </w:rPr>
              <w:t>pendent diabetes mellitus) and t</w:t>
            </w:r>
            <w:r w:rsidR="00E45842" w:rsidRPr="00D813E6">
              <w:rPr>
                <w:i/>
                <w:lang w:eastAsia="ja-JP"/>
              </w:rPr>
              <w:t>ype 2 (non-insulin-dependent diabetes mellitus</w:t>
            </w:r>
            <w:r w:rsidRPr="00D813E6">
              <w:rPr>
                <w:i/>
                <w:lang w:eastAsia="ja-JP"/>
              </w:rPr>
              <w:t>) diabetes mellitus who</w:t>
            </w:r>
            <w:r w:rsidR="00E45842" w:rsidRPr="00D813E6">
              <w:rPr>
                <w:i/>
                <w:lang w:eastAsia="ja-JP"/>
              </w:rPr>
              <w:t xml:space="preserve"> </w:t>
            </w:r>
            <w:r w:rsidRPr="00D813E6">
              <w:rPr>
                <w:i/>
                <w:lang w:eastAsia="ja-JP"/>
              </w:rPr>
              <w:t>require insulin for the maintenance of normal glucose homeostasis</w:t>
            </w:r>
          </w:p>
        </w:tc>
      </w:tr>
      <w:tr w:rsidR="008054AD" w:rsidRPr="00E251EB" w14:paraId="4290B4A7" w14:textId="77777777" w:rsidTr="00E251EB">
        <w:tc>
          <w:tcPr>
            <w:tcW w:w="0" w:type="auto"/>
          </w:tcPr>
          <w:p w14:paraId="76E9059B" w14:textId="24CB41BE" w:rsidR="00030247" w:rsidRPr="00E251EB" w:rsidRDefault="00030247" w:rsidP="00C92989">
            <w:pPr>
              <w:ind w:left="0" w:right="0"/>
              <w:rPr>
                <w:lang w:eastAsia="ja-JP"/>
              </w:rPr>
            </w:pPr>
            <w:r w:rsidRPr="00E251EB">
              <w:rPr>
                <w:lang w:eastAsia="ja-JP"/>
              </w:rPr>
              <w:t>N</w:t>
            </w:r>
            <w:r w:rsidR="008054AD" w:rsidRPr="00E251EB">
              <w:rPr>
                <w:lang w:eastAsia="ja-JP"/>
              </w:rPr>
              <w:t>ovo</w:t>
            </w:r>
            <w:r w:rsidR="0052096E">
              <w:rPr>
                <w:lang w:eastAsia="ja-JP"/>
              </w:rPr>
              <w:t>R</w:t>
            </w:r>
            <w:r w:rsidR="008054AD" w:rsidRPr="00E251EB">
              <w:rPr>
                <w:lang w:eastAsia="ja-JP"/>
              </w:rPr>
              <w:t>apid</w:t>
            </w:r>
          </w:p>
        </w:tc>
        <w:tc>
          <w:tcPr>
            <w:tcW w:w="0" w:type="auto"/>
          </w:tcPr>
          <w:p w14:paraId="6488F63B" w14:textId="77777777" w:rsidR="00030247" w:rsidRPr="00E251EB" w:rsidRDefault="00030247" w:rsidP="00C92989">
            <w:pPr>
              <w:ind w:left="0" w:right="0"/>
              <w:rPr>
                <w:lang w:eastAsia="ja-JP"/>
              </w:rPr>
            </w:pPr>
            <w:r w:rsidRPr="00E251EB">
              <w:rPr>
                <w:lang w:eastAsia="ja-JP"/>
              </w:rPr>
              <w:t>insulin aspart</w:t>
            </w:r>
          </w:p>
        </w:tc>
        <w:tc>
          <w:tcPr>
            <w:tcW w:w="0" w:type="auto"/>
          </w:tcPr>
          <w:p w14:paraId="755B1710" w14:textId="77777777" w:rsidR="00030247" w:rsidRPr="00D813E6" w:rsidRDefault="00030247" w:rsidP="00C92989">
            <w:pPr>
              <w:ind w:left="0" w:right="0"/>
              <w:rPr>
                <w:i/>
                <w:lang w:eastAsia="ja-JP"/>
              </w:rPr>
            </w:pPr>
            <w:r w:rsidRPr="00D813E6">
              <w:rPr>
                <w:i/>
                <w:lang w:eastAsia="ja-JP"/>
              </w:rPr>
              <w:t>Treatment of diabetes mellitus</w:t>
            </w:r>
          </w:p>
        </w:tc>
      </w:tr>
      <w:tr w:rsidR="008054AD" w:rsidRPr="00E251EB" w14:paraId="79984F8E" w14:textId="77777777" w:rsidTr="00E251EB">
        <w:tc>
          <w:tcPr>
            <w:tcW w:w="0" w:type="auto"/>
          </w:tcPr>
          <w:p w14:paraId="446F3D9D" w14:textId="50AB5CAB" w:rsidR="00030247" w:rsidRPr="00E251EB" w:rsidRDefault="00030247" w:rsidP="00C92989">
            <w:pPr>
              <w:ind w:left="0" w:right="0"/>
              <w:rPr>
                <w:lang w:eastAsia="ja-JP"/>
              </w:rPr>
            </w:pPr>
            <w:r w:rsidRPr="00E251EB">
              <w:rPr>
                <w:lang w:eastAsia="ja-JP"/>
              </w:rPr>
              <w:t>A</w:t>
            </w:r>
            <w:r w:rsidR="008054AD" w:rsidRPr="00E251EB">
              <w:rPr>
                <w:lang w:eastAsia="ja-JP"/>
              </w:rPr>
              <w:t>pidra</w:t>
            </w:r>
          </w:p>
        </w:tc>
        <w:tc>
          <w:tcPr>
            <w:tcW w:w="0" w:type="auto"/>
          </w:tcPr>
          <w:p w14:paraId="7A9B8CCB" w14:textId="4AC1ABBF" w:rsidR="00030247" w:rsidRPr="00E251EB" w:rsidRDefault="00CA3608" w:rsidP="00C92989">
            <w:pPr>
              <w:ind w:left="0" w:right="0"/>
              <w:rPr>
                <w:lang w:eastAsia="ja-JP"/>
              </w:rPr>
            </w:pPr>
            <w:r w:rsidRPr="00E251EB">
              <w:rPr>
                <w:lang w:eastAsia="ja-JP"/>
              </w:rPr>
              <w:t>i</w:t>
            </w:r>
            <w:r w:rsidR="00030247" w:rsidRPr="00E251EB">
              <w:rPr>
                <w:lang w:eastAsia="ja-JP"/>
              </w:rPr>
              <w:t>nsulin glulisine</w:t>
            </w:r>
          </w:p>
        </w:tc>
        <w:tc>
          <w:tcPr>
            <w:tcW w:w="0" w:type="auto"/>
          </w:tcPr>
          <w:p w14:paraId="3C754301" w14:textId="77777777" w:rsidR="00030247" w:rsidRPr="00D813E6" w:rsidRDefault="00030247" w:rsidP="00C92989">
            <w:pPr>
              <w:ind w:left="0" w:right="0"/>
              <w:rPr>
                <w:i/>
                <w:lang w:eastAsia="ja-JP"/>
              </w:rPr>
            </w:pPr>
            <w:r w:rsidRPr="00D813E6">
              <w:rPr>
                <w:i/>
                <w:lang w:eastAsia="ja-JP"/>
              </w:rPr>
              <w:t>Apidra is indicated for the treatment of type 1 and type 2 diabetes mellitus in adults and children of 4 years or above who require insulin for the control of hyperglycaemia.</w:t>
            </w:r>
          </w:p>
        </w:tc>
      </w:tr>
    </w:tbl>
    <w:p w14:paraId="187A1B7C" w14:textId="43222494" w:rsidR="00D30A40" w:rsidRDefault="00CA3608" w:rsidP="00D30A40">
      <w:r>
        <w:t>Fiasp is a fast-acting insulin aspart formulation currently registered for treatment of diabetes mellitus in adults</w:t>
      </w:r>
      <w:r w:rsidR="00720B3D">
        <w:t>. The primary activity of insulin, including</w:t>
      </w:r>
      <w:r w:rsidR="00D30A40">
        <w:t xml:space="preserve"> </w:t>
      </w:r>
      <w:r w:rsidR="00720B3D">
        <w:t>insulin aspart, is the regulation of glucose metabolism. Insuli</w:t>
      </w:r>
      <w:r w:rsidR="00D30A40">
        <w:t xml:space="preserve">n and its analogues exert their </w:t>
      </w:r>
      <w:r w:rsidR="00720B3D">
        <w:t>specific action through binding to insulin receptors. Rece</w:t>
      </w:r>
      <w:r w:rsidR="00D30A40">
        <w:t xml:space="preserve">ptor-bound insulin lowers blood </w:t>
      </w:r>
      <w:r w:rsidR="00720B3D">
        <w:t>glucose by facilitating cellular uptake of glucose into skeletal muscle and adipose tissue and by inhibiting the output of glucose from the liver. Insulin inhib</w:t>
      </w:r>
      <w:r w:rsidR="00D30A40">
        <w:t xml:space="preserve">its lipolysis in the adipocyte, </w:t>
      </w:r>
      <w:r w:rsidR="00720B3D">
        <w:t>inhibits proteolysis, and enhances protein synthesis.</w:t>
      </w:r>
    </w:p>
    <w:p w14:paraId="1BC1BEEC" w14:textId="77777777" w:rsidR="008E7846" w:rsidRPr="003F31A2" w:rsidRDefault="00386150" w:rsidP="008E7846">
      <w:pPr>
        <w:pStyle w:val="Heading3"/>
      </w:pPr>
      <w:bookmarkStart w:id="18" w:name="_Toc314842485"/>
      <w:bookmarkStart w:id="19" w:name="_Toc247691504"/>
      <w:bookmarkStart w:id="20" w:name="_Toc49509594"/>
      <w:r>
        <w:t>Regulatory s</w:t>
      </w:r>
      <w:r w:rsidR="008E7846">
        <w:t>tatus</w:t>
      </w:r>
      <w:bookmarkEnd w:id="18"/>
      <w:bookmarkEnd w:id="19"/>
      <w:bookmarkEnd w:id="20"/>
    </w:p>
    <w:p w14:paraId="43C474D9" w14:textId="1E1DE0F6" w:rsidR="00BB262C" w:rsidRDefault="00940A89" w:rsidP="00940A89">
      <w:bookmarkStart w:id="21" w:name="_Toc247691505"/>
      <w:bookmarkStart w:id="22" w:name="_Toc314842486"/>
      <w:r w:rsidRPr="00940A89">
        <w:t>The product received initial registration on the Australian Register</w:t>
      </w:r>
      <w:r w:rsidR="00A5619D">
        <w:t xml:space="preserve"> of Therapeutic Goods (ARTG) on 27 July 2017 for the indications described above.</w:t>
      </w:r>
    </w:p>
    <w:p w14:paraId="17E09FC8" w14:textId="7BDFCCFF" w:rsidR="00A5619D" w:rsidRDefault="00A5619D" w:rsidP="00940A89">
      <w:r>
        <w:t xml:space="preserve">Fiasp was first registered in the </w:t>
      </w:r>
      <w:r w:rsidR="000814E8">
        <w:t>European Union (EU) on 9 January</w:t>
      </w:r>
      <w:r>
        <w:t xml:space="preserve"> 2017</w:t>
      </w:r>
      <w:r w:rsidR="00BB262C">
        <w:t xml:space="preserve"> for the treatment of diabetes mellitus in adults</w:t>
      </w:r>
      <w:r>
        <w:t xml:space="preserve">. The indications were extended to include </w:t>
      </w:r>
      <w:r w:rsidR="000814E8">
        <w:t>treatment of children and adolescents aged 1 year and above</w:t>
      </w:r>
      <w:r>
        <w:t xml:space="preserve"> in </w:t>
      </w:r>
      <w:r w:rsidR="000814E8">
        <w:t>July 2019</w:t>
      </w:r>
      <w:r>
        <w:t xml:space="preserve">. The EU indications for </w:t>
      </w:r>
      <w:r w:rsidR="000814E8">
        <w:t>Fiasp</w:t>
      </w:r>
      <w:r>
        <w:t xml:space="preserve"> are at present:</w:t>
      </w:r>
    </w:p>
    <w:p w14:paraId="6D0F86AF" w14:textId="692F99A6" w:rsidR="00A5619D" w:rsidRPr="00A5619D" w:rsidRDefault="00A5619D" w:rsidP="00A5619D">
      <w:pPr>
        <w:ind w:left="720"/>
        <w:rPr>
          <w:i/>
        </w:rPr>
      </w:pPr>
      <w:r w:rsidRPr="00A5619D">
        <w:rPr>
          <w:i/>
        </w:rPr>
        <w:t>Treatment of diabetes mellitus in adults, adolescents and children aged 1 year and above.</w:t>
      </w:r>
    </w:p>
    <w:p w14:paraId="7B602C8B" w14:textId="7CC5435B" w:rsidR="000814E8" w:rsidRDefault="000814E8" w:rsidP="00E45842">
      <w:r w:rsidRPr="000814E8">
        <w:t xml:space="preserve">Fiasp was first registered in the United States of America (USA) on 29 September 2017 to improve glycemic control in adults with diabetes mellitus. The indications were extended to include </w:t>
      </w:r>
      <w:r w:rsidR="00E25121">
        <w:t>paediatric</w:t>
      </w:r>
      <w:r>
        <w:t xml:space="preserve"> patients</w:t>
      </w:r>
      <w:r w:rsidRPr="000814E8">
        <w:t xml:space="preserve"> in </w:t>
      </w:r>
      <w:r w:rsidR="00E25121">
        <w:t xml:space="preserve">December </w:t>
      </w:r>
      <w:r w:rsidRPr="000814E8">
        <w:t xml:space="preserve">2019. The </w:t>
      </w:r>
      <w:r w:rsidR="00E25121">
        <w:t>US</w:t>
      </w:r>
      <w:r w:rsidRPr="000814E8">
        <w:t xml:space="preserve"> indications for Fiasp are at present</w:t>
      </w:r>
      <w:r>
        <w:t>:</w:t>
      </w:r>
    </w:p>
    <w:p w14:paraId="36B5EB20" w14:textId="084EF231" w:rsidR="00E25121" w:rsidRPr="00E25121" w:rsidRDefault="00227549" w:rsidP="00E25121">
      <w:pPr>
        <w:ind w:left="720"/>
        <w:rPr>
          <w:i/>
        </w:rPr>
      </w:pPr>
      <w:r>
        <w:rPr>
          <w:i/>
        </w:rPr>
        <w:t>Fiasp</w:t>
      </w:r>
      <w:r w:rsidR="00E25121" w:rsidRPr="00E25121">
        <w:rPr>
          <w:i/>
        </w:rPr>
        <w:t xml:space="preserve"> is a rapid-acting human insulin analog indicated to improve glycemic control in adult and pediatric patients with diabetes mellitus</w:t>
      </w:r>
    </w:p>
    <w:p w14:paraId="527E14B7" w14:textId="77777777" w:rsidR="008E7846" w:rsidRDefault="008E7846" w:rsidP="00940A89">
      <w:pPr>
        <w:pStyle w:val="Heading3"/>
      </w:pPr>
      <w:bookmarkStart w:id="23" w:name="_Toc49509595"/>
      <w:r>
        <w:lastRenderedPageBreak/>
        <w:t>Product Information</w:t>
      </w:r>
      <w:bookmarkEnd w:id="21"/>
      <w:bookmarkEnd w:id="22"/>
      <w:bookmarkEnd w:id="23"/>
    </w:p>
    <w:p w14:paraId="49ED8C0B" w14:textId="269B1C29" w:rsidR="00940A89" w:rsidRDefault="006136D7" w:rsidP="00940A89">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39225A7D" w14:textId="51A30CF0" w:rsidR="00500337" w:rsidRDefault="00500337" w:rsidP="00500337">
      <w:pPr>
        <w:pStyle w:val="Heading2"/>
      </w:pPr>
      <w:bookmarkStart w:id="26" w:name="_Toc504480011"/>
      <w:bookmarkStart w:id="27" w:name="_Toc49509596"/>
      <w:r>
        <w:t>II. Registration timeline</w:t>
      </w:r>
      <w:bookmarkEnd w:id="26"/>
      <w:bookmarkEnd w:id="27"/>
    </w:p>
    <w:p w14:paraId="75F634BD" w14:textId="2E575B78" w:rsidR="00500337" w:rsidRDefault="00500337" w:rsidP="00500337">
      <w:r>
        <w:t xml:space="preserve">The following table captures the key steps and dates for this application and which are detailed and discussed </w:t>
      </w:r>
      <w:r w:rsidR="00D4024B">
        <w:t>in this AusPAR.</w:t>
      </w:r>
    </w:p>
    <w:p w14:paraId="499C9334" w14:textId="41AC7FDF" w:rsidR="006A58A8" w:rsidRPr="006A58A8" w:rsidRDefault="002D0C2C" w:rsidP="002D0C2C">
      <w:pPr>
        <w:pStyle w:val="TableTitle"/>
      </w:pPr>
      <w:r>
        <w:t xml:space="preserve">Table </w:t>
      </w:r>
      <w:fldSimple w:instr=" SEQ Table \* ARABIC ">
        <w:r w:rsidR="00006189">
          <w:rPr>
            <w:noProof/>
          </w:rPr>
          <w:t>2</w:t>
        </w:r>
      </w:fldSimple>
      <w:r>
        <w:t xml:space="preserve">: </w:t>
      </w:r>
      <w:r w:rsidR="006A58A8" w:rsidRPr="006A58A8">
        <w:t xml:space="preserve">Timeline </w:t>
      </w:r>
      <w:r w:rsidR="00D4024B">
        <w:t>for Submission PM-2018-05745-1-5</w:t>
      </w:r>
    </w:p>
    <w:tbl>
      <w:tblPr>
        <w:tblStyle w:val="TableTGAblue"/>
        <w:tblW w:w="0" w:type="auto"/>
        <w:tblLook w:val="04A0" w:firstRow="1" w:lastRow="0" w:firstColumn="1" w:lastColumn="0" w:noHBand="0" w:noVBand="1"/>
      </w:tblPr>
      <w:tblGrid>
        <w:gridCol w:w="4360"/>
        <w:gridCol w:w="4360"/>
      </w:tblGrid>
      <w:tr w:rsidR="00500337" w14:paraId="7CB4B7FB"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1625E32A" w14:textId="77777777" w:rsidR="00500337" w:rsidRDefault="00500337" w:rsidP="00500337">
            <w:pPr>
              <w:ind w:left="0" w:right="0"/>
            </w:pPr>
            <w:r>
              <w:t>Description</w:t>
            </w:r>
          </w:p>
        </w:tc>
        <w:tc>
          <w:tcPr>
            <w:tcW w:w="4360" w:type="dxa"/>
          </w:tcPr>
          <w:p w14:paraId="468879C8" w14:textId="77777777" w:rsidR="00500337" w:rsidRDefault="00500337" w:rsidP="00500337">
            <w:pPr>
              <w:ind w:left="0" w:right="0"/>
            </w:pPr>
            <w:r>
              <w:t>Date</w:t>
            </w:r>
          </w:p>
        </w:tc>
      </w:tr>
      <w:tr w:rsidR="00500337" w14:paraId="388B5EFB" w14:textId="77777777" w:rsidTr="00500337">
        <w:tc>
          <w:tcPr>
            <w:tcW w:w="4360" w:type="dxa"/>
          </w:tcPr>
          <w:p w14:paraId="3C031F94" w14:textId="77777777" w:rsidR="00500337" w:rsidRDefault="00500337" w:rsidP="00500337">
            <w:pPr>
              <w:ind w:left="0" w:right="0"/>
            </w:pPr>
            <w:r>
              <w:t>Submission dossier accepted and first round evaluation commenced</w:t>
            </w:r>
          </w:p>
        </w:tc>
        <w:tc>
          <w:tcPr>
            <w:tcW w:w="4360" w:type="dxa"/>
          </w:tcPr>
          <w:p w14:paraId="5EDF534B" w14:textId="77777777" w:rsidR="00500337" w:rsidRDefault="00F1222B" w:rsidP="00500337">
            <w:pPr>
              <w:ind w:left="0" w:right="0"/>
            </w:pPr>
            <w:r>
              <w:t>1 April 2019</w:t>
            </w:r>
          </w:p>
        </w:tc>
      </w:tr>
      <w:tr w:rsidR="00500337" w14:paraId="15662B0C" w14:textId="77777777" w:rsidTr="00500337">
        <w:tc>
          <w:tcPr>
            <w:tcW w:w="4360" w:type="dxa"/>
          </w:tcPr>
          <w:p w14:paraId="55C78AE4" w14:textId="77777777" w:rsidR="00500337" w:rsidRDefault="00500337" w:rsidP="00500337">
            <w:pPr>
              <w:ind w:left="0" w:right="0"/>
            </w:pPr>
            <w:r>
              <w:t>First round evaluation completed</w:t>
            </w:r>
          </w:p>
        </w:tc>
        <w:tc>
          <w:tcPr>
            <w:tcW w:w="4360" w:type="dxa"/>
          </w:tcPr>
          <w:p w14:paraId="63282026" w14:textId="77777777" w:rsidR="00500337" w:rsidRDefault="00F1222B" w:rsidP="00500337">
            <w:pPr>
              <w:ind w:left="0" w:right="0"/>
            </w:pPr>
            <w:r>
              <w:t>3 September 2019</w:t>
            </w:r>
          </w:p>
        </w:tc>
      </w:tr>
      <w:tr w:rsidR="00500337" w14:paraId="2DE17C34" w14:textId="77777777" w:rsidTr="00500337">
        <w:tc>
          <w:tcPr>
            <w:tcW w:w="4360" w:type="dxa"/>
          </w:tcPr>
          <w:p w14:paraId="0B8E2BA7" w14:textId="77777777" w:rsidR="00500337" w:rsidRDefault="00500337" w:rsidP="00500337">
            <w:pPr>
              <w:ind w:left="0" w:right="0"/>
            </w:pPr>
            <w:r>
              <w:t>Sponsor provides responses on questions raised in first round evaluation</w:t>
            </w:r>
          </w:p>
        </w:tc>
        <w:tc>
          <w:tcPr>
            <w:tcW w:w="4360" w:type="dxa"/>
          </w:tcPr>
          <w:p w14:paraId="682D534C" w14:textId="77777777" w:rsidR="00500337" w:rsidRDefault="00F1222B" w:rsidP="00500337">
            <w:pPr>
              <w:ind w:left="0" w:right="0"/>
            </w:pPr>
            <w:r>
              <w:t>4 November 2019</w:t>
            </w:r>
          </w:p>
        </w:tc>
      </w:tr>
      <w:tr w:rsidR="00500337" w14:paraId="16565A20" w14:textId="77777777" w:rsidTr="00500337">
        <w:tc>
          <w:tcPr>
            <w:tcW w:w="4360" w:type="dxa"/>
          </w:tcPr>
          <w:p w14:paraId="3E669874" w14:textId="77777777" w:rsidR="00500337" w:rsidRDefault="00500337" w:rsidP="00500337">
            <w:pPr>
              <w:ind w:left="0" w:right="0"/>
            </w:pPr>
            <w:r>
              <w:t>Second round evaluation completed</w:t>
            </w:r>
          </w:p>
        </w:tc>
        <w:tc>
          <w:tcPr>
            <w:tcW w:w="4360" w:type="dxa"/>
          </w:tcPr>
          <w:p w14:paraId="00F37183" w14:textId="77777777" w:rsidR="00500337" w:rsidRDefault="00F1222B" w:rsidP="00500337">
            <w:pPr>
              <w:ind w:left="0" w:right="0"/>
            </w:pPr>
            <w:r>
              <w:t>11 December 2020</w:t>
            </w:r>
          </w:p>
        </w:tc>
      </w:tr>
      <w:tr w:rsidR="00500337" w14:paraId="069D7497" w14:textId="77777777" w:rsidTr="00500337">
        <w:tc>
          <w:tcPr>
            <w:tcW w:w="4360" w:type="dxa"/>
          </w:tcPr>
          <w:p w14:paraId="09CC4590" w14:textId="73D54A25" w:rsidR="00500337" w:rsidRDefault="00500337" w:rsidP="00500337">
            <w:pPr>
              <w:ind w:left="0" w:right="0"/>
            </w:pPr>
            <w:r>
              <w:t xml:space="preserve">Delegate’s </w:t>
            </w:r>
            <w:r w:rsidR="00D4024B">
              <w:t>Overall benefit-risk assessment</w:t>
            </w:r>
          </w:p>
        </w:tc>
        <w:tc>
          <w:tcPr>
            <w:tcW w:w="4360" w:type="dxa"/>
          </w:tcPr>
          <w:p w14:paraId="7C954C4F" w14:textId="77777777" w:rsidR="00500337" w:rsidRDefault="00FF66E4" w:rsidP="00500337">
            <w:pPr>
              <w:ind w:left="0" w:right="0"/>
            </w:pPr>
            <w:r>
              <w:t>15 January 2020</w:t>
            </w:r>
          </w:p>
        </w:tc>
      </w:tr>
      <w:tr w:rsidR="00500337" w14:paraId="42C2339F" w14:textId="77777777" w:rsidTr="00500337">
        <w:tc>
          <w:tcPr>
            <w:tcW w:w="4360" w:type="dxa"/>
          </w:tcPr>
          <w:p w14:paraId="618E86B7" w14:textId="77777777" w:rsidR="00500337" w:rsidRDefault="00500337" w:rsidP="00500337">
            <w:pPr>
              <w:ind w:left="0" w:right="0"/>
            </w:pPr>
            <w:r>
              <w:t>Sponsor’s pre-Advisory Committee response</w:t>
            </w:r>
          </w:p>
        </w:tc>
        <w:tc>
          <w:tcPr>
            <w:tcW w:w="4360" w:type="dxa"/>
          </w:tcPr>
          <w:p w14:paraId="33D30DB9" w14:textId="77777777" w:rsidR="00500337" w:rsidRDefault="00FF66E4" w:rsidP="00500337">
            <w:pPr>
              <w:ind w:left="0" w:right="0"/>
            </w:pPr>
            <w:r>
              <w:t>Not applicable</w:t>
            </w:r>
          </w:p>
        </w:tc>
      </w:tr>
      <w:tr w:rsidR="00500337" w14:paraId="7A17F5BB" w14:textId="77777777" w:rsidTr="00500337">
        <w:tc>
          <w:tcPr>
            <w:tcW w:w="4360" w:type="dxa"/>
          </w:tcPr>
          <w:p w14:paraId="2F432431" w14:textId="77777777" w:rsidR="00500337" w:rsidRDefault="00500337" w:rsidP="00500337">
            <w:pPr>
              <w:ind w:left="0" w:right="0"/>
            </w:pPr>
            <w:r>
              <w:t>Advisory Committee meeting</w:t>
            </w:r>
          </w:p>
        </w:tc>
        <w:tc>
          <w:tcPr>
            <w:tcW w:w="4360" w:type="dxa"/>
          </w:tcPr>
          <w:p w14:paraId="3DD045F1" w14:textId="77777777" w:rsidR="00500337" w:rsidRDefault="00FF66E4" w:rsidP="00500337">
            <w:pPr>
              <w:ind w:left="0" w:right="0"/>
            </w:pPr>
            <w:r>
              <w:t>Not applicable</w:t>
            </w:r>
          </w:p>
        </w:tc>
      </w:tr>
      <w:tr w:rsidR="00500337" w14:paraId="646862EF" w14:textId="77777777" w:rsidTr="00500337">
        <w:tc>
          <w:tcPr>
            <w:tcW w:w="4360" w:type="dxa"/>
          </w:tcPr>
          <w:p w14:paraId="043AF635" w14:textId="77777777" w:rsidR="00500337" w:rsidRDefault="00500337" w:rsidP="00500337">
            <w:pPr>
              <w:ind w:left="0" w:right="0"/>
            </w:pPr>
            <w:r>
              <w:t>Registration decision (Outcome)</w:t>
            </w:r>
          </w:p>
        </w:tc>
        <w:tc>
          <w:tcPr>
            <w:tcW w:w="4360" w:type="dxa"/>
          </w:tcPr>
          <w:p w14:paraId="6503F8B0" w14:textId="77777777" w:rsidR="00500337" w:rsidRDefault="00F1222B" w:rsidP="00500337">
            <w:pPr>
              <w:ind w:left="0" w:right="0"/>
            </w:pPr>
            <w:r>
              <w:t>11 March 2020</w:t>
            </w:r>
          </w:p>
        </w:tc>
      </w:tr>
      <w:tr w:rsidR="00500337" w14:paraId="7A630AEB" w14:textId="77777777" w:rsidTr="00500337">
        <w:tc>
          <w:tcPr>
            <w:tcW w:w="4360" w:type="dxa"/>
          </w:tcPr>
          <w:p w14:paraId="13A8535A" w14:textId="77777777" w:rsidR="00500337" w:rsidRDefault="00500337" w:rsidP="00500337">
            <w:pPr>
              <w:ind w:left="0" w:right="0"/>
            </w:pPr>
            <w:r>
              <w:t>Completion of administrative activities and registration on ARTG</w:t>
            </w:r>
          </w:p>
        </w:tc>
        <w:tc>
          <w:tcPr>
            <w:tcW w:w="4360" w:type="dxa"/>
          </w:tcPr>
          <w:p w14:paraId="3B926615" w14:textId="77777777" w:rsidR="00500337" w:rsidRDefault="00F1222B" w:rsidP="00500337">
            <w:pPr>
              <w:ind w:left="0" w:right="0"/>
            </w:pPr>
            <w:r>
              <w:t>13 March 2020</w:t>
            </w:r>
          </w:p>
        </w:tc>
      </w:tr>
      <w:tr w:rsidR="00500337" w14:paraId="6667980C" w14:textId="77777777" w:rsidTr="00500337">
        <w:tc>
          <w:tcPr>
            <w:tcW w:w="4360" w:type="dxa"/>
          </w:tcPr>
          <w:p w14:paraId="44A6CAAA" w14:textId="77777777" w:rsidR="00500337" w:rsidRDefault="00500337" w:rsidP="00500337">
            <w:pPr>
              <w:ind w:left="0" w:right="0"/>
            </w:pPr>
            <w:r>
              <w:t>Number of working days from submission dossier acceptance to registration decision*</w:t>
            </w:r>
          </w:p>
        </w:tc>
        <w:tc>
          <w:tcPr>
            <w:tcW w:w="4360" w:type="dxa"/>
          </w:tcPr>
          <w:p w14:paraId="4DB9A7CF" w14:textId="77777777" w:rsidR="00500337" w:rsidRDefault="00F1222B" w:rsidP="00500337">
            <w:pPr>
              <w:ind w:left="0" w:right="0"/>
            </w:pPr>
            <w:r>
              <w:t>190</w:t>
            </w:r>
          </w:p>
        </w:tc>
      </w:tr>
    </w:tbl>
    <w:p w14:paraId="2F40FB1F" w14:textId="77777777" w:rsidR="00500337" w:rsidRDefault="00500337" w:rsidP="007B4A4F">
      <w:pPr>
        <w:pStyle w:val="TableDescription"/>
      </w:pPr>
      <w:r>
        <w:t>*</w:t>
      </w:r>
      <w:r w:rsidR="00BF3774" w:rsidRPr="00BF3774">
        <w:t xml:space="preserve">Statutory </w:t>
      </w:r>
      <w:r>
        <w:t>timeframe for standard applications is 2</w:t>
      </w:r>
      <w:r w:rsidR="00BF3774">
        <w:t>55</w:t>
      </w:r>
      <w:r>
        <w:t xml:space="preserve"> working days</w:t>
      </w:r>
    </w:p>
    <w:p w14:paraId="6AEEAA47" w14:textId="10CDE7E5" w:rsidR="008E7846" w:rsidRPr="00792A32" w:rsidRDefault="00456765" w:rsidP="008E7846">
      <w:pPr>
        <w:pStyle w:val="Heading2"/>
      </w:pPr>
      <w:bookmarkStart w:id="28" w:name="_Toc196046504"/>
      <w:bookmarkStart w:id="29" w:name="_Toc247691527"/>
      <w:bookmarkStart w:id="30" w:name="_Toc314842510"/>
      <w:bookmarkStart w:id="31" w:name="_Toc49509597"/>
      <w:bookmarkStart w:id="32" w:name="_Toc163441390"/>
      <w:bookmarkEnd w:id="24"/>
      <w:bookmarkEnd w:id="25"/>
      <w:bookmarkEnd w:id="1"/>
      <w:r>
        <w:t>I</w:t>
      </w:r>
      <w:r w:rsidR="00DA64CB">
        <w:t>I</w:t>
      </w:r>
      <w:r w:rsidR="008E7846">
        <w:t xml:space="preserve">I. </w:t>
      </w:r>
      <w:r w:rsidR="00D153BF">
        <w:t>Submission overview</w:t>
      </w:r>
      <w:r w:rsidR="008E7846" w:rsidRPr="00792A32">
        <w:t xml:space="preserve"> 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1"/>
    </w:p>
    <w:p w14:paraId="610753B6" w14:textId="7906CD03" w:rsidR="008E7846" w:rsidRDefault="008E7846" w:rsidP="008E7846">
      <w:bookmarkStart w:id="33" w:name="_Toc247691528"/>
      <w:r>
        <w:t xml:space="preserve">The submission was summarised in the following </w:t>
      </w:r>
      <w:r w:rsidRPr="00EF5C48">
        <w:t xml:space="preserve">Delegate’s </w:t>
      </w:r>
      <w:r>
        <w:t>overview</w:t>
      </w:r>
      <w:r w:rsidRPr="00EF5C48">
        <w:t xml:space="preserve"> and recommendation</w:t>
      </w:r>
      <w:r>
        <w:t>s</w:t>
      </w:r>
      <w:r w:rsidR="00892610">
        <w:t>.</w:t>
      </w:r>
    </w:p>
    <w:p w14:paraId="712358F0" w14:textId="77777777" w:rsidR="008E7846" w:rsidRPr="00FC1FCA" w:rsidRDefault="008E7846" w:rsidP="001F20B8">
      <w:pPr>
        <w:pStyle w:val="Heading3"/>
      </w:pPr>
      <w:bookmarkStart w:id="34" w:name="_Toc314842511"/>
      <w:bookmarkStart w:id="35" w:name="_Toc49509598"/>
      <w:r>
        <w:t>Quality</w:t>
      </w:r>
      <w:bookmarkEnd w:id="33"/>
      <w:bookmarkEnd w:id="34"/>
      <w:bookmarkEnd w:id="35"/>
    </w:p>
    <w:p w14:paraId="7417D7A2" w14:textId="77777777" w:rsidR="00E45619" w:rsidRDefault="008E7846" w:rsidP="003A7F6C">
      <w:r>
        <w:t>There was no requirement for a quality evaluation in a submission of this type.</w:t>
      </w:r>
    </w:p>
    <w:p w14:paraId="51B86A25" w14:textId="77777777" w:rsidR="008E7846" w:rsidRPr="00FC1FCA" w:rsidRDefault="008E7846" w:rsidP="001F20B8">
      <w:pPr>
        <w:pStyle w:val="Heading3"/>
      </w:pPr>
      <w:bookmarkStart w:id="36" w:name="_Toc314842512"/>
      <w:bookmarkStart w:id="37" w:name="_Toc49509599"/>
      <w:r>
        <w:lastRenderedPageBreak/>
        <w:t>Nonclinical</w:t>
      </w:r>
      <w:bookmarkEnd w:id="36"/>
      <w:bookmarkEnd w:id="37"/>
    </w:p>
    <w:p w14:paraId="2ACCF6DE" w14:textId="77777777" w:rsidR="008E7846" w:rsidRDefault="008E7846" w:rsidP="008E7846">
      <w:r>
        <w:t>There was no requirement for a nonclinical evaluation in a submission of this type.</w:t>
      </w:r>
    </w:p>
    <w:p w14:paraId="14276BEE" w14:textId="77777777" w:rsidR="008E7846" w:rsidRDefault="008E7846" w:rsidP="008E7846">
      <w:pPr>
        <w:pStyle w:val="Heading3"/>
      </w:pPr>
      <w:bookmarkStart w:id="38" w:name="_Toc247691530"/>
      <w:bookmarkStart w:id="39" w:name="_Toc314842513"/>
      <w:bookmarkStart w:id="40" w:name="_Toc49509600"/>
      <w:r>
        <w:t>Clinical</w:t>
      </w:r>
      <w:bookmarkEnd w:id="38"/>
      <w:bookmarkEnd w:id="39"/>
      <w:bookmarkEnd w:id="40"/>
    </w:p>
    <w:p w14:paraId="476455AA" w14:textId="311DAE84" w:rsidR="00FF66E4" w:rsidRDefault="00FF66E4" w:rsidP="007B4A4F">
      <w:bookmarkStart w:id="41" w:name="_Toc314842514"/>
      <w:r>
        <w:t>The clin</w:t>
      </w:r>
      <w:r w:rsidR="00D4024B">
        <w:t>ical dossier included one new pharmacokinetics (PK)</w:t>
      </w:r>
      <w:r>
        <w:t>/</w:t>
      </w:r>
      <w:r w:rsidR="00D4024B">
        <w:t>pharmacodynamics (</w:t>
      </w:r>
      <w:r>
        <w:t>PD</w:t>
      </w:r>
      <w:r w:rsidR="00D4024B">
        <w:t>)</w:t>
      </w:r>
      <w:r>
        <w:t xml:space="preserve"> study</w:t>
      </w:r>
      <w:r w:rsidR="00D153BF">
        <w:t xml:space="preserve"> (Study NN1218-4371)</w:t>
      </w:r>
      <w:r w:rsidR="00E45842">
        <w:t>,</w:t>
      </w:r>
      <w:r>
        <w:t xml:space="preserve"> </w:t>
      </w:r>
      <w:r w:rsidR="002402F4">
        <w:t xml:space="preserve">another PK/PD study </w:t>
      </w:r>
      <w:r w:rsidR="002402F4" w:rsidRPr="002402F4">
        <w:t>(</w:t>
      </w:r>
      <w:r w:rsidR="002402F4" w:rsidRPr="00CE13E8">
        <w:t>Study NN1218-3888</w:t>
      </w:r>
      <w:r w:rsidR="002402F4" w:rsidRPr="002402F4">
        <w:t>)</w:t>
      </w:r>
      <w:r w:rsidR="006D384B">
        <w:t>,</w:t>
      </w:r>
      <w:r w:rsidR="002402F4">
        <w:t xml:space="preserve"> </w:t>
      </w:r>
      <w:r>
        <w:t>and one new efficacy and safety study</w:t>
      </w:r>
      <w:r w:rsidR="00D153BF">
        <w:t xml:space="preserve"> (Study NN1218-4101)</w:t>
      </w:r>
      <w:r>
        <w:t>.</w:t>
      </w:r>
    </w:p>
    <w:p w14:paraId="1AD0AADD" w14:textId="60187FE1" w:rsidR="00D153BF" w:rsidRDefault="00D153BF" w:rsidP="00C92989">
      <w:pPr>
        <w:pStyle w:val="Heading4"/>
      </w:pPr>
      <w:r>
        <w:t>Pharmacology</w:t>
      </w:r>
    </w:p>
    <w:p w14:paraId="325A153B" w14:textId="77777777" w:rsidR="00FF66E4" w:rsidRPr="00D4024B" w:rsidRDefault="00FF66E4" w:rsidP="00C92989">
      <w:pPr>
        <w:pStyle w:val="Heading5"/>
      </w:pPr>
      <w:r w:rsidRPr="00D4024B">
        <w:t>Study NN1218-4371</w:t>
      </w:r>
    </w:p>
    <w:p w14:paraId="44ED4F47" w14:textId="729DA97F" w:rsidR="00FF66E4" w:rsidRDefault="00345899" w:rsidP="00C92989">
      <w:pPr>
        <w:rPr>
          <w:u w:val="single"/>
        </w:rPr>
      </w:pPr>
      <w:r>
        <w:t>S</w:t>
      </w:r>
      <w:r w:rsidR="00FF66E4">
        <w:t>tudy</w:t>
      </w:r>
      <w:r>
        <w:t xml:space="preserve"> NN1218-4371</w:t>
      </w:r>
      <w:r w:rsidR="00FF66E4">
        <w:t xml:space="preserve"> compared the </w:t>
      </w:r>
      <w:r w:rsidR="0052096E">
        <w:t>PK</w:t>
      </w:r>
      <w:r w:rsidR="00FF66E4">
        <w:t xml:space="preserve"> properties of </w:t>
      </w:r>
      <w:r w:rsidR="00D4024B">
        <w:t>Novo</w:t>
      </w:r>
      <w:r w:rsidR="0052096E">
        <w:t>R</w:t>
      </w:r>
      <w:r w:rsidR="00D4024B">
        <w:t>apid</w:t>
      </w:r>
      <w:r w:rsidR="00FF66E4">
        <w:t xml:space="preserve"> and </w:t>
      </w:r>
      <w:r w:rsidR="00D153BF">
        <w:t xml:space="preserve">Fiasp </w:t>
      </w:r>
      <w:r w:rsidR="00FF66E4">
        <w:t>between children, ad</w:t>
      </w:r>
      <w:r w:rsidR="00D4024B">
        <w:t>olescents and adults with T1DM.</w:t>
      </w:r>
    </w:p>
    <w:p w14:paraId="159747A5" w14:textId="42124CCF" w:rsidR="006D2E04" w:rsidRDefault="00FF66E4" w:rsidP="00D153BF">
      <w:r>
        <w:t xml:space="preserve">The design was a double blind, two period cross over </w:t>
      </w:r>
      <w:r w:rsidR="006D2E04">
        <w:t>randomised controlled trial</w:t>
      </w:r>
      <w:r>
        <w:t xml:space="preserve">. </w:t>
      </w:r>
      <w:r w:rsidR="00F42810" w:rsidRPr="000A6B88">
        <w:t xml:space="preserve">The </w:t>
      </w:r>
      <w:r w:rsidR="00F42810" w:rsidRPr="009E3CD8">
        <w:t>trial consisted of a screening visit (V</w:t>
      </w:r>
      <w:r w:rsidR="00F42810" w:rsidRPr="000A6B88">
        <w:t>i</w:t>
      </w:r>
      <w:r w:rsidR="00F42810" w:rsidRPr="009E3CD8">
        <w:t>sit 1), two dosing visits (V</w:t>
      </w:r>
      <w:r w:rsidR="00F42810" w:rsidRPr="000A6B88">
        <w:t>isit 2</w:t>
      </w:r>
      <w:r w:rsidR="00F42810" w:rsidRPr="009E3CD8">
        <w:t xml:space="preserve"> to </w:t>
      </w:r>
      <w:r w:rsidR="00F42810" w:rsidRPr="000A6B88">
        <w:t>3</w:t>
      </w:r>
      <w:r w:rsidR="00F42810">
        <w:t>, each 2 days</w:t>
      </w:r>
      <w:r w:rsidR="00F42810" w:rsidRPr="000A6B88">
        <w:t xml:space="preserve">), and a follow-up visit </w:t>
      </w:r>
      <w:r w:rsidR="00F42810" w:rsidRPr="009E3CD8">
        <w:t>(V</w:t>
      </w:r>
      <w:r w:rsidR="00F42810" w:rsidRPr="000A6B88">
        <w:t xml:space="preserve">isit 4). </w:t>
      </w:r>
      <w:r>
        <w:t>T</w:t>
      </w:r>
      <w:r w:rsidR="006D2E04">
        <w:t>he first dosing visit (D</w:t>
      </w:r>
      <w:r>
        <w:t>ay 1) was 3</w:t>
      </w:r>
      <w:r w:rsidR="00D4024B">
        <w:t xml:space="preserve"> to </w:t>
      </w:r>
      <w:r>
        <w:t>22 days after the screening visit. The follow-up visit was 7</w:t>
      </w:r>
      <w:r w:rsidR="00D4024B">
        <w:t xml:space="preserve"> to </w:t>
      </w:r>
      <w:r w:rsidR="007562A4">
        <w:t>22 days after V</w:t>
      </w:r>
      <w:r>
        <w:t>isi</w:t>
      </w:r>
      <w:r w:rsidR="006D2E04">
        <w:t>t 3 (D</w:t>
      </w:r>
      <w:r>
        <w:t>ay 2).</w:t>
      </w:r>
      <w:r w:rsidRPr="005D536E">
        <w:t xml:space="preserve"> </w:t>
      </w:r>
      <w:r>
        <w:t>At the dosing visits, the subjects attended the site the evening before dosing. Overnight infusion of Actrapid</w:t>
      </w:r>
      <w:r w:rsidR="0052096E">
        <w:t>;</w:t>
      </w:r>
      <w:r w:rsidR="0052096E">
        <w:rPr>
          <w:rStyle w:val="FootnoteReference"/>
        </w:rPr>
        <w:footnoteReference w:id="3"/>
      </w:r>
      <w:r>
        <w:t xml:space="preserve"> and/or glucose were administered to achieve stable plasma glucose concentrations. Infusions were stopped in the morning prior to dosing. A dose of 0.2 U/kg of either </w:t>
      </w:r>
      <w:r w:rsidR="00D4024B">
        <w:t>Fiasp</w:t>
      </w:r>
      <w:r>
        <w:t xml:space="preserve"> </w:t>
      </w:r>
      <w:r w:rsidR="00D153BF">
        <w:t>or</w:t>
      </w:r>
      <w:r w:rsidR="00F10072">
        <w:t xml:space="preserve"> </w:t>
      </w:r>
      <w:r w:rsidR="00D4024B">
        <w:t>Novo</w:t>
      </w:r>
      <w:r w:rsidR="00C9578E">
        <w:t>R</w:t>
      </w:r>
      <w:r w:rsidR="00D4024B">
        <w:t>apid</w:t>
      </w:r>
      <w:r>
        <w:t xml:space="preserve"> was administered. The test substance was administered within 2 minute</w:t>
      </w:r>
      <w:r w:rsidR="007562A4">
        <w:t>s of a standard meal (</w:t>
      </w:r>
      <w:r w:rsidR="000132B4">
        <w:t xml:space="preserve">‘Ensure’, </w:t>
      </w:r>
      <w:r>
        <w:t>amount adj</w:t>
      </w:r>
      <w:r w:rsidR="006D2E04">
        <w:t>usted to the patient’s weight).</w:t>
      </w:r>
    </w:p>
    <w:p w14:paraId="2588DD04" w14:textId="10A0162A" w:rsidR="002D0C2C" w:rsidRDefault="006D2E04" w:rsidP="00C92989">
      <w:r>
        <w:t>Thirteen</w:t>
      </w:r>
      <w:r w:rsidR="00FF66E4">
        <w:t xml:space="preserve"> children, 16 adolescents and 17 adults participated in</w:t>
      </w:r>
      <w:r>
        <w:t xml:space="preserve"> the study. At B</w:t>
      </w:r>
      <w:r w:rsidR="00FF66E4">
        <w:t xml:space="preserve">aseline, the mean level of anti-insulin aspart antibodies was highest in </w:t>
      </w:r>
      <w:r w:rsidR="00FF66E4" w:rsidRPr="00C92989">
        <w:t>children at 3</w:t>
      </w:r>
      <w:r w:rsidR="00E33054">
        <w:t>0</w:t>
      </w:r>
      <w:r w:rsidR="00FF66E4" w:rsidRPr="00C92989">
        <w:t>.</w:t>
      </w:r>
      <w:r w:rsidR="00E33054">
        <w:t>3</w:t>
      </w:r>
      <w:r w:rsidR="00FF66E4" w:rsidRPr="00C92989">
        <w:t>%</w:t>
      </w:r>
      <w:r w:rsidRPr="00C92989">
        <w:t xml:space="preserve"> </w:t>
      </w:r>
      <w:r w:rsidR="00F10072" w:rsidRPr="00C92989">
        <w:t>bound/total radiolabelled insulin aspart co-precipitated with immunoglobulin (</w:t>
      </w:r>
      <w:r w:rsidR="00D813E6">
        <w:t>B/T</w:t>
      </w:r>
      <w:r w:rsidR="00F10072" w:rsidRPr="00C92989">
        <w:t>)</w:t>
      </w:r>
      <w:r w:rsidR="00FF66E4" w:rsidRPr="00C92989">
        <w:t>, followed</w:t>
      </w:r>
      <w:r w:rsidR="00FF66E4">
        <w:t xml:space="preserve"> by </w:t>
      </w:r>
      <w:r w:rsidR="00E33054">
        <w:t>36.0</w:t>
      </w:r>
      <w:r w:rsidR="00FF66E4">
        <w:t>% in adolescents and 18.</w:t>
      </w:r>
      <w:r w:rsidR="00E33054">
        <w:t>9</w:t>
      </w:r>
      <w:r w:rsidR="00FF66E4">
        <w:t>% in adults.</w:t>
      </w:r>
    </w:p>
    <w:p w14:paraId="13DDB6AC" w14:textId="3BC298A8" w:rsidR="000076D7" w:rsidRDefault="000076D7" w:rsidP="00C92989">
      <w:pPr>
        <w:rPr>
          <w:lang w:eastAsia="ja-JP"/>
        </w:rPr>
      </w:pPr>
      <w:r>
        <w:t xml:space="preserve">The primary endpoint was </w:t>
      </w:r>
      <w:r w:rsidRPr="002D425B">
        <w:rPr>
          <w:lang w:eastAsia="ja-JP"/>
        </w:rPr>
        <w:t>area under the serum insulin aspart concentration-time curve from 0 to 12 hours</w:t>
      </w:r>
      <w:r>
        <w:rPr>
          <w:lang w:eastAsia="ja-JP"/>
        </w:rPr>
        <w:t xml:space="preserve"> </w:t>
      </w:r>
      <w:r w:rsidR="00365AC4">
        <w:rPr>
          <w:lang w:eastAsia="ja-JP"/>
        </w:rPr>
        <w:t>(</w:t>
      </w:r>
      <w:r w:rsidRPr="002D425B">
        <w:rPr>
          <w:lang w:eastAsia="ja-JP"/>
        </w:rPr>
        <w:t>AUC</w:t>
      </w:r>
      <w:r w:rsidRPr="00F17B4C">
        <w:rPr>
          <w:vertAlign w:val="subscript"/>
          <w:lang w:eastAsia="ja-JP"/>
        </w:rPr>
        <w:t>IAsp,0–12h</w:t>
      </w:r>
      <w:r w:rsidR="00365AC4" w:rsidRPr="00CE13E8">
        <w:rPr>
          <w:lang w:eastAsia="ja-JP"/>
        </w:rPr>
        <w:t>)</w:t>
      </w:r>
      <w:r w:rsidRPr="00CE13E8">
        <w:rPr>
          <w:lang w:eastAsia="ja-JP"/>
        </w:rPr>
        <w:t>.</w:t>
      </w:r>
    </w:p>
    <w:p w14:paraId="336736C7" w14:textId="78A3707D" w:rsidR="00A532B1" w:rsidRDefault="00A532B1" w:rsidP="00C92989">
      <w:pPr>
        <w:rPr>
          <w:lang w:eastAsia="ja-JP"/>
        </w:rPr>
      </w:pPr>
      <w:r>
        <w:rPr>
          <w:lang w:eastAsia="ja-JP"/>
        </w:rPr>
        <w:t>Free and total insulin aspart were measured by a validated insulin aspart-specific enzyme-linked immunosorbent assay (ELISA).</w:t>
      </w:r>
    </w:p>
    <w:p w14:paraId="1F74EDCB" w14:textId="553FA8AB" w:rsidR="000076D7" w:rsidRDefault="008A6B49" w:rsidP="00CE13E8">
      <w:pPr>
        <w:pStyle w:val="Heading6"/>
        <w:rPr>
          <w:lang w:eastAsia="ja-JP"/>
        </w:rPr>
      </w:pPr>
      <w:r>
        <w:rPr>
          <w:lang w:eastAsia="ja-JP"/>
        </w:rPr>
        <w:t>Pharmacokinetics</w:t>
      </w:r>
    </w:p>
    <w:p w14:paraId="77545CBB" w14:textId="0E39385B" w:rsidR="000076D7" w:rsidRDefault="000076D7" w:rsidP="00C92989">
      <w:r w:rsidRPr="000076D7">
        <w:t>Total exposure (AUC</w:t>
      </w:r>
      <w:r w:rsidRPr="00CE13E8">
        <w:rPr>
          <w:vertAlign w:val="subscript"/>
        </w:rPr>
        <w:t>IAsp,free,0-12h</w:t>
      </w:r>
      <w:r w:rsidRPr="000076D7">
        <w:t>) of Fiasp was 493 pmol*h/L in children, 604 pmol*h/L in adolescents and 693 pmol*h/L in adults. Total exposure was 29% lower in c</w:t>
      </w:r>
      <w:r>
        <w:t>hildren (age group ratio: 0.71 (0.61</w:t>
      </w:r>
      <w:r w:rsidR="00C9578E">
        <w:t xml:space="preserve">; </w:t>
      </w:r>
      <w:r>
        <w:t xml:space="preserve">0.83) </w:t>
      </w:r>
      <w:r w:rsidRPr="000076D7">
        <w:t xml:space="preserve">95% </w:t>
      </w:r>
      <w:r w:rsidR="00C9578E">
        <w:t>confidence interval (</w:t>
      </w:r>
      <w:r w:rsidRPr="000076D7">
        <w:t>CI</w:t>
      </w:r>
      <w:r w:rsidR="00C9578E">
        <w:t>)</w:t>
      </w:r>
      <w:r w:rsidRPr="000076D7">
        <w:t>) and 13% lower in adolescents (age group ra</w:t>
      </w:r>
      <w:r>
        <w:t>tio: 0.87 (0.78</w:t>
      </w:r>
      <w:r w:rsidR="00C9578E">
        <w:t xml:space="preserve">; </w:t>
      </w:r>
      <w:r>
        <w:t xml:space="preserve">0.98) </w:t>
      </w:r>
      <w:r w:rsidRPr="000076D7">
        <w:t>95% CI) compared to adults. Both these differences were statistically significant.</w:t>
      </w:r>
    </w:p>
    <w:p w14:paraId="71FF49BB" w14:textId="685B69CF" w:rsidR="001D576C" w:rsidRDefault="001D576C" w:rsidP="00C92989">
      <w:r>
        <w:rPr>
          <w:lang w:eastAsia="ja-JP"/>
        </w:rPr>
        <w:t xml:space="preserve">Based on systemic total insulin concentration estimation, a greater total exposure </w:t>
      </w:r>
      <w:r w:rsidR="00A532B1">
        <w:rPr>
          <w:lang w:eastAsia="ja-JP"/>
        </w:rPr>
        <w:t>(</w:t>
      </w:r>
      <w:r w:rsidR="00A532B1" w:rsidRPr="000076D7">
        <w:t>AUC</w:t>
      </w:r>
      <w:r w:rsidR="00A532B1">
        <w:rPr>
          <w:vertAlign w:val="subscript"/>
        </w:rPr>
        <w:t>IAsp,total</w:t>
      </w:r>
      <w:r w:rsidR="00A532B1" w:rsidRPr="000A6B88">
        <w:rPr>
          <w:vertAlign w:val="subscript"/>
        </w:rPr>
        <w:t>,0-12h</w:t>
      </w:r>
      <w:r w:rsidR="00A532B1">
        <w:rPr>
          <w:lang w:eastAsia="ja-JP"/>
        </w:rPr>
        <w:t xml:space="preserve">) </w:t>
      </w:r>
      <w:r w:rsidR="008A6B49">
        <w:rPr>
          <w:lang w:eastAsia="ja-JP"/>
        </w:rPr>
        <w:t>was noted in children</w:t>
      </w:r>
      <w:r w:rsidR="00A532B1">
        <w:rPr>
          <w:lang w:eastAsia="ja-JP"/>
        </w:rPr>
        <w:t xml:space="preserve"> </w:t>
      </w:r>
      <w:r>
        <w:rPr>
          <w:lang w:eastAsia="ja-JP"/>
        </w:rPr>
        <w:t>and adolescents, compared to adults</w:t>
      </w:r>
      <w:r w:rsidR="00526784">
        <w:rPr>
          <w:lang w:eastAsia="ja-JP"/>
        </w:rPr>
        <w:t xml:space="preserve"> </w:t>
      </w:r>
      <w:r w:rsidR="00526784">
        <w:t>(</w:t>
      </w:r>
      <w:r w:rsidR="00526784">
        <w:fldChar w:fldCharType="begin"/>
      </w:r>
      <w:r w:rsidR="00526784">
        <w:instrText xml:space="preserve"> REF _Ref43478003 \h </w:instrText>
      </w:r>
      <w:r w:rsidR="00526784">
        <w:fldChar w:fldCharType="separate"/>
      </w:r>
      <w:r w:rsidR="00006189">
        <w:t xml:space="preserve">Figure </w:t>
      </w:r>
      <w:r w:rsidR="00006189">
        <w:rPr>
          <w:noProof/>
        </w:rPr>
        <w:t>2</w:t>
      </w:r>
      <w:r w:rsidR="00526784">
        <w:fldChar w:fldCharType="end"/>
      </w:r>
      <w:r w:rsidR="00526784">
        <w:t>)</w:t>
      </w:r>
      <w:r>
        <w:rPr>
          <w:lang w:eastAsia="ja-JP"/>
        </w:rPr>
        <w:t>.</w:t>
      </w:r>
    </w:p>
    <w:p w14:paraId="747FF9B8" w14:textId="47F7B8F6" w:rsidR="00D866DE" w:rsidRDefault="00D866DE" w:rsidP="00CE13E8">
      <w:pPr>
        <w:pStyle w:val="TableTitle"/>
      </w:pPr>
      <w:bookmarkStart w:id="42" w:name="_Ref43478003"/>
      <w:r>
        <w:lastRenderedPageBreak/>
        <w:t xml:space="preserve">Figure </w:t>
      </w:r>
      <w:fldSimple w:instr=" SEQ Figure \* ARABIC ">
        <w:r w:rsidR="00006189">
          <w:rPr>
            <w:noProof/>
          </w:rPr>
          <w:t>2</w:t>
        </w:r>
      </w:fldSimple>
      <w:bookmarkEnd w:id="42"/>
      <w:r>
        <w:t xml:space="preserve">: </w:t>
      </w:r>
      <w:r w:rsidR="000132B4">
        <w:t xml:space="preserve">Study NN1218-4371 </w:t>
      </w:r>
      <w:r>
        <w:t xml:space="preserve">Mean </w:t>
      </w:r>
      <w:r w:rsidR="00D91FD9">
        <w:t xml:space="preserve">serum </w:t>
      </w:r>
      <w:r>
        <w:t>Fiasp</w:t>
      </w:r>
      <w:r w:rsidR="00D91FD9">
        <w:t xml:space="preserve"> </w:t>
      </w:r>
      <w:r w:rsidR="000132B4">
        <w:t xml:space="preserve">(insulin aspart) </w:t>
      </w:r>
      <w:r w:rsidR="00D91FD9">
        <w:t>concentration</w:t>
      </w:r>
      <w:r>
        <w:t xml:space="preserve"> 0 to 8 hours (full analysis set)</w:t>
      </w:r>
    </w:p>
    <w:p w14:paraId="2B73871B" w14:textId="7EEA0660" w:rsidR="0091441C" w:rsidRDefault="0091441C" w:rsidP="00C92989">
      <w:r>
        <w:rPr>
          <w:noProof/>
          <w:lang w:eastAsia="en-AU"/>
        </w:rPr>
        <w:drawing>
          <wp:inline distT="0" distB="0" distL="0" distR="0" wp14:anchorId="77860809" wp14:editId="5683BEF3">
            <wp:extent cx="5274259" cy="2827752"/>
            <wp:effectExtent l="0" t="0" r="3175" b="0"/>
            <wp:docPr id="149" name="Picture 149" descr="Study NN1218-4371 Mean serum Fiasp concentration 0 to 8 hour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3953"/>
                    <a:stretch/>
                  </pic:blipFill>
                  <pic:spPr bwMode="auto">
                    <a:xfrm>
                      <a:off x="0" y="0"/>
                      <a:ext cx="5276987" cy="2829215"/>
                    </a:xfrm>
                    <a:prstGeom prst="rect">
                      <a:avLst/>
                    </a:prstGeom>
                    <a:noFill/>
                    <a:ln>
                      <a:noFill/>
                    </a:ln>
                    <a:extLst>
                      <a:ext uri="{53640926-AAD7-44D8-BBD7-CCE9431645EC}">
                        <a14:shadowObscured xmlns:a14="http://schemas.microsoft.com/office/drawing/2010/main"/>
                      </a:ext>
                    </a:extLst>
                  </pic:spPr>
                </pic:pic>
              </a:graphicData>
            </a:graphic>
          </wp:inline>
        </w:drawing>
      </w:r>
    </w:p>
    <w:p w14:paraId="6083F70C" w14:textId="58555FF0" w:rsidR="00A532B1" w:rsidRPr="007B4A4F" w:rsidRDefault="00A532B1" w:rsidP="007B4A4F">
      <w:pPr>
        <w:pStyle w:val="TableDescription"/>
      </w:pPr>
      <w:r>
        <w:t>IAsp serum c</w:t>
      </w:r>
      <w:r w:rsidRPr="007B4A4F">
        <w:t>onc = total serum insulin aspart serum concentration.</w:t>
      </w:r>
    </w:p>
    <w:p w14:paraId="5E4E5B25" w14:textId="55EDC7B8" w:rsidR="00504802" w:rsidRPr="00504802" w:rsidRDefault="00504802" w:rsidP="007B4A4F">
      <w:pPr>
        <w:pStyle w:val="TableDescription"/>
      </w:pPr>
      <w:r w:rsidRPr="007B4A4F">
        <w:t xml:space="preserve">Horizontal grey line at 10 pmol/L indicates </w:t>
      </w:r>
      <w:r>
        <w:t xml:space="preserve">the lower </w:t>
      </w:r>
      <w:r w:rsidR="000132B4">
        <w:t>limit</w:t>
      </w:r>
      <w:r>
        <w:t xml:space="preserve"> of quantification (LLOQ).</w:t>
      </w:r>
    </w:p>
    <w:p w14:paraId="0CB1FB71" w14:textId="29650D79" w:rsidR="000E76DA" w:rsidRDefault="00D435E7" w:rsidP="00C92989">
      <w:r>
        <w:t xml:space="preserve">The </w:t>
      </w:r>
      <w:r w:rsidR="001D576C">
        <w:t xml:space="preserve">antibody adjusted </w:t>
      </w:r>
      <w:r w:rsidR="000132B4">
        <w:t>time to maximal concentration (</w:t>
      </w:r>
      <w:r>
        <w:t>T</w:t>
      </w:r>
      <w:r w:rsidRPr="00CE13E8">
        <w:rPr>
          <w:vertAlign w:val="subscript"/>
        </w:rPr>
        <w:t>max</w:t>
      </w:r>
      <w:r w:rsidR="000132B4">
        <w:t xml:space="preserve">) </w:t>
      </w:r>
      <w:r>
        <w:t>was shorter in children (47.5</w:t>
      </w:r>
      <w:r w:rsidR="000132B4">
        <w:t> </w:t>
      </w:r>
      <w:r>
        <w:t>minutes) compared to adolescents (62.8 minutes) and adults (64.0 minutes).</w:t>
      </w:r>
    </w:p>
    <w:p w14:paraId="47C4E1A3" w14:textId="33985E99" w:rsidR="00D435E7" w:rsidRDefault="00B663C0" w:rsidP="00C92989">
      <w:r>
        <w:rPr>
          <w:lang w:eastAsia="ja-JP"/>
        </w:rPr>
        <w:t>In children, the onset of appea</w:t>
      </w:r>
      <w:r w:rsidR="005623F6">
        <w:rPr>
          <w:lang w:eastAsia="ja-JP"/>
        </w:rPr>
        <w:t>rance for free insulin aspart</w:t>
      </w:r>
      <w:r>
        <w:rPr>
          <w:lang w:eastAsia="ja-JP"/>
        </w:rPr>
        <w:t xml:space="preserve"> was 5</w:t>
      </w:r>
      <w:r w:rsidR="00D91FD9">
        <w:rPr>
          <w:lang w:eastAsia="ja-JP"/>
        </w:rPr>
        <w:t xml:space="preserve"> minutes earlier for Fiasp compared to </w:t>
      </w:r>
      <w:r>
        <w:rPr>
          <w:lang w:eastAsia="ja-JP"/>
        </w:rPr>
        <w:t>Novo</w:t>
      </w:r>
      <w:r w:rsidR="000132B4">
        <w:rPr>
          <w:lang w:eastAsia="ja-JP"/>
        </w:rPr>
        <w:t>R</w:t>
      </w:r>
      <w:r>
        <w:rPr>
          <w:lang w:eastAsia="ja-JP"/>
        </w:rPr>
        <w:t>apid.</w:t>
      </w:r>
    </w:p>
    <w:p w14:paraId="3B6E6198" w14:textId="1AD6E692" w:rsidR="00D435E7" w:rsidRDefault="00D435E7" w:rsidP="00C92989">
      <w:r>
        <w:t>The mean duration of exposure</w:t>
      </w:r>
      <w:r w:rsidR="00D91FD9">
        <w:t xml:space="preserve"> of Fiasp</w:t>
      </w:r>
      <w:r>
        <w:t xml:space="preserve"> was 10 minutes shorter in children, compared to adults.</w:t>
      </w:r>
    </w:p>
    <w:p w14:paraId="09FC1E1D" w14:textId="3FB27773" w:rsidR="00B663C0" w:rsidRDefault="008A6B49" w:rsidP="00CE13E8">
      <w:pPr>
        <w:pStyle w:val="Heading6"/>
      </w:pPr>
      <w:r>
        <w:t>Pharmacodynamics: plasma g</w:t>
      </w:r>
      <w:r w:rsidR="00B663C0">
        <w:t>lucose</w:t>
      </w:r>
    </w:p>
    <w:p w14:paraId="42EBA160" w14:textId="451B4C9F" w:rsidR="00B663C0" w:rsidRDefault="00B663C0" w:rsidP="00CE13E8">
      <w:r>
        <w:t xml:space="preserve">The plasma glucose concentration was measured over a period of </w:t>
      </w:r>
      <w:r w:rsidRPr="00CB5EE8">
        <w:t>12 hours</w:t>
      </w:r>
      <w:r>
        <w:t xml:space="preserve"> following a single dose of Fiasp insulin given just prior to a standardised meal.</w:t>
      </w:r>
    </w:p>
    <w:p w14:paraId="1FC830AF" w14:textId="07E9833F" w:rsidR="00755047" w:rsidRDefault="008D1BF4" w:rsidP="00755047">
      <w:pPr>
        <w:rPr>
          <w:lang w:eastAsia="ja-JP"/>
        </w:rPr>
      </w:pPr>
      <w:r>
        <w:rPr>
          <w:rFonts w:cs="Calibri"/>
        </w:rPr>
        <w:t>Three children and four</w:t>
      </w:r>
      <w:r w:rsidR="00CB5EE8">
        <w:rPr>
          <w:rFonts w:cs="Calibri"/>
        </w:rPr>
        <w:t xml:space="preserve"> adults developed hypoglycaemia between 2 to 6 hours of treatment period in Fiasp. </w:t>
      </w:r>
      <w:r w:rsidR="00755047" w:rsidRPr="00E811C4">
        <w:rPr>
          <w:lang w:eastAsia="ja-JP"/>
        </w:rPr>
        <w:t>They were administered with carbohydrate meal intervention. Hence, these events ha</w:t>
      </w:r>
      <w:r w:rsidR="00755047">
        <w:rPr>
          <w:lang w:eastAsia="ja-JP"/>
        </w:rPr>
        <w:t xml:space="preserve">d </w:t>
      </w:r>
      <w:r w:rsidR="00755047" w:rsidRPr="00E811C4">
        <w:rPr>
          <w:lang w:eastAsia="ja-JP"/>
        </w:rPr>
        <w:t xml:space="preserve">an effect on PD parameters </w:t>
      </w:r>
      <w:r w:rsidR="00755047">
        <w:rPr>
          <w:lang w:eastAsia="ja-JP"/>
        </w:rPr>
        <w:t xml:space="preserve">that were secondary endpoints (mean change in plasma glucose levels) and </w:t>
      </w:r>
      <w:r w:rsidR="00755047" w:rsidRPr="00E811C4">
        <w:rPr>
          <w:lang w:eastAsia="ja-JP"/>
        </w:rPr>
        <w:t xml:space="preserve">assessed </w:t>
      </w:r>
      <w:r w:rsidR="00755047">
        <w:rPr>
          <w:lang w:eastAsia="ja-JP"/>
        </w:rPr>
        <w:t>be</w:t>
      </w:r>
      <w:r w:rsidR="008C7A72">
        <w:rPr>
          <w:lang w:eastAsia="ja-JP"/>
        </w:rPr>
        <w:t xml:space="preserve">tween 0 to </w:t>
      </w:r>
      <w:r w:rsidR="00755047">
        <w:rPr>
          <w:lang w:eastAsia="ja-JP"/>
        </w:rPr>
        <w:t>6 hours post single dose of F</w:t>
      </w:r>
      <w:r w:rsidR="00040EC8">
        <w:rPr>
          <w:lang w:eastAsia="ja-JP"/>
        </w:rPr>
        <w:t>iasp</w:t>
      </w:r>
      <w:r w:rsidR="00755047">
        <w:rPr>
          <w:lang w:eastAsia="ja-JP"/>
        </w:rPr>
        <w:t xml:space="preserve"> and standardised meal.</w:t>
      </w:r>
    </w:p>
    <w:p w14:paraId="3E0C2894" w14:textId="2CEF9F45" w:rsidR="00755047" w:rsidRDefault="008C7A72" w:rsidP="00755047">
      <w:pPr>
        <w:rPr>
          <w:lang w:eastAsia="ja-JP"/>
        </w:rPr>
      </w:pPr>
      <w:r>
        <w:rPr>
          <w:lang w:eastAsia="ja-JP"/>
        </w:rPr>
        <w:t xml:space="preserve">One </w:t>
      </w:r>
      <w:r w:rsidR="00755047">
        <w:rPr>
          <w:lang w:eastAsia="ja-JP"/>
        </w:rPr>
        <w:t>hour plasm</w:t>
      </w:r>
      <w:r>
        <w:rPr>
          <w:lang w:eastAsia="ja-JP"/>
        </w:rPr>
        <w:t>a glucose lowering effect from B</w:t>
      </w:r>
      <w:r w:rsidR="00755047">
        <w:rPr>
          <w:lang w:eastAsia="ja-JP"/>
        </w:rPr>
        <w:t>aseline with F</w:t>
      </w:r>
      <w:r>
        <w:rPr>
          <w:lang w:eastAsia="ja-JP"/>
        </w:rPr>
        <w:t>iasp</w:t>
      </w:r>
      <w:r w:rsidR="00755047">
        <w:rPr>
          <w:lang w:eastAsia="ja-JP"/>
        </w:rPr>
        <w:t xml:space="preserve"> was </w:t>
      </w:r>
      <w:r>
        <w:rPr>
          <w:lang w:eastAsia="ja-JP"/>
        </w:rPr>
        <w:t>comparable</w:t>
      </w:r>
      <w:r w:rsidR="00755047">
        <w:rPr>
          <w:lang w:eastAsia="ja-JP"/>
        </w:rPr>
        <w:t xml:space="preserve"> across age groups. </w:t>
      </w:r>
      <w:r w:rsidR="00673ABA">
        <w:rPr>
          <w:lang w:eastAsia="ja-JP"/>
        </w:rPr>
        <w:t xml:space="preserve">The two </w:t>
      </w:r>
      <w:r w:rsidR="00040EC8">
        <w:rPr>
          <w:lang w:eastAsia="ja-JP"/>
        </w:rPr>
        <w:t xml:space="preserve">hour plasma glucose lowering effect from </w:t>
      </w:r>
      <w:r w:rsidR="00436157">
        <w:rPr>
          <w:lang w:eastAsia="ja-JP"/>
        </w:rPr>
        <w:t>B</w:t>
      </w:r>
      <w:r w:rsidR="00040EC8">
        <w:rPr>
          <w:lang w:eastAsia="ja-JP"/>
        </w:rPr>
        <w:t>aseline was not significantly different between children and adults; but significantly lower in adolescents compared to adults</w:t>
      </w:r>
      <w:r w:rsidR="00504802">
        <w:rPr>
          <w:lang w:eastAsia="ja-JP"/>
        </w:rPr>
        <w:t xml:space="preserve"> (</w:t>
      </w:r>
      <w:r w:rsidR="00E215A4">
        <w:rPr>
          <w:lang w:eastAsia="ja-JP"/>
        </w:rPr>
        <w:t xml:space="preserve">see </w:t>
      </w:r>
      <w:r w:rsidR="00504802">
        <w:rPr>
          <w:lang w:eastAsia="ja-JP"/>
        </w:rPr>
        <w:fldChar w:fldCharType="begin"/>
      </w:r>
      <w:r w:rsidR="00504802">
        <w:rPr>
          <w:lang w:eastAsia="ja-JP"/>
        </w:rPr>
        <w:instrText xml:space="preserve"> REF _Ref43715128 \h </w:instrText>
      </w:r>
      <w:r w:rsidR="00504802">
        <w:rPr>
          <w:lang w:eastAsia="ja-JP"/>
        </w:rPr>
      </w:r>
      <w:r w:rsidR="00504802">
        <w:rPr>
          <w:lang w:eastAsia="ja-JP"/>
        </w:rPr>
        <w:fldChar w:fldCharType="separate"/>
      </w:r>
      <w:r w:rsidR="00006189">
        <w:t xml:space="preserve">Table </w:t>
      </w:r>
      <w:r w:rsidR="00006189">
        <w:rPr>
          <w:noProof/>
        </w:rPr>
        <w:t>3</w:t>
      </w:r>
      <w:r w:rsidR="00504802">
        <w:rPr>
          <w:lang w:eastAsia="ja-JP"/>
        </w:rPr>
        <w:fldChar w:fldCharType="end"/>
      </w:r>
      <w:r w:rsidR="00504802">
        <w:rPr>
          <w:lang w:eastAsia="ja-JP"/>
        </w:rPr>
        <w:t>)</w:t>
      </w:r>
      <w:r w:rsidR="00040EC8">
        <w:rPr>
          <w:lang w:eastAsia="ja-JP"/>
        </w:rPr>
        <w:t>.</w:t>
      </w:r>
    </w:p>
    <w:p w14:paraId="5B59DB46" w14:textId="7DDE6DA8" w:rsidR="00436157" w:rsidRDefault="00436157" w:rsidP="00CE13E8">
      <w:pPr>
        <w:pStyle w:val="TableTitle"/>
        <w:rPr>
          <w:lang w:eastAsia="ja-JP"/>
        </w:rPr>
      </w:pPr>
      <w:bookmarkStart w:id="43" w:name="_Ref43715128"/>
      <w:r>
        <w:lastRenderedPageBreak/>
        <w:t xml:space="preserve">Table </w:t>
      </w:r>
      <w:fldSimple w:instr=" SEQ Table \* ARABIC ">
        <w:r w:rsidR="00006189">
          <w:rPr>
            <w:noProof/>
          </w:rPr>
          <w:t>3</w:t>
        </w:r>
      </w:fldSimple>
      <w:bookmarkEnd w:id="43"/>
      <w:r>
        <w:t xml:space="preserve">: </w:t>
      </w:r>
      <w:r w:rsidR="008F23DA">
        <w:t xml:space="preserve">Study NN1218-4371 </w:t>
      </w:r>
      <w:r>
        <w:t>Mean change in plasma glucose, age group comparisons for Fiasp</w:t>
      </w:r>
      <w:r w:rsidR="008F23DA">
        <w:t xml:space="preserve"> insulin aspart</w:t>
      </w:r>
    </w:p>
    <w:p w14:paraId="72F24E33" w14:textId="66F04605" w:rsidR="00326EB2" w:rsidRDefault="00436157" w:rsidP="00755047">
      <w:pPr>
        <w:rPr>
          <w:lang w:eastAsia="ja-JP"/>
        </w:rPr>
      </w:pPr>
      <w:r>
        <w:rPr>
          <w:noProof/>
          <w:lang w:eastAsia="en-AU"/>
        </w:rPr>
        <w:drawing>
          <wp:inline distT="0" distB="0" distL="0" distR="0" wp14:anchorId="2ABB08EE" wp14:editId="4D7A7F1F">
            <wp:extent cx="4719913" cy="4947285"/>
            <wp:effectExtent l="0" t="0" r="5080" b="5715"/>
            <wp:docPr id="5" name="Picture 5" descr="Mean change in plasma glucose, age group comparisons for Fi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1" r="1161"/>
                    <a:stretch/>
                  </pic:blipFill>
                  <pic:spPr bwMode="auto">
                    <a:xfrm>
                      <a:off x="0" y="0"/>
                      <a:ext cx="4722771" cy="4950281"/>
                    </a:xfrm>
                    <a:prstGeom prst="rect">
                      <a:avLst/>
                    </a:prstGeom>
                    <a:ln>
                      <a:noFill/>
                    </a:ln>
                    <a:extLst>
                      <a:ext uri="{53640926-AAD7-44D8-BBD7-CCE9431645EC}">
                        <a14:shadowObscured xmlns:a14="http://schemas.microsoft.com/office/drawing/2010/main"/>
                      </a:ext>
                    </a:extLst>
                  </pic:spPr>
                </pic:pic>
              </a:graphicData>
            </a:graphic>
          </wp:inline>
        </w:drawing>
      </w:r>
    </w:p>
    <w:p w14:paraId="6734ACD7" w14:textId="35D7B330" w:rsidR="00CE13E8" w:rsidRDefault="00CE13E8" w:rsidP="007B4A4F">
      <w:pPr>
        <w:pStyle w:val="TableDescription"/>
      </w:pPr>
      <w:r>
        <w:t>N = number of subjects; SE = standard error; CI = confidence interval; PG = plasma glucose; LSMeans = least</w:t>
      </w:r>
      <w:r>
        <w:noBreakHyphen/>
        <w:t>squares means</w:t>
      </w:r>
    </w:p>
    <w:p w14:paraId="46F770AE" w14:textId="442A140E" w:rsidR="00755047" w:rsidRDefault="00755047" w:rsidP="00755047">
      <w:pPr>
        <w:rPr>
          <w:lang w:eastAsia="ja-JP"/>
        </w:rPr>
      </w:pPr>
      <w:r>
        <w:rPr>
          <w:lang w:eastAsia="ja-JP"/>
        </w:rPr>
        <w:t>The maximum p</w:t>
      </w:r>
      <w:r w:rsidR="008C7A72">
        <w:rPr>
          <w:lang w:eastAsia="ja-JP"/>
        </w:rPr>
        <w:t xml:space="preserve">lasma glucose excursions from 0 to </w:t>
      </w:r>
      <w:r>
        <w:rPr>
          <w:lang w:eastAsia="ja-JP"/>
        </w:rPr>
        <w:t>2 hours were comparable between children, adolescents</w:t>
      </w:r>
      <w:r w:rsidR="008C7A72">
        <w:rPr>
          <w:lang w:eastAsia="ja-JP"/>
        </w:rPr>
        <w:t xml:space="preserve"> and adults</w:t>
      </w:r>
      <w:r w:rsidR="00291A39">
        <w:rPr>
          <w:lang w:eastAsia="ja-JP"/>
        </w:rPr>
        <w:t>.</w:t>
      </w:r>
    </w:p>
    <w:p w14:paraId="643A0A14" w14:textId="364A9307" w:rsidR="008C7A72" w:rsidRDefault="008C7A72" w:rsidP="008C7A72">
      <w:pPr>
        <w:rPr>
          <w:lang w:eastAsia="ja-JP"/>
        </w:rPr>
      </w:pPr>
      <w:r>
        <w:rPr>
          <w:lang w:eastAsia="ja-JP"/>
        </w:rPr>
        <w:t>Fiasp achieved a greater 1 hour and 2 hour glucose lowering effect, compared to Novo</w:t>
      </w:r>
      <w:r w:rsidR="000132B4">
        <w:rPr>
          <w:lang w:eastAsia="ja-JP"/>
        </w:rPr>
        <w:t>R</w:t>
      </w:r>
      <w:r>
        <w:rPr>
          <w:lang w:eastAsia="ja-JP"/>
        </w:rPr>
        <w:t>apid in children, adolescents and adults. The treatment difference was statistically significant in adolescents and adults, but not in children.</w:t>
      </w:r>
    </w:p>
    <w:p w14:paraId="60736716" w14:textId="56BA67EF" w:rsidR="006A54CD" w:rsidRDefault="006A54CD" w:rsidP="006A54CD">
      <w:pPr>
        <w:pStyle w:val="Heading5"/>
      </w:pPr>
      <w:r>
        <w:t>Study NN1218-3888</w:t>
      </w:r>
    </w:p>
    <w:p w14:paraId="464692C7" w14:textId="09DA7CA4" w:rsidR="006A54CD" w:rsidRPr="002402F4" w:rsidRDefault="006A54CD" w:rsidP="006A54CD">
      <w:r w:rsidRPr="002402F4">
        <w:t xml:space="preserve">Study NN1218-3888 compared the </w:t>
      </w:r>
      <w:r w:rsidR="00006189">
        <w:t>PK</w:t>
      </w:r>
      <w:r w:rsidRPr="002402F4">
        <w:t xml:space="preserve"> properties of Novo</w:t>
      </w:r>
      <w:r w:rsidR="000132B4">
        <w:t>R</w:t>
      </w:r>
      <w:r w:rsidRPr="002402F4">
        <w:t>apid and Fiasp in children, adolescents and adults with T1D</w:t>
      </w:r>
      <w:r w:rsidR="000132B4">
        <w:t>M</w:t>
      </w:r>
      <w:r w:rsidRPr="002402F4">
        <w:t>.</w:t>
      </w:r>
    </w:p>
    <w:p w14:paraId="1C79C9B1" w14:textId="106EEC93" w:rsidR="006A54CD" w:rsidRPr="002402F4" w:rsidRDefault="006A54CD" w:rsidP="00B46E24">
      <w:r w:rsidRPr="002402F4">
        <w:t xml:space="preserve">The design was a single centre, single dose, two period cross over randomised controlled trial. </w:t>
      </w:r>
      <w:r w:rsidR="008B0E1A" w:rsidRPr="002402F4">
        <w:t>The trial design was similar to Study NN1218-4371.</w:t>
      </w:r>
      <w:r w:rsidR="00B46E24" w:rsidRPr="002402F4">
        <w:t xml:space="preserve"> </w:t>
      </w:r>
      <w:r w:rsidR="00B51380" w:rsidRPr="002402F4">
        <w:t>When the subjects had attained a stable plasma glucose concentration, a</w:t>
      </w:r>
      <w:r w:rsidR="00B46E24" w:rsidRPr="00CE13E8">
        <w:t xml:space="preserve"> dose of 0.2 U/kg of either Fiasp or Novorapid was administered.</w:t>
      </w:r>
      <w:r w:rsidR="00B51380" w:rsidRPr="002402F4">
        <w:t xml:space="preserve"> A standard liquid meal (</w:t>
      </w:r>
      <w:r w:rsidR="000132B4">
        <w:t>‘</w:t>
      </w:r>
      <w:r w:rsidR="00B51380" w:rsidRPr="002402F4">
        <w:t>Boost</w:t>
      </w:r>
      <w:r w:rsidR="000132B4">
        <w:t>’</w:t>
      </w:r>
      <w:r w:rsidR="00B51380" w:rsidRPr="002402F4">
        <w:t>, amount adjusted to the patient’s weight) was given to the subjects within 2 minutes of administering the test substance.</w:t>
      </w:r>
    </w:p>
    <w:p w14:paraId="417621B6" w14:textId="737855A3" w:rsidR="00B51380" w:rsidRPr="002402F4" w:rsidRDefault="00B51380" w:rsidP="00B51380">
      <w:r w:rsidRPr="002402F4">
        <w:t>Thirteen children, 13 adolescents and 15 adults participated in the study. At Baseline, the mean level of anti-insulin aspart antibodies was highest in children at 33.2% (B/T), followed by 23.7% in adolescents and 18.7% in adults.</w:t>
      </w:r>
    </w:p>
    <w:p w14:paraId="2EFD03F2" w14:textId="26F77B9E" w:rsidR="00E33054" w:rsidRDefault="00365AC4" w:rsidP="00B51380">
      <w:pPr>
        <w:rPr>
          <w:vertAlign w:val="subscript"/>
          <w:lang w:eastAsia="ja-JP"/>
        </w:rPr>
      </w:pPr>
      <w:r w:rsidRPr="002402F4">
        <w:lastRenderedPageBreak/>
        <w:t xml:space="preserve">The primary endpoint was </w:t>
      </w:r>
      <w:r w:rsidRPr="002402F4">
        <w:rPr>
          <w:lang w:eastAsia="ja-JP"/>
        </w:rPr>
        <w:t>area under the serum insulin aspart concentration-time curve from 0 to 12 hours (AUC</w:t>
      </w:r>
      <w:r w:rsidRPr="002402F4">
        <w:rPr>
          <w:vertAlign w:val="subscript"/>
          <w:lang w:eastAsia="ja-JP"/>
        </w:rPr>
        <w:t>IAsp,0–12h</w:t>
      </w:r>
      <w:r w:rsidRPr="002402F4">
        <w:rPr>
          <w:lang w:eastAsia="ja-JP"/>
        </w:rPr>
        <w:t>)</w:t>
      </w:r>
      <w:r w:rsidRPr="002402F4">
        <w:rPr>
          <w:vertAlign w:val="subscript"/>
          <w:lang w:eastAsia="ja-JP"/>
        </w:rPr>
        <w:t>.</w:t>
      </w:r>
    </w:p>
    <w:p w14:paraId="7F4E34E3" w14:textId="697256CE" w:rsidR="00526784" w:rsidRPr="00B46E24" w:rsidRDefault="00526784" w:rsidP="00526784">
      <w:pPr>
        <w:rPr>
          <w:lang w:eastAsia="ja-JP"/>
        </w:rPr>
      </w:pPr>
      <w:r>
        <w:rPr>
          <w:lang w:eastAsia="ja-JP"/>
        </w:rPr>
        <w:t>Free insulin aspart were measured by a validated insulin aspart-specific ELISA.</w:t>
      </w:r>
    </w:p>
    <w:p w14:paraId="323E48AC" w14:textId="37D41B9A" w:rsidR="009E3CD8" w:rsidRPr="009E3CD8" w:rsidRDefault="008A6B49" w:rsidP="00CE13E8">
      <w:pPr>
        <w:pStyle w:val="Heading6"/>
        <w:rPr>
          <w:rFonts w:eastAsiaTheme="minorHAnsi"/>
        </w:rPr>
      </w:pPr>
      <w:r>
        <w:t>Pharmacokinetics</w:t>
      </w:r>
    </w:p>
    <w:p w14:paraId="2C098B98" w14:textId="7ECF11CE" w:rsidR="00D4024B" w:rsidRDefault="00FF66E4" w:rsidP="006D2E04">
      <w:r>
        <w:t>T</w:t>
      </w:r>
      <w:r w:rsidRPr="00BE4194">
        <w:t xml:space="preserve">otal exposure </w:t>
      </w:r>
      <w:r>
        <w:t>to F</w:t>
      </w:r>
      <w:r w:rsidR="006D2E04">
        <w:t>iasp</w:t>
      </w:r>
      <w:r>
        <w:t xml:space="preserve"> </w:t>
      </w:r>
      <w:r w:rsidRPr="00BE4194">
        <w:t>was 397.64 pmol*h/L in children, 524</w:t>
      </w:r>
      <w:r>
        <w:t>.32 pmol*h/L in adolescents and 671.83 pmol*h/L in adults.</w:t>
      </w:r>
      <w:r w:rsidRPr="00172BA1">
        <w:t xml:space="preserve"> </w:t>
      </w:r>
      <w:r>
        <w:t>The maximum serum F</w:t>
      </w:r>
      <w:r w:rsidR="006D2E04">
        <w:t>iasp</w:t>
      </w:r>
      <w:r>
        <w:t xml:space="preserve"> concentration levels were comparable across age groups</w:t>
      </w:r>
      <w:r w:rsidR="00E251EB">
        <w:t xml:space="preserve"> (</w:t>
      </w:r>
      <w:r w:rsidR="00E251EB">
        <w:fldChar w:fldCharType="begin"/>
      </w:r>
      <w:r w:rsidR="00E251EB">
        <w:instrText xml:space="preserve"> REF _Ref42694861 \h </w:instrText>
      </w:r>
      <w:r w:rsidR="00E251EB">
        <w:fldChar w:fldCharType="separate"/>
      </w:r>
      <w:r w:rsidR="00006189">
        <w:t xml:space="preserve">Figure </w:t>
      </w:r>
      <w:r w:rsidR="00006189">
        <w:rPr>
          <w:noProof/>
        </w:rPr>
        <w:t>3</w:t>
      </w:r>
      <w:r w:rsidR="00E251EB">
        <w:fldChar w:fldCharType="end"/>
      </w:r>
      <w:r w:rsidR="00E251EB">
        <w:t>)</w:t>
      </w:r>
      <w:r w:rsidR="00D4024B">
        <w:t>.</w:t>
      </w:r>
    </w:p>
    <w:p w14:paraId="3D0CACE1" w14:textId="02A0A328" w:rsidR="00D4024B" w:rsidRPr="001472EF" w:rsidRDefault="00FF66E4" w:rsidP="00831F1A">
      <w:pPr>
        <w:rPr>
          <w:rFonts w:cs="Calibri"/>
          <w:color w:val="000000"/>
        </w:rPr>
      </w:pPr>
      <w:r w:rsidRPr="00831F1A">
        <w:t>The</w:t>
      </w:r>
      <w:r w:rsidR="00831F1A" w:rsidRPr="00831F1A">
        <w:t xml:space="preserve"> time to maximum observed concentration</w:t>
      </w:r>
      <w:r w:rsidRPr="00831F1A">
        <w:t xml:space="preserve"> </w:t>
      </w:r>
      <w:r w:rsidR="00831F1A" w:rsidRPr="00831F1A">
        <w:t>(</w:t>
      </w:r>
      <w:r w:rsidR="00831F1A">
        <w:t>T</w:t>
      </w:r>
      <w:r w:rsidRPr="00831F1A">
        <w:rPr>
          <w:vertAlign w:val="subscript"/>
        </w:rPr>
        <w:t>max</w:t>
      </w:r>
      <w:r w:rsidR="00831F1A" w:rsidRPr="00831F1A">
        <w:t xml:space="preserve">) </w:t>
      </w:r>
      <w:r>
        <w:t>was shorter in children at 48.5</w:t>
      </w:r>
      <w:r w:rsidR="007B31EC">
        <w:t> </w:t>
      </w:r>
      <w:r>
        <w:t>minutes, compared to adolescen</w:t>
      </w:r>
      <w:r w:rsidR="006D2E04">
        <w:t>ts (53.38 minutes) and adults (</w:t>
      </w:r>
      <w:r>
        <w:t>59.2 minutes)</w:t>
      </w:r>
      <w:r w:rsidR="00D4024B">
        <w:t>.</w:t>
      </w:r>
    </w:p>
    <w:p w14:paraId="53CBD4DA" w14:textId="735257CA" w:rsidR="00FF66E4" w:rsidRDefault="00FF66E4" w:rsidP="00831F1A">
      <w:r>
        <w:t xml:space="preserve">The mean duration of exposure was shorter for children (280.46 minutes), compared </w:t>
      </w:r>
      <w:r w:rsidR="002D0C2C">
        <w:t xml:space="preserve">to </w:t>
      </w:r>
      <w:r>
        <w:t>adolescents (318.04 minutes) and adults (401.52 minutes).</w:t>
      </w:r>
    </w:p>
    <w:p w14:paraId="7A38E30C" w14:textId="1A1C9FB9" w:rsidR="006D2E04" w:rsidRDefault="006D2E04" w:rsidP="006D2E04">
      <w:pPr>
        <w:pStyle w:val="FigureTitle"/>
      </w:pPr>
      <w:bookmarkStart w:id="44" w:name="_Ref42694861"/>
      <w:r>
        <w:t xml:space="preserve">Figure </w:t>
      </w:r>
      <w:fldSimple w:instr=" SEQ Figure \* ARABIC ">
        <w:r w:rsidR="00006189">
          <w:rPr>
            <w:noProof/>
          </w:rPr>
          <w:t>3</w:t>
        </w:r>
      </w:fldSimple>
      <w:bookmarkEnd w:id="44"/>
      <w:r>
        <w:t xml:space="preserve">: </w:t>
      </w:r>
      <w:r w:rsidR="00783C77">
        <w:t xml:space="preserve">Study NN1218-3888 </w:t>
      </w:r>
      <w:r>
        <w:t>Mean serum Fiasp</w:t>
      </w:r>
      <w:r w:rsidR="00783C77">
        <w:t xml:space="preserve"> insulin aspart</w:t>
      </w:r>
      <w:r>
        <w:t xml:space="preserve"> concentration 0 to 8 hours</w:t>
      </w:r>
    </w:p>
    <w:p w14:paraId="4DB18DE7" w14:textId="3CC141BA" w:rsidR="00FF66E4" w:rsidRDefault="002D0C2C" w:rsidP="002D0C2C">
      <w:pPr>
        <w:rPr>
          <w:rFonts w:eastAsiaTheme="minorHAnsi" w:cs="Cambria"/>
        </w:rPr>
      </w:pPr>
      <w:r>
        <w:rPr>
          <w:noProof/>
          <w:lang w:eastAsia="en-AU"/>
        </w:rPr>
        <w:drawing>
          <wp:inline distT="0" distB="0" distL="0" distR="0" wp14:anchorId="5D033E95" wp14:editId="166B8C0D">
            <wp:extent cx="5400040" cy="3464560"/>
            <wp:effectExtent l="0" t="0" r="0" b="2540"/>
            <wp:docPr id="1" name="Picture 1" descr="Study NN1218-3888 Mean serum Fiasp concentration 0 to 8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464560"/>
                    </a:xfrm>
                    <a:prstGeom prst="rect">
                      <a:avLst/>
                    </a:prstGeom>
                  </pic:spPr>
                </pic:pic>
              </a:graphicData>
            </a:graphic>
          </wp:inline>
        </w:drawing>
      </w:r>
    </w:p>
    <w:p w14:paraId="790F4188" w14:textId="32AA5186" w:rsidR="008579DB" w:rsidRDefault="008579DB" w:rsidP="007B4A4F">
      <w:pPr>
        <w:pStyle w:val="TableDescription"/>
      </w:pPr>
      <w:r>
        <w:t xml:space="preserve">LLOQ = lower </w:t>
      </w:r>
      <w:r w:rsidRPr="00C92989">
        <w:t>l</w:t>
      </w:r>
      <w:r w:rsidR="008F23DA">
        <w:t>imit</w:t>
      </w:r>
      <w:r>
        <w:t xml:space="preserve"> of quantification</w:t>
      </w:r>
    </w:p>
    <w:p w14:paraId="2F9DC789" w14:textId="0E180904" w:rsidR="00FF66E4" w:rsidRDefault="00FF66E4" w:rsidP="006D2E04">
      <w:r>
        <w:t>The difference between children, adolescents and adults in the time profile of exposure to F</w:t>
      </w:r>
      <w:r w:rsidR="0075768F">
        <w:t>iasp</w:t>
      </w:r>
      <w:r>
        <w:t xml:space="preserve"> was very similar to that seen with N</w:t>
      </w:r>
      <w:r w:rsidR="006D2E04">
        <w:t>ovo</w:t>
      </w:r>
      <w:r w:rsidR="00783C77">
        <w:t>R</w:t>
      </w:r>
      <w:r w:rsidR="006D2E04">
        <w:t>apid</w:t>
      </w:r>
      <w:r>
        <w:t>. The onset of insulin exposure was approximately 5 minutes faster for F</w:t>
      </w:r>
      <w:r w:rsidR="002D0C2C">
        <w:t>iasp</w:t>
      </w:r>
      <w:r>
        <w:t xml:space="preserve"> than N</w:t>
      </w:r>
      <w:r w:rsidR="006D2E04">
        <w:t>ovo</w:t>
      </w:r>
      <w:r w:rsidR="00783C77">
        <w:t>R</w:t>
      </w:r>
      <w:r w:rsidR="006D2E04">
        <w:t>apid</w:t>
      </w:r>
      <w:r w:rsidR="00831F1A">
        <w:t xml:space="preserve"> in all age groups, and the half-life (T</w:t>
      </w:r>
      <w:r w:rsidRPr="009E332E">
        <w:rPr>
          <w:vertAlign w:val="subscript"/>
        </w:rPr>
        <w:t>½</w:t>
      </w:r>
      <w:r w:rsidR="00831F1A" w:rsidRPr="00831F1A">
        <w:t>)</w:t>
      </w:r>
      <w:r>
        <w:t xml:space="preserve"> 25 minutes in all age groups.</w:t>
      </w:r>
    </w:p>
    <w:p w14:paraId="5CCEB65C" w14:textId="4E2DE381" w:rsidR="00D4024B" w:rsidRDefault="00FF66E4" w:rsidP="006D2E04">
      <w:r>
        <w:t>Overall</w:t>
      </w:r>
      <w:r w:rsidR="007B31EC">
        <w:t>, the data submitted show</w:t>
      </w:r>
      <w:r>
        <w:t xml:space="preserve"> a ver</w:t>
      </w:r>
      <w:r w:rsidR="00227549">
        <w:t>y similar time profile for Fiasp</w:t>
      </w:r>
      <w:r>
        <w:t xml:space="preserve"> in children and adolescents compared to adults</w:t>
      </w:r>
      <w:r w:rsidR="00D4024B">
        <w:t>.</w:t>
      </w:r>
    </w:p>
    <w:p w14:paraId="290958F4" w14:textId="24B6ED17" w:rsidR="006D2E04" w:rsidRDefault="008A6B49" w:rsidP="008A6B49">
      <w:pPr>
        <w:pStyle w:val="Heading6"/>
      </w:pPr>
      <w:bookmarkStart w:id="45" w:name="_Toc25325914"/>
      <w:r>
        <w:t>Pharmacodynamics: plasma g</w:t>
      </w:r>
      <w:r w:rsidR="006D2E04">
        <w:t>lucose</w:t>
      </w:r>
    </w:p>
    <w:p w14:paraId="427F4DF5" w14:textId="627BB8A1" w:rsidR="00FF66E4" w:rsidRPr="0063546D" w:rsidRDefault="00FF66E4" w:rsidP="006D2E04">
      <w:r w:rsidRPr="0063546D">
        <w:t>The plasma glucose concentration was measured over a period of 12 hours following a single dose of F</w:t>
      </w:r>
      <w:r w:rsidR="002D0C2C" w:rsidRPr="0063546D">
        <w:t>iasp</w:t>
      </w:r>
      <w:r w:rsidRPr="0063546D">
        <w:t xml:space="preserve"> insulin given just prior to a standardised meal.</w:t>
      </w:r>
    </w:p>
    <w:p w14:paraId="19E0CB1D" w14:textId="14A24B2D" w:rsidR="00D4024B" w:rsidRDefault="00673ABA" w:rsidP="00227549">
      <w:r>
        <w:t>Three children and four</w:t>
      </w:r>
      <w:r w:rsidR="00FF66E4" w:rsidRPr="0063546D">
        <w:t xml:space="preserve"> adults</w:t>
      </w:r>
      <w:r w:rsidR="00FF66E4">
        <w:t xml:space="preserve"> </w:t>
      </w:r>
      <w:r w:rsidR="00FF66E4" w:rsidRPr="0063546D">
        <w:t>developed hypoglycaemia between 2</w:t>
      </w:r>
      <w:r w:rsidR="00D4024B">
        <w:t xml:space="preserve"> to </w:t>
      </w:r>
      <w:r w:rsidR="00FF66E4" w:rsidRPr="0063546D">
        <w:t xml:space="preserve">6 hours of treatment period in </w:t>
      </w:r>
      <w:r w:rsidR="00227549">
        <w:t>Fiasp</w:t>
      </w:r>
      <w:r w:rsidR="00FF66E4">
        <w:t xml:space="preserve">. </w:t>
      </w:r>
      <w:r w:rsidR="007B31EC">
        <w:t>Four</w:t>
      </w:r>
      <w:r w:rsidR="00FF66E4" w:rsidRPr="0063546D">
        <w:t xml:space="preserve"> children, 1 adolescent and 4 adults developed hypoglycaemia </w:t>
      </w:r>
      <w:r w:rsidR="00FF66E4">
        <w:t>in the same time period with</w:t>
      </w:r>
      <w:r w:rsidR="00FF66E4" w:rsidRPr="0063546D">
        <w:t xml:space="preserve"> N</w:t>
      </w:r>
      <w:r w:rsidR="002D0C2C">
        <w:t>ovo</w:t>
      </w:r>
      <w:r w:rsidR="00783C77">
        <w:t>R</w:t>
      </w:r>
      <w:r w:rsidR="002D0C2C">
        <w:t>apid</w:t>
      </w:r>
      <w:r w:rsidR="00D4024B">
        <w:t>.</w:t>
      </w:r>
    </w:p>
    <w:p w14:paraId="7A6F6B41" w14:textId="4A3E14A8" w:rsidR="00FF66E4" w:rsidRDefault="00FF66E4" w:rsidP="00FF66E4">
      <w:r>
        <w:lastRenderedPageBreak/>
        <w:t>Similar changes in plasma glucose at 1 and 2 hours were seen in all age groups</w:t>
      </w:r>
      <w:r w:rsidR="00E251EB">
        <w:t xml:space="preserve"> (</w:t>
      </w:r>
      <w:r w:rsidR="00E215A4">
        <w:t xml:space="preserve">see </w:t>
      </w:r>
      <w:r w:rsidR="00E251EB">
        <w:fldChar w:fldCharType="begin"/>
      </w:r>
      <w:r w:rsidR="00E251EB">
        <w:instrText xml:space="preserve"> REF _Ref42695092 \h </w:instrText>
      </w:r>
      <w:r w:rsidR="00E251EB">
        <w:fldChar w:fldCharType="separate"/>
      </w:r>
      <w:r w:rsidR="00006189">
        <w:t xml:space="preserve">Table </w:t>
      </w:r>
      <w:r w:rsidR="00006189">
        <w:rPr>
          <w:noProof/>
        </w:rPr>
        <w:t>4</w:t>
      </w:r>
      <w:r w:rsidR="00E251EB">
        <w:fldChar w:fldCharType="end"/>
      </w:r>
      <w:r w:rsidR="00E251EB">
        <w:t>)</w:t>
      </w:r>
      <w:r>
        <w:t>. F</w:t>
      </w:r>
      <w:r w:rsidR="002D0C2C">
        <w:t>iasp</w:t>
      </w:r>
      <w:r>
        <w:t xml:space="preserve"> achieved less rise in blood glucose within the first 2 hours in all age groups. This was achieved slightly earlier than N</w:t>
      </w:r>
      <w:r w:rsidR="002D0C2C">
        <w:t>ovo</w:t>
      </w:r>
      <w:r w:rsidR="00783C77">
        <w:t>R</w:t>
      </w:r>
      <w:r w:rsidR="002D0C2C">
        <w:t>apid</w:t>
      </w:r>
      <w:r>
        <w:t xml:space="preserve"> for children and adolescents.</w:t>
      </w:r>
    </w:p>
    <w:p w14:paraId="1F72842B" w14:textId="6804A4D0" w:rsidR="00FF66E4" w:rsidRDefault="00FF66E4" w:rsidP="00FF66E4">
      <w:r>
        <w:t>The maximum plasma glucose excursion during 6 hours post dose of F</w:t>
      </w:r>
      <w:r w:rsidR="002D0C2C">
        <w:t>iasp</w:t>
      </w:r>
      <w:r>
        <w:t xml:space="preserve"> was comparable between children </w:t>
      </w:r>
      <w:r w:rsidRPr="008A43AF">
        <w:t>(5.77 mmol/L)</w:t>
      </w:r>
      <w:r>
        <w:t xml:space="preserve"> and adults</w:t>
      </w:r>
      <w:r w:rsidRPr="008A43AF">
        <w:t xml:space="preserve"> (5.13 mmol/L</w:t>
      </w:r>
      <w:r>
        <w:t>). Mean plasma glucose excursion was significantly greater for adolescents</w:t>
      </w:r>
      <w:r w:rsidRPr="009A28FF">
        <w:t xml:space="preserve"> </w:t>
      </w:r>
      <w:r>
        <w:t>(7.25 mmol/L), when compared to adults, consistent with the effects of insulin resistance of puberty.</w:t>
      </w:r>
    </w:p>
    <w:p w14:paraId="55430F06" w14:textId="57428229" w:rsidR="00D4024B" w:rsidRDefault="00FF66E4" w:rsidP="00FF66E4">
      <w:pPr>
        <w:tabs>
          <w:tab w:val="left" w:pos="1134"/>
        </w:tabs>
        <w:autoSpaceDE w:val="0"/>
        <w:autoSpaceDN w:val="0"/>
        <w:spacing w:line="240" w:lineRule="auto"/>
      </w:pPr>
      <w:r>
        <w:t>The glucose lowering effect at 1 hour and 2 hours post dose for F</w:t>
      </w:r>
      <w:r w:rsidR="002D0C2C">
        <w:t>iasp</w:t>
      </w:r>
      <w:r>
        <w:t xml:space="preserve"> was comparable across age groups</w:t>
      </w:r>
      <w:r w:rsidR="00D4024B">
        <w:t>.</w:t>
      </w:r>
    </w:p>
    <w:p w14:paraId="6A18CC71" w14:textId="442AAFC1" w:rsidR="00D4024B" w:rsidRDefault="00FF66E4" w:rsidP="00FF66E4">
      <w:r>
        <w:t>At 1 hour post meal, the mean plasma glucose value achieved with F</w:t>
      </w:r>
      <w:r w:rsidR="002D0C2C">
        <w:t>iasp</w:t>
      </w:r>
      <w:r>
        <w:t xml:space="preserve"> was 15% lower than N</w:t>
      </w:r>
      <w:r w:rsidR="002D0C2C">
        <w:t>ovo</w:t>
      </w:r>
      <w:r w:rsidR="00783C77">
        <w:t>R</w:t>
      </w:r>
      <w:r w:rsidR="002D0C2C">
        <w:t>apid</w:t>
      </w:r>
      <w:r>
        <w:t>. At 2 hours, this difference in mean plasma glucose level was 12%</w:t>
      </w:r>
      <w:r w:rsidR="00D4024B">
        <w:t>.</w:t>
      </w:r>
    </w:p>
    <w:p w14:paraId="5679F01B" w14:textId="0F8D75B5" w:rsidR="00FF66E4" w:rsidRDefault="002D0C2C" w:rsidP="002D0C2C">
      <w:pPr>
        <w:pStyle w:val="TableTitle"/>
      </w:pPr>
      <w:bookmarkStart w:id="46" w:name="_Ref42695092"/>
      <w:r>
        <w:t xml:space="preserve">Table </w:t>
      </w:r>
      <w:fldSimple w:instr=" SEQ Table \* ARABIC ">
        <w:r w:rsidR="00006189">
          <w:rPr>
            <w:noProof/>
          </w:rPr>
          <w:t>4</w:t>
        </w:r>
      </w:fldSimple>
      <w:bookmarkEnd w:id="46"/>
      <w:r w:rsidR="00FF66E4">
        <w:t xml:space="preserve">: </w:t>
      </w:r>
      <w:r w:rsidR="008F23DA">
        <w:t xml:space="preserve">Study NN1218-3888 </w:t>
      </w:r>
      <w:r w:rsidR="00FF66E4">
        <w:t>Mean change in plasma glucose</w:t>
      </w:r>
      <w:r w:rsidR="004A696D">
        <w:t>,</w:t>
      </w:r>
      <w:r w:rsidR="00FF66E4">
        <w:t xml:space="preserve"> age group comparisons for F</w:t>
      </w:r>
      <w:r>
        <w:t>iasp</w:t>
      </w:r>
      <w:bookmarkEnd w:id="45"/>
      <w:r w:rsidR="00783C77">
        <w:t xml:space="preserve"> insulin aspart</w:t>
      </w:r>
    </w:p>
    <w:p w14:paraId="1EFD2B87" w14:textId="13E79556" w:rsidR="00FF66E4" w:rsidRDefault="00303FD6" w:rsidP="00FF66E4">
      <w:r>
        <w:rPr>
          <w:noProof/>
          <w:lang w:eastAsia="en-AU"/>
        </w:rPr>
        <w:drawing>
          <wp:inline distT="0" distB="0" distL="0" distR="0" wp14:anchorId="55E2BCBD" wp14:editId="64B52D1B">
            <wp:extent cx="5400040" cy="5121275"/>
            <wp:effectExtent l="0" t="0" r="0" b="3175"/>
            <wp:docPr id="2" name="Picture 2" descr="Study NN1218-3888 Mean change in plasma glucose, age group comparisons for Fiasp insulin as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5121275"/>
                    </a:xfrm>
                    <a:prstGeom prst="rect">
                      <a:avLst/>
                    </a:prstGeom>
                  </pic:spPr>
                </pic:pic>
              </a:graphicData>
            </a:graphic>
          </wp:inline>
        </w:drawing>
      </w:r>
    </w:p>
    <w:p w14:paraId="3658D205" w14:textId="52DBDCBC" w:rsidR="008579DB" w:rsidRDefault="008579DB" w:rsidP="007B4A4F">
      <w:pPr>
        <w:pStyle w:val="TableDescription"/>
      </w:pPr>
      <w:r>
        <w:t>N =</w:t>
      </w:r>
      <w:r w:rsidR="00655AD9">
        <w:t xml:space="preserve"> number of subjects</w:t>
      </w:r>
      <w:r>
        <w:t xml:space="preserve">; CI = </w:t>
      </w:r>
      <w:r w:rsidR="00655AD9">
        <w:t>confidence interval</w:t>
      </w:r>
      <w:r>
        <w:t xml:space="preserve">; PG = </w:t>
      </w:r>
      <w:r w:rsidR="00655AD9">
        <w:t>plasma glucose</w:t>
      </w:r>
      <w:r>
        <w:t xml:space="preserve">; LSMeans = </w:t>
      </w:r>
      <w:r w:rsidR="00655AD9">
        <w:t>least</w:t>
      </w:r>
      <w:r w:rsidR="00655AD9">
        <w:noBreakHyphen/>
        <w:t>squares means</w:t>
      </w:r>
    </w:p>
    <w:p w14:paraId="31C2F465" w14:textId="1D6856E1" w:rsidR="004A696D" w:rsidRDefault="004A696D" w:rsidP="00303FD6">
      <w:pPr>
        <w:pStyle w:val="Heading4"/>
      </w:pPr>
      <w:r>
        <w:lastRenderedPageBreak/>
        <w:t>Clinical efficacy and safety</w:t>
      </w:r>
    </w:p>
    <w:p w14:paraId="717BAD36" w14:textId="20ECA6AD" w:rsidR="00FF66E4" w:rsidRDefault="00B24CF8" w:rsidP="00DB6E9A">
      <w:pPr>
        <w:pStyle w:val="Heading5"/>
      </w:pPr>
      <w:r>
        <w:t xml:space="preserve">Study </w:t>
      </w:r>
      <w:r w:rsidR="00FF66E4" w:rsidRPr="00303FD6">
        <w:t>NN1218-4101</w:t>
      </w:r>
    </w:p>
    <w:p w14:paraId="5D424AE9" w14:textId="77777777" w:rsidR="00303FD6" w:rsidRDefault="00303FD6" w:rsidP="00DB6E9A">
      <w:pPr>
        <w:pStyle w:val="Heading6"/>
      </w:pPr>
      <w:r>
        <w:t>Primary objective</w:t>
      </w:r>
    </w:p>
    <w:p w14:paraId="30B0E249" w14:textId="0AE777B4" w:rsidR="00FF66E4" w:rsidRPr="007018D6" w:rsidRDefault="00FF66E4" w:rsidP="00FF66E4">
      <w:pPr>
        <w:spacing w:before="0" w:line="240" w:lineRule="auto"/>
        <w:rPr>
          <w:rFonts w:asciiTheme="minorHAnsi" w:hAnsiTheme="minorHAnsi"/>
          <w:u w:val="single"/>
        </w:rPr>
      </w:pPr>
      <w:r w:rsidRPr="00844557">
        <w:t>To demonstrate non-inferiority of meal-time F</w:t>
      </w:r>
      <w:r w:rsidR="00303FD6" w:rsidRPr="00844557">
        <w:t>iasp</w:t>
      </w:r>
      <w:r w:rsidRPr="00844557">
        <w:t xml:space="preserve"> to meal-time N</w:t>
      </w:r>
      <w:r w:rsidR="00303FD6" w:rsidRPr="00844557">
        <w:t>ovo</w:t>
      </w:r>
      <w:r w:rsidR="00783C77">
        <w:t>R</w:t>
      </w:r>
      <w:r w:rsidR="00303FD6" w:rsidRPr="00844557">
        <w:t>apid</w:t>
      </w:r>
      <w:r w:rsidRPr="00844557">
        <w:t xml:space="preserve"> when used in conjunction with insulin degludec</w:t>
      </w:r>
      <w:r w:rsidR="00030801">
        <w:t>;</w:t>
      </w:r>
      <w:r w:rsidR="00030801">
        <w:rPr>
          <w:rStyle w:val="FootnoteReference"/>
        </w:rPr>
        <w:footnoteReference w:id="4"/>
      </w:r>
      <w:r w:rsidRPr="00844557">
        <w:t xml:space="preserve"> in children and adolescents with type 1diabetes</w:t>
      </w:r>
      <w:r>
        <w:t xml:space="preserve"> in terms of glycaemic control.</w:t>
      </w:r>
    </w:p>
    <w:p w14:paraId="0CE5D321" w14:textId="77777777" w:rsidR="00FF66E4" w:rsidRPr="002C5E8B" w:rsidRDefault="00FF66E4" w:rsidP="00DB6E9A">
      <w:pPr>
        <w:pStyle w:val="Heading6"/>
      </w:pPr>
      <w:r>
        <w:t>Secondary objectives</w:t>
      </w:r>
    </w:p>
    <w:p w14:paraId="67E14CD6" w14:textId="7624A195" w:rsidR="00FF66E4" w:rsidRDefault="00FF66E4" w:rsidP="00FF66E4">
      <w:pPr>
        <w:pStyle w:val="ListBullet"/>
        <w:numPr>
          <w:ilvl w:val="0"/>
          <w:numId w:val="3"/>
        </w:numPr>
      </w:pPr>
      <w:r w:rsidRPr="001573DD">
        <w:t xml:space="preserve">To demonstrate non-inferiority </w:t>
      </w:r>
      <w:r>
        <w:t>in terms of glycaemic control of post-meal F</w:t>
      </w:r>
      <w:r w:rsidR="00303FD6">
        <w:t>iasp</w:t>
      </w:r>
      <w:r w:rsidRPr="001573DD">
        <w:t xml:space="preserve"> to </w:t>
      </w:r>
      <w:r>
        <w:t>meal-time N</w:t>
      </w:r>
      <w:r w:rsidR="00303FD6">
        <w:t>ovo</w:t>
      </w:r>
      <w:r w:rsidR="005B6E1E">
        <w:t>R</w:t>
      </w:r>
      <w:r w:rsidR="00303FD6">
        <w:t>apid</w:t>
      </w:r>
      <w:r w:rsidRPr="001573DD">
        <w:t>.</w:t>
      </w:r>
    </w:p>
    <w:p w14:paraId="494DA241" w14:textId="1D136356" w:rsidR="00FF66E4" w:rsidRDefault="00FF66E4" w:rsidP="00FF66E4">
      <w:pPr>
        <w:pStyle w:val="ListBullet"/>
        <w:numPr>
          <w:ilvl w:val="0"/>
          <w:numId w:val="3"/>
        </w:numPr>
      </w:pPr>
      <w:r w:rsidRPr="001573DD">
        <w:t xml:space="preserve">To demonstrate </w:t>
      </w:r>
      <w:r>
        <w:t>superiority</w:t>
      </w:r>
      <w:r w:rsidRPr="001573DD">
        <w:t xml:space="preserve"> </w:t>
      </w:r>
      <w:r>
        <w:t xml:space="preserve">in terms of glycaemic control </w:t>
      </w:r>
      <w:r w:rsidRPr="001573DD">
        <w:t xml:space="preserve">of </w:t>
      </w:r>
      <w:r>
        <w:t>meal-time F</w:t>
      </w:r>
      <w:r w:rsidR="00303FD6">
        <w:t>iasp</w:t>
      </w:r>
      <w:r w:rsidRPr="001573DD">
        <w:t xml:space="preserve"> to </w:t>
      </w:r>
      <w:r>
        <w:t>N</w:t>
      </w:r>
      <w:r w:rsidR="00303FD6">
        <w:t>ovo</w:t>
      </w:r>
      <w:r w:rsidR="005B6E1E">
        <w:t>R</w:t>
      </w:r>
      <w:r w:rsidR="00303FD6">
        <w:t>apid</w:t>
      </w:r>
      <w:r w:rsidRPr="001573DD">
        <w:t>.</w:t>
      </w:r>
    </w:p>
    <w:p w14:paraId="3D5AB0E7" w14:textId="745A9E94" w:rsidR="00D4024B" w:rsidRDefault="00FF66E4" w:rsidP="00FF66E4">
      <w:pPr>
        <w:pStyle w:val="ListBullet"/>
        <w:numPr>
          <w:ilvl w:val="0"/>
          <w:numId w:val="3"/>
        </w:numPr>
      </w:pPr>
      <w:r>
        <w:t>To compare efficacy and safety of treatment with meal-time F</w:t>
      </w:r>
      <w:r w:rsidR="00303FD6">
        <w:t>iasp</w:t>
      </w:r>
      <w:r>
        <w:t xml:space="preserve"> v</w:t>
      </w:r>
      <w:r w:rsidR="00CD2871">
        <w:t>ersus</w:t>
      </w:r>
      <w:r>
        <w:t xml:space="preserve"> meal-time N</w:t>
      </w:r>
      <w:r w:rsidR="00303FD6">
        <w:t>ovo</w:t>
      </w:r>
      <w:r w:rsidR="005B6E1E">
        <w:t>R</w:t>
      </w:r>
      <w:r w:rsidR="00303FD6">
        <w:t>apid</w:t>
      </w:r>
      <w:r w:rsidR="00D4024B">
        <w:t>.</w:t>
      </w:r>
    </w:p>
    <w:p w14:paraId="0BE342F1" w14:textId="1CC5A7EA" w:rsidR="00FF66E4" w:rsidRDefault="00303FD6" w:rsidP="00DB6E9A">
      <w:pPr>
        <w:pStyle w:val="Heading6"/>
      </w:pPr>
      <w:r>
        <w:t>Methods</w:t>
      </w:r>
    </w:p>
    <w:p w14:paraId="1E00D5C0" w14:textId="1653B29D" w:rsidR="000F3F33" w:rsidRPr="00C37850" w:rsidRDefault="000F3F33" w:rsidP="000F3F33">
      <w:r>
        <w:t>Study NN1218-4101 is a 26 week, active controlled, treat-to-target, 3 armed, parallel group randomised controlled trial (</w:t>
      </w:r>
      <w:r w:rsidR="00CD2871">
        <w:t xml:space="preserve">study design shown in </w:t>
      </w:r>
      <w:r>
        <w:fldChar w:fldCharType="begin"/>
      </w:r>
      <w:r>
        <w:instrText xml:space="preserve"> REF _Ref42698703 \h </w:instrText>
      </w:r>
      <w:r>
        <w:fldChar w:fldCharType="separate"/>
      </w:r>
      <w:r w:rsidR="00006189">
        <w:t xml:space="preserve">Figure </w:t>
      </w:r>
      <w:r w:rsidR="00006189">
        <w:rPr>
          <w:noProof/>
        </w:rPr>
        <w:t>4</w:t>
      </w:r>
      <w:r>
        <w:fldChar w:fldCharType="end"/>
      </w:r>
      <w:r>
        <w:t>).</w:t>
      </w:r>
    </w:p>
    <w:p w14:paraId="28C87075" w14:textId="77777777" w:rsidR="002D4581" w:rsidRDefault="002D4581" w:rsidP="002D4581">
      <w:r w:rsidRPr="00303FD6">
        <w:t xml:space="preserve">Meal time dosing was defined as bolus insulin injected 0 to </w:t>
      </w:r>
      <w:r>
        <w:t>2 minutes</w:t>
      </w:r>
      <w:r w:rsidRPr="00303FD6">
        <w:t xml:space="preserve"> before the meal and post meal time dosing was defined as bolus insulin injected </w:t>
      </w:r>
      <w:r>
        <w:t>20 minutes</w:t>
      </w:r>
      <w:r w:rsidRPr="00303FD6">
        <w:t xml:space="preserve"> after the start of the meal.</w:t>
      </w:r>
      <w:r>
        <w:t xml:space="preserve"> Bolus insulin was administered for each of 3 main meals that is breakfast, lunch and dinner. Additional doses were allowed at the discretion of investigator.</w:t>
      </w:r>
    </w:p>
    <w:p w14:paraId="2C8EFD70" w14:textId="77777777" w:rsidR="002D4581" w:rsidRDefault="002D4581" w:rsidP="002D4581">
      <w:r>
        <w:t>The bolus insulin was titrated to the pre-meal glycaemic target of 4.0 to 8.0 mmol/L and bedtime glycaemic target of 6.7 to 10.0 mmol/L in a treat-to-target approach.</w:t>
      </w:r>
    </w:p>
    <w:p w14:paraId="049D8FBA" w14:textId="727D8B3B" w:rsidR="002D4581" w:rsidRDefault="002D4581" w:rsidP="002D4581">
      <w:pPr>
        <w:rPr>
          <w:rFonts w:asciiTheme="minorHAnsi" w:hAnsiTheme="minorHAnsi"/>
        </w:rPr>
      </w:pPr>
      <w:r>
        <w:rPr>
          <w:rFonts w:asciiTheme="minorHAnsi" w:hAnsiTheme="minorHAnsi"/>
        </w:rPr>
        <w:t xml:space="preserve">A subset of 150 patients had continuous glucose monitoring subgroup (CGMS). The primary efficacy endpoint was </w:t>
      </w:r>
      <w:r w:rsidR="00345899">
        <w:t>glyc</w:t>
      </w:r>
      <w:r w:rsidR="005B6E1E">
        <w:t>ated</w:t>
      </w:r>
      <w:r w:rsidR="00345899">
        <w:t xml:space="preserve"> haemoglobin A1c</w:t>
      </w:r>
      <w:r w:rsidR="00345899">
        <w:rPr>
          <w:rFonts w:asciiTheme="minorHAnsi" w:hAnsiTheme="minorHAnsi"/>
        </w:rPr>
        <w:t xml:space="preserve"> (</w:t>
      </w:r>
      <w:r>
        <w:rPr>
          <w:rFonts w:asciiTheme="minorHAnsi" w:hAnsiTheme="minorHAnsi"/>
        </w:rPr>
        <w:t>HbA1c</w:t>
      </w:r>
      <w:r w:rsidR="00345899">
        <w:rPr>
          <w:rFonts w:asciiTheme="minorHAnsi" w:hAnsiTheme="minorHAnsi"/>
        </w:rPr>
        <w:t>)</w:t>
      </w:r>
      <w:r>
        <w:rPr>
          <w:rFonts w:asciiTheme="minorHAnsi" w:hAnsiTheme="minorHAnsi"/>
        </w:rPr>
        <w:t>.</w:t>
      </w:r>
      <w:r w:rsidR="005B6E1E">
        <w:rPr>
          <w:rStyle w:val="FootnoteReference"/>
          <w:rFonts w:asciiTheme="minorHAnsi" w:hAnsiTheme="minorHAnsi"/>
        </w:rPr>
        <w:footnoteReference w:id="5"/>
      </w:r>
      <w:r>
        <w:rPr>
          <w:rFonts w:asciiTheme="minorHAnsi" w:hAnsiTheme="minorHAnsi"/>
        </w:rPr>
        <w:t xml:space="preserve"> Secondary efficacy endpoints included 8 point self-measured plasma glucose, insulin dose and fasting plasma glucose</w:t>
      </w:r>
      <w:r w:rsidR="00F9259C">
        <w:rPr>
          <w:rFonts w:asciiTheme="minorHAnsi" w:hAnsiTheme="minorHAnsi"/>
        </w:rPr>
        <w:t xml:space="preserve"> (FPG)</w:t>
      </w:r>
      <w:r>
        <w:rPr>
          <w:rFonts w:asciiTheme="minorHAnsi" w:hAnsiTheme="minorHAnsi"/>
        </w:rPr>
        <w:t>.</w:t>
      </w:r>
    </w:p>
    <w:p w14:paraId="383EC883" w14:textId="4138498D" w:rsidR="007D2201" w:rsidRPr="007D2201" w:rsidRDefault="007D2201" w:rsidP="007D2201">
      <w:pPr>
        <w:pStyle w:val="FigureTitle"/>
      </w:pPr>
      <w:bookmarkStart w:id="47" w:name="_Ref42698703"/>
      <w:r>
        <w:lastRenderedPageBreak/>
        <w:t xml:space="preserve">Figure </w:t>
      </w:r>
      <w:fldSimple w:instr=" SEQ Figure \* ARABIC ">
        <w:r w:rsidR="00006189">
          <w:rPr>
            <w:noProof/>
          </w:rPr>
          <w:t>4</w:t>
        </w:r>
      </w:fldSimple>
      <w:bookmarkEnd w:id="47"/>
      <w:r>
        <w:t xml:space="preserve">: </w:t>
      </w:r>
      <w:r w:rsidR="00CD2871">
        <w:t xml:space="preserve">Study </w:t>
      </w:r>
      <w:r w:rsidR="00CD2871" w:rsidRPr="00303FD6">
        <w:t>NN1218-4101</w:t>
      </w:r>
      <w:r w:rsidR="005B6E1E">
        <w:t xml:space="preserve"> schema and design</w:t>
      </w:r>
    </w:p>
    <w:p w14:paraId="288BD1B2" w14:textId="0D4ED4BA" w:rsidR="00FF66E4" w:rsidRDefault="007D2201" w:rsidP="001477AC">
      <w:r>
        <w:rPr>
          <w:noProof/>
          <w:lang w:eastAsia="en-AU"/>
        </w:rPr>
        <w:drawing>
          <wp:inline distT="0" distB="0" distL="0" distR="0" wp14:anchorId="5DF2172B" wp14:editId="2E28B125">
            <wp:extent cx="5400040" cy="2414270"/>
            <wp:effectExtent l="0" t="0" r="0" b="5080"/>
            <wp:docPr id="3" name="Picture 3" descr="Study NN1218-4101 schema and design. Study NN1218-4101 was a 26 week randomised, partly double-blinded, multicentre, multinational, active controlled, treat-to-target, 3-armed parallel-group tiral. The total trial duration consisted of two weeks screening period, followed by 12 weeks run-in period, a 26 week treatment period, and a 7 day and a 30 day follow-up period. The trial compared effect and safety of mealtime faster aspart versus mealtime NovoRapid/NovoLog, both in combination with insulin degludec once daily in a basal-bolus regimen. The trial also&#10;included a 26-week open-label postmeal faster aspart dosing group in combination with insulin&#10;degludec. Subjects with HbA1c ≤ 9.5% were randomised (1:1:1) and stratified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414270"/>
                    </a:xfrm>
                    <a:prstGeom prst="rect">
                      <a:avLst/>
                    </a:prstGeom>
                  </pic:spPr>
                </pic:pic>
              </a:graphicData>
            </a:graphic>
          </wp:inline>
        </w:drawing>
      </w:r>
    </w:p>
    <w:p w14:paraId="24439866" w14:textId="001EA46F" w:rsidR="008579DB" w:rsidRPr="00FD290F" w:rsidRDefault="008579DB" w:rsidP="007B4A4F">
      <w:pPr>
        <w:pStyle w:val="TableDescription"/>
      </w:pPr>
      <w:r>
        <w:t xml:space="preserve">FU1 = </w:t>
      </w:r>
      <w:r w:rsidR="00655AD9">
        <w:t>follow-up 1</w:t>
      </w:r>
      <w:r>
        <w:t xml:space="preserve">; FU2 = </w:t>
      </w:r>
      <w:r w:rsidR="00655AD9">
        <w:t>follow-up 2</w:t>
      </w:r>
    </w:p>
    <w:p w14:paraId="536FC041" w14:textId="342A3E22" w:rsidR="00FF66E4" w:rsidRDefault="00303FD6" w:rsidP="00DB6E9A">
      <w:pPr>
        <w:pStyle w:val="Heading6"/>
      </w:pPr>
      <w:r>
        <w:t>Results</w:t>
      </w:r>
    </w:p>
    <w:p w14:paraId="1F5E1756" w14:textId="4FCD9C6E" w:rsidR="00D4024B" w:rsidRDefault="00FF66E4" w:rsidP="00FF66E4">
      <w:pPr>
        <w:spacing w:before="0" w:line="240" w:lineRule="auto"/>
        <w:rPr>
          <w:rFonts w:asciiTheme="minorHAnsi" w:hAnsiTheme="minorHAnsi"/>
        </w:rPr>
      </w:pPr>
      <w:r>
        <w:rPr>
          <w:rFonts w:asciiTheme="minorHAnsi" w:hAnsiTheme="minorHAnsi"/>
        </w:rPr>
        <w:t xml:space="preserve">There were 777 patients randomised. Of these, 756 completed the treatment period and 760 completed the trial period. </w:t>
      </w:r>
      <w:r w:rsidR="00782673">
        <w:rPr>
          <w:rFonts w:asciiTheme="minorHAnsi" w:hAnsiTheme="minorHAnsi"/>
        </w:rPr>
        <w:t>Forty six</w:t>
      </w:r>
      <w:r>
        <w:rPr>
          <w:rFonts w:asciiTheme="minorHAnsi" w:hAnsiTheme="minorHAnsi"/>
        </w:rPr>
        <w:t xml:space="preserve"> subjects were aged 1</w:t>
      </w:r>
      <w:r w:rsidR="00D4024B">
        <w:rPr>
          <w:rFonts w:asciiTheme="minorHAnsi" w:hAnsiTheme="minorHAnsi"/>
        </w:rPr>
        <w:t xml:space="preserve"> to </w:t>
      </w:r>
      <w:r>
        <w:rPr>
          <w:rFonts w:asciiTheme="minorHAnsi" w:hAnsiTheme="minorHAnsi"/>
        </w:rPr>
        <w:t>6 years, 301 were aged 6</w:t>
      </w:r>
      <w:r w:rsidR="005B6E1E">
        <w:rPr>
          <w:rFonts w:asciiTheme="minorHAnsi" w:hAnsiTheme="minorHAnsi"/>
        </w:rPr>
        <w:t> </w:t>
      </w:r>
      <w:r w:rsidR="00D4024B">
        <w:rPr>
          <w:rFonts w:asciiTheme="minorHAnsi" w:hAnsiTheme="minorHAnsi"/>
        </w:rPr>
        <w:t xml:space="preserve">to </w:t>
      </w:r>
      <w:r>
        <w:rPr>
          <w:rFonts w:asciiTheme="minorHAnsi" w:hAnsiTheme="minorHAnsi"/>
        </w:rPr>
        <w:t>12 years and 430 were aged 12</w:t>
      </w:r>
      <w:r w:rsidR="00D4024B">
        <w:rPr>
          <w:rFonts w:asciiTheme="minorHAnsi" w:hAnsiTheme="minorHAnsi"/>
        </w:rPr>
        <w:t xml:space="preserve"> to </w:t>
      </w:r>
      <w:r>
        <w:rPr>
          <w:rFonts w:asciiTheme="minorHAnsi" w:hAnsiTheme="minorHAnsi"/>
        </w:rPr>
        <w:t xml:space="preserve">18 years. Weight ranged from 12.3 </w:t>
      </w:r>
      <w:r w:rsidR="00147A14">
        <w:rPr>
          <w:rFonts w:asciiTheme="minorHAnsi" w:hAnsiTheme="minorHAnsi"/>
        </w:rPr>
        <w:t xml:space="preserve">kg </w:t>
      </w:r>
      <w:r>
        <w:rPr>
          <w:rFonts w:asciiTheme="minorHAnsi" w:hAnsiTheme="minorHAnsi"/>
        </w:rPr>
        <w:t>to 103.4</w:t>
      </w:r>
      <w:r w:rsidR="00303FD6">
        <w:rPr>
          <w:rFonts w:asciiTheme="minorHAnsi" w:hAnsiTheme="minorHAnsi"/>
        </w:rPr>
        <w:t xml:space="preserve"> </w:t>
      </w:r>
      <w:r>
        <w:rPr>
          <w:rFonts w:asciiTheme="minorHAnsi" w:hAnsiTheme="minorHAnsi"/>
        </w:rPr>
        <w:t>kg</w:t>
      </w:r>
      <w:r w:rsidR="00D4024B">
        <w:rPr>
          <w:rFonts w:asciiTheme="minorHAnsi" w:hAnsiTheme="minorHAnsi"/>
        </w:rPr>
        <w:t>.</w:t>
      </w:r>
    </w:p>
    <w:p w14:paraId="278625BD" w14:textId="5CCF4152" w:rsidR="00D4024B" w:rsidRDefault="00B24CF8" w:rsidP="00FF66E4">
      <w:pPr>
        <w:spacing w:before="0" w:line="240" w:lineRule="auto"/>
      </w:pPr>
      <w:r>
        <w:t>At W</w:t>
      </w:r>
      <w:r w:rsidR="00FF66E4">
        <w:t>eek 26, patients in meal time F</w:t>
      </w:r>
      <w:r w:rsidR="00303FD6">
        <w:t>iasp</w:t>
      </w:r>
      <w:r w:rsidR="00FF66E4">
        <w:t xml:space="preserve"> group achieved a 0.06% points change in mean HbA1c from </w:t>
      </w:r>
      <w:r w:rsidR="006D2E04">
        <w:t>Baseline</w:t>
      </w:r>
      <w:r w:rsidR="00FF66E4">
        <w:t>. In N</w:t>
      </w:r>
      <w:r w:rsidR="00303FD6">
        <w:t>ovo</w:t>
      </w:r>
      <w:r w:rsidR="005B6E1E">
        <w:t>R</w:t>
      </w:r>
      <w:r w:rsidR="00303FD6">
        <w:t>apid</w:t>
      </w:r>
      <w:r w:rsidR="00FF66E4">
        <w:t xml:space="preserve"> and post meal time F</w:t>
      </w:r>
      <w:r w:rsidR="00303FD6">
        <w:t>iasp</w:t>
      </w:r>
      <w:r w:rsidR="00FF66E4">
        <w:t xml:space="preserve"> groups, the mean change in HbA1c were 0.22% and 0.35%</w:t>
      </w:r>
      <w:r w:rsidR="000F3F33">
        <w:t>,</w:t>
      </w:r>
      <w:r w:rsidR="00FF66E4">
        <w:t xml:space="preserve"> respectively</w:t>
      </w:r>
      <w:r w:rsidR="000F3F33">
        <w:t xml:space="preserve"> (</w:t>
      </w:r>
      <w:r w:rsidR="00E215A4">
        <w:t xml:space="preserve">see </w:t>
      </w:r>
      <w:r w:rsidR="000F3F33">
        <w:fldChar w:fldCharType="begin"/>
      </w:r>
      <w:r w:rsidR="000F3F33">
        <w:instrText xml:space="preserve"> REF _Ref42698900 \h </w:instrText>
      </w:r>
      <w:r w:rsidR="000F3F33">
        <w:fldChar w:fldCharType="separate"/>
      </w:r>
      <w:r w:rsidR="00006189">
        <w:t xml:space="preserve">Table </w:t>
      </w:r>
      <w:r w:rsidR="00006189">
        <w:rPr>
          <w:noProof/>
        </w:rPr>
        <w:t>5</w:t>
      </w:r>
      <w:r w:rsidR="000F3F33">
        <w:fldChar w:fldCharType="end"/>
      </w:r>
      <w:r w:rsidR="000F3F33">
        <w:t>)</w:t>
      </w:r>
      <w:r w:rsidR="00D4024B">
        <w:t>.</w:t>
      </w:r>
    </w:p>
    <w:p w14:paraId="058E45BA" w14:textId="1B2347E1" w:rsidR="007D2201" w:rsidRDefault="007D2201" w:rsidP="007D2201">
      <w:pPr>
        <w:pStyle w:val="TableTitle"/>
      </w:pPr>
      <w:bookmarkStart w:id="48" w:name="_Ref42698900"/>
      <w:r>
        <w:t xml:space="preserve">Table </w:t>
      </w:r>
      <w:fldSimple w:instr=" SEQ Table \* ARABIC ">
        <w:r w:rsidR="00006189">
          <w:rPr>
            <w:noProof/>
          </w:rPr>
          <w:t>5</w:t>
        </w:r>
      </w:fldSimple>
      <w:bookmarkEnd w:id="48"/>
      <w:r>
        <w:t xml:space="preserve">: </w:t>
      </w:r>
      <w:r w:rsidR="005B6E1E">
        <w:t xml:space="preserve">Study NN1218-4101 </w:t>
      </w:r>
      <w:r>
        <w:t>Change in HbA1c and treatment difference at Week 26</w:t>
      </w:r>
    </w:p>
    <w:p w14:paraId="06DB1548" w14:textId="5C913E91" w:rsidR="008579DB" w:rsidRDefault="007D2201" w:rsidP="0003538E">
      <w:r>
        <w:rPr>
          <w:noProof/>
          <w:lang w:eastAsia="en-AU"/>
        </w:rPr>
        <w:drawing>
          <wp:inline distT="0" distB="0" distL="0" distR="0" wp14:anchorId="2E88187B" wp14:editId="63053CC1">
            <wp:extent cx="5400040" cy="1877695"/>
            <wp:effectExtent l="0" t="0" r="0" b="8255"/>
            <wp:docPr id="4" name="Picture 4" descr="Study NN1218-4101 Change in HbA1c and treatment difference at We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877695"/>
                    </a:xfrm>
                    <a:prstGeom prst="rect">
                      <a:avLst/>
                    </a:prstGeom>
                  </pic:spPr>
                </pic:pic>
              </a:graphicData>
            </a:graphic>
          </wp:inline>
        </w:drawing>
      </w:r>
    </w:p>
    <w:p w14:paraId="4B1A3976" w14:textId="1FB244BB" w:rsidR="008579DB" w:rsidRDefault="008579DB" w:rsidP="007B4A4F">
      <w:pPr>
        <w:pStyle w:val="TableDescription"/>
      </w:pPr>
      <w:r>
        <w:t xml:space="preserve">FAS = </w:t>
      </w:r>
      <w:r w:rsidR="00655AD9">
        <w:t>Full analysis set</w:t>
      </w:r>
      <w:r>
        <w:t xml:space="preserve">; N = </w:t>
      </w:r>
      <w:r w:rsidR="00A94943">
        <w:t>number of subjects</w:t>
      </w:r>
      <w:r>
        <w:t xml:space="preserve">; CI = </w:t>
      </w:r>
      <w:r w:rsidR="00A94943">
        <w:t>confidence interval</w:t>
      </w:r>
    </w:p>
    <w:p w14:paraId="76EF50C4" w14:textId="471CDCFF" w:rsidR="00D4024B" w:rsidRDefault="00FF66E4" w:rsidP="0003538E">
      <w:r>
        <w:t xml:space="preserve">The observed mean change from </w:t>
      </w:r>
      <w:r w:rsidR="006D2E04">
        <w:t>Baseline</w:t>
      </w:r>
      <w:r w:rsidR="00B24CF8">
        <w:t xml:space="preserve"> to W</w:t>
      </w:r>
      <w:r>
        <w:t xml:space="preserve">eek 26 for the mean of the 8-point profile was highest for meal time </w:t>
      </w:r>
      <w:r w:rsidR="00227549">
        <w:t>Fiasp</w:t>
      </w:r>
      <w:r>
        <w:t xml:space="preserve"> at -0.27 mmol/L, followed by -0.05 mmol/L with N</w:t>
      </w:r>
      <w:r w:rsidR="00227549">
        <w:t>ovo</w:t>
      </w:r>
      <w:r w:rsidR="005B6E1E">
        <w:t>R</w:t>
      </w:r>
      <w:r w:rsidR="00227549">
        <w:t>apid</w:t>
      </w:r>
      <w:r>
        <w:t xml:space="preserve"> and 0.17 mmol/L with post meal </w:t>
      </w:r>
      <w:r w:rsidR="00227549">
        <w:t>Fiasp</w:t>
      </w:r>
      <w:r w:rsidR="00D4024B">
        <w:t>.</w:t>
      </w:r>
    </w:p>
    <w:p w14:paraId="019CF18F" w14:textId="6E094A78" w:rsidR="00FF66E4" w:rsidRDefault="00FF66E4" w:rsidP="0003538E">
      <w:r>
        <w:t xml:space="preserve">Change in mean 1 hour </w:t>
      </w:r>
      <w:r w:rsidR="00147A14">
        <w:t>post prandial glucose</w:t>
      </w:r>
      <w:r>
        <w:t xml:space="preserve"> was -0.94 mmol/L for </w:t>
      </w:r>
      <w:r w:rsidR="00227549">
        <w:t>Fiasp</w:t>
      </w:r>
      <w:r>
        <w:t xml:space="preserve"> and </w:t>
      </w:r>
      <w:r w:rsidR="005F73C7">
        <w:noBreakHyphen/>
      </w:r>
      <w:r>
        <w:t>0.21</w:t>
      </w:r>
      <w:r w:rsidR="005F73C7">
        <w:t> </w:t>
      </w:r>
      <w:r>
        <w:t>mmol/L for N</w:t>
      </w:r>
      <w:r w:rsidR="00227549">
        <w:t>ovo</w:t>
      </w:r>
      <w:r w:rsidR="005B6E1E">
        <w:t>R</w:t>
      </w:r>
      <w:r w:rsidR="00227549">
        <w:t>apid</w:t>
      </w:r>
      <w:r>
        <w:t>, and 0.36 mmol/L for post meal F</w:t>
      </w:r>
      <w:r w:rsidR="00227549">
        <w:t>iasp</w:t>
      </w:r>
      <w:r>
        <w:t>.</w:t>
      </w:r>
    </w:p>
    <w:p w14:paraId="70850BF9" w14:textId="653D22ED" w:rsidR="008E4B87" w:rsidRDefault="008E4B87" w:rsidP="0003538E">
      <w:r>
        <w:t>A numerically greater proportion of patients in mealtime Fiasp group achieved HbA1c of &lt;</w:t>
      </w:r>
      <w:r w:rsidR="005F73C7">
        <w:t> </w:t>
      </w:r>
      <w:r>
        <w:t>7.5% in total and also without hypoglycaemic episodes</w:t>
      </w:r>
      <w:r w:rsidR="00504802">
        <w:t xml:space="preserve"> (</w:t>
      </w:r>
      <w:r w:rsidR="00E215A4">
        <w:t xml:space="preserve">see </w:t>
      </w:r>
      <w:r w:rsidR="00504802">
        <w:fldChar w:fldCharType="begin"/>
      </w:r>
      <w:r w:rsidR="00504802">
        <w:instrText xml:space="preserve"> REF _Ref43715225 \h </w:instrText>
      </w:r>
      <w:r w:rsidR="00504802">
        <w:fldChar w:fldCharType="separate"/>
      </w:r>
      <w:r w:rsidR="00006189">
        <w:t xml:space="preserve">Table </w:t>
      </w:r>
      <w:r w:rsidR="00006189">
        <w:rPr>
          <w:noProof/>
        </w:rPr>
        <w:t>6</w:t>
      </w:r>
      <w:r w:rsidR="00504802">
        <w:fldChar w:fldCharType="end"/>
      </w:r>
      <w:r w:rsidR="00782673">
        <w:t>)</w:t>
      </w:r>
      <w:r>
        <w:t>.</w:t>
      </w:r>
    </w:p>
    <w:p w14:paraId="505096EE" w14:textId="7790EB2F" w:rsidR="00227549" w:rsidRPr="00227549" w:rsidRDefault="00227549" w:rsidP="00227549">
      <w:pPr>
        <w:pStyle w:val="TableTitle"/>
      </w:pPr>
      <w:bookmarkStart w:id="49" w:name="_Ref43715225"/>
      <w:r>
        <w:lastRenderedPageBreak/>
        <w:t xml:space="preserve">Table </w:t>
      </w:r>
      <w:fldSimple w:instr=" SEQ Table \* ARABIC ">
        <w:r w:rsidR="00006189">
          <w:rPr>
            <w:noProof/>
          </w:rPr>
          <w:t>6</w:t>
        </w:r>
      </w:fldSimple>
      <w:bookmarkEnd w:id="49"/>
      <w:r>
        <w:t xml:space="preserve">: </w:t>
      </w:r>
      <w:r w:rsidR="005B6E1E">
        <w:t xml:space="preserve">Study NN1218-4101 </w:t>
      </w:r>
      <w:r w:rsidR="002D4581">
        <w:t>Percentage of pati</w:t>
      </w:r>
      <w:r w:rsidR="00F9259C">
        <w:t>ents achieving HbA</w:t>
      </w:r>
      <w:r w:rsidR="008579DB">
        <w:t>1c target at W</w:t>
      </w:r>
      <w:r w:rsidR="002D4581">
        <w:t>eek</w:t>
      </w:r>
      <w:r w:rsidR="005B6E1E">
        <w:t> </w:t>
      </w:r>
      <w:r w:rsidR="002D4581">
        <w:t>26</w:t>
      </w:r>
    </w:p>
    <w:p w14:paraId="7E729CD8" w14:textId="77777777" w:rsidR="00F71751" w:rsidRDefault="007D2201" w:rsidP="00F71751">
      <w:r>
        <w:rPr>
          <w:noProof/>
          <w:lang w:eastAsia="en-AU"/>
        </w:rPr>
        <w:drawing>
          <wp:inline distT="0" distB="0" distL="0" distR="0" wp14:anchorId="495E34A8" wp14:editId="33C2090E">
            <wp:extent cx="5400040" cy="1087120"/>
            <wp:effectExtent l="0" t="0" r="0" b="0"/>
            <wp:docPr id="6" name="Picture 6" descr="Study NN1218-4101 Percentage of patients achieving HbA1c target at We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1087120"/>
                    </a:xfrm>
                    <a:prstGeom prst="rect">
                      <a:avLst/>
                    </a:prstGeom>
                  </pic:spPr>
                </pic:pic>
              </a:graphicData>
            </a:graphic>
          </wp:inline>
        </w:drawing>
      </w:r>
    </w:p>
    <w:p w14:paraId="48A1F368" w14:textId="34AE7AC7" w:rsidR="008579DB" w:rsidRPr="005F73C7" w:rsidRDefault="005F73C7" w:rsidP="007B4A4F">
      <w:pPr>
        <w:pStyle w:val="TableDescription"/>
      </w:pPr>
      <w:r>
        <w:t xml:space="preserve">N = number of subjects; </w:t>
      </w:r>
      <w:r w:rsidR="008579DB" w:rsidRPr="005F73C7">
        <w:t xml:space="preserve">ISPAD = </w:t>
      </w:r>
      <w:r w:rsidRPr="005F73C7">
        <w:t xml:space="preserve">International Society for </w:t>
      </w:r>
      <w:r w:rsidR="00DB6E9A" w:rsidRPr="005F73C7">
        <w:t>Pediatric</w:t>
      </w:r>
      <w:r w:rsidRPr="005F73C7">
        <w:t xml:space="preserve"> and Adolescent Diabetes</w:t>
      </w:r>
    </w:p>
    <w:p w14:paraId="37A0740E" w14:textId="0E121741" w:rsidR="00D4024B" w:rsidRDefault="00FF66E4" w:rsidP="003B65C0">
      <w:r>
        <w:t>In the subset of patients who had</w:t>
      </w:r>
      <w:r w:rsidR="00147A14">
        <w:t xml:space="preserve"> continuous glucose monitoring</w:t>
      </w:r>
      <w:r>
        <w:t xml:space="preserve"> </w:t>
      </w:r>
      <w:r w:rsidR="00147A14">
        <w:t>(</w:t>
      </w:r>
      <w:r>
        <w:t>CGM</w:t>
      </w:r>
      <w:r w:rsidR="00147A14">
        <w:t>)</w:t>
      </w:r>
      <w:r>
        <w:t xml:space="preserve"> performed, the time spent with an interstitial glucose of &lt; 3.5</w:t>
      </w:r>
      <w:r w:rsidR="00782673">
        <w:t xml:space="preserve"> </w:t>
      </w:r>
      <w:r>
        <w:t>mmol/L was 4.02</w:t>
      </w:r>
      <w:r w:rsidR="00456492">
        <w:t xml:space="preserve">% </w:t>
      </w:r>
      <w:r>
        <w:t xml:space="preserve">with pre meal </w:t>
      </w:r>
      <w:r w:rsidR="00227549">
        <w:t>Fiasp</w:t>
      </w:r>
      <w:r>
        <w:t>, 4.57</w:t>
      </w:r>
      <w:r w:rsidR="00456492">
        <w:t>%</w:t>
      </w:r>
      <w:r>
        <w:t xml:space="preserve"> with post meal </w:t>
      </w:r>
      <w:r w:rsidR="00227549">
        <w:t>Fiasp</w:t>
      </w:r>
      <w:r>
        <w:t xml:space="preserve"> and 4.13</w:t>
      </w:r>
      <w:r w:rsidR="00456492">
        <w:t>%</w:t>
      </w:r>
      <w:r>
        <w:t xml:space="preserve"> for pre-meal </w:t>
      </w:r>
      <w:r w:rsidR="00227549">
        <w:rPr>
          <w:rFonts w:asciiTheme="minorHAnsi" w:hAnsiTheme="minorHAnsi"/>
        </w:rPr>
        <w:t>Novo</w:t>
      </w:r>
      <w:r w:rsidR="005B6E1E">
        <w:rPr>
          <w:rFonts w:asciiTheme="minorHAnsi" w:hAnsiTheme="minorHAnsi"/>
        </w:rPr>
        <w:t>R</w:t>
      </w:r>
      <w:r w:rsidR="00227549">
        <w:rPr>
          <w:rFonts w:asciiTheme="minorHAnsi" w:hAnsiTheme="minorHAnsi"/>
        </w:rPr>
        <w:t>apid</w:t>
      </w:r>
      <w:r>
        <w:t>. For time spent with an interstitial glucose of &gt; 12</w:t>
      </w:r>
      <w:r w:rsidR="00782673">
        <w:t xml:space="preserve"> </w:t>
      </w:r>
      <w:r>
        <w:t>mmol/</w:t>
      </w:r>
      <w:r w:rsidR="00782673">
        <w:t>L</w:t>
      </w:r>
      <w:r>
        <w:t xml:space="preserve">, pre-meal </w:t>
      </w:r>
      <w:r w:rsidR="00227549">
        <w:t>Fiasp</w:t>
      </w:r>
      <w:r>
        <w:t xml:space="preserve"> 26.09</w:t>
      </w:r>
      <w:r w:rsidR="00456492">
        <w:t>%</w:t>
      </w:r>
      <w:r>
        <w:t xml:space="preserve">, post meal </w:t>
      </w:r>
      <w:r w:rsidR="00227549">
        <w:t>Fiasp</w:t>
      </w:r>
      <w:r>
        <w:t xml:space="preserve"> 25.67</w:t>
      </w:r>
      <w:r w:rsidR="00456492">
        <w:t>%</w:t>
      </w:r>
      <w:r>
        <w:t xml:space="preserve">, pre meal </w:t>
      </w:r>
      <w:r w:rsidR="00227549">
        <w:rPr>
          <w:rFonts w:asciiTheme="minorHAnsi" w:hAnsiTheme="minorHAnsi"/>
        </w:rPr>
        <w:t>Novo</w:t>
      </w:r>
      <w:r w:rsidR="005B6E1E">
        <w:rPr>
          <w:rFonts w:asciiTheme="minorHAnsi" w:hAnsiTheme="minorHAnsi"/>
        </w:rPr>
        <w:t>R</w:t>
      </w:r>
      <w:r w:rsidR="00227549">
        <w:rPr>
          <w:rFonts w:asciiTheme="minorHAnsi" w:hAnsiTheme="minorHAnsi"/>
        </w:rPr>
        <w:t>apid</w:t>
      </w:r>
      <w:r>
        <w:t xml:space="preserve"> 28.6</w:t>
      </w:r>
      <w:r w:rsidR="00456492">
        <w:t>%</w:t>
      </w:r>
      <w:r>
        <w:t>. For time spent with an interstitial glucose in the target range 4.0</w:t>
      </w:r>
      <w:r w:rsidR="00D4024B">
        <w:t xml:space="preserve"> to </w:t>
      </w:r>
      <w:r w:rsidR="00227549">
        <w:t>7.8</w:t>
      </w:r>
      <w:r w:rsidR="008E4B87">
        <w:t xml:space="preserve"> </w:t>
      </w:r>
      <w:r w:rsidR="00227549">
        <w:t>mmol/L</w:t>
      </w:r>
      <w:r>
        <w:t xml:space="preserve">, for pre-meal </w:t>
      </w:r>
      <w:r w:rsidR="00227549">
        <w:t>Fiasp</w:t>
      </w:r>
      <w:r>
        <w:t xml:space="preserve"> this was 33.66</w:t>
      </w:r>
      <w:r w:rsidR="00456492">
        <w:t>%</w:t>
      </w:r>
      <w:r>
        <w:t xml:space="preserve">, post meal </w:t>
      </w:r>
      <w:r w:rsidR="00227549">
        <w:t>Fiasp</w:t>
      </w:r>
      <w:r>
        <w:t xml:space="preserve"> 32.27</w:t>
      </w:r>
      <w:r w:rsidR="00456492">
        <w:t>%</w:t>
      </w:r>
      <w:r>
        <w:t xml:space="preserve">, and pre-meal </w:t>
      </w:r>
      <w:r w:rsidR="00227549">
        <w:rPr>
          <w:rFonts w:asciiTheme="minorHAnsi" w:hAnsiTheme="minorHAnsi"/>
        </w:rPr>
        <w:t>Novo</w:t>
      </w:r>
      <w:r w:rsidR="005B6E1E">
        <w:rPr>
          <w:rFonts w:asciiTheme="minorHAnsi" w:hAnsiTheme="minorHAnsi"/>
        </w:rPr>
        <w:t>R</w:t>
      </w:r>
      <w:r w:rsidR="00227549">
        <w:rPr>
          <w:rFonts w:asciiTheme="minorHAnsi" w:hAnsiTheme="minorHAnsi"/>
        </w:rPr>
        <w:t>apid</w:t>
      </w:r>
      <w:r>
        <w:t xml:space="preserve"> 31.17</w:t>
      </w:r>
      <w:r w:rsidR="00456492">
        <w:t>%</w:t>
      </w:r>
      <w:r w:rsidR="00D4024B">
        <w:t>.</w:t>
      </w:r>
    </w:p>
    <w:p w14:paraId="6C3ECC14" w14:textId="5793EA17" w:rsidR="00FF66E4" w:rsidRDefault="00FF66E4" w:rsidP="003B65C0">
      <w:r>
        <w:t>The evaluator noted a number of limitations</w:t>
      </w:r>
      <w:r w:rsidR="00227549">
        <w:t xml:space="preserve"> in this study. These included:</w:t>
      </w:r>
    </w:p>
    <w:p w14:paraId="7332D3B8" w14:textId="751DBE65" w:rsidR="00D4024B" w:rsidRDefault="00FF66E4" w:rsidP="00227549">
      <w:pPr>
        <w:pStyle w:val="Numberbullet0"/>
      </w:pPr>
      <w:r>
        <w:t>Factors that affect the ability to translate the results in the real world. Most importantly, p</w:t>
      </w:r>
      <w:r w:rsidRPr="00EC65C0">
        <w:t xml:space="preserve">remeal </w:t>
      </w:r>
      <w:r w:rsidR="00227549">
        <w:rPr>
          <w:rFonts w:asciiTheme="minorHAnsi" w:hAnsiTheme="minorHAnsi"/>
        </w:rPr>
        <w:t>Novo</w:t>
      </w:r>
      <w:r w:rsidR="005B6E1E">
        <w:rPr>
          <w:rFonts w:asciiTheme="minorHAnsi" w:hAnsiTheme="minorHAnsi"/>
        </w:rPr>
        <w:t>R</w:t>
      </w:r>
      <w:r w:rsidR="00227549">
        <w:rPr>
          <w:rFonts w:asciiTheme="minorHAnsi" w:hAnsiTheme="minorHAnsi"/>
        </w:rPr>
        <w:t>apid</w:t>
      </w:r>
      <w:r>
        <w:t xml:space="preserve"> was not given according to the recommended dosing period in the current PI, thus was not a valid real world comparator. Dosing </w:t>
      </w:r>
      <w:r w:rsidR="00227549">
        <w:rPr>
          <w:rFonts w:asciiTheme="minorHAnsi" w:hAnsiTheme="minorHAnsi"/>
        </w:rPr>
        <w:t>Novo</w:t>
      </w:r>
      <w:r w:rsidR="005B6E1E">
        <w:rPr>
          <w:rFonts w:asciiTheme="minorHAnsi" w:hAnsiTheme="minorHAnsi"/>
        </w:rPr>
        <w:t>R</w:t>
      </w:r>
      <w:r w:rsidR="00227549">
        <w:rPr>
          <w:rFonts w:asciiTheme="minorHAnsi" w:hAnsiTheme="minorHAnsi"/>
        </w:rPr>
        <w:t>apid</w:t>
      </w:r>
      <w:r>
        <w:t xml:space="preserve"> as it was done in the clinical study may have led to poorer glycaemic control than would be expected from the use of </w:t>
      </w:r>
      <w:r w:rsidR="00227549">
        <w:rPr>
          <w:rFonts w:asciiTheme="minorHAnsi" w:hAnsiTheme="minorHAnsi"/>
        </w:rPr>
        <w:t>Novo</w:t>
      </w:r>
      <w:r w:rsidR="005B6E1E">
        <w:rPr>
          <w:rFonts w:asciiTheme="minorHAnsi" w:hAnsiTheme="minorHAnsi"/>
        </w:rPr>
        <w:t>R</w:t>
      </w:r>
      <w:r w:rsidR="00227549">
        <w:rPr>
          <w:rFonts w:asciiTheme="minorHAnsi" w:hAnsiTheme="minorHAnsi"/>
        </w:rPr>
        <w:t>apid</w:t>
      </w:r>
      <w:r>
        <w:t xml:space="preserve"> as stated in the PI</w:t>
      </w:r>
      <w:r w:rsidR="00D4024B">
        <w:t>.</w:t>
      </w:r>
    </w:p>
    <w:p w14:paraId="4211ED71" w14:textId="44CF8FDB" w:rsidR="00D4024B" w:rsidRDefault="00FF66E4" w:rsidP="00227549">
      <w:pPr>
        <w:pStyle w:val="Numberbullet0"/>
      </w:pPr>
      <w:r>
        <w:t>HbA1c is a widely accepted but blunt measure of glycaemic control. It is probably not ideal for a non-inferiority stu</w:t>
      </w:r>
      <w:r w:rsidR="00167B08">
        <w:t>dy. Changes in post prandial blood glucose level</w:t>
      </w:r>
      <w:r>
        <w:t xml:space="preserve"> or CGMS are more sensitive and specific for this purpose</w:t>
      </w:r>
      <w:r w:rsidR="00D4024B">
        <w:t>.</w:t>
      </w:r>
    </w:p>
    <w:p w14:paraId="5552F6A9" w14:textId="5C5F7F40" w:rsidR="00D4024B" w:rsidRDefault="003B65C0" w:rsidP="00227549">
      <w:pPr>
        <w:pStyle w:val="Numberbullet0"/>
      </w:pPr>
      <w:r>
        <w:t>0.4% is a wide non-</w:t>
      </w:r>
      <w:r w:rsidR="00FF66E4">
        <w:t>inferiority margin, especially in the context of a group of children with good glycaemic control at the start of the study. For this patient population a much lower non inferiority margin would be more appropriate</w:t>
      </w:r>
      <w:r w:rsidR="00D4024B">
        <w:t>.</w:t>
      </w:r>
    </w:p>
    <w:p w14:paraId="439660E1" w14:textId="5349CA09" w:rsidR="00D4024B" w:rsidRDefault="00FF66E4" w:rsidP="00227549">
      <w:r>
        <w:t>In relation to safety, there were 5</w:t>
      </w:r>
      <w:r w:rsidR="00782673">
        <w:t xml:space="preserve"> out of </w:t>
      </w:r>
      <w:r>
        <w:t xml:space="preserve">261 patients with serious AE in the pre-meal </w:t>
      </w:r>
      <w:r w:rsidR="00227549">
        <w:t>Fiasp</w:t>
      </w:r>
      <w:r>
        <w:t xml:space="preserve"> group, 13</w:t>
      </w:r>
      <w:r w:rsidR="00782673">
        <w:t xml:space="preserve"> out of </w:t>
      </w:r>
      <w:r>
        <w:t xml:space="preserve">258 in the post meal </w:t>
      </w:r>
      <w:r w:rsidR="00227549">
        <w:t>Fiasp</w:t>
      </w:r>
      <w:r>
        <w:t xml:space="preserve"> group and 9</w:t>
      </w:r>
      <w:r w:rsidR="00782673">
        <w:t xml:space="preserve"> out of </w:t>
      </w:r>
      <w:r>
        <w:t xml:space="preserve">258 in the </w:t>
      </w:r>
      <w:r w:rsidR="00227549">
        <w:rPr>
          <w:rFonts w:asciiTheme="minorHAnsi" w:hAnsiTheme="minorHAnsi"/>
        </w:rPr>
        <w:t>Novo</w:t>
      </w:r>
      <w:r w:rsidR="005B6E1E">
        <w:rPr>
          <w:rFonts w:asciiTheme="minorHAnsi" w:hAnsiTheme="minorHAnsi"/>
        </w:rPr>
        <w:t>R</w:t>
      </w:r>
      <w:r w:rsidR="00227549">
        <w:rPr>
          <w:rFonts w:asciiTheme="minorHAnsi" w:hAnsiTheme="minorHAnsi"/>
        </w:rPr>
        <w:t>apid</w:t>
      </w:r>
      <w:r>
        <w:t xml:space="preserve"> group</w:t>
      </w:r>
      <w:r w:rsidR="00D4024B">
        <w:t>.</w:t>
      </w:r>
    </w:p>
    <w:p w14:paraId="3CFEE18B" w14:textId="77777777" w:rsidR="00FF66E4" w:rsidRPr="00083C91" w:rsidRDefault="00FF66E4" w:rsidP="00227549">
      <w:pPr>
        <w:rPr>
          <w:rFonts w:asciiTheme="minorHAnsi" w:hAnsiTheme="minorHAnsi"/>
        </w:rPr>
      </w:pPr>
      <w:r>
        <w:t>No major differences were noted in incidence of hypoglycaemia across age groups.</w:t>
      </w:r>
    </w:p>
    <w:p w14:paraId="50A9A375" w14:textId="1594B78B" w:rsidR="00D4024B" w:rsidRDefault="00D4024B" w:rsidP="00227549">
      <w:r>
        <w:t xml:space="preserve">In children 1 to </w:t>
      </w:r>
      <w:r w:rsidR="00FF66E4">
        <w:t>6 years of age, there were no severe hypogl</w:t>
      </w:r>
      <w:r w:rsidR="008E4B87">
        <w:t xml:space="preserve">ycaemic episodes. In children 6 to </w:t>
      </w:r>
      <w:r w:rsidR="00FF66E4">
        <w:t>&lt;</w:t>
      </w:r>
      <w:r w:rsidR="008E4B87">
        <w:t xml:space="preserve"> </w:t>
      </w:r>
      <w:r w:rsidR="00FF66E4">
        <w:t xml:space="preserve">12 years of age, a total of 3 severe hypoglycaemic episodes were reported. </w:t>
      </w:r>
      <w:r w:rsidR="008D4DDD">
        <w:t>The p</w:t>
      </w:r>
      <w:r w:rsidR="00FF66E4">
        <w:t xml:space="preserve">ost </w:t>
      </w:r>
      <w:r w:rsidR="008D4DDD">
        <w:t xml:space="preserve">meal </w:t>
      </w:r>
      <w:r w:rsidR="00227549">
        <w:t>Fiasp</w:t>
      </w:r>
      <w:r w:rsidR="00FF66E4">
        <w:t xml:space="preserve"> group had a higher event rate, compared to meal-time </w:t>
      </w:r>
      <w:r w:rsidR="005B6E1E">
        <w:t xml:space="preserve">insulin </w:t>
      </w:r>
      <w:r w:rsidR="00FF66E4">
        <w:t xml:space="preserve">aspart. No severe hypoglycaemic events were reported in </w:t>
      </w:r>
      <w:r w:rsidR="00227549">
        <w:rPr>
          <w:rFonts w:asciiTheme="minorHAnsi" w:hAnsiTheme="minorHAnsi"/>
        </w:rPr>
        <w:t>Novo</w:t>
      </w:r>
      <w:r w:rsidR="005B6E1E">
        <w:rPr>
          <w:rFonts w:asciiTheme="minorHAnsi" w:hAnsiTheme="minorHAnsi"/>
        </w:rPr>
        <w:t>R</w:t>
      </w:r>
      <w:r w:rsidR="00227549">
        <w:rPr>
          <w:rFonts w:asciiTheme="minorHAnsi" w:hAnsiTheme="minorHAnsi"/>
        </w:rPr>
        <w:t>apid</w:t>
      </w:r>
      <w:r w:rsidR="00FF66E4">
        <w:t xml:space="preserve"> group.</w:t>
      </w:r>
      <w:r w:rsidR="00FF66E4" w:rsidRPr="005D00D9">
        <w:t xml:space="preserve"> </w:t>
      </w:r>
      <w:r w:rsidR="008E4B87">
        <w:t>In children</w:t>
      </w:r>
      <w:r w:rsidR="007F5741">
        <w:t xml:space="preserve"> </w:t>
      </w:r>
      <w:r w:rsidR="008E4B87">
        <w:t xml:space="preserve">12 to </w:t>
      </w:r>
      <w:r w:rsidR="00FF66E4">
        <w:t>&lt;</w:t>
      </w:r>
      <w:r w:rsidR="008E4B87">
        <w:t xml:space="preserve"> </w:t>
      </w:r>
      <w:r w:rsidR="00FF66E4">
        <w:t>18 years of age, 13 severe events of hypoglycaemia were reported. There was no major difference in the incidence of these events across treatment groups</w:t>
      </w:r>
      <w:r>
        <w:t>.</w:t>
      </w:r>
    </w:p>
    <w:p w14:paraId="56E48389" w14:textId="0B0ADBAB" w:rsidR="00D4024B" w:rsidRDefault="00FF66E4" w:rsidP="00227549">
      <w:r w:rsidRPr="005D00D9">
        <w:t xml:space="preserve">Majority of symptomatic severe hypoglycaemic events occurred in daytime. </w:t>
      </w:r>
      <w:r w:rsidR="008D4DDD">
        <w:t>The p</w:t>
      </w:r>
      <w:r w:rsidRPr="005D00D9">
        <w:t>ost meal</w:t>
      </w:r>
      <w:r w:rsidR="008E4B87">
        <w:noBreakHyphen/>
      </w:r>
      <w:r w:rsidRPr="005D00D9">
        <w:t xml:space="preserve">time </w:t>
      </w:r>
      <w:r w:rsidR="00227549">
        <w:t>Fiasp</w:t>
      </w:r>
      <w:r w:rsidRPr="005D00D9">
        <w:t xml:space="preserve"> group reported a higher event rate for nocturnal events, compared to other two treatment groups</w:t>
      </w:r>
      <w:r w:rsidR="00D4024B">
        <w:t>.</w:t>
      </w:r>
    </w:p>
    <w:p w14:paraId="09361E7A" w14:textId="0BA0FF42" w:rsidR="00D4024B" w:rsidRDefault="00FF66E4" w:rsidP="00227549">
      <w:r>
        <w:t xml:space="preserve">In the post </w:t>
      </w:r>
      <w:r w:rsidR="008D4DDD">
        <w:t>second round</w:t>
      </w:r>
      <w:r>
        <w:t xml:space="preserve"> response, the sponsor noted a number of corrections to the clinical evaluation report</w:t>
      </w:r>
      <w:r w:rsidR="00D4024B">
        <w:t>.</w:t>
      </w:r>
    </w:p>
    <w:p w14:paraId="4F352BEE" w14:textId="01B4A55C" w:rsidR="00FF66E4" w:rsidRDefault="00FF66E4" w:rsidP="00227549">
      <w:r>
        <w:t xml:space="preserve">In addition, the sponsor proposed use in </w:t>
      </w:r>
      <w:r w:rsidR="001813A7">
        <w:t>type 2 diabetes mellitus (</w:t>
      </w:r>
      <w:r>
        <w:t>T2DM</w:t>
      </w:r>
      <w:r w:rsidR="001813A7">
        <w:t>)</w:t>
      </w:r>
      <w:r>
        <w:t xml:space="preserve"> based on an extrapolation of data from adults with T2DM and children and adole</w:t>
      </w:r>
      <w:r w:rsidR="0003538E">
        <w:t>scents with T1DM. However, the D</w:t>
      </w:r>
      <w:r>
        <w:t>elegate was unable to locate any documents explaining or proposing that extrapolation except for the following statement in the clinical overview:</w:t>
      </w:r>
    </w:p>
    <w:p w14:paraId="5964C182" w14:textId="6B82EDE3" w:rsidR="00FF66E4" w:rsidRPr="00DB6E9A" w:rsidRDefault="0003538E" w:rsidP="00DB6E9A">
      <w:pPr>
        <w:ind w:left="720"/>
      </w:pPr>
      <w:r w:rsidRPr="00DB6E9A">
        <w:lastRenderedPageBreak/>
        <w:t>‘</w:t>
      </w:r>
      <w:r w:rsidR="00FF66E4" w:rsidRPr="00DB6E9A">
        <w:t>The clinical trials were conducted in children and adolescents with T1DM. Insulin treatment may be</w:t>
      </w:r>
      <w:r w:rsidRPr="00DB6E9A">
        <w:t xml:space="preserve"> </w:t>
      </w:r>
      <w:r w:rsidR="00FF66E4" w:rsidRPr="00DB6E9A">
        <w:t>required to achieve good glycaemic control in children and a</w:t>
      </w:r>
      <w:r w:rsidRPr="00DB6E9A">
        <w:t xml:space="preserve">dolescents with type 2 diabetes </w:t>
      </w:r>
      <w:r w:rsidR="00FF66E4" w:rsidRPr="00DB6E9A">
        <w:t>(T2DM) and insulin is, together with metformin, the only appr</w:t>
      </w:r>
      <w:r w:rsidRPr="00DB6E9A">
        <w:t xml:space="preserve">oved drugs for the treatment of </w:t>
      </w:r>
      <w:r w:rsidR="00FF66E4" w:rsidRPr="00DB6E9A">
        <w:t>diabetes in this population</w:t>
      </w:r>
      <w:r w:rsidR="00FF66E4" w:rsidRPr="00040FF3">
        <w:t xml:space="preserve">. According to the </w:t>
      </w:r>
      <w:r w:rsidR="008D4DDD" w:rsidRPr="00040FF3">
        <w:t>European Medicines Agency (</w:t>
      </w:r>
      <w:r w:rsidR="00FF66E4" w:rsidRPr="00040FF3">
        <w:t>EMA</w:t>
      </w:r>
      <w:r w:rsidR="008D4DDD" w:rsidRPr="00040FF3">
        <w:t>)</w:t>
      </w:r>
      <w:r w:rsidR="00FF66E4" w:rsidRPr="00040FF3">
        <w:t xml:space="preserve"> diabetes guideline,</w:t>
      </w:r>
      <w:r w:rsidR="008D4DDD" w:rsidRPr="00040FF3">
        <w:rPr>
          <w:rStyle w:val="FootnoteReference"/>
        </w:rPr>
        <w:footnoteReference w:id="6"/>
      </w:r>
      <w:r w:rsidR="00FF66E4" w:rsidRPr="00040FF3">
        <w:t xml:space="preserve"> </w:t>
      </w:r>
      <w:r w:rsidRPr="00DB6E9A">
        <w:t xml:space="preserve">additional data in </w:t>
      </w:r>
      <w:r w:rsidR="00FF66E4" w:rsidRPr="00DB6E9A">
        <w:t>paediatric patients with T2DM may not be needed if efficacy a</w:t>
      </w:r>
      <w:r w:rsidRPr="00DB6E9A">
        <w:t xml:space="preserve">nd safety of a novel insulin is </w:t>
      </w:r>
      <w:r w:rsidR="00FF66E4" w:rsidRPr="00DB6E9A">
        <w:t>demonstrated in adults with T2DM and in children with T1DM. As p</w:t>
      </w:r>
      <w:r w:rsidRPr="00DB6E9A">
        <w:t xml:space="preserve">art of the clinical development </w:t>
      </w:r>
      <w:r w:rsidR="00FF66E4" w:rsidRPr="00DB6E9A">
        <w:t>programme for faster aspart, 2 therapeutic confirmatory trials i</w:t>
      </w:r>
      <w:r w:rsidRPr="00DB6E9A">
        <w:t xml:space="preserve">n adult subjects with T2DM were </w:t>
      </w:r>
      <w:r w:rsidR="00FF66E4" w:rsidRPr="00DB6E9A">
        <w:t>conducted: trial 3853 in which 689 bolus insulin-naïve subjects were</w:t>
      </w:r>
      <w:r w:rsidRPr="00DB6E9A">
        <w:t xml:space="preserve"> treated for 26 weeks with </w:t>
      </w:r>
      <w:r w:rsidR="00FF66E4" w:rsidRPr="00DB6E9A">
        <w:t>faster aspart versus NovoRapid/NovoLog in a basal-bolus regimen</w:t>
      </w:r>
      <w:r w:rsidRPr="00DB6E9A">
        <w:t xml:space="preserve"> with a trial design comparable </w:t>
      </w:r>
      <w:r w:rsidR="00FF66E4" w:rsidRPr="00DB6E9A">
        <w:t>to that of trial 4101, and trial 4049 in which 236 bolus insulin-n</w:t>
      </w:r>
      <w:r w:rsidRPr="00DB6E9A">
        <w:t xml:space="preserve">aïve subjects were treated with </w:t>
      </w:r>
      <w:r w:rsidR="00FF66E4" w:rsidRPr="00DB6E9A">
        <w:t>faster aspart + basal v</w:t>
      </w:r>
      <w:r w:rsidR="008D4DDD" w:rsidRPr="00DB6E9A">
        <w:t>ersus</w:t>
      </w:r>
      <w:r w:rsidR="00FF66E4" w:rsidRPr="00DB6E9A">
        <w:t xml:space="preserve"> basal only treatment. Both trials demonstrated that faster aspart was efficacious and safe in adult subjects with T2DM</w:t>
      </w:r>
      <w:r w:rsidRPr="00DB6E9A">
        <w:t>’</w:t>
      </w:r>
      <w:r w:rsidR="00FF66E4" w:rsidRPr="00DB6E9A">
        <w:t>.</w:t>
      </w:r>
    </w:p>
    <w:p w14:paraId="53E6C92D" w14:textId="77777777" w:rsidR="008E7846" w:rsidRDefault="00386150" w:rsidP="007B6132">
      <w:pPr>
        <w:pStyle w:val="Heading3"/>
        <w:rPr>
          <w:lang w:eastAsia="en-AU"/>
        </w:rPr>
      </w:pPr>
      <w:bookmarkStart w:id="50" w:name="_Toc49509601"/>
      <w:r>
        <w:rPr>
          <w:lang w:eastAsia="en-AU"/>
        </w:rPr>
        <w:t>Risk m</w:t>
      </w:r>
      <w:r w:rsidR="008E7846">
        <w:rPr>
          <w:lang w:eastAsia="en-AU"/>
        </w:rPr>
        <w:t xml:space="preserve">anagement </w:t>
      </w:r>
      <w:r>
        <w:rPr>
          <w:lang w:eastAsia="en-AU"/>
        </w:rPr>
        <w:t>p</w:t>
      </w:r>
      <w:r w:rsidR="008E7846">
        <w:rPr>
          <w:lang w:eastAsia="en-AU"/>
        </w:rPr>
        <w:t>lan</w:t>
      </w:r>
      <w:bookmarkEnd w:id="41"/>
      <w:bookmarkEnd w:id="50"/>
    </w:p>
    <w:p w14:paraId="226C69F8" w14:textId="466994BD" w:rsidR="000877B7" w:rsidRPr="000877B7" w:rsidRDefault="000877B7" w:rsidP="003B65C0">
      <w:r w:rsidRPr="000877B7">
        <w:t xml:space="preserve">The most recently evaluated </w:t>
      </w:r>
      <w:r>
        <w:t>European Union-risk management plan (</w:t>
      </w:r>
      <w:r w:rsidRPr="000877B7">
        <w:t>EU-RMP</w:t>
      </w:r>
      <w:r>
        <w:t>)</w:t>
      </w:r>
      <w:r w:rsidRPr="000877B7">
        <w:t xml:space="preserve"> was version 1.0 (23 November 2015; </w:t>
      </w:r>
      <w:r>
        <w:t xml:space="preserve">data </w:t>
      </w:r>
      <w:r w:rsidRPr="0048575C">
        <w:t>lock</w:t>
      </w:r>
      <w:r>
        <w:t xml:space="preserve"> point (</w:t>
      </w:r>
      <w:r w:rsidRPr="000877B7">
        <w:t>DLP</w:t>
      </w:r>
      <w:r>
        <w:t>)</w:t>
      </w:r>
      <w:r w:rsidRPr="000877B7">
        <w:t xml:space="preserve"> 10 March 2015) and </w:t>
      </w:r>
      <w:r>
        <w:t>Australian specific Annex (</w:t>
      </w:r>
      <w:r w:rsidRPr="000877B7">
        <w:t>ASA</w:t>
      </w:r>
      <w:r>
        <w:t>)</w:t>
      </w:r>
      <w:r w:rsidRPr="000877B7">
        <w:t xml:space="preserve"> version 0.2 (dated 21 November 2016). In support of the extended indications, the sponsor has submitted EU-RMP version 3.0 (date 24 April 2018; DLP 30 Sep 2018) and ASA v</w:t>
      </w:r>
      <w:r>
        <w:t>ersion 1.1 (date 30 Jan 2019). At the second round of evaluation</w:t>
      </w:r>
      <w:r w:rsidRPr="000877B7">
        <w:t>, the EU-RMP was updated to version 3.1 (dated 2 July 2019; DLP 30 Sep 2018) and the ASA was updated to version 1.3 (dated 15 October 2019).</w:t>
      </w:r>
    </w:p>
    <w:p w14:paraId="122D39B1" w14:textId="3F3BAA5F" w:rsidR="005A073B" w:rsidRDefault="005A073B" w:rsidP="00EC0D1B">
      <w:r w:rsidRPr="006D7D69">
        <w:t xml:space="preserve">The proposed summary of safety concerns and their associated risk monitoring and mitigation </w:t>
      </w:r>
      <w:r w:rsidR="009C7115">
        <w:t xml:space="preserve">strategies are summarised in </w:t>
      </w:r>
      <w:r w:rsidR="009C7115">
        <w:fldChar w:fldCharType="begin"/>
      </w:r>
      <w:r w:rsidR="009C7115">
        <w:instrText xml:space="preserve"> REF _Ref42784009 \h </w:instrText>
      </w:r>
      <w:r w:rsidR="009C7115">
        <w:fldChar w:fldCharType="separate"/>
      </w:r>
      <w:r w:rsidR="00006189">
        <w:t xml:space="preserve">Table </w:t>
      </w:r>
      <w:r w:rsidR="00006189">
        <w:rPr>
          <w:noProof/>
        </w:rPr>
        <w:t>7</w:t>
      </w:r>
      <w:r w:rsidR="009C7115">
        <w:fldChar w:fldCharType="end"/>
      </w:r>
      <w:r w:rsidR="009C7115">
        <w:t>.</w:t>
      </w:r>
    </w:p>
    <w:p w14:paraId="30287FE9" w14:textId="35E6F002" w:rsidR="009C7115" w:rsidRPr="006D7D69" w:rsidRDefault="009C7115" w:rsidP="009C7115">
      <w:pPr>
        <w:pStyle w:val="TableTitle"/>
      </w:pPr>
      <w:bookmarkStart w:id="51" w:name="_Ref42784009"/>
      <w:r>
        <w:t xml:space="preserve">Table </w:t>
      </w:r>
      <w:fldSimple w:instr=" SEQ Table \* ARABIC ">
        <w:r w:rsidR="00006189">
          <w:rPr>
            <w:noProof/>
          </w:rPr>
          <w:t>7</w:t>
        </w:r>
      </w:fldSimple>
      <w:bookmarkEnd w:id="51"/>
      <w:r>
        <w:t>: Summary of safety concerns</w:t>
      </w:r>
    </w:p>
    <w:tbl>
      <w:tblPr>
        <w:tblStyle w:val="TableTGAblue"/>
        <w:tblW w:w="5000" w:type="pct"/>
        <w:tblLayout w:type="fixed"/>
        <w:tblLook w:val="04A0" w:firstRow="1" w:lastRow="0" w:firstColumn="1" w:lastColumn="0" w:noHBand="0" w:noVBand="1"/>
      </w:tblPr>
      <w:tblGrid>
        <w:gridCol w:w="1774"/>
        <w:gridCol w:w="1390"/>
        <w:gridCol w:w="1250"/>
        <w:gridCol w:w="1528"/>
        <w:gridCol w:w="1250"/>
        <w:gridCol w:w="1528"/>
      </w:tblGrid>
      <w:tr w:rsidR="005A073B" w:rsidRPr="009C7115" w14:paraId="62CE2936" w14:textId="77777777" w:rsidTr="0048575C">
        <w:trPr>
          <w:cnfStyle w:val="100000000000" w:firstRow="1" w:lastRow="0" w:firstColumn="0" w:lastColumn="0" w:oddVBand="0" w:evenVBand="0" w:oddHBand="0" w:evenHBand="0" w:firstRowFirstColumn="0" w:firstRowLastColumn="0" w:lastRowFirstColumn="0" w:lastRowLastColumn="0"/>
          <w:trHeight w:val="131"/>
        </w:trPr>
        <w:tc>
          <w:tcPr>
            <w:tcW w:w="1814" w:type="pct"/>
            <w:gridSpan w:val="2"/>
            <w:vMerge w:val="restart"/>
          </w:tcPr>
          <w:p w14:paraId="6C0AF90A" w14:textId="77777777" w:rsidR="005A073B" w:rsidRPr="009C7115" w:rsidRDefault="005A073B" w:rsidP="00DB6E9A">
            <w:pPr>
              <w:pStyle w:val="Tabletext"/>
              <w:ind w:left="0" w:right="0"/>
              <w:rPr>
                <w:sz w:val="18"/>
                <w:szCs w:val="20"/>
              </w:rPr>
            </w:pPr>
            <w:r w:rsidRPr="009C7115">
              <w:rPr>
                <w:sz w:val="18"/>
                <w:szCs w:val="20"/>
              </w:rPr>
              <w:t>Summary of safety concerns</w:t>
            </w:r>
          </w:p>
        </w:tc>
        <w:tc>
          <w:tcPr>
            <w:tcW w:w="1593" w:type="pct"/>
            <w:gridSpan w:val="2"/>
            <w:tcBorders>
              <w:bottom w:val="nil"/>
            </w:tcBorders>
          </w:tcPr>
          <w:p w14:paraId="7C00E83E" w14:textId="77777777" w:rsidR="005A073B" w:rsidRPr="009C7115" w:rsidRDefault="005A073B" w:rsidP="00DB6E9A">
            <w:pPr>
              <w:pStyle w:val="Tabletext"/>
              <w:ind w:left="0" w:right="0"/>
              <w:rPr>
                <w:sz w:val="18"/>
                <w:szCs w:val="20"/>
              </w:rPr>
            </w:pPr>
            <w:r w:rsidRPr="009C7115">
              <w:rPr>
                <w:sz w:val="18"/>
                <w:szCs w:val="20"/>
              </w:rPr>
              <w:t>Pharmacovigilance</w:t>
            </w:r>
          </w:p>
        </w:tc>
        <w:tc>
          <w:tcPr>
            <w:tcW w:w="1593" w:type="pct"/>
            <w:gridSpan w:val="2"/>
            <w:tcBorders>
              <w:bottom w:val="nil"/>
            </w:tcBorders>
          </w:tcPr>
          <w:p w14:paraId="49DA9D37" w14:textId="2FE14C61" w:rsidR="005A073B" w:rsidRPr="009C7115" w:rsidRDefault="005A073B" w:rsidP="00DB6E9A">
            <w:pPr>
              <w:pStyle w:val="Tabletext"/>
              <w:ind w:left="0" w:right="0"/>
              <w:rPr>
                <w:sz w:val="18"/>
                <w:szCs w:val="20"/>
              </w:rPr>
            </w:pPr>
            <w:r w:rsidRPr="009C7115">
              <w:rPr>
                <w:sz w:val="18"/>
                <w:szCs w:val="20"/>
              </w:rPr>
              <w:t xml:space="preserve">Risk </w:t>
            </w:r>
            <w:r w:rsidR="000877B7">
              <w:rPr>
                <w:sz w:val="18"/>
                <w:szCs w:val="20"/>
              </w:rPr>
              <w:t>m</w:t>
            </w:r>
            <w:r w:rsidRPr="009C7115">
              <w:rPr>
                <w:sz w:val="18"/>
                <w:szCs w:val="20"/>
              </w:rPr>
              <w:t>inimisation</w:t>
            </w:r>
          </w:p>
        </w:tc>
      </w:tr>
      <w:tr w:rsidR="005A073B" w:rsidRPr="009C7115" w14:paraId="0ACCEE0E" w14:textId="77777777" w:rsidTr="0048575C">
        <w:trPr>
          <w:trHeight w:val="150"/>
        </w:trPr>
        <w:tc>
          <w:tcPr>
            <w:tcW w:w="1814" w:type="pct"/>
            <w:gridSpan w:val="2"/>
            <w:vMerge/>
            <w:tcBorders>
              <w:right w:val="nil"/>
            </w:tcBorders>
          </w:tcPr>
          <w:p w14:paraId="1A0FDB7B" w14:textId="77777777" w:rsidR="005A073B" w:rsidRPr="009C7115" w:rsidRDefault="005A073B" w:rsidP="00DB6E9A">
            <w:pPr>
              <w:pStyle w:val="Tabletext"/>
              <w:ind w:left="0" w:right="0"/>
              <w:rPr>
                <w:b/>
                <w:sz w:val="18"/>
                <w:szCs w:val="20"/>
              </w:rPr>
            </w:pPr>
            <w:bookmarkStart w:id="52" w:name="_GoBack" w:colFirst="1" w:colLast="4"/>
          </w:p>
        </w:tc>
        <w:tc>
          <w:tcPr>
            <w:tcW w:w="717" w:type="pct"/>
            <w:tcBorders>
              <w:top w:val="nil"/>
              <w:left w:val="nil"/>
              <w:bottom w:val="single" w:sz="12" w:space="0" w:color="000000" w:themeColor="text1"/>
              <w:right w:val="nil"/>
            </w:tcBorders>
            <w:shd w:val="clear" w:color="auto" w:fill="006DA7"/>
          </w:tcPr>
          <w:p w14:paraId="6D63AF82" w14:textId="77777777" w:rsidR="005A073B" w:rsidRPr="0048575C" w:rsidRDefault="005A073B" w:rsidP="00DB6E9A">
            <w:pPr>
              <w:pStyle w:val="Tabletext"/>
              <w:ind w:left="0" w:right="0"/>
              <w:rPr>
                <w:b/>
                <w:color w:val="FFFFFF" w:themeColor="background1"/>
                <w:sz w:val="18"/>
                <w:szCs w:val="20"/>
              </w:rPr>
            </w:pPr>
            <w:r w:rsidRPr="0048575C">
              <w:rPr>
                <w:b/>
                <w:color w:val="FFFFFF" w:themeColor="background1"/>
                <w:sz w:val="18"/>
                <w:szCs w:val="20"/>
              </w:rPr>
              <w:t>Routine</w:t>
            </w:r>
          </w:p>
        </w:tc>
        <w:tc>
          <w:tcPr>
            <w:tcW w:w="876" w:type="pct"/>
            <w:tcBorders>
              <w:top w:val="nil"/>
              <w:left w:val="nil"/>
              <w:bottom w:val="single" w:sz="12" w:space="0" w:color="000000" w:themeColor="text1"/>
              <w:right w:val="nil"/>
            </w:tcBorders>
            <w:shd w:val="clear" w:color="auto" w:fill="006DA7"/>
          </w:tcPr>
          <w:p w14:paraId="2451066A" w14:textId="77777777" w:rsidR="005A073B" w:rsidRPr="0048575C" w:rsidRDefault="005A073B" w:rsidP="00DB6E9A">
            <w:pPr>
              <w:pStyle w:val="Tabletext"/>
              <w:ind w:left="0" w:right="0"/>
              <w:rPr>
                <w:b/>
                <w:color w:val="FFFFFF" w:themeColor="background1"/>
                <w:sz w:val="18"/>
                <w:szCs w:val="20"/>
              </w:rPr>
            </w:pPr>
            <w:r w:rsidRPr="0048575C">
              <w:rPr>
                <w:b/>
                <w:color w:val="FFFFFF" w:themeColor="background1"/>
                <w:sz w:val="18"/>
                <w:szCs w:val="20"/>
              </w:rPr>
              <w:t>Additional</w:t>
            </w:r>
          </w:p>
        </w:tc>
        <w:tc>
          <w:tcPr>
            <w:tcW w:w="717" w:type="pct"/>
            <w:tcBorders>
              <w:top w:val="nil"/>
              <w:left w:val="nil"/>
              <w:bottom w:val="single" w:sz="12" w:space="0" w:color="000000" w:themeColor="text1"/>
              <w:right w:val="nil"/>
            </w:tcBorders>
            <w:shd w:val="clear" w:color="auto" w:fill="006DA7"/>
          </w:tcPr>
          <w:p w14:paraId="536FD178" w14:textId="77777777" w:rsidR="005A073B" w:rsidRPr="0048575C" w:rsidRDefault="005A073B" w:rsidP="00DB6E9A">
            <w:pPr>
              <w:pStyle w:val="Tabletext"/>
              <w:ind w:left="0" w:right="0"/>
              <w:rPr>
                <w:b/>
                <w:color w:val="FFFFFF" w:themeColor="background1"/>
                <w:sz w:val="18"/>
                <w:szCs w:val="20"/>
              </w:rPr>
            </w:pPr>
            <w:r w:rsidRPr="0048575C">
              <w:rPr>
                <w:b/>
                <w:color w:val="FFFFFF" w:themeColor="background1"/>
                <w:sz w:val="18"/>
                <w:szCs w:val="20"/>
              </w:rPr>
              <w:t>Routine</w:t>
            </w:r>
          </w:p>
        </w:tc>
        <w:tc>
          <w:tcPr>
            <w:tcW w:w="876" w:type="pct"/>
            <w:tcBorders>
              <w:top w:val="nil"/>
              <w:left w:val="nil"/>
              <w:bottom w:val="single" w:sz="12" w:space="0" w:color="000000" w:themeColor="text1"/>
              <w:right w:val="single" w:sz="12" w:space="0" w:color="000000" w:themeColor="text1"/>
            </w:tcBorders>
            <w:shd w:val="clear" w:color="auto" w:fill="006DA7"/>
          </w:tcPr>
          <w:p w14:paraId="03C3D4F2" w14:textId="77777777" w:rsidR="005A073B" w:rsidRPr="0048575C" w:rsidRDefault="005A073B" w:rsidP="00DB6E9A">
            <w:pPr>
              <w:pStyle w:val="Tabletext"/>
              <w:ind w:left="0" w:right="0"/>
              <w:rPr>
                <w:b/>
                <w:color w:val="FFFFFF" w:themeColor="background1"/>
                <w:sz w:val="18"/>
                <w:szCs w:val="20"/>
              </w:rPr>
            </w:pPr>
            <w:r w:rsidRPr="0048575C">
              <w:rPr>
                <w:b/>
                <w:color w:val="FFFFFF" w:themeColor="background1"/>
                <w:sz w:val="18"/>
                <w:szCs w:val="20"/>
              </w:rPr>
              <w:t>Additional</w:t>
            </w:r>
          </w:p>
        </w:tc>
      </w:tr>
      <w:bookmarkEnd w:id="52"/>
      <w:tr w:rsidR="005A073B" w:rsidRPr="009C7115" w14:paraId="0D449095" w14:textId="77777777" w:rsidTr="0048575C">
        <w:trPr>
          <w:trHeight w:val="137"/>
        </w:trPr>
        <w:tc>
          <w:tcPr>
            <w:tcW w:w="1017" w:type="pct"/>
          </w:tcPr>
          <w:p w14:paraId="72D55404" w14:textId="77777777" w:rsidR="005A073B" w:rsidRPr="009C7115" w:rsidRDefault="005A073B" w:rsidP="00DB6E9A">
            <w:pPr>
              <w:pStyle w:val="Tabletext"/>
              <w:ind w:left="0" w:right="0"/>
              <w:rPr>
                <w:b/>
                <w:sz w:val="18"/>
                <w:szCs w:val="20"/>
              </w:rPr>
            </w:pPr>
            <w:r w:rsidRPr="009C7115">
              <w:rPr>
                <w:b/>
                <w:sz w:val="18"/>
                <w:szCs w:val="20"/>
              </w:rPr>
              <w:t>Important identified risks</w:t>
            </w:r>
          </w:p>
        </w:tc>
        <w:tc>
          <w:tcPr>
            <w:tcW w:w="797" w:type="pct"/>
          </w:tcPr>
          <w:p w14:paraId="48F08089" w14:textId="14298352" w:rsidR="005A073B" w:rsidRPr="009C7115" w:rsidRDefault="00EC0D1B" w:rsidP="00DB6E9A">
            <w:pPr>
              <w:pStyle w:val="Tabletext"/>
              <w:ind w:left="0" w:right="0"/>
              <w:rPr>
                <w:sz w:val="18"/>
                <w:szCs w:val="20"/>
              </w:rPr>
            </w:pPr>
            <w:r w:rsidRPr="009C7115">
              <w:rPr>
                <w:sz w:val="18"/>
                <w:szCs w:val="20"/>
              </w:rPr>
              <w:t>Medication errors</w:t>
            </w:r>
          </w:p>
        </w:tc>
        <w:tc>
          <w:tcPr>
            <w:tcW w:w="717" w:type="pct"/>
            <w:tcBorders>
              <w:top w:val="single" w:sz="12" w:space="0" w:color="000000" w:themeColor="text1"/>
            </w:tcBorders>
          </w:tcPr>
          <w:p w14:paraId="4D7FE79A" w14:textId="77777777" w:rsidR="005A073B" w:rsidRPr="009C7115" w:rsidRDefault="005A073B" w:rsidP="00DB6E9A">
            <w:pPr>
              <w:pStyle w:val="Tabletext"/>
              <w:ind w:left="0" w:right="0"/>
              <w:jc w:val="center"/>
              <w:rPr>
                <w:sz w:val="18"/>
                <w:szCs w:val="20"/>
                <w:vertAlign w:val="superscript"/>
              </w:rPr>
            </w:pPr>
            <w:r w:rsidRPr="009C7115">
              <w:rPr>
                <w:sz w:val="18"/>
                <w:szCs w:val="20"/>
              </w:rPr>
              <w:sym w:font="Wingdings" w:char="F0FC"/>
            </w:r>
            <w:r w:rsidRPr="009C7115">
              <w:rPr>
                <w:sz w:val="18"/>
                <w:szCs w:val="20"/>
                <w:vertAlign w:val="superscript"/>
              </w:rPr>
              <w:t>1</w:t>
            </w:r>
          </w:p>
        </w:tc>
        <w:tc>
          <w:tcPr>
            <w:tcW w:w="876" w:type="pct"/>
            <w:tcBorders>
              <w:top w:val="single" w:sz="12" w:space="0" w:color="000000" w:themeColor="text1"/>
            </w:tcBorders>
          </w:tcPr>
          <w:p w14:paraId="3EE4E4FF" w14:textId="77777777" w:rsidR="005A073B" w:rsidRPr="009C7115" w:rsidRDefault="005A073B" w:rsidP="00DB6E9A">
            <w:pPr>
              <w:pStyle w:val="Tabletext"/>
              <w:ind w:left="0" w:right="0"/>
              <w:jc w:val="center"/>
              <w:rPr>
                <w:sz w:val="18"/>
                <w:szCs w:val="20"/>
              </w:rPr>
            </w:pPr>
            <w:r w:rsidRPr="009C7115">
              <w:rPr>
                <w:sz w:val="18"/>
                <w:szCs w:val="20"/>
              </w:rPr>
              <w:t>–</w:t>
            </w:r>
          </w:p>
        </w:tc>
        <w:tc>
          <w:tcPr>
            <w:tcW w:w="717" w:type="pct"/>
            <w:tcBorders>
              <w:top w:val="single" w:sz="12" w:space="0" w:color="000000" w:themeColor="text1"/>
            </w:tcBorders>
          </w:tcPr>
          <w:p w14:paraId="6E31F39C" w14:textId="77777777" w:rsidR="005A073B" w:rsidRPr="009C7115" w:rsidRDefault="005A073B" w:rsidP="00DB6E9A">
            <w:pPr>
              <w:pStyle w:val="Tabletext"/>
              <w:ind w:left="0" w:right="0"/>
              <w:jc w:val="center"/>
              <w:rPr>
                <w:sz w:val="18"/>
                <w:szCs w:val="20"/>
              </w:rPr>
            </w:pPr>
            <w:r w:rsidRPr="009C7115">
              <w:rPr>
                <w:sz w:val="18"/>
                <w:szCs w:val="20"/>
              </w:rPr>
              <w:sym w:font="Wingdings" w:char="F0FC"/>
            </w:r>
          </w:p>
        </w:tc>
        <w:tc>
          <w:tcPr>
            <w:tcW w:w="876" w:type="pct"/>
            <w:tcBorders>
              <w:top w:val="single" w:sz="12" w:space="0" w:color="000000" w:themeColor="text1"/>
            </w:tcBorders>
          </w:tcPr>
          <w:p w14:paraId="0D5B93DF" w14:textId="77777777" w:rsidR="005A073B" w:rsidRPr="009C7115" w:rsidRDefault="005A073B" w:rsidP="00DB6E9A">
            <w:pPr>
              <w:pStyle w:val="Tabletext"/>
              <w:ind w:left="0" w:right="0"/>
              <w:jc w:val="center"/>
              <w:rPr>
                <w:sz w:val="18"/>
                <w:szCs w:val="20"/>
                <w:vertAlign w:val="superscript"/>
              </w:rPr>
            </w:pPr>
            <w:r w:rsidRPr="009C7115">
              <w:rPr>
                <w:sz w:val="18"/>
                <w:szCs w:val="20"/>
              </w:rPr>
              <w:sym w:font="Wingdings" w:char="F0FC"/>
            </w:r>
            <w:r w:rsidRPr="009C7115">
              <w:rPr>
                <w:sz w:val="18"/>
                <w:szCs w:val="20"/>
                <w:vertAlign w:val="superscript"/>
              </w:rPr>
              <w:t>2</w:t>
            </w:r>
          </w:p>
        </w:tc>
      </w:tr>
      <w:tr w:rsidR="005A073B" w:rsidRPr="009C7115" w14:paraId="2C972D2D" w14:textId="77777777" w:rsidTr="00DB6E9A">
        <w:trPr>
          <w:trHeight w:val="159"/>
        </w:trPr>
        <w:tc>
          <w:tcPr>
            <w:tcW w:w="1017" w:type="pct"/>
          </w:tcPr>
          <w:p w14:paraId="1A6B4AF2" w14:textId="77777777" w:rsidR="005A073B" w:rsidRPr="009C7115" w:rsidRDefault="005A073B" w:rsidP="00DB6E9A">
            <w:pPr>
              <w:pStyle w:val="Tabletext"/>
              <w:ind w:left="0" w:right="0"/>
              <w:rPr>
                <w:b/>
                <w:sz w:val="18"/>
                <w:szCs w:val="20"/>
              </w:rPr>
            </w:pPr>
            <w:r w:rsidRPr="009C7115">
              <w:rPr>
                <w:b/>
                <w:sz w:val="18"/>
                <w:szCs w:val="20"/>
              </w:rPr>
              <w:t>Important potential risks</w:t>
            </w:r>
          </w:p>
        </w:tc>
        <w:tc>
          <w:tcPr>
            <w:tcW w:w="797" w:type="pct"/>
          </w:tcPr>
          <w:p w14:paraId="2126DCD7" w14:textId="77777777" w:rsidR="005A073B" w:rsidRPr="009C7115" w:rsidRDefault="005A073B" w:rsidP="00DB6E9A">
            <w:pPr>
              <w:pStyle w:val="Tabletext"/>
              <w:ind w:left="0" w:right="0"/>
              <w:rPr>
                <w:sz w:val="18"/>
                <w:szCs w:val="20"/>
              </w:rPr>
            </w:pPr>
            <w:r w:rsidRPr="009C7115">
              <w:rPr>
                <w:sz w:val="18"/>
                <w:szCs w:val="20"/>
              </w:rPr>
              <w:t>None</w:t>
            </w:r>
          </w:p>
        </w:tc>
        <w:tc>
          <w:tcPr>
            <w:tcW w:w="717" w:type="pct"/>
          </w:tcPr>
          <w:p w14:paraId="6AF2DD0C" w14:textId="77777777" w:rsidR="005A073B" w:rsidRPr="009C7115" w:rsidRDefault="005A073B" w:rsidP="00DB6E9A">
            <w:pPr>
              <w:pStyle w:val="Tabletext"/>
              <w:ind w:left="0" w:right="0"/>
              <w:jc w:val="center"/>
              <w:rPr>
                <w:sz w:val="18"/>
                <w:szCs w:val="20"/>
              </w:rPr>
            </w:pPr>
            <w:r w:rsidRPr="009C7115">
              <w:rPr>
                <w:sz w:val="18"/>
                <w:szCs w:val="20"/>
              </w:rPr>
              <w:t>–</w:t>
            </w:r>
          </w:p>
        </w:tc>
        <w:tc>
          <w:tcPr>
            <w:tcW w:w="876" w:type="pct"/>
          </w:tcPr>
          <w:p w14:paraId="0217175D" w14:textId="77777777" w:rsidR="005A073B" w:rsidRPr="009C7115" w:rsidRDefault="005A073B" w:rsidP="00DB6E9A">
            <w:pPr>
              <w:pStyle w:val="Tabletext"/>
              <w:ind w:left="0" w:right="0"/>
              <w:jc w:val="center"/>
              <w:rPr>
                <w:sz w:val="18"/>
                <w:szCs w:val="20"/>
              </w:rPr>
            </w:pPr>
            <w:r w:rsidRPr="009C7115">
              <w:rPr>
                <w:sz w:val="18"/>
                <w:szCs w:val="20"/>
              </w:rPr>
              <w:t>–</w:t>
            </w:r>
          </w:p>
        </w:tc>
        <w:tc>
          <w:tcPr>
            <w:tcW w:w="717" w:type="pct"/>
          </w:tcPr>
          <w:p w14:paraId="4AE803F5" w14:textId="77777777" w:rsidR="005A073B" w:rsidRPr="009C7115" w:rsidRDefault="005A073B" w:rsidP="00DB6E9A">
            <w:pPr>
              <w:pStyle w:val="Tabletext"/>
              <w:ind w:left="0" w:right="0"/>
              <w:jc w:val="center"/>
              <w:rPr>
                <w:sz w:val="18"/>
                <w:szCs w:val="20"/>
              </w:rPr>
            </w:pPr>
            <w:r w:rsidRPr="009C7115">
              <w:rPr>
                <w:sz w:val="18"/>
                <w:szCs w:val="20"/>
              </w:rPr>
              <w:t>–</w:t>
            </w:r>
          </w:p>
        </w:tc>
        <w:tc>
          <w:tcPr>
            <w:tcW w:w="876" w:type="pct"/>
          </w:tcPr>
          <w:p w14:paraId="41EC982F" w14:textId="77777777" w:rsidR="005A073B" w:rsidRPr="009C7115" w:rsidRDefault="005A073B" w:rsidP="00DB6E9A">
            <w:pPr>
              <w:pStyle w:val="Tabletext"/>
              <w:ind w:left="0" w:right="0"/>
              <w:jc w:val="center"/>
              <w:rPr>
                <w:sz w:val="18"/>
                <w:szCs w:val="20"/>
              </w:rPr>
            </w:pPr>
            <w:r w:rsidRPr="009C7115">
              <w:rPr>
                <w:sz w:val="18"/>
                <w:szCs w:val="20"/>
              </w:rPr>
              <w:t>–</w:t>
            </w:r>
          </w:p>
        </w:tc>
      </w:tr>
      <w:tr w:rsidR="005A073B" w:rsidRPr="009C7115" w14:paraId="338E36C9" w14:textId="77777777" w:rsidTr="00DB6E9A">
        <w:trPr>
          <w:trHeight w:val="140"/>
        </w:trPr>
        <w:tc>
          <w:tcPr>
            <w:tcW w:w="1017" w:type="pct"/>
          </w:tcPr>
          <w:p w14:paraId="3EACD29E" w14:textId="77777777" w:rsidR="005A073B" w:rsidRPr="009C7115" w:rsidRDefault="005A073B" w:rsidP="00DB6E9A">
            <w:pPr>
              <w:pStyle w:val="Tabletext"/>
              <w:ind w:left="0" w:right="0"/>
              <w:rPr>
                <w:b/>
                <w:sz w:val="18"/>
                <w:szCs w:val="20"/>
              </w:rPr>
            </w:pPr>
            <w:r w:rsidRPr="009C7115">
              <w:rPr>
                <w:b/>
                <w:sz w:val="18"/>
                <w:szCs w:val="20"/>
              </w:rPr>
              <w:t>Missing Information</w:t>
            </w:r>
          </w:p>
        </w:tc>
        <w:tc>
          <w:tcPr>
            <w:tcW w:w="797" w:type="pct"/>
          </w:tcPr>
          <w:p w14:paraId="0718C4E1" w14:textId="77777777" w:rsidR="005A073B" w:rsidRPr="009C7115" w:rsidRDefault="005A073B" w:rsidP="00DB6E9A">
            <w:pPr>
              <w:pStyle w:val="Tabletext"/>
              <w:ind w:left="0" w:right="0"/>
              <w:rPr>
                <w:sz w:val="18"/>
                <w:szCs w:val="20"/>
              </w:rPr>
            </w:pPr>
            <w:r w:rsidRPr="009C7115">
              <w:rPr>
                <w:sz w:val="18"/>
                <w:szCs w:val="20"/>
              </w:rPr>
              <w:t>None</w:t>
            </w:r>
          </w:p>
        </w:tc>
        <w:tc>
          <w:tcPr>
            <w:tcW w:w="717" w:type="pct"/>
          </w:tcPr>
          <w:p w14:paraId="5C45982B" w14:textId="77777777" w:rsidR="005A073B" w:rsidRPr="009C7115" w:rsidRDefault="005A073B" w:rsidP="00DB6E9A">
            <w:pPr>
              <w:pStyle w:val="Tabletext"/>
              <w:ind w:left="0" w:right="0"/>
              <w:jc w:val="center"/>
              <w:rPr>
                <w:sz w:val="18"/>
                <w:szCs w:val="20"/>
              </w:rPr>
            </w:pPr>
            <w:r w:rsidRPr="009C7115">
              <w:rPr>
                <w:sz w:val="18"/>
                <w:szCs w:val="20"/>
              </w:rPr>
              <w:t>–</w:t>
            </w:r>
          </w:p>
        </w:tc>
        <w:tc>
          <w:tcPr>
            <w:tcW w:w="876" w:type="pct"/>
          </w:tcPr>
          <w:p w14:paraId="74EB9ECE" w14:textId="77777777" w:rsidR="005A073B" w:rsidRPr="009C7115" w:rsidRDefault="005A073B" w:rsidP="00DB6E9A">
            <w:pPr>
              <w:pStyle w:val="Tabletext"/>
              <w:ind w:left="0" w:right="0"/>
              <w:jc w:val="center"/>
              <w:rPr>
                <w:sz w:val="18"/>
                <w:szCs w:val="20"/>
              </w:rPr>
            </w:pPr>
            <w:r w:rsidRPr="009C7115">
              <w:rPr>
                <w:sz w:val="18"/>
                <w:szCs w:val="20"/>
              </w:rPr>
              <w:t>–</w:t>
            </w:r>
          </w:p>
        </w:tc>
        <w:tc>
          <w:tcPr>
            <w:tcW w:w="717" w:type="pct"/>
          </w:tcPr>
          <w:p w14:paraId="0E384857" w14:textId="77777777" w:rsidR="005A073B" w:rsidRPr="009C7115" w:rsidRDefault="005A073B" w:rsidP="00DB6E9A">
            <w:pPr>
              <w:pStyle w:val="Tabletext"/>
              <w:ind w:left="0" w:right="0"/>
              <w:jc w:val="center"/>
              <w:rPr>
                <w:sz w:val="18"/>
                <w:szCs w:val="20"/>
              </w:rPr>
            </w:pPr>
            <w:r w:rsidRPr="009C7115">
              <w:rPr>
                <w:sz w:val="18"/>
                <w:szCs w:val="20"/>
              </w:rPr>
              <w:t>–</w:t>
            </w:r>
          </w:p>
        </w:tc>
        <w:tc>
          <w:tcPr>
            <w:tcW w:w="876" w:type="pct"/>
          </w:tcPr>
          <w:p w14:paraId="203BDCB1" w14:textId="77777777" w:rsidR="005A073B" w:rsidRPr="009C7115" w:rsidRDefault="005A073B" w:rsidP="00DB6E9A">
            <w:pPr>
              <w:pStyle w:val="Tabletext"/>
              <w:ind w:left="0" w:right="0"/>
              <w:jc w:val="center"/>
              <w:rPr>
                <w:sz w:val="18"/>
                <w:szCs w:val="20"/>
              </w:rPr>
            </w:pPr>
            <w:r w:rsidRPr="009C7115">
              <w:rPr>
                <w:sz w:val="18"/>
                <w:szCs w:val="20"/>
              </w:rPr>
              <w:t>–</w:t>
            </w:r>
          </w:p>
        </w:tc>
      </w:tr>
    </w:tbl>
    <w:p w14:paraId="1D3D064E" w14:textId="28E521E4" w:rsidR="005A073B" w:rsidRDefault="005A073B" w:rsidP="007B4A4F">
      <w:pPr>
        <w:pStyle w:val="TableDescription"/>
      </w:pPr>
      <w:r w:rsidRPr="00AD2D08">
        <w:rPr>
          <w:vertAlign w:val="superscript"/>
        </w:rPr>
        <w:t>1</w:t>
      </w:r>
      <w:r>
        <w:t xml:space="preserve"> </w:t>
      </w:r>
      <w:r w:rsidRPr="006F77E4">
        <w:t xml:space="preserve">RMP </w:t>
      </w:r>
      <w:r w:rsidR="004511EE">
        <w:t>e</w:t>
      </w:r>
      <w:r>
        <w:t xml:space="preserve">valuator has recommended that </w:t>
      </w:r>
      <w:r w:rsidRPr="006F77E4">
        <w:t>a specific adverse drug reaction follow-up form</w:t>
      </w:r>
      <w:r>
        <w:t xml:space="preserve"> be implemented.</w:t>
      </w:r>
      <w:r>
        <w:rPr>
          <w:vertAlign w:val="superscript"/>
        </w:rPr>
        <w:t xml:space="preserve">2 </w:t>
      </w:r>
      <w:r w:rsidR="00EC0D1B" w:rsidRPr="00EC0D1B">
        <w:t>‘</w:t>
      </w:r>
      <w:r w:rsidR="00EC0D1B">
        <w:t xml:space="preserve">Dear health care professional’ </w:t>
      </w:r>
      <w:r w:rsidRPr="00681E10">
        <w:t>letter</w:t>
      </w:r>
      <w:r w:rsidRPr="00B1338E">
        <w:t xml:space="preserve"> </w:t>
      </w:r>
      <w:r w:rsidRPr="00EC0D1B">
        <w:t>previously completed activity at launch</w:t>
      </w:r>
      <w:r w:rsidR="00EC0D1B">
        <w:t>.</w:t>
      </w:r>
    </w:p>
    <w:p w14:paraId="14505CC4" w14:textId="0A49AA26" w:rsidR="000877B7" w:rsidRPr="00681E10" w:rsidRDefault="000877B7" w:rsidP="00DB6E9A">
      <w:r>
        <w:t xml:space="preserve">The Delegate notes that a number of risks have been removed from the EU-RMP and ASA including risk of hypoglycaemia, systemic allergic effects and development of antibodies. The Delegate agrees that these are known risks, and that there are sufficient risk mitigation activities in relation to them. However, the Delegate would prefer that these events continue to be described in the periodic safety update report (PSUR). Hypoglycaemia may be a manifestation of medication errors and if this occurs closer </w:t>
      </w:r>
      <w:r>
        <w:lastRenderedPageBreak/>
        <w:t>scrutiny as to the reason for this with extra risk mitigation activities may be needed. Changes in the rates of allergic effects or antibodies may provide a signal that there has been a drift in the formulation that requires evaluation.</w:t>
      </w:r>
    </w:p>
    <w:p w14:paraId="49278E84" w14:textId="77777777" w:rsidR="008E7846" w:rsidRDefault="00AA0ED0" w:rsidP="008E7846">
      <w:pPr>
        <w:pStyle w:val="Heading3"/>
      </w:pPr>
      <w:bookmarkStart w:id="53" w:name="_Toc247691531"/>
      <w:bookmarkStart w:id="54" w:name="_Toc314842515"/>
      <w:bookmarkStart w:id="55" w:name="_Toc49509602"/>
      <w:bookmarkStart w:id="56" w:name="_Toc196046505"/>
      <w:bookmarkStart w:id="57" w:name="_Toc196046949"/>
      <w:r>
        <w:t>Risk-benefit a</w:t>
      </w:r>
      <w:r w:rsidR="008E7846">
        <w:t>nalysis</w:t>
      </w:r>
      <w:bookmarkEnd w:id="53"/>
      <w:bookmarkEnd w:id="54"/>
      <w:bookmarkEnd w:id="55"/>
    </w:p>
    <w:p w14:paraId="0D932FEE" w14:textId="75C86059" w:rsidR="00D23139" w:rsidRDefault="00D23139" w:rsidP="00D23139">
      <w:pPr>
        <w:pStyle w:val="Heading4"/>
      </w:pPr>
      <w:r w:rsidRPr="00D23139">
        <w:t>Delegate’s considerations</w:t>
      </w:r>
    </w:p>
    <w:p w14:paraId="071FE103" w14:textId="774E773A" w:rsidR="00D4024B" w:rsidRDefault="0003538E" w:rsidP="0003538E">
      <w:r>
        <w:t>Overall, the Delegate</w:t>
      </w:r>
      <w:r w:rsidR="00FF66E4">
        <w:t xml:space="preserve"> approve</w:t>
      </w:r>
      <w:r>
        <w:t>s</w:t>
      </w:r>
      <w:r w:rsidR="00FF66E4">
        <w:t xml:space="preserve"> the use of </w:t>
      </w:r>
      <w:r w:rsidR="00227549">
        <w:t>Fiasp</w:t>
      </w:r>
      <w:r w:rsidR="00FF66E4">
        <w:t xml:space="preserve"> in children and adolescents with diabetes over the age of 1 year</w:t>
      </w:r>
      <w:r w:rsidR="00D4024B">
        <w:t>.</w:t>
      </w:r>
    </w:p>
    <w:p w14:paraId="047D822F" w14:textId="22477E74" w:rsidR="00D4024B" w:rsidRDefault="0003538E" w:rsidP="0003538E">
      <w:r w:rsidRPr="00D35F97">
        <w:t xml:space="preserve">The Delegate </w:t>
      </w:r>
      <w:r w:rsidR="00FF66E4" w:rsidRPr="00D35F97">
        <w:t>accept</w:t>
      </w:r>
      <w:r w:rsidRPr="00D35F97">
        <w:t>s</w:t>
      </w:r>
      <w:r w:rsidR="00FF66E4" w:rsidRPr="00D35F97">
        <w:t xml:space="preserve"> an extrapolation of efficacy and safety data from adults with T2DM, children and adolescents with T1DM, and PK profile in children and adolescents to children and adolescents with T2DM. </w:t>
      </w:r>
      <w:r w:rsidR="00FF66E4">
        <w:t>This is based on similarity of the disease in adolescents and adults, and similar PK profile in children and adolescents with T2DM. However, for future submissions the sponsor is requested to submit a more detailed extrapolation plan and justification for this based on the similarity of disease in the two populations, and description of the PK profile of drug in two populations and relevant bridging studies</w:t>
      </w:r>
      <w:r w:rsidR="00D4024B">
        <w:t>.</w:t>
      </w:r>
    </w:p>
    <w:p w14:paraId="78467BD5" w14:textId="1ED4EABF" w:rsidR="00D4024B" w:rsidRDefault="0003538E" w:rsidP="0003538E">
      <w:r>
        <w:t xml:space="preserve">The Delegate </w:t>
      </w:r>
      <w:r w:rsidR="00FF66E4">
        <w:t>accept</w:t>
      </w:r>
      <w:r>
        <w:t>s</w:t>
      </w:r>
      <w:r w:rsidR="00FF66E4">
        <w:t xml:space="preserve"> the extrapolation of data from adults in pumps for children with pumps</w:t>
      </w:r>
      <w:r w:rsidR="00D4024B">
        <w:t>.</w:t>
      </w:r>
    </w:p>
    <w:p w14:paraId="1FDF32B0" w14:textId="1B4F49E6" w:rsidR="00456765" w:rsidRPr="00456765" w:rsidRDefault="0003538E" w:rsidP="0003538E">
      <w:r>
        <w:t xml:space="preserve">The Delegate </w:t>
      </w:r>
      <w:r w:rsidR="00FF66E4">
        <w:t>agree</w:t>
      </w:r>
      <w:r>
        <w:t>s</w:t>
      </w:r>
      <w:r w:rsidR="00FF66E4">
        <w:t xml:space="preserve"> with</w:t>
      </w:r>
      <w:r w:rsidR="00D35F97">
        <w:t xml:space="preserve"> the clinical evaluator </w:t>
      </w:r>
      <w:r w:rsidR="00FF66E4">
        <w:t xml:space="preserve">that the data for both adults and children suggests that the efficacy and safety for post meal </w:t>
      </w:r>
      <w:r w:rsidR="00227549">
        <w:t>Fiasp</w:t>
      </w:r>
      <w:r w:rsidR="00FF66E4">
        <w:t xml:space="preserve"> is not as good as pre-meal </w:t>
      </w:r>
      <w:r w:rsidR="00227549">
        <w:t>Fiasp</w:t>
      </w:r>
      <w:r w:rsidR="00FF66E4">
        <w:t xml:space="preserve">. For most medicines, </w:t>
      </w:r>
      <w:r>
        <w:t>the dose selected is the optimal</w:t>
      </w:r>
      <w:r w:rsidR="00FF66E4">
        <w:t xml:space="preserve"> dose from the clinical studies. </w:t>
      </w:r>
      <w:r>
        <w:t xml:space="preserve">The Delegate </w:t>
      </w:r>
      <w:r w:rsidR="00FF66E4">
        <w:t xml:space="preserve">would prefer this be the case for </w:t>
      </w:r>
      <w:r w:rsidR="00227549">
        <w:t>Fiasp</w:t>
      </w:r>
      <w:r w:rsidR="00FF66E4">
        <w:t xml:space="preserve">. </w:t>
      </w:r>
      <w:r>
        <w:t xml:space="preserve">The Delegate </w:t>
      </w:r>
      <w:r w:rsidR="00FF66E4">
        <w:t>accept</w:t>
      </w:r>
      <w:r>
        <w:t>s</w:t>
      </w:r>
      <w:r w:rsidR="00FF66E4">
        <w:t xml:space="preserve"> that the data suggests that there was non-inferiority for HbA1c for post meal </w:t>
      </w:r>
      <w:r w:rsidR="00227549">
        <w:t>Fiasp</w:t>
      </w:r>
      <w:r w:rsidR="00FF66E4">
        <w:t xml:space="preserve"> compared to </w:t>
      </w:r>
      <w:r w:rsidR="00227549">
        <w:rPr>
          <w:rFonts w:asciiTheme="minorHAnsi" w:hAnsiTheme="minorHAnsi"/>
        </w:rPr>
        <w:t>Novo</w:t>
      </w:r>
      <w:r w:rsidR="005B6E1E">
        <w:rPr>
          <w:rFonts w:asciiTheme="minorHAnsi" w:hAnsiTheme="minorHAnsi"/>
        </w:rPr>
        <w:t>R</w:t>
      </w:r>
      <w:r w:rsidR="00227549">
        <w:rPr>
          <w:rFonts w:asciiTheme="minorHAnsi" w:hAnsiTheme="minorHAnsi"/>
        </w:rPr>
        <w:t>apid</w:t>
      </w:r>
      <w:r w:rsidR="00FF66E4">
        <w:t>, however</w:t>
      </w:r>
      <w:r w:rsidR="00DD5A27">
        <w:t>,</w:t>
      </w:r>
      <w:r w:rsidR="00FF66E4">
        <w:t xml:space="preserve"> the direction of change, secondary endpoints and safety all support pre-meal </w:t>
      </w:r>
      <w:r w:rsidR="00227549">
        <w:t>Fiasp</w:t>
      </w:r>
      <w:r w:rsidR="00FF66E4">
        <w:t xml:space="preserve"> being the better dosing algorithm. </w:t>
      </w:r>
      <w:r>
        <w:t xml:space="preserve">The Delegate </w:t>
      </w:r>
      <w:r w:rsidR="00FF66E4">
        <w:t>accept</w:t>
      </w:r>
      <w:r>
        <w:t>s</w:t>
      </w:r>
      <w:r w:rsidR="00FF66E4">
        <w:t xml:space="preserve"> the use of post meal aspart being included in the clinical studies, however</w:t>
      </w:r>
      <w:r w:rsidR="00783F76">
        <w:t>,</w:t>
      </w:r>
      <w:r w:rsidR="00FF66E4">
        <w:t xml:space="preserve"> would recommend the dosing and administration section focus on the optimal method of administration which is 0</w:t>
      </w:r>
      <w:r w:rsidR="00D4024B">
        <w:t xml:space="preserve"> to </w:t>
      </w:r>
      <w:r w:rsidR="00FF66E4">
        <w:t>2</w:t>
      </w:r>
      <w:r w:rsidR="005B6E1E">
        <w:t> </w:t>
      </w:r>
      <w:r w:rsidR="00FF66E4">
        <w:t>minutes before meals.</w:t>
      </w:r>
    </w:p>
    <w:p w14:paraId="73F33CE0" w14:textId="753E8234" w:rsidR="008E7846" w:rsidRDefault="008E7846" w:rsidP="008E7846">
      <w:pPr>
        <w:pStyle w:val="Heading4"/>
      </w:pPr>
      <w:r>
        <w:t xml:space="preserve">Advisory Committee </w:t>
      </w:r>
      <w:r w:rsidR="000877B7">
        <w:t>c</w:t>
      </w:r>
      <w:r>
        <w:t>onsiderations</w:t>
      </w:r>
      <w:r w:rsidR="00456765">
        <w:rPr>
          <w:rStyle w:val="FootnoteReference"/>
        </w:rPr>
        <w:footnoteReference w:id="7"/>
      </w:r>
    </w:p>
    <w:p w14:paraId="58CB15B7" w14:textId="582FDF80" w:rsidR="00456765" w:rsidRPr="00A322B3" w:rsidRDefault="00456765" w:rsidP="008E7846">
      <w:r>
        <w:rPr>
          <w:bCs/>
        </w:rPr>
        <w:t>The Delegate did not refer this application to the Advisory Committee on Medicines (ACM) for advice.</w:t>
      </w:r>
    </w:p>
    <w:p w14:paraId="020CFC74" w14:textId="77777777" w:rsidR="008E7846" w:rsidRPr="002E238E" w:rsidRDefault="008E7846" w:rsidP="008E7846">
      <w:pPr>
        <w:pStyle w:val="Heading3"/>
      </w:pPr>
      <w:bookmarkStart w:id="58" w:name="_Toc247691532"/>
      <w:bookmarkStart w:id="59" w:name="_Toc314842516"/>
      <w:bookmarkStart w:id="60" w:name="_Toc49509603"/>
      <w:bookmarkEnd w:id="32"/>
      <w:bookmarkEnd w:id="56"/>
      <w:bookmarkEnd w:id="57"/>
      <w:r>
        <w:t>Outcome</w:t>
      </w:r>
      <w:bookmarkEnd w:id="58"/>
      <w:bookmarkEnd w:id="59"/>
      <w:bookmarkEnd w:id="60"/>
    </w:p>
    <w:p w14:paraId="473DA1FE" w14:textId="6750E112" w:rsidR="00D23139" w:rsidRPr="00D23139" w:rsidRDefault="00D23139" w:rsidP="00D23139">
      <w:bookmarkStart w:id="61" w:name="_Toc247691533"/>
      <w:bookmarkStart w:id="62" w:name="_Toc314842517"/>
      <w:r w:rsidRPr="00D23139">
        <w:t xml:space="preserve">Based on a review of quality, safety and efficacy, </w:t>
      </w:r>
      <w:r w:rsidR="00E215A4">
        <w:t xml:space="preserve">the </w:t>
      </w:r>
      <w:r w:rsidRPr="00D23139">
        <w:t xml:space="preserve">TGA approved the registration of </w:t>
      </w:r>
      <w:r w:rsidR="00783F76">
        <w:t>Fiasp, Fiasp penfill and Fiasp flextouch containing</w:t>
      </w:r>
      <w:r w:rsidR="00783F76" w:rsidRPr="00BE2A17">
        <w:t xml:space="preserve"> insulin aspart (rys) 100 units/mL solution for injection</w:t>
      </w:r>
      <w:r w:rsidRPr="00D23139">
        <w:t>, for</w:t>
      </w:r>
      <w:r w:rsidR="000877B7">
        <w:t xml:space="preserve"> the following extension of indications</w:t>
      </w:r>
      <w:r w:rsidRPr="00D23139">
        <w:t>:</w:t>
      </w:r>
    </w:p>
    <w:p w14:paraId="227C5B6E" w14:textId="77777777" w:rsidR="00D23139" w:rsidRPr="00DB6E9A" w:rsidRDefault="00B35E55" w:rsidP="000877B7">
      <w:pPr>
        <w:ind w:left="720"/>
        <w:rPr>
          <w:i/>
        </w:rPr>
      </w:pPr>
      <w:r w:rsidRPr="00DB6E9A">
        <w:rPr>
          <w:i/>
        </w:rPr>
        <w:lastRenderedPageBreak/>
        <w:t>Treatment of diabetes mellitus in adolescents and children aged 1 year and above.</w:t>
      </w:r>
    </w:p>
    <w:p w14:paraId="5373CD54" w14:textId="06A0E56E" w:rsidR="0081291C" w:rsidRDefault="00F338DA" w:rsidP="00DB6E9A">
      <w:pPr>
        <w:rPr>
          <w:rFonts w:cs="Cambria"/>
        </w:rPr>
      </w:pPr>
      <w:r>
        <w:rPr>
          <w:rFonts w:cs="Cambria"/>
        </w:rPr>
        <w:t>As such, t</w:t>
      </w:r>
      <w:r w:rsidR="00B35E55">
        <w:rPr>
          <w:rFonts w:cs="Cambria"/>
        </w:rPr>
        <w:t xml:space="preserve">he </w:t>
      </w:r>
      <w:r w:rsidR="00B35E55" w:rsidRPr="00DB6E9A">
        <w:rPr>
          <w:b/>
        </w:rPr>
        <w:t>full indications</w:t>
      </w:r>
      <w:r w:rsidR="00B35E55">
        <w:t xml:space="preserve"> </w:t>
      </w:r>
      <w:r>
        <w:rPr>
          <w:rFonts w:cs="Cambria"/>
        </w:rPr>
        <w:t>at this time were</w:t>
      </w:r>
      <w:r w:rsidR="00B35E55">
        <w:rPr>
          <w:rFonts w:cs="Cambria"/>
        </w:rPr>
        <w:t>:</w:t>
      </w:r>
    </w:p>
    <w:p w14:paraId="480103F8" w14:textId="36D639CA" w:rsidR="00D23139" w:rsidRPr="00DB6E9A" w:rsidRDefault="00B35E55" w:rsidP="000877B7">
      <w:pPr>
        <w:ind w:left="720"/>
        <w:rPr>
          <w:rFonts w:eastAsiaTheme="minorHAnsi" w:cs="Cambria"/>
          <w:i/>
        </w:rPr>
      </w:pPr>
      <w:r w:rsidRPr="00DB6E9A">
        <w:rPr>
          <w:i/>
        </w:rPr>
        <w:t>Treatment of diabetes mellitus in adults, adolescen</w:t>
      </w:r>
      <w:r w:rsidR="0003538E" w:rsidRPr="00DB6E9A">
        <w:rPr>
          <w:i/>
        </w:rPr>
        <w:t xml:space="preserve">ts and children aged 1 year and </w:t>
      </w:r>
      <w:r w:rsidRPr="00DB6E9A">
        <w:rPr>
          <w:i/>
        </w:rPr>
        <w:t>above</w:t>
      </w:r>
      <w:r w:rsidR="00783F76" w:rsidRPr="00DB6E9A">
        <w:rPr>
          <w:i/>
        </w:rPr>
        <w:t>.</w:t>
      </w:r>
    </w:p>
    <w:p w14:paraId="6A02190F" w14:textId="77777777" w:rsidR="00D23139" w:rsidRPr="00D23139" w:rsidRDefault="00D23139" w:rsidP="00D23139">
      <w:pPr>
        <w:pStyle w:val="Heading4"/>
      </w:pPr>
      <w:r w:rsidRPr="00D23139">
        <w:t>Specific conditions of registration applying to these goods</w:t>
      </w:r>
    </w:p>
    <w:p w14:paraId="788BDF9A" w14:textId="1936F03A" w:rsidR="00B35E55" w:rsidRDefault="00227549" w:rsidP="0003538E">
      <w:pPr>
        <w:pStyle w:val="ListBullet"/>
      </w:pPr>
      <w:r>
        <w:t>Fiasp</w:t>
      </w:r>
      <w:r w:rsidR="00B35E55">
        <w:t xml:space="preserve"> / </w:t>
      </w:r>
      <w:r w:rsidR="00006189">
        <w:t>Fiasp P</w:t>
      </w:r>
      <w:r>
        <w:t>enfill</w:t>
      </w:r>
      <w:r w:rsidR="00B35E55">
        <w:t xml:space="preserve"> / </w:t>
      </w:r>
      <w:r w:rsidR="00006189">
        <w:t>Fiasp FlexT</w:t>
      </w:r>
      <w:r>
        <w:t>ouch</w:t>
      </w:r>
      <w:r w:rsidR="00B35E55">
        <w:t xml:space="preserve"> (insulin aspa</w:t>
      </w:r>
      <w:r w:rsidR="0003538E">
        <w:t xml:space="preserve">rt (rys)) are to be included in </w:t>
      </w:r>
      <w:r w:rsidR="00B35E55">
        <w:t>the Black Triangle Scheme. The PI and</w:t>
      </w:r>
      <w:r w:rsidR="00DB6E9A">
        <w:t xml:space="preserve"> Consumer Medicines Information</w:t>
      </w:r>
      <w:r w:rsidR="00B35E55">
        <w:t xml:space="preserve"> </w:t>
      </w:r>
      <w:r w:rsidR="00DB6E9A">
        <w:t>(</w:t>
      </w:r>
      <w:r w:rsidR="00B35E55">
        <w:t>CMI</w:t>
      </w:r>
      <w:r w:rsidR="00DB6E9A">
        <w:t>)</w:t>
      </w:r>
      <w:r w:rsidR="00B35E55">
        <w:t xml:space="preserve"> documents for </w:t>
      </w:r>
      <w:r>
        <w:t>Fiasp</w:t>
      </w:r>
      <w:r w:rsidR="00B35E55">
        <w:t xml:space="preserve"> / </w:t>
      </w:r>
      <w:r>
        <w:t>Fiasp</w:t>
      </w:r>
      <w:r w:rsidR="00B35E55">
        <w:t xml:space="preserve"> </w:t>
      </w:r>
      <w:r w:rsidR="00006189">
        <w:t>P</w:t>
      </w:r>
      <w:r>
        <w:t>enfill</w:t>
      </w:r>
      <w:r w:rsidR="0003538E">
        <w:t xml:space="preserve"> / </w:t>
      </w:r>
      <w:r>
        <w:t>Fiasp</w:t>
      </w:r>
      <w:r w:rsidR="00B35E55">
        <w:t xml:space="preserve"> </w:t>
      </w:r>
      <w:r w:rsidR="00006189">
        <w:t>F</w:t>
      </w:r>
      <w:r w:rsidR="00FF5553">
        <w:t>lextouch</w:t>
      </w:r>
      <w:r w:rsidR="00B35E55">
        <w:t xml:space="preserve"> must include the black</w:t>
      </w:r>
      <w:r w:rsidR="0003538E">
        <w:t xml:space="preserve"> triangle symbol and mandatory </w:t>
      </w:r>
      <w:r w:rsidR="00B35E55">
        <w:t>ac</w:t>
      </w:r>
      <w:r w:rsidR="0003538E">
        <w:t xml:space="preserve">companying text for five years, </w:t>
      </w:r>
      <w:r w:rsidR="00B35E55">
        <w:t>which starts from</w:t>
      </w:r>
      <w:r w:rsidR="0003538E">
        <w:t xml:space="preserve"> the date the new indication is </w:t>
      </w:r>
      <w:r w:rsidR="00B35E55">
        <w:t>registered.</w:t>
      </w:r>
    </w:p>
    <w:p w14:paraId="4882DEB1" w14:textId="77777777" w:rsidR="00CA2874" w:rsidRPr="00CA2874" w:rsidRDefault="00B35E55" w:rsidP="00CA2874">
      <w:pPr>
        <w:pStyle w:val="ListBullet"/>
      </w:pPr>
      <w:r>
        <w:t>Any changes to which the sponsor has agreed should be included in a revised RMP and</w:t>
      </w:r>
      <w:r w:rsidR="0003538E">
        <w:t xml:space="preserve"> </w:t>
      </w:r>
      <w:r w:rsidRPr="0003538E">
        <w:rPr>
          <w:rFonts w:eastAsiaTheme="minorHAnsi" w:cs="Cambria"/>
        </w:rPr>
        <w:t>ASA. However, irrespective of whether or not they are included in the currently</w:t>
      </w:r>
      <w:r w:rsidR="0003538E">
        <w:rPr>
          <w:rFonts w:eastAsiaTheme="minorHAnsi" w:cs="Cambria"/>
        </w:rPr>
        <w:t xml:space="preserve"> </w:t>
      </w:r>
      <w:r w:rsidRPr="0003538E">
        <w:rPr>
          <w:rFonts w:eastAsiaTheme="minorHAnsi" w:cs="Cambria"/>
        </w:rPr>
        <w:t>available version of the RMP document, the agreed changes become part of the risk</w:t>
      </w:r>
      <w:r w:rsidR="0003538E">
        <w:rPr>
          <w:rFonts w:eastAsiaTheme="minorHAnsi" w:cs="Cambria"/>
        </w:rPr>
        <w:t xml:space="preserve"> </w:t>
      </w:r>
      <w:r w:rsidRPr="0003538E">
        <w:rPr>
          <w:rFonts w:eastAsiaTheme="minorHAnsi" w:cs="Cambria"/>
        </w:rPr>
        <w:t>management system.</w:t>
      </w:r>
    </w:p>
    <w:p w14:paraId="2F3694B6" w14:textId="2281C7F5" w:rsidR="00CA2874" w:rsidRDefault="00B35E55" w:rsidP="00CA2874">
      <w:pPr>
        <w:pStyle w:val="ListBullet"/>
        <w:numPr>
          <w:ilvl w:val="0"/>
          <w:numId w:val="0"/>
        </w:numPr>
        <w:ind w:left="360"/>
        <w:rPr>
          <w:rFonts w:eastAsiaTheme="minorHAnsi" w:cs="Cambria"/>
        </w:rPr>
      </w:pPr>
      <w:r w:rsidRPr="00CA2874">
        <w:rPr>
          <w:rFonts w:eastAsiaTheme="minorHAnsi" w:cs="Cambria"/>
        </w:rPr>
        <w:t xml:space="preserve">The </w:t>
      </w:r>
      <w:r w:rsidR="00227549">
        <w:t>Fiasp</w:t>
      </w:r>
      <w:r w:rsidR="00EE3F6B">
        <w:rPr>
          <w:rFonts w:eastAsiaTheme="minorHAnsi" w:cs="Cambria"/>
        </w:rPr>
        <w:t xml:space="preserve"> (insulin aspart (rys)) EU-RMP</w:t>
      </w:r>
      <w:r w:rsidRPr="00CA2874">
        <w:rPr>
          <w:rFonts w:eastAsiaTheme="minorHAnsi" w:cs="Cambria"/>
        </w:rPr>
        <w:t>, version 3.1,</w:t>
      </w:r>
      <w:r w:rsidR="00CA2874">
        <w:rPr>
          <w:rFonts w:eastAsiaTheme="minorHAnsi" w:cs="Cambria"/>
        </w:rPr>
        <w:t xml:space="preserve"> </w:t>
      </w:r>
      <w:r>
        <w:rPr>
          <w:rFonts w:eastAsiaTheme="minorHAnsi" w:cs="Cambria"/>
        </w:rPr>
        <w:t xml:space="preserve">dated 2 July 2019 (data lock point 30 September 2018), with </w:t>
      </w:r>
      <w:r w:rsidR="00EE3F6B">
        <w:rPr>
          <w:rFonts w:eastAsiaTheme="minorHAnsi" w:cs="Cambria"/>
        </w:rPr>
        <w:t>ASA</w:t>
      </w:r>
      <w:r>
        <w:rPr>
          <w:rFonts w:eastAsiaTheme="minorHAnsi" w:cs="Cambria"/>
        </w:rPr>
        <w:t>,</w:t>
      </w:r>
      <w:r w:rsidR="00CA2874">
        <w:rPr>
          <w:rFonts w:eastAsiaTheme="minorHAnsi" w:cs="Cambria"/>
        </w:rPr>
        <w:t xml:space="preserve"> </w:t>
      </w:r>
      <w:r>
        <w:rPr>
          <w:rFonts w:eastAsiaTheme="minorHAnsi" w:cs="Cambria"/>
        </w:rPr>
        <w:t>version 1.3, dated 15 October 2019, included with submission PM-2018-05745-1-5,</w:t>
      </w:r>
      <w:r w:rsidR="00CA2874">
        <w:rPr>
          <w:rFonts w:eastAsiaTheme="minorHAnsi" w:cs="Cambria"/>
        </w:rPr>
        <w:t xml:space="preserve"> </w:t>
      </w:r>
      <w:r>
        <w:rPr>
          <w:rFonts w:eastAsiaTheme="minorHAnsi" w:cs="Cambria"/>
        </w:rPr>
        <w:t>and any subsequent revisions, as agreed with the TGA will be implemented in Australia.</w:t>
      </w:r>
    </w:p>
    <w:p w14:paraId="03B842ED" w14:textId="77777777" w:rsidR="00CA2874" w:rsidRDefault="00B35E55" w:rsidP="00CA2874">
      <w:pPr>
        <w:pStyle w:val="ListBullet"/>
        <w:numPr>
          <w:ilvl w:val="0"/>
          <w:numId w:val="0"/>
        </w:numPr>
        <w:ind w:left="360"/>
        <w:rPr>
          <w:rFonts w:eastAsiaTheme="minorHAnsi" w:cs="Cambria"/>
        </w:rPr>
      </w:pPr>
      <w:r>
        <w:rPr>
          <w:rFonts w:eastAsiaTheme="minorHAnsi" w:cs="Cambria"/>
        </w:rPr>
        <w:t>Reports are to be provided in line with the current published list of EU reference dates</w:t>
      </w:r>
      <w:r w:rsidR="00CA2874">
        <w:rPr>
          <w:rFonts w:eastAsiaTheme="minorHAnsi" w:cs="Cambria"/>
        </w:rPr>
        <w:t xml:space="preserve"> </w:t>
      </w:r>
      <w:r>
        <w:rPr>
          <w:rFonts w:eastAsiaTheme="minorHAnsi" w:cs="Cambria"/>
        </w:rPr>
        <w:t>and frequency of submission of PSURs until the period covered by such reports is not</w:t>
      </w:r>
      <w:r w:rsidR="00CA2874">
        <w:rPr>
          <w:rFonts w:eastAsiaTheme="minorHAnsi" w:cs="Cambria"/>
        </w:rPr>
        <w:t xml:space="preserve"> </w:t>
      </w:r>
      <w:r>
        <w:rPr>
          <w:rFonts w:eastAsiaTheme="minorHAnsi" w:cs="Cambria"/>
        </w:rPr>
        <w:t>less than three years from the date of this approval letter.</w:t>
      </w:r>
    </w:p>
    <w:p w14:paraId="09C759BE" w14:textId="221D83F4" w:rsidR="00456765" w:rsidRPr="00CA2874" w:rsidRDefault="00B35E55" w:rsidP="0081291C">
      <w:pPr>
        <w:pStyle w:val="ListBullet"/>
        <w:numPr>
          <w:ilvl w:val="0"/>
          <w:numId w:val="0"/>
        </w:numPr>
        <w:ind w:left="360"/>
      </w:pPr>
      <w:r>
        <w:rPr>
          <w:rFonts w:eastAsiaTheme="minorHAnsi" w:cs="Cambria"/>
        </w:rPr>
        <w:t>The reports are to at least meet the requirements for PSURs as described in the</w:t>
      </w:r>
      <w:r w:rsidR="00CA2874">
        <w:rPr>
          <w:rFonts w:eastAsiaTheme="minorHAnsi" w:cs="Cambria"/>
        </w:rPr>
        <w:t xml:space="preserve"> </w:t>
      </w:r>
      <w:r w:rsidR="00C410B0">
        <w:rPr>
          <w:rFonts w:eastAsiaTheme="minorHAnsi" w:cs="Cambria"/>
        </w:rPr>
        <w:t>EMA</w:t>
      </w:r>
      <w:r>
        <w:rPr>
          <w:rFonts w:eastAsiaTheme="minorHAnsi" w:cs="Cambria"/>
        </w:rPr>
        <w:t xml:space="preserve">’s </w:t>
      </w:r>
      <w:r w:rsidRPr="0081291C">
        <w:t xml:space="preserve">Guideline on </w:t>
      </w:r>
      <w:r w:rsidR="00F338DA" w:rsidRPr="0081291C">
        <w:t xml:space="preserve">Good Pharmacovigilance Practices </w:t>
      </w:r>
      <w:r w:rsidRPr="0081291C">
        <w:t>(GVP)</w:t>
      </w:r>
      <w:r w:rsidR="00CA2874" w:rsidRPr="0081291C">
        <w:t xml:space="preserve"> </w:t>
      </w:r>
      <w:r w:rsidRPr="0081291C">
        <w:t>Module VII-periodic safety update report (Rev 1), Part VII.B Structures and processes.</w:t>
      </w:r>
      <w:r w:rsidR="00CA2874" w:rsidRPr="0081291C">
        <w:t xml:space="preserve"> </w:t>
      </w:r>
      <w:r w:rsidRPr="0081291C">
        <w:t>Note that submission of a PSU</w:t>
      </w:r>
      <w:r>
        <w:rPr>
          <w:rFonts w:eastAsiaTheme="minorHAnsi" w:cs="Cambria"/>
        </w:rPr>
        <w:t>R does not constitute an application to vary the</w:t>
      </w:r>
      <w:r w:rsidR="00CA2874">
        <w:rPr>
          <w:rFonts w:eastAsiaTheme="minorHAnsi" w:cs="Cambria"/>
        </w:rPr>
        <w:t xml:space="preserve"> </w:t>
      </w:r>
      <w:r>
        <w:rPr>
          <w:rFonts w:eastAsiaTheme="minorHAnsi" w:cs="Cambria"/>
        </w:rPr>
        <w:t>registration.</w:t>
      </w:r>
    </w:p>
    <w:p w14:paraId="476CBA6E" w14:textId="3ED5294F" w:rsidR="00B35E55" w:rsidRPr="00CA2874" w:rsidRDefault="00B35E55" w:rsidP="00CA2874">
      <w:pPr>
        <w:pStyle w:val="ListBullet"/>
      </w:pPr>
      <w:r>
        <w:t xml:space="preserve">The </w:t>
      </w:r>
      <w:r w:rsidR="00F338DA">
        <w:t>CMI</w:t>
      </w:r>
      <w:r>
        <w:t xml:space="preserve"> documents mus</w:t>
      </w:r>
      <w:r w:rsidR="00CA2874">
        <w:t xml:space="preserve">t be included with the products </w:t>
      </w:r>
      <w:r>
        <w:t>as a package insert. The CMI documents should have a link to the full version of the PI</w:t>
      </w:r>
      <w:r w:rsidR="00EE3F6B">
        <w:t xml:space="preserve"> </w:t>
      </w:r>
      <w:r>
        <w:t>on the TGA website.</w:t>
      </w:r>
    </w:p>
    <w:p w14:paraId="3138D67E" w14:textId="77777777" w:rsidR="008E7846" w:rsidRDefault="00A80B5B" w:rsidP="00D23139">
      <w:pPr>
        <w:pStyle w:val="Heading2"/>
      </w:pPr>
      <w:bookmarkStart w:id="63" w:name="_Toc49509604"/>
      <w:r>
        <w:t xml:space="preserve">Attachment 1. </w:t>
      </w:r>
      <w:r w:rsidR="008E7846">
        <w:t xml:space="preserve">Product </w:t>
      </w:r>
      <w:r w:rsidR="00AA0ED0">
        <w:t>I</w:t>
      </w:r>
      <w:r w:rsidR="008E7846">
        <w:t>nformation</w:t>
      </w:r>
      <w:bookmarkEnd w:id="61"/>
      <w:bookmarkEnd w:id="62"/>
      <w:bookmarkEnd w:id="63"/>
    </w:p>
    <w:p w14:paraId="58285E5A" w14:textId="3C436AF4" w:rsidR="00F338DA" w:rsidRDefault="006136D7" w:rsidP="00C80137">
      <w:pPr>
        <w:rPr>
          <w:color w:val="000000"/>
          <w:lang w:eastAsia="en-AU"/>
        </w:rPr>
      </w:pPr>
      <w:r w:rsidRPr="002B3624">
        <w:t xml:space="preserve">The </w:t>
      </w:r>
      <w:r>
        <w:t>PI</w:t>
      </w:r>
      <w:r w:rsidRPr="002B3624">
        <w:t xml:space="preserve"> for </w:t>
      </w:r>
      <w:r w:rsidR="00006189">
        <w:t>Fiasp, Fiasp Penfill and Fiasp FlexT</w:t>
      </w:r>
      <w:r w:rsidR="00CA2874" w:rsidRPr="00783F76">
        <w:t>ouch</w:t>
      </w:r>
      <w:r w:rsidRPr="00783F76">
        <w:t xml:space="preserve"> approved</w:t>
      </w:r>
      <w:r>
        <w:t xml:space="preserve">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2" w:history="1">
        <w:r w:rsidR="007C6B9B" w:rsidRPr="007C6B9B">
          <w:rPr>
            <w:rStyle w:val="Hyperlink"/>
          </w:rPr>
          <w:t>https://www.tga.gov.au/product-information-pi</w:t>
        </w:r>
      </w:hyperlink>
      <w:r w:rsidR="00CA2874">
        <w:t>&gt;.</w:t>
      </w:r>
    </w:p>
    <w:p w14:paraId="331A7AF6" w14:textId="524D0D5B" w:rsidR="00C80137" w:rsidRPr="001D043B" w:rsidRDefault="00F3660E" w:rsidP="008D46EA">
      <w:pPr>
        <w:rPr>
          <w:b/>
        </w:rPr>
        <w:sectPr w:rsidR="00C80137" w:rsidRPr="001D043B"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r w:rsidRPr="001D043B">
        <w:t xml:space="preserve"> </w:t>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D38BE4D" w14:textId="77777777" w:rsidTr="00A05FA4">
        <w:trPr>
          <w:trHeight w:hRule="exact" w:val="704"/>
        </w:trPr>
        <w:tc>
          <w:tcPr>
            <w:tcW w:w="9175" w:type="dxa"/>
          </w:tcPr>
          <w:p w14:paraId="19EBFC3F" w14:textId="77777777" w:rsidR="001C32CD" w:rsidRPr="00487162" w:rsidRDefault="001C32CD" w:rsidP="00A05FA4">
            <w:pPr>
              <w:pStyle w:val="TGASignoff"/>
            </w:pPr>
            <w:r w:rsidRPr="00487162">
              <w:lastRenderedPageBreak/>
              <w:t>Therapeutic Goods Administration</w:t>
            </w:r>
          </w:p>
        </w:tc>
      </w:tr>
      <w:tr w:rsidR="001C32CD" w:rsidRPr="004C239D" w14:paraId="7D8E3041" w14:textId="77777777" w:rsidTr="00A05FA4">
        <w:trPr>
          <w:trHeight w:val="1221"/>
        </w:trPr>
        <w:tc>
          <w:tcPr>
            <w:tcW w:w="9175" w:type="dxa"/>
            <w:tcMar>
              <w:top w:w="28" w:type="dxa"/>
            </w:tcMar>
          </w:tcPr>
          <w:p w14:paraId="54E95967" w14:textId="77777777" w:rsidR="001C32CD" w:rsidRPr="00487162" w:rsidRDefault="001C32CD" w:rsidP="00A05FA4">
            <w:pPr>
              <w:pStyle w:val="Address"/>
            </w:pPr>
            <w:r w:rsidRPr="00487162">
              <w:t>PO Box 100 Woden ACT 2606 Australia</w:t>
            </w:r>
          </w:p>
          <w:p w14:paraId="17179E8F" w14:textId="5DA8AA5C" w:rsidR="001C32CD" w:rsidRPr="00487162" w:rsidRDefault="001C32CD" w:rsidP="00A05FA4">
            <w:pPr>
              <w:pStyle w:val="Address"/>
            </w:pPr>
            <w:r w:rsidRPr="00487162">
              <w:t xml:space="preserve">Email: </w:t>
            </w:r>
            <w:hyperlink r:id="rId27" w:history="1">
              <w:r w:rsidRPr="004C239D">
                <w:rPr>
                  <w:rStyle w:val="Hyperlink"/>
                </w:rPr>
                <w:t>info@tga.gov.au</w:t>
              </w:r>
            </w:hyperlink>
            <w:r w:rsidRPr="00487162">
              <w:t xml:space="preserve">  Phone: 1800 020 653  Fax: 02 6232 8605</w:t>
            </w:r>
          </w:p>
          <w:p w14:paraId="002A9B23" w14:textId="2A9C7BE4" w:rsidR="001C32CD" w:rsidRPr="004C239D" w:rsidRDefault="007B4A4F" w:rsidP="00A05FA4">
            <w:pPr>
              <w:pStyle w:val="Address"/>
              <w:spacing w:line="260" w:lineRule="atLeast"/>
              <w:rPr>
                <w:b/>
                <w:color w:val="0000FF"/>
                <w:u w:val="single"/>
              </w:rPr>
            </w:pPr>
            <w:hyperlink r:id="rId28" w:history="1">
              <w:r w:rsidR="007C6B9B" w:rsidRPr="007C6B9B">
                <w:rPr>
                  <w:rStyle w:val="Hyperlink"/>
                  <w:b/>
                </w:rPr>
                <w:t>https://www.tga.gov.au</w:t>
              </w:r>
            </w:hyperlink>
          </w:p>
        </w:tc>
      </w:tr>
    </w:tbl>
    <w:p w14:paraId="52DE23B3" w14:textId="77777777"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A251C" w14:textId="77777777" w:rsidR="007B4A4F" w:rsidRDefault="007B4A4F" w:rsidP="00C40A36">
      <w:pPr>
        <w:spacing w:after="0"/>
      </w:pPr>
      <w:r>
        <w:separator/>
      </w:r>
    </w:p>
  </w:endnote>
  <w:endnote w:type="continuationSeparator" w:id="0">
    <w:p w14:paraId="3DC690AE" w14:textId="77777777" w:rsidR="007B4A4F" w:rsidRDefault="007B4A4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ItalicMT">
    <w:panose1 w:val="00000000000000000000"/>
    <w:charset w:val="00"/>
    <w:family w:val="roman"/>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47"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276"/>
    </w:tblGrid>
    <w:tr w:rsidR="007B4A4F" w:rsidRPr="00487162" w14:paraId="0E1BFA6B" w14:textId="77777777" w:rsidTr="007B4A4F">
      <w:trPr>
        <w:trHeight w:val="269"/>
      </w:trPr>
      <w:tc>
        <w:tcPr>
          <w:tcW w:w="7371" w:type="dxa"/>
          <w:tcMar>
            <w:top w:w="142" w:type="dxa"/>
            <w:bottom w:w="0" w:type="dxa"/>
          </w:tcMar>
        </w:tcPr>
        <w:p w14:paraId="0AB3540C" w14:textId="1A6E135C" w:rsidR="007B4A4F" w:rsidRPr="00487162" w:rsidRDefault="007B4A4F" w:rsidP="00D813E6">
          <w:pPr>
            <w:pStyle w:val="Footer"/>
          </w:pPr>
          <w:r w:rsidRPr="00BB26D6">
            <w:t>AusPAR - FIASP / FIASP PENFILL / FIASP FLEXTOUCH - insulin aspart (rys) - Novo Nordisk Pharmaceuticals Pty Lt</w:t>
          </w:r>
          <w:r>
            <w:t>d - PM-2018-05745-1-5</w:t>
          </w:r>
          <w:r>
            <w:br/>
            <w:t>FINAL 27 August 2020</w:t>
          </w:r>
        </w:p>
      </w:tc>
      <w:tc>
        <w:tcPr>
          <w:tcW w:w="1276" w:type="dxa"/>
          <w:tcMar>
            <w:top w:w="142" w:type="dxa"/>
            <w:bottom w:w="0" w:type="dxa"/>
          </w:tcMar>
        </w:tcPr>
        <w:p w14:paraId="1CAC03D6" w14:textId="6E8CA2AD" w:rsidR="007B4A4F" w:rsidRPr="00487162" w:rsidRDefault="007B4A4F" w:rsidP="00DB750B">
          <w:pPr>
            <w:pStyle w:val="Footer"/>
            <w:jc w:val="right"/>
          </w:pPr>
          <w:r w:rsidRPr="00487162">
            <w:t xml:space="preserve">Page </w:t>
          </w:r>
          <w:r>
            <w:fldChar w:fldCharType="begin"/>
          </w:r>
          <w:r>
            <w:instrText xml:space="preserve"> PAGE  \* Arabic </w:instrText>
          </w:r>
          <w:r>
            <w:fldChar w:fldCharType="separate"/>
          </w:r>
          <w:r w:rsidR="0048575C">
            <w:rPr>
              <w:noProof/>
            </w:rPr>
            <w:t>18</w:t>
          </w:r>
          <w:r>
            <w:fldChar w:fldCharType="end"/>
          </w:r>
          <w:r w:rsidRPr="00487162">
            <w:t xml:space="preserve"> of </w:t>
          </w:r>
          <w:fldSimple w:instr=" NUMPAGES  \* Arabic ">
            <w:r w:rsidR="0048575C">
              <w:rPr>
                <w:noProof/>
              </w:rPr>
              <w:t>21</w:t>
            </w:r>
          </w:fldSimple>
        </w:p>
      </w:tc>
    </w:tr>
  </w:tbl>
  <w:p w14:paraId="62628DE5" w14:textId="77777777" w:rsidR="007B4A4F" w:rsidRDefault="007B4A4F"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B4A4F" w:rsidRPr="00487162" w14:paraId="3AB5C3C4" w14:textId="77777777" w:rsidTr="00E45619">
      <w:trPr>
        <w:trHeight w:val="269"/>
      </w:trPr>
      <w:tc>
        <w:tcPr>
          <w:tcW w:w="4519" w:type="dxa"/>
          <w:tcBorders>
            <w:top w:val="single" w:sz="4" w:space="0" w:color="auto"/>
          </w:tcBorders>
          <w:tcMar>
            <w:top w:w="142" w:type="dxa"/>
            <w:bottom w:w="0" w:type="dxa"/>
          </w:tcMar>
        </w:tcPr>
        <w:p w14:paraId="3A74CEFB" w14:textId="77777777" w:rsidR="007B4A4F" w:rsidRPr="00487162" w:rsidRDefault="007B4A4F" w:rsidP="00FE1DEE">
          <w:pPr>
            <w:pStyle w:val="Footer"/>
          </w:pPr>
          <w:r w:rsidRPr="00487162">
            <w:t>Document title, Part #, Section # - Section title</w:t>
          </w:r>
        </w:p>
        <w:p w14:paraId="2E353D24" w14:textId="77777777" w:rsidR="007B4A4F" w:rsidRPr="00487162" w:rsidRDefault="007B4A4F" w:rsidP="00FE1DEE">
          <w:pPr>
            <w:pStyle w:val="Footer"/>
          </w:pPr>
          <w:r w:rsidRPr="00487162">
            <w:t>V1.0 October 2010</w:t>
          </w:r>
        </w:p>
      </w:tc>
      <w:tc>
        <w:tcPr>
          <w:tcW w:w="4342" w:type="dxa"/>
          <w:tcBorders>
            <w:top w:val="single" w:sz="4" w:space="0" w:color="auto"/>
          </w:tcBorders>
          <w:tcMar>
            <w:top w:w="142" w:type="dxa"/>
            <w:bottom w:w="0" w:type="dxa"/>
          </w:tcMar>
        </w:tcPr>
        <w:p w14:paraId="4B774C45" w14:textId="77777777" w:rsidR="007B4A4F" w:rsidRPr="00487162" w:rsidRDefault="007B4A4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6A2401BB" w14:textId="77777777" w:rsidR="007B4A4F" w:rsidRDefault="007B4A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E2840" w14:textId="77777777" w:rsidR="007B4A4F" w:rsidRPr="001C32CD" w:rsidRDefault="007B4A4F"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B4A4F" w14:paraId="0D58CCAC" w14:textId="77777777" w:rsidTr="0010601F">
      <w:trPr>
        <w:trHeight w:val="108"/>
      </w:trPr>
      <w:tc>
        <w:tcPr>
          <w:tcW w:w="8875" w:type="dxa"/>
          <w:gridSpan w:val="2"/>
          <w:tcBorders>
            <w:bottom w:val="single" w:sz="4" w:space="0" w:color="auto"/>
          </w:tcBorders>
          <w:tcMar>
            <w:right w:w="284" w:type="dxa"/>
          </w:tcMar>
        </w:tcPr>
        <w:p w14:paraId="754AA39F" w14:textId="77777777" w:rsidR="007B4A4F" w:rsidRDefault="007B4A4F" w:rsidP="006E08B3">
          <w:pPr>
            <w:pStyle w:val="Heading3"/>
          </w:pPr>
          <w:r>
            <w:t>Copyright</w:t>
          </w:r>
        </w:p>
        <w:p w14:paraId="4B741155" w14:textId="77777777" w:rsidR="007B4A4F" w:rsidRDefault="007B4A4F" w:rsidP="006E08B3">
          <w:r>
            <w:rPr>
              <w:rFonts w:cs="Arial"/>
            </w:rPr>
            <w:t>©</w:t>
          </w:r>
          <w:r>
            <w:t xml:space="preserve"> Commonwealth of Australia [add year]</w:t>
          </w:r>
        </w:p>
        <w:p w14:paraId="3EC9CC69" w14:textId="77777777" w:rsidR="007B4A4F" w:rsidRDefault="007B4A4F" w:rsidP="006E08B3"/>
        <w:p w14:paraId="5EB3AC83" w14:textId="77777777" w:rsidR="007B4A4F" w:rsidRDefault="007B4A4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DEE0BA9" w14:textId="77777777" w:rsidR="007B4A4F" w:rsidRDefault="007B4A4F" w:rsidP="006E08B3"/>
        <w:p w14:paraId="204225B8" w14:textId="77777777" w:rsidR="007B4A4F" w:rsidRDefault="007B4A4F" w:rsidP="006E08B3">
          <w:pPr>
            <w:pStyle w:val="Heading3"/>
          </w:pPr>
          <w:r>
            <w:t>Confidentiality</w:t>
          </w:r>
        </w:p>
        <w:p w14:paraId="24ADB6B9" w14:textId="77777777" w:rsidR="007B4A4F" w:rsidRDefault="007B4A4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747977F" w14:textId="77777777" w:rsidR="007B4A4F" w:rsidRDefault="007B4A4F" w:rsidP="006E08B3"/>
        <w:p w14:paraId="508BB721" w14:textId="77777777" w:rsidR="007B4A4F" w:rsidRDefault="007B4A4F" w:rsidP="006E08B3">
          <w:r>
            <w:t>For submission made by individuals, all personal details, other than your name, will be removed from your submission before it is published on the TGA’s Internet site.</w:t>
          </w:r>
        </w:p>
        <w:p w14:paraId="1AFD5E95" w14:textId="77777777" w:rsidR="007B4A4F" w:rsidRDefault="007B4A4F" w:rsidP="006E08B3"/>
        <w:p w14:paraId="05223BB2" w14:textId="77777777" w:rsidR="007B4A4F" w:rsidRDefault="007B4A4F" w:rsidP="006E08B3">
          <w:r>
            <w:t>In addition, a list of parties making submissions will be published. If you do not wish to be identified with your submission you must specifically request this in the space provided ib the submission coversheet.</w:t>
          </w:r>
        </w:p>
      </w:tc>
    </w:tr>
    <w:tr w:rsidR="007B4A4F" w14:paraId="3CF123EA" w14:textId="77777777" w:rsidTr="0010601F">
      <w:trPr>
        <w:trHeight w:val="417"/>
      </w:trPr>
      <w:tc>
        <w:tcPr>
          <w:tcW w:w="4519" w:type="dxa"/>
          <w:tcBorders>
            <w:top w:val="single" w:sz="4" w:space="0" w:color="auto"/>
          </w:tcBorders>
          <w:tcMar>
            <w:top w:w="142" w:type="dxa"/>
            <w:bottom w:w="0" w:type="dxa"/>
          </w:tcMar>
        </w:tcPr>
        <w:p w14:paraId="22B08E05" w14:textId="77777777" w:rsidR="007B4A4F" w:rsidRDefault="007B4A4F" w:rsidP="006E08B3">
          <w:r>
            <w:t>Document title, Part #, Section # - Section title</w:t>
          </w:r>
        </w:p>
        <w:p w14:paraId="6A451DBF" w14:textId="77777777" w:rsidR="007B4A4F" w:rsidRDefault="007B4A4F" w:rsidP="006E08B3">
          <w:r>
            <w:t>V1.0 October 2010</w:t>
          </w:r>
        </w:p>
      </w:tc>
      <w:tc>
        <w:tcPr>
          <w:tcW w:w="4356" w:type="dxa"/>
          <w:tcBorders>
            <w:top w:val="single" w:sz="4" w:space="0" w:color="auto"/>
          </w:tcBorders>
          <w:tcMar>
            <w:top w:w="142" w:type="dxa"/>
            <w:bottom w:w="0" w:type="dxa"/>
          </w:tcMar>
        </w:tcPr>
        <w:p w14:paraId="7893109C" w14:textId="77777777" w:rsidR="007B4A4F" w:rsidRDefault="007B4A4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09FB8993" w14:textId="77777777" w:rsidR="007B4A4F" w:rsidRDefault="007B4A4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5361E" w14:textId="77777777" w:rsidR="007B4A4F" w:rsidRDefault="007B4A4F" w:rsidP="00C40A36">
      <w:pPr>
        <w:spacing w:after="0"/>
      </w:pPr>
      <w:r>
        <w:separator/>
      </w:r>
    </w:p>
  </w:footnote>
  <w:footnote w:type="continuationSeparator" w:id="0">
    <w:p w14:paraId="418BB83F" w14:textId="77777777" w:rsidR="007B4A4F" w:rsidRDefault="007B4A4F" w:rsidP="00C40A36">
      <w:pPr>
        <w:spacing w:after="0"/>
      </w:pPr>
      <w:r>
        <w:continuationSeparator/>
      </w:r>
    </w:p>
  </w:footnote>
  <w:footnote w:id="1">
    <w:p w14:paraId="5CA27F7C" w14:textId="2C167E75" w:rsidR="007B4A4F" w:rsidRPr="00D813E6" w:rsidRDefault="007B4A4F" w:rsidP="00E41B4B">
      <w:pPr>
        <w:pStyle w:val="FootnoteText"/>
        <w:rPr>
          <w:lang w:val="en-US"/>
        </w:rPr>
      </w:pPr>
      <w:r>
        <w:rPr>
          <w:rStyle w:val="FootnoteReference"/>
        </w:rPr>
        <w:footnoteRef/>
      </w:r>
      <w:r>
        <w:t xml:space="preserve"> </w:t>
      </w:r>
      <w:r w:rsidRPr="00E41B4B">
        <w:t>NovoRapid insulin aspart is a rapid acting insulin used to treat diabetes mellitus, registered on the Australian Register of Therapeutic Goods</w:t>
      </w:r>
      <w:r>
        <w:t xml:space="preserve"> (ARTG)</w:t>
      </w:r>
      <w:r w:rsidRPr="00E41B4B">
        <w:t xml:space="preserve"> under the following ARTG entries: NovoRapid Innolet insulin aspart (rys) 100 U/mL injection multi-dose cartridge (ARTG R 133446) NovoRapid F</w:t>
      </w:r>
      <w:r>
        <w:t>lexpen insulin aspart (rys) 300 </w:t>
      </w:r>
      <w:r w:rsidRPr="00E41B4B">
        <w:t>U/3 mL injection multidose cartridge (ARTG R 133445) NovoRapid P</w:t>
      </w:r>
      <w:r>
        <w:t>enfill insulin aspart (rys) 300 U/3 </w:t>
      </w:r>
      <w:r w:rsidRPr="00E41B4B">
        <w:t>mL injection cartridge (ARTG R 133444) and NovoRapid insulin aspart (rys) 100 U/mL injection multidose vial (ARTG R 133443).</w:t>
      </w:r>
    </w:p>
  </w:footnote>
  <w:footnote w:id="2">
    <w:p w14:paraId="097C8ED8" w14:textId="505828B7" w:rsidR="007B4A4F" w:rsidRDefault="007B4A4F">
      <w:pPr>
        <w:pStyle w:val="FootnoteText"/>
      </w:pPr>
      <w:r>
        <w:rPr>
          <w:rStyle w:val="FootnoteReference"/>
        </w:rPr>
        <w:footnoteRef/>
      </w:r>
      <w:r>
        <w:t xml:space="preserve"> </w:t>
      </w:r>
      <w:r w:rsidRPr="00BD2841">
        <w:rPr>
          <w:rStyle w:val="FootnoteTextChar"/>
        </w:rPr>
        <w:t xml:space="preserve">Australian Government Australian Institute of Health and Welfare. Diabetes snapshot. Updated 24th July 2018. </w:t>
      </w:r>
      <w:hyperlink r:id="rId1" w:history="1">
        <w:r w:rsidRPr="00BD2841">
          <w:rPr>
            <w:rStyle w:val="FootnoteTextChar"/>
          </w:rPr>
          <w:t>https://www.aihw.gov.au/reports/diabetes/diabetes-snapshot/contents/how-many-australians-have-diabetes</w:t>
        </w:r>
      </w:hyperlink>
      <w:r>
        <w:rPr>
          <w:rStyle w:val="FootnoteTextChar"/>
        </w:rPr>
        <w:t>.</w:t>
      </w:r>
    </w:p>
  </w:footnote>
  <w:footnote w:id="3">
    <w:p w14:paraId="2F1628D7" w14:textId="50720D4A" w:rsidR="007B4A4F" w:rsidRPr="00D813E6" w:rsidRDefault="007B4A4F">
      <w:pPr>
        <w:pStyle w:val="FootnoteText"/>
        <w:rPr>
          <w:lang w:val="en-US"/>
        </w:rPr>
      </w:pPr>
      <w:r>
        <w:rPr>
          <w:rStyle w:val="FootnoteReference"/>
        </w:rPr>
        <w:footnoteRef/>
      </w:r>
      <w:r>
        <w:t xml:space="preserve"> Actrapid is a h</w:t>
      </w:r>
      <w:r w:rsidRPr="00C9578E">
        <w:t xml:space="preserve">uman insulin is produced in </w:t>
      </w:r>
      <w:r w:rsidRPr="00D813E6">
        <w:rPr>
          <w:i/>
        </w:rPr>
        <w:t>Saccharomyces cerevisiae</w:t>
      </w:r>
      <w:r w:rsidRPr="00C9578E">
        <w:t xml:space="preserve"> by recombinant DNA technology.</w:t>
      </w:r>
    </w:p>
  </w:footnote>
  <w:footnote w:id="4">
    <w:p w14:paraId="01BB8743" w14:textId="73A1E341" w:rsidR="007B4A4F" w:rsidRPr="00D813E6" w:rsidRDefault="007B4A4F">
      <w:pPr>
        <w:pStyle w:val="FootnoteText"/>
        <w:rPr>
          <w:lang w:val="en-US"/>
        </w:rPr>
      </w:pPr>
      <w:r>
        <w:rPr>
          <w:rStyle w:val="FootnoteReference"/>
        </w:rPr>
        <w:footnoteRef/>
      </w:r>
      <w:r>
        <w:t xml:space="preserve"> Insulin degludec</w:t>
      </w:r>
      <w:r w:rsidRPr="00030801">
        <w:t xml:space="preserve"> is an ultralong-acting basal insulin analogue </w:t>
      </w:r>
      <w:r>
        <w:t xml:space="preserve">with </w:t>
      </w:r>
      <w:r w:rsidRPr="00030801">
        <w:t xml:space="preserve">a duration of action </w:t>
      </w:r>
      <w:r>
        <w:t>&gt; 24 hours up to 42 </w:t>
      </w:r>
      <w:r w:rsidRPr="00030801">
        <w:t>hours</w:t>
      </w:r>
      <w:r>
        <w:t>.</w:t>
      </w:r>
    </w:p>
  </w:footnote>
  <w:footnote w:id="5">
    <w:p w14:paraId="0A820E02" w14:textId="16235FAE" w:rsidR="007B4A4F" w:rsidRPr="00D813E6" w:rsidRDefault="007B4A4F">
      <w:pPr>
        <w:pStyle w:val="FootnoteText"/>
        <w:rPr>
          <w:lang w:val="en-US"/>
        </w:rPr>
      </w:pPr>
      <w:r>
        <w:rPr>
          <w:rStyle w:val="FootnoteReference"/>
        </w:rPr>
        <w:footnoteRef/>
      </w:r>
      <w:r>
        <w:t xml:space="preserve"> </w:t>
      </w:r>
      <w:r w:rsidRPr="005B6E1E">
        <w:t>HbA1c, or glycated haemoglobin, is a form of haemoglobin chemically linked to a sugar via glycation. HbA1c is measured primarily to determine the three month average blood sugar level and is the most accepted method of measuring chronic glycaemia. Measurement can be used as a diagnostic test for diabetes mellitus and as an assessment test for glycaemic control in people with diabetes. An HbA1c of 48 mmol/mol (6.5%) or greater has now been recommended in Australia for diagnosis of type 2 diabetes. https://www.nps.org.au/australian-prescriber/articles/glycated-haemoglobin-for-the-diagnosis-of-diabetes</w:t>
      </w:r>
    </w:p>
  </w:footnote>
  <w:footnote w:id="6">
    <w:p w14:paraId="4EC67C38" w14:textId="64AC0AAA" w:rsidR="007B4A4F" w:rsidRDefault="007B4A4F">
      <w:pPr>
        <w:pStyle w:val="FootnoteText"/>
      </w:pPr>
      <w:r>
        <w:rPr>
          <w:rStyle w:val="FootnoteReference"/>
        </w:rPr>
        <w:footnoteRef/>
      </w:r>
      <w:r>
        <w:t xml:space="preserve"> EMA, </w:t>
      </w:r>
      <w:r w:rsidRPr="008D4DDD">
        <w:t>Committee for Medicinal Products for Human Use (CHMP)</w:t>
      </w:r>
      <w:r>
        <w:t xml:space="preserve">, </w:t>
      </w:r>
      <w:r w:rsidRPr="008D4DDD">
        <w:t>Guideline on clinical investigation of medicinal products in the treatment or prevention of diabetes mellitus</w:t>
      </w:r>
      <w:r>
        <w:t>, CPMP/EWP/1080/00 Rev. 1, 14 May 2012.</w:t>
      </w:r>
    </w:p>
  </w:footnote>
  <w:footnote w:id="7">
    <w:p w14:paraId="3BB8CF67" w14:textId="77777777" w:rsidR="007B4A4F" w:rsidRDefault="007B4A4F"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BF9699A" w14:textId="77777777" w:rsidR="007B4A4F" w:rsidRPr="00456765" w:rsidRDefault="007B4A4F"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C6DE9" w14:textId="77777777" w:rsidR="007B4A4F" w:rsidRDefault="007B4A4F"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E8A69" w14:textId="77777777" w:rsidR="007B4A4F" w:rsidRDefault="007B4A4F">
    <w:pPr>
      <w:rPr>
        <w:noProof/>
        <w:lang w:eastAsia="en-AU"/>
      </w:rPr>
    </w:pPr>
    <w:r w:rsidRPr="00347824">
      <w:rPr>
        <w:noProof/>
        <w:lang w:eastAsia="en-AU"/>
      </w:rPr>
      <w:drawing>
        <wp:anchor distT="0" distB="0" distL="114300" distR="114300" simplePos="0" relativeHeight="251659264" behindDoc="1" locked="0" layoutInCell="1" allowOverlap="1" wp14:anchorId="03CE6B25" wp14:editId="20F12C4E">
          <wp:simplePos x="0" y="0"/>
          <wp:positionH relativeFrom="column">
            <wp:posOffset>-1089660</wp:posOffset>
          </wp:positionH>
          <wp:positionV relativeFrom="paragraph">
            <wp:posOffset>-585470</wp:posOffset>
          </wp:positionV>
          <wp:extent cx="7572375" cy="10706100"/>
          <wp:effectExtent l="19050" t="0" r="0" b="0"/>
          <wp:wrapNone/>
          <wp:docPr id="1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CE0AA33" w14:textId="77777777" w:rsidR="007B4A4F" w:rsidRDefault="007B4A4F" w:rsidP="00593AD1">
    <w:pPr>
      <w:pStyle w:val="HeaderNoLine"/>
    </w:pPr>
    <w:r>
      <w:rPr>
        <w:noProof/>
        <w:lang w:eastAsia="en-AU"/>
      </w:rPr>
      <w:drawing>
        <wp:inline distT="0" distB="0" distL="0" distR="0" wp14:anchorId="5F3D7936" wp14:editId="545FF464">
          <wp:extent cx="5400675" cy="7639050"/>
          <wp:effectExtent l="0" t="0" r="9525" b="0"/>
          <wp:docPr id="17" name="Picture 17"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1F1D9" w14:textId="77777777" w:rsidR="007B4A4F" w:rsidRDefault="007B4A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61B8A" w14:textId="77777777" w:rsidR="007B4A4F" w:rsidRDefault="007B4A4F">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3A370" w14:textId="77777777" w:rsidR="007B4A4F" w:rsidRDefault="007B4A4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94365" w14:textId="77777777" w:rsidR="007B4A4F" w:rsidRDefault="007B4A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93C33" w14:textId="77777777" w:rsidR="007B4A4F" w:rsidRDefault="007B4A4F"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7F63D" w14:textId="77777777" w:rsidR="007B4A4F" w:rsidRDefault="007B4A4F" w:rsidP="006E08B3">
    <w:r>
      <w:t>Therapeutic Goods Administration</w:t>
    </w:r>
  </w:p>
  <w:p w14:paraId="289E5F99" w14:textId="77777777" w:rsidR="007B4A4F" w:rsidRDefault="007B4A4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8F13E9"/>
    <w:multiLevelType w:val="multilevel"/>
    <w:tmpl w:val="535C6EC0"/>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CF61848"/>
    <w:multiLevelType w:val="hybridMultilevel"/>
    <w:tmpl w:val="7756A7E6"/>
    <w:lvl w:ilvl="0" w:tplc="A12E07EE">
      <w:start w:val="1"/>
      <w:numFmt w:val="decimal"/>
      <w:lvlText w:val="%1."/>
      <w:lvlJc w:val="left"/>
      <w:pPr>
        <w:ind w:left="720" w:hanging="360"/>
      </w:pPr>
      <w:rPr>
        <w:rFonts w:asciiTheme="minorHAnsi" w:eastAsia="MS Mincho" w:hAnsiTheme="minorHAnsi"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7"/>
  </w:num>
  <w:num w:numId="28">
    <w:abstractNumId w:val="9"/>
  </w:num>
  <w:num w:numId="29">
    <w:abstractNumId w:val="8"/>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7"/>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1C1"/>
    <w:rsid w:val="00002031"/>
    <w:rsid w:val="00004734"/>
    <w:rsid w:val="00006189"/>
    <w:rsid w:val="00006B22"/>
    <w:rsid w:val="000076D7"/>
    <w:rsid w:val="0001276A"/>
    <w:rsid w:val="000132B4"/>
    <w:rsid w:val="00013FF7"/>
    <w:rsid w:val="000246AE"/>
    <w:rsid w:val="00025C67"/>
    <w:rsid w:val="00030247"/>
    <w:rsid w:val="00030801"/>
    <w:rsid w:val="00033830"/>
    <w:rsid w:val="0003538E"/>
    <w:rsid w:val="00040EC8"/>
    <w:rsid w:val="00040FF3"/>
    <w:rsid w:val="00044772"/>
    <w:rsid w:val="0004541C"/>
    <w:rsid w:val="0005559E"/>
    <w:rsid w:val="000604D6"/>
    <w:rsid w:val="0006642A"/>
    <w:rsid w:val="000734D8"/>
    <w:rsid w:val="00076CA5"/>
    <w:rsid w:val="00077775"/>
    <w:rsid w:val="000814E8"/>
    <w:rsid w:val="000877B7"/>
    <w:rsid w:val="00090471"/>
    <w:rsid w:val="00096AA7"/>
    <w:rsid w:val="000A3AED"/>
    <w:rsid w:val="000B0E3E"/>
    <w:rsid w:val="000B3532"/>
    <w:rsid w:val="000B3A75"/>
    <w:rsid w:val="000C00C2"/>
    <w:rsid w:val="000C690F"/>
    <w:rsid w:val="000D1295"/>
    <w:rsid w:val="000D391B"/>
    <w:rsid w:val="000D3D6D"/>
    <w:rsid w:val="000D4FC7"/>
    <w:rsid w:val="000E6196"/>
    <w:rsid w:val="000E76DA"/>
    <w:rsid w:val="000F3404"/>
    <w:rsid w:val="000F3F33"/>
    <w:rsid w:val="000F4869"/>
    <w:rsid w:val="000F5B42"/>
    <w:rsid w:val="000F6E6F"/>
    <w:rsid w:val="0010601F"/>
    <w:rsid w:val="0010788A"/>
    <w:rsid w:val="00107A31"/>
    <w:rsid w:val="00110EA5"/>
    <w:rsid w:val="00112F56"/>
    <w:rsid w:val="0012147D"/>
    <w:rsid w:val="00124ACD"/>
    <w:rsid w:val="00125318"/>
    <w:rsid w:val="001305A2"/>
    <w:rsid w:val="00133238"/>
    <w:rsid w:val="00133A1B"/>
    <w:rsid w:val="0014197B"/>
    <w:rsid w:val="001447CD"/>
    <w:rsid w:val="001472EF"/>
    <w:rsid w:val="001477AC"/>
    <w:rsid w:val="00147A14"/>
    <w:rsid w:val="001516B1"/>
    <w:rsid w:val="00154EBB"/>
    <w:rsid w:val="00156316"/>
    <w:rsid w:val="00156C02"/>
    <w:rsid w:val="00161181"/>
    <w:rsid w:val="00162D14"/>
    <w:rsid w:val="00163780"/>
    <w:rsid w:val="00165389"/>
    <w:rsid w:val="00167B08"/>
    <w:rsid w:val="0017693F"/>
    <w:rsid w:val="0018110E"/>
    <w:rsid w:val="001813A7"/>
    <w:rsid w:val="00181684"/>
    <w:rsid w:val="001843C6"/>
    <w:rsid w:val="001850E0"/>
    <w:rsid w:val="001A03AF"/>
    <w:rsid w:val="001A2158"/>
    <w:rsid w:val="001A525F"/>
    <w:rsid w:val="001B09F9"/>
    <w:rsid w:val="001B5C90"/>
    <w:rsid w:val="001B6448"/>
    <w:rsid w:val="001C32CD"/>
    <w:rsid w:val="001D2984"/>
    <w:rsid w:val="001D576C"/>
    <w:rsid w:val="001E07CF"/>
    <w:rsid w:val="001E59F1"/>
    <w:rsid w:val="001F20B8"/>
    <w:rsid w:val="001F2CEE"/>
    <w:rsid w:val="001F49EB"/>
    <w:rsid w:val="001F6BD2"/>
    <w:rsid w:val="001F6CBA"/>
    <w:rsid w:val="00201D4E"/>
    <w:rsid w:val="00203DD9"/>
    <w:rsid w:val="002076C9"/>
    <w:rsid w:val="00220B8A"/>
    <w:rsid w:val="002257F3"/>
    <w:rsid w:val="00227549"/>
    <w:rsid w:val="00233456"/>
    <w:rsid w:val="002339A5"/>
    <w:rsid w:val="002402F4"/>
    <w:rsid w:val="002551C1"/>
    <w:rsid w:val="00256CBE"/>
    <w:rsid w:val="00257848"/>
    <w:rsid w:val="002578E8"/>
    <w:rsid w:val="0027084A"/>
    <w:rsid w:val="00280265"/>
    <w:rsid w:val="00286434"/>
    <w:rsid w:val="00286C59"/>
    <w:rsid w:val="00291957"/>
    <w:rsid w:val="00291A39"/>
    <w:rsid w:val="002942D1"/>
    <w:rsid w:val="0029501A"/>
    <w:rsid w:val="002A3721"/>
    <w:rsid w:val="002B1638"/>
    <w:rsid w:val="002B3624"/>
    <w:rsid w:val="002D0952"/>
    <w:rsid w:val="002D0C2C"/>
    <w:rsid w:val="002D4581"/>
    <w:rsid w:val="002E40B3"/>
    <w:rsid w:val="002E4491"/>
    <w:rsid w:val="002E4C9A"/>
    <w:rsid w:val="002F11F8"/>
    <w:rsid w:val="002F3F56"/>
    <w:rsid w:val="002F44B5"/>
    <w:rsid w:val="002F5122"/>
    <w:rsid w:val="002F732C"/>
    <w:rsid w:val="00303FD6"/>
    <w:rsid w:val="00311AC0"/>
    <w:rsid w:val="003176FC"/>
    <w:rsid w:val="0032583B"/>
    <w:rsid w:val="00326EB2"/>
    <w:rsid w:val="00327883"/>
    <w:rsid w:val="00330D46"/>
    <w:rsid w:val="00335504"/>
    <w:rsid w:val="00340C18"/>
    <w:rsid w:val="003442FD"/>
    <w:rsid w:val="00345899"/>
    <w:rsid w:val="00347824"/>
    <w:rsid w:val="003503A5"/>
    <w:rsid w:val="00350567"/>
    <w:rsid w:val="003521E8"/>
    <w:rsid w:val="00365AC4"/>
    <w:rsid w:val="00370CE3"/>
    <w:rsid w:val="003728F3"/>
    <w:rsid w:val="003735BC"/>
    <w:rsid w:val="0037496E"/>
    <w:rsid w:val="00383221"/>
    <w:rsid w:val="00386150"/>
    <w:rsid w:val="003874CE"/>
    <w:rsid w:val="00390900"/>
    <w:rsid w:val="003A0810"/>
    <w:rsid w:val="003A7F6C"/>
    <w:rsid w:val="003B4D60"/>
    <w:rsid w:val="003B65C0"/>
    <w:rsid w:val="003B7E39"/>
    <w:rsid w:val="003C58DC"/>
    <w:rsid w:val="003D1E62"/>
    <w:rsid w:val="003D53E1"/>
    <w:rsid w:val="003E0B99"/>
    <w:rsid w:val="003E1B98"/>
    <w:rsid w:val="003E2486"/>
    <w:rsid w:val="003E3208"/>
    <w:rsid w:val="003F0B04"/>
    <w:rsid w:val="0040134E"/>
    <w:rsid w:val="00424F30"/>
    <w:rsid w:val="004334C7"/>
    <w:rsid w:val="00434FDB"/>
    <w:rsid w:val="00436157"/>
    <w:rsid w:val="00440A2D"/>
    <w:rsid w:val="00441C3F"/>
    <w:rsid w:val="00444D1A"/>
    <w:rsid w:val="004511EE"/>
    <w:rsid w:val="0045186A"/>
    <w:rsid w:val="00456492"/>
    <w:rsid w:val="004564A7"/>
    <w:rsid w:val="00456765"/>
    <w:rsid w:val="00456D75"/>
    <w:rsid w:val="004617BF"/>
    <w:rsid w:val="00463658"/>
    <w:rsid w:val="004637A0"/>
    <w:rsid w:val="00471683"/>
    <w:rsid w:val="004722CC"/>
    <w:rsid w:val="0048575C"/>
    <w:rsid w:val="00490483"/>
    <w:rsid w:val="004936E4"/>
    <w:rsid w:val="00494E60"/>
    <w:rsid w:val="00497487"/>
    <w:rsid w:val="004A2771"/>
    <w:rsid w:val="004A6189"/>
    <w:rsid w:val="004A696D"/>
    <w:rsid w:val="004A7390"/>
    <w:rsid w:val="004B7B76"/>
    <w:rsid w:val="004C239D"/>
    <w:rsid w:val="004C2DCA"/>
    <w:rsid w:val="004C61D2"/>
    <w:rsid w:val="004F0C4A"/>
    <w:rsid w:val="004F0F38"/>
    <w:rsid w:val="004F47D6"/>
    <w:rsid w:val="00500337"/>
    <w:rsid w:val="00501921"/>
    <w:rsid w:val="00504802"/>
    <w:rsid w:val="0052096E"/>
    <w:rsid w:val="00526784"/>
    <w:rsid w:val="00530354"/>
    <w:rsid w:val="00534B41"/>
    <w:rsid w:val="0053625B"/>
    <w:rsid w:val="005403AD"/>
    <w:rsid w:val="00542438"/>
    <w:rsid w:val="005434C6"/>
    <w:rsid w:val="00543B39"/>
    <w:rsid w:val="00546154"/>
    <w:rsid w:val="00550096"/>
    <w:rsid w:val="00550B10"/>
    <w:rsid w:val="00555280"/>
    <w:rsid w:val="00557FF9"/>
    <w:rsid w:val="00562327"/>
    <w:rsid w:val="005623F6"/>
    <w:rsid w:val="005711D5"/>
    <w:rsid w:val="00576378"/>
    <w:rsid w:val="00577130"/>
    <w:rsid w:val="00577945"/>
    <w:rsid w:val="00577E38"/>
    <w:rsid w:val="00585322"/>
    <w:rsid w:val="005857C6"/>
    <w:rsid w:val="00592F6E"/>
    <w:rsid w:val="00593AD1"/>
    <w:rsid w:val="00597D35"/>
    <w:rsid w:val="005A073B"/>
    <w:rsid w:val="005A68B6"/>
    <w:rsid w:val="005B6E1E"/>
    <w:rsid w:val="005C5570"/>
    <w:rsid w:val="005C79A4"/>
    <w:rsid w:val="005D266F"/>
    <w:rsid w:val="005D5442"/>
    <w:rsid w:val="005F73C7"/>
    <w:rsid w:val="00603F32"/>
    <w:rsid w:val="00605AD4"/>
    <w:rsid w:val="006136D7"/>
    <w:rsid w:val="00614591"/>
    <w:rsid w:val="00625A6E"/>
    <w:rsid w:val="00632398"/>
    <w:rsid w:val="00640FC3"/>
    <w:rsid w:val="00642020"/>
    <w:rsid w:val="006430EE"/>
    <w:rsid w:val="0065337B"/>
    <w:rsid w:val="0065419D"/>
    <w:rsid w:val="00655AD9"/>
    <w:rsid w:val="006603BC"/>
    <w:rsid w:val="006604D8"/>
    <w:rsid w:val="00664A5B"/>
    <w:rsid w:val="0066735C"/>
    <w:rsid w:val="00673ABA"/>
    <w:rsid w:val="006763D2"/>
    <w:rsid w:val="00680C08"/>
    <w:rsid w:val="006843AB"/>
    <w:rsid w:val="006916A0"/>
    <w:rsid w:val="006931B1"/>
    <w:rsid w:val="006A15C0"/>
    <w:rsid w:val="006A54CD"/>
    <w:rsid w:val="006A58A8"/>
    <w:rsid w:val="006A6972"/>
    <w:rsid w:val="006C3E2A"/>
    <w:rsid w:val="006C642F"/>
    <w:rsid w:val="006D03E5"/>
    <w:rsid w:val="006D2E04"/>
    <w:rsid w:val="006D384B"/>
    <w:rsid w:val="006D3B6A"/>
    <w:rsid w:val="006D5D3E"/>
    <w:rsid w:val="006D7F94"/>
    <w:rsid w:val="006E08B3"/>
    <w:rsid w:val="006F17AC"/>
    <w:rsid w:val="006F25B8"/>
    <w:rsid w:val="006F572E"/>
    <w:rsid w:val="007046D6"/>
    <w:rsid w:val="00705DB0"/>
    <w:rsid w:val="00714259"/>
    <w:rsid w:val="00720B3D"/>
    <w:rsid w:val="00722B57"/>
    <w:rsid w:val="00722C66"/>
    <w:rsid w:val="00730F8A"/>
    <w:rsid w:val="00732E2C"/>
    <w:rsid w:val="00735A8C"/>
    <w:rsid w:val="0074253D"/>
    <w:rsid w:val="0074429B"/>
    <w:rsid w:val="00747C73"/>
    <w:rsid w:val="00755047"/>
    <w:rsid w:val="007562A4"/>
    <w:rsid w:val="0075768F"/>
    <w:rsid w:val="007615BC"/>
    <w:rsid w:val="00762F05"/>
    <w:rsid w:val="007652FF"/>
    <w:rsid w:val="007656DC"/>
    <w:rsid w:val="00770CAC"/>
    <w:rsid w:val="00770EF1"/>
    <w:rsid w:val="00773EF7"/>
    <w:rsid w:val="00774E1D"/>
    <w:rsid w:val="007765D8"/>
    <w:rsid w:val="0077675A"/>
    <w:rsid w:val="00780355"/>
    <w:rsid w:val="007819FD"/>
    <w:rsid w:val="00782673"/>
    <w:rsid w:val="00783C77"/>
    <w:rsid w:val="00783F76"/>
    <w:rsid w:val="00785717"/>
    <w:rsid w:val="00785721"/>
    <w:rsid w:val="00793A59"/>
    <w:rsid w:val="007A46F5"/>
    <w:rsid w:val="007A6505"/>
    <w:rsid w:val="007B31EC"/>
    <w:rsid w:val="007B3E31"/>
    <w:rsid w:val="007B4A4F"/>
    <w:rsid w:val="007B6132"/>
    <w:rsid w:val="007B6E9F"/>
    <w:rsid w:val="007C1216"/>
    <w:rsid w:val="007C1AF7"/>
    <w:rsid w:val="007C6B9B"/>
    <w:rsid w:val="007D2201"/>
    <w:rsid w:val="007D3726"/>
    <w:rsid w:val="007F3BB4"/>
    <w:rsid w:val="007F5741"/>
    <w:rsid w:val="008054AD"/>
    <w:rsid w:val="00805D27"/>
    <w:rsid w:val="00806DCB"/>
    <w:rsid w:val="0081291C"/>
    <w:rsid w:val="00821776"/>
    <w:rsid w:val="00831F1A"/>
    <w:rsid w:val="008321F5"/>
    <w:rsid w:val="00832369"/>
    <w:rsid w:val="00834660"/>
    <w:rsid w:val="00836BC2"/>
    <w:rsid w:val="0085156D"/>
    <w:rsid w:val="00852B28"/>
    <w:rsid w:val="0085641B"/>
    <w:rsid w:val="00857136"/>
    <w:rsid w:val="008579DB"/>
    <w:rsid w:val="00875A6B"/>
    <w:rsid w:val="00885B11"/>
    <w:rsid w:val="00886D15"/>
    <w:rsid w:val="00887DD8"/>
    <w:rsid w:val="00891BA9"/>
    <w:rsid w:val="00892610"/>
    <w:rsid w:val="00896018"/>
    <w:rsid w:val="008960DD"/>
    <w:rsid w:val="0089635C"/>
    <w:rsid w:val="008A2B9D"/>
    <w:rsid w:val="008A3D9F"/>
    <w:rsid w:val="008A5E0B"/>
    <w:rsid w:val="008A6B49"/>
    <w:rsid w:val="008A6D59"/>
    <w:rsid w:val="008B0283"/>
    <w:rsid w:val="008B0E1A"/>
    <w:rsid w:val="008B4B03"/>
    <w:rsid w:val="008B596F"/>
    <w:rsid w:val="008C159F"/>
    <w:rsid w:val="008C1623"/>
    <w:rsid w:val="008C1850"/>
    <w:rsid w:val="008C51A9"/>
    <w:rsid w:val="008C7A72"/>
    <w:rsid w:val="008D1BF4"/>
    <w:rsid w:val="008D46EA"/>
    <w:rsid w:val="008D4DDD"/>
    <w:rsid w:val="008E4B87"/>
    <w:rsid w:val="008E7846"/>
    <w:rsid w:val="008F02E5"/>
    <w:rsid w:val="008F1CCC"/>
    <w:rsid w:val="008F23DA"/>
    <w:rsid w:val="008F2967"/>
    <w:rsid w:val="008F6943"/>
    <w:rsid w:val="00902A21"/>
    <w:rsid w:val="009140E8"/>
    <w:rsid w:val="0091441C"/>
    <w:rsid w:val="0091523F"/>
    <w:rsid w:val="00920330"/>
    <w:rsid w:val="009219D7"/>
    <w:rsid w:val="00922D53"/>
    <w:rsid w:val="00923B70"/>
    <w:rsid w:val="00924482"/>
    <w:rsid w:val="00930237"/>
    <w:rsid w:val="00937C17"/>
    <w:rsid w:val="00940A89"/>
    <w:rsid w:val="00941F77"/>
    <w:rsid w:val="00946EA5"/>
    <w:rsid w:val="00954F64"/>
    <w:rsid w:val="00960520"/>
    <w:rsid w:val="00963C08"/>
    <w:rsid w:val="009752A5"/>
    <w:rsid w:val="0098585A"/>
    <w:rsid w:val="00986356"/>
    <w:rsid w:val="009A4CED"/>
    <w:rsid w:val="009A690D"/>
    <w:rsid w:val="009B1D12"/>
    <w:rsid w:val="009B416B"/>
    <w:rsid w:val="009C4954"/>
    <w:rsid w:val="009C4BD5"/>
    <w:rsid w:val="009C7115"/>
    <w:rsid w:val="009D1737"/>
    <w:rsid w:val="009D4D93"/>
    <w:rsid w:val="009D5F04"/>
    <w:rsid w:val="009D646D"/>
    <w:rsid w:val="009D7B77"/>
    <w:rsid w:val="009E0BB0"/>
    <w:rsid w:val="009E3CD8"/>
    <w:rsid w:val="009E3FBB"/>
    <w:rsid w:val="009F0CB1"/>
    <w:rsid w:val="009F7353"/>
    <w:rsid w:val="00A04F85"/>
    <w:rsid w:val="00A05FA4"/>
    <w:rsid w:val="00A102E4"/>
    <w:rsid w:val="00A1219C"/>
    <w:rsid w:val="00A12C42"/>
    <w:rsid w:val="00A14DF7"/>
    <w:rsid w:val="00A22D57"/>
    <w:rsid w:val="00A3246D"/>
    <w:rsid w:val="00A35518"/>
    <w:rsid w:val="00A36FA7"/>
    <w:rsid w:val="00A44DDB"/>
    <w:rsid w:val="00A475B7"/>
    <w:rsid w:val="00A47AF7"/>
    <w:rsid w:val="00A47C3E"/>
    <w:rsid w:val="00A50226"/>
    <w:rsid w:val="00A532B1"/>
    <w:rsid w:val="00A5619D"/>
    <w:rsid w:val="00A60BAD"/>
    <w:rsid w:val="00A76125"/>
    <w:rsid w:val="00A77F87"/>
    <w:rsid w:val="00A80B5B"/>
    <w:rsid w:val="00A81299"/>
    <w:rsid w:val="00A84E36"/>
    <w:rsid w:val="00A94943"/>
    <w:rsid w:val="00A964D1"/>
    <w:rsid w:val="00AA0ED0"/>
    <w:rsid w:val="00AB1CE1"/>
    <w:rsid w:val="00AC2B40"/>
    <w:rsid w:val="00AC2BB2"/>
    <w:rsid w:val="00AC2C3C"/>
    <w:rsid w:val="00AC512D"/>
    <w:rsid w:val="00AD0083"/>
    <w:rsid w:val="00AD3935"/>
    <w:rsid w:val="00AE65EB"/>
    <w:rsid w:val="00AE67A7"/>
    <w:rsid w:val="00AF1A9A"/>
    <w:rsid w:val="00AF1D94"/>
    <w:rsid w:val="00AF60C5"/>
    <w:rsid w:val="00B009C6"/>
    <w:rsid w:val="00B01548"/>
    <w:rsid w:val="00B130C5"/>
    <w:rsid w:val="00B13EBD"/>
    <w:rsid w:val="00B21D29"/>
    <w:rsid w:val="00B24CF8"/>
    <w:rsid w:val="00B25034"/>
    <w:rsid w:val="00B33588"/>
    <w:rsid w:val="00B33863"/>
    <w:rsid w:val="00B35AFA"/>
    <w:rsid w:val="00B35E55"/>
    <w:rsid w:val="00B37D17"/>
    <w:rsid w:val="00B4175E"/>
    <w:rsid w:val="00B41C85"/>
    <w:rsid w:val="00B452CE"/>
    <w:rsid w:val="00B46E24"/>
    <w:rsid w:val="00B51380"/>
    <w:rsid w:val="00B54C25"/>
    <w:rsid w:val="00B663C0"/>
    <w:rsid w:val="00B76B91"/>
    <w:rsid w:val="00B76D9B"/>
    <w:rsid w:val="00B77EB1"/>
    <w:rsid w:val="00B811C6"/>
    <w:rsid w:val="00B855B0"/>
    <w:rsid w:val="00B92E08"/>
    <w:rsid w:val="00BA30A7"/>
    <w:rsid w:val="00BB262C"/>
    <w:rsid w:val="00BB26D6"/>
    <w:rsid w:val="00BC622A"/>
    <w:rsid w:val="00BE0A78"/>
    <w:rsid w:val="00BE2A17"/>
    <w:rsid w:val="00BE79F0"/>
    <w:rsid w:val="00BF046D"/>
    <w:rsid w:val="00BF1190"/>
    <w:rsid w:val="00BF3774"/>
    <w:rsid w:val="00BF5D04"/>
    <w:rsid w:val="00C009AA"/>
    <w:rsid w:val="00C1164D"/>
    <w:rsid w:val="00C11FF2"/>
    <w:rsid w:val="00C16861"/>
    <w:rsid w:val="00C21F8D"/>
    <w:rsid w:val="00C346AB"/>
    <w:rsid w:val="00C37850"/>
    <w:rsid w:val="00C404A6"/>
    <w:rsid w:val="00C40A36"/>
    <w:rsid w:val="00C40C3C"/>
    <w:rsid w:val="00C410B0"/>
    <w:rsid w:val="00C44419"/>
    <w:rsid w:val="00C45E7B"/>
    <w:rsid w:val="00C471B1"/>
    <w:rsid w:val="00C52E24"/>
    <w:rsid w:val="00C6316B"/>
    <w:rsid w:val="00C634A9"/>
    <w:rsid w:val="00C64586"/>
    <w:rsid w:val="00C70D53"/>
    <w:rsid w:val="00C73D0B"/>
    <w:rsid w:val="00C74F5C"/>
    <w:rsid w:val="00C772FF"/>
    <w:rsid w:val="00C80137"/>
    <w:rsid w:val="00C801AF"/>
    <w:rsid w:val="00C80256"/>
    <w:rsid w:val="00C92989"/>
    <w:rsid w:val="00C94CD4"/>
    <w:rsid w:val="00C9578E"/>
    <w:rsid w:val="00C9747E"/>
    <w:rsid w:val="00CA1BAD"/>
    <w:rsid w:val="00CA2874"/>
    <w:rsid w:val="00CA3374"/>
    <w:rsid w:val="00CA3608"/>
    <w:rsid w:val="00CB5EE8"/>
    <w:rsid w:val="00CB6BC0"/>
    <w:rsid w:val="00CC1B7C"/>
    <w:rsid w:val="00CC727F"/>
    <w:rsid w:val="00CD2871"/>
    <w:rsid w:val="00CD6560"/>
    <w:rsid w:val="00CE13E8"/>
    <w:rsid w:val="00CF15C3"/>
    <w:rsid w:val="00CF2B6F"/>
    <w:rsid w:val="00CF2F3E"/>
    <w:rsid w:val="00CF58B6"/>
    <w:rsid w:val="00D0062D"/>
    <w:rsid w:val="00D017ED"/>
    <w:rsid w:val="00D040D3"/>
    <w:rsid w:val="00D04C65"/>
    <w:rsid w:val="00D153BF"/>
    <w:rsid w:val="00D153D8"/>
    <w:rsid w:val="00D201D2"/>
    <w:rsid w:val="00D224FE"/>
    <w:rsid w:val="00D23139"/>
    <w:rsid w:val="00D30A40"/>
    <w:rsid w:val="00D35F97"/>
    <w:rsid w:val="00D4024B"/>
    <w:rsid w:val="00D425BB"/>
    <w:rsid w:val="00D435E7"/>
    <w:rsid w:val="00D453FA"/>
    <w:rsid w:val="00D52FE6"/>
    <w:rsid w:val="00D6493E"/>
    <w:rsid w:val="00D7195D"/>
    <w:rsid w:val="00D7301E"/>
    <w:rsid w:val="00D813E6"/>
    <w:rsid w:val="00D83AE1"/>
    <w:rsid w:val="00D855D4"/>
    <w:rsid w:val="00D866DE"/>
    <w:rsid w:val="00D8714F"/>
    <w:rsid w:val="00D902C9"/>
    <w:rsid w:val="00D91FD9"/>
    <w:rsid w:val="00D93466"/>
    <w:rsid w:val="00DA1124"/>
    <w:rsid w:val="00DA64CB"/>
    <w:rsid w:val="00DB06B8"/>
    <w:rsid w:val="00DB48BF"/>
    <w:rsid w:val="00DB6124"/>
    <w:rsid w:val="00DB6E9A"/>
    <w:rsid w:val="00DB750B"/>
    <w:rsid w:val="00DB75B7"/>
    <w:rsid w:val="00DC0A2F"/>
    <w:rsid w:val="00DC1948"/>
    <w:rsid w:val="00DC6E02"/>
    <w:rsid w:val="00DD28CD"/>
    <w:rsid w:val="00DD5A27"/>
    <w:rsid w:val="00DE02AE"/>
    <w:rsid w:val="00DE39D1"/>
    <w:rsid w:val="00DF1D7F"/>
    <w:rsid w:val="00DF223F"/>
    <w:rsid w:val="00DF4BE4"/>
    <w:rsid w:val="00E02382"/>
    <w:rsid w:val="00E02FB4"/>
    <w:rsid w:val="00E13FC7"/>
    <w:rsid w:val="00E20571"/>
    <w:rsid w:val="00E215A4"/>
    <w:rsid w:val="00E235F7"/>
    <w:rsid w:val="00E23659"/>
    <w:rsid w:val="00E239D4"/>
    <w:rsid w:val="00E25121"/>
    <w:rsid w:val="00E251EB"/>
    <w:rsid w:val="00E26130"/>
    <w:rsid w:val="00E33054"/>
    <w:rsid w:val="00E40B22"/>
    <w:rsid w:val="00E41B4B"/>
    <w:rsid w:val="00E44ED1"/>
    <w:rsid w:val="00E45619"/>
    <w:rsid w:val="00E45842"/>
    <w:rsid w:val="00E4588F"/>
    <w:rsid w:val="00E46DA3"/>
    <w:rsid w:val="00E51BB1"/>
    <w:rsid w:val="00E55CB0"/>
    <w:rsid w:val="00E624A5"/>
    <w:rsid w:val="00E64BA4"/>
    <w:rsid w:val="00E7344E"/>
    <w:rsid w:val="00E82665"/>
    <w:rsid w:val="00E9771D"/>
    <w:rsid w:val="00EA4839"/>
    <w:rsid w:val="00EB0798"/>
    <w:rsid w:val="00EB40AD"/>
    <w:rsid w:val="00EB586E"/>
    <w:rsid w:val="00EB5FC8"/>
    <w:rsid w:val="00EC0D1B"/>
    <w:rsid w:val="00EC116B"/>
    <w:rsid w:val="00EC463D"/>
    <w:rsid w:val="00EC4A9A"/>
    <w:rsid w:val="00EC7A85"/>
    <w:rsid w:val="00ED1A5B"/>
    <w:rsid w:val="00ED2922"/>
    <w:rsid w:val="00ED3CAD"/>
    <w:rsid w:val="00ED5A41"/>
    <w:rsid w:val="00EE1DE8"/>
    <w:rsid w:val="00EE27C2"/>
    <w:rsid w:val="00EE3F6B"/>
    <w:rsid w:val="00EE4D8D"/>
    <w:rsid w:val="00EF4BAD"/>
    <w:rsid w:val="00EF59DC"/>
    <w:rsid w:val="00F033EC"/>
    <w:rsid w:val="00F04F68"/>
    <w:rsid w:val="00F10072"/>
    <w:rsid w:val="00F1222B"/>
    <w:rsid w:val="00F12670"/>
    <w:rsid w:val="00F12844"/>
    <w:rsid w:val="00F14B27"/>
    <w:rsid w:val="00F3148D"/>
    <w:rsid w:val="00F325C5"/>
    <w:rsid w:val="00F32FE0"/>
    <w:rsid w:val="00F338DA"/>
    <w:rsid w:val="00F35298"/>
    <w:rsid w:val="00F359EB"/>
    <w:rsid w:val="00F3660E"/>
    <w:rsid w:val="00F40800"/>
    <w:rsid w:val="00F42810"/>
    <w:rsid w:val="00F47333"/>
    <w:rsid w:val="00F47E37"/>
    <w:rsid w:val="00F53C07"/>
    <w:rsid w:val="00F54B65"/>
    <w:rsid w:val="00F640B6"/>
    <w:rsid w:val="00F66DF2"/>
    <w:rsid w:val="00F71751"/>
    <w:rsid w:val="00F80E40"/>
    <w:rsid w:val="00F840C2"/>
    <w:rsid w:val="00F848D9"/>
    <w:rsid w:val="00F86ADC"/>
    <w:rsid w:val="00F9259C"/>
    <w:rsid w:val="00FA5069"/>
    <w:rsid w:val="00FA5B82"/>
    <w:rsid w:val="00FA639E"/>
    <w:rsid w:val="00FC1FCA"/>
    <w:rsid w:val="00FC25E4"/>
    <w:rsid w:val="00FC4EF7"/>
    <w:rsid w:val="00FD0824"/>
    <w:rsid w:val="00FD119B"/>
    <w:rsid w:val="00FD1EDC"/>
    <w:rsid w:val="00FE1DEE"/>
    <w:rsid w:val="00FF2126"/>
    <w:rsid w:val="00FF4F2D"/>
    <w:rsid w:val="00FF5553"/>
    <w:rsid w:val="00FF5755"/>
    <w:rsid w:val="00FF66E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5CA0F8D"/>
  <w15:docId w15:val="{C20953B6-2E59-4785-8604-CE33AF90D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814E8"/>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7B4A4F"/>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7B4A4F"/>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7B4A4F"/>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7B4A4F"/>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7B4A4F"/>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7B4A4F"/>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7B4A4F"/>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7B4A4F"/>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FF66E4"/>
    <w:pPr>
      <w:adjustRightInd w:val="0"/>
      <w:snapToGrid w:val="0"/>
      <w:spacing w:before="180" w:after="180"/>
      <w:ind w:left="720"/>
      <w:contextualSpacing/>
    </w:pPr>
    <w:rPr>
      <w:rFonts w:eastAsia="MS Mincho"/>
      <w:szCs w:val="20"/>
      <w:lang w:eastAsia="ja-JP"/>
    </w:rPr>
  </w:style>
  <w:style w:type="paragraph" w:customStyle="1" w:styleId="Standard">
    <w:name w:val="Standard"/>
    <w:basedOn w:val="Normal"/>
    <w:link w:val="StandardChar"/>
    <w:qFormat/>
    <w:rsid w:val="001F20B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F20B8"/>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5A073B"/>
    <w:pPr>
      <w:numPr>
        <w:numId w:val="30"/>
      </w:numPr>
      <w:spacing w:after="180"/>
      <w:ind w:left="426" w:hanging="284"/>
    </w:pPr>
    <w:rPr>
      <w:kern w:val="2"/>
    </w:rPr>
  </w:style>
  <w:style w:type="character" w:customStyle="1" w:styleId="TabletextChar">
    <w:name w:val="Table text Char"/>
    <w:basedOn w:val="StandardChar"/>
    <w:link w:val="Tabletext"/>
    <w:rsid w:val="005A073B"/>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5A073B"/>
    <w:rPr>
      <w:rFonts w:ascii="Cambria" w:eastAsia="Times New Roman" w:hAnsi="Cambria" w:cs="Times New Roman"/>
      <w:snapToGrid w:val="0"/>
      <w:kern w:val="2"/>
      <w:sz w:val="23"/>
      <w:szCs w:val="24"/>
    </w:rPr>
  </w:style>
  <w:style w:type="paragraph" w:customStyle="1" w:styleId="Default">
    <w:name w:val="Default"/>
    <w:rsid w:val="000814E8"/>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5F73C7"/>
    <w:rPr>
      <w:b/>
      <w:bCs/>
      <w:i w:val="0"/>
      <w:iCs w:val="0"/>
    </w:rPr>
  </w:style>
  <w:style w:type="character" w:customStyle="1" w:styleId="st1">
    <w:name w:val="st1"/>
    <w:basedOn w:val="DefaultParagraphFont"/>
    <w:rsid w:val="005F73C7"/>
  </w:style>
  <w:style w:type="paragraph" w:styleId="NormalWeb">
    <w:name w:val="Normal (Web)"/>
    <w:basedOn w:val="Normal"/>
    <w:uiPriority w:val="99"/>
    <w:semiHidden/>
    <w:unhideWhenUsed/>
    <w:rsid w:val="00B663C0"/>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498361">
      <w:bodyDiv w:val="1"/>
      <w:marLeft w:val="0"/>
      <w:marRight w:val="0"/>
      <w:marTop w:val="0"/>
      <w:marBottom w:val="0"/>
      <w:divBdr>
        <w:top w:val="none" w:sz="0" w:space="0" w:color="auto"/>
        <w:left w:val="none" w:sz="0" w:space="0" w:color="auto"/>
        <w:bottom w:val="none" w:sz="0" w:space="0" w:color="auto"/>
        <w:right w:val="none" w:sz="0" w:space="0" w:color="auto"/>
      </w:divBdr>
    </w:div>
    <w:div w:id="1445493049">
      <w:bodyDiv w:val="1"/>
      <w:marLeft w:val="0"/>
      <w:marRight w:val="0"/>
      <w:marTop w:val="0"/>
      <w:marBottom w:val="0"/>
      <w:divBdr>
        <w:top w:val="none" w:sz="0" w:space="0" w:color="auto"/>
        <w:left w:val="none" w:sz="0" w:space="0" w:color="auto"/>
        <w:bottom w:val="none" w:sz="0" w:space="0" w:color="auto"/>
        <w:right w:val="none" w:sz="0" w:space="0" w:color="auto"/>
      </w:divBdr>
    </w:div>
    <w:div w:id="210838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3.xml"/><Relationship Id="rId28" Type="http://schemas.openxmlformats.org/officeDocument/2006/relationships/hyperlink" Target="https://www.tga.gov.au"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ihw.gov.au/reports/diabetes/diabetes-snapshot/contents/how-many-australians-have-diabet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UST\AppData\Local\Hewlett-Packard\HP%20TRIM\TEMP\HPTRIM.76052\D19-5975236%20%20AusPAR%20-%20template%20-%20streamlined(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D0096-F332-4195-9DFB-C623FAA53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streamlined(2).DOTX</Template>
  <TotalTime>98</TotalTime>
  <Pages>21</Pages>
  <Words>5173</Words>
  <Characters>29491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Australian Public Assessment Report for Insulin aspart (rys)</vt:lpstr>
    </vt:vector>
  </TitlesOfParts>
  <Company>Department of Health Therapeutic Goods Administration</Company>
  <LinksUpToDate>false</LinksUpToDate>
  <CharactersWithSpaces>34595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Insulin aspart (rys)</dc:title>
  <dc:subject>prescription medicines</dc:subject>
  <dc:creator>Therapeutic Goods Administration</dc:creator>
  <cp:keywords>AusPARs</cp:keywords>
  <cp:lastPrinted>2019-08-14T04:30:00Z</cp:lastPrinted>
  <dcterms:created xsi:type="dcterms:W3CDTF">2020-08-17T15:46:00Z</dcterms:created>
  <dcterms:modified xsi:type="dcterms:W3CDTF">2020-09-01T06:16:00Z</dcterms:modified>
  <cp:category/>
</cp:coreProperties>
</file>