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573FD" w14:textId="088F13EF" w:rsidR="00C4198B" w:rsidRDefault="00C4198B" w:rsidP="00C4198B">
      <w:pPr>
        <w:pStyle w:val="BodyText"/>
      </w:pPr>
      <w:r>
        <w:rPr>
          <w:noProof/>
          <w:lang w:val="en-AU" w:eastAsia="en-AU"/>
        </w:rPr>
        <mc:AlternateContent>
          <mc:Choice Requires="wps">
            <w:drawing>
              <wp:inline distT="0" distB="0" distL="0" distR="0" wp14:anchorId="7A575482" wp14:editId="0351FF0F">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11949" w14:textId="77777777" w:rsidR="003A18A3" w:rsidRPr="00BE2A26" w:rsidRDefault="003A18A3" w:rsidP="00C4198B">
                            <w:pPr>
                              <w:rPr>
                                <w:rFonts w:ascii="Wingdings 3" w:hAnsi="Wingdings 3"/>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7A575482"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6DD11949" w14:textId="77777777" w:rsidR="003A18A3" w:rsidRPr="00BE2A26" w:rsidRDefault="003A18A3" w:rsidP="00C4198B">
                      <w:pPr>
                        <w:rPr>
                          <w:rFonts w:ascii="Wingdings 3" w:hAnsi="Wingdings 3"/>
                        </w:rPr>
                      </w:pPr>
                      <w:r w:rsidRPr="00BE2A26">
                        <w:rPr>
                          <w:rFonts w:ascii="SimSun" w:eastAsia="SimSun" w:hAnsi="SimSun" w:hint="eastAsia"/>
                          <w:sz w:val="40"/>
                        </w:rPr>
                        <w:t>▼</w:t>
                      </w:r>
                    </w:p>
                  </w:txbxContent>
                </v:textbox>
                <w10:anchorlock/>
              </v:shape>
            </w:pict>
          </mc:Fallback>
        </mc:AlternateContent>
      </w:r>
      <w:r w:rsidRPr="00D80A69">
        <w:rPr>
          <w:rFonts w:asciiTheme="majorBidi" w:hAnsiTheme="majorBid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B64F66" w:rsidRPr="000F7392">
          <w:rPr>
            <w:rStyle w:val="Hyperlink"/>
            <w:rFonts w:asciiTheme="majorBidi" w:hAnsiTheme="majorBidi"/>
          </w:rPr>
          <w:t>www.tga.gov.au/reporting-problems</w:t>
        </w:r>
      </w:hyperlink>
      <w:r w:rsidRPr="00D80A69">
        <w:rPr>
          <w:rFonts w:asciiTheme="majorBidi" w:hAnsiTheme="majorBidi"/>
        </w:rPr>
        <w:t>.</w:t>
      </w:r>
    </w:p>
    <w:p w14:paraId="3A5F9E75" w14:textId="77777777" w:rsidR="003F6359" w:rsidRDefault="003F6359" w:rsidP="00C44B67">
      <w:pPr>
        <w:pStyle w:val="Heading1"/>
      </w:pPr>
      <w:r w:rsidRPr="003F6359">
        <w:t>A</w:t>
      </w:r>
      <w:r>
        <w:t>USTRALIAN PRODUCT INFORMATION</w:t>
      </w:r>
    </w:p>
    <w:p w14:paraId="7391F83C" w14:textId="10E0292C" w:rsidR="00B64F66" w:rsidRDefault="00B64F66" w:rsidP="00B64F66">
      <w:pPr>
        <w:rPr>
          <w:lang w:val="en-GB"/>
        </w:rPr>
      </w:pPr>
      <w:proofErr w:type="spellStart"/>
      <w:r>
        <w:t>Fiasp</w:t>
      </w:r>
      <w:proofErr w:type="spellEnd"/>
      <w:r>
        <w:t xml:space="preserve"> FlexTouch</w:t>
      </w:r>
      <w:r w:rsidRPr="00C4198B">
        <w:rPr>
          <w:vertAlign w:val="superscript"/>
        </w:rPr>
        <w:t>®</w:t>
      </w:r>
      <w:r>
        <w:t xml:space="preserve"> (insulin </w:t>
      </w:r>
      <w:proofErr w:type="spellStart"/>
      <w:r>
        <w:t>aspart</w:t>
      </w:r>
      <w:proofErr w:type="spellEnd"/>
      <w:r>
        <w:t xml:space="preserve"> (</w:t>
      </w:r>
      <w:proofErr w:type="spellStart"/>
      <w:r>
        <w:t>rys</w:t>
      </w:r>
      <w:proofErr w:type="spellEnd"/>
      <w:r>
        <w:t xml:space="preserve">)) </w:t>
      </w:r>
      <w:r w:rsidRPr="001C421D">
        <w:rPr>
          <w:lang w:val="en-GB"/>
        </w:rPr>
        <w:t>solution for injection</w:t>
      </w:r>
    </w:p>
    <w:p w14:paraId="6345A6E1" w14:textId="6467D6CB" w:rsidR="00B64F66" w:rsidRDefault="00B64F66" w:rsidP="00B64F66">
      <w:proofErr w:type="spellStart"/>
      <w:r>
        <w:t>Fiasp</w:t>
      </w:r>
      <w:proofErr w:type="spellEnd"/>
      <w:r w:rsidRPr="00C4198B">
        <w:rPr>
          <w:vertAlign w:val="superscript"/>
          <w:lang w:val="en-GB"/>
        </w:rPr>
        <w:t>®</w:t>
      </w:r>
      <w:r>
        <w:t xml:space="preserve"> (insulin </w:t>
      </w:r>
      <w:proofErr w:type="spellStart"/>
      <w:r>
        <w:t>aspar</w:t>
      </w:r>
      <w:r w:rsidR="00771901">
        <w:t>t</w:t>
      </w:r>
      <w:proofErr w:type="spellEnd"/>
      <w:r w:rsidR="00771901">
        <w:t xml:space="preserve"> (</w:t>
      </w:r>
      <w:proofErr w:type="spellStart"/>
      <w:r w:rsidR="00771901">
        <w:t>rys</w:t>
      </w:r>
      <w:proofErr w:type="spellEnd"/>
      <w:r w:rsidR="00771901">
        <w:t>)) solution for injection</w:t>
      </w:r>
    </w:p>
    <w:p w14:paraId="41ED1819" w14:textId="25D25629" w:rsidR="00B64F66" w:rsidRDefault="00B64F66" w:rsidP="00B64F66">
      <w:pPr>
        <w:rPr>
          <w:lang w:val="en-GB"/>
        </w:rPr>
      </w:pPr>
      <w:proofErr w:type="spellStart"/>
      <w:r>
        <w:rPr>
          <w:lang w:val="en-GB"/>
        </w:rPr>
        <w:t>Fiasp</w:t>
      </w:r>
      <w:proofErr w:type="spellEnd"/>
      <w:r>
        <w:rPr>
          <w:lang w:val="en-GB"/>
        </w:rPr>
        <w:t xml:space="preserve"> </w:t>
      </w:r>
      <w:proofErr w:type="spellStart"/>
      <w:r>
        <w:rPr>
          <w:lang w:val="en-GB"/>
        </w:rPr>
        <w:t>Penfill</w:t>
      </w:r>
      <w:proofErr w:type="spellEnd"/>
      <w:r w:rsidRPr="00C4198B">
        <w:rPr>
          <w:vertAlign w:val="superscript"/>
          <w:lang w:val="en-GB"/>
        </w:rPr>
        <w:t>®</w:t>
      </w:r>
      <w:r>
        <w:rPr>
          <w:lang w:val="en-GB"/>
        </w:rPr>
        <w:t xml:space="preserve"> (insulin </w:t>
      </w:r>
      <w:proofErr w:type="spellStart"/>
      <w:r>
        <w:rPr>
          <w:lang w:val="en-GB"/>
        </w:rPr>
        <w:t>aspart</w:t>
      </w:r>
      <w:proofErr w:type="spellEnd"/>
      <w:r>
        <w:rPr>
          <w:lang w:val="en-GB"/>
        </w:rPr>
        <w:t xml:space="preserve"> (</w:t>
      </w:r>
      <w:proofErr w:type="spellStart"/>
      <w:r>
        <w:rPr>
          <w:lang w:val="en-GB"/>
        </w:rPr>
        <w:t>rys</w:t>
      </w:r>
      <w:proofErr w:type="spellEnd"/>
      <w:r>
        <w:rPr>
          <w:lang w:val="en-GB"/>
        </w:rPr>
        <w:t xml:space="preserve">)) </w:t>
      </w:r>
      <w:r w:rsidRPr="001C421D">
        <w:rPr>
          <w:lang w:val="en-GB"/>
        </w:rPr>
        <w:t>solution for injection</w:t>
      </w:r>
    </w:p>
    <w:p w14:paraId="5E1756AD" w14:textId="77777777" w:rsidR="003F6359" w:rsidRDefault="003F6359" w:rsidP="00C44B67">
      <w:pPr>
        <w:pStyle w:val="Heading2"/>
      </w:pPr>
      <w:r>
        <w:t>1.</w:t>
      </w:r>
      <w:r>
        <w:tab/>
        <w:t>NAME OF THE MEDICINE</w:t>
      </w:r>
    </w:p>
    <w:p w14:paraId="700A46E3" w14:textId="1B546762" w:rsidR="003F6359" w:rsidRDefault="00B64F66" w:rsidP="00C44B67">
      <w:r>
        <w:t xml:space="preserve">Insulin </w:t>
      </w:r>
      <w:proofErr w:type="spellStart"/>
      <w:r>
        <w:t>aspart</w:t>
      </w:r>
      <w:proofErr w:type="spellEnd"/>
      <w:r>
        <w:t xml:space="preserve"> (</w:t>
      </w:r>
      <w:proofErr w:type="spellStart"/>
      <w:r>
        <w:t>rys</w:t>
      </w:r>
      <w:proofErr w:type="spellEnd"/>
      <w:r>
        <w:t>)</w:t>
      </w:r>
    </w:p>
    <w:p w14:paraId="554E64F5" w14:textId="77777777" w:rsidR="003F6359" w:rsidRDefault="003F6359" w:rsidP="00C44B67">
      <w:pPr>
        <w:pStyle w:val="Heading2"/>
      </w:pPr>
      <w:r>
        <w:t>2.</w:t>
      </w:r>
      <w:r>
        <w:tab/>
        <w:t>QUALITATIVE AND QUANTITATIVE COMPOSITION</w:t>
      </w:r>
    </w:p>
    <w:p w14:paraId="3B83EA8A" w14:textId="77777777" w:rsidR="001E0859" w:rsidRPr="001E0859" w:rsidRDefault="001E0859" w:rsidP="001E0859">
      <w:pPr>
        <w:rPr>
          <w:b/>
        </w:rPr>
      </w:pPr>
      <w:r w:rsidRPr="001E0859">
        <w:rPr>
          <w:lang w:val="en-US"/>
        </w:rPr>
        <w:t xml:space="preserve">Insulin </w:t>
      </w:r>
      <w:proofErr w:type="spellStart"/>
      <w:r w:rsidRPr="001E0859">
        <w:rPr>
          <w:lang w:val="en-US"/>
        </w:rPr>
        <w:t>aspart</w:t>
      </w:r>
      <w:proofErr w:type="spellEnd"/>
      <w:r w:rsidRPr="001E0859">
        <w:rPr>
          <w:lang w:val="en-US"/>
        </w:rPr>
        <w:t xml:space="preserve"> is an analogue of human insulin, differing by the substitution of the amino acid proline by aspartic acid at position 28 on the B-chain. Insulin </w:t>
      </w:r>
      <w:proofErr w:type="spellStart"/>
      <w:r w:rsidRPr="001E0859">
        <w:rPr>
          <w:lang w:val="en-US"/>
        </w:rPr>
        <w:t>aspart</w:t>
      </w:r>
      <w:proofErr w:type="spellEnd"/>
      <w:r w:rsidRPr="001E0859">
        <w:rPr>
          <w:lang w:val="en-US"/>
        </w:rPr>
        <w:t xml:space="preserve"> is produced by recombinant DNA technology in </w:t>
      </w:r>
      <w:r w:rsidRPr="001E0859">
        <w:rPr>
          <w:i/>
          <w:lang w:val="en-US"/>
        </w:rPr>
        <w:t>Saccharomyces cerevisiae</w:t>
      </w:r>
      <w:r w:rsidRPr="001E0859">
        <w:rPr>
          <w:lang w:val="en-US"/>
        </w:rPr>
        <w:t>.</w:t>
      </w:r>
    </w:p>
    <w:p w14:paraId="22662229" w14:textId="5DF9C798" w:rsidR="00D56FBE" w:rsidRDefault="001E0859" w:rsidP="00C44B67">
      <w:pPr>
        <w:rPr>
          <w:iCs/>
          <w:lang w:val="en-US"/>
        </w:rPr>
      </w:pPr>
      <w:r w:rsidRPr="001E0859">
        <w:rPr>
          <w:iCs/>
          <w:lang w:val="en-US"/>
        </w:rPr>
        <w:t>1 mL of the solution contains 100 units of insulin</w:t>
      </w:r>
      <w:r w:rsidR="00771901">
        <w:rPr>
          <w:iCs/>
          <w:lang w:val="en-US"/>
        </w:rPr>
        <w:t xml:space="preserve"> </w:t>
      </w:r>
      <w:proofErr w:type="spellStart"/>
      <w:r w:rsidR="00771901">
        <w:rPr>
          <w:iCs/>
          <w:lang w:val="en-US"/>
        </w:rPr>
        <w:t>aspart</w:t>
      </w:r>
      <w:proofErr w:type="spellEnd"/>
      <w:r w:rsidR="00771901">
        <w:rPr>
          <w:iCs/>
          <w:lang w:val="en-US"/>
        </w:rPr>
        <w:t xml:space="preserve"> (equivalent to 3.5 mg).</w:t>
      </w:r>
    </w:p>
    <w:p w14:paraId="4339433B" w14:textId="6BC0A3AE" w:rsidR="001E0859" w:rsidRPr="001E0859" w:rsidRDefault="001E0859" w:rsidP="001E0859">
      <w:pPr>
        <w:rPr>
          <w:iCs/>
          <w:lang w:val="en-GB"/>
        </w:rPr>
      </w:pPr>
      <w:r w:rsidRPr="001E0859">
        <w:rPr>
          <w:b/>
          <w:bCs/>
          <w:iCs/>
          <w:lang w:val="en-GB"/>
        </w:rPr>
        <w:t xml:space="preserve">FlexTouch: </w:t>
      </w:r>
      <w:proofErr w:type="gramStart"/>
      <w:r w:rsidRPr="001E0859">
        <w:rPr>
          <w:iCs/>
          <w:lang w:val="en-GB"/>
        </w:rPr>
        <w:t>1</w:t>
      </w:r>
      <w:proofErr w:type="gramEnd"/>
      <w:r w:rsidRPr="001E0859">
        <w:rPr>
          <w:iCs/>
          <w:lang w:val="en-GB"/>
        </w:rPr>
        <w:t xml:space="preserve"> pre-filled pen contain</w:t>
      </w:r>
      <w:r w:rsidR="00771901">
        <w:rPr>
          <w:iCs/>
          <w:lang w:val="en-GB"/>
        </w:rPr>
        <w:t>s 3 mL equivalent to 300 units.</w:t>
      </w:r>
    </w:p>
    <w:p w14:paraId="06D4FB17" w14:textId="77777777" w:rsidR="001E0859" w:rsidRPr="001E0859" w:rsidRDefault="001E0859" w:rsidP="001E0859">
      <w:pPr>
        <w:rPr>
          <w:iCs/>
          <w:lang w:val="en-GB"/>
        </w:rPr>
      </w:pPr>
      <w:r w:rsidRPr="001E0859">
        <w:rPr>
          <w:b/>
          <w:bCs/>
          <w:iCs/>
          <w:lang w:val="en-GB"/>
        </w:rPr>
        <w:t>Vial:</w:t>
      </w:r>
      <w:r w:rsidRPr="001E0859">
        <w:rPr>
          <w:iCs/>
          <w:lang w:val="en-GB"/>
        </w:rPr>
        <w:t xml:space="preserve"> </w:t>
      </w:r>
      <w:proofErr w:type="gramStart"/>
      <w:r w:rsidRPr="001E0859">
        <w:rPr>
          <w:iCs/>
          <w:lang w:val="en-GB"/>
        </w:rPr>
        <w:t>1</w:t>
      </w:r>
      <w:proofErr w:type="gramEnd"/>
      <w:r w:rsidRPr="001E0859">
        <w:rPr>
          <w:iCs/>
          <w:lang w:val="en-GB"/>
        </w:rPr>
        <w:t xml:space="preserve"> vial contains 10 mL equivalent to 1,000 units.</w:t>
      </w:r>
    </w:p>
    <w:p w14:paraId="33B14DDD" w14:textId="77777777" w:rsidR="001E0859" w:rsidRPr="001E0859" w:rsidRDefault="001E0859" w:rsidP="001E0859">
      <w:pPr>
        <w:rPr>
          <w:iCs/>
          <w:lang w:val="en-US"/>
        </w:rPr>
      </w:pPr>
      <w:proofErr w:type="spellStart"/>
      <w:r w:rsidRPr="001E0859">
        <w:rPr>
          <w:b/>
          <w:iCs/>
          <w:lang w:val="en-US"/>
        </w:rPr>
        <w:t>Penfill</w:t>
      </w:r>
      <w:proofErr w:type="spellEnd"/>
      <w:r w:rsidRPr="001E0859">
        <w:rPr>
          <w:b/>
          <w:iCs/>
          <w:lang w:val="en-US"/>
        </w:rPr>
        <w:t>:</w:t>
      </w:r>
      <w:r w:rsidRPr="001E0859">
        <w:rPr>
          <w:iCs/>
          <w:lang w:val="en-US"/>
        </w:rPr>
        <w:t xml:space="preserve"> 1 cartridge contains 3 mL equivalent to 300 units.</w:t>
      </w:r>
    </w:p>
    <w:p w14:paraId="281BA942" w14:textId="63145E45" w:rsidR="007B6921" w:rsidRDefault="007B6921" w:rsidP="001E0859">
      <w:r w:rsidRPr="007B6921">
        <w:t xml:space="preserve">For the full list of excipients, see </w:t>
      </w:r>
      <w:r w:rsidR="00771901">
        <w:t>Section 6.1 List of Excipients.</w:t>
      </w:r>
    </w:p>
    <w:p w14:paraId="3C07F148" w14:textId="4F5EB164" w:rsidR="00D56FBE" w:rsidRDefault="00771901" w:rsidP="00C44B67">
      <w:pPr>
        <w:pStyle w:val="Heading2"/>
      </w:pPr>
      <w:r>
        <w:t>3.</w:t>
      </w:r>
      <w:r w:rsidR="00D56FBE">
        <w:tab/>
        <w:t>PHARMACEUTICAL FORM</w:t>
      </w:r>
    </w:p>
    <w:p w14:paraId="17C028E8" w14:textId="43DC399F" w:rsidR="00D56FBE" w:rsidRDefault="007B6921" w:rsidP="00C44B67">
      <w:r>
        <w:rPr>
          <w:iCs/>
          <w:lang w:val="en-US"/>
        </w:rPr>
        <w:t>S</w:t>
      </w:r>
      <w:r w:rsidR="000B5751" w:rsidRPr="000B5751">
        <w:rPr>
          <w:iCs/>
          <w:lang w:val="en-US"/>
        </w:rPr>
        <w:t xml:space="preserve">terile, clear, </w:t>
      </w:r>
      <w:proofErr w:type="spellStart"/>
      <w:r w:rsidR="000B5751" w:rsidRPr="000B5751">
        <w:rPr>
          <w:iCs/>
          <w:lang w:val="en-US"/>
        </w:rPr>
        <w:t>colourless</w:t>
      </w:r>
      <w:proofErr w:type="spellEnd"/>
      <w:r w:rsidR="000B5751" w:rsidRPr="000B5751">
        <w:rPr>
          <w:iCs/>
          <w:lang w:val="en-US"/>
        </w:rPr>
        <w:t>, aqueous</w:t>
      </w:r>
      <w:r w:rsidR="008B26C5">
        <w:rPr>
          <w:iCs/>
          <w:lang w:val="en-US"/>
        </w:rPr>
        <w:t xml:space="preserve">, </w:t>
      </w:r>
      <w:r w:rsidR="008B26C5" w:rsidRPr="00DE7D8F">
        <w:rPr>
          <w:lang w:val="en-US"/>
        </w:rPr>
        <w:t>ultra-fast acting</w:t>
      </w:r>
      <w:r w:rsidR="000B5751" w:rsidRPr="000B5751">
        <w:rPr>
          <w:iCs/>
          <w:lang w:val="en-US"/>
        </w:rPr>
        <w:t xml:space="preserve"> solution for subcutaneous injection, subcutaneous infu</w:t>
      </w:r>
      <w:r w:rsidR="00771901">
        <w:rPr>
          <w:iCs/>
          <w:lang w:val="en-US"/>
        </w:rPr>
        <w:t>sion or intravenous injection.</w:t>
      </w:r>
    </w:p>
    <w:p w14:paraId="63739BE5" w14:textId="5FF6EEE9" w:rsidR="00D56FBE" w:rsidRDefault="00771901" w:rsidP="00C44B67">
      <w:pPr>
        <w:pStyle w:val="Heading2"/>
      </w:pPr>
      <w:r>
        <w:t>4.</w:t>
      </w:r>
      <w:r w:rsidR="00D56FBE">
        <w:tab/>
        <w:t>CLINICAL PARTICULARS</w:t>
      </w:r>
    </w:p>
    <w:p w14:paraId="653092AE" w14:textId="77777777" w:rsidR="00D56FBE" w:rsidRDefault="00D56FBE" w:rsidP="00C44B67">
      <w:pPr>
        <w:pStyle w:val="Heading3"/>
      </w:pPr>
      <w:r w:rsidRPr="00D56FBE">
        <w:t>4.1</w:t>
      </w:r>
      <w:r>
        <w:tab/>
        <w:t>Therapeutic Indications</w:t>
      </w:r>
    </w:p>
    <w:p w14:paraId="13780C08" w14:textId="4AF6614E" w:rsidR="00D56FBE" w:rsidRDefault="004A6094" w:rsidP="00771901">
      <w:r w:rsidRPr="004A6094">
        <w:rPr>
          <w:lang w:val="en-US"/>
        </w:rPr>
        <w:t>Treatment of diabetes mellitus in adults</w:t>
      </w:r>
      <w:r w:rsidR="00644DBF">
        <w:rPr>
          <w:lang w:val="en-US"/>
        </w:rPr>
        <w:t>, adolescents and children aged 1 year and above</w:t>
      </w:r>
      <w:r w:rsidRPr="004A6094">
        <w:rPr>
          <w:lang w:val="en-US"/>
        </w:rPr>
        <w:t>.</w:t>
      </w:r>
    </w:p>
    <w:p w14:paraId="7F725B2E" w14:textId="77777777" w:rsidR="00D56FBE" w:rsidRDefault="00D56FBE" w:rsidP="00C44B67">
      <w:pPr>
        <w:pStyle w:val="Heading3"/>
      </w:pPr>
      <w:r>
        <w:t xml:space="preserve">4.2 </w:t>
      </w:r>
      <w:r>
        <w:tab/>
        <w:t>Dose and Method of Administration</w:t>
      </w:r>
    </w:p>
    <w:p w14:paraId="6120F077" w14:textId="77777777" w:rsidR="00D56FBE" w:rsidRDefault="00D56FBE" w:rsidP="00C44B67">
      <w:pPr>
        <w:pStyle w:val="Heading4"/>
      </w:pPr>
      <w:r>
        <w:t>Dosage</w:t>
      </w:r>
    </w:p>
    <w:p w14:paraId="47B5EFB4" w14:textId="4E41D506" w:rsidR="00416F95" w:rsidRDefault="00416F95" w:rsidP="00416F95">
      <w:pPr>
        <w:rPr>
          <w:lang w:val="en-US"/>
        </w:rPr>
      </w:pPr>
      <w:proofErr w:type="spellStart"/>
      <w:r w:rsidRPr="00DE7D8F">
        <w:rPr>
          <w:lang w:val="en-US"/>
        </w:rPr>
        <w:t>Fiasp</w:t>
      </w:r>
      <w:proofErr w:type="spellEnd"/>
      <w:r w:rsidRPr="00DE7D8F">
        <w:rPr>
          <w:lang w:val="en-US"/>
        </w:rPr>
        <w:t xml:space="preserve"> </w:t>
      </w:r>
      <w:r w:rsidR="003401A4" w:rsidRPr="00DE7D8F">
        <w:rPr>
          <w:lang w:val="en-US"/>
        </w:rPr>
        <w:t xml:space="preserve">should be </w:t>
      </w:r>
      <w:r w:rsidRPr="00DE7D8F">
        <w:rPr>
          <w:lang w:val="en-US"/>
        </w:rPr>
        <w:t xml:space="preserve">administered 0-2 minutes </w:t>
      </w:r>
      <w:r w:rsidR="003401A4" w:rsidRPr="00DE7D8F">
        <w:rPr>
          <w:lang w:val="en-US"/>
        </w:rPr>
        <w:t>prior to</w:t>
      </w:r>
      <w:r w:rsidR="003E7F33" w:rsidRPr="00DE7D8F">
        <w:rPr>
          <w:lang w:val="en-US"/>
        </w:rPr>
        <w:t xml:space="preserve"> </w:t>
      </w:r>
      <w:r w:rsidRPr="00DE7D8F">
        <w:rPr>
          <w:lang w:val="en-US"/>
        </w:rPr>
        <w:t>start</w:t>
      </w:r>
      <w:r w:rsidR="003401A4" w:rsidRPr="00DE7D8F">
        <w:rPr>
          <w:lang w:val="en-US"/>
        </w:rPr>
        <w:t>ing</w:t>
      </w:r>
      <w:r w:rsidRPr="00DE7D8F">
        <w:rPr>
          <w:lang w:val="en-US"/>
        </w:rPr>
        <w:t xml:space="preserve"> a meal</w:t>
      </w:r>
      <w:r w:rsidR="003401A4" w:rsidRPr="00DE7D8F">
        <w:rPr>
          <w:lang w:val="en-US"/>
        </w:rPr>
        <w:t>.</w:t>
      </w:r>
      <w:r w:rsidRPr="00DE7D8F">
        <w:rPr>
          <w:lang w:val="en-US"/>
        </w:rPr>
        <w:t xml:space="preserve"> Administration of </w:t>
      </w:r>
      <w:proofErr w:type="spellStart"/>
      <w:r w:rsidRPr="00DE7D8F">
        <w:rPr>
          <w:lang w:val="en-US"/>
        </w:rPr>
        <w:t>Fiasp</w:t>
      </w:r>
      <w:proofErr w:type="spellEnd"/>
      <w:r w:rsidRPr="00DE7D8F">
        <w:rPr>
          <w:lang w:val="en-US"/>
        </w:rPr>
        <w:t xml:space="preserve"> up to 20 minutes after starting a meal </w:t>
      </w:r>
      <w:r w:rsidR="00AF4546" w:rsidRPr="00DE7D8F">
        <w:rPr>
          <w:lang w:val="en-US"/>
        </w:rPr>
        <w:t xml:space="preserve">in adults </w:t>
      </w:r>
      <w:r w:rsidRPr="00DE7D8F">
        <w:rPr>
          <w:lang w:val="en-US"/>
        </w:rPr>
        <w:t xml:space="preserve">was as efficacious as </w:t>
      </w:r>
      <w:proofErr w:type="spellStart"/>
      <w:r w:rsidRPr="00DE7D8F">
        <w:rPr>
          <w:lang w:val="en-US"/>
        </w:rPr>
        <w:t>NovoRapid</w:t>
      </w:r>
      <w:proofErr w:type="spellEnd"/>
      <w:r w:rsidRPr="00DE7D8F">
        <w:rPr>
          <w:lang w:val="en-US"/>
        </w:rPr>
        <w:t xml:space="preserve"> given before a meal (see </w:t>
      </w:r>
      <w:r w:rsidR="007B6921" w:rsidRPr="00DE7D8F">
        <w:rPr>
          <w:lang w:val="en-US"/>
        </w:rPr>
        <w:t>section 5.1 Pharmacodynamic Properties – Clinical trials</w:t>
      </w:r>
      <w:r w:rsidRPr="00DE7D8F">
        <w:rPr>
          <w:lang w:val="en-US"/>
        </w:rPr>
        <w:t>)</w:t>
      </w:r>
      <w:r w:rsidRPr="00DE7D8F">
        <w:rPr>
          <w:i/>
          <w:iCs/>
          <w:lang w:val="en-US"/>
        </w:rPr>
        <w:t>.</w:t>
      </w:r>
    </w:p>
    <w:p w14:paraId="52CECFBC" w14:textId="77777777" w:rsidR="00416F95" w:rsidRPr="00416F95" w:rsidRDefault="00416F95" w:rsidP="00416F95">
      <w:pPr>
        <w:rPr>
          <w:b/>
        </w:rPr>
      </w:pPr>
      <w:proofErr w:type="spellStart"/>
      <w:r w:rsidRPr="00416F95">
        <w:rPr>
          <w:iCs/>
          <w:lang w:val="en-US"/>
        </w:rPr>
        <w:t>Fiasp</w:t>
      </w:r>
      <w:proofErr w:type="spellEnd"/>
      <w:r w:rsidRPr="00416F95">
        <w:rPr>
          <w:iCs/>
          <w:lang w:val="en-US"/>
        </w:rPr>
        <w:t xml:space="preserve"> </w:t>
      </w:r>
      <w:r w:rsidRPr="00416F95">
        <w:rPr>
          <w:bCs/>
          <w:lang w:val="en-US"/>
        </w:rPr>
        <w:t xml:space="preserve">can </w:t>
      </w:r>
      <w:proofErr w:type="gramStart"/>
      <w:r w:rsidRPr="00416F95">
        <w:rPr>
          <w:bCs/>
          <w:lang w:val="en-US"/>
        </w:rPr>
        <w:t>be used</w:t>
      </w:r>
      <w:proofErr w:type="gramEnd"/>
      <w:r w:rsidRPr="00416F95">
        <w:rPr>
          <w:bCs/>
          <w:lang w:val="en-US"/>
        </w:rPr>
        <w:t xml:space="preserve"> for continuous subcutaneous insulin infusion (CSII) in pumps or be administrated intravenously by healthcare professionals.</w:t>
      </w:r>
    </w:p>
    <w:p w14:paraId="334A6E50" w14:textId="77777777" w:rsidR="00416F95" w:rsidRDefault="00416F95" w:rsidP="00416F95">
      <w:pPr>
        <w:rPr>
          <w:lang w:val="en-US"/>
        </w:rPr>
      </w:pPr>
      <w:r w:rsidRPr="00416F95">
        <w:rPr>
          <w:lang w:val="en-US"/>
        </w:rPr>
        <w:lastRenderedPageBreak/>
        <w:t xml:space="preserve">The potency of insulin analogues, including </w:t>
      </w:r>
      <w:proofErr w:type="spellStart"/>
      <w:r w:rsidRPr="00416F95">
        <w:rPr>
          <w:lang w:val="en-US"/>
        </w:rPr>
        <w:t>Fiasp</w:t>
      </w:r>
      <w:proofErr w:type="spellEnd"/>
      <w:r w:rsidRPr="00416F95">
        <w:rPr>
          <w:lang w:val="en-US"/>
        </w:rPr>
        <w:t xml:space="preserve">, </w:t>
      </w:r>
      <w:proofErr w:type="gramStart"/>
      <w:r w:rsidRPr="00416F95">
        <w:rPr>
          <w:lang w:val="en-US"/>
        </w:rPr>
        <w:t>is expressed</w:t>
      </w:r>
      <w:proofErr w:type="gramEnd"/>
      <w:r w:rsidRPr="00416F95">
        <w:rPr>
          <w:lang w:val="en-US"/>
        </w:rPr>
        <w:t xml:space="preserve"> in units. One (1) unit of </w:t>
      </w:r>
      <w:proofErr w:type="spellStart"/>
      <w:r w:rsidRPr="00416F95">
        <w:rPr>
          <w:lang w:val="en-US"/>
        </w:rPr>
        <w:t>Fiasp</w:t>
      </w:r>
      <w:proofErr w:type="spellEnd"/>
      <w:r w:rsidRPr="00416F95">
        <w:rPr>
          <w:lang w:val="en-US"/>
        </w:rPr>
        <w:t xml:space="preserve"> corresponds to 1 international unit of human insulin or 1 unit of other fast-acting insulin analogues.</w:t>
      </w:r>
    </w:p>
    <w:p w14:paraId="6A2D134A" w14:textId="77777777" w:rsidR="00416F95" w:rsidRPr="00416F95" w:rsidRDefault="00416F95" w:rsidP="00416F95">
      <w:pPr>
        <w:rPr>
          <w:lang w:val="en-GB"/>
        </w:rPr>
      </w:pPr>
      <w:r w:rsidRPr="00416F95">
        <w:rPr>
          <w:lang w:val="en-GB"/>
        </w:rPr>
        <w:t xml:space="preserve">Dosing with </w:t>
      </w:r>
      <w:proofErr w:type="spellStart"/>
      <w:r w:rsidRPr="00416F95">
        <w:rPr>
          <w:lang w:val="en-GB"/>
        </w:rPr>
        <w:t>Fiasp</w:t>
      </w:r>
      <w:proofErr w:type="spellEnd"/>
      <w:r w:rsidRPr="00416F95">
        <w:rPr>
          <w:lang w:val="en-GB"/>
        </w:rPr>
        <w:t xml:space="preserve"> is individual and determined in accordance with the needs of the patient, in particular the estimated carbohydrate consumption and glycaemic load of the meal.</w:t>
      </w:r>
    </w:p>
    <w:p w14:paraId="577485DD" w14:textId="7B39CDCD" w:rsidR="00416F95" w:rsidRPr="00416F95" w:rsidRDefault="00416F95" w:rsidP="00416F95">
      <w:pPr>
        <w:rPr>
          <w:lang w:val="en-GB"/>
        </w:rPr>
      </w:pPr>
      <w:r w:rsidRPr="00416F95">
        <w:rPr>
          <w:lang w:val="en-GB"/>
        </w:rPr>
        <w:t xml:space="preserve">The pharmacokinetic profiles of </w:t>
      </w:r>
      <w:proofErr w:type="spellStart"/>
      <w:r w:rsidRPr="00416F95">
        <w:rPr>
          <w:lang w:val="en-GB"/>
        </w:rPr>
        <w:t>Fiasp</w:t>
      </w:r>
      <w:proofErr w:type="spellEnd"/>
      <w:r w:rsidRPr="00416F95">
        <w:rPr>
          <w:lang w:val="en-GB"/>
        </w:rPr>
        <w:t xml:space="preserve"> and </w:t>
      </w:r>
      <w:proofErr w:type="spellStart"/>
      <w:r w:rsidRPr="00416F95">
        <w:rPr>
          <w:lang w:val="en-GB"/>
        </w:rPr>
        <w:t>NovoRapid</w:t>
      </w:r>
      <w:proofErr w:type="spellEnd"/>
      <w:r w:rsidRPr="00416F95">
        <w:rPr>
          <w:lang w:val="en-GB"/>
        </w:rPr>
        <w:t xml:space="preserve"> are distinct during the first hour following </w:t>
      </w:r>
      <w:proofErr w:type="gramStart"/>
      <w:r w:rsidRPr="00416F95">
        <w:rPr>
          <w:lang w:val="en-GB"/>
        </w:rPr>
        <w:t>administration which</w:t>
      </w:r>
      <w:proofErr w:type="gramEnd"/>
      <w:r w:rsidRPr="00416F95">
        <w:rPr>
          <w:lang w:val="en-GB"/>
        </w:rPr>
        <w:t xml:space="preserve"> is of particular importance for a mealtime insulin. The earlier onset of action of </w:t>
      </w:r>
      <w:proofErr w:type="spellStart"/>
      <w:r w:rsidRPr="00416F95">
        <w:rPr>
          <w:lang w:val="en-GB"/>
        </w:rPr>
        <w:t>Fiasp</w:t>
      </w:r>
      <w:proofErr w:type="spellEnd"/>
      <w:r w:rsidRPr="00416F95">
        <w:rPr>
          <w:lang w:val="en-GB"/>
        </w:rPr>
        <w:t xml:space="preserve"> and the subsequent increased glucose lowering effect compared with </w:t>
      </w:r>
      <w:proofErr w:type="spellStart"/>
      <w:r w:rsidRPr="00416F95">
        <w:rPr>
          <w:lang w:val="en-GB"/>
        </w:rPr>
        <w:t>NovoRapid</w:t>
      </w:r>
      <w:proofErr w:type="spellEnd"/>
      <w:r w:rsidRPr="00416F95">
        <w:rPr>
          <w:lang w:val="en-GB"/>
        </w:rPr>
        <w:t xml:space="preserve"> </w:t>
      </w:r>
      <w:proofErr w:type="gramStart"/>
      <w:r w:rsidRPr="00416F95">
        <w:rPr>
          <w:lang w:val="en-GB"/>
        </w:rPr>
        <w:t>must be con</w:t>
      </w:r>
      <w:r w:rsidR="00771901">
        <w:rPr>
          <w:lang w:val="en-GB"/>
        </w:rPr>
        <w:t>sidered</w:t>
      </w:r>
      <w:proofErr w:type="gramEnd"/>
      <w:r w:rsidR="00771901">
        <w:rPr>
          <w:lang w:val="en-GB"/>
        </w:rPr>
        <w:t xml:space="preserve"> when prescribing </w:t>
      </w:r>
      <w:proofErr w:type="spellStart"/>
      <w:r w:rsidR="00771901">
        <w:rPr>
          <w:lang w:val="en-GB"/>
        </w:rPr>
        <w:t>Fiasp</w:t>
      </w:r>
      <w:proofErr w:type="spellEnd"/>
      <w:r w:rsidR="00771901">
        <w:rPr>
          <w:lang w:val="en-GB"/>
        </w:rPr>
        <w:t>.</w:t>
      </w:r>
    </w:p>
    <w:p w14:paraId="38310E95" w14:textId="77777777" w:rsidR="00802FC4" w:rsidRPr="00416F95" w:rsidRDefault="00802FC4" w:rsidP="00802FC4">
      <w:pPr>
        <w:rPr>
          <w:lang w:val="en-GB"/>
        </w:rPr>
      </w:pPr>
      <w:r w:rsidRPr="00802FC4">
        <w:rPr>
          <w:lang w:val="en-GB"/>
        </w:rPr>
        <w:t>Injection therapy:</w:t>
      </w:r>
      <w:r w:rsidRPr="00416F95">
        <w:rPr>
          <w:lang w:val="en-GB"/>
        </w:rPr>
        <w:t xml:space="preserve"> </w:t>
      </w:r>
      <w:proofErr w:type="spellStart"/>
      <w:r w:rsidRPr="00416F95">
        <w:rPr>
          <w:lang w:val="en-GB"/>
        </w:rPr>
        <w:t>Fiasp</w:t>
      </w:r>
      <w:proofErr w:type="spellEnd"/>
      <w:r w:rsidRPr="00416F95">
        <w:rPr>
          <w:lang w:val="en-GB"/>
        </w:rPr>
        <w:t xml:space="preserve"> </w:t>
      </w:r>
      <w:proofErr w:type="gramStart"/>
      <w:r w:rsidRPr="00416F95">
        <w:rPr>
          <w:lang w:val="en-GB"/>
        </w:rPr>
        <w:t>should be used</w:t>
      </w:r>
      <w:proofErr w:type="gramEnd"/>
      <w:r w:rsidRPr="00416F95">
        <w:rPr>
          <w:lang w:val="en-GB"/>
        </w:rPr>
        <w:t xml:space="preserve"> in combination with intermediate-acting or long-acting insulin given at least once a day. In a basal-bolus treatment regimen approximately 50% of this requirement may be provided by </w:t>
      </w:r>
      <w:proofErr w:type="spellStart"/>
      <w:r w:rsidRPr="00416F95">
        <w:rPr>
          <w:lang w:val="en-GB"/>
        </w:rPr>
        <w:t>Fiasp</w:t>
      </w:r>
      <w:proofErr w:type="spellEnd"/>
      <w:r w:rsidRPr="00416F95">
        <w:rPr>
          <w:lang w:val="en-GB"/>
        </w:rPr>
        <w:t xml:space="preserve"> and the remainder by intermediate acting or long-acting insulin.</w:t>
      </w:r>
    </w:p>
    <w:p w14:paraId="789DE5F6" w14:textId="77777777" w:rsidR="00802FC4" w:rsidRPr="00802FC4" w:rsidRDefault="00802FC4" w:rsidP="00802FC4">
      <w:pPr>
        <w:rPr>
          <w:lang w:val="en-GB"/>
        </w:rPr>
      </w:pPr>
      <w:r w:rsidRPr="00802FC4">
        <w:rPr>
          <w:lang w:val="en-GB"/>
        </w:rPr>
        <w:t>CSII:</w:t>
      </w:r>
      <w:r w:rsidRPr="00416F95">
        <w:rPr>
          <w:lang w:val="en-GB"/>
        </w:rPr>
        <w:t xml:space="preserve"> </w:t>
      </w:r>
      <w:proofErr w:type="spellStart"/>
      <w:r w:rsidRPr="00416F95">
        <w:rPr>
          <w:lang w:val="en-GB"/>
        </w:rPr>
        <w:t>Fiasp</w:t>
      </w:r>
      <w:proofErr w:type="spellEnd"/>
      <w:r w:rsidRPr="00416F95">
        <w:rPr>
          <w:lang w:val="en-GB"/>
        </w:rPr>
        <w:t xml:space="preserve"> </w:t>
      </w:r>
      <w:proofErr w:type="gramStart"/>
      <w:r w:rsidRPr="00416F95">
        <w:rPr>
          <w:lang w:val="en-GB"/>
        </w:rPr>
        <w:t>can be used</w:t>
      </w:r>
      <w:proofErr w:type="gramEnd"/>
      <w:r w:rsidRPr="00416F95">
        <w:rPr>
          <w:lang w:val="en-GB"/>
        </w:rPr>
        <w:t xml:space="preserve"> for continuous subcutaneous insulin infusion (CSII) in pumps. In this case, </w:t>
      </w:r>
      <w:proofErr w:type="spellStart"/>
      <w:r w:rsidRPr="00416F95">
        <w:rPr>
          <w:lang w:val="en-GB"/>
        </w:rPr>
        <w:t>Fiasp</w:t>
      </w:r>
      <w:proofErr w:type="spellEnd"/>
      <w:r w:rsidRPr="00416F95">
        <w:rPr>
          <w:lang w:val="en-GB"/>
        </w:rPr>
        <w:t xml:space="preserve"> will cover both the need for bolus insulin (approximately 50%) and basal insulin. The timing of basal and bolus doses may require alterations when changing insulin formulations.</w:t>
      </w:r>
    </w:p>
    <w:p w14:paraId="00605386" w14:textId="77777777" w:rsidR="00416F95" w:rsidRDefault="00416F95" w:rsidP="00416F95">
      <w:pPr>
        <w:rPr>
          <w:lang w:val="en-GB"/>
        </w:rPr>
      </w:pPr>
      <w:r w:rsidRPr="00416F95">
        <w:rPr>
          <w:lang w:val="en-GB"/>
        </w:rPr>
        <w:t xml:space="preserve">Blood glucose monitoring and insulin dose adjustment </w:t>
      </w:r>
      <w:proofErr w:type="gramStart"/>
      <w:r w:rsidRPr="00416F95">
        <w:rPr>
          <w:lang w:val="en-GB"/>
        </w:rPr>
        <w:t>are recommended</w:t>
      </w:r>
      <w:proofErr w:type="gramEnd"/>
      <w:r w:rsidRPr="00416F95">
        <w:rPr>
          <w:lang w:val="en-GB"/>
        </w:rPr>
        <w:t xml:space="preserve"> to achieve optimal glycaemic control.</w:t>
      </w:r>
    </w:p>
    <w:p w14:paraId="0A70DDB3" w14:textId="77777777" w:rsidR="0081101E" w:rsidRPr="00771901" w:rsidRDefault="0081101E" w:rsidP="00771901">
      <w:pPr>
        <w:pStyle w:val="Heading4"/>
      </w:pPr>
      <w:r w:rsidRPr="00771901">
        <w:t>Missed dose</w:t>
      </w:r>
    </w:p>
    <w:p w14:paraId="26F5E157" w14:textId="77777777" w:rsidR="0081101E" w:rsidRDefault="0081101E" w:rsidP="00416F95">
      <w:pPr>
        <w:rPr>
          <w:lang w:val="en-GB"/>
        </w:rPr>
      </w:pPr>
      <w:r w:rsidRPr="0081101E">
        <w:rPr>
          <w:lang w:val="en-GB"/>
        </w:rPr>
        <w:t xml:space="preserve">Patients on basal-bolus treatment who forget a mealtime dose </w:t>
      </w:r>
      <w:proofErr w:type="gramStart"/>
      <w:r w:rsidRPr="0081101E">
        <w:rPr>
          <w:lang w:val="en-GB"/>
        </w:rPr>
        <w:t>are advised</w:t>
      </w:r>
      <w:proofErr w:type="gramEnd"/>
      <w:r w:rsidRPr="0081101E">
        <w:rPr>
          <w:lang w:val="en-GB"/>
        </w:rPr>
        <w:t xml:space="preserve"> to monitor their blood glucose level to decide if an insulin dose is needed. Patients should resume their usual dosing schedule at the next meal.</w:t>
      </w:r>
    </w:p>
    <w:p w14:paraId="41D28922" w14:textId="77777777" w:rsidR="00802FC4" w:rsidRPr="00802FC4" w:rsidRDefault="00802FC4" w:rsidP="00802FC4">
      <w:pPr>
        <w:pStyle w:val="Heading4"/>
        <w:rPr>
          <w:lang w:val="en-GB"/>
        </w:rPr>
      </w:pPr>
      <w:r w:rsidRPr="00802FC4">
        <w:rPr>
          <w:lang w:val="en-GB"/>
        </w:rPr>
        <w:t>Initiation</w:t>
      </w:r>
    </w:p>
    <w:p w14:paraId="44E3B355" w14:textId="77777777" w:rsidR="00802FC4" w:rsidRPr="00771901" w:rsidRDefault="00802FC4" w:rsidP="00771901">
      <w:pPr>
        <w:pStyle w:val="Heading5"/>
      </w:pPr>
      <w:r w:rsidRPr="00771901">
        <w:t>Patients with type 1 diabetes mellitus</w:t>
      </w:r>
    </w:p>
    <w:p w14:paraId="6E639B18" w14:textId="77777777" w:rsidR="00802FC4" w:rsidRPr="00802FC4" w:rsidRDefault="00802FC4" w:rsidP="00802FC4">
      <w:pPr>
        <w:rPr>
          <w:b/>
        </w:rPr>
      </w:pPr>
      <w:r w:rsidRPr="00802FC4">
        <w:rPr>
          <w:lang w:val="en-US"/>
        </w:rPr>
        <w:t xml:space="preserve">The recommended starting dose of </w:t>
      </w:r>
      <w:proofErr w:type="spellStart"/>
      <w:r w:rsidRPr="00802FC4">
        <w:rPr>
          <w:lang w:val="en-US"/>
        </w:rPr>
        <w:t>Fiasp</w:t>
      </w:r>
      <w:proofErr w:type="spellEnd"/>
      <w:r w:rsidRPr="00802FC4">
        <w:rPr>
          <w:lang w:val="en-US"/>
        </w:rPr>
        <w:t xml:space="preserve"> in insulin naïve patients with type 1 diabetes is approximately 50% of the total daily insulin dose and </w:t>
      </w:r>
      <w:proofErr w:type="gramStart"/>
      <w:r w:rsidRPr="00802FC4">
        <w:rPr>
          <w:lang w:val="en-US"/>
        </w:rPr>
        <w:t>should be divided</w:t>
      </w:r>
      <w:proofErr w:type="gramEnd"/>
      <w:r w:rsidRPr="00802FC4">
        <w:rPr>
          <w:lang w:val="en-US"/>
        </w:rPr>
        <w:t xml:space="preserve"> between each daily meal. The remainder of the total daily insulin dose should be administered as intermediate-acting or long-acting insulin. As a general rule, 0.2 to 0.4 units of insulin per kilogram of body weight can be used to calculate the initial total daily insulin dose in insulin naïve patients with type 1 diabetes.</w:t>
      </w:r>
    </w:p>
    <w:p w14:paraId="7E41D20A" w14:textId="0881EBDA" w:rsidR="00802FC4" w:rsidRPr="00000A41" w:rsidRDefault="00802FC4" w:rsidP="00771901">
      <w:pPr>
        <w:pStyle w:val="Heading5"/>
      </w:pPr>
      <w:r w:rsidRPr="00000A41">
        <w:t>Patients with type 2 diabetes mellitus</w:t>
      </w:r>
    </w:p>
    <w:p w14:paraId="6CDE207B" w14:textId="378280B2" w:rsidR="00000A41" w:rsidRDefault="00802FC4" w:rsidP="00000A41">
      <w:pPr>
        <w:rPr>
          <w:i/>
          <w:iCs/>
        </w:rPr>
      </w:pPr>
      <w:r w:rsidRPr="00802FC4">
        <w:rPr>
          <w:lang w:val="en-US"/>
        </w:rPr>
        <w:t xml:space="preserve">Suggested initial dose is </w:t>
      </w:r>
      <w:proofErr w:type="gramStart"/>
      <w:r w:rsidRPr="00802FC4">
        <w:rPr>
          <w:lang w:val="en-US"/>
        </w:rPr>
        <w:t>4</w:t>
      </w:r>
      <w:proofErr w:type="gramEnd"/>
      <w:r w:rsidRPr="00802FC4">
        <w:rPr>
          <w:lang w:val="en-US"/>
        </w:rPr>
        <w:t xml:space="preserve"> units at one or more meals. Number of injections and subsequent titration will depend </w:t>
      </w:r>
      <w:r w:rsidR="00771901">
        <w:rPr>
          <w:lang w:val="en-US"/>
        </w:rPr>
        <w:t xml:space="preserve">on individual </w:t>
      </w:r>
      <w:proofErr w:type="spellStart"/>
      <w:r w:rsidR="00771901">
        <w:rPr>
          <w:lang w:val="en-US"/>
        </w:rPr>
        <w:t>glycaemic</w:t>
      </w:r>
      <w:proofErr w:type="spellEnd"/>
      <w:r w:rsidR="00771901">
        <w:rPr>
          <w:lang w:val="en-US"/>
        </w:rPr>
        <w:t xml:space="preserve"> target.</w:t>
      </w:r>
    </w:p>
    <w:p w14:paraId="7C92F90A" w14:textId="0A655798" w:rsidR="00802FC4" w:rsidRPr="00000A41" w:rsidRDefault="00802FC4" w:rsidP="00771901">
      <w:pPr>
        <w:pStyle w:val="Heading5"/>
        <w:keepNext/>
        <w:rPr>
          <w:u w:val="single"/>
        </w:rPr>
      </w:pPr>
      <w:r w:rsidRPr="00000A41">
        <w:t>Transfer from other insulin medicinal product</w:t>
      </w:r>
    </w:p>
    <w:p w14:paraId="2D68F1C4" w14:textId="77777777" w:rsidR="00802FC4" w:rsidRPr="00802FC4" w:rsidRDefault="00802FC4" w:rsidP="00802FC4">
      <w:pPr>
        <w:rPr>
          <w:lang w:val="en-GB"/>
        </w:rPr>
      </w:pPr>
      <w:r w:rsidRPr="00802FC4">
        <w:rPr>
          <w:lang w:val="en-GB"/>
        </w:rPr>
        <w:t xml:space="preserve">Close glucose monitoring </w:t>
      </w:r>
      <w:proofErr w:type="gramStart"/>
      <w:r w:rsidRPr="00802FC4">
        <w:rPr>
          <w:lang w:val="en-GB"/>
        </w:rPr>
        <w:t>is recommended</w:t>
      </w:r>
      <w:proofErr w:type="gramEnd"/>
      <w:r w:rsidRPr="00802FC4">
        <w:rPr>
          <w:lang w:val="en-GB"/>
        </w:rPr>
        <w:t xml:space="preserve"> during the transfer from other mealtime insulins and in the initial weeks thereafter.</w:t>
      </w:r>
    </w:p>
    <w:p w14:paraId="2A679120" w14:textId="77777777" w:rsidR="00802FC4" w:rsidRPr="00802FC4" w:rsidRDefault="00802FC4" w:rsidP="00802FC4">
      <w:pPr>
        <w:rPr>
          <w:lang w:val="en-GB"/>
        </w:rPr>
      </w:pPr>
      <w:r w:rsidRPr="00802FC4">
        <w:rPr>
          <w:lang w:val="en-GB"/>
        </w:rPr>
        <w:t xml:space="preserve">Converting from another mealtime insulin </w:t>
      </w:r>
      <w:proofErr w:type="gramStart"/>
      <w:r w:rsidRPr="00802FC4">
        <w:rPr>
          <w:lang w:val="en-GB"/>
        </w:rPr>
        <w:t>can be done</w:t>
      </w:r>
      <w:proofErr w:type="gramEnd"/>
      <w:r w:rsidRPr="00802FC4">
        <w:rPr>
          <w:lang w:val="en-GB"/>
        </w:rPr>
        <w:t xml:space="preserve"> on a unit-to-unit basis. Due to the faster onset of insulin action, </w:t>
      </w:r>
      <w:proofErr w:type="spellStart"/>
      <w:r w:rsidRPr="00802FC4">
        <w:rPr>
          <w:lang w:val="en-GB"/>
        </w:rPr>
        <w:t>Fiasp</w:t>
      </w:r>
      <w:proofErr w:type="spellEnd"/>
      <w:r w:rsidRPr="00802FC4">
        <w:rPr>
          <w:lang w:val="en-GB"/>
        </w:rPr>
        <w:t xml:space="preserve"> should be injected at the start of a meal or </w:t>
      </w:r>
      <w:proofErr w:type="spellStart"/>
      <w:r w:rsidRPr="00802FC4">
        <w:rPr>
          <w:lang w:val="en-GB"/>
        </w:rPr>
        <w:t>postmeal</w:t>
      </w:r>
      <w:proofErr w:type="spellEnd"/>
      <w:r w:rsidRPr="00802FC4">
        <w:rPr>
          <w:lang w:val="en-GB"/>
        </w:rPr>
        <w:t xml:space="preserve"> (within 20 minutes after starting a meal).</w:t>
      </w:r>
    </w:p>
    <w:p w14:paraId="7A1C6DAF" w14:textId="77777777" w:rsidR="00802FC4" w:rsidRPr="00802FC4" w:rsidRDefault="00802FC4" w:rsidP="00802FC4">
      <w:pPr>
        <w:rPr>
          <w:bCs/>
          <w:lang w:val="en-GB"/>
        </w:rPr>
      </w:pPr>
      <w:r w:rsidRPr="00802FC4">
        <w:rPr>
          <w:lang w:val="en-GB"/>
        </w:rPr>
        <w:lastRenderedPageBreak/>
        <w:t xml:space="preserve">Due to the earlier onset of action of </w:t>
      </w:r>
      <w:proofErr w:type="spellStart"/>
      <w:r w:rsidRPr="00802FC4">
        <w:rPr>
          <w:lang w:val="en-GB"/>
        </w:rPr>
        <w:t>Fiasp</w:t>
      </w:r>
      <w:proofErr w:type="spellEnd"/>
      <w:r w:rsidRPr="00802FC4">
        <w:rPr>
          <w:lang w:val="en-GB"/>
        </w:rPr>
        <w:t xml:space="preserve"> and the subsequent increased glucose lowering effect, </w:t>
      </w:r>
      <w:r w:rsidRPr="00802FC4">
        <w:rPr>
          <w:bCs/>
          <w:lang w:val="en-GB"/>
        </w:rPr>
        <w:t xml:space="preserve">transferring a patient from another type, brand or manufacturer of insulin including </w:t>
      </w:r>
      <w:proofErr w:type="spellStart"/>
      <w:r w:rsidRPr="00802FC4">
        <w:rPr>
          <w:bCs/>
          <w:lang w:val="en-GB"/>
        </w:rPr>
        <w:t>NovoRapid</w:t>
      </w:r>
      <w:proofErr w:type="spellEnd"/>
      <w:r w:rsidRPr="00802FC4">
        <w:rPr>
          <w:bCs/>
          <w:lang w:val="en-GB"/>
        </w:rPr>
        <w:t xml:space="preserve"> or other insulin </w:t>
      </w:r>
      <w:proofErr w:type="spellStart"/>
      <w:r w:rsidRPr="00802FC4">
        <w:rPr>
          <w:bCs/>
          <w:lang w:val="en-GB"/>
        </w:rPr>
        <w:t>aspart</w:t>
      </w:r>
      <w:proofErr w:type="spellEnd"/>
      <w:r w:rsidRPr="00802FC4">
        <w:rPr>
          <w:bCs/>
          <w:lang w:val="en-GB"/>
        </w:rPr>
        <w:t xml:space="preserve"> products, to </w:t>
      </w:r>
      <w:proofErr w:type="spellStart"/>
      <w:r w:rsidRPr="00802FC4">
        <w:rPr>
          <w:lang w:val="en-GB"/>
        </w:rPr>
        <w:t>Fiasp</w:t>
      </w:r>
      <w:proofErr w:type="spellEnd"/>
      <w:r w:rsidRPr="00802FC4">
        <w:rPr>
          <w:bCs/>
          <w:lang w:val="en-GB"/>
        </w:rPr>
        <w:t xml:space="preserve"> </w:t>
      </w:r>
      <w:proofErr w:type="gramStart"/>
      <w:r w:rsidRPr="00802FC4">
        <w:rPr>
          <w:bCs/>
          <w:lang w:val="en-GB"/>
        </w:rPr>
        <w:t>must be done</w:t>
      </w:r>
      <w:proofErr w:type="gramEnd"/>
      <w:r w:rsidRPr="00802FC4">
        <w:rPr>
          <w:bCs/>
          <w:lang w:val="en-GB"/>
        </w:rPr>
        <w:t xml:space="preserve"> under medical supervision and may result in the need for a change in dosage. </w:t>
      </w:r>
      <w:r w:rsidRPr="00802FC4">
        <w:rPr>
          <w:lang w:val="en-GB"/>
        </w:rPr>
        <w:t>Patients transferring from other insulins will require training.</w:t>
      </w:r>
    </w:p>
    <w:p w14:paraId="77A890B2" w14:textId="77777777" w:rsidR="00802FC4" w:rsidRDefault="00802FC4" w:rsidP="00416F95">
      <w:pPr>
        <w:rPr>
          <w:lang w:val="en-US"/>
        </w:rPr>
      </w:pPr>
      <w:r w:rsidRPr="00802FC4">
        <w:rPr>
          <w:lang w:val="en-US"/>
        </w:rPr>
        <w:t xml:space="preserve">Doses and timing of concurrent intermediate or long-acting insulin products or other concomitant antidiabetic treatment may need to </w:t>
      </w:r>
      <w:proofErr w:type="gramStart"/>
      <w:r w:rsidRPr="00802FC4">
        <w:rPr>
          <w:lang w:val="en-US"/>
        </w:rPr>
        <w:t>be adjusted</w:t>
      </w:r>
      <w:proofErr w:type="gramEnd"/>
      <w:r w:rsidRPr="00802FC4">
        <w:rPr>
          <w:lang w:val="en-US"/>
        </w:rPr>
        <w:t>.</w:t>
      </w:r>
    </w:p>
    <w:p w14:paraId="18C3FB4C" w14:textId="7CCB0E11" w:rsidR="00802FC4" w:rsidRPr="00DE7D8F" w:rsidRDefault="007B110F" w:rsidP="00771901">
      <w:pPr>
        <w:pStyle w:val="Heading5"/>
        <w:rPr>
          <w:bCs/>
          <w:u w:val="single"/>
          <w:lang w:val="en-US"/>
        </w:rPr>
      </w:pPr>
      <w:r w:rsidRPr="00DE7D8F">
        <w:t>Use in the e</w:t>
      </w:r>
      <w:r w:rsidR="00802FC4" w:rsidRPr="00DE7D8F">
        <w:t>lderly (≥ 65 years old)</w:t>
      </w:r>
    </w:p>
    <w:p w14:paraId="318C4530" w14:textId="61B61F2F" w:rsidR="00802FC4" w:rsidRPr="00DE7D8F" w:rsidRDefault="00802FC4" w:rsidP="00802FC4">
      <w:r w:rsidRPr="00DE7D8F">
        <w:rPr>
          <w:lang w:val="en-US"/>
        </w:rPr>
        <w:t xml:space="preserve">The safety and efficacy of </w:t>
      </w:r>
      <w:proofErr w:type="spellStart"/>
      <w:r w:rsidRPr="00DE7D8F">
        <w:rPr>
          <w:lang w:val="en-US"/>
        </w:rPr>
        <w:t>Fiasp</w:t>
      </w:r>
      <w:proofErr w:type="spellEnd"/>
      <w:r w:rsidRPr="00DE7D8F">
        <w:rPr>
          <w:lang w:val="en-US"/>
        </w:rPr>
        <w:t xml:space="preserve"> </w:t>
      </w:r>
      <w:proofErr w:type="gramStart"/>
      <w:r w:rsidRPr="00DE7D8F">
        <w:rPr>
          <w:lang w:val="en-US"/>
        </w:rPr>
        <w:t>have been established</w:t>
      </w:r>
      <w:proofErr w:type="gramEnd"/>
      <w:r w:rsidRPr="00DE7D8F">
        <w:rPr>
          <w:lang w:val="en-US"/>
        </w:rPr>
        <w:t xml:space="preserve"> in elderly patients. Close glucose monitoring is recommended and the insulin dose should be adjusted on an individual basis (see </w:t>
      </w:r>
      <w:r w:rsidR="003050A1" w:rsidRPr="00DE7D8F">
        <w:rPr>
          <w:lang w:val="en-US"/>
        </w:rPr>
        <w:t>section</w:t>
      </w:r>
      <w:r w:rsidR="007B110F" w:rsidRPr="00DE7D8F">
        <w:rPr>
          <w:lang w:val="en-US"/>
        </w:rPr>
        <w:t xml:space="preserve"> 5 </w:t>
      </w:r>
      <w:r w:rsidRPr="00DE7D8F">
        <w:rPr>
          <w:lang w:val="en-US"/>
        </w:rPr>
        <w:t>Pharmacolog</w:t>
      </w:r>
      <w:r w:rsidR="007B110F" w:rsidRPr="00DE7D8F">
        <w:rPr>
          <w:lang w:val="en-US"/>
        </w:rPr>
        <w:t>ical Properties</w:t>
      </w:r>
      <w:r w:rsidRPr="00DE7D8F">
        <w:rPr>
          <w:lang w:val="en-US"/>
        </w:rPr>
        <w:t>).</w:t>
      </w:r>
    </w:p>
    <w:p w14:paraId="6D470D37" w14:textId="67249C3F" w:rsidR="00802FC4" w:rsidRPr="00771901" w:rsidRDefault="00802FC4" w:rsidP="00771901">
      <w:pPr>
        <w:pStyle w:val="Heading6"/>
      </w:pPr>
      <w:r w:rsidRPr="00771901">
        <w:t>Renal impairment</w:t>
      </w:r>
    </w:p>
    <w:p w14:paraId="59D2DB75" w14:textId="34D7FA06" w:rsidR="00802FC4" w:rsidRPr="00DE7D8F" w:rsidRDefault="00802FC4" w:rsidP="00802FC4">
      <w:pPr>
        <w:rPr>
          <w:lang w:val="en-US"/>
        </w:rPr>
      </w:pPr>
      <w:r w:rsidRPr="00DE7D8F">
        <w:rPr>
          <w:lang w:val="en-US"/>
        </w:rPr>
        <w:t xml:space="preserve">Renal impairment may reduce the patient’s insulin requirements. In patients with renal impairment, glucose monitoring should be intensified and the dose adjusted on an individual basis (see </w:t>
      </w:r>
      <w:r w:rsidR="007B110F" w:rsidRPr="00DE7D8F">
        <w:rPr>
          <w:lang w:val="en-US"/>
        </w:rPr>
        <w:t xml:space="preserve">section 5.2 </w:t>
      </w:r>
      <w:r w:rsidRPr="00DE7D8F">
        <w:rPr>
          <w:lang w:val="en-US"/>
        </w:rPr>
        <w:t>Pharmacokinetic</w:t>
      </w:r>
      <w:r w:rsidR="007B110F" w:rsidRPr="00DE7D8F">
        <w:rPr>
          <w:lang w:val="en-US"/>
        </w:rPr>
        <w:t xml:space="preserve"> Propertie</w:t>
      </w:r>
      <w:r w:rsidRPr="00DE7D8F">
        <w:rPr>
          <w:lang w:val="en-US"/>
        </w:rPr>
        <w:t>s).</w:t>
      </w:r>
    </w:p>
    <w:p w14:paraId="2CCFAB3C" w14:textId="6C538D26" w:rsidR="007B110F" w:rsidRPr="00DE7D8F" w:rsidRDefault="007B110F" w:rsidP="00771901">
      <w:pPr>
        <w:pStyle w:val="Heading6"/>
        <w:rPr>
          <w:bCs/>
          <w:u w:val="single"/>
          <w:lang w:val="en-US"/>
        </w:rPr>
      </w:pPr>
      <w:r w:rsidRPr="00DE7D8F">
        <w:t>Hepatic impairment</w:t>
      </w:r>
    </w:p>
    <w:p w14:paraId="7C7EF025" w14:textId="4A014ACE" w:rsidR="007B110F" w:rsidRPr="00DE7D8F" w:rsidRDefault="007B110F" w:rsidP="007B110F">
      <w:r w:rsidRPr="00DE7D8F">
        <w:rPr>
          <w:lang w:val="en-US"/>
        </w:rPr>
        <w:t>Hepatic impairment may reduce the patient’s insulin requirements. In patients with hepatic impairment, glucose monitoring should be intensified and the dose adjusted on an individual basis (see section 5.2 Pharmacokinetic Properties).</w:t>
      </w:r>
    </w:p>
    <w:p w14:paraId="093A07AD" w14:textId="74510407" w:rsidR="00802FC4" w:rsidRPr="00DE7D8F" w:rsidRDefault="00802FC4" w:rsidP="00771901">
      <w:pPr>
        <w:pStyle w:val="Heading5"/>
        <w:rPr>
          <w:u w:val="single"/>
          <w:lang w:val="en-US"/>
        </w:rPr>
      </w:pPr>
      <w:r w:rsidRPr="00DE7D8F">
        <w:t>Paediatric population</w:t>
      </w:r>
    </w:p>
    <w:p w14:paraId="2B390EBF" w14:textId="31BD64F4" w:rsidR="00C4198B" w:rsidRPr="00DE7D8F" w:rsidRDefault="00C4198B" w:rsidP="00C4198B">
      <w:r w:rsidRPr="00DE7D8F">
        <w:t xml:space="preserve">There is no clinical experience with the use of </w:t>
      </w:r>
      <w:proofErr w:type="spellStart"/>
      <w:r w:rsidRPr="00DE7D8F">
        <w:t>Fiasp</w:t>
      </w:r>
      <w:proofErr w:type="spellEnd"/>
      <w:r w:rsidRPr="00DE7D8F">
        <w:t xml:space="preserve"> in children below the age of 2 year.</w:t>
      </w:r>
    </w:p>
    <w:p w14:paraId="78CBD811" w14:textId="77777777" w:rsidR="00DE7D8F" w:rsidRDefault="00C4198B" w:rsidP="00DE7D8F">
      <w:proofErr w:type="spellStart"/>
      <w:r w:rsidRPr="00DE7D8F">
        <w:t>Fiasp</w:t>
      </w:r>
      <w:proofErr w:type="spellEnd"/>
      <w:r w:rsidRPr="00DE7D8F">
        <w:t xml:space="preserve"> </w:t>
      </w:r>
      <w:proofErr w:type="gramStart"/>
      <w:r w:rsidRPr="00DE7D8F">
        <w:t>is recommended to be administered</w:t>
      </w:r>
      <w:proofErr w:type="gramEnd"/>
      <w:r w:rsidRPr="00DE7D8F">
        <w:t xml:space="preserve"> prior to the meal (0-2 minutes).</w:t>
      </w:r>
    </w:p>
    <w:p w14:paraId="72E54029" w14:textId="2A7C2CB5" w:rsidR="00D56FBE" w:rsidRDefault="00D56FBE" w:rsidP="00C44B67">
      <w:pPr>
        <w:pStyle w:val="Heading4"/>
      </w:pPr>
      <w:r w:rsidRPr="00DE7D8F">
        <w:t>Method of Administration</w:t>
      </w:r>
    </w:p>
    <w:p w14:paraId="5FDB6924" w14:textId="77777777" w:rsidR="00802FC4" w:rsidRPr="00802FC4" w:rsidRDefault="00802FC4" w:rsidP="00802FC4">
      <w:pPr>
        <w:rPr>
          <w:lang w:val="en-GB"/>
        </w:rPr>
      </w:pPr>
      <w:proofErr w:type="spellStart"/>
      <w:r w:rsidRPr="00802FC4">
        <w:rPr>
          <w:lang w:val="en-GB"/>
        </w:rPr>
        <w:t>Fiasp</w:t>
      </w:r>
      <w:proofErr w:type="spellEnd"/>
      <w:r w:rsidRPr="00802FC4">
        <w:rPr>
          <w:lang w:val="en-GB"/>
        </w:rPr>
        <w:t xml:space="preserve"> comes in a prefilled pen (</w:t>
      </w:r>
      <w:r w:rsidRPr="00802FC4">
        <w:rPr>
          <w:b/>
          <w:bCs/>
          <w:lang w:val="en-GB"/>
        </w:rPr>
        <w:t>FlexTouch)</w:t>
      </w:r>
      <w:r w:rsidRPr="00802FC4">
        <w:rPr>
          <w:lang w:val="en-GB"/>
        </w:rPr>
        <w:t xml:space="preserve"> designed to be used with </w:t>
      </w:r>
      <w:proofErr w:type="spellStart"/>
      <w:r w:rsidRPr="00802FC4">
        <w:rPr>
          <w:lang w:val="en-GB"/>
        </w:rPr>
        <w:t>NovoFine</w:t>
      </w:r>
      <w:proofErr w:type="spellEnd"/>
      <w:r w:rsidRPr="00802FC4">
        <w:rPr>
          <w:iCs/>
          <w:vertAlign w:val="superscript"/>
          <w:lang w:val="en-GB"/>
        </w:rPr>
        <w:t>®</w:t>
      </w:r>
      <w:r w:rsidRPr="00802FC4">
        <w:rPr>
          <w:lang w:val="en-GB"/>
        </w:rPr>
        <w:t xml:space="preserve"> or </w:t>
      </w:r>
      <w:proofErr w:type="spellStart"/>
      <w:r w:rsidRPr="00802FC4">
        <w:rPr>
          <w:lang w:val="en-GB"/>
        </w:rPr>
        <w:t>NovoFine</w:t>
      </w:r>
      <w:proofErr w:type="spellEnd"/>
      <w:r w:rsidRPr="00802FC4">
        <w:rPr>
          <w:lang w:val="en-GB"/>
        </w:rPr>
        <w:t xml:space="preserve"> Plus injection needles. </w:t>
      </w:r>
      <w:proofErr w:type="spellStart"/>
      <w:r w:rsidRPr="00802FC4">
        <w:rPr>
          <w:lang w:val="en-GB"/>
        </w:rPr>
        <w:t>Fiasp</w:t>
      </w:r>
      <w:proofErr w:type="spellEnd"/>
      <w:r w:rsidRPr="00802FC4">
        <w:rPr>
          <w:lang w:val="en-GB"/>
        </w:rPr>
        <w:t xml:space="preserve"> FlexTouch delivers 1-80 units in steps of 1 unit. </w:t>
      </w:r>
      <w:proofErr w:type="spellStart"/>
      <w:r w:rsidRPr="00802FC4">
        <w:rPr>
          <w:lang w:val="en-GB"/>
        </w:rPr>
        <w:t>Fiasp</w:t>
      </w:r>
      <w:proofErr w:type="spellEnd"/>
      <w:r w:rsidRPr="00802FC4">
        <w:rPr>
          <w:lang w:val="en-GB"/>
        </w:rPr>
        <w:t xml:space="preserve"> FlexTouch is colour-coded and accompanied by a package leaflet with detailed instructions for use to be followed.</w:t>
      </w:r>
    </w:p>
    <w:p w14:paraId="403E9878" w14:textId="77777777" w:rsidR="00802FC4" w:rsidRPr="00802FC4" w:rsidRDefault="00802FC4" w:rsidP="00802FC4">
      <w:pPr>
        <w:rPr>
          <w:lang w:val="en-GB"/>
        </w:rPr>
      </w:pPr>
      <w:proofErr w:type="spellStart"/>
      <w:r w:rsidRPr="00802FC4">
        <w:rPr>
          <w:lang w:val="en-GB"/>
        </w:rPr>
        <w:t>Fiasp</w:t>
      </w:r>
      <w:proofErr w:type="spellEnd"/>
      <w:r w:rsidRPr="00802FC4">
        <w:rPr>
          <w:bCs/>
          <w:lang w:val="en-GB"/>
        </w:rPr>
        <w:t xml:space="preserve"> comes in a </w:t>
      </w:r>
      <w:r w:rsidRPr="00802FC4">
        <w:rPr>
          <w:b/>
          <w:bCs/>
          <w:lang w:val="en-GB"/>
        </w:rPr>
        <w:t>vial</w:t>
      </w:r>
      <w:r w:rsidRPr="00802FC4">
        <w:rPr>
          <w:bCs/>
          <w:lang w:val="en-GB"/>
        </w:rPr>
        <w:t xml:space="preserve"> to </w:t>
      </w:r>
      <w:proofErr w:type="gramStart"/>
      <w:r w:rsidRPr="00802FC4">
        <w:rPr>
          <w:bCs/>
          <w:lang w:val="en-GB"/>
        </w:rPr>
        <w:t>be used</w:t>
      </w:r>
      <w:proofErr w:type="gramEnd"/>
      <w:r w:rsidRPr="00802FC4">
        <w:rPr>
          <w:bCs/>
          <w:lang w:val="en-GB"/>
        </w:rPr>
        <w:t xml:space="preserve"> with i</w:t>
      </w:r>
      <w:r w:rsidRPr="00802FC4">
        <w:rPr>
          <w:lang w:val="en-GB"/>
        </w:rPr>
        <w:t>nsulin syringes with the corresponding unit scale (U-100 or 100 U/mL).</w:t>
      </w:r>
    </w:p>
    <w:p w14:paraId="18F8A53D" w14:textId="1DF13E0B" w:rsidR="00802FC4" w:rsidRDefault="00802FC4" w:rsidP="00802FC4">
      <w:pPr>
        <w:rPr>
          <w:lang w:val="en-US"/>
        </w:rPr>
      </w:pPr>
      <w:proofErr w:type="spellStart"/>
      <w:r w:rsidRPr="00802FC4">
        <w:rPr>
          <w:lang w:val="en-US"/>
        </w:rPr>
        <w:t>Fiasp</w:t>
      </w:r>
      <w:proofErr w:type="spellEnd"/>
      <w:r w:rsidRPr="00802FC4">
        <w:rPr>
          <w:lang w:val="en-US"/>
        </w:rPr>
        <w:t xml:space="preserve"> comes in a cartridge (</w:t>
      </w:r>
      <w:proofErr w:type="spellStart"/>
      <w:r w:rsidRPr="00802FC4">
        <w:rPr>
          <w:b/>
          <w:lang w:val="en-US"/>
        </w:rPr>
        <w:t>Penfill</w:t>
      </w:r>
      <w:proofErr w:type="spellEnd"/>
      <w:r w:rsidRPr="00802FC4">
        <w:rPr>
          <w:lang w:val="en-US"/>
        </w:rPr>
        <w:t>) designed to be used with Novo Nordisk insulin delivery systems</w:t>
      </w:r>
      <w:r w:rsidR="00CC20EA">
        <w:rPr>
          <w:lang w:val="en-US"/>
        </w:rPr>
        <w:t xml:space="preserve"> (</w:t>
      </w:r>
      <w:proofErr w:type="spellStart"/>
      <w:r w:rsidR="00CC20EA" w:rsidRPr="00DE7D8F">
        <w:rPr>
          <w:b/>
          <w:bCs/>
          <w:lang w:val="en-US"/>
        </w:rPr>
        <w:t>NovoPen</w:t>
      </w:r>
      <w:proofErr w:type="spellEnd"/>
      <w:r w:rsidR="00CC20EA" w:rsidRPr="00DE7D8F">
        <w:rPr>
          <w:iCs/>
          <w:vertAlign w:val="superscript"/>
          <w:lang w:val="en-GB"/>
        </w:rPr>
        <w:t>®</w:t>
      </w:r>
      <w:r w:rsidR="00CC20EA">
        <w:rPr>
          <w:lang w:val="en-US"/>
        </w:rPr>
        <w:t>)</w:t>
      </w:r>
      <w:r w:rsidRPr="00802FC4">
        <w:rPr>
          <w:lang w:val="en-US"/>
        </w:rPr>
        <w:t xml:space="preserve"> and </w:t>
      </w:r>
      <w:proofErr w:type="spellStart"/>
      <w:r w:rsidRPr="00802FC4">
        <w:rPr>
          <w:lang w:val="en-US"/>
        </w:rPr>
        <w:t>NovoFine</w:t>
      </w:r>
      <w:proofErr w:type="spellEnd"/>
      <w:r w:rsidRPr="00802FC4">
        <w:rPr>
          <w:lang w:val="en-US"/>
        </w:rPr>
        <w:t xml:space="preserve"> or </w:t>
      </w:r>
      <w:proofErr w:type="spellStart"/>
      <w:r w:rsidRPr="00802FC4">
        <w:rPr>
          <w:lang w:val="en-US"/>
        </w:rPr>
        <w:t>NovoFine</w:t>
      </w:r>
      <w:proofErr w:type="spellEnd"/>
      <w:r w:rsidRPr="00802FC4">
        <w:rPr>
          <w:lang w:val="en-US"/>
        </w:rPr>
        <w:t xml:space="preserve"> Plus injection needles.</w:t>
      </w:r>
    </w:p>
    <w:p w14:paraId="058E1353" w14:textId="77777777" w:rsidR="007B110F" w:rsidRDefault="007B110F" w:rsidP="007B110F">
      <w:pPr>
        <w:rPr>
          <w:lang w:val="en-GB"/>
        </w:rPr>
      </w:pPr>
      <w:proofErr w:type="spellStart"/>
      <w:r w:rsidRPr="000B5751">
        <w:rPr>
          <w:b/>
          <w:lang w:val="en-US"/>
        </w:rPr>
        <w:t>Penfill</w:t>
      </w:r>
      <w:proofErr w:type="spellEnd"/>
      <w:r w:rsidRPr="000B5751">
        <w:rPr>
          <w:b/>
          <w:lang w:val="en-US"/>
        </w:rPr>
        <w:t>/FlexTouch:</w:t>
      </w:r>
      <w:r w:rsidRPr="000B5751">
        <w:rPr>
          <w:lang w:val="en-US"/>
        </w:rPr>
        <w:t xml:space="preserve"> </w:t>
      </w:r>
      <w:r w:rsidRPr="000B5751">
        <w:rPr>
          <w:lang w:val="en-GB"/>
        </w:rPr>
        <w:t xml:space="preserve">Needles and </w:t>
      </w:r>
      <w:proofErr w:type="spellStart"/>
      <w:r w:rsidRPr="000B5751">
        <w:rPr>
          <w:iCs/>
          <w:lang w:val="en-GB"/>
        </w:rPr>
        <w:t>Fiasp</w:t>
      </w:r>
      <w:proofErr w:type="spellEnd"/>
      <w:r w:rsidRPr="000B5751">
        <w:rPr>
          <w:iCs/>
          <w:lang w:val="en-GB"/>
        </w:rPr>
        <w:t xml:space="preserve"> </w:t>
      </w:r>
      <w:proofErr w:type="spellStart"/>
      <w:r w:rsidRPr="000B5751">
        <w:rPr>
          <w:lang w:val="en-US"/>
        </w:rPr>
        <w:t>Penfill</w:t>
      </w:r>
      <w:proofErr w:type="spellEnd"/>
      <w:r w:rsidRPr="000B5751">
        <w:rPr>
          <w:lang w:val="en-US"/>
        </w:rPr>
        <w:t>/</w:t>
      </w:r>
      <w:proofErr w:type="spellStart"/>
      <w:r w:rsidRPr="000B5751">
        <w:rPr>
          <w:iCs/>
          <w:lang w:val="en-GB"/>
        </w:rPr>
        <w:t>Fiasp</w:t>
      </w:r>
      <w:proofErr w:type="spellEnd"/>
      <w:r w:rsidRPr="000B5751">
        <w:rPr>
          <w:iCs/>
          <w:lang w:val="en-GB"/>
        </w:rPr>
        <w:t xml:space="preserve"> </w:t>
      </w:r>
      <w:r w:rsidRPr="000B5751">
        <w:rPr>
          <w:lang w:val="en-US"/>
        </w:rPr>
        <w:t xml:space="preserve">FlexTouch </w:t>
      </w:r>
      <w:proofErr w:type="gramStart"/>
      <w:r w:rsidRPr="000B5751">
        <w:rPr>
          <w:lang w:val="en-GB"/>
        </w:rPr>
        <w:t>must not be shared</w:t>
      </w:r>
      <w:proofErr w:type="gramEnd"/>
      <w:r w:rsidRPr="000B5751">
        <w:rPr>
          <w:lang w:val="en-GB"/>
        </w:rPr>
        <w:t>. The cartridge must not be refilled.</w:t>
      </w:r>
    </w:p>
    <w:p w14:paraId="1CA20D70" w14:textId="77777777" w:rsidR="007B110F" w:rsidRDefault="007B110F" w:rsidP="007B110F">
      <w:pPr>
        <w:rPr>
          <w:lang w:val="en-GB"/>
        </w:rPr>
      </w:pPr>
      <w:proofErr w:type="spellStart"/>
      <w:r w:rsidRPr="000B5751">
        <w:rPr>
          <w:b/>
          <w:lang w:val="en-GB"/>
        </w:rPr>
        <w:t>Fiasp</w:t>
      </w:r>
      <w:proofErr w:type="spellEnd"/>
      <w:r w:rsidRPr="000B5751">
        <w:rPr>
          <w:b/>
          <w:lang w:val="en-GB"/>
        </w:rPr>
        <w:t xml:space="preserve"> vial: </w:t>
      </w:r>
      <w:r w:rsidRPr="000B5751">
        <w:rPr>
          <w:lang w:val="en-GB"/>
        </w:rPr>
        <w:t xml:space="preserve">Needles and syringes </w:t>
      </w:r>
      <w:proofErr w:type="gramStart"/>
      <w:r w:rsidRPr="000B5751">
        <w:rPr>
          <w:lang w:val="en-GB"/>
        </w:rPr>
        <w:t>must not be shared</w:t>
      </w:r>
      <w:proofErr w:type="gramEnd"/>
      <w:r w:rsidRPr="000B5751">
        <w:rPr>
          <w:lang w:val="en-GB"/>
        </w:rPr>
        <w:t>.</w:t>
      </w:r>
    </w:p>
    <w:p w14:paraId="2956834A" w14:textId="77777777" w:rsidR="007B110F" w:rsidRDefault="007B110F" w:rsidP="007B110F">
      <w:pPr>
        <w:rPr>
          <w:lang w:val="en-GB"/>
        </w:rPr>
      </w:pPr>
      <w:proofErr w:type="spellStart"/>
      <w:r w:rsidRPr="000B5751">
        <w:rPr>
          <w:iCs/>
          <w:lang w:val="en-GB"/>
        </w:rPr>
        <w:t>Fiasp</w:t>
      </w:r>
      <w:proofErr w:type="spellEnd"/>
      <w:r w:rsidRPr="000B5751">
        <w:rPr>
          <w:lang w:val="en-GB"/>
        </w:rPr>
        <w:t xml:space="preserve"> </w:t>
      </w:r>
      <w:proofErr w:type="gramStart"/>
      <w:r w:rsidRPr="000B5751">
        <w:rPr>
          <w:lang w:val="en-GB"/>
        </w:rPr>
        <w:t>must not be used</w:t>
      </w:r>
      <w:proofErr w:type="gramEnd"/>
      <w:r w:rsidRPr="000B5751">
        <w:rPr>
          <w:lang w:val="en-GB"/>
        </w:rPr>
        <w:t xml:space="preserve"> if the solution does not appear clear and colourless.</w:t>
      </w:r>
    </w:p>
    <w:p w14:paraId="104F9F32" w14:textId="77777777" w:rsidR="007B110F" w:rsidRDefault="007B110F" w:rsidP="007B110F">
      <w:pPr>
        <w:rPr>
          <w:lang w:val="en-GB"/>
        </w:rPr>
      </w:pPr>
      <w:proofErr w:type="spellStart"/>
      <w:proofErr w:type="gramStart"/>
      <w:r w:rsidRPr="000B5751">
        <w:rPr>
          <w:iCs/>
          <w:lang w:val="en-GB"/>
        </w:rPr>
        <w:t>Fiasp</w:t>
      </w:r>
      <w:proofErr w:type="spellEnd"/>
      <w:r w:rsidRPr="000B5751">
        <w:rPr>
          <w:lang w:val="en-GB"/>
        </w:rPr>
        <w:t xml:space="preserve"> which has been frozen</w:t>
      </w:r>
      <w:proofErr w:type="gramEnd"/>
      <w:r w:rsidRPr="000B5751">
        <w:rPr>
          <w:lang w:val="en-GB"/>
        </w:rPr>
        <w:t xml:space="preserve"> must not be used.</w:t>
      </w:r>
    </w:p>
    <w:p w14:paraId="2F3A7741" w14:textId="6FD65E9D" w:rsidR="009178CA" w:rsidRDefault="007B110F" w:rsidP="009178CA">
      <w:pPr>
        <w:rPr>
          <w:b/>
        </w:rPr>
      </w:pPr>
      <w:r w:rsidRPr="000B5751">
        <w:rPr>
          <w:lang w:val="en-GB"/>
        </w:rPr>
        <w:t>The patient should discard the needle after each injection.</w:t>
      </w:r>
    </w:p>
    <w:p w14:paraId="15E7DD78" w14:textId="630418DB" w:rsidR="00802FC4" w:rsidRPr="009178CA" w:rsidRDefault="00802FC4" w:rsidP="004D0F6F">
      <w:pPr>
        <w:pStyle w:val="Heading5"/>
        <w:keepNext/>
        <w:rPr>
          <w:bCs/>
          <w:u w:val="single"/>
        </w:rPr>
      </w:pPr>
      <w:r w:rsidRPr="009178CA">
        <w:lastRenderedPageBreak/>
        <w:t>Subcutaneous injection</w:t>
      </w:r>
      <w:r w:rsidRPr="009178CA">
        <w:rPr>
          <w:bCs/>
        </w:rPr>
        <w:t>:</w:t>
      </w:r>
    </w:p>
    <w:p w14:paraId="7B2802EE" w14:textId="77777777" w:rsidR="00802FC4" w:rsidRPr="00802FC4" w:rsidRDefault="00802FC4" w:rsidP="00802FC4">
      <w:pPr>
        <w:rPr>
          <w:bCs/>
          <w:lang w:val="en-GB"/>
        </w:rPr>
      </w:pPr>
      <w:proofErr w:type="spellStart"/>
      <w:r w:rsidRPr="00802FC4">
        <w:rPr>
          <w:lang w:val="en-GB"/>
        </w:rPr>
        <w:t>Fiasp</w:t>
      </w:r>
      <w:proofErr w:type="spellEnd"/>
      <w:r w:rsidRPr="00802FC4">
        <w:rPr>
          <w:bCs/>
          <w:lang w:val="en-GB"/>
        </w:rPr>
        <w:t xml:space="preserve"> </w:t>
      </w:r>
      <w:proofErr w:type="gramStart"/>
      <w:r w:rsidRPr="00802FC4">
        <w:rPr>
          <w:bCs/>
          <w:lang w:val="en-GB"/>
        </w:rPr>
        <w:t>is administered</w:t>
      </w:r>
      <w:proofErr w:type="gramEnd"/>
      <w:r w:rsidRPr="00802FC4">
        <w:rPr>
          <w:bCs/>
          <w:lang w:val="en-GB"/>
        </w:rPr>
        <w:t xml:space="preserve"> subcutaneously in the abdominal wall, the upper arm or the thigh. Injection sites should be rotated within the same region in order to reduce the risk of lipodystrophy.</w:t>
      </w:r>
    </w:p>
    <w:p w14:paraId="6FAB973A" w14:textId="77777777" w:rsidR="00802FC4" w:rsidRPr="00802FC4" w:rsidRDefault="00802FC4" w:rsidP="00802FC4">
      <w:pPr>
        <w:rPr>
          <w:lang w:val="en-GB"/>
        </w:rPr>
      </w:pPr>
      <w:r w:rsidRPr="00802FC4">
        <w:rPr>
          <w:bCs/>
          <w:lang w:val="en-GB"/>
        </w:rPr>
        <w:t xml:space="preserve">The duration of action of </w:t>
      </w:r>
      <w:proofErr w:type="spellStart"/>
      <w:r w:rsidRPr="00802FC4">
        <w:rPr>
          <w:lang w:val="en-GB"/>
        </w:rPr>
        <w:t>Fiasp</w:t>
      </w:r>
      <w:proofErr w:type="spellEnd"/>
      <w:r w:rsidRPr="00802FC4">
        <w:rPr>
          <w:bCs/>
          <w:lang w:val="en-GB"/>
        </w:rPr>
        <w:t xml:space="preserve"> may vary according to the dose, injection site, blood flow, temperature and level of physical activity.</w:t>
      </w:r>
    </w:p>
    <w:p w14:paraId="24D5713A" w14:textId="22F84404" w:rsidR="00802FC4" w:rsidRPr="009178CA" w:rsidRDefault="00802FC4" w:rsidP="00771901">
      <w:pPr>
        <w:pStyle w:val="Heading5"/>
        <w:rPr>
          <w:bCs/>
          <w:u w:val="single"/>
          <w:lang w:val="fr-FR"/>
        </w:rPr>
      </w:pPr>
      <w:proofErr w:type="spellStart"/>
      <w:r w:rsidRPr="009178CA">
        <w:rPr>
          <w:lang w:val="fr-FR"/>
        </w:rPr>
        <w:t>Continuous</w:t>
      </w:r>
      <w:proofErr w:type="spellEnd"/>
      <w:r w:rsidRPr="009178CA">
        <w:rPr>
          <w:lang w:val="fr-FR"/>
        </w:rPr>
        <w:t xml:space="preserve"> </w:t>
      </w:r>
      <w:proofErr w:type="spellStart"/>
      <w:r w:rsidRPr="009178CA">
        <w:rPr>
          <w:lang w:val="fr-FR"/>
        </w:rPr>
        <w:t>Subcutaneous</w:t>
      </w:r>
      <w:proofErr w:type="spellEnd"/>
      <w:r w:rsidRPr="009178CA">
        <w:rPr>
          <w:lang w:val="fr-FR"/>
        </w:rPr>
        <w:t xml:space="preserve"> </w:t>
      </w:r>
      <w:proofErr w:type="spellStart"/>
      <w:r w:rsidRPr="009178CA">
        <w:rPr>
          <w:lang w:val="fr-FR"/>
        </w:rPr>
        <w:t>Insulin</w:t>
      </w:r>
      <w:proofErr w:type="spellEnd"/>
      <w:r w:rsidRPr="009178CA">
        <w:rPr>
          <w:lang w:val="fr-FR"/>
        </w:rPr>
        <w:t xml:space="preserve"> Infusion (CSII):</w:t>
      </w:r>
    </w:p>
    <w:p w14:paraId="2B6579F1" w14:textId="77777777" w:rsidR="00802FC4" w:rsidRPr="00802FC4" w:rsidRDefault="00802FC4" w:rsidP="00802FC4">
      <w:pPr>
        <w:rPr>
          <w:bCs/>
          <w:lang w:val="en-GB"/>
        </w:rPr>
      </w:pPr>
      <w:proofErr w:type="spellStart"/>
      <w:r w:rsidRPr="00802FC4">
        <w:rPr>
          <w:lang w:val="en-GB"/>
        </w:rPr>
        <w:t>Fiasp</w:t>
      </w:r>
      <w:proofErr w:type="spellEnd"/>
      <w:r w:rsidRPr="00802FC4">
        <w:rPr>
          <w:bCs/>
          <w:lang w:val="en-GB"/>
        </w:rPr>
        <w:t xml:space="preserve"> </w:t>
      </w:r>
      <w:proofErr w:type="gramStart"/>
      <w:r w:rsidRPr="00802FC4">
        <w:rPr>
          <w:bCs/>
          <w:lang w:val="en-GB"/>
        </w:rPr>
        <w:t>can be used</w:t>
      </w:r>
      <w:proofErr w:type="gramEnd"/>
      <w:r w:rsidRPr="00802FC4">
        <w:rPr>
          <w:bCs/>
          <w:lang w:val="en-GB"/>
        </w:rPr>
        <w:t xml:space="preserve"> for Continuous Subcutaneous Insulin Infusion (CSII) in pumps suitable for insulin infusion</w:t>
      </w:r>
      <w:r w:rsidRPr="00802FC4" w:rsidDel="007628DD">
        <w:rPr>
          <w:bCs/>
          <w:lang w:val="en-GB"/>
        </w:rPr>
        <w:t>.</w:t>
      </w:r>
      <w:r w:rsidRPr="00802FC4">
        <w:rPr>
          <w:bCs/>
          <w:lang w:val="en-GB"/>
        </w:rPr>
        <w:t xml:space="preserve"> </w:t>
      </w:r>
      <w:proofErr w:type="spellStart"/>
      <w:r w:rsidRPr="00802FC4">
        <w:rPr>
          <w:lang w:val="en-GB"/>
        </w:rPr>
        <w:t>Fiasp</w:t>
      </w:r>
      <w:proofErr w:type="spellEnd"/>
      <w:r w:rsidRPr="00802FC4">
        <w:rPr>
          <w:bCs/>
          <w:lang w:val="en-GB"/>
        </w:rPr>
        <w:t xml:space="preserve"> can be administered in accordance with the instructions provided by the pump manufacturer, preferably in the abdomen.</w:t>
      </w:r>
      <w:r w:rsidRPr="00802FC4" w:rsidDel="007628DD">
        <w:rPr>
          <w:bCs/>
          <w:lang w:val="en-GB"/>
        </w:rPr>
        <w:t xml:space="preserve"> </w:t>
      </w:r>
      <w:r w:rsidRPr="00802FC4">
        <w:rPr>
          <w:bCs/>
          <w:lang w:val="en-GB"/>
        </w:rPr>
        <w:t xml:space="preserve">Infusion sites should be rotated within the same region to reduce the risk of lipodystrophy. When used with an insulin infusion pump, </w:t>
      </w:r>
      <w:proofErr w:type="spellStart"/>
      <w:r w:rsidRPr="00802FC4">
        <w:rPr>
          <w:lang w:val="en-GB"/>
        </w:rPr>
        <w:t>Fiasp</w:t>
      </w:r>
      <w:proofErr w:type="spellEnd"/>
      <w:r w:rsidRPr="00802FC4">
        <w:rPr>
          <w:bCs/>
          <w:lang w:val="en-GB"/>
        </w:rPr>
        <w:t xml:space="preserve"> should not be diluted or mixed with any other insulin products.</w:t>
      </w:r>
    </w:p>
    <w:p w14:paraId="7F91638C" w14:textId="77777777" w:rsidR="00802FC4" w:rsidRPr="00802FC4" w:rsidRDefault="00802FC4" w:rsidP="00802FC4">
      <w:pPr>
        <w:rPr>
          <w:bCs/>
          <w:lang w:val="en-GB"/>
        </w:rPr>
      </w:pPr>
      <w:r w:rsidRPr="00802FC4">
        <w:rPr>
          <w:bCs/>
          <w:lang w:val="en-GB"/>
        </w:rPr>
        <w:t xml:space="preserve">Patients using CSII should be instructed in the use of the pump and use the correct reservoir and tubing for pump (see ’Presentation and Storage Conditions.’) The infusion set (tubing and cannula) </w:t>
      </w:r>
      <w:proofErr w:type="gramStart"/>
      <w:r w:rsidRPr="00802FC4">
        <w:rPr>
          <w:bCs/>
          <w:lang w:val="en-GB"/>
        </w:rPr>
        <w:t>should be changed</w:t>
      </w:r>
      <w:proofErr w:type="gramEnd"/>
      <w:r w:rsidRPr="00802FC4">
        <w:rPr>
          <w:bCs/>
          <w:lang w:val="en-GB"/>
        </w:rPr>
        <w:t xml:space="preserve"> in accordance with the instructions in the product information supplied with the infusion set.</w:t>
      </w:r>
    </w:p>
    <w:p w14:paraId="5CB66F44" w14:textId="77777777" w:rsidR="00802FC4" w:rsidRPr="00802FC4" w:rsidRDefault="00802FC4" w:rsidP="00802FC4">
      <w:pPr>
        <w:rPr>
          <w:bCs/>
          <w:lang w:val="en-GB"/>
        </w:rPr>
      </w:pPr>
      <w:r w:rsidRPr="00802FC4">
        <w:rPr>
          <w:bCs/>
          <w:iCs/>
          <w:lang w:val="en-GB"/>
        </w:rPr>
        <w:t>I</w:t>
      </w:r>
      <w:r w:rsidRPr="00802FC4">
        <w:rPr>
          <w:bCs/>
          <w:lang w:val="en-GB"/>
        </w:rPr>
        <w:t xml:space="preserve">nsulin pumps manufactured by Medtronic and Animas </w:t>
      </w:r>
      <w:proofErr w:type="gramStart"/>
      <w:r w:rsidRPr="00802FC4">
        <w:rPr>
          <w:bCs/>
          <w:lang w:val="en-GB"/>
        </w:rPr>
        <w:t>have been used</w:t>
      </w:r>
      <w:proofErr w:type="gramEnd"/>
      <w:r w:rsidRPr="00802FC4">
        <w:rPr>
          <w:bCs/>
          <w:lang w:val="en-GB"/>
        </w:rPr>
        <w:t xml:space="preserve"> in clinical or </w:t>
      </w:r>
      <w:r w:rsidRPr="00802FC4">
        <w:rPr>
          <w:bCs/>
          <w:i/>
          <w:lang w:val="en-GB"/>
        </w:rPr>
        <w:t>in vitro</w:t>
      </w:r>
      <w:r w:rsidRPr="00802FC4">
        <w:rPr>
          <w:bCs/>
          <w:lang w:val="en-GB"/>
        </w:rPr>
        <w:t xml:space="preserve"> studies.</w:t>
      </w:r>
    </w:p>
    <w:p w14:paraId="2D5FAA50" w14:textId="77777777" w:rsidR="00802FC4" w:rsidRPr="00802FC4" w:rsidRDefault="00802FC4" w:rsidP="00771901">
      <w:pPr>
        <w:pStyle w:val="ListBullet"/>
        <w:rPr>
          <w:lang w:val="en-GB"/>
        </w:rPr>
      </w:pPr>
      <w:proofErr w:type="spellStart"/>
      <w:r w:rsidRPr="00802FC4">
        <w:rPr>
          <w:lang w:val="en-GB"/>
        </w:rPr>
        <w:t>MiniMed</w:t>
      </w:r>
      <w:proofErr w:type="spellEnd"/>
      <w:r w:rsidRPr="00802FC4">
        <w:rPr>
          <w:lang w:val="en-GB"/>
        </w:rPr>
        <w:t xml:space="preserve"> Paradigm 515/715</w:t>
      </w:r>
    </w:p>
    <w:p w14:paraId="4A1580D9" w14:textId="77777777" w:rsidR="00802FC4" w:rsidRPr="00802FC4" w:rsidRDefault="00802FC4" w:rsidP="00771901">
      <w:pPr>
        <w:pStyle w:val="ListBullet"/>
        <w:rPr>
          <w:lang w:val="en-GB"/>
        </w:rPr>
      </w:pPr>
      <w:proofErr w:type="spellStart"/>
      <w:r w:rsidRPr="00802FC4">
        <w:rPr>
          <w:lang w:val="en-GB"/>
        </w:rPr>
        <w:t>MiniMed</w:t>
      </w:r>
      <w:proofErr w:type="spellEnd"/>
      <w:r w:rsidRPr="00802FC4">
        <w:rPr>
          <w:lang w:val="en-GB"/>
        </w:rPr>
        <w:t xml:space="preserve"> Paradigm 522/ 722 </w:t>
      </w:r>
      <w:proofErr w:type="spellStart"/>
      <w:r w:rsidRPr="00802FC4">
        <w:rPr>
          <w:lang w:val="en-GB"/>
        </w:rPr>
        <w:t>REAL-time</w:t>
      </w:r>
      <w:proofErr w:type="spellEnd"/>
    </w:p>
    <w:p w14:paraId="35FCF11B" w14:textId="77777777" w:rsidR="00802FC4" w:rsidRPr="00802FC4" w:rsidRDefault="00802FC4" w:rsidP="00771901">
      <w:pPr>
        <w:pStyle w:val="ListBullet"/>
        <w:rPr>
          <w:lang w:val="en-GB"/>
        </w:rPr>
      </w:pPr>
      <w:proofErr w:type="spellStart"/>
      <w:r w:rsidRPr="00802FC4">
        <w:rPr>
          <w:lang w:val="en-GB"/>
        </w:rPr>
        <w:t>MiniMed</w:t>
      </w:r>
      <w:proofErr w:type="spellEnd"/>
      <w:r w:rsidRPr="00802FC4">
        <w:rPr>
          <w:lang w:val="en-GB"/>
        </w:rPr>
        <w:t xml:space="preserve"> Paradigm 523/723 </w:t>
      </w:r>
      <w:proofErr w:type="spellStart"/>
      <w:r w:rsidRPr="00802FC4">
        <w:rPr>
          <w:lang w:val="en-GB"/>
        </w:rPr>
        <w:t>REAL-time</w:t>
      </w:r>
      <w:proofErr w:type="spellEnd"/>
      <w:r w:rsidRPr="00802FC4">
        <w:rPr>
          <w:lang w:val="en-GB"/>
        </w:rPr>
        <w:t xml:space="preserve"> Revel</w:t>
      </w:r>
    </w:p>
    <w:p w14:paraId="43BA5E58" w14:textId="77777777" w:rsidR="00802FC4" w:rsidRPr="00802FC4" w:rsidRDefault="00802FC4" w:rsidP="00771901">
      <w:pPr>
        <w:pStyle w:val="ListBullet"/>
        <w:rPr>
          <w:lang w:val="en-GB"/>
        </w:rPr>
      </w:pPr>
      <w:r w:rsidRPr="00802FC4">
        <w:rPr>
          <w:lang w:val="en-GB"/>
        </w:rPr>
        <w:t>Animas Vibe</w:t>
      </w:r>
    </w:p>
    <w:p w14:paraId="352D06D7" w14:textId="77777777" w:rsidR="00802FC4" w:rsidRPr="00802FC4" w:rsidRDefault="00802FC4" w:rsidP="00802FC4">
      <w:pPr>
        <w:rPr>
          <w:lang w:val="en-GB"/>
        </w:rPr>
      </w:pPr>
      <w:r w:rsidRPr="00802FC4">
        <w:rPr>
          <w:bCs/>
          <w:lang w:val="en-GB"/>
        </w:rPr>
        <w:t xml:space="preserve">Patients administering </w:t>
      </w:r>
      <w:proofErr w:type="spellStart"/>
      <w:r w:rsidRPr="00802FC4">
        <w:rPr>
          <w:lang w:val="en-GB"/>
        </w:rPr>
        <w:t>Fiasp</w:t>
      </w:r>
      <w:proofErr w:type="spellEnd"/>
      <w:r w:rsidRPr="00802FC4">
        <w:rPr>
          <w:bCs/>
          <w:lang w:val="en-GB"/>
        </w:rPr>
        <w:t xml:space="preserve"> by CSII </w:t>
      </w:r>
      <w:proofErr w:type="gramStart"/>
      <w:r w:rsidRPr="00802FC4">
        <w:rPr>
          <w:bCs/>
          <w:lang w:val="en-GB"/>
        </w:rPr>
        <w:t>must be trained</w:t>
      </w:r>
      <w:proofErr w:type="gramEnd"/>
      <w:r w:rsidRPr="00802FC4">
        <w:rPr>
          <w:bCs/>
          <w:lang w:val="en-GB"/>
        </w:rPr>
        <w:t xml:space="preserve"> to administer insulin by injection and have alternate insulin therapy available in case of pump failure.</w:t>
      </w:r>
    </w:p>
    <w:p w14:paraId="1B6C41E5" w14:textId="6856A39E" w:rsidR="00802FC4" w:rsidRPr="00802FC4" w:rsidRDefault="00802FC4" w:rsidP="00771901">
      <w:pPr>
        <w:pStyle w:val="Heading5"/>
        <w:rPr>
          <w:u w:val="single"/>
          <w:lang w:val="en-GB"/>
        </w:rPr>
      </w:pPr>
      <w:r w:rsidRPr="00802FC4">
        <w:rPr>
          <w:lang w:val="en-GB"/>
        </w:rPr>
        <w:t>Intravenous use:</w:t>
      </w:r>
    </w:p>
    <w:p w14:paraId="2328B53A" w14:textId="77777777" w:rsidR="00802FC4" w:rsidRPr="00802FC4" w:rsidRDefault="00802FC4" w:rsidP="00802FC4">
      <w:pPr>
        <w:rPr>
          <w:lang w:val="en-GB"/>
        </w:rPr>
      </w:pPr>
      <w:r w:rsidRPr="00802FC4">
        <w:rPr>
          <w:iCs/>
          <w:lang w:val="en-GB"/>
        </w:rPr>
        <w:t xml:space="preserve">If necessary, </w:t>
      </w:r>
      <w:proofErr w:type="spellStart"/>
      <w:r w:rsidRPr="00802FC4">
        <w:rPr>
          <w:lang w:val="en-GB"/>
        </w:rPr>
        <w:t>Fiasp</w:t>
      </w:r>
      <w:proofErr w:type="spellEnd"/>
      <w:r w:rsidRPr="00802FC4">
        <w:rPr>
          <w:iCs/>
          <w:lang w:val="en-GB"/>
        </w:rPr>
        <w:t xml:space="preserve"> </w:t>
      </w:r>
      <w:proofErr w:type="gramStart"/>
      <w:r w:rsidRPr="00802FC4">
        <w:rPr>
          <w:iCs/>
          <w:lang w:val="en-GB"/>
        </w:rPr>
        <w:t>can be administered</w:t>
      </w:r>
      <w:proofErr w:type="gramEnd"/>
      <w:r w:rsidRPr="00802FC4">
        <w:rPr>
          <w:iCs/>
          <w:lang w:val="en-GB"/>
        </w:rPr>
        <w:t xml:space="preserve"> intravenously by health care professionals. For intravenous use </w:t>
      </w:r>
      <w:proofErr w:type="spellStart"/>
      <w:r w:rsidRPr="00802FC4">
        <w:rPr>
          <w:lang w:val="en-GB"/>
        </w:rPr>
        <w:t>Fiasp</w:t>
      </w:r>
      <w:proofErr w:type="spellEnd"/>
      <w:r w:rsidRPr="00802FC4">
        <w:rPr>
          <w:iCs/>
          <w:lang w:val="en-GB"/>
        </w:rPr>
        <w:t xml:space="preserve"> should be used at concentrations from 0.5 unit/mL to 1.0 unit/mL insulin </w:t>
      </w:r>
      <w:proofErr w:type="spellStart"/>
      <w:r w:rsidRPr="00802FC4">
        <w:rPr>
          <w:iCs/>
          <w:lang w:val="en-GB"/>
        </w:rPr>
        <w:t>aspart</w:t>
      </w:r>
      <w:proofErr w:type="spellEnd"/>
      <w:r w:rsidRPr="00802FC4">
        <w:rPr>
          <w:iCs/>
          <w:lang w:val="en-GB"/>
        </w:rPr>
        <w:t xml:space="preserve"> in infusion systems using polypropylene infusion bags. </w:t>
      </w:r>
      <w:proofErr w:type="spellStart"/>
      <w:r w:rsidRPr="00802FC4">
        <w:rPr>
          <w:lang w:val="en-GB"/>
        </w:rPr>
        <w:t>Fiasp</w:t>
      </w:r>
      <w:proofErr w:type="spellEnd"/>
      <w:r w:rsidRPr="00802FC4">
        <w:rPr>
          <w:iCs/>
          <w:lang w:val="en-GB"/>
        </w:rPr>
        <w:t xml:space="preserve"> has been shown to be stable at room temperature for 24 hours in the infusion fluids such as 0.9% sodium chloride or 5% dextrose. Monitoring of blood glucose is necessary during insulin infusion. Care should be taken to ensure that the insulin is injected into the infusion bag and not simply the entry port.</w:t>
      </w:r>
    </w:p>
    <w:p w14:paraId="6BBD2D09" w14:textId="77777777" w:rsidR="00D56FBE" w:rsidRDefault="00D56FBE" w:rsidP="00C44B67">
      <w:pPr>
        <w:pStyle w:val="Heading4"/>
      </w:pPr>
      <w:r>
        <w:t>Dosage Adjustment</w:t>
      </w:r>
    </w:p>
    <w:p w14:paraId="5375B099" w14:textId="77777777" w:rsidR="00D56FBE" w:rsidRDefault="00802FC4" w:rsidP="00C44B67">
      <w:pPr>
        <w:rPr>
          <w:lang w:val="en-US"/>
        </w:rPr>
      </w:pPr>
      <w:r w:rsidRPr="00416F95">
        <w:rPr>
          <w:lang w:val="en-US"/>
        </w:rPr>
        <w:t>The individual total daily insulin requirement in adults</w:t>
      </w:r>
      <w:r w:rsidR="003200B1">
        <w:rPr>
          <w:lang w:val="en-US"/>
        </w:rPr>
        <w:t>, adolescents and children</w:t>
      </w:r>
      <w:r w:rsidRPr="00416F95">
        <w:rPr>
          <w:lang w:val="en-US"/>
        </w:rPr>
        <w:t xml:space="preserve"> may vary and is usually between 0.5 and 1.0 unit/kg/day. Adjustment of dose may be necessary if patients undertake increased physical activity, change their usual diet or during concomitant illness. Blood glucose levels should be monitored adequately under these conditions.</w:t>
      </w:r>
    </w:p>
    <w:p w14:paraId="6504C103" w14:textId="7F09E279" w:rsidR="00802FC4" w:rsidRPr="009178CA" w:rsidRDefault="00802FC4" w:rsidP="00771901">
      <w:pPr>
        <w:pStyle w:val="Heading5"/>
      </w:pPr>
      <w:r w:rsidRPr="009178CA">
        <w:t>Patients with type 2 diabetes mellitus</w:t>
      </w:r>
    </w:p>
    <w:p w14:paraId="026D6B5B" w14:textId="5B547DBD" w:rsidR="00802FC4" w:rsidRDefault="00802FC4" w:rsidP="00802FC4">
      <w:pPr>
        <w:rPr>
          <w:lang w:val="en-GB"/>
        </w:rPr>
      </w:pPr>
      <w:proofErr w:type="spellStart"/>
      <w:r w:rsidRPr="00802FC4">
        <w:rPr>
          <w:lang w:val="en-GB"/>
        </w:rPr>
        <w:t>Fiasp</w:t>
      </w:r>
      <w:proofErr w:type="spellEnd"/>
      <w:r w:rsidRPr="00802FC4">
        <w:rPr>
          <w:lang w:val="en-GB"/>
        </w:rPr>
        <w:t xml:space="preserve"> adjustment </w:t>
      </w:r>
      <w:proofErr w:type="gramStart"/>
      <w:r w:rsidRPr="00802FC4">
        <w:rPr>
          <w:lang w:val="en-GB"/>
        </w:rPr>
        <w:t>may be considered</w:t>
      </w:r>
      <w:proofErr w:type="gramEnd"/>
      <w:r w:rsidRPr="00802FC4">
        <w:rPr>
          <w:lang w:val="en-GB"/>
        </w:rPr>
        <w:t xml:space="preserve"> daily based on mealtime and bedtime SMPG on the previous day according to Table </w:t>
      </w:r>
      <w:r w:rsidR="00EF34D9">
        <w:rPr>
          <w:lang w:val="en-GB"/>
        </w:rPr>
        <w:t>1</w:t>
      </w:r>
      <w:r w:rsidRPr="00802FC4">
        <w:rPr>
          <w:lang w:val="en-GB"/>
        </w:rPr>
        <w:t>.</w:t>
      </w:r>
    </w:p>
    <w:p w14:paraId="62BD4AAA" w14:textId="58AF17D0" w:rsidR="00802FC4" w:rsidRPr="00802FC4" w:rsidRDefault="00802FC4" w:rsidP="00771901">
      <w:pPr>
        <w:pStyle w:val="ListBullet"/>
        <w:rPr>
          <w:lang w:val="en-GB"/>
        </w:rPr>
      </w:pPr>
      <w:r w:rsidRPr="00802FC4">
        <w:rPr>
          <w:lang w:val="en-GB"/>
        </w:rPr>
        <w:lastRenderedPageBreak/>
        <w:t xml:space="preserve">Pre-breakfast </w:t>
      </w:r>
      <w:proofErr w:type="spellStart"/>
      <w:r w:rsidRPr="00802FC4">
        <w:rPr>
          <w:lang w:val="en-GB"/>
        </w:rPr>
        <w:t>Fiasp</w:t>
      </w:r>
      <w:proofErr w:type="spellEnd"/>
      <w:r w:rsidRPr="00802FC4">
        <w:rPr>
          <w:lang w:val="en-GB"/>
        </w:rPr>
        <w:t xml:space="preserve"> should be adjusted according to the pre-lunch SMPG the previous day</w:t>
      </w:r>
    </w:p>
    <w:p w14:paraId="12E6481B" w14:textId="41BC4D52" w:rsidR="00802FC4" w:rsidRPr="00802FC4" w:rsidRDefault="00802FC4" w:rsidP="00771901">
      <w:pPr>
        <w:pStyle w:val="ListBullet"/>
        <w:rPr>
          <w:lang w:val="en-GB"/>
        </w:rPr>
      </w:pPr>
      <w:r w:rsidRPr="00802FC4">
        <w:rPr>
          <w:lang w:val="en-GB"/>
        </w:rPr>
        <w:t xml:space="preserve">Pre-lunch </w:t>
      </w:r>
      <w:proofErr w:type="spellStart"/>
      <w:r w:rsidRPr="00802FC4">
        <w:rPr>
          <w:lang w:val="en-GB"/>
        </w:rPr>
        <w:t>Fiasp</w:t>
      </w:r>
      <w:proofErr w:type="spellEnd"/>
      <w:r w:rsidRPr="00802FC4">
        <w:rPr>
          <w:lang w:val="en-GB"/>
        </w:rPr>
        <w:t xml:space="preserve"> should be adjusted according to the pre-dinner SMPG the previous day</w:t>
      </w:r>
    </w:p>
    <w:p w14:paraId="27690050" w14:textId="2C4C8620" w:rsidR="00802FC4" w:rsidRDefault="00802FC4" w:rsidP="00771901">
      <w:pPr>
        <w:pStyle w:val="ListBullet"/>
        <w:rPr>
          <w:lang w:val="en-GB"/>
        </w:rPr>
      </w:pPr>
      <w:r w:rsidRPr="00802FC4">
        <w:rPr>
          <w:lang w:val="en-GB"/>
        </w:rPr>
        <w:t xml:space="preserve">Pre-dinner </w:t>
      </w:r>
      <w:proofErr w:type="spellStart"/>
      <w:r w:rsidRPr="00802FC4">
        <w:rPr>
          <w:lang w:val="en-GB"/>
        </w:rPr>
        <w:t>Fiasp</w:t>
      </w:r>
      <w:proofErr w:type="spellEnd"/>
      <w:r w:rsidRPr="00802FC4">
        <w:rPr>
          <w:lang w:val="en-GB"/>
        </w:rPr>
        <w:t xml:space="preserve"> should be adjusted according to the bedtime SMPG the previous day</w:t>
      </w:r>
    </w:p>
    <w:p w14:paraId="5E91A905" w14:textId="12A7DE42" w:rsidR="00306CC3" w:rsidRPr="00DE7D8F" w:rsidRDefault="00D141CF" w:rsidP="00802FC4">
      <w:r>
        <w:t xml:space="preserve">Table </w:t>
      </w:r>
      <w:fldSimple w:instr=" SEQ Table \* ARABIC ">
        <w:r w:rsidR="00BC4F8D">
          <w:rPr>
            <w:noProof/>
          </w:rPr>
          <w:t>1</w:t>
        </w:r>
      </w:fldSimple>
      <w:r w:rsidR="00306CC3">
        <w:rPr>
          <w:sz w:val="22"/>
          <w:szCs w:val="22"/>
        </w:rPr>
        <w:t xml:space="preserve"> </w:t>
      </w:r>
      <w:r w:rsidR="00306CC3" w:rsidRPr="00A13962">
        <w:rPr>
          <w:b/>
          <w:sz w:val="22"/>
          <w:szCs w:val="22"/>
        </w:rPr>
        <w:t>Dose adjustment</w:t>
      </w:r>
      <w:r w:rsidR="00CC20EA">
        <w:rPr>
          <w:b/>
          <w:sz w:val="22"/>
          <w:szCs w:val="22"/>
        </w:rPr>
        <w:t xml:space="preserve"> </w:t>
      </w:r>
      <w:r w:rsidR="00CC20EA" w:rsidRPr="00DE7D8F">
        <w:rPr>
          <w:b/>
          <w:sz w:val="22"/>
          <w:szCs w:val="22"/>
        </w:rPr>
        <w:t>for adult patients</w:t>
      </w:r>
    </w:p>
    <w:tbl>
      <w:tblPr>
        <w:tblStyle w:val="TableGrid"/>
        <w:tblW w:w="0" w:type="auto"/>
        <w:tblLook w:val="04A0" w:firstRow="1" w:lastRow="0" w:firstColumn="1" w:lastColumn="0" w:noHBand="0" w:noVBand="1"/>
      </w:tblPr>
      <w:tblGrid>
        <w:gridCol w:w="2481"/>
        <w:gridCol w:w="2481"/>
        <w:gridCol w:w="2482"/>
      </w:tblGrid>
      <w:tr w:rsidR="00802FC4" w:rsidRPr="00DE7D8F" w14:paraId="696D9E65" w14:textId="77777777" w:rsidTr="00802FC4">
        <w:tc>
          <w:tcPr>
            <w:tcW w:w="4962" w:type="dxa"/>
            <w:gridSpan w:val="2"/>
          </w:tcPr>
          <w:p w14:paraId="0D80948C" w14:textId="77777777" w:rsidR="00802FC4" w:rsidRPr="00DE7D8F" w:rsidRDefault="00802FC4" w:rsidP="00802FC4">
            <w:pPr>
              <w:jc w:val="both"/>
              <w:rPr>
                <w:b/>
                <w:sz w:val="22"/>
                <w:szCs w:val="22"/>
              </w:rPr>
            </w:pPr>
            <w:r w:rsidRPr="00DE7D8F">
              <w:rPr>
                <w:b/>
                <w:sz w:val="22"/>
                <w:szCs w:val="22"/>
              </w:rPr>
              <w:t>Mealtime or bedtime plasma glucose</w:t>
            </w:r>
          </w:p>
        </w:tc>
        <w:tc>
          <w:tcPr>
            <w:tcW w:w="2482" w:type="dxa"/>
          </w:tcPr>
          <w:p w14:paraId="18CF72A3" w14:textId="77777777" w:rsidR="00802FC4" w:rsidRPr="00DE7D8F" w:rsidRDefault="00802FC4" w:rsidP="00802FC4">
            <w:pPr>
              <w:jc w:val="both"/>
              <w:rPr>
                <w:b/>
                <w:sz w:val="22"/>
                <w:szCs w:val="22"/>
              </w:rPr>
            </w:pPr>
            <w:r w:rsidRPr="00DE7D8F">
              <w:rPr>
                <w:b/>
                <w:sz w:val="22"/>
                <w:szCs w:val="22"/>
              </w:rPr>
              <w:t>Dose adjustment</w:t>
            </w:r>
          </w:p>
        </w:tc>
      </w:tr>
      <w:tr w:rsidR="00802FC4" w:rsidRPr="00DE7D8F" w14:paraId="5B6D023F" w14:textId="77777777" w:rsidTr="00802FC4">
        <w:tc>
          <w:tcPr>
            <w:tcW w:w="2481" w:type="dxa"/>
          </w:tcPr>
          <w:p w14:paraId="2D6277F6" w14:textId="77777777" w:rsidR="00802FC4" w:rsidRPr="00DE7D8F" w:rsidRDefault="00802FC4" w:rsidP="00802FC4">
            <w:pPr>
              <w:jc w:val="both"/>
              <w:rPr>
                <w:sz w:val="22"/>
                <w:szCs w:val="22"/>
              </w:rPr>
            </w:pPr>
            <w:r w:rsidRPr="00DE7D8F">
              <w:rPr>
                <w:sz w:val="22"/>
                <w:szCs w:val="22"/>
              </w:rPr>
              <w:t>mmol/L</w:t>
            </w:r>
          </w:p>
        </w:tc>
        <w:tc>
          <w:tcPr>
            <w:tcW w:w="2481" w:type="dxa"/>
          </w:tcPr>
          <w:p w14:paraId="35A0E818" w14:textId="77777777" w:rsidR="00802FC4" w:rsidRPr="00DE7D8F" w:rsidRDefault="00802FC4" w:rsidP="00802FC4">
            <w:pPr>
              <w:jc w:val="both"/>
              <w:rPr>
                <w:sz w:val="22"/>
                <w:szCs w:val="22"/>
              </w:rPr>
            </w:pPr>
          </w:p>
        </w:tc>
        <w:tc>
          <w:tcPr>
            <w:tcW w:w="2482" w:type="dxa"/>
          </w:tcPr>
          <w:p w14:paraId="78F49E62" w14:textId="77777777" w:rsidR="00802FC4" w:rsidRPr="00DE7D8F" w:rsidRDefault="00802FC4" w:rsidP="00802FC4">
            <w:pPr>
              <w:jc w:val="both"/>
              <w:rPr>
                <w:sz w:val="22"/>
                <w:szCs w:val="22"/>
              </w:rPr>
            </w:pPr>
            <w:r w:rsidRPr="00DE7D8F">
              <w:rPr>
                <w:sz w:val="22"/>
                <w:szCs w:val="22"/>
              </w:rPr>
              <w:t>Unit</w:t>
            </w:r>
          </w:p>
        </w:tc>
      </w:tr>
      <w:tr w:rsidR="00802FC4" w:rsidRPr="00DE7D8F" w14:paraId="5D8BCAB7" w14:textId="77777777" w:rsidTr="00802FC4">
        <w:tc>
          <w:tcPr>
            <w:tcW w:w="2481" w:type="dxa"/>
          </w:tcPr>
          <w:p w14:paraId="7FFC1368" w14:textId="77777777" w:rsidR="00802FC4" w:rsidRPr="00DE7D8F" w:rsidRDefault="00802FC4" w:rsidP="00802FC4">
            <w:pPr>
              <w:jc w:val="both"/>
              <w:rPr>
                <w:sz w:val="22"/>
                <w:szCs w:val="22"/>
              </w:rPr>
            </w:pPr>
            <w:r w:rsidRPr="00DE7D8F">
              <w:rPr>
                <w:sz w:val="22"/>
                <w:szCs w:val="22"/>
              </w:rPr>
              <w:t>&lt; 4.0</w:t>
            </w:r>
          </w:p>
        </w:tc>
        <w:tc>
          <w:tcPr>
            <w:tcW w:w="2481" w:type="dxa"/>
          </w:tcPr>
          <w:p w14:paraId="04818BE6" w14:textId="77777777" w:rsidR="00802FC4" w:rsidRPr="00DE7D8F" w:rsidRDefault="00802FC4" w:rsidP="00802FC4">
            <w:pPr>
              <w:jc w:val="both"/>
              <w:rPr>
                <w:sz w:val="22"/>
                <w:szCs w:val="22"/>
              </w:rPr>
            </w:pPr>
          </w:p>
        </w:tc>
        <w:tc>
          <w:tcPr>
            <w:tcW w:w="2482" w:type="dxa"/>
          </w:tcPr>
          <w:p w14:paraId="78E0A7A1" w14:textId="77777777" w:rsidR="00802FC4" w:rsidRPr="00DE7D8F" w:rsidRDefault="00802FC4" w:rsidP="00802FC4">
            <w:pPr>
              <w:jc w:val="both"/>
              <w:rPr>
                <w:sz w:val="22"/>
                <w:szCs w:val="22"/>
              </w:rPr>
            </w:pPr>
            <w:r w:rsidRPr="00DE7D8F">
              <w:rPr>
                <w:sz w:val="22"/>
                <w:szCs w:val="22"/>
              </w:rPr>
              <w:t>-1</w:t>
            </w:r>
          </w:p>
        </w:tc>
      </w:tr>
      <w:tr w:rsidR="00802FC4" w:rsidRPr="00DE7D8F" w14:paraId="557781CF" w14:textId="77777777" w:rsidTr="00802FC4">
        <w:tc>
          <w:tcPr>
            <w:tcW w:w="2481" w:type="dxa"/>
          </w:tcPr>
          <w:p w14:paraId="56ECB8CD" w14:textId="77777777" w:rsidR="00802FC4" w:rsidRPr="00DE7D8F" w:rsidRDefault="00802FC4" w:rsidP="00802FC4">
            <w:pPr>
              <w:jc w:val="both"/>
              <w:rPr>
                <w:sz w:val="22"/>
                <w:szCs w:val="22"/>
              </w:rPr>
            </w:pPr>
            <w:r w:rsidRPr="00DE7D8F">
              <w:rPr>
                <w:sz w:val="22"/>
                <w:szCs w:val="22"/>
              </w:rPr>
              <w:t>4.0 - 6.0</w:t>
            </w:r>
          </w:p>
        </w:tc>
        <w:tc>
          <w:tcPr>
            <w:tcW w:w="2481" w:type="dxa"/>
          </w:tcPr>
          <w:p w14:paraId="527A8702" w14:textId="77777777" w:rsidR="00802FC4" w:rsidRPr="00DE7D8F" w:rsidRDefault="00802FC4" w:rsidP="00802FC4">
            <w:pPr>
              <w:jc w:val="both"/>
              <w:rPr>
                <w:sz w:val="22"/>
                <w:szCs w:val="22"/>
              </w:rPr>
            </w:pPr>
          </w:p>
        </w:tc>
        <w:tc>
          <w:tcPr>
            <w:tcW w:w="2482" w:type="dxa"/>
          </w:tcPr>
          <w:p w14:paraId="419A3F34" w14:textId="77777777" w:rsidR="00802FC4" w:rsidRPr="00DE7D8F" w:rsidRDefault="00802FC4" w:rsidP="00802FC4">
            <w:pPr>
              <w:jc w:val="both"/>
              <w:rPr>
                <w:sz w:val="22"/>
                <w:szCs w:val="22"/>
              </w:rPr>
            </w:pPr>
            <w:r w:rsidRPr="00DE7D8F">
              <w:rPr>
                <w:sz w:val="22"/>
                <w:szCs w:val="22"/>
              </w:rPr>
              <w:t>No adjustment</w:t>
            </w:r>
          </w:p>
        </w:tc>
      </w:tr>
      <w:tr w:rsidR="00802FC4" w:rsidRPr="00DE7D8F" w14:paraId="4FC3E537" w14:textId="77777777" w:rsidTr="00802FC4">
        <w:tc>
          <w:tcPr>
            <w:tcW w:w="2481" w:type="dxa"/>
          </w:tcPr>
          <w:p w14:paraId="64BBCCD2" w14:textId="77777777" w:rsidR="00802FC4" w:rsidRPr="00DE7D8F" w:rsidRDefault="00802FC4" w:rsidP="00802FC4">
            <w:pPr>
              <w:jc w:val="both"/>
              <w:rPr>
                <w:sz w:val="22"/>
                <w:szCs w:val="22"/>
              </w:rPr>
            </w:pPr>
            <w:r w:rsidRPr="00DE7D8F">
              <w:rPr>
                <w:sz w:val="22"/>
                <w:szCs w:val="22"/>
              </w:rPr>
              <w:t>&gt; 6.0</w:t>
            </w:r>
          </w:p>
        </w:tc>
        <w:tc>
          <w:tcPr>
            <w:tcW w:w="2481" w:type="dxa"/>
          </w:tcPr>
          <w:p w14:paraId="13AD8057" w14:textId="77777777" w:rsidR="00802FC4" w:rsidRPr="00DE7D8F" w:rsidRDefault="00802FC4" w:rsidP="00802FC4">
            <w:pPr>
              <w:jc w:val="both"/>
              <w:rPr>
                <w:sz w:val="22"/>
                <w:szCs w:val="22"/>
              </w:rPr>
            </w:pPr>
          </w:p>
        </w:tc>
        <w:tc>
          <w:tcPr>
            <w:tcW w:w="2482" w:type="dxa"/>
          </w:tcPr>
          <w:p w14:paraId="02213A3D" w14:textId="77777777" w:rsidR="00802FC4" w:rsidRPr="00DE7D8F" w:rsidRDefault="00802FC4" w:rsidP="00802FC4">
            <w:pPr>
              <w:jc w:val="both"/>
              <w:rPr>
                <w:sz w:val="22"/>
                <w:szCs w:val="22"/>
              </w:rPr>
            </w:pPr>
            <w:r w:rsidRPr="00DE7D8F">
              <w:rPr>
                <w:sz w:val="22"/>
                <w:szCs w:val="22"/>
              </w:rPr>
              <w:t>+1</w:t>
            </w:r>
          </w:p>
        </w:tc>
      </w:tr>
    </w:tbl>
    <w:p w14:paraId="293D4B85" w14:textId="77777777" w:rsidR="00D56FBE" w:rsidRPr="00DE7D8F" w:rsidRDefault="00F17541" w:rsidP="00C44B67">
      <w:pPr>
        <w:pStyle w:val="Heading3"/>
      </w:pPr>
      <w:r w:rsidRPr="00DE7D8F">
        <w:t>4.3</w:t>
      </w:r>
      <w:r w:rsidRPr="00DE7D8F">
        <w:tab/>
      </w:r>
      <w:r w:rsidR="00D56FBE" w:rsidRPr="00DE7D8F">
        <w:t>Contraindications</w:t>
      </w:r>
    </w:p>
    <w:p w14:paraId="2F87044F" w14:textId="4B0431DF" w:rsidR="00D56FBE" w:rsidRPr="00DE7D8F" w:rsidRDefault="004A6094" w:rsidP="00C44B67">
      <w:pPr>
        <w:rPr>
          <w:b/>
        </w:rPr>
      </w:pPr>
      <w:r w:rsidRPr="00DE7D8F">
        <w:rPr>
          <w:lang w:val="en-GB"/>
        </w:rPr>
        <w:t xml:space="preserve">Hypersensitivity to the active substance or any of the excipients listed in </w:t>
      </w:r>
      <w:r w:rsidR="00943228" w:rsidRPr="00DE7D8F">
        <w:rPr>
          <w:lang w:val="en-GB"/>
        </w:rPr>
        <w:t xml:space="preserve">section 6.1 </w:t>
      </w:r>
      <w:r w:rsidR="000B082E" w:rsidRPr="00DE7D8F">
        <w:rPr>
          <w:lang w:val="en-GB"/>
        </w:rPr>
        <w:t>List of excipients</w:t>
      </w:r>
      <w:r w:rsidRPr="00DE7D8F">
        <w:rPr>
          <w:lang w:val="en-GB"/>
        </w:rPr>
        <w:t>.</w:t>
      </w:r>
    </w:p>
    <w:p w14:paraId="1785FB70" w14:textId="77777777" w:rsidR="00D56FBE" w:rsidRPr="00DE7D8F" w:rsidRDefault="00F17541" w:rsidP="00C44B67">
      <w:pPr>
        <w:pStyle w:val="Heading3"/>
      </w:pPr>
      <w:r w:rsidRPr="00DE7D8F">
        <w:t>4.4</w:t>
      </w:r>
      <w:r w:rsidRPr="00DE7D8F">
        <w:tab/>
      </w:r>
      <w:r w:rsidR="00D56FBE" w:rsidRPr="00DE7D8F">
        <w:t>Special Warnings and Precautions for Use</w:t>
      </w:r>
    </w:p>
    <w:p w14:paraId="0A0BB7AE" w14:textId="77777777" w:rsidR="004A6094" w:rsidRPr="00DE7D8F" w:rsidRDefault="004A6094" w:rsidP="004A6094">
      <w:pPr>
        <w:pStyle w:val="BodyText"/>
      </w:pPr>
      <w:r w:rsidRPr="00DE7D8F">
        <w:t>Regular blood glucose monitoring is essential in patients on intensive insulin therapy and when there is a change in insulin type or dose.</w:t>
      </w:r>
    </w:p>
    <w:p w14:paraId="7E924654" w14:textId="77777777" w:rsidR="00D56FBE" w:rsidRPr="00DE7D8F" w:rsidRDefault="004A6094" w:rsidP="00C44B67">
      <w:pPr>
        <w:pStyle w:val="Heading4"/>
      </w:pPr>
      <w:r w:rsidRPr="00DE7D8F">
        <w:t>Hypoglycaemia</w:t>
      </w:r>
    </w:p>
    <w:p w14:paraId="4CA10697" w14:textId="5C522ABC" w:rsidR="004A6094" w:rsidRPr="004A6094" w:rsidRDefault="004A6094" w:rsidP="004A6094">
      <w:pPr>
        <w:rPr>
          <w:lang w:val="en-GB"/>
        </w:rPr>
      </w:pPr>
      <w:r w:rsidRPr="00DE7D8F">
        <w:rPr>
          <w:lang w:val="en-GB"/>
        </w:rPr>
        <w:t xml:space="preserve">Omission of a meal or unplanned, strenuous physical exercise may lead to hypoglycaemia. Hypoglycaemia may occur if the insulin dose is too high in relation to the insulin requirement (see </w:t>
      </w:r>
      <w:r w:rsidR="00943228" w:rsidRPr="00DE7D8F">
        <w:rPr>
          <w:lang w:val="en-GB"/>
        </w:rPr>
        <w:t xml:space="preserve">sections 4.8 </w:t>
      </w:r>
      <w:r w:rsidRPr="00DE7D8F">
        <w:rPr>
          <w:lang w:val="en-GB"/>
        </w:rPr>
        <w:t xml:space="preserve">Adverse Effects and </w:t>
      </w:r>
      <w:r w:rsidR="00943228" w:rsidRPr="00DE7D8F">
        <w:rPr>
          <w:lang w:val="en-GB"/>
        </w:rPr>
        <w:t xml:space="preserve">4.9 </w:t>
      </w:r>
      <w:r w:rsidRPr="00DE7D8F">
        <w:rPr>
          <w:lang w:val="en-GB"/>
        </w:rPr>
        <w:t>Overdose.)</w:t>
      </w:r>
    </w:p>
    <w:p w14:paraId="42E5709C" w14:textId="4B5A23D5" w:rsidR="004A6094" w:rsidRPr="00F469EA" w:rsidRDefault="004A6094" w:rsidP="004A6094">
      <w:pPr>
        <w:rPr>
          <w:lang w:val="en-GB"/>
        </w:rPr>
      </w:pPr>
      <w:r w:rsidRPr="00F469EA">
        <w:rPr>
          <w:lang w:val="en-GB"/>
        </w:rPr>
        <w:t xml:space="preserve">Patients who have frequent hypoglycaemia or asymptomatic hypoglycaemia may require a reduction in insulin dose or a change in glycaemic targets. </w:t>
      </w:r>
      <w:r w:rsidRPr="004A6094">
        <w:rPr>
          <w:lang w:val="en-GB"/>
        </w:rPr>
        <w:t xml:space="preserve">Patients whose blood glucose control is greatly improved e.g. by intensified insulin therapy, may experience a change in their usual warning symptoms of hypoglycaemia, and should be advised accordingly. Usual warning symptoms may disappear in patients with longstanding diabetes </w:t>
      </w:r>
      <w:r w:rsidRPr="00F469EA">
        <w:rPr>
          <w:lang w:val="en-GB"/>
        </w:rPr>
        <w:t>or who have freq</w:t>
      </w:r>
      <w:r w:rsidR="00771901">
        <w:rPr>
          <w:lang w:val="en-GB"/>
        </w:rPr>
        <w:t>uent episodes of hypoglycaemia.</w:t>
      </w:r>
    </w:p>
    <w:p w14:paraId="51643924" w14:textId="0115A911" w:rsidR="004A6094" w:rsidRPr="00DE7D8F" w:rsidRDefault="004A6094" w:rsidP="004A6094">
      <w:pPr>
        <w:rPr>
          <w:lang w:val="en-GB"/>
        </w:rPr>
      </w:pPr>
      <w:r w:rsidRPr="004A6094">
        <w:rPr>
          <w:lang w:val="en-GB"/>
        </w:rPr>
        <w:t xml:space="preserve">The timing of hypoglycaemia usually reflects the time-action profile of </w:t>
      </w:r>
      <w:r w:rsidRPr="00F469EA">
        <w:rPr>
          <w:lang w:val="en-GB"/>
        </w:rPr>
        <w:t>t</w:t>
      </w:r>
      <w:r w:rsidRPr="004A6094">
        <w:rPr>
          <w:lang w:val="en-GB"/>
        </w:rPr>
        <w:t xml:space="preserve">he administered insulin formulation. </w:t>
      </w:r>
      <w:proofErr w:type="spellStart"/>
      <w:r w:rsidRPr="004A6094">
        <w:rPr>
          <w:bCs/>
          <w:lang w:val="en-GB"/>
        </w:rPr>
        <w:t>Fiasp</w:t>
      </w:r>
      <w:proofErr w:type="spellEnd"/>
      <w:r w:rsidRPr="004A6094">
        <w:rPr>
          <w:lang w:val="en-GB"/>
        </w:rPr>
        <w:t xml:space="preserve"> has a distinct time action profile (see </w:t>
      </w:r>
      <w:r w:rsidR="00943228" w:rsidRPr="00DE7D8F">
        <w:rPr>
          <w:lang w:val="en-GB"/>
        </w:rPr>
        <w:t xml:space="preserve">section 5 </w:t>
      </w:r>
      <w:r w:rsidRPr="00DE7D8F">
        <w:rPr>
          <w:lang w:val="en-GB"/>
        </w:rPr>
        <w:t>Pharmacolog</w:t>
      </w:r>
      <w:r w:rsidR="00943228" w:rsidRPr="00DE7D8F">
        <w:rPr>
          <w:lang w:val="en-GB"/>
        </w:rPr>
        <w:t>ic Properties</w:t>
      </w:r>
      <w:r w:rsidRPr="00DE7D8F">
        <w:rPr>
          <w:lang w:val="en-GB"/>
        </w:rPr>
        <w:t xml:space="preserve">), which impacts the timing of hypoglycaemia. A consequence of the pharmacodynamics of </w:t>
      </w:r>
      <w:proofErr w:type="spellStart"/>
      <w:r w:rsidRPr="00DE7D8F">
        <w:rPr>
          <w:bCs/>
          <w:lang w:val="en-GB"/>
        </w:rPr>
        <w:t>Fiasp</w:t>
      </w:r>
      <w:proofErr w:type="spellEnd"/>
      <w:r w:rsidRPr="00DE7D8F">
        <w:rPr>
          <w:lang w:val="en-GB"/>
        </w:rPr>
        <w:t xml:space="preserve"> is that if hypoglycaemia occurs, it may occur earlier after an injection/infusion when compared to other mealtime insulins.</w:t>
      </w:r>
    </w:p>
    <w:p w14:paraId="1400C214" w14:textId="77777777" w:rsidR="004A6094" w:rsidRPr="00DE7D8F" w:rsidRDefault="004A6094" w:rsidP="004A6094">
      <w:pPr>
        <w:rPr>
          <w:lang w:val="en-GB"/>
        </w:rPr>
      </w:pPr>
      <w:r w:rsidRPr="00DE7D8F">
        <w:rPr>
          <w:lang w:val="en-GB"/>
        </w:rPr>
        <w:t xml:space="preserve">The fast onset of action </w:t>
      </w:r>
      <w:proofErr w:type="gramStart"/>
      <w:r w:rsidRPr="00DE7D8F">
        <w:rPr>
          <w:lang w:val="en-GB"/>
        </w:rPr>
        <w:t>should be considered</w:t>
      </w:r>
      <w:proofErr w:type="gramEnd"/>
      <w:r w:rsidRPr="00DE7D8F">
        <w:rPr>
          <w:lang w:val="en-GB"/>
        </w:rPr>
        <w:t xml:space="preserve"> in patients with delayed gastric emptying.</w:t>
      </w:r>
    </w:p>
    <w:p w14:paraId="48546D17" w14:textId="279E5143" w:rsidR="004A6094" w:rsidRPr="00DE7D8F" w:rsidRDefault="004A6094" w:rsidP="004A6094">
      <w:pPr>
        <w:rPr>
          <w:lang w:val="en-US"/>
        </w:rPr>
      </w:pPr>
      <w:r w:rsidRPr="00DE7D8F">
        <w:rPr>
          <w:lang w:val="en-US"/>
        </w:rPr>
        <w:t>Concomitant diseases in the kidney, liver or affecting the adrenal, pituitary or thyroid gland may require changes in the insulin dose.</w:t>
      </w:r>
    </w:p>
    <w:p w14:paraId="3804D6F2" w14:textId="0ADB28F6" w:rsidR="00306CC3" w:rsidRPr="00DE7D8F" w:rsidRDefault="00306CC3" w:rsidP="00771901">
      <w:pPr>
        <w:pStyle w:val="Heading5"/>
      </w:pPr>
      <w:r w:rsidRPr="00DE7D8F">
        <w:t>Paediatric population</w:t>
      </w:r>
    </w:p>
    <w:p w14:paraId="3E52A04C" w14:textId="77777777" w:rsidR="00DE7D8F" w:rsidRDefault="00306CC3" w:rsidP="00DE7D8F">
      <w:r w:rsidRPr="00DE7D8F">
        <w:t>Close</w:t>
      </w:r>
      <w:r w:rsidR="00ED4F1F" w:rsidRPr="00DE7D8F">
        <w:t>r</w:t>
      </w:r>
      <w:r w:rsidRPr="00DE7D8F">
        <w:t xml:space="preserve"> monitoring of blood glucose levels </w:t>
      </w:r>
      <w:r w:rsidR="00ED4F1F" w:rsidRPr="00DE7D8F">
        <w:t xml:space="preserve">in the evening and before bedtime </w:t>
      </w:r>
      <w:proofErr w:type="gramStart"/>
      <w:r w:rsidRPr="00DE7D8F">
        <w:t>is rec</w:t>
      </w:r>
      <w:r w:rsidRPr="00A72092">
        <w:t>ommended</w:t>
      </w:r>
      <w:proofErr w:type="gramEnd"/>
      <w:r w:rsidRPr="00A72092">
        <w:t xml:space="preserve"> if administering this medicine after the start</w:t>
      </w:r>
      <w:r>
        <w:t xml:space="preserve"> </w:t>
      </w:r>
      <w:r w:rsidRPr="00A72092">
        <w:t>of the last meal of the day, in order to avoid nocturnal hypoglycaemia.</w:t>
      </w:r>
    </w:p>
    <w:p w14:paraId="69E9DA67" w14:textId="3F2D0CD8" w:rsidR="004A6094" w:rsidRPr="004A6094" w:rsidRDefault="004A6094" w:rsidP="004A6094">
      <w:pPr>
        <w:pStyle w:val="Heading4"/>
      </w:pPr>
      <w:r w:rsidRPr="004A6094">
        <w:lastRenderedPageBreak/>
        <w:t>Hyperglycaemia</w:t>
      </w:r>
    </w:p>
    <w:p w14:paraId="4B6C9375" w14:textId="77777777" w:rsidR="004A6094" w:rsidRPr="004A6094" w:rsidRDefault="004A6094" w:rsidP="004A6094">
      <w:pPr>
        <w:rPr>
          <w:b/>
        </w:rPr>
      </w:pPr>
      <w:r w:rsidRPr="004A6094">
        <w:rPr>
          <w:lang w:val="en-US"/>
        </w:rPr>
        <w:t xml:space="preserve">The use of inadequate doses or discontinuation of treatment, especially in patients requiring insulin, may lead to </w:t>
      </w:r>
      <w:proofErr w:type="spellStart"/>
      <w:r w:rsidRPr="004A6094">
        <w:rPr>
          <w:lang w:val="en-US"/>
        </w:rPr>
        <w:t>hyperglycaemia</w:t>
      </w:r>
      <w:proofErr w:type="spellEnd"/>
      <w:r w:rsidRPr="004A6094">
        <w:rPr>
          <w:lang w:val="en-US"/>
        </w:rPr>
        <w:t xml:space="preserve"> and diabetic ketoacidosis; conditions which are potentially lethal.</w:t>
      </w:r>
    </w:p>
    <w:p w14:paraId="1F61DAE1" w14:textId="77777777" w:rsidR="004A6094" w:rsidRPr="00943228" w:rsidRDefault="004A6094" w:rsidP="004A6094">
      <w:pPr>
        <w:pStyle w:val="Heading4"/>
        <w:rPr>
          <w:lang w:val="fr-FR"/>
        </w:rPr>
      </w:pPr>
      <w:proofErr w:type="spellStart"/>
      <w:r w:rsidRPr="00943228">
        <w:rPr>
          <w:lang w:val="fr-FR"/>
        </w:rPr>
        <w:t>Continuous</w:t>
      </w:r>
      <w:proofErr w:type="spellEnd"/>
      <w:r w:rsidRPr="00943228">
        <w:rPr>
          <w:lang w:val="fr-FR"/>
        </w:rPr>
        <w:t xml:space="preserve"> </w:t>
      </w:r>
      <w:proofErr w:type="spellStart"/>
      <w:r w:rsidRPr="00943228">
        <w:rPr>
          <w:lang w:val="fr-FR"/>
        </w:rPr>
        <w:t>subcutaneous</w:t>
      </w:r>
      <w:proofErr w:type="spellEnd"/>
      <w:r w:rsidRPr="00943228">
        <w:rPr>
          <w:lang w:val="fr-FR"/>
        </w:rPr>
        <w:t xml:space="preserve"> </w:t>
      </w:r>
      <w:proofErr w:type="spellStart"/>
      <w:r w:rsidRPr="00943228">
        <w:rPr>
          <w:lang w:val="fr-FR"/>
        </w:rPr>
        <w:t>insulin</w:t>
      </w:r>
      <w:proofErr w:type="spellEnd"/>
      <w:r w:rsidRPr="00943228">
        <w:rPr>
          <w:lang w:val="fr-FR"/>
        </w:rPr>
        <w:t xml:space="preserve"> infusion (CSII)</w:t>
      </w:r>
    </w:p>
    <w:p w14:paraId="0816A862" w14:textId="77777777" w:rsidR="004A6094" w:rsidRPr="004A6094" w:rsidRDefault="004A6094" w:rsidP="004A6094">
      <w:pPr>
        <w:rPr>
          <w:b/>
        </w:rPr>
      </w:pPr>
      <w:r w:rsidRPr="004A6094">
        <w:rPr>
          <w:lang w:val="en-US"/>
        </w:rPr>
        <w:t xml:space="preserve">Pump or infusion set malfunctions can lead to a fast onset of </w:t>
      </w:r>
      <w:proofErr w:type="spellStart"/>
      <w:r w:rsidRPr="004A6094">
        <w:rPr>
          <w:lang w:val="en-US"/>
        </w:rPr>
        <w:t>hyperglycaemia</w:t>
      </w:r>
      <w:proofErr w:type="spellEnd"/>
      <w:r w:rsidRPr="004A6094">
        <w:rPr>
          <w:lang w:val="en-US"/>
        </w:rPr>
        <w:t xml:space="preserve"> and ketosis. Prompt identification and correction of the cause of </w:t>
      </w:r>
      <w:proofErr w:type="spellStart"/>
      <w:r w:rsidRPr="004A6094">
        <w:rPr>
          <w:lang w:val="en-US"/>
        </w:rPr>
        <w:t>hyperglycaemia</w:t>
      </w:r>
      <w:proofErr w:type="spellEnd"/>
      <w:r w:rsidRPr="004A6094">
        <w:rPr>
          <w:lang w:val="en-US"/>
        </w:rPr>
        <w:t xml:space="preserve"> or ketosis is necessary. Interim therapy with subcutaneous injection may be required.</w:t>
      </w:r>
    </w:p>
    <w:p w14:paraId="68466561" w14:textId="77777777" w:rsidR="004A6094" w:rsidRPr="004A6094" w:rsidRDefault="004A6094" w:rsidP="004A6094">
      <w:pPr>
        <w:pStyle w:val="Heading4"/>
        <w:rPr>
          <w:lang w:val="en-GB"/>
        </w:rPr>
      </w:pPr>
      <w:r w:rsidRPr="004A6094">
        <w:rPr>
          <w:lang w:val="en-GB"/>
        </w:rPr>
        <w:t>Transfer from other insulin medicinal products</w:t>
      </w:r>
    </w:p>
    <w:p w14:paraId="6FAC39C3" w14:textId="70F4305E" w:rsidR="00D56FBE" w:rsidRDefault="004A6094" w:rsidP="00C44B67">
      <w:pPr>
        <w:rPr>
          <w:bCs/>
          <w:lang w:val="en-US"/>
        </w:rPr>
      </w:pPr>
      <w:r w:rsidRPr="004A6094">
        <w:rPr>
          <w:bCs/>
          <w:lang w:val="en-US"/>
        </w:rPr>
        <w:t xml:space="preserve">See </w:t>
      </w:r>
      <w:r w:rsidR="00943228" w:rsidRPr="00DE7D8F">
        <w:rPr>
          <w:bCs/>
          <w:lang w:val="en-US"/>
        </w:rPr>
        <w:t>section 4.2</w:t>
      </w:r>
      <w:r w:rsidR="00943228">
        <w:rPr>
          <w:bCs/>
          <w:lang w:val="en-US"/>
        </w:rPr>
        <w:t xml:space="preserve"> </w:t>
      </w:r>
      <w:r w:rsidRPr="004A6094">
        <w:rPr>
          <w:bCs/>
          <w:lang w:val="en-US"/>
        </w:rPr>
        <w:t xml:space="preserve">Dose and </w:t>
      </w:r>
      <w:r w:rsidR="00A70F4C">
        <w:rPr>
          <w:bCs/>
          <w:lang w:val="en-US"/>
        </w:rPr>
        <w:t xml:space="preserve">Method of </w:t>
      </w:r>
      <w:r w:rsidR="00771901">
        <w:rPr>
          <w:bCs/>
          <w:lang w:val="en-US"/>
        </w:rPr>
        <w:t>Administration.</w:t>
      </w:r>
    </w:p>
    <w:p w14:paraId="3D30F3E3" w14:textId="3FDDA256" w:rsidR="00A70F4C" w:rsidRPr="00A70F4C" w:rsidRDefault="00A70F4C" w:rsidP="00A70F4C">
      <w:pPr>
        <w:pStyle w:val="Heading4"/>
        <w:rPr>
          <w:lang w:val="en-GB"/>
        </w:rPr>
      </w:pPr>
      <w:r w:rsidRPr="00A70F4C">
        <w:rPr>
          <w:lang w:val="en-GB"/>
        </w:rPr>
        <w:t>Combination of thiazolidinediones</w:t>
      </w:r>
      <w:r w:rsidR="00771901">
        <w:rPr>
          <w:lang w:val="en-GB"/>
        </w:rPr>
        <w:t xml:space="preserve"> and insulin medicinal products</w:t>
      </w:r>
    </w:p>
    <w:p w14:paraId="1A0923A8" w14:textId="77777777" w:rsidR="00A70F4C" w:rsidRPr="00A70F4C" w:rsidRDefault="00A70F4C" w:rsidP="00A70F4C">
      <w:r w:rsidRPr="00A70F4C">
        <w:t xml:space="preserve">Cases of congestive heart failure </w:t>
      </w:r>
      <w:proofErr w:type="gramStart"/>
      <w:r w:rsidRPr="00A70F4C">
        <w:t>have been reported</w:t>
      </w:r>
      <w:proofErr w:type="gramEnd"/>
      <w:r w:rsidRPr="00A70F4C">
        <w:t xml:space="preserve"> when thiazolidinediones were used in combination with insulin, especially in patients with risk factors for development of congestive heart failure. This should be kept in mind if treatment with the combination of thiazolidinediones and insulin medicinal products is considered. If the combination is used, patients should be observed for signs and symptoms of congestive heart failure, weight gain and oedema. Thiazolidinediones should be discontinued if any deterioration in cardiac symptoms occurs.</w:t>
      </w:r>
    </w:p>
    <w:p w14:paraId="6BA9B5DA" w14:textId="6A26E603" w:rsidR="00A70F4C" w:rsidRPr="00A70F4C" w:rsidRDefault="00A70F4C" w:rsidP="00A70F4C">
      <w:pPr>
        <w:pStyle w:val="Heading4"/>
      </w:pPr>
      <w:r w:rsidRPr="00A70F4C">
        <w:t xml:space="preserve">Insulin initiation and </w:t>
      </w:r>
      <w:r w:rsidR="00771901">
        <w:t>glucose control intensification</w:t>
      </w:r>
    </w:p>
    <w:p w14:paraId="68B25385" w14:textId="77777777" w:rsidR="00A70F4C" w:rsidRPr="00A70F4C" w:rsidRDefault="00A70F4C" w:rsidP="00A70F4C">
      <w:r w:rsidRPr="00A70F4C">
        <w:rPr>
          <w:lang w:val="en-US"/>
        </w:rPr>
        <w:t xml:space="preserve">Intensification or rapid improvement in glucose control has been associated with a transitory, reversible ophthalmologic refraction disorder, worsening of diabetic retinopathy, acute painful peripheral neuropathy, and peripheral </w:t>
      </w:r>
      <w:proofErr w:type="spellStart"/>
      <w:r w:rsidRPr="00A70F4C">
        <w:rPr>
          <w:lang w:val="en-US"/>
        </w:rPr>
        <w:t>oedema</w:t>
      </w:r>
      <w:proofErr w:type="spellEnd"/>
      <w:r w:rsidRPr="00A70F4C">
        <w:rPr>
          <w:lang w:val="en-US"/>
        </w:rPr>
        <w:t xml:space="preserve">. However, long-term </w:t>
      </w:r>
      <w:proofErr w:type="spellStart"/>
      <w:r w:rsidRPr="00A70F4C">
        <w:rPr>
          <w:lang w:val="en-US"/>
        </w:rPr>
        <w:t>glycaemic</w:t>
      </w:r>
      <w:proofErr w:type="spellEnd"/>
      <w:r w:rsidRPr="00A70F4C">
        <w:rPr>
          <w:lang w:val="en-US"/>
        </w:rPr>
        <w:t xml:space="preserve"> control decreases the risk of diabetic retinopathy and neuropathy.</w:t>
      </w:r>
    </w:p>
    <w:p w14:paraId="1C3B01BD" w14:textId="77777777" w:rsidR="00A70F4C" w:rsidRPr="00A70F4C" w:rsidRDefault="00A70F4C" w:rsidP="00A70F4C">
      <w:pPr>
        <w:pStyle w:val="Heading4"/>
        <w:rPr>
          <w:lang w:val="en-GB"/>
        </w:rPr>
      </w:pPr>
      <w:r w:rsidRPr="00A70F4C">
        <w:rPr>
          <w:lang w:val="en-GB"/>
        </w:rPr>
        <w:t>Insulin antibodies</w:t>
      </w:r>
    </w:p>
    <w:p w14:paraId="1EBE8322" w14:textId="77777777" w:rsidR="00A70F4C" w:rsidRPr="00A70F4C" w:rsidRDefault="00A70F4C" w:rsidP="00A70F4C">
      <w:pPr>
        <w:rPr>
          <w:b/>
        </w:rPr>
      </w:pPr>
      <w:r w:rsidRPr="00A70F4C">
        <w:rPr>
          <w:lang w:val="en-US"/>
        </w:rPr>
        <w:t xml:space="preserve">Insulin administration may cause insulin antibodies to form. In rare cases, the presence of such insulin antibodies may necessitate adjustment of the insulin dose in order to correct a tendency to hyper- or </w:t>
      </w:r>
      <w:proofErr w:type="spellStart"/>
      <w:r w:rsidRPr="00A70F4C">
        <w:rPr>
          <w:lang w:val="en-US"/>
        </w:rPr>
        <w:t>hypoglycaemia</w:t>
      </w:r>
      <w:proofErr w:type="spellEnd"/>
      <w:r w:rsidRPr="00A70F4C">
        <w:rPr>
          <w:lang w:val="en-US"/>
        </w:rPr>
        <w:t>.</w:t>
      </w:r>
    </w:p>
    <w:p w14:paraId="0DB9702B" w14:textId="77777777" w:rsidR="00A70F4C" w:rsidRPr="00A70F4C" w:rsidRDefault="00A70F4C" w:rsidP="00A70F4C">
      <w:pPr>
        <w:pStyle w:val="Heading4"/>
        <w:rPr>
          <w:lang w:val="en-GB"/>
        </w:rPr>
      </w:pPr>
      <w:r w:rsidRPr="00A70F4C">
        <w:rPr>
          <w:lang w:val="en-GB"/>
        </w:rPr>
        <w:t>Avoidance of accidental mix-ups/medication errors</w:t>
      </w:r>
    </w:p>
    <w:p w14:paraId="1E10D9AB" w14:textId="77777777" w:rsidR="00A70F4C" w:rsidRPr="00A70F4C" w:rsidRDefault="00A70F4C" w:rsidP="00A70F4C">
      <w:pPr>
        <w:rPr>
          <w:lang w:val="en-GB"/>
        </w:rPr>
      </w:pPr>
      <w:r w:rsidRPr="00A70F4C">
        <w:rPr>
          <w:lang w:val="en-GB"/>
        </w:rPr>
        <w:t xml:space="preserve">Patients must be instructed to always check the insulin label before each injection to avoid accidental mix-ups between </w:t>
      </w:r>
      <w:proofErr w:type="spellStart"/>
      <w:r w:rsidRPr="00A70F4C">
        <w:rPr>
          <w:bCs/>
          <w:lang w:val="en-GB"/>
        </w:rPr>
        <w:t>Fiasp</w:t>
      </w:r>
      <w:proofErr w:type="spellEnd"/>
      <w:r w:rsidRPr="00A70F4C">
        <w:rPr>
          <w:lang w:val="en-GB"/>
        </w:rPr>
        <w:t xml:space="preserve"> and other insulin products.</w:t>
      </w:r>
    </w:p>
    <w:p w14:paraId="1FCD8DD6" w14:textId="77777777" w:rsidR="00A70F4C" w:rsidRPr="00A70F4C" w:rsidRDefault="00A70F4C" w:rsidP="00A70F4C">
      <w:pPr>
        <w:rPr>
          <w:b/>
        </w:rPr>
      </w:pPr>
      <w:r w:rsidRPr="00A70F4C">
        <w:rPr>
          <w:lang w:val="en-US"/>
        </w:rPr>
        <w:t xml:space="preserve">Patients must visually verify the units of the dose prior to administering </w:t>
      </w:r>
      <w:proofErr w:type="spellStart"/>
      <w:r w:rsidRPr="00A70F4C">
        <w:rPr>
          <w:bCs/>
          <w:lang w:val="en-US"/>
        </w:rPr>
        <w:t>Fiasp</w:t>
      </w:r>
      <w:proofErr w:type="spellEnd"/>
      <w:r w:rsidRPr="00A70F4C">
        <w:rPr>
          <w:lang w:val="en-US"/>
        </w:rPr>
        <w:t>. Therefore, the requirement for patients to self-administer is that they can read the dose scale. Patients, who are blind or have poor vision, must be instructed to always get assistance from another person who has good vision and is trained in administration of insulins.</w:t>
      </w:r>
    </w:p>
    <w:p w14:paraId="2BC70975" w14:textId="77777777" w:rsidR="00D56FBE" w:rsidRPr="00A70F4C" w:rsidRDefault="000640A4" w:rsidP="00C44B67">
      <w:pPr>
        <w:pStyle w:val="Heading4"/>
        <w:rPr>
          <w:highlight w:val="yellow"/>
        </w:rPr>
      </w:pPr>
      <w:r w:rsidRPr="000640A4">
        <w:t>Use in hepatic impairment</w:t>
      </w:r>
    </w:p>
    <w:p w14:paraId="0DC2A89F" w14:textId="02DC57AF" w:rsidR="00D56FBE" w:rsidRPr="00DE7D8F" w:rsidRDefault="000E4A31" w:rsidP="00C44B67">
      <w:r>
        <w:rPr>
          <w:lang w:val="en-US"/>
        </w:rPr>
        <w:t>H</w:t>
      </w:r>
      <w:r w:rsidRPr="00802FC4">
        <w:rPr>
          <w:lang w:val="en-US"/>
        </w:rPr>
        <w:t xml:space="preserve">epatic impairment may reduce the patient’s insulin requirements. In patients with hepatic impairment, glucose monitoring should be intensified and the dose adjusted on an individual basis (see </w:t>
      </w:r>
      <w:r w:rsidR="00943228" w:rsidRPr="00DE7D8F">
        <w:rPr>
          <w:lang w:val="en-US"/>
        </w:rPr>
        <w:t xml:space="preserve">section 5.2 </w:t>
      </w:r>
      <w:r w:rsidRPr="00DE7D8F">
        <w:rPr>
          <w:lang w:val="en-US"/>
        </w:rPr>
        <w:t>Pharmacokinetic</w:t>
      </w:r>
      <w:r w:rsidR="00943228" w:rsidRPr="00DE7D8F">
        <w:rPr>
          <w:lang w:val="en-US"/>
        </w:rPr>
        <w:t xml:space="preserve"> Propertie</w:t>
      </w:r>
      <w:r w:rsidRPr="00DE7D8F">
        <w:rPr>
          <w:lang w:val="en-US"/>
        </w:rPr>
        <w:t>s).</w:t>
      </w:r>
    </w:p>
    <w:p w14:paraId="7FCB8A70" w14:textId="77777777" w:rsidR="00D56FBE" w:rsidRPr="00DE7D8F" w:rsidRDefault="000640A4" w:rsidP="00C44B67">
      <w:pPr>
        <w:pStyle w:val="Heading4"/>
      </w:pPr>
      <w:r w:rsidRPr="00DE7D8F">
        <w:lastRenderedPageBreak/>
        <w:t>Use in renal impairment</w:t>
      </w:r>
    </w:p>
    <w:p w14:paraId="1276F997" w14:textId="17265A47" w:rsidR="00DE7D8F" w:rsidRDefault="000E4A31" w:rsidP="00DE7D8F">
      <w:pPr>
        <w:rPr>
          <w:lang w:val="en-US"/>
        </w:rPr>
      </w:pPr>
      <w:r w:rsidRPr="00DE7D8F">
        <w:rPr>
          <w:lang w:val="en-US"/>
        </w:rPr>
        <w:t xml:space="preserve">Renal impairment may reduce the </w:t>
      </w:r>
      <w:r w:rsidR="00771901">
        <w:rPr>
          <w:lang w:val="en-US"/>
        </w:rPr>
        <w:t>patient’s insulin requirements.</w:t>
      </w:r>
    </w:p>
    <w:p w14:paraId="54C78F78" w14:textId="08CC01F0" w:rsidR="00DE7D8F" w:rsidRDefault="000E4A31" w:rsidP="00DE7D8F">
      <w:pPr>
        <w:rPr>
          <w:lang w:val="en-US"/>
        </w:rPr>
      </w:pPr>
      <w:r w:rsidRPr="00DE7D8F">
        <w:rPr>
          <w:lang w:val="en-US"/>
        </w:rPr>
        <w:t xml:space="preserve">In patients with renal impairment, glucose monitoring should be intensified and the dose adjusted on an individual basis (see </w:t>
      </w:r>
      <w:r w:rsidR="00943228" w:rsidRPr="00DE7D8F">
        <w:rPr>
          <w:lang w:val="en-US"/>
        </w:rPr>
        <w:t xml:space="preserve">section 5.2 </w:t>
      </w:r>
      <w:r w:rsidRPr="00DE7D8F">
        <w:rPr>
          <w:lang w:val="en-US"/>
        </w:rPr>
        <w:t>Pharmacokinetic</w:t>
      </w:r>
      <w:r w:rsidR="00943228" w:rsidRPr="00DE7D8F">
        <w:rPr>
          <w:lang w:val="en-US"/>
        </w:rPr>
        <w:t xml:space="preserve"> Propertie</w:t>
      </w:r>
      <w:r w:rsidRPr="00DE7D8F">
        <w:rPr>
          <w:lang w:val="en-US"/>
        </w:rPr>
        <w:t>s).</w:t>
      </w:r>
    </w:p>
    <w:p w14:paraId="7547628E" w14:textId="7951DE3C" w:rsidR="00D56FBE" w:rsidRPr="00DE7D8F" w:rsidRDefault="00D56FBE" w:rsidP="00C44B67">
      <w:pPr>
        <w:pStyle w:val="Heading4"/>
      </w:pPr>
      <w:r w:rsidRPr="00DE7D8F">
        <w:t>Use in elderly</w:t>
      </w:r>
    </w:p>
    <w:p w14:paraId="4E9CC6D0" w14:textId="19C942B6" w:rsidR="00D56FBE" w:rsidRPr="00A70F4C" w:rsidRDefault="00A70F4C" w:rsidP="00C44B67">
      <w:pPr>
        <w:rPr>
          <w:b/>
        </w:rPr>
      </w:pPr>
      <w:r w:rsidRPr="00DE7D8F">
        <w:rPr>
          <w:bCs/>
          <w:lang w:val="en-US"/>
        </w:rPr>
        <w:t xml:space="preserve">The safety and efficacy of </w:t>
      </w:r>
      <w:proofErr w:type="spellStart"/>
      <w:r w:rsidRPr="00DE7D8F">
        <w:rPr>
          <w:lang w:val="en-US"/>
        </w:rPr>
        <w:t>Fiasp</w:t>
      </w:r>
      <w:proofErr w:type="spellEnd"/>
      <w:r w:rsidRPr="00DE7D8F">
        <w:rPr>
          <w:bCs/>
          <w:lang w:val="en-US"/>
        </w:rPr>
        <w:t xml:space="preserve"> have been established in elderly patients. Close glucose monitoring is recommended and the insulin dose should be adjusted on an individual basis (see </w:t>
      </w:r>
      <w:r w:rsidR="00943228" w:rsidRPr="00DE7D8F">
        <w:rPr>
          <w:bCs/>
          <w:lang w:val="en-US"/>
        </w:rPr>
        <w:t xml:space="preserve">section 5 </w:t>
      </w:r>
      <w:r w:rsidRPr="00DE7D8F">
        <w:rPr>
          <w:bCs/>
          <w:lang w:val="en-US"/>
        </w:rPr>
        <w:t>Pharmacolog</w:t>
      </w:r>
      <w:r w:rsidR="00943228" w:rsidRPr="00DE7D8F">
        <w:rPr>
          <w:bCs/>
          <w:lang w:val="en-US"/>
        </w:rPr>
        <w:t>ical Properties</w:t>
      </w:r>
      <w:r w:rsidRPr="00DE7D8F">
        <w:rPr>
          <w:bCs/>
          <w:lang w:val="en-US"/>
        </w:rPr>
        <w:t>).</w:t>
      </w:r>
    </w:p>
    <w:p w14:paraId="6F8402AF" w14:textId="77777777" w:rsidR="00D56FBE" w:rsidRDefault="00D56FBE" w:rsidP="00C44B67">
      <w:pPr>
        <w:pStyle w:val="Heading4"/>
      </w:pPr>
      <w:r>
        <w:t>Paediatric use</w:t>
      </w:r>
    </w:p>
    <w:p w14:paraId="3667EDB5" w14:textId="2971C3B2" w:rsidR="00F17541" w:rsidRDefault="00A70F4C" w:rsidP="00C44B67">
      <w:r w:rsidRPr="00A70F4C">
        <w:rPr>
          <w:lang w:val="en-GB"/>
        </w:rPr>
        <w:t xml:space="preserve">The efficacy and safety of </w:t>
      </w:r>
      <w:proofErr w:type="spellStart"/>
      <w:r w:rsidRPr="00A70F4C">
        <w:rPr>
          <w:bCs/>
          <w:lang w:val="en-GB"/>
        </w:rPr>
        <w:t>Fiasp</w:t>
      </w:r>
      <w:proofErr w:type="spellEnd"/>
      <w:r w:rsidRPr="00A70F4C">
        <w:rPr>
          <w:lang w:val="en-GB"/>
        </w:rPr>
        <w:t xml:space="preserve"> in children below 1 year of age have not been established. </w:t>
      </w:r>
    </w:p>
    <w:p w14:paraId="4C171597" w14:textId="1572FFCC" w:rsidR="00F17541" w:rsidRDefault="000640A4" w:rsidP="00C44B67">
      <w:pPr>
        <w:pStyle w:val="Heading4"/>
      </w:pPr>
      <w:r w:rsidRPr="000640A4">
        <w:t>Effects on laboratory</w:t>
      </w:r>
      <w:r>
        <w:t xml:space="preserve"> tests</w:t>
      </w:r>
    </w:p>
    <w:p w14:paraId="2CA41DB8" w14:textId="77777777" w:rsidR="00F17541" w:rsidRDefault="000640A4" w:rsidP="00C44B67">
      <w:r>
        <w:t>No data available.</w:t>
      </w:r>
    </w:p>
    <w:p w14:paraId="2F14E9D8" w14:textId="48A005A1" w:rsidR="00F17541" w:rsidRDefault="00F17541" w:rsidP="00C44B67">
      <w:pPr>
        <w:pStyle w:val="Heading3"/>
      </w:pPr>
      <w:r>
        <w:t>4.5</w:t>
      </w:r>
      <w:r>
        <w:tab/>
        <w:t>Interaction with Other Medicines and Other Form</w:t>
      </w:r>
      <w:r w:rsidR="00943228">
        <w:t>s</w:t>
      </w:r>
      <w:r>
        <w:t xml:space="preserve"> of Interactions</w:t>
      </w:r>
    </w:p>
    <w:p w14:paraId="505BE0AE" w14:textId="77777777" w:rsidR="00A70F4C" w:rsidRPr="00A70F4C" w:rsidRDefault="00A70F4C" w:rsidP="00A70F4C">
      <w:pPr>
        <w:rPr>
          <w:lang w:val="en-GB"/>
        </w:rPr>
      </w:pPr>
      <w:r w:rsidRPr="00A70F4C">
        <w:rPr>
          <w:lang w:val="en-GB"/>
        </w:rPr>
        <w:t>A number of medicinal products are known to interact with the glucose metabolism.</w:t>
      </w:r>
    </w:p>
    <w:p w14:paraId="4BAA3FFB" w14:textId="77777777" w:rsidR="00A70F4C" w:rsidRPr="00A70F4C" w:rsidRDefault="00A70F4C" w:rsidP="003A18A3">
      <w:pPr>
        <w:keepNext/>
        <w:rPr>
          <w:b/>
          <w:bCs/>
          <w:lang w:val="en-GB"/>
        </w:rPr>
      </w:pPr>
      <w:r w:rsidRPr="00A70F4C">
        <w:rPr>
          <w:b/>
          <w:bCs/>
          <w:lang w:val="en-GB"/>
        </w:rPr>
        <w:t>The following substances may reduce insulin requirement:</w:t>
      </w:r>
    </w:p>
    <w:p w14:paraId="5D655F6A" w14:textId="77777777" w:rsidR="00A70F4C" w:rsidRPr="00A70F4C" w:rsidRDefault="00A70F4C" w:rsidP="00A70F4C">
      <w:pPr>
        <w:rPr>
          <w:lang w:val="en-GB"/>
        </w:rPr>
      </w:pPr>
      <w:r w:rsidRPr="00A70F4C">
        <w:rPr>
          <w:lang w:val="en-GB"/>
        </w:rPr>
        <w:t>Oral antidiabetic products, monoamine oxidase inhibitors (MAOIs),</w:t>
      </w:r>
      <w:r w:rsidRPr="00A70F4C" w:rsidDel="00FC4138">
        <w:rPr>
          <w:lang w:val="en-GB"/>
        </w:rPr>
        <w:t xml:space="preserve"> </w:t>
      </w:r>
      <w:r w:rsidRPr="00A70F4C">
        <w:rPr>
          <w:lang w:val="en-GB"/>
        </w:rPr>
        <w:t>beta-blockers, angiotensin converting enzyme (ACE) inhibitors, salicylates, anabolic steroids, sulphonamides and GLP-1 receptor agonists.</w:t>
      </w:r>
    </w:p>
    <w:p w14:paraId="4A2671B6" w14:textId="77777777" w:rsidR="00A70F4C" w:rsidRPr="00A70F4C" w:rsidRDefault="00A70F4C" w:rsidP="00A70F4C">
      <w:pPr>
        <w:rPr>
          <w:b/>
          <w:bCs/>
          <w:lang w:val="en-GB"/>
        </w:rPr>
      </w:pPr>
      <w:r w:rsidRPr="00A70F4C">
        <w:rPr>
          <w:b/>
          <w:bCs/>
          <w:lang w:val="en-GB"/>
        </w:rPr>
        <w:t>The following substances may increase insulin requirement:</w:t>
      </w:r>
    </w:p>
    <w:p w14:paraId="3FE53C51" w14:textId="77777777" w:rsidR="00A70F4C" w:rsidRPr="00A70F4C" w:rsidRDefault="00A70F4C" w:rsidP="00A70F4C">
      <w:pPr>
        <w:rPr>
          <w:lang w:val="en-GB"/>
        </w:rPr>
      </w:pPr>
      <w:r w:rsidRPr="00A70F4C">
        <w:rPr>
          <w:lang w:val="en-GB"/>
        </w:rPr>
        <w:t>Oral contraceptives, thiazides, glucocorticoids, thyroid hormones, sympathomimetics, growth hormone and danazol.</w:t>
      </w:r>
    </w:p>
    <w:p w14:paraId="552385D2" w14:textId="77777777" w:rsidR="00A70F4C" w:rsidRPr="00A70F4C" w:rsidRDefault="00A70F4C" w:rsidP="00A70F4C">
      <w:pPr>
        <w:rPr>
          <w:lang w:val="en-GB"/>
        </w:rPr>
      </w:pPr>
      <w:r w:rsidRPr="00A70F4C">
        <w:rPr>
          <w:lang w:val="en-GB"/>
        </w:rPr>
        <w:t>Beta-blocking agents may mask the symptoms of hypoglycaemia.</w:t>
      </w:r>
    </w:p>
    <w:p w14:paraId="5F710C5C" w14:textId="77777777" w:rsidR="00A70F4C" w:rsidRPr="00A70F4C" w:rsidRDefault="00A70F4C" w:rsidP="00A70F4C">
      <w:pPr>
        <w:rPr>
          <w:lang w:val="en-GB"/>
        </w:rPr>
      </w:pPr>
      <w:r w:rsidRPr="00A70F4C">
        <w:rPr>
          <w:lang w:val="en-GB"/>
        </w:rPr>
        <w:t>Octreotide/</w:t>
      </w:r>
      <w:proofErr w:type="spellStart"/>
      <w:r w:rsidRPr="00A70F4C">
        <w:rPr>
          <w:lang w:val="en-GB"/>
        </w:rPr>
        <w:t>lanreotide</w:t>
      </w:r>
      <w:proofErr w:type="spellEnd"/>
      <w:r w:rsidRPr="00A70F4C">
        <w:rPr>
          <w:lang w:val="en-GB"/>
        </w:rPr>
        <w:t xml:space="preserve"> may either increase or decrease the insulin requirement.</w:t>
      </w:r>
    </w:p>
    <w:p w14:paraId="44A25BD6" w14:textId="77777777" w:rsidR="00F17541" w:rsidRPr="00A70F4C" w:rsidRDefault="00A70F4C" w:rsidP="00C44B67">
      <w:pPr>
        <w:rPr>
          <w:b/>
        </w:rPr>
      </w:pPr>
      <w:r w:rsidRPr="00A70F4C">
        <w:rPr>
          <w:lang w:val="en-US"/>
        </w:rPr>
        <w:t xml:space="preserve">Alcohol may intensify or reduce the </w:t>
      </w:r>
      <w:proofErr w:type="spellStart"/>
      <w:r w:rsidRPr="00A70F4C">
        <w:rPr>
          <w:lang w:val="en-US"/>
        </w:rPr>
        <w:t>hypoglycaemic</w:t>
      </w:r>
      <w:proofErr w:type="spellEnd"/>
      <w:r w:rsidRPr="00A70F4C">
        <w:rPr>
          <w:lang w:val="en-US"/>
        </w:rPr>
        <w:t xml:space="preserve"> effect of insulin.</w:t>
      </w:r>
    </w:p>
    <w:p w14:paraId="23A9F1BE" w14:textId="77777777" w:rsidR="00F17541" w:rsidRDefault="00F17541" w:rsidP="00C44B67">
      <w:pPr>
        <w:pStyle w:val="Heading3"/>
      </w:pPr>
      <w:r>
        <w:t>4.6</w:t>
      </w:r>
      <w:r>
        <w:tab/>
        <w:t>Fertility, Pregnancy and Lactation</w:t>
      </w:r>
    </w:p>
    <w:p w14:paraId="49ABC710" w14:textId="77777777" w:rsidR="00F17541" w:rsidRDefault="00F17541" w:rsidP="00C44B67">
      <w:pPr>
        <w:pStyle w:val="Heading4"/>
      </w:pPr>
      <w:r>
        <w:t>Effects on fertility</w:t>
      </w:r>
    </w:p>
    <w:p w14:paraId="5E007DC3" w14:textId="77777777" w:rsidR="00F17541" w:rsidRPr="00A70F4C" w:rsidRDefault="00A70F4C" w:rsidP="00C44B67">
      <w:pPr>
        <w:rPr>
          <w:b/>
        </w:rPr>
      </w:pPr>
      <w:r w:rsidRPr="00A70F4C">
        <w:rPr>
          <w:lang w:val="en-US"/>
        </w:rPr>
        <w:t xml:space="preserve">In reproductive toxicity studies, insulin </w:t>
      </w:r>
      <w:proofErr w:type="spellStart"/>
      <w:r w:rsidRPr="00A70F4C">
        <w:rPr>
          <w:lang w:val="en-US"/>
        </w:rPr>
        <w:t>aspart</w:t>
      </w:r>
      <w:proofErr w:type="spellEnd"/>
      <w:r w:rsidRPr="00A70F4C">
        <w:rPr>
          <w:lang w:val="en-US"/>
        </w:rPr>
        <w:t xml:space="preserve"> did not affect the fertility of male and female rats but caused a slight increase in pre-implantation loss at subcutaneous doses greater than 10U/kg/day.  Similar effects were seen with human insulin.</w:t>
      </w:r>
    </w:p>
    <w:p w14:paraId="53E59095" w14:textId="77777777" w:rsidR="00F17541" w:rsidRDefault="00F17541" w:rsidP="00C44B67">
      <w:pPr>
        <w:pStyle w:val="Heading4"/>
      </w:pPr>
      <w:r>
        <w:t>Use in pregnancy</w:t>
      </w:r>
    </w:p>
    <w:p w14:paraId="28E88FCD" w14:textId="77777777" w:rsidR="00A70F4C" w:rsidRPr="00A70F4C" w:rsidRDefault="00A70F4C" w:rsidP="003A18A3">
      <w:pPr>
        <w:rPr>
          <w:b/>
        </w:rPr>
      </w:pPr>
      <w:r w:rsidRPr="00A70F4C">
        <w:t>Pregnancy Category: A</w:t>
      </w:r>
    </w:p>
    <w:p w14:paraId="72DDFE91" w14:textId="083DB22B" w:rsidR="00F17541" w:rsidRPr="00A70F4C" w:rsidRDefault="00A70F4C" w:rsidP="00C44B67">
      <w:pPr>
        <w:rPr>
          <w:b/>
        </w:rPr>
      </w:pPr>
      <w:proofErr w:type="spellStart"/>
      <w:r w:rsidRPr="00A70F4C">
        <w:rPr>
          <w:bCs/>
          <w:lang w:val="en-US"/>
        </w:rPr>
        <w:t>Fiasp</w:t>
      </w:r>
      <w:proofErr w:type="spellEnd"/>
      <w:r w:rsidRPr="00A70F4C">
        <w:rPr>
          <w:lang w:val="en-US"/>
        </w:rPr>
        <w:t xml:space="preserve"> </w:t>
      </w:r>
      <w:proofErr w:type="gramStart"/>
      <w:r w:rsidRPr="00A70F4C">
        <w:rPr>
          <w:lang w:val="en-US"/>
        </w:rPr>
        <w:t>can be used</w:t>
      </w:r>
      <w:proofErr w:type="gramEnd"/>
      <w:r w:rsidRPr="00A70F4C">
        <w:rPr>
          <w:lang w:val="en-US"/>
        </w:rPr>
        <w:t xml:space="preserve"> in pregnancy. Data from two </w:t>
      </w:r>
      <w:proofErr w:type="spellStart"/>
      <w:r w:rsidRPr="00A70F4C">
        <w:rPr>
          <w:lang w:val="en-US"/>
        </w:rPr>
        <w:t>randomised</w:t>
      </w:r>
      <w:proofErr w:type="spellEnd"/>
      <w:r w:rsidRPr="00A70F4C">
        <w:rPr>
          <w:lang w:val="en-US"/>
        </w:rPr>
        <w:t xml:space="preserve"> controlled clinical trials conducted with insulin </w:t>
      </w:r>
      <w:proofErr w:type="spellStart"/>
      <w:r w:rsidRPr="00A70F4C">
        <w:rPr>
          <w:lang w:val="en-US"/>
        </w:rPr>
        <w:t>aspart</w:t>
      </w:r>
      <w:proofErr w:type="spellEnd"/>
      <w:r w:rsidRPr="00A70F4C">
        <w:rPr>
          <w:lang w:val="en-US"/>
        </w:rPr>
        <w:t xml:space="preserve"> (157 + 14 insulin </w:t>
      </w:r>
      <w:proofErr w:type="spellStart"/>
      <w:r w:rsidRPr="00A70F4C">
        <w:rPr>
          <w:lang w:val="en-US"/>
        </w:rPr>
        <w:t>aspart</w:t>
      </w:r>
      <w:proofErr w:type="spellEnd"/>
      <w:r w:rsidRPr="00A70F4C">
        <w:rPr>
          <w:lang w:val="en-US"/>
        </w:rPr>
        <w:t xml:space="preserve">-exposed pregnancies, respectively) do not indicate any adverse effect of insulin </w:t>
      </w:r>
      <w:proofErr w:type="spellStart"/>
      <w:r w:rsidRPr="00A70F4C">
        <w:rPr>
          <w:lang w:val="en-US"/>
        </w:rPr>
        <w:t>aspart</w:t>
      </w:r>
      <w:proofErr w:type="spellEnd"/>
      <w:r w:rsidRPr="00A70F4C">
        <w:rPr>
          <w:lang w:val="en-US"/>
        </w:rPr>
        <w:t xml:space="preserve"> on pregnancy or on the health of the </w:t>
      </w:r>
      <w:proofErr w:type="spellStart"/>
      <w:r w:rsidRPr="00A70F4C">
        <w:rPr>
          <w:lang w:val="en-US"/>
        </w:rPr>
        <w:t>foetus</w:t>
      </w:r>
      <w:proofErr w:type="spellEnd"/>
      <w:r w:rsidRPr="00A70F4C">
        <w:rPr>
          <w:lang w:val="en-US"/>
        </w:rPr>
        <w:t xml:space="preserve">/new born when compared to soluble human insulin.  Intensified blood glucose control </w:t>
      </w:r>
      <w:r w:rsidRPr="00A70F4C">
        <w:rPr>
          <w:lang w:val="en-US"/>
        </w:rPr>
        <w:lastRenderedPageBreak/>
        <w:t>and monitoring of pregnant women with diabetes (type 1 diabetes, type 2 diabetes or gestational diabetes) are recommended throughout pregnancy and when contemplating pregnancy. Insulin requirements usually fall in the first trimester and increase subsequently during the second and third trimesters. After delivery, insulin requirements normally return r</w:t>
      </w:r>
      <w:r w:rsidR="003A18A3">
        <w:rPr>
          <w:lang w:val="en-US"/>
        </w:rPr>
        <w:t>apidly to pre-pregnancy values.</w:t>
      </w:r>
    </w:p>
    <w:p w14:paraId="497C01C7" w14:textId="77777777" w:rsidR="00F17541" w:rsidRDefault="00F17541" w:rsidP="00C44B67">
      <w:pPr>
        <w:pStyle w:val="Heading4"/>
      </w:pPr>
      <w:r>
        <w:t>Use in lactation</w:t>
      </w:r>
    </w:p>
    <w:p w14:paraId="355D07EF" w14:textId="77777777" w:rsidR="00F17541" w:rsidRPr="00A70F4C" w:rsidRDefault="00A70F4C" w:rsidP="00C44B67">
      <w:pPr>
        <w:rPr>
          <w:b/>
        </w:rPr>
      </w:pPr>
      <w:r w:rsidRPr="00A70F4C">
        <w:rPr>
          <w:lang w:val="en-US"/>
        </w:rPr>
        <w:t xml:space="preserve">Although no clinical trial data are available with insulin </w:t>
      </w:r>
      <w:proofErr w:type="spellStart"/>
      <w:r w:rsidRPr="00A70F4C">
        <w:rPr>
          <w:lang w:val="en-US"/>
        </w:rPr>
        <w:t>aspart</w:t>
      </w:r>
      <w:proofErr w:type="spellEnd"/>
      <w:r w:rsidRPr="00A70F4C">
        <w:rPr>
          <w:lang w:val="en-US"/>
        </w:rPr>
        <w:t xml:space="preserve"> products during lactation,</w:t>
      </w:r>
      <w:r w:rsidRPr="00A70F4C">
        <w:rPr>
          <w:i/>
          <w:lang w:val="en-US"/>
        </w:rPr>
        <w:t xml:space="preserve"> </w:t>
      </w:r>
      <w:r w:rsidRPr="00A70F4C">
        <w:rPr>
          <w:lang w:val="en-US"/>
        </w:rPr>
        <w:t xml:space="preserve">there are no restrictions on treatment with </w:t>
      </w:r>
      <w:proofErr w:type="spellStart"/>
      <w:r w:rsidRPr="00A70F4C">
        <w:rPr>
          <w:lang w:val="en-US"/>
        </w:rPr>
        <w:t>Fiasp</w:t>
      </w:r>
      <w:proofErr w:type="spellEnd"/>
      <w:r w:rsidRPr="00A70F4C">
        <w:rPr>
          <w:lang w:val="en-US"/>
        </w:rPr>
        <w:t xml:space="preserve"> during breast-feeding. Insulin treatment of the nursing mother should not affect the baby. However, the </w:t>
      </w:r>
      <w:proofErr w:type="spellStart"/>
      <w:r w:rsidRPr="00A70F4C">
        <w:rPr>
          <w:bCs/>
          <w:lang w:val="en-US"/>
        </w:rPr>
        <w:t>Fiasp</w:t>
      </w:r>
      <w:proofErr w:type="spellEnd"/>
      <w:r w:rsidRPr="00A70F4C">
        <w:rPr>
          <w:lang w:val="en-US"/>
        </w:rPr>
        <w:t xml:space="preserve"> dosage may need to be adjusted.</w:t>
      </w:r>
    </w:p>
    <w:p w14:paraId="4D063118" w14:textId="77777777" w:rsidR="00F17541" w:rsidRDefault="00F17541" w:rsidP="00C44B67">
      <w:pPr>
        <w:pStyle w:val="Heading3"/>
      </w:pPr>
      <w:r>
        <w:t>4.7</w:t>
      </w:r>
      <w:r>
        <w:tab/>
        <w:t>Effects on Ability to Drive and Use Machines</w:t>
      </w:r>
    </w:p>
    <w:p w14:paraId="01963453" w14:textId="77777777" w:rsidR="00F17541" w:rsidRPr="00A70F4C" w:rsidRDefault="00A70F4C" w:rsidP="00C44B67">
      <w:pPr>
        <w:rPr>
          <w:b/>
        </w:rPr>
      </w:pPr>
      <w:r w:rsidRPr="00A70F4C">
        <w:rPr>
          <w:lang w:val="en-GB"/>
        </w:rPr>
        <w:t>The patient’s ability to concentrate and react may be impaired as a result of hypoglycaemia. This may constitute a risk in situations where these abilities are of special importance (e.g., driving a car or operating machinery). Patients should be advised to take precautions to avoid hypoglycaemia while driving. This is particularly important in those who have reduced or absent awareness of the warning signs of hypoglycaemia or have frequent episodes of hypoglycaemia. The advisability of driving should be considered in these circumstances.</w:t>
      </w:r>
    </w:p>
    <w:p w14:paraId="7A61F604" w14:textId="77CC0401" w:rsidR="00F17541" w:rsidRDefault="00F17541" w:rsidP="00C44B67">
      <w:pPr>
        <w:pStyle w:val="Heading3"/>
      </w:pPr>
      <w:r>
        <w:t>4.8</w:t>
      </w:r>
      <w:r>
        <w:tab/>
        <w:t>Adverse Effects</w:t>
      </w:r>
      <w:r w:rsidR="006D6ED3">
        <w:t xml:space="preserve"> (Undesirable Effects)</w:t>
      </w:r>
    </w:p>
    <w:p w14:paraId="1B27FB8E" w14:textId="77777777" w:rsidR="006D6ED3" w:rsidRPr="006D6ED3" w:rsidRDefault="006D6ED3" w:rsidP="006D6ED3">
      <w:pPr>
        <w:pStyle w:val="Heading4"/>
      </w:pPr>
      <w:r w:rsidRPr="006D6ED3">
        <w:t>Summary of safety profile</w:t>
      </w:r>
    </w:p>
    <w:p w14:paraId="67EA3E97" w14:textId="1AF3688B" w:rsidR="006D6ED3" w:rsidRPr="006D6ED3" w:rsidRDefault="006D6ED3" w:rsidP="006D6ED3">
      <w:pPr>
        <w:rPr>
          <w:b/>
        </w:rPr>
      </w:pPr>
      <w:r w:rsidRPr="006D6ED3">
        <w:rPr>
          <w:lang w:val="en-GB"/>
        </w:rPr>
        <w:t xml:space="preserve">The most frequently reported adverse drug reaction (ADR) during treatment with insulin, including </w:t>
      </w:r>
      <w:proofErr w:type="spellStart"/>
      <w:r w:rsidRPr="006D6ED3">
        <w:rPr>
          <w:lang w:val="en-GB"/>
        </w:rPr>
        <w:t>Fiasp</w:t>
      </w:r>
      <w:proofErr w:type="spellEnd"/>
      <w:r w:rsidRPr="006D6ED3">
        <w:rPr>
          <w:lang w:val="en-GB"/>
        </w:rPr>
        <w:t>, is hypoglycaemia (see section Descr</w:t>
      </w:r>
      <w:r w:rsidR="003A18A3">
        <w:rPr>
          <w:lang w:val="en-GB"/>
        </w:rPr>
        <w:t>iption of selected ADRs below).</w:t>
      </w:r>
    </w:p>
    <w:p w14:paraId="2070160D" w14:textId="77777777" w:rsidR="006D6ED3" w:rsidRPr="006D6ED3" w:rsidRDefault="006D6ED3" w:rsidP="006D6ED3">
      <w:pPr>
        <w:pStyle w:val="Heading4"/>
      </w:pPr>
      <w:r w:rsidRPr="006D6ED3">
        <w:t>Adverse events from clinical trials</w:t>
      </w:r>
    </w:p>
    <w:p w14:paraId="417A6579" w14:textId="1B2D383A" w:rsidR="006D6ED3" w:rsidRPr="00D141CF" w:rsidRDefault="00D141CF" w:rsidP="00D141CF">
      <w:pPr>
        <w:ind w:left="993" w:hanging="993"/>
        <w:jc w:val="both"/>
        <w:rPr>
          <w:b/>
          <w:bCs/>
        </w:rPr>
      </w:pPr>
      <w:r w:rsidRPr="00D81D77">
        <w:rPr>
          <w:b/>
          <w:bCs/>
        </w:rPr>
        <w:t xml:space="preserve">Table </w:t>
      </w:r>
      <w:r w:rsidRPr="00D81D77">
        <w:rPr>
          <w:b/>
          <w:bCs/>
        </w:rPr>
        <w:fldChar w:fldCharType="begin"/>
      </w:r>
      <w:r w:rsidRPr="00D81D77">
        <w:rPr>
          <w:b/>
          <w:bCs/>
        </w:rPr>
        <w:instrText xml:space="preserve"> SEQ Table \* ARABIC </w:instrText>
      </w:r>
      <w:r w:rsidRPr="00D81D77">
        <w:rPr>
          <w:b/>
          <w:bCs/>
        </w:rPr>
        <w:fldChar w:fldCharType="separate"/>
      </w:r>
      <w:r w:rsidR="00BC4F8D">
        <w:rPr>
          <w:b/>
          <w:bCs/>
          <w:noProof/>
        </w:rPr>
        <w:t>2</w:t>
      </w:r>
      <w:r w:rsidRPr="00D81D77">
        <w:rPr>
          <w:b/>
          <w:bCs/>
        </w:rPr>
        <w:fldChar w:fldCharType="end"/>
      </w:r>
      <w:r w:rsidR="006D6ED3" w:rsidRPr="006D6ED3">
        <w:rPr>
          <w:b/>
        </w:rPr>
        <w:t xml:space="preserve"> </w:t>
      </w:r>
      <w:r w:rsidR="006D6ED3" w:rsidRPr="00D141CF">
        <w:rPr>
          <w:b/>
          <w:bCs/>
        </w:rPr>
        <w:t xml:space="preserve">Treatment emergent adverse events (excluding </w:t>
      </w:r>
      <w:proofErr w:type="spellStart"/>
      <w:r w:rsidR="006D6ED3" w:rsidRPr="00D141CF">
        <w:rPr>
          <w:b/>
          <w:bCs/>
        </w:rPr>
        <w:t>hypoglycaemia</w:t>
      </w:r>
      <w:r w:rsidR="006D6ED3" w:rsidRPr="00D141CF">
        <w:rPr>
          <w:b/>
          <w:bCs/>
          <w:vertAlign w:val="superscript"/>
        </w:rPr>
        <w:t>A</w:t>
      </w:r>
      <w:proofErr w:type="spellEnd"/>
      <w:r w:rsidR="006D6ED3" w:rsidRPr="00D141CF">
        <w:rPr>
          <w:b/>
          <w:bCs/>
        </w:rPr>
        <w:t xml:space="preserve">) reported in ≥1% of patients on </w:t>
      </w:r>
      <w:proofErr w:type="spellStart"/>
      <w:r w:rsidR="006D6ED3" w:rsidRPr="00D141CF">
        <w:rPr>
          <w:b/>
          <w:bCs/>
        </w:rPr>
        <w:t>Fiasp</w:t>
      </w:r>
      <w:proofErr w:type="spellEnd"/>
      <w:r w:rsidR="006D6ED3" w:rsidRPr="00D141CF">
        <w:rPr>
          <w:b/>
          <w:bCs/>
        </w:rPr>
        <w:t xml:space="preserve"> and more frequently than in patients on comparator</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03"/>
        <w:gridCol w:w="2297"/>
      </w:tblGrid>
      <w:tr w:rsidR="006D6ED3" w:rsidRPr="00393E99" w14:paraId="27345DD4" w14:textId="77777777" w:rsidTr="00802FC4">
        <w:tc>
          <w:tcPr>
            <w:tcW w:w="5098" w:type="dxa"/>
            <w:shd w:val="clear" w:color="auto" w:fill="auto"/>
          </w:tcPr>
          <w:p w14:paraId="0F9398DE" w14:textId="77777777" w:rsidR="006D6ED3" w:rsidRPr="00393E99" w:rsidRDefault="006D6ED3" w:rsidP="00802FC4">
            <w:pPr>
              <w:suppressAutoHyphens/>
              <w:rPr>
                <w:b/>
                <w:bCs/>
                <w:sz w:val="20"/>
                <w:szCs w:val="20"/>
              </w:rPr>
            </w:pPr>
          </w:p>
          <w:p w14:paraId="2C5C422F" w14:textId="77777777" w:rsidR="006D6ED3" w:rsidRPr="00393E99" w:rsidRDefault="006D6ED3" w:rsidP="00802FC4">
            <w:pPr>
              <w:suppressAutoHyphens/>
              <w:rPr>
                <w:b/>
                <w:bCs/>
                <w:sz w:val="20"/>
                <w:szCs w:val="20"/>
              </w:rPr>
            </w:pPr>
            <w:r w:rsidRPr="00393E99">
              <w:rPr>
                <w:b/>
                <w:bCs/>
                <w:sz w:val="20"/>
                <w:szCs w:val="20"/>
              </w:rPr>
              <w:t>System Organ Class</w:t>
            </w:r>
          </w:p>
          <w:p w14:paraId="6A63CE21" w14:textId="77777777" w:rsidR="006D6ED3" w:rsidRPr="00393E99" w:rsidRDefault="006D6ED3" w:rsidP="00802FC4">
            <w:pPr>
              <w:suppressAutoHyphens/>
              <w:rPr>
                <w:bCs/>
                <w:sz w:val="20"/>
                <w:szCs w:val="20"/>
              </w:rPr>
            </w:pPr>
            <w:r w:rsidRPr="00393E99">
              <w:rPr>
                <w:bCs/>
                <w:sz w:val="20"/>
                <w:szCs w:val="20"/>
              </w:rPr>
              <w:t xml:space="preserve">     Preferred Term</w:t>
            </w:r>
          </w:p>
        </w:tc>
        <w:tc>
          <w:tcPr>
            <w:tcW w:w="2203" w:type="dxa"/>
            <w:shd w:val="clear" w:color="auto" w:fill="auto"/>
          </w:tcPr>
          <w:p w14:paraId="11E7A5A7" w14:textId="77777777" w:rsidR="006D6ED3" w:rsidRPr="00393E99" w:rsidRDefault="006D6ED3" w:rsidP="00802FC4">
            <w:pPr>
              <w:suppressAutoHyphens/>
              <w:jc w:val="center"/>
              <w:rPr>
                <w:b/>
                <w:bCs/>
                <w:sz w:val="20"/>
                <w:szCs w:val="20"/>
              </w:rPr>
            </w:pPr>
            <w:proofErr w:type="spellStart"/>
            <w:r>
              <w:rPr>
                <w:b/>
                <w:bCs/>
                <w:sz w:val="20"/>
                <w:szCs w:val="20"/>
              </w:rPr>
              <w:t>Fiasp</w:t>
            </w:r>
            <w:proofErr w:type="spellEnd"/>
          </w:p>
          <w:p w14:paraId="7ECAAD17" w14:textId="77777777" w:rsidR="006D6ED3" w:rsidRPr="00393E99" w:rsidRDefault="006D6ED3" w:rsidP="00802FC4">
            <w:pPr>
              <w:suppressAutoHyphens/>
              <w:jc w:val="center"/>
              <w:rPr>
                <w:b/>
                <w:bCs/>
                <w:sz w:val="20"/>
                <w:szCs w:val="20"/>
              </w:rPr>
            </w:pPr>
            <w:r w:rsidRPr="00393E99">
              <w:rPr>
                <w:b/>
                <w:bCs/>
                <w:sz w:val="20"/>
                <w:szCs w:val="20"/>
              </w:rPr>
              <w:t xml:space="preserve">N = </w:t>
            </w:r>
            <w:r>
              <w:rPr>
                <w:b/>
                <w:bCs/>
                <w:sz w:val="20"/>
                <w:szCs w:val="20"/>
              </w:rPr>
              <w:t>1244</w:t>
            </w:r>
          </w:p>
          <w:p w14:paraId="405F38C0" w14:textId="77777777" w:rsidR="006D6ED3" w:rsidRPr="00393E99" w:rsidRDefault="006D6ED3" w:rsidP="00802FC4">
            <w:pPr>
              <w:suppressAutoHyphens/>
              <w:jc w:val="center"/>
              <w:rPr>
                <w:b/>
                <w:bCs/>
                <w:sz w:val="20"/>
                <w:szCs w:val="20"/>
              </w:rPr>
            </w:pPr>
            <w:r w:rsidRPr="00393E99">
              <w:rPr>
                <w:b/>
                <w:bCs/>
                <w:sz w:val="20"/>
                <w:szCs w:val="20"/>
              </w:rPr>
              <w:t>%</w:t>
            </w:r>
          </w:p>
        </w:tc>
        <w:tc>
          <w:tcPr>
            <w:tcW w:w="2297" w:type="dxa"/>
            <w:shd w:val="clear" w:color="auto" w:fill="auto"/>
          </w:tcPr>
          <w:p w14:paraId="2010FF16" w14:textId="77777777" w:rsidR="006D6ED3" w:rsidRPr="00393E99" w:rsidRDefault="006D6ED3" w:rsidP="00802FC4">
            <w:pPr>
              <w:suppressAutoHyphens/>
              <w:jc w:val="center"/>
              <w:rPr>
                <w:b/>
                <w:bCs/>
                <w:sz w:val="20"/>
                <w:szCs w:val="20"/>
              </w:rPr>
            </w:pPr>
            <w:proofErr w:type="spellStart"/>
            <w:r>
              <w:rPr>
                <w:b/>
                <w:bCs/>
                <w:sz w:val="20"/>
                <w:szCs w:val="20"/>
              </w:rPr>
              <w:t>Comparator</w:t>
            </w:r>
            <w:r w:rsidRPr="00F34EF4">
              <w:rPr>
                <w:bCs/>
                <w:iCs/>
                <w:sz w:val="22"/>
                <w:szCs w:val="22"/>
                <w:vertAlign w:val="superscript"/>
              </w:rPr>
              <w:t>B</w:t>
            </w:r>
            <w:proofErr w:type="spellEnd"/>
          </w:p>
          <w:p w14:paraId="4716A098" w14:textId="77777777" w:rsidR="006D6ED3" w:rsidRPr="00393E99" w:rsidRDefault="006D6ED3" w:rsidP="00802FC4">
            <w:pPr>
              <w:suppressAutoHyphens/>
              <w:jc w:val="center"/>
              <w:rPr>
                <w:b/>
                <w:bCs/>
                <w:sz w:val="20"/>
                <w:szCs w:val="20"/>
              </w:rPr>
            </w:pPr>
            <w:r w:rsidRPr="00393E99">
              <w:rPr>
                <w:b/>
                <w:bCs/>
                <w:sz w:val="20"/>
                <w:szCs w:val="20"/>
              </w:rPr>
              <w:t xml:space="preserve">N = </w:t>
            </w:r>
            <w:r>
              <w:rPr>
                <w:b/>
                <w:bCs/>
                <w:sz w:val="20"/>
                <w:szCs w:val="20"/>
              </w:rPr>
              <w:t>853</w:t>
            </w:r>
          </w:p>
          <w:p w14:paraId="4A1BCA80" w14:textId="77777777" w:rsidR="006D6ED3" w:rsidRPr="00393E99" w:rsidRDefault="006D6ED3" w:rsidP="00802FC4">
            <w:pPr>
              <w:suppressAutoHyphens/>
              <w:jc w:val="center"/>
              <w:rPr>
                <w:b/>
                <w:bCs/>
                <w:sz w:val="20"/>
                <w:szCs w:val="20"/>
              </w:rPr>
            </w:pPr>
            <w:r w:rsidRPr="00393E99">
              <w:rPr>
                <w:b/>
                <w:bCs/>
                <w:sz w:val="20"/>
                <w:szCs w:val="20"/>
              </w:rPr>
              <w:t>%</w:t>
            </w:r>
          </w:p>
        </w:tc>
      </w:tr>
      <w:tr w:rsidR="006D6ED3" w:rsidRPr="00393E99" w14:paraId="045BA21B" w14:textId="77777777" w:rsidTr="00802FC4">
        <w:tc>
          <w:tcPr>
            <w:tcW w:w="5098" w:type="dxa"/>
            <w:shd w:val="clear" w:color="auto" w:fill="auto"/>
          </w:tcPr>
          <w:p w14:paraId="1F0052E1" w14:textId="77777777" w:rsidR="006D6ED3" w:rsidRDefault="006D6ED3" w:rsidP="00802FC4">
            <w:pPr>
              <w:suppressAutoHyphens/>
              <w:rPr>
                <w:b/>
                <w:bCs/>
                <w:sz w:val="20"/>
                <w:szCs w:val="20"/>
              </w:rPr>
            </w:pPr>
          </w:p>
        </w:tc>
        <w:tc>
          <w:tcPr>
            <w:tcW w:w="2203" w:type="dxa"/>
            <w:shd w:val="clear" w:color="auto" w:fill="auto"/>
          </w:tcPr>
          <w:p w14:paraId="6A783270" w14:textId="77777777" w:rsidR="006D6ED3" w:rsidRPr="00103875" w:rsidRDefault="006D6ED3" w:rsidP="00802FC4">
            <w:pPr>
              <w:suppressAutoHyphens/>
              <w:jc w:val="center"/>
              <w:rPr>
                <w:bCs/>
                <w:sz w:val="20"/>
                <w:szCs w:val="20"/>
              </w:rPr>
            </w:pPr>
          </w:p>
        </w:tc>
        <w:tc>
          <w:tcPr>
            <w:tcW w:w="2297" w:type="dxa"/>
            <w:shd w:val="clear" w:color="auto" w:fill="auto"/>
          </w:tcPr>
          <w:p w14:paraId="2033F571" w14:textId="77777777" w:rsidR="006D6ED3" w:rsidRPr="00103875" w:rsidRDefault="006D6ED3" w:rsidP="00802FC4">
            <w:pPr>
              <w:suppressAutoHyphens/>
              <w:jc w:val="center"/>
              <w:rPr>
                <w:bCs/>
                <w:sz w:val="20"/>
                <w:szCs w:val="20"/>
              </w:rPr>
            </w:pPr>
          </w:p>
        </w:tc>
      </w:tr>
      <w:tr w:rsidR="006D6ED3" w:rsidRPr="00393E99" w14:paraId="6C6024E6" w14:textId="77777777" w:rsidTr="00802FC4">
        <w:tc>
          <w:tcPr>
            <w:tcW w:w="5098" w:type="dxa"/>
            <w:shd w:val="clear" w:color="auto" w:fill="auto"/>
          </w:tcPr>
          <w:p w14:paraId="4A66A62C" w14:textId="77777777" w:rsidR="006D6ED3" w:rsidRPr="009E7DD2" w:rsidRDefault="006D6ED3" w:rsidP="00802FC4">
            <w:pPr>
              <w:suppressAutoHyphens/>
              <w:rPr>
                <w:b/>
                <w:bCs/>
                <w:sz w:val="20"/>
                <w:szCs w:val="20"/>
              </w:rPr>
            </w:pPr>
            <w:r>
              <w:rPr>
                <w:b/>
                <w:bCs/>
                <w:sz w:val="20"/>
                <w:szCs w:val="20"/>
              </w:rPr>
              <w:t>Infections and infestations</w:t>
            </w:r>
          </w:p>
        </w:tc>
        <w:tc>
          <w:tcPr>
            <w:tcW w:w="2203" w:type="dxa"/>
            <w:shd w:val="clear" w:color="auto" w:fill="auto"/>
          </w:tcPr>
          <w:p w14:paraId="5F01C0F2" w14:textId="77777777" w:rsidR="006D6ED3" w:rsidRPr="00103875" w:rsidRDefault="006D6ED3" w:rsidP="00802FC4">
            <w:pPr>
              <w:suppressAutoHyphens/>
              <w:jc w:val="center"/>
              <w:rPr>
                <w:bCs/>
                <w:sz w:val="20"/>
                <w:szCs w:val="20"/>
              </w:rPr>
            </w:pPr>
            <w:r w:rsidRPr="00103875">
              <w:rPr>
                <w:bCs/>
                <w:sz w:val="20"/>
                <w:szCs w:val="20"/>
              </w:rPr>
              <w:t xml:space="preserve"> </w:t>
            </w:r>
          </w:p>
        </w:tc>
        <w:tc>
          <w:tcPr>
            <w:tcW w:w="2297" w:type="dxa"/>
            <w:shd w:val="clear" w:color="auto" w:fill="auto"/>
          </w:tcPr>
          <w:p w14:paraId="6153F162" w14:textId="77777777" w:rsidR="006D6ED3" w:rsidRPr="00103875" w:rsidRDefault="006D6ED3" w:rsidP="00802FC4">
            <w:pPr>
              <w:suppressAutoHyphens/>
              <w:jc w:val="center"/>
              <w:rPr>
                <w:bCs/>
                <w:sz w:val="20"/>
                <w:szCs w:val="20"/>
              </w:rPr>
            </w:pPr>
            <w:r w:rsidRPr="00103875">
              <w:rPr>
                <w:bCs/>
                <w:sz w:val="20"/>
                <w:szCs w:val="20"/>
              </w:rPr>
              <w:t xml:space="preserve"> </w:t>
            </w:r>
          </w:p>
        </w:tc>
      </w:tr>
      <w:tr w:rsidR="006D6ED3" w:rsidRPr="009E7DD2" w14:paraId="4FF6E035" w14:textId="77777777" w:rsidTr="00802FC4">
        <w:tc>
          <w:tcPr>
            <w:tcW w:w="5098" w:type="dxa"/>
            <w:shd w:val="clear" w:color="auto" w:fill="auto"/>
          </w:tcPr>
          <w:p w14:paraId="3F7485C3" w14:textId="77777777" w:rsidR="006D6ED3" w:rsidRPr="00914F37" w:rsidRDefault="006D6ED3" w:rsidP="00802FC4">
            <w:pPr>
              <w:suppressAutoHyphens/>
              <w:rPr>
                <w:bCs/>
                <w:sz w:val="20"/>
                <w:szCs w:val="20"/>
              </w:rPr>
            </w:pPr>
            <w:r w:rsidRPr="009E7DD2">
              <w:rPr>
                <w:b/>
                <w:bCs/>
                <w:sz w:val="20"/>
                <w:szCs w:val="20"/>
              </w:rPr>
              <w:t xml:space="preserve">     </w:t>
            </w:r>
            <w:r w:rsidRPr="00914F37">
              <w:rPr>
                <w:bCs/>
                <w:sz w:val="20"/>
                <w:szCs w:val="20"/>
              </w:rPr>
              <w:t>Nasopharyngitis</w:t>
            </w:r>
          </w:p>
        </w:tc>
        <w:tc>
          <w:tcPr>
            <w:tcW w:w="2203" w:type="dxa"/>
            <w:shd w:val="clear" w:color="auto" w:fill="auto"/>
          </w:tcPr>
          <w:p w14:paraId="743C6D91" w14:textId="77777777" w:rsidR="006D6ED3" w:rsidRPr="009E7DD2" w:rsidRDefault="006D6ED3" w:rsidP="00802FC4">
            <w:pPr>
              <w:suppressAutoHyphens/>
              <w:jc w:val="center"/>
              <w:rPr>
                <w:bCs/>
                <w:sz w:val="20"/>
                <w:szCs w:val="20"/>
              </w:rPr>
            </w:pPr>
            <w:r>
              <w:rPr>
                <w:bCs/>
                <w:sz w:val="20"/>
                <w:szCs w:val="20"/>
              </w:rPr>
              <w:t>13.4</w:t>
            </w:r>
          </w:p>
        </w:tc>
        <w:tc>
          <w:tcPr>
            <w:tcW w:w="2297" w:type="dxa"/>
            <w:shd w:val="clear" w:color="auto" w:fill="auto"/>
          </w:tcPr>
          <w:p w14:paraId="4D444AD0" w14:textId="77777777" w:rsidR="006D6ED3" w:rsidRPr="009E7DD2" w:rsidRDefault="006D6ED3" w:rsidP="00802FC4">
            <w:pPr>
              <w:suppressAutoHyphens/>
              <w:jc w:val="center"/>
              <w:rPr>
                <w:bCs/>
                <w:sz w:val="20"/>
                <w:szCs w:val="20"/>
              </w:rPr>
            </w:pPr>
            <w:r>
              <w:rPr>
                <w:bCs/>
                <w:sz w:val="20"/>
                <w:szCs w:val="20"/>
              </w:rPr>
              <w:t>12.8</w:t>
            </w:r>
          </w:p>
        </w:tc>
      </w:tr>
      <w:tr w:rsidR="006D6ED3" w:rsidRPr="009E7DD2" w14:paraId="0C10E75E" w14:textId="77777777" w:rsidTr="00802FC4">
        <w:tc>
          <w:tcPr>
            <w:tcW w:w="5098" w:type="dxa"/>
            <w:shd w:val="clear" w:color="auto" w:fill="auto"/>
          </w:tcPr>
          <w:p w14:paraId="4D043881" w14:textId="77777777" w:rsidR="006D6ED3" w:rsidRPr="00914F37" w:rsidRDefault="006D6ED3" w:rsidP="00802FC4">
            <w:pPr>
              <w:suppressAutoHyphens/>
              <w:ind w:left="313"/>
              <w:rPr>
                <w:bCs/>
                <w:sz w:val="20"/>
                <w:szCs w:val="20"/>
              </w:rPr>
            </w:pPr>
            <w:r>
              <w:rPr>
                <w:bCs/>
                <w:sz w:val="20"/>
                <w:szCs w:val="20"/>
              </w:rPr>
              <w:t>Urinary tract infection</w:t>
            </w:r>
          </w:p>
        </w:tc>
        <w:tc>
          <w:tcPr>
            <w:tcW w:w="2203" w:type="dxa"/>
            <w:shd w:val="clear" w:color="auto" w:fill="auto"/>
          </w:tcPr>
          <w:p w14:paraId="35F8923E" w14:textId="77777777" w:rsidR="006D6ED3" w:rsidRPr="009E7DD2" w:rsidRDefault="006D6ED3" w:rsidP="00802FC4">
            <w:pPr>
              <w:suppressAutoHyphens/>
              <w:jc w:val="center"/>
              <w:rPr>
                <w:bCs/>
                <w:sz w:val="20"/>
                <w:szCs w:val="20"/>
              </w:rPr>
            </w:pPr>
            <w:r>
              <w:rPr>
                <w:bCs/>
                <w:sz w:val="20"/>
                <w:szCs w:val="20"/>
              </w:rPr>
              <w:t>4.1</w:t>
            </w:r>
          </w:p>
        </w:tc>
        <w:tc>
          <w:tcPr>
            <w:tcW w:w="2297" w:type="dxa"/>
            <w:shd w:val="clear" w:color="auto" w:fill="auto"/>
          </w:tcPr>
          <w:p w14:paraId="1C0F2526" w14:textId="77777777" w:rsidR="006D6ED3" w:rsidRPr="009E7DD2" w:rsidRDefault="006D6ED3" w:rsidP="00802FC4">
            <w:pPr>
              <w:suppressAutoHyphens/>
              <w:jc w:val="center"/>
              <w:rPr>
                <w:bCs/>
                <w:sz w:val="20"/>
                <w:szCs w:val="20"/>
              </w:rPr>
            </w:pPr>
            <w:r>
              <w:rPr>
                <w:bCs/>
                <w:sz w:val="20"/>
                <w:szCs w:val="20"/>
              </w:rPr>
              <w:t>3.4</w:t>
            </w:r>
          </w:p>
        </w:tc>
      </w:tr>
      <w:tr w:rsidR="006D6ED3" w:rsidRPr="009E7DD2" w14:paraId="548CE77B" w14:textId="77777777" w:rsidTr="00802FC4">
        <w:tc>
          <w:tcPr>
            <w:tcW w:w="5098" w:type="dxa"/>
            <w:shd w:val="clear" w:color="auto" w:fill="auto"/>
          </w:tcPr>
          <w:p w14:paraId="7F88BC57" w14:textId="77777777" w:rsidR="006D6ED3" w:rsidRDefault="006D6ED3" w:rsidP="00802FC4">
            <w:pPr>
              <w:suppressAutoHyphens/>
              <w:ind w:left="313"/>
              <w:rPr>
                <w:bCs/>
                <w:sz w:val="20"/>
                <w:szCs w:val="20"/>
              </w:rPr>
            </w:pPr>
            <w:r w:rsidRPr="00914F37">
              <w:rPr>
                <w:bCs/>
                <w:sz w:val="20"/>
                <w:szCs w:val="20"/>
              </w:rPr>
              <w:t>Gastroenteritis</w:t>
            </w:r>
          </w:p>
        </w:tc>
        <w:tc>
          <w:tcPr>
            <w:tcW w:w="2203" w:type="dxa"/>
            <w:shd w:val="clear" w:color="auto" w:fill="auto"/>
          </w:tcPr>
          <w:p w14:paraId="3BAE427A" w14:textId="77777777" w:rsidR="006D6ED3" w:rsidRDefault="006D6ED3" w:rsidP="00802FC4">
            <w:pPr>
              <w:suppressAutoHyphens/>
              <w:jc w:val="center"/>
              <w:rPr>
                <w:bCs/>
                <w:sz w:val="20"/>
                <w:szCs w:val="20"/>
              </w:rPr>
            </w:pPr>
            <w:r>
              <w:rPr>
                <w:bCs/>
                <w:sz w:val="20"/>
                <w:szCs w:val="20"/>
              </w:rPr>
              <w:t>2.3</w:t>
            </w:r>
          </w:p>
        </w:tc>
        <w:tc>
          <w:tcPr>
            <w:tcW w:w="2297" w:type="dxa"/>
            <w:shd w:val="clear" w:color="auto" w:fill="auto"/>
          </w:tcPr>
          <w:p w14:paraId="27391950" w14:textId="77777777" w:rsidR="006D6ED3" w:rsidRDefault="006D6ED3" w:rsidP="00802FC4">
            <w:pPr>
              <w:suppressAutoHyphens/>
              <w:jc w:val="center"/>
              <w:rPr>
                <w:bCs/>
                <w:sz w:val="20"/>
                <w:szCs w:val="20"/>
              </w:rPr>
            </w:pPr>
            <w:r>
              <w:rPr>
                <w:bCs/>
                <w:sz w:val="20"/>
                <w:szCs w:val="20"/>
              </w:rPr>
              <w:t>1.5</w:t>
            </w:r>
          </w:p>
        </w:tc>
      </w:tr>
      <w:tr w:rsidR="006D6ED3" w:rsidRPr="009E7DD2" w14:paraId="6B993484" w14:textId="77777777" w:rsidTr="00802FC4">
        <w:tc>
          <w:tcPr>
            <w:tcW w:w="5098" w:type="dxa"/>
            <w:shd w:val="clear" w:color="auto" w:fill="auto"/>
          </w:tcPr>
          <w:p w14:paraId="3C993638" w14:textId="77777777" w:rsidR="006D6ED3" w:rsidRPr="0000530A" w:rsidRDefault="006D6ED3" w:rsidP="00802FC4">
            <w:pPr>
              <w:suppressAutoHyphens/>
              <w:rPr>
                <w:b/>
                <w:bCs/>
                <w:sz w:val="20"/>
                <w:szCs w:val="20"/>
              </w:rPr>
            </w:pPr>
            <w:r w:rsidRPr="0000530A">
              <w:rPr>
                <w:b/>
                <w:bCs/>
                <w:sz w:val="20"/>
                <w:szCs w:val="20"/>
              </w:rPr>
              <w:t>Gastrointestinal disorders</w:t>
            </w:r>
          </w:p>
        </w:tc>
        <w:tc>
          <w:tcPr>
            <w:tcW w:w="2203" w:type="dxa"/>
            <w:shd w:val="clear" w:color="auto" w:fill="auto"/>
          </w:tcPr>
          <w:p w14:paraId="5CC1E8B2" w14:textId="77777777" w:rsidR="006D6ED3" w:rsidRDefault="006D6ED3" w:rsidP="00802FC4">
            <w:pPr>
              <w:suppressAutoHyphens/>
              <w:jc w:val="center"/>
              <w:rPr>
                <w:bCs/>
                <w:sz w:val="20"/>
                <w:szCs w:val="20"/>
              </w:rPr>
            </w:pPr>
          </w:p>
        </w:tc>
        <w:tc>
          <w:tcPr>
            <w:tcW w:w="2297" w:type="dxa"/>
            <w:shd w:val="clear" w:color="auto" w:fill="auto"/>
          </w:tcPr>
          <w:p w14:paraId="1608D327" w14:textId="77777777" w:rsidR="006D6ED3" w:rsidRDefault="006D6ED3" w:rsidP="00802FC4">
            <w:pPr>
              <w:suppressAutoHyphens/>
              <w:jc w:val="center"/>
              <w:rPr>
                <w:bCs/>
                <w:sz w:val="20"/>
                <w:szCs w:val="20"/>
              </w:rPr>
            </w:pPr>
          </w:p>
        </w:tc>
      </w:tr>
      <w:tr w:rsidR="006D6ED3" w:rsidRPr="009E7DD2" w14:paraId="4EE55C64" w14:textId="77777777" w:rsidTr="00802FC4">
        <w:tc>
          <w:tcPr>
            <w:tcW w:w="5098" w:type="dxa"/>
            <w:shd w:val="clear" w:color="auto" w:fill="auto"/>
          </w:tcPr>
          <w:p w14:paraId="6F809261" w14:textId="77777777" w:rsidR="006D6ED3" w:rsidRPr="00914F37" w:rsidRDefault="006D6ED3" w:rsidP="00802FC4">
            <w:pPr>
              <w:suppressAutoHyphens/>
              <w:ind w:left="313"/>
              <w:rPr>
                <w:bCs/>
                <w:sz w:val="20"/>
                <w:szCs w:val="20"/>
              </w:rPr>
            </w:pPr>
            <w:r>
              <w:rPr>
                <w:bCs/>
                <w:sz w:val="20"/>
                <w:szCs w:val="20"/>
              </w:rPr>
              <w:t>Nausea</w:t>
            </w:r>
          </w:p>
        </w:tc>
        <w:tc>
          <w:tcPr>
            <w:tcW w:w="2203" w:type="dxa"/>
            <w:shd w:val="clear" w:color="auto" w:fill="auto"/>
          </w:tcPr>
          <w:p w14:paraId="327C78C4" w14:textId="77777777" w:rsidR="006D6ED3" w:rsidRDefault="006D6ED3" w:rsidP="00802FC4">
            <w:pPr>
              <w:suppressAutoHyphens/>
              <w:jc w:val="center"/>
              <w:rPr>
                <w:bCs/>
                <w:sz w:val="20"/>
                <w:szCs w:val="20"/>
              </w:rPr>
            </w:pPr>
            <w:r>
              <w:rPr>
                <w:bCs/>
                <w:sz w:val="20"/>
                <w:szCs w:val="20"/>
              </w:rPr>
              <w:t>3.6</w:t>
            </w:r>
          </w:p>
        </w:tc>
        <w:tc>
          <w:tcPr>
            <w:tcW w:w="2297" w:type="dxa"/>
            <w:shd w:val="clear" w:color="auto" w:fill="auto"/>
          </w:tcPr>
          <w:p w14:paraId="6C31D5D6" w14:textId="77777777" w:rsidR="006D6ED3" w:rsidRDefault="006D6ED3" w:rsidP="00802FC4">
            <w:pPr>
              <w:suppressAutoHyphens/>
              <w:jc w:val="center"/>
              <w:rPr>
                <w:bCs/>
                <w:sz w:val="20"/>
                <w:szCs w:val="20"/>
              </w:rPr>
            </w:pPr>
            <w:r>
              <w:rPr>
                <w:bCs/>
                <w:sz w:val="20"/>
                <w:szCs w:val="20"/>
              </w:rPr>
              <w:t>2.8</w:t>
            </w:r>
          </w:p>
        </w:tc>
      </w:tr>
      <w:tr w:rsidR="006D6ED3" w:rsidRPr="009E7DD2" w14:paraId="1DA1EA9C" w14:textId="77777777" w:rsidTr="00802FC4">
        <w:tc>
          <w:tcPr>
            <w:tcW w:w="5098" w:type="dxa"/>
            <w:shd w:val="clear" w:color="auto" w:fill="auto"/>
          </w:tcPr>
          <w:p w14:paraId="501646AA" w14:textId="77777777" w:rsidR="006D6ED3" w:rsidRPr="00914F37" w:rsidRDefault="006D6ED3" w:rsidP="00802FC4">
            <w:pPr>
              <w:suppressAutoHyphens/>
              <w:ind w:left="313"/>
              <w:rPr>
                <w:bCs/>
                <w:sz w:val="20"/>
                <w:szCs w:val="20"/>
              </w:rPr>
            </w:pPr>
            <w:r>
              <w:rPr>
                <w:bCs/>
                <w:sz w:val="20"/>
                <w:szCs w:val="20"/>
              </w:rPr>
              <w:t>Toothache</w:t>
            </w:r>
          </w:p>
        </w:tc>
        <w:tc>
          <w:tcPr>
            <w:tcW w:w="2203" w:type="dxa"/>
            <w:shd w:val="clear" w:color="auto" w:fill="auto"/>
          </w:tcPr>
          <w:p w14:paraId="01A1B58A" w14:textId="77777777" w:rsidR="006D6ED3" w:rsidRPr="009E7DD2" w:rsidRDefault="006D6ED3" w:rsidP="00802FC4">
            <w:pPr>
              <w:suppressAutoHyphens/>
              <w:jc w:val="center"/>
              <w:rPr>
                <w:bCs/>
                <w:sz w:val="20"/>
                <w:szCs w:val="20"/>
              </w:rPr>
            </w:pPr>
            <w:r>
              <w:rPr>
                <w:bCs/>
                <w:sz w:val="20"/>
                <w:szCs w:val="20"/>
              </w:rPr>
              <w:t>2.0</w:t>
            </w:r>
          </w:p>
        </w:tc>
        <w:tc>
          <w:tcPr>
            <w:tcW w:w="2297" w:type="dxa"/>
            <w:shd w:val="clear" w:color="auto" w:fill="auto"/>
          </w:tcPr>
          <w:p w14:paraId="33BE1114" w14:textId="77777777" w:rsidR="006D6ED3" w:rsidRPr="009E7DD2" w:rsidRDefault="006D6ED3" w:rsidP="00802FC4">
            <w:pPr>
              <w:suppressAutoHyphens/>
              <w:jc w:val="center"/>
              <w:rPr>
                <w:bCs/>
                <w:sz w:val="20"/>
                <w:szCs w:val="20"/>
              </w:rPr>
            </w:pPr>
            <w:r>
              <w:rPr>
                <w:bCs/>
                <w:sz w:val="20"/>
                <w:szCs w:val="20"/>
              </w:rPr>
              <w:t>1.6</w:t>
            </w:r>
          </w:p>
        </w:tc>
      </w:tr>
      <w:tr w:rsidR="006D6ED3" w:rsidRPr="009E7DD2" w14:paraId="149C0E83" w14:textId="77777777" w:rsidTr="00802FC4">
        <w:tc>
          <w:tcPr>
            <w:tcW w:w="5098" w:type="dxa"/>
            <w:shd w:val="clear" w:color="auto" w:fill="auto"/>
          </w:tcPr>
          <w:p w14:paraId="67B22671" w14:textId="77777777" w:rsidR="006D6ED3" w:rsidRDefault="006D6ED3" w:rsidP="00802FC4">
            <w:pPr>
              <w:suppressAutoHyphens/>
              <w:ind w:left="313"/>
              <w:rPr>
                <w:bCs/>
                <w:sz w:val="20"/>
                <w:szCs w:val="20"/>
              </w:rPr>
            </w:pPr>
            <w:r>
              <w:rPr>
                <w:bCs/>
                <w:sz w:val="20"/>
                <w:szCs w:val="20"/>
              </w:rPr>
              <w:t>Abdominal pain upper</w:t>
            </w:r>
          </w:p>
        </w:tc>
        <w:tc>
          <w:tcPr>
            <w:tcW w:w="2203" w:type="dxa"/>
            <w:shd w:val="clear" w:color="auto" w:fill="auto"/>
          </w:tcPr>
          <w:p w14:paraId="3879B559" w14:textId="77777777" w:rsidR="006D6ED3" w:rsidRDefault="006D6ED3" w:rsidP="00802FC4">
            <w:pPr>
              <w:suppressAutoHyphens/>
              <w:jc w:val="center"/>
              <w:rPr>
                <w:bCs/>
                <w:sz w:val="20"/>
                <w:szCs w:val="20"/>
              </w:rPr>
            </w:pPr>
            <w:r>
              <w:rPr>
                <w:bCs/>
                <w:sz w:val="20"/>
                <w:szCs w:val="20"/>
              </w:rPr>
              <w:t>1.5</w:t>
            </w:r>
          </w:p>
        </w:tc>
        <w:tc>
          <w:tcPr>
            <w:tcW w:w="2297" w:type="dxa"/>
            <w:shd w:val="clear" w:color="auto" w:fill="auto"/>
          </w:tcPr>
          <w:p w14:paraId="302EF5E5" w14:textId="77777777" w:rsidR="006D6ED3" w:rsidRDefault="006D6ED3" w:rsidP="00802FC4">
            <w:pPr>
              <w:suppressAutoHyphens/>
              <w:jc w:val="center"/>
              <w:rPr>
                <w:bCs/>
                <w:sz w:val="20"/>
                <w:szCs w:val="20"/>
              </w:rPr>
            </w:pPr>
            <w:r>
              <w:rPr>
                <w:bCs/>
                <w:sz w:val="20"/>
                <w:szCs w:val="20"/>
              </w:rPr>
              <w:t>0.6</w:t>
            </w:r>
          </w:p>
        </w:tc>
      </w:tr>
      <w:tr w:rsidR="006D6ED3" w:rsidRPr="009E7DD2" w14:paraId="5B0001D8" w14:textId="77777777" w:rsidTr="00802FC4">
        <w:tc>
          <w:tcPr>
            <w:tcW w:w="5098" w:type="dxa"/>
            <w:shd w:val="clear" w:color="auto" w:fill="auto"/>
          </w:tcPr>
          <w:p w14:paraId="41E57388" w14:textId="77777777" w:rsidR="006D6ED3" w:rsidRPr="009E7DD2" w:rsidRDefault="006D6ED3" w:rsidP="00802FC4">
            <w:pPr>
              <w:suppressAutoHyphens/>
              <w:rPr>
                <w:b/>
                <w:bCs/>
                <w:sz w:val="20"/>
                <w:szCs w:val="20"/>
              </w:rPr>
            </w:pPr>
            <w:r>
              <w:rPr>
                <w:b/>
                <w:bCs/>
                <w:sz w:val="20"/>
                <w:szCs w:val="20"/>
              </w:rPr>
              <w:t>Musculoskeletal and connective tissue disorders</w:t>
            </w:r>
          </w:p>
        </w:tc>
        <w:tc>
          <w:tcPr>
            <w:tcW w:w="2203" w:type="dxa"/>
            <w:shd w:val="clear" w:color="auto" w:fill="auto"/>
          </w:tcPr>
          <w:p w14:paraId="1A8E0E3D" w14:textId="77777777" w:rsidR="006D6ED3" w:rsidRPr="009E7DD2" w:rsidRDefault="006D6ED3" w:rsidP="00802FC4">
            <w:pPr>
              <w:suppressAutoHyphens/>
              <w:jc w:val="center"/>
              <w:rPr>
                <w:bCs/>
                <w:sz w:val="20"/>
                <w:szCs w:val="20"/>
              </w:rPr>
            </w:pPr>
          </w:p>
        </w:tc>
        <w:tc>
          <w:tcPr>
            <w:tcW w:w="2297" w:type="dxa"/>
            <w:shd w:val="clear" w:color="auto" w:fill="auto"/>
          </w:tcPr>
          <w:p w14:paraId="56C4E7DE" w14:textId="77777777" w:rsidR="006D6ED3" w:rsidRPr="009E7DD2" w:rsidRDefault="006D6ED3" w:rsidP="00802FC4">
            <w:pPr>
              <w:suppressAutoHyphens/>
              <w:jc w:val="center"/>
              <w:rPr>
                <w:bCs/>
                <w:sz w:val="20"/>
                <w:szCs w:val="20"/>
              </w:rPr>
            </w:pPr>
          </w:p>
        </w:tc>
      </w:tr>
      <w:tr w:rsidR="006D6ED3" w:rsidRPr="009E7DD2" w14:paraId="7137891C" w14:textId="77777777" w:rsidTr="00802FC4">
        <w:tc>
          <w:tcPr>
            <w:tcW w:w="5098" w:type="dxa"/>
            <w:shd w:val="clear" w:color="auto" w:fill="auto"/>
          </w:tcPr>
          <w:p w14:paraId="2A539F46" w14:textId="77777777" w:rsidR="006D6ED3" w:rsidRPr="009E7DD2" w:rsidRDefault="006D6ED3" w:rsidP="00802FC4">
            <w:pPr>
              <w:suppressAutoHyphens/>
              <w:rPr>
                <w:b/>
                <w:bCs/>
                <w:sz w:val="20"/>
                <w:szCs w:val="20"/>
              </w:rPr>
            </w:pPr>
            <w:r w:rsidRPr="009E7DD2">
              <w:rPr>
                <w:b/>
                <w:bCs/>
                <w:sz w:val="20"/>
                <w:szCs w:val="20"/>
              </w:rPr>
              <w:lastRenderedPageBreak/>
              <w:t xml:space="preserve">     </w:t>
            </w:r>
            <w:r>
              <w:rPr>
                <w:bCs/>
                <w:sz w:val="20"/>
                <w:szCs w:val="20"/>
              </w:rPr>
              <w:t>Back pain</w:t>
            </w:r>
          </w:p>
        </w:tc>
        <w:tc>
          <w:tcPr>
            <w:tcW w:w="2203" w:type="dxa"/>
            <w:shd w:val="clear" w:color="auto" w:fill="auto"/>
          </w:tcPr>
          <w:p w14:paraId="6512182B" w14:textId="77777777" w:rsidR="006D6ED3" w:rsidRPr="009E7DD2" w:rsidRDefault="006D6ED3" w:rsidP="00802FC4">
            <w:pPr>
              <w:suppressAutoHyphens/>
              <w:jc w:val="center"/>
              <w:rPr>
                <w:bCs/>
                <w:sz w:val="20"/>
                <w:szCs w:val="20"/>
              </w:rPr>
            </w:pPr>
            <w:r>
              <w:rPr>
                <w:bCs/>
                <w:sz w:val="20"/>
                <w:szCs w:val="20"/>
              </w:rPr>
              <w:t>3.2</w:t>
            </w:r>
          </w:p>
        </w:tc>
        <w:tc>
          <w:tcPr>
            <w:tcW w:w="2297" w:type="dxa"/>
            <w:shd w:val="clear" w:color="auto" w:fill="auto"/>
          </w:tcPr>
          <w:p w14:paraId="02361E5D" w14:textId="77777777" w:rsidR="006D6ED3" w:rsidRPr="009E7DD2" w:rsidRDefault="006D6ED3" w:rsidP="00802FC4">
            <w:pPr>
              <w:suppressAutoHyphens/>
              <w:jc w:val="center"/>
              <w:rPr>
                <w:bCs/>
                <w:sz w:val="20"/>
                <w:szCs w:val="20"/>
              </w:rPr>
            </w:pPr>
            <w:r>
              <w:rPr>
                <w:bCs/>
                <w:sz w:val="20"/>
                <w:szCs w:val="20"/>
              </w:rPr>
              <w:t>2.3</w:t>
            </w:r>
          </w:p>
        </w:tc>
      </w:tr>
      <w:tr w:rsidR="006D6ED3" w:rsidRPr="009E7DD2" w14:paraId="183DEADB" w14:textId="77777777" w:rsidTr="00802FC4">
        <w:tc>
          <w:tcPr>
            <w:tcW w:w="5098" w:type="dxa"/>
            <w:shd w:val="clear" w:color="auto" w:fill="auto"/>
          </w:tcPr>
          <w:p w14:paraId="7A93E145" w14:textId="77777777" w:rsidR="006D6ED3" w:rsidRPr="00B06A94" w:rsidRDefault="006D6ED3" w:rsidP="00802FC4">
            <w:pPr>
              <w:suppressAutoHyphens/>
              <w:ind w:left="313"/>
              <w:rPr>
                <w:bCs/>
                <w:sz w:val="20"/>
                <w:szCs w:val="20"/>
              </w:rPr>
            </w:pPr>
            <w:r w:rsidRPr="00B06A94">
              <w:rPr>
                <w:bCs/>
                <w:sz w:val="20"/>
                <w:szCs w:val="20"/>
              </w:rPr>
              <w:t>Arthralgia</w:t>
            </w:r>
          </w:p>
        </w:tc>
        <w:tc>
          <w:tcPr>
            <w:tcW w:w="2203" w:type="dxa"/>
            <w:shd w:val="clear" w:color="auto" w:fill="auto"/>
          </w:tcPr>
          <w:p w14:paraId="16360CC7" w14:textId="77777777" w:rsidR="006D6ED3" w:rsidRDefault="006D6ED3" w:rsidP="00802FC4">
            <w:pPr>
              <w:suppressAutoHyphens/>
              <w:jc w:val="center"/>
              <w:rPr>
                <w:bCs/>
                <w:sz w:val="20"/>
                <w:szCs w:val="20"/>
              </w:rPr>
            </w:pPr>
            <w:r>
              <w:rPr>
                <w:bCs/>
                <w:sz w:val="20"/>
                <w:szCs w:val="20"/>
              </w:rPr>
              <w:t>2.1</w:t>
            </w:r>
          </w:p>
        </w:tc>
        <w:tc>
          <w:tcPr>
            <w:tcW w:w="2297" w:type="dxa"/>
            <w:shd w:val="clear" w:color="auto" w:fill="auto"/>
          </w:tcPr>
          <w:p w14:paraId="3294F9BF" w14:textId="77777777" w:rsidR="006D6ED3" w:rsidRDefault="006D6ED3" w:rsidP="00802FC4">
            <w:pPr>
              <w:suppressAutoHyphens/>
              <w:jc w:val="center"/>
              <w:rPr>
                <w:bCs/>
                <w:sz w:val="20"/>
                <w:szCs w:val="20"/>
              </w:rPr>
            </w:pPr>
            <w:r>
              <w:rPr>
                <w:bCs/>
                <w:sz w:val="20"/>
                <w:szCs w:val="20"/>
              </w:rPr>
              <w:t>1.6</w:t>
            </w:r>
          </w:p>
        </w:tc>
      </w:tr>
      <w:tr w:rsidR="006D6ED3" w:rsidRPr="009E7DD2" w14:paraId="7FB74671" w14:textId="77777777" w:rsidTr="00802FC4">
        <w:tc>
          <w:tcPr>
            <w:tcW w:w="5098" w:type="dxa"/>
            <w:shd w:val="clear" w:color="auto" w:fill="auto"/>
          </w:tcPr>
          <w:p w14:paraId="1A679E90" w14:textId="77777777" w:rsidR="006D6ED3" w:rsidRPr="00B06A94" w:rsidRDefault="006D6ED3" w:rsidP="00802FC4">
            <w:pPr>
              <w:suppressAutoHyphens/>
              <w:ind w:left="313"/>
              <w:rPr>
                <w:bCs/>
                <w:sz w:val="20"/>
                <w:szCs w:val="20"/>
              </w:rPr>
            </w:pPr>
            <w:r w:rsidRPr="00B06A94">
              <w:rPr>
                <w:bCs/>
                <w:sz w:val="20"/>
                <w:szCs w:val="20"/>
              </w:rPr>
              <w:t>Pain in extremity</w:t>
            </w:r>
          </w:p>
        </w:tc>
        <w:tc>
          <w:tcPr>
            <w:tcW w:w="2203" w:type="dxa"/>
            <w:shd w:val="clear" w:color="auto" w:fill="auto"/>
          </w:tcPr>
          <w:p w14:paraId="143ACD56" w14:textId="77777777" w:rsidR="006D6ED3" w:rsidRDefault="006D6ED3" w:rsidP="00802FC4">
            <w:pPr>
              <w:suppressAutoHyphens/>
              <w:jc w:val="center"/>
              <w:rPr>
                <w:bCs/>
                <w:sz w:val="20"/>
                <w:szCs w:val="20"/>
              </w:rPr>
            </w:pPr>
            <w:r>
              <w:rPr>
                <w:bCs/>
                <w:sz w:val="20"/>
                <w:szCs w:val="20"/>
              </w:rPr>
              <w:t>1.5</w:t>
            </w:r>
          </w:p>
        </w:tc>
        <w:tc>
          <w:tcPr>
            <w:tcW w:w="2297" w:type="dxa"/>
            <w:shd w:val="clear" w:color="auto" w:fill="auto"/>
          </w:tcPr>
          <w:p w14:paraId="2EE4199C" w14:textId="77777777" w:rsidR="006D6ED3" w:rsidRDefault="006D6ED3" w:rsidP="00802FC4">
            <w:pPr>
              <w:suppressAutoHyphens/>
              <w:jc w:val="center"/>
              <w:rPr>
                <w:bCs/>
                <w:sz w:val="20"/>
                <w:szCs w:val="20"/>
              </w:rPr>
            </w:pPr>
            <w:r>
              <w:rPr>
                <w:bCs/>
                <w:sz w:val="20"/>
                <w:szCs w:val="20"/>
              </w:rPr>
              <w:t>1.3</w:t>
            </w:r>
          </w:p>
        </w:tc>
      </w:tr>
      <w:tr w:rsidR="006D6ED3" w:rsidRPr="009E7DD2" w14:paraId="6C1A8BE3" w14:textId="77777777" w:rsidTr="00802FC4">
        <w:tc>
          <w:tcPr>
            <w:tcW w:w="5098" w:type="dxa"/>
            <w:shd w:val="clear" w:color="auto" w:fill="auto"/>
          </w:tcPr>
          <w:p w14:paraId="351655E9" w14:textId="77777777" w:rsidR="006D6ED3" w:rsidRPr="009E7DD2" w:rsidRDefault="006D6ED3" w:rsidP="00802FC4">
            <w:pPr>
              <w:suppressAutoHyphens/>
              <w:rPr>
                <w:b/>
                <w:bCs/>
                <w:sz w:val="20"/>
                <w:szCs w:val="20"/>
              </w:rPr>
            </w:pPr>
            <w:r>
              <w:rPr>
                <w:b/>
                <w:bCs/>
                <w:sz w:val="20"/>
                <w:szCs w:val="20"/>
              </w:rPr>
              <w:t>General disorders and administration site conditions</w:t>
            </w:r>
          </w:p>
        </w:tc>
        <w:tc>
          <w:tcPr>
            <w:tcW w:w="2203" w:type="dxa"/>
            <w:shd w:val="clear" w:color="auto" w:fill="auto"/>
          </w:tcPr>
          <w:p w14:paraId="34EAA509" w14:textId="77777777" w:rsidR="006D6ED3" w:rsidRPr="009E7DD2" w:rsidRDefault="006D6ED3" w:rsidP="00802FC4">
            <w:pPr>
              <w:suppressAutoHyphens/>
              <w:jc w:val="center"/>
              <w:rPr>
                <w:bCs/>
                <w:sz w:val="20"/>
                <w:szCs w:val="20"/>
              </w:rPr>
            </w:pPr>
          </w:p>
        </w:tc>
        <w:tc>
          <w:tcPr>
            <w:tcW w:w="2297" w:type="dxa"/>
            <w:shd w:val="clear" w:color="auto" w:fill="auto"/>
          </w:tcPr>
          <w:p w14:paraId="28CA187F" w14:textId="77777777" w:rsidR="006D6ED3" w:rsidRPr="009E7DD2" w:rsidRDefault="006D6ED3" w:rsidP="00802FC4">
            <w:pPr>
              <w:suppressAutoHyphens/>
              <w:jc w:val="center"/>
              <w:rPr>
                <w:bCs/>
                <w:sz w:val="20"/>
                <w:szCs w:val="20"/>
              </w:rPr>
            </w:pPr>
          </w:p>
        </w:tc>
      </w:tr>
      <w:tr w:rsidR="006D6ED3" w:rsidRPr="009E7DD2" w14:paraId="40AE4436" w14:textId="77777777" w:rsidTr="00802FC4">
        <w:tc>
          <w:tcPr>
            <w:tcW w:w="5098" w:type="dxa"/>
            <w:shd w:val="clear" w:color="auto" w:fill="auto"/>
          </w:tcPr>
          <w:p w14:paraId="517575CE" w14:textId="77777777" w:rsidR="006D6ED3" w:rsidRPr="009E7DD2" w:rsidRDefault="006D6ED3" w:rsidP="00802FC4">
            <w:pPr>
              <w:suppressAutoHyphens/>
              <w:rPr>
                <w:b/>
                <w:bCs/>
                <w:sz w:val="20"/>
                <w:szCs w:val="20"/>
              </w:rPr>
            </w:pPr>
            <w:r w:rsidRPr="009E7DD2">
              <w:rPr>
                <w:b/>
                <w:bCs/>
                <w:sz w:val="20"/>
                <w:szCs w:val="20"/>
              </w:rPr>
              <w:t xml:space="preserve">     </w:t>
            </w:r>
            <w:r>
              <w:rPr>
                <w:bCs/>
                <w:sz w:val="20"/>
                <w:szCs w:val="20"/>
              </w:rPr>
              <w:t>Fatigue</w:t>
            </w:r>
          </w:p>
        </w:tc>
        <w:tc>
          <w:tcPr>
            <w:tcW w:w="2203" w:type="dxa"/>
            <w:shd w:val="clear" w:color="auto" w:fill="auto"/>
          </w:tcPr>
          <w:p w14:paraId="223540DF" w14:textId="77777777" w:rsidR="006D6ED3" w:rsidRPr="009E7DD2" w:rsidRDefault="006D6ED3" w:rsidP="00802FC4">
            <w:pPr>
              <w:suppressAutoHyphens/>
              <w:jc w:val="center"/>
              <w:rPr>
                <w:bCs/>
                <w:sz w:val="20"/>
                <w:szCs w:val="20"/>
              </w:rPr>
            </w:pPr>
            <w:r>
              <w:rPr>
                <w:bCs/>
                <w:sz w:val="20"/>
                <w:szCs w:val="20"/>
              </w:rPr>
              <w:t>1.4</w:t>
            </w:r>
          </w:p>
        </w:tc>
        <w:tc>
          <w:tcPr>
            <w:tcW w:w="2297" w:type="dxa"/>
            <w:shd w:val="clear" w:color="auto" w:fill="auto"/>
          </w:tcPr>
          <w:p w14:paraId="7006671A" w14:textId="77777777" w:rsidR="006D6ED3" w:rsidRPr="009E7DD2" w:rsidRDefault="006D6ED3" w:rsidP="00802FC4">
            <w:pPr>
              <w:suppressAutoHyphens/>
              <w:jc w:val="center"/>
              <w:rPr>
                <w:bCs/>
                <w:sz w:val="20"/>
                <w:szCs w:val="20"/>
              </w:rPr>
            </w:pPr>
            <w:r>
              <w:rPr>
                <w:bCs/>
                <w:sz w:val="20"/>
                <w:szCs w:val="20"/>
              </w:rPr>
              <w:t>0.8</w:t>
            </w:r>
          </w:p>
        </w:tc>
      </w:tr>
      <w:tr w:rsidR="006D6ED3" w:rsidRPr="009E7DD2" w14:paraId="3FD7992C" w14:textId="77777777" w:rsidTr="00802FC4">
        <w:tc>
          <w:tcPr>
            <w:tcW w:w="5098" w:type="dxa"/>
            <w:shd w:val="clear" w:color="auto" w:fill="auto"/>
          </w:tcPr>
          <w:p w14:paraId="787B9784" w14:textId="77777777" w:rsidR="006D6ED3" w:rsidRPr="009E7DD2" w:rsidRDefault="006D6ED3" w:rsidP="00802FC4">
            <w:pPr>
              <w:suppressAutoHyphens/>
              <w:rPr>
                <w:b/>
                <w:bCs/>
                <w:sz w:val="20"/>
                <w:szCs w:val="20"/>
              </w:rPr>
            </w:pPr>
            <w:r>
              <w:rPr>
                <w:b/>
                <w:bCs/>
                <w:sz w:val="20"/>
                <w:szCs w:val="20"/>
              </w:rPr>
              <w:t>Nervous system disorders</w:t>
            </w:r>
          </w:p>
        </w:tc>
        <w:tc>
          <w:tcPr>
            <w:tcW w:w="2203" w:type="dxa"/>
            <w:shd w:val="clear" w:color="auto" w:fill="auto"/>
          </w:tcPr>
          <w:p w14:paraId="3870A33B" w14:textId="77777777" w:rsidR="006D6ED3" w:rsidRPr="009E7DD2" w:rsidRDefault="006D6ED3" w:rsidP="00802FC4">
            <w:pPr>
              <w:suppressAutoHyphens/>
              <w:jc w:val="center"/>
              <w:rPr>
                <w:bCs/>
                <w:sz w:val="20"/>
                <w:szCs w:val="20"/>
              </w:rPr>
            </w:pPr>
          </w:p>
        </w:tc>
        <w:tc>
          <w:tcPr>
            <w:tcW w:w="2297" w:type="dxa"/>
            <w:shd w:val="clear" w:color="auto" w:fill="auto"/>
          </w:tcPr>
          <w:p w14:paraId="5432E713" w14:textId="77777777" w:rsidR="006D6ED3" w:rsidRPr="009E7DD2" w:rsidRDefault="006D6ED3" w:rsidP="00802FC4">
            <w:pPr>
              <w:suppressAutoHyphens/>
              <w:jc w:val="center"/>
              <w:rPr>
                <w:bCs/>
                <w:sz w:val="20"/>
                <w:szCs w:val="20"/>
              </w:rPr>
            </w:pPr>
          </w:p>
        </w:tc>
      </w:tr>
      <w:tr w:rsidR="006D6ED3" w:rsidRPr="009E7DD2" w14:paraId="5240374E" w14:textId="77777777" w:rsidTr="00802FC4">
        <w:tc>
          <w:tcPr>
            <w:tcW w:w="5098" w:type="dxa"/>
            <w:shd w:val="clear" w:color="auto" w:fill="auto"/>
          </w:tcPr>
          <w:p w14:paraId="4D1BFB95" w14:textId="77777777" w:rsidR="006D6ED3" w:rsidRPr="009E7DD2" w:rsidRDefault="006D6ED3" w:rsidP="00802FC4">
            <w:pPr>
              <w:suppressAutoHyphens/>
              <w:rPr>
                <w:b/>
                <w:bCs/>
                <w:sz w:val="20"/>
                <w:szCs w:val="20"/>
              </w:rPr>
            </w:pPr>
            <w:r w:rsidRPr="009E7DD2">
              <w:rPr>
                <w:b/>
                <w:bCs/>
                <w:sz w:val="20"/>
                <w:szCs w:val="20"/>
              </w:rPr>
              <w:t xml:space="preserve">     </w:t>
            </w:r>
            <w:r>
              <w:rPr>
                <w:bCs/>
                <w:sz w:val="20"/>
                <w:szCs w:val="20"/>
              </w:rPr>
              <w:t>Dizziness</w:t>
            </w:r>
          </w:p>
        </w:tc>
        <w:tc>
          <w:tcPr>
            <w:tcW w:w="2203" w:type="dxa"/>
            <w:shd w:val="clear" w:color="auto" w:fill="auto"/>
          </w:tcPr>
          <w:p w14:paraId="458F71B9" w14:textId="77777777" w:rsidR="006D6ED3" w:rsidRPr="009E7DD2" w:rsidRDefault="006D6ED3" w:rsidP="00802FC4">
            <w:pPr>
              <w:suppressAutoHyphens/>
              <w:jc w:val="center"/>
              <w:rPr>
                <w:bCs/>
                <w:sz w:val="20"/>
                <w:szCs w:val="20"/>
              </w:rPr>
            </w:pPr>
            <w:r>
              <w:rPr>
                <w:bCs/>
                <w:sz w:val="20"/>
                <w:szCs w:val="20"/>
              </w:rPr>
              <w:t>1.4</w:t>
            </w:r>
          </w:p>
        </w:tc>
        <w:tc>
          <w:tcPr>
            <w:tcW w:w="2297" w:type="dxa"/>
            <w:shd w:val="clear" w:color="auto" w:fill="auto"/>
          </w:tcPr>
          <w:p w14:paraId="2B0AA3F2" w14:textId="77777777" w:rsidR="006D6ED3" w:rsidRPr="009E7DD2" w:rsidRDefault="006D6ED3" w:rsidP="00802FC4">
            <w:pPr>
              <w:suppressAutoHyphens/>
              <w:jc w:val="center"/>
              <w:rPr>
                <w:bCs/>
                <w:sz w:val="20"/>
                <w:szCs w:val="20"/>
              </w:rPr>
            </w:pPr>
            <w:r>
              <w:rPr>
                <w:bCs/>
                <w:sz w:val="20"/>
                <w:szCs w:val="20"/>
              </w:rPr>
              <w:t>0.6</w:t>
            </w:r>
          </w:p>
        </w:tc>
      </w:tr>
      <w:tr w:rsidR="006D6ED3" w:rsidRPr="009E7DD2" w14:paraId="0CA88741" w14:textId="77777777" w:rsidTr="00802FC4">
        <w:tc>
          <w:tcPr>
            <w:tcW w:w="5098" w:type="dxa"/>
            <w:shd w:val="clear" w:color="auto" w:fill="auto"/>
          </w:tcPr>
          <w:p w14:paraId="0496949D" w14:textId="77777777" w:rsidR="006D6ED3" w:rsidRPr="00AB2834" w:rsidRDefault="006D6ED3" w:rsidP="00802FC4">
            <w:pPr>
              <w:suppressAutoHyphens/>
              <w:ind w:left="29"/>
              <w:rPr>
                <w:b/>
                <w:bCs/>
                <w:sz w:val="20"/>
                <w:szCs w:val="20"/>
              </w:rPr>
            </w:pPr>
            <w:r w:rsidRPr="00AB2834">
              <w:rPr>
                <w:b/>
                <w:bCs/>
                <w:sz w:val="20"/>
                <w:szCs w:val="20"/>
              </w:rPr>
              <w:t>Blood and lymphatic system disorders</w:t>
            </w:r>
          </w:p>
        </w:tc>
        <w:tc>
          <w:tcPr>
            <w:tcW w:w="2203" w:type="dxa"/>
            <w:shd w:val="clear" w:color="auto" w:fill="auto"/>
          </w:tcPr>
          <w:p w14:paraId="1FD00661" w14:textId="77777777" w:rsidR="006D6ED3" w:rsidRDefault="006D6ED3" w:rsidP="00802FC4">
            <w:pPr>
              <w:suppressAutoHyphens/>
              <w:jc w:val="center"/>
              <w:rPr>
                <w:bCs/>
                <w:sz w:val="20"/>
                <w:szCs w:val="20"/>
              </w:rPr>
            </w:pPr>
          </w:p>
        </w:tc>
        <w:tc>
          <w:tcPr>
            <w:tcW w:w="2297" w:type="dxa"/>
            <w:shd w:val="clear" w:color="auto" w:fill="auto"/>
          </w:tcPr>
          <w:p w14:paraId="0A918BB0" w14:textId="77777777" w:rsidR="006D6ED3" w:rsidRDefault="006D6ED3" w:rsidP="00802FC4">
            <w:pPr>
              <w:suppressAutoHyphens/>
              <w:jc w:val="center"/>
              <w:rPr>
                <w:bCs/>
                <w:sz w:val="20"/>
                <w:szCs w:val="20"/>
              </w:rPr>
            </w:pPr>
          </w:p>
        </w:tc>
      </w:tr>
      <w:tr w:rsidR="006D6ED3" w:rsidRPr="009E7DD2" w14:paraId="5F7F2341" w14:textId="77777777" w:rsidTr="00802FC4">
        <w:tc>
          <w:tcPr>
            <w:tcW w:w="5098" w:type="dxa"/>
            <w:shd w:val="clear" w:color="auto" w:fill="auto"/>
          </w:tcPr>
          <w:p w14:paraId="38597173" w14:textId="77777777" w:rsidR="006D6ED3" w:rsidRPr="00170F52" w:rsidRDefault="006D6ED3" w:rsidP="00802FC4">
            <w:pPr>
              <w:suppressAutoHyphens/>
              <w:ind w:left="313"/>
              <w:rPr>
                <w:bCs/>
                <w:sz w:val="20"/>
                <w:szCs w:val="20"/>
              </w:rPr>
            </w:pPr>
            <w:r>
              <w:rPr>
                <w:bCs/>
                <w:sz w:val="20"/>
                <w:szCs w:val="20"/>
              </w:rPr>
              <w:t>Anaemia</w:t>
            </w:r>
          </w:p>
        </w:tc>
        <w:tc>
          <w:tcPr>
            <w:tcW w:w="2203" w:type="dxa"/>
            <w:shd w:val="clear" w:color="auto" w:fill="auto"/>
          </w:tcPr>
          <w:p w14:paraId="5A622264" w14:textId="77777777" w:rsidR="006D6ED3" w:rsidRDefault="006D6ED3" w:rsidP="00802FC4">
            <w:pPr>
              <w:suppressAutoHyphens/>
              <w:jc w:val="center"/>
              <w:rPr>
                <w:bCs/>
                <w:sz w:val="20"/>
                <w:szCs w:val="20"/>
              </w:rPr>
            </w:pPr>
            <w:r>
              <w:rPr>
                <w:bCs/>
                <w:sz w:val="20"/>
                <w:szCs w:val="20"/>
              </w:rPr>
              <w:t>1.3</w:t>
            </w:r>
          </w:p>
        </w:tc>
        <w:tc>
          <w:tcPr>
            <w:tcW w:w="2297" w:type="dxa"/>
            <w:shd w:val="clear" w:color="auto" w:fill="auto"/>
          </w:tcPr>
          <w:p w14:paraId="01CE3976" w14:textId="77777777" w:rsidR="006D6ED3" w:rsidRDefault="006D6ED3" w:rsidP="00802FC4">
            <w:pPr>
              <w:suppressAutoHyphens/>
              <w:jc w:val="center"/>
              <w:rPr>
                <w:bCs/>
                <w:sz w:val="20"/>
                <w:szCs w:val="20"/>
              </w:rPr>
            </w:pPr>
            <w:r>
              <w:rPr>
                <w:bCs/>
                <w:sz w:val="20"/>
                <w:szCs w:val="20"/>
              </w:rPr>
              <w:t>0.6</w:t>
            </w:r>
          </w:p>
        </w:tc>
      </w:tr>
      <w:tr w:rsidR="006D6ED3" w:rsidRPr="009E7DD2" w14:paraId="6CD185A5" w14:textId="77777777" w:rsidTr="00802FC4">
        <w:tc>
          <w:tcPr>
            <w:tcW w:w="5098" w:type="dxa"/>
            <w:shd w:val="clear" w:color="auto" w:fill="auto"/>
          </w:tcPr>
          <w:p w14:paraId="2B786815" w14:textId="77777777" w:rsidR="006D6ED3" w:rsidRPr="009E7DD2" w:rsidRDefault="006D6ED3" w:rsidP="00802FC4">
            <w:pPr>
              <w:suppressAutoHyphens/>
              <w:rPr>
                <w:b/>
                <w:bCs/>
                <w:sz w:val="20"/>
                <w:szCs w:val="20"/>
              </w:rPr>
            </w:pPr>
            <w:r>
              <w:rPr>
                <w:b/>
                <w:bCs/>
                <w:sz w:val="20"/>
                <w:szCs w:val="20"/>
              </w:rPr>
              <w:t>Eye disorders</w:t>
            </w:r>
          </w:p>
        </w:tc>
        <w:tc>
          <w:tcPr>
            <w:tcW w:w="2203" w:type="dxa"/>
            <w:shd w:val="clear" w:color="auto" w:fill="auto"/>
          </w:tcPr>
          <w:p w14:paraId="453DB496" w14:textId="77777777" w:rsidR="006D6ED3" w:rsidRPr="009E7DD2" w:rsidRDefault="006D6ED3" w:rsidP="00802FC4">
            <w:pPr>
              <w:suppressAutoHyphens/>
              <w:jc w:val="center"/>
              <w:rPr>
                <w:bCs/>
                <w:sz w:val="20"/>
                <w:szCs w:val="20"/>
              </w:rPr>
            </w:pPr>
          </w:p>
        </w:tc>
        <w:tc>
          <w:tcPr>
            <w:tcW w:w="2297" w:type="dxa"/>
            <w:shd w:val="clear" w:color="auto" w:fill="auto"/>
          </w:tcPr>
          <w:p w14:paraId="6B45B8DA" w14:textId="77777777" w:rsidR="006D6ED3" w:rsidRPr="009E7DD2" w:rsidRDefault="006D6ED3" w:rsidP="00802FC4">
            <w:pPr>
              <w:suppressAutoHyphens/>
              <w:jc w:val="center"/>
              <w:rPr>
                <w:bCs/>
                <w:sz w:val="20"/>
                <w:szCs w:val="20"/>
              </w:rPr>
            </w:pPr>
          </w:p>
        </w:tc>
      </w:tr>
      <w:tr w:rsidR="006D6ED3" w:rsidRPr="009E7DD2" w14:paraId="2B6A9623" w14:textId="77777777" w:rsidTr="00802FC4">
        <w:tc>
          <w:tcPr>
            <w:tcW w:w="5098" w:type="dxa"/>
            <w:shd w:val="clear" w:color="auto" w:fill="auto"/>
          </w:tcPr>
          <w:p w14:paraId="3D00EDEC" w14:textId="77777777" w:rsidR="006D6ED3" w:rsidRPr="00170F52" w:rsidRDefault="006D6ED3" w:rsidP="00802FC4">
            <w:pPr>
              <w:suppressAutoHyphens/>
              <w:ind w:left="313"/>
              <w:rPr>
                <w:bCs/>
                <w:sz w:val="20"/>
                <w:szCs w:val="20"/>
              </w:rPr>
            </w:pPr>
            <w:r w:rsidRPr="00170F52">
              <w:rPr>
                <w:bCs/>
                <w:sz w:val="20"/>
                <w:szCs w:val="20"/>
              </w:rPr>
              <w:t>Diabetic retinopathy</w:t>
            </w:r>
          </w:p>
        </w:tc>
        <w:tc>
          <w:tcPr>
            <w:tcW w:w="2203" w:type="dxa"/>
            <w:shd w:val="clear" w:color="auto" w:fill="auto"/>
          </w:tcPr>
          <w:p w14:paraId="67B44EA0" w14:textId="77777777" w:rsidR="006D6ED3" w:rsidRPr="009E7DD2" w:rsidRDefault="006D6ED3" w:rsidP="00802FC4">
            <w:pPr>
              <w:suppressAutoHyphens/>
              <w:jc w:val="center"/>
              <w:rPr>
                <w:bCs/>
                <w:sz w:val="20"/>
                <w:szCs w:val="20"/>
              </w:rPr>
            </w:pPr>
            <w:r>
              <w:rPr>
                <w:bCs/>
                <w:sz w:val="20"/>
                <w:szCs w:val="20"/>
              </w:rPr>
              <w:t>1.2</w:t>
            </w:r>
          </w:p>
        </w:tc>
        <w:tc>
          <w:tcPr>
            <w:tcW w:w="2297" w:type="dxa"/>
            <w:shd w:val="clear" w:color="auto" w:fill="auto"/>
          </w:tcPr>
          <w:p w14:paraId="0B392C71" w14:textId="77777777" w:rsidR="006D6ED3" w:rsidRPr="009E7DD2" w:rsidRDefault="006D6ED3" w:rsidP="00802FC4">
            <w:pPr>
              <w:suppressAutoHyphens/>
              <w:jc w:val="center"/>
              <w:rPr>
                <w:bCs/>
                <w:sz w:val="20"/>
                <w:szCs w:val="20"/>
              </w:rPr>
            </w:pPr>
            <w:r>
              <w:rPr>
                <w:bCs/>
                <w:sz w:val="20"/>
                <w:szCs w:val="20"/>
              </w:rPr>
              <w:t>0.9</w:t>
            </w:r>
          </w:p>
        </w:tc>
      </w:tr>
      <w:tr w:rsidR="006D6ED3" w:rsidRPr="009E7DD2" w14:paraId="4E29D296" w14:textId="77777777" w:rsidTr="00802FC4">
        <w:tc>
          <w:tcPr>
            <w:tcW w:w="5098" w:type="dxa"/>
            <w:shd w:val="clear" w:color="auto" w:fill="auto"/>
          </w:tcPr>
          <w:p w14:paraId="330E8133" w14:textId="77777777" w:rsidR="006D6ED3" w:rsidRPr="00AB2834" w:rsidRDefault="006D6ED3" w:rsidP="00802FC4">
            <w:pPr>
              <w:suppressAutoHyphens/>
              <w:rPr>
                <w:b/>
                <w:bCs/>
                <w:sz w:val="20"/>
                <w:szCs w:val="20"/>
              </w:rPr>
            </w:pPr>
            <w:r>
              <w:rPr>
                <w:b/>
                <w:bCs/>
                <w:sz w:val="20"/>
                <w:szCs w:val="20"/>
              </w:rPr>
              <w:t>Vascular disorders</w:t>
            </w:r>
          </w:p>
        </w:tc>
        <w:tc>
          <w:tcPr>
            <w:tcW w:w="2203" w:type="dxa"/>
            <w:shd w:val="clear" w:color="auto" w:fill="auto"/>
          </w:tcPr>
          <w:p w14:paraId="4E7F5C1D" w14:textId="77777777" w:rsidR="006D6ED3" w:rsidRDefault="006D6ED3" w:rsidP="00802FC4">
            <w:pPr>
              <w:suppressAutoHyphens/>
              <w:jc w:val="center"/>
              <w:rPr>
                <w:bCs/>
                <w:sz w:val="20"/>
                <w:szCs w:val="20"/>
              </w:rPr>
            </w:pPr>
          </w:p>
        </w:tc>
        <w:tc>
          <w:tcPr>
            <w:tcW w:w="2297" w:type="dxa"/>
            <w:shd w:val="clear" w:color="auto" w:fill="auto"/>
          </w:tcPr>
          <w:p w14:paraId="06FDB588" w14:textId="77777777" w:rsidR="006D6ED3" w:rsidRDefault="006D6ED3" w:rsidP="00802FC4">
            <w:pPr>
              <w:suppressAutoHyphens/>
              <w:jc w:val="center"/>
              <w:rPr>
                <w:bCs/>
                <w:sz w:val="20"/>
                <w:szCs w:val="20"/>
              </w:rPr>
            </w:pPr>
          </w:p>
        </w:tc>
      </w:tr>
      <w:tr w:rsidR="006D6ED3" w:rsidRPr="009E7DD2" w14:paraId="7F24D5F7" w14:textId="77777777" w:rsidTr="00802FC4">
        <w:tc>
          <w:tcPr>
            <w:tcW w:w="5098" w:type="dxa"/>
            <w:shd w:val="clear" w:color="auto" w:fill="auto"/>
          </w:tcPr>
          <w:p w14:paraId="35809677" w14:textId="77777777" w:rsidR="006D6ED3" w:rsidRPr="00170F52" w:rsidRDefault="006D6ED3" w:rsidP="00802FC4">
            <w:pPr>
              <w:suppressAutoHyphens/>
              <w:ind w:left="313"/>
              <w:rPr>
                <w:bCs/>
                <w:sz w:val="20"/>
                <w:szCs w:val="20"/>
              </w:rPr>
            </w:pPr>
            <w:r>
              <w:rPr>
                <w:bCs/>
                <w:sz w:val="20"/>
                <w:szCs w:val="20"/>
              </w:rPr>
              <w:t>Hypertension</w:t>
            </w:r>
          </w:p>
        </w:tc>
        <w:tc>
          <w:tcPr>
            <w:tcW w:w="2203" w:type="dxa"/>
            <w:shd w:val="clear" w:color="auto" w:fill="auto"/>
          </w:tcPr>
          <w:p w14:paraId="21192222" w14:textId="77777777" w:rsidR="006D6ED3" w:rsidRDefault="006D6ED3" w:rsidP="00802FC4">
            <w:pPr>
              <w:suppressAutoHyphens/>
              <w:jc w:val="center"/>
              <w:rPr>
                <w:bCs/>
                <w:sz w:val="20"/>
                <w:szCs w:val="20"/>
              </w:rPr>
            </w:pPr>
            <w:r>
              <w:rPr>
                <w:bCs/>
                <w:sz w:val="20"/>
                <w:szCs w:val="20"/>
              </w:rPr>
              <w:t>1.2</w:t>
            </w:r>
          </w:p>
        </w:tc>
        <w:tc>
          <w:tcPr>
            <w:tcW w:w="2297" w:type="dxa"/>
            <w:shd w:val="clear" w:color="auto" w:fill="auto"/>
          </w:tcPr>
          <w:p w14:paraId="5C3F3017" w14:textId="77777777" w:rsidR="006D6ED3" w:rsidRDefault="006D6ED3" w:rsidP="00802FC4">
            <w:pPr>
              <w:suppressAutoHyphens/>
              <w:jc w:val="center"/>
              <w:rPr>
                <w:bCs/>
                <w:sz w:val="20"/>
                <w:szCs w:val="20"/>
              </w:rPr>
            </w:pPr>
            <w:r>
              <w:rPr>
                <w:bCs/>
                <w:sz w:val="20"/>
                <w:szCs w:val="20"/>
              </w:rPr>
              <w:t>0.7</w:t>
            </w:r>
          </w:p>
        </w:tc>
      </w:tr>
      <w:tr w:rsidR="006D6ED3" w:rsidRPr="009E7DD2" w14:paraId="48F84C3C" w14:textId="77777777" w:rsidTr="00802FC4">
        <w:tc>
          <w:tcPr>
            <w:tcW w:w="5098" w:type="dxa"/>
            <w:shd w:val="clear" w:color="auto" w:fill="auto"/>
          </w:tcPr>
          <w:p w14:paraId="43316F59" w14:textId="77777777" w:rsidR="006D6ED3" w:rsidRPr="009E7DD2" w:rsidRDefault="006D6ED3" w:rsidP="00802FC4">
            <w:pPr>
              <w:suppressAutoHyphens/>
              <w:rPr>
                <w:b/>
                <w:bCs/>
                <w:sz w:val="20"/>
                <w:szCs w:val="20"/>
              </w:rPr>
            </w:pPr>
            <w:r>
              <w:rPr>
                <w:b/>
                <w:bCs/>
                <w:sz w:val="20"/>
                <w:szCs w:val="20"/>
              </w:rPr>
              <w:t>Injury, poisoning and procedural complications</w:t>
            </w:r>
          </w:p>
        </w:tc>
        <w:tc>
          <w:tcPr>
            <w:tcW w:w="2203" w:type="dxa"/>
            <w:shd w:val="clear" w:color="auto" w:fill="auto"/>
          </w:tcPr>
          <w:p w14:paraId="5A8984AB" w14:textId="77777777" w:rsidR="006D6ED3" w:rsidRPr="009E7DD2" w:rsidRDefault="006D6ED3" w:rsidP="00802FC4">
            <w:pPr>
              <w:suppressAutoHyphens/>
              <w:jc w:val="center"/>
              <w:rPr>
                <w:bCs/>
                <w:sz w:val="20"/>
                <w:szCs w:val="20"/>
              </w:rPr>
            </w:pPr>
          </w:p>
        </w:tc>
        <w:tc>
          <w:tcPr>
            <w:tcW w:w="2297" w:type="dxa"/>
            <w:shd w:val="clear" w:color="auto" w:fill="auto"/>
          </w:tcPr>
          <w:p w14:paraId="68B37E11" w14:textId="77777777" w:rsidR="006D6ED3" w:rsidRPr="009E7DD2" w:rsidRDefault="006D6ED3" w:rsidP="00802FC4">
            <w:pPr>
              <w:suppressAutoHyphens/>
              <w:jc w:val="center"/>
              <w:rPr>
                <w:bCs/>
                <w:sz w:val="20"/>
                <w:szCs w:val="20"/>
              </w:rPr>
            </w:pPr>
          </w:p>
        </w:tc>
      </w:tr>
      <w:tr w:rsidR="006D6ED3" w:rsidRPr="009E7DD2" w14:paraId="11527A95" w14:textId="77777777" w:rsidTr="00802FC4">
        <w:tc>
          <w:tcPr>
            <w:tcW w:w="5098" w:type="dxa"/>
            <w:shd w:val="clear" w:color="auto" w:fill="auto"/>
          </w:tcPr>
          <w:p w14:paraId="78916F83" w14:textId="77777777" w:rsidR="006D6ED3" w:rsidRPr="009E7DD2" w:rsidRDefault="006D6ED3" w:rsidP="00802FC4">
            <w:pPr>
              <w:suppressAutoHyphens/>
              <w:rPr>
                <w:b/>
                <w:bCs/>
                <w:sz w:val="20"/>
                <w:szCs w:val="20"/>
              </w:rPr>
            </w:pPr>
            <w:r w:rsidRPr="009E7DD2">
              <w:rPr>
                <w:b/>
                <w:bCs/>
                <w:sz w:val="20"/>
                <w:szCs w:val="20"/>
              </w:rPr>
              <w:t xml:space="preserve">     </w:t>
            </w:r>
            <w:r>
              <w:rPr>
                <w:bCs/>
                <w:sz w:val="20"/>
                <w:szCs w:val="20"/>
              </w:rPr>
              <w:t>Fall</w:t>
            </w:r>
          </w:p>
        </w:tc>
        <w:tc>
          <w:tcPr>
            <w:tcW w:w="2203" w:type="dxa"/>
            <w:shd w:val="clear" w:color="auto" w:fill="auto"/>
          </w:tcPr>
          <w:p w14:paraId="7E6FECFF" w14:textId="77777777" w:rsidR="006D6ED3" w:rsidRPr="009E7DD2" w:rsidRDefault="006D6ED3" w:rsidP="00802FC4">
            <w:pPr>
              <w:suppressAutoHyphens/>
              <w:jc w:val="center"/>
              <w:rPr>
                <w:bCs/>
                <w:sz w:val="20"/>
                <w:szCs w:val="20"/>
              </w:rPr>
            </w:pPr>
            <w:r>
              <w:rPr>
                <w:bCs/>
                <w:sz w:val="20"/>
                <w:szCs w:val="20"/>
              </w:rPr>
              <w:t>1.2</w:t>
            </w:r>
          </w:p>
        </w:tc>
        <w:tc>
          <w:tcPr>
            <w:tcW w:w="2297" w:type="dxa"/>
            <w:shd w:val="clear" w:color="auto" w:fill="auto"/>
          </w:tcPr>
          <w:p w14:paraId="26E3EEF2" w14:textId="77777777" w:rsidR="006D6ED3" w:rsidRPr="009E7DD2" w:rsidRDefault="006D6ED3" w:rsidP="00802FC4">
            <w:pPr>
              <w:suppressAutoHyphens/>
              <w:jc w:val="center"/>
              <w:rPr>
                <w:bCs/>
                <w:sz w:val="20"/>
                <w:szCs w:val="20"/>
              </w:rPr>
            </w:pPr>
            <w:r>
              <w:rPr>
                <w:bCs/>
                <w:sz w:val="20"/>
                <w:szCs w:val="20"/>
              </w:rPr>
              <w:t>0.7</w:t>
            </w:r>
          </w:p>
        </w:tc>
      </w:tr>
      <w:tr w:rsidR="006D6ED3" w:rsidRPr="009E7DD2" w14:paraId="3BB6EA48" w14:textId="77777777" w:rsidTr="00802FC4">
        <w:tc>
          <w:tcPr>
            <w:tcW w:w="5098" w:type="dxa"/>
            <w:shd w:val="clear" w:color="auto" w:fill="auto"/>
          </w:tcPr>
          <w:p w14:paraId="2435503E" w14:textId="77777777" w:rsidR="006D6ED3" w:rsidRPr="0000530A" w:rsidRDefault="006D6ED3" w:rsidP="00802FC4">
            <w:pPr>
              <w:suppressAutoHyphens/>
              <w:rPr>
                <w:b/>
                <w:bCs/>
                <w:sz w:val="20"/>
                <w:szCs w:val="20"/>
              </w:rPr>
            </w:pPr>
            <w:r w:rsidRPr="0000530A">
              <w:rPr>
                <w:b/>
                <w:bCs/>
                <w:sz w:val="20"/>
                <w:szCs w:val="20"/>
              </w:rPr>
              <w:t>Investigations</w:t>
            </w:r>
          </w:p>
        </w:tc>
        <w:tc>
          <w:tcPr>
            <w:tcW w:w="2203" w:type="dxa"/>
            <w:shd w:val="clear" w:color="auto" w:fill="auto"/>
          </w:tcPr>
          <w:p w14:paraId="2C541126" w14:textId="77777777" w:rsidR="006D6ED3" w:rsidRDefault="006D6ED3" w:rsidP="00802FC4">
            <w:pPr>
              <w:suppressAutoHyphens/>
              <w:jc w:val="center"/>
              <w:rPr>
                <w:bCs/>
                <w:sz w:val="20"/>
                <w:szCs w:val="20"/>
              </w:rPr>
            </w:pPr>
          </w:p>
        </w:tc>
        <w:tc>
          <w:tcPr>
            <w:tcW w:w="2297" w:type="dxa"/>
            <w:shd w:val="clear" w:color="auto" w:fill="auto"/>
          </w:tcPr>
          <w:p w14:paraId="3022A23E" w14:textId="77777777" w:rsidR="006D6ED3" w:rsidRDefault="006D6ED3" w:rsidP="00802FC4">
            <w:pPr>
              <w:suppressAutoHyphens/>
              <w:jc w:val="center"/>
              <w:rPr>
                <w:bCs/>
                <w:sz w:val="20"/>
                <w:szCs w:val="20"/>
              </w:rPr>
            </w:pPr>
          </w:p>
        </w:tc>
      </w:tr>
      <w:tr w:rsidR="006D6ED3" w:rsidRPr="009E7DD2" w14:paraId="42D2CCAE" w14:textId="77777777" w:rsidTr="00802FC4">
        <w:tc>
          <w:tcPr>
            <w:tcW w:w="5098" w:type="dxa"/>
            <w:shd w:val="clear" w:color="auto" w:fill="auto"/>
          </w:tcPr>
          <w:p w14:paraId="7346AA1D" w14:textId="77777777" w:rsidR="006D6ED3" w:rsidRPr="00170F52" w:rsidRDefault="006D6ED3" w:rsidP="00802FC4">
            <w:pPr>
              <w:suppressAutoHyphens/>
              <w:ind w:left="313"/>
              <w:rPr>
                <w:bCs/>
                <w:sz w:val="20"/>
                <w:szCs w:val="20"/>
              </w:rPr>
            </w:pPr>
            <w:r>
              <w:rPr>
                <w:bCs/>
                <w:sz w:val="20"/>
                <w:szCs w:val="20"/>
              </w:rPr>
              <w:t>Weight increased</w:t>
            </w:r>
          </w:p>
        </w:tc>
        <w:tc>
          <w:tcPr>
            <w:tcW w:w="2203" w:type="dxa"/>
            <w:shd w:val="clear" w:color="auto" w:fill="auto"/>
          </w:tcPr>
          <w:p w14:paraId="78F91231" w14:textId="77777777" w:rsidR="006D6ED3" w:rsidRDefault="006D6ED3" w:rsidP="00802FC4">
            <w:pPr>
              <w:suppressAutoHyphens/>
              <w:jc w:val="center"/>
              <w:rPr>
                <w:bCs/>
                <w:sz w:val="20"/>
                <w:szCs w:val="20"/>
              </w:rPr>
            </w:pPr>
            <w:r>
              <w:rPr>
                <w:bCs/>
                <w:sz w:val="20"/>
                <w:szCs w:val="20"/>
              </w:rPr>
              <w:t>1.2</w:t>
            </w:r>
          </w:p>
        </w:tc>
        <w:tc>
          <w:tcPr>
            <w:tcW w:w="2297" w:type="dxa"/>
            <w:shd w:val="clear" w:color="auto" w:fill="auto"/>
          </w:tcPr>
          <w:p w14:paraId="063BE527" w14:textId="77777777" w:rsidR="006D6ED3" w:rsidRDefault="006D6ED3" w:rsidP="00802FC4">
            <w:pPr>
              <w:suppressAutoHyphens/>
              <w:jc w:val="center"/>
              <w:rPr>
                <w:bCs/>
                <w:sz w:val="20"/>
                <w:szCs w:val="20"/>
              </w:rPr>
            </w:pPr>
            <w:r>
              <w:rPr>
                <w:bCs/>
                <w:sz w:val="20"/>
                <w:szCs w:val="20"/>
              </w:rPr>
              <w:t>0.6</w:t>
            </w:r>
          </w:p>
        </w:tc>
      </w:tr>
    </w:tbl>
    <w:p w14:paraId="2C02FBF0" w14:textId="7867344B" w:rsidR="006D6ED3" w:rsidRPr="006D6ED3" w:rsidRDefault="006D6ED3" w:rsidP="003A18A3">
      <w:pPr>
        <w:spacing w:after="0"/>
        <w:rPr>
          <w:bCs/>
          <w:iCs/>
          <w:sz w:val="20"/>
          <w:szCs w:val="20"/>
          <w:vertAlign w:val="superscript"/>
          <w:lang w:val="en-US"/>
        </w:rPr>
      </w:pPr>
      <w:r w:rsidRPr="006D6ED3">
        <w:rPr>
          <w:sz w:val="20"/>
          <w:szCs w:val="20"/>
          <w:vertAlign w:val="superscript"/>
        </w:rPr>
        <w:t>A</w:t>
      </w:r>
      <w:r w:rsidRPr="006D6ED3">
        <w:rPr>
          <w:b/>
          <w:sz w:val="20"/>
          <w:szCs w:val="20"/>
          <w:vertAlign w:val="superscript"/>
        </w:rPr>
        <w:t xml:space="preserve"> </w:t>
      </w:r>
      <w:r w:rsidRPr="006D6ED3">
        <w:rPr>
          <w:sz w:val="20"/>
          <w:szCs w:val="20"/>
        </w:rPr>
        <w:t xml:space="preserve">Hypoglycaemia (System Organ Class: Metabolism and nutrition disorders) was reported in </w:t>
      </w:r>
      <w:proofErr w:type="spellStart"/>
      <w:r w:rsidRPr="006D6ED3">
        <w:rPr>
          <w:sz w:val="20"/>
          <w:szCs w:val="20"/>
        </w:rPr>
        <w:t>Fiasp</w:t>
      </w:r>
      <w:proofErr w:type="spellEnd"/>
      <w:r w:rsidRPr="006D6ED3">
        <w:rPr>
          <w:sz w:val="20"/>
          <w:szCs w:val="20"/>
        </w:rPr>
        <w:t xml:space="preserve"> and comparator groups with a frequency of ‘very common’ (≥1/10)</w:t>
      </w:r>
    </w:p>
    <w:p w14:paraId="09880008" w14:textId="4E30C33F" w:rsidR="006D6ED3" w:rsidRPr="006D6ED3" w:rsidRDefault="006D6ED3" w:rsidP="003A18A3">
      <w:pPr>
        <w:spacing w:after="0"/>
        <w:rPr>
          <w:b/>
        </w:rPr>
      </w:pPr>
      <w:r w:rsidRPr="006D6ED3">
        <w:rPr>
          <w:bCs/>
          <w:iCs/>
          <w:sz w:val="20"/>
          <w:szCs w:val="20"/>
          <w:vertAlign w:val="superscript"/>
          <w:lang w:val="en-US"/>
        </w:rPr>
        <w:t>B</w:t>
      </w:r>
      <w:r w:rsidRPr="006D6ED3">
        <w:rPr>
          <w:bCs/>
          <w:iCs/>
          <w:sz w:val="20"/>
          <w:szCs w:val="20"/>
          <w:lang w:val="en-US"/>
        </w:rPr>
        <w:t xml:space="preserve"> </w:t>
      </w:r>
      <w:proofErr w:type="spellStart"/>
      <w:r w:rsidRPr="006D6ED3">
        <w:rPr>
          <w:bCs/>
          <w:iCs/>
          <w:sz w:val="20"/>
          <w:szCs w:val="20"/>
          <w:lang w:val="en-US"/>
        </w:rPr>
        <w:t>NovoRapid</w:t>
      </w:r>
      <w:proofErr w:type="spellEnd"/>
      <w:r w:rsidRPr="006D6ED3">
        <w:rPr>
          <w:bCs/>
          <w:iCs/>
          <w:sz w:val="20"/>
          <w:szCs w:val="20"/>
          <w:lang w:val="en-US"/>
        </w:rPr>
        <w:t xml:space="preserve"> or basal insulin (insulin glargine, insulin detemir or NPH)</w:t>
      </w:r>
    </w:p>
    <w:p w14:paraId="4175DE37" w14:textId="77777777" w:rsidR="006D6ED3" w:rsidRDefault="00530450" w:rsidP="00530450">
      <w:pPr>
        <w:pStyle w:val="Heading4"/>
      </w:pPr>
      <w:r>
        <w:t>Tabulated list of adverse reactions</w:t>
      </w:r>
    </w:p>
    <w:p w14:paraId="61DABD5E" w14:textId="77777777" w:rsidR="00530450" w:rsidRPr="00530450" w:rsidRDefault="00530450" w:rsidP="00530450">
      <w:pPr>
        <w:rPr>
          <w:b/>
        </w:rPr>
      </w:pPr>
      <w:r w:rsidRPr="00530450">
        <w:rPr>
          <w:lang w:val="en-GB"/>
        </w:rPr>
        <w:t>Adverse reactions (ADRs) listed in below are considered expected with the medicinal product.</w:t>
      </w:r>
    </w:p>
    <w:p w14:paraId="4CBF256A" w14:textId="77777777" w:rsidR="00530450" w:rsidRPr="00530450" w:rsidRDefault="00530450" w:rsidP="00530450">
      <w:pPr>
        <w:rPr>
          <w:b/>
        </w:rPr>
      </w:pPr>
      <w:r w:rsidRPr="00530450">
        <w:rPr>
          <w:b/>
          <w:i/>
        </w:rPr>
        <w:t>Less common ADRs from clinical trials (&lt;1%)</w:t>
      </w:r>
    </w:p>
    <w:p w14:paraId="5C0B1F7C" w14:textId="77777777" w:rsidR="00530450" w:rsidRPr="00530450" w:rsidRDefault="00530450" w:rsidP="00530450">
      <w:r w:rsidRPr="00530450">
        <w:t>Adverse reactions are listed by system organ class using the frequency category ‘uncommon’ (≥1/1,000 to &lt;1/100).</w:t>
      </w:r>
    </w:p>
    <w:p w14:paraId="3C9A56FB" w14:textId="77777777" w:rsidR="00530450" w:rsidRPr="00530450" w:rsidRDefault="00530450" w:rsidP="00530450">
      <w:r w:rsidRPr="00530450">
        <w:rPr>
          <w:i/>
        </w:rPr>
        <w:t>Immune system disorders</w:t>
      </w:r>
      <w:r w:rsidRPr="00530450">
        <w:t>: Uncommon – hypersensitivity</w:t>
      </w:r>
    </w:p>
    <w:p w14:paraId="0807B0D5" w14:textId="77777777" w:rsidR="0082043A" w:rsidRDefault="00530450" w:rsidP="00530450">
      <w:r w:rsidRPr="00530450">
        <w:rPr>
          <w:i/>
        </w:rPr>
        <w:t>Skin and subcutaneous tissue disorders</w:t>
      </w:r>
      <w:r w:rsidRPr="00530450">
        <w:t>: Uncommon – lipodystrophy</w:t>
      </w:r>
    </w:p>
    <w:p w14:paraId="2A178018" w14:textId="65183796" w:rsidR="0082043A" w:rsidRPr="0082043A" w:rsidRDefault="0082043A" w:rsidP="0082043A">
      <w:pPr>
        <w:pStyle w:val="Heading4"/>
        <w:rPr>
          <w:lang w:val="en-GB"/>
        </w:rPr>
      </w:pPr>
      <w:r w:rsidRPr="0082043A">
        <w:rPr>
          <w:lang w:val="en-GB"/>
        </w:rPr>
        <w:t>A</w:t>
      </w:r>
      <w:r w:rsidR="003A18A3">
        <w:rPr>
          <w:lang w:val="en-GB"/>
        </w:rPr>
        <w:t>DRs from post-marketing sources</w:t>
      </w:r>
    </w:p>
    <w:p w14:paraId="6299F2B5" w14:textId="7F305F9B" w:rsidR="0082043A" w:rsidRPr="0082043A" w:rsidRDefault="0082043A" w:rsidP="0082043A">
      <w:r w:rsidRPr="0082043A">
        <w:rPr>
          <w:lang w:val="en-GB"/>
        </w:rPr>
        <w:t xml:space="preserve">No additional types of adverse reactions </w:t>
      </w:r>
      <w:proofErr w:type="gramStart"/>
      <w:r w:rsidRPr="0082043A">
        <w:rPr>
          <w:lang w:val="en-GB"/>
        </w:rPr>
        <w:t>have been identi</w:t>
      </w:r>
      <w:r w:rsidR="003A18A3">
        <w:rPr>
          <w:lang w:val="en-GB"/>
        </w:rPr>
        <w:t>fied</w:t>
      </w:r>
      <w:proofErr w:type="gramEnd"/>
      <w:r w:rsidR="003A18A3">
        <w:rPr>
          <w:lang w:val="en-GB"/>
        </w:rPr>
        <w:t xml:space="preserve"> during post-marketing use.</w:t>
      </w:r>
    </w:p>
    <w:p w14:paraId="4700E95D" w14:textId="77777777" w:rsidR="00530450" w:rsidRPr="00530450" w:rsidRDefault="00530450" w:rsidP="00530450">
      <w:pPr>
        <w:pStyle w:val="Heading4"/>
        <w:rPr>
          <w:lang w:val="en-GB"/>
        </w:rPr>
      </w:pPr>
      <w:r w:rsidRPr="00530450">
        <w:t>Description of selected ADRs</w:t>
      </w:r>
    </w:p>
    <w:p w14:paraId="31326F35" w14:textId="77777777" w:rsidR="004D0F6F" w:rsidRDefault="00530450" w:rsidP="004D0F6F">
      <w:pPr>
        <w:pStyle w:val="Heading5"/>
        <w:rPr>
          <w:rStyle w:val="Heading6Char"/>
        </w:rPr>
      </w:pPr>
      <w:r w:rsidRPr="00530450">
        <w:rPr>
          <w:rStyle w:val="Heading6Char"/>
        </w:rPr>
        <w:t>Allergic reactions</w:t>
      </w:r>
    </w:p>
    <w:p w14:paraId="090565F0" w14:textId="76E1195F" w:rsidR="00530450" w:rsidRPr="00530450" w:rsidRDefault="00530450" w:rsidP="00530450">
      <w:pPr>
        <w:rPr>
          <w:lang w:val="en-GB"/>
        </w:rPr>
      </w:pPr>
      <w:r w:rsidRPr="00530450">
        <w:rPr>
          <w:lang w:val="en-GB"/>
        </w:rPr>
        <w:t xml:space="preserve">Allergic skin manifestations reported with </w:t>
      </w:r>
      <w:proofErr w:type="spellStart"/>
      <w:r w:rsidRPr="00530450">
        <w:rPr>
          <w:bCs/>
          <w:lang w:val="en-GB"/>
        </w:rPr>
        <w:t>Fiasp</w:t>
      </w:r>
      <w:proofErr w:type="spellEnd"/>
      <w:r w:rsidRPr="00530450">
        <w:rPr>
          <w:lang w:val="en-GB"/>
        </w:rPr>
        <w:t xml:space="preserve"> (1.</w:t>
      </w:r>
      <w:r w:rsidR="0034168D">
        <w:rPr>
          <w:lang w:val="en-GB"/>
        </w:rPr>
        <w:t>8</w:t>
      </w:r>
      <w:r w:rsidRPr="00530450">
        <w:rPr>
          <w:lang w:val="en-GB"/>
        </w:rPr>
        <w:t>% vs. 1.</w:t>
      </w:r>
      <w:r w:rsidR="0034168D">
        <w:rPr>
          <w:lang w:val="en-GB"/>
        </w:rPr>
        <w:t>5</w:t>
      </w:r>
      <w:r w:rsidRPr="00530450">
        <w:rPr>
          <w:lang w:val="en-GB"/>
        </w:rPr>
        <w:t>% for comparator) include eczema, rash, rash pruritic, urticaria and dermatitis.</w:t>
      </w:r>
    </w:p>
    <w:p w14:paraId="1F3C8D2F" w14:textId="7F82C62B" w:rsidR="00530450" w:rsidRDefault="00530450" w:rsidP="0034168D">
      <w:pPr>
        <w:rPr>
          <w:lang w:val="en-GB"/>
        </w:rPr>
      </w:pPr>
      <w:r w:rsidRPr="00530450">
        <w:rPr>
          <w:lang w:val="en-GB"/>
        </w:rPr>
        <w:t xml:space="preserve">With </w:t>
      </w:r>
      <w:proofErr w:type="spellStart"/>
      <w:r w:rsidRPr="00530450">
        <w:rPr>
          <w:bCs/>
          <w:lang w:val="en-GB"/>
        </w:rPr>
        <w:t>Fiasp</w:t>
      </w:r>
      <w:proofErr w:type="spellEnd"/>
      <w:r w:rsidRPr="00530450">
        <w:rPr>
          <w:lang w:val="en-GB"/>
        </w:rPr>
        <w:t xml:space="preserve"> generalised hypersensitivity reactions (manifested by generalised skin rash and facial oedema) </w:t>
      </w:r>
      <w:proofErr w:type="gramStart"/>
      <w:r w:rsidRPr="00530450">
        <w:rPr>
          <w:lang w:val="en-GB"/>
        </w:rPr>
        <w:t>was reported</w:t>
      </w:r>
      <w:proofErr w:type="gramEnd"/>
      <w:r w:rsidRPr="00530450">
        <w:rPr>
          <w:lang w:val="en-GB"/>
        </w:rPr>
        <w:t xml:space="preserve"> uncommonly (0.2% vs. 0.</w:t>
      </w:r>
      <w:r w:rsidR="0034168D">
        <w:rPr>
          <w:lang w:val="en-GB"/>
        </w:rPr>
        <w:t>3</w:t>
      </w:r>
      <w:r w:rsidRPr="00530450">
        <w:rPr>
          <w:lang w:val="en-GB"/>
        </w:rPr>
        <w:t xml:space="preserve">% for comparator). </w:t>
      </w:r>
      <w:r w:rsidR="0034168D" w:rsidRPr="0034168D">
        <w:rPr>
          <w:lang w:val="en-GB"/>
        </w:rPr>
        <w:t>Based on post-</w:t>
      </w:r>
      <w:r w:rsidR="0034168D" w:rsidRPr="0034168D">
        <w:rPr>
          <w:lang w:val="en-GB"/>
        </w:rPr>
        <w:lastRenderedPageBreak/>
        <w:t>marketing data,</w:t>
      </w:r>
      <w:r w:rsidR="0034168D">
        <w:rPr>
          <w:lang w:val="en-GB"/>
        </w:rPr>
        <w:t xml:space="preserve"> </w:t>
      </w:r>
      <w:r w:rsidR="0034168D" w:rsidRPr="0034168D">
        <w:rPr>
          <w:lang w:val="en-GB"/>
        </w:rPr>
        <w:t>serious forms of systemic allergic</w:t>
      </w:r>
      <w:r w:rsidR="0034168D">
        <w:rPr>
          <w:lang w:val="en-GB"/>
        </w:rPr>
        <w:t xml:space="preserve"> </w:t>
      </w:r>
      <w:r w:rsidR="0034168D" w:rsidRPr="0034168D">
        <w:rPr>
          <w:lang w:val="en-GB"/>
        </w:rPr>
        <w:t>reactions may occur</w:t>
      </w:r>
      <w:r w:rsidRPr="00530450">
        <w:rPr>
          <w:lang w:val="en-GB"/>
        </w:rPr>
        <w:t>. Immediate-type allergic reactions to either insulin itself or the excipients may potentially be life-threatening.</w:t>
      </w:r>
    </w:p>
    <w:p w14:paraId="2860D6AF" w14:textId="77777777" w:rsidR="004D0F6F" w:rsidRDefault="00530450" w:rsidP="004D0F6F">
      <w:pPr>
        <w:pStyle w:val="Heading5"/>
        <w:rPr>
          <w:rStyle w:val="Heading6Char"/>
        </w:rPr>
      </w:pPr>
      <w:r w:rsidRPr="00530450">
        <w:rPr>
          <w:rStyle w:val="Heading6Char"/>
        </w:rPr>
        <w:t>Hypoglycaemia</w:t>
      </w:r>
    </w:p>
    <w:p w14:paraId="50646885" w14:textId="2618B52B" w:rsidR="00530450" w:rsidRPr="00530450" w:rsidRDefault="00530450" w:rsidP="00530450">
      <w:pPr>
        <w:rPr>
          <w:b/>
        </w:rPr>
      </w:pPr>
      <w:r w:rsidRPr="00530450">
        <w:rPr>
          <w:bCs/>
          <w:lang w:val="en-GB"/>
        </w:rPr>
        <w:t>Hypoglycaemia may occur if the insulin dose is too high in relation to the insulin requirement. Severe hypoglycaemia may lead to unconsciousness and/or convulsions and may result in temporary or permanent impairment of brain function or even death. The symptoms of hypoglycaemia usually occur suddenly. They may include cold sweats, cool pale skin, fatigue, nervousness or tremor, anxiousness, unusual tiredness or weakness, confusion, difficulty in concentrating, drowsiness, excessive hunger, vision changes, headache, nausea and palpitation.</w:t>
      </w:r>
    </w:p>
    <w:p w14:paraId="7C504A51" w14:textId="77777777" w:rsidR="004D0F6F" w:rsidRDefault="00530450" w:rsidP="004D0F6F">
      <w:pPr>
        <w:pStyle w:val="Heading5"/>
        <w:rPr>
          <w:rStyle w:val="Heading6Char"/>
        </w:rPr>
      </w:pPr>
      <w:r w:rsidRPr="00530450">
        <w:rPr>
          <w:rStyle w:val="Heading6Char"/>
        </w:rPr>
        <w:t>Lipodystrophy</w:t>
      </w:r>
    </w:p>
    <w:p w14:paraId="2AF8A3D3" w14:textId="15A0F2E0" w:rsidR="00530450" w:rsidRPr="00530450" w:rsidRDefault="00530450" w:rsidP="00530450">
      <w:pPr>
        <w:rPr>
          <w:b/>
        </w:rPr>
      </w:pPr>
      <w:r w:rsidRPr="00530450">
        <w:rPr>
          <w:bCs/>
          <w:lang w:val="en-GB"/>
        </w:rPr>
        <w:t xml:space="preserve">Lipodystrophy (including </w:t>
      </w:r>
      <w:proofErr w:type="spellStart"/>
      <w:r w:rsidRPr="00530450">
        <w:rPr>
          <w:bCs/>
          <w:lang w:val="en-GB"/>
        </w:rPr>
        <w:t>lipohypertrophy</w:t>
      </w:r>
      <w:proofErr w:type="spellEnd"/>
      <w:r w:rsidRPr="00530450">
        <w:rPr>
          <w:bCs/>
          <w:lang w:val="en-GB"/>
        </w:rPr>
        <w:t xml:space="preserve">, lipoatrophy) </w:t>
      </w:r>
      <w:proofErr w:type="gramStart"/>
      <w:r w:rsidRPr="00530450">
        <w:rPr>
          <w:bCs/>
          <w:lang w:val="en-GB"/>
        </w:rPr>
        <w:t>was reported</w:t>
      </w:r>
      <w:proofErr w:type="gramEnd"/>
      <w:r w:rsidRPr="00530450">
        <w:rPr>
          <w:bCs/>
          <w:lang w:val="en-GB"/>
        </w:rPr>
        <w:t xml:space="preserve"> at the injection/infusion site in patients treated with </w:t>
      </w:r>
      <w:proofErr w:type="spellStart"/>
      <w:r w:rsidRPr="00530450">
        <w:rPr>
          <w:bCs/>
          <w:lang w:val="en-GB"/>
        </w:rPr>
        <w:t>Fiasp</w:t>
      </w:r>
      <w:proofErr w:type="spellEnd"/>
      <w:r w:rsidRPr="00530450">
        <w:rPr>
          <w:bCs/>
          <w:lang w:val="en-GB"/>
        </w:rPr>
        <w:t xml:space="preserve"> (0.</w:t>
      </w:r>
      <w:r w:rsidR="0034168D">
        <w:rPr>
          <w:bCs/>
          <w:lang w:val="en-GB"/>
        </w:rPr>
        <w:t>5</w:t>
      </w:r>
      <w:r w:rsidRPr="00530450">
        <w:rPr>
          <w:bCs/>
          <w:lang w:val="en-GB"/>
        </w:rPr>
        <w:t>% vs. 0</w:t>
      </w:r>
      <w:r w:rsidR="0034168D">
        <w:rPr>
          <w:bCs/>
          <w:lang w:val="en-GB"/>
        </w:rPr>
        <w:t>.2</w:t>
      </w:r>
      <w:r w:rsidRPr="00530450">
        <w:rPr>
          <w:bCs/>
          <w:lang w:val="en-GB"/>
        </w:rPr>
        <w:t>% in comparator). Continuous rotation of the injection site within the particular injection area may help to reduce the risk of developing th</w:t>
      </w:r>
      <w:r w:rsidR="004D0F6F">
        <w:rPr>
          <w:bCs/>
          <w:lang w:val="en-GB"/>
        </w:rPr>
        <w:t>ese reactions.</w:t>
      </w:r>
    </w:p>
    <w:p w14:paraId="7D960447" w14:textId="77777777" w:rsidR="004D0F6F" w:rsidRDefault="00530450" w:rsidP="004D0F6F">
      <w:pPr>
        <w:pStyle w:val="Heading5"/>
        <w:rPr>
          <w:rStyle w:val="Heading6Char"/>
        </w:rPr>
      </w:pPr>
      <w:r w:rsidRPr="00530450">
        <w:rPr>
          <w:rStyle w:val="Heading6Char"/>
        </w:rPr>
        <w:t>Injection/infusion site reactions</w:t>
      </w:r>
    </w:p>
    <w:p w14:paraId="7EA086B3" w14:textId="4ACFB95E" w:rsidR="0034168D" w:rsidRPr="0034168D" w:rsidRDefault="00530450" w:rsidP="0034168D">
      <w:pPr>
        <w:rPr>
          <w:bCs/>
          <w:lang w:val="en-GB"/>
        </w:rPr>
      </w:pPr>
      <w:r w:rsidRPr="00530450">
        <w:rPr>
          <w:bCs/>
          <w:lang w:val="en-US"/>
        </w:rPr>
        <w:t xml:space="preserve">As with any insulin therapy, </w:t>
      </w:r>
      <w:r w:rsidRPr="00530450">
        <w:rPr>
          <w:bCs/>
          <w:lang w:val="en-GB"/>
        </w:rPr>
        <w:t xml:space="preserve">injection site reactions (including rash, redness, inflammation, </w:t>
      </w:r>
      <w:r w:rsidR="0034168D">
        <w:rPr>
          <w:bCs/>
          <w:lang w:val="en-GB"/>
        </w:rPr>
        <w:t xml:space="preserve">pain and </w:t>
      </w:r>
      <w:r w:rsidRPr="00530450">
        <w:rPr>
          <w:bCs/>
          <w:lang w:val="en-GB"/>
        </w:rPr>
        <w:t xml:space="preserve">bruising) were reported in patients treated with </w:t>
      </w:r>
      <w:proofErr w:type="spellStart"/>
      <w:r w:rsidRPr="00530450">
        <w:rPr>
          <w:bCs/>
          <w:lang w:val="en-GB"/>
        </w:rPr>
        <w:t>Fiasp</w:t>
      </w:r>
      <w:proofErr w:type="spellEnd"/>
      <w:r w:rsidRPr="00530450">
        <w:rPr>
          <w:bCs/>
          <w:lang w:val="en-GB"/>
        </w:rPr>
        <w:t xml:space="preserve"> (1.</w:t>
      </w:r>
      <w:r w:rsidR="0034168D">
        <w:rPr>
          <w:bCs/>
          <w:lang w:val="en-GB"/>
        </w:rPr>
        <w:t>3</w:t>
      </w:r>
      <w:r w:rsidRPr="00530450">
        <w:rPr>
          <w:bCs/>
          <w:lang w:val="en-GB"/>
        </w:rPr>
        <w:t xml:space="preserve">% vs. </w:t>
      </w:r>
      <w:r w:rsidR="0034168D">
        <w:rPr>
          <w:bCs/>
          <w:lang w:val="en-GB"/>
        </w:rPr>
        <w:t>1.0</w:t>
      </w:r>
      <w:r w:rsidRPr="00530450">
        <w:rPr>
          <w:bCs/>
          <w:lang w:val="en-GB"/>
        </w:rPr>
        <w:t xml:space="preserve">% in comparator). </w:t>
      </w:r>
      <w:r w:rsidR="0034168D" w:rsidRPr="0034168D">
        <w:rPr>
          <w:bCs/>
          <w:lang w:val="en-GB"/>
        </w:rPr>
        <w:t>Infusion site</w:t>
      </w:r>
      <w:r w:rsidR="0034168D">
        <w:rPr>
          <w:bCs/>
          <w:lang w:val="en-GB"/>
        </w:rPr>
        <w:t xml:space="preserve"> </w:t>
      </w:r>
      <w:r w:rsidR="0034168D" w:rsidRPr="0034168D">
        <w:rPr>
          <w:bCs/>
          <w:lang w:val="en-GB"/>
        </w:rPr>
        <w:t>reactions (including redness,</w:t>
      </w:r>
      <w:r w:rsidR="0034168D">
        <w:rPr>
          <w:bCs/>
          <w:lang w:val="en-GB"/>
        </w:rPr>
        <w:t xml:space="preserve"> </w:t>
      </w:r>
      <w:r w:rsidR="0034168D" w:rsidRPr="0034168D">
        <w:rPr>
          <w:bCs/>
          <w:lang w:val="en-GB"/>
        </w:rPr>
        <w:t>inflammation, irritation, pain,</w:t>
      </w:r>
      <w:r w:rsidR="0034168D">
        <w:rPr>
          <w:bCs/>
          <w:lang w:val="en-GB"/>
        </w:rPr>
        <w:t xml:space="preserve"> </w:t>
      </w:r>
      <w:r w:rsidR="0034168D" w:rsidRPr="0034168D">
        <w:rPr>
          <w:bCs/>
          <w:lang w:val="en-GB"/>
        </w:rPr>
        <w:t xml:space="preserve">bruising, and itching) </w:t>
      </w:r>
      <w:proofErr w:type="gramStart"/>
      <w:r w:rsidR="0034168D" w:rsidRPr="0034168D">
        <w:rPr>
          <w:bCs/>
          <w:lang w:val="en-GB"/>
        </w:rPr>
        <w:t>were reported</w:t>
      </w:r>
      <w:proofErr w:type="gramEnd"/>
      <w:r w:rsidR="0034168D">
        <w:rPr>
          <w:bCs/>
          <w:lang w:val="en-GB"/>
        </w:rPr>
        <w:t xml:space="preserve"> </w:t>
      </w:r>
      <w:r w:rsidR="0034168D" w:rsidRPr="0034168D">
        <w:rPr>
          <w:bCs/>
          <w:lang w:val="en-GB"/>
        </w:rPr>
        <w:t xml:space="preserve">in patients treated with </w:t>
      </w:r>
      <w:proofErr w:type="spellStart"/>
      <w:r w:rsidR="0034168D" w:rsidRPr="0034168D">
        <w:rPr>
          <w:bCs/>
          <w:lang w:val="en-GB"/>
        </w:rPr>
        <w:t>Fiasp</w:t>
      </w:r>
      <w:proofErr w:type="spellEnd"/>
      <w:r w:rsidR="004D0F6F">
        <w:rPr>
          <w:bCs/>
          <w:lang w:val="en-GB"/>
        </w:rPr>
        <w:t>.</w:t>
      </w:r>
    </w:p>
    <w:p w14:paraId="6F5C8905" w14:textId="77777777" w:rsidR="00530450" w:rsidRPr="00530450" w:rsidRDefault="0034168D" w:rsidP="0034168D">
      <w:pPr>
        <w:rPr>
          <w:b/>
        </w:rPr>
      </w:pPr>
      <w:r w:rsidRPr="0034168D">
        <w:rPr>
          <w:bCs/>
          <w:lang w:val="en-GB"/>
        </w:rPr>
        <w:t>(10.0% vs. 8.3% in comparator).</w:t>
      </w:r>
      <w:r w:rsidR="00530450" w:rsidRPr="00530450">
        <w:rPr>
          <w:bCs/>
          <w:lang w:val="en-GB"/>
        </w:rPr>
        <w:t>These reactions are usually mild and transient and they normally disappear during continued treatment.</w:t>
      </w:r>
    </w:p>
    <w:p w14:paraId="4C0178BB" w14:textId="646F51EA" w:rsidR="00530450" w:rsidRPr="009178CA" w:rsidRDefault="00530450" w:rsidP="004D0F6F">
      <w:pPr>
        <w:pStyle w:val="Heading5"/>
      </w:pPr>
      <w:r w:rsidRPr="009178CA">
        <w:t>Paediatric population</w:t>
      </w:r>
    </w:p>
    <w:p w14:paraId="047DB379" w14:textId="318D34FA" w:rsidR="00F55ADB" w:rsidRDefault="00530450" w:rsidP="00FC0735">
      <w:pPr>
        <w:rPr>
          <w:lang w:val="en-GB"/>
        </w:rPr>
      </w:pPr>
      <w:proofErr w:type="spellStart"/>
      <w:r w:rsidRPr="00530450">
        <w:rPr>
          <w:bCs/>
          <w:lang w:val="en-GB"/>
        </w:rPr>
        <w:t>Fiasp</w:t>
      </w:r>
      <w:proofErr w:type="spellEnd"/>
      <w:r w:rsidRPr="00530450">
        <w:rPr>
          <w:lang w:val="en-GB"/>
        </w:rPr>
        <w:t xml:space="preserve"> has been administered to children and adolescents from 6 years up to 18 years of age for the investigation of pharmacokinetic properties (see </w:t>
      </w:r>
      <w:r w:rsidR="00CC20EA" w:rsidRPr="00E711B2">
        <w:rPr>
          <w:lang w:val="en-GB"/>
        </w:rPr>
        <w:t xml:space="preserve">section 5 </w:t>
      </w:r>
      <w:r w:rsidRPr="00E711B2">
        <w:rPr>
          <w:lang w:val="en-GB"/>
        </w:rPr>
        <w:t>Pharmacolog</w:t>
      </w:r>
      <w:r w:rsidR="00CC20EA" w:rsidRPr="00E711B2">
        <w:rPr>
          <w:lang w:val="en-GB"/>
        </w:rPr>
        <w:t>ical Properties</w:t>
      </w:r>
      <w:r w:rsidRPr="00E711B2">
        <w:rPr>
          <w:lang w:val="en-GB"/>
        </w:rPr>
        <w:t xml:space="preserve">). </w:t>
      </w:r>
      <w:r w:rsidR="0034168D" w:rsidRPr="00E711B2">
        <w:rPr>
          <w:lang w:val="en-GB"/>
        </w:rPr>
        <w:t xml:space="preserve">Safety and efficacy have been investigated in a therapeutic confirmatory trial in children with type 1 diabetes mellitus aged </w:t>
      </w:r>
      <w:r w:rsidR="00F55ADB" w:rsidRPr="00E711B2">
        <w:rPr>
          <w:lang w:val="en-GB"/>
        </w:rPr>
        <w:t xml:space="preserve">2 </w:t>
      </w:r>
      <w:r w:rsidR="0034168D" w:rsidRPr="00E711B2">
        <w:rPr>
          <w:lang w:val="en-GB"/>
        </w:rPr>
        <w:t>to less than 18 years. In the</w:t>
      </w:r>
      <w:r w:rsidR="0034168D" w:rsidRPr="0034168D">
        <w:rPr>
          <w:lang w:val="en-GB"/>
        </w:rPr>
        <w:t xml:space="preserve"> trial, 519</w:t>
      </w:r>
      <w:r w:rsidR="0034168D">
        <w:rPr>
          <w:lang w:val="en-GB"/>
        </w:rPr>
        <w:t xml:space="preserve"> </w:t>
      </w:r>
      <w:r w:rsidR="0034168D" w:rsidRPr="0034168D">
        <w:rPr>
          <w:lang w:val="en-GB"/>
        </w:rPr>
        <w:t xml:space="preserve">patients were </w:t>
      </w:r>
      <w:r w:rsidR="0034168D">
        <w:rPr>
          <w:lang w:val="en-GB"/>
        </w:rPr>
        <w:t xml:space="preserve">treated with </w:t>
      </w:r>
      <w:proofErr w:type="spellStart"/>
      <w:r w:rsidR="0034168D">
        <w:rPr>
          <w:lang w:val="en-GB"/>
        </w:rPr>
        <w:t>Fiasp</w:t>
      </w:r>
      <w:proofErr w:type="spellEnd"/>
      <w:r w:rsidR="0034168D" w:rsidRPr="0034168D">
        <w:rPr>
          <w:lang w:val="en-GB"/>
        </w:rPr>
        <w:t>.</w:t>
      </w:r>
      <w:r w:rsidR="0034168D">
        <w:rPr>
          <w:lang w:val="en-GB"/>
        </w:rPr>
        <w:t xml:space="preserve"> </w:t>
      </w:r>
      <w:r w:rsidR="0034168D" w:rsidRPr="0034168D">
        <w:rPr>
          <w:lang w:val="en-GB"/>
        </w:rPr>
        <w:t>Overall the frequency, type and</w:t>
      </w:r>
      <w:r w:rsidR="0034168D">
        <w:rPr>
          <w:lang w:val="en-GB"/>
        </w:rPr>
        <w:t xml:space="preserve"> </w:t>
      </w:r>
      <w:r w:rsidR="0034168D" w:rsidRPr="0034168D">
        <w:rPr>
          <w:lang w:val="en-GB"/>
        </w:rPr>
        <w:t>severity of adverse reactions in the</w:t>
      </w:r>
      <w:r w:rsidR="0034168D">
        <w:rPr>
          <w:lang w:val="en-GB"/>
        </w:rPr>
        <w:t xml:space="preserve"> </w:t>
      </w:r>
      <w:r w:rsidR="0034168D" w:rsidRPr="0034168D">
        <w:rPr>
          <w:lang w:val="en-GB"/>
        </w:rPr>
        <w:t>paediatric population do not</w:t>
      </w:r>
      <w:r w:rsidR="0034168D">
        <w:rPr>
          <w:lang w:val="en-GB"/>
        </w:rPr>
        <w:t xml:space="preserve"> </w:t>
      </w:r>
      <w:r w:rsidR="0034168D" w:rsidRPr="0034168D">
        <w:rPr>
          <w:lang w:val="en-GB"/>
        </w:rPr>
        <w:t>indicate differences to the</w:t>
      </w:r>
      <w:r w:rsidR="0034168D">
        <w:rPr>
          <w:lang w:val="en-GB"/>
        </w:rPr>
        <w:t xml:space="preserve"> </w:t>
      </w:r>
      <w:r w:rsidR="0034168D" w:rsidRPr="0034168D">
        <w:rPr>
          <w:lang w:val="en-GB"/>
        </w:rPr>
        <w:t>experience in the adult population</w:t>
      </w:r>
    </w:p>
    <w:p w14:paraId="54DCB89A" w14:textId="1F14731E" w:rsidR="00530450" w:rsidRDefault="0034168D" w:rsidP="0034168D">
      <w:pPr>
        <w:rPr>
          <w:lang w:val="en-GB"/>
        </w:rPr>
      </w:pPr>
      <w:r w:rsidRPr="0034168D">
        <w:rPr>
          <w:lang w:val="en-GB"/>
        </w:rPr>
        <w:t>Lipodystrophy (including</w:t>
      </w:r>
      <w:r>
        <w:rPr>
          <w:lang w:val="en-GB"/>
        </w:rPr>
        <w:t xml:space="preserve"> </w:t>
      </w:r>
      <w:proofErr w:type="spellStart"/>
      <w:r w:rsidRPr="0034168D">
        <w:rPr>
          <w:lang w:val="en-GB"/>
        </w:rPr>
        <w:t>lipohypertrophy</w:t>
      </w:r>
      <w:proofErr w:type="spellEnd"/>
      <w:r w:rsidRPr="0034168D">
        <w:rPr>
          <w:lang w:val="en-GB"/>
        </w:rPr>
        <w:t>, lipoatrophy) at the</w:t>
      </w:r>
      <w:r>
        <w:rPr>
          <w:lang w:val="en-GB"/>
        </w:rPr>
        <w:t xml:space="preserve"> </w:t>
      </w:r>
      <w:r w:rsidRPr="0034168D">
        <w:rPr>
          <w:lang w:val="en-GB"/>
        </w:rPr>
        <w:t>injection site was reported more</w:t>
      </w:r>
      <w:r>
        <w:rPr>
          <w:lang w:val="en-GB"/>
        </w:rPr>
        <w:t xml:space="preserve"> </w:t>
      </w:r>
      <w:r w:rsidRPr="0034168D">
        <w:rPr>
          <w:lang w:val="en-GB"/>
        </w:rPr>
        <w:t>often in paediatric patients</w:t>
      </w:r>
      <w:r>
        <w:rPr>
          <w:lang w:val="en-GB"/>
        </w:rPr>
        <w:t xml:space="preserve"> </w:t>
      </w:r>
      <w:r w:rsidRPr="0034168D">
        <w:rPr>
          <w:lang w:val="en-GB"/>
        </w:rPr>
        <w:t>compared to adults. In the</w:t>
      </w:r>
      <w:r>
        <w:rPr>
          <w:lang w:val="en-GB"/>
        </w:rPr>
        <w:t xml:space="preserve"> </w:t>
      </w:r>
      <w:r w:rsidRPr="0034168D">
        <w:rPr>
          <w:lang w:val="en-GB"/>
        </w:rPr>
        <w:t>paediatric population lipodystrophy</w:t>
      </w:r>
      <w:r>
        <w:rPr>
          <w:lang w:val="en-GB"/>
        </w:rPr>
        <w:t xml:space="preserve"> </w:t>
      </w:r>
      <w:r w:rsidRPr="0034168D">
        <w:rPr>
          <w:lang w:val="en-GB"/>
        </w:rPr>
        <w:t>was reported with a frequency of</w:t>
      </w:r>
      <w:r>
        <w:rPr>
          <w:lang w:val="en-GB"/>
        </w:rPr>
        <w:t xml:space="preserve"> </w:t>
      </w:r>
      <w:r w:rsidRPr="0034168D">
        <w:rPr>
          <w:lang w:val="en-GB"/>
        </w:rPr>
        <w:t xml:space="preserve">2.1% for </w:t>
      </w:r>
      <w:proofErr w:type="spellStart"/>
      <w:r w:rsidRPr="0034168D">
        <w:rPr>
          <w:lang w:val="en-GB"/>
        </w:rPr>
        <w:t>Fiasp</w:t>
      </w:r>
      <w:proofErr w:type="spellEnd"/>
      <w:r w:rsidRPr="0034168D">
        <w:rPr>
          <w:lang w:val="en-GB"/>
        </w:rPr>
        <w:t xml:space="preserve"> vs. 1.6% for</w:t>
      </w:r>
      <w:r>
        <w:rPr>
          <w:lang w:val="en-GB"/>
        </w:rPr>
        <w:t xml:space="preserve"> </w:t>
      </w:r>
      <w:proofErr w:type="spellStart"/>
      <w:r w:rsidRPr="0034168D">
        <w:rPr>
          <w:lang w:val="en-GB"/>
        </w:rPr>
        <w:t>NovoRapid</w:t>
      </w:r>
      <w:proofErr w:type="spellEnd"/>
      <w:r w:rsidRPr="0034168D">
        <w:rPr>
          <w:lang w:val="en-GB"/>
        </w:rPr>
        <w:t>.</w:t>
      </w:r>
    </w:p>
    <w:p w14:paraId="278F576C" w14:textId="379A33E7" w:rsidR="007952A7" w:rsidRPr="00530450" w:rsidRDefault="00412EC1" w:rsidP="0034168D">
      <w:pPr>
        <w:rPr>
          <w:b/>
        </w:rPr>
      </w:pPr>
      <w:r w:rsidRPr="00E711B2">
        <w:rPr>
          <w:lang w:val="en-GB"/>
        </w:rPr>
        <w:t xml:space="preserve">Additional information on paediatric patients is provided in Table </w:t>
      </w:r>
      <w:proofErr w:type="gramStart"/>
      <w:r w:rsidRPr="00E711B2">
        <w:rPr>
          <w:lang w:val="en-GB"/>
        </w:rPr>
        <w:t>6,</w:t>
      </w:r>
      <w:proofErr w:type="gramEnd"/>
      <w:r w:rsidRPr="00E711B2">
        <w:rPr>
          <w:lang w:val="en-GB"/>
        </w:rPr>
        <w:t xml:space="preserve"> see section 5.1 Pharmacodynamic Properties – Clinical Trials.</w:t>
      </w:r>
    </w:p>
    <w:p w14:paraId="32A2C57C" w14:textId="12794684" w:rsidR="00530450" w:rsidRPr="009178CA" w:rsidRDefault="00530450" w:rsidP="004D0F6F">
      <w:pPr>
        <w:pStyle w:val="Heading5"/>
      </w:pPr>
      <w:r w:rsidRPr="009178CA">
        <w:t>Other special populations</w:t>
      </w:r>
    </w:p>
    <w:p w14:paraId="3581D839" w14:textId="19A6102B" w:rsidR="009178CA" w:rsidRDefault="00530450" w:rsidP="009178CA">
      <w:pPr>
        <w:rPr>
          <w:i/>
          <w:iCs/>
        </w:rPr>
      </w:pPr>
      <w:r w:rsidRPr="00530450">
        <w:rPr>
          <w:lang w:val="en-GB"/>
        </w:rPr>
        <w:t xml:space="preserve">Based on results from clinical trials, the frequency, type and severity of ADRs observed in elderly patients and in patients with renal or hepatic impairment do not indicate any differences to the broader experience in the general population. </w:t>
      </w:r>
      <w:proofErr w:type="spellStart"/>
      <w:r w:rsidRPr="00530450">
        <w:rPr>
          <w:lang w:val="en-GB"/>
        </w:rPr>
        <w:t>Fiasp</w:t>
      </w:r>
      <w:proofErr w:type="spellEnd"/>
      <w:r w:rsidRPr="00530450">
        <w:rPr>
          <w:lang w:val="en-GB"/>
        </w:rPr>
        <w:t xml:space="preserve"> </w:t>
      </w:r>
      <w:proofErr w:type="gramStart"/>
      <w:r w:rsidRPr="00530450">
        <w:rPr>
          <w:lang w:val="en-GB"/>
        </w:rPr>
        <w:t>has been administered</w:t>
      </w:r>
      <w:proofErr w:type="gramEnd"/>
      <w:r w:rsidRPr="00530450">
        <w:rPr>
          <w:lang w:val="en-GB"/>
        </w:rPr>
        <w:t xml:space="preserve"> to elderly patients for the investigation of pharmacokinetic properties (see </w:t>
      </w:r>
      <w:r w:rsidR="00FE1BEC" w:rsidRPr="00E711B2">
        <w:rPr>
          <w:lang w:val="en-GB"/>
        </w:rPr>
        <w:t xml:space="preserve">section 5 </w:t>
      </w:r>
      <w:r w:rsidRPr="00E711B2">
        <w:rPr>
          <w:lang w:val="en-GB"/>
        </w:rPr>
        <w:t>Pharmacolog</w:t>
      </w:r>
      <w:r w:rsidR="00FE1BEC" w:rsidRPr="00E711B2">
        <w:rPr>
          <w:lang w:val="en-GB"/>
        </w:rPr>
        <w:t>ical Properties</w:t>
      </w:r>
      <w:r w:rsidRPr="00E711B2">
        <w:rPr>
          <w:lang w:val="en-GB"/>
        </w:rPr>
        <w:t>).</w:t>
      </w:r>
    </w:p>
    <w:p w14:paraId="08849522" w14:textId="0B401C14" w:rsidR="00615E39" w:rsidRPr="009178CA" w:rsidRDefault="00615E39" w:rsidP="00881851">
      <w:pPr>
        <w:pStyle w:val="Heading5"/>
        <w:keepNext/>
      </w:pPr>
      <w:r w:rsidRPr="009178CA">
        <w:lastRenderedPageBreak/>
        <w:t>Reporting suspected adverse effects</w:t>
      </w:r>
    </w:p>
    <w:p w14:paraId="6159DFB7" w14:textId="11015AAA" w:rsidR="00615E39" w:rsidRPr="00615E39" w:rsidRDefault="00615E39" w:rsidP="00530450">
      <w:r w:rsidRPr="00C44B67">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00FE1BEC" w:rsidRPr="00FE1BEC">
          <w:rPr>
            <w:rStyle w:val="Hyperlink"/>
          </w:rPr>
          <w:t>www.tga.gov.au/reporting-problems</w:t>
        </w:r>
      </w:hyperlink>
      <w:r w:rsidRPr="00C44B67">
        <w:t>.</w:t>
      </w:r>
    </w:p>
    <w:p w14:paraId="4FE84952" w14:textId="77777777" w:rsidR="00C44B67" w:rsidRDefault="00C44B67" w:rsidP="00C44B67">
      <w:pPr>
        <w:pStyle w:val="Heading3"/>
      </w:pPr>
      <w:r>
        <w:t>4.9</w:t>
      </w:r>
      <w:r>
        <w:tab/>
        <w:t>Overdose</w:t>
      </w:r>
    </w:p>
    <w:p w14:paraId="1D51A077" w14:textId="77777777" w:rsidR="00331A2E" w:rsidRPr="00331A2E" w:rsidRDefault="00331A2E" w:rsidP="00331A2E">
      <w:pPr>
        <w:rPr>
          <w:lang w:val="en-GB"/>
        </w:rPr>
      </w:pPr>
      <w:r w:rsidRPr="00331A2E">
        <w:rPr>
          <w:lang w:val="en-GB"/>
        </w:rPr>
        <w:t>ADRs listed in this section are considered expected with the medicinal product.</w:t>
      </w:r>
    </w:p>
    <w:p w14:paraId="2594BA34" w14:textId="77777777" w:rsidR="00331A2E" w:rsidRPr="00331A2E" w:rsidRDefault="00331A2E" w:rsidP="00331A2E">
      <w:pPr>
        <w:rPr>
          <w:b/>
        </w:rPr>
      </w:pPr>
      <w:r w:rsidRPr="00331A2E">
        <w:rPr>
          <w:lang w:val="en-US"/>
        </w:rPr>
        <w:t xml:space="preserve">A specific overdose for insulin cannot be </w:t>
      </w:r>
      <w:proofErr w:type="gramStart"/>
      <w:r w:rsidRPr="00331A2E">
        <w:rPr>
          <w:lang w:val="en-US"/>
        </w:rPr>
        <w:t>defined,</w:t>
      </w:r>
      <w:proofErr w:type="gramEnd"/>
      <w:r w:rsidRPr="00331A2E">
        <w:rPr>
          <w:lang w:val="en-US"/>
        </w:rPr>
        <w:t xml:space="preserve"> however, </w:t>
      </w:r>
      <w:proofErr w:type="spellStart"/>
      <w:r w:rsidRPr="00331A2E">
        <w:rPr>
          <w:lang w:val="en-US"/>
        </w:rPr>
        <w:t>hypoglycaemia</w:t>
      </w:r>
      <w:proofErr w:type="spellEnd"/>
      <w:r w:rsidRPr="00331A2E">
        <w:rPr>
          <w:lang w:val="en-US"/>
        </w:rPr>
        <w:t xml:space="preserve"> may develop over sequential stages if a patient is dosed with more insulin than required: Mild </w:t>
      </w:r>
      <w:proofErr w:type="spellStart"/>
      <w:r w:rsidRPr="00331A2E">
        <w:rPr>
          <w:lang w:val="en-US"/>
        </w:rPr>
        <w:t>hypoglycaemic</w:t>
      </w:r>
      <w:proofErr w:type="spellEnd"/>
      <w:r w:rsidRPr="00331A2E">
        <w:rPr>
          <w:lang w:val="en-US"/>
        </w:rPr>
        <w:t xml:space="preserve"> episodes can be treated by oral administration of glucose or other products containing sugar. It is therefore recommended that the diabetic patient always carries glucose-containing products.</w:t>
      </w:r>
    </w:p>
    <w:p w14:paraId="14FC0DEC" w14:textId="77777777" w:rsidR="00331A2E" w:rsidRPr="00331A2E" w:rsidRDefault="00331A2E" w:rsidP="00331A2E">
      <w:pPr>
        <w:rPr>
          <w:b/>
        </w:rPr>
      </w:pPr>
      <w:r w:rsidRPr="00331A2E">
        <w:rPr>
          <w:lang w:val="en-US"/>
        </w:rPr>
        <w:t xml:space="preserve">Severe </w:t>
      </w:r>
      <w:proofErr w:type="spellStart"/>
      <w:r w:rsidRPr="00331A2E">
        <w:rPr>
          <w:lang w:val="en-US"/>
        </w:rPr>
        <w:t>hypoglycaemic</w:t>
      </w:r>
      <w:proofErr w:type="spellEnd"/>
      <w:r w:rsidRPr="00331A2E">
        <w:rPr>
          <w:lang w:val="en-US"/>
        </w:rPr>
        <w:t xml:space="preserve"> episodes, where the patient is not able to treat him/herself, can be treated with glucagon (0.5 to 1 mg) given intramuscularly or subcutaneously by a trained person, or with glucose given intravenously by a healthcare professional. Glucose must be given intravenously if the patient does not respond to glucagon within 10 to 15 minutes. Upon regaining consciousness, administration of oral carbohydrate is recommended for the patient in order to prevent a relapse.</w:t>
      </w:r>
    </w:p>
    <w:p w14:paraId="619E7F21" w14:textId="4562A406" w:rsidR="00C44B67" w:rsidRPr="00331A2E" w:rsidRDefault="00331A2E" w:rsidP="00C44B67">
      <w:pPr>
        <w:rPr>
          <w:b/>
        </w:rPr>
      </w:pPr>
      <w:r w:rsidRPr="00331A2E">
        <w:rPr>
          <w:lang w:val="en-US"/>
        </w:rPr>
        <w:t>For information on the management of overdose (in non-emergency situations), contact the Poison Information Centre on 131 126</w:t>
      </w:r>
      <w:r w:rsidR="00FE1BEC">
        <w:rPr>
          <w:lang w:val="en-US"/>
        </w:rPr>
        <w:t xml:space="preserve"> (Australia)</w:t>
      </w:r>
      <w:r w:rsidRPr="00331A2E">
        <w:rPr>
          <w:lang w:val="en-US"/>
        </w:rPr>
        <w:t>.</w:t>
      </w:r>
    </w:p>
    <w:p w14:paraId="188010FF" w14:textId="77777777" w:rsidR="00C44B67" w:rsidRDefault="00C44B67" w:rsidP="00C44B67">
      <w:pPr>
        <w:pStyle w:val="Heading2"/>
      </w:pPr>
      <w:r>
        <w:t>5.</w:t>
      </w:r>
      <w:r>
        <w:tab/>
        <w:t>PHA</w:t>
      </w:r>
      <w:r w:rsidR="00385B54">
        <w:t>R</w:t>
      </w:r>
      <w:r>
        <w:t>MACOLOGICAL PROPERTIES</w:t>
      </w:r>
    </w:p>
    <w:p w14:paraId="0418D1B8" w14:textId="77777777" w:rsidR="0018502B" w:rsidRPr="0018502B" w:rsidRDefault="0018502B" w:rsidP="0018502B">
      <w:r>
        <w:t xml:space="preserve">Pharmacotherapeutic group: Drugs used in diabetes. Insulins and analogues for injection, fast-acting. </w:t>
      </w:r>
      <w:r w:rsidRPr="0018502B">
        <w:t>ATC code A10AB05</w:t>
      </w:r>
    </w:p>
    <w:p w14:paraId="47323378" w14:textId="77777777" w:rsidR="00C44B67" w:rsidRDefault="00C44B67" w:rsidP="00C44B67">
      <w:pPr>
        <w:pStyle w:val="Heading3"/>
      </w:pPr>
      <w:r>
        <w:t>5.1</w:t>
      </w:r>
      <w:r>
        <w:tab/>
        <w:t>Pharmacodynamic Properties</w:t>
      </w:r>
    </w:p>
    <w:p w14:paraId="6BED6233" w14:textId="77777777" w:rsidR="00C44B67" w:rsidRDefault="00C44B67" w:rsidP="00C44B67">
      <w:pPr>
        <w:pStyle w:val="Heading4"/>
      </w:pPr>
      <w:r>
        <w:t>Mechanism of action</w:t>
      </w:r>
    </w:p>
    <w:p w14:paraId="0CDD360B" w14:textId="77777777" w:rsidR="00C44B67" w:rsidRDefault="001E0859" w:rsidP="00C44B67">
      <w:pPr>
        <w:rPr>
          <w:lang w:val="en-US"/>
        </w:rPr>
      </w:pPr>
      <w:proofErr w:type="spellStart"/>
      <w:r w:rsidRPr="001E0859">
        <w:rPr>
          <w:iCs/>
          <w:lang w:val="en-US"/>
        </w:rPr>
        <w:t>Fiasp</w:t>
      </w:r>
      <w:proofErr w:type="spellEnd"/>
      <w:r w:rsidRPr="001E0859">
        <w:rPr>
          <w:iCs/>
          <w:lang w:val="en-US"/>
        </w:rPr>
        <w:t xml:space="preserve"> </w:t>
      </w:r>
      <w:r w:rsidRPr="001E0859">
        <w:rPr>
          <w:lang w:val="en-US"/>
        </w:rPr>
        <w:t>is a fast</w:t>
      </w:r>
      <w:r w:rsidRPr="001E0859">
        <w:rPr>
          <w:lang w:val="en-US"/>
        </w:rPr>
        <w:noBreakHyphen/>
        <w:t xml:space="preserve">acting insulin </w:t>
      </w:r>
      <w:proofErr w:type="spellStart"/>
      <w:r w:rsidRPr="001E0859">
        <w:rPr>
          <w:lang w:val="en-US"/>
        </w:rPr>
        <w:t>aspart</w:t>
      </w:r>
      <w:proofErr w:type="spellEnd"/>
      <w:r w:rsidRPr="001E0859">
        <w:rPr>
          <w:lang w:val="en-US"/>
        </w:rPr>
        <w:t xml:space="preserve"> formulation. The primary activity of </w:t>
      </w:r>
      <w:r w:rsidRPr="001E0859">
        <w:rPr>
          <w:iCs/>
          <w:lang w:val="en-US"/>
        </w:rPr>
        <w:t xml:space="preserve">insulin, including insulin </w:t>
      </w:r>
      <w:proofErr w:type="spellStart"/>
      <w:r w:rsidRPr="001E0859">
        <w:rPr>
          <w:iCs/>
          <w:lang w:val="en-US"/>
        </w:rPr>
        <w:t>aspart</w:t>
      </w:r>
      <w:proofErr w:type="spellEnd"/>
      <w:r w:rsidRPr="001E0859">
        <w:rPr>
          <w:iCs/>
          <w:lang w:val="en-US"/>
        </w:rPr>
        <w:t>,</w:t>
      </w:r>
      <w:r w:rsidRPr="001E0859">
        <w:rPr>
          <w:lang w:val="en-US"/>
        </w:rPr>
        <w:t xml:space="preserve"> is the regulation of glucose metabolism. Insulin and its analogues exert their specific action through binding to insulin receptors. Receptor-bound insulin lowers blood glucose by facilitating cellular uptake of glucose into skeletal muscle and adipose tissue and by inhibiting the output of glucose from the liver. Insulin inhibits lipolysis in the adipocyte, inhibits proteolysis, and enhances protein synthesis.</w:t>
      </w:r>
    </w:p>
    <w:p w14:paraId="437AC140" w14:textId="77777777" w:rsidR="001E0859" w:rsidRPr="001E0859" w:rsidRDefault="001E0859" w:rsidP="001E0859">
      <w:pPr>
        <w:rPr>
          <w:lang w:val="en-GB"/>
        </w:rPr>
      </w:pPr>
      <w:proofErr w:type="spellStart"/>
      <w:r w:rsidRPr="001E0859">
        <w:rPr>
          <w:iCs/>
          <w:lang w:val="en-GB"/>
        </w:rPr>
        <w:t>Fiasp</w:t>
      </w:r>
      <w:proofErr w:type="spellEnd"/>
      <w:r w:rsidRPr="001E0859">
        <w:rPr>
          <w:iCs/>
          <w:lang w:val="en-GB"/>
        </w:rPr>
        <w:t xml:space="preserve"> is an insulin </w:t>
      </w:r>
      <w:proofErr w:type="spellStart"/>
      <w:r w:rsidRPr="001E0859">
        <w:rPr>
          <w:iCs/>
          <w:lang w:val="en-GB"/>
        </w:rPr>
        <w:t>aspart</w:t>
      </w:r>
      <w:proofErr w:type="spellEnd"/>
      <w:r w:rsidRPr="001E0859">
        <w:rPr>
          <w:iCs/>
          <w:lang w:val="en-GB"/>
        </w:rPr>
        <w:t xml:space="preserve"> formulation in which the addition of nicotinamide (niacinamide; vitamin B</w:t>
      </w:r>
      <w:r w:rsidRPr="001E0859">
        <w:rPr>
          <w:iCs/>
          <w:vertAlign w:val="subscript"/>
          <w:lang w:val="en-GB"/>
        </w:rPr>
        <w:t>3</w:t>
      </w:r>
      <w:r w:rsidRPr="001E0859">
        <w:rPr>
          <w:iCs/>
          <w:lang w:val="en-GB"/>
        </w:rPr>
        <w:t xml:space="preserve">) results in a faster initial absorption of insulin, leading to an earlier onset of action and greater early glucose-lowering effect compared to </w:t>
      </w:r>
      <w:proofErr w:type="spellStart"/>
      <w:r w:rsidRPr="001E0859">
        <w:rPr>
          <w:iCs/>
          <w:lang w:val="en-GB"/>
        </w:rPr>
        <w:t>NovoRapid</w:t>
      </w:r>
      <w:proofErr w:type="spellEnd"/>
      <w:r w:rsidRPr="001E0859">
        <w:rPr>
          <w:vertAlign w:val="superscript"/>
          <w:lang w:val="en-GB"/>
        </w:rPr>
        <w:t>®</w:t>
      </w:r>
      <w:r w:rsidRPr="001E0859">
        <w:rPr>
          <w:iCs/>
          <w:lang w:val="en-GB"/>
        </w:rPr>
        <w:t xml:space="preserve">. </w:t>
      </w:r>
      <w:r w:rsidRPr="001E0859">
        <w:rPr>
          <w:lang w:val="en-GB"/>
        </w:rPr>
        <w:t xml:space="preserve">The onset of action was 5 minutes faster and time to maximum glucose infusion rate was 11 minutes earlier with </w:t>
      </w:r>
      <w:proofErr w:type="spellStart"/>
      <w:r w:rsidRPr="001E0859">
        <w:rPr>
          <w:iCs/>
          <w:lang w:val="en-GB"/>
        </w:rPr>
        <w:t>Fiasp</w:t>
      </w:r>
      <w:proofErr w:type="spellEnd"/>
      <w:r w:rsidRPr="001E0859">
        <w:rPr>
          <w:lang w:val="en-GB"/>
        </w:rPr>
        <w:t xml:space="preserve"> than with </w:t>
      </w:r>
      <w:proofErr w:type="spellStart"/>
      <w:r w:rsidRPr="001E0859">
        <w:rPr>
          <w:lang w:val="en-GB"/>
        </w:rPr>
        <w:t>NovoRapid</w:t>
      </w:r>
      <w:proofErr w:type="spellEnd"/>
      <w:r w:rsidRPr="001E0859">
        <w:rPr>
          <w:lang w:val="en-GB"/>
        </w:rPr>
        <w:t>. The glucose lowering effect (AUC</w:t>
      </w:r>
      <w:r w:rsidRPr="001E0859">
        <w:rPr>
          <w:vertAlign w:val="subscript"/>
          <w:lang w:val="en-GB"/>
        </w:rPr>
        <w:t>GIR</w:t>
      </w:r>
      <w:r w:rsidRPr="001E0859">
        <w:rPr>
          <w:lang w:val="en-GB"/>
        </w:rPr>
        <w:t xml:space="preserve">) was 74% larger during the first 30 minutes with </w:t>
      </w:r>
      <w:proofErr w:type="spellStart"/>
      <w:r w:rsidRPr="001E0859">
        <w:rPr>
          <w:iCs/>
          <w:lang w:val="en-GB"/>
        </w:rPr>
        <w:t>Fiasp</w:t>
      </w:r>
      <w:proofErr w:type="spellEnd"/>
      <w:r w:rsidRPr="001E0859">
        <w:rPr>
          <w:lang w:val="en-GB"/>
        </w:rPr>
        <w:t xml:space="preserve"> than with </w:t>
      </w:r>
      <w:proofErr w:type="spellStart"/>
      <w:r w:rsidRPr="001E0859">
        <w:rPr>
          <w:lang w:val="en-GB"/>
        </w:rPr>
        <w:t>NovoRapid</w:t>
      </w:r>
      <w:proofErr w:type="spellEnd"/>
      <w:r w:rsidRPr="001E0859">
        <w:rPr>
          <w:lang w:val="en-GB"/>
        </w:rPr>
        <w:t>. The total glucose lowering effect over the mealtime phase and maximum (</w:t>
      </w:r>
      <w:proofErr w:type="spellStart"/>
      <w:r w:rsidRPr="001E0859">
        <w:rPr>
          <w:lang w:val="en-GB"/>
        </w:rPr>
        <w:t>GIR</w:t>
      </w:r>
      <w:r w:rsidRPr="001E0859">
        <w:rPr>
          <w:vertAlign w:val="subscript"/>
          <w:lang w:val="en-GB"/>
        </w:rPr>
        <w:t>max</w:t>
      </w:r>
      <w:proofErr w:type="spellEnd"/>
      <w:r w:rsidRPr="001E0859">
        <w:rPr>
          <w:lang w:val="en-GB"/>
        </w:rPr>
        <w:t xml:space="preserve">) glucose lowering effect were comparable between </w:t>
      </w:r>
      <w:proofErr w:type="spellStart"/>
      <w:r w:rsidRPr="001E0859">
        <w:rPr>
          <w:iCs/>
          <w:lang w:val="en-GB"/>
        </w:rPr>
        <w:t>Fiasp</w:t>
      </w:r>
      <w:proofErr w:type="spellEnd"/>
      <w:r w:rsidRPr="001E0859">
        <w:rPr>
          <w:lang w:val="en-GB"/>
        </w:rPr>
        <w:t xml:space="preserve"> and </w:t>
      </w:r>
      <w:proofErr w:type="spellStart"/>
      <w:r w:rsidRPr="001E0859">
        <w:rPr>
          <w:lang w:val="en-GB"/>
        </w:rPr>
        <w:t>NovoRapid</w:t>
      </w:r>
      <w:proofErr w:type="spellEnd"/>
      <w:r w:rsidRPr="001E0859">
        <w:rPr>
          <w:lang w:val="en-GB"/>
        </w:rPr>
        <w:t xml:space="preserve">. Total and maximum glucose lowering effect of </w:t>
      </w:r>
      <w:proofErr w:type="spellStart"/>
      <w:r w:rsidRPr="001E0859">
        <w:rPr>
          <w:iCs/>
          <w:lang w:val="en-GB"/>
        </w:rPr>
        <w:t>Fiasp</w:t>
      </w:r>
      <w:proofErr w:type="spellEnd"/>
      <w:r w:rsidRPr="001E0859">
        <w:rPr>
          <w:lang w:val="en-GB"/>
        </w:rPr>
        <w:t xml:space="preserve"> increase linearly with increasing dose within the therapeutic dose range similar to </w:t>
      </w:r>
      <w:proofErr w:type="spellStart"/>
      <w:r w:rsidRPr="001E0859">
        <w:rPr>
          <w:lang w:val="en-GB"/>
        </w:rPr>
        <w:t>NovoRapid</w:t>
      </w:r>
      <w:proofErr w:type="spellEnd"/>
      <w:r w:rsidRPr="001E0859">
        <w:rPr>
          <w:lang w:val="en-GB"/>
        </w:rPr>
        <w:t>.</w:t>
      </w:r>
    </w:p>
    <w:p w14:paraId="647C7BC3" w14:textId="21B77975" w:rsidR="001E0859" w:rsidRPr="001E0859" w:rsidRDefault="001E0859" w:rsidP="001E0859">
      <w:pPr>
        <w:rPr>
          <w:b/>
        </w:rPr>
      </w:pPr>
      <w:r w:rsidRPr="001E0859">
        <w:rPr>
          <w:iCs/>
          <w:lang w:val="en-US"/>
        </w:rPr>
        <w:lastRenderedPageBreak/>
        <w:t xml:space="preserve">The duration of action was shorter and the late glucose lowering effect was 10% smaller for </w:t>
      </w:r>
      <w:proofErr w:type="spellStart"/>
      <w:r w:rsidRPr="001E0859">
        <w:rPr>
          <w:iCs/>
          <w:lang w:val="en-US"/>
        </w:rPr>
        <w:t>Fiasp</w:t>
      </w:r>
      <w:proofErr w:type="spellEnd"/>
      <w:r w:rsidRPr="001E0859">
        <w:rPr>
          <w:iCs/>
          <w:lang w:val="en-US"/>
        </w:rPr>
        <w:t xml:space="preserve"> compared to that of </w:t>
      </w:r>
      <w:proofErr w:type="spellStart"/>
      <w:r w:rsidRPr="001E0859">
        <w:rPr>
          <w:iCs/>
          <w:lang w:val="en-US"/>
        </w:rPr>
        <w:t>NovoRapid</w:t>
      </w:r>
      <w:proofErr w:type="spellEnd"/>
      <w:r w:rsidRPr="001E0859">
        <w:rPr>
          <w:iCs/>
          <w:lang w:val="en-US"/>
        </w:rPr>
        <w:t xml:space="preserve">. </w:t>
      </w:r>
      <w:proofErr w:type="spellStart"/>
      <w:r w:rsidRPr="001E0859">
        <w:rPr>
          <w:iCs/>
          <w:lang w:val="en-US"/>
        </w:rPr>
        <w:t>Fiasp</w:t>
      </w:r>
      <w:proofErr w:type="spellEnd"/>
      <w:r w:rsidRPr="001E0859">
        <w:rPr>
          <w:lang w:val="en-US"/>
        </w:rPr>
        <w:t xml:space="preserve"> injected at the start of a meal produced a significantly greater </w:t>
      </w:r>
      <w:proofErr w:type="spellStart"/>
      <w:r w:rsidRPr="001E0859">
        <w:rPr>
          <w:lang w:val="en-US"/>
        </w:rPr>
        <w:t>postmeal</w:t>
      </w:r>
      <w:proofErr w:type="spellEnd"/>
      <w:r w:rsidRPr="001E0859">
        <w:rPr>
          <w:lang w:val="en-US"/>
        </w:rPr>
        <w:t xml:space="preserve"> glucose lowering effect after a </w:t>
      </w:r>
      <w:proofErr w:type="spellStart"/>
      <w:r w:rsidRPr="001E0859">
        <w:rPr>
          <w:lang w:val="en-US"/>
        </w:rPr>
        <w:t>standardised</w:t>
      </w:r>
      <w:proofErr w:type="spellEnd"/>
      <w:r w:rsidRPr="001E0859">
        <w:rPr>
          <w:lang w:val="en-US"/>
        </w:rPr>
        <w:t xml:space="preserve"> mixed meal test (80 g carbohydrate; ‘Ensure</w:t>
      </w:r>
      <w:r w:rsidRPr="001E0859">
        <w:rPr>
          <w:vertAlign w:val="superscript"/>
          <w:lang w:val="en-US"/>
        </w:rPr>
        <w:t>®</w:t>
      </w:r>
      <w:r w:rsidRPr="001E0859">
        <w:rPr>
          <w:lang w:val="en-US"/>
        </w:rPr>
        <w:t xml:space="preserve">’ liquid shake) compared to </w:t>
      </w:r>
      <w:proofErr w:type="spellStart"/>
      <w:r w:rsidRPr="001E0859">
        <w:rPr>
          <w:lang w:val="en-US"/>
        </w:rPr>
        <w:t>NovoRapid</w:t>
      </w:r>
      <w:proofErr w:type="spellEnd"/>
      <w:r w:rsidRPr="001E0859">
        <w:rPr>
          <w:lang w:val="en-US"/>
        </w:rPr>
        <w:t xml:space="preserve">. The treatment difference in reduction of 2-hour </w:t>
      </w:r>
      <w:proofErr w:type="spellStart"/>
      <w:r w:rsidRPr="001E0859">
        <w:rPr>
          <w:lang w:val="en-US"/>
        </w:rPr>
        <w:t>postmeal</w:t>
      </w:r>
      <w:proofErr w:type="spellEnd"/>
      <w:r w:rsidRPr="001E0859">
        <w:rPr>
          <w:lang w:val="en-US"/>
        </w:rPr>
        <w:t xml:space="preserve"> glucose increment was statistically significant in </w:t>
      </w:r>
      <w:proofErr w:type="spellStart"/>
      <w:r w:rsidRPr="001E0859">
        <w:rPr>
          <w:lang w:val="en-US"/>
        </w:rPr>
        <w:t>favour</w:t>
      </w:r>
      <w:proofErr w:type="spellEnd"/>
      <w:r w:rsidRPr="001E0859">
        <w:rPr>
          <w:lang w:val="en-US"/>
        </w:rPr>
        <w:t xml:space="preserve"> of </w:t>
      </w:r>
      <w:proofErr w:type="spellStart"/>
      <w:r w:rsidRPr="001E0859">
        <w:rPr>
          <w:iCs/>
          <w:lang w:val="en-US"/>
        </w:rPr>
        <w:t>Fiasp</w:t>
      </w:r>
      <w:proofErr w:type="spellEnd"/>
      <w:r w:rsidRPr="001E0859">
        <w:rPr>
          <w:lang w:val="en-US"/>
        </w:rPr>
        <w:t xml:space="preserve"> (-0.67 mmol/L [</w:t>
      </w:r>
      <w:r w:rsidRPr="001E0859">
        <w:rPr>
          <w:lang w:val="en-US"/>
        </w:rPr>
        <w:noBreakHyphen/>
        <w:t>1.29; -0.04]</w:t>
      </w:r>
      <w:r w:rsidRPr="001E0859">
        <w:rPr>
          <w:vertAlign w:val="subscript"/>
          <w:lang w:val="en-US"/>
        </w:rPr>
        <w:t>95%CI</w:t>
      </w:r>
      <w:r w:rsidRPr="001E0859">
        <w:rPr>
          <w:lang w:val="en-US"/>
        </w:rPr>
        <w:t xml:space="preserve">). The treatment difference in reduction of 1-hour </w:t>
      </w:r>
      <w:proofErr w:type="spellStart"/>
      <w:r w:rsidRPr="001E0859">
        <w:rPr>
          <w:lang w:val="en-US"/>
        </w:rPr>
        <w:t>postmeal</w:t>
      </w:r>
      <w:proofErr w:type="spellEnd"/>
      <w:r w:rsidRPr="001E0859">
        <w:rPr>
          <w:lang w:val="en-US"/>
        </w:rPr>
        <w:t xml:space="preserve"> glucose increment was -1.18 mmol/L [-1.65; -0.71]</w:t>
      </w:r>
      <w:r w:rsidRPr="001E0859">
        <w:rPr>
          <w:vertAlign w:val="subscript"/>
          <w:lang w:val="en-US"/>
        </w:rPr>
        <w:t>95%CI</w:t>
      </w:r>
      <w:r w:rsidRPr="001E0859">
        <w:rPr>
          <w:lang w:val="en-US"/>
        </w:rPr>
        <w:t>) consistent with the earlier absor</w:t>
      </w:r>
      <w:r w:rsidR="00881851">
        <w:rPr>
          <w:lang w:val="en-US"/>
        </w:rPr>
        <w:t>ption profile (see Table 1, in ‘</w:t>
      </w:r>
      <w:r w:rsidRPr="001E0859">
        <w:rPr>
          <w:lang w:val="en-US"/>
        </w:rPr>
        <w:t>Clinical Trials’ and Figure 1).</w:t>
      </w:r>
    </w:p>
    <w:bookmarkStart w:id="0" w:name="_MON_1535730654"/>
    <w:bookmarkEnd w:id="0"/>
    <w:p w14:paraId="4E8C497F" w14:textId="77777777" w:rsidR="001E0859" w:rsidRDefault="001E0859" w:rsidP="001E0859">
      <w:pPr>
        <w:jc w:val="center"/>
        <w:rPr>
          <w:b/>
          <w:sz w:val="22"/>
          <w:szCs w:val="22"/>
          <w:lang w:val="en-GB"/>
        </w:rPr>
      </w:pPr>
      <w:r w:rsidRPr="00B916E2">
        <w:rPr>
          <w:b/>
          <w:sz w:val="22"/>
          <w:szCs w:val="22"/>
          <w:lang w:val="en-GB"/>
        </w:rPr>
        <w:object w:dxaOrig="5670" w:dyaOrig="5528" w14:anchorId="7BB2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9pt;height:275.7pt" o:ole="">
            <v:imagedata r:id="rId13" o:title=""/>
          </v:shape>
          <o:OLEObject Type="Embed" ProgID="Word.Document.12" ShapeID="_x0000_i1025" DrawAspect="Content" ObjectID="_1660545974" r:id="rId14">
            <o:FieldCodes>\s</o:FieldCodes>
          </o:OLEObject>
        </w:object>
      </w:r>
    </w:p>
    <w:p w14:paraId="76EC6CD1" w14:textId="16BB4E0E" w:rsidR="001E0859" w:rsidRPr="00D141CF" w:rsidRDefault="00D141CF" w:rsidP="00D141CF">
      <w:pPr>
        <w:tabs>
          <w:tab w:val="left" w:pos="851"/>
        </w:tabs>
        <w:ind w:left="851" w:hanging="851"/>
        <w:jc w:val="both"/>
        <w:rPr>
          <w:b/>
          <w:bCs/>
        </w:rPr>
      </w:pPr>
      <w:bookmarkStart w:id="1" w:name="_Toc435711994"/>
      <w:r w:rsidRPr="00D141CF">
        <w:rPr>
          <w:b/>
          <w:bCs/>
        </w:rPr>
        <w:t xml:space="preserve">Figure </w:t>
      </w:r>
      <w:r w:rsidRPr="00D141CF">
        <w:rPr>
          <w:b/>
          <w:bCs/>
        </w:rPr>
        <w:fldChar w:fldCharType="begin"/>
      </w:r>
      <w:r w:rsidRPr="00D141CF">
        <w:rPr>
          <w:b/>
          <w:bCs/>
        </w:rPr>
        <w:instrText xml:space="preserve"> SEQ Figure \* ARABIC </w:instrText>
      </w:r>
      <w:r w:rsidRPr="00D141CF">
        <w:rPr>
          <w:b/>
          <w:bCs/>
        </w:rPr>
        <w:fldChar w:fldCharType="separate"/>
      </w:r>
      <w:r w:rsidR="00BC4F8D">
        <w:rPr>
          <w:b/>
          <w:bCs/>
          <w:noProof/>
        </w:rPr>
        <w:t>1</w:t>
      </w:r>
      <w:r w:rsidRPr="00D141CF">
        <w:rPr>
          <w:b/>
          <w:bCs/>
        </w:rPr>
        <w:fldChar w:fldCharType="end"/>
      </w:r>
      <w:r w:rsidR="001E0859" w:rsidRPr="001E0859">
        <w:rPr>
          <w:lang w:val="en-US"/>
        </w:rPr>
        <w:t xml:space="preserve"> </w:t>
      </w:r>
      <w:proofErr w:type="spellStart"/>
      <w:r w:rsidR="001E0859" w:rsidRPr="00D141CF">
        <w:rPr>
          <w:b/>
          <w:bCs/>
          <w:lang w:val="en-US"/>
        </w:rPr>
        <w:t>Postmeal</w:t>
      </w:r>
      <w:proofErr w:type="spellEnd"/>
      <w:r w:rsidR="001E0859" w:rsidRPr="00D141CF">
        <w:rPr>
          <w:b/>
          <w:bCs/>
          <w:lang w:val="en-US"/>
        </w:rPr>
        <w:t xml:space="preserve"> glucose increment (meal test) after 26 weeks of treatment in type 1 diabetic patients</w:t>
      </w:r>
      <w:bookmarkEnd w:id="1"/>
    </w:p>
    <w:p w14:paraId="0D723CA3" w14:textId="7BFFF7F5" w:rsidR="001E0859" w:rsidRDefault="001E0859" w:rsidP="001E0859">
      <w:pPr>
        <w:rPr>
          <w:lang w:val="en-US"/>
        </w:rPr>
      </w:pPr>
      <w:r w:rsidRPr="001E0859">
        <w:rPr>
          <w:lang w:val="en-US"/>
        </w:rPr>
        <w:t xml:space="preserve">The day-to-day variability within-patients in glucose-lowering-effect was low for </w:t>
      </w:r>
      <w:proofErr w:type="spellStart"/>
      <w:r w:rsidRPr="001E0859">
        <w:rPr>
          <w:iCs/>
          <w:lang w:val="en-US"/>
        </w:rPr>
        <w:t>Fiasp</w:t>
      </w:r>
      <w:proofErr w:type="spellEnd"/>
      <w:r w:rsidRPr="001E0859">
        <w:rPr>
          <w:lang w:val="en-US"/>
        </w:rPr>
        <w:t xml:space="preserve"> both for early (AUC</w:t>
      </w:r>
      <w:r w:rsidRPr="001E0859">
        <w:rPr>
          <w:vertAlign w:val="subscript"/>
          <w:lang w:val="en-US"/>
        </w:rPr>
        <w:t>GIR, 0-1h</w:t>
      </w:r>
      <w:r w:rsidRPr="001E0859">
        <w:rPr>
          <w:lang w:val="en-US"/>
        </w:rPr>
        <w:t>, CV~26%), total (AUC</w:t>
      </w:r>
      <w:r w:rsidRPr="001E0859">
        <w:rPr>
          <w:vertAlign w:val="subscript"/>
          <w:lang w:val="en-US"/>
        </w:rPr>
        <w:t>GIR, 0-12h</w:t>
      </w:r>
      <w:r w:rsidRPr="001E0859">
        <w:rPr>
          <w:lang w:val="en-US"/>
        </w:rPr>
        <w:t>, CV~18%) and maximum glucose lowering effect (</w:t>
      </w:r>
      <w:proofErr w:type="spellStart"/>
      <w:r w:rsidRPr="001E0859">
        <w:rPr>
          <w:lang w:val="en-US"/>
        </w:rPr>
        <w:t>GIR</w:t>
      </w:r>
      <w:r w:rsidRPr="001E0859">
        <w:rPr>
          <w:vertAlign w:val="subscript"/>
          <w:lang w:val="en-US"/>
        </w:rPr>
        <w:t>max</w:t>
      </w:r>
      <w:proofErr w:type="spellEnd"/>
      <w:r w:rsidRPr="001E0859">
        <w:rPr>
          <w:lang w:val="en-US"/>
        </w:rPr>
        <w:t>, CV 19%).</w:t>
      </w:r>
    </w:p>
    <w:p w14:paraId="26049595" w14:textId="5150DBF2" w:rsidR="001E0859" w:rsidRPr="009178CA" w:rsidRDefault="001E0859" w:rsidP="00881851">
      <w:pPr>
        <w:pStyle w:val="Heading5"/>
        <w:rPr>
          <w:lang w:val="fr-FR"/>
        </w:rPr>
      </w:pPr>
      <w:proofErr w:type="spellStart"/>
      <w:r w:rsidRPr="009178CA">
        <w:rPr>
          <w:lang w:val="fr-FR"/>
        </w:rPr>
        <w:t>Continuous</w:t>
      </w:r>
      <w:proofErr w:type="spellEnd"/>
      <w:r w:rsidRPr="009178CA">
        <w:rPr>
          <w:lang w:val="fr-FR"/>
        </w:rPr>
        <w:t xml:space="preserve"> </w:t>
      </w:r>
      <w:proofErr w:type="spellStart"/>
      <w:r w:rsidRPr="009178CA">
        <w:rPr>
          <w:lang w:val="fr-FR"/>
        </w:rPr>
        <w:t>Subcutaneous</w:t>
      </w:r>
      <w:proofErr w:type="spellEnd"/>
      <w:r w:rsidRPr="009178CA">
        <w:rPr>
          <w:lang w:val="fr-FR"/>
        </w:rPr>
        <w:t xml:space="preserve"> </w:t>
      </w:r>
      <w:proofErr w:type="spellStart"/>
      <w:r w:rsidRPr="009178CA">
        <w:rPr>
          <w:lang w:val="fr-FR"/>
        </w:rPr>
        <w:t>Insulin</w:t>
      </w:r>
      <w:proofErr w:type="spellEnd"/>
      <w:r w:rsidRPr="009178CA">
        <w:rPr>
          <w:lang w:val="fr-FR"/>
        </w:rPr>
        <w:t xml:space="preserve"> Infusion (CSII)</w:t>
      </w:r>
    </w:p>
    <w:p w14:paraId="18EB453B" w14:textId="77777777" w:rsidR="001E0859" w:rsidRDefault="001E0859" w:rsidP="001E0859">
      <w:pPr>
        <w:rPr>
          <w:lang w:val="en-US"/>
        </w:rPr>
      </w:pPr>
      <w:proofErr w:type="spellStart"/>
      <w:r w:rsidRPr="001E0859">
        <w:rPr>
          <w:iCs/>
          <w:lang w:val="en-US"/>
        </w:rPr>
        <w:t>Fiasp</w:t>
      </w:r>
      <w:proofErr w:type="spellEnd"/>
      <w:r w:rsidRPr="001E0859">
        <w:rPr>
          <w:iCs/>
          <w:lang w:val="en-US"/>
        </w:rPr>
        <w:t xml:space="preserve"> </w:t>
      </w:r>
      <w:r w:rsidRPr="001E0859">
        <w:rPr>
          <w:lang w:val="en-US"/>
        </w:rPr>
        <w:t xml:space="preserve">showed a greater </w:t>
      </w:r>
      <w:proofErr w:type="spellStart"/>
      <w:r w:rsidRPr="001E0859">
        <w:rPr>
          <w:lang w:val="en-US"/>
        </w:rPr>
        <w:t>postmeal</w:t>
      </w:r>
      <w:proofErr w:type="spellEnd"/>
      <w:r w:rsidRPr="001E0859">
        <w:rPr>
          <w:lang w:val="en-US"/>
        </w:rPr>
        <w:t xml:space="preserve"> glucose lowering effect after a </w:t>
      </w:r>
      <w:proofErr w:type="spellStart"/>
      <w:r w:rsidRPr="001E0859">
        <w:rPr>
          <w:lang w:val="en-US"/>
        </w:rPr>
        <w:t>standardised</w:t>
      </w:r>
      <w:proofErr w:type="spellEnd"/>
      <w:r w:rsidRPr="001E0859">
        <w:rPr>
          <w:lang w:val="en-US"/>
        </w:rPr>
        <w:t xml:space="preserve"> meal test with regard to 1-hour and 2-hour PPG response (treatment difference: -0.50 mmol/L [-1.07; 0.07]</w:t>
      </w:r>
      <w:r w:rsidRPr="001E0859">
        <w:rPr>
          <w:vertAlign w:val="subscript"/>
          <w:lang w:val="en-US"/>
        </w:rPr>
        <w:t>95% CI</w:t>
      </w:r>
      <w:r w:rsidRPr="001E0859">
        <w:rPr>
          <w:lang w:val="en-US"/>
        </w:rPr>
        <w:t xml:space="preserve"> and -0.99 mmol/L [-1.95; -0.03]</w:t>
      </w:r>
      <w:r w:rsidRPr="001E0859">
        <w:rPr>
          <w:vertAlign w:val="subscript"/>
          <w:lang w:val="en-US"/>
        </w:rPr>
        <w:t>95% CI</w:t>
      </w:r>
      <w:r w:rsidRPr="001E0859">
        <w:rPr>
          <w:lang w:val="en-US"/>
        </w:rPr>
        <w:t xml:space="preserve">), respectively compared to </w:t>
      </w:r>
      <w:proofErr w:type="spellStart"/>
      <w:r w:rsidRPr="001E0859">
        <w:rPr>
          <w:lang w:val="en-US"/>
        </w:rPr>
        <w:t>NovoRapid</w:t>
      </w:r>
      <w:proofErr w:type="spellEnd"/>
      <w:r w:rsidRPr="001E0859">
        <w:rPr>
          <w:lang w:val="en-US"/>
        </w:rPr>
        <w:t xml:space="preserve"> (Figure 2) in a CSII setting.</w:t>
      </w:r>
    </w:p>
    <w:bookmarkStart w:id="2" w:name="_MON_1543838217"/>
    <w:bookmarkEnd w:id="2"/>
    <w:p w14:paraId="6328DFCE" w14:textId="77777777" w:rsidR="001E0859" w:rsidRDefault="001E0859" w:rsidP="001E0859">
      <w:pPr>
        <w:jc w:val="center"/>
        <w:rPr>
          <w:rFonts w:eastAsia="Calibri"/>
          <w:b/>
          <w:sz w:val="22"/>
          <w:szCs w:val="22"/>
          <w:lang w:val="en-GB"/>
        </w:rPr>
      </w:pPr>
      <w:r w:rsidRPr="00B916E2">
        <w:rPr>
          <w:rFonts w:eastAsia="Calibri"/>
          <w:b/>
          <w:sz w:val="22"/>
          <w:szCs w:val="22"/>
          <w:lang w:val="en-GB"/>
        </w:rPr>
        <w:object w:dxaOrig="5670" w:dyaOrig="5172" w14:anchorId="0C81FE89">
          <v:shape id="_x0000_i1026" type="#_x0000_t75" style="width:283.9pt;height:259.25pt" o:ole="">
            <v:imagedata r:id="rId15" o:title=""/>
          </v:shape>
          <o:OLEObject Type="Embed" ProgID="Word.Document.12" ShapeID="_x0000_i1026" DrawAspect="Content" ObjectID="_1660545975" r:id="rId16">
            <o:FieldCodes>\s</o:FieldCodes>
          </o:OLEObject>
        </w:object>
      </w:r>
    </w:p>
    <w:p w14:paraId="321ECC16" w14:textId="2AC32502" w:rsidR="001E0859" w:rsidRPr="00D141CF" w:rsidRDefault="00D141CF" w:rsidP="00D141CF">
      <w:pPr>
        <w:tabs>
          <w:tab w:val="left" w:pos="709"/>
        </w:tabs>
        <w:ind w:left="993" w:hanging="993"/>
        <w:jc w:val="both"/>
        <w:rPr>
          <w:b/>
          <w:bCs/>
        </w:rPr>
      </w:pPr>
      <w:bookmarkStart w:id="3" w:name="_Toc435711995"/>
      <w:r w:rsidRPr="00D141CF">
        <w:rPr>
          <w:b/>
          <w:lang w:val="en-US"/>
        </w:rPr>
        <w:t>Figure 2</w:t>
      </w:r>
      <w:r w:rsidR="001E0859" w:rsidRPr="001E0859">
        <w:rPr>
          <w:b/>
          <w:lang w:val="en-US"/>
        </w:rPr>
        <w:t xml:space="preserve"> </w:t>
      </w:r>
      <w:r w:rsidR="001E0859" w:rsidRPr="00D141CF">
        <w:rPr>
          <w:b/>
          <w:bCs/>
          <w:iCs/>
          <w:lang w:val="en-US"/>
        </w:rPr>
        <w:t>Meal test profiles – mean baseline adjusted plasma glucose profiles in type 1 diabetic patients in a CSII setting</w:t>
      </w:r>
      <w:bookmarkEnd w:id="3"/>
    </w:p>
    <w:p w14:paraId="62883132" w14:textId="77777777" w:rsidR="001E0859" w:rsidRPr="009178CA" w:rsidRDefault="001E0859" w:rsidP="00881851">
      <w:pPr>
        <w:pStyle w:val="Heading5"/>
      </w:pPr>
      <w:r w:rsidRPr="009178CA">
        <w:t>Elderly</w:t>
      </w:r>
    </w:p>
    <w:p w14:paraId="1DD436C3" w14:textId="77777777" w:rsidR="001E0859" w:rsidRPr="001E0859" w:rsidRDefault="001E0859" w:rsidP="001E0859">
      <w:pPr>
        <w:rPr>
          <w:b/>
        </w:rPr>
      </w:pPr>
      <w:r w:rsidRPr="001E0859">
        <w:rPr>
          <w:lang w:val="en-US"/>
        </w:rPr>
        <w:t xml:space="preserve">In elderly patients with type 1 diabetes, </w:t>
      </w:r>
      <w:proofErr w:type="spellStart"/>
      <w:r w:rsidRPr="001E0859">
        <w:rPr>
          <w:iCs/>
          <w:lang w:val="en-US"/>
        </w:rPr>
        <w:t>Fiasp</w:t>
      </w:r>
      <w:proofErr w:type="spellEnd"/>
      <w:r w:rsidRPr="001E0859">
        <w:rPr>
          <w:lang w:val="en-US"/>
        </w:rPr>
        <w:t xml:space="preserve"> showed an earlier onset of action and a greater early glucose lowering effect whilst maintaining a similar total and maximum glucose-lowering effect compared to </w:t>
      </w:r>
      <w:proofErr w:type="spellStart"/>
      <w:r w:rsidRPr="001E0859">
        <w:rPr>
          <w:lang w:val="en-US"/>
        </w:rPr>
        <w:t>NovoRapid</w:t>
      </w:r>
      <w:proofErr w:type="spellEnd"/>
      <w:r w:rsidRPr="001E0859">
        <w:rPr>
          <w:lang w:val="en-US"/>
        </w:rPr>
        <w:t xml:space="preserve">. The total and the maximum glucose-lowering effect with </w:t>
      </w:r>
      <w:proofErr w:type="spellStart"/>
      <w:r w:rsidRPr="001E0859">
        <w:rPr>
          <w:iCs/>
          <w:lang w:val="en-US"/>
        </w:rPr>
        <w:t>Fiasp</w:t>
      </w:r>
      <w:proofErr w:type="spellEnd"/>
      <w:r w:rsidRPr="001E0859">
        <w:rPr>
          <w:lang w:val="en-US"/>
        </w:rPr>
        <w:t xml:space="preserve"> were comparable between elderly and younger adults.</w:t>
      </w:r>
    </w:p>
    <w:p w14:paraId="7145AA62" w14:textId="3724DB5D" w:rsidR="001E0859" w:rsidRPr="009178CA" w:rsidRDefault="001E0859" w:rsidP="00881851">
      <w:pPr>
        <w:pStyle w:val="Heading5"/>
        <w:rPr>
          <w:u w:val="single"/>
        </w:rPr>
      </w:pPr>
      <w:r w:rsidRPr="009178CA">
        <w:t>Obesity</w:t>
      </w:r>
    </w:p>
    <w:p w14:paraId="18A65FC0" w14:textId="097EADDE" w:rsidR="001E0859" w:rsidRPr="001E0859" w:rsidRDefault="001E0859" w:rsidP="001E0859">
      <w:pPr>
        <w:rPr>
          <w:lang w:val="en-GB"/>
        </w:rPr>
      </w:pPr>
      <w:r w:rsidRPr="001E0859">
        <w:rPr>
          <w:lang w:val="en-GB"/>
        </w:rPr>
        <w:t>The effect of BMI on the pharm</w:t>
      </w:r>
      <w:r w:rsidR="00D141CF">
        <w:rPr>
          <w:lang w:val="en-GB"/>
        </w:rPr>
        <w:t>aco</w:t>
      </w:r>
      <w:r w:rsidRPr="001E0859">
        <w:rPr>
          <w:lang w:val="en-GB"/>
        </w:rPr>
        <w:t>dynamic</w:t>
      </w:r>
      <w:r w:rsidR="00231990">
        <w:rPr>
          <w:lang w:val="en-GB"/>
        </w:rPr>
        <w:t>s</w:t>
      </w:r>
      <w:r w:rsidRPr="001E0859">
        <w:rPr>
          <w:lang w:val="en-GB"/>
        </w:rPr>
        <w:t xml:space="preserve"> of </w:t>
      </w:r>
      <w:proofErr w:type="spellStart"/>
      <w:r w:rsidRPr="001E0859">
        <w:rPr>
          <w:lang w:val="en-GB"/>
        </w:rPr>
        <w:t>Fiasp</w:t>
      </w:r>
      <w:proofErr w:type="spellEnd"/>
      <w:r w:rsidRPr="001E0859">
        <w:rPr>
          <w:lang w:val="en-GB"/>
        </w:rPr>
        <w:t xml:space="preserve"> </w:t>
      </w:r>
      <w:proofErr w:type="gramStart"/>
      <w:r w:rsidRPr="001E0859">
        <w:rPr>
          <w:lang w:val="en-GB"/>
        </w:rPr>
        <w:t>was explored</w:t>
      </w:r>
      <w:proofErr w:type="gramEnd"/>
      <w:r w:rsidRPr="001E0859">
        <w:rPr>
          <w:lang w:val="en-GB"/>
        </w:rPr>
        <w:t xml:space="preserve"> in a cross-trial analysis of pharmacodynamic studies. </w:t>
      </w:r>
      <w:proofErr w:type="spellStart"/>
      <w:r w:rsidRPr="001E0859">
        <w:rPr>
          <w:lang w:val="en-GB"/>
        </w:rPr>
        <w:t>Fiasp</w:t>
      </w:r>
      <w:proofErr w:type="spellEnd"/>
      <w:r w:rsidRPr="001E0859">
        <w:rPr>
          <w:lang w:val="en-GB"/>
        </w:rPr>
        <w:t xml:space="preserve"> had a greater early glucose-lowering effect whilst maintaining a total and maximum glucose-lowering effect comparable to </w:t>
      </w:r>
      <w:proofErr w:type="spellStart"/>
      <w:r w:rsidRPr="001E0859">
        <w:rPr>
          <w:lang w:val="en-GB"/>
        </w:rPr>
        <w:t>NovoRapid</w:t>
      </w:r>
      <w:proofErr w:type="spellEnd"/>
      <w:r w:rsidRPr="001E0859">
        <w:rPr>
          <w:lang w:val="en-GB"/>
        </w:rPr>
        <w:t xml:space="preserve"> across BMI levels in patients with type 1 diabetes.</w:t>
      </w:r>
    </w:p>
    <w:p w14:paraId="41B3FCD3" w14:textId="76F4CE86" w:rsidR="001E0859" w:rsidRPr="001E0859" w:rsidRDefault="001E0859" w:rsidP="001E0859">
      <w:pPr>
        <w:rPr>
          <w:b/>
        </w:rPr>
      </w:pPr>
      <w:r w:rsidRPr="001E0859">
        <w:rPr>
          <w:lang w:val="en-US"/>
        </w:rPr>
        <w:t xml:space="preserve">A trend for decrease in glucose-lowering effect of </w:t>
      </w:r>
      <w:proofErr w:type="spellStart"/>
      <w:r w:rsidRPr="001E0859">
        <w:rPr>
          <w:lang w:val="en-US"/>
        </w:rPr>
        <w:t>Fiasp</w:t>
      </w:r>
      <w:proofErr w:type="spellEnd"/>
      <w:r w:rsidRPr="001E0859">
        <w:rPr>
          <w:lang w:val="en-US"/>
        </w:rPr>
        <w:t xml:space="preserve"> with increasing BMI </w:t>
      </w:r>
      <w:proofErr w:type="gramStart"/>
      <w:r w:rsidRPr="001E0859">
        <w:rPr>
          <w:lang w:val="en-US"/>
        </w:rPr>
        <w:t>was observed</w:t>
      </w:r>
      <w:proofErr w:type="gramEnd"/>
      <w:r w:rsidRPr="001E0859">
        <w:rPr>
          <w:lang w:val="en-US"/>
        </w:rPr>
        <w:t xml:space="preserve"> in patients with type 1 diabetes.</w:t>
      </w:r>
    </w:p>
    <w:p w14:paraId="30F70DB5" w14:textId="3082B3CA" w:rsidR="001E0859" w:rsidRPr="009178CA" w:rsidRDefault="001E0859" w:rsidP="00881851">
      <w:pPr>
        <w:pStyle w:val="Heading5"/>
      </w:pPr>
      <w:r w:rsidRPr="009178CA">
        <w:t>Paediatric population</w:t>
      </w:r>
    </w:p>
    <w:p w14:paraId="10D5B78B" w14:textId="77777777" w:rsidR="001E0859" w:rsidRPr="001E0859" w:rsidRDefault="001E0859" w:rsidP="001E0859">
      <w:pPr>
        <w:rPr>
          <w:lang w:val="en-US"/>
        </w:rPr>
      </w:pPr>
      <w:r w:rsidRPr="001E0859">
        <w:rPr>
          <w:iCs/>
          <w:lang w:val="en-US"/>
        </w:rPr>
        <w:t xml:space="preserve">For children, the glucose-lowering effect of </w:t>
      </w:r>
      <w:proofErr w:type="spellStart"/>
      <w:r w:rsidRPr="001E0859">
        <w:rPr>
          <w:iCs/>
          <w:lang w:val="en-US"/>
        </w:rPr>
        <w:t>Fiasp</w:t>
      </w:r>
      <w:proofErr w:type="spellEnd"/>
      <w:r w:rsidRPr="001E0859">
        <w:rPr>
          <w:iCs/>
          <w:lang w:val="en-US"/>
        </w:rPr>
        <w:t xml:space="preserve"> at 1 and 2 hours was &gt; </w:t>
      </w:r>
      <w:proofErr w:type="gramStart"/>
      <w:r w:rsidRPr="001E0859">
        <w:rPr>
          <w:iCs/>
          <w:lang w:val="en-US"/>
        </w:rPr>
        <w:t>30%</w:t>
      </w:r>
      <w:proofErr w:type="gramEnd"/>
      <w:r w:rsidRPr="001E0859">
        <w:rPr>
          <w:iCs/>
          <w:lang w:val="en-US"/>
        </w:rPr>
        <w:t xml:space="preserve"> greater than with </w:t>
      </w:r>
      <w:proofErr w:type="spellStart"/>
      <w:r w:rsidRPr="001E0859">
        <w:rPr>
          <w:iCs/>
          <w:lang w:val="en-US"/>
        </w:rPr>
        <w:t>NovoRapid</w:t>
      </w:r>
      <w:proofErr w:type="spellEnd"/>
      <w:r w:rsidRPr="001E0859">
        <w:rPr>
          <w:iCs/>
          <w:lang w:val="en-US"/>
        </w:rPr>
        <w:t xml:space="preserve">, measured by mean changes in plasma glucose at 1 and 2 hours. </w:t>
      </w:r>
      <w:r w:rsidRPr="001E0859">
        <w:rPr>
          <w:lang w:val="en-US"/>
        </w:rPr>
        <w:t xml:space="preserve">There is no clinically relevant difference in the </w:t>
      </w:r>
      <w:proofErr w:type="spellStart"/>
      <w:r w:rsidRPr="001E0859">
        <w:rPr>
          <w:lang w:val="en-US"/>
        </w:rPr>
        <w:t>pharmacodynamic</w:t>
      </w:r>
      <w:proofErr w:type="spellEnd"/>
      <w:r w:rsidRPr="001E0859">
        <w:rPr>
          <w:lang w:val="en-US"/>
        </w:rPr>
        <w:t xml:space="preserve"> properties of </w:t>
      </w:r>
      <w:proofErr w:type="spellStart"/>
      <w:r w:rsidRPr="001E0859">
        <w:rPr>
          <w:iCs/>
          <w:lang w:val="en-US"/>
        </w:rPr>
        <w:t>Fiasp</w:t>
      </w:r>
      <w:proofErr w:type="spellEnd"/>
      <w:r w:rsidRPr="001E0859">
        <w:rPr>
          <w:lang w:val="en-US"/>
        </w:rPr>
        <w:t xml:space="preserve"> between children (6-11 years), adolescents (12-18 years) and adult patients with type 1 diabetes.</w:t>
      </w:r>
    </w:p>
    <w:p w14:paraId="71EEFA5A" w14:textId="7FE05299" w:rsidR="00C44B67" w:rsidRDefault="00C44B67" w:rsidP="00C44B67">
      <w:pPr>
        <w:pStyle w:val="Heading4"/>
      </w:pPr>
      <w:r>
        <w:t>Clinical trials</w:t>
      </w:r>
    </w:p>
    <w:p w14:paraId="78074B00" w14:textId="77777777" w:rsidR="00A42E7C" w:rsidRPr="009178CA" w:rsidRDefault="00A42E7C" w:rsidP="00881851">
      <w:pPr>
        <w:pStyle w:val="Heading5"/>
      </w:pPr>
      <w:r w:rsidRPr="009178CA">
        <w:t>Clinical efficacy and safety data</w:t>
      </w:r>
    </w:p>
    <w:p w14:paraId="4AD52607" w14:textId="7CA91C01" w:rsidR="00A42E7C" w:rsidRPr="00A42E7C" w:rsidRDefault="00A42E7C" w:rsidP="00A42E7C">
      <w:pPr>
        <w:rPr>
          <w:lang w:val="en-US"/>
        </w:rPr>
      </w:pPr>
      <w:proofErr w:type="spellStart"/>
      <w:r w:rsidRPr="00A42E7C">
        <w:rPr>
          <w:lang w:val="en-US"/>
        </w:rPr>
        <w:t>Fiasp</w:t>
      </w:r>
      <w:proofErr w:type="spellEnd"/>
      <w:r w:rsidRPr="00A42E7C">
        <w:rPr>
          <w:lang w:val="en-US"/>
        </w:rPr>
        <w:t xml:space="preserve"> has been studied in 2068 </w:t>
      </w:r>
      <w:proofErr w:type="spellStart"/>
      <w:r w:rsidRPr="00A42E7C">
        <w:rPr>
          <w:lang w:val="en-US"/>
        </w:rPr>
        <w:t>randomised</w:t>
      </w:r>
      <w:proofErr w:type="spellEnd"/>
      <w:r w:rsidRPr="00A42E7C">
        <w:rPr>
          <w:lang w:val="en-US"/>
        </w:rPr>
        <w:t xml:space="preserve"> adult patients with type 1 diabetes mellitus (1143 patients) and type 2 diabetes mellitus (925 patients) in 3 long-term (18 - 26 weeks of </w:t>
      </w:r>
      <w:proofErr w:type="gramStart"/>
      <w:r w:rsidRPr="00A42E7C">
        <w:rPr>
          <w:lang w:val="en-US"/>
        </w:rPr>
        <w:lastRenderedPageBreak/>
        <w:t>treatment</w:t>
      </w:r>
      <w:proofErr w:type="gramEnd"/>
      <w:r w:rsidRPr="00A42E7C">
        <w:rPr>
          <w:lang w:val="en-US"/>
        </w:rPr>
        <w:t>) efficacy and safety trials.</w:t>
      </w:r>
      <w:r w:rsidR="004F40C4">
        <w:rPr>
          <w:lang w:val="en-US"/>
        </w:rPr>
        <w:t xml:space="preserve"> Furthermore, </w:t>
      </w:r>
      <w:proofErr w:type="spellStart"/>
      <w:r w:rsidR="004F40C4">
        <w:rPr>
          <w:lang w:val="en-US"/>
        </w:rPr>
        <w:t>Fiasp</w:t>
      </w:r>
      <w:proofErr w:type="spellEnd"/>
      <w:r w:rsidR="004F40C4">
        <w:rPr>
          <w:lang w:val="en-US"/>
        </w:rPr>
        <w:t xml:space="preserve"> has been studied in 777 </w:t>
      </w:r>
      <w:proofErr w:type="spellStart"/>
      <w:r w:rsidR="004F40C4">
        <w:rPr>
          <w:lang w:val="en-US"/>
        </w:rPr>
        <w:t>randomised</w:t>
      </w:r>
      <w:proofErr w:type="spellEnd"/>
      <w:r w:rsidR="004F40C4">
        <w:rPr>
          <w:lang w:val="en-US"/>
        </w:rPr>
        <w:t xml:space="preserve"> adolescents and children aged 1 to less than 18 years with type 1 diabetes mellitus in a long-term (26 weeks of treatment) efficacy and safety trial.</w:t>
      </w:r>
    </w:p>
    <w:p w14:paraId="7650754F" w14:textId="055906D5" w:rsidR="00A42E7C" w:rsidRPr="00A42E7C" w:rsidRDefault="00A42E7C" w:rsidP="00881851">
      <w:pPr>
        <w:pStyle w:val="Heading5"/>
        <w:rPr>
          <w:lang w:val="en-GB"/>
        </w:rPr>
      </w:pPr>
      <w:r w:rsidRPr="00A42E7C">
        <w:rPr>
          <w:lang w:val="en-GB"/>
        </w:rPr>
        <w:t>Patients with type 1 diabetes mellitus</w:t>
      </w:r>
    </w:p>
    <w:p w14:paraId="07B13D88" w14:textId="798D8B45" w:rsidR="00A42E7C" w:rsidRPr="00A42E7C" w:rsidRDefault="00A42E7C" w:rsidP="00A42E7C">
      <w:pPr>
        <w:rPr>
          <w:lang w:val="en-US"/>
        </w:rPr>
      </w:pPr>
      <w:r w:rsidRPr="00A42E7C">
        <w:t xml:space="preserve">A 26-week active-controlled confirmatory trial </w:t>
      </w:r>
      <w:proofErr w:type="gramStart"/>
      <w:r w:rsidRPr="00A42E7C">
        <w:t>was conducted</w:t>
      </w:r>
      <w:proofErr w:type="gramEnd"/>
      <w:r w:rsidRPr="00A42E7C">
        <w:t xml:space="preserve"> to compare the efficacy and safety of mealtime </w:t>
      </w:r>
      <w:proofErr w:type="spellStart"/>
      <w:r w:rsidRPr="00A42E7C">
        <w:t>Fiasp</w:t>
      </w:r>
      <w:proofErr w:type="spellEnd"/>
      <w:r w:rsidRPr="00A42E7C">
        <w:t xml:space="preserve"> with mealtime </w:t>
      </w:r>
      <w:proofErr w:type="spellStart"/>
      <w:r w:rsidRPr="00A42E7C">
        <w:t>NovoRapid</w:t>
      </w:r>
      <w:proofErr w:type="spellEnd"/>
      <w:r w:rsidRPr="00A42E7C">
        <w:t xml:space="preserve">, and </w:t>
      </w:r>
      <w:proofErr w:type="spellStart"/>
      <w:r w:rsidRPr="00A42E7C">
        <w:t>postmeal</w:t>
      </w:r>
      <w:proofErr w:type="spellEnd"/>
      <w:r w:rsidRPr="00A42E7C">
        <w:t xml:space="preserve"> </w:t>
      </w:r>
      <w:proofErr w:type="spellStart"/>
      <w:r w:rsidRPr="00A42E7C">
        <w:t>Fiasp</w:t>
      </w:r>
      <w:proofErr w:type="spellEnd"/>
      <w:r w:rsidRPr="00A42E7C">
        <w:t xml:space="preserve"> with mealtime </w:t>
      </w:r>
      <w:proofErr w:type="spellStart"/>
      <w:r w:rsidRPr="00A42E7C">
        <w:t>NovoRapid</w:t>
      </w:r>
      <w:proofErr w:type="spellEnd"/>
      <w:r w:rsidRPr="00A42E7C">
        <w:t xml:space="preserve">. Subjects were randomised in a 1:1:1 ratio to receive mealtime </w:t>
      </w:r>
      <w:proofErr w:type="spellStart"/>
      <w:r w:rsidRPr="00A42E7C">
        <w:t>Fiasp</w:t>
      </w:r>
      <w:proofErr w:type="spellEnd"/>
      <w:r w:rsidRPr="00A42E7C">
        <w:t xml:space="preserve">, </w:t>
      </w:r>
      <w:proofErr w:type="spellStart"/>
      <w:r w:rsidRPr="00A42E7C">
        <w:t>postmeal</w:t>
      </w:r>
      <w:proofErr w:type="spellEnd"/>
      <w:r w:rsidRPr="00A42E7C">
        <w:t xml:space="preserve"> </w:t>
      </w:r>
      <w:proofErr w:type="spellStart"/>
      <w:r w:rsidRPr="00A42E7C">
        <w:t>Fiasp</w:t>
      </w:r>
      <w:proofErr w:type="spellEnd"/>
      <w:r w:rsidRPr="00A42E7C">
        <w:t xml:space="preserve"> or mealtime </w:t>
      </w:r>
      <w:proofErr w:type="spellStart"/>
      <w:r w:rsidRPr="00A42E7C">
        <w:t>NovoRapid</w:t>
      </w:r>
      <w:proofErr w:type="spellEnd"/>
      <w:r w:rsidRPr="00A42E7C">
        <w:t xml:space="preserve">, in combination with once or twice daily insulin detemir. Mealtime </w:t>
      </w:r>
      <w:proofErr w:type="spellStart"/>
      <w:r w:rsidRPr="00A42E7C">
        <w:t>Fiasp</w:t>
      </w:r>
      <w:proofErr w:type="spellEnd"/>
      <w:r w:rsidRPr="00A42E7C">
        <w:t xml:space="preserve"> and </w:t>
      </w:r>
      <w:proofErr w:type="spellStart"/>
      <w:r w:rsidRPr="00A42E7C">
        <w:t>NovoRapid</w:t>
      </w:r>
      <w:proofErr w:type="spellEnd"/>
      <w:r w:rsidRPr="00A42E7C">
        <w:t xml:space="preserve"> were injected 0-2 minutes before the meal, and </w:t>
      </w:r>
      <w:proofErr w:type="spellStart"/>
      <w:r w:rsidRPr="00A42E7C">
        <w:t>postmeal</w:t>
      </w:r>
      <w:proofErr w:type="spellEnd"/>
      <w:r w:rsidRPr="00A42E7C">
        <w:t xml:space="preserve"> </w:t>
      </w:r>
      <w:proofErr w:type="spellStart"/>
      <w:r w:rsidRPr="00A42E7C">
        <w:t>Fiasp</w:t>
      </w:r>
      <w:proofErr w:type="spellEnd"/>
      <w:r w:rsidRPr="00A42E7C">
        <w:t xml:space="preserve"> was injected 20 minutes after the start of the meal. The mean age of the randomised subjects was 44.4 years and mean duration of diabetes was 19.9 years. 58.8% were male. 93.3% were White, 2.3% Black or African American</w:t>
      </w:r>
      <w:r w:rsidR="00231990">
        <w:t xml:space="preserve"> and</w:t>
      </w:r>
      <w:r w:rsidRPr="00A42E7C">
        <w:t xml:space="preserve"> 6.9% were Hispanic. The mean BMI was 26.7 kg/m</w:t>
      </w:r>
      <w:r w:rsidRPr="00231990">
        <w:rPr>
          <w:vertAlign w:val="superscript"/>
        </w:rPr>
        <w:t>2</w:t>
      </w:r>
      <w:r w:rsidRPr="00A42E7C">
        <w:t xml:space="preserve">. </w:t>
      </w:r>
      <w:r w:rsidRPr="00A42E7C">
        <w:rPr>
          <w:lang w:val="en-US"/>
        </w:rPr>
        <w:t>The reduction in HbA</w:t>
      </w:r>
      <w:r w:rsidRPr="00A42E7C">
        <w:rPr>
          <w:vertAlign w:val="subscript"/>
          <w:lang w:val="en-US"/>
        </w:rPr>
        <w:t>1c</w:t>
      </w:r>
      <w:r w:rsidRPr="00A42E7C">
        <w:rPr>
          <w:lang w:val="en-US"/>
        </w:rPr>
        <w:t xml:space="preserve"> was statistically significantly greater with </w:t>
      </w:r>
      <w:proofErr w:type="spellStart"/>
      <w:r w:rsidRPr="00A42E7C">
        <w:rPr>
          <w:lang w:val="en-US"/>
        </w:rPr>
        <w:t>Fiasp</w:t>
      </w:r>
      <w:proofErr w:type="spellEnd"/>
      <w:r w:rsidRPr="00A42E7C">
        <w:rPr>
          <w:lang w:val="en-US"/>
        </w:rPr>
        <w:t xml:space="preserve"> administrated 0-2 minutes before a meal compared to </w:t>
      </w:r>
      <w:proofErr w:type="spellStart"/>
      <w:r w:rsidRPr="00A42E7C">
        <w:rPr>
          <w:lang w:val="en-US"/>
        </w:rPr>
        <w:t>NovoRapid</w:t>
      </w:r>
      <w:proofErr w:type="spellEnd"/>
      <w:r w:rsidRPr="00A42E7C">
        <w:rPr>
          <w:lang w:val="en-US"/>
        </w:rPr>
        <w:t xml:space="preserve">. </w:t>
      </w:r>
      <w:proofErr w:type="spellStart"/>
      <w:r w:rsidRPr="00A42E7C">
        <w:rPr>
          <w:lang w:val="en-US"/>
        </w:rPr>
        <w:t>Fiasp</w:t>
      </w:r>
      <w:proofErr w:type="spellEnd"/>
      <w:r w:rsidRPr="00A42E7C">
        <w:rPr>
          <w:lang w:val="en-US"/>
        </w:rPr>
        <w:t xml:space="preserve"> administered 20 minutes after a meal achieved similar HbA</w:t>
      </w:r>
      <w:r w:rsidRPr="00A42E7C">
        <w:rPr>
          <w:vertAlign w:val="subscript"/>
          <w:lang w:val="en-US"/>
        </w:rPr>
        <w:t>1c</w:t>
      </w:r>
      <w:r w:rsidRPr="00A42E7C">
        <w:rPr>
          <w:lang w:val="en-US"/>
        </w:rPr>
        <w:t xml:space="preserve"> reduction as </w:t>
      </w:r>
      <w:proofErr w:type="spellStart"/>
      <w:r w:rsidRPr="00A42E7C">
        <w:rPr>
          <w:lang w:val="en-US"/>
        </w:rPr>
        <w:t>NovoRapid</w:t>
      </w:r>
      <w:proofErr w:type="spellEnd"/>
      <w:r w:rsidRPr="00A42E7C">
        <w:rPr>
          <w:lang w:val="en-US"/>
        </w:rPr>
        <w:t xml:space="preserve"> dosed at mealtime (Figure </w:t>
      </w:r>
      <w:r w:rsidR="00EF34D9">
        <w:rPr>
          <w:lang w:val="en-US"/>
        </w:rPr>
        <w:t>3</w:t>
      </w:r>
      <w:r w:rsidRPr="00A42E7C">
        <w:rPr>
          <w:lang w:val="en-US"/>
        </w:rPr>
        <w:t>, Table 1).</w:t>
      </w:r>
    </w:p>
    <w:bookmarkStart w:id="4" w:name="_MON_1521463637"/>
    <w:bookmarkEnd w:id="4"/>
    <w:p w14:paraId="4582629A" w14:textId="77777777" w:rsidR="00A42E7C" w:rsidRDefault="00A42E7C" w:rsidP="00A42E7C">
      <w:pPr>
        <w:jc w:val="center"/>
        <w:rPr>
          <w:b/>
          <w:sz w:val="22"/>
          <w:szCs w:val="22"/>
        </w:rPr>
      </w:pPr>
      <w:r w:rsidRPr="00A068E5">
        <w:rPr>
          <w:b/>
          <w:sz w:val="22"/>
          <w:szCs w:val="22"/>
        </w:rPr>
        <w:object w:dxaOrig="5670" w:dyaOrig="3543" w14:anchorId="720E8297">
          <v:shape id="_x0000_i1027" type="#_x0000_t75" style="width:283.9pt;height:176.85pt" o:ole="">
            <v:imagedata r:id="rId17" o:title=""/>
          </v:shape>
          <o:OLEObject Type="Embed" ProgID="Word.Document.12" ShapeID="_x0000_i1027" DrawAspect="Content" ObjectID="_1660545976" r:id="rId18">
            <o:FieldCodes>\s</o:FieldCodes>
          </o:OLEObject>
        </w:object>
      </w:r>
    </w:p>
    <w:p w14:paraId="40FF319B" w14:textId="62EAE082" w:rsidR="00A42E7C" w:rsidRDefault="00231990" w:rsidP="00231990">
      <w:r w:rsidRPr="007427D0">
        <w:rPr>
          <w:b/>
          <w:bCs/>
        </w:rPr>
        <w:t xml:space="preserve">Figure </w:t>
      </w:r>
      <w:r w:rsidRPr="007427D0">
        <w:rPr>
          <w:b/>
          <w:bCs/>
        </w:rPr>
        <w:fldChar w:fldCharType="begin"/>
      </w:r>
      <w:r w:rsidRPr="007427D0">
        <w:rPr>
          <w:b/>
          <w:bCs/>
        </w:rPr>
        <w:instrText xml:space="preserve"> SEQ Figure \* ARABIC </w:instrText>
      </w:r>
      <w:r w:rsidRPr="007427D0">
        <w:rPr>
          <w:b/>
          <w:bCs/>
        </w:rPr>
        <w:fldChar w:fldCharType="separate"/>
      </w:r>
      <w:r w:rsidR="00BC4F8D">
        <w:rPr>
          <w:b/>
          <w:bCs/>
          <w:noProof/>
        </w:rPr>
        <w:t>2</w:t>
      </w:r>
      <w:r w:rsidRPr="007427D0">
        <w:rPr>
          <w:b/>
          <w:bCs/>
        </w:rPr>
        <w:fldChar w:fldCharType="end"/>
      </w:r>
      <w:r w:rsidR="00A42E7C" w:rsidRPr="007427D0">
        <w:rPr>
          <w:b/>
          <w:bCs/>
          <w:lang w:val="en-US"/>
        </w:rPr>
        <w:t xml:space="preserve"> Mean HbA</w:t>
      </w:r>
      <w:r w:rsidR="00A42E7C" w:rsidRPr="007427D0">
        <w:rPr>
          <w:b/>
          <w:bCs/>
          <w:vertAlign w:val="subscript"/>
          <w:lang w:val="en-US"/>
        </w:rPr>
        <w:t>1c</w:t>
      </w:r>
      <w:r w:rsidR="00A42E7C" w:rsidRPr="007427D0">
        <w:rPr>
          <w:b/>
          <w:bCs/>
          <w:lang w:val="en-US"/>
        </w:rPr>
        <w:t xml:space="preserve"> in % by treatment week in patients with type 1 diabetes mellitus</w:t>
      </w:r>
    </w:p>
    <w:p w14:paraId="4E715A57" w14:textId="7DC0FCAF" w:rsidR="00A42E7C" w:rsidRPr="00A42E7C" w:rsidRDefault="00A42E7C" w:rsidP="00A42E7C">
      <w:pPr>
        <w:rPr>
          <w:lang w:val="en-US"/>
        </w:rPr>
      </w:pPr>
      <w:r w:rsidRPr="00A42E7C">
        <w:rPr>
          <w:lang w:val="en-US"/>
        </w:rPr>
        <w:t xml:space="preserve">In patients with type 1 diabetes, </w:t>
      </w:r>
      <w:proofErr w:type="spellStart"/>
      <w:r w:rsidRPr="00A42E7C">
        <w:rPr>
          <w:lang w:val="en-US"/>
        </w:rPr>
        <w:t>Fiasp</w:t>
      </w:r>
      <w:proofErr w:type="spellEnd"/>
      <w:r w:rsidRPr="00A42E7C">
        <w:rPr>
          <w:lang w:val="en-US"/>
        </w:rPr>
        <w:t xml:space="preserve"> provided greater overall </w:t>
      </w:r>
      <w:proofErr w:type="spellStart"/>
      <w:r w:rsidRPr="00A42E7C">
        <w:rPr>
          <w:lang w:val="en-US"/>
        </w:rPr>
        <w:t>glycaemic</w:t>
      </w:r>
      <w:proofErr w:type="spellEnd"/>
      <w:r w:rsidRPr="00A42E7C">
        <w:rPr>
          <w:lang w:val="en-US"/>
        </w:rPr>
        <w:t xml:space="preserve"> control than </w:t>
      </w:r>
      <w:proofErr w:type="spellStart"/>
      <w:r w:rsidRPr="00A42E7C">
        <w:rPr>
          <w:lang w:val="en-US"/>
        </w:rPr>
        <w:t>NovoRapid</w:t>
      </w:r>
      <w:proofErr w:type="spellEnd"/>
      <w:r w:rsidRPr="00A42E7C">
        <w:rPr>
          <w:lang w:val="en-US"/>
        </w:rPr>
        <w:t xml:space="preserve">. </w:t>
      </w:r>
      <w:proofErr w:type="spellStart"/>
      <w:r w:rsidRPr="00A42E7C">
        <w:rPr>
          <w:lang w:val="en-US"/>
        </w:rPr>
        <w:t>Fiasp</w:t>
      </w:r>
      <w:proofErr w:type="spellEnd"/>
      <w:r w:rsidRPr="00A42E7C">
        <w:rPr>
          <w:lang w:val="en-US"/>
        </w:rPr>
        <w:t xml:space="preserve"> provided better </w:t>
      </w:r>
      <w:proofErr w:type="spellStart"/>
      <w:r w:rsidRPr="00A42E7C">
        <w:rPr>
          <w:lang w:val="en-US"/>
        </w:rPr>
        <w:t>postmeal</w:t>
      </w:r>
      <w:proofErr w:type="spellEnd"/>
      <w:r w:rsidRPr="00A42E7C">
        <w:rPr>
          <w:lang w:val="en-US"/>
        </w:rPr>
        <w:t xml:space="preserve"> </w:t>
      </w:r>
      <w:proofErr w:type="spellStart"/>
      <w:r w:rsidRPr="00A42E7C">
        <w:rPr>
          <w:lang w:val="en-US"/>
        </w:rPr>
        <w:t>glycaemic</w:t>
      </w:r>
      <w:proofErr w:type="spellEnd"/>
      <w:r w:rsidRPr="00A42E7C">
        <w:rPr>
          <w:lang w:val="en-US"/>
        </w:rPr>
        <w:t xml:space="preserve"> control than </w:t>
      </w:r>
      <w:proofErr w:type="spellStart"/>
      <w:r w:rsidRPr="00A42E7C">
        <w:rPr>
          <w:lang w:val="en-US"/>
        </w:rPr>
        <w:t>NovoRapid</w:t>
      </w:r>
      <w:proofErr w:type="spellEnd"/>
      <w:r w:rsidRPr="00A42E7C">
        <w:rPr>
          <w:lang w:val="en-US"/>
        </w:rPr>
        <w:t xml:space="preserve"> with no overall increased risk of severe or blood glucose confirmed </w:t>
      </w:r>
      <w:proofErr w:type="spellStart"/>
      <w:r w:rsidRPr="00A42E7C">
        <w:rPr>
          <w:lang w:val="en-US"/>
        </w:rPr>
        <w:t>hypoglycaemia</w:t>
      </w:r>
      <w:proofErr w:type="spellEnd"/>
      <w:r w:rsidRPr="00A42E7C">
        <w:rPr>
          <w:lang w:val="en-US"/>
        </w:rPr>
        <w:t xml:space="preserve"> in patients with type 1 or type 2 diabetes mellitus (Tables </w:t>
      </w:r>
      <w:r w:rsidR="00EF34D9">
        <w:rPr>
          <w:lang w:val="en-US"/>
        </w:rPr>
        <w:t>3</w:t>
      </w:r>
      <w:r w:rsidRPr="00A42E7C">
        <w:rPr>
          <w:lang w:val="en-US"/>
        </w:rPr>
        <w:t xml:space="preserve"> and </w:t>
      </w:r>
      <w:r w:rsidR="00EF34D9">
        <w:rPr>
          <w:lang w:val="en-US"/>
        </w:rPr>
        <w:t>4</w:t>
      </w:r>
      <w:r w:rsidR="00881851">
        <w:rPr>
          <w:lang w:val="en-US"/>
        </w:rPr>
        <w:t>).</w:t>
      </w:r>
    </w:p>
    <w:p w14:paraId="6DA3A793" w14:textId="55B2C13B" w:rsidR="00A42E7C" w:rsidRPr="009178CA" w:rsidRDefault="00A42E7C" w:rsidP="00881851">
      <w:pPr>
        <w:pStyle w:val="Heading5"/>
        <w:rPr>
          <w:u w:val="single"/>
        </w:rPr>
      </w:pPr>
      <w:r w:rsidRPr="009178CA">
        <w:t>Patients with type 2 diabetes mellitus</w:t>
      </w:r>
    </w:p>
    <w:p w14:paraId="3A60A8CA" w14:textId="110D0E89" w:rsidR="00A42E7C" w:rsidRPr="00A42E7C" w:rsidRDefault="00A42E7C" w:rsidP="00A42E7C">
      <w:pPr>
        <w:rPr>
          <w:lang w:val="en-US"/>
        </w:rPr>
      </w:pPr>
      <w:r w:rsidRPr="00A42E7C">
        <w:t xml:space="preserve">A 26-week active-controlled confirmatory trial was conducted to compare the efficacy and safety of mealtime </w:t>
      </w:r>
      <w:proofErr w:type="spellStart"/>
      <w:r w:rsidRPr="00A42E7C">
        <w:t>Fiasp</w:t>
      </w:r>
      <w:proofErr w:type="spellEnd"/>
      <w:r w:rsidRPr="00A42E7C">
        <w:t xml:space="preserve"> (N= 345) with mealtime </w:t>
      </w:r>
      <w:proofErr w:type="spellStart"/>
      <w:r w:rsidRPr="00A42E7C">
        <w:t>NovoRapid</w:t>
      </w:r>
      <w:proofErr w:type="spellEnd"/>
      <w:r w:rsidRPr="00A42E7C">
        <w:t xml:space="preserve"> (N=344) in bolus naïve subjects with type 2 diabetes. Both treatments were in combination with insulin glargine and metformin in a basal bolus regimen. </w:t>
      </w:r>
      <w:proofErr w:type="spellStart"/>
      <w:r w:rsidRPr="00A42E7C">
        <w:t>Fiasp</w:t>
      </w:r>
      <w:proofErr w:type="spellEnd"/>
      <w:r w:rsidRPr="00A42E7C">
        <w:t xml:space="preserve"> or </w:t>
      </w:r>
      <w:proofErr w:type="spellStart"/>
      <w:r w:rsidRPr="00A42E7C">
        <w:t>NovoRapid</w:t>
      </w:r>
      <w:proofErr w:type="spellEnd"/>
      <w:r w:rsidRPr="00A42E7C">
        <w:t xml:space="preserve"> was injected 0-2 minutes before the meal. The mean age of the randomised subjects was 59.5 years and mean duration of diabetes was 12.7 years. 48.8% were male. 81.0% were White, 5.8% Black or African American</w:t>
      </w:r>
      <w:r w:rsidR="003A7D04">
        <w:t xml:space="preserve"> and</w:t>
      </w:r>
      <w:r w:rsidRPr="00A42E7C">
        <w:t xml:space="preserve"> 6.4% were Hispanic.</w:t>
      </w:r>
      <w:r w:rsidR="003A7D04">
        <w:t xml:space="preserve"> </w:t>
      </w:r>
      <w:r w:rsidRPr="00A42E7C">
        <w:t>The mean BMI was 31.2 kg/m</w:t>
      </w:r>
      <w:r w:rsidRPr="00A42E7C">
        <w:rPr>
          <w:vertAlign w:val="superscript"/>
        </w:rPr>
        <w:t>2</w:t>
      </w:r>
      <w:r w:rsidRPr="00A42E7C">
        <w:t xml:space="preserve">. </w:t>
      </w:r>
      <w:r w:rsidRPr="00A42E7C">
        <w:rPr>
          <w:lang w:val="en-US"/>
        </w:rPr>
        <w:t xml:space="preserve">In patients with type 2 diabetes mellitus, </w:t>
      </w:r>
      <w:proofErr w:type="spellStart"/>
      <w:r w:rsidRPr="00A42E7C">
        <w:rPr>
          <w:lang w:val="en-US"/>
        </w:rPr>
        <w:t>Fiasp</w:t>
      </w:r>
      <w:proofErr w:type="spellEnd"/>
      <w:r w:rsidRPr="00A42E7C">
        <w:rPr>
          <w:lang w:val="en-US"/>
        </w:rPr>
        <w:t xml:space="preserve"> was non-inferior to </w:t>
      </w:r>
      <w:proofErr w:type="spellStart"/>
      <w:r w:rsidRPr="00A42E7C">
        <w:rPr>
          <w:lang w:val="en-US"/>
        </w:rPr>
        <w:t>NovoRapid</w:t>
      </w:r>
      <w:proofErr w:type="spellEnd"/>
      <w:r w:rsidRPr="00A42E7C">
        <w:rPr>
          <w:lang w:val="en-US"/>
        </w:rPr>
        <w:t xml:space="preserve"> </w:t>
      </w:r>
      <w:r w:rsidRPr="00A42E7C">
        <w:t xml:space="preserve">(met the pre-specified non-inferiority margin (0.4%)) </w:t>
      </w:r>
      <w:r w:rsidRPr="00A42E7C">
        <w:rPr>
          <w:lang w:val="en-US"/>
        </w:rPr>
        <w:t xml:space="preserve">in achieving </w:t>
      </w:r>
      <w:proofErr w:type="spellStart"/>
      <w:r w:rsidRPr="00A42E7C">
        <w:rPr>
          <w:lang w:val="en-US"/>
        </w:rPr>
        <w:t>glycaemic</w:t>
      </w:r>
      <w:proofErr w:type="spellEnd"/>
      <w:r w:rsidRPr="00A42E7C">
        <w:rPr>
          <w:lang w:val="en-US"/>
        </w:rPr>
        <w:t xml:space="preserve"> control (Table </w:t>
      </w:r>
      <w:r w:rsidR="00EF34D9">
        <w:rPr>
          <w:lang w:val="en-US"/>
        </w:rPr>
        <w:t>4</w:t>
      </w:r>
      <w:r w:rsidRPr="00A42E7C">
        <w:rPr>
          <w:lang w:val="en-US"/>
        </w:rPr>
        <w:t>).</w:t>
      </w:r>
    </w:p>
    <w:p w14:paraId="6A3A07E5" w14:textId="3CF36481" w:rsidR="00A42E7C" w:rsidRPr="00A42E7C" w:rsidRDefault="00A42E7C" w:rsidP="00A42E7C">
      <w:pPr>
        <w:rPr>
          <w:b/>
        </w:rPr>
      </w:pPr>
      <w:proofErr w:type="spellStart"/>
      <w:r w:rsidRPr="00A42E7C">
        <w:rPr>
          <w:lang w:val="en-US"/>
        </w:rPr>
        <w:lastRenderedPageBreak/>
        <w:t>Fiasp</w:t>
      </w:r>
      <w:proofErr w:type="spellEnd"/>
      <w:r w:rsidRPr="00A42E7C">
        <w:rPr>
          <w:lang w:val="en-US"/>
        </w:rPr>
        <w:t xml:space="preserve"> as add-on to once daily basal insulin with metformin resulted in a superior reduction in HbA</w:t>
      </w:r>
      <w:r w:rsidRPr="00A42E7C">
        <w:rPr>
          <w:vertAlign w:val="subscript"/>
          <w:lang w:val="en-US"/>
        </w:rPr>
        <w:t>1c</w:t>
      </w:r>
      <w:r w:rsidRPr="00A42E7C">
        <w:rPr>
          <w:lang w:val="en-US"/>
        </w:rPr>
        <w:t xml:space="preserve"> and a statistically significant reduction in </w:t>
      </w:r>
      <w:proofErr w:type="spellStart"/>
      <w:r w:rsidRPr="00A42E7C">
        <w:rPr>
          <w:lang w:val="en-US"/>
        </w:rPr>
        <w:t>postmeal</w:t>
      </w:r>
      <w:proofErr w:type="spellEnd"/>
      <w:r w:rsidRPr="00A42E7C">
        <w:rPr>
          <w:lang w:val="en-US"/>
        </w:rPr>
        <w:t xml:space="preserve"> glucose in patients with type 2 diabetes mellitus compared to once daily basal insulin with metformin (Table </w:t>
      </w:r>
      <w:r w:rsidR="00EF34D9">
        <w:rPr>
          <w:lang w:val="en-US"/>
        </w:rPr>
        <w:t>5</w:t>
      </w:r>
      <w:r w:rsidRPr="00A42E7C">
        <w:rPr>
          <w:lang w:val="en-US"/>
        </w:rPr>
        <w:t>).</w:t>
      </w:r>
    </w:p>
    <w:p w14:paraId="0BBD0963" w14:textId="7E985155" w:rsidR="003A7D04" w:rsidRPr="003A7D04" w:rsidRDefault="003A7D04" w:rsidP="003A7D04">
      <w:pPr>
        <w:pStyle w:val="Caption"/>
        <w:jc w:val="both"/>
      </w:pPr>
      <w:r>
        <w:t xml:space="preserve">Table </w:t>
      </w:r>
      <w:r>
        <w:fldChar w:fldCharType="begin"/>
      </w:r>
      <w:r>
        <w:instrText xml:space="preserve"> SEQ Table \* ARABIC </w:instrText>
      </w:r>
      <w:r>
        <w:fldChar w:fldCharType="separate"/>
      </w:r>
      <w:r w:rsidR="00BC4F8D">
        <w:rPr>
          <w:noProof/>
        </w:rPr>
        <w:t>3</w:t>
      </w:r>
      <w:r>
        <w:fldChar w:fldCharType="end"/>
      </w:r>
      <w:r>
        <w:tab/>
      </w:r>
      <w:r w:rsidRPr="00375A33">
        <w:rPr>
          <w:lang w:val="en-AU"/>
        </w:rPr>
        <w:t xml:space="preserve">Results from </w:t>
      </w:r>
      <w:proofErr w:type="gramStart"/>
      <w:r w:rsidRPr="00375A33">
        <w:rPr>
          <w:lang w:val="en-AU"/>
        </w:rPr>
        <w:t>26 week</w:t>
      </w:r>
      <w:proofErr w:type="gramEnd"/>
      <w:r w:rsidRPr="00375A33">
        <w:rPr>
          <w:lang w:val="en-AU"/>
        </w:rPr>
        <w:t xml:space="preserve"> basal-bolus clinical trial in </w:t>
      </w:r>
      <w:r>
        <w:rPr>
          <w:lang w:val="en-AU"/>
        </w:rPr>
        <w:t>adults</w:t>
      </w:r>
      <w:r w:rsidRPr="00375A33">
        <w:rPr>
          <w:lang w:val="en-AU"/>
        </w:rPr>
        <w:t xml:space="preserve"> with type 1 diabetes</w:t>
      </w:r>
    </w:p>
    <w:tbl>
      <w:tblPr>
        <w:tblStyle w:val="TRTableInternalBorders"/>
        <w:tblW w:w="5001" w:type="pct"/>
        <w:tblInd w:w="0" w:type="dxa"/>
        <w:tblBorders>
          <w:top w:val="single" w:sz="4" w:space="0" w:color="auto"/>
          <w:bottom w:val="single" w:sz="4" w:space="0" w:color="auto"/>
        </w:tblBorders>
        <w:tblLook w:val="04A0" w:firstRow="1" w:lastRow="0" w:firstColumn="1" w:lastColumn="0" w:noHBand="0" w:noVBand="1"/>
      </w:tblPr>
      <w:tblGrid>
        <w:gridCol w:w="2257"/>
        <w:gridCol w:w="2257"/>
        <w:gridCol w:w="2257"/>
        <w:gridCol w:w="2257"/>
      </w:tblGrid>
      <w:tr w:rsidR="00A42E7C" w:rsidRPr="003736FA" w14:paraId="0408A05C" w14:textId="77777777" w:rsidTr="00E70C3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50" w:type="pct"/>
            <w:tcBorders>
              <w:left w:val="nil"/>
              <w:right w:val="nil"/>
            </w:tcBorders>
          </w:tcPr>
          <w:p w14:paraId="434B1539" w14:textId="77777777" w:rsidR="00A42E7C" w:rsidRPr="003736FA" w:rsidRDefault="00A42E7C" w:rsidP="00802FC4">
            <w:pPr>
              <w:pStyle w:val="BodyText"/>
              <w:spacing w:line="0" w:lineRule="atLeast"/>
              <w:contextualSpacing/>
            </w:pPr>
          </w:p>
        </w:tc>
        <w:tc>
          <w:tcPr>
            <w:tcW w:w="1250" w:type="pct"/>
            <w:tcBorders>
              <w:left w:val="nil"/>
              <w:right w:val="nil"/>
            </w:tcBorders>
          </w:tcPr>
          <w:p w14:paraId="327A0C11" w14:textId="77777777" w:rsidR="00A42E7C" w:rsidRPr="003736FA" w:rsidRDefault="00A42E7C" w:rsidP="00802FC4">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Fiasp</w:t>
            </w:r>
            <w:proofErr w:type="spellEnd"/>
            <w:r w:rsidRPr="003736FA">
              <w:rPr>
                <w:b w:val="0"/>
              </w:rPr>
              <w:t xml:space="preserve"> </w:t>
            </w:r>
          </w:p>
          <w:p w14:paraId="0F2DB248" w14:textId="77777777" w:rsidR="00A42E7C" w:rsidRPr="003736FA" w:rsidRDefault="00A42E7C" w:rsidP="00802FC4">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r w:rsidRPr="003736FA">
              <w:rPr>
                <w:b w:val="0"/>
              </w:rPr>
              <w:t>mealtime</w:t>
            </w:r>
            <w:r w:rsidRPr="003736FA">
              <w:rPr>
                <w:b w:val="0"/>
              </w:rPr>
              <w:br/>
              <w:t>+ insulin detemir</w:t>
            </w:r>
          </w:p>
        </w:tc>
        <w:tc>
          <w:tcPr>
            <w:tcW w:w="1250" w:type="pct"/>
            <w:tcBorders>
              <w:left w:val="nil"/>
              <w:right w:val="nil"/>
            </w:tcBorders>
          </w:tcPr>
          <w:p w14:paraId="671D4048" w14:textId="77777777" w:rsidR="00A42E7C" w:rsidRPr="003736FA" w:rsidRDefault="00A42E7C" w:rsidP="00802FC4">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Fiasp</w:t>
            </w:r>
            <w:proofErr w:type="spellEnd"/>
            <w:r w:rsidRPr="003736FA">
              <w:rPr>
                <w:b w:val="0"/>
              </w:rPr>
              <w:t xml:space="preserve"> </w:t>
            </w:r>
          </w:p>
          <w:p w14:paraId="6837F8F9" w14:textId="77777777" w:rsidR="00A42E7C" w:rsidRPr="003736FA" w:rsidRDefault="00A42E7C" w:rsidP="00802FC4">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3736FA">
              <w:rPr>
                <w:b w:val="0"/>
              </w:rPr>
              <w:t>postmeal</w:t>
            </w:r>
            <w:proofErr w:type="spellEnd"/>
            <w:r w:rsidRPr="003736FA">
              <w:rPr>
                <w:b w:val="0"/>
              </w:rPr>
              <w:br/>
              <w:t xml:space="preserve">+ insulin </w:t>
            </w:r>
            <w:proofErr w:type="spellStart"/>
            <w:r w:rsidRPr="003736FA">
              <w:rPr>
                <w:b w:val="0"/>
              </w:rPr>
              <w:t>detemir</w:t>
            </w:r>
            <w:proofErr w:type="spellEnd"/>
          </w:p>
        </w:tc>
        <w:tc>
          <w:tcPr>
            <w:tcW w:w="1250" w:type="pct"/>
            <w:tcBorders>
              <w:left w:val="nil"/>
              <w:right w:val="nil"/>
            </w:tcBorders>
          </w:tcPr>
          <w:p w14:paraId="46575B19" w14:textId="77777777" w:rsidR="00A42E7C" w:rsidRPr="003736FA" w:rsidRDefault="00A42E7C" w:rsidP="00802FC4">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3736FA">
              <w:rPr>
                <w:b w:val="0"/>
              </w:rPr>
              <w:t>NovoRapid</w:t>
            </w:r>
            <w:proofErr w:type="spellEnd"/>
            <w:r w:rsidRPr="003736FA">
              <w:rPr>
                <w:b w:val="0"/>
              </w:rPr>
              <w:t xml:space="preserve"> </w:t>
            </w:r>
          </w:p>
          <w:p w14:paraId="204EA47A" w14:textId="77777777" w:rsidR="00A42E7C" w:rsidRPr="003736FA" w:rsidRDefault="00A42E7C" w:rsidP="00802FC4">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r w:rsidRPr="003736FA">
              <w:rPr>
                <w:b w:val="0"/>
              </w:rPr>
              <w:t>mealtime</w:t>
            </w:r>
            <w:r w:rsidRPr="003736FA">
              <w:rPr>
                <w:b w:val="0"/>
              </w:rPr>
              <w:br/>
              <w:t>+ insulin detemir</w:t>
            </w:r>
          </w:p>
        </w:tc>
      </w:tr>
      <w:tr w:rsidR="00A42E7C" w:rsidRPr="003736FA" w14:paraId="6BD2A72F" w14:textId="77777777" w:rsidTr="00E70C38">
        <w:trPr>
          <w:trHeight w:val="175"/>
        </w:trPr>
        <w:tc>
          <w:tcPr>
            <w:tcW w:w="1250" w:type="pct"/>
            <w:tcBorders>
              <w:left w:val="nil"/>
              <w:right w:val="nil"/>
            </w:tcBorders>
          </w:tcPr>
          <w:p w14:paraId="59FC9A33" w14:textId="77777777" w:rsidR="00A42E7C" w:rsidRPr="003736FA" w:rsidRDefault="00A42E7C" w:rsidP="00802FC4">
            <w:pPr>
              <w:pStyle w:val="BodyText"/>
              <w:spacing w:line="0" w:lineRule="atLeast"/>
              <w:contextualSpacing/>
              <w:rPr>
                <w:b/>
              </w:rPr>
            </w:pPr>
            <w:r w:rsidRPr="003736FA">
              <w:rPr>
                <w:b/>
              </w:rPr>
              <w:t>N</w:t>
            </w:r>
          </w:p>
        </w:tc>
        <w:tc>
          <w:tcPr>
            <w:tcW w:w="1250" w:type="pct"/>
            <w:tcBorders>
              <w:left w:val="nil"/>
              <w:right w:val="nil"/>
            </w:tcBorders>
          </w:tcPr>
          <w:p w14:paraId="4AB479E2" w14:textId="77777777" w:rsidR="00A42E7C" w:rsidRPr="003736FA" w:rsidRDefault="00A42E7C" w:rsidP="00802FC4">
            <w:pPr>
              <w:pStyle w:val="BodyText"/>
              <w:spacing w:line="0" w:lineRule="atLeast"/>
              <w:contextualSpacing/>
              <w:jc w:val="center"/>
            </w:pPr>
            <w:r w:rsidRPr="003736FA">
              <w:rPr>
                <w:sz w:val="16"/>
              </w:rPr>
              <w:t>381</w:t>
            </w:r>
          </w:p>
        </w:tc>
        <w:tc>
          <w:tcPr>
            <w:tcW w:w="1250" w:type="pct"/>
            <w:tcBorders>
              <w:left w:val="nil"/>
              <w:right w:val="nil"/>
            </w:tcBorders>
          </w:tcPr>
          <w:p w14:paraId="08B4A766" w14:textId="77777777" w:rsidR="00A42E7C" w:rsidRPr="003736FA" w:rsidRDefault="00A42E7C" w:rsidP="00802FC4">
            <w:pPr>
              <w:pStyle w:val="BodyText"/>
              <w:spacing w:line="0" w:lineRule="atLeast"/>
              <w:contextualSpacing/>
              <w:jc w:val="center"/>
            </w:pPr>
            <w:r w:rsidRPr="003736FA">
              <w:rPr>
                <w:sz w:val="16"/>
              </w:rPr>
              <w:t>382</w:t>
            </w:r>
          </w:p>
        </w:tc>
        <w:tc>
          <w:tcPr>
            <w:tcW w:w="1250" w:type="pct"/>
            <w:tcBorders>
              <w:left w:val="nil"/>
              <w:right w:val="nil"/>
            </w:tcBorders>
          </w:tcPr>
          <w:p w14:paraId="1586B4CC" w14:textId="77777777" w:rsidR="00A42E7C" w:rsidRPr="003736FA" w:rsidRDefault="00A42E7C" w:rsidP="00802FC4">
            <w:pPr>
              <w:pStyle w:val="BodyText"/>
              <w:spacing w:line="0" w:lineRule="atLeast"/>
              <w:contextualSpacing/>
              <w:jc w:val="center"/>
            </w:pPr>
            <w:r w:rsidRPr="003736FA">
              <w:rPr>
                <w:sz w:val="16"/>
              </w:rPr>
              <w:t>380</w:t>
            </w:r>
          </w:p>
        </w:tc>
      </w:tr>
      <w:tr w:rsidR="00A42E7C" w:rsidRPr="003736FA" w14:paraId="37B16059" w14:textId="77777777" w:rsidTr="00E70C38">
        <w:tc>
          <w:tcPr>
            <w:tcW w:w="1250" w:type="pct"/>
            <w:tcBorders>
              <w:left w:val="nil"/>
              <w:bottom w:val="nil"/>
              <w:right w:val="nil"/>
            </w:tcBorders>
            <w:tcMar>
              <w:top w:w="0" w:type="dxa"/>
              <w:bottom w:w="0" w:type="dxa"/>
            </w:tcMar>
          </w:tcPr>
          <w:p w14:paraId="0B64B54E" w14:textId="77777777" w:rsidR="00A42E7C" w:rsidRPr="003736FA" w:rsidRDefault="00A42E7C" w:rsidP="00802FC4">
            <w:pPr>
              <w:pStyle w:val="BodyText"/>
              <w:spacing w:line="0" w:lineRule="atLeast"/>
              <w:contextualSpacing/>
            </w:pPr>
            <w:r w:rsidRPr="003736FA">
              <w:rPr>
                <w:b/>
              </w:rPr>
              <w:t>HbA</w:t>
            </w:r>
            <w:r w:rsidRPr="003736FA">
              <w:rPr>
                <w:b/>
                <w:vertAlign w:val="subscript"/>
              </w:rPr>
              <w:t>1c</w:t>
            </w:r>
            <w:r w:rsidRPr="003736FA">
              <w:rPr>
                <w:b/>
              </w:rPr>
              <w:t xml:space="preserve"> (%)</w:t>
            </w:r>
          </w:p>
        </w:tc>
        <w:tc>
          <w:tcPr>
            <w:tcW w:w="1250" w:type="pct"/>
            <w:tcBorders>
              <w:left w:val="nil"/>
              <w:bottom w:val="nil"/>
              <w:right w:val="nil"/>
            </w:tcBorders>
            <w:tcMar>
              <w:top w:w="0" w:type="dxa"/>
              <w:bottom w:w="0" w:type="dxa"/>
            </w:tcMar>
          </w:tcPr>
          <w:p w14:paraId="318C354C" w14:textId="77777777" w:rsidR="00A42E7C" w:rsidRPr="003736FA" w:rsidRDefault="00A42E7C" w:rsidP="00802FC4">
            <w:pPr>
              <w:pStyle w:val="BodyText"/>
              <w:spacing w:line="0" w:lineRule="atLeast"/>
              <w:contextualSpacing/>
              <w:jc w:val="center"/>
              <w:rPr>
                <w:i/>
              </w:rPr>
            </w:pPr>
          </w:p>
        </w:tc>
        <w:tc>
          <w:tcPr>
            <w:tcW w:w="1250" w:type="pct"/>
            <w:tcBorders>
              <w:left w:val="nil"/>
              <w:bottom w:val="nil"/>
              <w:right w:val="nil"/>
            </w:tcBorders>
            <w:tcMar>
              <w:top w:w="0" w:type="dxa"/>
              <w:bottom w:w="0" w:type="dxa"/>
            </w:tcMar>
          </w:tcPr>
          <w:p w14:paraId="6AE574C8"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7FBE0421" w14:textId="77777777" w:rsidR="00A42E7C" w:rsidRPr="003736FA" w:rsidRDefault="00A42E7C" w:rsidP="00802FC4">
            <w:pPr>
              <w:pStyle w:val="BodyText"/>
              <w:spacing w:line="0" w:lineRule="atLeast"/>
              <w:contextualSpacing/>
              <w:jc w:val="center"/>
            </w:pPr>
          </w:p>
        </w:tc>
      </w:tr>
      <w:tr w:rsidR="00A42E7C" w:rsidRPr="003736FA" w14:paraId="116A0130" w14:textId="77777777" w:rsidTr="00E70C38">
        <w:tc>
          <w:tcPr>
            <w:tcW w:w="1250" w:type="pct"/>
            <w:tcBorders>
              <w:top w:val="nil"/>
              <w:left w:val="nil"/>
              <w:bottom w:val="nil"/>
              <w:right w:val="nil"/>
            </w:tcBorders>
            <w:tcMar>
              <w:top w:w="0" w:type="dxa"/>
              <w:bottom w:w="0" w:type="dxa"/>
            </w:tcMar>
          </w:tcPr>
          <w:p w14:paraId="2ACA01A3" w14:textId="77777777" w:rsidR="00A42E7C" w:rsidRPr="003736FA" w:rsidRDefault="00A42E7C" w:rsidP="00802FC4">
            <w:pPr>
              <w:pStyle w:val="BodyText"/>
              <w:spacing w:line="0" w:lineRule="atLeast"/>
              <w:contextualSpacing/>
              <w:rPr>
                <w:b/>
                <w:sz w:val="16"/>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bottom w:val="nil"/>
              <w:right w:val="nil"/>
            </w:tcBorders>
            <w:tcMar>
              <w:top w:w="0" w:type="dxa"/>
              <w:bottom w:w="0" w:type="dxa"/>
            </w:tcMar>
          </w:tcPr>
          <w:p w14:paraId="22AD92BF" w14:textId="77777777" w:rsidR="00A42E7C" w:rsidRPr="003736FA" w:rsidRDefault="00A42E7C" w:rsidP="00802FC4">
            <w:pPr>
              <w:pStyle w:val="BodyText"/>
              <w:spacing w:line="0" w:lineRule="atLeast"/>
              <w:contextualSpacing/>
              <w:jc w:val="center"/>
              <w:rPr>
                <w:sz w:val="16"/>
              </w:rPr>
            </w:pPr>
            <w:r w:rsidRPr="003736FA">
              <w:rPr>
                <w:sz w:val="16"/>
              </w:rPr>
              <w:t xml:space="preserve">7.6 </w:t>
            </w:r>
            <w:r w:rsidRPr="003736FA">
              <w:rPr>
                <w:sz w:val="16"/>
              </w:rPr>
              <w:sym w:font="Wingdings 3" w:char="F09E"/>
            </w:r>
            <w:r w:rsidRPr="003736FA">
              <w:rPr>
                <w:sz w:val="16"/>
              </w:rPr>
              <w:t xml:space="preserve"> 7.3 </w:t>
            </w:r>
          </w:p>
        </w:tc>
        <w:tc>
          <w:tcPr>
            <w:tcW w:w="1250" w:type="pct"/>
            <w:tcBorders>
              <w:top w:val="nil"/>
              <w:left w:val="nil"/>
              <w:bottom w:val="nil"/>
              <w:right w:val="nil"/>
            </w:tcBorders>
            <w:tcMar>
              <w:top w:w="0" w:type="dxa"/>
              <w:bottom w:w="0" w:type="dxa"/>
            </w:tcMar>
          </w:tcPr>
          <w:p w14:paraId="77E37CA1" w14:textId="77777777" w:rsidR="00A42E7C" w:rsidRPr="003736FA" w:rsidRDefault="00A42E7C" w:rsidP="00802FC4">
            <w:pPr>
              <w:pStyle w:val="BodyText"/>
              <w:spacing w:line="0" w:lineRule="atLeast"/>
              <w:contextualSpacing/>
              <w:jc w:val="center"/>
              <w:rPr>
                <w:sz w:val="16"/>
              </w:rPr>
            </w:pPr>
            <w:r w:rsidRPr="003736FA">
              <w:rPr>
                <w:sz w:val="16"/>
              </w:rPr>
              <w:t xml:space="preserve">7.6 </w:t>
            </w:r>
            <w:r w:rsidRPr="003736FA">
              <w:rPr>
                <w:sz w:val="16"/>
              </w:rPr>
              <w:sym w:font="Wingdings 3" w:char="F09E"/>
            </w:r>
            <w:r w:rsidRPr="003736FA">
              <w:rPr>
                <w:sz w:val="16"/>
              </w:rPr>
              <w:t xml:space="preserve"> 7.5</w:t>
            </w:r>
          </w:p>
        </w:tc>
        <w:tc>
          <w:tcPr>
            <w:tcW w:w="1250" w:type="pct"/>
            <w:tcBorders>
              <w:top w:val="nil"/>
              <w:left w:val="nil"/>
              <w:bottom w:val="nil"/>
              <w:right w:val="nil"/>
            </w:tcBorders>
            <w:tcMar>
              <w:top w:w="0" w:type="dxa"/>
              <w:bottom w:w="0" w:type="dxa"/>
            </w:tcMar>
          </w:tcPr>
          <w:p w14:paraId="6D31251F" w14:textId="77777777" w:rsidR="00A42E7C" w:rsidRPr="003736FA" w:rsidRDefault="00A42E7C" w:rsidP="00802FC4">
            <w:pPr>
              <w:pStyle w:val="BodyText"/>
              <w:spacing w:line="0" w:lineRule="atLeast"/>
              <w:contextualSpacing/>
              <w:jc w:val="center"/>
              <w:rPr>
                <w:sz w:val="16"/>
              </w:rPr>
            </w:pPr>
            <w:r w:rsidRPr="003736FA">
              <w:rPr>
                <w:sz w:val="16"/>
              </w:rPr>
              <w:t xml:space="preserve">7.6 </w:t>
            </w:r>
            <w:r w:rsidRPr="003736FA">
              <w:rPr>
                <w:sz w:val="16"/>
              </w:rPr>
              <w:sym w:font="Wingdings 3" w:char="F09E"/>
            </w:r>
            <w:r w:rsidRPr="003736FA">
              <w:rPr>
                <w:sz w:val="16"/>
              </w:rPr>
              <w:t xml:space="preserve"> 7.4</w:t>
            </w:r>
          </w:p>
        </w:tc>
      </w:tr>
      <w:tr w:rsidR="00A42E7C" w:rsidRPr="003736FA" w14:paraId="1622C31E" w14:textId="77777777" w:rsidTr="00E70C38">
        <w:tc>
          <w:tcPr>
            <w:tcW w:w="1250" w:type="pct"/>
            <w:tcBorders>
              <w:top w:val="nil"/>
              <w:left w:val="nil"/>
              <w:bottom w:val="nil"/>
              <w:right w:val="nil"/>
            </w:tcBorders>
            <w:tcMar>
              <w:top w:w="0" w:type="dxa"/>
              <w:bottom w:w="0" w:type="dxa"/>
            </w:tcMar>
          </w:tcPr>
          <w:p w14:paraId="2ABC49B5" w14:textId="77777777" w:rsidR="00A42E7C" w:rsidRPr="003736FA" w:rsidRDefault="00A42E7C" w:rsidP="00802FC4">
            <w:pPr>
              <w:pStyle w:val="BodyText"/>
              <w:spacing w:line="0" w:lineRule="atLeast"/>
              <w:contextualSpacing/>
              <w:rPr>
                <w:b/>
                <w:sz w:val="16"/>
              </w:rPr>
            </w:pPr>
            <w:r w:rsidRPr="003736FA">
              <w:rPr>
                <w:sz w:val="16"/>
              </w:rPr>
              <w:t xml:space="preserve">Adjusted change from baseline </w:t>
            </w:r>
          </w:p>
        </w:tc>
        <w:tc>
          <w:tcPr>
            <w:tcW w:w="1250" w:type="pct"/>
            <w:tcBorders>
              <w:top w:val="nil"/>
              <w:left w:val="nil"/>
              <w:bottom w:val="nil"/>
              <w:right w:val="nil"/>
            </w:tcBorders>
            <w:tcMar>
              <w:top w:w="0" w:type="dxa"/>
              <w:bottom w:w="0" w:type="dxa"/>
            </w:tcMar>
          </w:tcPr>
          <w:p w14:paraId="1464723C" w14:textId="77777777" w:rsidR="00A42E7C" w:rsidRPr="003736FA" w:rsidRDefault="00A42E7C" w:rsidP="00802FC4">
            <w:pPr>
              <w:pStyle w:val="BodyText"/>
              <w:spacing w:line="0" w:lineRule="atLeast"/>
              <w:contextualSpacing/>
              <w:jc w:val="center"/>
              <w:rPr>
                <w:sz w:val="16"/>
              </w:rPr>
            </w:pPr>
            <w:r w:rsidRPr="003736FA">
              <w:rPr>
                <w:sz w:val="16"/>
              </w:rPr>
              <w:t>-0.32</w:t>
            </w:r>
          </w:p>
        </w:tc>
        <w:tc>
          <w:tcPr>
            <w:tcW w:w="1250" w:type="pct"/>
            <w:tcBorders>
              <w:top w:val="nil"/>
              <w:left w:val="nil"/>
              <w:bottom w:val="nil"/>
              <w:right w:val="nil"/>
            </w:tcBorders>
            <w:tcMar>
              <w:top w:w="0" w:type="dxa"/>
              <w:bottom w:w="0" w:type="dxa"/>
            </w:tcMar>
          </w:tcPr>
          <w:p w14:paraId="6C7F143A" w14:textId="77777777" w:rsidR="00A42E7C" w:rsidRPr="003736FA" w:rsidRDefault="00A42E7C" w:rsidP="00802FC4">
            <w:pPr>
              <w:pStyle w:val="BodyText"/>
              <w:spacing w:line="0" w:lineRule="atLeast"/>
              <w:contextualSpacing/>
              <w:jc w:val="center"/>
              <w:rPr>
                <w:sz w:val="16"/>
              </w:rPr>
            </w:pPr>
            <w:r w:rsidRPr="003736FA">
              <w:rPr>
                <w:sz w:val="16"/>
              </w:rPr>
              <w:t>-0.13</w:t>
            </w:r>
          </w:p>
        </w:tc>
        <w:tc>
          <w:tcPr>
            <w:tcW w:w="1250" w:type="pct"/>
            <w:tcBorders>
              <w:top w:val="nil"/>
              <w:left w:val="nil"/>
              <w:bottom w:val="nil"/>
              <w:right w:val="nil"/>
            </w:tcBorders>
            <w:tcMar>
              <w:top w:w="0" w:type="dxa"/>
              <w:bottom w:w="0" w:type="dxa"/>
            </w:tcMar>
          </w:tcPr>
          <w:p w14:paraId="6237EA42" w14:textId="77777777" w:rsidR="00A42E7C" w:rsidRPr="003736FA" w:rsidRDefault="00A42E7C" w:rsidP="00802FC4">
            <w:pPr>
              <w:pStyle w:val="BodyText"/>
              <w:spacing w:line="0" w:lineRule="atLeast"/>
              <w:contextualSpacing/>
              <w:jc w:val="center"/>
              <w:rPr>
                <w:sz w:val="16"/>
              </w:rPr>
            </w:pPr>
            <w:r w:rsidRPr="003736FA">
              <w:rPr>
                <w:sz w:val="16"/>
              </w:rPr>
              <w:t>-0.17</w:t>
            </w:r>
          </w:p>
        </w:tc>
      </w:tr>
      <w:tr w:rsidR="00A42E7C" w:rsidRPr="003736FA" w14:paraId="43068560" w14:textId="77777777" w:rsidTr="00E70C38">
        <w:tc>
          <w:tcPr>
            <w:tcW w:w="1250" w:type="pct"/>
            <w:tcBorders>
              <w:top w:val="nil"/>
              <w:left w:val="nil"/>
              <w:bottom w:val="single" w:sz="4" w:space="0" w:color="auto"/>
              <w:right w:val="nil"/>
            </w:tcBorders>
            <w:tcMar>
              <w:top w:w="0" w:type="dxa"/>
              <w:bottom w:w="0" w:type="dxa"/>
            </w:tcMar>
          </w:tcPr>
          <w:p w14:paraId="4EA400E8" w14:textId="77777777" w:rsidR="00A42E7C" w:rsidRPr="003736FA" w:rsidRDefault="00A42E7C" w:rsidP="00802FC4">
            <w:pPr>
              <w:pStyle w:val="BodyText"/>
              <w:spacing w:line="0" w:lineRule="atLeast"/>
              <w:contextualSpacing/>
              <w:rPr>
                <w:b/>
                <w:sz w:val="16"/>
              </w:rPr>
            </w:pPr>
            <w:r w:rsidRPr="003736FA">
              <w:rPr>
                <w:i/>
                <w:sz w:val="16"/>
              </w:rPr>
              <w:t>Estimated treatment difference</w:t>
            </w:r>
          </w:p>
        </w:tc>
        <w:tc>
          <w:tcPr>
            <w:tcW w:w="1250" w:type="pct"/>
            <w:tcBorders>
              <w:top w:val="nil"/>
              <w:left w:val="nil"/>
              <w:bottom w:val="single" w:sz="4" w:space="0" w:color="auto"/>
              <w:right w:val="nil"/>
            </w:tcBorders>
            <w:tcMar>
              <w:top w:w="0" w:type="dxa"/>
              <w:bottom w:w="0" w:type="dxa"/>
            </w:tcMar>
          </w:tcPr>
          <w:p w14:paraId="04C3A82A" w14:textId="77777777" w:rsidR="00A42E7C" w:rsidRPr="003736FA" w:rsidRDefault="00A42E7C" w:rsidP="00802FC4">
            <w:pPr>
              <w:pStyle w:val="BodyText"/>
              <w:spacing w:line="0" w:lineRule="atLeast"/>
              <w:contextualSpacing/>
              <w:jc w:val="center"/>
              <w:rPr>
                <w:sz w:val="16"/>
              </w:rPr>
            </w:pPr>
            <w:r w:rsidRPr="003736FA">
              <w:rPr>
                <w:i/>
                <w:sz w:val="16"/>
              </w:rPr>
              <w:t>-0.15 [-0.23;-0.07]</w:t>
            </w:r>
            <w:r w:rsidRPr="003736FA">
              <w:rPr>
                <w:sz w:val="16"/>
                <w:vertAlign w:val="superscript"/>
              </w:rPr>
              <w:t>DF</w:t>
            </w:r>
          </w:p>
        </w:tc>
        <w:tc>
          <w:tcPr>
            <w:tcW w:w="1250" w:type="pct"/>
            <w:tcBorders>
              <w:top w:val="nil"/>
              <w:left w:val="nil"/>
              <w:bottom w:val="single" w:sz="4" w:space="0" w:color="auto"/>
              <w:right w:val="nil"/>
            </w:tcBorders>
            <w:tcMar>
              <w:top w:w="0" w:type="dxa"/>
              <w:bottom w:w="0" w:type="dxa"/>
            </w:tcMar>
          </w:tcPr>
          <w:p w14:paraId="61170B9A" w14:textId="77777777" w:rsidR="00A42E7C" w:rsidRPr="003736FA" w:rsidRDefault="00A42E7C" w:rsidP="00802FC4">
            <w:pPr>
              <w:pStyle w:val="BodyText"/>
              <w:spacing w:line="0" w:lineRule="atLeast"/>
              <w:contextualSpacing/>
              <w:jc w:val="center"/>
              <w:rPr>
                <w:sz w:val="16"/>
              </w:rPr>
            </w:pPr>
            <w:r w:rsidRPr="003736FA">
              <w:rPr>
                <w:i/>
                <w:sz w:val="16"/>
              </w:rPr>
              <w:t>0.04 [-0.04;0.12]</w:t>
            </w:r>
            <w:r w:rsidRPr="003736FA">
              <w:rPr>
                <w:sz w:val="16"/>
                <w:vertAlign w:val="superscript"/>
              </w:rPr>
              <w:t>E</w:t>
            </w:r>
          </w:p>
        </w:tc>
        <w:tc>
          <w:tcPr>
            <w:tcW w:w="1250" w:type="pct"/>
            <w:tcBorders>
              <w:top w:val="nil"/>
              <w:left w:val="nil"/>
              <w:bottom w:val="single" w:sz="4" w:space="0" w:color="auto"/>
              <w:right w:val="nil"/>
            </w:tcBorders>
            <w:tcMar>
              <w:top w:w="0" w:type="dxa"/>
              <w:bottom w:w="0" w:type="dxa"/>
            </w:tcMar>
          </w:tcPr>
          <w:p w14:paraId="4C250390" w14:textId="77777777" w:rsidR="00A42E7C" w:rsidRPr="003736FA" w:rsidRDefault="00A42E7C" w:rsidP="00802FC4">
            <w:pPr>
              <w:pStyle w:val="BodyText"/>
              <w:spacing w:line="0" w:lineRule="atLeast"/>
              <w:contextualSpacing/>
              <w:jc w:val="center"/>
              <w:rPr>
                <w:sz w:val="16"/>
              </w:rPr>
            </w:pPr>
          </w:p>
        </w:tc>
      </w:tr>
      <w:tr w:rsidR="00A42E7C" w:rsidRPr="003736FA" w14:paraId="74E2A6D4" w14:textId="77777777" w:rsidTr="00E70C38">
        <w:tc>
          <w:tcPr>
            <w:tcW w:w="1250" w:type="pct"/>
            <w:tcBorders>
              <w:top w:val="single" w:sz="4" w:space="0" w:color="auto"/>
              <w:left w:val="nil"/>
              <w:bottom w:val="nil"/>
              <w:right w:val="nil"/>
            </w:tcBorders>
            <w:tcMar>
              <w:top w:w="0" w:type="dxa"/>
              <w:bottom w:w="0" w:type="dxa"/>
            </w:tcMar>
          </w:tcPr>
          <w:p w14:paraId="6C379A73" w14:textId="77777777" w:rsidR="00A42E7C" w:rsidRPr="003736FA" w:rsidRDefault="00A42E7C" w:rsidP="00802FC4">
            <w:pPr>
              <w:pStyle w:val="BodyText"/>
              <w:spacing w:line="0" w:lineRule="atLeast"/>
              <w:contextualSpacing/>
              <w:rPr>
                <w:b/>
              </w:rPr>
            </w:pPr>
            <w:r w:rsidRPr="003736FA">
              <w:rPr>
                <w:b/>
              </w:rPr>
              <w:t>HbA</w:t>
            </w:r>
            <w:r w:rsidRPr="003736FA">
              <w:rPr>
                <w:b/>
                <w:vertAlign w:val="subscript"/>
              </w:rPr>
              <w:t>1c</w:t>
            </w:r>
            <w:r w:rsidRPr="003736FA">
              <w:rPr>
                <w:b/>
              </w:rPr>
              <w:t xml:space="preserve"> (mmol/mol)</w:t>
            </w:r>
          </w:p>
        </w:tc>
        <w:tc>
          <w:tcPr>
            <w:tcW w:w="1250" w:type="pct"/>
            <w:tcBorders>
              <w:top w:val="single" w:sz="4" w:space="0" w:color="auto"/>
              <w:left w:val="nil"/>
              <w:bottom w:val="nil"/>
              <w:right w:val="nil"/>
            </w:tcBorders>
            <w:tcMar>
              <w:top w:w="0" w:type="dxa"/>
              <w:bottom w:w="0" w:type="dxa"/>
            </w:tcMar>
          </w:tcPr>
          <w:p w14:paraId="2C2D212B" w14:textId="77777777" w:rsidR="00A42E7C" w:rsidRPr="003736FA" w:rsidRDefault="00A42E7C" w:rsidP="00802FC4">
            <w:pPr>
              <w:pStyle w:val="BodyText"/>
              <w:spacing w:line="0" w:lineRule="atLeast"/>
              <w:contextualSpacing/>
              <w:jc w:val="center"/>
            </w:pPr>
          </w:p>
        </w:tc>
        <w:tc>
          <w:tcPr>
            <w:tcW w:w="1250" w:type="pct"/>
            <w:tcBorders>
              <w:top w:val="single" w:sz="4" w:space="0" w:color="auto"/>
              <w:left w:val="nil"/>
              <w:bottom w:val="nil"/>
              <w:right w:val="nil"/>
            </w:tcBorders>
            <w:tcMar>
              <w:top w:w="0" w:type="dxa"/>
              <w:bottom w:w="0" w:type="dxa"/>
            </w:tcMar>
          </w:tcPr>
          <w:p w14:paraId="5A5E3DF8" w14:textId="77777777" w:rsidR="00A42E7C" w:rsidRPr="003736FA" w:rsidRDefault="00A42E7C" w:rsidP="00802FC4">
            <w:pPr>
              <w:pStyle w:val="BodyText"/>
              <w:spacing w:line="0" w:lineRule="atLeast"/>
              <w:contextualSpacing/>
              <w:jc w:val="center"/>
            </w:pPr>
          </w:p>
        </w:tc>
        <w:tc>
          <w:tcPr>
            <w:tcW w:w="1250" w:type="pct"/>
            <w:tcBorders>
              <w:top w:val="single" w:sz="4" w:space="0" w:color="auto"/>
              <w:left w:val="nil"/>
              <w:bottom w:val="nil"/>
              <w:right w:val="nil"/>
            </w:tcBorders>
            <w:tcMar>
              <w:top w:w="0" w:type="dxa"/>
              <w:bottom w:w="0" w:type="dxa"/>
            </w:tcMar>
          </w:tcPr>
          <w:p w14:paraId="6C7C3AA4" w14:textId="77777777" w:rsidR="00A42E7C" w:rsidRPr="003736FA" w:rsidRDefault="00A42E7C" w:rsidP="00802FC4">
            <w:pPr>
              <w:pStyle w:val="BodyText"/>
              <w:spacing w:line="0" w:lineRule="atLeast"/>
              <w:contextualSpacing/>
              <w:jc w:val="center"/>
            </w:pPr>
          </w:p>
        </w:tc>
      </w:tr>
      <w:tr w:rsidR="00A42E7C" w:rsidRPr="003736FA" w14:paraId="7A631F6B" w14:textId="77777777" w:rsidTr="00E70C38">
        <w:tc>
          <w:tcPr>
            <w:tcW w:w="1250" w:type="pct"/>
            <w:tcBorders>
              <w:top w:val="nil"/>
              <w:left w:val="nil"/>
              <w:bottom w:val="nil"/>
              <w:right w:val="nil"/>
            </w:tcBorders>
            <w:tcMar>
              <w:top w:w="0" w:type="dxa"/>
              <w:bottom w:w="0" w:type="dxa"/>
            </w:tcMar>
          </w:tcPr>
          <w:p w14:paraId="3626F998" w14:textId="77777777" w:rsidR="00A42E7C" w:rsidRPr="003736FA" w:rsidRDefault="00A42E7C" w:rsidP="00802FC4">
            <w:pPr>
              <w:pStyle w:val="BodyText"/>
              <w:spacing w:line="0" w:lineRule="atLeast"/>
              <w:contextualSpacing/>
              <w:rPr>
                <w:b/>
                <w:sz w:val="16"/>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bottom w:val="nil"/>
              <w:right w:val="nil"/>
            </w:tcBorders>
            <w:tcMar>
              <w:top w:w="0" w:type="dxa"/>
              <w:bottom w:w="0" w:type="dxa"/>
            </w:tcMar>
          </w:tcPr>
          <w:p w14:paraId="10420953" w14:textId="77777777" w:rsidR="00A42E7C" w:rsidRPr="003736FA" w:rsidRDefault="00A42E7C" w:rsidP="00802FC4">
            <w:pPr>
              <w:pStyle w:val="BodyText"/>
              <w:spacing w:line="0" w:lineRule="atLeast"/>
              <w:contextualSpacing/>
              <w:jc w:val="center"/>
              <w:rPr>
                <w:sz w:val="16"/>
              </w:rPr>
            </w:pPr>
            <w:r w:rsidRPr="003736FA">
              <w:rPr>
                <w:sz w:val="16"/>
              </w:rPr>
              <w:t xml:space="preserve">59.7 </w:t>
            </w:r>
            <w:r w:rsidRPr="003736FA">
              <w:rPr>
                <w:sz w:val="16"/>
              </w:rPr>
              <w:sym w:font="Wingdings 3" w:char="F09E"/>
            </w:r>
            <w:r w:rsidRPr="003736FA">
              <w:rPr>
                <w:sz w:val="16"/>
              </w:rPr>
              <w:t xml:space="preserve"> 56.4</w:t>
            </w:r>
          </w:p>
        </w:tc>
        <w:tc>
          <w:tcPr>
            <w:tcW w:w="1250" w:type="pct"/>
            <w:tcBorders>
              <w:top w:val="nil"/>
              <w:left w:val="nil"/>
              <w:bottom w:val="nil"/>
              <w:right w:val="nil"/>
            </w:tcBorders>
            <w:tcMar>
              <w:top w:w="0" w:type="dxa"/>
              <w:bottom w:w="0" w:type="dxa"/>
            </w:tcMar>
          </w:tcPr>
          <w:p w14:paraId="506C651B" w14:textId="77777777" w:rsidR="00A42E7C" w:rsidRPr="003736FA" w:rsidRDefault="00A42E7C" w:rsidP="00802FC4">
            <w:pPr>
              <w:pStyle w:val="BodyText"/>
              <w:spacing w:line="0" w:lineRule="atLeast"/>
              <w:contextualSpacing/>
              <w:jc w:val="center"/>
              <w:rPr>
                <w:sz w:val="16"/>
              </w:rPr>
            </w:pPr>
            <w:r w:rsidRPr="003736FA">
              <w:rPr>
                <w:sz w:val="16"/>
              </w:rPr>
              <w:t xml:space="preserve">59.9 </w:t>
            </w:r>
            <w:r w:rsidRPr="003736FA">
              <w:rPr>
                <w:sz w:val="16"/>
              </w:rPr>
              <w:sym w:font="Wingdings 3" w:char="F09E"/>
            </w:r>
            <w:r w:rsidRPr="003736FA">
              <w:rPr>
                <w:sz w:val="16"/>
              </w:rPr>
              <w:t xml:space="preserve"> 58.6</w:t>
            </w:r>
          </w:p>
        </w:tc>
        <w:tc>
          <w:tcPr>
            <w:tcW w:w="1250" w:type="pct"/>
            <w:tcBorders>
              <w:top w:val="nil"/>
              <w:left w:val="nil"/>
              <w:bottom w:val="nil"/>
              <w:right w:val="nil"/>
            </w:tcBorders>
            <w:tcMar>
              <w:top w:w="0" w:type="dxa"/>
              <w:bottom w:w="0" w:type="dxa"/>
            </w:tcMar>
          </w:tcPr>
          <w:p w14:paraId="696FA03C" w14:textId="77777777" w:rsidR="00A42E7C" w:rsidRPr="003736FA" w:rsidRDefault="00A42E7C" w:rsidP="00802FC4">
            <w:pPr>
              <w:pStyle w:val="BodyText"/>
              <w:spacing w:line="0" w:lineRule="atLeast"/>
              <w:contextualSpacing/>
              <w:jc w:val="center"/>
              <w:rPr>
                <w:sz w:val="16"/>
              </w:rPr>
            </w:pPr>
            <w:r w:rsidRPr="003736FA">
              <w:rPr>
                <w:sz w:val="16"/>
              </w:rPr>
              <w:t xml:space="preserve">59.3 </w:t>
            </w:r>
            <w:r w:rsidRPr="003736FA">
              <w:rPr>
                <w:sz w:val="16"/>
              </w:rPr>
              <w:sym w:font="Wingdings 3" w:char="F09E"/>
            </w:r>
            <w:r w:rsidRPr="003736FA">
              <w:rPr>
                <w:sz w:val="16"/>
              </w:rPr>
              <w:t xml:space="preserve"> 57.6</w:t>
            </w:r>
          </w:p>
        </w:tc>
      </w:tr>
      <w:tr w:rsidR="00A42E7C" w:rsidRPr="003736FA" w14:paraId="3C0A026E" w14:textId="77777777" w:rsidTr="00E70C38">
        <w:tc>
          <w:tcPr>
            <w:tcW w:w="1250" w:type="pct"/>
            <w:tcBorders>
              <w:top w:val="nil"/>
              <w:left w:val="nil"/>
              <w:bottom w:val="nil"/>
              <w:right w:val="nil"/>
            </w:tcBorders>
            <w:tcMar>
              <w:top w:w="0" w:type="dxa"/>
              <w:bottom w:w="0" w:type="dxa"/>
            </w:tcMar>
          </w:tcPr>
          <w:p w14:paraId="47B95537" w14:textId="77777777" w:rsidR="00A42E7C" w:rsidRPr="003736FA" w:rsidRDefault="00A42E7C" w:rsidP="00802FC4">
            <w:pPr>
              <w:pStyle w:val="BodyText"/>
              <w:spacing w:line="0" w:lineRule="atLeast"/>
              <w:contextualSpacing/>
              <w:rPr>
                <w:b/>
                <w:sz w:val="16"/>
              </w:rPr>
            </w:pPr>
            <w:r w:rsidRPr="003736FA">
              <w:rPr>
                <w:sz w:val="16"/>
              </w:rPr>
              <w:t xml:space="preserve">Adjusted change from baseline </w:t>
            </w:r>
          </w:p>
        </w:tc>
        <w:tc>
          <w:tcPr>
            <w:tcW w:w="1250" w:type="pct"/>
            <w:tcBorders>
              <w:top w:val="nil"/>
              <w:left w:val="nil"/>
              <w:bottom w:val="nil"/>
              <w:right w:val="nil"/>
            </w:tcBorders>
            <w:tcMar>
              <w:top w:w="0" w:type="dxa"/>
              <w:bottom w:w="0" w:type="dxa"/>
            </w:tcMar>
          </w:tcPr>
          <w:p w14:paraId="2C06F6DF" w14:textId="77777777" w:rsidR="00A42E7C" w:rsidRPr="003736FA" w:rsidRDefault="00A42E7C" w:rsidP="00802FC4">
            <w:pPr>
              <w:pStyle w:val="BodyText"/>
              <w:spacing w:line="0" w:lineRule="atLeast"/>
              <w:contextualSpacing/>
              <w:jc w:val="center"/>
              <w:rPr>
                <w:sz w:val="16"/>
              </w:rPr>
            </w:pPr>
            <w:r w:rsidRPr="003736FA">
              <w:rPr>
                <w:sz w:val="16"/>
              </w:rPr>
              <w:t>-3.46</w:t>
            </w:r>
          </w:p>
        </w:tc>
        <w:tc>
          <w:tcPr>
            <w:tcW w:w="1250" w:type="pct"/>
            <w:tcBorders>
              <w:top w:val="nil"/>
              <w:left w:val="nil"/>
              <w:bottom w:val="nil"/>
              <w:right w:val="nil"/>
            </w:tcBorders>
            <w:tcMar>
              <w:top w:w="0" w:type="dxa"/>
              <w:bottom w:w="0" w:type="dxa"/>
            </w:tcMar>
          </w:tcPr>
          <w:p w14:paraId="2239A553" w14:textId="77777777" w:rsidR="00A42E7C" w:rsidRPr="003736FA" w:rsidRDefault="00A42E7C" w:rsidP="00802FC4">
            <w:pPr>
              <w:pStyle w:val="BodyText"/>
              <w:spacing w:line="0" w:lineRule="atLeast"/>
              <w:contextualSpacing/>
              <w:jc w:val="center"/>
              <w:rPr>
                <w:sz w:val="16"/>
              </w:rPr>
            </w:pPr>
            <w:r w:rsidRPr="003736FA">
              <w:rPr>
                <w:sz w:val="16"/>
              </w:rPr>
              <w:t>-1.37</w:t>
            </w:r>
          </w:p>
        </w:tc>
        <w:tc>
          <w:tcPr>
            <w:tcW w:w="1250" w:type="pct"/>
            <w:tcBorders>
              <w:top w:val="nil"/>
              <w:left w:val="nil"/>
              <w:bottom w:val="nil"/>
              <w:right w:val="nil"/>
            </w:tcBorders>
            <w:tcMar>
              <w:top w:w="0" w:type="dxa"/>
              <w:bottom w:w="0" w:type="dxa"/>
            </w:tcMar>
          </w:tcPr>
          <w:p w14:paraId="1888329A" w14:textId="77777777" w:rsidR="00A42E7C" w:rsidRPr="003736FA" w:rsidRDefault="00A42E7C" w:rsidP="00802FC4">
            <w:pPr>
              <w:pStyle w:val="BodyText"/>
              <w:spacing w:line="0" w:lineRule="atLeast"/>
              <w:contextualSpacing/>
              <w:jc w:val="center"/>
              <w:rPr>
                <w:sz w:val="16"/>
              </w:rPr>
            </w:pPr>
            <w:r w:rsidRPr="003736FA">
              <w:rPr>
                <w:sz w:val="16"/>
              </w:rPr>
              <w:t>-1.84</w:t>
            </w:r>
          </w:p>
        </w:tc>
      </w:tr>
      <w:tr w:rsidR="00A42E7C" w:rsidRPr="003736FA" w14:paraId="75F119C0" w14:textId="77777777" w:rsidTr="00E70C38">
        <w:tc>
          <w:tcPr>
            <w:tcW w:w="1250" w:type="pct"/>
            <w:tcBorders>
              <w:top w:val="nil"/>
              <w:left w:val="nil"/>
              <w:right w:val="nil"/>
            </w:tcBorders>
            <w:tcMar>
              <w:top w:w="0" w:type="dxa"/>
              <w:bottom w:w="0" w:type="dxa"/>
            </w:tcMar>
          </w:tcPr>
          <w:p w14:paraId="670C108C" w14:textId="77777777" w:rsidR="00A42E7C" w:rsidRPr="003736FA" w:rsidRDefault="00A42E7C" w:rsidP="00802FC4">
            <w:pPr>
              <w:pStyle w:val="BodyText"/>
              <w:spacing w:line="0" w:lineRule="atLeast"/>
              <w:contextualSpacing/>
              <w:rPr>
                <w:b/>
                <w:sz w:val="16"/>
              </w:rPr>
            </w:pPr>
            <w:r w:rsidRPr="003736FA">
              <w:rPr>
                <w:i/>
                <w:sz w:val="16"/>
              </w:rPr>
              <w:t>Estimated treatment difference</w:t>
            </w:r>
          </w:p>
        </w:tc>
        <w:tc>
          <w:tcPr>
            <w:tcW w:w="1250" w:type="pct"/>
            <w:tcBorders>
              <w:top w:val="nil"/>
              <w:left w:val="nil"/>
              <w:right w:val="nil"/>
            </w:tcBorders>
            <w:tcMar>
              <w:top w:w="0" w:type="dxa"/>
              <w:bottom w:w="0" w:type="dxa"/>
            </w:tcMar>
          </w:tcPr>
          <w:p w14:paraId="54E3BBDA" w14:textId="77777777" w:rsidR="00A42E7C" w:rsidRPr="003736FA" w:rsidRDefault="00A42E7C" w:rsidP="00802FC4">
            <w:pPr>
              <w:pStyle w:val="BodyText"/>
              <w:spacing w:line="0" w:lineRule="atLeast"/>
              <w:contextualSpacing/>
              <w:jc w:val="center"/>
              <w:rPr>
                <w:i/>
                <w:sz w:val="16"/>
              </w:rPr>
            </w:pPr>
            <w:r w:rsidRPr="003736FA">
              <w:rPr>
                <w:i/>
                <w:sz w:val="16"/>
              </w:rPr>
              <w:t>-1.62 [-2.50;-0.73]</w:t>
            </w:r>
            <w:r w:rsidRPr="003736FA">
              <w:rPr>
                <w:sz w:val="16"/>
                <w:vertAlign w:val="superscript"/>
              </w:rPr>
              <w:t>DF</w:t>
            </w:r>
          </w:p>
        </w:tc>
        <w:tc>
          <w:tcPr>
            <w:tcW w:w="1250" w:type="pct"/>
            <w:tcBorders>
              <w:top w:val="nil"/>
              <w:left w:val="nil"/>
              <w:right w:val="nil"/>
            </w:tcBorders>
            <w:tcMar>
              <w:top w:w="0" w:type="dxa"/>
              <w:bottom w:w="0" w:type="dxa"/>
            </w:tcMar>
          </w:tcPr>
          <w:p w14:paraId="3FAA70BD" w14:textId="77777777" w:rsidR="00A42E7C" w:rsidRPr="003736FA" w:rsidRDefault="00A42E7C" w:rsidP="00802FC4">
            <w:pPr>
              <w:pStyle w:val="BodyText"/>
              <w:spacing w:line="0" w:lineRule="atLeast"/>
              <w:contextualSpacing/>
              <w:jc w:val="center"/>
              <w:rPr>
                <w:i/>
                <w:sz w:val="16"/>
              </w:rPr>
            </w:pPr>
            <w:r w:rsidRPr="003736FA">
              <w:rPr>
                <w:i/>
                <w:sz w:val="16"/>
              </w:rPr>
              <w:t>0.47[-0.41;1.36]</w:t>
            </w:r>
            <w:r w:rsidRPr="003736FA">
              <w:rPr>
                <w:sz w:val="16"/>
                <w:vertAlign w:val="superscript"/>
              </w:rPr>
              <w:t>E</w:t>
            </w:r>
          </w:p>
        </w:tc>
        <w:tc>
          <w:tcPr>
            <w:tcW w:w="1250" w:type="pct"/>
            <w:tcBorders>
              <w:top w:val="nil"/>
              <w:left w:val="nil"/>
              <w:right w:val="nil"/>
            </w:tcBorders>
            <w:tcMar>
              <w:top w:w="0" w:type="dxa"/>
              <w:bottom w:w="0" w:type="dxa"/>
            </w:tcMar>
          </w:tcPr>
          <w:p w14:paraId="08B3D4A3" w14:textId="77777777" w:rsidR="00A42E7C" w:rsidRPr="003736FA" w:rsidRDefault="00A42E7C" w:rsidP="00802FC4">
            <w:pPr>
              <w:pStyle w:val="BodyText"/>
              <w:spacing w:line="0" w:lineRule="atLeast"/>
              <w:contextualSpacing/>
              <w:jc w:val="center"/>
              <w:rPr>
                <w:sz w:val="16"/>
              </w:rPr>
            </w:pPr>
          </w:p>
        </w:tc>
      </w:tr>
      <w:tr w:rsidR="00A42E7C" w:rsidRPr="003736FA" w14:paraId="3B88C087" w14:textId="77777777" w:rsidTr="00E70C38">
        <w:tc>
          <w:tcPr>
            <w:tcW w:w="1250" w:type="pct"/>
            <w:tcBorders>
              <w:left w:val="nil"/>
              <w:bottom w:val="nil"/>
              <w:right w:val="nil"/>
            </w:tcBorders>
            <w:tcMar>
              <w:top w:w="0" w:type="dxa"/>
              <w:bottom w:w="0" w:type="dxa"/>
            </w:tcMar>
          </w:tcPr>
          <w:p w14:paraId="3D75BEDB" w14:textId="77777777" w:rsidR="00A42E7C" w:rsidRPr="003736FA" w:rsidRDefault="00A42E7C" w:rsidP="00802FC4">
            <w:pPr>
              <w:pStyle w:val="BodyText"/>
              <w:spacing w:line="0" w:lineRule="atLeast"/>
              <w:contextualSpacing/>
              <w:rPr>
                <w:b/>
              </w:rPr>
            </w:pPr>
            <w:r w:rsidRPr="003736FA">
              <w:rPr>
                <w:b/>
              </w:rPr>
              <w:t>Patients (%) achieving HbA</w:t>
            </w:r>
            <w:r w:rsidRPr="003736FA">
              <w:rPr>
                <w:b/>
                <w:vertAlign w:val="subscript"/>
              </w:rPr>
              <w:t>1c</w:t>
            </w:r>
            <w:r w:rsidRPr="003736FA">
              <w:rPr>
                <w:b/>
              </w:rPr>
              <w:t xml:space="preserve"> &lt; 7%</w:t>
            </w:r>
          </w:p>
        </w:tc>
        <w:tc>
          <w:tcPr>
            <w:tcW w:w="1250" w:type="pct"/>
            <w:tcBorders>
              <w:left w:val="nil"/>
              <w:bottom w:val="nil"/>
              <w:right w:val="nil"/>
            </w:tcBorders>
            <w:tcMar>
              <w:top w:w="0" w:type="dxa"/>
              <w:bottom w:w="0" w:type="dxa"/>
            </w:tcMar>
          </w:tcPr>
          <w:p w14:paraId="6927A4CF"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30EA7D74"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2EDBA654" w14:textId="77777777" w:rsidR="00A42E7C" w:rsidRPr="003736FA" w:rsidRDefault="00A42E7C" w:rsidP="00802FC4">
            <w:pPr>
              <w:pStyle w:val="BodyText"/>
              <w:spacing w:line="0" w:lineRule="atLeast"/>
              <w:contextualSpacing/>
              <w:jc w:val="center"/>
            </w:pPr>
          </w:p>
        </w:tc>
      </w:tr>
      <w:tr w:rsidR="00A42E7C" w:rsidRPr="003736FA" w14:paraId="3689880E" w14:textId="77777777" w:rsidTr="00E70C38">
        <w:tc>
          <w:tcPr>
            <w:tcW w:w="1250" w:type="pct"/>
            <w:tcBorders>
              <w:top w:val="nil"/>
              <w:left w:val="nil"/>
              <w:right w:val="nil"/>
            </w:tcBorders>
            <w:tcMar>
              <w:top w:w="0" w:type="dxa"/>
              <w:bottom w:w="0" w:type="dxa"/>
            </w:tcMar>
          </w:tcPr>
          <w:p w14:paraId="084ED6FC" w14:textId="77777777" w:rsidR="00A42E7C" w:rsidRPr="003736FA" w:rsidRDefault="00A42E7C" w:rsidP="00802FC4">
            <w:pPr>
              <w:pStyle w:val="BodyText"/>
              <w:spacing w:line="0" w:lineRule="atLeast"/>
              <w:contextualSpacing/>
              <w:rPr>
                <w:sz w:val="16"/>
              </w:rPr>
            </w:pPr>
            <w:r w:rsidRPr="003736FA">
              <w:rPr>
                <w:sz w:val="16"/>
              </w:rPr>
              <w:t>All patients</w:t>
            </w:r>
          </w:p>
          <w:p w14:paraId="539A3027" w14:textId="77777777" w:rsidR="00A42E7C" w:rsidRPr="003736FA" w:rsidRDefault="00A42E7C" w:rsidP="00802FC4">
            <w:pPr>
              <w:pStyle w:val="BodyText"/>
              <w:spacing w:line="0" w:lineRule="atLeast"/>
              <w:contextualSpacing/>
              <w:rPr>
                <w:i/>
                <w:sz w:val="16"/>
              </w:rPr>
            </w:pPr>
            <w:r w:rsidRPr="003736FA">
              <w:rPr>
                <w:i/>
                <w:sz w:val="16"/>
              </w:rPr>
              <w:t>Estimated odds ratio</w:t>
            </w:r>
          </w:p>
        </w:tc>
        <w:tc>
          <w:tcPr>
            <w:tcW w:w="1250" w:type="pct"/>
            <w:tcBorders>
              <w:top w:val="nil"/>
              <w:left w:val="nil"/>
              <w:right w:val="nil"/>
            </w:tcBorders>
            <w:tcMar>
              <w:top w:w="0" w:type="dxa"/>
              <w:bottom w:w="0" w:type="dxa"/>
            </w:tcMar>
          </w:tcPr>
          <w:p w14:paraId="5D362142" w14:textId="77777777" w:rsidR="00A42E7C" w:rsidRPr="003736FA" w:rsidRDefault="00A42E7C" w:rsidP="00802FC4">
            <w:pPr>
              <w:pStyle w:val="BodyText"/>
              <w:spacing w:line="0" w:lineRule="atLeast"/>
              <w:contextualSpacing/>
              <w:jc w:val="center"/>
              <w:rPr>
                <w:sz w:val="16"/>
              </w:rPr>
            </w:pPr>
            <w:r w:rsidRPr="003736FA">
              <w:rPr>
                <w:sz w:val="16"/>
              </w:rPr>
              <w:t>33.3</w:t>
            </w:r>
          </w:p>
          <w:p w14:paraId="00A6B9B2" w14:textId="77777777" w:rsidR="00A42E7C" w:rsidRPr="003736FA" w:rsidRDefault="00A42E7C" w:rsidP="00802FC4">
            <w:pPr>
              <w:pStyle w:val="BodyText"/>
              <w:spacing w:line="0" w:lineRule="atLeast"/>
              <w:contextualSpacing/>
              <w:jc w:val="center"/>
              <w:rPr>
                <w:i/>
                <w:sz w:val="16"/>
              </w:rPr>
            </w:pPr>
            <w:r w:rsidRPr="003736FA">
              <w:rPr>
                <w:i/>
                <w:sz w:val="16"/>
              </w:rPr>
              <w:t>1.47 [1.02;2.13]</w:t>
            </w:r>
            <w:r w:rsidRPr="003736FA">
              <w:rPr>
                <w:sz w:val="16"/>
                <w:vertAlign w:val="superscript"/>
              </w:rPr>
              <w:t>DF</w:t>
            </w:r>
          </w:p>
        </w:tc>
        <w:tc>
          <w:tcPr>
            <w:tcW w:w="1250" w:type="pct"/>
            <w:tcBorders>
              <w:top w:val="nil"/>
              <w:left w:val="nil"/>
              <w:right w:val="nil"/>
            </w:tcBorders>
            <w:tcMar>
              <w:top w:w="0" w:type="dxa"/>
              <w:bottom w:w="0" w:type="dxa"/>
            </w:tcMar>
          </w:tcPr>
          <w:p w14:paraId="172E978A" w14:textId="77777777" w:rsidR="00A42E7C" w:rsidRPr="003736FA" w:rsidRDefault="00A42E7C" w:rsidP="00802FC4">
            <w:pPr>
              <w:pStyle w:val="BodyText"/>
              <w:spacing w:line="0" w:lineRule="atLeast"/>
              <w:contextualSpacing/>
              <w:jc w:val="center"/>
              <w:rPr>
                <w:sz w:val="16"/>
              </w:rPr>
            </w:pPr>
            <w:r w:rsidRPr="003736FA">
              <w:rPr>
                <w:sz w:val="16"/>
              </w:rPr>
              <w:t>23.3</w:t>
            </w:r>
          </w:p>
          <w:p w14:paraId="7178539C" w14:textId="77777777" w:rsidR="00A42E7C" w:rsidRPr="003736FA" w:rsidRDefault="00A42E7C" w:rsidP="00802FC4">
            <w:pPr>
              <w:pStyle w:val="BodyText"/>
              <w:spacing w:line="0" w:lineRule="atLeast"/>
              <w:contextualSpacing/>
              <w:jc w:val="center"/>
              <w:rPr>
                <w:i/>
                <w:sz w:val="16"/>
              </w:rPr>
            </w:pPr>
            <w:r w:rsidRPr="003736FA">
              <w:rPr>
                <w:i/>
                <w:sz w:val="16"/>
              </w:rPr>
              <w:t>0.73 [0.49;1.07]</w:t>
            </w:r>
            <w:r w:rsidRPr="003736FA">
              <w:rPr>
                <w:sz w:val="16"/>
                <w:vertAlign w:val="superscript"/>
              </w:rPr>
              <w:t>E</w:t>
            </w:r>
          </w:p>
        </w:tc>
        <w:tc>
          <w:tcPr>
            <w:tcW w:w="1250" w:type="pct"/>
            <w:tcBorders>
              <w:top w:val="nil"/>
              <w:left w:val="nil"/>
              <w:right w:val="nil"/>
            </w:tcBorders>
            <w:tcMar>
              <w:top w:w="0" w:type="dxa"/>
              <w:bottom w:w="0" w:type="dxa"/>
            </w:tcMar>
          </w:tcPr>
          <w:p w14:paraId="302C8225" w14:textId="77777777" w:rsidR="00A42E7C" w:rsidRPr="003736FA" w:rsidRDefault="00A42E7C" w:rsidP="00802FC4">
            <w:pPr>
              <w:pStyle w:val="BodyText"/>
              <w:spacing w:line="0" w:lineRule="atLeast"/>
              <w:contextualSpacing/>
              <w:jc w:val="center"/>
              <w:rPr>
                <w:sz w:val="16"/>
              </w:rPr>
            </w:pPr>
            <w:r w:rsidRPr="003736FA">
              <w:rPr>
                <w:sz w:val="16"/>
              </w:rPr>
              <w:t>28.2</w:t>
            </w:r>
          </w:p>
        </w:tc>
      </w:tr>
      <w:tr w:rsidR="00A42E7C" w:rsidRPr="003736FA" w14:paraId="4ADE0568" w14:textId="77777777" w:rsidTr="00E70C38">
        <w:tc>
          <w:tcPr>
            <w:tcW w:w="1250" w:type="pct"/>
            <w:tcBorders>
              <w:left w:val="nil"/>
              <w:bottom w:val="nil"/>
              <w:right w:val="nil"/>
            </w:tcBorders>
            <w:tcMar>
              <w:top w:w="0" w:type="dxa"/>
              <w:bottom w:w="0" w:type="dxa"/>
            </w:tcMar>
          </w:tcPr>
          <w:p w14:paraId="553546EB" w14:textId="77777777" w:rsidR="00A42E7C" w:rsidRPr="003736FA" w:rsidRDefault="00A42E7C" w:rsidP="00802FC4">
            <w:pPr>
              <w:pStyle w:val="BodyText"/>
              <w:spacing w:line="0" w:lineRule="atLeast"/>
              <w:contextualSpacing/>
            </w:pPr>
            <w:r w:rsidRPr="003736FA">
              <w:rPr>
                <w:b/>
              </w:rPr>
              <w:t xml:space="preserve">2-hour </w:t>
            </w:r>
            <w:proofErr w:type="spellStart"/>
            <w:r w:rsidRPr="003736FA">
              <w:rPr>
                <w:b/>
              </w:rPr>
              <w:t>postmeal</w:t>
            </w:r>
            <w:proofErr w:type="spellEnd"/>
            <w:r w:rsidRPr="003736FA">
              <w:rPr>
                <w:b/>
              </w:rPr>
              <w:t xml:space="preserve"> glucose increment (</w:t>
            </w:r>
            <w:proofErr w:type="spellStart"/>
            <w:r w:rsidRPr="003736FA">
              <w:rPr>
                <w:b/>
              </w:rPr>
              <w:t>mmol</w:t>
            </w:r>
            <w:proofErr w:type="spellEnd"/>
            <w:r w:rsidRPr="003736FA">
              <w:rPr>
                <w:b/>
              </w:rPr>
              <w:t>/L)</w:t>
            </w:r>
            <w:r w:rsidRPr="003736FA">
              <w:rPr>
                <w:vertAlign w:val="superscript"/>
              </w:rPr>
              <w:t>B</w:t>
            </w:r>
          </w:p>
        </w:tc>
        <w:tc>
          <w:tcPr>
            <w:tcW w:w="1250" w:type="pct"/>
            <w:tcBorders>
              <w:left w:val="nil"/>
              <w:bottom w:val="nil"/>
              <w:right w:val="nil"/>
            </w:tcBorders>
            <w:tcMar>
              <w:top w:w="0" w:type="dxa"/>
              <w:bottom w:w="0" w:type="dxa"/>
            </w:tcMar>
          </w:tcPr>
          <w:p w14:paraId="77EE8A4C"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153C7927" w14:textId="77777777" w:rsidR="00A42E7C" w:rsidRPr="003736FA" w:rsidRDefault="00A42E7C" w:rsidP="00802FC4">
            <w:pPr>
              <w:pStyle w:val="BodyText"/>
              <w:spacing w:line="0" w:lineRule="atLeast"/>
              <w:contextualSpacing/>
              <w:jc w:val="center"/>
              <w:rPr>
                <w:i/>
              </w:rPr>
            </w:pPr>
          </w:p>
        </w:tc>
        <w:tc>
          <w:tcPr>
            <w:tcW w:w="1250" w:type="pct"/>
            <w:tcBorders>
              <w:left w:val="nil"/>
              <w:bottom w:val="nil"/>
              <w:right w:val="nil"/>
            </w:tcBorders>
            <w:tcMar>
              <w:top w:w="0" w:type="dxa"/>
              <w:bottom w:w="0" w:type="dxa"/>
            </w:tcMar>
          </w:tcPr>
          <w:p w14:paraId="4C00843D" w14:textId="77777777" w:rsidR="00A42E7C" w:rsidRPr="003736FA" w:rsidRDefault="00A42E7C" w:rsidP="00802FC4">
            <w:pPr>
              <w:pStyle w:val="BodyText"/>
              <w:spacing w:line="0" w:lineRule="atLeast"/>
              <w:contextualSpacing/>
              <w:jc w:val="center"/>
            </w:pPr>
          </w:p>
        </w:tc>
      </w:tr>
      <w:tr w:rsidR="00A42E7C" w:rsidRPr="003736FA" w14:paraId="6602AFEC" w14:textId="77777777" w:rsidTr="00E70C38">
        <w:tc>
          <w:tcPr>
            <w:tcW w:w="1250" w:type="pct"/>
            <w:tcBorders>
              <w:top w:val="nil"/>
              <w:left w:val="nil"/>
              <w:bottom w:val="nil"/>
              <w:right w:val="nil"/>
            </w:tcBorders>
            <w:tcMar>
              <w:top w:w="0" w:type="dxa"/>
              <w:bottom w:w="0" w:type="dxa"/>
            </w:tcMar>
          </w:tcPr>
          <w:p w14:paraId="42823A2D" w14:textId="77777777" w:rsidR="00A42E7C" w:rsidRPr="003736FA" w:rsidRDefault="00A42E7C" w:rsidP="00802FC4">
            <w:pPr>
              <w:pStyle w:val="BodyText"/>
              <w:spacing w:line="0" w:lineRule="atLeast"/>
              <w:contextualSpacing/>
              <w:rPr>
                <w:b/>
                <w:sz w:val="16"/>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bottom w:val="nil"/>
              <w:right w:val="nil"/>
            </w:tcBorders>
            <w:tcMar>
              <w:top w:w="0" w:type="dxa"/>
              <w:bottom w:w="0" w:type="dxa"/>
            </w:tcMar>
          </w:tcPr>
          <w:p w14:paraId="18FEB08F" w14:textId="77777777" w:rsidR="00A42E7C" w:rsidRPr="003736FA" w:rsidRDefault="00A42E7C" w:rsidP="00802FC4">
            <w:pPr>
              <w:pStyle w:val="BodyText"/>
              <w:spacing w:line="0" w:lineRule="atLeast"/>
              <w:contextualSpacing/>
              <w:jc w:val="center"/>
              <w:rPr>
                <w:sz w:val="16"/>
              </w:rPr>
            </w:pPr>
            <w:r w:rsidRPr="003736FA">
              <w:rPr>
                <w:sz w:val="16"/>
              </w:rPr>
              <w:t xml:space="preserve">6.1 </w:t>
            </w:r>
            <w:r w:rsidRPr="003736FA">
              <w:rPr>
                <w:sz w:val="16"/>
              </w:rPr>
              <w:sym w:font="Wingdings 3" w:char="F09E"/>
            </w:r>
            <w:r w:rsidRPr="003736FA">
              <w:rPr>
                <w:sz w:val="16"/>
              </w:rPr>
              <w:t xml:space="preserve"> 5.9</w:t>
            </w:r>
          </w:p>
        </w:tc>
        <w:tc>
          <w:tcPr>
            <w:tcW w:w="1250" w:type="pct"/>
            <w:tcBorders>
              <w:top w:val="nil"/>
              <w:left w:val="nil"/>
              <w:bottom w:val="nil"/>
              <w:right w:val="nil"/>
            </w:tcBorders>
            <w:tcMar>
              <w:top w:w="0" w:type="dxa"/>
              <w:bottom w:w="0" w:type="dxa"/>
            </w:tcMar>
          </w:tcPr>
          <w:p w14:paraId="7DC81A1D" w14:textId="77777777" w:rsidR="00A42E7C" w:rsidRPr="003736FA" w:rsidRDefault="00A42E7C" w:rsidP="00802FC4">
            <w:pPr>
              <w:pStyle w:val="BodyText"/>
              <w:spacing w:line="0" w:lineRule="atLeast"/>
              <w:contextualSpacing/>
              <w:jc w:val="center"/>
              <w:rPr>
                <w:sz w:val="16"/>
              </w:rPr>
            </w:pPr>
            <w:r w:rsidRPr="003736FA">
              <w:rPr>
                <w:sz w:val="16"/>
              </w:rPr>
              <w:t xml:space="preserve">6.1 </w:t>
            </w:r>
            <w:r w:rsidRPr="003736FA">
              <w:rPr>
                <w:sz w:val="16"/>
              </w:rPr>
              <w:sym w:font="Wingdings 3" w:char="F09E"/>
            </w:r>
            <w:r w:rsidRPr="003736FA">
              <w:rPr>
                <w:sz w:val="16"/>
              </w:rPr>
              <w:t xml:space="preserve"> 6.7 </w:t>
            </w:r>
          </w:p>
        </w:tc>
        <w:tc>
          <w:tcPr>
            <w:tcW w:w="1250" w:type="pct"/>
            <w:tcBorders>
              <w:top w:val="nil"/>
              <w:left w:val="nil"/>
              <w:bottom w:val="nil"/>
              <w:right w:val="nil"/>
            </w:tcBorders>
            <w:tcMar>
              <w:top w:w="0" w:type="dxa"/>
              <w:bottom w:w="0" w:type="dxa"/>
            </w:tcMar>
          </w:tcPr>
          <w:p w14:paraId="009EC546" w14:textId="77777777" w:rsidR="00A42E7C" w:rsidRPr="003736FA" w:rsidRDefault="00A42E7C" w:rsidP="00802FC4">
            <w:pPr>
              <w:pStyle w:val="BodyText"/>
              <w:spacing w:line="0" w:lineRule="atLeast"/>
              <w:contextualSpacing/>
              <w:jc w:val="center"/>
              <w:rPr>
                <w:sz w:val="16"/>
              </w:rPr>
            </w:pPr>
            <w:r w:rsidRPr="003736FA">
              <w:rPr>
                <w:sz w:val="16"/>
              </w:rPr>
              <w:t xml:space="preserve">6.2 </w:t>
            </w:r>
            <w:r w:rsidRPr="003736FA">
              <w:rPr>
                <w:sz w:val="16"/>
              </w:rPr>
              <w:sym w:font="Wingdings 3" w:char="F09E"/>
            </w:r>
            <w:r w:rsidRPr="003736FA">
              <w:rPr>
                <w:sz w:val="16"/>
              </w:rPr>
              <w:t xml:space="preserve"> 6.6</w:t>
            </w:r>
          </w:p>
        </w:tc>
      </w:tr>
      <w:tr w:rsidR="00A42E7C" w:rsidRPr="003736FA" w14:paraId="20BD0E44" w14:textId="77777777" w:rsidTr="00E70C38">
        <w:tc>
          <w:tcPr>
            <w:tcW w:w="1250" w:type="pct"/>
            <w:tcBorders>
              <w:top w:val="nil"/>
              <w:left w:val="nil"/>
              <w:bottom w:val="nil"/>
              <w:right w:val="nil"/>
            </w:tcBorders>
            <w:tcMar>
              <w:top w:w="0" w:type="dxa"/>
              <w:bottom w:w="0" w:type="dxa"/>
            </w:tcMar>
          </w:tcPr>
          <w:p w14:paraId="1023D1FF" w14:textId="77777777" w:rsidR="00A42E7C" w:rsidRPr="003736FA" w:rsidRDefault="00A42E7C" w:rsidP="00802FC4">
            <w:pPr>
              <w:pStyle w:val="BodyText"/>
              <w:spacing w:line="0" w:lineRule="atLeast"/>
              <w:contextualSpacing/>
              <w:rPr>
                <w:b/>
                <w:sz w:val="16"/>
              </w:rPr>
            </w:pPr>
            <w:r w:rsidRPr="003736FA">
              <w:rPr>
                <w:sz w:val="16"/>
              </w:rPr>
              <w:t xml:space="preserve">Adjusted change from baseline </w:t>
            </w:r>
          </w:p>
        </w:tc>
        <w:tc>
          <w:tcPr>
            <w:tcW w:w="1250" w:type="pct"/>
            <w:tcBorders>
              <w:top w:val="nil"/>
              <w:left w:val="nil"/>
              <w:bottom w:val="nil"/>
              <w:right w:val="nil"/>
            </w:tcBorders>
            <w:tcMar>
              <w:top w:w="0" w:type="dxa"/>
              <w:bottom w:w="0" w:type="dxa"/>
            </w:tcMar>
          </w:tcPr>
          <w:p w14:paraId="493BD9BC" w14:textId="77777777" w:rsidR="00A42E7C" w:rsidRPr="003736FA" w:rsidRDefault="00A42E7C" w:rsidP="00802FC4">
            <w:pPr>
              <w:pStyle w:val="BodyText"/>
              <w:spacing w:line="0" w:lineRule="atLeast"/>
              <w:contextualSpacing/>
              <w:jc w:val="center"/>
              <w:rPr>
                <w:sz w:val="16"/>
              </w:rPr>
            </w:pPr>
            <w:r w:rsidRPr="003736FA">
              <w:rPr>
                <w:sz w:val="16"/>
              </w:rPr>
              <w:t>-0.29</w:t>
            </w:r>
          </w:p>
        </w:tc>
        <w:tc>
          <w:tcPr>
            <w:tcW w:w="1250" w:type="pct"/>
            <w:tcBorders>
              <w:top w:val="nil"/>
              <w:left w:val="nil"/>
              <w:bottom w:val="nil"/>
              <w:right w:val="nil"/>
            </w:tcBorders>
            <w:tcMar>
              <w:top w:w="0" w:type="dxa"/>
              <w:bottom w:w="0" w:type="dxa"/>
            </w:tcMar>
          </w:tcPr>
          <w:p w14:paraId="181CE0AF" w14:textId="77777777" w:rsidR="00A42E7C" w:rsidRPr="003736FA" w:rsidRDefault="00A42E7C" w:rsidP="00802FC4">
            <w:pPr>
              <w:pStyle w:val="BodyText"/>
              <w:spacing w:line="0" w:lineRule="atLeast"/>
              <w:contextualSpacing/>
              <w:jc w:val="center"/>
              <w:rPr>
                <w:sz w:val="16"/>
              </w:rPr>
            </w:pPr>
            <w:r w:rsidRPr="003736FA">
              <w:rPr>
                <w:sz w:val="16"/>
              </w:rPr>
              <w:t>0.67</w:t>
            </w:r>
          </w:p>
        </w:tc>
        <w:tc>
          <w:tcPr>
            <w:tcW w:w="1250" w:type="pct"/>
            <w:tcBorders>
              <w:top w:val="nil"/>
              <w:left w:val="nil"/>
              <w:bottom w:val="nil"/>
              <w:right w:val="nil"/>
            </w:tcBorders>
            <w:tcMar>
              <w:top w:w="0" w:type="dxa"/>
              <w:bottom w:w="0" w:type="dxa"/>
            </w:tcMar>
          </w:tcPr>
          <w:p w14:paraId="26E455D2" w14:textId="77777777" w:rsidR="00A42E7C" w:rsidRPr="003736FA" w:rsidRDefault="00A42E7C" w:rsidP="00802FC4">
            <w:pPr>
              <w:pStyle w:val="BodyText"/>
              <w:spacing w:line="0" w:lineRule="atLeast"/>
              <w:contextualSpacing/>
              <w:jc w:val="center"/>
              <w:rPr>
                <w:sz w:val="16"/>
              </w:rPr>
            </w:pPr>
            <w:r w:rsidRPr="003736FA">
              <w:rPr>
                <w:sz w:val="16"/>
              </w:rPr>
              <w:t>0.38</w:t>
            </w:r>
          </w:p>
        </w:tc>
      </w:tr>
      <w:tr w:rsidR="00A42E7C" w:rsidRPr="003736FA" w14:paraId="1AF5F097" w14:textId="77777777" w:rsidTr="00E70C38">
        <w:tc>
          <w:tcPr>
            <w:tcW w:w="1250" w:type="pct"/>
            <w:tcBorders>
              <w:top w:val="nil"/>
              <w:left w:val="nil"/>
              <w:right w:val="nil"/>
            </w:tcBorders>
            <w:tcMar>
              <w:top w:w="0" w:type="dxa"/>
              <w:bottom w:w="0" w:type="dxa"/>
            </w:tcMar>
          </w:tcPr>
          <w:p w14:paraId="0FD90A4B" w14:textId="77777777" w:rsidR="00A42E7C" w:rsidRPr="003736FA" w:rsidRDefault="00A42E7C" w:rsidP="00802FC4">
            <w:pPr>
              <w:pStyle w:val="BodyText"/>
              <w:spacing w:line="0" w:lineRule="atLeast"/>
              <w:contextualSpacing/>
              <w:rPr>
                <w:b/>
                <w:sz w:val="16"/>
              </w:rPr>
            </w:pPr>
            <w:r w:rsidRPr="003736FA">
              <w:rPr>
                <w:i/>
                <w:sz w:val="16"/>
              </w:rPr>
              <w:t>Estimated treatment difference</w:t>
            </w:r>
          </w:p>
        </w:tc>
        <w:tc>
          <w:tcPr>
            <w:tcW w:w="1250" w:type="pct"/>
            <w:tcBorders>
              <w:top w:val="nil"/>
              <w:left w:val="nil"/>
              <w:right w:val="nil"/>
            </w:tcBorders>
            <w:tcMar>
              <w:top w:w="0" w:type="dxa"/>
              <w:bottom w:w="0" w:type="dxa"/>
            </w:tcMar>
          </w:tcPr>
          <w:p w14:paraId="146C8C95" w14:textId="77777777" w:rsidR="00A42E7C" w:rsidRPr="003736FA" w:rsidRDefault="00A42E7C" w:rsidP="00802FC4">
            <w:pPr>
              <w:pStyle w:val="BodyText"/>
              <w:spacing w:line="0" w:lineRule="atLeast"/>
              <w:contextualSpacing/>
              <w:jc w:val="center"/>
              <w:rPr>
                <w:sz w:val="16"/>
              </w:rPr>
            </w:pPr>
            <w:r w:rsidRPr="003736FA">
              <w:rPr>
                <w:i/>
                <w:sz w:val="16"/>
              </w:rPr>
              <w:t>-0.67 [-1.29;-0.04]</w:t>
            </w:r>
            <w:r w:rsidRPr="003736FA">
              <w:rPr>
                <w:sz w:val="16"/>
                <w:vertAlign w:val="superscript"/>
              </w:rPr>
              <w:t>DF</w:t>
            </w:r>
          </w:p>
        </w:tc>
        <w:tc>
          <w:tcPr>
            <w:tcW w:w="1250" w:type="pct"/>
            <w:tcBorders>
              <w:top w:val="nil"/>
              <w:left w:val="nil"/>
              <w:right w:val="nil"/>
            </w:tcBorders>
            <w:tcMar>
              <w:top w:w="0" w:type="dxa"/>
              <w:bottom w:w="0" w:type="dxa"/>
            </w:tcMar>
          </w:tcPr>
          <w:p w14:paraId="2359DF7C" w14:textId="77777777" w:rsidR="00A42E7C" w:rsidRPr="003736FA" w:rsidRDefault="00A42E7C" w:rsidP="00802FC4">
            <w:pPr>
              <w:pStyle w:val="BodyText"/>
              <w:spacing w:line="0" w:lineRule="atLeast"/>
              <w:contextualSpacing/>
              <w:jc w:val="center"/>
              <w:rPr>
                <w:sz w:val="16"/>
              </w:rPr>
            </w:pPr>
            <w:r w:rsidRPr="003736FA">
              <w:rPr>
                <w:i/>
                <w:sz w:val="16"/>
              </w:rPr>
              <w:t>0.30 [-0.34;0.93]</w:t>
            </w:r>
            <w:r w:rsidRPr="003736FA">
              <w:rPr>
                <w:sz w:val="16"/>
                <w:vertAlign w:val="superscript"/>
              </w:rPr>
              <w:t>E</w:t>
            </w:r>
          </w:p>
        </w:tc>
        <w:tc>
          <w:tcPr>
            <w:tcW w:w="1250" w:type="pct"/>
            <w:tcBorders>
              <w:top w:val="nil"/>
              <w:left w:val="nil"/>
              <w:right w:val="nil"/>
            </w:tcBorders>
            <w:tcMar>
              <w:top w:w="0" w:type="dxa"/>
              <w:bottom w:w="0" w:type="dxa"/>
            </w:tcMar>
          </w:tcPr>
          <w:p w14:paraId="49DF6A18" w14:textId="77777777" w:rsidR="00A42E7C" w:rsidRPr="003736FA" w:rsidRDefault="00A42E7C" w:rsidP="00802FC4">
            <w:pPr>
              <w:pStyle w:val="BodyText"/>
              <w:spacing w:line="0" w:lineRule="atLeast"/>
              <w:contextualSpacing/>
              <w:jc w:val="center"/>
              <w:rPr>
                <w:sz w:val="16"/>
              </w:rPr>
            </w:pPr>
          </w:p>
        </w:tc>
      </w:tr>
      <w:tr w:rsidR="00A42E7C" w:rsidRPr="003736FA" w14:paraId="7DAE8759" w14:textId="77777777" w:rsidTr="00E70C38">
        <w:tc>
          <w:tcPr>
            <w:tcW w:w="1250" w:type="pct"/>
            <w:tcBorders>
              <w:left w:val="nil"/>
              <w:bottom w:val="nil"/>
              <w:right w:val="nil"/>
            </w:tcBorders>
            <w:tcMar>
              <w:top w:w="0" w:type="dxa"/>
              <w:bottom w:w="0" w:type="dxa"/>
            </w:tcMar>
          </w:tcPr>
          <w:p w14:paraId="681B8A79" w14:textId="77777777" w:rsidR="00A42E7C" w:rsidRPr="003736FA" w:rsidRDefault="00A42E7C" w:rsidP="00802FC4">
            <w:pPr>
              <w:pStyle w:val="BodyText"/>
              <w:spacing w:line="0" w:lineRule="atLeast"/>
              <w:contextualSpacing/>
            </w:pPr>
            <w:r w:rsidRPr="003736FA">
              <w:rPr>
                <w:b/>
              </w:rPr>
              <w:t xml:space="preserve">1-hour </w:t>
            </w:r>
            <w:proofErr w:type="spellStart"/>
            <w:r w:rsidRPr="003736FA">
              <w:rPr>
                <w:b/>
              </w:rPr>
              <w:t>postmeal</w:t>
            </w:r>
            <w:proofErr w:type="spellEnd"/>
            <w:r w:rsidRPr="003736FA">
              <w:rPr>
                <w:b/>
              </w:rPr>
              <w:t xml:space="preserve"> glucose increment (</w:t>
            </w:r>
            <w:proofErr w:type="spellStart"/>
            <w:r w:rsidRPr="003736FA">
              <w:rPr>
                <w:b/>
              </w:rPr>
              <w:t>mmol</w:t>
            </w:r>
            <w:proofErr w:type="spellEnd"/>
            <w:r w:rsidRPr="003736FA">
              <w:rPr>
                <w:b/>
              </w:rPr>
              <w:t>/L)</w:t>
            </w:r>
            <w:r w:rsidRPr="003736FA">
              <w:rPr>
                <w:vertAlign w:val="superscript"/>
              </w:rPr>
              <w:t>B</w:t>
            </w:r>
          </w:p>
        </w:tc>
        <w:tc>
          <w:tcPr>
            <w:tcW w:w="1250" w:type="pct"/>
            <w:tcBorders>
              <w:left w:val="nil"/>
              <w:bottom w:val="nil"/>
              <w:right w:val="nil"/>
            </w:tcBorders>
            <w:tcMar>
              <w:top w:w="0" w:type="dxa"/>
              <w:bottom w:w="0" w:type="dxa"/>
            </w:tcMar>
          </w:tcPr>
          <w:p w14:paraId="039C37F3"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1B1B1FA6" w14:textId="77777777" w:rsidR="00A42E7C" w:rsidRPr="003736FA" w:rsidRDefault="00A42E7C" w:rsidP="00802FC4">
            <w:pPr>
              <w:pStyle w:val="BodyText"/>
              <w:spacing w:line="0" w:lineRule="atLeast"/>
              <w:contextualSpacing/>
              <w:jc w:val="center"/>
              <w:rPr>
                <w:i/>
              </w:rPr>
            </w:pPr>
          </w:p>
        </w:tc>
        <w:tc>
          <w:tcPr>
            <w:tcW w:w="1250" w:type="pct"/>
            <w:tcBorders>
              <w:left w:val="nil"/>
              <w:bottom w:val="nil"/>
              <w:right w:val="nil"/>
            </w:tcBorders>
            <w:tcMar>
              <w:top w:w="0" w:type="dxa"/>
              <w:bottom w:w="0" w:type="dxa"/>
            </w:tcMar>
          </w:tcPr>
          <w:p w14:paraId="7A99E9E2" w14:textId="77777777" w:rsidR="00A42E7C" w:rsidRPr="003736FA" w:rsidRDefault="00A42E7C" w:rsidP="00802FC4">
            <w:pPr>
              <w:pStyle w:val="BodyText"/>
              <w:spacing w:line="0" w:lineRule="atLeast"/>
              <w:contextualSpacing/>
              <w:jc w:val="center"/>
            </w:pPr>
          </w:p>
        </w:tc>
      </w:tr>
      <w:tr w:rsidR="00A42E7C" w:rsidRPr="003736FA" w14:paraId="3CDC10BC" w14:textId="77777777" w:rsidTr="00E70C38">
        <w:tc>
          <w:tcPr>
            <w:tcW w:w="1250" w:type="pct"/>
            <w:tcBorders>
              <w:top w:val="nil"/>
              <w:left w:val="nil"/>
              <w:bottom w:val="nil"/>
              <w:right w:val="nil"/>
            </w:tcBorders>
            <w:tcMar>
              <w:top w:w="0" w:type="dxa"/>
              <w:bottom w:w="0" w:type="dxa"/>
            </w:tcMar>
          </w:tcPr>
          <w:p w14:paraId="2B8B521A" w14:textId="77777777" w:rsidR="00A42E7C" w:rsidRPr="003736FA" w:rsidRDefault="00A42E7C" w:rsidP="00802FC4">
            <w:pPr>
              <w:pStyle w:val="BodyText"/>
              <w:spacing w:line="0" w:lineRule="atLeast"/>
              <w:contextualSpacing/>
              <w:rPr>
                <w:b/>
                <w:sz w:val="16"/>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bottom w:val="nil"/>
              <w:right w:val="nil"/>
            </w:tcBorders>
            <w:tcMar>
              <w:top w:w="0" w:type="dxa"/>
              <w:bottom w:w="0" w:type="dxa"/>
            </w:tcMar>
          </w:tcPr>
          <w:p w14:paraId="1AD97129" w14:textId="77777777" w:rsidR="00A42E7C" w:rsidRPr="003736FA" w:rsidRDefault="00A42E7C" w:rsidP="00802FC4">
            <w:pPr>
              <w:pStyle w:val="BodyText"/>
              <w:spacing w:line="0" w:lineRule="atLeast"/>
              <w:contextualSpacing/>
              <w:jc w:val="center"/>
              <w:rPr>
                <w:sz w:val="16"/>
              </w:rPr>
            </w:pPr>
            <w:r w:rsidRPr="003736FA">
              <w:rPr>
                <w:sz w:val="16"/>
              </w:rPr>
              <w:t xml:space="preserve">5.4 </w:t>
            </w:r>
            <w:r w:rsidRPr="003736FA">
              <w:rPr>
                <w:sz w:val="16"/>
              </w:rPr>
              <w:sym w:font="Wingdings 3" w:char="F09E"/>
            </w:r>
            <w:r w:rsidRPr="003736FA">
              <w:rPr>
                <w:sz w:val="16"/>
              </w:rPr>
              <w:t xml:space="preserve"> 4.7</w:t>
            </w:r>
          </w:p>
        </w:tc>
        <w:tc>
          <w:tcPr>
            <w:tcW w:w="1250" w:type="pct"/>
            <w:tcBorders>
              <w:top w:val="nil"/>
              <w:left w:val="nil"/>
              <w:bottom w:val="nil"/>
              <w:right w:val="nil"/>
            </w:tcBorders>
            <w:tcMar>
              <w:top w:w="0" w:type="dxa"/>
              <w:bottom w:w="0" w:type="dxa"/>
            </w:tcMar>
          </w:tcPr>
          <w:p w14:paraId="22D6F0D6" w14:textId="77777777" w:rsidR="00A42E7C" w:rsidRPr="003736FA" w:rsidRDefault="00A42E7C" w:rsidP="00802FC4">
            <w:pPr>
              <w:pStyle w:val="BodyText"/>
              <w:spacing w:line="0" w:lineRule="atLeast"/>
              <w:contextualSpacing/>
              <w:jc w:val="center"/>
              <w:rPr>
                <w:sz w:val="16"/>
              </w:rPr>
            </w:pPr>
            <w:r w:rsidRPr="003736FA">
              <w:rPr>
                <w:sz w:val="16"/>
              </w:rPr>
              <w:t xml:space="preserve">5.4 </w:t>
            </w:r>
            <w:r w:rsidRPr="003736FA">
              <w:rPr>
                <w:sz w:val="16"/>
              </w:rPr>
              <w:sym w:font="Wingdings 3" w:char="F09E"/>
            </w:r>
            <w:r w:rsidRPr="003736FA">
              <w:rPr>
                <w:sz w:val="16"/>
              </w:rPr>
              <w:t xml:space="preserve"> 6.6</w:t>
            </w:r>
          </w:p>
        </w:tc>
        <w:tc>
          <w:tcPr>
            <w:tcW w:w="1250" w:type="pct"/>
            <w:tcBorders>
              <w:top w:val="nil"/>
              <w:left w:val="nil"/>
              <w:bottom w:val="nil"/>
              <w:right w:val="nil"/>
            </w:tcBorders>
            <w:tcMar>
              <w:top w:w="0" w:type="dxa"/>
              <w:bottom w:w="0" w:type="dxa"/>
            </w:tcMar>
          </w:tcPr>
          <w:p w14:paraId="2AE20B66" w14:textId="77777777" w:rsidR="00A42E7C" w:rsidRPr="003736FA" w:rsidRDefault="00A42E7C" w:rsidP="00802FC4">
            <w:pPr>
              <w:pStyle w:val="BodyText"/>
              <w:spacing w:line="0" w:lineRule="atLeast"/>
              <w:contextualSpacing/>
              <w:jc w:val="center"/>
              <w:rPr>
                <w:sz w:val="16"/>
              </w:rPr>
            </w:pPr>
            <w:r w:rsidRPr="003736FA">
              <w:rPr>
                <w:sz w:val="16"/>
              </w:rPr>
              <w:t xml:space="preserve">5.7 </w:t>
            </w:r>
            <w:r w:rsidRPr="003736FA">
              <w:rPr>
                <w:sz w:val="16"/>
              </w:rPr>
              <w:sym w:font="Wingdings 3" w:char="F09E"/>
            </w:r>
            <w:r w:rsidRPr="003736FA">
              <w:rPr>
                <w:sz w:val="16"/>
              </w:rPr>
              <w:t xml:space="preserve"> 5.9</w:t>
            </w:r>
          </w:p>
        </w:tc>
      </w:tr>
      <w:tr w:rsidR="00A42E7C" w:rsidRPr="003736FA" w14:paraId="4937A86F" w14:textId="77777777" w:rsidTr="00E70C38">
        <w:tc>
          <w:tcPr>
            <w:tcW w:w="1250" w:type="pct"/>
            <w:tcBorders>
              <w:top w:val="nil"/>
              <w:left w:val="nil"/>
              <w:bottom w:val="nil"/>
              <w:right w:val="nil"/>
            </w:tcBorders>
            <w:tcMar>
              <w:top w:w="0" w:type="dxa"/>
              <w:bottom w:w="0" w:type="dxa"/>
            </w:tcMar>
          </w:tcPr>
          <w:p w14:paraId="617ADD7A" w14:textId="77777777" w:rsidR="00A42E7C" w:rsidRPr="003736FA" w:rsidRDefault="00A42E7C" w:rsidP="00802FC4">
            <w:pPr>
              <w:pStyle w:val="BodyText"/>
              <w:spacing w:line="0" w:lineRule="atLeast"/>
              <w:contextualSpacing/>
              <w:rPr>
                <w:b/>
                <w:sz w:val="16"/>
              </w:rPr>
            </w:pPr>
            <w:r w:rsidRPr="003736FA">
              <w:rPr>
                <w:sz w:val="16"/>
              </w:rPr>
              <w:t xml:space="preserve">Adjusted change from baseline </w:t>
            </w:r>
          </w:p>
        </w:tc>
        <w:tc>
          <w:tcPr>
            <w:tcW w:w="1250" w:type="pct"/>
            <w:tcBorders>
              <w:top w:val="nil"/>
              <w:left w:val="nil"/>
              <w:bottom w:val="nil"/>
              <w:right w:val="nil"/>
            </w:tcBorders>
            <w:tcMar>
              <w:top w:w="0" w:type="dxa"/>
              <w:bottom w:w="0" w:type="dxa"/>
            </w:tcMar>
          </w:tcPr>
          <w:p w14:paraId="418F81B7" w14:textId="77777777" w:rsidR="00A42E7C" w:rsidRPr="003736FA" w:rsidRDefault="00A42E7C" w:rsidP="00802FC4">
            <w:pPr>
              <w:pStyle w:val="BodyText"/>
              <w:spacing w:line="0" w:lineRule="atLeast"/>
              <w:contextualSpacing/>
              <w:jc w:val="center"/>
              <w:rPr>
                <w:sz w:val="16"/>
              </w:rPr>
            </w:pPr>
            <w:r w:rsidRPr="003736FA">
              <w:rPr>
                <w:sz w:val="16"/>
              </w:rPr>
              <w:t>-0.84</w:t>
            </w:r>
          </w:p>
        </w:tc>
        <w:tc>
          <w:tcPr>
            <w:tcW w:w="1250" w:type="pct"/>
            <w:tcBorders>
              <w:top w:val="nil"/>
              <w:left w:val="nil"/>
              <w:bottom w:val="nil"/>
              <w:right w:val="nil"/>
            </w:tcBorders>
            <w:tcMar>
              <w:top w:w="0" w:type="dxa"/>
              <w:bottom w:w="0" w:type="dxa"/>
            </w:tcMar>
          </w:tcPr>
          <w:p w14:paraId="39700EA4" w14:textId="77777777" w:rsidR="00A42E7C" w:rsidRPr="003736FA" w:rsidRDefault="00A42E7C" w:rsidP="00802FC4">
            <w:pPr>
              <w:pStyle w:val="BodyText"/>
              <w:spacing w:line="0" w:lineRule="atLeast"/>
              <w:contextualSpacing/>
              <w:jc w:val="center"/>
              <w:rPr>
                <w:sz w:val="16"/>
              </w:rPr>
            </w:pPr>
            <w:r w:rsidRPr="003736FA">
              <w:rPr>
                <w:sz w:val="16"/>
              </w:rPr>
              <w:t>1.27</w:t>
            </w:r>
          </w:p>
        </w:tc>
        <w:tc>
          <w:tcPr>
            <w:tcW w:w="1250" w:type="pct"/>
            <w:tcBorders>
              <w:top w:val="nil"/>
              <w:left w:val="nil"/>
              <w:bottom w:val="nil"/>
              <w:right w:val="nil"/>
            </w:tcBorders>
            <w:tcMar>
              <w:top w:w="0" w:type="dxa"/>
              <w:bottom w:w="0" w:type="dxa"/>
            </w:tcMar>
          </w:tcPr>
          <w:p w14:paraId="1AEE7628" w14:textId="77777777" w:rsidR="00A42E7C" w:rsidRPr="003736FA" w:rsidRDefault="00A42E7C" w:rsidP="00802FC4">
            <w:pPr>
              <w:pStyle w:val="BodyText"/>
              <w:spacing w:line="0" w:lineRule="atLeast"/>
              <w:contextualSpacing/>
              <w:jc w:val="center"/>
              <w:rPr>
                <w:sz w:val="16"/>
              </w:rPr>
            </w:pPr>
            <w:r w:rsidRPr="003736FA">
              <w:rPr>
                <w:sz w:val="16"/>
              </w:rPr>
              <w:t>0.34</w:t>
            </w:r>
          </w:p>
        </w:tc>
      </w:tr>
      <w:tr w:rsidR="00A42E7C" w:rsidRPr="003736FA" w14:paraId="77695C3E" w14:textId="77777777" w:rsidTr="00E70C38">
        <w:tc>
          <w:tcPr>
            <w:tcW w:w="1250" w:type="pct"/>
            <w:tcBorders>
              <w:top w:val="nil"/>
              <w:left w:val="nil"/>
              <w:bottom w:val="single" w:sz="4" w:space="0" w:color="auto"/>
              <w:right w:val="nil"/>
            </w:tcBorders>
            <w:tcMar>
              <w:top w:w="0" w:type="dxa"/>
              <w:bottom w:w="0" w:type="dxa"/>
            </w:tcMar>
          </w:tcPr>
          <w:p w14:paraId="7745843C" w14:textId="77777777" w:rsidR="00A42E7C" w:rsidRPr="003736FA" w:rsidRDefault="00A42E7C" w:rsidP="00802FC4">
            <w:pPr>
              <w:pStyle w:val="BodyText"/>
              <w:spacing w:line="0" w:lineRule="atLeast"/>
              <w:contextualSpacing/>
              <w:rPr>
                <w:b/>
                <w:sz w:val="16"/>
              </w:rPr>
            </w:pPr>
            <w:r w:rsidRPr="003736FA">
              <w:rPr>
                <w:i/>
                <w:sz w:val="16"/>
              </w:rPr>
              <w:t>Estimated treatment difference</w:t>
            </w:r>
          </w:p>
        </w:tc>
        <w:tc>
          <w:tcPr>
            <w:tcW w:w="1250" w:type="pct"/>
            <w:tcBorders>
              <w:top w:val="nil"/>
              <w:left w:val="nil"/>
              <w:bottom w:val="single" w:sz="4" w:space="0" w:color="auto"/>
              <w:right w:val="nil"/>
            </w:tcBorders>
            <w:tcMar>
              <w:top w:w="0" w:type="dxa"/>
              <w:bottom w:w="0" w:type="dxa"/>
            </w:tcMar>
          </w:tcPr>
          <w:p w14:paraId="40EEF0CD" w14:textId="77777777" w:rsidR="00A42E7C" w:rsidRPr="003736FA" w:rsidRDefault="00A42E7C" w:rsidP="00802FC4">
            <w:pPr>
              <w:pStyle w:val="BodyText"/>
              <w:spacing w:line="0" w:lineRule="atLeast"/>
              <w:contextualSpacing/>
              <w:jc w:val="center"/>
              <w:rPr>
                <w:sz w:val="16"/>
              </w:rPr>
            </w:pPr>
            <w:r w:rsidRPr="003736FA">
              <w:rPr>
                <w:i/>
                <w:sz w:val="16"/>
              </w:rPr>
              <w:t>-1.18[-1.65;-0.71]</w:t>
            </w:r>
            <w:r w:rsidRPr="003736FA">
              <w:rPr>
                <w:sz w:val="16"/>
                <w:vertAlign w:val="superscript"/>
              </w:rPr>
              <w:t>DF</w:t>
            </w:r>
          </w:p>
        </w:tc>
        <w:tc>
          <w:tcPr>
            <w:tcW w:w="1250" w:type="pct"/>
            <w:tcBorders>
              <w:top w:val="nil"/>
              <w:left w:val="nil"/>
              <w:bottom w:val="single" w:sz="4" w:space="0" w:color="auto"/>
              <w:right w:val="nil"/>
            </w:tcBorders>
            <w:tcMar>
              <w:top w:w="0" w:type="dxa"/>
              <w:bottom w:w="0" w:type="dxa"/>
            </w:tcMar>
          </w:tcPr>
          <w:p w14:paraId="2998BDD1" w14:textId="77777777" w:rsidR="00A42E7C" w:rsidRPr="003736FA" w:rsidRDefault="00A42E7C" w:rsidP="00802FC4">
            <w:pPr>
              <w:pStyle w:val="BodyText"/>
              <w:spacing w:line="0" w:lineRule="atLeast"/>
              <w:contextualSpacing/>
              <w:jc w:val="center"/>
              <w:rPr>
                <w:sz w:val="16"/>
              </w:rPr>
            </w:pPr>
            <w:r w:rsidRPr="003736FA">
              <w:rPr>
                <w:i/>
                <w:sz w:val="16"/>
              </w:rPr>
              <w:t>0.93[0.46;1.40]</w:t>
            </w:r>
            <w:r w:rsidRPr="003736FA">
              <w:rPr>
                <w:sz w:val="16"/>
                <w:vertAlign w:val="superscript"/>
              </w:rPr>
              <w:t>E</w:t>
            </w:r>
          </w:p>
        </w:tc>
        <w:tc>
          <w:tcPr>
            <w:tcW w:w="1250" w:type="pct"/>
            <w:tcBorders>
              <w:top w:val="nil"/>
              <w:left w:val="nil"/>
              <w:bottom w:val="single" w:sz="4" w:space="0" w:color="auto"/>
              <w:right w:val="nil"/>
            </w:tcBorders>
            <w:tcMar>
              <w:top w:w="0" w:type="dxa"/>
              <w:bottom w:w="0" w:type="dxa"/>
            </w:tcMar>
          </w:tcPr>
          <w:p w14:paraId="63B6D07E" w14:textId="77777777" w:rsidR="00A42E7C" w:rsidRPr="003736FA" w:rsidRDefault="00A42E7C" w:rsidP="00802FC4">
            <w:pPr>
              <w:pStyle w:val="BodyText"/>
              <w:spacing w:line="0" w:lineRule="atLeast"/>
              <w:contextualSpacing/>
              <w:jc w:val="center"/>
              <w:rPr>
                <w:sz w:val="16"/>
              </w:rPr>
            </w:pPr>
          </w:p>
        </w:tc>
      </w:tr>
      <w:tr w:rsidR="00A42E7C" w:rsidRPr="003736FA" w14:paraId="47C80666" w14:textId="77777777" w:rsidTr="00E70C38">
        <w:tc>
          <w:tcPr>
            <w:tcW w:w="1250" w:type="pct"/>
            <w:tcBorders>
              <w:left w:val="nil"/>
              <w:bottom w:val="nil"/>
              <w:right w:val="nil"/>
            </w:tcBorders>
            <w:tcMar>
              <w:top w:w="0" w:type="dxa"/>
              <w:bottom w:w="0" w:type="dxa"/>
            </w:tcMar>
          </w:tcPr>
          <w:p w14:paraId="2004BB00" w14:textId="77777777" w:rsidR="00A42E7C" w:rsidRPr="003736FA" w:rsidRDefault="00A42E7C" w:rsidP="00802FC4">
            <w:pPr>
              <w:pStyle w:val="BodyText"/>
              <w:spacing w:line="0" w:lineRule="atLeast"/>
              <w:contextualSpacing/>
            </w:pPr>
            <w:r w:rsidRPr="003736FA">
              <w:rPr>
                <w:b/>
              </w:rPr>
              <w:t>Bodyweight (kg)</w:t>
            </w:r>
          </w:p>
        </w:tc>
        <w:tc>
          <w:tcPr>
            <w:tcW w:w="1250" w:type="pct"/>
            <w:tcBorders>
              <w:left w:val="nil"/>
              <w:bottom w:val="nil"/>
              <w:right w:val="nil"/>
            </w:tcBorders>
            <w:tcMar>
              <w:top w:w="0" w:type="dxa"/>
              <w:bottom w:w="0" w:type="dxa"/>
            </w:tcMar>
          </w:tcPr>
          <w:p w14:paraId="7086A7DE" w14:textId="77777777" w:rsidR="00A42E7C" w:rsidRPr="003736FA" w:rsidRDefault="00A42E7C" w:rsidP="00802FC4">
            <w:pPr>
              <w:pStyle w:val="BodyText"/>
              <w:spacing w:line="0" w:lineRule="atLeast"/>
              <w:contextualSpacing/>
              <w:jc w:val="center"/>
              <w:rPr>
                <w:i/>
              </w:rPr>
            </w:pPr>
          </w:p>
        </w:tc>
        <w:tc>
          <w:tcPr>
            <w:tcW w:w="1250" w:type="pct"/>
            <w:tcBorders>
              <w:left w:val="nil"/>
              <w:bottom w:val="nil"/>
              <w:right w:val="nil"/>
            </w:tcBorders>
            <w:tcMar>
              <w:top w:w="0" w:type="dxa"/>
              <w:bottom w:w="0" w:type="dxa"/>
            </w:tcMar>
          </w:tcPr>
          <w:p w14:paraId="78E2EAAD"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3451F8F1" w14:textId="77777777" w:rsidR="00A42E7C" w:rsidRPr="003736FA" w:rsidRDefault="00A42E7C" w:rsidP="00802FC4">
            <w:pPr>
              <w:pStyle w:val="BodyText"/>
              <w:spacing w:line="0" w:lineRule="atLeast"/>
              <w:contextualSpacing/>
              <w:jc w:val="center"/>
            </w:pPr>
          </w:p>
        </w:tc>
      </w:tr>
      <w:tr w:rsidR="00A42E7C" w:rsidRPr="003736FA" w14:paraId="26E847D0" w14:textId="77777777" w:rsidTr="00E70C38">
        <w:tc>
          <w:tcPr>
            <w:tcW w:w="1250" w:type="pct"/>
            <w:tcBorders>
              <w:top w:val="nil"/>
              <w:left w:val="nil"/>
              <w:bottom w:val="nil"/>
              <w:right w:val="nil"/>
            </w:tcBorders>
            <w:tcMar>
              <w:top w:w="0" w:type="dxa"/>
              <w:bottom w:w="0" w:type="dxa"/>
            </w:tcMar>
          </w:tcPr>
          <w:p w14:paraId="5FAA5084" w14:textId="77777777" w:rsidR="00A42E7C" w:rsidRPr="003736FA" w:rsidRDefault="00A42E7C" w:rsidP="00802FC4">
            <w:pPr>
              <w:pStyle w:val="BodyText"/>
              <w:spacing w:line="0" w:lineRule="atLeast"/>
              <w:contextualSpacing/>
              <w:rPr>
                <w:b/>
                <w:sz w:val="16"/>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bottom w:val="nil"/>
              <w:right w:val="nil"/>
            </w:tcBorders>
            <w:tcMar>
              <w:top w:w="0" w:type="dxa"/>
              <w:bottom w:w="0" w:type="dxa"/>
            </w:tcMar>
          </w:tcPr>
          <w:p w14:paraId="23DFD383" w14:textId="77777777" w:rsidR="00A42E7C" w:rsidRPr="003736FA" w:rsidRDefault="00A42E7C" w:rsidP="00802FC4">
            <w:pPr>
              <w:pStyle w:val="BodyText"/>
              <w:spacing w:line="0" w:lineRule="atLeast"/>
              <w:contextualSpacing/>
              <w:jc w:val="center"/>
              <w:rPr>
                <w:sz w:val="16"/>
              </w:rPr>
            </w:pPr>
            <w:r w:rsidRPr="003736FA">
              <w:rPr>
                <w:sz w:val="16"/>
              </w:rPr>
              <w:t xml:space="preserve">78.6 </w:t>
            </w:r>
            <w:r w:rsidRPr="003736FA">
              <w:rPr>
                <w:sz w:val="16"/>
              </w:rPr>
              <w:sym w:font="Wingdings 3" w:char="F09E"/>
            </w:r>
            <w:r w:rsidRPr="003736FA">
              <w:rPr>
                <w:sz w:val="16"/>
              </w:rPr>
              <w:t xml:space="preserve"> 79.2</w:t>
            </w:r>
          </w:p>
        </w:tc>
        <w:tc>
          <w:tcPr>
            <w:tcW w:w="1250" w:type="pct"/>
            <w:tcBorders>
              <w:top w:val="nil"/>
              <w:left w:val="nil"/>
              <w:bottom w:val="nil"/>
              <w:right w:val="nil"/>
            </w:tcBorders>
            <w:tcMar>
              <w:top w:w="0" w:type="dxa"/>
              <w:bottom w:w="0" w:type="dxa"/>
            </w:tcMar>
          </w:tcPr>
          <w:p w14:paraId="5CC21038" w14:textId="77777777" w:rsidR="00A42E7C" w:rsidRPr="003736FA" w:rsidRDefault="00A42E7C" w:rsidP="00802FC4">
            <w:pPr>
              <w:pStyle w:val="BodyText"/>
              <w:spacing w:line="0" w:lineRule="atLeast"/>
              <w:contextualSpacing/>
              <w:jc w:val="center"/>
              <w:rPr>
                <w:sz w:val="16"/>
              </w:rPr>
            </w:pPr>
            <w:r w:rsidRPr="003736FA">
              <w:rPr>
                <w:sz w:val="16"/>
              </w:rPr>
              <w:t xml:space="preserve">80.5 </w:t>
            </w:r>
            <w:r w:rsidRPr="003736FA">
              <w:rPr>
                <w:sz w:val="16"/>
              </w:rPr>
              <w:sym w:font="Wingdings 3" w:char="F09E"/>
            </w:r>
            <w:r w:rsidRPr="003736FA">
              <w:rPr>
                <w:sz w:val="16"/>
              </w:rPr>
              <w:t xml:space="preserve"> 81.2</w:t>
            </w:r>
          </w:p>
        </w:tc>
        <w:tc>
          <w:tcPr>
            <w:tcW w:w="1250" w:type="pct"/>
            <w:tcBorders>
              <w:top w:val="nil"/>
              <w:left w:val="nil"/>
              <w:bottom w:val="nil"/>
              <w:right w:val="nil"/>
            </w:tcBorders>
            <w:tcMar>
              <w:top w:w="0" w:type="dxa"/>
              <w:bottom w:w="0" w:type="dxa"/>
            </w:tcMar>
          </w:tcPr>
          <w:p w14:paraId="1BF52710" w14:textId="77777777" w:rsidR="00A42E7C" w:rsidRPr="003736FA" w:rsidRDefault="00A42E7C" w:rsidP="00802FC4">
            <w:pPr>
              <w:pStyle w:val="BodyText"/>
              <w:spacing w:line="0" w:lineRule="atLeast"/>
              <w:contextualSpacing/>
              <w:jc w:val="center"/>
              <w:rPr>
                <w:sz w:val="16"/>
              </w:rPr>
            </w:pPr>
            <w:r w:rsidRPr="003736FA">
              <w:rPr>
                <w:sz w:val="16"/>
              </w:rPr>
              <w:t xml:space="preserve">80.2 </w:t>
            </w:r>
            <w:r w:rsidRPr="003736FA">
              <w:rPr>
                <w:sz w:val="16"/>
              </w:rPr>
              <w:sym w:font="Wingdings 3" w:char="F09E"/>
            </w:r>
            <w:r w:rsidRPr="003736FA">
              <w:rPr>
                <w:sz w:val="16"/>
              </w:rPr>
              <w:t xml:space="preserve"> 80.7</w:t>
            </w:r>
          </w:p>
        </w:tc>
      </w:tr>
      <w:tr w:rsidR="00A42E7C" w:rsidRPr="003736FA" w14:paraId="739BD994" w14:textId="77777777" w:rsidTr="00E70C38">
        <w:tc>
          <w:tcPr>
            <w:tcW w:w="1250" w:type="pct"/>
            <w:tcBorders>
              <w:top w:val="nil"/>
              <w:left w:val="nil"/>
              <w:bottom w:val="nil"/>
              <w:right w:val="nil"/>
            </w:tcBorders>
            <w:tcMar>
              <w:top w:w="0" w:type="dxa"/>
              <w:bottom w:w="0" w:type="dxa"/>
            </w:tcMar>
          </w:tcPr>
          <w:p w14:paraId="3817B67A" w14:textId="77777777" w:rsidR="00A42E7C" w:rsidRPr="003736FA" w:rsidRDefault="00A42E7C" w:rsidP="00802FC4">
            <w:pPr>
              <w:pStyle w:val="BodyText"/>
              <w:spacing w:line="0" w:lineRule="atLeast"/>
              <w:contextualSpacing/>
              <w:rPr>
                <w:b/>
                <w:sz w:val="16"/>
              </w:rPr>
            </w:pPr>
            <w:r w:rsidRPr="003736FA">
              <w:rPr>
                <w:sz w:val="16"/>
              </w:rPr>
              <w:t xml:space="preserve">Adjusted change from baseline </w:t>
            </w:r>
          </w:p>
        </w:tc>
        <w:tc>
          <w:tcPr>
            <w:tcW w:w="1250" w:type="pct"/>
            <w:tcBorders>
              <w:top w:val="nil"/>
              <w:left w:val="nil"/>
              <w:bottom w:val="nil"/>
              <w:right w:val="nil"/>
            </w:tcBorders>
            <w:tcMar>
              <w:top w:w="0" w:type="dxa"/>
              <w:bottom w:w="0" w:type="dxa"/>
            </w:tcMar>
          </w:tcPr>
          <w:p w14:paraId="00C03DD7" w14:textId="77777777" w:rsidR="00A42E7C" w:rsidRPr="003736FA" w:rsidRDefault="00A42E7C" w:rsidP="00802FC4">
            <w:pPr>
              <w:pStyle w:val="BodyText"/>
              <w:spacing w:line="0" w:lineRule="atLeast"/>
              <w:contextualSpacing/>
              <w:jc w:val="center"/>
              <w:rPr>
                <w:b/>
                <w:sz w:val="16"/>
              </w:rPr>
            </w:pPr>
            <w:r w:rsidRPr="003736FA">
              <w:rPr>
                <w:sz w:val="16"/>
              </w:rPr>
              <w:t>0.67</w:t>
            </w:r>
          </w:p>
        </w:tc>
        <w:tc>
          <w:tcPr>
            <w:tcW w:w="1250" w:type="pct"/>
            <w:tcBorders>
              <w:top w:val="nil"/>
              <w:left w:val="nil"/>
              <w:bottom w:val="nil"/>
              <w:right w:val="nil"/>
            </w:tcBorders>
            <w:tcMar>
              <w:top w:w="0" w:type="dxa"/>
              <w:bottom w:w="0" w:type="dxa"/>
            </w:tcMar>
          </w:tcPr>
          <w:p w14:paraId="6A111A93" w14:textId="77777777" w:rsidR="00A42E7C" w:rsidRPr="003736FA" w:rsidRDefault="00A42E7C" w:rsidP="00802FC4">
            <w:pPr>
              <w:pStyle w:val="BodyText"/>
              <w:spacing w:line="0" w:lineRule="atLeast"/>
              <w:contextualSpacing/>
              <w:jc w:val="center"/>
              <w:rPr>
                <w:sz w:val="16"/>
              </w:rPr>
            </w:pPr>
            <w:r w:rsidRPr="003736FA">
              <w:rPr>
                <w:sz w:val="16"/>
              </w:rPr>
              <w:t>0.70</w:t>
            </w:r>
          </w:p>
        </w:tc>
        <w:tc>
          <w:tcPr>
            <w:tcW w:w="1250" w:type="pct"/>
            <w:tcBorders>
              <w:top w:val="nil"/>
              <w:left w:val="nil"/>
              <w:bottom w:val="nil"/>
              <w:right w:val="nil"/>
            </w:tcBorders>
            <w:tcMar>
              <w:top w:w="0" w:type="dxa"/>
              <w:bottom w:w="0" w:type="dxa"/>
            </w:tcMar>
          </w:tcPr>
          <w:p w14:paraId="2D355F75" w14:textId="77777777" w:rsidR="00A42E7C" w:rsidRPr="003736FA" w:rsidRDefault="00A42E7C" w:rsidP="00802FC4">
            <w:pPr>
              <w:pStyle w:val="BodyText"/>
              <w:spacing w:line="0" w:lineRule="atLeast"/>
              <w:contextualSpacing/>
              <w:jc w:val="center"/>
              <w:rPr>
                <w:sz w:val="16"/>
              </w:rPr>
            </w:pPr>
            <w:r w:rsidRPr="003736FA">
              <w:rPr>
                <w:sz w:val="16"/>
              </w:rPr>
              <w:t>0.55</w:t>
            </w:r>
          </w:p>
        </w:tc>
      </w:tr>
      <w:tr w:rsidR="00A42E7C" w:rsidRPr="003736FA" w14:paraId="37812F5E" w14:textId="77777777" w:rsidTr="00E70C38">
        <w:tc>
          <w:tcPr>
            <w:tcW w:w="1250" w:type="pct"/>
            <w:tcBorders>
              <w:top w:val="nil"/>
              <w:left w:val="nil"/>
              <w:right w:val="nil"/>
            </w:tcBorders>
            <w:tcMar>
              <w:top w:w="0" w:type="dxa"/>
              <w:bottom w:w="0" w:type="dxa"/>
            </w:tcMar>
          </w:tcPr>
          <w:p w14:paraId="3CF6E6F2" w14:textId="77777777" w:rsidR="00A42E7C" w:rsidRPr="003736FA" w:rsidRDefault="00A42E7C" w:rsidP="00802FC4">
            <w:pPr>
              <w:pStyle w:val="BodyText"/>
              <w:spacing w:line="0" w:lineRule="atLeast"/>
              <w:contextualSpacing/>
              <w:rPr>
                <w:b/>
                <w:sz w:val="16"/>
              </w:rPr>
            </w:pPr>
            <w:r w:rsidRPr="003736FA">
              <w:rPr>
                <w:i/>
                <w:sz w:val="16"/>
              </w:rPr>
              <w:t>Estimated treatment difference</w:t>
            </w:r>
          </w:p>
        </w:tc>
        <w:tc>
          <w:tcPr>
            <w:tcW w:w="1250" w:type="pct"/>
            <w:tcBorders>
              <w:top w:val="nil"/>
              <w:left w:val="nil"/>
              <w:right w:val="nil"/>
            </w:tcBorders>
            <w:tcMar>
              <w:top w:w="0" w:type="dxa"/>
              <w:bottom w:w="0" w:type="dxa"/>
            </w:tcMar>
          </w:tcPr>
          <w:p w14:paraId="6706A635" w14:textId="77777777" w:rsidR="00A42E7C" w:rsidRPr="003736FA" w:rsidRDefault="00A42E7C" w:rsidP="00802FC4">
            <w:pPr>
              <w:pStyle w:val="BodyText"/>
              <w:spacing w:line="0" w:lineRule="atLeast"/>
              <w:contextualSpacing/>
              <w:jc w:val="center"/>
              <w:rPr>
                <w:sz w:val="16"/>
              </w:rPr>
            </w:pPr>
            <w:r w:rsidRPr="003736FA">
              <w:rPr>
                <w:i/>
                <w:sz w:val="16"/>
              </w:rPr>
              <w:t>0.12 [-0.30;0.55]</w:t>
            </w:r>
            <w:r w:rsidRPr="003736FA">
              <w:rPr>
                <w:sz w:val="16"/>
                <w:vertAlign w:val="superscript"/>
              </w:rPr>
              <w:t>D</w:t>
            </w:r>
          </w:p>
        </w:tc>
        <w:tc>
          <w:tcPr>
            <w:tcW w:w="1250" w:type="pct"/>
            <w:tcBorders>
              <w:top w:val="nil"/>
              <w:left w:val="nil"/>
              <w:right w:val="nil"/>
            </w:tcBorders>
            <w:tcMar>
              <w:top w:w="0" w:type="dxa"/>
              <w:bottom w:w="0" w:type="dxa"/>
            </w:tcMar>
          </w:tcPr>
          <w:p w14:paraId="0523265C" w14:textId="77777777" w:rsidR="00A42E7C" w:rsidRPr="003736FA" w:rsidRDefault="00A42E7C" w:rsidP="00802FC4">
            <w:pPr>
              <w:pStyle w:val="BodyText"/>
              <w:spacing w:line="0" w:lineRule="atLeast"/>
              <w:contextualSpacing/>
              <w:jc w:val="center"/>
              <w:rPr>
                <w:sz w:val="16"/>
              </w:rPr>
            </w:pPr>
            <w:r w:rsidRPr="003736FA">
              <w:rPr>
                <w:i/>
                <w:sz w:val="16"/>
              </w:rPr>
              <w:t>0.16 [-0.27;0.58]</w:t>
            </w:r>
            <w:r w:rsidRPr="003736FA">
              <w:rPr>
                <w:sz w:val="16"/>
                <w:vertAlign w:val="superscript"/>
              </w:rPr>
              <w:t>E</w:t>
            </w:r>
          </w:p>
        </w:tc>
        <w:tc>
          <w:tcPr>
            <w:tcW w:w="1250" w:type="pct"/>
            <w:tcBorders>
              <w:top w:val="nil"/>
              <w:left w:val="nil"/>
              <w:right w:val="nil"/>
            </w:tcBorders>
            <w:tcMar>
              <w:top w:w="0" w:type="dxa"/>
              <w:bottom w:w="0" w:type="dxa"/>
            </w:tcMar>
          </w:tcPr>
          <w:p w14:paraId="30834880" w14:textId="77777777" w:rsidR="00A42E7C" w:rsidRPr="003736FA" w:rsidRDefault="00A42E7C" w:rsidP="00802FC4">
            <w:pPr>
              <w:pStyle w:val="BodyText"/>
              <w:spacing w:line="0" w:lineRule="atLeast"/>
              <w:contextualSpacing/>
              <w:jc w:val="center"/>
              <w:rPr>
                <w:sz w:val="16"/>
              </w:rPr>
            </w:pPr>
          </w:p>
        </w:tc>
      </w:tr>
      <w:tr w:rsidR="00A42E7C" w:rsidRPr="003736FA" w14:paraId="4ED87C84" w14:textId="77777777" w:rsidTr="00E70C38">
        <w:tc>
          <w:tcPr>
            <w:tcW w:w="1250" w:type="pct"/>
            <w:tcBorders>
              <w:left w:val="nil"/>
              <w:bottom w:val="nil"/>
              <w:right w:val="nil"/>
            </w:tcBorders>
            <w:tcMar>
              <w:top w:w="0" w:type="dxa"/>
              <w:bottom w:w="0" w:type="dxa"/>
            </w:tcMar>
          </w:tcPr>
          <w:p w14:paraId="7202ECF5" w14:textId="77777777" w:rsidR="00A42E7C" w:rsidRPr="003736FA" w:rsidRDefault="00A42E7C" w:rsidP="00802FC4">
            <w:pPr>
              <w:pStyle w:val="BodyText"/>
              <w:spacing w:line="0" w:lineRule="atLeast"/>
              <w:contextualSpacing/>
            </w:pPr>
            <w:r w:rsidRPr="003736FA">
              <w:rPr>
                <w:b/>
              </w:rPr>
              <w:t xml:space="preserve">Observed rate of severe or BG confirmed </w:t>
            </w:r>
            <w:proofErr w:type="spellStart"/>
            <w:r w:rsidRPr="003736FA">
              <w:rPr>
                <w:b/>
              </w:rPr>
              <w:t>hypoglycaemia</w:t>
            </w:r>
            <w:r w:rsidRPr="003736FA">
              <w:rPr>
                <w:b/>
                <w:vertAlign w:val="superscript"/>
              </w:rPr>
              <w:t>C</w:t>
            </w:r>
            <w:proofErr w:type="spellEnd"/>
            <w:r w:rsidRPr="003736FA">
              <w:rPr>
                <w:b/>
              </w:rPr>
              <w:t xml:space="preserve"> per patient year of exposure (percentage of patients)</w:t>
            </w:r>
          </w:p>
        </w:tc>
        <w:tc>
          <w:tcPr>
            <w:tcW w:w="1250" w:type="pct"/>
            <w:tcBorders>
              <w:left w:val="nil"/>
              <w:bottom w:val="nil"/>
              <w:right w:val="nil"/>
            </w:tcBorders>
            <w:tcMar>
              <w:top w:w="0" w:type="dxa"/>
              <w:bottom w:w="0" w:type="dxa"/>
            </w:tcMar>
          </w:tcPr>
          <w:p w14:paraId="75495B9A" w14:textId="77777777" w:rsidR="00A42E7C" w:rsidRPr="003736FA" w:rsidRDefault="00A42E7C" w:rsidP="00802FC4">
            <w:pPr>
              <w:pStyle w:val="BodyText"/>
              <w:spacing w:line="0" w:lineRule="atLeast"/>
              <w:contextualSpacing/>
              <w:jc w:val="center"/>
              <w:rPr>
                <w:i/>
                <w:sz w:val="16"/>
              </w:rPr>
            </w:pPr>
            <w:r w:rsidRPr="003736FA">
              <w:rPr>
                <w:sz w:val="16"/>
              </w:rPr>
              <w:br/>
            </w:r>
          </w:p>
          <w:p w14:paraId="1A4C12AB" w14:textId="77777777" w:rsidR="00A42E7C" w:rsidRPr="003736FA" w:rsidRDefault="00A42E7C" w:rsidP="00802FC4">
            <w:pPr>
              <w:pStyle w:val="BodyText"/>
              <w:spacing w:line="0" w:lineRule="atLeast"/>
              <w:contextualSpacing/>
              <w:jc w:val="center"/>
              <w:rPr>
                <w:i/>
                <w:sz w:val="16"/>
              </w:rPr>
            </w:pPr>
          </w:p>
          <w:p w14:paraId="7374D700" w14:textId="77777777" w:rsidR="00A42E7C" w:rsidRPr="003736FA" w:rsidRDefault="00A42E7C" w:rsidP="00802FC4">
            <w:pPr>
              <w:pStyle w:val="BodyText"/>
              <w:spacing w:line="0" w:lineRule="atLeast"/>
              <w:contextualSpacing/>
              <w:jc w:val="center"/>
              <w:rPr>
                <w:i/>
                <w:sz w:val="16"/>
              </w:rPr>
            </w:pPr>
          </w:p>
          <w:p w14:paraId="646913A2" w14:textId="77777777" w:rsidR="00A42E7C" w:rsidRPr="003736FA" w:rsidRDefault="00A42E7C" w:rsidP="00802FC4">
            <w:pPr>
              <w:pStyle w:val="BodyText"/>
              <w:spacing w:line="0" w:lineRule="atLeast"/>
              <w:contextualSpacing/>
              <w:jc w:val="center"/>
              <w:rPr>
                <w:i/>
                <w:sz w:val="16"/>
              </w:rPr>
            </w:pPr>
            <w:r w:rsidRPr="003736FA">
              <w:rPr>
                <w:sz w:val="16"/>
              </w:rPr>
              <w:t>59.0 (92.7)</w:t>
            </w:r>
          </w:p>
        </w:tc>
        <w:tc>
          <w:tcPr>
            <w:tcW w:w="1250" w:type="pct"/>
            <w:tcBorders>
              <w:left w:val="nil"/>
              <w:bottom w:val="nil"/>
              <w:right w:val="nil"/>
            </w:tcBorders>
            <w:tcMar>
              <w:top w:w="0" w:type="dxa"/>
              <w:bottom w:w="0" w:type="dxa"/>
            </w:tcMar>
          </w:tcPr>
          <w:p w14:paraId="2E2318C7" w14:textId="77777777" w:rsidR="00A42E7C" w:rsidRPr="003736FA" w:rsidRDefault="00A42E7C" w:rsidP="00802FC4">
            <w:pPr>
              <w:pStyle w:val="BodyText"/>
              <w:spacing w:line="0" w:lineRule="atLeast"/>
              <w:contextualSpacing/>
              <w:jc w:val="center"/>
              <w:rPr>
                <w:sz w:val="16"/>
              </w:rPr>
            </w:pPr>
            <w:r w:rsidRPr="003736FA">
              <w:rPr>
                <w:sz w:val="16"/>
              </w:rPr>
              <w:br/>
            </w:r>
          </w:p>
          <w:p w14:paraId="137A457D" w14:textId="77777777" w:rsidR="00A42E7C" w:rsidRPr="003736FA" w:rsidRDefault="00A42E7C" w:rsidP="00802FC4">
            <w:pPr>
              <w:pStyle w:val="BodyText"/>
              <w:spacing w:line="0" w:lineRule="atLeast"/>
              <w:contextualSpacing/>
              <w:jc w:val="center"/>
              <w:rPr>
                <w:sz w:val="16"/>
              </w:rPr>
            </w:pPr>
          </w:p>
          <w:p w14:paraId="54C892EB" w14:textId="77777777" w:rsidR="00A42E7C" w:rsidRPr="003736FA" w:rsidRDefault="00A42E7C" w:rsidP="00802FC4">
            <w:pPr>
              <w:pStyle w:val="BodyText"/>
              <w:spacing w:line="0" w:lineRule="atLeast"/>
              <w:contextualSpacing/>
              <w:jc w:val="center"/>
              <w:rPr>
                <w:sz w:val="16"/>
              </w:rPr>
            </w:pPr>
          </w:p>
          <w:p w14:paraId="2DB9184A" w14:textId="77777777" w:rsidR="00A42E7C" w:rsidRPr="003736FA" w:rsidRDefault="00A42E7C" w:rsidP="00802FC4">
            <w:pPr>
              <w:pStyle w:val="BodyText"/>
              <w:spacing w:line="0" w:lineRule="atLeast"/>
              <w:contextualSpacing/>
              <w:jc w:val="center"/>
              <w:rPr>
                <w:sz w:val="16"/>
              </w:rPr>
            </w:pPr>
            <w:r w:rsidRPr="003736FA">
              <w:rPr>
                <w:sz w:val="16"/>
              </w:rPr>
              <w:t>54.4 (95.0)</w:t>
            </w:r>
          </w:p>
        </w:tc>
        <w:tc>
          <w:tcPr>
            <w:tcW w:w="1250" w:type="pct"/>
            <w:tcBorders>
              <w:left w:val="nil"/>
              <w:bottom w:val="nil"/>
              <w:right w:val="nil"/>
            </w:tcBorders>
            <w:tcMar>
              <w:top w:w="0" w:type="dxa"/>
              <w:bottom w:w="0" w:type="dxa"/>
            </w:tcMar>
          </w:tcPr>
          <w:p w14:paraId="30E59D55" w14:textId="77777777" w:rsidR="00A42E7C" w:rsidRPr="003736FA" w:rsidRDefault="00A42E7C" w:rsidP="00802FC4">
            <w:pPr>
              <w:pStyle w:val="BodyText"/>
              <w:spacing w:line="0" w:lineRule="atLeast"/>
              <w:contextualSpacing/>
              <w:jc w:val="center"/>
              <w:rPr>
                <w:sz w:val="16"/>
              </w:rPr>
            </w:pPr>
            <w:r w:rsidRPr="003736FA">
              <w:rPr>
                <w:sz w:val="16"/>
              </w:rPr>
              <w:br/>
            </w:r>
          </w:p>
          <w:p w14:paraId="73D1A689" w14:textId="77777777" w:rsidR="00A42E7C" w:rsidRPr="003736FA" w:rsidRDefault="00A42E7C" w:rsidP="00802FC4">
            <w:pPr>
              <w:pStyle w:val="BodyText"/>
              <w:spacing w:line="0" w:lineRule="atLeast"/>
              <w:contextualSpacing/>
              <w:jc w:val="center"/>
              <w:rPr>
                <w:sz w:val="16"/>
              </w:rPr>
            </w:pPr>
          </w:p>
          <w:p w14:paraId="4CEEBBBF" w14:textId="77777777" w:rsidR="00A42E7C" w:rsidRPr="003736FA" w:rsidRDefault="00A42E7C" w:rsidP="00802FC4">
            <w:pPr>
              <w:pStyle w:val="BodyText"/>
              <w:spacing w:line="0" w:lineRule="atLeast"/>
              <w:contextualSpacing/>
              <w:jc w:val="center"/>
              <w:rPr>
                <w:sz w:val="16"/>
              </w:rPr>
            </w:pPr>
          </w:p>
          <w:p w14:paraId="7DA57077" w14:textId="77777777" w:rsidR="00A42E7C" w:rsidRPr="003736FA" w:rsidRDefault="00A42E7C" w:rsidP="00802FC4">
            <w:pPr>
              <w:pStyle w:val="BodyText"/>
              <w:spacing w:line="0" w:lineRule="atLeast"/>
              <w:contextualSpacing/>
              <w:jc w:val="center"/>
              <w:rPr>
                <w:sz w:val="16"/>
              </w:rPr>
            </w:pPr>
            <w:r w:rsidRPr="003736FA">
              <w:rPr>
                <w:sz w:val="16"/>
              </w:rPr>
              <w:t>58.7 (97.4)</w:t>
            </w:r>
          </w:p>
        </w:tc>
      </w:tr>
      <w:tr w:rsidR="00A42E7C" w:rsidRPr="003736FA" w14:paraId="16B5E6E7" w14:textId="77777777" w:rsidTr="00E70C38">
        <w:tc>
          <w:tcPr>
            <w:tcW w:w="1250" w:type="pct"/>
            <w:tcBorders>
              <w:top w:val="nil"/>
              <w:left w:val="nil"/>
              <w:right w:val="nil"/>
            </w:tcBorders>
            <w:tcMar>
              <w:top w:w="0" w:type="dxa"/>
              <w:bottom w:w="0" w:type="dxa"/>
            </w:tcMar>
          </w:tcPr>
          <w:p w14:paraId="622DB462" w14:textId="77777777" w:rsidR="00A42E7C" w:rsidRPr="003736FA" w:rsidRDefault="00A42E7C" w:rsidP="00802FC4">
            <w:pPr>
              <w:pStyle w:val="BodyText"/>
              <w:spacing w:line="0" w:lineRule="atLeast"/>
              <w:contextualSpacing/>
              <w:rPr>
                <w:b/>
              </w:rPr>
            </w:pPr>
            <w:r w:rsidRPr="003736FA">
              <w:rPr>
                <w:i/>
                <w:sz w:val="16"/>
              </w:rPr>
              <w:t>Estimated rate ratio</w:t>
            </w:r>
          </w:p>
        </w:tc>
        <w:tc>
          <w:tcPr>
            <w:tcW w:w="1250" w:type="pct"/>
            <w:tcBorders>
              <w:top w:val="nil"/>
              <w:left w:val="nil"/>
              <w:right w:val="nil"/>
            </w:tcBorders>
            <w:tcMar>
              <w:top w:w="0" w:type="dxa"/>
              <w:bottom w:w="0" w:type="dxa"/>
            </w:tcMar>
          </w:tcPr>
          <w:p w14:paraId="0E6E0B0A" w14:textId="77777777" w:rsidR="00A42E7C" w:rsidRPr="003736FA" w:rsidRDefault="00A42E7C" w:rsidP="00802FC4">
            <w:pPr>
              <w:pStyle w:val="BodyText"/>
              <w:spacing w:line="0" w:lineRule="atLeast"/>
              <w:contextualSpacing/>
              <w:jc w:val="center"/>
              <w:rPr>
                <w:sz w:val="16"/>
              </w:rPr>
            </w:pPr>
            <w:r w:rsidRPr="003736FA">
              <w:rPr>
                <w:i/>
                <w:sz w:val="16"/>
              </w:rPr>
              <w:t>1.01 [0.88;1.15]</w:t>
            </w:r>
            <w:r w:rsidRPr="003736FA">
              <w:rPr>
                <w:sz w:val="16"/>
                <w:vertAlign w:val="superscript"/>
              </w:rPr>
              <w:t>D</w:t>
            </w:r>
          </w:p>
        </w:tc>
        <w:tc>
          <w:tcPr>
            <w:tcW w:w="1250" w:type="pct"/>
            <w:tcBorders>
              <w:top w:val="nil"/>
              <w:left w:val="nil"/>
              <w:right w:val="nil"/>
            </w:tcBorders>
            <w:tcMar>
              <w:top w:w="0" w:type="dxa"/>
              <w:bottom w:w="0" w:type="dxa"/>
            </w:tcMar>
          </w:tcPr>
          <w:p w14:paraId="2EAA46A4" w14:textId="77777777" w:rsidR="00A42E7C" w:rsidRPr="003736FA" w:rsidRDefault="00A42E7C" w:rsidP="00802FC4">
            <w:pPr>
              <w:pStyle w:val="BodyText"/>
              <w:spacing w:line="0" w:lineRule="atLeast"/>
              <w:contextualSpacing/>
              <w:jc w:val="center"/>
              <w:rPr>
                <w:sz w:val="16"/>
              </w:rPr>
            </w:pPr>
            <w:r w:rsidRPr="003736FA">
              <w:rPr>
                <w:i/>
                <w:sz w:val="16"/>
              </w:rPr>
              <w:t>0.92 [0.81;1.06]</w:t>
            </w:r>
            <w:r w:rsidRPr="003736FA">
              <w:rPr>
                <w:sz w:val="16"/>
                <w:vertAlign w:val="superscript"/>
              </w:rPr>
              <w:t>E</w:t>
            </w:r>
          </w:p>
        </w:tc>
        <w:tc>
          <w:tcPr>
            <w:tcW w:w="1250" w:type="pct"/>
            <w:tcBorders>
              <w:top w:val="nil"/>
              <w:left w:val="nil"/>
              <w:right w:val="nil"/>
            </w:tcBorders>
            <w:tcMar>
              <w:top w:w="0" w:type="dxa"/>
              <w:bottom w:w="0" w:type="dxa"/>
            </w:tcMar>
          </w:tcPr>
          <w:p w14:paraId="5564CA68" w14:textId="77777777" w:rsidR="00A42E7C" w:rsidRPr="003736FA" w:rsidRDefault="00A42E7C" w:rsidP="00802FC4">
            <w:pPr>
              <w:pStyle w:val="BodyText"/>
              <w:spacing w:line="0" w:lineRule="atLeast"/>
              <w:contextualSpacing/>
              <w:jc w:val="center"/>
              <w:rPr>
                <w:sz w:val="16"/>
              </w:rPr>
            </w:pPr>
          </w:p>
        </w:tc>
      </w:tr>
      <w:tr w:rsidR="00A42E7C" w:rsidRPr="003736FA" w14:paraId="142402A3" w14:textId="77777777" w:rsidTr="00E70C38">
        <w:tc>
          <w:tcPr>
            <w:tcW w:w="1250" w:type="pct"/>
            <w:tcBorders>
              <w:left w:val="nil"/>
              <w:bottom w:val="nil"/>
              <w:right w:val="nil"/>
            </w:tcBorders>
            <w:tcMar>
              <w:top w:w="0" w:type="dxa"/>
              <w:bottom w:w="0" w:type="dxa"/>
            </w:tcMar>
          </w:tcPr>
          <w:p w14:paraId="5B67EDB4" w14:textId="77777777" w:rsidR="00A42E7C" w:rsidRPr="003736FA" w:rsidRDefault="00A42E7C" w:rsidP="00802FC4">
            <w:pPr>
              <w:pStyle w:val="BodyText"/>
              <w:spacing w:line="0" w:lineRule="atLeast"/>
              <w:contextualSpacing/>
            </w:pPr>
            <w:r w:rsidRPr="003736FA">
              <w:rPr>
                <w:b/>
              </w:rPr>
              <w:lastRenderedPageBreak/>
              <w:t>Total bolus insulin dose (unit/kg/day)</w:t>
            </w:r>
          </w:p>
        </w:tc>
        <w:tc>
          <w:tcPr>
            <w:tcW w:w="1250" w:type="pct"/>
            <w:tcBorders>
              <w:left w:val="nil"/>
              <w:bottom w:val="nil"/>
              <w:right w:val="nil"/>
            </w:tcBorders>
            <w:tcMar>
              <w:top w:w="0" w:type="dxa"/>
              <w:bottom w:w="0" w:type="dxa"/>
            </w:tcMar>
          </w:tcPr>
          <w:p w14:paraId="3D16FEAA"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3634854B"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17EA574E" w14:textId="77777777" w:rsidR="00A42E7C" w:rsidRPr="003736FA" w:rsidRDefault="00A42E7C" w:rsidP="00802FC4">
            <w:pPr>
              <w:pStyle w:val="BodyText"/>
              <w:spacing w:line="0" w:lineRule="atLeast"/>
              <w:contextualSpacing/>
              <w:jc w:val="center"/>
            </w:pPr>
          </w:p>
        </w:tc>
      </w:tr>
      <w:tr w:rsidR="00A42E7C" w:rsidRPr="003736FA" w14:paraId="5F8EEFCB" w14:textId="77777777" w:rsidTr="00E70C38">
        <w:tc>
          <w:tcPr>
            <w:tcW w:w="1250" w:type="pct"/>
            <w:tcBorders>
              <w:top w:val="nil"/>
              <w:left w:val="nil"/>
              <w:right w:val="nil"/>
            </w:tcBorders>
            <w:tcMar>
              <w:top w:w="0" w:type="dxa"/>
              <w:bottom w:w="0" w:type="dxa"/>
            </w:tcMar>
          </w:tcPr>
          <w:p w14:paraId="4485DCA4" w14:textId="77777777" w:rsidR="00A42E7C" w:rsidRPr="003736FA" w:rsidRDefault="00A42E7C" w:rsidP="00802FC4">
            <w:pPr>
              <w:pStyle w:val="BodyText"/>
              <w:spacing w:line="0" w:lineRule="atLeast"/>
              <w:contextualSpacing/>
              <w:rPr>
                <w:b/>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right w:val="nil"/>
            </w:tcBorders>
            <w:tcMar>
              <w:top w:w="0" w:type="dxa"/>
              <w:bottom w:w="0" w:type="dxa"/>
            </w:tcMar>
          </w:tcPr>
          <w:p w14:paraId="5E6E469C" w14:textId="77777777" w:rsidR="00A42E7C" w:rsidRPr="003736FA" w:rsidRDefault="00A42E7C" w:rsidP="00802FC4">
            <w:pPr>
              <w:pStyle w:val="BodyText"/>
              <w:spacing w:line="0" w:lineRule="atLeast"/>
              <w:contextualSpacing/>
              <w:jc w:val="center"/>
              <w:rPr>
                <w:sz w:val="16"/>
              </w:rPr>
            </w:pPr>
            <w:r w:rsidRPr="003736FA">
              <w:rPr>
                <w:sz w:val="16"/>
              </w:rPr>
              <w:t>0.33</w:t>
            </w:r>
            <w:r w:rsidRPr="003736FA">
              <w:rPr>
                <w:sz w:val="16"/>
                <w:vertAlign w:val="superscript"/>
              </w:rPr>
              <w:t>A</w:t>
            </w:r>
            <w:r w:rsidRPr="003736FA">
              <w:rPr>
                <w:sz w:val="16"/>
              </w:rPr>
              <w:sym w:font="Wingdings 3" w:char="F09E"/>
            </w:r>
            <w:r w:rsidRPr="003736FA">
              <w:rPr>
                <w:sz w:val="16"/>
              </w:rPr>
              <w:t xml:space="preserve"> 0.39</w:t>
            </w:r>
            <w:r w:rsidRPr="003736FA">
              <w:rPr>
                <w:sz w:val="16"/>
                <w:vertAlign w:val="superscript"/>
              </w:rPr>
              <w:t>A</w:t>
            </w:r>
          </w:p>
        </w:tc>
        <w:tc>
          <w:tcPr>
            <w:tcW w:w="1250" w:type="pct"/>
            <w:tcBorders>
              <w:top w:val="nil"/>
              <w:left w:val="nil"/>
              <w:bottom w:val="single" w:sz="4" w:space="0" w:color="auto"/>
              <w:right w:val="nil"/>
            </w:tcBorders>
            <w:tcMar>
              <w:top w:w="0" w:type="dxa"/>
              <w:bottom w:w="0" w:type="dxa"/>
            </w:tcMar>
          </w:tcPr>
          <w:p w14:paraId="4797B001" w14:textId="77777777" w:rsidR="00A42E7C" w:rsidRPr="003736FA" w:rsidRDefault="00A42E7C" w:rsidP="00802FC4">
            <w:pPr>
              <w:pStyle w:val="BodyText"/>
              <w:spacing w:line="0" w:lineRule="atLeast"/>
              <w:contextualSpacing/>
              <w:jc w:val="center"/>
              <w:rPr>
                <w:sz w:val="16"/>
              </w:rPr>
            </w:pPr>
            <w:r w:rsidRPr="003736FA">
              <w:rPr>
                <w:sz w:val="16"/>
              </w:rPr>
              <w:t>0.35</w:t>
            </w:r>
            <w:r w:rsidRPr="003736FA">
              <w:rPr>
                <w:sz w:val="16"/>
                <w:vertAlign w:val="superscript"/>
              </w:rPr>
              <w:t>A</w:t>
            </w:r>
            <w:r w:rsidRPr="003736FA">
              <w:rPr>
                <w:sz w:val="16"/>
              </w:rPr>
              <w:t xml:space="preserve"> </w:t>
            </w:r>
            <w:r w:rsidRPr="003736FA">
              <w:rPr>
                <w:sz w:val="16"/>
              </w:rPr>
              <w:sym w:font="Wingdings 3" w:char="F09E"/>
            </w:r>
            <w:r w:rsidRPr="003736FA">
              <w:rPr>
                <w:sz w:val="16"/>
              </w:rPr>
              <w:t xml:space="preserve"> 0.39</w:t>
            </w:r>
            <w:r w:rsidRPr="003736FA">
              <w:rPr>
                <w:sz w:val="16"/>
                <w:vertAlign w:val="superscript"/>
              </w:rPr>
              <w:t>A</w:t>
            </w:r>
          </w:p>
        </w:tc>
        <w:tc>
          <w:tcPr>
            <w:tcW w:w="1250" w:type="pct"/>
            <w:tcBorders>
              <w:top w:val="nil"/>
              <w:left w:val="nil"/>
              <w:right w:val="nil"/>
            </w:tcBorders>
            <w:tcMar>
              <w:top w:w="0" w:type="dxa"/>
              <w:bottom w:w="0" w:type="dxa"/>
            </w:tcMar>
          </w:tcPr>
          <w:p w14:paraId="2147EE55" w14:textId="77777777" w:rsidR="00A42E7C" w:rsidRPr="003736FA" w:rsidRDefault="00A42E7C" w:rsidP="00802FC4">
            <w:pPr>
              <w:pStyle w:val="BodyText"/>
              <w:spacing w:line="0" w:lineRule="atLeast"/>
              <w:contextualSpacing/>
              <w:jc w:val="center"/>
              <w:rPr>
                <w:sz w:val="16"/>
              </w:rPr>
            </w:pPr>
            <w:r w:rsidRPr="003736FA">
              <w:rPr>
                <w:sz w:val="16"/>
              </w:rPr>
              <w:t>0.36</w:t>
            </w:r>
            <w:r w:rsidRPr="003736FA">
              <w:rPr>
                <w:sz w:val="16"/>
                <w:vertAlign w:val="superscript"/>
              </w:rPr>
              <w:t>A</w:t>
            </w:r>
            <w:r w:rsidRPr="003736FA">
              <w:rPr>
                <w:sz w:val="16"/>
              </w:rPr>
              <w:t xml:space="preserve"> </w:t>
            </w:r>
            <w:r w:rsidRPr="003736FA">
              <w:rPr>
                <w:sz w:val="16"/>
              </w:rPr>
              <w:sym w:font="Wingdings 3" w:char="F09E"/>
            </w:r>
            <w:r w:rsidRPr="003736FA">
              <w:rPr>
                <w:sz w:val="16"/>
              </w:rPr>
              <w:t xml:space="preserve"> 0.38</w:t>
            </w:r>
            <w:r w:rsidRPr="003736FA">
              <w:rPr>
                <w:sz w:val="16"/>
                <w:vertAlign w:val="superscript"/>
              </w:rPr>
              <w:t>A</w:t>
            </w:r>
          </w:p>
        </w:tc>
      </w:tr>
      <w:tr w:rsidR="00A42E7C" w:rsidRPr="003736FA" w14:paraId="1500F977" w14:textId="77777777" w:rsidTr="00E70C38">
        <w:tc>
          <w:tcPr>
            <w:tcW w:w="1250" w:type="pct"/>
            <w:tcBorders>
              <w:left w:val="nil"/>
              <w:bottom w:val="nil"/>
              <w:right w:val="nil"/>
            </w:tcBorders>
            <w:tcMar>
              <w:top w:w="0" w:type="dxa"/>
              <w:bottom w:w="0" w:type="dxa"/>
            </w:tcMar>
          </w:tcPr>
          <w:p w14:paraId="09923270" w14:textId="77777777" w:rsidR="00A42E7C" w:rsidRPr="003736FA" w:rsidRDefault="00A42E7C" w:rsidP="00802FC4">
            <w:pPr>
              <w:pStyle w:val="BodyText"/>
              <w:spacing w:line="0" w:lineRule="atLeast"/>
              <w:contextualSpacing/>
            </w:pPr>
            <w:r w:rsidRPr="003736FA">
              <w:rPr>
                <w:b/>
              </w:rPr>
              <w:t>Total basal insulin dose (unit/kg/day)</w:t>
            </w:r>
          </w:p>
        </w:tc>
        <w:tc>
          <w:tcPr>
            <w:tcW w:w="1250" w:type="pct"/>
            <w:tcBorders>
              <w:left w:val="nil"/>
              <w:bottom w:val="nil"/>
              <w:right w:val="nil"/>
            </w:tcBorders>
            <w:tcMar>
              <w:top w:w="0" w:type="dxa"/>
              <w:bottom w:w="0" w:type="dxa"/>
            </w:tcMar>
          </w:tcPr>
          <w:p w14:paraId="48A5B78C"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187F4CEE" w14:textId="77777777" w:rsidR="00A42E7C" w:rsidRPr="003736FA" w:rsidRDefault="00A42E7C" w:rsidP="00802FC4">
            <w:pPr>
              <w:pStyle w:val="BodyText"/>
              <w:spacing w:line="0" w:lineRule="atLeast"/>
              <w:contextualSpacing/>
              <w:jc w:val="center"/>
            </w:pPr>
          </w:p>
        </w:tc>
        <w:tc>
          <w:tcPr>
            <w:tcW w:w="1250" w:type="pct"/>
            <w:tcBorders>
              <w:left w:val="nil"/>
              <w:bottom w:val="nil"/>
              <w:right w:val="nil"/>
            </w:tcBorders>
            <w:tcMar>
              <w:top w:w="0" w:type="dxa"/>
              <w:bottom w:w="0" w:type="dxa"/>
            </w:tcMar>
          </w:tcPr>
          <w:p w14:paraId="66B6FC7B" w14:textId="77777777" w:rsidR="00A42E7C" w:rsidRPr="003736FA" w:rsidRDefault="00A42E7C" w:rsidP="00802FC4">
            <w:pPr>
              <w:pStyle w:val="BodyText"/>
              <w:spacing w:line="0" w:lineRule="atLeast"/>
              <w:contextualSpacing/>
              <w:jc w:val="center"/>
            </w:pPr>
          </w:p>
        </w:tc>
      </w:tr>
      <w:tr w:rsidR="00A42E7C" w:rsidRPr="003736FA" w14:paraId="5138D5CE" w14:textId="77777777" w:rsidTr="00E70C38">
        <w:tc>
          <w:tcPr>
            <w:tcW w:w="1250" w:type="pct"/>
            <w:tcBorders>
              <w:top w:val="nil"/>
              <w:left w:val="nil"/>
              <w:bottom w:val="single" w:sz="4" w:space="0" w:color="auto"/>
              <w:right w:val="nil"/>
            </w:tcBorders>
            <w:tcMar>
              <w:top w:w="0" w:type="dxa"/>
              <w:bottom w:w="0" w:type="dxa"/>
            </w:tcMar>
          </w:tcPr>
          <w:p w14:paraId="616F0A98" w14:textId="77777777" w:rsidR="00A42E7C" w:rsidRPr="003736FA" w:rsidRDefault="00A42E7C" w:rsidP="00802FC4">
            <w:pPr>
              <w:pStyle w:val="BodyText"/>
              <w:spacing w:line="0" w:lineRule="atLeast"/>
              <w:contextualSpacing/>
              <w:rPr>
                <w:b/>
              </w:rPr>
            </w:pPr>
            <w:r w:rsidRPr="003736FA">
              <w:rPr>
                <w:sz w:val="16"/>
              </w:rPr>
              <w:t xml:space="preserve">Baseline </w:t>
            </w:r>
            <w:r w:rsidRPr="003736FA">
              <w:rPr>
                <w:sz w:val="16"/>
              </w:rPr>
              <w:sym w:font="Wingdings 3" w:char="F09E"/>
            </w:r>
            <w:r w:rsidRPr="003736FA">
              <w:rPr>
                <w:sz w:val="16"/>
              </w:rPr>
              <w:t xml:space="preserve"> End of trial</w:t>
            </w:r>
          </w:p>
        </w:tc>
        <w:tc>
          <w:tcPr>
            <w:tcW w:w="1250" w:type="pct"/>
            <w:tcBorders>
              <w:top w:val="nil"/>
              <w:left w:val="nil"/>
              <w:bottom w:val="single" w:sz="4" w:space="0" w:color="auto"/>
              <w:right w:val="nil"/>
            </w:tcBorders>
            <w:tcMar>
              <w:top w:w="0" w:type="dxa"/>
              <w:bottom w:w="0" w:type="dxa"/>
            </w:tcMar>
          </w:tcPr>
          <w:p w14:paraId="7BF6442E" w14:textId="77777777" w:rsidR="00A42E7C" w:rsidRPr="003736FA" w:rsidRDefault="00A42E7C" w:rsidP="00802FC4">
            <w:pPr>
              <w:pStyle w:val="BodyText"/>
              <w:spacing w:line="0" w:lineRule="atLeast"/>
              <w:contextualSpacing/>
              <w:jc w:val="center"/>
              <w:rPr>
                <w:sz w:val="16"/>
              </w:rPr>
            </w:pPr>
            <w:r w:rsidRPr="003736FA">
              <w:rPr>
                <w:sz w:val="16"/>
              </w:rPr>
              <w:t>0.41</w:t>
            </w:r>
            <w:r w:rsidRPr="003736FA">
              <w:rPr>
                <w:sz w:val="16"/>
                <w:vertAlign w:val="superscript"/>
              </w:rPr>
              <w:t>A</w:t>
            </w:r>
            <w:r w:rsidRPr="003736FA">
              <w:rPr>
                <w:sz w:val="16"/>
              </w:rPr>
              <w:t xml:space="preserve"> </w:t>
            </w:r>
            <w:r w:rsidRPr="003736FA">
              <w:rPr>
                <w:sz w:val="16"/>
              </w:rPr>
              <w:sym w:font="Wingdings 3" w:char="F09E"/>
            </w:r>
            <w:r w:rsidRPr="003736FA">
              <w:rPr>
                <w:sz w:val="16"/>
              </w:rPr>
              <w:t xml:space="preserve"> 0.39</w:t>
            </w:r>
            <w:r w:rsidRPr="003736FA">
              <w:rPr>
                <w:sz w:val="16"/>
                <w:vertAlign w:val="superscript"/>
              </w:rPr>
              <w:t>A</w:t>
            </w:r>
          </w:p>
        </w:tc>
        <w:tc>
          <w:tcPr>
            <w:tcW w:w="1250" w:type="pct"/>
            <w:tcBorders>
              <w:top w:val="nil"/>
              <w:left w:val="nil"/>
              <w:bottom w:val="single" w:sz="4" w:space="0" w:color="auto"/>
              <w:right w:val="nil"/>
            </w:tcBorders>
            <w:tcMar>
              <w:top w:w="0" w:type="dxa"/>
              <w:bottom w:w="0" w:type="dxa"/>
            </w:tcMar>
          </w:tcPr>
          <w:p w14:paraId="31A2862F" w14:textId="77777777" w:rsidR="00A42E7C" w:rsidRPr="003736FA" w:rsidRDefault="00A42E7C" w:rsidP="00802FC4">
            <w:pPr>
              <w:pStyle w:val="BodyText"/>
              <w:spacing w:line="0" w:lineRule="atLeast"/>
              <w:contextualSpacing/>
              <w:jc w:val="center"/>
              <w:rPr>
                <w:sz w:val="16"/>
              </w:rPr>
            </w:pPr>
            <w:r w:rsidRPr="003736FA">
              <w:rPr>
                <w:sz w:val="16"/>
              </w:rPr>
              <w:t>0.43</w:t>
            </w:r>
            <w:r w:rsidRPr="003736FA">
              <w:rPr>
                <w:sz w:val="16"/>
                <w:vertAlign w:val="superscript"/>
              </w:rPr>
              <w:t>A</w:t>
            </w:r>
            <w:r w:rsidRPr="003736FA">
              <w:rPr>
                <w:sz w:val="16"/>
              </w:rPr>
              <w:t xml:space="preserve"> </w:t>
            </w:r>
            <w:r w:rsidRPr="003736FA">
              <w:rPr>
                <w:sz w:val="16"/>
              </w:rPr>
              <w:sym w:font="Wingdings 3" w:char="F09E"/>
            </w:r>
            <w:r w:rsidRPr="003736FA">
              <w:rPr>
                <w:sz w:val="16"/>
              </w:rPr>
              <w:t xml:space="preserve"> 0.42</w:t>
            </w:r>
            <w:r w:rsidRPr="003736FA">
              <w:rPr>
                <w:sz w:val="16"/>
                <w:vertAlign w:val="superscript"/>
              </w:rPr>
              <w:t>A</w:t>
            </w:r>
          </w:p>
        </w:tc>
        <w:tc>
          <w:tcPr>
            <w:tcW w:w="1250" w:type="pct"/>
            <w:tcBorders>
              <w:top w:val="nil"/>
              <w:left w:val="nil"/>
              <w:bottom w:val="single" w:sz="4" w:space="0" w:color="auto"/>
              <w:right w:val="nil"/>
            </w:tcBorders>
            <w:tcMar>
              <w:top w:w="0" w:type="dxa"/>
              <w:bottom w:w="0" w:type="dxa"/>
            </w:tcMar>
          </w:tcPr>
          <w:p w14:paraId="43027B16" w14:textId="77777777" w:rsidR="00A42E7C" w:rsidRPr="003736FA" w:rsidRDefault="00A42E7C" w:rsidP="00802FC4">
            <w:pPr>
              <w:pStyle w:val="BodyText"/>
              <w:spacing w:line="0" w:lineRule="atLeast"/>
              <w:contextualSpacing/>
              <w:jc w:val="center"/>
              <w:rPr>
                <w:sz w:val="16"/>
              </w:rPr>
            </w:pPr>
            <w:r w:rsidRPr="003736FA">
              <w:rPr>
                <w:sz w:val="16"/>
              </w:rPr>
              <w:t>0.43</w:t>
            </w:r>
            <w:r w:rsidRPr="003736FA">
              <w:rPr>
                <w:sz w:val="16"/>
                <w:vertAlign w:val="superscript"/>
              </w:rPr>
              <w:t>A</w:t>
            </w:r>
            <w:r w:rsidRPr="003736FA">
              <w:rPr>
                <w:sz w:val="16"/>
              </w:rPr>
              <w:t xml:space="preserve"> </w:t>
            </w:r>
            <w:r w:rsidRPr="003736FA">
              <w:rPr>
                <w:sz w:val="16"/>
              </w:rPr>
              <w:sym w:font="Wingdings 3" w:char="F09E"/>
            </w:r>
            <w:r w:rsidRPr="003736FA">
              <w:rPr>
                <w:sz w:val="16"/>
              </w:rPr>
              <w:t xml:space="preserve"> </w:t>
            </w:r>
            <w:proofErr w:type="spellStart"/>
            <w:r w:rsidRPr="003736FA">
              <w:rPr>
                <w:sz w:val="16"/>
              </w:rPr>
              <w:t>0.4</w:t>
            </w:r>
            <w:r>
              <w:rPr>
                <w:sz w:val="16"/>
              </w:rPr>
              <w:t>3</w:t>
            </w:r>
            <w:r w:rsidRPr="003736FA">
              <w:rPr>
                <w:sz w:val="16"/>
                <w:vertAlign w:val="superscript"/>
              </w:rPr>
              <w:t>A</w:t>
            </w:r>
            <w:proofErr w:type="spellEnd"/>
          </w:p>
        </w:tc>
      </w:tr>
      <w:tr w:rsidR="00A42E7C" w:rsidRPr="003736FA" w14:paraId="363CCFFB" w14:textId="77777777" w:rsidTr="00A42E7C">
        <w:tc>
          <w:tcPr>
            <w:tcW w:w="5000" w:type="pct"/>
            <w:gridSpan w:val="4"/>
            <w:tcBorders>
              <w:left w:val="nil"/>
              <w:bottom w:val="nil"/>
              <w:right w:val="nil"/>
            </w:tcBorders>
          </w:tcPr>
          <w:p w14:paraId="0C6F1F5F" w14:textId="77777777" w:rsidR="00A42E7C" w:rsidRPr="003736FA" w:rsidRDefault="00A42E7C" w:rsidP="00802FC4">
            <w:pPr>
              <w:pStyle w:val="BodyText"/>
              <w:spacing w:line="0" w:lineRule="atLeast"/>
              <w:contextualSpacing/>
              <w:rPr>
                <w:sz w:val="16"/>
              </w:rPr>
            </w:pPr>
            <w:r w:rsidRPr="003736FA">
              <w:rPr>
                <w:sz w:val="16"/>
              </w:rPr>
              <w:t>Baseline, End of trial values are based on the mean (</w:t>
            </w:r>
            <w:proofErr w:type="spellStart"/>
            <w:r w:rsidRPr="003736FA">
              <w:rPr>
                <w:sz w:val="16"/>
                <w:vertAlign w:val="superscript"/>
              </w:rPr>
              <w:t>A</w:t>
            </w:r>
            <w:r w:rsidRPr="003736FA">
              <w:rPr>
                <w:sz w:val="16"/>
              </w:rPr>
              <w:t>exceptions</w:t>
            </w:r>
            <w:proofErr w:type="spellEnd"/>
            <w:r w:rsidRPr="003736FA">
              <w:rPr>
                <w:sz w:val="16"/>
              </w:rPr>
              <w:t xml:space="preserve"> which are median values) of the observed last available values. The 95% confidence interval is stated in ‘[]’</w:t>
            </w:r>
            <w:r w:rsidRPr="003736FA">
              <w:rPr>
                <w:sz w:val="16"/>
              </w:rPr>
              <w:br/>
            </w:r>
            <w:r w:rsidRPr="003736FA">
              <w:rPr>
                <w:sz w:val="16"/>
                <w:vertAlign w:val="superscript"/>
              </w:rPr>
              <w:t>B</w:t>
            </w:r>
            <w:r w:rsidRPr="003736FA">
              <w:rPr>
                <w:sz w:val="16"/>
              </w:rPr>
              <w:t xml:space="preserve"> Meal test</w:t>
            </w:r>
            <w:r>
              <w:rPr>
                <w:sz w:val="16"/>
              </w:rPr>
              <w:t xml:space="preserve"> (blood samples drawn 2 mins before meal, and at 1 hr, 2 hr, 3 hr and 4 hr time points post-meal)</w:t>
            </w:r>
            <w:r w:rsidRPr="003736FA">
              <w:rPr>
                <w:sz w:val="16"/>
              </w:rPr>
              <w:br/>
            </w:r>
            <w:r w:rsidRPr="003736FA">
              <w:rPr>
                <w:sz w:val="16"/>
                <w:vertAlign w:val="superscript"/>
              </w:rPr>
              <w:t xml:space="preserve">C </w:t>
            </w:r>
            <w:r w:rsidRPr="003736FA">
              <w:rPr>
                <w:sz w:val="16"/>
              </w:rPr>
              <w:t xml:space="preserve">Severe hypoglycaemia (episode requiring assistance of another person) or BG confirmed hypoglycaemia defined as episodes confirmed by plasma glucose &lt; 3.1 mmol/L irrespective of symptoms </w:t>
            </w:r>
          </w:p>
          <w:p w14:paraId="1E1349B1" w14:textId="77777777" w:rsidR="00A42E7C" w:rsidRPr="003736FA" w:rsidRDefault="00A42E7C" w:rsidP="00802FC4">
            <w:pPr>
              <w:pStyle w:val="BodyText"/>
              <w:spacing w:line="0" w:lineRule="atLeast"/>
              <w:contextualSpacing/>
              <w:rPr>
                <w:sz w:val="16"/>
              </w:rPr>
            </w:pPr>
            <w:r w:rsidRPr="003736FA">
              <w:rPr>
                <w:sz w:val="16"/>
                <w:vertAlign w:val="superscript"/>
              </w:rPr>
              <w:t>D</w:t>
            </w:r>
            <w:r w:rsidRPr="003736FA">
              <w:rPr>
                <w:sz w:val="16"/>
              </w:rPr>
              <w:t xml:space="preserve"> The difference is for </w:t>
            </w:r>
            <w:proofErr w:type="spellStart"/>
            <w:r>
              <w:rPr>
                <w:sz w:val="16"/>
              </w:rPr>
              <w:t>Fiasp</w:t>
            </w:r>
            <w:proofErr w:type="spellEnd"/>
            <w:r w:rsidRPr="003736FA">
              <w:rPr>
                <w:sz w:val="16"/>
              </w:rPr>
              <w:t xml:space="preserve"> mealtime – </w:t>
            </w:r>
            <w:proofErr w:type="spellStart"/>
            <w:r w:rsidRPr="003736FA">
              <w:rPr>
                <w:sz w:val="16"/>
              </w:rPr>
              <w:t>NovoRapid</w:t>
            </w:r>
            <w:proofErr w:type="spellEnd"/>
            <w:r w:rsidRPr="003736FA">
              <w:rPr>
                <w:sz w:val="16"/>
              </w:rPr>
              <w:t xml:space="preserve"> mealtime </w:t>
            </w:r>
          </w:p>
          <w:p w14:paraId="64FEDE65" w14:textId="77777777" w:rsidR="00A42E7C" w:rsidRPr="003736FA" w:rsidRDefault="00A42E7C" w:rsidP="00802FC4">
            <w:pPr>
              <w:pStyle w:val="BodyText"/>
              <w:spacing w:line="0" w:lineRule="atLeast"/>
              <w:contextualSpacing/>
              <w:rPr>
                <w:sz w:val="16"/>
              </w:rPr>
            </w:pPr>
            <w:r w:rsidRPr="003736FA">
              <w:rPr>
                <w:sz w:val="16"/>
                <w:vertAlign w:val="superscript"/>
              </w:rPr>
              <w:t>E</w:t>
            </w:r>
            <w:r w:rsidRPr="003736FA">
              <w:rPr>
                <w:sz w:val="16"/>
              </w:rPr>
              <w:t xml:space="preserve"> The difference is for </w:t>
            </w:r>
            <w:proofErr w:type="spellStart"/>
            <w:r>
              <w:rPr>
                <w:sz w:val="16"/>
              </w:rPr>
              <w:t>Fiasp</w:t>
            </w:r>
            <w:proofErr w:type="spellEnd"/>
            <w:r w:rsidRPr="003736FA">
              <w:rPr>
                <w:sz w:val="16"/>
              </w:rPr>
              <w:t xml:space="preserve"> </w:t>
            </w:r>
            <w:proofErr w:type="spellStart"/>
            <w:r w:rsidRPr="003736FA">
              <w:rPr>
                <w:sz w:val="16"/>
              </w:rPr>
              <w:t>postmeal</w:t>
            </w:r>
            <w:proofErr w:type="spellEnd"/>
            <w:r w:rsidRPr="003736FA">
              <w:rPr>
                <w:sz w:val="16"/>
              </w:rPr>
              <w:t xml:space="preserve"> – </w:t>
            </w:r>
            <w:proofErr w:type="spellStart"/>
            <w:r w:rsidRPr="003736FA">
              <w:rPr>
                <w:sz w:val="16"/>
              </w:rPr>
              <w:t>NovoRapid</w:t>
            </w:r>
            <w:proofErr w:type="spellEnd"/>
            <w:r w:rsidRPr="003736FA">
              <w:rPr>
                <w:sz w:val="16"/>
              </w:rPr>
              <w:t xml:space="preserve"> mealtime </w:t>
            </w:r>
          </w:p>
          <w:p w14:paraId="20A6B364" w14:textId="77777777" w:rsidR="00A42E7C" w:rsidRPr="003736FA" w:rsidRDefault="00A42E7C" w:rsidP="00802FC4">
            <w:pPr>
              <w:pStyle w:val="BodyText"/>
              <w:spacing w:line="0" w:lineRule="atLeast"/>
              <w:contextualSpacing/>
            </w:pPr>
            <w:r w:rsidRPr="003736FA">
              <w:rPr>
                <w:sz w:val="16"/>
                <w:vertAlign w:val="superscript"/>
              </w:rPr>
              <w:t>F</w:t>
            </w:r>
            <w:r w:rsidRPr="003736FA">
              <w:rPr>
                <w:sz w:val="16"/>
              </w:rPr>
              <w:t xml:space="preserve"> Statistically significant in favour of </w:t>
            </w:r>
            <w:proofErr w:type="spellStart"/>
            <w:r>
              <w:rPr>
                <w:sz w:val="16"/>
              </w:rPr>
              <w:t>Fiasp</w:t>
            </w:r>
            <w:proofErr w:type="spellEnd"/>
            <w:r w:rsidRPr="003736FA">
              <w:rPr>
                <w:sz w:val="16"/>
              </w:rPr>
              <w:t xml:space="preserve"> mealtime</w:t>
            </w:r>
          </w:p>
        </w:tc>
      </w:tr>
    </w:tbl>
    <w:p w14:paraId="44937EEC" w14:textId="4CF95135" w:rsidR="003A7D04" w:rsidRDefault="003A7D04" w:rsidP="00881851">
      <w:pPr>
        <w:keepNext/>
        <w:ind w:left="1134" w:hanging="1134"/>
        <w:jc w:val="both"/>
      </w:pPr>
      <w:r w:rsidRPr="00E749A4">
        <w:rPr>
          <w:b/>
          <w:bCs/>
        </w:rPr>
        <w:lastRenderedPageBreak/>
        <w:t xml:space="preserve">Table </w:t>
      </w:r>
      <w:r w:rsidRPr="00E749A4">
        <w:rPr>
          <w:b/>
          <w:bCs/>
        </w:rPr>
        <w:fldChar w:fldCharType="begin"/>
      </w:r>
      <w:r w:rsidRPr="00E749A4">
        <w:rPr>
          <w:b/>
          <w:bCs/>
        </w:rPr>
        <w:instrText xml:space="preserve"> SEQ Table \* ARABIC </w:instrText>
      </w:r>
      <w:r w:rsidRPr="00E749A4">
        <w:rPr>
          <w:b/>
          <w:bCs/>
        </w:rPr>
        <w:fldChar w:fldCharType="separate"/>
      </w:r>
      <w:r w:rsidR="00BC4F8D">
        <w:rPr>
          <w:b/>
          <w:bCs/>
          <w:noProof/>
        </w:rPr>
        <w:t>4</w:t>
      </w:r>
      <w:r w:rsidRPr="00E749A4">
        <w:rPr>
          <w:b/>
          <w:bCs/>
        </w:rPr>
        <w:fldChar w:fldCharType="end"/>
      </w:r>
      <w:r w:rsidRPr="00E749A4">
        <w:rPr>
          <w:b/>
          <w:bCs/>
        </w:rPr>
        <w:tab/>
        <w:t xml:space="preserve">Results from </w:t>
      </w:r>
      <w:proofErr w:type="gramStart"/>
      <w:r w:rsidRPr="00E749A4">
        <w:rPr>
          <w:b/>
          <w:bCs/>
        </w:rPr>
        <w:t>26 week</w:t>
      </w:r>
      <w:proofErr w:type="gramEnd"/>
      <w:r w:rsidRPr="00E749A4">
        <w:rPr>
          <w:b/>
          <w:bCs/>
        </w:rPr>
        <w:t xml:space="preserve"> basal-bolus clinical trial in </w:t>
      </w:r>
      <w:r>
        <w:rPr>
          <w:b/>
          <w:bCs/>
        </w:rPr>
        <w:t>adults</w:t>
      </w:r>
      <w:r w:rsidRPr="00E749A4">
        <w:rPr>
          <w:b/>
          <w:bCs/>
        </w:rPr>
        <w:t xml:space="preserve"> with type 2 diabetes</w:t>
      </w:r>
    </w:p>
    <w:tbl>
      <w:tblPr>
        <w:tblStyle w:val="TRTableInternalBorders"/>
        <w:tblW w:w="5000" w:type="pct"/>
        <w:tblInd w:w="0" w:type="dxa"/>
        <w:tblBorders>
          <w:top w:val="single" w:sz="4" w:space="0" w:color="auto"/>
          <w:bottom w:val="single" w:sz="4" w:space="0" w:color="auto"/>
        </w:tblBorders>
        <w:tblLook w:val="04A0" w:firstRow="1" w:lastRow="0" w:firstColumn="1" w:lastColumn="0" w:noHBand="0" w:noVBand="1"/>
      </w:tblPr>
      <w:tblGrid>
        <w:gridCol w:w="3419"/>
        <w:gridCol w:w="2872"/>
        <w:gridCol w:w="2735"/>
      </w:tblGrid>
      <w:tr w:rsidR="00A42E7C" w:rsidRPr="003736FA" w14:paraId="612E1E5B" w14:textId="77777777" w:rsidTr="00A42E7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894" w:type="pct"/>
            <w:tcBorders>
              <w:left w:val="nil"/>
              <w:right w:val="nil"/>
            </w:tcBorders>
          </w:tcPr>
          <w:p w14:paraId="194D1ADD" w14:textId="77777777" w:rsidR="00A42E7C" w:rsidRPr="003736FA" w:rsidRDefault="00A42E7C" w:rsidP="00802FC4">
            <w:pPr>
              <w:pStyle w:val="TableText"/>
              <w:spacing w:after="0"/>
            </w:pPr>
          </w:p>
        </w:tc>
        <w:tc>
          <w:tcPr>
            <w:tcW w:w="1591" w:type="pct"/>
            <w:tcBorders>
              <w:left w:val="nil"/>
              <w:right w:val="nil"/>
            </w:tcBorders>
          </w:tcPr>
          <w:p w14:paraId="3E0C4A5B" w14:textId="77777777" w:rsidR="00A42E7C" w:rsidRPr="003736FA" w:rsidRDefault="00A42E7C" w:rsidP="00802FC4">
            <w:pPr>
              <w:pStyle w:val="TableText"/>
              <w:spacing w:after="0"/>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Fiasp</w:t>
            </w:r>
            <w:proofErr w:type="spellEnd"/>
            <w:r w:rsidRPr="003736FA">
              <w:rPr>
                <w:b w:val="0"/>
              </w:rPr>
              <w:br/>
              <w:t>+ insulin glargine</w:t>
            </w:r>
          </w:p>
        </w:tc>
        <w:tc>
          <w:tcPr>
            <w:tcW w:w="1515" w:type="pct"/>
            <w:tcBorders>
              <w:left w:val="nil"/>
              <w:right w:val="nil"/>
            </w:tcBorders>
          </w:tcPr>
          <w:p w14:paraId="788D5621" w14:textId="77777777" w:rsidR="00A42E7C" w:rsidRPr="003736FA" w:rsidRDefault="00A42E7C" w:rsidP="00802FC4">
            <w:pPr>
              <w:pStyle w:val="TableText"/>
              <w:spacing w:after="0"/>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3736FA">
              <w:rPr>
                <w:b w:val="0"/>
              </w:rPr>
              <w:t>NovoRapid</w:t>
            </w:r>
            <w:proofErr w:type="spellEnd"/>
            <w:r w:rsidRPr="003736FA">
              <w:rPr>
                <w:b w:val="0"/>
              </w:rPr>
              <w:br/>
              <w:t>+ insulin glargine</w:t>
            </w:r>
          </w:p>
        </w:tc>
      </w:tr>
      <w:tr w:rsidR="00A42E7C" w:rsidRPr="003736FA" w14:paraId="1CD17416" w14:textId="77777777" w:rsidTr="00A42E7C">
        <w:tc>
          <w:tcPr>
            <w:tcW w:w="1894" w:type="pct"/>
            <w:tcBorders>
              <w:left w:val="nil"/>
              <w:right w:val="nil"/>
            </w:tcBorders>
          </w:tcPr>
          <w:p w14:paraId="414F7854" w14:textId="77777777" w:rsidR="00A42E7C" w:rsidRPr="003736FA" w:rsidRDefault="00A42E7C" w:rsidP="00802FC4">
            <w:pPr>
              <w:pStyle w:val="TableText"/>
              <w:spacing w:after="0"/>
              <w:rPr>
                <w:b/>
              </w:rPr>
            </w:pPr>
            <w:r w:rsidRPr="003736FA">
              <w:rPr>
                <w:b/>
              </w:rPr>
              <w:t>N</w:t>
            </w:r>
          </w:p>
        </w:tc>
        <w:tc>
          <w:tcPr>
            <w:tcW w:w="1591" w:type="pct"/>
            <w:tcBorders>
              <w:left w:val="nil"/>
              <w:right w:val="nil"/>
            </w:tcBorders>
          </w:tcPr>
          <w:p w14:paraId="20C7FE3E" w14:textId="77777777" w:rsidR="00A42E7C" w:rsidRPr="003736FA" w:rsidRDefault="00A42E7C" w:rsidP="00802FC4">
            <w:pPr>
              <w:pStyle w:val="TableText"/>
              <w:spacing w:after="0"/>
              <w:jc w:val="center"/>
              <w:rPr>
                <w:sz w:val="16"/>
              </w:rPr>
            </w:pPr>
            <w:r w:rsidRPr="003736FA">
              <w:rPr>
                <w:sz w:val="16"/>
              </w:rPr>
              <w:t>345</w:t>
            </w:r>
          </w:p>
        </w:tc>
        <w:tc>
          <w:tcPr>
            <w:tcW w:w="1515" w:type="pct"/>
            <w:tcBorders>
              <w:left w:val="nil"/>
              <w:right w:val="nil"/>
            </w:tcBorders>
          </w:tcPr>
          <w:p w14:paraId="33714E31" w14:textId="77777777" w:rsidR="00A42E7C" w:rsidRPr="003736FA" w:rsidRDefault="00A42E7C" w:rsidP="00802FC4">
            <w:pPr>
              <w:pStyle w:val="TableText"/>
              <w:spacing w:after="0"/>
              <w:jc w:val="center"/>
              <w:rPr>
                <w:sz w:val="16"/>
              </w:rPr>
            </w:pPr>
            <w:r w:rsidRPr="003736FA">
              <w:rPr>
                <w:sz w:val="16"/>
              </w:rPr>
              <w:t>344</w:t>
            </w:r>
          </w:p>
        </w:tc>
      </w:tr>
      <w:tr w:rsidR="00A42E7C" w:rsidRPr="003736FA" w14:paraId="597B7448" w14:textId="77777777" w:rsidTr="00A42E7C">
        <w:tc>
          <w:tcPr>
            <w:tcW w:w="1894" w:type="pct"/>
            <w:tcBorders>
              <w:left w:val="nil"/>
              <w:bottom w:val="nil"/>
              <w:right w:val="nil"/>
            </w:tcBorders>
            <w:tcMar>
              <w:top w:w="0" w:type="dxa"/>
              <w:bottom w:w="0" w:type="dxa"/>
            </w:tcMar>
          </w:tcPr>
          <w:p w14:paraId="2A5F3201" w14:textId="77777777" w:rsidR="00A42E7C" w:rsidRPr="003736FA" w:rsidRDefault="00A42E7C" w:rsidP="00802FC4">
            <w:pPr>
              <w:pStyle w:val="TableText"/>
              <w:spacing w:after="0" w:line="276" w:lineRule="auto"/>
              <w:rPr>
                <w:sz w:val="16"/>
              </w:rPr>
            </w:pPr>
            <w:r w:rsidRPr="003736FA">
              <w:rPr>
                <w:b/>
              </w:rPr>
              <w:t>HbA</w:t>
            </w:r>
            <w:r w:rsidRPr="003736FA">
              <w:rPr>
                <w:b/>
                <w:vertAlign w:val="subscript"/>
              </w:rPr>
              <w:t>1c</w:t>
            </w:r>
            <w:r w:rsidRPr="003736FA">
              <w:rPr>
                <w:b/>
              </w:rPr>
              <w:t xml:space="preserve"> (%)</w:t>
            </w:r>
          </w:p>
        </w:tc>
        <w:tc>
          <w:tcPr>
            <w:tcW w:w="1591" w:type="pct"/>
            <w:tcBorders>
              <w:left w:val="nil"/>
              <w:bottom w:val="nil"/>
              <w:right w:val="nil"/>
            </w:tcBorders>
            <w:tcMar>
              <w:top w:w="0" w:type="dxa"/>
              <w:bottom w:w="0" w:type="dxa"/>
            </w:tcMar>
          </w:tcPr>
          <w:p w14:paraId="210E2B2E" w14:textId="77777777" w:rsidR="00A42E7C" w:rsidRPr="003736FA" w:rsidRDefault="00A42E7C" w:rsidP="00802FC4">
            <w:pPr>
              <w:pStyle w:val="TableText"/>
              <w:spacing w:after="0"/>
              <w:jc w:val="center"/>
              <w:rPr>
                <w:sz w:val="16"/>
                <w:szCs w:val="16"/>
              </w:rPr>
            </w:pPr>
          </w:p>
        </w:tc>
        <w:tc>
          <w:tcPr>
            <w:tcW w:w="1515" w:type="pct"/>
            <w:tcBorders>
              <w:left w:val="nil"/>
              <w:bottom w:val="nil"/>
              <w:right w:val="nil"/>
            </w:tcBorders>
            <w:tcMar>
              <w:top w:w="0" w:type="dxa"/>
              <w:bottom w:w="0" w:type="dxa"/>
            </w:tcMar>
          </w:tcPr>
          <w:p w14:paraId="379B3CE2" w14:textId="77777777" w:rsidR="00A42E7C" w:rsidRPr="003736FA" w:rsidRDefault="00A42E7C" w:rsidP="00802FC4">
            <w:pPr>
              <w:pStyle w:val="TableText"/>
              <w:spacing w:after="0"/>
              <w:jc w:val="center"/>
            </w:pPr>
          </w:p>
        </w:tc>
      </w:tr>
      <w:tr w:rsidR="00A42E7C" w:rsidRPr="003736FA" w14:paraId="05912956" w14:textId="77777777" w:rsidTr="00A42E7C">
        <w:tc>
          <w:tcPr>
            <w:tcW w:w="1894" w:type="pct"/>
            <w:tcBorders>
              <w:top w:val="nil"/>
              <w:left w:val="nil"/>
              <w:bottom w:val="nil"/>
              <w:right w:val="nil"/>
            </w:tcBorders>
            <w:tcMar>
              <w:top w:w="0" w:type="dxa"/>
              <w:bottom w:w="0" w:type="dxa"/>
            </w:tcMar>
          </w:tcPr>
          <w:p w14:paraId="7028C140" w14:textId="77777777" w:rsidR="00A42E7C" w:rsidRPr="003736FA" w:rsidRDefault="00A42E7C" w:rsidP="00802FC4">
            <w:pPr>
              <w:pStyle w:val="TableText"/>
              <w:spacing w:after="0" w:line="276" w:lineRule="auto"/>
              <w:rPr>
                <w:b/>
                <w:sz w:val="16"/>
              </w:rPr>
            </w:pPr>
            <w:r w:rsidRPr="003736FA">
              <w:rPr>
                <w:sz w:val="16"/>
                <w:szCs w:val="16"/>
              </w:rPr>
              <w:t xml:space="preserve">Baseline </w:t>
            </w:r>
            <w:r w:rsidRPr="003736FA">
              <w:rPr>
                <w:sz w:val="16"/>
              </w:rPr>
              <w:sym w:font="Wingdings 3" w:char="F09E"/>
            </w:r>
            <w:r w:rsidRPr="003736FA">
              <w:rPr>
                <w:sz w:val="16"/>
                <w:szCs w:val="16"/>
              </w:rPr>
              <w:t xml:space="preserve"> End of trial</w:t>
            </w:r>
          </w:p>
        </w:tc>
        <w:tc>
          <w:tcPr>
            <w:tcW w:w="1591" w:type="pct"/>
            <w:tcBorders>
              <w:top w:val="nil"/>
              <w:left w:val="nil"/>
              <w:bottom w:val="nil"/>
              <w:right w:val="nil"/>
            </w:tcBorders>
            <w:tcMar>
              <w:top w:w="0" w:type="dxa"/>
              <w:bottom w:w="0" w:type="dxa"/>
            </w:tcMar>
          </w:tcPr>
          <w:p w14:paraId="668A9EF2" w14:textId="77777777" w:rsidR="00A42E7C" w:rsidRPr="003736FA" w:rsidRDefault="00A42E7C" w:rsidP="00802FC4">
            <w:pPr>
              <w:pStyle w:val="TableText"/>
              <w:spacing w:after="0"/>
              <w:jc w:val="center"/>
              <w:rPr>
                <w:sz w:val="16"/>
              </w:rPr>
            </w:pPr>
            <w:r w:rsidRPr="003736FA">
              <w:rPr>
                <w:sz w:val="16"/>
              </w:rPr>
              <w:t xml:space="preserve">8.0 </w:t>
            </w:r>
            <w:r w:rsidRPr="003736FA">
              <w:rPr>
                <w:sz w:val="16"/>
              </w:rPr>
              <w:sym w:font="Wingdings 3" w:char="F09E"/>
            </w:r>
            <w:r w:rsidRPr="003736FA">
              <w:rPr>
                <w:sz w:val="16"/>
              </w:rPr>
              <w:t xml:space="preserve"> 6.6</w:t>
            </w:r>
          </w:p>
        </w:tc>
        <w:tc>
          <w:tcPr>
            <w:tcW w:w="1515" w:type="pct"/>
            <w:tcBorders>
              <w:top w:val="nil"/>
              <w:left w:val="nil"/>
              <w:bottom w:val="nil"/>
              <w:right w:val="nil"/>
            </w:tcBorders>
            <w:tcMar>
              <w:top w:w="0" w:type="dxa"/>
              <w:bottom w:w="0" w:type="dxa"/>
            </w:tcMar>
          </w:tcPr>
          <w:p w14:paraId="6F009CED" w14:textId="77777777" w:rsidR="00A42E7C" w:rsidRPr="003736FA" w:rsidRDefault="00A42E7C" w:rsidP="00802FC4">
            <w:pPr>
              <w:pStyle w:val="TableText"/>
              <w:spacing w:after="0"/>
              <w:jc w:val="center"/>
              <w:rPr>
                <w:sz w:val="16"/>
              </w:rPr>
            </w:pPr>
            <w:r w:rsidRPr="003736FA">
              <w:rPr>
                <w:sz w:val="16"/>
              </w:rPr>
              <w:t xml:space="preserve">7.9 </w:t>
            </w:r>
            <w:r w:rsidRPr="003736FA">
              <w:rPr>
                <w:sz w:val="16"/>
              </w:rPr>
              <w:sym w:font="Wingdings 3" w:char="F09E"/>
            </w:r>
            <w:r w:rsidRPr="003736FA">
              <w:rPr>
                <w:sz w:val="16"/>
              </w:rPr>
              <w:t xml:space="preserve"> 6.6</w:t>
            </w:r>
          </w:p>
        </w:tc>
      </w:tr>
      <w:tr w:rsidR="00A42E7C" w:rsidRPr="003736FA" w14:paraId="1C961BA7" w14:textId="77777777" w:rsidTr="00A42E7C">
        <w:tc>
          <w:tcPr>
            <w:tcW w:w="1894" w:type="pct"/>
            <w:tcBorders>
              <w:top w:val="nil"/>
              <w:left w:val="nil"/>
              <w:bottom w:val="nil"/>
              <w:right w:val="nil"/>
            </w:tcBorders>
            <w:tcMar>
              <w:top w:w="0" w:type="dxa"/>
              <w:bottom w:w="0" w:type="dxa"/>
            </w:tcMar>
          </w:tcPr>
          <w:p w14:paraId="2CEB77D3" w14:textId="77777777" w:rsidR="00A42E7C" w:rsidRPr="003736FA" w:rsidRDefault="00A42E7C" w:rsidP="00802FC4">
            <w:pPr>
              <w:pStyle w:val="TableText"/>
              <w:spacing w:after="0" w:line="276" w:lineRule="auto"/>
              <w:rPr>
                <w:b/>
                <w:sz w:val="16"/>
              </w:rPr>
            </w:pPr>
            <w:r w:rsidRPr="003736FA">
              <w:rPr>
                <w:sz w:val="16"/>
                <w:szCs w:val="16"/>
              </w:rPr>
              <w:t xml:space="preserve">Adjusted change from baseline </w:t>
            </w:r>
          </w:p>
        </w:tc>
        <w:tc>
          <w:tcPr>
            <w:tcW w:w="1591" w:type="pct"/>
            <w:tcBorders>
              <w:top w:val="nil"/>
              <w:left w:val="nil"/>
              <w:bottom w:val="nil"/>
              <w:right w:val="nil"/>
            </w:tcBorders>
            <w:tcMar>
              <w:top w:w="0" w:type="dxa"/>
              <w:bottom w:w="0" w:type="dxa"/>
            </w:tcMar>
          </w:tcPr>
          <w:p w14:paraId="60609A3D" w14:textId="77777777" w:rsidR="00A42E7C" w:rsidRPr="003736FA" w:rsidRDefault="00A42E7C" w:rsidP="00802FC4">
            <w:pPr>
              <w:pStyle w:val="TableText"/>
              <w:spacing w:after="0"/>
              <w:jc w:val="center"/>
              <w:rPr>
                <w:sz w:val="16"/>
              </w:rPr>
            </w:pPr>
            <w:r w:rsidRPr="003736FA">
              <w:rPr>
                <w:sz w:val="16"/>
              </w:rPr>
              <w:t>-1.38</w:t>
            </w:r>
          </w:p>
        </w:tc>
        <w:tc>
          <w:tcPr>
            <w:tcW w:w="1515" w:type="pct"/>
            <w:tcBorders>
              <w:top w:val="nil"/>
              <w:left w:val="nil"/>
              <w:bottom w:val="nil"/>
              <w:right w:val="nil"/>
            </w:tcBorders>
            <w:tcMar>
              <w:top w:w="0" w:type="dxa"/>
              <w:bottom w:w="0" w:type="dxa"/>
            </w:tcMar>
          </w:tcPr>
          <w:p w14:paraId="750A0606" w14:textId="77777777" w:rsidR="00A42E7C" w:rsidRPr="003736FA" w:rsidRDefault="00A42E7C" w:rsidP="00802FC4">
            <w:pPr>
              <w:pStyle w:val="TableText"/>
              <w:spacing w:after="0"/>
              <w:jc w:val="center"/>
              <w:rPr>
                <w:sz w:val="16"/>
              </w:rPr>
            </w:pPr>
            <w:r w:rsidRPr="003736FA">
              <w:rPr>
                <w:sz w:val="16"/>
              </w:rPr>
              <w:t>-1.36</w:t>
            </w:r>
          </w:p>
        </w:tc>
      </w:tr>
      <w:tr w:rsidR="00A42E7C" w:rsidRPr="003736FA" w14:paraId="49B8952F" w14:textId="77777777" w:rsidTr="00A42E7C">
        <w:tc>
          <w:tcPr>
            <w:tcW w:w="1894" w:type="pct"/>
            <w:tcBorders>
              <w:top w:val="nil"/>
              <w:left w:val="nil"/>
              <w:right w:val="nil"/>
            </w:tcBorders>
            <w:tcMar>
              <w:top w:w="0" w:type="dxa"/>
              <w:bottom w:w="0" w:type="dxa"/>
            </w:tcMar>
          </w:tcPr>
          <w:p w14:paraId="45AF98BB" w14:textId="77777777" w:rsidR="00A42E7C" w:rsidRPr="003736FA" w:rsidRDefault="00A42E7C" w:rsidP="00802FC4">
            <w:pPr>
              <w:pStyle w:val="TableText"/>
              <w:spacing w:after="0" w:line="276" w:lineRule="auto"/>
              <w:rPr>
                <w:b/>
                <w:sz w:val="16"/>
              </w:rPr>
            </w:pPr>
            <w:r w:rsidRPr="003736FA">
              <w:rPr>
                <w:i/>
                <w:sz w:val="16"/>
                <w:szCs w:val="16"/>
              </w:rPr>
              <w:t>Estimated treatment difference</w:t>
            </w:r>
          </w:p>
        </w:tc>
        <w:tc>
          <w:tcPr>
            <w:tcW w:w="3106" w:type="pct"/>
            <w:gridSpan w:val="2"/>
            <w:tcBorders>
              <w:top w:val="nil"/>
              <w:left w:val="nil"/>
              <w:right w:val="nil"/>
            </w:tcBorders>
            <w:tcMar>
              <w:top w:w="0" w:type="dxa"/>
              <w:bottom w:w="0" w:type="dxa"/>
            </w:tcMar>
          </w:tcPr>
          <w:p w14:paraId="7C830736" w14:textId="77777777" w:rsidR="00A42E7C" w:rsidRPr="003736FA" w:rsidRDefault="00A42E7C" w:rsidP="00802FC4">
            <w:pPr>
              <w:pStyle w:val="TableText"/>
              <w:spacing w:after="0"/>
              <w:jc w:val="center"/>
              <w:rPr>
                <w:sz w:val="16"/>
              </w:rPr>
            </w:pPr>
            <w:r w:rsidRPr="003736FA">
              <w:rPr>
                <w:i/>
                <w:sz w:val="16"/>
              </w:rPr>
              <w:t>-0.02[-0.15;0.10]</w:t>
            </w:r>
          </w:p>
        </w:tc>
      </w:tr>
      <w:tr w:rsidR="00A42E7C" w:rsidRPr="003736FA" w14:paraId="59C6ED30" w14:textId="77777777" w:rsidTr="00A42E7C">
        <w:tc>
          <w:tcPr>
            <w:tcW w:w="1894" w:type="pct"/>
            <w:tcBorders>
              <w:left w:val="nil"/>
              <w:bottom w:val="nil"/>
              <w:right w:val="nil"/>
            </w:tcBorders>
            <w:tcMar>
              <w:top w:w="0" w:type="dxa"/>
              <w:bottom w:w="0" w:type="dxa"/>
            </w:tcMar>
          </w:tcPr>
          <w:p w14:paraId="493FFB93" w14:textId="77777777" w:rsidR="00A42E7C" w:rsidRPr="003736FA" w:rsidRDefault="00A42E7C" w:rsidP="00802FC4">
            <w:pPr>
              <w:pStyle w:val="TableText"/>
              <w:spacing w:after="0" w:line="276" w:lineRule="auto"/>
              <w:rPr>
                <w:b/>
                <w:sz w:val="16"/>
              </w:rPr>
            </w:pPr>
            <w:r w:rsidRPr="003736FA">
              <w:rPr>
                <w:b/>
              </w:rPr>
              <w:t>HbA</w:t>
            </w:r>
            <w:r w:rsidRPr="003736FA">
              <w:rPr>
                <w:b/>
                <w:vertAlign w:val="subscript"/>
              </w:rPr>
              <w:t>1c</w:t>
            </w:r>
            <w:r w:rsidRPr="003736FA">
              <w:rPr>
                <w:b/>
              </w:rPr>
              <w:t xml:space="preserve"> (mmol/mol)</w:t>
            </w:r>
          </w:p>
        </w:tc>
        <w:tc>
          <w:tcPr>
            <w:tcW w:w="1591" w:type="pct"/>
            <w:tcBorders>
              <w:left w:val="nil"/>
              <w:bottom w:val="nil"/>
              <w:right w:val="nil"/>
            </w:tcBorders>
            <w:tcMar>
              <w:top w:w="0" w:type="dxa"/>
              <w:bottom w:w="0" w:type="dxa"/>
            </w:tcMar>
          </w:tcPr>
          <w:p w14:paraId="36A30587" w14:textId="77777777" w:rsidR="00A42E7C" w:rsidRPr="003736FA" w:rsidRDefault="00A42E7C" w:rsidP="00802FC4">
            <w:pPr>
              <w:pStyle w:val="TableText"/>
              <w:spacing w:after="0"/>
              <w:jc w:val="center"/>
            </w:pPr>
          </w:p>
        </w:tc>
        <w:tc>
          <w:tcPr>
            <w:tcW w:w="1515" w:type="pct"/>
            <w:tcBorders>
              <w:left w:val="nil"/>
              <w:bottom w:val="nil"/>
              <w:right w:val="nil"/>
            </w:tcBorders>
            <w:tcMar>
              <w:top w:w="0" w:type="dxa"/>
              <w:bottom w:w="0" w:type="dxa"/>
            </w:tcMar>
          </w:tcPr>
          <w:p w14:paraId="2717DEB1" w14:textId="77777777" w:rsidR="00A42E7C" w:rsidRPr="003736FA" w:rsidRDefault="00A42E7C" w:rsidP="00802FC4">
            <w:pPr>
              <w:pStyle w:val="TableText"/>
              <w:spacing w:after="0"/>
              <w:jc w:val="center"/>
            </w:pPr>
          </w:p>
        </w:tc>
      </w:tr>
      <w:tr w:rsidR="00A42E7C" w:rsidRPr="003736FA" w14:paraId="1690A837" w14:textId="77777777" w:rsidTr="00A42E7C">
        <w:tc>
          <w:tcPr>
            <w:tcW w:w="1894" w:type="pct"/>
            <w:tcBorders>
              <w:top w:val="nil"/>
              <w:left w:val="nil"/>
              <w:bottom w:val="nil"/>
              <w:right w:val="nil"/>
            </w:tcBorders>
            <w:tcMar>
              <w:top w:w="0" w:type="dxa"/>
              <w:bottom w:w="0" w:type="dxa"/>
            </w:tcMar>
          </w:tcPr>
          <w:p w14:paraId="3F862FD1" w14:textId="77777777" w:rsidR="00A42E7C" w:rsidRPr="003736FA" w:rsidRDefault="00A42E7C" w:rsidP="00802FC4">
            <w:pPr>
              <w:pStyle w:val="TableText"/>
              <w:spacing w:after="0" w:line="276" w:lineRule="auto"/>
              <w:rPr>
                <w:b/>
                <w:sz w:val="16"/>
                <w:szCs w:val="16"/>
              </w:rPr>
            </w:pPr>
            <w:r w:rsidRPr="003736FA">
              <w:rPr>
                <w:sz w:val="16"/>
                <w:szCs w:val="16"/>
              </w:rPr>
              <w:t xml:space="preserve">Baseline </w:t>
            </w:r>
            <w:r w:rsidRPr="003736FA">
              <w:rPr>
                <w:sz w:val="16"/>
                <w:szCs w:val="16"/>
              </w:rPr>
              <w:sym w:font="Wingdings 3" w:char="F09E"/>
            </w:r>
            <w:r w:rsidRPr="003736FA">
              <w:rPr>
                <w:sz w:val="16"/>
                <w:szCs w:val="16"/>
              </w:rPr>
              <w:t xml:space="preserve"> End of trial</w:t>
            </w:r>
          </w:p>
        </w:tc>
        <w:tc>
          <w:tcPr>
            <w:tcW w:w="1591" w:type="pct"/>
            <w:tcBorders>
              <w:top w:val="nil"/>
              <w:left w:val="nil"/>
              <w:bottom w:val="nil"/>
              <w:right w:val="nil"/>
            </w:tcBorders>
            <w:tcMar>
              <w:top w:w="0" w:type="dxa"/>
              <w:bottom w:w="0" w:type="dxa"/>
            </w:tcMar>
          </w:tcPr>
          <w:p w14:paraId="19E5358D" w14:textId="77777777" w:rsidR="00A42E7C" w:rsidRPr="003736FA" w:rsidRDefault="00A42E7C" w:rsidP="00802FC4">
            <w:pPr>
              <w:pStyle w:val="TableText"/>
              <w:spacing w:after="0"/>
              <w:jc w:val="center"/>
              <w:rPr>
                <w:sz w:val="16"/>
                <w:szCs w:val="16"/>
              </w:rPr>
            </w:pPr>
            <w:r w:rsidRPr="003736FA">
              <w:rPr>
                <w:sz w:val="16"/>
                <w:szCs w:val="16"/>
              </w:rPr>
              <w:t xml:space="preserve">63.5 </w:t>
            </w:r>
            <w:r w:rsidRPr="003736FA">
              <w:rPr>
                <w:sz w:val="16"/>
              </w:rPr>
              <w:sym w:font="Wingdings 3" w:char="F09E"/>
            </w:r>
            <w:r w:rsidRPr="003736FA">
              <w:rPr>
                <w:sz w:val="16"/>
              </w:rPr>
              <w:t xml:space="preserve"> 49.0</w:t>
            </w:r>
            <w:r w:rsidRPr="003736FA">
              <w:rPr>
                <w:sz w:val="16"/>
                <w:szCs w:val="16"/>
              </w:rPr>
              <w:t xml:space="preserve"> </w:t>
            </w:r>
          </w:p>
        </w:tc>
        <w:tc>
          <w:tcPr>
            <w:tcW w:w="1515" w:type="pct"/>
            <w:tcBorders>
              <w:top w:val="nil"/>
              <w:left w:val="nil"/>
              <w:bottom w:val="nil"/>
              <w:right w:val="nil"/>
            </w:tcBorders>
            <w:tcMar>
              <w:top w:w="0" w:type="dxa"/>
              <w:bottom w:w="0" w:type="dxa"/>
            </w:tcMar>
          </w:tcPr>
          <w:p w14:paraId="094426C9" w14:textId="77777777" w:rsidR="00A42E7C" w:rsidRPr="003736FA" w:rsidRDefault="00A42E7C" w:rsidP="00802FC4">
            <w:pPr>
              <w:pStyle w:val="TableText"/>
              <w:spacing w:after="0"/>
              <w:jc w:val="center"/>
              <w:rPr>
                <w:sz w:val="16"/>
                <w:szCs w:val="16"/>
              </w:rPr>
            </w:pPr>
            <w:r w:rsidRPr="003736FA">
              <w:rPr>
                <w:sz w:val="16"/>
                <w:szCs w:val="16"/>
              </w:rPr>
              <w:t xml:space="preserve">62.7 </w:t>
            </w:r>
            <w:r w:rsidRPr="003736FA">
              <w:rPr>
                <w:sz w:val="16"/>
              </w:rPr>
              <w:sym w:font="Wingdings 3" w:char="F09E"/>
            </w:r>
            <w:r w:rsidRPr="003736FA">
              <w:rPr>
                <w:sz w:val="16"/>
              </w:rPr>
              <w:t>48.6</w:t>
            </w:r>
            <w:r w:rsidRPr="003736FA">
              <w:rPr>
                <w:sz w:val="16"/>
                <w:szCs w:val="16"/>
              </w:rPr>
              <w:t xml:space="preserve"> </w:t>
            </w:r>
          </w:p>
        </w:tc>
      </w:tr>
      <w:tr w:rsidR="00A42E7C" w:rsidRPr="003736FA" w14:paraId="1F111677" w14:textId="77777777" w:rsidTr="00A42E7C">
        <w:tc>
          <w:tcPr>
            <w:tcW w:w="1894" w:type="pct"/>
            <w:tcBorders>
              <w:top w:val="nil"/>
              <w:left w:val="nil"/>
              <w:bottom w:val="nil"/>
              <w:right w:val="nil"/>
            </w:tcBorders>
            <w:tcMar>
              <w:top w:w="0" w:type="dxa"/>
              <w:bottom w:w="0" w:type="dxa"/>
            </w:tcMar>
          </w:tcPr>
          <w:p w14:paraId="46920C7D" w14:textId="77777777" w:rsidR="00A42E7C" w:rsidRPr="003736FA" w:rsidRDefault="00A42E7C" w:rsidP="00802FC4">
            <w:pPr>
              <w:pStyle w:val="TableText"/>
              <w:spacing w:after="0" w:line="276" w:lineRule="auto"/>
              <w:rPr>
                <w:b/>
                <w:sz w:val="16"/>
                <w:szCs w:val="16"/>
              </w:rPr>
            </w:pPr>
            <w:r w:rsidRPr="003736FA">
              <w:rPr>
                <w:sz w:val="16"/>
                <w:szCs w:val="16"/>
              </w:rPr>
              <w:t>Adjusted change from baseline</w:t>
            </w:r>
          </w:p>
        </w:tc>
        <w:tc>
          <w:tcPr>
            <w:tcW w:w="1591" w:type="pct"/>
            <w:tcBorders>
              <w:top w:val="nil"/>
              <w:left w:val="nil"/>
              <w:bottom w:val="nil"/>
              <w:right w:val="nil"/>
            </w:tcBorders>
            <w:tcMar>
              <w:top w:w="0" w:type="dxa"/>
              <w:bottom w:w="0" w:type="dxa"/>
            </w:tcMar>
          </w:tcPr>
          <w:p w14:paraId="6BF5EE53" w14:textId="77777777" w:rsidR="00A42E7C" w:rsidRPr="003736FA" w:rsidRDefault="00A42E7C" w:rsidP="00802FC4">
            <w:pPr>
              <w:pStyle w:val="TableText"/>
              <w:spacing w:after="0"/>
              <w:jc w:val="center"/>
              <w:rPr>
                <w:sz w:val="16"/>
                <w:szCs w:val="16"/>
              </w:rPr>
            </w:pPr>
            <w:r w:rsidRPr="003736FA">
              <w:rPr>
                <w:sz w:val="16"/>
                <w:szCs w:val="16"/>
              </w:rPr>
              <w:t>-15.10</w:t>
            </w:r>
          </w:p>
        </w:tc>
        <w:tc>
          <w:tcPr>
            <w:tcW w:w="1515" w:type="pct"/>
            <w:tcBorders>
              <w:top w:val="nil"/>
              <w:left w:val="nil"/>
              <w:bottom w:val="nil"/>
              <w:right w:val="nil"/>
            </w:tcBorders>
            <w:tcMar>
              <w:top w:w="0" w:type="dxa"/>
              <w:bottom w:w="0" w:type="dxa"/>
            </w:tcMar>
          </w:tcPr>
          <w:p w14:paraId="54C4DAF7" w14:textId="77777777" w:rsidR="00A42E7C" w:rsidRPr="003736FA" w:rsidRDefault="00A42E7C" w:rsidP="00802FC4">
            <w:pPr>
              <w:pStyle w:val="TableText"/>
              <w:spacing w:after="0"/>
              <w:jc w:val="center"/>
              <w:rPr>
                <w:sz w:val="16"/>
                <w:szCs w:val="16"/>
              </w:rPr>
            </w:pPr>
            <w:r w:rsidRPr="003736FA">
              <w:rPr>
                <w:sz w:val="16"/>
                <w:szCs w:val="16"/>
              </w:rPr>
              <w:t>-14.86</w:t>
            </w:r>
          </w:p>
        </w:tc>
      </w:tr>
      <w:tr w:rsidR="00A42E7C" w:rsidRPr="003736FA" w14:paraId="226F6C2F" w14:textId="77777777" w:rsidTr="00A42E7C">
        <w:tc>
          <w:tcPr>
            <w:tcW w:w="1894" w:type="pct"/>
            <w:tcBorders>
              <w:top w:val="nil"/>
              <w:left w:val="nil"/>
              <w:right w:val="nil"/>
            </w:tcBorders>
            <w:tcMar>
              <w:top w:w="0" w:type="dxa"/>
              <w:bottom w:w="0" w:type="dxa"/>
            </w:tcMar>
          </w:tcPr>
          <w:p w14:paraId="6D9799CF" w14:textId="77777777" w:rsidR="00A42E7C" w:rsidRPr="003736FA" w:rsidRDefault="00A42E7C" w:rsidP="00802FC4">
            <w:pPr>
              <w:pStyle w:val="TableText"/>
              <w:spacing w:after="0" w:line="276" w:lineRule="auto"/>
              <w:rPr>
                <w:b/>
                <w:sz w:val="16"/>
                <w:szCs w:val="16"/>
              </w:rPr>
            </w:pPr>
            <w:r w:rsidRPr="003736FA">
              <w:rPr>
                <w:i/>
                <w:sz w:val="16"/>
                <w:szCs w:val="16"/>
              </w:rPr>
              <w:t>Estimated treatment difference</w:t>
            </w:r>
          </w:p>
        </w:tc>
        <w:tc>
          <w:tcPr>
            <w:tcW w:w="3106" w:type="pct"/>
            <w:gridSpan w:val="2"/>
            <w:tcBorders>
              <w:top w:val="nil"/>
              <w:left w:val="nil"/>
              <w:right w:val="nil"/>
            </w:tcBorders>
            <w:tcMar>
              <w:top w:w="0" w:type="dxa"/>
              <w:bottom w:w="0" w:type="dxa"/>
            </w:tcMar>
          </w:tcPr>
          <w:p w14:paraId="6BF49E72" w14:textId="77777777" w:rsidR="00A42E7C" w:rsidRPr="003736FA" w:rsidRDefault="00A42E7C" w:rsidP="00802FC4">
            <w:pPr>
              <w:pStyle w:val="TableText"/>
              <w:spacing w:after="0"/>
              <w:jc w:val="center"/>
              <w:rPr>
                <w:sz w:val="16"/>
                <w:szCs w:val="16"/>
              </w:rPr>
            </w:pPr>
            <w:r w:rsidRPr="003736FA">
              <w:rPr>
                <w:i/>
                <w:sz w:val="16"/>
                <w:szCs w:val="16"/>
              </w:rPr>
              <w:t>-0.24 [-1.60;1.11]</w:t>
            </w:r>
          </w:p>
        </w:tc>
      </w:tr>
      <w:tr w:rsidR="00A42E7C" w:rsidRPr="003736FA" w14:paraId="58B3CEE1" w14:textId="77777777" w:rsidTr="00A42E7C">
        <w:tc>
          <w:tcPr>
            <w:tcW w:w="1894" w:type="pct"/>
            <w:tcBorders>
              <w:top w:val="nil"/>
              <w:left w:val="nil"/>
              <w:bottom w:val="nil"/>
              <w:right w:val="nil"/>
            </w:tcBorders>
            <w:tcMar>
              <w:top w:w="0" w:type="dxa"/>
              <w:bottom w:w="0" w:type="dxa"/>
            </w:tcMar>
          </w:tcPr>
          <w:p w14:paraId="279608CA" w14:textId="77777777" w:rsidR="00A42E7C" w:rsidRPr="003736FA" w:rsidRDefault="00A42E7C" w:rsidP="00802FC4">
            <w:pPr>
              <w:pStyle w:val="TableText"/>
              <w:spacing w:after="0" w:line="276" w:lineRule="auto"/>
              <w:rPr>
                <w:i/>
                <w:sz w:val="16"/>
                <w:szCs w:val="16"/>
              </w:rPr>
            </w:pPr>
            <w:r w:rsidRPr="003736FA">
              <w:rPr>
                <w:b/>
              </w:rPr>
              <w:t>Patients (%) achieving HbA</w:t>
            </w:r>
            <w:r w:rsidRPr="003736FA">
              <w:rPr>
                <w:b/>
                <w:vertAlign w:val="subscript"/>
              </w:rPr>
              <w:t>1c</w:t>
            </w:r>
            <w:r w:rsidRPr="003736FA">
              <w:rPr>
                <w:b/>
              </w:rPr>
              <w:t xml:space="preserve"> &lt; 7%</w:t>
            </w:r>
          </w:p>
        </w:tc>
        <w:tc>
          <w:tcPr>
            <w:tcW w:w="1591" w:type="pct"/>
            <w:tcBorders>
              <w:top w:val="nil"/>
              <w:left w:val="nil"/>
              <w:bottom w:val="nil"/>
              <w:right w:val="nil"/>
            </w:tcBorders>
            <w:tcMar>
              <w:top w:w="0" w:type="dxa"/>
              <w:bottom w:w="0" w:type="dxa"/>
            </w:tcMar>
          </w:tcPr>
          <w:p w14:paraId="41DBEC53" w14:textId="77777777" w:rsidR="00A42E7C" w:rsidRPr="003736FA" w:rsidRDefault="00A42E7C" w:rsidP="00802FC4">
            <w:pPr>
              <w:pStyle w:val="TableText"/>
              <w:spacing w:after="0"/>
              <w:jc w:val="center"/>
              <w:rPr>
                <w:i/>
                <w:sz w:val="16"/>
                <w:szCs w:val="16"/>
              </w:rPr>
            </w:pPr>
          </w:p>
        </w:tc>
        <w:tc>
          <w:tcPr>
            <w:tcW w:w="1515" w:type="pct"/>
            <w:tcBorders>
              <w:top w:val="nil"/>
              <w:left w:val="nil"/>
              <w:bottom w:val="nil"/>
              <w:right w:val="nil"/>
            </w:tcBorders>
            <w:tcMar>
              <w:top w:w="0" w:type="dxa"/>
              <w:bottom w:w="0" w:type="dxa"/>
            </w:tcMar>
          </w:tcPr>
          <w:p w14:paraId="2D05F5CF" w14:textId="77777777" w:rsidR="00A42E7C" w:rsidRPr="003736FA" w:rsidRDefault="00A42E7C" w:rsidP="00802FC4">
            <w:pPr>
              <w:pStyle w:val="TableText"/>
              <w:spacing w:after="0"/>
              <w:jc w:val="center"/>
              <w:rPr>
                <w:sz w:val="16"/>
                <w:szCs w:val="16"/>
              </w:rPr>
            </w:pPr>
          </w:p>
        </w:tc>
      </w:tr>
      <w:tr w:rsidR="00A42E7C" w:rsidRPr="003736FA" w14:paraId="72B1956F" w14:textId="77777777" w:rsidTr="00A42E7C">
        <w:tc>
          <w:tcPr>
            <w:tcW w:w="1894" w:type="pct"/>
            <w:tcBorders>
              <w:top w:val="nil"/>
              <w:left w:val="nil"/>
              <w:bottom w:val="nil"/>
              <w:right w:val="nil"/>
            </w:tcBorders>
            <w:tcMar>
              <w:top w:w="0" w:type="dxa"/>
              <w:bottom w:w="0" w:type="dxa"/>
            </w:tcMar>
          </w:tcPr>
          <w:p w14:paraId="05146EED" w14:textId="77777777" w:rsidR="00A42E7C" w:rsidRPr="003736FA" w:rsidRDefault="00A42E7C" w:rsidP="00802FC4">
            <w:pPr>
              <w:pStyle w:val="TableText"/>
              <w:spacing w:after="0" w:line="276" w:lineRule="auto"/>
              <w:rPr>
                <w:b/>
              </w:rPr>
            </w:pPr>
            <w:r w:rsidRPr="003736FA">
              <w:rPr>
                <w:sz w:val="16"/>
              </w:rPr>
              <w:t>All patients</w:t>
            </w:r>
          </w:p>
        </w:tc>
        <w:tc>
          <w:tcPr>
            <w:tcW w:w="1591" w:type="pct"/>
            <w:tcBorders>
              <w:top w:val="nil"/>
              <w:left w:val="nil"/>
              <w:bottom w:val="nil"/>
              <w:right w:val="nil"/>
            </w:tcBorders>
            <w:tcMar>
              <w:top w:w="0" w:type="dxa"/>
              <w:bottom w:w="0" w:type="dxa"/>
            </w:tcMar>
          </w:tcPr>
          <w:p w14:paraId="7BF01DC3" w14:textId="77777777" w:rsidR="00A42E7C" w:rsidRPr="003736FA" w:rsidRDefault="00A42E7C" w:rsidP="00802FC4">
            <w:pPr>
              <w:pStyle w:val="TableText"/>
              <w:spacing w:after="0"/>
              <w:jc w:val="center"/>
              <w:rPr>
                <w:sz w:val="16"/>
                <w:szCs w:val="16"/>
              </w:rPr>
            </w:pPr>
            <w:r w:rsidRPr="003736FA">
              <w:rPr>
                <w:sz w:val="16"/>
                <w:szCs w:val="16"/>
              </w:rPr>
              <w:t>74.8</w:t>
            </w:r>
          </w:p>
        </w:tc>
        <w:tc>
          <w:tcPr>
            <w:tcW w:w="1515" w:type="pct"/>
            <w:tcBorders>
              <w:top w:val="nil"/>
              <w:left w:val="nil"/>
              <w:bottom w:val="nil"/>
              <w:right w:val="nil"/>
            </w:tcBorders>
            <w:tcMar>
              <w:top w:w="0" w:type="dxa"/>
              <w:bottom w:w="0" w:type="dxa"/>
            </w:tcMar>
          </w:tcPr>
          <w:p w14:paraId="45B2AD5D" w14:textId="77777777" w:rsidR="00A42E7C" w:rsidRPr="003736FA" w:rsidRDefault="00A42E7C" w:rsidP="00802FC4">
            <w:pPr>
              <w:pStyle w:val="TableText"/>
              <w:spacing w:after="0"/>
              <w:jc w:val="center"/>
              <w:rPr>
                <w:sz w:val="16"/>
                <w:szCs w:val="16"/>
              </w:rPr>
            </w:pPr>
            <w:r w:rsidRPr="003736FA">
              <w:rPr>
                <w:sz w:val="16"/>
                <w:szCs w:val="16"/>
              </w:rPr>
              <w:t>75.9</w:t>
            </w:r>
          </w:p>
        </w:tc>
      </w:tr>
      <w:tr w:rsidR="00A42E7C" w:rsidRPr="003736FA" w14:paraId="202104C8" w14:textId="77777777" w:rsidTr="00A42E7C">
        <w:tc>
          <w:tcPr>
            <w:tcW w:w="1894" w:type="pct"/>
            <w:tcBorders>
              <w:top w:val="nil"/>
              <w:left w:val="nil"/>
              <w:right w:val="nil"/>
            </w:tcBorders>
            <w:tcMar>
              <w:top w:w="0" w:type="dxa"/>
              <w:bottom w:w="0" w:type="dxa"/>
            </w:tcMar>
          </w:tcPr>
          <w:p w14:paraId="21BEBC8F" w14:textId="77777777" w:rsidR="00A42E7C" w:rsidRPr="003736FA" w:rsidRDefault="00A42E7C" w:rsidP="00802FC4">
            <w:pPr>
              <w:pStyle w:val="TableText"/>
              <w:spacing w:after="0" w:line="276" w:lineRule="auto"/>
              <w:rPr>
                <w:sz w:val="16"/>
              </w:rPr>
            </w:pPr>
            <w:r w:rsidRPr="003736FA">
              <w:rPr>
                <w:i/>
                <w:sz w:val="16"/>
              </w:rPr>
              <w:t>Estimated odds ratio</w:t>
            </w:r>
          </w:p>
        </w:tc>
        <w:tc>
          <w:tcPr>
            <w:tcW w:w="3106" w:type="pct"/>
            <w:gridSpan w:val="2"/>
            <w:tcBorders>
              <w:top w:val="nil"/>
              <w:left w:val="nil"/>
              <w:right w:val="nil"/>
            </w:tcBorders>
            <w:tcMar>
              <w:top w:w="0" w:type="dxa"/>
              <w:bottom w:w="0" w:type="dxa"/>
            </w:tcMar>
          </w:tcPr>
          <w:p w14:paraId="2D548FE5" w14:textId="77777777" w:rsidR="00A42E7C" w:rsidRPr="003736FA" w:rsidRDefault="00A42E7C" w:rsidP="00802FC4">
            <w:pPr>
              <w:pStyle w:val="TableText"/>
              <w:spacing w:after="0"/>
              <w:jc w:val="center"/>
              <w:rPr>
                <w:i/>
                <w:sz w:val="16"/>
                <w:szCs w:val="16"/>
              </w:rPr>
            </w:pPr>
            <w:r w:rsidRPr="003736FA">
              <w:rPr>
                <w:i/>
                <w:sz w:val="16"/>
                <w:szCs w:val="16"/>
              </w:rPr>
              <w:t>1.01 [0.70;1.44]</w:t>
            </w:r>
          </w:p>
        </w:tc>
      </w:tr>
      <w:tr w:rsidR="00A42E7C" w:rsidRPr="003736FA" w14:paraId="79B787E0" w14:textId="77777777" w:rsidTr="00A42E7C">
        <w:tc>
          <w:tcPr>
            <w:tcW w:w="1894" w:type="pct"/>
            <w:tcBorders>
              <w:left w:val="nil"/>
              <w:bottom w:val="nil"/>
              <w:right w:val="nil"/>
            </w:tcBorders>
            <w:tcMar>
              <w:top w:w="0" w:type="dxa"/>
              <w:bottom w:w="0" w:type="dxa"/>
            </w:tcMar>
          </w:tcPr>
          <w:p w14:paraId="2DC1362A" w14:textId="77777777" w:rsidR="00A42E7C" w:rsidRPr="003736FA" w:rsidRDefault="00A42E7C" w:rsidP="00802FC4">
            <w:pPr>
              <w:pStyle w:val="TableText"/>
              <w:spacing w:after="0" w:line="276" w:lineRule="auto"/>
              <w:rPr>
                <w:sz w:val="16"/>
                <w:szCs w:val="16"/>
              </w:rPr>
            </w:pPr>
            <w:r w:rsidRPr="003736FA">
              <w:rPr>
                <w:b/>
              </w:rPr>
              <w:t xml:space="preserve">2-hour </w:t>
            </w:r>
            <w:proofErr w:type="spellStart"/>
            <w:r w:rsidRPr="003736FA">
              <w:rPr>
                <w:b/>
              </w:rPr>
              <w:t>postmeal</w:t>
            </w:r>
            <w:proofErr w:type="spellEnd"/>
            <w:r w:rsidRPr="003736FA">
              <w:rPr>
                <w:b/>
              </w:rPr>
              <w:t xml:space="preserve"> glucose increment (</w:t>
            </w:r>
            <w:proofErr w:type="spellStart"/>
            <w:r w:rsidRPr="003736FA">
              <w:rPr>
                <w:b/>
              </w:rPr>
              <w:t>mmol</w:t>
            </w:r>
            <w:proofErr w:type="spellEnd"/>
            <w:r w:rsidRPr="003736FA">
              <w:rPr>
                <w:b/>
              </w:rPr>
              <w:t>/L)</w:t>
            </w:r>
            <w:r w:rsidRPr="003736FA">
              <w:rPr>
                <w:b/>
                <w:vertAlign w:val="superscript"/>
              </w:rPr>
              <w:t>B</w:t>
            </w:r>
          </w:p>
        </w:tc>
        <w:tc>
          <w:tcPr>
            <w:tcW w:w="1591" w:type="pct"/>
            <w:tcBorders>
              <w:left w:val="nil"/>
              <w:bottom w:val="nil"/>
              <w:right w:val="nil"/>
            </w:tcBorders>
            <w:tcMar>
              <w:top w:w="0" w:type="dxa"/>
              <w:bottom w:w="0" w:type="dxa"/>
            </w:tcMar>
          </w:tcPr>
          <w:p w14:paraId="6847A400" w14:textId="77777777" w:rsidR="00A42E7C" w:rsidRPr="003736FA" w:rsidRDefault="00A42E7C" w:rsidP="00802FC4">
            <w:pPr>
              <w:pStyle w:val="TableText"/>
              <w:spacing w:after="0"/>
              <w:jc w:val="center"/>
            </w:pPr>
          </w:p>
        </w:tc>
        <w:tc>
          <w:tcPr>
            <w:tcW w:w="1515" w:type="pct"/>
            <w:tcBorders>
              <w:left w:val="nil"/>
              <w:bottom w:val="nil"/>
              <w:right w:val="nil"/>
            </w:tcBorders>
            <w:tcMar>
              <w:top w:w="0" w:type="dxa"/>
              <w:bottom w:w="0" w:type="dxa"/>
            </w:tcMar>
          </w:tcPr>
          <w:p w14:paraId="1F6B7D6D" w14:textId="77777777" w:rsidR="00A42E7C" w:rsidRPr="003736FA" w:rsidRDefault="00A42E7C" w:rsidP="00802FC4">
            <w:pPr>
              <w:pStyle w:val="TableText"/>
              <w:spacing w:after="0"/>
              <w:jc w:val="center"/>
            </w:pPr>
          </w:p>
        </w:tc>
      </w:tr>
      <w:tr w:rsidR="00A42E7C" w:rsidRPr="003736FA" w14:paraId="58F94F7A" w14:textId="77777777" w:rsidTr="00A42E7C">
        <w:tc>
          <w:tcPr>
            <w:tcW w:w="1894" w:type="pct"/>
            <w:tcBorders>
              <w:top w:val="nil"/>
              <w:left w:val="nil"/>
              <w:bottom w:val="nil"/>
              <w:right w:val="nil"/>
            </w:tcBorders>
            <w:tcMar>
              <w:top w:w="0" w:type="dxa"/>
              <w:bottom w:w="0" w:type="dxa"/>
            </w:tcMar>
          </w:tcPr>
          <w:p w14:paraId="10E48EF2" w14:textId="77777777" w:rsidR="00A42E7C" w:rsidRPr="003736FA" w:rsidRDefault="00A42E7C" w:rsidP="00802FC4">
            <w:pPr>
              <w:pStyle w:val="TableText"/>
              <w:spacing w:after="0" w:line="276" w:lineRule="auto"/>
              <w:rPr>
                <w:b/>
                <w:sz w:val="16"/>
                <w:szCs w:val="16"/>
              </w:rPr>
            </w:pPr>
            <w:r w:rsidRPr="003736FA">
              <w:rPr>
                <w:sz w:val="16"/>
                <w:szCs w:val="16"/>
              </w:rPr>
              <w:t xml:space="preserve">Baseline </w:t>
            </w:r>
            <w:r w:rsidRPr="003736FA">
              <w:rPr>
                <w:sz w:val="16"/>
                <w:szCs w:val="16"/>
              </w:rPr>
              <w:sym w:font="Wingdings 3" w:char="F09E"/>
            </w:r>
            <w:r w:rsidRPr="003736FA">
              <w:rPr>
                <w:sz w:val="16"/>
                <w:szCs w:val="16"/>
              </w:rPr>
              <w:t xml:space="preserve"> End of trial</w:t>
            </w:r>
          </w:p>
        </w:tc>
        <w:tc>
          <w:tcPr>
            <w:tcW w:w="1591" w:type="pct"/>
            <w:tcBorders>
              <w:top w:val="nil"/>
              <w:left w:val="nil"/>
              <w:bottom w:val="nil"/>
              <w:right w:val="nil"/>
            </w:tcBorders>
            <w:tcMar>
              <w:top w:w="0" w:type="dxa"/>
              <w:bottom w:w="0" w:type="dxa"/>
            </w:tcMar>
          </w:tcPr>
          <w:p w14:paraId="2B4C830D" w14:textId="77777777" w:rsidR="00A42E7C" w:rsidRPr="003736FA" w:rsidRDefault="00A42E7C" w:rsidP="00802FC4">
            <w:pPr>
              <w:pStyle w:val="TableText"/>
              <w:spacing w:after="0"/>
              <w:jc w:val="center"/>
              <w:rPr>
                <w:sz w:val="16"/>
                <w:szCs w:val="16"/>
              </w:rPr>
            </w:pPr>
            <w:r w:rsidRPr="003736FA">
              <w:rPr>
                <w:sz w:val="16"/>
                <w:szCs w:val="16"/>
              </w:rPr>
              <w:t xml:space="preserve">7.6 </w:t>
            </w:r>
            <w:r w:rsidRPr="003736FA">
              <w:rPr>
                <w:sz w:val="16"/>
                <w:szCs w:val="16"/>
              </w:rPr>
              <w:sym w:font="Wingdings 3" w:char="F09E"/>
            </w:r>
            <w:r w:rsidRPr="003736FA">
              <w:rPr>
                <w:sz w:val="16"/>
                <w:szCs w:val="16"/>
              </w:rPr>
              <w:t xml:space="preserve"> 4.6</w:t>
            </w:r>
          </w:p>
        </w:tc>
        <w:tc>
          <w:tcPr>
            <w:tcW w:w="1515" w:type="pct"/>
            <w:tcBorders>
              <w:top w:val="nil"/>
              <w:left w:val="nil"/>
              <w:bottom w:val="nil"/>
              <w:right w:val="nil"/>
            </w:tcBorders>
            <w:tcMar>
              <w:top w:w="0" w:type="dxa"/>
              <w:bottom w:w="0" w:type="dxa"/>
            </w:tcMar>
          </w:tcPr>
          <w:p w14:paraId="314C58D9" w14:textId="77777777" w:rsidR="00A42E7C" w:rsidRPr="003736FA" w:rsidRDefault="00A42E7C" w:rsidP="00802FC4">
            <w:pPr>
              <w:pStyle w:val="TableText"/>
              <w:spacing w:after="0"/>
              <w:jc w:val="center"/>
              <w:rPr>
                <w:sz w:val="16"/>
                <w:szCs w:val="16"/>
              </w:rPr>
            </w:pPr>
            <w:r w:rsidRPr="003736FA">
              <w:rPr>
                <w:sz w:val="16"/>
                <w:szCs w:val="16"/>
              </w:rPr>
              <w:t xml:space="preserve">7.3 </w:t>
            </w:r>
            <w:r w:rsidRPr="003736FA">
              <w:rPr>
                <w:sz w:val="16"/>
                <w:szCs w:val="16"/>
              </w:rPr>
              <w:sym w:font="Wingdings 3" w:char="F09E"/>
            </w:r>
            <w:r w:rsidRPr="003736FA">
              <w:rPr>
                <w:sz w:val="16"/>
                <w:szCs w:val="16"/>
              </w:rPr>
              <w:t xml:space="preserve"> 4.9</w:t>
            </w:r>
          </w:p>
        </w:tc>
      </w:tr>
      <w:tr w:rsidR="00A42E7C" w:rsidRPr="003736FA" w14:paraId="64F561A4" w14:textId="77777777" w:rsidTr="00A42E7C">
        <w:tc>
          <w:tcPr>
            <w:tcW w:w="1894" w:type="pct"/>
            <w:tcBorders>
              <w:top w:val="nil"/>
              <w:left w:val="nil"/>
              <w:bottom w:val="nil"/>
              <w:right w:val="nil"/>
            </w:tcBorders>
            <w:tcMar>
              <w:top w:w="0" w:type="dxa"/>
              <w:bottom w:w="0" w:type="dxa"/>
            </w:tcMar>
          </w:tcPr>
          <w:p w14:paraId="6F6AE292" w14:textId="77777777" w:rsidR="00A42E7C" w:rsidRPr="003736FA" w:rsidRDefault="00A42E7C" w:rsidP="00802FC4">
            <w:pPr>
              <w:pStyle w:val="TableText"/>
              <w:spacing w:after="0" w:line="276" w:lineRule="auto"/>
              <w:rPr>
                <w:b/>
                <w:sz w:val="16"/>
                <w:szCs w:val="16"/>
              </w:rPr>
            </w:pPr>
            <w:r w:rsidRPr="003736FA">
              <w:rPr>
                <w:sz w:val="16"/>
                <w:szCs w:val="16"/>
              </w:rPr>
              <w:t xml:space="preserve">Adjusted change from baseline </w:t>
            </w:r>
          </w:p>
        </w:tc>
        <w:tc>
          <w:tcPr>
            <w:tcW w:w="1591" w:type="pct"/>
            <w:tcBorders>
              <w:top w:val="nil"/>
              <w:left w:val="nil"/>
              <w:bottom w:val="nil"/>
              <w:right w:val="nil"/>
            </w:tcBorders>
            <w:tcMar>
              <w:top w:w="0" w:type="dxa"/>
              <w:bottom w:w="0" w:type="dxa"/>
            </w:tcMar>
          </w:tcPr>
          <w:p w14:paraId="7282E06A" w14:textId="77777777" w:rsidR="00A42E7C" w:rsidRPr="003736FA" w:rsidRDefault="00A42E7C" w:rsidP="00802FC4">
            <w:pPr>
              <w:pStyle w:val="TableText"/>
              <w:spacing w:after="0"/>
              <w:jc w:val="center"/>
              <w:rPr>
                <w:sz w:val="16"/>
                <w:szCs w:val="16"/>
              </w:rPr>
            </w:pPr>
            <w:r w:rsidRPr="003736FA">
              <w:rPr>
                <w:sz w:val="16"/>
                <w:szCs w:val="16"/>
              </w:rPr>
              <w:t>-3.24</w:t>
            </w:r>
          </w:p>
        </w:tc>
        <w:tc>
          <w:tcPr>
            <w:tcW w:w="1515" w:type="pct"/>
            <w:tcBorders>
              <w:top w:val="nil"/>
              <w:left w:val="nil"/>
              <w:bottom w:val="nil"/>
              <w:right w:val="nil"/>
            </w:tcBorders>
            <w:tcMar>
              <w:top w:w="0" w:type="dxa"/>
              <w:bottom w:w="0" w:type="dxa"/>
            </w:tcMar>
          </w:tcPr>
          <w:p w14:paraId="21E83992" w14:textId="77777777" w:rsidR="00A42E7C" w:rsidRPr="003736FA" w:rsidRDefault="00A42E7C" w:rsidP="00802FC4">
            <w:pPr>
              <w:pStyle w:val="TableText"/>
              <w:spacing w:after="0"/>
              <w:jc w:val="center"/>
              <w:rPr>
                <w:sz w:val="16"/>
                <w:szCs w:val="16"/>
              </w:rPr>
            </w:pPr>
            <w:r w:rsidRPr="003736FA">
              <w:rPr>
                <w:sz w:val="16"/>
                <w:szCs w:val="16"/>
              </w:rPr>
              <w:t>-2.87</w:t>
            </w:r>
          </w:p>
        </w:tc>
      </w:tr>
      <w:tr w:rsidR="00A42E7C" w:rsidRPr="003736FA" w14:paraId="5E2FAC78" w14:textId="77777777" w:rsidTr="00A42E7C">
        <w:tc>
          <w:tcPr>
            <w:tcW w:w="1894" w:type="pct"/>
            <w:tcBorders>
              <w:top w:val="nil"/>
              <w:left w:val="nil"/>
              <w:right w:val="nil"/>
            </w:tcBorders>
            <w:tcMar>
              <w:top w:w="0" w:type="dxa"/>
              <w:bottom w:w="0" w:type="dxa"/>
            </w:tcMar>
          </w:tcPr>
          <w:p w14:paraId="34AFB4FC" w14:textId="77777777" w:rsidR="00A42E7C" w:rsidRPr="003736FA" w:rsidRDefault="00A42E7C" w:rsidP="00802FC4">
            <w:pPr>
              <w:pStyle w:val="TableText"/>
              <w:spacing w:after="0" w:line="276" w:lineRule="auto"/>
              <w:rPr>
                <w:b/>
                <w:sz w:val="16"/>
                <w:szCs w:val="16"/>
              </w:rPr>
            </w:pPr>
            <w:r w:rsidRPr="003736FA">
              <w:rPr>
                <w:i/>
                <w:sz w:val="16"/>
                <w:szCs w:val="16"/>
              </w:rPr>
              <w:t>Estimated treatment difference</w:t>
            </w:r>
          </w:p>
        </w:tc>
        <w:tc>
          <w:tcPr>
            <w:tcW w:w="3106" w:type="pct"/>
            <w:gridSpan w:val="2"/>
            <w:tcBorders>
              <w:top w:val="nil"/>
              <w:left w:val="nil"/>
              <w:right w:val="nil"/>
            </w:tcBorders>
            <w:tcMar>
              <w:top w:w="0" w:type="dxa"/>
              <w:bottom w:w="0" w:type="dxa"/>
            </w:tcMar>
          </w:tcPr>
          <w:p w14:paraId="53BEEA4F" w14:textId="77777777" w:rsidR="00A42E7C" w:rsidRPr="003736FA" w:rsidRDefault="00A42E7C" w:rsidP="00802FC4">
            <w:pPr>
              <w:pStyle w:val="TableText"/>
              <w:spacing w:after="0"/>
              <w:jc w:val="center"/>
              <w:rPr>
                <w:sz w:val="16"/>
                <w:szCs w:val="16"/>
              </w:rPr>
            </w:pPr>
            <w:r w:rsidRPr="003736FA">
              <w:rPr>
                <w:i/>
                <w:sz w:val="16"/>
                <w:szCs w:val="16"/>
              </w:rPr>
              <w:t>-0.36 [-0.81;0.08]</w:t>
            </w:r>
          </w:p>
        </w:tc>
      </w:tr>
      <w:tr w:rsidR="00A42E7C" w:rsidRPr="003736FA" w14:paraId="2376727A" w14:textId="77777777" w:rsidTr="00A42E7C">
        <w:tc>
          <w:tcPr>
            <w:tcW w:w="1894" w:type="pct"/>
            <w:tcBorders>
              <w:left w:val="nil"/>
              <w:bottom w:val="nil"/>
              <w:right w:val="nil"/>
            </w:tcBorders>
            <w:tcMar>
              <w:top w:w="0" w:type="dxa"/>
              <w:bottom w:w="0" w:type="dxa"/>
            </w:tcMar>
          </w:tcPr>
          <w:p w14:paraId="65F85447" w14:textId="77777777" w:rsidR="00A42E7C" w:rsidRPr="003736FA" w:rsidRDefault="00A42E7C" w:rsidP="00802FC4">
            <w:pPr>
              <w:pStyle w:val="TableText"/>
              <w:spacing w:after="0" w:line="276" w:lineRule="auto"/>
              <w:rPr>
                <w:sz w:val="16"/>
                <w:szCs w:val="16"/>
              </w:rPr>
            </w:pPr>
            <w:r w:rsidRPr="003736FA">
              <w:rPr>
                <w:b/>
              </w:rPr>
              <w:t xml:space="preserve">1-hour </w:t>
            </w:r>
            <w:proofErr w:type="spellStart"/>
            <w:r w:rsidRPr="003736FA">
              <w:rPr>
                <w:b/>
              </w:rPr>
              <w:t>postmeal</w:t>
            </w:r>
            <w:proofErr w:type="spellEnd"/>
            <w:r w:rsidRPr="003736FA">
              <w:rPr>
                <w:b/>
              </w:rPr>
              <w:t xml:space="preserve"> glucose increment (</w:t>
            </w:r>
            <w:proofErr w:type="spellStart"/>
            <w:r w:rsidRPr="003736FA">
              <w:rPr>
                <w:b/>
              </w:rPr>
              <w:t>mmol</w:t>
            </w:r>
            <w:proofErr w:type="spellEnd"/>
            <w:r w:rsidRPr="003736FA">
              <w:rPr>
                <w:b/>
              </w:rPr>
              <w:t>/L)</w:t>
            </w:r>
            <w:r w:rsidRPr="003736FA">
              <w:rPr>
                <w:b/>
                <w:vertAlign w:val="superscript"/>
              </w:rPr>
              <w:t>B</w:t>
            </w:r>
          </w:p>
        </w:tc>
        <w:tc>
          <w:tcPr>
            <w:tcW w:w="1591" w:type="pct"/>
            <w:tcBorders>
              <w:left w:val="nil"/>
              <w:bottom w:val="nil"/>
              <w:right w:val="nil"/>
            </w:tcBorders>
            <w:tcMar>
              <w:top w:w="0" w:type="dxa"/>
              <w:bottom w:w="0" w:type="dxa"/>
            </w:tcMar>
          </w:tcPr>
          <w:p w14:paraId="02C61C16" w14:textId="77777777" w:rsidR="00A42E7C" w:rsidRPr="003736FA" w:rsidRDefault="00A42E7C" w:rsidP="00802FC4">
            <w:pPr>
              <w:pStyle w:val="TableText"/>
              <w:spacing w:after="0"/>
              <w:jc w:val="center"/>
            </w:pPr>
          </w:p>
        </w:tc>
        <w:tc>
          <w:tcPr>
            <w:tcW w:w="1515" w:type="pct"/>
            <w:tcBorders>
              <w:left w:val="nil"/>
              <w:bottom w:val="nil"/>
              <w:right w:val="nil"/>
            </w:tcBorders>
            <w:tcMar>
              <w:top w:w="0" w:type="dxa"/>
              <w:bottom w:w="0" w:type="dxa"/>
            </w:tcMar>
          </w:tcPr>
          <w:p w14:paraId="053027E0" w14:textId="77777777" w:rsidR="00A42E7C" w:rsidRPr="003736FA" w:rsidRDefault="00A42E7C" w:rsidP="00802FC4">
            <w:pPr>
              <w:pStyle w:val="TableText"/>
              <w:spacing w:after="0"/>
              <w:jc w:val="center"/>
            </w:pPr>
          </w:p>
        </w:tc>
      </w:tr>
      <w:tr w:rsidR="00A42E7C" w:rsidRPr="003736FA" w14:paraId="2D27392A" w14:textId="77777777" w:rsidTr="00A42E7C">
        <w:tc>
          <w:tcPr>
            <w:tcW w:w="1894" w:type="pct"/>
            <w:tcBorders>
              <w:top w:val="nil"/>
              <w:left w:val="nil"/>
              <w:bottom w:val="nil"/>
              <w:right w:val="nil"/>
            </w:tcBorders>
            <w:tcMar>
              <w:top w:w="0" w:type="dxa"/>
              <w:bottom w:w="0" w:type="dxa"/>
            </w:tcMar>
          </w:tcPr>
          <w:p w14:paraId="12128256" w14:textId="77777777" w:rsidR="00A42E7C" w:rsidRPr="003736FA" w:rsidRDefault="00A42E7C" w:rsidP="00802FC4">
            <w:pPr>
              <w:pStyle w:val="TableText"/>
              <w:spacing w:after="0" w:line="276" w:lineRule="auto"/>
              <w:rPr>
                <w:b/>
              </w:rPr>
            </w:pPr>
            <w:r w:rsidRPr="003736FA">
              <w:rPr>
                <w:sz w:val="16"/>
                <w:szCs w:val="16"/>
              </w:rPr>
              <w:t xml:space="preserve">Baseline </w:t>
            </w:r>
            <w:r w:rsidRPr="003736FA">
              <w:rPr>
                <w:sz w:val="16"/>
              </w:rPr>
              <w:sym w:font="Wingdings 3" w:char="F09E"/>
            </w:r>
            <w:r w:rsidRPr="003736FA">
              <w:rPr>
                <w:sz w:val="16"/>
                <w:szCs w:val="16"/>
              </w:rPr>
              <w:t xml:space="preserve"> End of trial</w:t>
            </w:r>
          </w:p>
        </w:tc>
        <w:tc>
          <w:tcPr>
            <w:tcW w:w="1591" w:type="pct"/>
            <w:tcBorders>
              <w:top w:val="nil"/>
              <w:left w:val="nil"/>
              <w:bottom w:val="nil"/>
              <w:right w:val="nil"/>
            </w:tcBorders>
            <w:tcMar>
              <w:top w:w="0" w:type="dxa"/>
              <w:bottom w:w="0" w:type="dxa"/>
            </w:tcMar>
          </w:tcPr>
          <w:p w14:paraId="6B1EE788" w14:textId="77777777" w:rsidR="00A42E7C" w:rsidRPr="003736FA" w:rsidRDefault="00A42E7C" w:rsidP="00802FC4">
            <w:pPr>
              <w:pStyle w:val="TableText"/>
              <w:spacing w:after="0"/>
              <w:jc w:val="center"/>
              <w:rPr>
                <w:sz w:val="16"/>
                <w:szCs w:val="16"/>
              </w:rPr>
            </w:pPr>
            <w:r w:rsidRPr="003736FA">
              <w:rPr>
                <w:sz w:val="16"/>
                <w:szCs w:val="16"/>
              </w:rPr>
              <w:t xml:space="preserve">6.0 </w:t>
            </w:r>
            <w:r w:rsidRPr="003736FA">
              <w:rPr>
                <w:sz w:val="16"/>
                <w:szCs w:val="16"/>
              </w:rPr>
              <w:sym w:font="Wingdings 3" w:char="F09E"/>
            </w:r>
            <w:r w:rsidRPr="003736FA">
              <w:rPr>
                <w:sz w:val="16"/>
                <w:szCs w:val="16"/>
              </w:rPr>
              <w:t xml:space="preserve"> 4.1 </w:t>
            </w:r>
          </w:p>
        </w:tc>
        <w:tc>
          <w:tcPr>
            <w:tcW w:w="1515" w:type="pct"/>
            <w:tcBorders>
              <w:top w:val="nil"/>
              <w:left w:val="nil"/>
              <w:bottom w:val="nil"/>
              <w:right w:val="nil"/>
            </w:tcBorders>
            <w:tcMar>
              <w:top w:w="0" w:type="dxa"/>
              <w:bottom w:w="0" w:type="dxa"/>
            </w:tcMar>
          </w:tcPr>
          <w:p w14:paraId="1BA53D23" w14:textId="77777777" w:rsidR="00A42E7C" w:rsidRPr="003736FA" w:rsidRDefault="00A42E7C" w:rsidP="00802FC4">
            <w:pPr>
              <w:pStyle w:val="TableText"/>
              <w:spacing w:after="0"/>
              <w:jc w:val="center"/>
              <w:rPr>
                <w:sz w:val="16"/>
                <w:szCs w:val="16"/>
              </w:rPr>
            </w:pPr>
            <w:r w:rsidRPr="003736FA">
              <w:rPr>
                <w:sz w:val="16"/>
                <w:szCs w:val="16"/>
              </w:rPr>
              <w:t xml:space="preserve">5.9 </w:t>
            </w:r>
            <w:r w:rsidRPr="003736FA">
              <w:rPr>
                <w:sz w:val="16"/>
                <w:szCs w:val="16"/>
              </w:rPr>
              <w:sym w:font="Wingdings 3" w:char="F09E"/>
            </w:r>
            <w:r w:rsidRPr="003736FA">
              <w:rPr>
                <w:sz w:val="16"/>
                <w:szCs w:val="16"/>
              </w:rPr>
              <w:t xml:space="preserve"> 4.6</w:t>
            </w:r>
          </w:p>
        </w:tc>
      </w:tr>
      <w:tr w:rsidR="00A42E7C" w:rsidRPr="003736FA" w14:paraId="2B22BC4D" w14:textId="77777777" w:rsidTr="00A42E7C">
        <w:tc>
          <w:tcPr>
            <w:tcW w:w="1894" w:type="pct"/>
            <w:tcBorders>
              <w:top w:val="nil"/>
              <w:left w:val="nil"/>
              <w:bottom w:val="nil"/>
              <w:right w:val="nil"/>
            </w:tcBorders>
            <w:tcMar>
              <w:top w:w="0" w:type="dxa"/>
              <w:bottom w:w="0" w:type="dxa"/>
            </w:tcMar>
          </w:tcPr>
          <w:p w14:paraId="54C8C4BE" w14:textId="77777777" w:rsidR="00A42E7C" w:rsidRPr="003736FA" w:rsidRDefault="00A42E7C" w:rsidP="00802FC4">
            <w:pPr>
              <w:pStyle w:val="TableText"/>
              <w:spacing w:after="0" w:line="276" w:lineRule="auto"/>
              <w:rPr>
                <w:b/>
              </w:rPr>
            </w:pPr>
            <w:r w:rsidRPr="003736FA">
              <w:rPr>
                <w:sz w:val="16"/>
                <w:szCs w:val="16"/>
              </w:rPr>
              <w:t xml:space="preserve">Adjusted change from baseline </w:t>
            </w:r>
          </w:p>
        </w:tc>
        <w:tc>
          <w:tcPr>
            <w:tcW w:w="1591" w:type="pct"/>
            <w:tcBorders>
              <w:top w:val="nil"/>
              <w:left w:val="nil"/>
              <w:bottom w:val="nil"/>
              <w:right w:val="nil"/>
            </w:tcBorders>
            <w:tcMar>
              <w:top w:w="0" w:type="dxa"/>
              <w:bottom w:w="0" w:type="dxa"/>
            </w:tcMar>
          </w:tcPr>
          <w:p w14:paraId="3530879D" w14:textId="77777777" w:rsidR="00A42E7C" w:rsidRPr="003736FA" w:rsidRDefault="00A42E7C" w:rsidP="00802FC4">
            <w:pPr>
              <w:pStyle w:val="TableText"/>
              <w:spacing w:after="0"/>
              <w:jc w:val="center"/>
              <w:rPr>
                <w:sz w:val="16"/>
                <w:szCs w:val="16"/>
              </w:rPr>
            </w:pPr>
            <w:r w:rsidRPr="003736FA">
              <w:rPr>
                <w:sz w:val="16"/>
                <w:szCs w:val="16"/>
              </w:rPr>
              <w:t>-2.14</w:t>
            </w:r>
          </w:p>
        </w:tc>
        <w:tc>
          <w:tcPr>
            <w:tcW w:w="1515" w:type="pct"/>
            <w:tcBorders>
              <w:top w:val="nil"/>
              <w:left w:val="nil"/>
              <w:bottom w:val="nil"/>
              <w:right w:val="nil"/>
            </w:tcBorders>
            <w:tcMar>
              <w:top w:w="0" w:type="dxa"/>
              <w:bottom w:w="0" w:type="dxa"/>
            </w:tcMar>
          </w:tcPr>
          <w:p w14:paraId="21CF5CAA" w14:textId="77777777" w:rsidR="00A42E7C" w:rsidRPr="003736FA" w:rsidRDefault="00A42E7C" w:rsidP="00802FC4">
            <w:pPr>
              <w:pStyle w:val="TableText"/>
              <w:spacing w:after="0"/>
              <w:jc w:val="center"/>
              <w:rPr>
                <w:sz w:val="16"/>
                <w:szCs w:val="16"/>
              </w:rPr>
            </w:pPr>
            <w:r w:rsidRPr="003736FA">
              <w:rPr>
                <w:sz w:val="16"/>
                <w:szCs w:val="16"/>
              </w:rPr>
              <w:t>-1.55</w:t>
            </w:r>
          </w:p>
        </w:tc>
      </w:tr>
      <w:tr w:rsidR="00A42E7C" w:rsidRPr="003736FA" w14:paraId="5987B8BE" w14:textId="77777777" w:rsidTr="00A42E7C">
        <w:tc>
          <w:tcPr>
            <w:tcW w:w="1894" w:type="pct"/>
            <w:tcBorders>
              <w:top w:val="nil"/>
              <w:left w:val="nil"/>
              <w:right w:val="nil"/>
            </w:tcBorders>
            <w:tcMar>
              <w:top w:w="0" w:type="dxa"/>
              <w:bottom w:w="0" w:type="dxa"/>
            </w:tcMar>
          </w:tcPr>
          <w:p w14:paraId="6E9EA7F1" w14:textId="77777777" w:rsidR="00A42E7C" w:rsidRPr="003736FA" w:rsidRDefault="00A42E7C" w:rsidP="00802FC4">
            <w:pPr>
              <w:pStyle w:val="TableText"/>
              <w:spacing w:after="0" w:line="276" w:lineRule="auto"/>
              <w:rPr>
                <w:b/>
              </w:rPr>
            </w:pPr>
            <w:r w:rsidRPr="003736FA">
              <w:rPr>
                <w:i/>
                <w:sz w:val="16"/>
                <w:szCs w:val="16"/>
              </w:rPr>
              <w:t>Estimated treatment difference</w:t>
            </w:r>
          </w:p>
        </w:tc>
        <w:tc>
          <w:tcPr>
            <w:tcW w:w="3106" w:type="pct"/>
            <w:gridSpan w:val="2"/>
            <w:tcBorders>
              <w:top w:val="nil"/>
              <w:left w:val="nil"/>
              <w:right w:val="nil"/>
            </w:tcBorders>
            <w:tcMar>
              <w:top w:w="0" w:type="dxa"/>
              <w:bottom w:w="0" w:type="dxa"/>
            </w:tcMar>
          </w:tcPr>
          <w:p w14:paraId="579DBDD0" w14:textId="77777777" w:rsidR="00A42E7C" w:rsidRPr="003736FA" w:rsidRDefault="00A42E7C" w:rsidP="00802FC4">
            <w:pPr>
              <w:pStyle w:val="TableText"/>
              <w:spacing w:after="0"/>
              <w:jc w:val="center"/>
              <w:rPr>
                <w:sz w:val="16"/>
                <w:szCs w:val="16"/>
              </w:rPr>
            </w:pPr>
            <w:r w:rsidRPr="003736FA">
              <w:rPr>
                <w:i/>
                <w:sz w:val="16"/>
                <w:szCs w:val="16"/>
              </w:rPr>
              <w:t>-0.59 [-1.09;-0.09]</w:t>
            </w:r>
            <w:r w:rsidRPr="003736FA">
              <w:rPr>
                <w:sz w:val="16"/>
                <w:vertAlign w:val="superscript"/>
              </w:rPr>
              <w:t>D</w:t>
            </w:r>
          </w:p>
        </w:tc>
      </w:tr>
      <w:tr w:rsidR="00A42E7C" w:rsidRPr="003736FA" w14:paraId="0A593AB6" w14:textId="77777777" w:rsidTr="00A42E7C">
        <w:tc>
          <w:tcPr>
            <w:tcW w:w="1894" w:type="pct"/>
            <w:tcBorders>
              <w:left w:val="nil"/>
              <w:bottom w:val="nil"/>
              <w:right w:val="nil"/>
            </w:tcBorders>
            <w:tcMar>
              <w:top w:w="0" w:type="dxa"/>
              <w:bottom w:w="0" w:type="dxa"/>
            </w:tcMar>
          </w:tcPr>
          <w:p w14:paraId="46C7253E" w14:textId="77777777" w:rsidR="00A42E7C" w:rsidRPr="003736FA" w:rsidRDefault="00A42E7C" w:rsidP="00802FC4">
            <w:pPr>
              <w:pStyle w:val="TableText"/>
              <w:spacing w:after="0" w:line="276" w:lineRule="auto"/>
              <w:rPr>
                <w:sz w:val="16"/>
                <w:szCs w:val="16"/>
              </w:rPr>
            </w:pPr>
            <w:r w:rsidRPr="003736FA">
              <w:rPr>
                <w:b/>
              </w:rPr>
              <w:t>Bodyweight (kg)</w:t>
            </w:r>
          </w:p>
        </w:tc>
        <w:tc>
          <w:tcPr>
            <w:tcW w:w="1591" w:type="pct"/>
            <w:tcBorders>
              <w:left w:val="nil"/>
              <w:bottom w:val="nil"/>
              <w:right w:val="nil"/>
            </w:tcBorders>
            <w:tcMar>
              <w:top w:w="0" w:type="dxa"/>
              <w:bottom w:w="0" w:type="dxa"/>
            </w:tcMar>
          </w:tcPr>
          <w:p w14:paraId="60EC9BA8" w14:textId="77777777" w:rsidR="00A42E7C" w:rsidRPr="003736FA" w:rsidRDefault="00A42E7C" w:rsidP="00802FC4">
            <w:pPr>
              <w:pStyle w:val="TableText"/>
              <w:spacing w:after="0"/>
              <w:jc w:val="center"/>
            </w:pPr>
          </w:p>
        </w:tc>
        <w:tc>
          <w:tcPr>
            <w:tcW w:w="1515" w:type="pct"/>
            <w:tcBorders>
              <w:left w:val="nil"/>
              <w:bottom w:val="nil"/>
              <w:right w:val="nil"/>
            </w:tcBorders>
            <w:tcMar>
              <w:top w:w="0" w:type="dxa"/>
              <w:bottom w:w="0" w:type="dxa"/>
            </w:tcMar>
          </w:tcPr>
          <w:p w14:paraId="701C5797" w14:textId="77777777" w:rsidR="00A42E7C" w:rsidRPr="003736FA" w:rsidRDefault="00A42E7C" w:rsidP="00802FC4">
            <w:pPr>
              <w:pStyle w:val="TableText"/>
              <w:spacing w:after="0"/>
              <w:jc w:val="center"/>
            </w:pPr>
          </w:p>
        </w:tc>
      </w:tr>
      <w:tr w:rsidR="00A42E7C" w:rsidRPr="003736FA" w14:paraId="77B58B80" w14:textId="77777777" w:rsidTr="00A42E7C">
        <w:tc>
          <w:tcPr>
            <w:tcW w:w="1894" w:type="pct"/>
            <w:tcBorders>
              <w:top w:val="nil"/>
              <w:left w:val="nil"/>
              <w:bottom w:val="nil"/>
              <w:right w:val="nil"/>
            </w:tcBorders>
            <w:tcMar>
              <w:top w:w="0" w:type="dxa"/>
              <w:bottom w:w="0" w:type="dxa"/>
            </w:tcMar>
          </w:tcPr>
          <w:p w14:paraId="1C2E1F87" w14:textId="77777777" w:rsidR="00A42E7C" w:rsidRPr="003736FA" w:rsidRDefault="00A42E7C" w:rsidP="00802FC4">
            <w:pPr>
              <w:pStyle w:val="TableText"/>
              <w:spacing w:after="0" w:line="276" w:lineRule="auto"/>
              <w:rPr>
                <w:b/>
              </w:rPr>
            </w:pPr>
            <w:r w:rsidRPr="003736FA">
              <w:rPr>
                <w:sz w:val="16"/>
                <w:szCs w:val="16"/>
              </w:rPr>
              <w:t xml:space="preserve">Baseline </w:t>
            </w:r>
            <w:r w:rsidRPr="003736FA">
              <w:rPr>
                <w:sz w:val="16"/>
              </w:rPr>
              <w:sym w:font="Wingdings 3" w:char="F09E"/>
            </w:r>
            <w:r w:rsidRPr="003736FA">
              <w:rPr>
                <w:sz w:val="16"/>
                <w:szCs w:val="16"/>
              </w:rPr>
              <w:t xml:space="preserve"> End of trial</w:t>
            </w:r>
          </w:p>
        </w:tc>
        <w:tc>
          <w:tcPr>
            <w:tcW w:w="1591" w:type="pct"/>
            <w:tcBorders>
              <w:top w:val="nil"/>
              <w:left w:val="nil"/>
              <w:bottom w:val="nil"/>
              <w:right w:val="nil"/>
            </w:tcBorders>
            <w:tcMar>
              <w:top w:w="0" w:type="dxa"/>
              <w:bottom w:w="0" w:type="dxa"/>
            </w:tcMar>
          </w:tcPr>
          <w:p w14:paraId="307C357E" w14:textId="77777777" w:rsidR="00A42E7C" w:rsidRPr="003736FA" w:rsidRDefault="00A42E7C" w:rsidP="00802FC4">
            <w:pPr>
              <w:pStyle w:val="TableText"/>
              <w:spacing w:after="0"/>
              <w:jc w:val="center"/>
              <w:rPr>
                <w:sz w:val="16"/>
                <w:szCs w:val="16"/>
              </w:rPr>
            </w:pPr>
            <w:r w:rsidRPr="003736FA">
              <w:rPr>
                <w:sz w:val="16"/>
                <w:szCs w:val="16"/>
              </w:rPr>
              <w:t xml:space="preserve">89.0 </w:t>
            </w:r>
            <w:r w:rsidRPr="003736FA">
              <w:rPr>
                <w:sz w:val="16"/>
                <w:szCs w:val="16"/>
              </w:rPr>
              <w:sym w:font="Wingdings 3" w:char="F09E"/>
            </w:r>
            <w:r>
              <w:rPr>
                <w:sz w:val="16"/>
                <w:szCs w:val="16"/>
              </w:rPr>
              <w:t xml:space="preserve"> 91</w:t>
            </w:r>
            <w:r w:rsidRPr="003736FA">
              <w:rPr>
                <w:sz w:val="16"/>
                <w:szCs w:val="16"/>
              </w:rPr>
              <w:t>.6</w:t>
            </w:r>
          </w:p>
        </w:tc>
        <w:tc>
          <w:tcPr>
            <w:tcW w:w="1515" w:type="pct"/>
            <w:tcBorders>
              <w:top w:val="nil"/>
              <w:left w:val="nil"/>
              <w:bottom w:val="nil"/>
              <w:right w:val="nil"/>
            </w:tcBorders>
            <w:tcMar>
              <w:top w:w="0" w:type="dxa"/>
              <w:bottom w:w="0" w:type="dxa"/>
            </w:tcMar>
          </w:tcPr>
          <w:p w14:paraId="281CE623" w14:textId="77777777" w:rsidR="00A42E7C" w:rsidRPr="003736FA" w:rsidRDefault="00A42E7C" w:rsidP="00802FC4">
            <w:pPr>
              <w:pStyle w:val="TableText"/>
              <w:spacing w:after="0"/>
              <w:jc w:val="center"/>
              <w:rPr>
                <w:sz w:val="16"/>
                <w:szCs w:val="16"/>
              </w:rPr>
            </w:pPr>
            <w:r w:rsidRPr="003736FA">
              <w:rPr>
                <w:sz w:val="16"/>
                <w:szCs w:val="16"/>
              </w:rPr>
              <w:t xml:space="preserve">88.3 </w:t>
            </w:r>
            <w:r w:rsidRPr="003736FA">
              <w:rPr>
                <w:sz w:val="16"/>
                <w:szCs w:val="16"/>
              </w:rPr>
              <w:sym w:font="Wingdings 3" w:char="F09E"/>
            </w:r>
            <w:r w:rsidRPr="003736FA">
              <w:rPr>
                <w:sz w:val="16"/>
                <w:szCs w:val="16"/>
              </w:rPr>
              <w:t xml:space="preserve"> 90.8</w:t>
            </w:r>
          </w:p>
        </w:tc>
      </w:tr>
      <w:tr w:rsidR="00A42E7C" w:rsidRPr="003736FA" w14:paraId="6FDB204F" w14:textId="77777777" w:rsidTr="00A42E7C">
        <w:tc>
          <w:tcPr>
            <w:tcW w:w="1894" w:type="pct"/>
            <w:tcBorders>
              <w:top w:val="nil"/>
              <w:left w:val="nil"/>
              <w:bottom w:val="nil"/>
              <w:right w:val="nil"/>
            </w:tcBorders>
            <w:tcMar>
              <w:top w:w="0" w:type="dxa"/>
              <w:bottom w:w="0" w:type="dxa"/>
            </w:tcMar>
          </w:tcPr>
          <w:p w14:paraId="0AB5B5F3" w14:textId="77777777" w:rsidR="00A42E7C" w:rsidRPr="003736FA" w:rsidRDefault="00A42E7C" w:rsidP="00802FC4">
            <w:pPr>
              <w:pStyle w:val="TableText"/>
              <w:spacing w:after="0" w:line="276" w:lineRule="auto"/>
              <w:rPr>
                <w:b/>
              </w:rPr>
            </w:pPr>
            <w:r w:rsidRPr="003736FA">
              <w:rPr>
                <w:sz w:val="16"/>
                <w:szCs w:val="16"/>
              </w:rPr>
              <w:t xml:space="preserve">Adjusted change from baseline </w:t>
            </w:r>
          </w:p>
        </w:tc>
        <w:tc>
          <w:tcPr>
            <w:tcW w:w="1591" w:type="pct"/>
            <w:tcBorders>
              <w:top w:val="nil"/>
              <w:left w:val="nil"/>
              <w:bottom w:val="nil"/>
              <w:right w:val="nil"/>
            </w:tcBorders>
            <w:tcMar>
              <w:top w:w="0" w:type="dxa"/>
              <w:bottom w:w="0" w:type="dxa"/>
            </w:tcMar>
          </w:tcPr>
          <w:p w14:paraId="7811D5E9" w14:textId="77777777" w:rsidR="00A42E7C" w:rsidRPr="003736FA" w:rsidRDefault="00A42E7C" w:rsidP="00802FC4">
            <w:pPr>
              <w:pStyle w:val="TableText"/>
              <w:spacing w:after="0"/>
              <w:jc w:val="center"/>
              <w:rPr>
                <w:sz w:val="16"/>
                <w:szCs w:val="16"/>
              </w:rPr>
            </w:pPr>
            <w:r w:rsidRPr="003736FA">
              <w:rPr>
                <w:sz w:val="16"/>
                <w:szCs w:val="16"/>
              </w:rPr>
              <w:t>2.6</w:t>
            </w:r>
            <w:r>
              <w:rPr>
                <w:sz w:val="16"/>
                <w:szCs w:val="16"/>
              </w:rPr>
              <w:t>8</w:t>
            </w:r>
          </w:p>
        </w:tc>
        <w:tc>
          <w:tcPr>
            <w:tcW w:w="1515" w:type="pct"/>
            <w:tcBorders>
              <w:top w:val="nil"/>
              <w:left w:val="nil"/>
              <w:bottom w:val="nil"/>
              <w:right w:val="nil"/>
            </w:tcBorders>
            <w:tcMar>
              <w:top w:w="0" w:type="dxa"/>
              <w:bottom w:w="0" w:type="dxa"/>
            </w:tcMar>
          </w:tcPr>
          <w:p w14:paraId="5F48330B" w14:textId="77777777" w:rsidR="00A42E7C" w:rsidRPr="003736FA" w:rsidRDefault="00A42E7C" w:rsidP="00802FC4">
            <w:pPr>
              <w:pStyle w:val="TableText"/>
              <w:spacing w:after="0"/>
              <w:jc w:val="center"/>
              <w:rPr>
                <w:sz w:val="16"/>
                <w:szCs w:val="16"/>
              </w:rPr>
            </w:pPr>
            <w:r w:rsidRPr="003736FA">
              <w:rPr>
                <w:sz w:val="16"/>
                <w:szCs w:val="16"/>
              </w:rPr>
              <w:t>2.67</w:t>
            </w:r>
          </w:p>
        </w:tc>
      </w:tr>
      <w:tr w:rsidR="00A42E7C" w:rsidRPr="003736FA" w14:paraId="2E8DD277" w14:textId="77777777" w:rsidTr="00A42E7C">
        <w:tc>
          <w:tcPr>
            <w:tcW w:w="1894" w:type="pct"/>
            <w:tcBorders>
              <w:top w:val="nil"/>
              <w:left w:val="nil"/>
              <w:right w:val="nil"/>
            </w:tcBorders>
            <w:tcMar>
              <w:top w:w="0" w:type="dxa"/>
              <w:bottom w:w="0" w:type="dxa"/>
            </w:tcMar>
          </w:tcPr>
          <w:p w14:paraId="44736571" w14:textId="77777777" w:rsidR="00A42E7C" w:rsidRPr="003736FA" w:rsidRDefault="00A42E7C" w:rsidP="00802FC4">
            <w:pPr>
              <w:pStyle w:val="TableText"/>
              <w:spacing w:after="0" w:line="276" w:lineRule="auto"/>
              <w:rPr>
                <w:b/>
              </w:rPr>
            </w:pPr>
            <w:r w:rsidRPr="003736FA">
              <w:rPr>
                <w:i/>
                <w:sz w:val="16"/>
                <w:szCs w:val="16"/>
              </w:rPr>
              <w:t>Estimated treatment difference</w:t>
            </w:r>
          </w:p>
        </w:tc>
        <w:tc>
          <w:tcPr>
            <w:tcW w:w="3106" w:type="pct"/>
            <w:gridSpan w:val="2"/>
            <w:tcBorders>
              <w:top w:val="nil"/>
              <w:left w:val="nil"/>
              <w:right w:val="nil"/>
            </w:tcBorders>
            <w:tcMar>
              <w:top w:w="0" w:type="dxa"/>
              <w:bottom w:w="0" w:type="dxa"/>
            </w:tcMar>
          </w:tcPr>
          <w:p w14:paraId="1A078BE0" w14:textId="77777777" w:rsidR="00A42E7C" w:rsidRPr="003736FA" w:rsidRDefault="00A42E7C" w:rsidP="00802FC4">
            <w:pPr>
              <w:pStyle w:val="TableText"/>
              <w:spacing w:after="0"/>
              <w:jc w:val="center"/>
              <w:rPr>
                <w:sz w:val="16"/>
                <w:szCs w:val="16"/>
              </w:rPr>
            </w:pPr>
            <w:r w:rsidRPr="003736FA">
              <w:rPr>
                <w:i/>
                <w:sz w:val="16"/>
                <w:szCs w:val="16"/>
              </w:rPr>
              <w:t>0.00 [-0.60;0.61]</w:t>
            </w:r>
          </w:p>
        </w:tc>
      </w:tr>
      <w:tr w:rsidR="00A42E7C" w:rsidRPr="003736FA" w14:paraId="64A0C278" w14:textId="77777777" w:rsidTr="00A42E7C">
        <w:tc>
          <w:tcPr>
            <w:tcW w:w="1894" w:type="pct"/>
            <w:tcBorders>
              <w:left w:val="nil"/>
              <w:bottom w:val="nil"/>
              <w:right w:val="nil"/>
            </w:tcBorders>
            <w:tcMar>
              <w:top w:w="0" w:type="dxa"/>
              <w:bottom w:w="0" w:type="dxa"/>
            </w:tcMar>
          </w:tcPr>
          <w:p w14:paraId="11CFDAA7" w14:textId="77777777" w:rsidR="00A42E7C" w:rsidRPr="003736FA" w:rsidRDefault="00A42E7C" w:rsidP="00802FC4">
            <w:pPr>
              <w:pStyle w:val="TableText"/>
              <w:spacing w:after="0" w:line="276" w:lineRule="auto"/>
              <w:rPr>
                <w:b/>
                <w:sz w:val="16"/>
              </w:rPr>
            </w:pPr>
            <w:r w:rsidRPr="003736FA">
              <w:rPr>
                <w:b/>
              </w:rPr>
              <w:t xml:space="preserve">Observed rate of severe or BG confirmed </w:t>
            </w:r>
            <w:proofErr w:type="spellStart"/>
            <w:r w:rsidRPr="003736FA">
              <w:rPr>
                <w:b/>
              </w:rPr>
              <w:t>hypoglycaemia</w:t>
            </w:r>
            <w:r w:rsidRPr="003736FA">
              <w:rPr>
                <w:b/>
                <w:vertAlign w:val="superscript"/>
              </w:rPr>
              <w:t>C</w:t>
            </w:r>
            <w:proofErr w:type="spellEnd"/>
            <w:r w:rsidRPr="003736FA">
              <w:rPr>
                <w:b/>
              </w:rPr>
              <w:t xml:space="preserve"> per patient year of exposure (percentage of patients)</w:t>
            </w:r>
          </w:p>
        </w:tc>
        <w:tc>
          <w:tcPr>
            <w:tcW w:w="1591" w:type="pct"/>
            <w:tcBorders>
              <w:left w:val="nil"/>
              <w:bottom w:val="nil"/>
              <w:right w:val="nil"/>
            </w:tcBorders>
            <w:tcMar>
              <w:top w:w="0" w:type="dxa"/>
              <w:bottom w:w="0" w:type="dxa"/>
            </w:tcMar>
          </w:tcPr>
          <w:p w14:paraId="6E03EDB7" w14:textId="77777777" w:rsidR="00A42E7C" w:rsidRPr="003736FA" w:rsidRDefault="00A42E7C" w:rsidP="00802FC4">
            <w:pPr>
              <w:pStyle w:val="TableText"/>
              <w:spacing w:after="0"/>
              <w:jc w:val="center"/>
            </w:pPr>
            <w:r w:rsidRPr="003736FA">
              <w:br/>
            </w:r>
            <w:r w:rsidRPr="003736FA">
              <w:br/>
            </w:r>
          </w:p>
          <w:p w14:paraId="27C37666" w14:textId="77777777" w:rsidR="00A42E7C" w:rsidRPr="003736FA" w:rsidRDefault="00A42E7C" w:rsidP="00802FC4">
            <w:pPr>
              <w:pStyle w:val="TableText"/>
              <w:spacing w:after="0"/>
              <w:jc w:val="center"/>
              <w:rPr>
                <w:sz w:val="16"/>
                <w:szCs w:val="16"/>
              </w:rPr>
            </w:pPr>
          </w:p>
          <w:p w14:paraId="10A1F6B5" w14:textId="77777777" w:rsidR="00A42E7C" w:rsidRPr="003736FA" w:rsidRDefault="00A42E7C" w:rsidP="00802FC4">
            <w:pPr>
              <w:pStyle w:val="TableText"/>
              <w:spacing w:after="0"/>
              <w:jc w:val="center"/>
              <w:rPr>
                <w:sz w:val="16"/>
                <w:szCs w:val="16"/>
              </w:rPr>
            </w:pPr>
            <w:r w:rsidRPr="003736FA">
              <w:rPr>
                <w:sz w:val="16"/>
                <w:szCs w:val="16"/>
              </w:rPr>
              <w:t>17.9 (76.8)</w:t>
            </w:r>
          </w:p>
        </w:tc>
        <w:tc>
          <w:tcPr>
            <w:tcW w:w="1515" w:type="pct"/>
            <w:tcBorders>
              <w:left w:val="nil"/>
              <w:bottom w:val="nil"/>
              <w:right w:val="nil"/>
            </w:tcBorders>
            <w:tcMar>
              <w:top w:w="0" w:type="dxa"/>
              <w:bottom w:w="0" w:type="dxa"/>
            </w:tcMar>
          </w:tcPr>
          <w:p w14:paraId="30823474" w14:textId="77777777" w:rsidR="00A42E7C" w:rsidRPr="003736FA" w:rsidRDefault="00A42E7C" w:rsidP="00802FC4">
            <w:pPr>
              <w:pStyle w:val="TableText"/>
              <w:spacing w:after="0"/>
              <w:jc w:val="center"/>
            </w:pPr>
            <w:r w:rsidRPr="003736FA">
              <w:br/>
            </w:r>
            <w:r w:rsidRPr="003736FA">
              <w:br/>
            </w:r>
          </w:p>
          <w:p w14:paraId="0E23108C" w14:textId="77777777" w:rsidR="00A42E7C" w:rsidRPr="003736FA" w:rsidRDefault="00A42E7C" w:rsidP="00802FC4">
            <w:pPr>
              <w:pStyle w:val="TableText"/>
              <w:spacing w:after="0"/>
              <w:jc w:val="center"/>
              <w:rPr>
                <w:sz w:val="16"/>
                <w:szCs w:val="16"/>
              </w:rPr>
            </w:pPr>
          </w:p>
          <w:p w14:paraId="723E8C7E" w14:textId="77777777" w:rsidR="00A42E7C" w:rsidRPr="003736FA" w:rsidRDefault="00A42E7C" w:rsidP="00802FC4">
            <w:pPr>
              <w:pStyle w:val="TableText"/>
              <w:spacing w:after="0"/>
              <w:jc w:val="center"/>
              <w:rPr>
                <w:sz w:val="16"/>
                <w:szCs w:val="16"/>
              </w:rPr>
            </w:pPr>
            <w:r w:rsidRPr="003736FA">
              <w:rPr>
                <w:sz w:val="16"/>
                <w:szCs w:val="16"/>
              </w:rPr>
              <w:t>16.6 (73.3)</w:t>
            </w:r>
          </w:p>
        </w:tc>
      </w:tr>
      <w:tr w:rsidR="00A42E7C" w:rsidRPr="003736FA" w14:paraId="62F3778A" w14:textId="77777777" w:rsidTr="00A42E7C">
        <w:tc>
          <w:tcPr>
            <w:tcW w:w="1894" w:type="pct"/>
            <w:tcBorders>
              <w:top w:val="nil"/>
              <w:left w:val="nil"/>
              <w:right w:val="nil"/>
            </w:tcBorders>
            <w:tcMar>
              <w:top w:w="0" w:type="dxa"/>
              <w:bottom w:w="0" w:type="dxa"/>
            </w:tcMar>
          </w:tcPr>
          <w:p w14:paraId="065169D0" w14:textId="77777777" w:rsidR="00A42E7C" w:rsidRPr="003736FA" w:rsidRDefault="00A42E7C" w:rsidP="00802FC4">
            <w:pPr>
              <w:pStyle w:val="TableText"/>
              <w:spacing w:after="0" w:line="276" w:lineRule="auto"/>
              <w:rPr>
                <w:b/>
              </w:rPr>
            </w:pPr>
            <w:r w:rsidRPr="003736FA">
              <w:rPr>
                <w:i/>
                <w:sz w:val="16"/>
                <w:szCs w:val="16"/>
              </w:rPr>
              <w:t>Estimated rate ratio</w:t>
            </w:r>
          </w:p>
        </w:tc>
        <w:tc>
          <w:tcPr>
            <w:tcW w:w="3106" w:type="pct"/>
            <w:gridSpan w:val="2"/>
            <w:tcBorders>
              <w:top w:val="nil"/>
              <w:left w:val="nil"/>
              <w:right w:val="nil"/>
            </w:tcBorders>
            <w:tcMar>
              <w:top w:w="0" w:type="dxa"/>
              <w:bottom w:w="0" w:type="dxa"/>
            </w:tcMar>
          </w:tcPr>
          <w:p w14:paraId="7C54F978" w14:textId="77777777" w:rsidR="00A42E7C" w:rsidRPr="003736FA" w:rsidRDefault="00A42E7C" w:rsidP="00802FC4">
            <w:pPr>
              <w:pStyle w:val="TableText"/>
              <w:spacing w:after="0"/>
              <w:jc w:val="center"/>
              <w:rPr>
                <w:sz w:val="16"/>
                <w:szCs w:val="16"/>
              </w:rPr>
            </w:pPr>
            <w:r w:rsidRPr="003736FA">
              <w:rPr>
                <w:i/>
                <w:sz w:val="16"/>
                <w:szCs w:val="16"/>
              </w:rPr>
              <w:t>1.09 [0.88;1.36]</w:t>
            </w:r>
          </w:p>
        </w:tc>
      </w:tr>
      <w:tr w:rsidR="00A42E7C" w:rsidRPr="003736FA" w14:paraId="52CD80A8" w14:textId="77777777" w:rsidTr="00A42E7C">
        <w:trPr>
          <w:trHeight w:val="433"/>
        </w:trPr>
        <w:tc>
          <w:tcPr>
            <w:tcW w:w="1894" w:type="pct"/>
            <w:tcBorders>
              <w:left w:val="nil"/>
              <w:bottom w:val="nil"/>
              <w:right w:val="nil"/>
            </w:tcBorders>
            <w:tcMar>
              <w:top w:w="0" w:type="dxa"/>
              <w:bottom w:w="0" w:type="dxa"/>
            </w:tcMar>
          </w:tcPr>
          <w:p w14:paraId="313DC838" w14:textId="77777777" w:rsidR="00A42E7C" w:rsidRPr="003736FA" w:rsidRDefault="00A42E7C" w:rsidP="00802FC4">
            <w:pPr>
              <w:pStyle w:val="TableText"/>
              <w:spacing w:after="0" w:line="276" w:lineRule="auto"/>
              <w:rPr>
                <w:sz w:val="16"/>
                <w:szCs w:val="16"/>
              </w:rPr>
            </w:pPr>
            <w:r w:rsidRPr="003736FA">
              <w:rPr>
                <w:b/>
              </w:rPr>
              <w:t>Total bolus insulin dose (unit/kg/day)</w:t>
            </w:r>
          </w:p>
        </w:tc>
        <w:tc>
          <w:tcPr>
            <w:tcW w:w="1591" w:type="pct"/>
            <w:tcBorders>
              <w:left w:val="nil"/>
              <w:bottom w:val="nil"/>
              <w:right w:val="nil"/>
            </w:tcBorders>
            <w:tcMar>
              <w:top w:w="0" w:type="dxa"/>
              <w:bottom w:w="0" w:type="dxa"/>
            </w:tcMar>
          </w:tcPr>
          <w:p w14:paraId="2A36D314" w14:textId="77777777" w:rsidR="00A42E7C" w:rsidRPr="003736FA" w:rsidRDefault="00A42E7C" w:rsidP="00802FC4">
            <w:pPr>
              <w:pStyle w:val="TableText"/>
              <w:spacing w:after="0"/>
              <w:jc w:val="center"/>
            </w:pPr>
          </w:p>
        </w:tc>
        <w:tc>
          <w:tcPr>
            <w:tcW w:w="1515" w:type="pct"/>
            <w:tcBorders>
              <w:left w:val="nil"/>
              <w:bottom w:val="nil"/>
              <w:right w:val="nil"/>
            </w:tcBorders>
            <w:tcMar>
              <w:top w:w="0" w:type="dxa"/>
              <w:bottom w:w="0" w:type="dxa"/>
            </w:tcMar>
          </w:tcPr>
          <w:p w14:paraId="144C6BBA" w14:textId="77777777" w:rsidR="00A42E7C" w:rsidRPr="003736FA" w:rsidRDefault="00A42E7C" w:rsidP="00802FC4">
            <w:pPr>
              <w:pStyle w:val="TableText"/>
              <w:spacing w:after="0"/>
              <w:jc w:val="center"/>
            </w:pPr>
          </w:p>
        </w:tc>
      </w:tr>
      <w:tr w:rsidR="00A42E7C" w:rsidRPr="003736FA" w14:paraId="56F54B73" w14:textId="77777777" w:rsidTr="00A42E7C">
        <w:tc>
          <w:tcPr>
            <w:tcW w:w="1894" w:type="pct"/>
            <w:tcBorders>
              <w:top w:val="nil"/>
              <w:left w:val="nil"/>
              <w:right w:val="nil"/>
            </w:tcBorders>
            <w:tcMar>
              <w:top w:w="0" w:type="dxa"/>
              <w:bottom w:w="0" w:type="dxa"/>
            </w:tcMar>
          </w:tcPr>
          <w:p w14:paraId="30CD8ED0" w14:textId="77777777" w:rsidR="00A42E7C" w:rsidRPr="003736FA" w:rsidRDefault="00A42E7C" w:rsidP="00802FC4">
            <w:pPr>
              <w:pStyle w:val="TableText"/>
              <w:spacing w:after="0" w:line="276" w:lineRule="auto"/>
              <w:rPr>
                <w:b/>
              </w:rPr>
            </w:pPr>
            <w:r w:rsidRPr="003736FA">
              <w:rPr>
                <w:sz w:val="16"/>
                <w:szCs w:val="16"/>
              </w:rPr>
              <w:t xml:space="preserve">Baseline </w:t>
            </w:r>
            <w:r w:rsidRPr="003736FA">
              <w:rPr>
                <w:sz w:val="16"/>
              </w:rPr>
              <w:sym w:font="Wingdings 3" w:char="F09E"/>
            </w:r>
            <w:r w:rsidRPr="003736FA">
              <w:rPr>
                <w:sz w:val="16"/>
                <w:szCs w:val="16"/>
              </w:rPr>
              <w:t xml:space="preserve"> End of trial</w:t>
            </w:r>
          </w:p>
        </w:tc>
        <w:tc>
          <w:tcPr>
            <w:tcW w:w="1591" w:type="pct"/>
            <w:tcBorders>
              <w:top w:val="nil"/>
              <w:left w:val="nil"/>
              <w:right w:val="nil"/>
            </w:tcBorders>
            <w:tcMar>
              <w:top w:w="0" w:type="dxa"/>
              <w:bottom w:w="0" w:type="dxa"/>
            </w:tcMar>
          </w:tcPr>
          <w:p w14:paraId="58EC9CF9" w14:textId="77777777" w:rsidR="00A42E7C" w:rsidRPr="003736FA" w:rsidRDefault="00A42E7C" w:rsidP="00802FC4">
            <w:pPr>
              <w:pStyle w:val="TableText"/>
              <w:spacing w:after="0"/>
              <w:jc w:val="center"/>
              <w:rPr>
                <w:sz w:val="16"/>
                <w:szCs w:val="16"/>
              </w:rPr>
            </w:pPr>
            <w:r w:rsidRPr="003736FA">
              <w:rPr>
                <w:sz w:val="16"/>
                <w:szCs w:val="16"/>
              </w:rPr>
              <w:t>0.21</w:t>
            </w:r>
            <w:r w:rsidRPr="003736FA">
              <w:rPr>
                <w:sz w:val="16"/>
                <w:szCs w:val="16"/>
                <w:vertAlign w:val="superscript"/>
              </w:rPr>
              <w:t>A</w:t>
            </w:r>
            <w:r w:rsidRPr="003736FA">
              <w:rPr>
                <w:sz w:val="16"/>
                <w:szCs w:val="16"/>
              </w:rPr>
              <w:t xml:space="preserve"> </w:t>
            </w:r>
            <w:r w:rsidRPr="003736FA">
              <w:rPr>
                <w:sz w:val="16"/>
                <w:szCs w:val="16"/>
              </w:rPr>
              <w:sym w:font="Wingdings 3" w:char="F09E"/>
            </w:r>
            <w:r w:rsidRPr="003736FA">
              <w:rPr>
                <w:sz w:val="16"/>
                <w:szCs w:val="16"/>
              </w:rPr>
              <w:t xml:space="preserve"> 0.49</w:t>
            </w:r>
            <w:r w:rsidRPr="003736FA">
              <w:rPr>
                <w:sz w:val="16"/>
                <w:szCs w:val="16"/>
                <w:vertAlign w:val="superscript"/>
              </w:rPr>
              <w:t>A</w:t>
            </w:r>
          </w:p>
        </w:tc>
        <w:tc>
          <w:tcPr>
            <w:tcW w:w="1515" w:type="pct"/>
            <w:tcBorders>
              <w:top w:val="nil"/>
              <w:left w:val="nil"/>
              <w:bottom w:val="single" w:sz="4" w:space="0" w:color="auto"/>
              <w:right w:val="nil"/>
            </w:tcBorders>
            <w:tcMar>
              <w:top w:w="0" w:type="dxa"/>
              <w:bottom w:w="0" w:type="dxa"/>
            </w:tcMar>
          </w:tcPr>
          <w:p w14:paraId="084EED61" w14:textId="77777777" w:rsidR="00A42E7C" w:rsidRPr="003736FA" w:rsidRDefault="00A42E7C" w:rsidP="00802FC4">
            <w:pPr>
              <w:pStyle w:val="TableText"/>
              <w:spacing w:after="0"/>
              <w:jc w:val="center"/>
              <w:rPr>
                <w:sz w:val="16"/>
                <w:szCs w:val="16"/>
                <w:vertAlign w:val="superscript"/>
              </w:rPr>
            </w:pPr>
            <w:r w:rsidRPr="003736FA">
              <w:rPr>
                <w:sz w:val="16"/>
                <w:szCs w:val="16"/>
              </w:rPr>
              <w:t>0.21</w:t>
            </w:r>
            <w:r w:rsidRPr="003736FA">
              <w:rPr>
                <w:sz w:val="16"/>
                <w:szCs w:val="16"/>
                <w:vertAlign w:val="superscript"/>
              </w:rPr>
              <w:t>A</w:t>
            </w:r>
            <w:r w:rsidRPr="003736FA">
              <w:rPr>
                <w:sz w:val="16"/>
                <w:szCs w:val="16"/>
              </w:rPr>
              <w:t xml:space="preserve"> </w:t>
            </w:r>
            <w:r w:rsidRPr="003736FA">
              <w:rPr>
                <w:sz w:val="16"/>
                <w:szCs w:val="16"/>
              </w:rPr>
              <w:sym w:font="Wingdings 3" w:char="F09E"/>
            </w:r>
            <w:r w:rsidRPr="003736FA">
              <w:rPr>
                <w:sz w:val="16"/>
                <w:szCs w:val="16"/>
              </w:rPr>
              <w:t xml:space="preserve"> 0.51</w:t>
            </w:r>
            <w:r w:rsidRPr="003736FA">
              <w:rPr>
                <w:sz w:val="16"/>
                <w:szCs w:val="16"/>
                <w:vertAlign w:val="superscript"/>
              </w:rPr>
              <w:t>A</w:t>
            </w:r>
          </w:p>
        </w:tc>
      </w:tr>
      <w:tr w:rsidR="00A42E7C" w:rsidRPr="003736FA" w14:paraId="0268A88D" w14:textId="77777777" w:rsidTr="00A42E7C">
        <w:tc>
          <w:tcPr>
            <w:tcW w:w="1894" w:type="pct"/>
            <w:tcBorders>
              <w:left w:val="nil"/>
              <w:bottom w:val="nil"/>
              <w:right w:val="nil"/>
            </w:tcBorders>
            <w:tcMar>
              <w:top w:w="0" w:type="dxa"/>
              <w:bottom w:w="0" w:type="dxa"/>
            </w:tcMar>
          </w:tcPr>
          <w:p w14:paraId="1B5C50DF" w14:textId="77777777" w:rsidR="00A42E7C" w:rsidRPr="003736FA" w:rsidRDefault="00A42E7C" w:rsidP="00802FC4">
            <w:pPr>
              <w:pStyle w:val="TableText"/>
              <w:spacing w:after="0" w:line="276" w:lineRule="auto"/>
              <w:rPr>
                <w:sz w:val="16"/>
                <w:szCs w:val="16"/>
              </w:rPr>
            </w:pPr>
            <w:r w:rsidRPr="003736FA">
              <w:rPr>
                <w:b/>
              </w:rPr>
              <w:t>Total basal insulin dose (unit/kg/day)</w:t>
            </w:r>
          </w:p>
        </w:tc>
        <w:tc>
          <w:tcPr>
            <w:tcW w:w="1591" w:type="pct"/>
            <w:tcBorders>
              <w:left w:val="nil"/>
              <w:bottom w:val="nil"/>
              <w:right w:val="nil"/>
            </w:tcBorders>
            <w:tcMar>
              <w:top w:w="0" w:type="dxa"/>
              <w:bottom w:w="0" w:type="dxa"/>
            </w:tcMar>
          </w:tcPr>
          <w:p w14:paraId="3F974989" w14:textId="77777777" w:rsidR="00A42E7C" w:rsidRPr="003736FA" w:rsidRDefault="00A42E7C" w:rsidP="00802FC4">
            <w:pPr>
              <w:pStyle w:val="TableText"/>
              <w:spacing w:after="0"/>
              <w:jc w:val="center"/>
              <w:rPr>
                <w:sz w:val="16"/>
                <w:szCs w:val="16"/>
              </w:rPr>
            </w:pPr>
          </w:p>
        </w:tc>
        <w:tc>
          <w:tcPr>
            <w:tcW w:w="1515" w:type="pct"/>
            <w:tcBorders>
              <w:left w:val="nil"/>
              <w:bottom w:val="nil"/>
              <w:right w:val="nil"/>
            </w:tcBorders>
            <w:tcMar>
              <w:top w:w="0" w:type="dxa"/>
              <w:bottom w:w="0" w:type="dxa"/>
            </w:tcMar>
          </w:tcPr>
          <w:p w14:paraId="29ECF466" w14:textId="77777777" w:rsidR="00A42E7C" w:rsidRPr="003736FA" w:rsidRDefault="00A42E7C" w:rsidP="00802FC4">
            <w:pPr>
              <w:pStyle w:val="TableText"/>
              <w:spacing w:after="0"/>
              <w:jc w:val="center"/>
              <w:rPr>
                <w:sz w:val="16"/>
                <w:szCs w:val="16"/>
              </w:rPr>
            </w:pPr>
          </w:p>
        </w:tc>
      </w:tr>
      <w:tr w:rsidR="00A42E7C" w:rsidRPr="003736FA" w14:paraId="0E0236A6" w14:textId="77777777" w:rsidTr="00A42E7C">
        <w:tc>
          <w:tcPr>
            <w:tcW w:w="1894" w:type="pct"/>
            <w:tcBorders>
              <w:top w:val="nil"/>
              <w:left w:val="nil"/>
              <w:bottom w:val="single" w:sz="4" w:space="0" w:color="auto"/>
              <w:right w:val="nil"/>
            </w:tcBorders>
            <w:tcMar>
              <w:top w:w="0" w:type="dxa"/>
              <w:bottom w:w="0" w:type="dxa"/>
            </w:tcMar>
          </w:tcPr>
          <w:p w14:paraId="0416E53F" w14:textId="77777777" w:rsidR="00A42E7C" w:rsidRPr="003736FA" w:rsidRDefault="00A42E7C" w:rsidP="00802FC4">
            <w:pPr>
              <w:pStyle w:val="TableText"/>
              <w:spacing w:after="0" w:line="276" w:lineRule="auto"/>
              <w:rPr>
                <w:b/>
              </w:rPr>
            </w:pPr>
            <w:r w:rsidRPr="003736FA">
              <w:rPr>
                <w:sz w:val="16"/>
                <w:szCs w:val="16"/>
              </w:rPr>
              <w:t xml:space="preserve">Baseline </w:t>
            </w:r>
            <w:r w:rsidRPr="003736FA">
              <w:rPr>
                <w:sz w:val="16"/>
              </w:rPr>
              <w:sym w:font="Wingdings 3" w:char="F09E"/>
            </w:r>
            <w:r w:rsidRPr="003736FA">
              <w:rPr>
                <w:sz w:val="16"/>
              </w:rPr>
              <w:t xml:space="preserve"> </w:t>
            </w:r>
            <w:r w:rsidRPr="003736FA">
              <w:rPr>
                <w:sz w:val="16"/>
                <w:szCs w:val="16"/>
              </w:rPr>
              <w:t>End of trial</w:t>
            </w:r>
          </w:p>
        </w:tc>
        <w:tc>
          <w:tcPr>
            <w:tcW w:w="1591" w:type="pct"/>
            <w:tcBorders>
              <w:top w:val="nil"/>
              <w:left w:val="nil"/>
              <w:bottom w:val="single" w:sz="4" w:space="0" w:color="auto"/>
              <w:right w:val="nil"/>
            </w:tcBorders>
            <w:tcMar>
              <w:top w:w="0" w:type="dxa"/>
              <w:bottom w:w="0" w:type="dxa"/>
            </w:tcMar>
          </w:tcPr>
          <w:p w14:paraId="7D6541F4" w14:textId="77777777" w:rsidR="00A42E7C" w:rsidRPr="003736FA" w:rsidRDefault="00A42E7C" w:rsidP="00802FC4">
            <w:pPr>
              <w:pStyle w:val="TableText"/>
              <w:spacing w:after="0"/>
              <w:jc w:val="center"/>
              <w:rPr>
                <w:vertAlign w:val="superscript"/>
              </w:rPr>
            </w:pPr>
            <w:r w:rsidRPr="003736FA">
              <w:rPr>
                <w:sz w:val="16"/>
                <w:szCs w:val="16"/>
              </w:rPr>
              <w:t>0.56</w:t>
            </w:r>
            <w:r w:rsidRPr="003736FA">
              <w:rPr>
                <w:sz w:val="16"/>
                <w:szCs w:val="16"/>
                <w:vertAlign w:val="superscript"/>
              </w:rPr>
              <w:t>A</w:t>
            </w:r>
            <w:r w:rsidRPr="003736FA">
              <w:rPr>
                <w:sz w:val="16"/>
                <w:szCs w:val="16"/>
              </w:rPr>
              <w:t xml:space="preserve"> </w:t>
            </w:r>
            <w:r w:rsidRPr="003736FA">
              <w:rPr>
                <w:sz w:val="16"/>
                <w:szCs w:val="16"/>
              </w:rPr>
              <w:sym w:font="Wingdings 3" w:char="F09E"/>
            </w:r>
            <w:r w:rsidRPr="003736FA">
              <w:rPr>
                <w:sz w:val="16"/>
                <w:szCs w:val="16"/>
              </w:rPr>
              <w:t xml:space="preserve"> 0.53</w:t>
            </w:r>
            <w:r w:rsidRPr="003736FA">
              <w:rPr>
                <w:sz w:val="16"/>
                <w:szCs w:val="16"/>
                <w:vertAlign w:val="superscript"/>
              </w:rPr>
              <w:t>A</w:t>
            </w:r>
          </w:p>
        </w:tc>
        <w:tc>
          <w:tcPr>
            <w:tcW w:w="1515" w:type="pct"/>
            <w:tcBorders>
              <w:top w:val="nil"/>
              <w:left w:val="nil"/>
              <w:bottom w:val="single" w:sz="4" w:space="0" w:color="auto"/>
              <w:right w:val="nil"/>
            </w:tcBorders>
            <w:tcMar>
              <w:top w:w="0" w:type="dxa"/>
              <w:bottom w:w="0" w:type="dxa"/>
            </w:tcMar>
          </w:tcPr>
          <w:p w14:paraId="30A03AF3" w14:textId="77777777" w:rsidR="00A42E7C" w:rsidRPr="003736FA" w:rsidRDefault="00A42E7C" w:rsidP="00802FC4">
            <w:pPr>
              <w:pStyle w:val="TableText"/>
              <w:spacing w:after="0"/>
              <w:jc w:val="center"/>
              <w:rPr>
                <w:vertAlign w:val="superscript"/>
              </w:rPr>
            </w:pPr>
            <w:r w:rsidRPr="003736FA">
              <w:rPr>
                <w:sz w:val="16"/>
                <w:szCs w:val="16"/>
              </w:rPr>
              <w:t>0.52</w:t>
            </w:r>
            <w:r w:rsidRPr="003736FA">
              <w:rPr>
                <w:sz w:val="16"/>
                <w:szCs w:val="16"/>
                <w:vertAlign w:val="superscript"/>
              </w:rPr>
              <w:t>A</w:t>
            </w:r>
            <w:r w:rsidRPr="003736FA">
              <w:rPr>
                <w:sz w:val="16"/>
                <w:szCs w:val="16"/>
              </w:rPr>
              <w:t xml:space="preserve"> </w:t>
            </w:r>
            <w:r w:rsidRPr="003736FA">
              <w:rPr>
                <w:sz w:val="16"/>
                <w:szCs w:val="16"/>
              </w:rPr>
              <w:sym w:font="Wingdings 3" w:char="F09E"/>
            </w:r>
            <w:r w:rsidRPr="003736FA">
              <w:rPr>
                <w:sz w:val="16"/>
                <w:szCs w:val="16"/>
              </w:rPr>
              <w:t xml:space="preserve"> 0.48</w:t>
            </w:r>
            <w:r w:rsidRPr="003736FA">
              <w:rPr>
                <w:sz w:val="16"/>
                <w:szCs w:val="16"/>
                <w:vertAlign w:val="superscript"/>
              </w:rPr>
              <w:t>A</w:t>
            </w:r>
          </w:p>
        </w:tc>
      </w:tr>
      <w:tr w:rsidR="00A42E7C" w:rsidRPr="003736FA" w14:paraId="6906C506" w14:textId="77777777" w:rsidTr="00A42E7C">
        <w:tc>
          <w:tcPr>
            <w:tcW w:w="5000" w:type="pct"/>
            <w:gridSpan w:val="3"/>
            <w:tcBorders>
              <w:left w:val="nil"/>
              <w:bottom w:val="nil"/>
              <w:right w:val="nil"/>
            </w:tcBorders>
          </w:tcPr>
          <w:p w14:paraId="05F744E4" w14:textId="77777777" w:rsidR="00A42E7C" w:rsidRPr="003736FA" w:rsidRDefault="00A42E7C" w:rsidP="00802FC4">
            <w:pPr>
              <w:pStyle w:val="TableText"/>
              <w:spacing w:after="0"/>
            </w:pPr>
            <w:r w:rsidRPr="003736FA">
              <w:rPr>
                <w:sz w:val="16"/>
              </w:rPr>
              <w:t>Baseline, End of trial values are based on the mean (</w:t>
            </w:r>
            <w:proofErr w:type="spellStart"/>
            <w:r w:rsidRPr="003736FA">
              <w:rPr>
                <w:sz w:val="16"/>
                <w:vertAlign w:val="superscript"/>
              </w:rPr>
              <w:t>A</w:t>
            </w:r>
            <w:r w:rsidRPr="003736FA">
              <w:rPr>
                <w:sz w:val="16"/>
              </w:rPr>
              <w:t>exceptions</w:t>
            </w:r>
            <w:proofErr w:type="spellEnd"/>
            <w:r w:rsidRPr="003736FA">
              <w:rPr>
                <w:sz w:val="16"/>
              </w:rPr>
              <w:t xml:space="preserve"> which are median values) of the observed last available values. The 95% confidence interval is stated in ‘[]’</w:t>
            </w:r>
            <w:r w:rsidRPr="003736FA">
              <w:rPr>
                <w:sz w:val="16"/>
              </w:rPr>
              <w:br/>
            </w:r>
            <w:r w:rsidRPr="003736FA">
              <w:rPr>
                <w:sz w:val="16"/>
                <w:vertAlign w:val="superscript"/>
              </w:rPr>
              <w:t>B</w:t>
            </w:r>
            <w:r w:rsidRPr="003736FA">
              <w:rPr>
                <w:sz w:val="16"/>
              </w:rPr>
              <w:t xml:space="preserve"> Meal test</w:t>
            </w:r>
            <w:r w:rsidRPr="003736FA">
              <w:rPr>
                <w:sz w:val="16"/>
              </w:rPr>
              <w:br/>
            </w:r>
            <w:r w:rsidRPr="003736FA">
              <w:rPr>
                <w:sz w:val="16"/>
                <w:vertAlign w:val="superscript"/>
              </w:rPr>
              <w:t>C</w:t>
            </w:r>
            <w:r w:rsidRPr="003736FA">
              <w:rPr>
                <w:sz w:val="16"/>
              </w:rPr>
              <w:t xml:space="preserve"> Severe hypoglycaemia (episode requiring assistance of another person) or BG confirmed hypoglycaemia defined as episodes confirmed by plasma glucose &lt; 3.1 mmol/L irrespective of symptoms</w:t>
            </w:r>
          </w:p>
          <w:p w14:paraId="7A1A9659" w14:textId="77777777" w:rsidR="00A42E7C" w:rsidRPr="003736FA" w:rsidRDefault="00A42E7C" w:rsidP="00802FC4">
            <w:pPr>
              <w:pStyle w:val="TableText"/>
              <w:spacing w:after="0"/>
            </w:pPr>
            <w:r w:rsidRPr="003736FA">
              <w:rPr>
                <w:sz w:val="16"/>
                <w:vertAlign w:val="superscript"/>
              </w:rPr>
              <w:t xml:space="preserve">D </w:t>
            </w:r>
            <w:r w:rsidRPr="003736FA">
              <w:rPr>
                <w:sz w:val="16"/>
              </w:rPr>
              <w:t xml:space="preserve"> Statistically significant in favour of </w:t>
            </w:r>
            <w:proofErr w:type="spellStart"/>
            <w:r>
              <w:rPr>
                <w:sz w:val="16"/>
              </w:rPr>
              <w:t>Fiasp</w:t>
            </w:r>
            <w:proofErr w:type="spellEnd"/>
          </w:p>
        </w:tc>
      </w:tr>
    </w:tbl>
    <w:p w14:paraId="1D278049" w14:textId="13D3C580" w:rsidR="003A7D04" w:rsidRDefault="003A7D04" w:rsidP="00881851">
      <w:pPr>
        <w:keepNext/>
        <w:keepLines/>
        <w:pageBreakBefore/>
        <w:ind w:left="1134" w:hanging="1134"/>
      </w:pPr>
      <w:r w:rsidRPr="00D81D77">
        <w:rPr>
          <w:b/>
          <w:bCs/>
        </w:rPr>
        <w:lastRenderedPageBreak/>
        <w:t xml:space="preserve">Table </w:t>
      </w:r>
      <w:r w:rsidRPr="00D81D77">
        <w:rPr>
          <w:b/>
          <w:bCs/>
        </w:rPr>
        <w:fldChar w:fldCharType="begin"/>
      </w:r>
      <w:r w:rsidRPr="00D81D77">
        <w:rPr>
          <w:b/>
          <w:bCs/>
        </w:rPr>
        <w:instrText xml:space="preserve"> SEQ Table \* ARABIC </w:instrText>
      </w:r>
      <w:r w:rsidRPr="00D81D77">
        <w:rPr>
          <w:b/>
          <w:bCs/>
        </w:rPr>
        <w:fldChar w:fldCharType="separate"/>
      </w:r>
      <w:r w:rsidR="00BC4F8D">
        <w:rPr>
          <w:b/>
          <w:bCs/>
          <w:noProof/>
        </w:rPr>
        <w:t>5</w:t>
      </w:r>
      <w:r w:rsidRPr="00D81D77">
        <w:rPr>
          <w:b/>
          <w:bCs/>
        </w:rPr>
        <w:fldChar w:fldCharType="end"/>
      </w:r>
      <w:r w:rsidRPr="00D81D77">
        <w:rPr>
          <w:b/>
          <w:bCs/>
        </w:rPr>
        <w:tab/>
      </w:r>
      <w:r w:rsidRPr="00D81D77">
        <w:rPr>
          <w:b/>
        </w:rPr>
        <w:t xml:space="preserve">Results from </w:t>
      </w:r>
      <w:proofErr w:type="gramStart"/>
      <w:r w:rsidRPr="00D81D77">
        <w:rPr>
          <w:b/>
        </w:rPr>
        <w:t>18 week</w:t>
      </w:r>
      <w:proofErr w:type="gramEnd"/>
      <w:r w:rsidRPr="00D81D77">
        <w:rPr>
          <w:b/>
        </w:rPr>
        <w:t xml:space="preserve"> basal-bolus vs. basal clinical trial in </w:t>
      </w:r>
      <w:r>
        <w:rPr>
          <w:b/>
        </w:rPr>
        <w:t>adults</w:t>
      </w:r>
      <w:r w:rsidRPr="00D81D77">
        <w:rPr>
          <w:b/>
        </w:rPr>
        <w:t xml:space="preserve"> with type 2 diabetes</w:t>
      </w:r>
    </w:p>
    <w:tbl>
      <w:tblPr>
        <w:tblStyle w:val="TRTableInternalBorders"/>
        <w:tblW w:w="5000" w:type="pct"/>
        <w:tblInd w:w="0" w:type="dxa"/>
        <w:tblBorders>
          <w:top w:val="single" w:sz="4" w:space="0" w:color="auto"/>
          <w:bottom w:val="single" w:sz="4" w:space="0" w:color="auto"/>
        </w:tblBorders>
        <w:tblLook w:val="04A0" w:firstRow="1" w:lastRow="0" w:firstColumn="1" w:lastColumn="0" w:noHBand="0" w:noVBand="1"/>
      </w:tblPr>
      <w:tblGrid>
        <w:gridCol w:w="3282"/>
        <w:gridCol w:w="3009"/>
        <w:gridCol w:w="2735"/>
      </w:tblGrid>
      <w:tr w:rsidR="00A42E7C" w:rsidRPr="003736FA" w14:paraId="1A3560C4" w14:textId="77777777" w:rsidTr="0015599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818" w:type="pct"/>
            <w:tcBorders>
              <w:left w:val="nil"/>
              <w:right w:val="nil"/>
            </w:tcBorders>
          </w:tcPr>
          <w:p w14:paraId="6FFCCC3C" w14:textId="77777777" w:rsidR="00A42E7C" w:rsidRPr="003736FA" w:rsidRDefault="00A42E7C" w:rsidP="00881851">
            <w:pPr>
              <w:pStyle w:val="TableText"/>
            </w:pPr>
          </w:p>
        </w:tc>
        <w:tc>
          <w:tcPr>
            <w:tcW w:w="1667" w:type="pct"/>
            <w:tcBorders>
              <w:left w:val="nil"/>
              <w:right w:val="nil"/>
            </w:tcBorders>
          </w:tcPr>
          <w:p w14:paraId="50341A13" w14:textId="77777777" w:rsidR="00A42E7C" w:rsidRPr="003736FA" w:rsidRDefault="00A42E7C" w:rsidP="00881851">
            <w:pPr>
              <w:pStyle w:val="TableText"/>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Fiasp</w:t>
            </w:r>
            <w:proofErr w:type="spellEnd"/>
            <w:r w:rsidRPr="003736FA">
              <w:rPr>
                <w:b w:val="0"/>
              </w:rPr>
              <w:br/>
              <w:t xml:space="preserve">+ basal </w:t>
            </w:r>
            <w:proofErr w:type="spellStart"/>
            <w:r w:rsidRPr="003736FA">
              <w:rPr>
                <w:b w:val="0"/>
              </w:rPr>
              <w:t>insulin</w:t>
            </w:r>
            <w:r>
              <w:rPr>
                <w:b w:val="0"/>
                <w:vertAlign w:val="superscript"/>
              </w:rPr>
              <w:t>A</w:t>
            </w:r>
            <w:proofErr w:type="spellEnd"/>
            <w:r w:rsidRPr="003736FA">
              <w:rPr>
                <w:b w:val="0"/>
              </w:rPr>
              <w:t xml:space="preserve"> + metformin</w:t>
            </w:r>
          </w:p>
        </w:tc>
        <w:tc>
          <w:tcPr>
            <w:tcW w:w="1515" w:type="pct"/>
            <w:tcBorders>
              <w:left w:val="nil"/>
              <w:right w:val="nil"/>
            </w:tcBorders>
          </w:tcPr>
          <w:p w14:paraId="79D9238A" w14:textId="77777777" w:rsidR="00A42E7C" w:rsidRPr="003736FA" w:rsidRDefault="00A42E7C" w:rsidP="00881851">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736FA">
              <w:rPr>
                <w:b w:val="0"/>
              </w:rPr>
              <w:br/>
              <w:t xml:space="preserve">basal </w:t>
            </w:r>
            <w:proofErr w:type="spellStart"/>
            <w:r w:rsidRPr="003736FA">
              <w:rPr>
                <w:b w:val="0"/>
              </w:rPr>
              <w:t>insulin</w:t>
            </w:r>
            <w:r>
              <w:rPr>
                <w:b w:val="0"/>
                <w:vertAlign w:val="superscript"/>
              </w:rPr>
              <w:t>A</w:t>
            </w:r>
            <w:proofErr w:type="spellEnd"/>
            <w:r w:rsidRPr="003736FA">
              <w:rPr>
                <w:b w:val="0"/>
              </w:rPr>
              <w:t xml:space="preserve"> + metformin</w:t>
            </w:r>
          </w:p>
        </w:tc>
      </w:tr>
      <w:tr w:rsidR="00A42E7C" w:rsidRPr="003736FA" w14:paraId="59B6F2CE" w14:textId="77777777" w:rsidTr="00155997">
        <w:tc>
          <w:tcPr>
            <w:tcW w:w="1818" w:type="pct"/>
            <w:tcBorders>
              <w:left w:val="nil"/>
              <w:right w:val="nil"/>
            </w:tcBorders>
          </w:tcPr>
          <w:p w14:paraId="0CCE0DF5" w14:textId="77777777" w:rsidR="00A42E7C" w:rsidRPr="003736FA" w:rsidRDefault="00A42E7C" w:rsidP="00881851">
            <w:pPr>
              <w:pStyle w:val="TableText"/>
              <w:rPr>
                <w:b/>
              </w:rPr>
            </w:pPr>
            <w:r w:rsidRPr="003736FA">
              <w:rPr>
                <w:b/>
              </w:rPr>
              <w:t>N</w:t>
            </w:r>
          </w:p>
        </w:tc>
        <w:tc>
          <w:tcPr>
            <w:tcW w:w="1667" w:type="pct"/>
            <w:tcBorders>
              <w:left w:val="nil"/>
              <w:right w:val="nil"/>
            </w:tcBorders>
          </w:tcPr>
          <w:p w14:paraId="57FA1FCF" w14:textId="77777777" w:rsidR="00A42E7C" w:rsidRPr="003736FA" w:rsidRDefault="00A42E7C" w:rsidP="00881851">
            <w:pPr>
              <w:keepNext/>
              <w:keepLines/>
              <w:numPr>
                <w:ilvl w:val="12"/>
                <w:numId w:val="0"/>
              </w:numPr>
              <w:ind w:right="-2"/>
              <w:jc w:val="center"/>
              <w:rPr>
                <w:bCs/>
                <w:iCs/>
                <w:noProof/>
                <w:sz w:val="16"/>
                <w:szCs w:val="16"/>
              </w:rPr>
            </w:pPr>
            <w:r w:rsidRPr="003736FA">
              <w:rPr>
                <w:bCs/>
                <w:iCs/>
                <w:noProof/>
                <w:sz w:val="16"/>
                <w:szCs w:val="16"/>
              </w:rPr>
              <w:t>116</w:t>
            </w:r>
          </w:p>
        </w:tc>
        <w:tc>
          <w:tcPr>
            <w:tcW w:w="1515" w:type="pct"/>
            <w:tcBorders>
              <w:left w:val="nil"/>
              <w:right w:val="nil"/>
            </w:tcBorders>
          </w:tcPr>
          <w:p w14:paraId="31A31DB2" w14:textId="77777777" w:rsidR="00A42E7C" w:rsidRPr="003736FA" w:rsidRDefault="00A42E7C" w:rsidP="00881851">
            <w:pPr>
              <w:keepNext/>
              <w:keepLines/>
              <w:numPr>
                <w:ilvl w:val="12"/>
                <w:numId w:val="0"/>
              </w:numPr>
              <w:ind w:right="-2"/>
              <w:jc w:val="center"/>
              <w:rPr>
                <w:bCs/>
                <w:iCs/>
                <w:noProof/>
                <w:sz w:val="16"/>
                <w:szCs w:val="16"/>
              </w:rPr>
            </w:pPr>
            <w:r w:rsidRPr="003736FA">
              <w:rPr>
                <w:bCs/>
                <w:iCs/>
                <w:noProof/>
                <w:sz w:val="16"/>
                <w:szCs w:val="16"/>
              </w:rPr>
              <w:t>120</w:t>
            </w:r>
          </w:p>
        </w:tc>
      </w:tr>
      <w:tr w:rsidR="00A42E7C" w:rsidRPr="003736FA" w14:paraId="6402A7B0" w14:textId="77777777" w:rsidTr="00155997">
        <w:tc>
          <w:tcPr>
            <w:tcW w:w="1818" w:type="pct"/>
            <w:tcBorders>
              <w:left w:val="nil"/>
              <w:bottom w:val="nil"/>
              <w:right w:val="nil"/>
            </w:tcBorders>
            <w:tcMar>
              <w:top w:w="0" w:type="dxa"/>
              <w:bottom w:w="0" w:type="dxa"/>
            </w:tcMar>
          </w:tcPr>
          <w:p w14:paraId="5A8DAB11" w14:textId="77777777" w:rsidR="00A42E7C" w:rsidRPr="003736FA" w:rsidRDefault="00A42E7C" w:rsidP="00802FC4">
            <w:pPr>
              <w:pStyle w:val="TableText"/>
              <w:spacing w:line="276" w:lineRule="auto"/>
            </w:pPr>
            <w:r w:rsidRPr="003736FA">
              <w:rPr>
                <w:b/>
              </w:rPr>
              <w:t>HbA</w:t>
            </w:r>
            <w:r w:rsidRPr="003736FA">
              <w:rPr>
                <w:b/>
                <w:vertAlign w:val="subscript"/>
              </w:rPr>
              <w:t>1c</w:t>
            </w:r>
            <w:r w:rsidRPr="003736FA">
              <w:rPr>
                <w:b/>
              </w:rPr>
              <w:t xml:space="preserve"> (%)</w:t>
            </w:r>
          </w:p>
        </w:tc>
        <w:tc>
          <w:tcPr>
            <w:tcW w:w="1667" w:type="pct"/>
            <w:tcBorders>
              <w:left w:val="nil"/>
              <w:bottom w:val="nil"/>
              <w:right w:val="nil"/>
            </w:tcBorders>
            <w:tcMar>
              <w:top w:w="0" w:type="dxa"/>
              <w:bottom w:w="0" w:type="dxa"/>
            </w:tcMar>
          </w:tcPr>
          <w:p w14:paraId="07E88A0A" w14:textId="77777777" w:rsidR="00A42E7C" w:rsidRPr="003736FA" w:rsidRDefault="00A42E7C" w:rsidP="00802FC4">
            <w:pPr>
              <w:numPr>
                <w:ilvl w:val="12"/>
                <w:numId w:val="0"/>
              </w:numPr>
              <w:ind w:right="-2"/>
              <w:jc w:val="center"/>
              <w:rPr>
                <w:bCs/>
                <w:iCs/>
                <w:noProof/>
                <w:szCs w:val="22"/>
              </w:rPr>
            </w:pPr>
          </w:p>
        </w:tc>
        <w:tc>
          <w:tcPr>
            <w:tcW w:w="1515" w:type="pct"/>
            <w:tcBorders>
              <w:left w:val="nil"/>
              <w:bottom w:val="nil"/>
              <w:right w:val="nil"/>
            </w:tcBorders>
            <w:tcMar>
              <w:top w:w="0" w:type="dxa"/>
              <w:bottom w:w="0" w:type="dxa"/>
            </w:tcMar>
          </w:tcPr>
          <w:p w14:paraId="7F045375" w14:textId="77777777" w:rsidR="00A42E7C" w:rsidRPr="003736FA" w:rsidRDefault="00A42E7C" w:rsidP="00802FC4">
            <w:pPr>
              <w:numPr>
                <w:ilvl w:val="12"/>
                <w:numId w:val="0"/>
              </w:numPr>
              <w:ind w:right="-2"/>
              <w:jc w:val="center"/>
              <w:rPr>
                <w:bCs/>
                <w:iCs/>
                <w:noProof/>
                <w:szCs w:val="22"/>
              </w:rPr>
            </w:pPr>
          </w:p>
        </w:tc>
      </w:tr>
      <w:tr w:rsidR="00A42E7C" w:rsidRPr="003736FA" w14:paraId="5F1D8FFC" w14:textId="77777777" w:rsidTr="00155997">
        <w:tc>
          <w:tcPr>
            <w:tcW w:w="1818" w:type="pct"/>
            <w:tcBorders>
              <w:top w:val="nil"/>
              <w:left w:val="nil"/>
              <w:bottom w:val="nil"/>
              <w:right w:val="nil"/>
            </w:tcBorders>
            <w:tcMar>
              <w:top w:w="0" w:type="dxa"/>
              <w:bottom w:w="0" w:type="dxa"/>
            </w:tcMar>
          </w:tcPr>
          <w:p w14:paraId="54E7F243" w14:textId="77777777" w:rsidR="00A42E7C" w:rsidRPr="003736FA" w:rsidRDefault="00A42E7C" w:rsidP="00802FC4">
            <w:pPr>
              <w:pStyle w:val="TableText"/>
              <w:spacing w:line="276" w:lineRule="auto"/>
              <w:rPr>
                <w:b/>
              </w:rPr>
            </w:pPr>
            <w:r w:rsidRPr="003736FA">
              <w:rPr>
                <w:sz w:val="16"/>
                <w:szCs w:val="16"/>
              </w:rPr>
              <w:t xml:space="preserve">Baseline </w:t>
            </w:r>
            <w:r w:rsidRPr="003736FA">
              <w:sym w:font="Wingdings 3" w:char="F09E"/>
            </w:r>
            <w:r w:rsidRPr="003736FA">
              <w:t xml:space="preserve"> </w:t>
            </w:r>
            <w:r w:rsidRPr="003736FA">
              <w:rPr>
                <w:sz w:val="16"/>
                <w:szCs w:val="16"/>
              </w:rPr>
              <w:t>End of trial</w:t>
            </w:r>
          </w:p>
        </w:tc>
        <w:tc>
          <w:tcPr>
            <w:tcW w:w="1667" w:type="pct"/>
            <w:tcBorders>
              <w:top w:val="nil"/>
              <w:left w:val="nil"/>
              <w:bottom w:val="nil"/>
              <w:right w:val="nil"/>
            </w:tcBorders>
            <w:tcMar>
              <w:top w:w="0" w:type="dxa"/>
              <w:bottom w:w="0" w:type="dxa"/>
            </w:tcMar>
          </w:tcPr>
          <w:p w14:paraId="6145E0AF"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 xml:space="preserve">7.9 </w:t>
            </w:r>
            <w:r w:rsidRPr="003736FA">
              <w:rPr>
                <w:sz w:val="16"/>
                <w:szCs w:val="16"/>
              </w:rPr>
              <w:sym w:font="Wingdings 3" w:char="F09E"/>
            </w:r>
            <w:r w:rsidRPr="003736FA">
              <w:rPr>
                <w:sz w:val="16"/>
                <w:szCs w:val="16"/>
              </w:rPr>
              <w:t xml:space="preserve"> </w:t>
            </w:r>
            <w:r w:rsidRPr="003736FA">
              <w:rPr>
                <w:bCs/>
                <w:iCs/>
                <w:noProof/>
                <w:sz w:val="16"/>
                <w:szCs w:val="16"/>
              </w:rPr>
              <w:t>6.8</w:t>
            </w:r>
          </w:p>
        </w:tc>
        <w:tc>
          <w:tcPr>
            <w:tcW w:w="1515" w:type="pct"/>
            <w:tcBorders>
              <w:top w:val="nil"/>
              <w:left w:val="nil"/>
              <w:bottom w:val="nil"/>
              <w:right w:val="nil"/>
            </w:tcBorders>
            <w:tcMar>
              <w:top w:w="0" w:type="dxa"/>
              <w:bottom w:w="0" w:type="dxa"/>
            </w:tcMar>
          </w:tcPr>
          <w:p w14:paraId="50C98C70"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 xml:space="preserve">7.9 </w:t>
            </w:r>
            <w:r w:rsidRPr="003736FA">
              <w:rPr>
                <w:sz w:val="16"/>
                <w:szCs w:val="16"/>
              </w:rPr>
              <w:sym w:font="Wingdings 3" w:char="F09E"/>
            </w:r>
            <w:r w:rsidRPr="003736FA">
              <w:rPr>
                <w:sz w:val="16"/>
                <w:szCs w:val="16"/>
              </w:rPr>
              <w:t xml:space="preserve"> </w:t>
            </w:r>
            <w:r w:rsidRPr="003736FA">
              <w:rPr>
                <w:bCs/>
                <w:iCs/>
                <w:noProof/>
                <w:sz w:val="16"/>
                <w:szCs w:val="16"/>
              </w:rPr>
              <w:t>7.7</w:t>
            </w:r>
          </w:p>
        </w:tc>
      </w:tr>
      <w:tr w:rsidR="00A42E7C" w:rsidRPr="003736FA" w14:paraId="6A14F0E3" w14:textId="77777777" w:rsidTr="00155997">
        <w:tc>
          <w:tcPr>
            <w:tcW w:w="1818" w:type="pct"/>
            <w:tcBorders>
              <w:top w:val="nil"/>
              <w:left w:val="nil"/>
              <w:bottom w:val="nil"/>
              <w:right w:val="nil"/>
            </w:tcBorders>
            <w:tcMar>
              <w:top w:w="0" w:type="dxa"/>
              <w:bottom w:w="0" w:type="dxa"/>
            </w:tcMar>
          </w:tcPr>
          <w:p w14:paraId="0C299496" w14:textId="77777777" w:rsidR="00A42E7C" w:rsidRPr="003736FA" w:rsidRDefault="00A42E7C" w:rsidP="00802FC4">
            <w:pPr>
              <w:pStyle w:val="TableText"/>
              <w:spacing w:line="276" w:lineRule="auto"/>
              <w:rPr>
                <w:b/>
              </w:rPr>
            </w:pPr>
            <w:r w:rsidRPr="003736FA">
              <w:rPr>
                <w:sz w:val="16"/>
                <w:szCs w:val="16"/>
              </w:rPr>
              <w:t>Adjusted change from baseline</w:t>
            </w:r>
          </w:p>
        </w:tc>
        <w:tc>
          <w:tcPr>
            <w:tcW w:w="1667" w:type="pct"/>
            <w:tcBorders>
              <w:top w:val="nil"/>
              <w:left w:val="nil"/>
              <w:bottom w:val="nil"/>
              <w:right w:val="nil"/>
            </w:tcBorders>
            <w:tcMar>
              <w:top w:w="0" w:type="dxa"/>
              <w:bottom w:w="0" w:type="dxa"/>
            </w:tcMar>
          </w:tcPr>
          <w:p w14:paraId="3235F065"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- 1.16</w:t>
            </w:r>
          </w:p>
        </w:tc>
        <w:tc>
          <w:tcPr>
            <w:tcW w:w="1515" w:type="pct"/>
            <w:tcBorders>
              <w:top w:val="nil"/>
              <w:left w:val="nil"/>
              <w:bottom w:val="nil"/>
              <w:right w:val="nil"/>
            </w:tcBorders>
            <w:tcMar>
              <w:top w:w="0" w:type="dxa"/>
              <w:bottom w:w="0" w:type="dxa"/>
            </w:tcMar>
          </w:tcPr>
          <w:p w14:paraId="5A542B7B"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-0.22</w:t>
            </w:r>
          </w:p>
        </w:tc>
      </w:tr>
      <w:tr w:rsidR="00A42E7C" w:rsidRPr="003736FA" w14:paraId="752B9A8F" w14:textId="77777777" w:rsidTr="00155997">
        <w:tc>
          <w:tcPr>
            <w:tcW w:w="1818" w:type="pct"/>
            <w:tcBorders>
              <w:top w:val="nil"/>
              <w:left w:val="nil"/>
              <w:right w:val="nil"/>
            </w:tcBorders>
            <w:tcMar>
              <w:top w:w="0" w:type="dxa"/>
              <w:bottom w:w="0" w:type="dxa"/>
            </w:tcMar>
          </w:tcPr>
          <w:p w14:paraId="406A2130" w14:textId="77777777" w:rsidR="00A42E7C" w:rsidRPr="003736FA" w:rsidRDefault="00A42E7C" w:rsidP="00802FC4">
            <w:pPr>
              <w:pStyle w:val="TableText"/>
              <w:spacing w:line="276" w:lineRule="auto"/>
              <w:rPr>
                <w:b/>
              </w:rPr>
            </w:pPr>
            <w:r w:rsidRPr="003736FA">
              <w:rPr>
                <w:i/>
                <w:sz w:val="16"/>
                <w:szCs w:val="16"/>
              </w:rPr>
              <w:t>Estimated treatment difference</w:t>
            </w:r>
          </w:p>
        </w:tc>
        <w:tc>
          <w:tcPr>
            <w:tcW w:w="3182" w:type="pct"/>
            <w:gridSpan w:val="2"/>
            <w:tcBorders>
              <w:top w:val="nil"/>
              <w:left w:val="nil"/>
              <w:right w:val="nil"/>
            </w:tcBorders>
            <w:tcMar>
              <w:top w:w="0" w:type="dxa"/>
              <w:bottom w:w="0" w:type="dxa"/>
            </w:tcMar>
          </w:tcPr>
          <w:p w14:paraId="4287F76B" w14:textId="77777777" w:rsidR="00A42E7C" w:rsidRPr="003736FA" w:rsidRDefault="00A42E7C" w:rsidP="00802FC4">
            <w:pPr>
              <w:numPr>
                <w:ilvl w:val="12"/>
                <w:numId w:val="0"/>
              </w:numPr>
              <w:ind w:right="-2"/>
              <w:jc w:val="center"/>
              <w:rPr>
                <w:bCs/>
                <w:iCs/>
                <w:noProof/>
                <w:sz w:val="16"/>
                <w:szCs w:val="16"/>
                <w:vertAlign w:val="superscript"/>
              </w:rPr>
            </w:pPr>
            <w:r w:rsidRPr="003736FA">
              <w:rPr>
                <w:bCs/>
                <w:i/>
                <w:iCs/>
                <w:noProof/>
                <w:sz w:val="16"/>
                <w:szCs w:val="16"/>
              </w:rPr>
              <w:t>-0.94 [-1.17; -0.72]</w:t>
            </w:r>
            <w:r>
              <w:rPr>
                <w:bCs/>
                <w:i/>
                <w:iCs/>
                <w:noProof/>
                <w:sz w:val="16"/>
                <w:szCs w:val="16"/>
                <w:vertAlign w:val="superscript"/>
              </w:rPr>
              <w:t>B</w:t>
            </w:r>
          </w:p>
        </w:tc>
      </w:tr>
      <w:tr w:rsidR="00A42E7C" w:rsidRPr="003736FA" w14:paraId="60C0F4C9" w14:textId="77777777" w:rsidTr="00155997">
        <w:tc>
          <w:tcPr>
            <w:tcW w:w="1818" w:type="pct"/>
            <w:tcBorders>
              <w:left w:val="nil"/>
              <w:bottom w:val="nil"/>
              <w:right w:val="nil"/>
            </w:tcBorders>
            <w:tcMar>
              <w:top w:w="0" w:type="dxa"/>
              <w:bottom w:w="0" w:type="dxa"/>
            </w:tcMar>
          </w:tcPr>
          <w:p w14:paraId="24D56639" w14:textId="77777777" w:rsidR="00A42E7C" w:rsidRPr="003736FA" w:rsidRDefault="00A42E7C" w:rsidP="00802FC4">
            <w:pPr>
              <w:pStyle w:val="TableText"/>
              <w:spacing w:line="276" w:lineRule="auto"/>
              <w:rPr>
                <w:b/>
              </w:rPr>
            </w:pPr>
            <w:r w:rsidRPr="003736FA">
              <w:rPr>
                <w:b/>
              </w:rPr>
              <w:t>HbA</w:t>
            </w:r>
            <w:r w:rsidRPr="003736FA">
              <w:rPr>
                <w:b/>
                <w:vertAlign w:val="subscript"/>
              </w:rPr>
              <w:t>1c</w:t>
            </w:r>
            <w:r w:rsidRPr="003736FA">
              <w:rPr>
                <w:b/>
              </w:rPr>
              <w:t xml:space="preserve"> (mmol/mol)</w:t>
            </w:r>
          </w:p>
        </w:tc>
        <w:tc>
          <w:tcPr>
            <w:tcW w:w="1667" w:type="pct"/>
            <w:tcBorders>
              <w:left w:val="nil"/>
              <w:bottom w:val="nil"/>
              <w:right w:val="nil"/>
            </w:tcBorders>
            <w:tcMar>
              <w:top w:w="0" w:type="dxa"/>
              <w:bottom w:w="0" w:type="dxa"/>
            </w:tcMar>
          </w:tcPr>
          <w:p w14:paraId="29BF5F5E" w14:textId="77777777" w:rsidR="00A42E7C" w:rsidRPr="003736FA" w:rsidRDefault="00A42E7C" w:rsidP="00802FC4">
            <w:pPr>
              <w:numPr>
                <w:ilvl w:val="12"/>
                <w:numId w:val="0"/>
              </w:numPr>
              <w:ind w:right="-2"/>
              <w:jc w:val="center"/>
              <w:rPr>
                <w:bCs/>
                <w:iCs/>
                <w:noProof/>
                <w:szCs w:val="22"/>
              </w:rPr>
            </w:pPr>
          </w:p>
        </w:tc>
        <w:tc>
          <w:tcPr>
            <w:tcW w:w="1515" w:type="pct"/>
            <w:tcBorders>
              <w:left w:val="nil"/>
              <w:bottom w:val="nil"/>
              <w:right w:val="nil"/>
            </w:tcBorders>
            <w:tcMar>
              <w:top w:w="0" w:type="dxa"/>
              <w:bottom w:w="0" w:type="dxa"/>
            </w:tcMar>
          </w:tcPr>
          <w:p w14:paraId="2DBA57A4" w14:textId="77777777" w:rsidR="00A42E7C" w:rsidRPr="003736FA" w:rsidRDefault="00A42E7C" w:rsidP="00802FC4">
            <w:pPr>
              <w:numPr>
                <w:ilvl w:val="12"/>
                <w:numId w:val="0"/>
              </w:numPr>
              <w:ind w:right="-2"/>
              <w:jc w:val="center"/>
              <w:rPr>
                <w:bCs/>
                <w:iCs/>
                <w:noProof/>
                <w:szCs w:val="22"/>
              </w:rPr>
            </w:pPr>
          </w:p>
        </w:tc>
      </w:tr>
      <w:tr w:rsidR="00A42E7C" w:rsidRPr="003736FA" w14:paraId="4A92D060" w14:textId="77777777" w:rsidTr="00155997">
        <w:tc>
          <w:tcPr>
            <w:tcW w:w="1818" w:type="pct"/>
            <w:tcBorders>
              <w:top w:val="nil"/>
              <w:left w:val="nil"/>
              <w:bottom w:val="nil"/>
              <w:right w:val="nil"/>
            </w:tcBorders>
            <w:tcMar>
              <w:top w:w="0" w:type="dxa"/>
              <w:bottom w:w="0" w:type="dxa"/>
            </w:tcMar>
          </w:tcPr>
          <w:p w14:paraId="657BA46D" w14:textId="77777777" w:rsidR="00A42E7C" w:rsidRPr="003736FA" w:rsidRDefault="00A42E7C" w:rsidP="00802FC4">
            <w:pPr>
              <w:pStyle w:val="TableText"/>
              <w:spacing w:line="276" w:lineRule="auto"/>
              <w:rPr>
                <w:b/>
              </w:rPr>
            </w:pPr>
            <w:r w:rsidRPr="003736FA">
              <w:rPr>
                <w:sz w:val="16"/>
                <w:szCs w:val="16"/>
              </w:rPr>
              <w:t xml:space="preserve">Baseline </w:t>
            </w:r>
            <w:r w:rsidRPr="003736FA">
              <w:sym w:font="Wingdings 3" w:char="F09E"/>
            </w:r>
            <w:r w:rsidRPr="003736FA">
              <w:rPr>
                <w:sz w:val="16"/>
                <w:szCs w:val="16"/>
              </w:rPr>
              <w:t xml:space="preserve"> End of trial</w:t>
            </w:r>
          </w:p>
        </w:tc>
        <w:tc>
          <w:tcPr>
            <w:tcW w:w="1667" w:type="pct"/>
            <w:tcBorders>
              <w:top w:val="nil"/>
              <w:left w:val="nil"/>
              <w:bottom w:val="nil"/>
              <w:right w:val="nil"/>
            </w:tcBorders>
            <w:tcMar>
              <w:top w:w="0" w:type="dxa"/>
              <w:bottom w:w="0" w:type="dxa"/>
            </w:tcMar>
          </w:tcPr>
          <w:p w14:paraId="535FC888"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 xml:space="preserve">63.2 </w:t>
            </w:r>
            <w:r w:rsidRPr="003736FA">
              <w:rPr>
                <w:sz w:val="16"/>
                <w:szCs w:val="16"/>
              </w:rPr>
              <w:sym w:font="Wingdings 3" w:char="F09E"/>
            </w:r>
            <w:r w:rsidRPr="003736FA">
              <w:rPr>
                <w:sz w:val="16"/>
                <w:szCs w:val="16"/>
              </w:rPr>
              <w:t xml:space="preserve"> </w:t>
            </w:r>
            <w:r w:rsidRPr="003736FA">
              <w:rPr>
                <w:bCs/>
                <w:iCs/>
                <w:noProof/>
                <w:sz w:val="16"/>
                <w:szCs w:val="16"/>
              </w:rPr>
              <w:t>50.7</w:t>
            </w:r>
          </w:p>
        </w:tc>
        <w:tc>
          <w:tcPr>
            <w:tcW w:w="1515" w:type="pct"/>
            <w:tcBorders>
              <w:top w:val="nil"/>
              <w:left w:val="nil"/>
              <w:bottom w:val="nil"/>
              <w:right w:val="nil"/>
            </w:tcBorders>
            <w:tcMar>
              <w:top w:w="0" w:type="dxa"/>
              <w:bottom w:w="0" w:type="dxa"/>
            </w:tcMar>
          </w:tcPr>
          <w:p w14:paraId="1C9CE891"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 xml:space="preserve">63.1 </w:t>
            </w:r>
            <w:r w:rsidRPr="003736FA">
              <w:rPr>
                <w:sz w:val="16"/>
                <w:szCs w:val="16"/>
              </w:rPr>
              <w:sym w:font="Wingdings 3" w:char="F09E"/>
            </w:r>
            <w:r w:rsidRPr="003736FA">
              <w:rPr>
                <w:sz w:val="16"/>
                <w:szCs w:val="16"/>
              </w:rPr>
              <w:t xml:space="preserve"> </w:t>
            </w:r>
            <w:r w:rsidRPr="003736FA">
              <w:rPr>
                <w:bCs/>
                <w:iCs/>
                <w:noProof/>
                <w:sz w:val="16"/>
                <w:szCs w:val="16"/>
              </w:rPr>
              <w:t>60.7</w:t>
            </w:r>
          </w:p>
        </w:tc>
      </w:tr>
      <w:tr w:rsidR="00A42E7C" w:rsidRPr="003736FA" w14:paraId="19AE088F" w14:textId="77777777" w:rsidTr="00155997">
        <w:tc>
          <w:tcPr>
            <w:tcW w:w="1818" w:type="pct"/>
            <w:tcBorders>
              <w:top w:val="nil"/>
              <w:left w:val="nil"/>
              <w:bottom w:val="nil"/>
              <w:right w:val="nil"/>
            </w:tcBorders>
            <w:tcMar>
              <w:top w:w="0" w:type="dxa"/>
              <w:bottom w:w="0" w:type="dxa"/>
            </w:tcMar>
          </w:tcPr>
          <w:p w14:paraId="7D50DA93" w14:textId="77777777" w:rsidR="00A42E7C" w:rsidRPr="003736FA" w:rsidRDefault="00A42E7C" w:rsidP="00802FC4">
            <w:pPr>
              <w:pStyle w:val="TableText"/>
              <w:spacing w:line="276" w:lineRule="auto"/>
              <w:rPr>
                <w:b/>
              </w:rPr>
            </w:pPr>
            <w:r w:rsidRPr="003736FA">
              <w:rPr>
                <w:sz w:val="16"/>
                <w:szCs w:val="16"/>
              </w:rPr>
              <w:t xml:space="preserve">Adjusted change from baseline </w:t>
            </w:r>
          </w:p>
        </w:tc>
        <w:tc>
          <w:tcPr>
            <w:tcW w:w="1667" w:type="pct"/>
            <w:tcBorders>
              <w:top w:val="nil"/>
              <w:left w:val="nil"/>
              <w:bottom w:val="nil"/>
              <w:right w:val="nil"/>
            </w:tcBorders>
            <w:tcMar>
              <w:top w:w="0" w:type="dxa"/>
              <w:bottom w:w="0" w:type="dxa"/>
            </w:tcMar>
          </w:tcPr>
          <w:p w14:paraId="21DE223B"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-12.72</w:t>
            </w:r>
          </w:p>
        </w:tc>
        <w:tc>
          <w:tcPr>
            <w:tcW w:w="1515" w:type="pct"/>
            <w:tcBorders>
              <w:top w:val="nil"/>
              <w:left w:val="nil"/>
              <w:bottom w:val="nil"/>
              <w:right w:val="nil"/>
            </w:tcBorders>
            <w:tcMar>
              <w:top w:w="0" w:type="dxa"/>
              <w:bottom w:w="0" w:type="dxa"/>
            </w:tcMar>
          </w:tcPr>
          <w:p w14:paraId="61D3E967" w14:textId="77777777" w:rsidR="00A42E7C" w:rsidRPr="003736FA" w:rsidRDefault="00A42E7C" w:rsidP="00802FC4">
            <w:pPr>
              <w:numPr>
                <w:ilvl w:val="12"/>
                <w:numId w:val="0"/>
              </w:numPr>
              <w:ind w:right="-2"/>
              <w:jc w:val="center"/>
              <w:rPr>
                <w:bCs/>
                <w:iCs/>
                <w:noProof/>
                <w:sz w:val="16"/>
                <w:szCs w:val="16"/>
              </w:rPr>
            </w:pPr>
            <w:r w:rsidRPr="003736FA">
              <w:rPr>
                <w:bCs/>
                <w:iCs/>
                <w:noProof/>
                <w:sz w:val="16"/>
                <w:szCs w:val="16"/>
              </w:rPr>
              <w:t>-2.43</w:t>
            </w:r>
          </w:p>
        </w:tc>
      </w:tr>
      <w:tr w:rsidR="00A42E7C" w:rsidRPr="003736FA" w14:paraId="36BE6A10" w14:textId="77777777" w:rsidTr="00155997">
        <w:tc>
          <w:tcPr>
            <w:tcW w:w="1818" w:type="pct"/>
            <w:tcBorders>
              <w:top w:val="nil"/>
              <w:left w:val="nil"/>
              <w:right w:val="nil"/>
            </w:tcBorders>
            <w:tcMar>
              <w:top w:w="0" w:type="dxa"/>
              <w:bottom w:w="0" w:type="dxa"/>
            </w:tcMar>
          </w:tcPr>
          <w:p w14:paraId="448B1E41" w14:textId="77777777" w:rsidR="00A42E7C" w:rsidRPr="003736FA" w:rsidRDefault="00A42E7C" w:rsidP="00802FC4">
            <w:pPr>
              <w:pStyle w:val="TableText"/>
              <w:spacing w:line="276" w:lineRule="auto"/>
              <w:rPr>
                <w:b/>
              </w:rPr>
            </w:pPr>
            <w:r w:rsidRPr="003736FA">
              <w:rPr>
                <w:i/>
                <w:sz w:val="16"/>
                <w:szCs w:val="16"/>
              </w:rPr>
              <w:t>Estimated treatment difference</w:t>
            </w:r>
          </w:p>
        </w:tc>
        <w:tc>
          <w:tcPr>
            <w:tcW w:w="3182" w:type="pct"/>
            <w:gridSpan w:val="2"/>
            <w:tcBorders>
              <w:top w:val="nil"/>
              <w:left w:val="nil"/>
              <w:right w:val="nil"/>
            </w:tcBorders>
            <w:tcMar>
              <w:top w:w="0" w:type="dxa"/>
              <w:bottom w:w="0" w:type="dxa"/>
            </w:tcMar>
          </w:tcPr>
          <w:p w14:paraId="28148852" w14:textId="77777777" w:rsidR="00A42E7C" w:rsidRPr="003736FA" w:rsidRDefault="00A42E7C" w:rsidP="00802FC4">
            <w:pPr>
              <w:numPr>
                <w:ilvl w:val="12"/>
                <w:numId w:val="0"/>
              </w:numPr>
              <w:ind w:right="-2"/>
              <w:jc w:val="center"/>
              <w:rPr>
                <w:bCs/>
                <w:iCs/>
                <w:noProof/>
                <w:sz w:val="16"/>
                <w:szCs w:val="16"/>
              </w:rPr>
            </w:pPr>
            <w:r w:rsidRPr="003736FA">
              <w:rPr>
                <w:bCs/>
                <w:i/>
                <w:iCs/>
                <w:noProof/>
                <w:sz w:val="16"/>
                <w:szCs w:val="16"/>
              </w:rPr>
              <w:t>-10.29 [-12.75; -7.82]</w:t>
            </w:r>
            <w:r>
              <w:rPr>
                <w:bCs/>
                <w:i/>
                <w:iCs/>
                <w:noProof/>
                <w:sz w:val="16"/>
                <w:szCs w:val="16"/>
                <w:vertAlign w:val="superscript"/>
              </w:rPr>
              <w:t>B</w:t>
            </w:r>
          </w:p>
        </w:tc>
      </w:tr>
      <w:tr w:rsidR="00A42E7C" w:rsidRPr="003736FA" w14:paraId="3F392ED4" w14:textId="77777777" w:rsidTr="00155997">
        <w:tc>
          <w:tcPr>
            <w:tcW w:w="5000" w:type="pct"/>
            <w:gridSpan w:val="3"/>
            <w:tcBorders>
              <w:left w:val="nil"/>
              <w:bottom w:val="nil"/>
              <w:right w:val="nil"/>
            </w:tcBorders>
          </w:tcPr>
          <w:p w14:paraId="41F7AB19" w14:textId="77777777" w:rsidR="00A42E7C" w:rsidRPr="003736FA" w:rsidRDefault="00A42E7C" w:rsidP="00802FC4">
            <w:pPr>
              <w:pStyle w:val="BodyText"/>
              <w:rPr>
                <w:sz w:val="16"/>
              </w:rPr>
            </w:pPr>
            <w:r w:rsidRPr="003736FA">
              <w:rPr>
                <w:sz w:val="16"/>
              </w:rPr>
              <w:t>Baseline, End of trial values are based on the mean of the observed last available values. The 95% confidence interval is stated in ‘[]’</w:t>
            </w:r>
          </w:p>
          <w:p w14:paraId="556BBC44" w14:textId="77777777" w:rsidR="00A42E7C" w:rsidRPr="003736FA" w:rsidRDefault="00A42E7C" w:rsidP="00802FC4">
            <w:pPr>
              <w:pStyle w:val="BodyText"/>
              <w:rPr>
                <w:bCs/>
                <w:iCs/>
                <w:sz w:val="16"/>
              </w:rPr>
            </w:pPr>
            <w:r>
              <w:rPr>
                <w:bCs/>
                <w:iCs/>
                <w:sz w:val="16"/>
                <w:vertAlign w:val="superscript"/>
              </w:rPr>
              <w:t>A</w:t>
            </w:r>
            <w:r w:rsidRPr="003736FA">
              <w:rPr>
                <w:bCs/>
                <w:iCs/>
                <w:sz w:val="16"/>
              </w:rPr>
              <w:t xml:space="preserve"> Basal insulin: insulin glargine, insulin detemir or NPH </w:t>
            </w:r>
          </w:p>
          <w:p w14:paraId="212262E8" w14:textId="77777777" w:rsidR="00A42E7C" w:rsidRPr="003736FA" w:rsidRDefault="00A42E7C" w:rsidP="00802FC4">
            <w:pPr>
              <w:numPr>
                <w:ilvl w:val="12"/>
                <w:numId w:val="0"/>
              </w:numPr>
              <w:ind w:right="-2"/>
              <w:rPr>
                <w:bCs/>
                <w:iCs/>
                <w:sz w:val="16"/>
              </w:rPr>
            </w:pPr>
            <w:r>
              <w:rPr>
                <w:bCs/>
                <w:iCs/>
                <w:sz w:val="16"/>
                <w:vertAlign w:val="superscript"/>
              </w:rPr>
              <w:t>B</w:t>
            </w:r>
            <w:r w:rsidRPr="003736FA">
              <w:rPr>
                <w:bCs/>
                <w:iCs/>
                <w:sz w:val="16"/>
              </w:rPr>
              <w:t xml:space="preserve"> statistically significant </w:t>
            </w:r>
            <w:r w:rsidRPr="003736FA">
              <w:rPr>
                <w:sz w:val="16"/>
              </w:rPr>
              <w:t xml:space="preserve">in favour of </w:t>
            </w:r>
            <w:proofErr w:type="spellStart"/>
            <w:r>
              <w:rPr>
                <w:sz w:val="16"/>
              </w:rPr>
              <w:t>Fiasp</w:t>
            </w:r>
            <w:proofErr w:type="spellEnd"/>
          </w:p>
        </w:tc>
      </w:tr>
    </w:tbl>
    <w:p w14:paraId="0FC65EF9" w14:textId="6D2BCD0B" w:rsidR="00155997" w:rsidRPr="009178CA" w:rsidRDefault="00155997" w:rsidP="00881851">
      <w:pPr>
        <w:pStyle w:val="Heading5"/>
        <w:rPr>
          <w:u w:val="single"/>
        </w:rPr>
      </w:pPr>
      <w:r w:rsidRPr="009178CA">
        <w:t>Elderly</w:t>
      </w:r>
    </w:p>
    <w:p w14:paraId="483635C5" w14:textId="77777777" w:rsidR="00155997" w:rsidRPr="00155997" w:rsidRDefault="00155997" w:rsidP="00155997">
      <w:pPr>
        <w:rPr>
          <w:b/>
        </w:rPr>
      </w:pPr>
      <w:r w:rsidRPr="00155997">
        <w:rPr>
          <w:iCs/>
          <w:lang w:val="en-US"/>
        </w:rPr>
        <w:t xml:space="preserve">In the three controlled clinical studies, 192 of 1219 (16%) </w:t>
      </w:r>
      <w:proofErr w:type="spellStart"/>
      <w:r w:rsidRPr="00155997">
        <w:rPr>
          <w:lang w:val="en-US"/>
        </w:rPr>
        <w:t>Fiasp</w:t>
      </w:r>
      <w:proofErr w:type="spellEnd"/>
      <w:r w:rsidRPr="00155997">
        <w:rPr>
          <w:iCs/>
          <w:lang w:val="en-US"/>
        </w:rPr>
        <w:t xml:space="preserve"> treated patients with type 1 diabetes mellitus or type 2 diabetes mellitus were ≥ 65 years of age and 24 of 1219 (2%) were ≥ 75 years of age. No overall differences in safety or effectiveness were observed between elderly patients and younger patients.</w:t>
      </w:r>
    </w:p>
    <w:p w14:paraId="62B9B310" w14:textId="1CD338C2" w:rsidR="00155997" w:rsidRPr="00881851" w:rsidRDefault="00155997" w:rsidP="00881851">
      <w:pPr>
        <w:pStyle w:val="Heading5"/>
      </w:pPr>
      <w:r w:rsidRPr="00881851">
        <w:t>Continuous Subcutaneous Insulin Infusion (CSII)</w:t>
      </w:r>
    </w:p>
    <w:p w14:paraId="09174741" w14:textId="77777777" w:rsidR="00A42E7C" w:rsidRDefault="00155997" w:rsidP="00155997">
      <w:pPr>
        <w:rPr>
          <w:iCs/>
          <w:lang w:val="en-US"/>
        </w:rPr>
      </w:pPr>
      <w:r w:rsidRPr="00155997">
        <w:rPr>
          <w:iCs/>
          <w:lang w:val="en-US"/>
        </w:rPr>
        <w:t xml:space="preserve">A 6-week, </w:t>
      </w:r>
      <w:proofErr w:type="spellStart"/>
      <w:r w:rsidRPr="00155997">
        <w:rPr>
          <w:iCs/>
          <w:lang w:val="en-US"/>
        </w:rPr>
        <w:t>randomised</w:t>
      </w:r>
      <w:proofErr w:type="spellEnd"/>
      <w:r w:rsidRPr="00155997">
        <w:rPr>
          <w:iCs/>
          <w:lang w:val="en-US"/>
        </w:rPr>
        <w:t xml:space="preserve"> (2:1), </w:t>
      </w:r>
      <w:proofErr w:type="gramStart"/>
      <w:r w:rsidRPr="00155997">
        <w:rPr>
          <w:iCs/>
          <w:lang w:val="en-US"/>
        </w:rPr>
        <w:t>double-blind</w:t>
      </w:r>
      <w:proofErr w:type="gramEnd"/>
      <w:r w:rsidRPr="00155997">
        <w:rPr>
          <w:iCs/>
          <w:lang w:val="en-US"/>
        </w:rPr>
        <w:t xml:space="preserve">, parallel-group, active controlled trial evaluated compatibility of </w:t>
      </w:r>
      <w:proofErr w:type="spellStart"/>
      <w:r w:rsidRPr="00155997">
        <w:rPr>
          <w:lang w:val="en-US"/>
        </w:rPr>
        <w:t>Fiasp</w:t>
      </w:r>
      <w:proofErr w:type="spellEnd"/>
      <w:r w:rsidRPr="00155997">
        <w:rPr>
          <w:iCs/>
          <w:lang w:val="en-US"/>
        </w:rPr>
        <w:t xml:space="preserve"> and </w:t>
      </w:r>
      <w:proofErr w:type="spellStart"/>
      <w:r w:rsidRPr="00155997">
        <w:rPr>
          <w:iCs/>
          <w:lang w:val="en-US"/>
        </w:rPr>
        <w:t>NovoRapid</w:t>
      </w:r>
      <w:proofErr w:type="spellEnd"/>
      <w:r w:rsidRPr="00155997">
        <w:rPr>
          <w:iCs/>
          <w:lang w:val="en-US"/>
        </w:rPr>
        <w:t xml:space="preserve"> administered via CSII system in adult patients with type 1 diabetes. There were no microscopically confirmed episodes of infusion set occlusions in either the </w:t>
      </w:r>
      <w:proofErr w:type="spellStart"/>
      <w:r w:rsidRPr="00155997">
        <w:rPr>
          <w:lang w:val="en-US"/>
        </w:rPr>
        <w:t>Fiasp</w:t>
      </w:r>
      <w:proofErr w:type="spellEnd"/>
      <w:r w:rsidRPr="00155997">
        <w:rPr>
          <w:iCs/>
          <w:lang w:val="en-US"/>
        </w:rPr>
        <w:t xml:space="preserve"> (n=25) or </w:t>
      </w:r>
      <w:proofErr w:type="spellStart"/>
      <w:r w:rsidRPr="00155997">
        <w:rPr>
          <w:iCs/>
          <w:lang w:val="en-US"/>
        </w:rPr>
        <w:t>NovoRapid</w:t>
      </w:r>
      <w:proofErr w:type="spellEnd"/>
      <w:r w:rsidRPr="00155997">
        <w:rPr>
          <w:iCs/>
          <w:lang w:val="en-US"/>
        </w:rPr>
        <w:t xml:space="preserve"> (n=12) groups. </w:t>
      </w:r>
      <w:proofErr w:type="spellStart"/>
      <w:r w:rsidRPr="00155997">
        <w:rPr>
          <w:iCs/>
          <w:lang w:val="en-US"/>
        </w:rPr>
        <w:t>Fiasp</w:t>
      </w:r>
      <w:proofErr w:type="spellEnd"/>
      <w:r w:rsidRPr="00155997">
        <w:rPr>
          <w:iCs/>
          <w:lang w:val="en-US"/>
        </w:rPr>
        <w:t xml:space="preserve"> was effective in controlling blood glucose levels as assessed by several measures of intermediate and long-term </w:t>
      </w:r>
      <w:proofErr w:type="spellStart"/>
      <w:r w:rsidRPr="00155997">
        <w:rPr>
          <w:iCs/>
          <w:lang w:val="en-US"/>
        </w:rPr>
        <w:t>glycaemic</w:t>
      </w:r>
      <w:proofErr w:type="spellEnd"/>
      <w:r w:rsidRPr="00155997">
        <w:rPr>
          <w:iCs/>
          <w:lang w:val="en-US"/>
        </w:rPr>
        <w:t xml:space="preserve"> control, such as HbA</w:t>
      </w:r>
      <w:r w:rsidRPr="00155997">
        <w:rPr>
          <w:iCs/>
          <w:vertAlign w:val="subscript"/>
          <w:lang w:val="en-US"/>
        </w:rPr>
        <w:t>1c</w:t>
      </w:r>
      <w:r w:rsidRPr="00155997">
        <w:rPr>
          <w:iCs/>
          <w:lang w:val="en-US"/>
        </w:rPr>
        <w:t xml:space="preserve">, serum </w:t>
      </w:r>
      <w:proofErr w:type="spellStart"/>
      <w:r w:rsidRPr="00155997">
        <w:rPr>
          <w:iCs/>
          <w:lang w:val="en-US"/>
        </w:rPr>
        <w:t>fructosamine</w:t>
      </w:r>
      <w:proofErr w:type="spellEnd"/>
      <w:r w:rsidRPr="00155997">
        <w:rPr>
          <w:iCs/>
          <w:lang w:val="en-US"/>
        </w:rPr>
        <w:t xml:space="preserve">, and 1,5-AG, and measures related to postprandial glucose control, such as 2-hour post-prandial glucose (PPG) increment (self-monitored plasma glucose, SMPG) and mean of 9-point SMPG profile. There were two patients from the </w:t>
      </w:r>
      <w:proofErr w:type="spellStart"/>
      <w:r w:rsidRPr="00155997">
        <w:rPr>
          <w:lang w:val="en-US"/>
        </w:rPr>
        <w:t>Fiasp</w:t>
      </w:r>
      <w:proofErr w:type="spellEnd"/>
      <w:r w:rsidRPr="00155997">
        <w:rPr>
          <w:iCs/>
          <w:lang w:val="en-US"/>
        </w:rPr>
        <w:t xml:space="preserve"> group who each reported two treatment-emergent infusion site reactions.</w:t>
      </w:r>
    </w:p>
    <w:p w14:paraId="5D15454E" w14:textId="0B0C5A4D" w:rsidR="000475BC" w:rsidRPr="009178CA" w:rsidRDefault="000475BC" w:rsidP="00881851">
      <w:pPr>
        <w:pStyle w:val="Heading5"/>
      </w:pPr>
      <w:r w:rsidRPr="009178CA">
        <w:t>Paediatric population</w:t>
      </w:r>
    </w:p>
    <w:p w14:paraId="5CDB967C" w14:textId="5CF7766E" w:rsidR="000475BC" w:rsidRDefault="000475BC" w:rsidP="000475BC">
      <w:pPr>
        <w:rPr>
          <w:lang w:val="en-GB"/>
        </w:rPr>
      </w:pPr>
      <w:r w:rsidRPr="000475BC">
        <w:rPr>
          <w:lang w:val="en-GB"/>
        </w:rPr>
        <w:t xml:space="preserve">The efficacy and safety of </w:t>
      </w:r>
      <w:proofErr w:type="spellStart"/>
      <w:r w:rsidRPr="000475BC">
        <w:rPr>
          <w:lang w:val="en-GB"/>
        </w:rPr>
        <w:t>Fiasp</w:t>
      </w:r>
      <w:proofErr w:type="spellEnd"/>
      <w:r>
        <w:rPr>
          <w:lang w:val="en-GB"/>
        </w:rPr>
        <w:t xml:space="preserve"> </w:t>
      </w:r>
      <w:r w:rsidRPr="000475BC">
        <w:rPr>
          <w:lang w:val="en-GB"/>
        </w:rPr>
        <w:t>have been studied in a 1:1:1</w:t>
      </w:r>
      <w:r>
        <w:rPr>
          <w:lang w:val="en-GB"/>
        </w:rPr>
        <w:t xml:space="preserve"> </w:t>
      </w:r>
      <w:r w:rsidRPr="000475BC">
        <w:rPr>
          <w:lang w:val="en-GB"/>
        </w:rPr>
        <w:t>randomised active controlled</w:t>
      </w:r>
      <w:r>
        <w:rPr>
          <w:lang w:val="en-GB"/>
        </w:rPr>
        <w:t xml:space="preserve"> </w:t>
      </w:r>
      <w:r w:rsidRPr="000475BC">
        <w:rPr>
          <w:lang w:val="en-GB"/>
        </w:rPr>
        <w:t>clinical trial in children and</w:t>
      </w:r>
      <w:r>
        <w:rPr>
          <w:lang w:val="en-GB"/>
        </w:rPr>
        <w:t xml:space="preserve"> </w:t>
      </w:r>
      <w:r w:rsidRPr="000475BC">
        <w:rPr>
          <w:lang w:val="en-GB"/>
        </w:rPr>
        <w:t>adolescents with type 1 diabetes</w:t>
      </w:r>
      <w:r>
        <w:rPr>
          <w:lang w:val="en-GB"/>
        </w:rPr>
        <w:t xml:space="preserve"> </w:t>
      </w:r>
      <w:r w:rsidRPr="000475BC">
        <w:rPr>
          <w:lang w:val="en-GB"/>
        </w:rPr>
        <w:t>mellitus for a period of 26 weeks</w:t>
      </w:r>
      <w:r>
        <w:rPr>
          <w:lang w:val="en-GB"/>
        </w:rPr>
        <w:t xml:space="preserve"> </w:t>
      </w:r>
      <w:r w:rsidRPr="000475BC">
        <w:rPr>
          <w:lang w:val="en-GB"/>
        </w:rPr>
        <w:t>(n=777). In this trial the efficacy</w:t>
      </w:r>
      <w:r>
        <w:rPr>
          <w:lang w:val="en-GB"/>
        </w:rPr>
        <w:t xml:space="preserve"> </w:t>
      </w:r>
      <w:r w:rsidRPr="000475BC">
        <w:rPr>
          <w:lang w:val="en-GB"/>
        </w:rPr>
        <w:t xml:space="preserve">and safety of </w:t>
      </w:r>
      <w:proofErr w:type="spellStart"/>
      <w:r w:rsidRPr="000475BC">
        <w:rPr>
          <w:lang w:val="en-GB"/>
        </w:rPr>
        <w:t>Fiasp</w:t>
      </w:r>
      <w:proofErr w:type="spellEnd"/>
      <w:r w:rsidRPr="000475BC">
        <w:rPr>
          <w:lang w:val="en-GB"/>
        </w:rPr>
        <w:t xml:space="preserve"> administered at</w:t>
      </w:r>
      <w:r>
        <w:rPr>
          <w:lang w:val="en-GB"/>
        </w:rPr>
        <w:t xml:space="preserve"> </w:t>
      </w:r>
      <w:r w:rsidRPr="000475BC">
        <w:rPr>
          <w:lang w:val="en-GB"/>
        </w:rPr>
        <w:t>mealtime (0-2 minutes before meal)</w:t>
      </w:r>
      <w:r>
        <w:rPr>
          <w:lang w:val="en-GB"/>
        </w:rPr>
        <w:t xml:space="preserve"> </w:t>
      </w:r>
      <w:r w:rsidRPr="000475BC">
        <w:rPr>
          <w:lang w:val="en-GB"/>
        </w:rPr>
        <w:t xml:space="preserve">or </w:t>
      </w:r>
      <w:proofErr w:type="spellStart"/>
      <w:r w:rsidRPr="000475BC">
        <w:rPr>
          <w:lang w:val="en-GB"/>
        </w:rPr>
        <w:t>postmeal</w:t>
      </w:r>
      <w:proofErr w:type="spellEnd"/>
      <w:r w:rsidRPr="000475BC">
        <w:rPr>
          <w:lang w:val="en-GB"/>
        </w:rPr>
        <w:t xml:space="preserve"> (20 minutes after meal</w:t>
      </w:r>
      <w:r>
        <w:rPr>
          <w:lang w:val="en-GB"/>
        </w:rPr>
        <w:t xml:space="preserve"> </w:t>
      </w:r>
      <w:r w:rsidRPr="000475BC">
        <w:rPr>
          <w:lang w:val="en-GB"/>
        </w:rPr>
        <w:t xml:space="preserve">start) and </w:t>
      </w:r>
      <w:proofErr w:type="spellStart"/>
      <w:r w:rsidRPr="000475BC">
        <w:rPr>
          <w:lang w:val="en-GB"/>
        </w:rPr>
        <w:t>NovoRapid</w:t>
      </w:r>
      <w:proofErr w:type="spellEnd"/>
      <w:r>
        <w:rPr>
          <w:lang w:val="en-GB"/>
        </w:rPr>
        <w:t xml:space="preserve"> </w:t>
      </w:r>
      <w:r w:rsidRPr="000475BC">
        <w:rPr>
          <w:lang w:val="en-GB"/>
        </w:rPr>
        <w:t>administered at mealtime, both used</w:t>
      </w:r>
      <w:r>
        <w:rPr>
          <w:lang w:val="en-GB"/>
        </w:rPr>
        <w:t xml:space="preserve"> </w:t>
      </w:r>
      <w:r w:rsidRPr="000475BC">
        <w:rPr>
          <w:lang w:val="en-GB"/>
        </w:rPr>
        <w:t>in combination with insulin</w:t>
      </w:r>
      <w:r>
        <w:rPr>
          <w:lang w:val="en-GB"/>
        </w:rPr>
        <w:t xml:space="preserve"> </w:t>
      </w:r>
      <w:proofErr w:type="spellStart"/>
      <w:r w:rsidRPr="000475BC">
        <w:rPr>
          <w:lang w:val="en-GB"/>
        </w:rPr>
        <w:t>degludec</w:t>
      </w:r>
      <w:proofErr w:type="spellEnd"/>
      <w:r w:rsidRPr="000475BC">
        <w:rPr>
          <w:lang w:val="en-GB"/>
        </w:rPr>
        <w:t>, were compared.</w:t>
      </w:r>
      <w:r>
        <w:rPr>
          <w:lang w:val="en-GB"/>
        </w:rPr>
        <w:t xml:space="preserve"> </w:t>
      </w:r>
      <w:r w:rsidRPr="000475BC">
        <w:rPr>
          <w:lang w:val="en-GB"/>
        </w:rPr>
        <w:t xml:space="preserve">Patients in the </w:t>
      </w:r>
      <w:proofErr w:type="spellStart"/>
      <w:r w:rsidRPr="000475BC">
        <w:rPr>
          <w:lang w:val="en-GB"/>
        </w:rPr>
        <w:t>Fiasp</w:t>
      </w:r>
      <w:proofErr w:type="spellEnd"/>
      <w:r w:rsidRPr="000475BC">
        <w:rPr>
          <w:lang w:val="en-GB"/>
        </w:rPr>
        <w:t xml:space="preserve"> mealtime arm</w:t>
      </w:r>
      <w:r>
        <w:rPr>
          <w:lang w:val="en-GB"/>
        </w:rPr>
        <w:t xml:space="preserve"> </w:t>
      </w:r>
      <w:r w:rsidRPr="000475BC">
        <w:rPr>
          <w:lang w:val="en-GB"/>
        </w:rPr>
        <w:t>included 16 children aged 1–5 years,</w:t>
      </w:r>
      <w:r>
        <w:rPr>
          <w:lang w:val="en-GB"/>
        </w:rPr>
        <w:t xml:space="preserve"> </w:t>
      </w:r>
      <w:r w:rsidRPr="000475BC">
        <w:rPr>
          <w:lang w:val="en-GB"/>
        </w:rPr>
        <w:t>100 children aged 6–11 years and</w:t>
      </w:r>
      <w:r w:rsidR="00881851">
        <w:rPr>
          <w:lang w:val="en-GB"/>
        </w:rPr>
        <w:t xml:space="preserve"> </w:t>
      </w:r>
      <w:r w:rsidRPr="000475BC">
        <w:rPr>
          <w:lang w:val="en-GB"/>
        </w:rPr>
        <w:t>144 adolescents aged 12–17 years.</w:t>
      </w:r>
      <w:r>
        <w:rPr>
          <w:lang w:val="en-GB"/>
        </w:rPr>
        <w:t xml:space="preserve"> </w:t>
      </w:r>
      <w:r w:rsidRPr="000475BC">
        <w:rPr>
          <w:lang w:val="en-GB"/>
        </w:rPr>
        <w:t xml:space="preserve">Patients in the </w:t>
      </w:r>
      <w:proofErr w:type="spellStart"/>
      <w:r w:rsidRPr="000475BC">
        <w:rPr>
          <w:lang w:val="en-GB"/>
        </w:rPr>
        <w:t>Fiasp</w:t>
      </w:r>
      <w:proofErr w:type="spellEnd"/>
      <w:r w:rsidRPr="000475BC">
        <w:rPr>
          <w:lang w:val="en-GB"/>
        </w:rPr>
        <w:t xml:space="preserve"> </w:t>
      </w:r>
      <w:proofErr w:type="spellStart"/>
      <w:r w:rsidRPr="000475BC">
        <w:rPr>
          <w:lang w:val="en-GB"/>
        </w:rPr>
        <w:t>postmeal</w:t>
      </w:r>
      <w:proofErr w:type="spellEnd"/>
      <w:r w:rsidRPr="000475BC">
        <w:rPr>
          <w:lang w:val="en-GB"/>
        </w:rPr>
        <w:t xml:space="preserve"> arm</w:t>
      </w:r>
      <w:r>
        <w:rPr>
          <w:lang w:val="en-GB"/>
        </w:rPr>
        <w:t xml:space="preserve"> </w:t>
      </w:r>
      <w:r w:rsidRPr="000475BC">
        <w:rPr>
          <w:lang w:val="en-GB"/>
        </w:rPr>
        <w:t>included 16 children aged 1–5 years,</w:t>
      </w:r>
      <w:r>
        <w:rPr>
          <w:lang w:val="en-GB"/>
        </w:rPr>
        <w:t xml:space="preserve"> </w:t>
      </w:r>
      <w:r w:rsidRPr="000475BC">
        <w:rPr>
          <w:lang w:val="en-GB"/>
        </w:rPr>
        <w:t>100 children aged 6–11 years and</w:t>
      </w:r>
      <w:r>
        <w:rPr>
          <w:lang w:val="en-GB"/>
        </w:rPr>
        <w:t xml:space="preserve"> </w:t>
      </w:r>
      <w:r w:rsidRPr="000475BC">
        <w:rPr>
          <w:lang w:val="en-GB"/>
        </w:rPr>
        <w:t>143 adolescents aged 12–17 years.</w:t>
      </w:r>
    </w:p>
    <w:p w14:paraId="32A9A93B" w14:textId="7437CC5A" w:rsidR="000475BC" w:rsidRDefault="000475BC" w:rsidP="00E711B2">
      <w:pPr>
        <w:rPr>
          <w:lang w:val="en-GB"/>
        </w:rPr>
      </w:pPr>
      <w:proofErr w:type="spellStart"/>
      <w:r w:rsidRPr="000475BC">
        <w:rPr>
          <w:lang w:val="en-GB"/>
        </w:rPr>
        <w:lastRenderedPageBreak/>
        <w:t>Fiasp</w:t>
      </w:r>
      <w:proofErr w:type="spellEnd"/>
      <w:r w:rsidRPr="000475BC">
        <w:rPr>
          <w:lang w:val="en-GB"/>
        </w:rPr>
        <w:t xml:space="preserve"> was shown to be effective in</w:t>
      </w:r>
      <w:r>
        <w:rPr>
          <w:lang w:val="en-GB"/>
        </w:rPr>
        <w:t xml:space="preserve"> </w:t>
      </w:r>
      <w:r w:rsidRPr="000475BC">
        <w:rPr>
          <w:lang w:val="en-GB"/>
        </w:rPr>
        <w:t>terms of glycaemic control</w:t>
      </w:r>
      <w:r w:rsidR="00DD46A4">
        <w:rPr>
          <w:lang w:val="en-GB"/>
        </w:rPr>
        <w:t xml:space="preserve"> </w:t>
      </w:r>
      <w:r w:rsidR="00DD46A4" w:rsidRPr="00E711B2">
        <w:rPr>
          <w:lang w:val="en-GB"/>
        </w:rPr>
        <w:t>with regards to change in HbA</w:t>
      </w:r>
      <w:r w:rsidR="00DD46A4" w:rsidRPr="00E711B2">
        <w:rPr>
          <w:vertAlign w:val="subscript"/>
          <w:lang w:val="en-GB"/>
        </w:rPr>
        <w:t>1c</w:t>
      </w:r>
      <w:r w:rsidRPr="00E711B2">
        <w:rPr>
          <w:lang w:val="en-GB"/>
        </w:rPr>
        <w:t xml:space="preserve">, both when administered </w:t>
      </w:r>
      <w:proofErr w:type="spellStart"/>
      <w:r w:rsidRPr="00E711B2">
        <w:rPr>
          <w:lang w:val="en-GB"/>
        </w:rPr>
        <w:t>postmeal</w:t>
      </w:r>
      <w:proofErr w:type="spellEnd"/>
      <w:r w:rsidRPr="00E711B2">
        <w:rPr>
          <w:lang w:val="en-GB"/>
        </w:rPr>
        <w:t xml:space="preserve"> (ETD: 0.13 % [-0.01; 0.26]</w:t>
      </w:r>
      <w:r w:rsidRPr="00E711B2">
        <w:rPr>
          <w:vertAlign w:val="subscript"/>
          <w:lang w:val="en-GB"/>
        </w:rPr>
        <w:t>95% CI</w:t>
      </w:r>
      <w:r w:rsidRPr="00E711B2">
        <w:rPr>
          <w:lang w:val="en-GB"/>
        </w:rPr>
        <w:t>) and at mealtime (ETD: -0.17 % [-0.30; -0.03]</w:t>
      </w:r>
      <w:r w:rsidRPr="00E711B2">
        <w:rPr>
          <w:vertAlign w:val="subscript"/>
          <w:lang w:val="en-GB"/>
        </w:rPr>
        <w:t>95% CI</w:t>
      </w:r>
      <w:r w:rsidRPr="00E711B2">
        <w:rPr>
          <w:lang w:val="en-GB"/>
        </w:rPr>
        <w:t xml:space="preserve">), compared to </w:t>
      </w:r>
      <w:proofErr w:type="spellStart"/>
      <w:r w:rsidRPr="00E711B2">
        <w:rPr>
          <w:lang w:val="en-GB"/>
        </w:rPr>
        <w:t>NovoRapid</w:t>
      </w:r>
      <w:proofErr w:type="spellEnd"/>
      <w:r w:rsidRPr="00E711B2">
        <w:rPr>
          <w:lang w:val="en-GB"/>
        </w:rPr>
        <w:t xml:space="preserve">. In </w:t>
      </w:r>
      <w:proofErr w:type="gramStart"/>
      <w:r w:rsidRPr="00E711B2">
        <w:rPr>
          <w:lang w:val="en-GB"/>
        </w:rPr>
        <w:t>particular</w:t>
      </w:r>
      <w:proofErr w:type="gramEnd"/>
      <w:r w:rsidRPr="00E711B2">
        <w:rPr>
          <w:lang w:val="en-GB"/>
        </w:rPr>
        <w:t xml:space="preserve"> </w:t>
      </w:r>
      <w:proofErr w:type="spellStart"/>
      <w:r w:rsidRPr="00E711B2">
        <w:rPr>
          <w:lang w:val="en-GB"/>
        </w:rPr>
        <w:t>Fiasp</w:t>
      </w:r>
      <w:proofErr w:type="spellEnd"/>
      <w:r w:rsidRPr="00E711B2">
        <w:rPr>
          <w:lang w:val="en-GB"/>
        </w:rPr>
        <w:t xml:space="preserve"> mealtime</w:t>
      </w:r>
      <w:r w:rsidRPr="000475BC">
        <w:rPr>
          <w:lang w:val="en-GB"/>
        </w:rPr>
        <w:t xml:space="preserve"> showed superior</w:t>
      </w:r>
      <w:r w:rsidR="00E711B2">
        <w:rPr>
          <w:lang w:val="en-GB"/>
        </w:rPr>
        <w:t xml:space="preserve"> </w:t>
      </w:r>
      <w:r w:rsidRPr="000475BC">
        <w:rPr>
          <w:lang w:val="en-GB"/>
        </w:rPr>
        <w:t>glycaemic control compared to</w:t>
      </w:r>
      <w:r>
        <w:rPr>
          <w:lang w:val="en-GB"/>
        </w:rPr>
        <w:t xml:space="preserve"> </w:t>
      </w:r>
      <w:proofErr w:type="spellStart"/>
      <w:r w:rsidRPr="000475BC">
        <w:rPr>
          <w:lang w:val="en-GB"/>
        </w:rPr>
        <w:t>NovoRapid</w:t>
      </w:r>
      <w:proofErr w:type="spellEnd"/>
      <w:r w:rsidRPr="000475BC">
        <w:rPr>
          <w:lang w:val="en-GB"/>
        </w:rPr>
        <w:t xml:space="preserve"> mealtime.</w:t>
      </w:r>
    </w:p>
    <w:p w14:paraId="4B53006D" w14:textId="77777777" w:rsidR="000475BC" w:rsidRDefault="000475BC" w:rsidP="000475BC">
      <w:pPr>
        <w:rPr>
          <w:lang w:val="en-GB"/>
        </w:rPr>
      </w:pPr>
      <w:r w:rsidRPr="000475BC">
        <w:rPr>
          <w:lang w:val="en-GB"/>
        </w:rPr>
        <w:t>No overall increased risk of severe</w:t>
      </w:r>
      <w:r>
        <w:rPr>
          <w:lang w:val="en-GB"/>
        </w:rPr>
        <w:t xml:space="preserve"> </w:t>
      </w:r>
      <w:r w:rsidRPr="000475BC">
        <w:rPr>
          <w:lang w:val="en-GB"/>
        </w:rPr>
        <w:t>or blood glucose confirmed</w:t>
      </w:r>
      <w:r>
        <w:rPr>
          <w:lang w:val="en-GB"/>
        </w:rPr>
        <w:t xml:space="preserve"> </w:t>
      </w:r>
      <w:r w:rsidRPr="000475BC">
        <w:rPr>
          <w:lang w:val="en-GB"/>
        </w:rPr>
        <w:t xml:space="preserve">hypoglycaemia </w:t>
      </w:r>
      <w:proofErr w:type="gramStart"/>
      <w:r w:rsidRPr="000475BC">
        <w:rPr>
          <w:lang w:val="en-GB"/>
        </w:rPr>
        <w:t>was observed</w:t>
      </w:r>
      <w:proofErr w:type="gramEnd"/>
      <w:r w:rsidRPr="000475BC">
        <w:rPr>
          <w:lang w:val="en-GB"/>
        </w:rPr>
        <w:t>.</w:t>
      </w:r>
    </w:p>
    <w:p w14:paraId="37830ED7" w14:textId="77777777" w:rsidR="000475BC" w:rsidRPr="000475BC" w:rsidRDefault="000475BC" w:rsidP="000475BC">
      <w:pPr>
        <w:rPr>
          <w:lang w:val="en-GB"/>
        </w:rPr>
      </w:pPr>
      <w:proofErr w:type="spellStart"/>
      <w:r w:rsidRPr="000475BC">
        <w:rPr>
          <w:lang w:val="en-GB"/>
        </w:rPr>
        <w:t>Fiasp</w:t>
      </w:r>
      <w:proofErr w:type="spellEnd"/>
      <w:r w:rsidRPr="000475BC">
        <w:rPr>
          <w:lang w:val="en-GB"/>
        </w:rPr>
        <w:t xml:space="preserve"> mealtime showed a</w:t>
      </w:r>
      <w:r>
        <w:rPr>
          <w:lang w:val="en-GB"/>
        </w:rPr>
        <w:t xml:space="preserve"> </w:t>
      </w:r>
      <w:r w:rsidRPr="000475BC">
        <w:rPr>
          <w:lang w:val="en-GB"/>
        </w:rPr>
        <w:t>statistically significant improvement</w:t>
      </w:r>
      <w:r>
        <w:rPr>
          <w:lang w:val="en-GB"/>
        </w:rPr>
        <w:t xml:space="preserve"> </w:t>
      </w:r>
      <w:r w:rsidRPr="000475BC">
        <w:rPr>
          <w:lang w:val="en-GB"/>
        </w:rPr>
        <w:t xml:space="preserve">in 1-hour </w:t>
      </w:r>
      <w:proofErr w:type="spellStart"/>
      <w:r w:rsidRPr="000475BC">
        <w:rPr>
          <w:lang w:val="en-GB"/>
        </w:rPr>
        <w:t>postmeal</w:t>
      </w:r>
      <w:proofErr w:type="spellEnd"/>
      <w:r w:rsidRPr="000475BC">
        <w:rPr>
          <w:lang w:val="en-GB"/>
        </w:rPr>
        <w:t xml:space="preserve"> glucose</w:t>
      </w:r>
    </w:p>
    <w:p w14:paraId="39DD1A02" w14:textId="77777777" w:rsidR="000475BC" w:rsidRDefault="000475BC" w:rsidP="000475BC">
      <w:pPr>
        <w:rPr>
          <w:lang w:val="en-GB"/>
        </w:rPr>
      </w:pPr>
      <w:r w:rsidRPr="000475BC">
        <w:rPr>
          <w:lang w:val="en-GB"/>
        </w:rPr>
        <w:t>increment mean over all three main</w:t>
      </w:r>
      <w:r>
        <w:rPr>
          <w:lang w:val="en-GB"/>
        </w:rPr>
        <w:t xml:space="preserve"> </w:t>
      </w:r>
      <w:r w:rsidRPr="000475BC">
        <w:rPr>
          <w:lang w:val="en-GB"/>
        </w:rPr>
        <w:t>meals (SMPG) compared to</w:t>
      </w:r>
      <w:r>
        <w:rPr>
          <w:lang w:val="en-GB"/>
        </w:rPr>
        <w:t xml:space="preserve"> </w:t>
      </w:r>
      <w:proofErr w:type="spellStart"/>
      <w:r w:rsidRPr="000475BC">
        <w:rPr>
          <w:lang w:val="en-GB"/>
        </w:rPr>
        <w:t>NovoRapid</w:t>
      </w:r>
      <w:proofErr w:type="spellEnd"/>
      <w:r w:rsidRPr="000475BC">
        <w:rPr>
          <w:lang w:val="en-GB"/>
        </w:rPr>
        <w:t xml:space="preserve">. For </w:t>
      </w:r>
      <w:proofErr w:type="spellStart"/>
      <w:r w:rsidRPr="000475BC">
        <w:rPr>
          <w:lang w:val="en-GB"/>
        </w:rPr>
        <w:t>Fiasp</w:t>
      </w:r>
      <w:proofErr w:type="spellEnd"/>
      <w:r w:rsidRPr="000475BC">
        <w:rPr>
          <w:lang w:val="en-GB"/>
        </w:rPr>
        <w:t xml:space="preserve"> </w:t>
      </w:r>
      <w:proofErr w:type="spellStart"/>
      <w:r w:rsidRPr="000475BC">
        <w:rPr>
          <w:lang w:val="en-GB"/>
        </w:rPr>
        <w:t>postmeal</w:t>
      </w:r>
      <w:proofErr w:type="spellEnd"/>
      <w:r>
        <w:rPr>
          <w:lang w:val="en-GB"/>
        </w:rPr>
        <w:t xml:space="preserve"> </w:t>
      </w:r>
      <w:r w:rsidRPr="000475BC">
        <w:rPr>
          <w:lang w:val="en-GB"/>
        </w:rPr>
        <w:t>this comparison favoured</w:t>
      </w:r>
      <w:r>
        <w:rPr>
          <w:lang w:val="en-GB"/>
        </w:rPr>
        <w:t xml:space="preserve"> </w:t>
      </w:r>
      <w:proofErr w:type="spellStart"/>
      <w:r w:rsidRPr="000475BC">
        <w:rPr>
          <w:lang w:val="en-GB"/>
        </w:rPr>
        <w:t>NovoRapid</w:t>
      </w:r>
      <w:proofErr w:type="spellEnd"/>
      <w:r w:rsidRPr="000475BC">
        <w:rPr>
          <w:lang w:val="en-GB"/>
        </w:rPr>
        <w:t xml:space="preserve"> mealtime.</w:t>
      </w:r>
    </w:p>
    <w:p w14:paraId="735BA437" w14:textId="61DF856D" w:rsidR="000475BC" w:rsidRDefault="000475BC" w:rsidP="000475BC">
      <w:pPr>
        <w:rPr>
          <w:lang w:val="en-GB"/>
        </w:rPr>
      </w:pPr>
      <w:r w:rsidRPr="000475BC">
        <w:rPr>
          <w:lang w:val="en-GB"/>
        </w:rPr>
        <w:t>The observed effects and the safety</w:t>
      </w:r>
      <w:r>
        <w:rPr>
          <w:lang w:val="en-GB"/>
        </w:rPr>
        <w:t xml:space="preserve"> </w:t>
      </w:r>
      <w:r w:rsidRPr="000475BC">
        <w:rPr>
          <w:lang w:val="en-GB"/>
        </w:rPr>
        <w:t>profiles were comparable between</w:t>
      </w:r>
      <w:r>
        <w:rPr>
          <w:lang w:val="en-GB"/>
        </w:rPr>
        <w:t xml:space="preserve"> </w:t>
      </w:r>
      <w:r w:rsidRPr="000475BC">
        <w:rPr>
          <w:lang w:val="en-GB"/>
        </w:rPr>
        <w:t>all age groups.</w:t>
      </w:r>
    </w:p>
    <w:p w14:paraId="3D0EE3E9" w14:textId="4B290F18" w:rsidR="003A7D04" w:rsidRDefault="003A7D04" w:rsidP="003A7D04">
      <w:pPr>
        <w:ind w:left="1134" w:hanging="1134"/>
        <w:jc w:val="both"/>
        <w:rPr>
          <w:b/>
        </w:rPr>
      </w:pPr>
      <w:r w:rsidRPr="00D81D77">
        <w:rPr>
          <w:b/>
          <w:bCs/>
        </w:rPr>
        <w:t xml:space="preserve">Table </w:t>
      </w:r>
      <w:r w:rsidRPr="00D81D77">
        <w:rPr>
          <w:b/>
          <w:bCs/>
        </w:rPr>
        <w:fldChar w:fldCharType="begin"/>
      </w:r>
      <w:r w:rsidRPr="00D81D77">
        <w:rPr>
          <w:b/>
          <w:bCs/>
        </w:rPr>
        <w:instrText xml:space="preserve"> SEQ Table \* ARABIC </w:instrText>
      </w:r>
      <w:r w:rsidRPr="00D81D77">
        <w:rPr>
          <w:b/>
          <w:bCs/>
        </w:rPr>
        <w:fldChar w:fldCharType="separate"/>
      </w:r>
      <w:r w:rsidR="00BC4F8D">
        <w:rPr>
          <w:b/>
          <w:bCs/>
          <w:noProof/>
        </w:rPr>
        <w:t>6</w:t>
      </w:r>
      <w:r w:rsidRPr="00D81D77">
        <w:rPr>
          <w:b/>
          <w:bCs/>
        </w:rPr>
        <w:fldChar w:fldCharType="end"/>
      </w:r>
      <w:r w:rsidRPr="00D81D77">
        <w:rPr>
          <w:b/>
          <w:bCs/>
        </w:rPr>
        <w:tab/>
      </w:r>
      <w:r w:rsidRPr="00D81D77">
        <w:rPr>
          <w:b/>
        </w:rPr>
        <w:t xml:space="preserve">Results from </w:t>
      </w:r>
      <w:r w:rsidR="00CA080C">
        <w:rPr>
          <w:b/>
        </w:rPr>
        <w:t xml:space="preserve">a </w:t>
      </w:r>
      <w:proofErr w:type="gramStart"/>
      <w:r w:rsidR="007B6DD6">
        <w:rPr>
          <w:b/>
        </w:rPr>
        <w:t>26</w:t>
      </w:r>
      <w:r w:rsidRPr="00D81D77">
        <w:rPr>
          <w:b/>
        </w:rPr>
        <w:t xml:space="preserve"> week</w:t>
      </w:r>
      <w:proofErr w:type="gramEnd"/>
      <w:r w:rsidRPr="00D81D77">
        <w:rPr>
          <w:b/>
        </w:rPr>
        <w:t xml:space="preserve"> basal-bolus clinical trial in </w:t>
      </w:r>
      <w:r w:rsidR="00076893">
        <w:rPr>
          <w:b/>
        </w:rPr>
        <w:t>children and adolescents</w:t>
      </w:r>
      <w:r w:rsidRPr="00D81D77">
        <w:rPr>
          <w:b/>
        </w:rPr>
        <w:t xml:space="preserve"> with type </w:t>
      </w:r>
      <w:r w:rsidR="00076893">
        <w:rPr>
          <w:b/>
        </w:rPr>
        <w:t>1</w:t>
      </w:r>
      <w:r w:rsidRPr="00D81D77">
        <w:rPr>
          <w:b/>
        </w:rPr>
        <w:t xml:space="preserve"> diabetes</w:t>
      </w:r>
      <w:r w:rsidR="00076893">
        <w:rPr>
          <w:b/>
        </w:rPr>
        <w:t xml:space="preserve"> </w:t>
      </w:r>
    </w:p>
    <w:tbl>
      <w:tblPr>
        <w:tblStyle w:val="TRTableInternalBorders"/>
        <w:tblW w:w="5001" w:type="pct"/>
        <w:tblInd w:w="0" w:type="dxa"/>
        <w:tblBorders>
          <w:top w:val="single" w:sz="4" w:space="0" w:color="auto"/>
          <w:bottom w:val="single" w:sz="4" w:space="0" w:color="auto"/>
        </w:tblBorders>
        <w:tblLook w:val="04A0" w:firstRow="1" w:lastRow="0" w:firstColumn="1" w:lastColumn="0" w:noHBand="0" w:noVBand="1"/>
      </w:tblPr>
      <w:tblGrid>
        <w:gridCol w:w="3213"/>
        <w:gridCol w:w="1995"/>
        <w:gridCol w:w="1910"/>
        <w:gridCol w:w="1910"/>
      </w:tblGrid>
      <w:tr w:rsidR="00571F2D" w:rsidRPr="003736FA" w14:paraId="422EB702" w14:textId="77777777" w:rsidTr="005F2AB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779" w:type="pct"/>
            <w:tcBorders>
              <w:left w:val="nil"/>
              <w:right w:val="nil"/>
            </w:tcBorders>
          </w:tcPr>
          <w:p w14:paraId="0D8E14A2" w14:textId="77777777" w:rsidR="00571F2D" w:rsidRPr="003736FA" w:rsidRDefault="00571F2D" w:rsidP="00CA080C">
            <w:pPr>
              <w:pStyle w:val="BodyText"/>
              <w:spacing w:line="0" w:lineRule="atLeast"/>
              <w:contextualSpacing/>
            </w:pPr>
          </w:p>
        </w:tc>
        <w:tc>
          <w:tcPr>
            <w:tcW w:w="1105" w:type="pct"/>
            <w:tcBorders>
              <w:left w:val="nil"/>
              <w:right w:val="nil"/>
            </w:tcBorders>
          </w:tcPr>
          <w:p w14:paraId="1EBA4A3E" w14:textId="77777777" w:rsidR="00571F2D" w:rsidRPr="003736FA" w:rsidRDefault="00571F2D" w:rsidP="00CA080C">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Fiasp</w:t>
            </w:r>
            <w:proofErr w:type="spellEnd"/>
            <w:r w:rsidRPr="003736FA">
              <w:rPr>
                <w:b w:val="0"/>
              </w:rPr>
              <w:t xml:space="preserve"> </w:t>
            </w:r>
          </w:p>
          <w:p w14:paraId="6BBEF99F" w14:textId="57E1901F" w:rsidR="00571F2D" w:rsidRPr="003736FA" w:rsidRDefault="00571F2D" w:rsidP="00CA080C">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r w:rsidRPr="003736FA">
              <w:rPr>
                <w:b w:val="0"/>
              </w:rPr>
              <w:t>mealtime</w:t>
            </w:r>
            <w:r w:rsidRPr="003736FA">
              <w:rPr>
                <w:b w:val="0"/>
              </w:rPr>
              <w:br/>
              <w:t xml:space="preserve">+ insulin </w:t>
            </w:r>
            <w:proofErr w:type="spellStart"/>
            <w:r w:rsidRPr="003736FA">
              <w:rPr>
                <w:b w:val="0"/>
              </w:rPr>
              <w:t>de</w:t>
            </w:r>
            <w:r>
              <w:rPr>
                <w:b w:val="0"/>
              </w:rPr>
              <w:t>gludec</w:t>
            </w:r>
            <w:proofErr w:type="spellEnd"/>
          </w:p>
        </w:tc>
        <w:tc>
          <w:tcPr>
            <w:tcW w:w="1058" w:type="pct"/>
            <w:tcBorders>
              <w:left w:val="nil"/>
              <w:right w:val="nil"/>
            </w:tcBorders>
          </w:tcPr>
          <w:p w14:paraId="187B4572" w14:textId="77777777" w:rsidR="00571F2D" w:rsidRPr="003736FA" w:rsidRDefault="00571F2D" w:rsidP="00CA080C">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Fiasp</w:t>
            </w:r>
            <w:proofErr w:type="spellEnd"/>
            <w:r w:rsidRPr="003736FA">
              <w:rPr>
                <w:b w:val="0"/>
              </w:rPr>
              <w:t xml:space="preserve"> </w:t>
            </w:r>
          </w:p>
          <w:p w14:paraId="4C23E37B" w14:textId="5F8393D4" w:rsidR="00571F2D" w:rsidRPr="003736FA" w:rsidRDefault="00571F2D" w:rsidP="00CA080C">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3736FA">
              <w:rPr>
                <w:b w:val="0"/>
              </w:rPr>
              <w:t>postmeal</w:t>
            </w:r>
            <w:proofErr w:type="spellEnd"/>
            <w:r w:rsidRPr="003736FA">
              <w:rPr>
                <w:b w:val="0"/>
              </w:rPr>
              <w:br/>
              <w:t xml:space="preserve">+ insulin </w:t>
            </w:r>
            <w:proofErr w:type="spellStart"/>
            <w:r w:rsidRPr="003736FA">
              <w:rPr>
                <w:b w:val="0"/>
              </w:rPr>
              <w:t>de</w:t>
            </w:r>
            <w:r>
              <w:rPr>
                <w:b w:val="0"/>
              </w:rPr>
              <w:t>gludec</w:t>
            </w:r>
            <w:proofErr w:type="spellEnd"/>
          </w:p>
        </w:tc>
        <w:tc>
          <w:tcPr>
            <w:tcW w:w="1058" w:type="pct"/>
            <w:tcBorders>
              <w:left w:val="nil"/>
              <w:right w:val="nil"/>
            </w:tcBorders>
          </w:tcPr>
          <w:p w14:paraId="17DAC0F3" w14:textId="77777777" w:rsidR="00571F2D" w:rsidRPr="003736FA" w:rsidRDefault="00571F2D" w:rsidP="00CA080C">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3736FA">
              <w:rPr>
                <w:b w:val="0"/>
              </w:rPr>
              <w:t>NovoRapid</w:t>
            </w:r>
            <w:proofErr w:type="spellEnd"/>
            <w:r w:rsidRPr="003736FA">
              <w:rPr>
                <w:b w:val="0"/>
              </w:rPr>
              <w:t xml:space="preserve"> </w:t>
            </w:r>
          </w:p>
          <w:p w14:paraId="3E28E6E5" w14:textId="156D5687" w:rsidR="00571F2D" w:rsidRPr="003736FA" w:rsidRDefault="00571F2D" w:rsidP="00CA080C">
            <w:pPr>
              <w:pStyle w:val="BodyText"/>
              <w:spacing w:line="0" w:lineRule="atLeast"/>
              <w:contextualSpacing/>
              <w:jc w:val="center"/>
              <w:cnfStyle w:val="100000000000" w:firstRow="1" w:lastRow="0" w:firstColumn="0" w:lastColumn="0" w:oddVBand="0" w:evenVBand="0" w:oddHBand="0" w:evenHBand="0" w:firstRowFirstColumn="0" w:firstRowLastColumn="0" w:lastRowFirstColumn="0" w:lastRowLastColumn="0"/>
              <w:rPr>
                <w:b w:val="0"/>
              </w:rPr>
            </w:pPr>
            <w:r w:rsidRPr="003736FA">
              <w:rPr>
                <w:b w:val="0"/>
              </w:rPr>
              <w:t>mealtime</w:t>
            </w:r>
            <w:r w:rsidRPr="003736FA">
              <w:rPr>
                <w:b w:val="0"/>
              </w:rPr>
              <w:br/>
              <w:t xml:space="preserve">+ insulin </w:t>
            </w:r>
            <w:proofErr w:type="spellStart"/>
            <w:r w:rsidRPr="003736FA">
              <w:rPr>
                <w:b w:val="0"/>
              </w:rPr>
              <w:t>de</w:t>
            </w:r>
            <w:r>
              <w:rPr>
                <w:b w:val="0"/>
              </w:rPr>
              <w:t>gludec</w:t>
            </w:r>
            <w:proofErr w:type="spellEnd"/>
          </w:p>
        </w:tc>
      </w:tr>
      <w:tr w:rsidR="00571F2D" w:rsidRPr="003736FA" w14:paraId="1B2612F1" w14:textId="77777777" w:rsidTr="005F2AB0">
        <w:trPr>
          <w:trHeight w:val="175"/>
        </w:trPr>
        <w:tc>
          <w:tcPr>
            <w:tcW w:w="1779" w:type="pct"/>
            <w:tcBorders>
              <w:left w:val="nil"/>
              <w:right w:val="nil"/>
            </w:tcBorders>
          </w:tcPr>
          <w:p w14:paraId="152F9D13" w14:textId="77777777" w:rsidR="00571F2D" w:rsidRPr="009D4321" w:rsidRDefault="00571F2D" w:rsidP="00CA080C">
            <w:pPr>
              <w:pStyle w:val="BodyText"/>
              <w:spacing w:line="0" w:lineRule="atLeast"/>
              <w:contextualSpacing/>
              <w:rPr>
                <w:b/>
                <w:sz w:val="20"/>
              </w:rPr>
            </w:pPr>
            <w:r w:rsidRPr="009D4321">
              <w:rPr>
                <w:b/>
                <w:sz w:val="20"/>
              </w:rPr>
              <w:t>N</w:t>
            </w:r>
          </w:p>
        </w:tc>
        <w:tc>
          <w:tcPr>
            <w:tcW w:w="1105" w:type="pct"/>
            <w:tcBorders>
              <w:left w:val="nil"/>
              <w:right w:val="nil"/>
            </w:tcBorders>
          </w:tcPr>
          <w:p w14:paraId="5EA9911B" w14:textId="14F15823" w:rsidR="00571F2D" w:rsidRPr="003736FA" w:rsidRDefault="00571F2D" w:rsidP="00CA080C">
            <w:pPr>
              <w:pStyle w:val="BodyText"/>
              <w:spacing w:line="0" w:lineRule="atLeast"/>
              <w:contextualSpacing/>
              <w:jc w:val="center"/>
            </w:pPr>
            <w:r>
              <w:rPr>
                <w:sz w:val="16"/>
              </w:rPr>
              <w:t>260</w:t>
            </w:r>
          </w:p>
        </w:tc>
        <w:tc>
          <w:tcPr>
            <w:tcW w:w="1058" w:type="pct"/>
            <w:tcBorders>
              <w:left w:val="nil"/>
              <w:right w:val="nil"/>
            </w:tcBorders>
          </w:tcPr>
          <w:p w14:paraId="2A30A349" w14:textId="6B5B8CDC" w:rsidR="00571F2D" w:rsidRPr="003736FA" w:rsidRDefault="00571F2D" w:rsidP="00CA080C">
            <w:pPr>
              <w:pStyle w:val="BodyText"/>
              <w:spacing w:line="0" w:lineRule="atLeast"/>
              <w:contextualSpacing/>
              <w:jc w:val="center"/>
            </w:pPr>
            <w:r>
              <w:rPr>
                <w:sz w:val="16"/>
              </w:rPr>
              <w:t>259</w:t>
            </w:r>
          </w:p>
        </w:tc>
        <w:tc>
          <w:tcPr>
            <w:tcW w:w="1058" w:type="pct"/>
            <w:tcBorders>
              <w:left w:val="nil"/>
              <w:right w:val="nil"/>
            </w:tcBorders>
          </w:tcPr>
          <w:p w14:paraId="26F4DF45" w14:textId="22B139DC" w:rsidR="00571F2D" w:rsidRPr="003736FA" w:rsidRDefault="00571F2D" w:rsidP="00CA080C">
            <w:pPr>
              <w:pStyle w:val="BodyText"/>
              <w:spacing w:line="0" w:lineRule="atLeast"/>
              <w:contextualSpacing/>
              <w:jc w:val="center"/>
            </w:pPr>
            <w:r>
              <w:rPr>
                <w:sz w:val="16"/>
              </w:rPr>
              <w:t>258</w:t>
            </w:r>
          </w:p>
        </w:tc>
      </w:tr>
      <w:tr w:rsidR="00571F2D" w:rsidRPr="003736FA" w14:paraId="4DC563F4" w14:textId="77777777" w:rsidTr="005F2AB0">
        <w:tc>
          <w:tcPr>
            <w:tcW w:w="1779" w:type="pct"/>
            <w:tcBorders>
              <w:left w:val="nil"/>
              <w:bottom w:val="nil"/>
              <w:right w:val="nil"/>
            </w:tcBorders>
            <w:tcMar>
              <w:top w:w="0" w:type="dxa"/>
              <w:bottom w:w="0" w:type="dxa"/>
            </w:tcMar>
          </w:tcPr>
          <w:p w14:paraId="1EB155DC" w14:textId="77777777" w:rsidR="00571F2D" w:rsidRPr="009D4321" w:rsidRDefault="00571F2D" w:rsidP="00CA080C">
            <w:pPr>
              <w:pStyle w:val="BodyText"/>
              <w:spacing w:line="0" w:lineRule="atLeast"/>
              <w:contextualSpacing/>
              <w:rPr>
                <w:sz w:val="20"/>
              </w:rPr>
            </w:pPr>
            <w:r w:rsidRPr="009D4321">
              <w:rPr>
                <w:b/>
                <w:sz w:val="20"/>
              </w:rPr>
              <w:t>HbA</w:t>
            </w:r>
            <w:r w:rsidRPr="009D4321">
              <w:rPr>
                <w:b/>
                <w:sz w:val="20"/>
                <w:vertAlign w:val="subscript"/>
              </w:rPr>
              <w:t>1c</w:t>
            </w:r>
            <w:r w:rsidRPr="009D4321">
              <w:rPr>
                <w:b/>
                <w:sz w:val="20"/>
              </w:rPr>
              <w:t xml:space="preserve"> (%)</w:t>
            </w:r>
          </w:p>
        </w:tc>
        <w:tc>
          <w:tcPr>
            <w:tcW w:w="1105" w:type="pct"/>
            <w:tcBorders>
              <w:left w:val="nil"/>
              <w:bottom w:val="nil"/>
              <w:right w:val="nil"/>
            </w:tcBorders>
            <w:tcMar>
              <w:top w:w="0" w:type="dxa"/>
              <w:bottom w:w="0" w:type="dxa"/>
            </w:tcMar>
          </w:tcPr>
          <w:p w14:paraId="14379624" w14:textId="77777777" w:rsidR="00571F2D" w:rsidRPr="003736FA" w:rsidRDefault="00571F2D" w:rsidP="00CA080C">
            <w:pPr>
              <w:pStyle w:val="BodyText"/>
              <w:spacing w:line="0" w:lineRule="atLeast"/>
              <w:contextualSpacing/>
              <w:jc w:val="center"/>
              <w:rPr>
                <w:i/>
              </w:rPr>
            </w:pPr>
          </w:p>
        </w:tc>
        <w:tc>
          <w:tcPr>
            <w:tcW w:w="1058" w:type="pct"/>
            <w:tcBorders>
              <w:left w:val="nil"/>
              <w:bottom w:val="nil"/>
              <w:right w:val="nil"/>
            </w:tcBorders>
            <w:tcMar>
              <w:top w:w="0" w:type="dxa"/>
              <w:bottom w:w="0" w:type="dxa"/>
            </w:tcMar>
          </w:tcPr>
          <w:p w14:paraId="3387A5EA" w14:textId="77777777" w:rsidR="00571F2D" w:rsidRPr="003736FA" w:rsidRDefault="00571F2D" w:rsidP="00CA080C">
            <w:pPr>
              <w:pStyle w:val="BodyText"/>
              <w:spacing w:line="0" w:lineRule="atLeast"/>
              <w:contextualSpacing/>
              <w:jc w:val="center"/>
            </w:pPr>
          </w:p>
        </w:tc>
        <w:tc>
          <w:tcPr>
            <w:tcW w:w="1058" w:type="pct"/>
            <w:tcBorders>
              <w:left w:val="nil"/>
              <w:bottom w:val="nil"/>
              <w:right w:val="nil"/>
            </w:tcBorders>
            <w:tcMar>
              <w:top w:w="0" w:type="dxa"/>
              <w:bottom w:w="0" w:type="dxa"/>
            </w:tcMar>
          </w:tcPr>
          <w:p w14:paraId="75F4DCBE" w14:textId="77777777" w:rsidR="00571F2D" w:rsidRPr="003736FA" w:rsidRDefault="00571F2D" w:rsidP="00CA080C">
            <w:pPr>
              <w:pStyle w:val="BodyText"/>
              <w:spacing w:line="0" w:lineRule="atLeast"/>
              <w:contextualSpacing/>
              <w:jc w:val="center"/>
            </w:pPr>
          </w:p>
        </w:tc>
      </w:tr>
      <w:tr w:rsidR="00571F2D" w:rsidRPr="003736FA" w14:paraId="195760E7" w14:textId="77777777" w:rsidTr="005F2AB0">
        <w:tc>
          <w:tcPr>
            <w:tcW w:w="1779" w:type="pct"/>
            <w:tcBorders>
              <w:top w:val="nil"/>
              <w:left w:val="nil"/>
              <w:bottom w:val="nil"/>
              <w:right w:val="nil"/>
            </w:tcBorders>
            <w:tcMar>
              <w:top w:w="0" w:type="dxa"/>
              <w:bottom w:w="0" w:type="dxa"/>
            </w:tcMar>
          </w:tcPr>
          <w:p w14:paraId="28985618" w14:textId="0134E1D1" w:rsidR="00571F2D" w:rsidRPr="00E711B2" w:rsidRDefault="00571F2D" w:rsidP="00CA080C">
            <w:pPr>
              <w:pStyle w:val="BodyText"/>
              <w:spacing w:line="0" w:lineRule="atLeast"/>
              <w:contextualSpacing/>
              <w:rPr>
                <w:b/>
                <w:sz w:val="16"/>
              </w:rPr>
            </w:pPr>
            <w:r w:rsidRPr="00E711B2">
              <w:rPr>
                <w:sz w:val="16"/>
              </w:rPr>
              <w:t xml:space="preserve">Baseline </w:t>
            </w:r>
            <w:r w:rsidR="008F58C9" w:rsidRPr="00E711B2">
              <w:sym w:font="Wingdings 3" w:char="F09E"/>
            </w:r>
            <w:r w:rsidR="008F58C9" w:rsidRPr="00E711B2">
              <w:t xml:space="preserve"> </w:t>
            </w:r>
            <w:r w:rsidR="008F58C9" w:rsidRPr="00E711B2">
              <w:rPr>
                <w:sz w:val="16"/>
                <w:szCs w:val="16"/>
              </w:rPr>
              <w:t>End of trial</w:t>
            </w:r>
          </w:p>
        </w:tc>
        <w:tc>
          <w:tcPr>
            <w:tcW w:w="1105" w:type="pct"/>
            <w:tcBorders>
              <w:top w:val="nil"/>
              <w:left w:val="nil"/>
              <w:bottom w:val="nil"/>
              <w:right w:val="nil"/>
            </w:tcBorders>
            <w:tcMar>
              <w:top w:w="0" w:type="dxa"/>
              <w:bottom w:w="0" w:type="dxa"/>
            </w:tcMar>
          </w:tcPr>
          <w:p w14:paraId="772B9103" w14:textId="64C7B716" w:rsidR="00571F2D" w:rsidRPr="00E711B2" w:rsidRDefault="00571F2D" w:rsidP="00CA080C">
            <w:pPr>
              <w:pStyle w:val="BodyText"/>
              <w:spacing w:line="0" w:lineRule="atLeast"/>
              <w:contextualSpacing/>
              <w:jc w:val="center"/>
              <w:rPr>
                <w:sz w:val="16"/>
              </w:rPr>
            </w:pPr>
            <w:r w:rsidRPr="00E711B2">
              <w:rPr>
                <w:sz w:val="16"/>
              </w:rPr>
              <w:t>7.</w:t>
            </w:r>
            <w:r w:rsidR="00161A68" w:rsidRPr="00E711B2">
              <w:rPr>
                <w:sz w:val="16"/>
                <w:szCs w:val="16"/>
              </w:rPr>
              <w:t>6</w:t>
            </w:r>
            <w:r w:rsidR="008F58C9" w:rsidRPr="00E711B2">
              <w:rPr>
                <w:sz w:val="16"/>
                <w:szCs w:val="16"/>
              </w:rPr>
              <w:t xml:space="preserve"> </w:t>
            </w:r>
            <w:r w:rsidR="008F58C9" w:rsidRPr="00E711B2">
              <w:rPr>
                <w:sz w:val="16"/>
                <w:szCs w:val="16"/>
              </w:rPr>
              <w:sym w:font="Wingdings 3" w:char="F09E"/>
            </w:r>
            <w:r w:rsidR="008F58C9" w:rsidRPr="00E711B2">
              <w:rPr>
                <w:sz w:val="16"/>
                <w:szCs w:val="16"/>
              </w:rPr>
              <w:t xml:space="preserve"> </w:t>
            </w:r>
            <w:r w:rsidR="005F2AB0" w:rsidRPr="00E711B2">
              <w:rPr>
                <w:sz w:val="16"/>
                <w:szCs w:val="16"/>
              </w:rPr>
              <w:t>7.6</w:t>
            </w:r>
          </w:p>
        </w:tc>
        <w:tc>
          <w:tcPr>
            <w:tcW w:w="1058" w:type="pct"/>
            <w:tcBorders>
              <w:top w:val="nil"/>
              <w:left w:val="nil"/>
              <w:bottom w:val="nil"/>
              <w:right w:val="nil"/>
            </w:tcBorders>
            <w:tcMar>
              <w:top w:w="0" w:type="dxa"/>
              <w:bottom w:w="0" w:type="dxa"/>
            </w:tcMar>
          </w:tcPr>
          <w:p w14:paraId="5D670611" w14:textId="5CC7AE9E" w:rsidR="00571F2D" w:rsidRPr="00E711B2" w:rsidRDefault="00571F2D" w:rsidP="00CA080C">
            <w:pPr>
              <w:pStyle w:val="BodyText"/>
              <w:spacing w:line="0" w:lineRule="atLeast"/>
              <w:contextualSpacing/>
              <w:jc w:val="center"/>
              <w:rPr>
                <w:sz w:val="16"/>
              </w:rPr>
            </w:pPr>
            <w:r w:rsidRPr="00E711B2">
              <w:rPr>
                <w:sz w:val="16"/>
              </w:rPr>
              <w:t>7.</w:t>
            </w:r>
            <w:r w:rsidR="00161A68" w:rsidRPr="00E711B2">
              <w:rPr>
                <w:sz w:val="16"/>
              </w:rPr>
              <w:t>6</w:t>
            </w:r>
            <w:r w:rsidR="005F2AB0" w:rsidRPr="00E711B2">
              <w:rPr>
                <w:sz w:val="16"/>
              </w:rPr>
              <w:t xml:space="preserve"> </w:t>
            </w:r>
            <w:r w:rsidR="005F2AB0" w:rsidRPr="00E711B2">
              <w:rPr>
                <w:sz w:val="16"/>
                <w:szCs w:val="16"/>
              </w:rPr>
              <w:sym w:font="Wingdings 3" w:char="F09E"/>
            </w:r>
            <w:r w:rsidR="005F2AB0" w:rsidRPr="00E711B2">
              <w:rPr>
                <w:sz w:val="16"/>
                <w:szCs w:val="16"/>
              </w:rPr>
              <w:t xml:space="preserve"> 7.</w:t>
            </w:r>
            <w:r w:rsidR="00161A68" w:rsidRPr="00E711B2">
              <w:rPr>
                <w:sz w:val="16"/>
                <w:szCs w:val="16"/>
              </w:rPr>
              <w:t>9</w:t>
            </w:r>
          </w:p>
        </w:tc>
        <w:tc>
          <w:tcPr>
            <w:tcW w:w="1058" w:type="pct"/>
            <w:tcBorders>
              <w:top w:val="nil"/>
              <w:left w:val="nil"/>
              <w:bottom w:val="nil"/>
              <w:right w:val="nil"/>
            </w:tcBorders>
            <w:tcMar>
              <w:top w:w="0" w:type="dxa"/>
              <w:bottom w:w="0" w:type="dxa"/>
            </w:tcMar>
          </w:tcPr>
          <w:p w14:paraId="54609C42" w14:textId="7382D0B7" w:rsidR="00571F2D" w:rsidRPr="00E711B2" w:rsidRDefault="00571F2D" w:rsidP="00CA080C">
            <w:pPr>
              <w:pStyle w:val="BodyText"/>
              <w:spacing w:line="0" w:lineRule="atLeast"/>
              <w:contextualSpacing/>
              <w:jc w:val="center"/>
              <w:rPr>
                <w:sz w:val="16"/>
              </w:rPr>
            </w:pPr>
            <w:r w:rsidRPr="00E711B2">
              <w:rPr>
                <w:sz w:val="16"/>
              </w:rPr>
              <w:t>7.5</w:t>
            </w:r>
            <w:r w:rsidR="005F2AB0" w:rsidRPr="00E711B2">
              <w:rPr>
                <w:sz w:val="16"/>
              </w:rPr>
              <w:t xml:space="preserve"> </w:t>
            </w:r>
            <w:r w:rsidR="005F2AB0" w:rsidRPr="00E711B2">
              <w:rPr>
                <w:sz w:val="16"/>
                <w:szCs w:val="16"/>
              </w:rPr>
              <w:sym w:font="Wingdings 3" w:char="F09E"/>
            </w:r>
            <w:r w:rsidR="005F2AB0" w:rsidRPr="00E711B2">
              <w:rPr>
                <w:sz w:val="16"/>
                <w:szCs w:val="16"/>
              </w:rPr>
              <w:t xml:space="preserve"> 7.</w:t>
            </w:r>
            <w:r w:rsidR="00161A68" w:rsidRPr="00E711B2">
              <w:rPr>
                <w:sz w:val="16"/>
                <w:szCs w:val="16"/>
              </w:rPr>
              <w:t>8</w:t>
            </w:r>
          </w:p>
        </w:tc>
      </w:tr>
      <w:tr w:rsidR="00571F2D" w:rsidRPr="003736FA" w14:paraId="5A834DA0" w14:textId="77777777" w:rsidTr="005F2AB0">
        <w:tc>
          <w:tcPr>
            <w:tcW w:w="1779" w:type="pct"/>
            <w:tcBorders>
              <w:top w:val="nil"/>
              <w:left w:val="nil"/>
              <w:bottom w:val="nil"/>
              <w:right w:val="nil"/>
            </w:tcBorders>
            <w:tcMar>
              <w:top w:w="0" w:type="dxa"/>
              <w:bottom w:w="0" w:type="dxa"/>
            </w:tcMar>
          </w:tcPr>
          <w:p w14:paraId="482D37FD" w14:textId="7C8DFD34" w:rsidR="00571F2D" w:rsidRPr="00E711B2" w:rsidRDefault="00571F2D" w:rsidP="00CA080C">
            <w:pPr>
              <w:pStyle w:val="BodyText"/>
              <w:spacing w:line="0" w:lineRule="atLeast"/>
              <w:contextualSpacing/>
              <w:rPr>
                <w:b/>
                <w:sz w:val="16"/>
              </w:rPr>
            </w:pPr>
            <w:r w:rsidRPr="00E711B2">
              <w:rPr>
                <w:sz w:val="16"/>
              </w:rPr>
              <w:t xml:space="preserve">Adjusted change from baseline </w:t>
            </w:r>
          </w:p>
        </w:tc>
        <w:tc>
          <w:tcPr>
            <w:tcW w:w="1105" w:type="pct"/>
            <w:tcBorders>
              <w:top w:val="nil"/>
              <w:left w:val="nil"/>
              <w:bottom w:val="nil"/>
              <w:right w:val="nil"/>
            </w:tcBorders>
            <w:tcMar>
              <w:top w:w="0" w:type="dxa"/>
              <w:bottom w:w="0" w:type="dxa"/>
            </w:tcMar>
          </w:tcPr>
          <w:p w14:paraId="09C9B5FC" w14:textId="5D9CA739" w:rsidR="00571F2D" w:rsidRPr="00E711B2" w:rsidRDefault="00571F2D" w:rsidP="00CA080C">
            <w:pPr>
              <w:pStyle w:val="BodyText"/>
              <w:spacing w:line="0" w:lineRule="atLeast"/>
              <w:contextualSpacing/>
              <w:jc w:val="center"/>
              <w:rPr>
                <w:sz w:val="16"/>
              </w:rPr>
            </w:pPr>
            <w:r w:rsidRPr="00E711B2">
              <w:rPr>
                <w:sz w:val="16"/>
              </w:rPr>
              <w:t>0.06</w:t>
            </w:r>
          </w:p>
        </w:tc>
        <w:tc>
          <w:tcPr>
            <w:tcW w:w="1058" w:type="pct"/>
            <w:tcBorders>
              <w:top w:val="nil"/>
              <w:left w:val="nil"/>
              <w:bottom w:val="nil"/>
              <w:right w:val="nil"/>
            </w:tcBorders>
            <w:tcMar>
              <w:top w:w="0" w:type="dxa"/>
              <w:bottom w:w="0" w:type="dxa"/>
            </w:tcMar>
          </w:tcPr>
          <w:p w14:paraId="1A574C8E" w14:textId="30B02F9A" w:rsidR="00571F2D" w:rsidRPr="00E711B2" w:rsidRDefault="00571F2D" w:rsidP="00CA080C">
            <w:pPr>
              <w:pStyle w:val="BodyText"/>
              <w:spacing w:line="0" w:lineRule="atLeast"/>
              <w:contextualSpacing/>
              <w:jc w:val="center"/>
              <w:rPr>
                <w:sz w:val="16"/>
              </w:rPr>
            </w:pPr>
            <w:r w:rsidRPr="00E711B2">
              <w:rPr>
                <w:sz w:val="16"/>
              </w:rPr>
              <w:t>0.35</w:t>
            </w:r>
          </w:p>
        </w:tc>
        <w:tc>
          <w:tcPr>
            <w:tcW w:w="1058" w:type="pct"/>
            <w:tcBorders>
              <w:top w:val="nil"/>
              <w:left w:val="nil"/>
              <w:bottom w:val="nil"/>
              <w:right w:val="nil"/>
            </w:tcBorders>
            <w:tcMar>
              <w:top w:w="0" w:type="dxa"/>
              <w:bottom w:w="0" w:type="dxa"/>
            </w:tcMar>
          </w:tcPr>
          <w:p w14:paraId="2220AC6B" w14:textId="6C3CD135" w:rsidR="00571F2D" w:rsidRPr="00E711B2" w:rsidRDefault="00571F2D" w:rsidP="00CA080C">
            <w:pPr>
              <w:pStyle w:val="BodyText"/>
              <w:spacing w:line="0" w:lineRule="atLeast"/>
              <w:contextualSpacing/>
              <w:jc w:val="center"/>
              <w:rPr>
                <w:sz w:val="16"/>
              </w:rPr>
            </w:pPr>
            <w:r w:rsidRPr="00E711B2">
              <w:rPr>
                <w:sz w:val="16"/>
              </w:rPr>
              <w:t>0.22</w:t>
            </w:r>
          </w:p>
        </w:tc>
      </w:tr>
      <w:tr w:rsidR="005C471B" w:rsidRPr="003736FA" w14:paraId="2B6F1EB8" w14:textId="77777777" w:rsidTr="005F2AB0">
        <w:tc>
          <w:tcPr>
            <w:tcW w:w="1779" w:type="pct"/>
            <w:tcBorders>
              <w:top w:val="nil"/>
              <w:left w:val="nil"/>
              <w:bottom w:val="nil"/>
              <w:right w:val="nil"/>
            </w:tcBorders>
            <w:tcMar>
              <w:top w:w="0" w:type="dxa"/>
              <w:bottom w:w="0" w:type="dxa"/>
            </w:tcMar>
          </w:tcPr>
          <w:p w14:paraId="7A45DB46" w14:textId="6A60CA53" w:rsidR="005C471B" w:rsidRPr="00E711B2" w:rsidRDefault="005C471B" w:rsidP="005C471B">
            <w:pPr>
              <w:pStyle w:val="BodyText"/>
              <w:spacing w:line="0" w:lineRule="atLeast"/>
              <w:contextualSpacing/>
              <w:rPr>
                <w:b/>
                <w:i/>
                <w:sz w:val="16"/>
              </w:rPr>
            </w:pPr>
            <w:r w:rsidRPr="00E711B2">
              <w:rPr>
                <w:i/>
                <w:sz w:val="16"/>
              </w:rPr>
              <w:t>Estimated treatment difference</w:t>
            </w:r>
          </w:p>
        </w:tc>
        <w:tc>
          <w:tcPr>
            <w:tcW w:w="1105" w:type="pct"/>
            <w:tcBorders>
              <w:top w:val="nil"/>
              <w:left w:val="nil"/>
              <w:bottom w:val="nil"/>
              <w:right w:val="nil"/>
            </w:tcBorders>
            <w:tcMar>
              <w:top w:w="0" w:type="dxa"/>
              <w:bottom w:w="0" w:type="dxa"/>
            </w:tcMar>
          </w:tcPr>
          <w:p w14:paraId="64F9F8B3" w14:textId="17CCB677" w:rsidR="005C471B" w:rsidRPr="00E711B2" w:rsidRDefault="005C471B" w:rsidP="005C471B">
            <w:pPr>
              <w:pStyle w:val="BodyText"/>
              <w:spacing w:line="0" w:lineRule="atLeast"/>
              <w:contextualSpacing/>
              <w:jc w:val="center"/>
              <w:rPr>
                <w:i/>
                <w:sz w:val="16"/>
              </w:rPr>
            </w:pPr>
            <w:r w:rsidRPr="00E711B2">
              <w:rPr>
                <w:i/>
                <w:sz w:val="16"/>
              </w:rPr>
              <w:t>-0.17 [-0.30; -0.03]</w:t>
            </w:r>
            <w:r w:rsidRPr="00E711B2">
              <w:rPr>
                <w:i/>
                <w:sz w:val="16"/>
                <w:vertAlign w:val="superscript"/>
              </w:rPr>
              <w:t>A,C</w:t>
            </w:r>
          </w:p>
        </w:tc>
        <w:tc>
          <w:tcPr>
            <w:tcW w:w="1058" w:type="pct"/>
            <w:tcBorders>
              <w:top w:val="nil"/>
              <w:left w:val="nil"/>
              <w:bottom w:val="nil"/>
              <w:right w:val="nil"/>
            </w:tcBorders>
            <w:tcMar>
              <w:top w:w="0" w:type="dxa"/>
              <w:bottom w:w="0" w:type="dxa"/>
            </w:tcMar>
          </w:tcPr>
          <w:p w14:paraId="64C6D6FF" w14:textId="1E3EC82B" w:rsidR="005C471B" w:rsidRPr="00E711B2" w:rsidRDefault="005C471B" w:rsidP="005C471B">
            <w:pPr>
              <w:pStyle w:val="BodyText"/>
              <w:spacing w:line="0" w:lineRule="atLeast"/>
              <w:contextualSpacing/>
              <w:jc w:val="center"/>
              <w:rPr>
                <w:i/>
                <w:sz w:val="16"/>
              </w:rPr>
            </w:pPr>
            <w:r w:rsidRPr="00E711B2">
              <w:rPr>
                <w:i/>
                <w:sz w:val="16"/>
              </w:rPr>
              <w:t>0.13 [-0.01; 0.26]</w:t>
            </w:r>
            <w:r w:rsidRPr="00E711B2">
              <w:rPr>
                <w:i/>
                <w:sz w:val="16"/>
                <w:vertAlign w:val="superscript"/>
              </w:rPr>
              <w:t>B</w:t>
            </w:r>
          </w:p>
        </w:tc>
        <w:tc>
          <w:tcPr>
            <w:tcW w:w="1058" w:type="pct"/>
            <w:tcBorders>
              <w:top w:val="nil"/>
              <w:left w:val="nil"/>
              <w:bottom w:val="nil"/>
              <w:right w:val="nil"/>
            </w:tcBorders>
            <w:tcMar>
              <w:top w:w="0" w:type="dxa"/>
              <w:bottom w:w="0" w:type="dxa"/>
            </w:tcMar>
          </w:tcPr>
          <w:p w14:paraId="3B32EB06" w14:textId="2583EBF7" w:rsidR="005C471B" w:rsidRPr="00E711B2" w:rsidRDefault="005C471B" w:rsidP="005C471B">
            <w:pPr>
              <w:pStyle w:val="BodyText"/>
              <w:spacing w:line="0" w:lineRule="atLeast"/>
              <w:contextualSpacing/>
              <w:jc w:val="center"/>
              <w:rPr>
                <w:sz w:val="16"/>
              </w:rPr>
            </w:pPr>
          </w:p>
        </w:tc>
      </w:tr>
      <w:tr w:rsidR="005C471B" w:rsidRPr="003736FA" w14:paraId="1080150D" w14:textId="77777777" w:rsidTr="001F7E8F">
        <w:tc>
          <w:tcPr>
            <w:tcW w:w="1779" w:type="pct"/>
            <w:tcBorders>
              <w:top w:val="single" w:sz="4" w:space="0" w:color="auto"/>
              <w:left w:val="nil"/>
              <w:bottom w:val="nil"/>
              <w:right w:val="nil"/>
            </w:tcBorders>
            <w:tcMar>
              <w:top w:w="0" w:type="dxa"/>
              <w:bottom w:w="0" w:type="dxa"/>
            </w:tcMar>
          </w:tcPr>
          <w:p w14:paraId="57E45180" w14:textId="29CA37DB" w:rsidR="005C471B" w:rsidRPr="00E711B2" w:rsidRDefault="005C471B" w:rsidP="005C471B">
            <w:pPr>
              <w:pStyle w:val="BodyText"/>
              <w:spacing w:line="0" w:lineRule="atLeast"/>
              <w:contextualSpacing/>
              <w:rPr>
                <w:iCs/>
                <w:sz w:val="20"/>
              </w:rPr>
            </w:pPr>
            <w:r w:rsidRPr="00E711B2">
              <w:rPr>
                <w:b/>
                <w:sz w:val="20"/>
              </w:rPr>
              <w:t>HbA</w:t>
            </w:r>
            <w:r w:rsidRPr="00E711B2">
              <w:rPr>
                <w:b/>
                <w:sz w:val="20"/>
                <w:vertAlign w:val="subscript"/>
              </w:rPr>
              <w:t>1c</w:t>
            </w:r>
            <w:r w:rsidRPr="00E711B2">
              <w:rPr>
                <w:b/>
                <w:sz w:val="20"/>
              </w:rPr>
              <w:t xml:space="preserve"> (mmol/mol)</w:t>
            </w:r>
          </w:p>
        </w:tc>
        <w:tc>
          <w:tcPr>
            <w:tcW w:w="1105" w:type="pct"/>
            <w:tcBorders>
              <w:top w:val="single" w:sz="4" w:space="0" w:color="auto"/>
              <w:left w:val="nil"/>
              <w:bottom w:val="nil"/>
              <w:right w:val="nil"/>
            </w:tcBorders>
            <w:tcMar>
              <w:top w:w="0" w:type="dxa"/>
              <w:bottom w:w="0" w:type="dxa"/>
            </w:tcMar>
          </w:tcPr>
          <w:p w14:paraId="6D178991" w14:textId="77777777" w:rsidR="005C471B" w:rsidRPr="00E711B2" w:rsidRDefault="005C471B" w:rsidP="005C471B">
            <w:pPr>
              <w:pStyle w:val="BodyText"/>
              <w:spacing w:line="0" w:lineRule="atLeast"/>
              <w:contextualSpacing/>
              <w:jc w:val="center"/>
              <w:rPr>
                <w:iCs/>
                <w:sz w:val="16"/>
              </w:rPr>
            </w:pPr>
          </w:p>
        </w:tc>
        <w:tc>
          <w:tcPr>
            <w:tcW w:w="1058" w:type="pct"/>
            <w:tcBorders>
              <w:top w:val="single" w:sz="4" w:space="0" w:color="auto"/>
              <w:left w:val="nil"/>
              <w:bottom w:val="nil"/>
              <w:right w:val="nil"/>
            </w:tcBorders>
            <w:tcMar>
              <w:top w:w="0" w:type="dxa"/>
              <w:bottom w:w="0" w:type="dxa"/>
            </w:tcMar>
          </w:tcPr>
          <w:p w14:paraId="3B05795C" w14:textId="77777777" w:rsidR="005C471B" w:rsidRPr="00E711B2" w:rsidRDefault="005C471B" w:rsidP="005C471B">
            <w:pPr>
              <w:pStyle w:val="BodyText"/>
              <w:spacing w:line="0" w:lineRule="atLeast"/>
              <w:contextualSpacing/>
              <w:jc w:val="center"/>
              <w:rPr>
                <w:iCs/>
                <w:sz w:val="16"/>
              </w:rPr>
            </w:pPr>
          </w:p>
        </w:tc>
        <w:tc>
          <w:tcPr>
            <w:tcW w:w="1058" w:type="pct"/>
            <w:tcBorders>
              <w:top w:val="single" w:sz="4" w:space="0" w:color="auto"/>
              <w:left w:val="nil"/>
              <w:bottom w:val="nil"/>
              <w:right w:val="nil"/>
            </w:tcBorders>
            <w:tcMar>
              <w:top w:w="0" w:type="dxa"/>
              <w:bottom w:w="0" w:type="dxa"/>
            </w:tcMar>
          </w:tcPr>
          <w:p w14:paraId="5C0D97A9" w14:textId="77777777" w:rsidR="005C471B" w:rsidRPr="00E711B2" w:rsidRDefault="005C471B" w:rsidP="005C471B">
            <w:pPr>
              <w:pStyle w:val="BodyText"/>
              <w:spacing w:line="0" w:lineRule="atLeast"/>
              <w:contextualSpacing/>
              <w:jc w:val="center"/>
              <w:rPr>
                <w:sz w:val="16"/>
              </w:rPr>
            </w:pPr>
          </w:p>
        </w:tc>
      </w:tr>
      <w:tr w:rsidR="005C471B" w:rsidRPr="003736FA" w14:paraId="209B8099" w14:textId="77777777" w:rsidTr="001F7E8F">
        <w:tc>
          <w:tcPr>
            <w:tcW w:w="1779" w:type="pct"/>
            <w:tcBorders>
              <w:top w:val="nil"/>
              <w:left w:val="nil"/>
              <w:bottom w:val="nil"/>
              <w:right w:val="nil"/>
            </w:tcBorders>
            <w:tcMar>
              <w:top w:w="0" w:type="dxa"/>
              <w:bottom w:w="0" w:type="dxa"/>
            </w:tcMar>
          </w:tcPr>
          <w:p w14:paraId="30A3C848" w14:textId="08A127BB" w:rsidR="005C471B" w:rsidRPr="00E711B2" w:rsidRDefault="005C471B" w:rsidP="005C471B">
            <w:pPr>
              <w:pStyle w:val="BodyText"/>
              <w:spacing w:line="0" w:lineRule="atLeast"/>
              <w:contextualSpacing/>
              <w:rPr>
                <w:b/>
              </w:rPr>
            </w:pPr>
            <w:r w:rsidRPr="00E711B2">
              <w:rPr>
                <w:sz w:val="16"/>
                <w:szCs w:val="16"/>
              </w:rPr>
              <w:t xml:space="preserve">Baseline </w:t>
            </w:r>
            <w:r w:rsidRPr="00E711B2">
              <w:sym w:font="Wingdings 3" w:char="F09E"/>
            </w:r>
            <w:r w:rsidRPr="00E711B2">
              <w:rPr>
                <w:sz w:val="16"/>
                <w:szCs w:val="16"/>
              </w:rPr>
              <w:t xml:space="preserve"> End of trial</w:t>
            </w:r>
          </w:p>
        </w:tc>
        <w:tc>
          <w:tcPr>
            <w:tcW w:w="1105" w:type="pct"/>
            <w:tcBorders>
              <w:top w:val="nil"/>
              <w:left w:val="nil"/>
              <w:bottom w:val="nil"/>
              <w:right w:val="nil"/>
            </w:tcBorders>
            <w:tcMar>
              <w:top w:w="0" w:type="dxa"/>
              <w:bottom w:w="0" w:type="dxa"/>
            </w:tcMar>
          </w:tcPr>
          <w:p w14:paraId="16474C5F" w14:textId="52A6EE38" w:rsidR="005C471B" w:rsidRPr="00E711B2" w:rsidRDefault="005C471B" w:rsidP="005C471B">
            <w:pPr>
              <w:pStyle w:val="BodyText"/>
              <w:spacing w:line="0" w:lineRule="atLeast"/>
              <w:contextualSpacing/>
              <w:jc w:val="center"/>
              <w:rPr>
                <w:iCs/>
                <w:sz w:val="16"/>
              </w:rPr>
            </w:pPr>
            <w:r w:rsidRPr="00E711B2">
              <w:rPr>
                <w:iCs/>
                <w:sz w:val="16"/>
              </w:rPr>
              <w:t xml:space="preserve">59.3 </w:t>
            </w:r>
            <w:r w:rsidRPr="00E711B2">
              <w:rPr>
                <w:sz w:val="16"/>
                <w:szCs w:val="16"/>
              </w:rPr>
              <w:sym w:font="Wingdings 3" w:char="F09E"/>
            </w:r>
            <w:r w:rsidRPr="00E711B2">
              <w:rPr>
                <w:sz w:val="16"/>
                <w:szCs w:val="16"/>
              </w:rPr>
              <w:t xml:space="preserve"> 59.9</w:t>
            </w:r>
          </w:p>
        </w:tc>
        <w:tc>
          <w:tcPr>
            <w:tcW w:w="1058" w:type="pct"/>
            <w:tcBorders>
              <w:top w:val="nil"/>
              <w:left w:val="nil"/>
              <w:bottom w:val="nil"/>
              <w:right w:val="nil"/>
            </w:tcBorders>
            <w:tcMar>
              <w:top w:w="0" w:type="dxa"/>
              <w:bottom w:w="0" w:type="dxa"/>
            </w:tcMar>
          </w:tcPr>
          <w:p w14:paraId="4849A6A9" w14:textId="6BBBA706" w:rsidR="005C471B" w:rsidRPr="00E711B2" w:rsidRDefault="005C471B" w:rsidP="005C471B">
            <w:pPr>
              <w:pStyle w:val="BodyText"/>
              <w:spacing w:line="0" w:lineRule="atLeast"/>
              <w:contextualSpacing/>
              <w:jc w:val="center"/>
              <w:rPr>
                <w:iCs/>
                <w:sz w:val="16"/>
              </w:rPr>
            </w:pPr>
            <w:r w:rsidRPr="00E711B2">
              <w:rPr>
                <w:iCs/>
                <w:sz w:val="16"/>
              </w:rPr>
              <w:t xml:space="preserve">59.4 </w:t>
            </w:r>
            <w:r w:rsidRPr="00E711B2">
              <w:rPr>
                <w:sz w:val="16"/>
                <w:szCs w:val="16"/>
              </w:rPr>
              <w:sym w:font="Wingdings 3" w:char="F09E"/>
            </w:r>
            <w:r w:rsidRPr="00E711B2">
              <w:rPr>
                <w:sz w:val="16"/>
                <w:szCs w:val="16"/>
              </w:rPr>
              <w:t xml:space="preserve"> 63.0</w:t>
            </w:r>
          </w:p>
        </w:tc>
        <w:tc>
          <w:tcPr>
            <w:tcW w:w="1058" w:type="pct"/>
            <w:tcBorders>
              <w:top w:val="nil"/>
              <w:left w:val="nil"/>
              <w:bottom w:val="nil"/>
              <w:right w:val="nil"/>
            </w:tcBorders>
            <w:tcMar>
              <w:top w:w="0" w:type="dxa"/>
              <w:bottom w:w="0" w:type="dxa"/>
            </w:tcMar>
          </w:tcPr>
          <w:p w14:paraId="4C8B8C8B" w14:textId="4562CE29" w:rsidR="005C471B" w:rsidRPr="00E711B2" w:rsidRDefault="005C471B" w:rsidP="005C471B">
            <w:pPr>
              <w:pStyle w:val="BodyText"/>
              <w:spacing w:line="0" w:lineRule="atLeast"/>
              <w:contextualSpacing/>
              <w:jc w:val="center"/>
              <w:rPr>
                <w:sz w:val="16"/>
              </w:rPr>
            </w:pPr>
            <w:r w:rsidRPr="00E711B2">
              <w:rPr>
                <w:iCs/>
                <w:sz w:val="16"/>
              </w:rPr>
              <w:t xml:space="preserve">58.8 </w:t>
            </w:r>
            <w:r w:rsidRPr="00E711B2">
              <w:rPr>
                <w:sz w:val="16"/>
                <w:szCs w:val="16"/>
              </w:rPr>
              <w:sym w:font="Wingdings 3" w:char="F09E"/>
            </w:r>
            <w:r w:rsidRPr="00E711B2">
              <w:rPr>
                <w:sz w:val="16"/>
                <w:szCs w:val="16"/>
              </w:rPr>
              <w:t xml:space="preserve"> 61.3</w:t>
            </w:r>
          </w:p>
        </w:tc>
      </w:tr>
      <w:tr w:rsidR="005C471B" w:rsidRPr="003736FA" w14:paraId="15BB7751" w14:textId="77777777" w:rsidTr="001F7E8F">
        <w:tc>
          <w:tcPr>
            <w:tcW w:w="1779" w:type="pct"/>
            <w:tcBorders>
              <w:top w:val="nil"/>
              <w:left w:val="nil"/>
              <w:bottom w:val="nil"/>
              <w:right w:val="nil"/>
            </w:tcBorders>
            <w:tcMar>
              <w:top w:w="0" w:type="dxa"/>
              <w:bottom w:w="0" w:type="dxa"/>
            </w:tcMar>
          </w:tcPr>
          <w:p w14:paraId="218DD691" w14:textId="53DD0889" w:rsidR="005C471B" w:rsidRPr="00E711B2" w:rsidRDefault="005C471B" w:rsidP="005C471B">
            <w:pPr>
              <w:pStyle w:val="BodyText"/>
              <w:spacing w:line="0" w:lineRule="atLeast"/>
              <w:contextualSpacing/>
              <w:rPr>
                <w:sz w:val="16"/>
                <w:szCs w:val="16"/>
              </w:rPr>
            </w:pPr>
            <w:r w:rsidRPr="00E711B2">
              <w:rPr>
                <w:sz w:val="16"/>
                <w:szCs w:val="16"/>
              </w:rPr>
              <w:t xml:space="preserve">Adjusted change from baseline </w:t>
            </w:r>
          </w:p>
        </w:tc>
        <w:tc>
          <w:tcPr>
            <w:tcW w:w="1105" w:type="pct"/>
            <w:tcBorders>
              <w:top w:val="nil"/>
              <w:left w:val="nil"/>
              <w:bottom w:val="nil"/>
              <w:right w:val="nil"/>
            </w:tcBorders>
            <w:tcMar>
              <w:top w:w="0" w:type="dxa"/>
              <w:bottom w:w="0" w:type="dxa"/>
            </w:tcMar>
          </w:tcPr>
          <w:p w14:paraId="596D4075" w14:textId="48A6CA96" w:rsidR="005C471B" w:rsidRPr="00E711B2" w:rsidRDefault="005C471B" w:rsidP="005C471B">
            <w:pPr>
              <w:pStyle w:val="BodyText"/>
              <w:spacing w:line="0" w:lineRule="atLeast"/>
              <w:contextualSpacing/>
              <w:jc w:val="center"/>
              <w:rPr>
                <w:iCs/>
                <w:sz w:val="16"/>
              </w:rPr>
            </w:pPr>
            <w:r w:rsidRPr="00E711B2">
              <w:rPr>
                <w:iCs/>
                <w:sz w:val="16"/>
              </w:rPr>
              <w:t>0.62</w:t>
            </w:r>
          </w:p>
        </w:tc>
        <w:tc>
          <w:tcPr>
            <w:tcW w:w="1058" w:type="pct"/>
            <w:tcBorders>
              <w:top w:val="nil"/>
              <w:left w:val="nil"/>
              <w:bottom w:val="nil"/>
              <w:right w:val="nil"/>
            </w:tcBorders>
            <w:tcMar>
              <w:top w:w="0" w:type="dxa"/>
              <w:bottom w:w="0" w:type="dxa"/>
            </w:tcMar>
          </w:tcPr>
          <w:p w14:paraId="4F4EA2CB" w14:textId="3A370C67" w:rsidR="005C471B" w:rsidRPr="00E711B2" w:rsidRDefault="005C471B" w:rsidP="005C471B">
            <w:pPr>
              <w:pStyle w:val="BodyText"/>
              <w:spacing w:line="0" w:lineRule="atLeast"/>
              <w:contextualSpacing/>
              <w:jc w:val="center"/>
              <w:rPr>
                <w:iCs/>
                <w:sz w:val="16"/>
              </w:rPr>
            </w:pPr>
            <w:r w:rsidRPr="00E711B2">
              <w:rPr>
                <w:iCs/>
                <w:sz w:val="16"/>
              </w:rPr>
              <w:t>3.84</w:t>
            </w:r>
          </w:p>
        </w:tc>
        <w:tc>
          <w:tcPr>
            <w:tcW w:w="1058" w:type="pct"/>
            <w:tcBorders>
              <w:top w:val="nil"/>
              <w:left w:val="nil"/>
              <w:bottom w:val="nil"/>
              <w:right w:val="nil"/>
            </w:tcBorders>
            <w:tcMar>
              <w:top w:w="0" w:type="dxa"/>
              <w:bottom w:w="0" w:type="dxa"/>
            </w:tcMar>
          </w:tcPr>
          <w:p w14:paraId="16C81ADE" w14:textId="434EDFA9" w:rsidR="005C471B" w:rsidRPr="00E711B2" w:rsidRDefault="005C471B" w:rsidP="005C471B">
            <w:pPr>
              <w:pStyle w:val="BodyText"/>
              <w:spacing w:line="0" w:lineRule="atLeast"/>
              <w:contextualSpacing/>
              <w:jc w:val="center"/>
              <w:rPr>
                <w:sz w:val="16"/>
              </w:rPr>
            </w:pPr>
            <w:r w:rsidRPr="00E711B2">
              <w:rPr>
                <w:sz w:val="16"/>
              </w:rPr>
              <w:t>2.44</w:t>
            </w:r>
          </w:p>
        </w:tc>
      </w:tr>
      <w:tr w:rsidR="005C471B" w:rsidRPr="003736FA" w14:paraId="028B630C" w14:textId="77777777" w:rsidTr="001A561D">
        <w:tc>
          <w:tcPr>
            <w:tcW w:w="1779" w:type="pct"/>
            <w:tcBorders>
              <w:top w:val="nil"/>
              <w:left w:val="nil"/>
              <w:bottom w:val="single" w:sz="4" w:space="0" w:color="auto"/>
              <w:right w:val="nil"/>
            </w:tcBorders>
            <w:tcMar>
              <w:top w:w="0" w:type="dxa"/>
              <w:bottom w:w="0" w:type="dxa"/>
            </w:tcMar>
          </w:tcPr>
          <w:p w14:paraId="523E808E" w14:textId="386371D1" w:rsidR="005C471B" w:rsidRPr="00E711B2" w:rsidRDefault="005C471B" w:rsidP="005C471B">
            <w:pPr>
              <w:pStyle w:val="BodyText"/>
              <w:spacing w:line="0" w:lineRule="atLeast"/>
              <w:contextualSpacing/>
              <w:rPr>
                <w:sz w:val="16"/>
                <w:szCs w:val="16"/>
              </w:rPr>
            </w:pPr>
            <w:r w:rsidRPr="00E711B2">
              <w:rPr>
                <w:i/>
                <w:sz w:val="16"/>
                <w:szCs w:val="16"/>
              </w:rPr>
              <w:t>Estimated treatment difference</w:t>
            </w:r>
          </w:p>
        </w:tc>
        <w:tc>
          <w:tcPr>
            <w:tcW w:w="1105" w:type="pct"/>
            <w:tcBorders>
              <w:top w:val="nil"/>
              <w:left w:val="nil"/>
              <w:bottom w:val="single" w:sz="4" w:space="0" w:color="auto"/>
              <w:right w:val="nil"/>
            </w:tcBorders>
            <w:tcMar>
              <w:top w:w="0" w:type="dxa"/>
              <w:bottom w:w="0" w:type="dxa"/>
            </w:tcMar>
          </w:tcPr>
          <w:p w14:paraId="42D6A47F" w14:textId="0CB92B7A" w:rsidR="005C471B" w:rsidRPr="00E711B2" w:rsidRDefault="005C471B" w:rsidP="005C471B">
            <w:pPr>
              <w:pStyle w:val="BodyText"/>
              <w:spacing w:line="0" w:lineRule="atLeast"/>
              <w:contextualSpacing/>
              <w:jc w:val="center"/>
              <w:rPr>
                <w:i/>
                <w:sz w:val="16"/>
              </w:rPr>
            </w:pPr>
            <w:r w:rsidRPr="00E711B2">
              <w:rPr>
                <w:i/>
                <w:sz w:val="16"/>
              </w:rPr>
              <w:t>-1.82 [-3.08; -0.36]</w:t>
            </w:r>
            <w:r w:rsidRPr="00E711B2">
              <w:rPr>
                <w:i/>
                <w:sz w:val="16"/>
                <w:vertAlign w:val="superscript"/>
              </w:rPr>
              <w:t>A,C</w:t>
            </w:r>
          </w:p>
        </w:tc>
        <w:tc>
          <w:tcPr>
            <w:tcW w:w="1058" w:type="pct"/>
            <w:tcBorders>
              <w:top w:val="nil"/>
              <w:left w:val="nil"/>
              <w:bottom w:val="single" w:sz="4" w:space="0" w:color="auto"/>
              <w:right w:val="nil"/>
            </w:tcBorders>
            <w:tcMar>
              <w:top w:w="0" w:type="dxa"/>
              <w:bottom w:w="0" w:type="dxa"/>
            </w:tcMar>
          </w:tcPr>
          <w:p w14:paraId="3F717EF8" w14:textId="6991D051" w:rsidR="005C471B" w:rsidRPr="00E711B2" w:rsidRDefault="005C471B" w:rsidP="005C471B">
            <w:pPr>
              <w:pStyle w:val="BodyText"/>
              <w:spacing w:line="0" w:lineRule="atLeast"/>
              <w:contextualSpacing/>
              <w:jc w:val="center"/>
              <w:rPr>
                <w:iCs/>
                <w:sz w:val="16"/>
              </w:rPr>
            </w:pPr>
            <w:r w:rsidRPr="00E711B2">
              <w:rPr>
                <w:i/>
                <w:sz w:val="16"/>
              </w:rPr>
              <w:t>1.40 [-0.06; 2.86]</w:t>
            </w:r>
            <w:r w:rsidRPr="00E711B2">
              <w:rPr>
                <w:i/>
                <w:sz w:val="16"/>
                <w:vertAlign w:val="superscript"/>
              </w:rPr>
              <w:t>B</w:t>
            </w:r>
          </w:p>
        </w:tc>
        <w:tc>
          <w:tcPr>
            <w:tcW w:w="1058" w:type="pct"/>
            <w:tcBorders>
              <w:top w:val="nil"/>
              <w:left w:val="nil"/>
              <w:bottom w:val="single" w:sz="4" w:space="0" w:color="auto"/>
              <w:right w:val="nil"/>
            </w:tcBorders>
            <w:tcMar>
              <w:top w:w="0" w:type="dxa"/>
              <w:bottom w:w="0" w:type="dxa"/>
            </w:tcMar>
          </w:tcPr>
          <w:p w14:paraId="0020B9FA" w14:textId="2293D6B0" w:rsidR="005C471B" w:rsidRPr="00E711B2" w:rsidRDefault="005C471B" w:rsidP="005C471B">
            <w:pPr>
              <w:pStyle w:val="BodyText"/>
              <w:spacing w:line="0" w:lineRule="atLeast"/>
              <w:contextualSpacing/>
              <w:jc w:val="center"/>
              <w:rPr>
                <w:sz w:val="16"/>
              </w:rPr>
            </w:pPr>
          </w:p>
        </w:tc>
      </w:tr>
      <w:tr w:rsidR="001A142C" w:rsidRPr="003736FA" w14:paraId="434BDB36" w14:textId="77777777" w:rsidTr="001A561D">
        <w:tc>
          <w:tcPr>
            <w:tcW w:w="1779" w:type="pct"/>
            <w:tcBorders>
              <w:top w:val="nil"/>
              <w:left w:val="nil"/>
              <w:bottom w:val="nil"/>
              <w:right w:val="nil"/>
            </w:tcBorders>
            <w:tcMar>
              <w:top w:w="0" w:type="dxa"/>
              <w:bottom w:w="0" w:type="dxa"/>
            </w:tcMar>
          </w:tcPr>
          <w:p w14:paraId="56E5EA51" w14:textId="04F2E9D8" w:rsidR="001A142C" w:rsidRPr="00E711B2" w:rsidRDefault="00FD4081" w:rsidP="00FD4081">
            <w:pPr>
              <w:pStyle w:val="BodyText"/>
              <w:spacing w:line="0" w:lineRule="atLeast"/>
              <w:contextualSpacing/>
              <w:rPr>
                <w:b/>
              </w:rPr>
            </w:pPr>
            <w:r w:rsidRPr="00FD4081">
              <w:rPr>
                <w:b/>
                <w:sz w:val="20"/>
                <w:lang w:val="en-AU"/>
              </w:rPr>
              <w:t xml:space="preserve">1-hour </w:t>
            </w:r>
            <w:proofErr w:type="spellStart"/>
            <w:r w:rsidRPr="00FD4081">
              <w:rPr>
                <w:b/>
                <w:sz w:val="20"/>
                <w:lang w:val="en-AU"/>
              </w:rPr>
              <w:t>postmeal</w:t>
            </w:r>
            <w:proofErr w:type="spellEnd"/>
            <w:r w:rsidRPr="00FD4081">
              <w:rPr>
                <w:b/>
                <w:sz w:val="20"/>
                <w:lang w:val="en-AU"/>
              </w:rPr>
              <w:t xml:space="preserve"> glucose increment mean over all three main meals (SMPG) (mmol/L)</w:t>
            </w:r>
          </w:p>
        </w:tc>
        <w:tc>
          <w:tcPr>
            <w:tcW w:w="1105" w:type="pct"/>
            <w:tcBorders>
              <w:top w:val="nil"/>
              <w:left w:val="nil"/>
              <w:bottom w:val="nil"/>
              <w:right w:val="nil"/>
            </w:tcBorders>
            <w:tcMar>
              <w:top w:w="0" w:type="dxa"/>
              <w:bottom w:w="0" w:type="dxa"/>
            </w:tcMar>
          </w:tcPr>
          <w:p w14:paraId="4D5B0C4D" w14:textId="77777777" w:rsidR="001A142C" w:rsidRPr="00E711B2" w:rsidRDefault="001A142C" w:rsidP="005C471B">
            <w:pPr>
              <w:pStyle w:val="BodyText"/>
              <w:spacing w:line="0" w:lineRule="atLeast"/>
              <w:contextualSpacing/>
              <w:jc w:val="center"/>
              <w:rPr>
                <w:iCs/>
                <w:sz w:val="16"/>
              </w:rPr>
            </w:pPr>
          </w:p>
        </w:tc>
        <w:tc>
          <w:tcPr>
            <w:tcW w:w="1058" w:type="pct"/>
            <w:tcBorders>
              <w:top w:val="nil"/>
              <w:left w:val="nil"/>
              <w:bottom w:val="nil"/>
              <w:right w:val="nil"/>
            </w:tcBorders>
            <w:tcMar>
              <w:top w:w="0" w:type="dxa"/>
              <w:bottom w:w="0" w:type="dxa"/>
            </w:tcMar>
          </w:tcPr>
          <w:p w14:paraId="38F3CEDF" w14:textId="77777777" w:rsidR="001A142C" w:rsidRPr="00E711B2" w:rsidRDefault="001A142C" w:rsidP="005C471B">
            <w:pPr>
              <w:pStyle w:val="BodyText"/>
              <w:spacing w:line="0" w:lineRule="atLeast"/>
              <w:contextualSpacing/>
              <w:jc w:val="center"/>
              <w:rPr>
                <w:iCs/>
                <w:sz w:val="16"/>
              </w:rPr>
            </w:pPr>
          </w:p>
        </w:tc>
        <w:tc>
          <w:tcPr>
            <w:tcW w:w="1058" w:type="pct"/>
            <w:tcBorders>
              <w:top w:val="single" w:sz="4" w:space="0" w:color="auto"/>
              <w:left w:val="nil"/>
              <w:bottom w:val="nil"/>
              <w:right w:val="single" w:sz="4" w:space="0" w:color="auto"/>
            </w:tcBorders>
            <w:tcMar>
              <w:top w:w="0" w:type="dxa"/>
              <w:bottom w:w="0" w:type="dxa"/>
            </w:tcMar>
          </w:tcPr>
          <w:p w14:paraId="7C54263D" w14:textId="77777777" w:rsidR="001A142C" w:rsidRPr="00E711B2" w:rsidRDefault="001A142C" w:rsidP="005C471B">
            <w:pPr>
              <w:pStyle w:val="BodyText"/>
              <w:spacing w:line="0" w:lineRule="atLeast"/>
              <w:contextualSpacing/>
              <w:jc w:val="center"/>
              <w:rPr>
                <w:iCs/>
                <w:sz w:val="16"/>
              </w:rPr>
            </w:pPr>
          </w:p>
        </w:tc>
      </w:tr>
      <w:tr w:rsidR="007878BC" w:rsidRPr="003736FA" w14:paraId="35B2FC39" w14:textId="77777777" w:rsidTr="001A561D">
        <w:tc>
          <w:tcPr>
            <w:tcW w:w="1779" w:type="pct"/>
            <w:tcBorders>
              <w:top w:val="nil"/>
              <w:left w:val="nil"/>
              <w:bottom w:val="nil"/>
              <w:right w:val="nil"/>
            </w:tcBorders>
            <w:tcMar>
              <w:top w:w="0" w:type="dxa"/>
              <w:bottom w:w="0" w:type="dxa"/>
            </w:tcMar>
          </w:tcPr>
          <w:p w14:paraId="1C367E82" w14:textId="7E953AE3" w:rsidR="007878BC" w:rsidRPr="00E711B2" w:rsidRDefault="007878BC" w:rsidP="005C471B">
            <w:pPr>
              <w:pStyle w:val="BodyText"/>
              <w:spacing w:line="0" w:lineRule="atLeast"/>
              <w:contextualSpacing/>
              <w:rPr>
                <w:iCs/>
                <w:sz w:val="16"/>
                <w:szCs w:val="16"/>
              </w:rPr>
            </w:pPr>
            <w:r w:rsidRPr="00E711B2">
              <w:rPr>
                <w:iCs/>
                <w:sz w:val="16"/>
                <w:szCs w:val="16"/>
              </w:rPr>
              <w:t xml:space="preserve">Baseline </w:t>
            </w:r>
            <w:r w:rsidRPr="00E711B2">
              <w:rPr>
                <w:iCs/>
                <w:sz w:val="16"/>
                <w:szCs w:val="16"/>
              </w:rPr>
              <w:sym w:font="Wingdings" w:char="F0E0"/>
            </w:r>
            <w:r w:rsidRPr="00E711B2">
              <w:rPr>
                <w:iCs/>
                <w:sz w:val="16"/>
                <w:szCs w:val="16"/>
              </w:rPr>
              <w:t xml:space="preserve"> End of trial</w:t>
            </w:r>
          </w:p>
        </w:tc>
        <w:tc>
          <w:tcPr>
            <w:tcW w:w="1105" w:type="pct"/>
            <w:tcBorders>
              <w:top w:val="nil"/>
              <w:left w:val="nil"/>
              <w:bottom w:val="nil"/>
              <w:right w:val="nil"/>
            </w:tcBorders>
            <w:tcMar>
              <w:top w:w="0" w:type="dxa"/>
              <w:bottom w:w="0" w:type="dxa"/>
            </w:tcMar>
          </w:tcPr>
          <w:p w14:paraId="719FF227" w14:textId="1E4B8D43" w:rsidR="007878BC" w:rsidRPr="00E711B2" w:rsidRDefault="007878BC" w:rsidP="005C471B">
            <w:pPr>
              <w:pStyle w:val="BodyText"/>
              <w:spacing w:line="0" w:lineRule="atLeast"/>
              <w:contextualSpacing/>
              <w:jc w:val="center"/>
              <w:rPr>
                <w:iCs/>
                <w:sz w:val="16"/>
              </w:rPr>
            </w:pPr>
            <w:r w:rsidRPr="00E711B2">
              <w:rPr>
                <w:iCs/>
                <w:sz w:val="16"/>
              </w:rPr>
              <w:t xml:space="preserve">1.2 </w:t>
            </w:r>
            <w:r w:rsidRPr="00E711B2">
              <w:rPr>
                <w:iCs/>
                <w:sz w:val="16"/>
              </w:rPr>
              <w:sym w:font="Wingdings" w:char="F0E0"/>
            </w:r>
            <w:r w:rsidRPr="00E711B2">
              <w:rPr>
                <w:iCs/>
                <w:sz w:val="16"/>
              </w:rPr>
              <w:t xml:space="preserve"> 0.3</w:t>
            </w:r>
          </w:p>
        </w:tc>
        <w:tc>
          <w:tcPr>
            <w:tcW w:w="1058" w:type="pct"/>
            <w:tcBorders>
              <w:top w:val="nil"/>
              <w:left w:val="nil"/>
              <w:bottom w:val="nil"/>
              <w:right w:val="nil"/>
            </w:tcBorders>
            <w:tcMar>
              <w:top w:w="0" w:type="dxa"/>
              <w:bottom w:w="0" w:type="dxa"/>
            </w:tcMar>
          </w:tcPr>
          <w:p w14:paraId="2019B376" w14:textId="6AA886CB" w:rsidR="007878BC" w:rsidRPr="00E711B2" w:rsidRDefault="00940FD8" w:rsidP="005C471B">
            <w:pPr>
              <w:pStyle w:val="BodyText"/>
              <w:spacing w:line="0" w:lineRule="atLeast"/>
              <w:contextualSpacing/>
              <w:jc w:val="center"/>
              <w:rPr>
                <w:iCs/>
                <w:sz w:val="16"/>
              </w:rPr>
            </w:pPr>
            <w:r w:rsidRPr="00E711B2">
              <w:rPr>
                <w:iCs/>
                <w:sz w:val="16"/>
              </w:rPr>
              <w:t xml:space="preserve">1.0 </w:t>
            </w:r>
            <w:r w:rsidRPr="00E711B2">
              <w:rPr>
                <w:iCs/>
                <w:sz w:val="16"/>
              </w:rPr>
              <w:sym w:font="Wingdings" w:char="F0E0"/>
            </w:r>
            <w:r w:rsidRPr="00E711B2">
              <w:rPr>
                <w:iCs/>
                <w:sz w:val="16"/>
              </w:rPr>
              <w:t xml:space="preserve"> 1.6</w:t>
            </w:r>
          </w:p>
        </w:tc>
        <w:tc>
          <w:tcPr>
            <w:tcW w:w="1058" w:type="pct"/>
            <w:tcBorders>
              <w:top w:val="nil"/>
              <w:left w:val="nil"/>
              <w:bottom w:val="nil"/>
              <w:right w:val="single" w:sz="4" w:space="0" w:color="auto"/>
            </w:tcBorders>
            <w:tcMar>
              <w:top w:w="0" w:type="dxa"/>
              <w:bottom w:w="0" w:type="dxa"/>
            </w:tcMar>
          </w:tcPr>
          <w:p w14:paraId="150681EC" w14:textId="1107A1E2" w:rsidR="007878BC" w:rsidRPr="00E711B2" w:rsidRDefault="00940FD8" w:rsidP="005C471B">
            <w:pPr>
              <w:pStyle w:val="BodyText"/>
              <w:spacing w:line="0" w:lineRule="atLeast"/>
              <w:contextualSpacing/>
              <w:jc w:val="center"/>
              <w:rPr>
                <w:iCs/>
                <w:sz w:val="16"/>
              </w:rPr>
            </w:pPr>
            <w:r w:rsidRPr="00E711B2">
              <w:rPr>
                <w:iCs/>
                <w:sz w:val="16"/>
              </w:rPr>
              <w:t xml:space="preserve">1.0 </w:t>
            </w:r>
            <w:r w:rsidRPr="00E711B2">
              <w:rPr>
                <w:iCs/>
                <w:sz w:val="16"/>
              </w:rPr>
              <w:sym w:font="Wingdings" w:char="F0E0"/>
            </w:r>
            <w:r w:rsidRPr="00E711B2">
              <w:rPr>
                <w:iCs/>
                <w:sz w:val="16"/>
              </w:rPr>
              <w:t xml:space="preserve"> 1.1</w:t>
            </w:r>
          </w:p>
        </w:tc>
      </w:tr>
      <w:tr w:rsidR="007878BC" w:rsidRPr="003736FA" w14:paraId="6BE3DFDF" w14:textId="77777777" w:rsidTr="001A561D">
        <w:tc>
          <w:tcPr>
            <w:tcW w:w="1779" w:type="pct"/>
            <w:tcBorders>
              <w:top w:val="nil"/>
              <w:left w:val="nil"/>
              <w:bottom w:val="nil"/>
              <w:right w:val="nil"/>
            </w:tcBorders>
            <w:tcMar>
              <w:top w:w="0" w:type="dxa"/>
              <w:bottom w:w="0" w:type="dxa"/>
            </w:tcMar>
          </w:tcPr>
          <w:p w14:paraId="7C5BE472" w14:textId="6812DCDC" w:rsidR="007878BC" w:rsidRPr="00E711B2" w:rsidRDefault="00940FD8" w:rsidP="005C471B">
            <w:pPr>
              <w:pStyle w:val="BodyText"/>
              <w:spacing w:line="0" w:lineRule="atLeast"/>
              <w:contextualSpacing/>
              <w:rPr>
                <w:iCs/>
                <w:sz w:val="16"/>
                <w:szCs w:val="16"/>
              </w:rPr>
            </w:pPr>
            <w:r w:rsidRPr="00E711B2">
              <w:rPr>
                <w:iCs/>
                <w:sz w:val="16"/>
                <w:szCs w:val="16"/>
              </w:rPr>
              <w:t>Adjusted change from baseline</w:t>
            </w:r>
          </w:p>
        </w:tc>
        <w:tc>
          <w:tcPr>
            <w:tcW w:w="1105" w:type="pct"/>
            <w:tcBorders>
              <w:top w:val="nil"/>
              <w:left w:val="nil"/>
              <w:bottom w:val="nil"/>
              <w:right w:val="nil"/>
            </w:tcBorders>
            <w:tcMar>
              <w:top w:w="0" w:type="dxa"/>
              <w:bottom w:w="0" w:type="dxa"/>
            </w:tcMar>
          </w:tcPr>
          <w:p w14:paraId="6C57D229" w14:textId="725E8089" w:rsidR="007878BC" w:rsidRPr="00E711B2" w:rsidRDefault="001B3B29" w:rsidP="005C471B">
            <w:pPr>
              <w:pStyle w:val="BodyText"/>
              <w:spacing w:line="0" w:lineRule="atLeast"/>
              <w:contextualSpacing/>
              <w:jc w:val="center"/>
              <w:rPr>
                <w:iCs/>
                <w:sz w:val="16"/>
              </w:rPr>
            </w:pPr>
            <w:r w:rsidRPr="00E711B2">
              <w:rPr>
                <w:iCs/>
                <w:sz w:val="16"/>
              </w:rPr>
              <w:t>-0.79</w:t>
            </w:r>
          </w:p>
        </w:tc>
        <w:tc>
          <w:tcPr>
            <w:tcW w:w="1058" w:type="pct"/>
            <w:tcBorders>
              <w:top w:val="nil"/>
              <w:left w:val="nil"/>
              <w:bottom w:val="nil"/>
              <w:right w:val="nil"/>
            </w:tcBorders>
            <w:tcMar>
              <w:top w:w="0" w:type="dxa"/>
              <w:bottom w:w="0" w:type="dxa"/>
            </w:tcMar>
          </w:tcPr>
          <w:p w14:paraId="00266CB4" w14:textId="2D28265A" w:rsidR="007878BC" w:rsidRPr="00E711B2" w:rsidRDefault="001B3B29" w:rsidP="005C471B">
            <w:pPr>
              <w:pStyle w:val="BodyText"/>
              <w:spacing w:line="0" w:lineRule="atLeast"/>
              <w:contextualSpacing/>
              <w:jc w:val="center"/>
              <w:rPr>
                <w:iCs/>
                <w:sz w:val="16"/>
              </w:rPr>
            </w:pPr>
            <w:r w:rsidRPr="00E711B2">
              <w:rPr>
                <w:iCs/>
                <w:sz w:val="16"/>
              </w:rPr>
              <w:t>0.57</w:t>
            </w:r>
          </w:p>
        </w:tc>
        <w:tc>
          <w:tcPr>
            <w:tcW w:w="1058" w:type="pct"/>
            <w:tcBorders>
              <w:top w:val="nil"/>
              <w:left w:val="nil"/>
              <w:bottom w:val="nil"/>
              <w:right w:val="single" w:sz="4" w:space="0" w:color="auto"/>
            </w:tcBorders>
            <w:tcMar>
              <w:top w:w="0" w:type="dxa"/>
              <w:bottom w:w="0" w:type="dxa"/>
            </w:tcMar>
          </w:tcPr>
          <w:p w14:paraId="5D24E7F7" w14:textId="3560767B" w:rsidR="007878BC" w:rsidRPr="00E711B2" w:rsidRDefault="001B3B29" w:rsidP="005C471B">
            <w:pPr>
              <w:pStyle w:val="BodyText"/>
              <w:spacing w:line="0" w:lineRule="atLeast"/>
              <w:contextualSpacing/>
              <w:jc w:val="center"/>
              <w:rPr>
                <w:iCs/>
                <w:sz w:val="16"/>
              </w:rPr>
            </w:pPr>
            <w:r w:rsidRPr="00E711B2">
              <w:rPr>
                <w:iCs/>
                <w:sz w:val="16"/>
              </w:rPr>
              <w:t>0.14</w:t>
            </w:r>
          </w:p>
        </w:tc>
      </w:tr>
      <w:tr w:rsidR="007878BC" w:rsidRPr="003736FA" w14:paraId="49F56200" w14:textId="77777777" w:rsidTr="001A561D">
        <w:tc>
          <w:tcPr>
            <w:tcW w:w="1779" w:type="pct"/>
            <w:tcBorders>
              <w:top w:val="nil"/>
              <w:left w:val="nil"/>
              <w:bottom w:val="single" w:sz="4" w:space="0" w:color="auto"/>
              <w:right w:val="nil"/>
            </w:tcBorders>
            <w:tcMar>
              <w:top w:w="0" w:type="dxa"/>
              <w:bottom w:w="0" w:type="dxa"/>
            </w:tcMar>
          </w:tcPr>
          <w:p w14:paraId="5BECFB1F" w14:textId="1A85D4C6" w:rsidR="007878BC" w:rsidRPr="00E711B2" w:rsidRDefault="00FA1171" w:rsidP="005C471B">
            <w:pPr>
              <w:pStyle w:val="BodyText"/>
              <w:spacing w:line="0" w:lineRule="atLeast"/>
              <w:contextualSpacing/>
              <w:rPr>
                <w:i/>
                <w:sz w:val="16"/>
                <w:szCs w:val="16"/>
              </w:rPr>
            </w:pPr>
            <w:r w:rsidRPr="00E711B2">
              <w:rPr>
                <w:i/>
                <w:sz w:val="16"/>
                <w:szCs w:val="16"/>
              </w:rPr>
              <w:t>Estimated treatment difference</w:t>
            </w:r>
          </w:p>
        </w:tc>
        <w:tc>
          <w:tcPr>
            <w:tcW w:w="1105" w:type="pct"/>
            <w:tcBorders>
              <w:top w:val="nil"/>
              <w:left w:val="nil"/>
              <w:bottom w:val="single" w:sz="4" w:space="0" w:color="auto"/>
              <w:right w:val="nil"/>
            </w:tcBorders>
            <w:tcMar>
              <w:top w:w="0" w:type="dxa"/>
              <w:bottom w:w="0" w:type="dxa"/>
            </w:tcMar>
          </w:tcPr>
          <w:p w14:paraId="2D6AB3F2" w14:textId="4658B5DF" w:rsidR="007878BC" w:rsidRPr="00E711B2" w:rsidRDefault="00FA1171" w:rsidP="005C471B">
            <w:pPr>
              <w:pStyle w:val="BodyText"/>
              <w:spacing w:line="0" w:lineRule="atLeast"/>
              <w:contextualSpacing/>
              <w:jc w:val="center"/>
              <w:rPr>
                <w:i/>
                <w:sz w:val="16"/>
              </w:rPr>
            </w:pPr>
            <w:r w:rsidRPr="00E711B2">
              <w:rPr>
                <w:i/>
                <w:sz w:val="16"/>
              </w:rPr>
              <w:t>-0.9</w:t>
            </w:r>
            <w:r w:rsidR="00FD4081">
              <w:rPr>
                <w:i/>
                <w:sz w:val="16"/>
              </w:rPr>
              <w:t>3</w:t>
            </w:r>
            <w:r w:rsidRPr="00E711B2">
              <w:rPr>
                <w:i/>
                <w:sz w:val="16"/>
              </w:rPr>
              <w:t xml:space="preserve"> [-1.35; -0.52]</w:t>
            </w:r>
            <w:r w:rsidRPr="00E711B2">
              <w:rPr>
                <w:i/>
                <w:sz w:val="16"/>
                <w:vertAlign w:val="superscript"/>
              </w:rPr>
              <w:t>AC</w:t>
            </w:r>
          </w:p>
        </w:tc>
        <w:tc>
          <w:tcPr>
            <w:tcW w:w="1058" w:type="pct"/>
            <w:tcBorders>
              <w:top w:val="nil"/>
              <w:left w:val="nil"/>
              <w:bottom w:val="single" w:sz="4" w:space="0" w:color="auto"/>
              <w:right w:val="nil"/>
            </w:tcBorders>
            <w:tcMar>
              <w:top w:w="0" w:type="dxa"/>
              <w:bottom w:w="0" w:type="dxa"/>
            </w:tcMar>
          </w:tcPr>
          <w:p w14:paraId="71862307" w14:textId="146BD5EA" w:rsidR="007878BC" w:rsidRPr="00E711B2" w:rsidRDefault="00FA1171" w:rsidP="005C471B">
            <w:pPr>
              <w:pStyle w:val="BodyText"/>
              <w:spacing w:line="0" w:lineRule="atLeast"/>
              <w:contextualSpacing/>
              <w:jc w:val="center"/>
              <w:rPr>
                <w:i/>
                <w:sz w:val="16"/>
              </w:rPr>
            </w:pPr>
            <w:r w:rsidRPr="00E711B2">
              <w:rPr>
                <w:i/>
                <w:sz w:val="16"/>
              </w:rPr>
              <w:t>0.43 [0.02; 0.85]</w:t>
            </w:r>
            <w:r w:rsidRPr="00E711B2">
              <w:rPr>
                <w:i/>
                <w:sz w:val="16"/>
                <w:vertAlign w:val="superscript"/>
              </w:rPr>
              <w:t>B</w:t>
            </w:r>
          </w:p>
        </w:tc>
        <w:tc>
          <w:tcPr>
            <w:tcW w:w="1058" w:type="pct"/>
            <w:tcBorders>
              <w:top w:val="nil"/>
              <w:left w:val="nil"/>
              <w:bottom w:val="single" w:sz="4" w:space="0" w:color="auto"/>
              <w:right w:val="single" w:sz="4" w:space="0" w:color="auto"/>
            </w:tcBorders>
            <w:tcMar>
              <w:top w:w="0" w:type="dxa"/>
              <w:bottom w:w="0" w:type="dxa"/>
            </w:tcMar>
          </w:tcPr>
          <w:p w14:paraId="41FAB4C3" w14:textId="77777777" w:rsidR="007878BC" w:rsidRPr="00E711B2" w:rsidRDefault="007878BC" w:rsidP="005C471B">
            <w:pPr>
              <w:pStyle w:val="BodyText"/>
              <w:spacing w:line="0" w:lineRule="atLeast"/>
              <w:contextualSpacing/>
              <w:jc w:val="center"/>
              <w:rPr>
                <w:sz w:val="16"/>
              </w:rPr>
            </w:pPr>
          </w:p>
        </w:tc>
      </w:tr>
      <w:tr w:rsidR="001A561D" w:rsidRPr="003736FA" w14:paraId="7ACFD44D" w14:textId="77777777" w:rsidTr="001A561D">
        <w:tc>
          <w:tcPr>
            <w:tcW w:w="1779" w:type="pct"/>
            <w:tcBorders>
              <w:top w:val="single" w:sz="4" w:space="0" w:color="auto"/>
              <w:left w:val="nil"/>
              <w:bottom w:val="nil"/>
              <w:right w:val="nil"/>
            </w:tcBorders>
            <w:tcMar>
              <w:top w:w="0" w:type="dxa"/>
              <w:bottom w:w="0" w:type="dxa"/>
            </w:tcMar>
          </w:tcPr>
          <w:p w14:paraId="7B2DFEB8" w14:textId="7824A5E0" w:rsidR="001A561D" w:rsidRPr="00E711B2" w:rsidRDefault="001A561D" w:rsidP="005C471B">
            <w:pPr>
              <w:pStyle w:val="BodyText"/>
              <w:spacing w:line="0" w:lineRule="atLeast"/>
              <w:contextualSpacing/>
              <w:rPr>
                <w:i/>
                <w:sz w:val="16"/>
                <w:szCs w:val="16"/>
              </w:rPr>
            </w:pPr>
            <w:r w:rsidRPr="00E711B2">
              <w:rPr>
                <w:b/>
                <w:sz w:val="20"/>
              </w:rPr>
              <w:t xml:space="preserve">Observed rate </w:t>
            </w:r>
            <w:r w:rsidR="009D4321" w:rsidRPr="00E711B2">
              <w:rPr>
                <w:b/>
                <w:sz w:val="20"/>
              </w:rPr>
              <w:t>o</w:t>
            </w:r>
            <w:r w:rsidRPr="00E711B2">
              <w:rPr>
                <w:b/>
                <w:sz w:val="20"/>
              </w:rPr>
              <w:t>f severe or BG confirmed</w:t>
            </w:r>
            <w:r w:rsidR="00717963">
              <w:rPr>
                <w:b/>
                <w:sz w:val="20"/>
              </w:rPr>
              <w:t>*</w:t>
            </w:r>
            <w:r w:rsidRPr="00E711B2">
              <w:rPr>
                <w:b/>
                <w:sz w:val="20"/>
              </w:rPr>
              <w:t xml:space="preserve"> hypoglycaemia </w:t>
            </w:r>
            <w:r w:rsidR="00FD4081">
              <w:rPr>
                <w:b/>
                <w:sz w:val="20"/>
              </w:rPr>
              <w:t xml:space="preserve">per patient year of exposure </w:t>
            </w:r>
            <w:r w:rsidRPr="00E711B2">
              <w:rPr>
                <w:b/>
                <w:sz w:val="20"/>
              </w:rPr>
              <w:t>(percentage of patients)</w:t>
            </w:r>
          </w:p>
        </w:tc>
        <w:tc>
          <w:tcPr>
            <w:tcW w:w="1105" w:type="pct"/>
            <w:tcBorders>
              <w:top w:val="single" w:sz="4" w:space="0" w:color="auto"/>
              <w:left w:val="nil"/>
              <w:bottom w:val="nil"/>
              <w:right w:val="nil"/>
            </w:tcBorders>
            <w:tcMar>
              <w:top w:w="0" w:type="dxa"/>
              <w:bottom w:w="0" w:type="dxa"/>
            </w:tcMar>
            <w:vAlign w:val="center"/>
          </w:tcPr>
          <w:p w14:paraId="2E91D5FA" w14:textId="126C75DB" w:rsidR="001A561D" w:rsidRPr="00E711B2" w:rsidRDefault="001A561D" w:rsidP="001A561D">
            <w:pPr>
              <w:pStyle w:val="BodyText"/>
              <w:spacing w:line="0" w:lineRule="atLeast"/>
              <w:contextualSpacing/>
              <w:jc w:val="center"/>
              <w:rPr>
                <w:iCs/>
                <w:sz w:val="16"/>
              </w:rPr>
            </w:pPr>
            <w:r w:rsidRPr="00E711B2">
              <w:rPr>
                <w:iCs/>
                <w:sz w:val="16"/>
              </w:rPr>
              <w:t>2</w:t>
            </w:r>
            <w:r w:rsidR="00FD4081">
              <w:rPr>
                <w:iCs/>
                <w:sz w:val="16"/>
              </w:rPr>
              <w:t>7.9</w:t>
            </w:r>
            <w:r w:rsidRPr="00E711B2">
              <w:rPr>
                <w:iCs/>
                <w:sz w:val="16"/>
              </w:rPr>
              <w:t xml:space="preserve"> (87.4)</w:t>
            </w:r>
          </w:p>
        </w:tc>
        <w:tc>
          <w:tcPr>
            <w:tcW w:w="1058" w:type="pct"/>
            <w:tcBorders>
              <w:top w:val="single" w:sz="4" w:space="0" w:color="auto"/>
              <w:left w:val="nil"/>
              <w:bottom w:val="nil"/>
              <w:right w:val="nil"/>
            </w:tcBorders>
            <w:tcMar>
              <w:top w:w="0" w:type="dxa"/>
              <w:bottom w:w="0" w:type="dxa"/>
            </w:tcMar>
            <w:vAlign w:val="center"/>
          </w:tcPr>
          <w:p w14:paraId="2BCA987C" w14:textId="145396FD" w:rsidR="001A561D" w:rsidRPr="00E711B2" w:rsidRDefault="00FD4081" w:rsidP="001A561D">
            <w:pPr>
              <w:pStyle w:val="BodyText"/>
              <w:spacing w:line="0" w:lineRule="atLeast"/>
              <w:contextualSpacing/>
              <w:jc w:val="center"/>
              <w:rPr>
                <w:iCs/>
                <w:sz w:val="16"/>
              </w:rPr>
            </w:pPr>
            <w:r>
              <w:rPr>
                <w:iCs/>
                <w:sz w:val="16"/>
              </w:rPr>
              <w:t>28.2</w:t>
            </w:r>
            <w:r w:rsidR="001A561D" w:rsidRPr="00E711B2">
              <w:rPr>
                <w:iCs/>
                <w:sz w:val="16"/>
              </w:rPr>
              <w:t xml:space="preserve"> (88.0)</w:t>
            </w:r>
          </w:p>
        </w:tc>
        <w:tc>
          <w:tcPr>
            <w:tcW w:w="1058" w:type="pct"/>
            <w:tcBorders>
              <w:top w:val="single" w:sz="4" w:space="0" w:color="auto"/>
              <w:left w:val="nil"/>
              <w:bottom w:val="nil"/>
              <w:right w:val="single" w:sz="4" w:space="0" w:color="auto"/>
            </w:tcBorders>
            <w:tcMar>
              <w:top w:w="0" w:type="dxa"/>
              <w:bottom w:w="0" w:type="dxa"/>
            </w:tcMar>
            <w:vAlign w:val="center"/>
          </w:tcPr>
          <w:p w14:paraId="16489D86" w14:textId="5E3F4AAD" w:rsidR="001A561D" w:rsidRPr="00E711B2" w:rsidRDefault="00FD4081" w:rsidP="001A561D">
            <w:pPr>
              <w:pStyle w:val="BodyText"/>
              <w:spacing w:line="0" w:lineRule="atLeast"/>
              <w:contextualSpacing/>
              <w:jc w:val="center"/>
              <w:rPr>
                <w:iCs/>
                <w:sz w:val="16"/>
              </w:rPr>
            </w:pPr>
            <w:r>
              <w:rPr>
                <w:iCs/>
                <w:sz w:val="16"/>
              </w:rPr>
              <w:t>25.7</w:t>
            </w:r>
            <w:r w:rsidR="001A561D" w:rsidRPr="00E711B2">
              <w:rPr>
                <w:iCs/>
                <w:sz w:val="16"/>
              </w:rPr>
              <w:t xml:space="preserve"> (84.1)</w:t>
            </w:r>
          </w:p>
        </w:tc>
      </w:tr>
      <w:tr w:rsidR="001A561D" w:rsidRPr="003736FA" w14:paraId="2E8EC12D" w14:textId="77777777" w:rsidTr="001A561D">
        <w:tc>
          <w:tcPr>
            <w:tcW w:w="1779" w:type="pct"/>
            <w:tcBorders>
              <w:top w:val="nil"/>
              <w:left w:val="nil"/>
              <w:bottom w:val="single" w:sz="4" w:space="0" w:color="auto"/>
              <w:right w:val="nil"/>
            </w:tcBorders>
            <w:tcMar>
              <w:top w:w="0" w:type="dxa"/>
              <w:bottom w:w="0" w:type="dxa"/>
            </w:tcMar>
          </w:tcPr>
          <w:p w14:paraId="5F50F11B" w14:textId="76EAA6F6" w:rsidR="001A561D" w:rsidRPr="00E711B2" w:rsidRDefault="001A561D" w:rsidP="005C471B">
            <w:pPr>
              <w:pStyle w:val="BodyText"/>
              <w:spacing w:line="0" w:lineRule="atLeast"/>
              <w:contextualSpacing/>
              <w:rPr>
                <w:i/>
                <w:sz w:val="16"/>
                <w:szCs w:val="16"/>
              </w:rPr>
            </w:pPr>
            <w:r w:rsidRPr="00E711B2">
              <w:rPr>
                <w:i/>
                <w:sz w:val="16"/>
                <w:szCs w:val="16"/>
              </w:rPr>
              <w:t>Estimated rate ratio</w:t>
            </w:r>
          </w:p>
        </w:tc>
        <w:tc>
          <w:tcPr>
            <w:tcW w:w="1105" w:type="pct"/>
            <w:tcBorders>
              <w:top w:val="nil"/>
              <w:left w:val="nil"/>
              <w:bottom w:val="single" w:sz="4" w:space="0" w:color="auto"/>
              <w:right w:val="nil"/>
            </w:tcBorders>
            <w:tcMar>
              <w:top w:w="0" w:type="dxa"/>
              <w:bottom w:w="0" w:type="dxa"/>
            </w:tcMar>
          </w:tcPr>
          <w:p w14:paraId="3F3E7BA4" w14:textId="001CD419" w:rsidR="001A561D" w:rsidRPr="00E711B2" w:rsidRDefault="001A561D" w:rsidP="005C471B">
            <w:pPr>
              <w:pStyle w:val="BodyText"/>
              <w:spacing w:line="0" w:lineRule="atLeast"/>
              <w:contextualSpacing/>
              <w:jc w:val="center"/>
              <w:rPr>
                <w:i/>
                <w:sz w:val="16"/>
              </w:rPr>
            </w:pPr>
            <w:r w:rsidRPr="00E711B2">
              <w:rPr>
                <w:i/>
                <w:sz w:val="16"/>
              </w:rPr>
              <w:t>1.11 [0.90; 1.37]</w:t>
            </w:r>
            <w:r w:rsidR="009D4321" w:rsidRPr="00E711B2">
              <w:rPr>
                <w:i/>
                <w:sz w:val="16"/>
                <w:vertAlign w:val="superscript"/>
              </w:rPr>
              <w:t>A</w:t>
            </w:r>
          </w:p>
        </w:tc>
        <w:tc>
          <w:tcPr>
            <w:tcW w:w="1058" w:type="pct"/>
            <w:tcBorders>
              <w:top w:val="nil"/>
              <w:left w:val="nil"/>
              <w:bottom w:val="single" w:sz="4" w:space="0" w:color="auto"/>
              <w:right w:val="nil"/>
            </w:tcBorders>
            <w:tcMar>
              <w:top w:w="0" w:type="dxa"/>
              <w:bottom w:w="0" w:type="dxa"/>
            </w:tcMar>
          </w:tcPr>
          <w:p w14:paraId="5B1A0C75" w14:textId="6D016E3D" w:rsidR="001A561D" w:rsidRPr="00E711B2" w:rsidRDefault="001A561D" w:rsidP="005C471B">
            <w:pPr>
              <w:pStyle w:val="BodyText"/>
              <w:spacing w:line="0" w:lineRule="atLeast"/>
              <w:contextualSpacing/>
              <w:jc w:val="center"/>
              <w:rPr>
                <w:i/>
                <w:sz w:val="16"/>
              </w:rPr>
            </w:pPr>
            <w:r w:rsidRPr="00E711B2">
              <w:rPr>
                <w:i/>
                <w:sz w:val="16"/>
              </w:rPr>
              <w:t>1.11 [0.90; 1.37]</w:t>
            </w:r>
            <w:r w:rsidR="009D4321" w:rsidRPr="00E711B2">
              <w:rPr>
                <w:i/>
                <w:sz w:val="16"/>
                <w:vertAlign w:val="superscript"/>
              </w:rPr>
              <w:t>B</w:t>
            </w:r>
          </w:p>
        </w:tc>
        <w:tc>
          <w:tcPr>
            <w:tcW w:w="1058" w:type="pct"/>
            <w:tcBorders>
              <w:top w:val="nil"/>
              <w:left w:val="nil"/>
              <w:bottom w:val="single" w:sz="4" w:space="0" w:color="auto"/>
              <w:right w:val="single" w:sz="4" w:space="0" w:color="auto"/>
            </w:tcBorders>
            <w:tcMar>
              <w:top w:w="0" w:type="dxa"/>
              <w:bottom w:w="0" w:type="dxa"/>
            </w:tcMar>
          </w:tcPr>
          <w:p w14:paraId="115CC218" w14:textId="77777777" w:rsidR="001A561D" w:rsidRPr="00E711B2" w:rsidRDefault="001A561D" w:rsidP="005C471B">
            <w:pPr>
              <w:pStyle w:val="BodyText"/>
              <w:spacing w:line="0" w:lineRule="atLeast"/>
              <w:contextualSpacing/>
              <w:jc w:val="center"/>
              <w:rPr>
                <w:sz w:val="16"/>
              </w:rPr>
            </w:pPr>
          </w:p>
        </w:tc>
      </w:tr>
      <w:tr w:rsidR="009D4321" w:rsidRPr="003736FA" w14:paraId="7536795A" w14:textId="77777777" w:rsidTr="00FD4081">
        <w:tc>
          <w:tcPr>
            <w:tcW w:w="1779" w:type="pct"/>
            <w:tcBorders>
              <w:top w:val="nil"/>
              <w:left w:val="nil"/>
              <w:bottom w:val="nil"/>
              <w:right w:val="nil"/>
            </w:tcBorders>
            <w:tcMar>
              <w:top w:w="0" w:type="dxa"/>
              <w:bottom w:w="0" w:type="dxa"/>
            </w:tcMar>
          </w:tcPr>
          <w:p w14:paraId="457479AC" w14:textId="700BA9D3" w:rsidR="009D4321" w:rsidRPr="00E711B2" w:rsidRDefault="009D4321" w:rsidP="005C471B">
            <w:pPr>
              <w:pStyle w:val="BodyText"/>
              <w:spacing w:line="0" w:lineRule="atLeast"/>
              <w:contextualSpacing/>
              <w:rPr>
                <w:b/>
                <w:bCs/>
                <w:iCs/>
                <w:sz w:val="20"/>
              </w:rPr>
            </w:pPr>
            <w:r w:rsidRPr="00E711B2">
              <w:rPr>
                <w:b/>
                <w:bCs/>
                <w:iCs/>
                <w:sz w:val="20"/>
              </w:rPr>
              <w:t>Observed rate of severe or BG confirmed</w:t>
            </w:r>
            <w:r w:rsidR="00717963">
              <w:rPr>
                <w:b/>
                <w:bCs/>
                <w:iCs/>
                <w:sz w:val="20"/>
              </w:rPr>
              <w:t>*</w:t>
            </w:r>
            <w:r w:rsidRPr="00E711B2">
              <w:rPr>
                <w:b/>
                <w:bCs/>
                <w:iCs/>
                <w:sz w:val="20"/>
              </w:rPr>
              <w:t xml:space="preserve"> nocturnal hypoglycaemia</w:t>
            </w:r>
            <w:r w:rsidR="00FD4081">
              <w:rPr>
                <w:b/>
                <w:bCs/>
                <w:iCs/>
                <w:sz w:val="20"/>
              </w:rPr>
              <w:t xml:space="preserve"> per patient year of exposure</w:t>
            </w:r>
            <w:r w:rsidRPr="00E711B2">
              <w:rPr>
                <w:b/>
                <w:bCs/>
                <w:iCs/>
                <w:sz w:val="20"/>
              </w:rPr>
              <w:t xml:space="preserve"> (percentage of patients)</w:t>
            </w:r>
          </w:p>
        </w:tc>
        <w:tc>
          <w:tcPr>
            <w:tcW w:w="1105" w:type="pct"/>
            <w:tcBorders>
              <w:top w:val="nil"/>
              <w:left w:val="nil"/>
              <w:bottom w:val="nil"/>
              <w:right w:val="nil"/>
            </w:tcBorders>
            <w:tcMar>
              <w:top w:w="0" w:type="dxa"/>
              <w:bottom w:w="0" w:type="dxa"/>
            </w:tcMar>
            <w:vAlign w:val="center"/>
          </w:tcPr>
          <w:p w14:paraId="206C9387" w14:textId="6E58268E" w:rsidR="009D4321" w:rsidRPr="00FD4081" w:rsidRDefault="00717963" w:rsidP="009D4321">
            <w:pPr>
              <w:pStyle w:val="BodyText"/>
              <w:spacing w:line="0" w:lineRule="atLeast"/>
              <w:contextualSpacing/>
              <w:jc w:val="center"/>
              <w:rPr>
                <w:iCs/>
                <w:sz w:val="16"/>
              </w:rPr>
            </w:pPr>
            <w:r>
              <w:rPr>
                <w:iCs/>
                <w:sz w:val="16"/>
              </w:rPr>
              <w:t>3.1</w:t>
            </w:r>
            <w:r w:rsidR="009D4321" w:rsidRPr="00FD4081">
              <w:rPr>
                <w:iCs/>
                <w:sz w:val="16"/>
              </w:rPr>
              <w:t xml:space="preserve"> (42.9)</w:t>
            </w:r>
          </w:p>
        </w:tc>
        <w:tc>
          <w:tcPr>
            <w:tcW w:w="1058" w:type="pct"/>
            <w:tcBorders>
              <w:top w:val="nil"/>
              <w:left w:val="nil"/>
              <w:bottom w:val="nil"/>
              <w:right w:val="nil"/>
            </w:tcBorders>
            <w:tcMar>
              <w:top w:w="0" w:type="dxa"/>
              <w:bottom w:w="0" w:type="dxa"/>
            </w:tcMar>
            <w:vAlign w:val="center"/>
          </w:tcPr>
          <w:p w14:paraId="006465EF" w14:textId="70446D73" w:rsidR="009D4321" w:rsidRPr="00FD4081" w:rsidRDefault="00717963" w:rsidP="009D4321">
            <w:pPr>
              <w:pStyle w:val="BodyText"/>
              <w:spacing w:line="0" w:lineRule="atLeast"/>
              <w:contextualSpacing/>
              <w:jc w:val="center"/>
              <w:rPr>
                <w:iCs/>
                <w:sz w:val="16"/>
              </w:rPr>
            </w:pPr>
            <w:r>
              <w:rPr>
                <w:iCs/>
                <w:sz w:val="16"/>
              </w:rPr>
              <w:t>3.7</w:t>
            </w:r>
            <w:r w:rsidR="009D4321" w:rsidRPr="00FD4081">
              <w:rPr>
                <w:iCs/>
                <w:sz w:val="16"/>
              </w:rPr>
              <w:t xml:space="preserve"> (48.4)</w:t>
            </w:r>
          </w:p>
        </w:tc>
        <w:tc>
          <w:tcPr>
            <w:tcW w:w="1058" w:type="pct"/>
            <w:tcBorders>
              <w:top w:val="nil"/>
              <w:left w:val="nil"/>
              <w:bottom w:val="nil"/>
              <w:right w:val="single" w:sz="4" w:space="0" w:color="auto"/>
            </w:tcBorders>
            <w:tcMar>
              <w:top w:w="0" w:type="dxa"/>
              <w:bottom w:w="0" w:type="dxa"/>
            </w:tcMar>
            <w:vAlign w:val="center"/>
          </w:tcPr>
          <w:p w14:paraId="26A724AB" w14:textId="49BF0A59" w:rsidR="009D4321" w:rsidRPr="00FD4081" w:rsidRDefault="00717963" w:rsidP="009D4321">
            <w:pPr>
              <w:pStyle w:val="BodyText"/>
              <w:spacing w:line="0" w:lineRule="atLeast"/>
              <w:contextualSpacing/>
              <w:jc w:val="center"/>
              <w:rPr>
                <w:iCs/>
                <w:sz w:val="16"/>
              </w:rPr>
            </w:pPr>
            <w:r>
              <w:rPr>
                <w:iCs/>
                <w:sz w:val="16"/>
              </w:rPr>
              <w:t>2.5</w:t>
            </w:r>
            <w:r w:rsidR="009D4321" w:rsidRPr="00FD4081">
              <w:rPr>
                <w:iCs/>
                <w:sz w:val="16"/>
              </w:rPr>
              <w:t xml:space="preserve"> (40.3)</w:t>
            </w:r>
          </w:p>
        </w:tc>
      </w:tr>
      <w:tr w:rsidR="009D4321" w:rsidRPr="003736FA" w14:paraId="385DEC88" w14:textId="77777777" w:rsidTr="001A561D">
        <w:tc>
          <w:tcPr>
            <w:tcW w:w="1779" w:type="pct"/>
            <w:tcBorders>
              <w:top w:val="nil"/>
              <w:left w:val="nil"/>
              <w:bottom w:val="single" w:sz="4" w:space="0" w:color="auto"/>
              <w:right w:val="nil"/>
            </w:tcBorders>
            <w:tcMar>
              <w:top w:w="0" w:type="dxa"/>
              <w:bottom w:w="0" w:type="dxa"/>
            </w:tcMar>
          </w:tcPr>
          <w:p w14:paraId="1A66019A" w14:textId="77DCCCB4" w:rsidR="009D4321" w:rsidRPr="00E711B2" w:rsidRDefault="009D4321" w:rsidP="005C471B">
            <w:pPr>
              <w:pStyle w:val="BodyText"/>
              <w:spacing w:line="0" w:lineRule="atLeast"/>
              <w:contextualSpacing/>
              <w:rPr>
                <w:i/>
                <w:sz w:val="16"/>
                <w:szCs w:val="16"/>
              </w:rPr>
            </w:pPr>
            <w:r w:rsidRPr="00E711B2">
              <w:rPr>
                <w:i/>
                <w:sz w:val="16"/>
                <w:szCs w:val="16"/>
              </w:rPr>
              <w:t>Estimated rate ratio</w:t>
            </w:r>
          </w:p>
        </w:tc>
        <w:tc>
          <w:tcPr>
            <w:tcW w:w="1105" w:type="pct"/>
            <w:tcBorders>
              <w:top w:val="nil"/>
              <w:left w:val="nil"/>
              <w:bottom w:val="single" w:sz="4" w:space="0" w:color="auto"/>
              <w:right w:val="nil"/>
            </w:tcBorders>
            <w:tcMar>
              <w:top w:w="0" w:type="dxa"/>
              <w:bottom w:w="0" w:type="dxa"/>
            </w:tcMar>
          </w:tcPr>
          <w:p w14:paraId="56584012" w14:textId="20FC4BD4" w:rsidR="009D4321" w:rsidRPr="00E711B2" w:rsidRDefault="009D4321" w:rsidP="005C471B">
            <w:pPr>
              <w:pStyle w:val="BodyText"/>
              <w:spacing w:line="0" w:lineRule="atLeast"/>
              <w:contextualSpacing/>
              <w:jc w:val="center"/>
              <w:rPr>
                <w:i/>
                <w:sz w:val="16"/>
              </w:rPr>
            </w:pPr>
            <w:r w:rsidRPr="00E711B2">
              <w:rPr>
                <w:i/>
                <w:sz w:val="16"/>
              </w:rPr>
              <w:t>1.29 [0.93; 1.79]</w:t>
            </w:r>
            <w:r w:rsidRPr="00E711B2">
              <w:rPr>
                <w:i/>
                <w:sz w:val="16"/>
                <w:vertAlign w:val="superscript"/>
              </w:rPr>
              <w:t>A</w:t>
            </w:r>
          </w:p>
        </w:tc>
        <w:tc>
          <w:tcPr>
            <w:tcW w:w="1058" w:type="pct"/>
            <w:tcBorders>
              <w:top w:val="nil"/>
              <w:left w:val="nil"/>
              <w:bottom w:val="single" w:sz="4" w:space="0" w:color="auto"/>
              <w:right w:val="nil"/>
            </w:tcBorders>
            <w:tcMar>
              <w:top w:w="0" w:type="dxa"/>
              <w:bottom w:w="0" w:type="dxa"/>
            </w:tcMar>
          </w:tcPr>
          <w:p w14:paraId="129EC530" w14:textId="09F5D34B" w:rsidR="009D4321" w:rsidRPr="00E711B2" w:rsidRDefault="009D4321" w:rsidP="005C471B">
            <w:pPr>
              <w:pStyle w:val="BodyText"/>
              <w:spacing w:line="0" w:lineRule="atLeast"/>
              <w:contextualSpacing/>
              <w:jc w:val="center"/>
              <w:rPr>
                <w:i/>
                <w:sz w:val="16"/>
              </w:rPr>
            </w:pPr>
            <w:r w:rsidRPr="00E711B2">
              <w:rPr>
                <w:i/>
                <w:sz w:val="16"/>
              </w:rPr>
              <w:t>1.50 [1.09; 2.08]</w:t>
            </w:r>
            <w:r w:rsidRPr="00E711B2">
              <w:rPr>
                <w:i/>
                <w:sz w:val="16"/>
                <w:vertAlign w:val="superscript"/>
              </w:rPr>
              <w:t>B</w:t>
            </w:r>
          </w:p>
        </w:tc>
        <w:tc>
          <w:tcPr>
            <w:tcW w:w="1058" w:type="pct"/>
            <w:tcBorders>
              <w:top w:val="nil"/>
              <w:left w:val="nil"/>
              <w:bottom w:val="single" w:sz="4" w:space="0" w:color="auto"/>
              <w:right w:val="single" w:sz="4" w:space="0" w:color="auto"/>
            </w:tcBorders>
            <w:tcMar>
              <w:top w:w="0" w:type="dxa"/>
              <w:bottom w:w="0" w:type="dxa"/>
            </w:tcMar>
          </w:tcPr>
          <w:p w14:paraId="6FFF8353" w14:textId="77777777" w:rsidR="009D4321" w:rsidRPr="00E711B2" w:rsidRDefault="009D4321" w:rsidP="005C471B">
            <w:pPr>
              <w:pStyle w:val="BodyText"/>
              <w:spacing w:line="0" w:lineRule="atLeast"/>
              <w:contextualSpacing/>
              <w:jc w:val="center"/>
              <w:rPr>
                <w:sz w:val="16"/>
              </w:rPr>
            </w:pPr>
          </w:p>
        </w:tc>
      </w:tr>
      <w:tr w:rsidR="005C471B" w:rsidRPr="003736FA" w14:paraId="3ABCCC47" w14:textId="77777777" w:rsidTr="005F2AB0">
        <w:tc>
          <w:tcPr>
            <w:tcW w:w="5000" w:type="pct"/>
            <w:gridSpan w:val="4"/>
            <w:tcBorders>
              <w:top w:val="single" w:sz="4" w:space="0" w:color="auto"/>
              <w:left w:val="nil"/>
              <w:bottom w:val="nil"/>
              <w:right w:val="nil"/>
            </w:tcBorders>
            <w:tcMar>
              <w:top w:w="0" w:type="dxa"/>
              <w:bottom w:w="0" w:type="dxa"/>
            </w:tcMar>
          </w:tcPr>
          <w:p w14:paraId="7E0058A5" w14:textId="681B1144" w:rsidR="005C471B" w:rsidRDefault="005C471B" w:rsidP="005C471B">
            <w:pPr>
              <w:pStyle w:val="BodyText"/>
              <w:spacing w:line="0" w:lineRule="atLeast"/>
              <w:contextualSpacing/>
              <w:rPr>
                <w:sz w:val="16"/>
                <w:szCs w:val="16"/>
              </w:rPr>
            </w:pPr>
            <w:r w:rsidRPr="00E711B2">
              <w:rPr>
                <w:sz w:val="16"/>
                <w:szCs w:val="16"/>
              </w:rPr>
              <w:t>Baseline, End of trial values are based on the mean of the observed last available values. The 95% confidence interval is stated in ‘[]’</w:t>
            </w:r>
          </w:p>
          <w:p w14:paraId="71725C7B" w14:textId="1AD92538" w:rsidR="00FD4081" w:rsidRPr="00E711B2" w:rsidRDefault="00FD4081" w:rsidP="00FD4081">
            <w:pPr>
              <w:pStyle w:val="BodyText"/>
              <w:spacing w:line="0" w:lineRule="atLeast"/>
              <w:contextualSpacing/>
              <w:rPr>
                <w:sz w:val="16"/>
                <w:szCs w:val="16"/>
              </w:rPr>
            </w:pPr>
            <w:r w:rsidRPr="00FD4081">
              <w:rPr>
                <w:sz w:val="16"/>
                <w:szCs w:val="16"/>
                <w:lang w:val="en-AU"/>
              </w:rPr>
              <w:t>*Severe according to the ISPAD 2014 classification and/or have a recorded plasma glucose  &lt; 3.1 mmol/L</w:t>
            </w:r>
          </w:p>
          <w:p w14:paraId="6E55A70D" w14:textId="77777777" w:rsidR="005C471B" w:rsidRPr="00E711B2" w:rsidRDefault="005C471B" w:rsidP="005C471B">
            <w:pPr>
              <w:pStyle w:val="BodyText"/>
              <w:spacing w:line="0" w:lineRule="atLeast"/>
              <w:contextualSpacing/>
              <w:rPr>
                <w:sz w:val="16"/>
                <w:szCs w:val="16"/>
              </w:rPr>
            </w:pPr>
            <w:r w:rsidRPr="00E711B2">
              <w:rPr>
                <w:sz w:val="16"/>
                <w:szCs w:val="16"/>
                <w:vertAlign w:val="superscript"/>
              </w:rPr>
              <w:t>A</w:t>
            </w:r>
            <w:r w:rsidRPr="00E711B2">
              <w:rPr>
                <w:sz w:val="16"/>
                <w:szCs w:val="16"/>
              </w:rPr>
              <w:t xml:space="preserve"> The difference is for </w:t>
            </w:r>
            <w:proofErr w:type="spellStart"/>
            <w:r w:rsidRPr="00E711B2">
              <w:rPr>
                <w:sz w:val="16"/>
                <w:szCs w:val="16"/>
              </w:rPr>
              <w:t>Fiasp</w:t>
            </w:r>
            <w:proofErr w:type="spellEnd"/>
            <w:r w:rsidRPr="00E711B2">
              <w:rPr>
                <w:sz w:val="16"/>
                <w:szCs w:val="16"/>
              </w:rPr>
              <w:t xml:space="preserve"> mealtime – </w:t>
            </w:r>
            <w:proofErr w:type="spellStart"/>
            <w:r w:rsidRPr="00E711B2">
              <w:rPr>
                <w:sz w:val="16"/>
                <w:szCs w:val="16"/>
              </w:rPr>
              <w:t>NovoRapid</w:t>
            </w:r>
            <w:proofErr w:type="spellEnd"/>
            <w:r w:rsidRPr="00E711B2">
              <w:rPr>
                <w:sz w:val="16"/>
                <w:szCs w:val="16"/>
              </w:rPr>
              <w:t xml:space="preserve"> mealtime </w:t>
            </w:r>
          </w:p>
          <w:p w14:paraId="66F69A54" w14:textId="77777777" w:rsidR="005C471B" w:rsidRPr="00E711B2" w:rsidRDefault="005C471B" w:rsidP="005C471B">
            <w:pPr>
              <w:pStyle w:val="BodyText"/>
              <w:spacing w:line="0" w:lineRule="atLeast"/>
              <w:contextualSpacing/>
              <w:rPr>
                <w:sz w:val="16"/>
                <w:szCs w:val="16"/>
              </w:rPr>
            </w:pPr>
            <w:r w:rsidRPr="00E711B2">
              <w:rPr>
                <w:sz w:val="16"/>
                <w:szCs w:val="16"/>
                <w:vertAlign w:val="superscript"/>
              </w:rPr>
              <w:t>B</w:t>
            </w:r>
            <w:r w:rsidRPr="00E711B2">
              <w:rPr>
                <w:sz w:val="16"/>
                <w:szCs w:val="16"/>
              </w:rPr>
              <w:t xml:space="preserve"> The difference is for </w:t>
            </w:r>
            <w:proofErr w:type="spellStart"/>
            <w:r w:rsidRPr="00E711B2">
              <w:rPr>
                <w:sz w:val="16"/>
                <w:szCs w:val="16"/>
              </w:rPr>
              <w:t>Fiasp</w:t>
            </w:r>
            <w:proofErr w:type="spellEnd"/>
            <w:r w:rsidRPr="00E711B2">
              <w:rPr>
                <w:sz w:val="16"/>
                <w:szCs w:val="16"/>
              </w:rPr>
              <w:t xml:space="preserve"> </w:t>
            </w:r>
            <w:proofErr w:type="spellStart"/>
            <w:r w:rsidRPr="00E711B2">
              <w:rPr>
                <w:sz w:val="16"/>
                <w:szCs w:val="16"/>
              </w:rPr>
              <w:t>postmeal</w:t>
            </w:r>
            <w:proofErr w:type="spellEnd"/>
            <w:r w:rsidRPr="00E711B2">
              <w:rPr>
                <w:sz w:val="16"/>
                <w:szCs w:val="16"/>
              </w:rPr>
              <w:t xml:space="preserve"> – </w:t>
            </w:r>
            <w:proofErr w:type="spellStart"/>
            <w:r w:rsidRPr="00E711B2">
              <w:rPr>
                <w:sz w:val="16"/>
                <w:szCs w:val="16"/>
              </w:rPr>
              <w:t>NovoRapid</w:t>
            </w:r>
            <w:proofErr w:type="spellEnd"/>
            <w:r w:rsidRPr="00E711B2">
              <w:rPr>
                <w:sz w:val="16"/>
                <w:szCs w:val="16"/>
              </w:rPr>
              <w:t xml:space="preserve"> mealtime </w:t>
            </w:r>
          </w:p>
          <w:p w14:paraId="62A04D27" w14:textId="1D8B650E" w:rsidR="005C471B" w:rsidRPr="00E711B2" w:rsidRDefault="005C471B" w:rsidP="005C471B">
            <w:pPr>
              <w:pStyle w:val="BodyText"/>
              <w:spacing w:line="0" w:lineRule="atLeast"/>
              <w:contextualSpacing/>
              <w:rPr>
                <w:sz w:val="16"/>
              </w:rPr>
            </w:pPr>
            <w:r w:rsidRPr="00E711B2">
              <w:rPr>
                <w:sz w:val="16"/>
                <w:szCs w:val="16"/>
                <w:vertAlign w:val="superscript"/>
              </w:rPr>
              <w:t>C</w:t>
            </w:r>
            <w:r w:rsidRPr="00E711B2">
              <w:rPr>
                <w:sz w:val="16"/>
                <w:szCs w:val="16"/>
              </w:rPr>
              <w:t xml:space="preserve"> Statistically significant in favour of </w:t>
            </w:r>
            <w:proofErr w:type="spellStart"/>
            <w:r w:rsidRPr="00E711B2">
              <w:rPr>
                <w:sz w:val="16"/>
                <w:szCs w:val="16"/>
              </w:rPr>
              <w:t>Fiasp</w:t>
            </w:r>
            <w:proofErr w:type="spellEnd"/>
            <w:r w:rsidRPr="00E711B2">
              <w:rPr>
                <w:sz w:val="16"/>
                <w:szCs w:val="16"/>
              </w:rPr>
              <w:t xml:space="preserve"> mealtime</w:t>
            </w:r>
          </w:p>
        </w:tc>
      </w:tr>
    </w:tbl>
    <w:p w14:paraId="1DB7CDB1" w14:textId="77777777" w:rsidR="00C44B67" w:rsidRDefault="00C44B67" w:rsidP="00C44B67">
      <w:pPr>
        <w:pStyle w:val="Heading3"/>
      </w:pPr>
      <w:r>
        <w:lastRenderedPageBreak/>
        <w:t>5.2</w:t>
      </w:r>
      <w:r>
        <w:tab/>
        <w:t>Pharmacokinetic Properties</w:t>
      </w:r>
    </w:p>
    <w:p w14:paraId="2F5AAE95" w14:textId="77777777" w:rsidR="00C44B67" w:rsidRDefault="00C44B67" w:rsidP="00C44B67">
      <w:pPr>
        <w:pStyle w:val="Heading4"/>
      </w:pPr>
      <w:r>
        <w:t>Absorption</w:t>
      </w:r>
    </w:p>
    <w:p w14:paraId="44E85535" w14:textId="19F1A432" w:rsidR="00432736" w:rsidRPr="00432736" w:rsidRDefault="00432736" w:rsidP="00432736">
      <w:pPr>
        <w:rPr>
          <w:lang w:val="en-US"/>
        </w:rPr>
      </w:pPr>
      <w:r w:rsidRPr="00432736">
        <w:rPr>
          <w:lang w:val="en-US"/>
        </w:rPr>
        <w:t xml:space="preserve">Human insulin molecules self-associate to form hexamers.  The substitution of proline by aspartic acid at position B28 in insulin </w:t>
      </w:r>
      <w:proofErr w:type="spellStart"/>
      <w:r w:rsidRPr="00432736">
        <w:rPr>
          <w:lang w:val="en-US"/>
        </w:rPr>
        <w:t>aspart</w:t>
      </w:r>
      <w:proofErr w:type="spellEnd"/>
      <w:r w:rsidRPr="00432736">
        <w:rPr>
          <w:lang w:val="en-US"/>
        </w:rPr>
        <w:t xml:space="preserve"> produces an intermolecular repulsion which reduces the tendency of the insulin molecules to self-associate.  The inclusion of nicotinamide in the </w:t>
      </w:r>
      <w:proofErr w:type="spellStart"/>
      <w:r w:rsidRPr="00432736">
        <w:rPr>
          <w:lang w:val="en-US"/>
        </w:rPr>
        <w:t>Fiasp</w:t>
      </w:r>
      <w:proofErr w:type="spellEnd"/>
      <w:r w:rsidRPr="00432736">
        <w:rPr>
          <w:lang w:val="en-US"/>
        </w:rPr>
        <w:t xml:space="preserve"> formulation further reduces self-association. This increases the rate of dissociation of hexamers into dimers and monomers in the subcutaneous layer.  </w:t>
      </w:r>
      <w:r w:rsidRPr="00432736">
        <w:rPr>
          <w:iCs/>
          <w:lang w:val="en-US"/>
        </w:rPr>
        <w:t>This</w:t>
      </w:r>
      <w:r w:rsidRPr="00432736">
        <w:rPr>
          <w:lang w:val="en-US"/>
        </w:rPr>
        <w:t xml:space="preserve"> results in a faster initial absorption of insulin, leading to an earlier onset of exposure and greater early insulin exposure following bolus administration via subcutaneous injection (Figure </w:t>
      </w:r>
      <w:r w:rsidR="00EF34D9">
        <w:rPr>
          <w:lang w:val="en-US"/>
        </w:rPr>
        <w:t>4</w:t>
      </w:r>
      <w:r w:rsidRPr="00432736">
        <w:rPr>
          <w:lang w:val="en-US"/>
        </w:rPr>
        <w:t xml:space="preserve">) or through CSII in pumps (Figure 4) compared to </w:t>
      </w:r>
      <w:proofErr w:type="spellStart"/>
      <w:r w:rsidRPr="00432736">
        <w:rPr>
          <w:lang w:val="en-US"/>
        </w:rPr>
        <w:t>NovoRapid</w:t>
      </w:r>
      <w:proofErr w:type="spellEnd"/>
      <w:r w:rsidRPr="00432736">
        <w:rPr>
          <w:lang w:val="en-US"/>
        </w:rPr>
        <w:t>.</w:t>
      </w:r>
    </w:p>
    <w:p w14:paraId="2019AC3F" w14:textId="77777777" w:rsidR="00C44B67" w:rsidRDefault="00432736" w:rsidP="00432736">
      <w:pPr>
        <w:jc w:val="center"/>
        <w:rPr>
          <w:rFonts w:eastAsia="Calibri"/>
          <w:b/>
          <w:noProof/>
          <w:shd w:val="clear" w:color="auto" w:fill="FFFFFF"/>
          <w:lang w:eastAsia="en-GB"/>
        </w:rPr>
      </w:pPr>
      <w:r w:rsidRPr="003D5387">
        <w:rPr>
          <w:rFonts w:eastAsia="Calibri"/>
          <w:b/>
          <w:noProof/>
          <w:shd w:val="clear" w:color="auto" w:fill="FFFFFF"/>
          <w:lang w:eastAsia="en-GB"/>
        </w:rPr>
        <w:object w:dxaOrig="5670" w:dyaOrig="5251" w14:anchorId="31B4DD3B">
          <v:shape id="_x0000_i1028" type="#_x0000_t75" style="width:283.9pt;height:262.65pt" o:ole="">
            <v:imagedata r:id="rId19" o:title=""/>
          </v:shape>
          <o:OLEObject Type="Embed" ProgID="Word.Document.12" ShapeID="_x0000_i1028" DrawAspect="Content" ObjectID="_1660545977" r:id="rId20">
            <o:FieldCodes>\s</o:FieldCodes>
          </o:OLEObject>
        </w:object>
      </w:r>
    </w:p>
    <w:p w14:paraId="13F1A623" w14:textId="15206E21" w:rsidR="00432736" w:rsidRPr="00780662" w:rsidRDefault="00780662" w:rsidP="00780662">
      <w:pPr>
        <w:ind w:left="1134" w:hanging="1134"/>
        <w:jc w:val="both"/>
        <w:rPr>
          <w:b/>
          <w:bCs/>
          <w:iCs/>
          <w:lang w:val="en-US"/>
        </w:rPr>
      </w:pPr>
      <w:r w:rsidRPr="00D81D77">
        <w:rPr>
          <w:b/>
          <w:bCs/>
        </w:rPr>
        <w:t xml:space="preserve">Figure </w:t>
      </w:r>
      <w:r w:rsidRPr="00D81D77">
        <w:rPr>
          <w:b/>
          <w:bCs/>
        </w:rPr>
        <w:fldChar w:fldCharType="begin"/>
      </w:r>
      <w:r w:rsidRPr="00D81D77">
        <w:rPr>
          <w:b/>
          <w:bCs/>
        </w:rPr>
        <w:instrText xml:space="preserve"> SEQ Figure \* ARABIC </w:instrText>
      </w:r>
      <w:r w:rsidRPr="00D81D77">
        <w:rPr>
          <w:b/>
          <w:bCs/>
        </w:rPr>
        <w:fldChar w:fldCharType="separate"/>
      </w:r>
      <w:r w:rsidR="00BC4F8D">
        <w:rPr>
          <w:b/>
          <w:bCs/>
          <w:noProof/>
        </w:rPr>
        <w:t>3</w:t>
      </w:r>
      <w:r w:rsidRPr="00D81D77">
        <w:rPr>
          <w:b/>
          <w:bCs/>
        </w:rPr>
        <w:fldChar w:fldCharType="end"/>
      </w:r>
      <w:r w:rsidR="00432736" w:rsidRPr="00432736">
        <w:rPr>
          <w:lang w:val="en-US"/>
        </w:rPr>
        <w:t xml:space="preserve"> </w:t>
      </w:r>
      <w:r w:rsidR="00432736" w:rsidRPr="00780662">
        <w:rPr>
          <w:b/>
          <w:bCs/>
          <w:iCs/>
          <w:lang w:val="en-US"/>
        </w:rPr>
        <w:t>Meal insulin profile in patients with type 1 diabetes after subcutaneous injection: 0-2 hours</w:t>
      </w:r>
    </w:p>
    <w:p w14:paraId="0380F87A" w14:textId="77777777" w:rsidR="00432736" w:rsidRPr="00432736" w:rsidRDefault="00432736" w:rsidP="00432736">
      <w:pPr>
        <w:rPr>
          <w:b/>
        </w:rPr>
      </w:pPr>
      <w:r w:rsidRPr="00432736">
        <w:rPr>
          <w:lang w:val="en-US"/>
        </w:rPr>
        <w:t xml:space="preserve">After administration of </w:t>
      </w:r>
      <w:proofErr w:type="spellStart"/>
      <w:r w:rsidRPr="00432736">
        <w:rPr>
          <w:iCs/>
          <w:lang w:val="en-US"/>
        </w:rPr>
        <w:t>Fiasp</w:t>
      </w:r>
      <w:proofErr w:type="spellEnd"/>
      <w:r w:rsidRPr="00432736">
        <w:rPr>
          <w:lang w:val="en-US"/>
        </w:rPr>
        <w:t xml:space="preserve">, insulin appeared in the circulation approximately 4 minutes after administration (Figure 3). The onset of appearance was twice as fast (corresponding to 5 minutes earlier), time to 50% maximum concentration was 9 minutes shorter with </w:t>
      </w:r>
      <w:proofErr w:type="spellStart"/>
      <w:r w:rsidRPr="00432736">
        <w:rPr>
          <w:iCs/>
          <w:lang w:val="en-US"/>
        </w:rPr>
        <w:t>Fiasp</w:t>
      </w:r>
      <w:proofErr w:type="spellEnd"/>
      <w:r w:rsidRPr="00432736">
        <w:rPr>
          <w:lang w:val="en-US"/>
        </w:rPr>
        <w:t xml:space="preserve"> compared to </w:t>
      </w:r>
      <w:proofErr w:type="spellStart"/>
      <w:r w:rsidRPr="00432736">
        <w:rPr>
          <w:lang w:val="en-US"/>
        </w:rPr>
        <w:t>NovoRapid</w:t>
      </w:r>
      <w:proofErr w:type="spellEnd"/>
      <w:r w:rsidRPr="00432736">
        <w:rPr>
          <w:lang w:val="en-US"/>
        </w:rPr>
        <w:t xml:space="preserve"> with four times’ as much insulin available during first 15 minutes and with twice as much insulin available during the first 30 minutes. The total insulin exposure (</w:t>
      </w:r>
      <w:proofErr w:type="spellStart"/>
      <w:r w:rsidRPr="00432736">
        <w:rPr>
          <w:lang w:val="en-US"/>
        </w:rPr>
        <w:t>AUC</w:t>
      </w:r>
      <w:r w:rsidRPr="00432736">
        <w:rPr>
          <w:vertAlign w:val="subscript"/>
          <w:lang w:val="en-US"/>
        </w:rPr>
        <w:t>insulin</w:t>
      </w:r>
      <w:proofErr w:type="spellEnd"/>
      <w:r w:rsidRPr="00432736">
        <w:rPr>
          <w:vertAlign w:val="subscript"/>
          <w:lang w:val="en-US"/>
        </w:rPr>
        <w:t xml:space="preserve"> </w:t>
      </w:r>
      <w:proofErr w:type="spellStart"/>
      <w:r w:rsidRPr="00432736">
        <w:rPr>
          <w:vertAlign w:val="subscript"/>
          <w:lang w:val="en-US"/>
        </w:rPr>
        <w:t>aspart</w:t>
      </w:r>
      <w:proofErr w:type="spellEnd"/>
      <w:r w:rsidRPr="00432736">
        <w:rPr>
          <w:vertAlign w:val="subscript"/>
          <w:lang w:val="en-US"/>
        </w:rPr>
        <w:t>, 0-12hours</w:t>
      </w:r>
      <w:r w:rsidRPr="00432736">
        <w:rPr>
          <w:lang w:val="en-US"/>
        </w:rPr>
        <w:t>)</w:t>
      </w:r>
      <w:r w:rsidRPr="00432736">
        <w:rPr>
          <w:vertAlign w:val="superscript"/>
          <w:lang w:val="en-US"/>
        </w:rPr>
        <w:t xml:space="preserve"> </w:t>
      </w:r>
      <w:r w:rsidRPr="00432736">
        <w:rPr>
          <w:lang w:val="en-US"/>
        </w:rPr>
        <w:t>and the maximum insulin concentration (</w:t>
      </w:r>
      <w:proofErr w:type="spellStart"/>
      <w:r w:rsidRPr="00432736">
        <w:rPr>
          <w:lang w:val="en-US"/>
        </w:rPr>
        <w:t>C</w:t>
      </w:r>
      <w:r w:rsidRPr="00432736">
        <w:rPr>
          <w:vertAlign w:val="subscript"/>
          <w:lang w:val="en-US"/>
        </w:rPr>
        <w:t>max</w:t>
      </w:r>
      <w:proofErr w:type="spellEnd"/>
      <w:r w:rsidRPr="00432736">
        <w:rPr>
          <w:lang w:val="en-US"/>
        </w:rPr>
        <w:t xml:space="preserve">) were comparable between </w:t>
      </w:r>
      <w:proofErr w:type="spellStart"/>
      <w:r w:rsidRPr="00432736">
        <w:rPr>
          <w:iCs/>
          <w:lang w:val="en-US"/>
        </w:rPr>
        <w:t>Fiasp</w:t>
      </w:r>
      <w:proofErr w:type="spellEnd"/>
      <w:r w:rsidRPr="00432736">
        <w:rPr>
          <w:lang w:val="en-US"/>
        </w:rPr>
        <w:t xml:space="preserve"> and </w:t>
      </w:r>
      <w:proofErr w:type="spellStart"/>
      <w:r w:rsidRPr="00432736">
        <w:rPr>
          <w:lang w:val="en-US"/>
        </w:rPr>
        <w:t>NovoRapid</w:t>
      </w:r>
      <w:proofErr w:type="spellEnd"/>
      <w:r w:rsidRPr="00432736">
        <w:rPr>
          <w:lang w:val="en-US"/>
        </w:rPr>
        <w:t xml:space="preserve">. Total exposure and maximum insulin concentration increases proportionally with increasing subcutaneous dose of </w:t>
      </w:r>
      <w:proofErr w:type="spellStart"/>
      <w:r w:rsidRPr="00432736">
        <w:rPr>
          <w:iCs/>
          <w:lang w:val="en-US"/>
        </w:rPr>
        <w:t>Fiasp</w:t>
      </w:r>
      <w:proofErr w:type="spellEnd"/>
      <w:r w:rsidRPr="00432736">
        <w:rPr>
          <w:lang w:val="en-US"/>
        </w:rPr>
        <w:t xml:space="preserve"> within the therapeutic dose range.</w:t>
      </w:r>
    </w:p>
    <w:p w14:paraId="109E6D0A" w14:textId="0A7EF53E" w:rsidR="00432736" w:rsidRPr="00432736" w:rsidRDefault="00432736" w:rsidP="00432736">
      <w:pPr>
        <w:rPr>
          <w:b/>
        </w:rPr>
      </w:pPr>
      <w:r w:rsidRPr="00432736">
        <w:rPr>
          <w:lang w:val="en-GB"/>
        </w:rPr>
        <w:t xml:space="preserve">The pharmacokinetic profiles of </w:t>
      </w:r>
      <w:proofErr w:type="spellStart"/>
      <w:r w:rsidRPr="00432736">
        <w:rPr>
          <w:lang w:val="en-GB"/>
        </w:rPr>
        <w:t>Fiasp</w:t>
      </w:r>
      <w:proofErr w:type="spellEnd"/>
      <w:r w:rsidRPr="00432736">
        <w:rPr>
          <w:lang w:val="en-GB"/>
        </w:rPr>
        <w:t xml:space="preserve"> and </w:t>
      </w:r>
      <w:proofErr w:type="spellStart"/>
      <w:r w:rsidRPr="00432736">
        <w:rPr>
          <w:lang w:val="en-GB"/>
        </w:rPr>
        <w:t>NovoRapid</w:t>
      </w:r>
      <w:proofErr w:type="spellEnd"/>
      <w:r w:rsidRPr="00432736">
        <w:rPr>
          <w:lang w:val="en-GB"/>
        </w:rPr>
        <w:t xml:space="preserve"> are distinct during the first hour following </w:t>
      </w:r>
      <w:proofErr w:type="gramStart"/>
      <w:r w:rsidRPr="00432736">
        <w:rPr>
          <w:lang w:val="en-GB"/>
        </w:rPr>
        <w:t>administration which</w:t>
      </w:r>
      <w:proofErr w:type="gramEnd"/>
      <w:r w:rsidRPr="00432736">
        <w:rPr>
          <w:lang w:val="en-GB"/>
        </w:rPr>
        <w:t xml:space="preserve"> is of particular importance for a mealtime insulin. T</w:t>
      </w:r>
      <w:r w:rsidRPr="00432736">
        <w:rPr>
          <w:lang w:val="en-US"/>
        </w:rPr>
        <w:t xml:space="preserve">he earlier onset of action of </w:t>
      </w:r>
      <w:proofErr w:type="spellStart"/>
      <w:r w:rsidRPr="00432736">
        <w:rPr>
          <w:lang w:val="en-US"/>
        </w:rPr>
        <w:t>Fiasp</w:t>
      </w:r>
      <w:proofErr w:type="spellEnd"/>
      <w:r w:rsidRPr="00432736">
        <w:rPr>
          <w:lang w:val="en-US"/>
        </w:rPr>
        <w:t xml:space="preserve"> and the subsequent increased glucose lowering effect compared with </w:t>
      </w:r>
      <w:proofErr w:type="spellStart"/>
      <w:r w:rsidRPr="00432736">
        <w:rPr>
          <w:lang w:val="en-US"/>
        </w:rPr>
        <w:t>NovoRapid</w:t>
      </w:r>
      <w:proofErr w:type="spellEnd"/>
      <w:r w:rsidRPr="00432736">
        <w:rPr>
          <w:lang w:val="en-US"/>
        </w:rPr>
        <w:t xml:space="preserve"> </w:t>
      </w:r>
      <w:proofErr w:type="gramStart"/>
      <w:r w:rsidRPr="00432736">
        <w:rPr>
          <w:lang w:val="en-US"/>
        </w:rPr>
        <w:t>must be con</w:t>
      </w:r>
      <w:r w:rsidR="00881851">
        <w:rPr>
          <w:lang w:val="en-US"/>
        </w:rPr>
        <w:t>sidered</w:t>
      </w:r>
      <w:proofErr w:type="gramEnd"/>
      <w:r w:rsidR="00881851">
        <w:rPr>
          <w:lang w:val="en-US"/>
        </w:rPr>
        <w:t xml:space="preserve"> when prescribing </w:t>
      </w:r>
      <w:proofErr w:type="spellStart"/>
      <w:r w:rsidR="00881851">
        <w:rPr>
          <w:lang w:val="en-US"/>
        </w:rPr>
        <w:t>Fiasp</w:t>
      </w:r>
      <w:proofErr w:type="spellEnd"/>
      <w:r w:rsidR="00881851">
        <w:rPr>
          <w:lang w:val="en-US"/>
        </w:rPr>
        <w:t>.</w:t>
      </w:r>
    </w:p>
    <w:p w14:paraId="62460D38" w14:textId="77777777" w:rsidR="00432736" w:rsidRPr="009178CA" w:rsidRDefault="00432736" w:rsidP="00881851">
      <w:pPr>
        <w:pStyle w:val="Heading5"/>
        <w:rPr>
          <w:lang w:val="fr-FR"/>
        </w:rPr>
      </w:pPr>
      <w:proofErr w:type="spellStart"/>
      <w:r w:rsidRPr="009178CA">
        <w:rPr>
          <w:lang w:val="fr-FR"/>
        </w:rPr>
        <w:lastRenderedPageBreak/>
        <w:t>Continuous</w:t>
      </w:r>
      <w:proofErr w:type="spellEnd"/>
      <w:r w:rsidRPr="009178CA">
        <w:rPr>
          <w:lang w:val="fr-FR"/>
        </w:rPr>
        <w:t xml:space="preserve"> </w:t>
      </w:r>
      <w:proofErr w:type="spellStart"/>
      <w:r w:rsidRPr="009178CA">
        <w:rPr>
          <w:lang w:val="fr-FR"/>
        </w:rPr>
        <w:t>Subcutaneous</w:t>
      </w:r>
      <w:proofErr w:type="spellEnd"/>
      <w:r w:rsidRPr="009178CA">
        <w:rPr>
          <w:lang w:val="fr-FR"/>
        </w:rPr>
        <w:t xml:space="preserve"> </w:t>
      </w:r>
      <w:proofErr w:type="spellStart"/>
      <w:r w:rsidRPr="009178CA">
        <w:rPr>
          <w:lang w:val="fr-FR"/>
        </w:rPr>
        <w:t>Insulin</w:t>
      </w:r>
      <w:proofErr w:type="spellEnd"/>
      <w:r w:rsidRPr="009178CA">
        <w:rPr>
          <w:lang w:val="fr-FR"/>
        </w:rPr>
        <w:t xml:space="preserve"> Infusion (CSII)</w:t>
      </w:r>
    </w:p>
    <w:p w14:paraId="34760B1D" w14:textId="182DA655" w:rsidR="00432736" w:rsidRPr="00432736" w:rsidRDefault="00432736" w:rsidP="00432736">
      <w:pPr>
        <w:rPr>
          <w:b/>
        </w:rPr>
      </w:pPr>
      <w:r w:rsidRPr="00432736">
        <w:rPr>
          <w:lang w:val="en-US"/>
        </w:rPr>
        <w:t xml:space="preserve">The onset of exposure in a CSII setting (time to reach maximum concentration) </w:t>
      </w:r>
      <w:proofErr w:type="gramStart"/>
      <w:r w:rsidRPr="00432736">
        <w:rPr>
          <w:lang w:val="en-US"/>
        </w:rPr>
        <w:t xml:space="preserve">was 26 minutes shorter with </w:t>
      </w:r>
      <w:proofErr w:type="spellStart"/>
      <w:r w:rsidRPr="00432736">
        <w:rPr>
          <w:iCs/>
          <w:lang w:val="en-US"/>
        </w:rPr>
        <w:t>Fiasp</w:t>
      </w:r>
      <w:proofErr w:type="spellEnd"/>
      <w:r w:rsidRPr="00432736">
        <w:rPr>
          <w:lang w:val="en-US"/>
        </w:rPr>
        <w:t xml:space="preserve"> compared</w:t>
      </w:r>
      <w:proofErr w:type="gramEnd"/>
      <w:r w:rsidRPr="00432736">
        <w:rPr>
          <w:lang w:val="en-US"/>
        </w:rPr>
        <w:t xml:space="preserve"> to </w:t>
      </w:r>
      <w:proofErr w:type="spellStart"/>
      <w:r w:rsidRPr="00432736">
        <w:rPr>
          <w:lang w:val="en-US"/>
        </w:rPr>
        <w:t>NovoRapid</w:t>
      </w:r>
      <w:proofErr w:type="spellEnd"/>
      <w:r w:rsidRPr="00432736">
        <w:rPr>
          <w:lang w:val="en-US"/>
        </w:rPr>
        <w:t xml:space="preserve"> resulting in approximately three times as much insulin available during the first 30 minutes (Figure </w:t>
      </w:r>
      <w:r w:rsidR="00EF34D9">
        <w:rPr>
          <w:lang w:val="en-US"/>
        </w:rPr>
        <w:t>5</w:t>
      </w:r>
      <w:r w:rsidRPr="00432736">
        <w:rPr>
          <w:lang w:val="en-US"/>
        </w:rPr>
        <w:t>).</w:t>
      </w:r>
    </w:p>
    <w:bookmarkStart w:id="5" w:name="_MON_1536087885"/>
    <w:bookmarkEnd w:id="5"/>
    <w:p w14:paraId="0A2C5AB2" w14:textId="77777777" w:rsidR="00432736" w:rsidRDefault="00432736" w:rsidP="00432736">
      <w:pPr>
        <w:jc w:val="center"/>
        <w:rPr>
          <w:rFonts w:eastAsia="Calibri"/>
          <w:b/>
          <w:sz w:val="22"/>
          <w:szCs w:val="22"/>
          <w:lang w:val="en-GB"/>
        </w:rPr>
      </w:pPr>
      <w:r w:rsidRPr="000337EA">
        <w:rPr>
          <w:rFonts w:eastAsia="Calibri"/>
          <w:b/>
          <w:sz w:val="22"/>
          <w:szCs w:val="22"/>
          <w:lang w:val="en-GB"/>
        </w:rPr>
        <w:object w:dxaOrig="5670" w:dyaOrig="5460" w14:anchorId="0297FC60">
          <v:shape id="_x0000_i1029" type="#_x0000_t75" style="width:283.9pt;height:273.1pt" o:ole="">
            <v:imagedata r:id="rId21" o:title=""/>
          </v:shape>
          <o:OLEObject Type="Embed" ProgID="Word.Document.12" ShapeID="_x0000_i1029" DrawAspect="Content" ObjectID="_1660545978" r:id="rId22">
            <o:FieldCodes>\s</o:FieldCodes>
          </o:OLEObject>
        </w:object>
      </w:r>
    </w:p>
    <w:p w14:paraId="62A01D74" w14:textId="4A97185B" w:rsidR="00432736" w:rsidRPr="00F16792" w:rsidRDefault="00780662" w:rsidP="00F16792">
      <w:pPr>
        <w:ind w:left="1134" w:hanging="1134"/>
        <w:jc w:val="both"/>
        <w:rPr>
          <w:b/>
          <w:bCs/>
          <w:lang w:val="en-US"/>
        </w:rPr>
      </w:pPr>
      <w:bookmarkStart w:id="6" w:name="_Toc435711997"/>
      <w:r w:rsidRPr="00F16792">
        <w:rPr>
          <w:b/>
          <w:bCs/>
        </w:rPr>
        <w:t xml:space="preserve">Figure </w:t>
      </w:r>
      <w:r w:rsidRPr="00F16792">
        <w:rPr>
          <w:b/>
          <w:bCs/>
        </w:rPr>
        <w:fldChar w:fldCharType="begin"/>
      </w:r>
      <w:r w:rsidRPr="00F16792">
        <w:rPr>
          <w:b/>
          <w:bCs/>
        </w:rPr>
        <w:instrText xml:space="preserve"> SEQ Figure \* ARABIC </w:instrText>
      </w:r>
      <w:r w:rsidRPr="00F16792">
        <w:rPr>
          <w:b/>
          <w:bCs/>
        </w:rPr>
        <w:fldChar w:fldCharType="separate"/>
      </w:r>
      <w:r w:rsidR="00BC4F8D">
        <w:rPr>
          <w:b/>
          <w:bCs/>
          <w:noProof/>
        </w:rPr>
        <w:t>4</w:t>
      </w:r>
      <w:r w:rsidRPr="00F16792">
        <w:rPr>
          <w:b/>
          <w:bCs/>
        </w:rPr>
        <w:fldChar w:fldCharType="end"/>
      </w:r>
      <w:r w:rsidR="00432736" w:rsidRPr="00F16792">
        <w:rPr>
          <w:b/>
          <w:bCs/>
          <w:lang w:val="en-US"/>
        </w:rPr>
        <w:t xml:space="preserve"> Mean insulin profiles in patients with type 1 diabetes in a CSII setting (0–5 hours) corrected for basal insulin infusion</w:t>
      </w:r>
      <w:bookmarkEnd w:id="6"/>
    </w:p>
    <w:p w14:paraId="3396CD39" w14:textId="77777777" w:rsidR="00C44B67" w:rsidRPr="00C44B67" w:rsidRDefault="00C44B67" w:rsidP="00C44B67">
      <w:pPr>
        <w:pStyle w:val="Heading4"/>
      </w:pPr>
      <w:r>
        <w:t>Distribution</w:t>
      </w:r>
    </w:p>
    <w:p w14:paraId="3B4BD4A1" w14:textId="77777777" w:rsidR="00C44B67" w:rsidRPr="00432736" w:rsidRDefault="00432736" w:rsidP="00C44B67">
      <w:pPr>
        <w:rPr>
          <w:b/>
        </w:rPr>
      </w:pPr>
      <w:r w:rsidRPr="00432736">
        <w:rPr>
          <w:lang w:val="en-US"/>
        </w:rPr>
        <w:t xml:space="preserve">Insulin </w:t>
      </w:r>
      <w:proofErr w:type="spellStart"/>
      <w:r w:rsidRPr="00432736">
        <w:rPr>
          <w:lang w:val="en-US"/>
        </w:rPr>
        <w:t>aspart</w:t>
      </w:r>
      <w:proofErr w:type="spellEnd"/>
      <w:r w:rsidRPr="00432736">
        <w:rPr>
          <w:lang w:val="en-US"/>
        </w:rPr>
        <w:t xml:space="preserve"> has a low binding affinity to plasma proteins (&lt;10%), similar to that seen with regular human insulin.</w:t>
      </w:r>
    </w:p>
    <w:p w14:paraId="672904EB" w14:textId="77777777" w:rsidR="00C44B67" w:rsidRDefault="00C44B67" w:rsidP="00C44B67">
      <w:pPr>
        <w:pStyle w:val="Heading4"/>
      </w:pPr>
      <w:r>
        <w:t>Metabolism</w:t>
      </w:r>
    </w:p>
    <w:p w14:paraId="2BAEA2CF" w14:textId="77777777" w:rsidR="00C44B67" w:rsidRDefault="00432736" w:rsidP="00C44B67">
      <w:r w:rsidRPr="00432736">
        <w:rPr>
          <w:lang w:val="en-US"/>
        </w:rPr>
        <w:t xml:space="preserve">Degradation of insulin </w:t>
      </w:r>
      <w:proofErr w:type="spellStart"/>
      <w:r w:rsidRPr="00432736">
        <w:rPr>
          <w:lang w:val="en-US"/>
        </w:rPr>
        <w:t>aspart</w:t>
      </w:r>
      <w:proofErr w:type="spellEnd"/>
      <w:r w:rsidRPr="00432736">
        <w:rPr>
          <w:lang w:val="en-US"/>
        </w:rPr>
        <w:t xml:space="preserve"> is similar to that of human insulin.</w:t>
      </w:r>
    </w:p>
    <w:p w14:paraId="65A8A734" w14:textId="77777777" w:rsidR="00C44B67" w:rsidRDefault="00C44B67" w:rsidP="00C44B67">
      <w:pPr>
        <w:pStyle w:val="Heading4"/>
      </w:pPr>
      <w:r>
        <w:t>E</w:t>
      </w:r>
      <w:r w:rsidR="00432736">
        <w:t>limination</w:t>
      </w:r>
    </w:p>
    <w:p w14:paraId="12236516" w14:textId="77777777" w:rsidR="00BB5759" w:rsidRDefault="00432736" w:rsidP="00C44B67">
      <w:pPr>
        <w:rPr>
          <w:iCs/>
          <w:lang w:val="en-US"/>
        </w:rPr>
      </w:pPr>
      <w:r w:rsidRPr="00432736">
        <w:rPr>
          <w:lang w:val="en-US"/>
        </w:rPr>
        <w:t xml:space="preserve">Half-life after subcutaneous administration of </w:t>
      </w:r>
      <w:proofErr w:type="spellStart"/>
      <w:r w:rsidRPr="00432736">
        <w:rPr>
          <w:iCs/>
          <w:lang w:val="en-US"/>
        </w:rPr>
        <w:t>Fiasp</w:t>
      </w:r>
      <w:proofErr w:type="spellEnd"/>
      <w:r w:rsidRPr="00432736">
        <w:rPr>
          <w:lang w:val="en-US"/>
        </w:rPr>
        <w:t xml:space="preserve"> is 57 minutes and comparable to</w:t>
      </w:r>
      <w:r w:rsidRPr="00432736">
        <w:rPr>
          <w:iCs/>
          <w:lang w:val="en-US"/>
        </w:rPr>
        <w:t xml:space="preserve"> </w:t>
      </w:r>
      <w:proofErr w:type="spellStart"/>
      <w:r w:rsidRPr="00432736">
        <w:rPr>
          <w:iCs/>
          <w:lang w:val="en-US"/>
        </w:rPr>
        <w:t>NovoRapid</w:t>
      </w:r>
      <w:proofErr w:type="spellEnd"/>
      <w:r w:rsidRPr="00432736">
        <w:rPr>
          <w:iCs/>
          <w:lang w:val="en-US"/>
        </w:rPr>
        <w:t>.</w:t>
      </w:r>
    </w:p>
    <w:p w14:paraId="72E9C5BF" w14:textId="77777777" w:rsidR="00BB5759" w:rsidRPr="00BB5759" w:rsidRDefault="00BB5759" w:rsidP="00BB5759">
      <w:pPr>
        <w:pStyle w:val="Heading4"/>
      </w:pPr>
      <w:r w:rsidRPr="00BB5759">
        <w:t>Special populations</w:t>
      </w:r>
    </w:p>
    <w:p w14:paraId="0D54188A" w14:textId="7EB70E15" w:rsidR="00BB5759" w:rsidRPr="009178CA" w:rsidRDefault="00BB5759" w:rsidP="00881851">
      <w:pPr>
        <w:pStyle w:val="Heading5"/>
        <w:rPr>
          <w:b/>
        </w:rPr>
      </w:pPr>
      <w:r w:rsidRPr="009178CA">
        <w:t>Elderly</w:t>
      </w:r>
    </w:p>
    <w:p w14:paraId="6E3E2C30" w14:textId="77777777" w:rsidR="00BB5759" w:rsidRPr="00BB5759" w:rsidRDefault="00BB5759" w:rsidP="00BB5759">
      <w:pPr>
        <w:rPr>
          <w:lang w:val="en-GB"/>
        </w:rPr>
      </w:pPr>
      <w:r w:rsidRPr="00BB5759">
        <w:rPr>
          <w:lang w:val="en-GB"/>
        </w:rPr>
        <w:t xml:space="preserve">In elderly patients with type 1 diabetes </w:t>
      </w:r>
      <w:proofErr w:type="spellStart"/>
      <w:r w:rsidRPr="00BB5759">
        <w:rPr>
          <w:iCs/>
          <w:lang w:val="en-GB"/>
        </w:rPr>
        <w:t>Fiasp</w:t>
      </w:r>
      <w:proofErr w:type="spellEnd"/>
      <w:r w:rsidRPr="00BB5759">
        <w:rPr>
          <w:lang w:val="en-GB"/>
        </w:rPr>
        <w:t xml:space="preserve"> showed an earlier onset of exposure and a higher early insulin exposure whilst maintaining a similar total exposure and maximum concentration compared to </w:t>
      </w:r>
      <w:proofErr w:type="spellStart"/>
      <w:r w:rsidRPr="00BB5759">
        <w:rPr>
          <w:lang w:val="en-GB"/>
        </w:rPr>
        <w:t>NovoRapid</w:t>
      </w:r>
      <w:proofErr w:type="spellEnd"/>
      <w:r w:rsidRPr="00BB5759">
        <w:rPr>
          <w:lang w:val="en-GB"/>
        </w:rPr>
        <w:t>.</w:t>
      </w:r>
    </w:p>
    <w:p w14:paraId="62322745" w14:textId="77538B6E" w:rsidR="00BB5759" w:rsidRPr="00BB5759" w:rsidRDefault="00BB5759" w:rsidP="00BB5759">
      <w:pPr>
        <w:rPr>
          <w:b/>
        </w:rPr>
      </w:pPr>
      <w:r w:rsidRPr="00BB5759">
        <w:rPr>
          <w:lang w:val="en-US"/>
        </w:rPr>
        <w:lastRenderedPageBreak/>
        <w:t xml:space="preserve">The effect of age on the total insulin exposure of </w:t>
      </w:r>
      <w:proofErr w:type="spellStart"/>
      <w:r w:rsidRPr="00BB5759">
        <w:rPr>
          <w:iCs/>
          <w:lang w:val="en-US"/>
        </w:rPr>
        <w:t>Fiasp</w:t>
      </w:r>
      <w:proofErr w:type="spellEnd"/>
      <w:r w:rsidRPr="00BB5759">
        <w:rPr>
          <w:lang w:val="en-US"/>
        </w:rPr>
        <w:t xml:space="preserve"> was based on results from a population pharmacokinetic analysis in patients with type 1 diabetes. No relationship between total insulin exposure of </w:t>
      </w:r>
      <w:proofErr w:type="spellStart"/>
      <w:r w:rsidRPr="00BB5759">
        <w:rPr>
          <w:iCs/>
          <w:lang w:val="en-US"/>
        </w:rPr>
        <w:t>Fiasp</w:t>
      </w:r>
      <w:proofErr w:type="spellEnd"/>
      <w:r w:rsidRPr="00BB5759">
        <w:rPr>
          <w:lang w:val="en-US"/>
        </w:rPr>
        <w:t xml:space="preserve"> and age was o</w:t>
      </w:r>
      <w:r w:rsidR="00881851">
        <w:rPr>
          <w:lang w:val="en-US"/>
        </w:rPr>
        <w:t>bserved (age range from 18-83).</w:t>
      </w:r>
    </w:p>
    <w:p w14:paraId="39196965" w14:textId="69113DB6" w:rsidR="00BB5759" w:rsidRPr="009178CA" w:rsidRDefault="00BB5759" w:rsidP="00881851">
      <w:pPr>
        <w:pStyle w:val="Heading5"/>
      </w:pPr>
      <w:r w:rsidRPr="009178CA">
        <w:t>Gender</w:t>
      </w:r>
    </w:p>
    <w:p w14:paraId="1EED0DAD" w14:textId="77777777" w:rsidR="00BB5759" w:rsidRPr="00BB5759" w:rsidRDefault="00BB5759" w:rsidP="00BB5759">
      <w:pPr>
        <w:rPr>
          <w:iCs/>
          <w:lang w:val="en-GB"/>
        </w:rPr>
      </w:pPr>
      <w:r w:rsidRPr="00BB5759">
        <w:rPr>
          <w:iCs/>
          <w:lang w:val="en-GB"/>
        </w:rPr>
        <w:t xml:space="preserve">The effect of gender on the pharmacokinetics of </w:t>
      </w:r>
      <w:proofErr w:type="spellStart"/>
      <w:r w:rsidRPr="00BB5759">
        <w:rPr>
          <w:iCs/>
          <w:lang w:val="en-GB"/>
        </w:rPr>
        <w:t>Fiasp</w:t>
      </w:r>
      <w:proofErr w:type="spellEnd"/>
      <w:r w:rsidRPr="00BB5759">
        <w:rPr>
          <w:iCs/>
          <w:lang w:val="en-GB"/>
        </w:rPr>
        <w:t xml:space="preserve"> </w:t>
      </w:r>
      <w:proofErr w:type="gramStart"/>
      <w:r w:rsidRPr="00BB5759">
        <w:rPr>
          <w:iCs/>
          <w:lang w:val="en-GB"/>
        </w:rPr>
        <w:t>was examined</w:t>
      </w:r>
      <w:proofErr w:type="gramEnd"/>
      <w:r w:rsidRPr="00BB5759">
        <w:rPr>
          <w:iCs/>
          <w:lang w:val="en-GB"/>
        </w:rPr>
        <w:t xml:space="preserve"> in an across-trial analysis of the pharmacokinetic studies. </w:t>
      </w:r>
      <w:proofErr w:type="spellStart"/>
      <w:r w:rsidRPr="00BB5759">
        <w:rPr>
          <w:iCs/>
          <w:lang w:val="en-GB"/>
        </w:rPr>
        <w:t>Fiasp</w:t>
      </w:r>
      <w:proofErr w:type="spellEnd"/>
      <w:r w:rsidRPr="00BB5759">
        <w:rPr>
          <w:iCs/>
          <w:lang w:val="en-GB"/>
        </w:rPr>
        <w:t xml:space="preserve"> showed a comparable earlier onset of exposure and a higher early insulin exposure whilst maintaining a similar total exposure and maximum concentration compared to </w:t>
      </w:r>
      <w:proofErr w:type="spellStart"/>
      <w:r w:rsidRPr="00BB5759">
        <w:rPr>
          <w:iCs/>
          <w:lang w:val="en-GB"/>
        </w:rPr>
        <w:t>NovoRapid</w:t>
      </w:r>
      <w:proofErr w:type="spellEnd"/>
      <w:r w:rsidRPr="00BB5759">
        <w:rPr>
          <w:iCs/>
          <w:lang w:val="en-GB"/>
        </w:rPr>
        <w:t xml:space="preserve"> for both females and male patients with type 1 diabetes.</w:t>
      </w:r>
    </w:p>
    <w:p w14:paraId="3559ABA1" w14:textId="77777777" w:rsidR="00BB5759" w:rsidRPr="00BB5759" w:rsidRDefault="00BB5759" w:rsidP="00BB5759">
      <w:pPr>
        <w:rPr>
          <w:b/>
        </w:rPr>
      </w:pPr>
      <w:r w:rsidRPr="00BB5759">
        <w:rPr>
          <w:iCs/>
          <w:lang w:val="en-US"/>
        </w:rPr>
        <w:t xml:space="preserve">The early and maximum insulin exposure of </w:t>
      </w:r>
      <w:proofErr w:type="spellStart"/>
      <w:r w:rsidRPr="00BB5759">
        <w:rPr>
          <w:iCs/>
          <w:lang w:val="en-US"/>
        </w:rPr>
        <w:t>Fiasp</w:t>
      </w:r>
      <w:proofErr w:type="spellEnd"/>
      <w:r w:rsidRPr="00BB5759">
        <w:rPr>
          <w:iCs/>
          <w:lang w:val="en-US"/>
        </w:rPr>
        <w:t xml:space="preserve"> was comparable for female and male patients with type 1 diabetes. However, total insulin exposure was larger in female compared to male patients with type 1 diabetes.</w:t>
      </w:r>
    </w:p>
    <w:p w14:paraId="4C1A1D86" w14:textId="2D6B9D14" w:rsidR="00BB5759" w:rsidRPr="009178CA" w:rsidRDefault="00BB5759" w:rsidP="00881851">
      <w:pPr>
        <w:pStyle w:val="Heading5"/>
      </w:pPr>
      <w:r w:rsidRPr="009178CA">
        <w:t>Obesity</w:t>
      </w:r>
    </w:p>
    <w:p w14:paraId="20EB75F3" w14:textId="67CD12FC" w:rsidR="00BB5759" w:rsidRPr="00BB5759" w:rsidRDefault="00BB5759" w:rsidP="00BB5759">
      <w:pPr>
        <w:rPr>
          <w:b/>
        </w:rPr>
      </w:pPr>
      <w:r w:rsidRPr="00BB5759">
        <w:rPr>
          <w:lang w:val="en-US"/>
        </w:rPr>
        <w:t xml:space="preserve">The effect of BMI on the pharmacokinetics of </w:t>
      </w:r>
      <w:proofErr w:type="spellStart"/>
      <w:r w:rsidRPr="00BB5759">
        <w:rPr>
          <w:iCs/>
          <w:lang w:val="en-US"/>
        </w:rPr>
        <w:t>Fiasp</w:t>
      </w:r>
      <w:proofErr w:type="spellEnd"/>
      <w:r w:rsidRPr="00BB5759">
        <w:rPr>
          <w:lang w:val="en-US"/>
        </w:rPr>
        <w:t xml:space="preserve"> </w:t>
      </w:r>
      <w:proofErr w:type="gramStart"/>
      <w:r w:rsidRPr="00BB5759">
        <w:rPr>
          <w:lang w:val="en-US"/>
        </w:rPr>
        <w:t>was explored</w:t>
      </w:r>
      <w:proofErr w:type="gramEnd"/>
      <w:r w:rsidRPr="00BB5759">
        <w:rPr>
          <w:lang w:val="en-US"/>
        </w:rPr>
        <w:t xml:space="preserve"> in a cross-trial analysis of pharmacokinetic studies. For patients with type 1 diabetes, the greater early insulin exposure for </w:t>
      </w:r>
      <w:proofErr w:type="spellStart"/>
      <w:r w:rsidRPr="00BB5759">
        <w:rPr>
          <w:iCs/>
          <w:lang w:val="en-US"/>
        </w:rPr>
        <w:t>Fiasp</w:t>
      </w:r>
      <w:proofErr w:type="spellEnd"/>
      <w:r w:rsidRPr="00BB5759">
        <w:rPr>
          <w:lang w:val="en-US"/>
        </w:rPr>
        <w:t xml:space="preserve"> compared to </w:t>
      </w:r>
      <w:proofErr w:type="spellStart"/>
      <w:r w:rsidRPr="00BB5759">
        <w:rPr>
          <w:lang w:val="en-US"/>
        </w:rPr>
        <w:t>NovoRapid</w:t>
      </w:r>
      <w:proofErr w:type="spellEnd"/>
      <w:r w:rsidRPr="00BB5759">
        <w:rPr>
          <w:vertAlign w:val="superscript"/>
          <w:lang w:val="en-US"/>
        </w:rPr>
        <w:t xml:space="preserve"> </w:t>
      </w:r>
      <w:r w:rsidRPr="00BB5759">
        <w:rPr>
          <w:lang w:val="en-US"/>
        </w:rPr>
        <w:t xml:space="preserve">was preserved across BMI levels and this treatment difference increased with increasing BMI. Total and maximum insulin exposure was comparable between </w:t>
      </w:r>
      <w:proofErr w:type="spellStart"/>
      <w:r w:rsidRPr="00BB5759">
        <w:rPr>
          <w:iCs/>
          <w:lang w:val="en-US"/>
        </w:rPr>
        <w:t>Fiasp</w:t>
      </w:r>
      <w:proofErr w:type="spellEnd"/>
      <w:r w:rsidRPr="00BB5759">
        <w:rPr>
          <w:lang w:val="en-US"/>
        </w:rPr>
        <w:t xml:space="preserve"> and </w:t>
      </w:r>
      <w:proofErr w:type="spellStart"/>
      <w:r w:rsidRPr="00BB5759">
        <w:rPr>
          <w:lang w:val="en-US"/>
        </w:rPr>
        <w:t>NovoRapid</w:t>
      </w:r>
      <w:proofErr w:type="spellEnd"/>
      <w:r w:rsidRPr="00BB5759">
        <w:rPr>
          <w:vertAlign w:val="superscript"/>
          <w:lang w:val="en-US"/>
        </w:rPr>
        <w:t xml:space="preserve"> </w:t>
      </w:r>
      <w:r w:rsidR="00881851">
        <w:rPr>
          <w:lang w:val="en-US"/>
        </w:rPr>
        <w:t>across BMI levels.</w:t>
      </w:r>
    </w:p>
    <w:p w14:paraId="3F66E599" w14:textId="59AE725C" w:rsidR="00BB5759" w:rsidRPr="00BB5759" w:rsidRDefault="00BB5759" w:rsidP="00BB5759">
      <w:pPr>
        <w:rPr>
          <w:b/>
        </w:rPr>
      </w:pPr>
      <w:r w:rsidRPr="00BB5759">
        <w:rPr>
          <w:lang w:val="en-US"/>
        </w:rPr>
        <w:t xml:space="preserve">The effect of BMI on the total insulin exposure of </w:t>
      </w:r>
      <w:proofErr w:type="spellStart"/>
      <w:r w:rsidRPr="00BB5759">
        <w:rPr>
          <w:iCs/>
          <w:lang w:val="en-US"/>
        </w:rPr>
        <w:t>Fiasp</w:t>
      </w:r>
      <w:proofErr w:type="spellEnd"/>
      <w:r w:rsidRPr="00BB5759">
        <w:rPr>
          <w:lang w:val="en-US"/>
        </w:rPr>
        <w:t xml:space="preserve"> </w:t>
      </w:r>
      <w:proofErr w:type="gramStart"/>
      <w:r w:rsidRPr="00BB5759">
        <w:rPr>
          <w:lang w:val="en-US"/>
        </w:rPr>
        <w:t>was based</w:t>
      </w:r>
      <w:proofErr w:type="gramEnd"/>
      <w:r w:rsidRPr="00BB5759">
        <w:rPr>
          <w:lang w:val="en-US"/>
        </w:rPr>
        <w:t xml:space="preserve"> on results</w:t>
      </w:r>
      <w:r w:rsidRPr="00BB5759">
        <w:rPr>
          <w:i/>
          <w:u w:val="single"/>
          <w:lang w:val="en-US"/>
        </w:rPr>
        <w:t xml:space="preserve"> </w:t>
      </w:r>
      <w:r w:rsidRPr="00BB5759">
        <w:rPr>
          <w:lang w:val="en-US"/>
        </w:rPr>
        <w:t xml:space="preserve">from a population pharmacokinetic analysis in patients with type 1 diabetes. No relationship between total insulin exposure of </w:t>
      </w:r>
      <w:proofErr w:type="spellStart"/>
      <w:r w:rsidRPr="00BB5759">
        <w:rPr>
          <w:iCs/>
          <w:lang w:val="en-US"/>
        </w:rPr>
        <w:t>Fiasp</w:t>
      </w:r>
      <w:proofErr w:type="spellEnd"/>
      <w:r w:rsidR="00881851">
        <w:rPr>
          <w:lang w:val="en-US"/>
        </w:rPr>
        <w:t xml:space="preserve"> and BMI </w:t>
      </w:r>
      <w:proofErr w:type="gramStart"/>
      <w:r w:rsidR="00881851">
        <w:rPr>
          <w:lang w:val="en-US"/>
        </w:rPr>
        <w:t>was observed</w:t>
      </w:r>
      <w:proofErr w:type="gramEnd"/>
      <w:r w:rsidR="00881851">
        <w:rPr>
          <w:lang w:val="en-US"/>
        </w:rPr>
        <w:t>.</w:t>
      </w:r>
    </w:p>
    <w:p w14:paraId="6982E4F0" w14:textId="046B114B" w:rsidR="00BB5759" w:rsidRPr="009178CA" w:rsidRDefault="00BB5759" w:rsidP="00881851">
      <w:pPr>
        <w:pStyle w:val="Heading5"/>
      </w:pPr>
      <w:r w:rsidRPr="009178CA">
        <w:t>Race and Ethnicity</w:t>
      </w:r>
    </w:p>
    <w:p w14:paraId="5D95BA88" w14:textId="77777777" w:rsidR="00BB5759" w:rsidRPr="00BB5759" w:rsidRDefault="00BB5759" w:rsidP="00BB5759">
      <w:pPr>
        <w:rPr>
          <w:b/>
        </w:rPr>
      </w:pPr>
      <w:r w:rsidRPr="00BB5759">
        <w:rPr>
          <w:lang w:val="en-US"/>
        </w:rPr>
        <w:t xml:space="preserve">The effect of race and ethnicity (Blacks versus Whites and Hispanics versus non-Hispanics) on the total insulin exposure of </w:t>
      </w:r>
      <w:proofErr w:type="spellStart"/>
      <w:r w:rsidRPr="00BB5759">
        <w:rPr>
          <w:iCs/>
          <w:lang w:val="en-US"/>
        </w:rPr>
        <w:t>Fiasp</w:t>
      </w:r>
      <w:proofErr w:type="spellEnd"/>
      <w:r w:rsidRPr="00BB5759">
        <w:rPr>
          <w:lang w:val="en-US"/>
        </w:rPr>
        <w:t xml:space="preserve"> </w:t>
      </w:r>
      <w:proofErr w:type="gramStart"/>
      <w:r w:rsidRPr="00BB5759">
        <w:rPr>
          <w:lang w:val="en-US"/>
        </w:rPr>
        <w:t>was based</w:t>
      </w:r>
      <w:proofErr w:type="gramEnd"/>
      <w:r w:rsidRPr="00BB5759">
        <w:rPr>
          <w:lang w:val="en-US"/>
        </w:rPr>
        <w:t xml:space="preserve"> on results from a population pharmacokinetic analysis in patients with type 1 diabetes. For </w:t>
      </w:r>
      <w:proofErr w:type="spellStart"/>
      <w:r w:rsidRPr="00BB5759">
        <w:rPr>
          <w:iCs/>
          <w:lang w:val="en-US"/>
        </w:rPr>
        <w:t>Fiasp</w:t>
      </w:r>
      <w:proofErr w:type="spellEnd"/>
      <w:r w:rsidRPr="00BB5759">
        <w:rPr>
          <w:lang w:val="en-US"/>
        </w:rPr>
        <w:t xml:space="preserve"> no difference in exposure was found between the racial and ethnic groups investigated.</w:t>
      </w:r>
    </w:p>
    <w:p w14:paraId="5421CA19" w14:textId="3320B37E" w:rsidR="00BB5759" w:rsidRPr="009178CA" w:rsidRDefault="00BB5759" w:rsidP="00881851">
      <w:pPr>
        <w:pStyle w:val="Heading5"/>
      </w:pPr>
      <w:r w:rsidRPr="009178CA">
        <w:t>Hepatic impairment</w:t>
      </w:r>
    </w:p>
    <w:p w14:paraId="2F5300FE" w14:textId="77777777" w:rsidR="00BB5759" w:rsidRPr="00BB5759" w:rsidRDefault="00BB5759" w:rsidP="00BB5759">
      <w:pPr>
        <w:rPr>
          <w:b/>
        </w:rPr>
      </w:pPr>
      <w:r w:rsidRPr="00BB5759">
        <w:rPr>
          <w:lang w:val="en-US"/>
        </w:rPr>
        <w:t xml:space="preserve">A single dose pharmacokinetic study of insulin </w:t>
      </w:r>
      <w:proofErr w:type="spellStart"/>
      <w:r w:rsidRPr="00BB5759">
        <w:rPr>
          <w:lang w:val="en-US"/>
        </w:rPr>
        <w:t>aspart</w:t>
      </w:r>
      <w:proofErr w:type="spellEnd"/>
      <w:r w:rsidRPr="00BB5759">
        <w:rPr>
          <w:lang w:val="en-US"/>
        </w:rPr>
        <w:t xml:space="preserve"> </w:t>
      </w:r>
      <w:proofErr w:type="gramStart"/>
      <w:r w:rsidRPr="00BB5759">
        <w:rPr>
          <w:lang w:val="en-US"/>
        </w:rPr>
        <w:t>was performed</w:t>
      </w:r>
      <w:proofErr w:type="gramEnd"/>
      <w:r w:rsidRPr="00BB5759">
        <w:rPr>
          <w:lang w:val="en-US"/>
        </w:rPr>
        <w:t xml:space="preserve"> in 24 subjects with hepatic function ranging from normal to severely impaired. In subjects with hepatic impairment, absorption rate was decreased and more variable.</w:t>
      </w:r>
    </w:p>
    <w:p w14:paraId="1E59D6EF" w14:textId="7F5548D1" w:rsidR="00BB5759" w:rsidRPr="009178CA" w:rsidRDefault="00BB5759" w:rsidP="00881851">
      <w:pPr>
        <w:pStyle w:val="Heading5"/>
      </w:pPr>
      <w:r w:rsidRPr="009178CA">
        <w:t>Renal impairment</w:t>
      </w:r>
    </w:p>
    <w:p w14:paraId="77974D50" w14:textId="77777777" w:rsidR="00BB5759" w:rsidRPr="00BB5759" w:rsidRDefault="00BB5759" w:rsidP="00BB5759">
      <w:pPr>
        <w:rPr>
          <w:b/>
        </w:rPr>
      </w:pPr>
      <w:r w:rsidRPr="00BB5759">
        <w:rPr>
          <w:lang w:val="en-US"/>
        </w:rPr>
        <w:t xml:space="preserve">The effect of renal impairment on the total insulin exposure of </w:t>
      </w:r>
      <w:proofErr w:type="spellStart"/>
      <w:r w:rsidRPr="00BB5759">
        <w:rPr>
          <w:iCs/>
          <w:lang w:val="en-US"/>
        </w:rPr>
        <w:t>Fiasp</w:t>
      </w:r>
      <w:proofErr w:type="spellEnd"/>
      <w:r w:rsidRPr="00BB5759">
        <w:rPr>
          <w:lang w:val="en-US"/>
        </w:rPr>
        <w:t xml:space="preserve"> </w:t>
      </w:r>
      <w:proofErr w:type="gramStart"/>
      <w:r w:rsidRPr="00BB5759">
        <w:rPr>
          <w:lang w:val="en-US"/>
        </w:rPr>
        <w:t>was based</w:t>
      </w:r>
      <w:proofErr w:type="gramEnd"/>
      <w:r w:rsidRPr="00BB5759">
        <w:rPr>
          <w:lang w:val="en-US"/>
        </w:rPr>
        <w:t xml:space="preserve"> on results from a population pharmacokinetic analysis in patients with type 1 diabetes. Renal function was defined using creatinine clearance (</w:t>
      </w:r>
      <w:proofErr w:type="spellStart"/>
      <w:r w:rsidRPr="00BB5759">
        <w:rPr>
          <w:lang w:val="en-US"/>
        </w:rPr>
        <w:t>CLcr</w:t>
      </w:r>
      <w:proofErr w:type="spellEnd"/>
      <w:r w:rsidRPr="00BB5759">
        <w:rPr>
          <w:lang w:val="en-US"/>
        </w:rPr>
        <w:t xml:space="preserve">) as follows: ≥90 mL/min (normal) (N=546), 60-89 mL/min (mild) (N=115), 30-59 mL/min (moderate) (N=21). Higher total exposure was observed with decreasing renal function for </w:t>
      </w:r>
      <w:proofErr w:type="spellStart"/>
      <w:r w:rsidRPr="00BB5759">
        <w:rPr>
          <w:iCs/>
          <w:lang w:val="en-US"/>
        </w:rPr>
        <w:t>Fiasp</w:t>
      </w:r>
      <w:proofErr w:type="spellEnd"/>
      <w:r w:rsidRPr="00BB5759">
        <w:rPr>
          <w:lang w:val="en-US"/>
        </w:rPr>
        <w:t xml:space="preserve">. However, there was some between subject variability in total exposure across patients with type 1 diabetes with mild or moderate renal impairment. Thus, as with all insulin products, glucose monitoring should be intensified and the </w:t>
      </w:r>
      <w:proofErr w:type="spellStart"/>
      <w:r w:rsidRPr="00BB5759">
        <w:rPr>
          <w:iCs/>
          <w:lang w:val="en-US"/>
        </w:rPr>
        <w:t>Fiasp</w:t>
      </w:r>
      <w:proofErr w:type="spellEnd"/>
      <w:r w:rsidRPr="00BB5759">
        <w:rPr>
          <w:lang w:val="en-US"/>
        </w:rPr>
        <w:t xml:space="preserve"> dosage adjusted on an individual basis in patients with renal impairment.</w:t>
      </w:r>
    </w:p>
    <w:p w14:paraId="027DE2A3" w14:textId="38831E25" w:rsidR="00BB5759" w:rsidRPr="009178CA" w:rsidRDefault="00BB5759" w:rsidP="00881851">
      <w:pPr>
        <w:pStyle w:val="Heading5"/>
        <w:keepNext/>
      </w:pPr>
      <w:r w:rsidRPr="009178CA">
        <w:lastRenderedPageBreak/>
        <w:t>Paediatric population</w:t>
      </w:r>
    </w:p>
    <w:p w14:paraId="7E399CC8" w14:textId="38198F22" w:rsidR="00BB5759" w:rsidRDefault="00BB5759" w:rsidP="009178CA">
      <w:r w:rsidRPr="00BB5759">
        <w:rPr>
          <w:lang w:val="en-US"/>
        </w:rPr>
        <w:t xml:space="preserve">In children (6-11 years) and adolescents (12-18 years) </w:t>
      </w:r>
      <w:proofErr w:type="spellStart"/>
      <w:r w:rsidRPr="00BB5759">
        <w:rPr>
          <w:iCs/>
          <w:lang w:val="en-US"/>
        </w:rPr>
        <w:t>Fiasp</w:t>
      </w:r>
      <w:proofErr w:type="spellEnd"/>
      <w:r w:rsidRPr="00BB5759">
        <w:rPr>
          <w:lang w:val="en-US"/>
        </w:rPr>
        <w:t xml:space="preserve"> showed, an</w:t>
      </w:r>
      <w:r w:rsidRPr="00BB5759">
        <w:rPr>
          <w:i/>
          <w:u w:val="single"/>
          <w:lang w:val="en-US"/>
        </w:rPr>
        <w:t xml:space="preserve"> </w:t>
      </w:r>
      <w:r w:rsidRPr="00BB5759">
        <w:rPr>
          <w:lang w:val="en-US"/>
        </w:rPr>
        <w:t xml:space="preserve">earlier onset of exposure and a higher early insulin exposure whilst maintaining a similar total exposure and maximum concentration compared to </w:t>
      </w:r>
      <w:proofErr w:type="spellStart"/>
      <w:r w:rsidRPr="00BB5759">
        <w:rPr>
          <w:lang w:val="en-US"/>
        </w:rPr>
        <w:t>NovoRapid</w:t>
      </w:r>
      <w:proofErr w:type="spellEnd"/>
      <w:r w:rsidRPr="00BB5759">
        <w:rPr>
          <w:lang w:val="en-US"/>
        </w:rPr>
        <w:t>.</w:t>
      </w:r>
    </w:p>
    <w:p w14:paraId="034096B3" w14:textId="77777777" w:rsidR="00C44B67" w:rsidRDefault="00F72421" w:rsidP="00F72421">
      <w:pPr>
        <w:pStyle w:val="Heading3"/>
      </w:pPr>
      <w:r>
        <w:t>5.3</w:t>
      </w:r>
      <w:r>
        <w:tab/>
        <w:t>Preclinical Safety Data</w:t>
      </w:r>
    </w:p>
    <w:p w14:paraId="5FE2162F" w14:textId="77777777" w:rsidR="00F72421" w:rsidRDefault="00F72421" w:rsidP="00F72421">
      <w:pPr>
        <w:pStyle w:val="Heading4"/>
      </w:pPr>
      <w:r>
        <w:t>Genotoxicity</w:t>
      </w:r>
    </w:p>
    <w:p w14:paraId="7F79FC03" w14:textId="77777777" w:rsidR="00F72421" w:rsidRDefault="00A70F4C" w:rsidP="00F72421">
      <w:r w:rsidRPr="00A70F4C">
        <w:rPr>
          <w:lang w:val="en-US"/>
        </w:rPr>
        <w:t xml:space="preserve">Insulin </w:t>
      </w:r>
      <w:proofErr w:type="spellStart"/>
      <w:r w:rsidRPr="00A70F4C">
        <w:rPr>
          <w:lang w:val="en-US"/>
        </w:rPr>
        <w:t>aspart</w:t>
      </w:r>
      <w:proofErr w:type="spellEnd"/>
      <w:r w:rsidRPr="00A70F4C">
        <w:rPr>
          <w:lang w:val="en-US"/>
        </w:rPr>
        <w:t xml:space="preserve"> did not cause gene mutations, chromosomal damage or DNA damage in a range of genotoxicity tests.</w:t>
      </w:r>
    </w:p>
    <w:p w14:paraId="05C6085D" w14:textId="77777777" w:rsidR="00F72421" w:rsidRDefault="00F72421" w:rsidP="00F72421">
      <w:pPr>
        <w:pStyle w:val="Heading4"/>
      </w:pPr>
      <w:r>
        <w:t>Carcinogenicity</w:t>
      </w:r>
    </w:p>
    <w:p w14:paraId="193B8246" w14:textId="77777777" w:rsidR="00F72421" w:rsidRPr="00A70F4C" w:rsidRDefault="00A70F4C" w:rsidP="00F72421">
      <w:pPr>
        <w:rPr>
          <w:lang w:val="en-US"/>
        </w:rPr>
      </w:pPr>
      <w:r w:rsidRPr="00A70F4C">
        <w:rPr>
          <w:lang w:val="en-US"/>
        </w:rPr>
        <w:t xml:space="preserve">Lifetime carcinogenicity studies of insulin </w:t>
      </w:r>
      <w:proofErr w:type="spellStart"/>
      <w:r w:rsidRPr="00A70F4C">
        <w:rPr>
          <w:lang w:val="en-US"/>
        </w:rPr>
        <w:t>aspart</w:t>
      </w:r>
      <w:proofErr w:type="spellEnd"/>
      <w:r w:rsidRPr="00A70F4C">
        <w:rPr>
          <w:lang w:val="en-US"/>
        </w:rPr>
        <w:t xml:space="preserve"> have not been performed in animals. In 52-week repeat dose toxicity studies in Sprague-Dawley rats at doses up to 50 U/kg/d SC, the only significant toxicity findings were related to </w:t>
      </w:r>
      <w:proofErr w:type="spellStart"/>
      <w:r w:rsidRPr="00A70F4C">
        <w:rPr>
          <w:lang w:val="en-US"/>
        </w:rPr>
        <w:t>hypoglycaemia</w:t>
      </w:r>
      <w:proofErr w:type="spellEnd"/>
      <w:r w:rsidRPr="00A70F4C">
        <w:rPr>
          <w:lang w:val="en-US"/>
        </w:rPr>
        <w:t xml:space="preserve">. At a higher dose of 200 U/kg/d SC in female Sprague-Dawley rats, insulin </w:t>
      </w:r>
      <w:proofErr w:type="spellStart"/>
      <w:r w:rsidRPr="00A70F4C">
        <w:rPr>
          <w:lang w:val="en-US"/>
        </w:rPr>
        <w:t>aspart</w:t>
      </w:r>
      <w:proofErr w:type="spellEnd"/>
      <w:r w:rsidRPr="00A70F4C">
        <w:rPr>
          <w:lang w:val="en-US"/>
        </w:rPr>
        <w:t xml:space="preserve">, like human insulin, caused induction of mammary </w:t>
      </w:r>
      <w:proofErr w:type="spellStart"/>
      <w:r w:rsidRPr="00A70F4C">
        <w:rPr>
          <w:lang w:val="en-US"/>
        </w:rPr>
        <w:t>tumours</w:t>
      </w:r>
      <w:proofErr w:type="spellEnd"/>
      <w:r w:rsidRPr="00A70F4C">
        <w:rPr>
          <w:lang w:val="en-US"/>
        </w:rPr>
        <w:t xml:space="preserve">. The clinical relevance of these findings is not known. Neither clinical nor epidemiological studies conducted to date have shown an association between insulin use and carcinogenesis but the available evidence is considered too limited to be conclusive at this time. </w:t>
      </w:r>
      <w:r w:rsidRPr="00A70F4C">
        <w:rPr>
          <w:i/>
          <w:lang w:val="en-US"/>
        </w:rPr>
        <w:t>In vitro</w:t>
      </w:r>
      <w:r w:rsidRPr="00A70F4C">
        <w:rPr>
          <w:lang w:val="en-US"/>
        </w:rPr>
        <w:t xml:space="preserve"> studies showed that the mitogenic activity of insulin </w:t>
      </w:r>
      <w:proofErr w:type="spellStart"/>
      <w:r w:rsidRPr="00A70F4C">
        <w:rPr>
          <w:lang w:val="en-US"/>
        </w:rPr>
        <w:t>aspart</w:t>
      </w:r>
      <w:proofErr w:type="spellEnd"/>
      <w:r w:rsidRPr="00A70F4C">
        <w:rPr>
          <w:lang w:val="en-US"/>
        </w:rPr>
        <w:t xml:space="preserve"> does not differ from that observed with human insulin.</w:t>
      </w:r>
    </w:p>
    <w:p w14:paraId="1B016A89" w14:textId="77777777" w:rsidR="00F72421" w:rsidRDefault="00F72421" w:rsidP="00F72421">
      <w:pPr>
        <w:pStyle w:val="Heading2"/>
      </w:pPr>
      <w:r>
        <w:t>6.</w:t>
      </w:r>
      <w:r>
        <w:tab/>
        <w:t>PHARMACEUTICAL PARTICULARS</w:t>
      </w:r>
    </w:p>
    <w:p w14:paraId="2060B89A" w14:textId="77777777" w:rsidR="00F72421" w:rsidRDefault="00F72421" w:rsidP="00F72421">
      <w:pPr>
        <w:pStyle w:val="Heading3"/>
      </w:pPr>
      <w:r>
        <w:t>6.1</w:t>
      </w:r>
      <w:r>
        <w:tab/>
        <w:t>List of Excipients</w:t>
      </w:r>
    </w:p>
    <w:p w14:paraId="3996B394" w14:textId="77777777" w:rsidR="001E0859" w:rsidRPr="001E0859" w:rsidRDefault="001E0859" w:rsidP="001E0859">
      <w:pPr>
        <w:rPr>
          <w:lang w:val="en-GB"/>
        </w:rPr>
      </w:pPr>
      <w:r w:rsidRPr="001E0859">
        <w:rPr>
          <w:lang w:val="en-GB"/>
        </w:rPr>
        <w:t>Phenol</w:t>
      </w:r>
    </w:p>
    <w:p w14:paraId="6574011E" w14:textId="77777777" w:rsidR="001E0859" w:rsidRPr="001E0859" w:rsidRDefault="001E0859" w:rsidP="001E0859">
      <w:pPr>
        <w:rPr>
          <w:lang w:val="en-GB"/>
        </w:rPr>
      </w:pPr>
      <w:proofErr w:type="spellStart"/>
      <w:r w:rsidRPr="001E0859">
        <w:rPr>
          <w:lang w:val="en-GB"/>
        </w:rPr>
        <w:t>Metacresol</w:t>
      </w:r>
      <w:proofErr w:type="spellEnd"/>
    </w:p>
    <w:p w14:paraId="2E5BB943" w14:textId="77777777" w:rsidR="001E0859" w:rsidRPr="001E0859" w:rsidRDefault="001E0859" w:rsidP="001E0859">
      <w:pPr>
        <w:rPr>
          <w:lang w:val="en-GB"/>
        </w:rPr>
      </w:pPr>
      <w:r w:rsidRPr="001E0859">
        <w:rPr>
          <w:lang w:val="en-GB"/>
        </w:rPr>
        <w:t>Glycerol</w:t>
      </w:r>
    </w:p>
    <w:p w14:paraId="0FDEFF42" w14:textId="6805688E" w:rsidR="001E0859" w:rsidRPr="001E0859" w:rsidRDefault="001E0859" w:rsidP="001E0859">
      <w:pPr>
        <w:rPr>
          <w:lang w:val="en-GB"/>
        </w:rPr>
      </w:pPr>
      <w:r w:rsidRPr="001E0859">
        <w:rPr>
          <w:lang w:val="en-GB"/>
        </w:rPr>
        <w:t>Zinc</w:t>
      </w:r>
    </w:p>
    <w:p w14:paraId="78F33820" w14:textId="77777777" w:rsidR="001E0859" w:rsidRPr="001E0859" w:rsidRDefault="001E0859" w:rsidP="001E0859">
      <w:pPr>
        <w:rPr>
          <w:lang w:val="en-GB"/>
        </w:rPr>
      </w:pPr>
      <w:r w:rsidRPr="001E0859">
        <w:rPr>
          <w:lang w:val="en-GB"/>
        </w:rPr>
        <w:t>Dibasic sodium  phosphate dihydrate</w:t>
      </w:r>
    </w:p>
    <w:p w14:paraId="25BD29D3" w14:textId="4C8C0872" w:rsidR="001E0859" w:rsidRPr="001E0859" w:rsidRDefault="001E0859" w:rsidP="001E0859">
      <w:pPr>
        <w:rPr>
          <w:lang w:val="en-GB"/>
        </w:rPr>
      </w:pPr>
      <w:r w:rsidRPr="001E0859">
        <w:rPr>
          <w:lang w:val="en-GB"/>
        </w:rPr>
        <w:t xml:space="preserve">Arginine </w:t>
      </w:r>
    </w:p>
    <w:p w14:paraId="64FA436A" w14:textId="77777777" w:rsidR="001E0859" w:rsidRPr="001E0859" w:rsidRDefault="001E0859" w:rsidP="001E0859">
      <w:pPr>
        <w:rPr>
          <w:lang w:val="en-GB"/>
        </w:rPr>
      </w:pPr>
      <w:r w:rsidRPr="001E0859">
        <w:rPr>
          <w:lang w:val="en-GB"/>
        </w:rPr>
        <w:t>Nicotinamide (niacinamide; vitamin B3)</w:t>
      </w:r>
    </w:p>
    <w:p w14:paraId="6FF92973" w14:textId="77777777" w:rsidR="001E0859" w:rsidRPr="001E0859" w:rsidRDefault="001E0859" w:rsidP="001E0859">
      <w:pPr>
        <w:rPr>
          <w:lang w:val="en-GB"/>
        </w:rPr>
      </w:pPr>
      <w:r w:rsidRPr="001E0859">
        <w:rPr>
          <w:lang w:val="en-GB"/>
        </w:rPr>
        <w:t>Hydrochloric acid (for pH adjustment)</w:t>
      </w:r>
    </w:p>
    <w:p w14:paraId="44B808DA" w14:textId="77777777" w:rsidR="001E0859" w:rsidRPr="001E0859" w:rsidRDefault="001E0859" w:rsidP="001E0859">
      <w:pPr>
        <w:rPr>
          <w:lang w:val="en-GB"/>
        </w:rPr>
      </w:pPr>
      <w:r w:rsidRPr="001E0859">
        <w:rPr>
          <w:lang w:val="en-GB"/>
        </w:rPr>
        <w:t>Sodium hydroxide (for pH adjustment)</w:t>
      </w:r>
    </w:p>
    <w:p w14:paraId="63387892" w14:textId="77777777" w:rsidR="00F72421" w:rsidRDefault="001E0859" w:rsidP="001E0859">
      <w:r w:rsidRPr="001E0859">
        <w:rPr>
          <w:lang w:val="en-US"/>
        </w:rPr>
        <w:t>Water for injections</w:t>
      </w:r>
    </w:p>
    <w:p w14:paraId="08767007" w14:textId="77777777" w:rsidR="00F72421" w:rsidRDefault="00F72421" w:rsidP="00F72421">
      <w:pPr>
        <w:pStyle w:val="Heading3"/>
      </w:pPr>
      <w:r>
        <w:t>6.2</w:t>
      </w:r>
      <w:r>
        <w:tab/>
        <w:t>Incompatibilities</w:t>
      </w:r>
    </w:p>
    <w:p w14:paraId="42B4811A" w14:textId="77777777" w:rsidR="00F72421" w:rsidRPr="00A70F4C" w:rsidRDefault="00A70F4C" w:rsidP="00F72421">
      <w:pPr>
        <w:rPr>
          <w:b/>
        </w:rPr>
      </w:pPr>
      <w:r w:rsidRPr="00A70F4C">
        <w:rPr>
          <w:lang w:val="en-GB"/>
        </w:rPr>
        <w:t xml:space="preserve">Substances added to </w:t>
      </w:r>
      <w:proofErr w:type="spellStart"/>
      <w:r w:rsidRPr="00A70F4C">
        <w:rPr>
          <w:iCs/>
          <w:lang w:val="en-GB"/>
        </w:rPr>
        <w:t>Fiasp</w:t>
      </w:r>
      <w:proofErr w:type="spellEnd"/>
      <w:r w:rsidRPr="00A70F4C">
        <w:rPr>
          <w:lang w:val="en-GB"/>
        </w:rPr>
        <w:t xml:space="preserve"> may cause degradation of insulin </w:t>
      </w:r>
      <w:proofErr w:type="spellStart"/>
      <w:r w:rsidRPr="00A70F4C">
        <w:rPr>
          <w:lang w:val="en-GB"/>
        </w:rPr>
        <w:t>aspart</w:t>
      </w:r>
      <w:proofErr w:type="spellEnd"/>
      <w:r w:rsidRPr="00A70F4C">
        <w:rPr>
          <w:lang w:val="en-GB"/>
        </w:rPr>
        <w:t xml:space="preserve">. </w:t>
      </w:r>
      <w:proofErr w:type="spellStart"/>
      <w:r w:rsidRPr="00A70F4C">
        <w:rPr>
          <w:iCs/>
          <w:lang w:val="en-GB"/>
        </w:rPr>
        <w:t>Fiasp</w:t>
      </w:r>
      <w:proofErr w:type="spellEnd"/>
      <w:r w:rsidRPr="00A70F4C">
        <w:rPr>
          <w:lang w:val="en-GB"/>
        </w:rPr>
        <w:t xml:space="preserve"> must not be diluted or mixed with any other products except infusion fluids as described in method of administration.</w:t>
      </w:r>
    </w:p>
    <w:p w14:paraId="21C9A401" w14:textId="77777777" w:rsidR="00F72421" w:rsidRDefault="00F72421" w:rsidP="00F72421">
      <w:pPr>
        <w:pStyle w:val="Heading3"/>
      </w:pPr>
      <w:r>
        <w:lastRenderedPageBreak/>
        <w:t>6.3</w:t>
      </w:r>
      <w:r>
        <w:tab/>
        <w:t>Shelf Life</w:t>
      </w:r>
    </w:p>
    <w:p w14:paraId="1963EFB2" w14:textId="0ABFAC76" w:rsidR="00FE1BEC" w:rsidRDefault="00FE1BEC" w:rsidP="00FE1BEC">
      <w:pPr>
        <w:rPr>
          <w:lang w:val="en-GB"/>
        </w:rPr>
      </w:pPr>
      <w:r w:rsidRPr="00FE1BEC">
        <w:rPr>
          <w:lang w:val="en-GB"/>
        </w:rPr>
        <w:t>In Australia, information on the shelf life can be found on the public summary of the Australian Register of Therapeutic Goods (ARTG). The expiry date</w:t>
      </w:r>
      <w:r w:rsidR="00881851">
        <w:rPr>
          <w:lang w:val="en-GB"/>
        </w:rPr>
        <w:t xml:space="preserve"> </w:t>
      </w:r>
      <w:proofErr w:type="gramStart"/>
      <w:r w:rsidR="00881851">
        <w:rPr>
          <w:lang w:val="en-GB"/>
        </w:rPr>
        <w:t>can be found</w:t>
      </w:r>
      <w:proofErr w:type="gramEnd"/>
      <w:r w:rsidR="00881851">
        <w:rPr>
          <w:lang w:val="en-GB"/>
        </w:rPr>
        <w:t xml:space="preserve"> on the packaging.</w:t>
      </w:r>
    </w:p>
    <w:p w14:paraId="2AC4EB49" w14:textId="77777777" w:rsidR="00F72421" w:rsidRDefault="00F72421" w:rsidP="00F72421">
      <w:pPr>
        <w:pStyle w:val="Heading3"/>
      </w:pPr>
      <w:r>
        <w:t>6.4</w:t>
      </w:r>
      <w:r>
        <w:tab/>
        <w:t>Special Precautions for Storage</w:t>
      </w:r>
    </w:p>
    <w:p w14:paraId="5F831979" w14:textId="77777777" w:rsidR="000B5751" w:rsidRPr="000B5751" w:rsidRDefault="000B5751" w:rsidP="000B5751">
      <w:pPr>
        <w:rPr>
          <w:lang w:val="en-GB"/>
        </w:rPr>
      </w:pPr>
      <w:r w:rsidRPr="000B5751">
        <w:rPr>
          <w:lang w:val="en-GB"/>
        </w:rPr>
        <w:t>Before first use:</w:t>
      </w:r>
    </w:p>
    <w:p w14:paraId="43751B83" w14:textId="77777777" w:rsidR="000B5751" w:rsidRPr="000B5751" w:rsidRDefault="000B5751" w:rsidP="000B5751">
      <w:pPr>
        <w:rPr>
          <w:lang w:val="en-GB"/>
        </w:rPr>
      </w:pPr>
      <w:r w:rsidRPr="000B5751">
        <w:rPr>
          <w:lang w:val="en-GB"/>
        </w:rPr>
        <w:t>Store in a refrigerator (2°C – 8°C). Keep away from the freezing element. Do not freeze.</w:t>
      </w:r>
    </w:p>
    <w:p w14:paraId="57AE7F69" w14:textId="2A8DBF5D" w:rsidR="000B5751" w:rsidRPr="000B5751" w:rsidRDefault="000B5751" w:rsidP="000B5751">
      <w:pPr>
        <w:rPr>
          <w:lang w:val="en-GB"/>
        </w:rPr>
      </w:pPr>
      <w:proofErr w:type="spellStart"/>
      <w:r w:rsidRPr="000B5751">
        <w:rPr>
          <w:b/>
          <w:lang w:val="en-GB"/>
        </w:rPr>
        <w:t>Fiasp</w:t>
      </w:r>
      <w:proofErr w:type="spellEnd"/>
      <w:r w:rsidRPr="000B5751">
        <w:rPr>
          <w:b/>
          <w:lang w:val="en-GB"/>
        </w:rPr>
        <w:t xml:space="preserve"> FlexTouch:</w:t>
      </w:r>
      <w:r w:rsidRPr="000B5751">
        <w:rPr>
          <w:lang w:val="en-GB"/>
        </w:rPr>
        <w:t xml:space="preserve"> Keep the cap on the pen in order to protect from light.</w:t>
      </w:r>
      <w:r w:rsidR="00FE1BEC">
        <w:rPr>
          <w:lang w:val="en-GB"/>
        </w:rPr>
        <w:t xml:space="preserve"> </w:t>
      </w:r>
      <w:proofErr w:type="spellStart"/>
      <w:r w:rsidRPr="000B5751">
        <w:rPr>
          <w:b/>
          <w:lang w:val="en-GB"/>
        </w:rPr>
        <w:t>Fiasp</w:t>
      </w:r>
      <w:proofErr w:type="spellEnd"/>
      <w:r w:rsidRPr="000B5751">
        <w:rPr>
          <w:b/>
          <w:lang w:val="en-GB"/>
        </w:rPr>
        <w:t xml:space="preserve"> vial and </w:t>
      </w:r>
      <w:proofErr w:type="spellStart"/>
      <w:r w:rsidRPr="000B5751">
        <w:rPr>
          <w:b/>
          <w:lang w:val="en-GB"/>
        </w:rPr>
        <w:t>Fiasp</w:t>
      </w:r>
      <w:proofErr w:type="spellEnd"/>
      <w:r w:rsidRPr="000B5751">
        <w:rPr>
          <w:b/>
          <w:lang w:val="en-GB"/>
        </w:rPr>
        <w:t xml:space="preserve"> </w:t>
      </w:r>
      <w:proofErr w:type="spellStart"/>
      <w:r w:rsidRPr="000B5751">
        <w:rPr>
          <w:b/>
          <w:lang w:val="en-GB"/>
        </w:rPr>
        <w:t>Penfill</w:t>
      </w:r>
      <w:proofErr w:type="spellEnd"/>
      <w:r w:rsidRPr="000B5751">
        <w:rPr>
          <w:b/>
          <w:lang w:val="en-GB"/>
        </w:rPr>
        <w:t>:</w:t>
      </w:r>
      <w:r w:rsidRPr="000B5751">
        <w:rPr>
          <w:lang w:val="en-GB"/>
        </w:rPr>
        <w:t xml:space="preserve"> Keep the vial/cartridge in the carton in order to protect from light.</w:t>
      </w:r>
    </w:p>
    <w:p w14:paraId="20016703" w14:textId="77777777" w:rsidR="000B5751" w:rsidRPr="000B5751" w:rsidRDefault="000B5751" w:rsidP="000B5751">
      <w:pPr>
        <w:rPr>
          <w:lang w:val="en-GB"/>
        </w:rPr>
      </w:pPr>
      <w:r w:rsidRPr="000B5751">
        <w:rPr>
          <w:lang w:val="en-GB"/>
        </w:rPr>
        <w:t>After first opening or carried as a spare:</w:t>
      </w:r>
    </w:p>
    <w:p w14:paraId="70D9B17B" w14:textId="41402414" w:rsidR="000B5751" w:rsidRPr="00AC6E19" w:rsidRDefault="000B5751" w:rsidP="00AC6E19">
      <w:pPr>
        <w:rPr>
          <w:b/>
          <w:bCs/>
          <w:lang w:val="en-GB"/>
        </w:rPr>
      </w:pPr>
      <w:proofErr w:type="spellStart"/>
      <w:r w:rsidRPr="000B5751">
        <w:rPr>
          <w:b/>
          <w:lang w:val="en-GB"/>
        </w:rPr>
        <w:t>Fiasp</w:t>
      </w:r>
      <w:proofErr w:type="spellEnd"/>
      <w:r w:rsidRPr="000B5751">
        <w:rPr>
          <w:b/>
          <w:lang w:val="en-GB"/>
        </w:rPr>
        <w:t xml:space="preserve"> FlexTouch:</w:t>
      </w:r>
      <w:r w:rsidRPr="000B5751">
        <w:rPr>
          <w:lang w:val="en-GB"/>
        </w:rPr>
        <w:t xml:space="preserve"> Do not store above 30°C. Can be stored in the refrigerator (</w:t>
      </w:r>
      <w:r w:rsidRPr="000B5751">
        <w:rPr>
          <w:iCs/>
          <w:lang w:val="en-GB"/>
        </w:rPr>
        <w:t>2°C – 8°C)</w:t>
      </w:r>
      <w:r w:rsidRPr="000B5751">
        <w:rPr>
          <w:lang w:val="en-GB"/>
        </w:rPr>
        <w:t>. Do not freeze. Keep the cap on the pen in order to protect from light</w:t>
      </w:r>
      <w:r w:rsidR="00FE1BEC">
        <w:rPr>
          <w:lang w:val="en-GB"/>
        </w:rPr>
        <w:t xml:space="preserve">. </w:t>
      </w:r>
      <w:r w:rsidR="00FE1BEC" w:rsidRPr="00FE1BEC">
        <w:rPr>
          <w:lang w:val="en-GB"/>
        </w:rPr>
        <w:t>After first opening, the product may be stored for a maximum</w:t>
      </w:r>
      <w:r w:rsidR="00881851">
        <w:rPr>
          <w:lang w:val="en-GB"/>
        </w:rPr>
        <w:t xml:space="preserve"> of 4 weeks.</w:t>
      </w:r>
    </w:p>
    <w:p w14:paraId="6A7AC241" w14:textId="38CE5AF3" w:rsidR="000B5751" w:rsidRPr="000B5751" w:rsidRDefault="000B5751" w:rsidP="000B5751">
      <w:pPr>
        <w:rPr>
          <w:lang w:val="en-GB"/>
        </w:rPr>
      </w:pPr>
      <w:proofErr w:type="spellStart"/>
      <w:r w:rsidRPr="000B5751">
        <w:rPr>
          <w:b/>
          <w:lang w:val="en-GB"/>
        </w:rPr>
        <w:t>Fiasp</w:t>
      </w:r>
      <w:proofErr w:type="spellEnd"/>
      <w:r w:rsidRPr="000B5751">
        <w:rPr>
          <w:b/>
          <w:lang w:val="en-GB"/>
        </w:rPr>
        <w:t xml:space="preserve"> vial:</w:t>
      </w:r>
      <w:r w:rsidRPr="000B5751">
        <w:rPr>
          <w:lang w:val="en-GB"/>
        </w:rPr>
        <w:t xml:space="preserve"> Do not store above 30°C. Can be stored in the refrigerator (</w:t>
      </w:r>
      <w:r w:rsidRPr="000B5751">
        <w:rPr>
          <w:iCs/>
          <w:lang w:val="en-GB"/>
        </w:rPr>
        <w:t>2°C – 8°C)</w:t>
      </w:r>
      <w:r w:rsidRPr="000B5751">
        <w:rPr>
          <w:lang w:val="en-GB"/>
        </w:rPr>
        <w:t>. Do not freeze. Keep the vial in the carton in order to protect from light.</w:t>
      </w:r>
      <w:r w:rsidR="00AC6E19">
        <w:rPr>
          <w:lang w:val="en-GB"/>
        </w:rPr>
        <w:t xml:space="preserve"> </w:t>
      </w:r>
      <w:r w:rsidR="00AC6E19" w:rsidRPr="00AC6E19">
        <w:rPr>
          <w:lang w:val="en-GB"/>
        </w:rPr>
        <w:t xml:space="preserve">After first opening, the product may be stored for a maximum of 4 weeks (including time in a pump reservoir). </w:t>
      </w:r>
      <w:proofErr w:type="spellStart"/>
      <w:r w:rsidR="00AC6E19" w:rsidRPr="00AC6E19">
        <w:rPr>
          <w:lang w:val="en-GB"/>
        </w:rPr>
        <w:t>Fiasp</w:t>
      </w:r>
      <w:proofErr w:type="spellEnd"/>
      <w:r w:rsidR="00AC6E19" w:rsidRPr="00AC6E19">
        <w:rPr>
          <w:lang w:val="en-GB"/>
        </w:rPr>
        <w:t xml:space="preserve"> </w:t>
      </w:r>
      <w:proofErr w:type="gramStart"/>
      <w:r w:rsidR="00AC6E19" w:rsidRPr="00AC6E19">
        <w:rPr>
          <w:lang w:val="en-GB"/>
        </w:rPr>
        <w:t>may be used</w:t>
      </w:r>
      <w:proofErr w:type="gramEnd"/>
      <w:r w:rsidR="00AC6E19" w:rsidRPr="00AC6E19">
        <w:rPr>
          <w:lang w:val="en-GB"/>
        </w:rPr>
        <w:t xml:space="preserve"> in an infusion pump </w:t>
      </w:r>
      <w:r w:rsidR="00881851">
        <w:rPr>
          <w:lang w:val="en-GB"/>
        </w:rPr>
        <w:t>(CSII) for a maximum of 6 days.</w:t>
      </w:r>
    </w:p>
    <w:p w14:paraId="027B1A26" w14:textId="7F2280AE" w:rsidR="00F72421" w:rsidRDefault="000B5751" w:rsidP="00F72421">
      <w:proofErr w:type="spellStart"/>
      <w:r w:rsidRPr="000B5751">
        <w:rPr>
          <w:b/>
          <w:lang w:val="en-US"/>
        </w:rPr>
        <w:t>Fiasp</w:t>
      </w:r>
      <w:proofErr w:type="spellEnd"/>
      <w:r w:rsidRPr="000B5751">
        <w:rPr>
          <w:b/>
          <w:lang w:val="en-US"/>
        </w:rPr>
        <w:t xml:space="preserve"> </w:t>
      </w:r>
      <w:proofErr w:type="spellStart"/>
      <w:r w:rsidRPr="000B5751">
        <w:rPr>
          <w:b/>
          <w:lang w:val="en-US"/>
        </w:rPr>
        <w:t>Penfill</w:t>
      </w:r>
      <w:proofErr w:type="spellEnd"/>
      <w:r w:rsidRPr="000B5751">
        <w:rPr>
          <w:b/>
          <w:lang w:val="en-US"/>
        </w:rPr>
        <w:t>:</w:t>
      </w:r>
      <w:r w:rsidRPr="000B5751">
        <w:rPr>
          <w:lang w:val="en-US"/>
        </w:rPr>
        <w:t xml:space="preserve"> Do not refrigerate. Do not store above 30°C. Do not freeze. If cartridge is carried as a spare and unused, the cartridge should be kept in the carton in order to protect from light.</w:t>
      </w:r>
      <w:r w:rsidR="00AC6E19">
        <w:rPr>
          <w:lang w:val="en-US"/>
        </w:rPr>
        <w:t xml:space="preserve"> </w:t>
      </w:r>
      <w:r w:rsidR="00AC6E19" w:rsidRPr="00AC6E19">
        <w:rPr>
          <w:lang w:val="en-US"/>
        </w:rPr>
        <w:t>After first opening, the product may be st</w:t>
      </w:r>
      <w:r w:rsidR="00881851">
        <w:rPr>
          <w:lang w:val="en-US"/>
        </w:rPr>
        <w:t>ored for a maximum of 4 weeks.</w:t>
      </w:r>
    </w:p>
    <w:p w14:paraId="47A6D1CF" w14:textId="77777777" w:rsidR="00F72421" w:rsidRDefault="00F72421" w:rsidP="00F72421">
      <w:pPr>
        <w:pStyle w:val="Heading3"/>
      </w:pPr>
      <w:r>
        <w:t>6.5</w:t>
      </w:r>
      <w:r>
        <w:tab/>
        <w:t>Nature and Contents of Container</w:t>
      </w:r>
    </w:p>
    <w:p w14:paraId="65CBE045" w14:textId="77777777" w:rsidR="000B5751" w:rsidRPr="000B5751" w:rsidRDefault="000B5751" w:rsidP="000B5751">
      <w:pPr>
        <w:rPr>
          <w:lang w:val="en-GB"/>
        </w:rPr>
      </w:pPr>
      <w:proofErr w:type="spellStart"/>
      <w:r w:rsidRPr="000B5751">
        <w:rPr>
          <w:b/>
          <w:lang w:val="en-GB"/>
        </w:rPr>
        <w:t>Fiasp</w:t>
      </w:r>
      <w:proofErr w:type="spellEnd"/>
      <w:r w:rsidRPr="000B5751">
        <w:rPr>
          <w:b/>
          <w:lang w:val="en-GB"/>
        </w:rPr>
        <w:t xml:space="preserve"> FlexTouch:</w:t>
      </w:r>
      <w:r w:rsidRPr="000B5751">
        <w:rPr>
          <w:lang w:val="en-GB"/>
        </w:rPr>
        <w:t xml:space="preserve"> 3 mL solution in cartridge (type 1 glass) with a plunger (</w:t>
      </w:r>
      <w:proofErr w:type="spellStart"/>
      <w:r w:rsidRPr="000B5751">
        <w:rPr>
          <w:lang w:val="en-GB"/>
        </w:rPr>
        <w:t>halobutyl</w:t>
      </w:r>
      <w:proofErr w:type="spellEnd"/>
      <w:r w:rsidRPr="000B5751">
        <w:rPr>
          <w:lang w:val="en-GB"/>
        </w:rPr>
        <w:t>) and a stopper (</w:t>
      </w:r>
      <w:proofErr w:type="spellStart"/>
      <w:r w:rsidRPr="000B5751">
        <w:rPr>
          <w:lang w:val="en-GB"/>
        </w:rPr>
        <w:t>halobutyl</w:t>
      </w:r>
      <w:proofErr w:type="spellEnd"/>
      <w:r w:rsidRPr="000B5751">
        <w:rPr>
          <w:lang w:val="en-GB"/>
        </w:rPr>
        <w:t>/</w:t>
      </w:r>
      <w:proofErr w:type="spellStart"/>
      <w:r w:rsidRPr="000B5751">
        <w:rPr>
          <w:lang w:val="en-GB"/>
        </w:rPr>
        <w:t>polyisoprene</w:t>
      </w:r>
      <w:proofErr w:type="spellEnd"/>
      <w:r w:rsidRPr="000B5751">
        <w:rPr>
          <w:lang w:val="en-GB"/>
        </w:rPr>
        <w:t>) contained in a pre-filled multidose disposable pen made of polypropylene, polyoxymethylene, polycarbonate and acrylonitrile butadiene styrene. Pack sizes of:</w:t>
      </w:r>
    </w:p>
    <w:p w14:paraId="5967A163" w14:textId="77777777" w:rsidR="000B5751" w:rsidRPr="000B5751" w:rsidRDefault="000B5751" w:rsidP="00881851">
      <w:pPr>
        <w:pStyle w:val="ListBullet"/>
        <w:rPr>
          <w:lang w:val="en-GB"/>
        </w:rPr>
      </w:pPr>
      <w:r w:rsidRPr="000B5751">
        <w:rPr>
          <w:lang w:val="en-GB"/>
        </w:rPr>
        <w:t>1 pre-filled pen</w:t>
      </w:r>
    </w:p>
    <w:p w14:paraId="77A74980" w14:textId="77777777" w:rsidR="000B5751" w:rsidRPr="000B5751" w:rsidRDefault="000B5751" w:rsidP="00881851">
      <w:pPr>
        <w:pStyle w:val="ListBullet"/>
        <w:rPr>
          <w:lang w:val="en-GB"/>
        </w:rPr>
      </w:pPr>
      <w:r w:rsidRPr="000B5751">
        <w:rPr>
          <w:lang w:val="en-GB"/>
        </w:rPr>
        <w:t>5 pre-filled pens</w:t>
      </w:r>
    </w:p>
    <w:p w14:paraId="23353CD1" w14:textId="77777777" w:rsidR="000B5751" w:rsidRPr="000B5751" w:rsidRDefault="000B5751" w:rsidP="000B5751">
      <w:pPr>
        <w:rPr>
          <w:iCs/>
          <w:lang w:val="en-GB"/>
        </w:rPr>
      </w:pPr>
      <w:proofErr w:type="spellStart"/>
      <w:r w:rsidRPr="000B5751">
        <w:rPr>
          <w:b/>
          <w:lang w:val="en-GB"/>
        </w:rPr>
        <w:t>Fiasp</w:t>
      </w:r>
      <w:proofErr w:type="spellEnd"/>
      <w:r w:rsidRPr="000B5751">
        <w:rPr>
          <w:b/>
          <w:lang w:val="en-GB"/>
        </w:rPr>
        <w:t xml:space="preserve"> vial:</w:t>
      </w:r>
      <w:r w:rsidRPr="000B5751">
        <w:rPr>
          <w:lang w:val="en-GB"/>
        </w:rPr>
        <w:t xml:space="preserve"> </w:t>
      </w:r>
      <w:r w:rsidRPr="000B5751">
        <w:rPr>
          <w:iCs/>
          <w:lang w:val="en-GB"/>
        </w:rPr>
        <w:t xml:space="preserve">10 mL solution in vial (type 1 glass) closed with a </w:t>
      </w:r>
      <w:proofErr w:type="spellStart"/>
      <w:r w:rsidRPr="000B5751">
        <w:rPr>
          <w:iCs/>
          <w:lang w:val="en-GB"/>
        </w:rPr>
        <w:t>halobutyl</w:t>
      </w:r>
      <w:proofErr w:type="spellEnd"/>
      <w:r w:rsidRPr="000B5751">
        <w:rPr>
          <w:iCs/>
          <w:lang w:val="en-GB"/>
        </w:rPr>
        <w:t>/</w:t>
      </w:r>
      <w:proofErr w:type="spellStart"/>
      <w:r w:rsidRPr="000B5751">
        <w:rPr>
          <w:iCs/>
          <w:lang w:val="en-GB"/>
        </w:rPr>
        <w:t>polyisoprene</w:t>
      </w:r>
      <w:proofErr w:type="spellEnd"/>
      <w:r w:rsidRPr="000B5751">
        <w:rPr>
          <w:iCs/>
          <w:lang w:val="en-GB"/>
        </w:rPr>
        <w:t xml:space="preserve"> rubber disc and a protective tamper-proof plastic cap in a carton. Pack size of:</w:t>
      </w:r>
    </w:p>
    <w:p w14:paraId="4C6AE927" w14:textId="77777777" w:rsidR="000B5751" w:rsidRPr="000B5751" w:rsidRDefault="000B5751" w:rsidP="00881851">
      <w:pPr>
        <w:pStyle w:val="ListBullet"/>
        <w:rPr>
          <w:lang w:val="en-GB"/>
        </w:rPr>
      </w:pPr>
      <w:r w:rsidRPr="000B5751">
        <w:rPr>
          <w:lang w:val="en-GB"/>
        </w:rPr>
        <w:t>1 vial</w:t>
      </w:r>
    </w:p>
    <w:p w14:paraId="3C7F6518" w14:textId="10D31A7B" w:rsidR="000B5751" w:rsidRPr="000B5751" w:rsidRDefault="000B5751" w:rsidP="000B5751">
      <w:pPr>
        <w:rPr>
          <w:iCs/>
          <w:lang w:val="en-GB"/>
        </w:rPr>
      </w:pPr>
      <w:proofErr w:type="spellStart"/>
      <w:r w:rsidRPr="000B5751">
        <w:rPr>
          <w:iCs/>
          <w:lang w:val="en-US"/>
        </w:rPr>
        <w:t>Fiasp</w:t>
      </w:r>
      <w:proofErr w:type="spellEnd"/>
      <w:r w:rsidRPr="000B5751">
        <w:rPr>
          <w:iCs/>
          <w:lang w:val="en-US"/>
        </w:rPr>
        <w:t xml:space="preserve"> vials</w:t>
      </w:r>
      <w:r w:rsidRPr="000B5751">
        <w:rPr>
          <w:b/>
          <w:iCs/>
          <w:lang w:val="en-US"/>
        </w:rPr>
        <w:t xml:space="preserve"> </w:t>
      </w:r>
      <w:r w:rsidRPr="000B5751">
        <w:rPr>
          <w:bCs/>
          <w:iCs/>
          <w:lang w:val="en-US"/>
        </w:rPr>
        <w:t xml:space="preserve">are for use with insulin syringes with the corresponding unit scale and for use in CSII. </w:t>
      </w:r>
      <w:proofErr w:type="spellStart"/>
      <w:r w:rsidRPr="000B5751">
        <w:rPr>
          <w:iCs/>
          <w:lang w:val="en-US"/>
        </w:rPr>
        <w:t>Fiasp</w:t>
      </w:r>
      <w:proofErr w:type="spellEnd"/>
      <w:r w:rsidRPr="000B5751">
        <w:rPr>
          <w:bCs/>
          <w:iCs/>
          <w:lang w:val="en-US"/>
        </w:rPr>
        <w:t xml:space="preserve"> </w:t>
      </w:r>
      <w:proofErr w:type="gramStart"/>
      <w:r w:rsidRPr="000B5751">
        <w:rPr>
          <w:bCs/>
          <w:iCs/>
          <w:lang w:val="en-US"/>
        </w:rPr>
        <w:t>may be used</w:t>
      </w:r>
      <w:proofErr w:type="gramEnd"/>
      <w:r w:rsidRPr="000B5751">
        <w:rPr>
          <w:bCs/>
          <w:iCs/>
          <w:lang w:val="en-US"/>
        </w:rPr>
        <w:t xml:space="preserve"> in an infusion pump (CSII) as described</w:t>
      </w:r>
      <w:r w:rsidR="00D2085C">
        <w:rPr>
          <w:iCs/>
          <w:lang w:val="en-US"/>
        </w:rPr>
        <w:t xml:space="preserve"> in ‘</w:t>
      </w:r>
      <w:r w:rsidRPr="000B5751">
        <w:rPr>
          <w:iCs/>
          <w:lang w:val="en-US"/>
        </w:rPr>
        <w:t>Dosage and Administration</w:t>
      </w:r>
      <w:r w:rsidRPr="000B5751">
        <w:rPr>
          <w:bCs/>
          <w:iCs/>
          <w:lang w:val="en-US"/>
        </w:rPr>
        <w:t xml:space="preserve">.’ </w:t>
      </w:r>
      <w:proofErr w:type="spellStart"/>
      <w:r w:rsidRPr="000B5751">
        <w:rPr>
          <w:bCs/>
          <w:iCs/>
          <w:lang w:val="en-US"/>
        </w:rPr>
        <w:t>Tubings</w:t>
      </w:r>
      <w:proofErr w:type="spellEnd"/>
      <w:r w:rsidRPr="000B5751">
        <w:rPr>
          <w:bCs/>
          <w:iCs/>
          <w:lang w:val="en-US"/>
        </w:rPr>
        <w:t xml:space="preserve"> in which the inner surface materials are made of polyethylene </w:t>
      </w:r>
      <w:proofErr w:type="gramStart"/>
      <w:r w:rsidRPr="000B5751">
        <w:rPr>
          <w:bCs/>
          <w:iCs/>
          <w:lang w:val="en-US"/>
        </w:rPr>
        <w:t>have been evaluated and found compatible with pump use</w:t>
      </w:r>
      <w:proofErr w:type="gramEnd"/>
      <w:r w:rsidRPr="000B5751">
        <w:rPr>
          <w:bCs/>
          <w:iCs/>
          <w:lang w:val="en-US"/>
        </w:rPr>
        <w:t>.</w:t>
      </w:r>
    </w:p>
    <w:p w14:paraId="49401AE3" w14:textId="77777777" w:rsidR="000B5751" w:rsidRPr="000B5751" w:rsidRDefault="000B5751" w:rsidP="000B5751">
      <w:pPr>
        <w:rPr>
          <w:lang w:val="en-GB"/>
        </w:rPr>
      </w:pPr>
      <w:proofErr w:type="spellStart"/>
      <w:r w:rsidRPr="000B5751">
        <w:rPr>
          <w:b/>
          <w:lang w:val="en-GB"/>
        </w:rPr>
        <w:t>Fiasp</w:t>
      </w:r>
      <w:proofErr w:type="spellEnd"/>
      <w:r w:rsidRPr="000B5751">
        <w:rPr>
          <w:b/>
          <w:lang w:val="en-GB"/>
        </w:rPr>
        <w:t xml:space="preserve"> </w:t>
      </w:r>
      <w:proofErr w:type="spellStart"/>
      <w:r w:rsidRPr="000B5751">
        <w:rPr>
          <w:b/>
          <w:lang w:val="en-GB"/>
        </w:rPr>
        <w:t>Penfill</w:t>
      </w:r>
      <w:proofErr w:type="spellEnd"/>
      <w:r w:rsidRPr="000B5751">
        <w:rPr>
          <w:b/>
          <w:lang w:val="en-GB"/>
        </w:rPr>
        <w:t>:</w:t>
      </w:r>
      <w:r w:rsidRPr="000B5751">
        <w:rPr>
          <w:lang w:val="en-GB"/>
        </w:rPr>
        <w:t xml:space="preserve"> 3 mL solution in cartridge (type 1 glass), with a plunger (</w:t>
      </w:r>
      <w:proofErr w:type="spellStart"/>
      <w:r w:rsidRPr="000B5751">
        <w:rPr>
          <w:lang w:val="en-GB"/>
        </w:rPr>
        <w:t>halobutyl</w:t>
      </w:r>
      <w:proofErr w:type="spellEnd"/>
      <w:r w:rsidRPr="000B5751">
        <w:rPr>
          <w:lang w:val="en-GB"/>
        </w:rPr>
        <w:t>) and a stopper (</w:t>
      </w:r>
      <w:proofErr w:type="spellStart"/>
      <w:r w:rsidRPr="000B5751">
        <w:rPr>
          <w:lang w:val="en-GB"/>
        </w:rPr>
        <w:t>halobutyl</w:t>
      </w:r>
      <w:proofErr w:type="spellEnd"/>
      <w:r w:rsidRPr="000B5751">
        <w:rPr>
          <w:lang w:val="en-GB"/>
        </w:rPr>
        <w:t>/</w:t>
      </w:r>
      <w:proofErr w:type="spellStart"/>
      <w:r w:rsidRPr="000B5751">
        <w:rPr>
          <w:lang w:val="en-GB"/>
        </w:rPr>
        <w:t>polyisoprene</w:t>
      </w:r>
      <w:proofErr w:type="spellEnd"/>
      <w:r w:rsidRPr="000B5751">
        <w:rPr>
          <w:lang w:val="en-GB"/>
        </w:rPr>
        <w:t>) in a carton. Pack size of:</w:t>
      </w:r>
    </w:p>
    <w:p w14:paraId="3B5464D6" w14:textId="77777777" w:rsidR="000B5751" w:rsidRPr="000B5751" w:rsidRDefault="000B5751" w:rsidP="00D2085C">
      <w:pPr>
        <w:pStyle w:val="ListBullet"/>
        <w:rPr>
          <w:iCs/>
          <w:lang w:val="en-GB"/>
        </w:rPr>
      </w:pPr>
      <w:r w:rsidRPr="000B5751">
        <w:rPr>
          <w:lang w:val="en-GB"/>
        </w:rPr>
        <w:t>5 cartridges</w:t>
      </w:r>
    </w:p>
    <w:p w14:paraId="21E08629" w14:textId="77777777" w:rsidR="00F72421" w:rsidRDefault="000B5751" w:rsidP="00F72421">
      <w:r w:rsidRPr="000B5751">
        <w:rPr>
          <w:lang w:val="en-US"/>
        </w:rPr>
        <w:t xml:space="preserve">Not all pack sizes </w:t>
      </w:r>
      <w:proofErr w:type="gramStart"/>
      <w:r w:rsidRPr="000B5751">
        <w:rPr>
          <w:lang w:val="en-US"/>
        </w:rPr>
        <w:t>may be marketed</w:t>
      </w:r>
      <w:proofErr w:type="gramEnd"/>
      <w:r w:rsidRPr="000B5751">
        <w:rPr>
          <w:lang w:val="en-US"/>
        </w:rPr>
        <w:t>.</w:t>
      </w:r>
    </w:p>
    <w:p w14:paraId="3D8794AF" w14:textId="77777777" w:rsidR="00F72421" w:rsidRDefault="00F72421" w:rsidP="00F72421">
      <w:pPr>
        <w:pStyle w:val="Heading3"/>
      </w:pPr>
      <w:r>
        <w:lastRenderedPageBreak/>
        <w:t>6.6</w:t>
      </w:r>
      <w:r>
        <w:tab/>
        <w:t>Special Precautions for Disposal</w:t>
      </w:r>
    </w:p>
    <w:p w14:paraId="0C01C7AF" w14:textId="3F692413" w:rsidR="000B5751" w:rsidRPr="000B5751" w:rsidRDefault="00AC6E19" w:rsidP="000B5751">
      <w:pPr>
        <w:rPr>
          <w:lang w:val="en-GB"/>
        </w:rPr>
      </w:pPr>
      <w:r>
        <w:rPr>
          <w:lang w:val="en-GB"/>
        </w:rPr>
        <w:t>In Australia, a</w:t>
      </w:r>
      <w:r w:rsidR="000B5751" w:rsidRPr="000B5751">
        <w:rPr>
          <w:lang w:val="en-GB"/>
        </w:rPr>
        <w:t xml:space="preserve">ny </w:t>
      </w:r>
      <w:r>
        <w:rPr>
          <w:lang w:val="en-GB"/>
        </w:rPr>
        <w:t xml:space="preserve">unused medicine or </w:t>
      </w:r>
      <w:r w:rsidR="000B5751" w:rsidRPr="000B5751">
        <w:rPr>
          <w:lang w:val="en-GB"/>
        </w:rPr>
        <w:t>waste material should be disposed of in acco</w:t>
      </w:r>
      <w:r w:rsidR="00D2085C">
        <w:rPr>
          <w:lang w:val="en-GB"/>
        </w:rPr>
        <w:t>rdance with local requirements.</w:t>
      </w:r>
    </w:p>
    <w:p w14:paraId="3B563547" w14:textId="77777777" w:rsidR="00F72421" w:rsidRDefault="00F72421" w:rsidP="00F72421">
      <w:pPr>
        <w:pStyle w:val="Heading3"/>
      </w:pPr>
      <w:r>
        <w:t>6.7</w:t>
      </w:r>
      <w:r>
        <w:tab/>
        <w:t>Physi</w:t>
      </w:r>
      <w:r w:rsidR="00E97D02">
        <w:t>c</w:t>
      </w:r>
      <w:r>
        <w:t>ochemical Properties</w:t>
      </w:r>
    </w:p>
    <w:p w14:paraId="7546C12D" w14:textId="77777777" w:rsidR="00E97D02" w:rsidRDefault="00E97D02" w:rsidP="00E97D02">
      <w:pPr>
        <w:pStyle w:val="Heading4"/>
      </w:pPr>
      <w:r>
        <w:t>Chemical structure</w:t>
      </w:r>
    </w:p>
    <w:p w14:paraId="366DDA21" w14:textId="77777777" w:rsidR="001E0859" w:rsidRPr="001E0859" w:rsidRDefault="001E0859" w:rsidP="001E0859">
      <w:pPr>
        <w:spacing w:after="200" w:line="276" w:lineRule="auto"/>
        <w:rPr>
          <w:b/>
        </w:rPr>
      </w:pPr>
      <w:r w:rsidRPr="001E0859">
        <w:rPr>
          <w:lang w:val="en-US"/>
        </w:rPr>
        <w:t xml:space="preserve">Insulin </w:t>
      </w:r>
      <w:proofErr w:type="spellStart"/>
      <w:r w:rsidRPr="001E0859">
        <w:rPr>
          <w:lang w:val="en-US"/>
        </w:rPr>
        <w:t>aspart</w:t>
      </w:r>
      <w:proofErr w:type="spellEnd"/>
      <w:r w:rsidRPr="001E0859">
        <w:rPr>
          <w:lang w:val="en-US"/>
        </w:rPr>
        <w:t xml:space="preserve"> (</w:t>
      </w:r>
      <w:proofErr w:type="spellStart"/>
      <w:r w:rsidRPr="001E0859">
        <w:rPr>
          <w:lang w:val="en-US"/>
        </w:rPr>
        <w:t>rys</w:t>
      </w:r>
      <w:proofErr w:type="spellEnd"/>
      <w:r w:rsidRPr="001E0859">
        <w:rPr>
          <w:lang w:val="en-US"/>
        </w:rPr>
        <w:t>) has the empirical formula C</w:t>
      </w:r>
      <w:r w:rsidRPr="001E0859">
        <w:rPr>
          <w:vertAlign w:val="subscript"/>
          <w:lang w:val="en-US"/>
        </w:rPr>
        <w:t>256</w:t>
      </w:r>
      <w:r w:rsidRPr="001E0859">
        <w:rPr>
          <w:lang w:val="en-US"/>
        </w:rPr>
        <w:t>H</w:t>
      </w:r>
      <w:r w:rsidRPr="001E0859">
        <w:rPr>
          <w:vertAlign w:val="subscript"/>
          <w:lang w:val="en-US"/>
        </w:rPr>
        <w:t>381</w:t>
      </w:r>
      <w:r w:rsidRPr="001E0859">
        <w:rPr>
          <w:lang w:val="en-US"/>
        </w:rPr>
        <w:t>N</w:t>
      </w:r>
      <w:r w:rsidRPr="001E0859">
        <w:rPr>
          <w:vertAlign w:val="subscript"/>
          <w:lang w:val="en-US"/>
        </w:rPr>
        <w:t>65</w:t>
      </w:r>
      <w:r w:rsidRPr="001E0859">
        <w:rPr>
          <w:lang w:val="en-US"/>
        </w:rPr>
        <w:t>O</w:t>
      </w:r>
      <w:r w:rsidRPr="001E0859">
        <w:rPr>
          <w:vertAlign w:val="subscript"/>
          <w:lang w:val="en-US"/>
        </w:rPr>
        <w:t>79</w:t>
      </w:r>
      <w:r w:rsidRPr="001E0859">
        <w:rPr>
          <w:lang w:val="en-US"/>
        </w:rPr>
        <w:t>S</w:t>
      </w:r>
      <w:r w:rsidRPr="001E0859">
        <w:rPr>
          <w:vertAlign w:val="subscript"/>
          <w:lang w:val="en-US"/>
        </w:rPr>
        <w:t>6</w:t>
      </w:r>
      <w:r w:rsidRPr="001E0859">
        <w:rPr>
          <w:lang w:val="en-US"/>
        </w:rPr>
        <w:t xml:space="preserve"> and a molecular weight of 5825.8.</w:t>
      </w:r>
    </w:p>
    <w:p w14:paraId="2F55E45A" w14:textId="77777777" w:rsidR="00E97D02" w:rsidRDefault="001E0859" w:rsidP="00E97D02">
      <w:r>
        <w:rPr>
          <w:noProof/>
          <w:lang w:eastAsia="en-AU"/>
        </w:rPr>
        <w:drawing>
          <wp:inline distT="0" distB="0" distL="0" distR="0" wp14:anchorId="1BB99D7C" wp14:editId="3ADB50C7">
            <wp:extent cx="4000500" cy="2876550"/>
            <wp:effectExtent l="0" t="0" r="0" b="0"/>
            <wp:docPr id="4" name="Picture 4" descr="InsulinA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ulinApar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0" cy="2876550"/>
                    </a:xfrm>
                    <a:prstGeom prst="rect">
                      <a:avLst/>
                    </a:prstGeom>
                    <a:noFill/>
                    <a:ln>
                      <a:noFill/>
                    </a:ln>
                  </pic:spPr>
                </pic:pic>
              </a:graphicData>
            </a:graphic>
          </wp:inline>
        </w:drawing>
      </w:r>
    </w:p>
    <w:p w14:paraId="0D262BA9" w14:textId="77777777" w:rsidR="00E97D02" w:rsidRDefault="00E97D02" w:rsidP="00E97D02">
      <w:pPr>
        <w:pStyle w:val="Heading4"/>
      </w:pPr>
      <w:r>
        <w:t>CAS number</w:t>
      </w:r>
    </w:p>
    <w:p w14:paraId="0C65B981" w14:textId="5C73A671" w:rsidR="00E97D02" w:rsidRPr="001E0859" w:rsidRDefault="001E0859" w:rsidP="00E97D02">
      <w:pPr>
        <w:rPr>
          <w:b/>
        </w:rPr>
      </w:pPr>
      <w:r w:rsidRPr="001E0859">
        <w:rPr>
          <w:lang w:val="en-US"/>
        </w:rPr>
        <w:t>116094-23-6</w:t>
      </w:r>
    </w:p>
    <w:p w14:paraId="358A4BCD" w14:textId="77777777" w:rsidR="00E97D02" w:rsidRDefault="00E97D02" w:rsidP="00E97D02">
      <w:pPr>
        <w:pStyle w:val="Heading2"/>
      </w:pPr>
      <w:r>
        <w:t>7.</w:t>
      </w:r>
      <w:r>
        <w:tab/>
        <w:t>MEDICINE SCHEDULE (POISONS STANDARD)</w:t>
      </w:r>
    </w:p>
    <w:p w14:paraId="158ACB52" w14:textId="77777777" w:rsidR="00E97D02" w:rsidRDefault="000B5751" w:rsidP="00E97D02">
      <w:r>
        <w:t>S4</w:t>
      </w:r>
    </w:p>
    <w:p w14:paraId="08A6C616" w14:textId="77777777" w:rsidR="00E97D02" w:rsidRDefault="00E97D02" w:rsidP="00E97D02">
      <w:pPr>
        <w:pStyle w:val="Heading2"/>
      </w:pPr>
      <w:r>
        <w:t xml:space="preserve">8. </w:t>
      </w:r>
      <w:r>
        <w:tab/>
        <w:t>SPONSOR</w:t>
      </w:r>
    </w:p>
    <w:p w14:paraId="0109DD70" w14:textId="77777777" w:rsidR="000B5751" w:rsidRPr="000B5751" w:rsidRDefault="000B5751" w:rsidP="000B5751">
      <w:pPr>
        <w:rPr>
          <w:lang w:val="en-US"/>
        </w:rPr>
      </w:pPr>
      <w:r w:rsidRPr="000B5751">
        <w:rPr>
          <w:lang w:val="en-US"/>
        </w:rPr>
        <w:t>Novo Nordisk Pharmaceuticals Pty Limited</w:t>
      </w:r>
    </w:p>
    <w:p w14:paraId="7280C1F0" w14:textId="77777777" w:rsidR="000B5751" w:rsidRPr="000B5751" w:rsidRDefault="000B5751" w:rsidP="000B5751">
      <w:pPr>
        <w:rPr>
          <w:lang w:val="en-US"/>
        </w:rPr>
      </w:pPr>
      <w:r w:rsidRPr="000B5751">
        <w:rPr>
          <w:lang w:val="en-US"/>
        </w:rPr>
        <w:t>Level 3</w:t>
      </w:r>
      <w:r>
        <w:rPr>
          <w:lang w:val="en-US"/>
        </w:rPr>
        <w:t xml:space="preserve">, </w:t>
      </w:r>
      <w:r w:rsidRPr="000B5751">
        <w:rPr>
          <w:lang w:val="en-US"/>
        </w:rPr>
        <w:t xml:space="preserve">21 </w:t>
      </w:r>
      <w:proofErr w:type="spellStart"/>
      <w:r w:rsidRPr="000B5751">
        <w:rPr>
          <w:lang w:val="en-US"/>
        </w:rPr>
        <w:t>Solent</w:t>
      </w:r>
      <w:proofErr w:type="spellEnd"/>
      <w:r w:rsidRPr="000B5751">
        <w:rPr>
          <w:lang w:val="en-US"/>
        </w:rPr>
        <w:t xml:space="preserve"> Circuit</w:t>
      </w:r>
    </w:p>
    <w:p w14:paraId="509D137E" w14:textId="5BC51444" w:rsidR="00E97D02" w:rsidRDefault="000B5751" w:rsidP="00E97D02">
      <w:pPr>
        <w:rPr>
          <w:lang w:val="en-US"/>
        </w:rPr>
      </w:pPr>
      <w:r w:rsidRPr="000B5751">
        <w:rPr>
          <w:lang w:val="en-US"/>
        </w:rPr>
        <w:t xml:space="preserve">Baulkham </w:t>
      </w:r>
      <w:proofErr w:type="gramStart"/>
      <w:r w:rsidRPr="000B5751">
        <w:rPr>
          <w:lang w:val="en-US"/>
        </w:rPr>
        <w:t>Hills  NSW</w:t>
      </w:r>
      <w:proofErr w:type="gramEnd"/>
      <w:r w:rsidRPr="000B5751">
        <w:rPr>
          <w:lang w:val="en-US"/>
        </w:rPr>
        <w:t xml:space="preserve">  2153</w:t>
      </w:r>
    </w:p>
    <w:p w14:paraId="12F8F99D" w14:textId="77777777" w:rsidR="00AC6E19" w:rsidRPr="00AC6E19" w:rsidRDefault="00AC6E19" w:rsidP="00AC6E19">
      <w:pPr>
        <w:rPr>
          <w:lang w:val="en-US"/>
        </w:rPr>
      </w:pPr>
      <w:r w:rsidRPr="00AC6E19">
        <w:rPr>
          <w:lang w:val="en-US"/>
        </w:rPr>
        <w:t>Website: www.novonordisk.com.au</w:t>
      </w:r>
    </w:p>
    <w:p w14:paraId="35019F2B" w14:textId="01145A26" w:rsidR="00E97D02" w:rsidRDefault="00E97D02" w:rsidP="00E97D02">
      <w:pPr>
        <w:pStyle w:val="Heading2"/>
      </w:pPr>
      <w:r>
        <w:t>9.</w:t>
      </w:r>
      <w:r>
        <w:tab/>
        <w:t>DATE OF FIRST APPROVAL</w:t>
      </w:r>
    </w:p>
    <w:p w14:paraId="1A43F8A9" w14:textId="77777777" w:rsidR="00E97D02" w:rsidRDefault="000B5751" w:rsidP="00E97D02">
      <w:r w:rsidRPr="000B5751">
        <w:rPr>
          <w:lang w:val="en-US"/>
        </w:rPr>
        <w:t>27 July 2017</w:t>
      </w:r>
    </w:p>
    <w:p w14:paraId="3CA71C2C" w14:textId="77777777" w:rsidR="00E97D02" w:rsidRDefault="00E97D02" w:rsidP="00E97D02">
      <w:pPr>
        <w:pStyle w:val="Heading2"/>
      </w:pPr>
      <w:r>
        <w:t>10.</w:t>
      </w:r>
      <w:r>
        <w:tab/>
        <w:t>DATE OF REVISION</w:t>
      </w:r>
    </w:p>
    <w:p w14:paraId="385088E7" w14:textId="3F99B642" w:rsidR="00E97D02" w:rsidRDefault="00831B63">
      <w:proofErr w:type="gramStart"/>
      <w:r>
        <w:t>11</w:t>
      </w:r>
      <w:proofErr w:type="gramEnd"/>
      <w:r>
        <w:t xml:space="preserve"> march 2020</w:t>
      </w:r>
      <w:bookmarkStart w:id="7" w:name="_GoBack"/>
      <w:bookmarkEnd w:id="7"/>
      <w:r w:rsidR="00E97D02">
        <w:br w:type="page"/>
      </w:r>
    </w:p>
    <w:p w14:paraId="04A0C6BC" w14:textId="77777777" w:rsidR="00E97D02" w:rsidRDefault="00E97D02" w:rsidP="00E97D02">
      <w:pPr>
        <w:pStyle w:val="Heading3"/>
      </w:pPr>
      <w:r>
        <w:lastRenderedPageBreak/>
        <w:t>Summary table of changes</w:t>
      </w:r>
    </w:p>
    <w:tbl>
      <w:tblPr>
        <w:tblStyle w:val="TableGrid"/>
        <w:tblW w:w="0" w:type="auto"/>
        <w:tblLook w:val="04A0" w:firstRow="1" w:lastRow="0" w:firstColumn="1" w:lastColumn="0" w:noHBand="0" w:noVBand="1"/>
      </w:tblPr>
      <w:tblGrid>
        <w:gridCol w:w="2332"/>
        <w:gridCol w:w="6684"/>
      </w:tblGrid>
      <w:tr w:rsidR="00E97D02" w14:paraId="537686AA" w14:textId="77777777" w:rsidTr="00E711B2">
        <w:tc>
          <w:tcPr>
            <w:tcW w:w="2332" w:type="dxa"/>
          </w:tcPr>
          <w:p w14:paraId="26F4D258" w14:textId="77777777" w:rsidR="00E97D02" w:rsidRPr="00E97D02" w:rsidRDefault="00E97D02" w:rsidP="00E97D02">
            <w:pPr>
              <w:rPr>
                <w:b/>
              </w:rPr>
            </w:pPr>
            <w:r>
              <w:rPr>
                <w:b/>
              </w:rPr>
              <w:t>Section changed</w:t>
            </w:r>
          </w:p>
        </w:tc>
        <w:tc>
          <w:tcPr>
            <w:tcW w:w="6684" w:type="dxa"/>
          </w:tcPr>
          <w:p w14:paraId="19364EB7" w14:textId="77777777" w:rsidR="00E97D02" w:rsidRPr="00E97D02" w:rsidRDefault="00E97D02" w:rsidP="00E97D02">
            <w:pPr>
              <w:rPr>
                <w:b/>
              </w:rPr>
            </w:pPr>
            <w:r>
              <w:rPr>
                <w:b/>
              </w:rPr>
              <w:t>Summary of new information</w:t>
            </w:r>
          </w:p>
        </w:tc>
      </w:tr>
      <w:tr w:rsidR="00831B63" w14:paraId="6BE0442D" w14:textId="77777777" w:rsidTr="00E711B2">
        <w:tc>
          <w:tcPr>
            <w:tcW w:w="2332" w:type="dxa"/>
          </w:tcPr>
          <w:p w14:paraId="57D5E6A0" w14:textId="162BEB92" w:rsidR="00831B63" w:rsidRPr="00E711B2" w:rsidRDefault="00831B63" w:rsidP="00E97D02">
            <w:r>
              <w:t>All</w:t>
            </w:r>
          </w:p>
        </w:tc>
        <w:tc>
          <w:tcPr>
            <w:tcW w:w="6684" w:type="dxa"/>
          </w:tcPr>
          <w:p w14:paraId="43FD6A35" w14:textId="68091074" w:rsidR="00831B63" w:rsidRPr="00E711B2" w:rsidRDefault="00831B63" w:rsidP="00E97D02">
            <w:r w:rsidRPr="00831B63">
              <w:t>Updated to align with TGA Approved PI format</w:t>
            </w:r>
          </w:p>
        </w:tc>
      </w:tr>
      <w:tr w:rsidR="00831B63" w14:paraId="7F8FE269" w14:textId="77777777" w:rsidTr="00E711B2">
        <w:tc>
          <w:tcPr>
            <w:tcW w:w="2332" w:type="dxa"/>
          </w:tcPr>
          <w:p w14:paraId="0ECD8F74" w14:textId="674E26A2" w:rsidR="00831B63" w:rsidRPr="00E711B2" w:rsidRDefault="00831B63" w:rsidP="00E97D02">
            <w:r>
              <w:t>6.3</w:t>
            </w:r>
          </w:p>
        </w:tc>
        <w:tc>
          <w:tcPr>
            <w:tcW w:w="6684" w:type="dxa"/>
          </w:tcPr>
          <w:p w14:paraId="7F050B4F" w14:textId="3ADCCEA9" w:rsidR="00831B63" w:rsidRPr="00E711B2" w:rsidRDefault="00831B63" w:rsidP="00E97D02">
            <w:r w:rsidRPr="00831B63">
              <w:t>Reduction of infusion pump reservoir in-use shelf life from 9 to 6 days.</w:t>
            </w:r>
          </w:p>
        </w:tc>
      </w:tr>
      <w:tr w:rsidR="00E97D02" w14:paraId="17BD8353" w14:textId="77777777" w:rsidTr="00E711B2">
        <w:tc>
          <w:tcPr>
            <w:tcW w:w="2332" w:type="dxa"/>
          </w:tcPr>
          <w:p w14:paraId="5B36175B" w14:textId="77777777" w:rsidR="00E97D02" w:rsidRPr="00E711B2" w:rsidRDefault="00E97D02" w:rsidP="00E97D02"/>
        </w:tc>
        <w:tc>
          <w:tcPr>
            <w:tcW w:w="6684" w:type="dxa"/>
          </w:tcPr>
          <w:p w14:paraId="452AD86C" w14:textId="31820E35" w:rsidR="00E97D02" w:rsidRPr="00E711B2" w:rsidRDefault="00AC6E19" w:rsidP="00E97D02">
            <w:r w:rsidRPr="00E711B2">
              <w:t>Inclusion of the Black Triangle symbol and its associated text</w:t>
            </w:r>
          </w:p>
        </w:tc>
      </w:tr>
      <w:tr w:rsidR="00AC6E19" w14:paraId="132E0FA2" w14:textId="77777777" w:rsidTr="00E711B2">
        <w:tc>
          <w:tcPr>
            <w:tcW w:w="2332" w:type="dxa"/>
          </w:tcPr>
          <w:p w14:paraId="75641490" w14:textId="21537C14" w:rsidR="00AC6E19" w:rsidRPr="00E711B2" w:rsidRDefault="00AC6E19" w:rsidP="00E97D02">
            <w:r w:rsidRPr="00E711B2">
              <w:t>4.1, 4.2, 4.4, 4.8, 5.1</w:t>
            </w:r>
          </w:p>
        </w:tc>
        <w:tc>
          <w:tcPr>
            <w:tcW w:w="6684" w:type="dxa"/>
          </w:tcPr>
          <w:p w14:paraId="1B75D9B7" w14:textId="5EF0D469" w:rsidR="00AC6E19" w:rsidRPr="00E711B2" w:rsidRDefault="00AC6E19" w:rsidP="00E97D02">
            <w:r w:rsidRPr="00E711B2">
              <w:t>Inclusion of data and statements to reflect use in paediatric patients</w:t>
            </w:r>
          </w:p>
        </w:tc>
      </w:tr>
      <w:tr w:rsidR="00AC6E19" w14:paraId="29C14607" w14:textId="77777777" w:rsidTr="00E711B2">
        <w:tc>
          <w:tcPr>
            <w:tcW w:w="2332" w:type="dxa"/>
          </w:tcPr>
          <w:p w14:paraId="390A5943" w14:textId="71163163" w:rsidR="00AC6E19" w:rsidRPr="00E711B2" w:rsidRDefault="00AC6E19" w:rsidP="00E97D02">
            <w:r w:rsidRPr="00E711B2">
              <w:t>4.8</w:t>
            </w:r>
          </w:p>
        </w:tc>
        <w:tc>
          <w:tcPr>
            <w:tcW w:w="6684" w:type="dxa"/>
          </w:tcPr>
          <w:p w14:paraId="5D0F29BE" w14:textId="694C9784" w:rsidR="00AC6E19" w:rsidRPr="00E711B2" w:rsidRDefault="00AC6E19" w:rsidP="00E97D02">
            <w:r w:rsidRPr="00E711B2">
              <w:t>Updated adverse effects</w:t>
            </w:r>
          </w:p>
        </w:tc>
      </w:tr>
    </w:tbl>
    <w:p w14:paraId="5C63C3B1" w14:textId="77777777" w:rsidR="00E97D02" w:rsidRPr="00E97D02" w:rsidRDefault="00E97D02" w:rsidP="00E97D02"/>
    <w:sectPr w:rsidR="00E97D02" w:rsidRPr="00E97D02">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C8882" w14:textId="77777777" w:rsidR="003A18A3" w:rsidRDefault="003A18A3" w:rsidP="000B5751">
      <w:r>
        <w:separator/>
      </w:r>
    </w:p>
  </w:endnote>
  <w:endnote w:type="continuationSeparator" w:id="0">
    <w:p w14:paraId="72E62B0E" w14:textId="77777777" w:rsidR="003A18A3" w:rsidRDefault="003A18A3" w:rsidP="000B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2CD0" w14:textId="5C0A4FE5" w:rsidR="003A18A3" w:rsidRPr="000B5751" w:rsidRDefault="003A18A3">
    <w:pPr>
      <w:pStyle w:val="Footer"/>
      <w:rPr>
        <w:sz w:val="20"/>
        <w:szCs w:val="20"/>
      </w:rPr>
    </w:pPr>
    <w:r w:rsidRPr="000B5751">
      <w:rPr>
        <w:i/>
        <w:sz w:val="20"/>
        <w:szCs w:val="20"/>
      </w:rPr>
      <w:fldChar w:fldCharType="begin"/>
    </w:r>
    <w:r w:rsidRPr="000B5751">
      <w:rPr>
        <w:i/>
        <w:sz w:val="20"/>
        <w:szCs w:val="20"/>
      </w:rPr>
      <w:instrText xml:space="preserve"> FILENAME   \* MERGEFORMAT </w:instrText>
    </w:r>
    <w:r w:rsidRPr="000B5751">
      <w:rPr>
        <w:i/>
        <w:sz w:val="20"/>
        <w:szCs w:val="20"/>
      </w:rPr>
      <w:fldChar w:fldCharType="separate"/>
    </w:r>
    <w:r>
      <w:rPr>
        <w:i/>
        <w:noProof/>
        <w:sz w:val="20"/>
        <w:szCs w:val="20"/>
      </w:rPr>
      <w:t>Fiasp pi3.docx</w:t>
    </w:r>
    <w:r w:rsidRPr="000B575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E497" w14:textId="77777777" w:rsidR="003A18A3" w:rsidRDefault="003A18A3" w:rsidP="000B5751">
      <w:r>
        <w:separator/>
      </w:r>
    </w:p>
  </w:footnote>
  <w:footnote w:type="continuationSeparator" w:id="0">
    <w:p w14:paraId="37A734D6" w14:textId="77777777" w:rsidR="003A18A3" w:rsidRDefault="003A18A3" w:rsidP="000B5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3A18A3" w14:paraId="4BF853F5" w14:textId="77777777" w:rsidTr="00771901">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4F31FE5F" w14:textId="45114C7F" w:rsidR="003A18A3" w:rsidRDefault="003A18A3" w:rsidP="00771901">
          <w:pPr>
            <w:spacing w:before="40" w:after="40"/>
            <w:rPr>
              <w:b/>
              <w:sz w:val="20"/>
              <w:szCs w:val="20"/>
            </w:rPr>
          </w:pPr>
          <w:r>
            <w:rPr>
              <w:b/>
              <w:sz w:val="20"/>
              <w:szCs w:val="20"/>
            </w:rPr>
            <w:t xml:space="preserve">Attachment 1: Product information for </w:t>
          </w:r>
          <w:proofErr w:type="spellStart"/>
          <w:r w:rsidRPr="00771901">
            <w:rPr>
              <w:b/>
              <w:sz w:val="20"/>
              <w:szCs w:val="20"/>
            </w:rPr>
            <w:t>AusPAR</w:t>
          </w:r>
          <w:proofErr w:type="spellEnd"/>
          <w:r w:rsidRPr="00771901">
            <w:rPr>
              <w:b/>
              <w:sz w:val="20"/>
              <w:szCs w:val="20"/>
            </w:rPr>
            <w:t xml:space="preserve"> - FIASP / FIASP PENFILL / FIASP FLEXTOUCH - insulin </w:t>
          </w:r>
          <w:proofErr w:type="spellStart"/>
          <w:r w:rsidRPr="00771901">
            <w:rPr>
              <w:b/>
              <w:sz w:val="20"/>
              <w:szCs w:val="20"/>
            </w:rPr>
            <w:t>aspart</w:t>
          </w:r>
          <w:proofErr w:type="spellEnd"/>
          <w:r w:rsidRPr="00771901">
            <w:rPr>
              <w:b/>
              <w:sz w:val="20"/>
              <w:szCs w:val="20"/>
            </w:rPr>
            <w:t xml:space="preserve"> (</w:t>
          </w:r>
          <w:proofErr w:type="spellStart"/>
          <w:r w:rsidRPr="00771901">
            <w:rPr>
              <w:b/>
              <w:sz w:val="20"/>
              <w:szCs w:val="20"/>
            </w:rPr>
            <w:t>rys</w:t>
          </w:r>
          <w:proofErr w:type="spellEnd"/>
          <w:r w:rsidRPr="00771901">
            <w:rPr>
              <w:b/>
              <w:sz w:val="20"/>
              <w:szCs w:val="20"/>
            </w:rPr>
            <w:t>) - Novo Nordisk Pharmaceuticals Pty Ltd - PM-2018-05745-1-5</w:t>
          </w:r>
          <w:r>
            <w:rPr>
              <w:b/>
              <w:sz w:val="20"/>
              <w:szCs w:val="20"/>
            </w:rPr>
            <w:t xml:space="preserve"> </w:t>
          </w:r>
          <w:r w:rsidRPr="00771901">
            <w:rPr>
              <w:b/>
              <w:sz w:val="20"/>
              <w:szCs w:val="20"/>
            </w:rPr>
            <w:t>FINAL 27 August 2020</w:t>
          </w:r>
          <w:r>
            <w:rPr>
              <w:b/>
              <w:sz w:val="20"/>
              <w:szCs w:val="20"/>
            </w:rPr>
            <w:t xml:space="preserve"> . This is the Product Information that </w:t>
          </w:r>
          <w:proofErr w:type="gramStart"/>
          <w:r>
            <w:rPr>
              <w:b/>
              <w:sz w:val="20"/>
              <w:szCs w:val="20"/>
            </w:rPr>
            <w:t>was approved</w:t>
          </w:r>
          <w:proofErr w:type="gramEnd"/>
          <w:r>
            <w:rPr>
              <w:b/>
              <w:sz w:val="20"/>
              <w:szCs w:val="20"/>
            </w:rPr>
            <w:t xml:space="preserve"> with the submission described in this </w:t>
          </w:r>
          <w:proofErr w:type="spellStart"/>
          <w:r>
            <w:rPr>
              <w:b/>
              <w:sz w:val="20"/>
              <w:szCs w:val="20"/>
            </w:rPr>
            <w:t>AusPAR</w:t>
          </w:r>
          <w:proofErr w:type="spellEnd"/>
          <w:r>
            <w:rPr>
              <w:b/>
              <w:sz w:val="20"/>
              <w:szCs w:val="20"/>
            </w:rPr>
            <w:t xml:space="preserve">. It </w:t>
          </w:r>
          <w:proofErr w:type="gramStart"/>
          <w:r>
            <w:rPr>
              <w:b/>
              <w:sz w:val="20"/>
              <w:szCs w:val="20"/>
            </w:rPr>
            <w:t>may have been superseded</w:t>
          </w:r>
          <w:proofErr w:type="gramEnd"/>
          <w:r>
            <w:rPr>
              <w:b/>
              <w:sz w:val="20"/>
              <w:szCs w:val="20"/>
            </w:rPr>
            <w:t>. For the most recent PI, please refer to the TGA website at &lt;</w:t>
          </w:r>
          <w:hyperlink r:id="rId1" w:history="1">
            <w:r>
              <w:rPr>
                <w:rStyle w:val="Hyperlink"/>
                <w:b/>
                <w:sz w:val="20"/>
                <w:szCs w:val="20"/>
              </w:rPr>
              <w:t>https://www.tga.gov.au/product-information-pi</w:t>
            </w:r>
          </w:hyperlink>
          <w:r>
            <w:rPr>
              <w:b/>
              <w:sz w:val="20"/>
              <w:szCs w:val="20"/>
            </w:rPr>
            <w:t>&gt;</w:t>
          </w:r>
        </w:p>
      </w:tc>
    </w:tr>
  </w:tbl>
  <w:p w14:paraId="196E3414" w14:textId="77777777" w:rsidR="003A18A3" w:rsidRDefault="003A1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60E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62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8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E015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746D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3227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D6E8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275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063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B27C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EF3EC0"/>
    <w:multiLevelType w:val="hybridMultilevel"/>
    <w:tmpl w:val="992A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07D7B"/>
    <w:multiLevelType w:val="hybridMultilevel"/>
    <w:tmpl w:val="3FC6EB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6F8764DC"/>
    <w:multiLevelType w:val="hybridMultilevel"/>
    <w:tmpl w:val="0F58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50CAE"/>
    <w:multiLevelType w:val="hybridMultilevel"/>
    <w:tmpl w:val="64F0C6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54"/>
    <w:rsid w:val="00000A41"/>
    <w:rsid w:val="00010458"/>
    <w:rsid w:val="00017287"/>
    <w:rsid w:val="00023E18"/>
    <w:rsid w:val="00047009"/>
    <w:rsid w:val="000475BC"/>
    <w:rsid w:val="000640A4"/>
    <w:rsid w:val="00076893"/>
    <w:rsid w:val="00091BB4"/>
    <w:rsid w:val="000B082E"/>
    <w:rsid w:val="000B5751"/>
    <w:rsid w:val="000D3D51"/>
    <w:rsid w:val="000D3D54"/>
    <w:rsid w:val="000E06EA"/>
    <w:rsid w:val="000E4A31"/>
    <w:rsid w:val="00155997"/>
    <w:rsid w:val="001565F6"/>
    <w:rsid w:val="00161A68"/>
    <w:rsid w:val="0018502B"/>
    <w:rsid w:val="001A142C"/>
    <w:rsid w:val="001A561D"/>
    <w:rsid w:val="001B3B29"/>
    <w:rsid w:val="001C421D"/>
    <w:rsid w:val="001D369E"/>
    <w:rsid w:val="001E0859"/>
    <w:rsid w:val="001E4094"/>
    <w:rsid w:val="001F7E8F"/>
    <w:rsid w:val="00200B4F"/>
    <w:rsid w:val="00220BD7"/>
    <w:rsid w:val="00231990"/>
    <w:rsid w:val="00233791"/>
    <w:rsid w:val="002C1E37"/>
    <w:rsid w:val="002F0E18"/>
    <w:rsid w:val="003050A1"/>
    <w:rsid w:val="00306CC3"/>
    <w:rsid w:val="003200B1"/>
    <w:rsid w:val="00331A2E"/>
    <w:rsid w:val="00333032"/>
    <w:rsid w:val="003401A4"/>
    <w:rsid w:val="0034168D"/>
    <w:rsid w:val="003734E1"/>
    <w:rsid w:val="00373580"/>
    <w:rsid w:val="0037622C"/>
    <w:rsid w:val="00381388"/>
    <w:rsid w:val="00385B54"/>
    <w:rsid w:val="003A18A3"/>
    <w:rsid w:val="003A7D04"/>
    <w:rsid w:val="003B2276"/>
    <w:rsid w:val="003E7F33"/>
    <w:rsid w:val="003F6359"/>
    <w:rsid w:val="00412EC1"/>
    <w:rsid w:val="00416F95"/>
    <w:rsid w:val="00431AA1"/>
    <w:rsid w:val="00432736"/>
    <w:rsid w:val="004A6094"/>
    <w:rsid w:val="004C3598"/>
    <w:rsid w:val="004D0F6F"/>
    <w:rsid w:val="004D7063"/>
    <w:rsid w:val="004F40C4"/>
    <w:rsid w:val="004F6892"/>
    <w:rsid w:val="00514E78"/>
    <w:rsid w:val="00530450"/>
    <w:rsid w:val="005405B5"/>
    <w:rsid w:val="00571F2D"/>
    <w:rsid w:val="00586DB4"/>
    <w:rsid w:val="005C471B"/>
    <w:rsid w:val="005E0EC6"/>
    <w:rsid w:val="005F2AB0"/>
    <w:rsid w:val="00615E39"/>
    <w:rsid w:val="00626026"/>
    <w:rsid w:val="00640F85"/>
    <w:rsid w:val="00644DBF"/>
    <w:rsid w:val="006625F3"/>
    <w:rsid w:val="006973B5"/>
    <w:rsid w:val="006D6ED3"/>
    <w:rsid w:val="006D719D"/>
    <w:rsid w:val="00717963"/>
    <w:rsid w:val="007427D0"/>
    <w:rsid w:val="007651DF"/>
    <w:rsid w:val="00771901"/>
    <w:rsid w:val="00780662"/>
    <w:rsid w:val="007878BC"/>
    <w:rsid w:val="007952A7"/>
    <w:rsid w:val="007A441F"/>
    <w:rsid w:val="007A6E81"/>
    <w:rsid w:val="007B110F"/>
    <w:rsid w:val="007B6921"/>
    <w:rsid w:val="007B6DD6"/>
    <w:rsid w:val="007E0AE6"/>
    <w:rsid w:val="00802FC4"/>
    <w:rsid w:val="0081101E"/>
    <w:rsid w:val="0082043A"/>
    <w:rsid w:val="00831B63"/>
    <w:rsid w:val="00881851"/>
    <w:rsid w:val="008B26C5"/>
    <w:rsid w:val="008E04F1"/>
    <w:rsid w:val="008F58C9"/>
    <w:rsid w:val="009178CA"/>
    <w:rsid w:val="00917CA4"/>
    <w:rsid w:val="00940FD8"/>
    <w:rsid w:val="00943228"/>
    <w:rsid w:val="009722D6"/>
    <w:rsid w:val="009863C2"/>
    <w:rsid w:val="009877CB"/>
    <w:rsid w:val="009933C2"/>
    <w:rsid w:val="009D4321"/>
    <w:rsid w:val="00A42E7C"/>
    <w:rsid w:val="00A576D5"/>
    <w:rsid w:val="00A70F4C"/>
    <w:rsid w:val="00A83168"/>
    <w:rsid w:val="00A9360F"/>
    <w:rsid w:val="00AB3CBC"/>
    <w:rsid w:val="00AC065E"/>
    <w:rsid w:val="00AC67B3"/>
    <w:rsid w:val="00AC6E19"/>
    <w:rsid w:val="00AE3E38"/>
    <w:rsid w:val="00AF4546"/>
    <w:rsid w:val="00B441E0"/>
    <w:rsid w:val="00B64F66"/>
    <w:rsid w:val="00B7179B"/>
    <w:rsid w:val="00B71D93"/>
    <w:rsid w:val="00B90238"/>
    <w:rsid w:val="00BB5759"/>
    <w:rsid w:val="00BC4F8D"/>
    <w:rsid w:val="00C102FF"/>
    <w:rsid w:val="00C16409"/>
    <w:rsid w:val="00C4198B"/>
    <w:rsid w:val="00C44B67"/>
    <w:rsid w:val="00C73B41"/>
    <w:rsid w:val="00CA080C"/>
    <w:rsid w:val="00CC01CF"/>
    <w:rsid w:val="00CC20EA"/>
    <w:rsid w:val="00CE55F8"/>
    <w:rsid w:val="00D141CF"/>
    <w:rsid w:val="00D2085C"/>
    <w:rsid w:val="00D40B62"/>
    <w:rsid w:val="00D56FBE"/>
    <w:rsid w:val="00DD46A4"/>
    <w:rsid w:val="00DE6EDC"/>
    <w:rsid w:val="00DE7D8F"/>
    <w:rsid w:val="00E26A85"/>
    <w:rsid w:val="00E503A7"/>
    <w:rsid w:val="00E62C90"/>
    <w:rsid w:val="00E70C38"/>
    <w:rsid w:val="00E711B2"/>
    <w:rsid w:val="00E97D02"/>
    <w:rsid w:val="00EA0B84"/>
    <w:rsid w:val="00ED4F1F"/>
    <w:rsid w:val="00EF34D9"/>
    <w:rsid w:val="00F072E1"/>
    <w:rsid w:val="00F11849"/>
    <w:rsid w:val="00F16792"/>
    <w:rsid w:val="00F17541"/>
    <w:rsid w:val="00F21848"/>
    <w:rsid w:val="00F469EA"/>
    <w:rsid w:val="00F55ADB"/>
    <w:rsid w:val="00F72421"/>
    <w:rsid w:val="00FA1171"/>
    <w:rsid w:val="00FC0735"/>
    <w:rsid w:val="00FD4081"/>
    <w:rsid w:val="00FE1BEC"/>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2A60FD"/>
  <w15:docId w15:val="{E9F9A693-B2F5-48D7-B357-232164B7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6F"/>
    <w:pPr>
      <w:spacing w:after="120"/>
    </w:pPr>
    <w:rPr>
      <w:rFonts w:ascii="Times New Roman" w:hAnsi="Times New Roman" w:cs="Times New Roman"/>
      <w:sz w:val="24"/>
      <w:szCs w:val="24"/>
    </w:rPr>
  </w:style>
  <w:style w:type="paragraph" w:styleId="Heading1">
    <w:name w:val="heading 1"/>
    <w:basedOn w:val="Normal"/>
    <w:next w:val="Normal"/>
    <w:link w:val="Heading1Char"/>
    <w:uiPriority w:val="9"/>
    <w:qFormat/>
    <w:rsid w:val="003F6359"/>
    <w:pPr>
      <w:keepNext/>
      <w:keepLines/>
      <w:spacing w:before="480"/>
      <w:jc w:val="center"/>
      <w:outlineLvl w:val="0"/>
    </w:pPr>
    <w:rPr>
      <w:rFonts w:eastAsiaTheme="majorEastAsia"/>
      <w:b/>
      <w:bCs/>
    </w:rPr>
  </w:style>
  <w:style w:type="paragraph" w:styleId="Heading2">
    <w:name w:val="heading 2"/>
    <w:basedOn w:val="Normal"/>
    <w:next w:val="Normal"/>
    <w:link w:val="Heading2Char"/>
    <w:uiPriority w:val="9"/>
    <w:unhideWhenUsed/>
    <w:qFormat/>
    <w:rsid w:val="003F6359"/>
    <w:pPr>
      <w:keepNext/>
      <w:keepLines/>
      <w:spacing w:before="200"/>
      <w:outlineLvl w:val="1"/>
    </w:pPr>
    <w:rPr>
      <w:rFonts w:eastAsiaTheme="majorEastAsia"/>
      <w:b/>
      <w:bCs/>
    </w:rPr>
  </w:style>
  <w:style w:type="paragraph" w:styleId="Heading3">
    <w:name w:val="heading 3"/>
    <w:basedOn w:val="Normal"/>
    <w:next w:val="Normal"/>
    <w:link w:val="Heading3Char"/>
    <w:uiPriority w:val="9"/>
    <w:unhideWhenUsed/>
    <w:qFormat/>
    <w:rsid w:val="00D56FBE"/>
    <w:pPr>
      <w:keepNext/>
      <w:keepLines/>
      <w:spacing w:before="200"/>
      <w:outlineLvl w:val="2"/>
    </w:pPr>
    <w:rPr>
      <w:rFonts w:eastAsiaTheme="majorEastAsia"/>
      <w:b/>
      <w:bCs/>
    </w:rPr>
  </w:style>
  <w:style w:type="paragraph" w:styleId="Heading4">
    <w:name w:val="heading 4"/>
    <w:basedOn w:val="Normal"/>
    <w:next w:val="Normal"/>
    <w:link w:val="Heading4Char"/>
    <w:uiPriority w:val="9"/>
    <w:unhideWhenUsed/>
    <w:qFormat/>
    <w:rsid w:val="00D56FBE"/>
    <w:pPr>
      <w:keepNext/>
      <w:keepLines/>
      <w:spacing w:before="200"/>
      <w:outlineLvl w:val="3"/>
    </w:pPr>
    <w:rPr>
      <w:rFonts w:eastAsiaTheme="majorEastAsia"/>
      <w:bCs/>
      <w:iCs/>
      <w:u w:val="single"/>
    </w:rPr>
  </w:style>
  <w:style w:type="paragraph" w:styleId="Heading5">
    <w:name w:val="heading 5"/>
    <w:basedOn w:val="Normal"/>
    <w:next w:val="Normal"/>
    <w:link w:val="Heading5Char"/>
    <w:uiPriority w:val="9"/>
    <w:unhideWhenUsed/>
    <w:qFormat/>
    <w:rsid w:val="00771901"/>
    <w:pPr>
      <w:outlineLvl w:val="4"/>
    </w:pPr>
    <w:rPr>
      <w:i/>
      <w:iCs/>
    </w:rPr>
  </w:style>
  <w:style w:type="paragraph" w:styleId="Heading6">
    <w:name w:val="heading 6"/>
    <w:basedOn w:val="Normal"/>
    <w:next w:val="Normal"/>
    <w:link w:val="Heading6Char"/>
    <w:uiPriority w:val="9"/>
    <w:unhideWhenUsed/>
    <w:qFormat/>
    <w:rsid w:val="0077190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5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3F6359"/>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D56FB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D56FBE"/>
    <w:rPr>
      <w:rFonts w:ascii="Times New Roman" w:eastAsiaTheme="majorEastAsia" w:hAnsi="Times New Roman" w:cs="Times New Roman"/>
      <w:bCs/>
      <w:iCs/>
      <w:sz w:val="24"/>
      <w:szCs w:val="24"/>
      <w:u w:val="single"/>
    </w:rPr>
  </w:style>
  <w:style w:type="character" w:customStyle="1" w:styleId="Heading5Char">
    <w:name w:val="Heading 5 Char"/>
    <w:basedOn w:val="DefaultParagraphFont"/>
    <w:link w:val="Heading5"/>
    <w:uiPriority w:val="9"/>
    <w:rsid w:val="00771901"/>
    <w:rPr>
      <w:rFonts w:ascii="Times New Roman" w:hAnsi="Times New Roman" w:cs="Times New Roman"/>
      <w:i/>
      <w:iCs/>
      <w:sz w:val="24"/>
      <w:szCs w:val="24"/>
    </w:rPr>
  </w:style>
  <w:style w:type="paragraph" w:styleId="Subtitle">
    <w:name w:val="Subtitle"/>
    <w:basedOn w:val="Normal"/>
    <w:next w:val="Normal"/>
    <w:link w:val="SubtitleChar"/>
    <w:uiPriority w:val="11"/>
    <w:qFormat/>
    <w:rsid w:val="003F635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F6359"/>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C44B67"/>
    <w:rPr>
      <w:color w:val="0000FF" w:themeColor="hyperlink"/>
      <w:u w:val="single"/>
    </w:rPr>
  </w:style>
  <w:style w:type="table" w:styleId="TableGrid">
    <w:name w:val="Table Grid"/>
    <w:basedOn w:val="TableNormal"/>
    <w:uiPriority w:val="59"/>
    <w:rsid w:val="00E9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7D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E0859"/>
    <w:rPr>
      <w:rFonts w:ascii="Tahoma" w:hAnsi="Tahoma" w:cs="Tahoma"/>
      <w:sz w:val="16"/>
      <w:szCs w:val="16"/>
    </w:rPr>
  </w:style>
  <w:style w:type="character" w:customStyle="1" w:styleId="BalloonTextChar">
    <w:name w:val="Balloon Text Char"/>
    <w:basedOn w:val="DefaultParagraphFont"/>
    <w:link w:val="BalloonText"/>
    <w:uiPriority w:val="99"/>
    <w:semiHidden/>
    <w:rsid w:val="001E0859"/>
    <w:rPr>
      <w:rFonts w:ascii="Tahoma" w:hAnsi="Tahoma" w:cs="Tahoma"/>
      <w:sz w:val="16"/>
      <w:szCs w:val="16"/>
    </w:rPr>
  </w:style>
  <w:style w:type="character" w:customStyle="1" w:styleId="Heading6Char">
    <w:name w:val="Heading 6 Char"/>
    <w:basedOn w:val="DefaultParagraphFont"/>
    <w:link w:val="Heading6"/>
    <w:uiPriority w:val="9"/>
    <w:rsid w:val="00771901"/>
    <w:rPr>
      <w:rFonts w:ascii="Times New Roman" w:hAnsi="Times New Roman" w:cs="Times New Roman"/>
      <w:sz w:val="24"/>
      <w:szCs w:val="24"/>
    </w:rPr>
  </w:style>
  <w:style w:type="paragraph" w:styleId="BodyText">
    <w:name w:val="Body Text"/>
    <w:aliases w:val="Body Text Char1,Body Text Char Char"/>
    <w:basedOn w:val="Normal"/>
    <w:link w:val="BodyTextChar"/>
    <w:uiPriority w:val="99"/>
    <w:qFormat/>
    <w:rsid w:val="00A42E7C"/>
    <w:pPr>
      <w:overflowPunct w:val="0"/>
      <w:autoSpaceDE w:val="0"/>
      <w:autoSpaceDN w:val="0"/>
      <w:adjustRightInd w:val="0"/>
      <w:textAlignment w:val="baseline"/>
    </w:pPr>
    <w:rPr>
      <w:rFonts w:eastAsia="Times New Roman"/>
      <w:color w:val="000000"/>
      <w:sz w:val="22"/>
      <w:szCs w:val="20"/>
      <w:lang w:val="en-GB"/>
    </w:rPr>
  </w:style>
  <w:style w:type="character" w:customStyle="1" w:styleId="BodyTextChar">
    <w:name w:val="Body Text Char"/>
    <w:aliases w:val="Body Text Char1 Char,Body Text Char Char Char"/>
    <w:basedOn w:val="DefaultParagraphFont"/>
    <w:link w:val="BodyText"/>
    <w:uiPriority w:val="99"/>
    <w:rsid w:val="00A42E7C"/>
    <w:rPr>
      <w:rFonts w:ascii="Times New Roman" w:eastAsia="Times New Roman" w:hAnsi="Times New Roman" w:cs="Times New Roman"/>
      <w:color w:val="000000"/>
      <w:szCs w:val="20"/>
      <w:lang w:val="en-GB"/>
    </w:rPr>
  </w:style>
  <w:style w:type="paragraph" w:styleId="Caption">
    <w:name w:val="caption"/>
    <w:next w:val="BodyText"/>
    <w:uiPriority w:val="35"/>
    <w:qFormat/>
    <w:rsid w:val="00A42E7C"/>
    <w:pPr>
      <w:tabs>
        <w:tab w:val="left" w:pos="1134"/>
      </w:tabs>
      <w:suppressAutoHyphens/>
      <w:spacing w:before="120" w:after="60"/>
      <w:ind w:left="1134" w:hanging="1134"/>
    </w:pPr>
    <w:rPr>
      <w:rFonts w:ascii="Times New Roman" w:eastAsia="Times New Roman" w:hAnsi="Times New Roman" w:cs="Times New Roman"/>
      <w:b/>
      <w:bCs/>
      <w:sz w:val="24"/>
      <w:szCs w:val="20"/>
      <w:lang w:val="en-GB"/>
    </w:rPr>
  </w:style>
  <w:style w:type="table" w:customStyle="1" w:styleId="TRTableInternalBorders">
    <w:name w:val="TRTableInternalBorders"/>
    <w:basedOn w:val="TableNormal"/>
    <w:rsid w:val="00A42E7C"/>
    <w:rPr>
      <w:rFonts w:ascii="Times New Roman" w:eastAsia="Times New Roman" w:hAnsi="Times New Roman" w:cs="Times New Roman"/>
      <w:sz w:val="20"/>
      <w:szCs w:val="20"/>
      <w:lang w:val="en-GB" w:eastAsia="en-GB"/>
    </w:rPr>
    <w:tblPr>
      <w:tblInd w:w="57" w:type="dxa"/>
      <w:tblBorders>
        <w:left w:val="single" w:sz="4" w:space="0" w:color="auto"/>
        <w:right w:val="single" w:sz="4" w:space="0" w:color="auto"/>
        <w:insideH w:val="single" w:sz="4" w:space="0" w:color="auto"/>
        <w:insideV w:val="single" w:sz="4" w:space="0" w:color="auto"/>
      </w:tblBorders>
      <w:tblCellMar>
        <w:left w:w="57" w:type="dxa"/>
        <w:right w:w="57" w:type="dxa"/>
      </w:tblCellMar>
    </w:tblPr>
    <w:tcPr>
      <w:tcMar>
        <w:top w:w="57" w:type="dxa"/>
        <w:left w:w="57" w:type="dxa"/>
        <w:bottom w:w="57" w:type="dxa"/>
        <w:right w:w="57" w:type="dxa"/>
      </w:tcMar>
    </w:tcPr>
    <w:tblStylePr w:type="firstRow">
      <w:rPr>
        <w:b/>
      </w:rPr>
      <w:tblPr/>
      <w:trPr>
        <w:cantSplit/>
        <w:tblHeader/>
      </w:trPr>
      <w:tcPr>
        <w:tcBorders>
          <w:bottom w:val="single" w:sz="4" w:space="0" w:color="auto"/>
        </w:tcBorders>
        <w:tcMar>
          <w:top w:w="57" w:type="dxa"/>
          <w:left w:w="57" w:type="dxa"/>
          <w:bottom w:w="57" w:type="dxa"/>
          <w:right w:w="57" w:type="dxa"/>
        </w:tcMar>
      </w:tcPr>
    </w:tblStylePr>
    <w:tblStylePr w:type="lastRow">
      <w:tblPr/>
      <w:tcPr>
        <w:tcMar>
          <w:top w:w="57" w:type="dxa"/>
          <w:left w:w="57" w:type="dxa"/>
          <w:bottom w:w="57" w:type="dxa"/>
          <w:right w:w="57" w:type="dxa"/>
        </w:tcMar>
      </w:tcPr>
    </w:tblStylePr>
    <w:tblStylePr w:type="nwCell">
      <w:tblPr/>
      <w:tcPr>
        <w:tcMar>
          <w:top w:w="-1" w:type="dxa"/>
          <w:left w:w="57" w:type="dxa"/>
          <w:bottom w:w="57" w:type="dxa"/>
          <w:right w:w="57" w:type="dxa"/>
        </w:tcMar>
      </w:tcPr>
    </w:tblStylePr>
  </w:style>
  <w:style w:type="paragraph" w:customStyle="1" w:styleId="TableText">
    <w:name w:val="Table Text"/>
    <w:link w:val="TableTextChar"/>
    <w:uiPriority w:val="16"/>
    <w:qFormat/>
    <w:rsid w:val="00A42E7C"/>
    <w:pPr>
      <w:keepNext/>
      <w:keepLines/>
      <w:spacing w:after="20"/>
    </w:pPr>
    <w:rPr>
      <w:rFonts w:ascii="Times New Roman" w:eastAsia="Times New Roman" w:hAnsi="Times New Roman" w:cs="Times New Roman"/>
      <w:sz w:val="20"/>
      <w:szCs w:val="20"/>
      <w:lang w:val="en-GB"/>
    </w:rPr>
  </w:style>
  <w:style w:type="character" w:customStyle="1" w:styleId="TableTextChar">
    <w:name w:val="Table Text Char"/>
    <w:link w:val="TableText"/>
    <w:rsid w:val="00A42E7C"/>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0B5751"/>
    <w:pPr>
      <w:tabs>
        <w:tab w:val="center" w:pos="4513"/>
        <w:tab w:val="right" w:pos="9026"/>
      </w:tabs>
    </w:pPr>
  </w:style>
  <w:style w:type="character" w:customStyle="1" w:styleId="HeaderChar">
    <w:name w:val="Header Char"/>
    <w:basedOn w:val="DefaultParagraphFont"/>
    <w:link w:val="Header"/>
    <w:uiPriority w:val="99"/>
    <w:rsid w:val="000B5751"/>
    <w:rPr>
      <w:rFonts w:ascii="Times New Roman" w:hAnsi="Times New Roman" w:cs="Times New Roman"/>
      <w:sz w:val="24"/>
      <w:szCs w:val="24"/>
    </w:rPr>
  </w:style>
  <w:style w:type="paragraph" w:styleId="Footer">
    <w:name w:val="footer"/>
    <w:basedOn w:val="Normal"/>
    <w:link w:val="FooterChar"/>
    <w:uiPriority w:val="99"/>
    <w:unhideWhenUsed/>
    <w:rsid w:val="000B5751"/>
    <w:pPr>
      <w:tabs>
        <w:tab w:val="center" w:pos="4513"/>
        <w:tab w:val="right" w:pos="9026"/>
      </w:tabs>
    </w:pPr>
  </w:style>
  <w:style w:type="character" w:customStyle="1" w:styleId="FooterChar">
    <w:name w:val="Footer Char"/>
    <w:basedOn w:val="DefaultParagraphFont"/>
    <w:link w:val="Footer"/>
    <w:uiPriority w:val="99"/>
    <w:rsid w:val="000B575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E4094"/>
    <w:rPr>
      <w:sz w:val="20"/>
      <w:szCs w:val="20"/>
    </w:rPr>
  </w:style>
  <w:style w:type="character" w:customStyle="1" w:styleId="FootnoteTextChar">
    <w:name w:val="Footnote Text Char"/>
    <w:basedOn w:val="DefaultParagraphFont"/>
    <w:link w:val="FootnoteText"/>
    <w:uiPriority w:val="99"/>
    <w:semiHidden/>
    <w:rsid w:val="001E409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E4094"/>
    <w:rPr>
      <w:vertAlign w:val="superscript"/>
    </w:rPr>
  </w:style>
  <w:style w:type="character" w:styleId="CommentReference">
    <w:name w:val="annotation reference"/>
    <w:basedOn w:val="DefaultParagraphFont"/>
    <w:uiPriority w:val="99"/>
    <w:semiHidden/>
    <w:unhideWhenUsed/>
    <w:rsid w:val="00C4198B"/>
    <w:rPr>
      <w:rFonts w:cs="Times New Roman"/>
      <w:sz w:val="16"/>
      <w:szCs w:val="16"/>
    </w:rPr>
  </w:style>
  <w:style w:type="paragraph" w:styleId="CommentText">
    <w:name w:val="annotation text"/>
    <w:basedOn w:val="Normal"/>
    <w:link w:val="CommentTextChar"/>
    <w:uiPriority w:val="99"/>
    <w:semiHidden/>
    <w:unhideWhenUsed/>
    <w:rsid w:val="00C4198B"/>
    <w:rPr>
      <w:rFonts w:eastAsia="Times New Roman"/>
      <w:sz w:val="20"/>
      <w:szCs w:val="20"/>
    </w:rPr>
  </w:style>
  <w:style w:type="character" w:customStyle="1" w:styleId="CommentTextChar">
    <w:name w:val="Comment Text Char"/>
    <w:basedOn w:val="DefaultParagraphFont"/>
    <w:link w:val="CommentText"/>
    <w:uiPriority w:val="99"/>
    <w:semiHidden/>
    <w:rsid w:val="00C419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98B"/>
    <w:rPr>
      <w:rFonts w:eastAsiaTheme="minorHAnsi"/>
      <w:b/>
      <w:bCs/>
    </w:rPr>
  </w:style>
  <w:style w:type="character" w:customStyle="1" w:styleId="CommentSubjectChar">
    <w:name w:val="Comment Subject Char"/>
    <w:basedOn w:val="CommentTextChar"/>
    <w:link w:val="CommentSubject"/>
    <w:uiPriority w:val="99"/>
    <w:semiHidden/>
    <w:rsid w:val="00C4198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B64F66"/>
    <w:rPr>
      <w:color w:val="605E5C"/>
      <w:shd w:val="clear" w:color="auto" w:fill="E1DFDD"/>
    </w:rPr>
  </w:style>
  <w:style w:type="paragraph" w:styleId="ListBullet">
    <w:name w:val="List Bullet"/>
    <w:basedOn w:val="Normal"/>
    <w:uiPriority w:val="99"/>
    <w:unhideWhenUsed/>
    <w:rsid w:val="0077190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482">
      <w:bodyDiv w:val="1"/>
      <w:marLeft w:val="0"/>
      <w:marRight w:val="0"/>
      <w:marTop w:val="0"/>
      <w:marBottom w:val="0"/>
      <w:divBdr>
        <w:top w:val="none" w:sz="0" w:space="0" w:color="auto"/>
        <w:left w:val="none" w:sz="0" w:space="0" w:color="auto"/>
        <w:bottom w:val="none" w:sz="0" w:space="0" w:color="auto"/>
        <w:right w:val="none" w:sz="0" w:space="0" w:color="auto"/>
      </w:divBdr>
    </w:div>
    <w:div w:id="88696326">
      <w:bodyDiv w:val="1"/>
      <w:marLeft w:val="0"/>
      <w:marRight w:val="0"/>
      <w:marTop w:val="0"/>
      <w:marBottom w:val="0"/>
      <w:divBdr>
        <w:top w:val="none" w:sz="0" w:space="0" w:color="auto"/>
        <w:left w:val="none" w:sz="0" w:space="0" w:color="auto"/>
        <w:bottom w:val="none" w:sz="0" w:space="0" w:color="auto"/>
        <w:right w:val="none" w:sz="0" w:space="0" w:color="auto"/>
      </w:divBdr>
    </w:div>
    <w:div w:id="162941511">
      <w:bodyDiv w:val="1"/>
      <w:marLeft w:val="0"/>
      <w:marRight w:val="0"/>
      <w:marTop w:val="0"/>
      <w:marBottom w:val="0"/>
      <w:divBdr>
        <w:top w:val="none" w:sz="0" w:space="0" w:color="auto"/>
        <w:left w:val="none" w:sz="0" w:space="0" w:color="auto"/>
        <w:bottom w:val="none" w:sz="0" w:space="0" w:color="auto"/>
        <w:right w:val="none" w:sz="0" w:space="0" w:color="auto"/>
      </w:divBdr>
    </w:div>
    <w:div w:id="233249284">
      <w:bodyDiv w:val="1"/>
      <w:marLeft w:val="0"/>
      <w:marRight w:val="0"/>
      <w:marTop w:val="0"/>
      <w:marBottom w:val="0"/>
      <w:divBdr>
        <w:top w:val="none" w:sz="0" w:space="0" w:color="auto"/>
        <w:left w:val="none" w:sz="0" w:space="0" w:color="auto"/>
        <w:bottom w:val="none" w:sz="0" w:space="0" w:color="auto"/>
        <w:right w:val="none" w:sz="0" w:space="0" w:color="auto"/>
      </w:divBdr>
    </w:div>
    <w:div w:id="728186496">
      <w:bodyDiv w:val="1"/>
      <w:marLeft w:val="0"/>
      <w:marRight w:val="0"/>
      <w:marTop w:val="0"/>
      <w:marBottom w:val="0"/>
      <w:divBdr>
        <w:top w:val="none" w:sz="0" w:space="0" w:color="auto"/>
        <w:left w:val="none" w:sz="0" w:space="0" w:color="auto"/>
        <w:bottom w:val="none" w:sz="0" w:space="0" w:color="auto"/>
        <w:right w:val="none" w:sz="0" w:space="0" w:color="auto"/>
      </w:divBdr>
    </w:div>
    <w:div w:id="825634603">
      <w:bodyDiv w:val="1"/>
      <w:marLeft w:val="0"/>
      <w:marRight w:val="0"/>
      <w:marTop w:val="0"/>
      <w:marBottom w:val="0"/>
      <w:divBdr>
        <w:top w:val="none" w:sz="0" w:space="0" w:color="auto"/>
        <w:left w:val="none" w:sz="0" w:space="0" w:color="auto"/>
        <w:bottom w:val="none" w:sz="0" w:space="0" w:color="auto"/>
        <w:right w:val="none" w:sz="0" w:space="0" w:color="auto"/>
      </w:divBdr>
    </w:div>
    <w:div w:id="859661413">
      <w:bodyDiv w:val="1"/>
      <w:marLeft w:val="0"/>
      <w:marRight w:val="0"/>
      <w:marTop w:val="0"/>
      <w:marBottom w:val="0"/>
      <w:divBdr>
        <w:top w:val="none" w:sz="0" w:space="0" w:color="auto"/>
        <w:left w:val="none" w:sz="0" w:space="0" w:color="auto"/>
        <w:bottom w:val="none" w:sz="0" w:space="0" w:color="auto"/>
        <w:right w:val="none" w:sz="0" w:space="0" w:color="auto"/>
      </w:divBdr>
    </w:div>
    <w:div w:id="903640005">
      <w:bodyDiv w:val="1"/>
      <w:marLeft w:val="0"/>
      <w:marRight w:val="0"/>
      <w:marTop w:val="0"/>
      <w:marBottom w:val="0"/>
      <w:divBdr>
        <w:top w:val="none" w:sz="0" w:space="0" w:color="auto"/>
        <w:left w:val="none" w:sz="0" w:space="0" w:color="auto"/>
        <w:bottom w:val="none" w:sz="0" w:space="0" w:color="auto"/>
        <w:right w:val="none" w:sz="0" w:space="0" w:color="auto"/>
      </w:divBdr>
    </w:div>
    <w:div w:id="1062024599">
      <w:bodyDiv w:val="1"/>
      <w:marLeft w:val="0"/>
      <w:marRight w:val="0"/>
      <w:marTop w:val="0"/>
      <w:marBottom w:val="0"/>
      <w:divBdr>
        <w:top w:val="none" w:sz="0" w:space="0" w:color="auto"/>
        <w:left w:val="none" w:sz="0" w:space="0" w:color="auto"/>
        <w:bottom w:val="none" w:sz="0" w:space="0" w:color="auto"/>
        <w:right w:val="none" w:sz="0" w:space="0" w:color="auto"/>
      </w:divBdr>
    </w:div>
    <w:div w:id="1091198093">
      <w:bodyDiv w:val="1"/>
      <w:marLeft w:val="0"/>
      <w:marRight w:val="0"/>
      <w:marTop w:val="0"/>
      <w:marBottom w:val="0"/>
      <w:divBdr>
        <w:top w:val="none" w:sz="0" w:space="0" w:color="auto"/>
        <w:left w:val="none" w:sz="0" w:space="0" w:color="auto"/>
        <w:bottom w:val="none" w:sz="0" w:space="0" w:color="auto"/>
        <w:right w:val="none" w:sz="0" w:space="0" w:color="auto"/>
      </w:divBdr>
    </w:div>
    <w:div w:id="1475373171">
      <w:bodyDiv w:val="1"/>
      <w:marLeft w:val="0"/>
      <w:marRight w:val="0"/>
      <w:marTop w:val="0"/>
      <w:marBottom w:val="0"/>
      <w:divBdr>
        <w:top w:val="none" w:sz="0" w:space="0" w:color="auto"/>
        <w:left w:val="none" w:sz="0" w:space="0" w:color="auto"/>
        <w:bottom w:val="none" w:sz="0" w:space="0" w:color="auto"/>
        <w:right w:val="none" w:sz="0" w:space="0" w:color="auto"/>
      </w:divBdr>
    </w:div>
    <w:div w:id="1737363526">
      <w:bodyDiv w:val="1"/>
      <w:marLeft w:val="0"/>
      <w:marRight w:val="0"/>
      <w:marTop w:val="0"/>
      <w:marBottom w:val="0"/>
      <w:divBdr>
        <w:top w:val="none" w:sz="0" w:space="0" w:color="auto"/>
        <w:left w:val="none" w:sz="0" w:space="0" w:color="auto"/>
        <w:bottom w:val="none" w:sz="0" w:space="0" w:color="auto"/>
        <w:right w:val="none" w:sz="0" w:space="0" w:color="auto"/>
      </w:divBdr>
    </w:div>
    <w:div w:id="1828670003">
      <w:bodyDiv w:val="1"/>
      <w:marLeft w:val="0"/>
      <w:marRight w:val="0"/>
      <w:marTop w:val="0"/>
      <w:marBottom w:val="0"/>
      <w:divBdr>
        <w:top w:val="none" w:sz="0" w:space="0" w:color="auto"/>
        <w:left w:val="none" w:sz="0" w:space="0" w:color="auto"/>
        <w:bottom w:val="none" w:sz="0" w:space="0" w:color="auto"/>
        <w:right w:val="none" w:sz="0" w:space="0" w:color="auto"/>
      </w:divBdr>
    </w:div>
    <w:div w:id="20193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Word_Document2.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file:///C:\Users\KIFO\AppData\Local\Microsoft\Windows\INetCache\Content.Outlook\2WGNC0JF\www.tga.gov.au\reporting-problems"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IFO\AppData\Local\Microsoft\Windows\INetCache\Content.Outlook\2WGNC0JF\www.tga.gov.au\reporting-proble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47410542C3464FBB9D887D264C0A01" ma:contentTypeVersion="10" ma:contentTypeDescription="Create a new document." ma:contentTypeScope="" ma:versionID="a4b89d0b453b6054ee3742a90cdb12c2">
  <xsd:schema xmlns:xsd="http://www.w3.org/2001/XMLSchema" xmlns:xs="http://www.w3.org/2001/XMLSchema" xmlns:p="http://schemas.microsoft.com/office/2006/metadata/properties" xmlns:ns1="http://schemas.microsoft.com/sharepoint/v3" xmlns:ns3="2b9e4574-0373-49b5-9608-37908ef1c0f8" targetNamespace="http://schemas.microsoft.com/office/2006/metadata/properties" ma:root="true" ma:fieldsID="1133ee71def4db1343eb10f4ecfbd6a5" ns1:_="" ns3:_="">
    <xsd:import namespace="http://schemas.microsoft.com/sharepoint/v3"/>
    <xsd:import namespace="2b9e4574-0373-49b5-9608-37908ef1c0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e4574-0373-49b5-9608-37908ef1c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72FF-D56F-4E8B-AB4A-F9A133DEA36C}">
  <ds:schemaRefs>
    <ds:schemaRef ds:uri="2b9e4574-0373-49b5-9608-37908ef1c0f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7F8F58F-763F-4D6D-8A18-AA9EA1087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9e4574-0373-49b5-9608-37908ef1c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47F25-71F7-4A46-907F-829EB873735B}">
  <ds:schemaRefs>
    <ds:schemaRef ds:uri="http://schemas.microsoft.com/sharepoint/v3/contenttype/forms"/>
  </ds:schemaRefs>
</ds:datastoreItem>
</file>

<file path=customXml/itemProps4.xml><?xml version="1.0" encoding="utf-8"?>
<ds:datastoreItem xmlns:ds="http://schemas.openxmlformats.org/officeDocument/2006/customXml" ds:itemID="{AE18B2A6-E321-4887-BE06-CD6EE502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7897</Words>
  <Characters>45014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Novo Nordisk Pharmaceuticals Pty Ltd</Company>
  <LinksUpToDate>false</LinksUpToDate>
  <CharactersWithSpaces>52806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Insulin aspart (rys)</dc:title>
  <dc:subject>Prescription medicines</dc:subject>
  <dc:creator>Novo Nordisk Pharmaceuticals Pty Ltd</dc:creator>
  <cp:keywords>AusPARs</cp:keywords>
  <cp:lastPrinted>2020-02-10T01:45:00Z</cp:lastPrinted>
  <dcterms:created xsi:type="dcterms:W3CDTF">2020-03-16T03:29:00Z</dcterms:created>
  <dcterms:modified xsi:type="dcterms:W3CDTF">2020-09-02T00:00:00Z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0x0101009447410542C3464FBB9D887D264C0A01</vt:lpwstr>
  </property>
</Properties>
</file>