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360201C" w14:textId="77777777" w:rsidTr="00BF1190">
        <w:trPr>
          <w:trHeight w:val="1863"/>
        </w:trPr>
        <w:tc>
          <w:tcPr>
            <w:tcW w:w="3652" w:type="dxa"/>
            <w:tcBorders>
              <w:top w:val="nil"/>
              <w:left w:val="nil"/>
              <w:bottom w:val="nil"/>
              <w:right w:val="nil"/>
            </w:tcBorders>
          </w:tcPr>
          <w:p w14:paraId="7650C345" w14:textId="6B864A63" w:rsidR="008E7846" w:rsidRPr="00096AA7" w:rsidRDefault="003F61E1" w:rsidP="00096AA7">
            <w:pPr>
              <w:rPr>
                <w:rFonts w:ascii="Arial" w:hAnsi="Arial" w:cs="Arial"/>
                <w:b/>
                <w:color w:val="002C47"/>
                <w:sz w:val="36"/>
                <w:szCs w:val="36"/>
              </w:rPr>
            </w:pPr>
            <w:bookmarkStart w:id="0" w:name="_GoBack"/>
            <w:bookmarkEnd w:id="0"/>
            <w:r>
              <w:rPr>
                <w:rFonts w:ascii="Arial" w:hAnsi="Arial" w:cs="Arial"/>
                <w:b/>
                <w:color w:val="002C47"/>
                <w:sz w:val="36"/>
                <w:szCs w:val="36"/>
              </w:rPr>
              <w:t xml:space="preserve">March </w:t>
            </w:r>
            <w:r w:rsidR="0021148E">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3066476" w14:textId="77777777" w:rsidTr="0032583B">
        <w:trPr>
          <w:trHeight w:val="868"/>
        </w:trPr>
        <w:tc>
          <w:tcPr>
            <w:tcW w:w="9079" w:type="dxa"/>
          </w:tcPr>
          <w:p w14:paraId="69BC9754" w14:textId="77777777" w:rsidR="0032583B" w:rsidRPr="00A964D1" w:rsidRDefault="0032583B" w:rsidP="00BA2906">
            <w:pPr>
              <w:pStyle w:val="Title"/>
              <w:framePr w:hSpace="0" w:wrap="auto" w:vAnchor="margin" w:yAlign="inline"/>
            </w:pPr>
            <w:r w:rsidRPr="00A964D1">
              <w:t xml:space="preserve">Australian Public Assessment Report for </w:t>
            </w:r>
            <w:r w:rsidR="008866E6">
              <w:t>Insulin aspart</w:t>
            </w:r>
          </w:p>
        </w:tc>
      </w:tr>
      <w:tr w:rsidR="0032583B" w:rsidRPr="00B64760" w14:paraId="297177B3" w14:textId="77777777" w:rsidTr="0032583B">
        <w:tc>
          <w:tcPr>
            <w:tcW w:w="9079" w:type="dxa"/>
          </w:tcPr>
          <w:p w14:paraId="2748A868" w14:textId="6A60FA70" w:rsidR="0032583B" w:rsidRPr="008E7846" w:rsidRDefault="0032583B" w:rsidP="00BA2906">
            <w:pPr>
              <w:pStyle w:val="Subtitle"/>
              <w:framePr w:hSpace="0" w:wrap="auto" w:vAnchor="margin" w:yAlign="inline"/>
            </w:pPr>
            <w:r w:rsidRPr="008E7846">
              <w:t xml:space="preserve">Proprietary Product Name: </w:t>
            </w:r>
            <w:r w:rsidR="008A66AA">
              <w:t>Truvelog</w:t>
            </w:r>
          </w:p>
        </w:tc>
      </w:tr>
      <w:tr w:rsidR="0032583B" w:rsidRPr="00B64760" w14:paraId="7195BDE6" w14:textId="77777777" w:rsidTr="0032583B">
        <w:trPr>
          <w:trHeight w:val="486"/>
        </w:trPr>
        <w:tc>
          <w:tcPr>
            <w:tcW w:w="9079" w:type="dxa"/>
          </w:tcPr>
          <w:p w14:paraId="0109D750" w14:textId="77777777" w:rsidR="0032583B" w:rsidRPr="008E7846" w:rsidRDefault="00460036" w:rsidP="00BA2906">
            <w:pPr>
              <w:pStyle w:val="Subtitle"/>
              <w:framePr w:hSpace="0" w:wrap="auto" w:vAnchor="margin" w:yAlign="inline"/>
            </w:pPr>
            <w:r>
              <w:t xml:space="preserve">Sponsor: </w:t>
            </w:r>
            <w:r w:rsidR="008866E6">
              <w:t>Sanofi-Aventis Australia Pty Ltd</w:t>
            </w:r>
          </w:p>
        </w:tc>
      </w:tr>
    </w:tbl>
    <w:p w14:paraId="18A31659" w14:textId="77777777" w:rsidR="008E7846" w:rsidRPr="0085156D" w:rsidRDefault="008E7846" w:rsidP="0085156D">
      <w:r w:rsidRPr="0085156D">
        <w:br w:type="page"/>
      </w:r>
    </w:p>
    <w:p w14:paraId="439D01AA" w14:textId="77777777" w:rsidR="008E7846" w:rsidRPr="001F6CBA" w:rsidRDefault="008E7846" w:rsidP="008E7846">
      <w:pPr>
        <w:pStyle w:val="NonTOCHeading2"/>
      </w:pPr>
      <w:r w:rsidRPr="001F6CBA">
        <w:lastRenderedPageBreak/>
        <w:t>About the Therapeutic Goods Administration (TGA)</w:t>
      </w:r>
    </w:p>
    <w:p w14:paraId="7955AC79"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66C6965D"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B836A17"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2B89DB4F"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62AF2F5A" w14:textId="3E8FC838"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75B87EBC" w14:textId="77777777" w:rsidR="008E7846" w:rsidRDefault="008E7846" w:rsidP="00875A6B">
      <w:pPr>
        <w:pStyle w:val="NonTOCHeading2"/>
      </w:pPr>
      <w:r>
        <w:t>About AusPARs</w:t>
      </w:r>
    </w:p>
    <w:p w14:paraId="41E2F9D8"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B979D93" w14:textId="77777777" w:rsidR="008E7846" w:rsidRDefault="008E7846" w:rsidP="008E7846">
      <w:pPr>
        <w:pStyle w:val="ListBullet"/>
        <w:numPr>
          <w:ilvl w:val="0"/>
          <w:numId w:val="3"/>
        </w:numPr>
        <w:ind w:left="357" w:hanging="357"/>
      </w:pPr>
      <w:r>
        <w:t>AusPARs are prepared and published by the TGA.</w:t>
      </w:r>
    </w:p>
    <w:p w14:paraId="4284DC88"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7E0D15DC"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570C8B90"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1752E9DC" w14:textId="77777777" w:rsidR="00924482" w:rsidRPr="00DF1D7F" w:rsidRDefault="00924482" w:rsidP="00F54B65">
      <w:pPr>
        <w:pStyle w:val="LegalSubheading"/>
        <w:spacing w:before="3120"/>
      </w:pPr>
      <w:r w:rsidRPr="00DF1D7F">
        <w:t>Copyright</w:t>
      </w:r>
    </w:p>
    <w:p w14:paraId="62E24887" w14:textId="2D00F432" w:rsidR="00924482" w:rsidRDefault="00924482" w:rsidP="00924482">
      <w:pPr>
        <w:pStyle w:val="LegalCopy"/>
      </w:pPr>
      <w:r w:rsidRPr="00191B3B">
        <w:rPr>
          <w:rFonts w:cs="Arial"/>
          <w:lang w:val="en-GB"/>
        </w:rPr>
        <w:t>© Comm</w:t>
      </w:r>
      <w:r>
        <w:rPr>
          <w:rFonts w:cs="Arial"/>
          <w:lang w:val="en-GB"/>
        </w:rPr>
        <w:t>onwealth of Australia 20</w:t>
      </w:r>
      <w:r w:rsidR="002E63AF">
        <w:rPr>
          <w:rFonts w:cs="Arial"/>
          <w:lang w:val="en-GB"/>
        </w:rPr>
        <w:t>21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1E05584F"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E198C71" w14:textId="77777777" w:rsidR="0089635C" w:rsidRPr="0089635C" w:rsidRDefault="0089635C" w:rsidP="0010788A">
          <w:pPr>
            <w:pStyle w:val="Contents"/>
          </w:pPr>
          <w:r w:rsidRPr="0010788A">
            <w:t>Contents</w:t>
          </w:r>
        </w:p>
        <w:p w14:paraId="03CE29F0" w14:textId="47AF0ED9" w:rsidR="00922676"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65498880" w:history="1">
            <w:r w:rsidR="00922676" w:rsidRPr="0009463B">
              <w:rPr>
                <w:rStyle w:val="Hyperlink"/>
                <w:noProof/>
              </w:rPr>
              <w:t>List of abbreviations</w:t>
            </w:r>
            <w:r w:rsidR="00922676">
              <w:rPr>
                <w:noProof/>
                <w:webHidden/>
              </w:rPr>
              <w:tab/>
            </w:r>
            <w:r w:rsidR="00922676">
              <w:rPr>
                <w:noProof/>
                <w:webHidden/>
              </w:rPr>
              <w:fldChar w:fldCharType="begin"/>
            </w:r>
            <w:r w:rsidR="00922676">
              <w:rPr>
                <w:noProof/>
                <w:webHidden/>
              </w:rPr>
              <w:instrText xml:space="preserve"> PAGEREF _Toc65498880 \h </w:instrText>
            </w:r>
            <w:r w:rsidR="00922676">
              <w:rPr>
                <w:noProof/>
                <w:webHidden/>
              </w:rPr>
            </w:r>
            <w:r w:rsidR="00922676">
              <w:rPr>
                <w:noProof/>
                <w:webHidden/>
              </w:rPr>
              <w:fldChar w:fldCharType="separate"/>
            </w:r>
            <w:r w:rsidR="00922676">
              <w:rPr>
                <w:noProof/>
                <w:webHidden/>
              </w:rPr>
              <w:t>4</w:t>
            </w:r>
            <w:r w:rsidR="00922676">
              <w:rPr>
                <w:noProof/>
                <w:webHidden/>
              </w:rPr>
              <w:fldChar w:fldCharType="end"/>
            </w:r>
          </w:hyperlink>
        </w:p>
        <w:p w14:paraId="172B93A3" w14:textId="1D0648BC" w:rsidR="00922676" w:rsidRDefault="00103C2A">
          <w:pPr>
            <w:pStyle w:val="TOC1"/>
            <w:rPr>
              <w:rFonts w:asciiTheme="minorHAnsi" w:eastAsiaTheme="minorEastAsia" w:hAnsiTheme="minorHAnsi" w:cstheme="minorBidi"/>
              <w:b w:val="0"/>
              <w:noProof/>
              <w:sz w:val="22"/>
              <w:lang w:eastAsia="en-AU"/>
            </w:rPr>
          </w:pPr>
          <w:hyperlink w:anchor="_Toc65498881" w:history="1">
            <w:r w:rsidR="00922676" w:rsidRPr="0009463B">
              <w:rPr>
                <w:rStyle w:val="Hyperlink"/>
                <w:noProof/>
              </w:rPr>
              <w:t>I. Introduction to product submission</w:t>
            </w:r>
            <w:r w:rsidR="00922676">
              <w:rPr>
                <w:noProof/>
                <w:webHidden/>
              </w:rPr>
              <w:tab/>
            </w:r>
            <w:r w:rsidR="00922676">
              <w:rPr>
                <w:noProof/>
                <w:webHidden/>
              </w:rPr>
              <w:fldChar w:fldCharType="begin"/>
            </w:r>
            <w:r w:rsidR="00922676">
              <w:rPr>
                <w:noProof/>
                <w:webHidden/>
              </w:rPr>
              <w:instrText xml:space="preserve"> PAGEREF _Toc65498881 \h </w:instrText>
            </w:r>
            <w:r w:rsidR="00922676">
              <w:rPr>
                <w:noProof/>
                <w:webHidden/>
              </w:rPr>
            </w:r>
            <w:r w:rsidR="00922676">
              <w:rPr>
                <w:noProof/>
                <w:webHidden/>
              </w:rPr>
              <w:fldChar w:fldCharType="separate"/>
            </w:r>
            <w:r w:rsidR="00922676">
              <w:rPr>
                <w:noProof/>
                <w:webHidden/>
              </w:rPr>
              <w:t>6</w:t>
            </w:r>
            <w:r w:rsidR="00922676">
              <w:rPr>
                <w:noProof/>
                <w:webHidden/>
              </w:rPr>
              <w:fldChar w:fldCharType="end"/>
            </w:r>
          </w:hyperlink>
        </w:p>
        <w:p w14:paraId="7DCB9792" w14:textId="685B2E2F" w:rsidR="00922676" w:rsidRDefault="00103C2A">
          <w:pPr>
            <w:pStyle w:val="TOC2"/>
            <w:rPr>
              <w:rFonts w:asciiTheme="minorHAnsi" w:eastAsiaTheme="minorEastAsia" w:hAnsiTheme="minorHAnsi" w:cstheme="minorBidi"/>
              <w:b w:val="0"/>
              <w:noProof/>
              <w:sz w:val="22"/>
              <w:lang w:eastAsia="en-AU"/>
            </w:rPr>
          </w:pPr>
          <w:hyperlink w:anchor="_Toc65498882" w:history="1">
            <w:r w:rsidR="00922676" w:rsidRPr="0009463B">
              <w:rPr>
                <w:rStyle w:val="Hyperlink"/>
                <w:noProof/>
                <w:lang w:eastAsia="en-AU"/>
              </w:rPr>
              <w:t>Submission details</w:t>
            </w:r>
            <w:r w:rsidR="00922676">
              <w:rPr>
                <w:noProof/>
                <w:webHidden/>
              </w:rPr>
              <w:tab/>
            </w:r>
            <w:r w:rsidR="00922676">
              <w:rPr>
                <w:noProof/>
                <w:webHidden/>
              </w:rPr>
              <w:fldChar w:fldCharType="begin"/>
            </w:r>
            <w:r w:rsidR="00922676">
              <w:rPr>
                <w:noProof/>
                <w:webHidden/>
              </w:rPr>
              <w:instrText xml:space="preserve"> PAGEREF _Toc65498882 \h </w:instrText>
            </w:r>
            <w:r w:rsidR="00922676">
              <w:rPr>
                <w:noProof/>
                <w:webHidden/>
              </w:rPr>
            </w:r>
            <w:r w:rsidR="00922676">
              <w:rPr>
                <w:noProof/>
                <w:webHidden/>
              </w:rPr>
              <w:fldChar w:fldCharType="separate"/>
            </w:r>
            <w:r w:rsidR="00922676">
              <w:rPr>
                <w:noProof/>
                <w:webHidden/>
              </w:rPr>
              <w:t>6</w:t>
            </w:r>
            <w:r w:rsidR="00922676">
              <w:rPr>
                <w:noProof/>
                <w:webHidden/>
              </w:rPr>
              <w:fldChar w:fldCharType="end"/>
            </w:r>
          </w:hyperlink>
        </w:p>
        <w:p w14:paraId="0682C78F" w14:textId="48F63B94" w:rsidR="00922676" w:rsidRDefault="00103C2A">
          <w:pPr>
            <w:pStyle w:val="TOC2"/>
            <w:rPr>
              <w:rFonts w:asciiTheme="minorHAnsi" w:eastAsiaTheme="minorEastAsia" w:hAnsiTheme="minorHAnsi" w:cstheme="minorBidi"/>
              <w:b w:val="0"/>
              <w:noProof/>
              <w:sz w:val="22"/>
              <w:lang w:eastAsia="en-AU"/>
            </w:rPr>
          </w:pPr>
          <w:hyperlink w:anchor="_Toc65498883" w:history="1">
            <w:r w:rsidR="00922676" w:rsidRPr="0009463B">
              <w:rPr>
                <w:rStyle w:val="Hyperlink"/>
                <w:noProof/>
              </w:rPr>
              <w:t>Product background</w:t>
            </w:r>
            <w:r w:rsidR="00922676">
              <w:rPr>
                <w:noProof/>
                <w:webHidden/>
              </w:rPr>
              <w:tab/>
            </w:r>
            <w:r w:rsidR="00922676">
              <w:rPr>
                <w:noProof/>
                <w:webHidden/>
              </w:rPr>
              <w:fldChar w:fldCharType="begin"/>
            </w:r>
            <w:r w:rsidR="00922676">
              <w:rPr>
                <w:noProof/>
                <w:webHidden/>
              </w:rPr>
              <w:instrText xml:space="preserve"> PAGEREF _Toc65498883 \h </w:instrText>
            </w:r>
            <w:r w:rsidR="00922676">
              <w:rPr>
                <w:noProof/>
                <w:webHidden/>
              </w:rPr>
            </w:r>
            <w:r w:rsidR="00922676">
              <w:rPr>
                <w:noProof/>
                <w:webHidden/>
              </w:rPr>
              <w:fldChar w:fldCharType="separate"/>
            </w:r>
            <w:r w:rsidR="00922676">
              <w:rPr>
                <w:noProof/>
                <w:webHidden/>
              </w:rPr>
              <w:t>7</w:t>
            </w:r>
            <w:r w:rsidR="00922676">
              <w:rPr>
                <w:noProof/>
                <w:webHidden/>
              </w:rPr>
              <w:fldChar w:fldCharType="end"/>
            </w:r>
          </w:hyperlink>
        </w:p>
        <w:p w14:paraId="622E74D1" w14:textId="508B63D3" w:rsidR="00922676" w:rsidRDefault="00103C2A">
          <w:pPr>
            <w:pStyle w:val="TOC2"/>
            <w:rPr>
              <w:rFonts w:asciiTheme="minorHAnsi" w:eastAsiaTheme="minorEastAsia" w:hAnsiTheme="minorHAnsi" w:cstheme="minorBidi"/>
              <w:b w:val="0"/>
              <w:noProof/>
              <w:sz w:val="22"/>
              <w:lang w:eastAsia="en-AU"/>
            </w:rPr>
          </w:pPr>
          <w:hyperlink w:anchor="_Toc65498884" w:history="1">
            <w:r w:rsidR="00922676" w:rsidRPr="0009463B">
              <w:rPr>
                <w:rStyle w:val="Hyperlink"/>
                <w:noProof/>
              </w:rPr>
              <w:t>Regulatory status</w:t>
            </w:r>
            <w:r w:rsidR="00922676">
              <w:rPr>
                <w:noProof/>
                <w:webHidden/>
              </w:rPr>
              <w:tab/>
            </w:r>
            <w:r w:rsidR="00922676">
              <w:rPr>
                <w:noProof/>
                <w:webHidden/>
              </w:rPr>
              <w:fldChar w:fldCharType="begin"/>
            </w:r>
            <w:r w:rsidR="00922676">
              <w:rPr>
                <w:noProof/>
                <w:webHidden/>
              </w:rPr>
              <w:instrText xml:space="preserve"> PAGEREF _Toc65498884 \h </w:instrText>
            </w:r>
            <w:r w:rsidR="00922676">
              <w:rPr>
                <w:noProof/>
                <w:webHidden/>
              </w:rPr>
            </w:r>
            <w:r w:rsidR="00922676">
              <w:rPr>
                <w:noProof/>
                <w:webHidden/>
              </w:rPr>
              <w:fldChar w:fldCharType="separate"/>
            </w:r>
            <w:r w:rsidR="00922676">
              <w:rPr>
                <w:noProof/>
                <w:webHidden/>
              </w:rPr>
              <w:t>8</w:t>
            </w:r>
            <w:r w:rsidR="00922676">
              <w:rPr>
                <w:noProof/>
                <w:webHidden/>
              </w:rPr>
              <w:fldChar w:fldCharType="end"/>
            </w:r>
          </w:hyperlink>
        </w:p>
        <w:p w14:paraId="2B4454C9" w14:textId="6FA7DDAF" w:rsidR="00922676" w:rsidRDefault="00103C2A">
          <w:pPr>
            <w:pStyle w:val="TOC2"/>
            <w:rPr>
              <w:rFonts w:asciiTheme="minorHAnsi" w:eastAsiaTheme="minorEastAsia" w:hAnsiTheme="minorHAnsi" w:cstheme="minorBidi"/>
              <w:b w:val="0"/>
              <w:noProof/>
              <w:sz w:val="22"/>
              <w:lang w:eastAsia="en-AU"/>
            </w:rPr>
          </w:pPr>
          <w:hyperlink w:anchor="_Toc65498885" w:history="1">
            <w:r w:rsidR="00922676" w:rsidRPr="0009463B">
              <w:rPr>
                <w:rStyle w:val="Hyperlink"/>
                <w:noProof/>
              </w:rPr>
              <w:t>Product Information</w:t>
            </w:r>
            <w:r w:rsidR="00922676">
              <w:rPr>
                <w:noProof/>
                <w:webHidden/>
              </w:rPr>
              <w:tab/>
            </w:r>
            <w:r w:rsidR="00922676">
              <w:rPr>
                <w:noProof/>
                <w:webHidden/>
              </w:rPr>
              <w:fldChar w:fldCharType="begin"/>
            </w:r>
            <w:r w:rsidR="00922676">
              <w:rPr>
                <w:noProof/>
                <w:webHidden/>
              </w:rPr>
              <w:instrText xml:space="preserve"> PAGEREF _Toc65498885 \h </w:instrText>
            </w:r>
            <w:r w:rsidR="00922676">
              <w:rPr>
                <w:noProof/>
                <w:webHidden/>
              </w:rPr>
            </w:r>
            <w:r w:rsidR="00922676">
              <w:rPr>
                <w:noProof/>
                <w:webHidden/>
              </w:rPr>
              <w:fldChar w:fldCharType="separate"/>
            </w:r>
            <w:r w:rsidR="00922676">
              <w:rPr>
                <w:noProof/>
                <w:webHidden/>
              </w:rPr>
              <w:t>9</w:t>
            </w:r>
            <w:r w:rsidR="00922676">
              <w:rPr>
                <w:noProof/>
                <w:webHidden/>
              </w:rPr>
              <w:fldChar w:fldCharType="end"/>
            </w:r>
          </w:hyperlink>
        </w:p>
        <w:p w14:paraId="77757B35" w14:textId="65330FB9" w:rsidR="00922676" w:rsidRDefault="00103C2A">
          <w:pPr>
            <w:pStyle w:val="TOC1"/>
            <w:rPr>
              <w:rFonts w:asciiTheme="minorHAnsi" w:eastAsiaTheme="minorEastAsia" w:hAnsiTheme="minorHAnsi" w:cstheme="minorBidi"/>
              <w:b w:val="0"/>
              <w:noProof/>
              <w:sz w:val="22"/>
              <w:lang w:eastAsia="en-AU"/>
            </w:rPr>
          </w:pPr>
          <w:hyperlink w:anchor="_Toc65498886" w:history="1">
            <w:r w:rsidR="00922676" w:rsidRPr="0009463B">
              <w:rPr>
                <w:rStyle w:val="Hyperlink"/>
                <w:noProof/>
              </w:rPr>
              <w:t>II. Registration timeline</w:t>
            </w:r>
            <w:r w:rsidR="00922676">
              <w:rPr>
                <w:noProof/>
                <w:webHidden/>
              </w:rPr>
              <w:tab/>
            </w:r>
            <w:r w:rsidR="00922676">
              <w:rPr>
                <w:noProof/>
                <w:webHidden/>
              </w:rPr>
              <w:fldChar w:fldCharType="begin"/>
            </w:r>
            <w:r w:rsidR="00922676">
              <w:rPr>
                <w:noProof/>
                <w:webHidden/>
              </w:rPr>
              <w:instrText xml:space="preserve"> PAGEREF _Toc65498886 \h </w:instrText>
            </w:r>
            <w:r w:rsidR="00922676">
              <w:rPr>
                <w:noProof/>
                <w:webHidden/>
              </w:rPr>
            </w:r>
            <w:r w:rsidR="00922676">
              <w:rPr>
                <w:noProof/>
                <w:webHidden/>
              </w:rPr>
              <w:fldChar w:fldCharType="separate"/>
            </w:r>
            <w:r w:rsidR="00922676">
              <w:rPr>
                <w:noProof/>
                <w:webHidden/>
              </w:rPr>
              <w:t>9</w:t>
            </w:r>
            <w:r w:rsidR="00922676">
              <w:rPr>
                <w:noProof/>
                <w:webHidden/>
              </w:rPr>
              <w:fldChar w:fldCharType="end"/>
            </w:r>
          </w:hyperlink>
        </w:p>
        <w:p w14:paraId="71049870" w14:textId="39F068E3" w:rsidR="00922676" w:rsidRDefault="00103C2A">
          <w:pPr>
            <w:pStyle w:val="TOC1"/>
            <w:rPr>
              <w:rFonts w:asciiTheme="minorHAnsi" w:eastAsiaTheme="minorEastAsia" w:hAnsiTheme="minorHAnsi" w:cstheme="minorBidi"/>
              <w:b w:val="0"/>
              <w:noProof/>
              <w:sz w:val="22"/>
              <w:lang w:eastAsia="en-AU"/>
            </w:rPr>
          </w:pPr>
          <w:hyperlink w:anchor="_Toc65498887" w:history="1">
            <w:r w:rsidR="00922676" w:rsidRPr="0009463B">
              <w:rPr>
                <w:rStyle w:val="Hyperlink"/>
                <w:noProof/>
              </w:rPr>
              <w:t>III. Submission overview and risk/benefit assessment</w:t>
            </w:r>
            <w:r w:rsidR="00922676">
              <w:rPr>
                <w:noProof/>
                <w:webHidden/>
              </w:rPr>
              <w:tab/>
            </w:r>
            <w:r w:rsidR="00922676">
              <w:rPr>
                <w:noProof/>
                <w:webHidden/>
              </w:rPr>
              <w:fldChar w:fldCharType="begin"/>
            </w:r>
            <w:r w:rsidR="00922676">
              <w:rPr>
                <w:noProof/>
                <w:webHidden/>
              </w:rPr>
              <w:instrText xml:space="preserve"> PAGEREF _Toc65498887 \h </w:instrText>
            </w:r>
            <w:r w:rsidR="00922676">
              <w:rPr>
                <w:noProof/>
                <w:webHidden/>
              </w:rPr>
            </w:r>
            <w:r w:rsidR="00922676">
              <w:rPr>
                <w:noProof/>
                <w:webHidden/>
              </w:rPr>
              <w:fldChar w:fldCharType="separate"/>
            </w:r>
            <w:r w:rsidR="00922676">
              <w:rPr>
                <w:noProof/>
                <w:webHidden/>
              </w:rPr>
              <w:t>10</w:t>
            </w:r>
            <w:r w:rsidR="00922676">
              <w:rPr>
                <w:noProof/>
                <w:webHidden/>
              </w:rPr>
              <w:fldChar w:fldCharType="end"/>
            </w:r>
          </w:hyperlink>
        </w:p>
        <w:p w14:paraId="5858E803" w14:textId="0120F8D2" w:rsidR="00922676" w:rsidRDefault="00103C2A">
          <w:pPr>
            <w:pStyle w:val="TOC2"/>
            <w:rPr>
              <w:rFonts w:asciiTheme="minorHAnsi" w:eastAsiaTheme="minorEastAsia" w:hAnsiTheme="minorHAnsi" w:cstheme="minorBidi"/>
              <w:b w:val="0"/>
              <w:noProof/>
              <w:sz w:val="22"/>
              <w:lang w:eastAsia="en-AU"/>
            </w:rPr>
          </w:pPr>
          <w:hyperlink w:anchor="_Toc65498888" w:history="1">
            <w:r w:rsidR="00922676" w:rsidRPr="0009463B">
              <w:rPr>
                <w:rStyle w:val="Hyperlink"/>
                <w:noProof/>
              </w:rPr>
              <w:t>Quality</w:t>
            </w:r>
            <w:r w:rsidR="00922676">
              <w:rPr>
                <w:noProof/>
                <w:webHidden/>
              </w:rPr>
              <w:tab/>
            </w:r>
            <w:r w:rsidR="00922676">
              <w:rPr>
                <w:noProof/>
                <w:webHidden/>
              </w:rPr>
              <w:fldChar w:fldCharType="begin"/>
            </w:r>
            <w:r w:rsidR="00922676">
              <w:rPr>
                <w:noProof/>
                <w:webHidden/>
              </w:rPr>
              <w:instrText xml:space="preserve"> PAGEREF _Toc65498888 \h </w:instrText>
            </w:r>
            <w:r w:rsidR="00922676">
              <w:rPr>
                <w:noProof/>
                <w:webHidden/>
              </w:rPr>
            </w:r>
            <w:r w:rsidR="00922676">
              <w:rPr>
                <w:noProof/>
                <w:webHidden/>
              </w:rPr>
              <w:fldChar w:fldCharType="separate"/>
            </w:r>
            <w:r w:rsidR="00922676">
              <w:rPr>
                <w:noProof/>
                <w:webHidden/>
              </w:rPr>
              <w:t>10</w:t>
            </w:r>
            <w:r w:rsidR="00922676">
              <w:rPr>
                <w:noProof/>
                <w:webHidden/>
              </w:rPr>
              <w:fldChar w:fldCharType="end"/>
            </w:r>
          </w:hyperlink>
        </w:p>
        <w:p w14:paraId="65C9A782" w14:textId="434320CB" w:rsidR="00922676" w:rsidRDefault="00103C2A">
          <w:pPr>
            <w:pStyle w:val="TOC2"/>
            <w:rPr>
              <w:rFonts w:asciiTheme="minorHAnsi" w:eastAsiaTheme="minorEastAsia" w:hAnsiTheme="minorHAnsi" w:cstheme="minorBidi"/>
              <w:b w:val="0"/>
              <w:noProof/>
              <w:sz w:val="22"/>
              <w:lang w:eastAsia="en-AU"/>
            </w:rPr>
          </w:pPr>
          <w:hyperlink w:anchor="_Toc65498889" w:history="1">
            <w:r w:rsidR="00922676" w:rsidRPr="0009463B">
              <w:rPr>
                <w:rStyle w:val="Hyperlink"/>
                <w:noProof/>
              </w:rPr>
              <w:t>Nonclinical</w:t>
            </w:r>
            <w:r w:rsidR="00922676">
              <w:rPr>
                <w:noProof/>
                <w:webHidden/>
              </w:rPr>
              <w:tab/>
            </w:r>
            <w:r w:rsidR="00922676">
              <w:rPr>
                <w:noProof/>
                <w:webHidden/>
              </w:rPr>
              <w:fldChar w:fldCharType="begin"/>
            </w:r>
            <w:r w:rsidR="00922676">
              <w:rPr>
                <w:noProof/>
                <w:webHidden/>
              </w:rPr>
              <w:instrText xml:space="preserve"> PAGEREF _Toc65498889 \h </w:instrText>
            </w:r>
            <w:r w:rsidR="00922676">
              <w:rPr>
                <w:noProof/>
                <w:webHidden/>
              </w:rPr>
            </w:r>
            <w:r w:rsidR="00922676">
              <w:rPr>
                <w:noProof/>
                <w:webHidden/>
              </w:rPr>
              <w:fldChar w:fldCharType="separate"/>
            </w:r>
            <w:r w:rsidR="00922676">
              <w:rPr>
                <w:noProof/>
                <w:webHidden/>
              </w:rPr>
              <w:t>11</w:t>
            </w:r>
            <w:r w:rsidR="00922676">
              <w:rPr>
                <w:noProof/>
                <w:webHidden/>
              </w:rPr>
              <w:fldChar w:fldCharType="end"/>
            </w:r>
          </w:hyperlink>
        </w:p>
        <w:p w14:paraId="042C2010" w14:textId="3FFB2BEC" w:rsidR="00922676" w:rsidRDefault="00103C2A">
          <w:pPr>
            <w:pStyle w:val="TOC2"/>
            <w:rPr>
              <w:rFonts w:asciiTheme="minorHAnsi" w:eastAsiaTheme="minorEastAsia" w:hAnsiTheme="minorHAnsi" w:cstheme="minorBidi"/>
              <w:b w:val="0"/>
              <w:noProof/>
              <w:sz w:val="22"/>
              <w:lang w:eastAsia="en-AU"/>
            </w:rPr>
          </w:pPr>
          <w:hyperlink w:anchor="_Toc65498890" w:history="1">
            <w:r w:rsidR="00922676" w:rsidRPr="0009463B">
              <w:rPr>
                <w:rStyle w:val="Hyperlink"/>
                <w:noProof/>
              </w:rPr>
              <w:t>Clinical</w:t>
            </w:r>
            <w:r w:rsidR="00922676">
              <w:rPr>
                <w:noProof/>
                <w:webHidden/>
              </w:rPr>
              <w:tab/>
            </w:r>
            <w:r w:rsidR="00922676">
              <w:rPr>
                <w:noProof/>
                <w:webHidden/>
              </w:rPr>
              <w:fldChar w:fldCharType="begin"/>
            </w:r>
            <w:r w:rsidR="00922676">
              <w:rPr>
                <w:noProof/>
                <w:webHidden/>
              </w:rPr>
              <w:instrText xml:space="preserve"> PAGEREF _Toc65498890 \h </w:instrText>
            </w:r>
            <w:r w:rsidR="00922676">
              <w:rPr>
                <w:noProof/>
                <w:webHidden/>
              </w:rPr>
            </w:r>
            <w:r w:rsidR="00922676">
              <w:rPr>
                <w:noProof/>
                <w:webHidden/>
              </w:rPr>
              <w:fldChar w:fldCharType="separate"/>
            </w:r>
            <w:r w:rsidR="00922676">
              <w:rPr>
                <w:noProof/>
                <w:webHidden/>
              </w:rPr>
              <w:t>11</w:t>
            </w:r>
            <w:r w:rsidR="00922676">
              <w:rPr>
                <w:noProof/>
                <w:webHidden/>
              </w:rPr>
              <w:fldChar w:fldCharType="end"/>
            </w:r>
          </w:hyperlink>
        </w:p>
        <w:p w14:paraId="2BD6C6A1" w14:textId="4C9F40BD" w:rsidR="00922676" w:rsidRDefault="00103C2A">
          <w:pPr>
            <w:pStyle w:val="TOC2"/>
            <w:rPr>
              <w:rFonts w:asciiTheme="minorHAnsi" w:eastAsiaTheme="minorEastAsia" w:hAnsiTheme="minorHAnsi" w:cstheme="minorBidi"/>
              <w:b w:val="0"/>
              <w:noProof/>
              <w:sz w:val="22"/>
              <w:lang w:eastAsia="en-AU"/>
            </w:rPr>
          </w:pPr>
          <w:hyperlink w:anchor="_Toc65498891" w:history="1">
            <w:r w:rsidR="00922676" w:rsidRPr="0009463B">
              <w:rPr>
                <w:rStyle w:val="Hyperlink"/>
                <w:noProof/>
                <w:lang w:eastAsia="en-AU"/>
              </w:rPr>
              <w:t>Risk management plan</w:t>
            </w:r>
            <w:r w:rsidR="00922676">
              <w:rPr>
                <w:noProof/>
                <w:webHidden/>
              </w:rPr>
              <w:tab/>
            </w:r>
            <w:r w:rsidR="00922676">
              <w:rPr>
                <w:noProof/>
                <w:webHidden/>
              </w:rPr>
              <w:fldChar w:fldCharType="begin"/>
            </w:r>
            <w:r w:rsidR="00922676">
              <w:rPr>
                <w:noProof/>
                <w:webHidden/>
              </w:rPr>
              <w:instrText xml:space="preserve"> PAGEREF _Toc65498891 \h </w:instrText>
            </w:r>
            <w:r w:rsidR="00922676">
              <w:rPr>
                <w:noProof/>
                <w:webHidden/>
              </w:rPr>
            </w:r>
            <w:r w:rsidR="00922676">
              <w:rPr>
                <w:noProof/>
                <w:webHidden/>
              </w:rPr>
              <w:fldChar w:fldCharType="separate"/>
            </w:r>
            <w:r w:rsidR="00922676">
              <w:rPr>
                <w:noProof/>
                <w:webHidden/>
              </w:rPr>
              <w:t>16</w:t>
            </w:r>
            <w:r w:rsidR="00922676">
              <w:rPr>
                <w:noProof/>
                <w:webHidden/>
              </w:rPr>
              <w:fldChar w:fldCharType="end"/>
            </w:r>
          </w:hyperlink>
        </w:p>
        <w:p w14:paraId="698EC688" w14:textId="521F017C" w:rsidR="00922676" w:rsidRDefault="00103C2A">
          <w:pPr>
            <w:pStyle w:val="TOC2"/>
            <w:rPr>
              <w:rFonts w:asciiTheme="minorHAnsi" w:eastAsiaTheme="minorEastAsia" w:hAnsiTheme="minorHAnsi" w:cstheme="minorBidi"/>
              <w:b w:val="0"/>
              <w:noProof/>
              <w:sz w:val="22"/>
              <w:lang w:eastAsia="en-AU"/>
            </w:rPr>
          </w:pPr>
          <w:hyperlink w:anchor="_Toc65498892" w:history="1">
            <w:r w:rsidR="00922676" w:rsidRPr="0009463B">
              <w:rPr>
                <w:rStyle w:val="Hyperlink"/>
                <w:noProof/>
              </w:rPr>
              <w:t>Risk-benefit analysis</w:t>
            </w:r>
            <w:r w:rsidR="00922676">
              <w:rPr>
                <w:noProof/>
                <w:webHidden/>
              </w:rPr>
              <w:tab/>
            </w:r>
            <w:r w:rsidR="00922676">
              <w:rPr>
                <w:noProof/>
                <w:webHidden/>
              </w:rPr>
              <w:fldChar w:fldCharType="begin"/>
            </w:r>
            <w:r w:rsidR="00922676">
              <w:rPr>
                <w:noProof/>
                <w:webHidden/>
              </w:rPr>
              <w:instrText xml:space="preserve"> PAGEREF _Toc65498892 \h </w:instrText>
            </w:r>
            <w:r w:rsidR="00922676">
              <w:rPr>
                <w:noProof/>
                <w:webHidden/>
              </w:rPr>
            </w:r>
            <w:r w:rsidR="00922676">
              <w:rPr>
                <w:noProof/>
                <w:webHidden/>
              </w:rPr>
              <w:fldChar w:fldCharType="separate"/>
            </w:r>
            <w:r w:rsidR="00922676">
              <w:rPr>
                <w:noProof/>
                <w:webHidden/>
              </w:rPr>
              <w:t>16</w:t>
            </w:r>
            <w:r w:rsidR="00922676">
              <w:rPr>
                <w:noProof/>
                <w:webHidden/>
              </w:rPr>
              <w:fldChar w:fldCharType="end"/>
            </w:r>
          </w:hyperlink>
        </w:p>
        <w:p w14:paraId="25634A84" w14:textId="0AFFF85C" w:rsidR="00922676" w:rsidRDefault="00103C2A">
          <w:pPr>
            <w:pStyle w:val="TOC2"/>
            <w:rPr>
              <w:rFonts w:asciiTheme="minorHAnsi" w:eastAsiaTheme="minorEastAsia" w:hAnsiTheme="minorHAnsi" w:cstheme="minorBidi"/>
              <w:b w:val="0"/>
              <w:noProof/>
              <w:sz w:val="22"/>
              <w:lang w:eastAsia="en-AU"/>
            </w:rPr>
          </w:pPr>
          <w:hyperlink w:anchor="_Toc65498893" w:history="1">
            <w:r w:rsidR="00922676" w:rsidRPr="0009463B">
              <w:rPr>
                <w:rStyle w:val="Hyperlink"/>
                <w:noProof/>
              </w:rPr>
              <w:t>Outcome</w:t>
            </w:r>
            <w:r w:rsidR="00922676">
              <w:rPr>
                <w:noProof/>
                <w:webHidden/>
              </w:rPr>
              <w:tab/>
            </w:r>
            <w:r w:rsidR="00922676">
              <w:rPr>
                <w:noProof/>
                <w:webHidden/>
              </w:rPr>
              <w:fldChar w:fldCharType="begin"/>
            </w:r>
            <w:r w:rsidR="00922676">
              <w:rPr>
                <w:noProof/>
                <w:webHidden/>
              </w:rPr>
              <w:instrText xml:space="preserve"> PAGEREF _Toc65498893 \h </w:instrText>
            </w:r>
            <w:r w:rsidR="00922676">
              <w:rPr>
                <w:noProof/>
                <w:webHidden/>
              </w:rPr>
            </w:r>
            <w:r w:rsidR="00922676">
              <w:rPr>
                <w:noProof/>
                <w:webHidden/>
              </w:rPr>
              <w:fldChar w:fldCharType="separate"/>
            </w:r>
            <w:r w:rsidR="00922676">
              <w:rPr>
                <w:noProof/>
                <w:webHidden/>
              </w:rPr>
              <w:t>17</w:t>
            </w:r>
            <w:r w:rsidR="00922676">
              <w:rPr>
                <w:noProof/>
                <w:webHidden/>
              </w:rPr>
              <w:fldChar w:fldCharType="end"/>
            </w:r>
          </w:hyperlink>
        </w:p>
        <w:p w14:paraId="6D2E6E23" w14:textId="619264BA" w:rsidR="00922676" w:rsidRDefault="00103C2A">
          <w:pPr>
            <w:pStyle w:val="TOC1"/>
            <w:rPr>
              <w:rFonts w:asciiTheme="minorHAnsi" w:eastAsiaTheme="minorEastAsia" w:hAnsiTheme="minorHAnsi" w:cstheme="minorBidi"/>
              <w:b w:val="0"/>
              <w:noProof/>
              <w:sz w:val="22"/>
              <w:lang w:eastAsia="en-AU"/>
            </w:rPr>
          </w:pPr>
          <w:hyperlink w:anchor="_Toc65498894" w:history="1">
            <w:r w:rsidR="00922676" w:rsidRPr="0009463B">
              <w:rPr>
                <w:rStyle w:val="Hyperlink"/>
                <w:noProof/>
              </w:rPr>
              <w:t>Attachment 1. Product Information</w:t>
            </w:r>
            <w:r w:rsidR="00922676">
              <w:rPr>
                <w:noProof/>
                <w:webHidden/>
              </w:rPr>
              <w:tab/>
            </w:r>
            <w:r w:rsidR="00922676">
              <w:rPr>
                <w:noProof/>
                <w:webHidden/>
              </w:rPr>
              <w:fldChar w:fldCharType="begin"/>
            </w:r>
            <w:r w:rsidR="00922676">
              <w:rPr>
                <w:noProof/>
                <w:webHidden/>
              </w:rPr>
              <w:instrText xml:space="preserve"> PAGEREF _Toc65498894 \h </w:instrText>
            </w:r>
            <w:r w:rsidR="00922676">
              <w:rPr>
                <w:noProof/>
                <w:webHidden/>
              </w:rPr>
            </w:r>
            <w:r w:rsidR="00922676">
              <w:rPr>
                <w:noProof/>
                <w:webHidden/>
              </w:rPr>
              <w:fldChar w:fldCharType="separate"/>
            </w:r>
            <w:r w:rsidR="00922676">
              <w:rPr>
                <w:noProof/>
                <w:webHidden/>
              </w:rPr>
              <w:t>18</w:t>
            </w:r>
            <w:r w:rsidR="00922676">
              <w:rPr>
                <w:noProof/>
                <w:webHidden/>
              </w:rPr>
              <w:fldChar w:fldCharType="end"/>
            </w:r>
          </w:hyperlink>
        </w:p>
        <w:p w14:paraId="415CF335" w14:textId="10C8D633" w:rsidR="003A7F6C" w:rsidRPr="00B811C6" w:rsidRDefault="00C525A2" w:rsidP="00B811C6">
          <w:pPr>
            <w:pStyle w:val="TOC2"/>
          </w:pPr>
          <w:r>
            <w:fldChar w:fldCharType="end"/>
          </w:r>
        </w:p>
      </w:sdtContent>
    </w:sdt>
    <w:bookmarkStart w:id="3" w:name="_Toc314842482" w:displacedByCustomXml="prev"/>
    <w:p w14:paraId="5AE83F8E" w14:textId="724A4FEA" w:rsidR="00C52E24" w:rsidRPr="00C52E24" w:rsidRDefault="00887B14" w:rsidP="00BA2906">
      <w:pPr>
        <w:pStyle w:val="Heading2"/>
        <w:pageBreakBefore/>
        <w:spacing w:before="0"/>
      </w:pPr>
      <w:bookmarkStart w:id="4" w:name="_Toc351716269"/>
      <w:bookmarkStart w:id="5" w:name="_Toc351718881"/>
      <w:bookmarkStart w:id="6" w:name="_Toc355338616"/>
      <w:bookmarkStart w:id="7" w:name="_Toc356306144"/>
      <w:bookmarkStart w:id="8" w:name="_Toc65498880"/>
      <w:r>
        <w:lastRenderedPageBreak/>
        <w:t>List of a</w:t>
      </w:r>
      <w:r w:rsidR="00FD119B" w:rsidRPr="00FD119B">
        <w:t>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B5444A" w:rsidRPr="00FD119B" w14:paraId="5F230B38" w14:textId="77777777" w:rsidTr="00CF5DAD">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61E612EF" w14:textId="77777777" w:rsidR="00B5444A" w:rsidRPr="00FD119B" w:rsidRDefault="00B5444A" w:rsidP="00CF5DAD">
            <w:pPr>
              <w:keepNext w:val="0"/>
              <w:ind w:left="0" w:right="0"/>
              <w:rPr>
                <w:szCs w:val="22"/>
                <w:lang w:eastAsia="en-US"/>
              </w:rPr>
            </w:pPr>
            <w:r w:rsidRPr="00FD119B">
              <w:rPr>
                <w:szCs w:val="22"/>
                <w:lang w:eastAsia="en-US"/>
              </w:rPr>
              <w:t>Abbreviation</w:t>
            </w:r>
          </w:p>
        </w:tc>
        <w:tc>
          <w:tcPr>
            <w:tcW w:w="6911" w:type="dxa"/>
            <w:tcBorders>
              <w:top w:val="single" w:sz="4" w:space="0" w:color="auto"/>
              <w:left w:val="single" w:sz="4" w:space="0" w:color="auto"/>
              <w:bottom w:val="single" w:sz="4" w:space="0" w:color="auto"/>
              <w:right w:val="single" w:sz="4" w:space="0" w:color="auto"/>
            </w:tcBorders>
          </w:tcPr>
          <w:p w14:paraId="527149A4" w14:textId="77777777" w:rsidR="00B5444A" w:rsidRPr="00FD119B" w:rsidRDefault="00B5444A" w:rsidP="00CF5DAD">
            <w:pPr>
              <w:keepNext w:val="0"/>
              <w:ind w:left="0" w:right="0"/>
              <w:rPr>
                <w:szCs w:val="22"/>
                <w:lang w:eastAsia="en-US"/>
              </w:rPr>
            </w:pPr>
            <w:r w:rsidRPr="00FD119B">
              <w:rPr>
                <w:szCs w:val="22"/>
                <w:lang w:eastAsia="en-US"/>
              </w:rPr>
              <w:t>Meaning</w:t>
            </w:r>
          </w:p>
        </w:tc>
      </w:tr>
      <w:tr w:rsidR="00B5444A" w:rsidRPr="00FD119B" w14:paraId="151C42CF" w14:textId="77777777" w:rsidTr="00CF5DAD">
        <w:tc>
          <w:tcPr>
            <w:tcW w:w="1809" w:type="dxa"/>
            <w:tcBorders>
              <w:top w:val="single" w:sz="4" w:space="0" w:color="auto"/>
            </w:tcBorders>
          </w:tcPr>
          <w:p w14:paraId="5E7239BC" w14:textId="77777777" w:rsidR="00B5444A" w:rsidRPr="00FD119B" w:rsidRDefault="00B5444A" w:rsidP="00CF5DAD">
            <w:pPr>
              <w:ind w:left="0" w:right="0"/>
            </w:pPr>
            <w:r>
              <w:t>ACM</w:t>
            </w:r>
          </w:p>
        </w:tc>
        <w:tc>
          <w:tcPr>
            <w:tcW w:w="6911" w:type="dxa"/>
            <w:tcBorders>
              <w:top w:val="single" w:sz="4" w:space="0" w:color="auto"/>
            </w:tcBorders>
          </w:tcPr>
          <w:p w14:paraId="5F1DCBB2" w14:textId="77777777" w:rsidR="00B5444A" w:rsidRPr="00FD119B" w:rsidRDefault="00B5444A" w:rsidP="00CF5DAD">
            <w:pPr>
              <w:ind w:left="0" w:right="0"/>
            </w:pPr>
            <w:r w:rsidRPr="00460036">
              <w:t>Advisory Committee on Medicines</w:t>
            </w:r>
          </w:p>
        </w:tc>
      </w:tr>
      <w:tr w:rsidR="00B5444A" w:rsidRPr="00FD119B" w14:paraId="349F17E5" w14:textId="77777777" w:rsidTr="00FD119B">
        <w:tc>
          <w:tcPr>
            <w:tcW w:w="1809" w:type="dxa"/>
          </w:tcPr>
          <w:p w14:paraId="783BBC30" w14:textId="77777777" w:rsidR="00B5444A" w:rsidRDefault="00B5444A" w:rsidP="002E5A59">
            <w:pPr>
              <w:ind w:left="0"/>
            </w:pPr>
            <w:r>
              <w:t>AIA</w:t>
            </w:r>
          </w:p>
        </w:tc>
        <w:tc>
          <w:tcPr>
            <w:tcW w:w="6911" w:type="dxa"/>
          </w:tcPr>
          <w:p w14:paraId="26AF7819" w14:textId="77777777" w:rsidR="00B5444A" w:rsidRDefault="00B5444A" w:rsidP="002E5A59">
            <w:pPr>
              <w:ind w:left="0"/>
              <w:rPr>
                <w:rFonts w:cs="Cambria"/>
                <w:color w:val="000000"/>
              </w:rPr>
            </w:pPr>
            <w:r>
              <w:t>Anti-insulin aspart antibodies</w:t>
            </w:r>
          </w:p>
        </w:tc>
      </w:tr>
      <w:tr w:rsidR="00B5444A" w:rsidRPr="00FD119B" w14:paraId="5074EC7C" w14:textId="77777777" w:rsidTr="00FD119B">
        <w:tc>
          <w:tcPr>
            <w:tcW w:w="1809" w:type="dxa"/>
          </w:tcPr>
          <w:p w14:paraId="56648A9A" w14:textId="77777777" w:rsidR="00B5444A" w:rsidRPr="00FD119B" w:rsidRDefault="00B5444A" w:rsidP="00CF5DAD">
            <w:pPr>
              <w:ind w:left="0" w:right="0"/>
            </w:pPr>
            <w:r>
              <w:t>ARTG</w:t>
            </w:r>
          </w:p>
        </w:tc>
        <w:tc>
          <w:tcPr>
            <w:tcW w:w="6911" w:type="dxa"/>
          </w:tcPr>
          <w:p w14:paraId="6A260AB0" w14:textId="77777777" w:rsidR="00B5444A" w:rsidRPr="00FD119B" w:rsidRDefault="00B5444A" w:rsidP="00CF5DAD">
            <w:pPr>
              <w:ind w:left="0" w:right="0"/>
            </w:pPr>
            <w:r w:rsidRPr="00460036">
              <w:t>Australian Register of Therapeutic Goods</w:t>
            </w:r>
          </w:p>
        </w:tc>
      </w:tr>
      <w:tr w:rsidR="00B5444A" w:rsidRPr="00FD119B" w14:paraId="0CA7DBB5" w14:textId="77777777" w:rsidTr="00FD119B">
        <w:tc>
          <w:tcPr>
            <w:tcW w:w="1809" w:type="dxa"/>
          </w:tcPr>
          <w:p w14:paraId="30A13620" w14:textId="77777777" w:rsidR="00B5444A" w:rsidRDefault="00B5444A" w:rsidP="00FC4AE9">
            <w:pPr>
              <w:ind w:left="0"/>
            </w:pPr>
            <w:r>
              <w:t>ASA</w:t>
            </w:r>
          </w:p>
        </w:tc>
        <w:tc>
          <w:tcPr>
            <w:tcW w:w="6911" w:type="dxa"/>
          </w:tcPr>
          <w:p w14:paraId="33A644BD" w14:textId="041D7B4D" w:rsidR="00B5444A" w:rsidRDefault="00B5444A" w:rsidP="00FC4AE9">
            <w:pPr>
              <w:ind w:left="0"/>
            </w:pPr>
            <w:r>
              <w:t xml:space="preserve">Australian </w:t>
            </w:r>
            <w:r w:rsidR="002E63AF">
              <w:t>s</w:t>
            </w:r>
            <w:r>
              <w:t xml:space="preserve">pecific </w:t>
            </w:r>
            <w:r w:rsidR="002E63AF">
              <w:t>a</w:t>
            </w:r>
            <w:r>
              <w:t>nnex</w:t>
            </w:r>
          </w:p>
        </w:tc>
      </w:tr>
      <w:tr w:rsidR="00B5444A" w:rsidRPr="00FD119B" w14:paraId="7344911F" w14:textId="77777777" w:rsidTr="00FD119B">
        <w:tc>
          <w:tcPr>
            <w:tcW w:w="1809" w:type="dxa"/>
          </w:tcPr>
          <w:p w14:paraId="1EA46873" w14:textId="77777777" w:rsidR="00B5444A" w:rsidRDefault="00B5444A" w:rsidP="00C56EB4">
            <w:pPr>
              <w:ind w:left="0"/>
            </w:pPr>
            <w:r>
              <w:t>AU</w:t>
            </w:r>
          </w:p>
        </w:tc>
        <w:tc>
          <w:tcPr>
            <w:tcW w:w="6911" w:type="dxa"/>
          </w:tcPr>
          <w:p w14:paraId="2447D860" w14:textId="77777777" w:rsidR="00B5444A" w:rsidRDefault="00B5444A" w:rsidP="00C56EB4">
            <w:pPr>
              <w:ind w:left="0"/>
            </w:pPr>
            <w:r>
              <w:t>Australia</w:t>
            </w:r>
          </w:p>
        </w:tc>
      </w:tr>
      <w:tr w:rsidR="00B5444A" w:rsidRPr="00FD119B" w14:paraId="2BF2CABC" w14:textId="77777777" w:rsidTr="00FD119B">
        <w:tc>
          <w:tcPr>
            <w:tcW w:w="1809" w:type="dxa"/>
          </w:tcPr>
          <w:p w14:paraId="28803F95" w14:textId="77777777" w:rsidR="00B5444A" w:rsidRPr="00D26B8D" w:rsidRDefault="00B5444A" w:rsidP="00522805">
            <w:pPr>
              <w:ind w:left="0"/>
              <w:rPr>
                <w:szCs w:val="22"/>
              </w:rPr>
            </w:pPr>
            <w:r w:rsidRPr="00D26B8D">
              <w:rPr>
                <w:szCs w:val="22"/>
              </w:rPr>
              <w:t>AUC</w:t>
            </w:r>
          </w:p>
        </w:tc>
        <w:tc>
          <w:tcPr>
            <w:tcW w:w="6911" w:type="dxa"/>
          </w:tcPr>
          <w:p w14:paraId="5B141191" w14:textId="77777777" w:rsidR="00B5444A" w:rsidRDefault="00B5444A" w:rsidP="00F50BDE">
            <w:pPr>
              <w:ind w:left="0"/>
              <w:rPr>
                <w:rFonts w:cs="Cambria"/>
                <w:color w:val="000000"/>
              </w:rPr>
            </w:pPr>
            <w:r>
              <w:rPr>
                <w:rFonts w:cs="Cambria"/>
                <w:color w:val="000000"/>
              </w:rPr>
              <w:t>Area under the plasma concentration-time curve</w:t>
            </w:r>
          </w:p>
        </w:tc>
      </w:tr>
      <w:tr w:rsidR="00B5444A" w:rsidRPr="00FD119B" w14:paraId="1E90AC1F" w14:textId="77777777" w:rsidTr="00FD119B">
        <w:tc>
          <w:tcPr>
            <w:tcW w:w="1809" w:type="dxa"/>
          </w:tcPr>
          <w:p w14:paraId="1C5846B8" w14:textId="22E0CD85" w:rsidR="00B5444A" w:rsidRPr="00D26B8D" w:rsidRDefault="00B5444A" w:rsidP="00522805">
            <w:pPr>
              <w:ind w:left="0"/>
              <w:rPr>
                <w:szCs w:val="22"/>
              </w:rPr>
            </w:pPr>
            <w:r w:rsidRPr="00D26B8D">
              <w:rPr>
                <w:szCs w:val="22"/>
              </w:rPr>
              <w:t>AUC</w:t>
            </w:r>
            <w:r w:rsidRPr="002E63AF">
              <w:rPr>
                <w:szCs w:val="22"/>
                <w:vertAlign w:val="subscript"/>
              </w:rPr>
              <w:t>0</w:t>
            </w:r>
            <w:r w:rsidR="00530E63">
              <w:rPr>
                <w:szCs w:val="22"/>
                <w:vertAlign w:val="subscript"/>
              </w:rPr>
              <w:t>-</w:t>
            </w:r>
            <w:r w:rsidRPr="002E63AF">
              <w:rPr>
                <w:szCs w:val="22"/>
                <w:vertAlign w:val="subscript"/>
              </w:rPr>
              <w:t>2</w:t>
            </w:r>
          </w:p>
        </w:tc>
        <w:tc>
          <w:tcPr>
            <w:tcW w:w="6911" w:type="dxa"/>
          </w:tcPr>
          <w:p w14:paraId="019DD212" w14:textId="77777777" w:rsidR="00B5444A" w:rsidRDefault="00B5444A" w:rsidP="00F50BDE">
            <w:pPr>
              <w:ind w:left="0"/>
              <w:rPr>
                <w:rFonts w:cs="Cambria"/>
                <w:color w:val="000000"/>
              </w:rPr>
            </w:pPr>
            <w:r>
              <w:rPr>
                <w:rFonts w:cs="Cambria"/>
                <w:color w:val="000000"/>
              </w:rPr>
              <w:t>Area under the plasma concentration-time curve, from time zero to 2 hours</w:t>
            </w:r>
          </w:p>
        </w:tc>
      </w:tr>
      <w:tr w:rsidR="00B5444A" w:rsidRPr="00FD119B" w14:paraId="1208BD49" w14:textId="77777777" w:rsidTr="00FD119B">
        <w:tc>
          <w:tcPr>
            <w:tcW w:w="1809" w:type="dxa"/>
          </w:tcPr>
          <w:p w14:paraId="2F27E1DA" w14:textId="3449C3E6" w:rsidR="00B5444A" w:rsidRPr="00D26B8D" w:rsidRDefault="00B5444A" w:rsidP="00522805">
            <w:pPr>
              <w:ind w:left="0"/>
              <w:rPr>
                <w:szCs w:val="22"/>
              </w:rPr>
            </w:pPr>
            <w:r w:rsidRPr="00D26B8D">
              <w:rPr>
                <w:szCs w:val="22"/>
              </w:rPr>
              <w:t>AUC</w:t>
            </w:r>
            <w:r w:rsidRPr="002E63AF">
              <w:rPr>
                <w:szCs w:val="22"/>
                <w:vertAlign w:val="subscript"/>
              </w:rPr>
              <w:t>4</w:t>
            </w:r>
            <w:r w:rsidR="00530E63">
              <w:rPr>
                <w:szCs w:val="22"/>
                <w:vertAlign w:val="subscript"/>
              </w:rPr>
              <w:t>-</w:t>
            </w:r>
            <w:r w:rsidRPr="002E63AF">
              <w:rPr>
                <w:szCs w:val="22"/>
                <w:vertAlign w:val="subscript"/>
              </w:rPr>
              <w:t>tlast</w:t>
            </w:r>
          </w:p>
        </w:tc>
        <w:tc>
          <w:tcPr>
            <w:tcW w:w="6911" w:type="dxa"/>
          </w:tcPr>
          <w:p w14:paraId="28103D34" w14:textId="5FE9620A" w:rsidR="00B5444A" w:rsidRDefault="00B5444A" w:rsidP="00F50BDE">
            <w:pPr>
              <w:ind w:left="0"/>
              <w:rPr>
                <w:rFonts w:cs="Cambria"/>
                <w:color w:val="000000"/>
              </w:rPr>
            </w:pPr>
            <w:r>
              <w:rPr>
                <w:rFonts w:cs="Cambria"/>
                <w:color w:val="000000"/>
              </w:rPr>
              <w:t xml:space="preserve">Area under the plasma concentration-time curve, from 4 hours </w:t>
            </w:r>
            <w:r w:rsidR="00530E63">
              <w:rPr>
                <w:rFonts w:cs="Cambria"/>
                <w:color w:val="000000"/>
              </w:rPr>
              <w:t xml:space="preserve">to </w:t>
            </w:r>
            <w:r w:rsidR="00530E63" w:rsidRPr="00BE2FA4">
              <w:rPr>
                <w:rFonts w:cs="Cambria"/>
                <w:color w:val="000000"/>
              </w:rPr>
              <w:t xml:space="preserve">the real time </w:t>
            </w:r>
            <w:r w:rsidR="00530E63">
              <w:rPr>
                <w:rFonts w:cs="Cambria"/>
                <w:color w:val="000000"/>
              </w:rPr>
              <w:t>t</w:t>
            </w:r>
            <w:r w:rsidR="00530E63" w:rsidRPr="00D94C23">
              <w:rPr>
                <w:rFonts w:cs="Cambria"/>
                <w:color w:val="000000"/>
                <w:vertAlign w:val="subscript"/>
              </w:rPr>
              <w:t>last</w:t>
            </w:r>
            <w:r w:rsidR="00530E63">
              <w:rPr>
                <w:rFonts w:cs="Cambria"/>
                <w:color w:val="000000"/>
              </w:rPr>
              <w:t>/t</w:t>
            </w:r>
            <w:r w:rsidR="00530E63" w:rsidRPr="00BE2FA4">
              <w:rPr>
                <w:rFonts w:cs="Cambria"/>
                <w:color w:val="000000"/>
              </w:rPr>
              <w:t>ime corresponding to the last concentration above the limit of quantification</w:t>
            </w:r>
          </w:p>
        </w:tc>
      </w:tr>
      <w:tr w:rsidR="00B5444A" w:rsidRPr="00FD119B" w14:paraId="524593C8" w14:textId="77777777" w:rsidTr="00FD119B">
        <w:tc>
          <w:tcPr>
            <w:tcW w:w="1809" w:type="dxa"/>
          </w:tcPr>
          <w:p w14:paraId="74525CFD" w14:textId="77777777" w:rsidR="00B5444A" w:rsidRPr="00D26B8D" w:rsidRDefault="00B5444A" w:rsidP="00522805">
            <w:pPr>
              <w:ind w:left="0"/>
              <w:rPr>
                <w:szCs w:val="22"/>
              </w:rPr>
            </w:pPr>
            <w:r w:rsidRPr="00D26B8D">
              <w:rPr>
                <w:szCs w:val="22"/>
              </w:rPr>
              <w:t>AUC</w:t>
            </w:r>
            <w:r w:rsidRPr="002E63AF">
              <w:rPr>
                <w:szCs w:val="22"/>
                <w:vertAlign w:val="subscript"/>
              </w:rPr>
              <w:t>last</w:t>
            </w:r>
          </w:p>
        </w:tc>
        <w:tc>
          <w:tcPr>
            <w:tcW w:w="6911" w:type="dxa"/>
          </w:tcPr>
          <w:p w14:paraId="16C658B3" w14:textId="2B67DF03" w:rsidR="00B5444A" w:rsidRDefault="00D5274F" w:rsidP="00BE2FA4">
            <w:pPr>
              <w:ind w:left="0"/>
              <w:rPr>
                <w:rFonts w:cs="Cambria"/>
                <w:color w:val="000000"/>
              </w:rPr>
            </w:pPr>
            <w:r w:rsidRPr="00AA6A42">
              <w:t>Area under the plasma concentration-time curve from time zero to time of last measurable concentration</w:t>
            </w:r>
          </w:p>
        </w:tc>
      </w:tr>
      <w:tr w:rsidR="00B5444A" w:rsidRPr="00FD119B" w14:paraId="355975B5" w14:textId="77777777" w:rsidTr="00FD119B">
        <w:tc>
          <w:tcPr>
            <w:tcW w:w="1809" w:type="dxa"/>
          </w:tcPr>
          <w:p w14:paraId="524347CE" w14:textId="77777777" w:rsidR="00B5444A" w:rsidRDefault="00B5444A" w:rsidP="0016400F">
            <w:pPr>
              <w:ind w:left="0"/>
            </w:pPr>
            <w:r>
              <w:t>CI</w:t>
            </w:r>
          </w:p>
        </w:tc>
        <w:tc>
          <w:tcPr>
            <w:tcW w:w="6911" w:type="dxa"/>
          </w:tcPr>
          <w:p w14:paraId="7A26961B" w14:textId="77777777" w:rsidR="00B5444A" w:rsidRDefault="00B5444A" w:rsidP="0016400F">
            <w:pPr>
              <w:ind w:left="0"/>
            </w:pPr>
            <w:r>
              <w:t>Confidence interval</w:t>
            </w:r>
          </w:p>
        </w:tc>
      </w:tr>
      <w:tr w:rsidR="00B5444A" w:rsidRPr="00FD119B" w14:paraId="3B6F5EB6" w14:textId="77777777" w:rsidTr="00FD119B">
        <w:tc>
          <w:tcPr>
            <w:tcW w:w="1809" w:type="dxa"/>
          </w:tcPr>
          <w:p w14:paraId="440569CF" w14:textId="77777777" w:rsidR="00B5444A" w:rsidRDefault="00B5444A" w:rsidP="00522805">
            <w:pPr>
              <w:ind w:left="0"/>
              <w:rPr>
                <w:rFonts w:cs="Cambria"/>
                <w:color w:val="000000"/>
              </w:rPr>
            </w:pPr>
            <w:r w:rsidRPr="00522805">
              <w:t>C</w:t>
            </w:r>
            <w:r w:rsidRPr="00522805">
              <w:rPr>
                <w:vertAlign w:val="subscript"/>
              </w:rPr>
              <w:t>max</w:t>
            </w:r>
          </w:p>
        </w:tc>
        <w:tc>
          <w:tcPr>
            <w:tcW w:w="6911" w:type="dxa"/>
          </w:tcPr>
          <w:p w14:paraId="1EB907DD" w14:textId="1BC92C2E" w:rsidR="00B5444A" w:rsidRDefault="00B5444A" w:rsidP="00A76455">
            <w:pPr>
              <w:ind w:left="0"/>
              <w:rPr>
                <w:rFonts w:cs="Cambria"/>
                <w:color w:val="000000"/>
              </w:rPr>
            </w:pPr>
            <w:r>
              <w:rPr>
                <w:rFonts w:cs="Cambria"/>
                <w:color w:val="000000"/>
              </w:rPr>
              <w:t xml:space="preserve">Maximum </w:t>
            </w:r>
            <w:r w:rsidR="00A76455">
              <w:rPr>
                <w:rFonts w:cs="Cambria"/>
                <w:color w:val="000000"/>
              </w:rPr>
              <w:t>plasma</w:t>
            </w:r>
            <w:r>
              <w:rPr>
                <w:rFonts w:cs="Cambria"/>
                <w:color w:val="000000"/>
              </w:rPr>
              <w:t xml:space="preserve"> concentration</w:t>
            </w:r>
          </w:p>
        </w:tc>
      </w:tr>
      <w:tr w:rsidR="00B5444A" w:rsidRPr="00FD119B" w14:paraId="6E4B88AE" w14:textId="77777777" w:rsidTr="00FD119B">
        <w:tc>
          <w:tcPr>
            <w:tcW w:w="1809" w:type="dxa"/>
          </w:tcPr>
          <w:p w14:paraId="3A913326" w14:textId="77777777" w:rsidR="00B5444A" w:rsidRPr="00FD119B" w:rsidRDefault="00B5444A" w:rsidP="00CF5DAD">
            <w:pPr>
              <w:ind w:left="0" w:right="0"/>
              <w:rPr>
                <w:color w:val="auto"/>
                <w:szCs w:val="22"/>
                <w:lang w:eastAsia="en-US"/>
              </w:rPr>
            </w:pPr>
            <w:r>
              <w:rPr>
                <w:color w:val="auto"/>
                <w:szCs w:val="22"/>
                <w:lang w:eastAsia="en-US"/>
              </w:rPr>
              <w:t>CMI</w:t>
            </w:r>
          </w:p>
        </w:tc>
        <w:tc>
          <w:tcPr>
            <w:tcW w:w="6911" w:type="dxa"/>
          </w:tcPr>
          <w:p w14:paraId="6F641A22" w14:textId="77777777" w:rsidR="00B5444A" w:rsidRPr="00FD119B" w:rsidRDefault="00B5444A" w:rsidP="00CF5DAD">
            <w:pPr>
              <w:ind w:left="0" w:right="0"/>
              <w:rPr>
                <w:color w:val="auto"/>
                <w:szCs w:val="22"/>
                <w:lang w:eastAsia="en-US"/>
              </w:rPr>
            </w:pPr>
            <w:r>
              <w:rPr>
                <w:color w:val="auto"/>
                <w:szCs w:val="22"/>
                <w:lang w:eastAsia="en-US"/>
              </w:rPr>
              <w:t>Consumer Medicines Information</w:t>
            </w:r>
          </w:p>
        </w:tc>
      </w:tr>
      <w:tr w:rsidR="00B5444A" w:rsidRPr="00FD119B" w14:paraId="07F38970" w14:textId="77777777" w:rsidTr="00FD119B">
        <w:tc>
          <w:tcPr>
            <w:tcW w:w="1809" w:type="dxa"/>
          </w:tcPr>
          <w:p w14:paraId="48A990B3" w14:textId="77777777" w:rsidR="00B5444A" w:rsidRDefault="00B5444A" w:rsidP="00292B4C">
            <w:pPr>
              <w:ind w:left="0"/>
            </w:pPr>
            <w:r>
              <w:rPr>
                <w:rFonts w:eastAsiaTheme="minorHAnsi" w:cs="Cambria"/>
                <w:color w:val="000000"/>
              </w:rPr>
              <w:t>CSII</w:t>
            </w:r>
          </w:p>
        </w:tc>
        <w:tc>
          <w:tcPr>
            <w:tcW w:w="6911" w:type="dxa"/>
          </w:tcPr>
          <w:p w14:paraId="2C20F8BF" w14:textId="77777777" w:rsidR="00B5444A" w:rsidRDefault="00B5444A" w:rsidP="00292B4C">
            <w:pPr>
              <w:ind w:left="0"/>
            </w:pPr>
            <w:r>
              <w:rPr>
                <w:rFonts w:eastAsiaTheme="minorHAnsi" w:cs="Cambria"/>
                <w:color w:val="000000"/>
              </w:rPr>
              <w:t>C</w:t>
            </w:r>
            <w:r w:rsidRPr="005A79DE">
              <w:rPr>
                <w:rFonts w:eastAsiaTheme="minorHAnsi" w:cs="Cambria"/>
                <w:color w:val="000000"/>
              </w:rPr>
              <w:t>ontinuous subcutaneous insulin infusion</w:t>
            </w:r>
          </w:p>
        </w:tc>
      </w:tr>
      <w:tr w:rsidR="00B5444A" w:rsidRPr="00FD119B" w14:paraId="5B31CCA5" w14:textId="77777777" w:rsidTr="00FD119B">
        <w:tc>
          <w:tcPr>
            <w:tcW w:w="1809" w:type="dxa"/>
          </w:tcPr>
          <w:p w14:paraId="24EC3D32" w14:textId="77777777" w:rsidR="00B5444A" w:rsidRDefault="00B5444A" w:rsidP="007A2F15">
            <w:pPr>
              <w:ind w:left="0"/>
              <w:rPr>
                <w:rFonts w:eastAsiaTheme="minorHAnsi" w:cs="Cambria"/>
                <w:color w:val="000000"/>
              </w:rPr>
            </w:pPr>
            <w:r>
              <w:rPr>
                <w:rFonts w:eastAsiaTheme="minorHAnsi" w:cs="Cambria"/>
                <w:color w:val="000000"/>
              </w:rPr>
              <w:t>EMA</w:t>
            </w:r>
          </w:p>
        </w:tc>
        <w:tc>
          <w:tcPr>
            <w:tcW w:w="6911" w:type="dxa"/>
          </w:tcPr>
          <w:p w14:paraId="15F460C9" w14:textId="7C040DCA" w:rsidR="00B5444A" w:rsidRDefault="00B5444A" w:rsidP="007A2F15">
            <w:pPr>
              <w:ind w:left="0"/>
              <w:rPr>
                <w:rFonts w:eastAsiaTheme="minorHAnsi" w:cs="Cambria"/>
                <w:color w:val="000000"/>
              </w:rPr>
            </w:pPr>
            <w:r>
              <w:rPr>
                <w:rFonts w:eastAsiaTheme="minorHAnsi" w:cs="Cambria"/>
                <w:color w:val="000000"/>
              </w:rPr>
              <w:t>European Medicines Agency</w:t>
            </w:r>
            <w:r w:rsidR="00AA6A42">
              <w:rPr>
                <w:rFonts w:eastAsiaTheme="minorHAnsi" w:cs="Cambria"/>
                <w:color w:val="000000"/>
              </w:rPr>
              <w:t xml:space="preserve"> (European Union)</w:t>
            </w:r>
          </w:p>
        </w:tc>
      </w:tr>
      <w:tr w:rsidR="00B5444A" w:rsidRPr="00FD119B" w14:paraId="034F46DA" w14:textId="77777777" w:rsidTr="00FD119B">
        <w:tc>
          <w:tcPr>
            <w:tcW w:w="1809" w:type="dxa"/>
          </w:tcPr>
          <w:p w14:paraId="2084B6AD" w14:textId="77777777" w:rsidR="00B5444A" w:rsidRDefault="00B5444A" w:rsidP="005940D1">
            <w:pPr>
              <w:ind w:left="0"/>
            </w:pPr>
            <w:r>
              <w:t>EU</w:t>
            </w:r>
          </w:p>
        </w:tc>
        <w:tc>
          <w:tcPr>
            <w:tcW w:w="6911" w:type="dxa"/>
          </w:tcPr>
          <w:p w14:paraId="1E60D16F" w14:textId="77777777" w:rsidR="00B5444A" w:rsidRDefault="00B5444A" w:rsidP="005940D1">
            <w:pPr>
              <w:ind w:left="0"/>
            </w:pPr>
            <w:r>
              <w:t>European Union</w:t>
            </w:r>
          </w:p>
        </w:tc>
      </w:tr>
      <w:tr w:rsidR="00B5444A" w:rsidRPr="00FD119B" w14:paraId="2FF9B38F" w14:textId="77777777" w:rsidTr="00FD119B">
        <w:tc>
          <w:tcPr>
            <w:tcW w:w="1809" w:type="dxa"/>
          </w:tcPr>
          <w:p w14:paraId="135DBD2A" w14:textId="77777777" w:rsidR="00B5444A" w:rsidRPr="00522805" w:rsidRDefault="00B5444A" w:rsidP="006B7128">
            <w:pPr>
              <w:ind w:left="0"/>
            </w:pPr>
            <w:r>
              <w:t>GIR</w:t>
            </w:r>
          </w:p>
        </w:tc>
        <w:tc>
          <w:tcPr>
            <w:tcW w:w="6911" w:type="dxa"/>
          </w:tcPr>
          <w:p w14:paraId="0E2EAEEF" w14:textId="77777777" w:rsidR="00B5444A" w:rsidRDefault="00B5444A" w:rsidP="006B7128">
            <w:pPr>
              <w:ind w:left="0"/>
              <w:rPr>
                <w:rFonts w:cs="Cambria"/>
                <w:color w:val="000000"/>
              </w:rPr>
            </w:pPr>
            <w:r>
              <w:rPr>
                <w:rFonts w:cs="Cambria"/>
                <w:color w:val="000000"/>
              </w:rPr>
              <w:t>Glucose infusion rate</w:t>
            </w:r>
          </w:p>
        </w:tc>
      </w:tr>
      <w:tr w:rsidR="00D828D8" w:rsidRPr="00FD119B" w14:paraId="179A83D7" w14:textId="77777777" w:rsidTr="00FD119B">
        <w:tc>
          <w:tcPr>
            <w:tcW w:w="1809" w:type="dxa"/>
          </w:tcPr>
          <w:p w14:paraId="7AE1E906" w14:textId="780D646B" w:rsidR="00D828D8" w:rsidRDefault="00D828D8" w:rsidP="00D26B8D">
            <w:pPr>
              <w:ind w:left="0"/>
            </w:pPr>
            <w:r>
              <w:t>GIR-AUC</w:t>
            </w:r>
            <w:r w:rsidRPr="00536486">
              <w:rPr>
                <w:vertAlign w:val="subscript"/>
              </w:rPr>
              <w:t>0-12</w:t>
            </w:r>
          </w:p>
        </w:tc>
        <w:tc>
          <w:tcPr>
            <w:tcW w:w="6911" w:type="dxa"/>
          </w:tcPr>
          <w:p w14:paraId="47B576C7" w14:textId="080989CB" w:rsidR="00D828D8" w:rsidRDefault="00D828D8" w:rsidP="00D26B8D">
            <w:pPr>
              <w:ind w:left="0"/>
              <w:rPr>
                <w:rFonts w:cs="Cambria"/>
                <w:color w:val="000000"/>
              </w:rPr>
            </w:pPr>
            <w:r>
              <w:t>Area under the body weight standardi</w:t>
            </w:r>
            <w:r w:rsidR="00AA6A42">
              <w:t>s</w:t>
            </w:r>
            <w:r>
              <w:t>ed glucose infusion rate time curve from 0 to 12 hours</w:t>
            </w:r>
          </w:p>
        </w:tc>
      </w:tr>
      <w:tr w:rsidR="00B5444A" w:rsidRPr="00FD119B" w14:paraId="603CD4DA" w14:textId="77777777" w:rsidTr="00FD119B">
        <w:tc>
          <w:tcPr>
            <w:tcW w:w="1809" w:type="dxa"/>
          </w:tcPr>
          <w:p w14:paraId="196A3949" w14:textId="77777777" w:rsidR="00B5444A" w:rsidRDefault="00B5444A" w:rsidP="00107F97">
            <w:pPr>
              <w:ind w:left="0"/>
            </w:pPr>
            <w:r>
              <w:t>GLUT4</w:t>
            </w:r>
          </w:p>
        </w:tc>
        <w:tc>
          <w:tcPr>
            <w:tcW w:w="6911" w:type="dxa"/>
          </w:tcPr>
          <w:p w14:paraId="1B24722C" w14:textId="77777777" w:rsidR="00B5444A" w:rsidRDefault="00B5444A" w:rsidP="00107F97">
            <w:pPr>
              <w:ind w:left="0"/>
            </w:pPr>
            <w:r>
              <w:t>Glucose transporter type 4</w:t>
            </w:r>
          </w:p>
        </w:tc>
      </w:tr>
      <w:tr w:rsidR="00B5444A" w:rsidRPr="00FD119B" w14:paraId="234A3BDE" w14:textId="77777777" w:rsidTr="00FD119B">
        <w:tc>
          <w:tcPr>
            <w:tcW w:w="1809" w:type="dxa"/>
          </w:tcPr>
          <w:p w14:paraId="18BEAB5B" w14:textId="77777777" w:rsidR="00B5444A" w:rsidRDefault="00B5444A" w:rsidP="002E5A59">
            <w:pPr>
              <w:ind w:left="0"/>
            </w:pPr>
            <w:r>
              <w:t>HbA1c</w:t>
            </w:r>
          </w:p>
        </w:tc>
        <w:tc>
          <w:tcPr>
            <w:tcW w:w="6911" w:type="dxa"/>
          </w:tcPr>
          <w:p w14:paraId="65C074B5" w14:textId="77777777" w:rsidR="00B5444A" w:rsidRDefault="00B5444A" w:rsidP="002E5A59">
            <w:pPr>
              <w:ind w:left="0"/>
              <w:rPr>
                <w:rFonts w:cs="Cambria"/>
                <w:color w:val="000000"/>
              </w:rPr>
            </w:pPr>
            <w:r>
              <w:rPr>
                <w:rFonts w:cs="Cambria"/>
                <w:color w:val="000000"/>
              </w:rPr>
              <w:t>Haemoglobin A1C</w:t>
            </w:r>
          </w:p>
        </w:tc>
      </w:tr>
      <w:tr w:rsidR="00F944AA" w:rsidRPr="00FD119B" w14:paraId="6A9123BC" w14:textId="77777777" w:rsidTr="00FD119B">
        <w:tc>
          <w:tcPr>
            <w:tcW w:w="1809" w:type="dxa"/>
          </w:tcPr>
          <w:p w14:paraId="5E0C97EB" w14:textId="01391AA6" w:rsidR="00F944AA" w:rsidRDefault="00F944AA" w:rsidP="00D26B8D">
            <w:pPr>
              <w:ind w:left="0"/>
            </w:pPr>
            <w:r>
              <w:t>IGF-1</w:t>
            </w:r>
          </w:p>
        </w:tc>
        <w:tc>
          <w:tcPr>
            <w:tcW w:w="6911" w:type="dxa"/>
          </w:tcPr>
          <w:p w14:paraId="242CED1C" w14:textId="1487A825" w:rsidR="00F944AA" w:rsidRPr="00963A3A" w:rsidRDefault="00F944AA" w:rsidP="00D26B8D">
            <w:pPr>
              <w:ind w:left="0"/>
            </w:pPr>
            <w:r>
              <w:t>I</w:t>
            </w:r>
            <w:r w:rsidRPr="00963A3A">
              <w:t>nsulin-like growth factor 1</w:t>
            </w:r>
          </w:p>
        </w:tc>
      </w:tr>
      <w:tr w:rsidR="00B5444A" w:rsidRPr="00FD119B" w14:paraId="26752190" w14:textId="77777777" w:rsidTr="00FD119B">
        <w:tc>
          <w:tcPr>
            <w:tcW w:w="1809" w:type="dxa"/>
          </w:tcPr>
          <w:p w14:paraId="71E76DA4" w14:textId="77777777" w:rsidR="00B5444A" w:rsidRDefault="00B5444A" w:rsidP="00963A3A">
            <w:pPr>
              <w:ind w:left="0"/>
            </w:pPr>
            <w:r>
              <w:rPr>
                <w:szCs w:val="22"/>
              </w:rPr>
              <w:t>IGF1-R</w:t>
            </w:r>
          </w:p>
        </w:tc>
        <w:tc>
          <w:tcPr>
            <w:tcW w:w="6911" w:type="dxa"/>
          </w:tcPr>
          <w:p w14:paraId="56661D0B" w14:textId="77777777" w:rsidR="00B5444A" w:rsidRDefault="00B5444A" w:rsidP="00963A3A">
            <w:pPr>
              <w:ind w:left="0"/>
            </w:pPr>
            <w:r w:rsidRPr="00963A3A">
              <w:t>Insulin-like growth factor 1 receptor</w:t>
            </w:r>
          </w:p>
        </w:tc>
      </w:tr>
      <w:tr w:rsidR="00530E63" w:rsidRPr="00FD119B" w14:paraId="74DD5D0F" w14:textId="77777777" w:rsidTr="00FD119B">
        <w:tc>
          <w:tcPr>
            <w:tcW w:w="1809" w:type="dxa"/>
          </w:tcPr>
          <w:p w14:paraId="784B6E97" w14:textId="2433C820" w:rsidR="00530E63" w:rsidRDefault="00530E63" w:rsidP="0077511D">
            <w:pPr>
              <w:ind w:left="0"/>
            </w:pPr>
            <w:r>
              <w:t>INS</w:t>
            </w:r>
          </w:p>
        </w:tc>
        <w:tc>
          <w:tcPr>
            <w:tcW w:w="6911" w:type="dxa"/>
          </w:tcPr>
          <w:p w14:paraId="00DE8D3F" w14:textId="5C10C341" w:rsidR="00530E63" w:rsidRPr="00963A3A" w:rsidRDefault="00530E63" w:rsidP="0077511D">
            <w:pPr>
              <w:ind w:left="0"/>
            </w:pPr>
            <w:r>
              <w:t>Insulin aspart</w:t>
            </w:r>
          </w:p>
        </w:tc>
      </w:tr>
      <w:tr w:rsidR="00B5444A" w:rsidRPr="00FD119B" w14:paraId="161EFAC5" w14:textId="77777777" w:rsidTr="00FD119B">
        <w:tc>
          <w:tcPr>
            <w:tcW w:w="1809" w:type="dxa"/>
          </w:tcPr>
          <w:p w14:paraId="769560BC" w14:textId="77777777" w:rsidR="00B5444A" w:rsidRDefault="00B5444A" w:rsidP="006B00D3">
            <w:pPr>
              <w:ind w:left="0"/>
            </w:pPr>
            <w:r>
              <w:lastRenderedPageBreak/>
              <w:t>IR-A</w:t>
            </w:r>
          </w:p>
        </w:tc>
        <w:tc>
          <w:tcPr>
            <w:tcW w:w="6911" w:type="dxa"/>
          </w:tcPr>
          <w:p w14:paraId="5BACFAD1" w14:textId="1ABAF1B6" w:rsidR="00B5444A" w:rsidRDefault="00B5444A" w:rsidP="006B00D3">
            <w:pPr>
              <w:ind w:left="0"/>
            </w:pPr>
            <w:r>
              <w:t xml:space="preserve">Insulin </w:t>
            </w:r>
            <w:r w:rsidR="00F944AA">
              <w:t xml:space="preserve">receptor isoform </w:t>
            </w:r>
            <w:r>
              <w:t>A</w:t>
            </w:r>
          </w:p>
        </w:tc>
      </w:tr>
      <w:tr w:rsidR="00B5444A" w:rsidRPr="00FD119B" w14:paraId="4FA8C851" w14:textId="77777777" w:rsidTr="00FD119B">
        <w:tc>
          <w:tcPr>
            <w:tcW w:w="1809" w:type="dxa"/>
          </w:tcPr>
          <w:p w14:paraId="3D871F0C" w14:textId="77777777" w:rsidR="00B5444A" w:rsidRDefault="00B5444A" w:rsidP="006B00D3">
            <w:pPr>
              <w:ind w:left="0"/>
            </w:pPr>
            <w:r>
              <w:t>IR-B</w:t>
            </w:r>
          </w:p>
        </w:tc>
        <w:tc>
          <w:tcPr>
            <w:tcW w:w="6911" w:type="dxa"/>
          </w:tcPr>
          <w:p w14:paraId="03BEF424" w14:textId="59EE729A" w:rsidR="00B5444A" w:rsidRDefault="00B5444A" w:rsidP="006B00D3">
            <w:pPr>
              <w:ind w:left="0"/>
            </w:pPr>
            <w:r>
              <w:t xml:space="preserve">Insulin </w:t>
            </w:r>
            <w:r w:rsidR="00F944AA">
              <w:t xml:space="preserve">receptor isoform </w:t>
            </w:r>
            <w:r>
              <w:t>B</w:t>
            </w:r>
          </w:p>
        </w:tc>
      </w:tr>
      <w:tr w:rsidR="00B5444A" w:rsidRPr="00FD119B" w14:paraId="4E9F0A35" w14:textId="77777777" w:rsidTr="00FD119B">
        <w:tc>
          <w:tcPr>
            <w:tcW w:w="1809" w:type="dxa"/>
          </w:tcPr>
          <w:p w14:paraId="1919B0F5" w14:textId="77777777" w:rsidR="00B5444A" w:rsidRDefault="00B5444A" w:rsidP="00C56EB4">
            <w:pPr>
              <w:ind w:left="0"/>
            </w:pPr>
            <w:r>
              <w:t>NZ</w:t>
            </w:r>
          </w:p>
        </w:tc>
        <w:tc>
          <w:tcPr>
            <w:tcW w:w="6911" w:type="dxa"/>
          </w:tcPr>
          <w:p w14:paraId="09A65F34" w14:textId="77777777" w:rsidR="00B5444A" w:rsidRDefault="00B5444A" w:rsidP="00C56EB4">
            <w:pPr>
              <w:ind w:left="0"/>
            </w:pPr>
            <w:r>
              <w:t>New Zealand</w:t>
            </w:r>
          </w:p>
        </w:tc>
      </w:tr>
      <w:tr w:rsidR="00B5444A" w:rsidRPr="00FD119B" w14:paraId="2600AA5D" w14:textId="77777777" w:rsidTr="00FD119B">
        <w:tc>
          <w:tcPr>
            <w:tcW w:w="1809" w:type="dxa"/>
          </w:tcPr>
          <w:p w14:paraId="4657758F" w14:textId="77777777" w:rsidR="00B5444A" w:rsidRDefault="00B5444A" w:rsidP="00292B4C">
            <w:pPr>
              <w:ind w:left="0"/>
              <w:rPr>
                <w:rFonts w:eastAsiaTheme="minorHAnsi" w:cs="Cambria"/>
                <w:color w:val="000000"/>
              </w:rPr>
            </w:pPr>
            <w:r>
              <w:rPr>
                <w:rFonts w:eastAsiaTheme="minorHAnsi" w:cs="Cambria"/>
                <w:color w:val="000000"/>
              </w:rPr>
              <w:t>PD</w:t>
            </w:r>
          </w:p>
        </w:tc>
        <w:tc>
          <w:tcPr>
            <w:tcW w:w="6911" w:type="dxa"/>
          </w:tcPr>
          <w:p w14:paraId="2445D4C7" w14:textId="77777777" w:rsidR="00B5444A" w:rsidRPr="005A79DE" w:rsidRDefault="00B5444A" w:rsidP="00292B4C">
            <w:pPr>
              <w:ind w:left="0"/>
              <w:rPr>
                <w:rFonts w:eastAsiaTheme="minorHAnsi" w:cs="Cambria"/>
                <w:color w:val="000000"/>
              </w:rPr>
            </w:pPr>
            <w:r>
              <w:rPr>
                <w:rFonts w:eastAsiaTheme="minorHAnsi" w:cs="Cambria"/>
                <w:color w:val="000000"/>
              </w:rPr>
              <w:t>Pharmacodynamic/s</w:t>
            </w:r>
          </w:p>
        </w:tc>
      </w:tr>
      <w:tr w:rsidR="00B5444A" w:rsidRPr="00FD119B" w14:paraId="63DD1CA7" w14:textId="77777777" w:rsidTr="00FD119B">
        <w:tc>
          <w:tcPr>
            <w:tcW w:w="1809" w:type="dxa"/>
          </w:tcPr>
          <w:p w14:paraId="029483FC" w14:textId="77777777" w:rsidR="00B5444A" w:rsidRPr="0077511D" w:rsidRDefault="00B5444A" w:rsidP="00522805">
            <w:pPr>
              <w:ind w:left="0"/>
              <w:rPr>
                <w:szCs w:val="22"/>
              </w:rPr>
            </w:pPr>
            <w:r w:rsidRPr="0077511D">
              <w:rPr>
                <w:szCs w:val="22"/>
              </w:rPr>
              <w:t>pg/ml</w:t>
            </w:r>
          </w:p>
        </w:tc>
        <w:tc>
          <w:tcPr>
            <w:tcW w:w="6911" w:type="dxa"/>
          </w:tcPr>
          <w:p w14:paraId="169817FE" w14:textId="2AA1EEDA" w:rsidR="00B5444A" w:rsidRDefault="0077511D" w:rsidP="00F50BDE">
            <w:pPr>
              <w:ind w:left="0"/>
              <w:rPr>
                <w:rFonts w:cs="Cambria"/>
                <w:color w:val="000000"/>
              </w:rPr>
            </w:pPr>
            <w:r>
              <w:rPr>
                <w:rFonts w:cs="Cambria"/>
                <w:color w:val="000000"/>
              </w:rPr>
              <w:t>Picograms</w:t>
            </w:r>
            <w:r w:rsidR="00B5444A">
              <w:rPr>
                <w:rFonts w:cs="Cambria"/>
                <w:color w:val="000000"/>
              </w:rPr>
              <w:t xml:space="preserve"> per millilitre</w:t>
            </w:r>
          </w:p>
        </w:tc>
      </w:tr>
      <w:tr w:rsidR="00B5444A" w:rsidRPr="00FD119B" w14:paraId="43DD0C1B" w14:textId="77777777" w:rsidTr="00FD119B">
        <w:tc>
          <w:tcPr>
            <w:tcW w:w="1809" w:type="dxa"/>
          </w:tcPr>
          <w:p w14:paraId="34A1180C" w14:textId="743038E4" w:rsidR="00B5444A" w:rsidRPr="0077511D" w:rsidRDefault="00B5444A" w:rsidP="00F426E6">
            <w:pPr>
              <w:ind w:left="0"/>
              <w:rPr>
                <w:szCs w:val="22"/>
              </w:rPr>
            </w:pPr>
            <w:r w:rsidRPr="0077511D">
              <w:rPr>
                <w:szCs w:val="22"/>
              </w:rPr>
              <w:t>pg</w:t>
            </w:r>
            <w:r w:rsidR="00F426E6">
              <w:rPr>
                <w:szCs w:val="22"/>
              </w:rPr>
              <w:t>*</w:t>
            </w:r>
            <w:r w:rsidRPr="0077511D">
              <w:rPr>
                <w:szCs w:val="22"/>
              </w:rPr>
              <w:t>hr/ml</w:t>
            </w:r>
          </w:p>
        </w:tc>
        <w:tc>
          <w:tcPr>
            <w:tcW w:w="6911" w:type="dxa"/>
          </w:tcPr>
          <w:p w14:paraId="232454FC" w14:textId="79037B9C" w:rsidR="00B5444A" w:rsidRDefault="00B5444A" w:rsidP="00F426E6">
            <w:pPr>
              <w:ind w:left="0"/>
              <w:rPr>
                <w:rFonts w:cs="Cambria"/>
                <w:color w:val="000000"/>
              </w:rPr>
            </w:pPr>
            <w:r>
              <w:rPr>
                <w:rFonts w:cs="Cambria"/>
                <w:color w:val="000000"/>
              </w:rPr>
              <w:t xml:space="preserve">Picograms </w:t>
            </w:r>
            <w:r w:rsidR="00F426E6">
              <w:rPr>
                <w:rFonts w:cs="Cambria"/>
                <w:color w:val="000000"/>
              </w:rPr>
              <w:t xml:space="preserve">times </w:t>
            </w:r>
            <w:r>
              <w:rPr>
                <w:rFonts w:cs="Cambria"/>
                <w:color w:val="000000"/>
              </w:rPr>
              <w:t>hour</w:t>
            </w:r>
            <w:r w:rsidR="00F426E6">
              <w:rPr>
                <w:rFonts w:cs="Cambria"/>
                <w:color w:val="000000"/>
              </w:rPr>
              <w:t>s</w:t>
            </w:r>
            <w:r>
              <w:rPr>
                <w:rFonts w:cs="Cambria"/>
                <w:color w:val="000000"/>
              </w:rPr>
              <w:t xml:space="preserve"> per millilitre</w:t>
            </w:r>
          </w:p>
        </w:tc>
      </w:tr>
      <w:tr w:rsidR="00B5444A" w:rsidRPr="00FD119B" w14:paraId="6B8440F2" w14:textId="77777777" w:rsidTr="00FD119B">
        <w:tc>
          <w:tcPr>
            <w:tcW w:w="1809" w:type="dxa"/>
          </w:tcPr>
          <w:p w14:paraId="1226495E" w14:textId="77777777" w:rsidR="00B5444A" w:rsidRPr="00FD119B" w:rsidRDefault="00B5444A" w:rsidP="00CF5DAD">
            <w:pPr>
              <w:ind w:left="0" w:right="0"/>
              <w:rPr>
                <w:color w:val="auto"/>
                <w:szCs w:val="22"/>
                <w:lang w:eastAsia="en-US"/>
              </w:rPr>
            </w:pPr>
            <w:r>
              <w:rPr>
                <w:color w:val="auto"/>
                <w:szCs w:val="22"/>
                <w:lang w:eastAsia="en-US"/>
              </w:rPr>
              <w:t>PI</w:t>
            </w:r>
          </w:p>
        </w:tc>
        <w:tc>
          <w:tcPr>
            <w:tcW w:w="6911" w:type="dxa"/>
          </w:tcPr>
          <w:p w14:paraId="61D961A7" w14:textId="77777777" w:rsidR="00B5444A" w:rsidRPr="00FD119B" w:rsidRDefault="00B5444A" w:rsidP="00CF5DAD">
            <w:pPr>
              <w:ind w:left="0" w:right="0"/>
              <w:rPr>
                <w:color w:val="auto"/>
                <w:szCs w:val="22"/>
                <w:lang w:eastAsia="en-US"/>
              </w:rPr>
            </w:pPr>
            <w:r>
              <w:rPr>
                <w:color w:val="auto"/>
                <w:szCs w:val="22"/>
                <w:lang w:eastAsia="en-US"/>
              </w:rPr>
              <w:t>Product Information</w:t>
            </w:r>
          </w:p>
        </w:tc>
      </w:tr>
      <w:tr w:rsidR="00B5444A" w:rsidRPr="00FD119B" w14:paraId="60356A5E" w14:textId="77777777" w:rsidTr="00FD119B">
        <w:tc>
          <w:tcPr>
            <w:tcW w:w="1809" w:type="dxa"/>
          </w:tcPr>
          <w:p w14:paraId="5DC40B41" w14:textId="77777777" w:rsidR="00B5444A" w:rsidRDefault="00B5444A" w:rsidP="00292B4C">
            <w:pPr>
              <w:ind w:left="0"/>
              <w:rPr>
                <w:rFonts w:eastAsiaTheme="minorHAnsi" w:cs="Cambria"/>
                <w:color w:val="000000"/>
              </w:rPr>
            </w:pPr>
            <w:r>
              <w:rPr>
                <w:rFonts w:eastAsiaTheme="minorHAnsi" w:cs="Cambria"/>
                <w:color w:val="000000"/>
              </w:rPr>
              <w:t>PK</w:t>
            </w:r>
          </w:p>
        </w:tc>
        <w:tc>
          <w:tcPr>
            <w:tcW w:w="6911" w:type="dxa"/>
          </w:tcPr>
          <w:p w14:paraId="44F0AD4E" w14:textId="77777777" w:rsidR="00B5444A" w:rsidRPr="005A79DE" w:rsidRDefault="00B5444A" w:rsidP="00292B4C">
            <w:pPr>
              <w:ind w:left="0"/>
              <w:rPr>
                <w:rFonts w:eastAsiaTheme="minorHAnsi" w:cs="Cambria"/>
                <w:color w:val="000000"/>
              </w:rPr>
            </w:pPr>
            <w:r>
              <w:rPr>
                <w:rFonts w:eastAsiaTheme="minorHAnsi" w:cs="Cambria"/>
                <w:color w:val="000000"/>
              </w:rPr>
              <w:t>Pharmacokinetic/s</w:t>
            </w:r>
          </w:p>
        </w:tc>
      </w:tr>
      <w:tr w:rsidR="00B5444A" w:rsidRPr="00FD119B" w14:paraId="03686706" w14:textId="77777777" w:rsidTr="00FD119B">
        <w:tc>
          <w:tcPr>
            <w:tcW w:w="1809" w:type="dxa"/>
          </w:tcPr>
          <w:p w14:paraId="7C3E7A9A" w14:textId="77777777" w:rsidR="00B5444A" w:rsidRDefault="00B5444A" w:rsidP="00FC4AE9">
            <w:pPr>
              <w:ind w:left="0"/>
            </w:pPr>
            <w:r w:rsidRPr="00FC4AE9">
              <w:t>PSUR</w:t>
            </w:r>
          </w:p>
        </w:tc>
        <w:tc>
          <w:tcPr>
            <w:tcW w:w="6911" w:type="dxa"/>
          </w:tcPr>
          <w:p w14:paraId="03F259B7" w14:textId="4564ED93" w:rsidR="00B5444A" w:rsidRDefault="00B5444A" w:rsidP="00FC4AE9">
            <w:pPr>
              <w:ind w:left="0"/>
            </w:pPr>
            <w:r>
              <w:t xml:space="preserve">Periodic </w:t>
            </w:r>
            <w:r w:rsidR="006F13DE">
              <w:t>safety update report</w:t>
            </w:r>
          </w:p>
        </w:tc>
      </w:tr>
      <w:tr w:rsidR="00B5444A" w:rsidRPr="00FD119B" w14:paraId="7F13A6AB" w14:textId="77777777" w:rsidTr="00FD119B">
        <w:tc>
          <w:tcPr>
            <w:tcW w:w="1809" w:type="dxa"/>
          </w:tcPr>
          <w:p w14:paraId="574504BB" w14:textId="77777777" w:rsidR="00B5444A" w:rsidRDefault="00B5444A" w:rsidP="0049628A">
            <w:pPr>
              <w:ind w:left="0"/>
            </w:pPr>
            <w:r>
              <w:t>RMP</w:t>
            </w:r>
          </w:p>
        </w:tc>
        <w:tc>
          <w:tcPr>
            <w:tcW w:w="6911" w:type="dxa"/>
          </w:tcPr>
          <w:p w14:paraId="0DD35294" w14:textId="06E8AC51" w:rsidR="00B5444A" w:rsidRDefault="00B5444A" w:rsidP="0049628A">
            <w:pPr>
              <w:ind w:left="0"/>
            </w:pPr>
            <w:r>
              <w:t xml:space="preserve">Risk </w:t>
            </w:r>
            <w:r w:rsidR="006F13DE">
              <w:t>management plan</w:t>
            </w:r>
          </w:p>
        </w:tc>
      </w:tr>
      <w:tr w:rsidR="00BD22D2" w:rsidRPr="00FD119B" w14:paraId="067BE115" w14:textId="77777777" w:rsidTr="00FD119B">
        <w:tc>
          <w:tcPr>
            <w:tcW w:w="1809" w:type="dxa"/>
          </w:tcPr>
          <w:p w14:paraId="7A0D0C7B" w14:textId="41CF5CC0" w:rsidR="00BD22D2" w:rsidRDefault="00BD22D2" w:rsidP="000605CF">
            <w:pPr>
              <w:ind w:left="0"/>
            </w:pPr>
            <w:r>
              <w:t>SAR341402</w:t>
            </w:r>
          </w:p>
        </w:tc>
        <w:tc>
          <w:tcPr>
            <w:tcW w:w="6911" w:type="dxa"/>
          </w:tcPr>
          <w:p w14:paraId="61A4B335" w14:textId="7B8F39E0" w:rsidR="00BD22D2" w:rsidRDefault="00BD22D2" w:rsidP="000605CF">
            <w:pPr>
              <w:ind w:left="0"/>
            </w:pPr>
            <w:r>
              <w:t>Compound development code for Truvelog</w:t>
            </w:r>
          </w:p>
        </w:tc>
      </w:tr>
      <w:tr w:rsidR="00B5444A" w:rsidRPr="00FD119B" w14:paraId="7245C74F" w14:textId="77777777" w:rsidTr="00FD119B">
        <w:tc>
          <w:tcPr>
            <w:tcW w:w="1809" w:type="dxa"/>
          </w:tcPr>
          <w:p w14:paraId="2FEDE316" w14:textId="31272A3F" w:rsidR="00B5444A" w:rsidRDefault="00B5444A" w:rsidP="004C00B8">
            <w:pPr>
              <w:ind w:left="0"/>
            </w:pPr>
            <w:r>
              <w:t>SC</w:t>
            </w:r>
          </w:p>
        </w:tc>
        <w:tc>
          <w:tcPr>
            <w:tcW w:w="6911" w:type="dxa"/>
          </w:tcPr>
          <w:p w14:paraId="542D8B4C" w14:textId="77777777" w:rsidR="00B5444A" w:rsidRDefault="00B5444A" w:rsidP="004C00B8">
            <w:pPr>
              <w:ind w:left="0"/>
            </w:pPr>
            <w:r>
              <w:t>Subcutaneous</w:t>
            </w:r>
          </w:p>
        </w:tc>
      </w:tr>
      <w:tr w:rsidR="00D828D8" w:rsidRPr="00FD119B" w14:paraId="39B3BE0B" w14:textId="77777777" w:rsidTr="00FD119B">
        <w:tc>
          <w:tcPr>
            <w:tcW w:w="1809" w:type="dxa"/>
          </w:tcPr>
          <w:p w14:paraId="16DAFE0C" w14:textId="55ECD327" w:rsidR="00D828D8" w:rsidRDefault="00D828D8" w:rsidP="000605CF">
            <w:pPr>
              <w:ind w:left="0"/>
            </w:pPr>
            <w:r>
              <w:t>SD</w:t>
            </w:r>
          </w:p>
        </w:tc>
        <w:tc>
          <w:tcPr>
            <w:tcW w:w="6911" w:type="dxa"/>
          </w:tcPr>
          <w:p w14:paraId="6A50D2CC" w14:textId="09E9071C" w:rsidR="00D828D8" w:rsidRDefault="00D828D8" w:rsidP="000605CF">
            <w:pPr>
              <w:ind w:left="0"/>
            </w:pPr>
            <w:r>
              <w:t>Standard deviation</w:t>
            </w:r>
          </w:p>
        </w:tc>
      </w:tr>
      <w:tr w:rsidR="00D828D8" w:rsidRPr="00FD119B" w14:paraId="06C1531A" w14:textId="77777777" w:rsidTr="00FD119B">
        <w:tc>
          <w:tcPr>
            <w:tcW w:w="1809" w:type="dxa"/>
          </w:tcPr>
          <w:p w14:paraId="7E9B2F48" w14:textId="2F8D0BDD" w:rsidR="00D828D8" w:rsidRDefault="00D828D8" w:rsidP="000605CF">
            <w:pPr>
              <w:ind w:left="0"/>
            </w:pPr>
            <w:r>
              <w:t>SE</w:t>
            </w:r>
          </w:p>
        </w:tc>
        <w:tc>
          <w:tcPr>
            <w:tcW w:w="6911" w:type="dxa"/>
          </w:tcPr>
          <w:p w14:paraId="2271E740" w14:textId="5D21F2C0" w:rsidR="00D828D8" w:rsidRDefault="00D828D8" w:rsidP="000605CF">
            <w:pPr>
              <w:ind w:left="0"/>
            </w:pPr>
            <w:r>
              <w:t>Standard error</w:t>
            </w:r>
          </w:p>
        </w:tc>
      </w:tr>
      <w:tr w:rsidR="00B5444A" w:rsidRPr="00FD119B" w14:paraId="21C90F32" w14:textId="77777777" w:rsidTr="00FD119B">
        <w:tc>
          <w:tcPr>
            <w:tcW w:w="1809" w:type="dxa"/>
          </w:tcPr>
          <w:p w14:paraId="79FC26B2" w14:textId="77777777" w:rsidR="00B5444A" w:rsidRDefault="00B5444A" w:rsidP="00522805">
            <w:pPr>
              <w:ind w:left="0"/>
              <w:rPr>
                <w:sz w:val="20"/>
                <w:szCs w:val="20"/>
              </w:rPr>
            </w:pPr>
            <w:r w:rsidRPr="00522805">
              <w:t>t</w:t>
            </w:r>
            <w:r w:rsidRPr="00522805">
              <w:rPr>
                <w:vertAlign w:val="subscript"/>
              </w:rPr>
              <w:t>1/2z</w:t>
            </w:r>
          </w:p>
        </w:tc>
        <w:tc>
          <w:tcPr>
            <w:tcW w:w="6911" w:type="dxa"/>
          </w:tcPr>
          <w:p w14:paraId="59656463" w14:textId="3C8280E7" w:rsidR="00B5444A" w:rsidRDefault="00B5444A" w:rsidP="008A6C73">
            <w:pPr>
              <w:ind w:left="0"/>
              <w:rPr>
                <w:rFonts w:cs="Cambria"/>
                <w:color w:val="000000"/>
              </w:rPr>
            </w:pPr>
            <w:r>
              <w:rPr>
                <w:rFonts w:cs="Cambria"/>
                <w:color w:val="000000"/>
              </w:rPr>
              <w:t>Terminal half life</w:t>
            </w:r>
            <w:r w:rsidR="00BE2FA4">
              <w:rPr>
                <w:rFonts w:cs="Cambria"/>
                <w:color w:val="000000"/>
              </w:rPr>
              <w:t xml:space="preserve"> </w:t>
            </w:r>
            <w:r w:rsidR="00BE2FA4">
              <w:t>associated with the terminal slope</w:t>
            </w:r>
          </w:p>
        </w:tc>
      </w:tr>
      <w:tr w:rsidR="00B5444A" w:rsidRPr="00FD119B" w14:paraId="4A2CDD72" w14:textId="77777777" w:rsidTr="00FD119B">
        <w:tc>
          <w:tcPr>
            <w:tcW w:w="1809" w:type="dxa"/>
          </w:tcPr>
          <w:p w14:paraId="3958B3DA" w14:textId="77777777" w:rsidR="00B5444A" w:rsidRPr="00FC4AE9" w:rsidRDefault="00B5444A" w:rsidP="00FC4AE9">
            <w:pPr>
              <w:ind w:left="0"/>
            </w:pPr>
            <w:r>
              <w:t>TGA</w:t>
            </w:r>
          </w:p>
        </w:tc>
        <w:tc>
          <w:tcPr>
            <w:tcW w:w="6911" w:type="dxa"/>
          </w:tcPr>
          <w:p w14:paraId="1AF87F00" w14:textId="77777777" w:rsidR="00B5444A" w:rsidRDefault="00B5444A" w:rsidP="00FC4AE9">
            <w:pPr>
              <w:ind w:left="0"/>
            </w:pPr>
            <w:r>
              <w:t>Therapeutic Goods Administration</w:t>
            </w:r>
          </w:p>
        </w:tc>
      </w:tr>
      <w:tr w:rsidR="00B5444A" w:rsidRPr="00FD119B" w14:paraId="01E3DED8" w14:textId="77777777" w:rsidTr="00FD119B">
        <w:tc>
          <w:tcPr>
            <w:tcW w:w="1809" w:type="dxa"/>
          </w:tcPr>
          <w:p w14:paraId="36382BF7" w14:textId="77777777" w:rsidR="00B5444A" w:rsidRDefault="00B5444A" w:rsidP="00522805">
            <w:pPr>
              <w:ind w:left="0"/>
              <w:rPr>
                <w:sz w:val="20"/>
                <w:szCs w:val="20"/>
              </w:rPr>
            </w:pPr>
            <w:r w:rsidRPr="00522805">
              <w:t>t</w:t>
            </w:r>
            <w:r w:rsidRPr="00522805">
              <w:rPr>
                <w:vertAlign w:val="subscript"/>
              </w:rPr>
              <w:t>last</w:t>
            </w:r>
          </w:p>
        </w:tc>
        <w:tc>
          <w:tcPr>
            <w:tcW w:w="6911" w:type="dxa"/>
          </w:tcPr>
          <w:p w14:paraId="23FB7C7F" w14:textId="20513E6D" w:rsidR="00B5444A" w:rsidRDefault="00BE2FA4" w:rsidP="00F50BDE">
            <w:pPr>
              <w:ind w:left="0"/>
              <w:rPr>
                <w:rFonts w:cs="Cambria"/>
                <w:color w:val="000000"/>
              </w:rPr>
            </w:pPr>
            <w:r>
              <w:rPr>
                <w:rFonts w:cs="Cambria"/>
                <w:color w:val="000000"/>
              </w:rPr>
              <w:t>T</w:t>
            </w:r>
            <w:r w:rsidRPr="00BE2FA4">
              <w:rPr>
                <w:rFonts w:cs="Cambria"/>
                <w:color w:val="000000"/>
              </w:rPr>
              <w:t>ime corresponding to the last concentration above the limit of quantification</w:t>
            </w:r>
          </w:p>
        </w:tc>
      </w:tr>
      <w:tr w:rsidR="00B5444A" w:rsidRPr="00FD119B" w14:paraId="3462FF87" w14:textId="77777777" w:rsidTr="00FD119B">
        <w:tc>
          <w:tcPr>
            <w:tcW w:w="1809" w:type="dxa"/>
          </w:tcPr>
          <w:p w14:paraId="1DE8BB9E" w14:textId="77777777" w:rsidR="00B5444A" w:rsidRDefault="00B5444A" w:rsidP="00522805">
            <w:pPr>
              <w:ind w:left="0"/>
              <w:rPr>
                <w:sz w:val="20"/>
                <w:szCs w:val="20"/>
              </w:rPr>
            </w:pPr>
            <w:r w:rsidRPr="00522805">
              <w:t>t</w:t>
            </w:r>
            <w:r w:rsidRPr="00522805">
              <w:rPr>
                <w:vertAlign w:val="subscript"/>
              </w:rPr>
              <w:t>max</w:t>
            </w:r>
          </w:p>
        </w:tc>
        <w:tc>
          <w:tcPr>
            <w:tcW w:w="6911" w:type="dxa"/>
          </w:tcPr>
          <w:p w14:paraId="04726A41" w14:textId="128518A1" w:rsidR="00B5444A" w:rsidRDefault="00B5444A" w:rsidP="00BE2FA4">
            <w:pPr>
              <w:ind w:left="0"/>
              <w:rPr>
                <w:rFonts w:cs="Cambria"/>
                <w:color w:val="000000"/>
              </w:rPr>
            </w:pPr>
            <w:r>
              <w:rPr>
                <w:rFonts w:cs="Cambria"/>
                <w:color w:val="000000"/>
              </w:rPr>
              <w:t xml:space="preserve">Time required to reach the maximum or peak recorded </w:t>
            </w:r>
            <w:r w:rsidR="00BE2FA4">
              <w:rPr>
                <w:rFonts w:cs="Cambria"/>
                <w:color w:val="000000"/>
              </w:rPr>
              <w:t xml:space="preserve">plasma </w:t>
            </w:r>
            <w:r>
              <w:rPr>
                <w:rFonts w:cs="Cambria"/>
                <w:color w:val="000000"/>
              </w:rPr>
              <w:t>concentration</w:t>
            </w:r>
          </w:p>
        </w:tc>
      </w:tr>
      <w:tr w:rsidR="00B5444A" w:rsidRPr="00FD119B" w14:paraId="3D76F4B6" w14:textId="77777777" w:rsidTr="00FD119B">
        <w:tc>
          <w:tcPr>
            <w:tcW w:w="1809" w:type="dxa"/>
          </w:tcPr>
          <w:p w14:paraId="54F1B58F" w14:textId="77777777" w:rsidR="00B5444A" w:rsidRDefault="00B5444A" w:rsidP="005940D1">
            <w:pPr>
              <w:ind w:left="0"/>
            </w:pPr>
            <w:r>
              <w:t>US</w:t>
            </w:r>
          </w:p>
        </w:tc>
        <w:tc>
          <w:tcPr>
            <w:tcW w:w="6911" w:type="dxa"/>
          </w:tcPr>
          <w:p w14:paraId="57CF0EC8" w14:textId="77777777" w:rsidR="00B5444A" w:rsidRDefault="00B5444A" w:rsidP="005940D1">
            <w:pPr>
              <w:ind w:left="0"/>
            </w:pPr>
            <w:r>
              <w:t>United States (of America)</w:t>
            </w:r>
          </w:p>
        </w:tc>
      </w:tr>
    </w:tbl>
    <w:p w14:paraId="47CC905F" w14:textId="77777777" w:rsidR="008E7846" w:rsidRDefault="00F53C07" w:rsidP="00BA2906">
      <w:pPr>
        <w:pStyle w:val="Heading2"/>
        <w:pageBreakBefore/>
        <w:spacing w:before="0"/>
      </w:pPr>
      <w:bookmarkStart w:id="9" w:name="_Toc65498881"/>
      <w:r>
        <w:lastRenderedPageBreak/>
        <w:t>I.</w:t>
      </w:r>
      <w:r w:rsidR="008E7846">
        <w:t xml:space="preserve"> Introduction to product submission</w:t>
      </w:r>
      <w:bookmarkEnd w:id="9"/>
      <w:bookmarkEnd w:id="1"/>
      <w:bookmarkEnd w:id="3"/>
    </w:p>
    <w:p w14:paraId="0DCB5AE4" w14:textId="77777777" w:rsidR="008E7846" w:rsidRDefault="008E7846" w:rsidP="008E7846">
      <w:pPr>
        <w:pStyle w:val="Heading3"/>
        <w:rPr>
          <w:lang w:eastAsia="en-AU"/>
        </w:rPr>
      </w:pPr>
      <w:bookmarkStart w:id="10" w:name="_Toc247691502"/>
      <w:bookmarkStart w:id="11" w:name="_Toc314842483"/>
      <w:bookmarkStart w:id="12" w:name="_Toc65498882"/>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1EAE9C56" w14:textId="77777777" w:rsidTr="003735BC">
        <w:tc>
          <w:tcPr>
            <w:tcW w:w="2907" w:type="dxa"/>
          </w:tcPr>
          <w:p w14:paraId="4D6A9027"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0C291245" w14:textId="4E6A936A" w:rsidR="008E7846" w:rsidRPr="003D1E62" w:rsidRDefault="008866E6" w:rsidP="008866E6">
            <w:r>
              <w:t xml:space="preserve">New </w:t>
            </w:r>
            <w:r w:rsidR="002E63AF">
              <w:t>b</w:t>
            </w:r>
            <w:r>
              <w:t>iosimilar</w:t>
            </w:r>
            <w:r w:rsidR="002E63AF">
              <w:t xml:space="preserve"> medicine</w:t>
            </w:r>
          </w:p>
        </w:tc>
      </w:tr>
      <w:tr w:rsidR="00460036" w:rsidRPr="003D1E62" w14:paraId="1D344F68" w14:textId="77777777" w:rsidTr="003735BC">
        <w:tc>
          <w:tcPr>
            <w:tcW w:w="2907" w:type="dxa"/>
          </w:tcPr>
          <w:p w14:paraId="2BB05CB8" w14:textId="107E1341" w:rsidR="00460036" w:rsidRPr="003D1E62" w:rsidRDefault="00460036" w:rsidP="003D1E62">
            <w:pPr>
              <w:rPr>
                <w:i/>
              </w:rPr>
            </w:pPr>
            <w:r w:rsidRPr="00460036">
              <w:rPr>
                <w:i/>
              </w:rPr>
              <w:t>Product name:</w:t>
            </w:r>
          </w:p>
        </w:tc>
        <w:tc>
          <w:tcPr>
            <w:tcW w:w="6307" w:type="dxa"/>
          </w:tcPr>
          <w:p w14:paraId="27E1D1A4" w14:textId="014ADDD6" w:rsidR="00460036" w:rsidRPr="003D1E62" w:rsidRDefault="008A66AA" w:rsidP="001B5C90">
            <w:r>
              <w:t>Truvelog</w:t>
            </w:r>
          </w:p>
        </w:tc>
      </w:tr>
      <w:tr w:rsidR="00460036" w:rsidRPr="003D1E62" w14:paraId="74358A08" w14:textId="77777777" w:rsidTr="003735BC">
        <w:tc>
          <w:tcPr>
            <w:tcW w:w="2907" w:type="dxa"/>
          </w:tcPr>
          <w:p w14:paraId="7AD6FF8D" w14:textId="79E03AD9" w:rsidR="00460036" w:rsidRPr="003D1E62" w:rsidRDefault="00460036" w:rsidP="003D1E62">
            <w:pPr>
              <w:rPr>
                <w:i/>
              </w:rPr>
            </w:pPr>
            <w:r w:rsidRPr="00460036">
              <w:rPr>
                <w:i/>
              </w:rPr>
              <w:t>Active ingredient:</w:t>
            </w:r>
          </w:p>
        </w:tc>
        <w:tc>
          <w:tcPr>
            <w:tcW w:w="6307" w:type="dxa"/>
          </w:tcPr>
          <w:p w14:paraId="2516BBF6" w14:textId="13E1C34F" w:rsidR="00460036" w:rsidRPr="003D1E62" w:rsidRDefault="008866E6" w:rsidP="00651C85">
            <w:r>
              <w:t>Insulin aspart</w:t>
            </w:r>
            <w:r w:rsidRPr="00460036">
              <w:rPr>
                <w:i/>
                <w:color w:val="007099"/>
              </w:rPr>
              <w:t xml:space="preserve"> </w:t>
            </w:r>
          </w:p>
        </w:tc>
      </w:tr>
      <w:tr w:rsidR="008E7846" w:rsidRPr="003D1E62" w14:paraId="26B1D623" w14:textId="77777777" w:rsidTr="003735BC">
        <w:tc>
          <w:tcPr>
            <w:tcW w:w="2907" w:type="dxa"/>
          </w:tcPr>
          <w:p w14:paraId="44FD418D" w14:textId="77777777" w:rsidR="008E7846" w:rsidRPr="003D1E62" w:rsidRDefault="008E7846" w:rsidP="003D1E62">
            <w:r w:rsidRPr="003D1E62">
              <w:rPr>
                <w:i/>
              </w:rPr>
              <w:t>Decision</w:t>
            </w:r>
            <w:r w:rsidRPr="003D1E62">
              <w:t>:</w:t>
            </w:r>
          </w:p>
        </w:tc>
        <w:tc>
          <w:tcPr>
            <w:tcW w:w="6307" w:type="dxa"/>
          </w:tcPr>
          <w:p w14:paraId="42C8A6BF" w14:textId="77777777" w:rsidR="008E7846" w:rsidRPr="003D1E62" w:rsidRDefault="00460036" w:rsidP="008866E6">
            <w:r w:rsidRPr="00460036">
              <w:t>Approved</w:t>
            </w:r>
          </w:p>
        </w:tc>
      </w:tr>
      <w:tr w:rsidR="008E7846" w:rsidRPr="003D1E62" w14:paraId="786BC815" w14:textId="77777777" w:rsidTr="003735BC">
        <w:tc>
          <w:tcPr>
            <w:tcW w:w="2907" w:type="dxa"/>
          </w:tcPr>
          <w:p w14:paraId="0F70D402"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6821BA7" w14:textId="239A00CD" w:rsidR="008E7846" w:rsidRPr="003D1E62" w:rsidRDefault="00651C85" w:rsidP="001B5C90">
            <w:r>
              <w:t>14 October 2020</w:t>
            </w:r>
          </w:p>
        </w:tc>
      </w:tr>
      <w:tr w:rsidR="00ED2922" w:rsidRPr="003D1E62" w14:paraId="399B4569" w14:textId="77777777" w:rsidTr="003735BC">
        <w:tc>
          <w:tcPr>
            <w:tcW w:w="2907" w:type="dxa"/>
          </w:tcPr>
          <w:p w14:paraId="59E7B58E" w14:textId="77777777" w:rsidR="00ED2922" w:rsidRPr="00441C3F" w:rsidRDefault="00ED2922" w:rsidP="001B5C90">
            <w:pPr>
              <w:rPr>
                <w:i/>
              </w:rPr>
            </w:pPr>
            <w:r w:rsidRPr="00441C3F">
              <w:rPr>
                <w:i/>
              </w:rPr>
              <w:t>Date of entry onto ARTG</w:t>
            </w:r>
            <w:r w:rsidR="00500337">
              <w:rPr>
                <w:i/>
              </w:rPr>
              <w:t>:</w:t>
            </w:r>
          </w:p>
        </w:tc>
        <w:tc>
          <w:tcPr>
            <w:tcW w:w="6307" w:type="dxa"/>
          </w:tcPr>
          <w:p w14:paraId="292CE007" w14:textId="7E786BFD" w:rsidR="00ED2922" w:rsidRPr="00441C3F" w:rsidRDefault="00651C85" w:rsidP="00D153D8">
            <w:pPr>
              <w:rPr>
                <w:i/>
              </w:rPr>
            </w:pPr>
            <w:r>
              <w:t>15 October 2020</w:t>
            </w:r>
          </w:p>
        </w:tc>
      </w:tr>
      <w:tr w:rsidR="00500337" w:rsidRPr="003D1E62" w14:paraId="351818E1" w14:textId="77777777" w:rsidTr="003735BC">
        <w:tc>
          <w:tcPr>
            <w:tcW w:w="2907" w:type="dxa"/>
          </w:tcPr>
          <w:p w14:paraId="14C290F5" w14:textId="426C5869" w:rsidR="00500337" w:rsidRPr="00441C3F" w:rsidRDefault="00500337" w:rsidP="001B5C90">
            <w:pPr>
              <w:rPr>
                <w:i/>
              </w:rPr>
            </w:pPr>
            <w:r>
              <w:rPr>
                <w:i/>
              </w:rPr>
              <w:t>ARTG numbers:</w:t>
            </w:r>
          </w:p>
        </w:tc>
        <w:tc>
          <w:tcPr>
            <w:tcW w:w="6307" w:type="dxa"/>
          </w:tcPr>
          <w:p w14:paraId="073FC93F" w14:textId="77777777" w:rsidR="00500337" w:rsidRPr="00441C3F" w:rsidRDefault="008866E6" w:rsidP="00EC463D">
            <w:r>
              <w:t>325474, 325475</w:t>
            </w:r>
          </w:p>
        </w:tc>
      </w:tr>
      <w:tr w:rsidR="003735BC" w:rsidRPr="003D1E62" w14:paraId="119C4952" w14:textId="77777777" w:rsidTr="003735BC">
        <w:tc>
          <w:tcPr>
            <w:tcW w:w="2907" w:type="dxa"/>
          </w:tcPr>
          <w:p w14:paraId="787F42E8"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5E08C5E2" w14:textId="420DF924" w:rsidR="003735BC" w:rsidRPr="00487162" w:rsidRDefault="003735BC" w:rsidP="003735BC">
            <w:r>
              <w:t>No</w:t>
            </w:r>
          </w:p>
        </w:tc>
      </w:tr>
      <w:tr w:rsidR="008E7846" w:rsidRPr="00487162" w14:paraId="1F69C6A7" w14:textId="77777777" w:rsidTr="00BF1190">
        <w:tc>
          <w:tcPr>
            <w:tcW w:w="2907" w:type="dxa"/>
          </w:tcPr>
          <w:p w14:paraId="5392D08D"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3F6A9942" w14:textId="77777777" w:rsidR="002E63AF" w:rsidRDefault="008866E6" w:rsidP="00DB6934">
            <w:pPr>
              <w:rPr>
                <w:shd w:val="clear" w:color="auto" w:fill="FFFFFF"/>
              </w:rPr>
            </w:pPr>
            <w:r>
              <w:t>Sanofi-Aventis Australia Pty Ltd</w:t>
            </w:r>
          </w:p>
          <w:p w14:paraId="59A69477" w14:textId="109810CC" w:rsidR="002E63AF" w:rsidRDefault="00DB6934" w:rsidP="00DB6934">
            <w:pPr>
              <w:rPr>
                <w:shd w:val="clear" w:color="auto" w:fill="FFFFFF"/>
              </w:rPr>
            </w:pPr>
            <w:r>
              <w:rPr>
                <w:shd w:val="clear" w:color="auto" w:fill="FFFFFF"/>
              </w:rPr>
              <w:t>12-24 Talavera Road</w:t>
            </w:r>
          </w:p>
          <w:p w14:paraId="3209074C" w14:textId="7AB1C8C6" w:rsidR="008866E6" w:rsidRPr="00487162" w:rsidRDefault="00DB6934" w:rsidP="00DB6934">
            <w:r>
              <w:rPr>
                <w:shd w:val="clear" w:color="auto" w:fill="FFFFFF"/>
              </w:rPr>
              <w:t>Macquarie Park, NSW 2113</w:t>
            </w:r>
          </w:p>
        </w:tc>
      </w:tr>
      <w:tr w:rsidR="008E7846" w:rsidRPr="00487162" w14:paraId="637978FA" w14:textId="77777777" w:rsidTr="00BF1190">
        <w:tc>
          <w:tcPr>
            <w:tcW w:w="2907" w:type="dxa"/>
          </w:tcPr>
          <w:p w14:paraId="37F6B88E" w14:textId="78589EF2" w:rsidR="008E7846" w:rsidRPr="00487162" w:rsidRDefault="001B5C90" w:rsidP="00E45619">
            <w:pPr>
              <w:rPr>
                <w:i/>
              </w:rPr>
            </w:pPr>
            <w:r>
              <w:rPr>
                <w:i/>
              </w:rPr>
              <w:t>Dose form:</w:t>
            </w:r>
          </w:p>
        </w:tc>
        <w:tc>
          <w:tcPr>
            <w:tcW w:w="6307" w:type="dxa"/>
          </w:tcPr>
          <w:p w14:paraId="0F12E8CB" w14:textId="06EC4086" w:rsidR="008E7846" w:rsidRPr="00487162" w:rsidRDefault="00DB6934" w:rsidP="002E63AF">
            <w:r>
              <w:t>Solution for injection</w:t>
            </w:r>
          </w:p>
        </w:tc>
      </w:tr>
      <w:tr w:rsidR="008E7846" w:rsidRPr="00487162" w14:paraId="6DD207C4" w14:textId="77777777" w:rsidTr="00BF1190">
        <w:tc>
          <w:tcPr>
            <w:tcW w:w="2907" w:type="dxa"/>
          </w:tcPr>
          <w:p w14:paraId="462308BB" w14:textId="72395F59" w:rsidR="008E7846" w:rsidRPr="00487162" w:rsidRDefault="008E7846" w:rsidP="00E45619">
            <w:pPr>
              <w:rPr>
                <w:i/>
              </w:rPr>
            </w:pPr>
            <w:r w:rsidRPr="00487162">
              <w:rPr>
                <w:i/>
              </w:rPr>
              <w:t>Strength:</w:t>
            </w:r>
          </w:p>
        </w:tc>
        <w:tc>
          <w:tcPr>
            <w:tcW w:w="6307" w:type="dxa"/>
          </w:tcPr>
          <w:p w14:paraId="4912B5B7" w14:textId="4C26CF2A" w:rsidR="008E7846" w:rsidRPr="00487162" w:rsidRDefault="00DB6934" w:rsidP="00E45619">
            <w:r>
              <w:t>1</w:t>
            </w:r>
            <w:r w:rsidR="00FF39ED">
              <w:t>00 units (equivalent to 3.5 mg)</w:t>
            </w:r>
            <w:r>
              <w:t>/ mL</w:t>
            </w:r>
          </w:p>
        </w:tc>
      </w:tr>
      <w:tr w:rsidR="008E7846" w:rsidRPr="00487162" w14:paraId="055F516C" w14:textId="77777777" w:rsidTr="00BF1190">
        <w:tc>
          <w:tcPr>
            <w:tcW w:w="2907" w:type="dxa"/>
          </w:tcPr>
          <w:p w14:paraId="2D80E5B0" w14:textId="535BC8F5" w:rsidR="008E7846" w:rsidRPr="00487162" w:rsidRDefault="008E7846" w:rsidP="00E45619">
            <w:pPr>
              <w:rPr>
                <w:i/>
              </w:rPr>
            </w:pPr>
            <w:r w:rsidRPr="00487162">
              <w:rPr>
                <w:i/>
              </w:rPr>
              <w:t>Containers:</w:t>
            </w:r>
          </w:p>
        </w:tc>
        <w:tc>
          <w:tcPr>
            <w:tcW w:w="6307" w:type="dxa"/>
          </w:tcPr>
          <w:p w14:paraId="44F8519A" w14:textId="2C22D247" w:rsidR="008E7846" w:rsidRPr="00487162" w:rsidRDefault="00DB6934" w:rsidP="00E45619">
            <w:r>
              <w:t>Cartridge</w:t>
            </w:r>
            <w:r w:rsidR="002E63AF">
              <w:t xml:space="preserve"> and pre-filled pen</w:t>
            </w:r>
          </w:p>
        </w:tc>
      </w:tr>
      <w:tr w:rsidR="008E7846" w:rsidRPr="00487162" w14:paraId="135EE02F" w14:textId="77777777" w:rsidTr="00BF1190">
        <w:tc>
          <w:tcPr>
            <w:tcW w:w="2907" w:type="dxa"/>
          </w:tcPr>
          <w:p w14:paraId="34C352DC" w14:textId="36C8EF6D" w:rsidR="008E7846" w:rsidRPr="00487162" w:rsidRDefault="008E7846" w:rsidP="00E45619">
            <w:pPr>
              <w:rPr>
                <w:i/>
              </w:rPr>
            </w:pPr>
            <w:r w:rsidRPr="00487162">
              <w:rPr>
                <w:i/>
              </w:rPr>
              <w:t>Pack sizes:</w:t>
            </w:r>
          </w:p>
        </w:tc>
        <w:tc>
          <w:tcPr>
            <w:tcW w:w="6307" w:type="dxa"/>
          </w:tcPr>
          <w:p w14:paraId="6EA53276" w14:textId="77777777" w:rsidR="003A6E66" w:rsidRDefault="003A6E66" w:rsidP="003A6E66">
            <w:r>
              <w:t>1, 5 or 10 pre-filled pens</w:t>
            </w:r>
          </w:p>
          <w:p w14:paraId="444E855B" w14:textId="10D9F654" w:rsidR="008E7846" w:rsidRPr="00487162" w:rsidRDefault="003A6E66" w:rsidP="00FF39ED">
            <w:r>
              <w:t>5 or 10 cartridges</w:t>
            </w:r>
          </w:p>
        </w:tc>
      </w:tr>
      <w:tr w:rsidR="008E7846" w:rsidRPr="00487162" w14:paraId="69316291" w14:textId="77777777" w:rsidTr="00BF1190">
        <w:tc>
          <w:tcPr>
            <w:tcW w:w="2907" w:type="dxa"/>
          </w:tcPr>
          <w:p w14:paraId="39CB22AC"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0FDF1C8" w14:textId="3BC344CE" w:rsidR="008E7846" w:rsidRPr="000605CF" w:rsidRDefault="00897419" w:rsidP="00E45619">
            <w:pPr>
              <w:rPr>
                <w:rFonts w:eastAsia="MS Mincho"/>
                <w:i/>
                <w:lang w:eastAsia="ja-JP"/>
              </w:rPr>
            </w:pPr>
            <w:r w:rsidRPr="000605CF">
              <w:rPr>
                <w:i/>
              </w:rPr>
              <w:t>Treatment of diabetes mellitus</w:t>
            </w:r>
            <w:r w:rsidR="003A6E66" w:rsidRPr="000605CF">
              <w:rPr>
                <w:i/>
              </w:rPr>
              <w:t>.</w:t>
            </w:r>
          </w:p>
        </w:tc>
      </w:tr>
      <w:tr w:rsidR="008E7846" w:rsidRPr="00487162" w14:paraId="27A52965" w14:textId="77777777" w:rsidTr="00BF1190">
        <w:tc>
          <w:tcPr>
            <w:tcW w:w="2907" w:type="dxa"/>
          </w:tcPr>
          <w:p w14:paraId="269F3782" w14:textId="3E67EA4E" w:rsidR="008E7846" w:rsidRPr="00487162" w:rsidRDefault="008E7846" w:rsidP="00E45619">
            <w:pPr>
              <w:rPr>
                <w:i/>
              </w:rPr>
            </w:pPr>
            <w:r w:rsidRPr="00487162">
              <w:rPr>
                <w:i/>
              </w:rPr>
              <w:t>Route of administration:</w:t>
            </w:r>
          </w:p>
        </w:tc>
        <w:tc>
          <w:tcPr>
            <w:tcW w:w="6307" w:type="dxa"/>
          </w:tcPr>
          <w:p w14:paraId="4521401B" w14:textId="77777777" w:rsidR="008E7846" w:rsidRPr="00487162" w:rsidRDefault="00897419" w:rsidP="00E45619">
            <w:r>
              <w:t>Subcutaneous injection</w:t>
            </w:r>
          </w:p>
        </w:tc>
      </w:tr>
      <w:tr w:rsidR="008E7846" w:rsidRPr="00487162" w14:paraId="5377E5AC" w14:textId="77777777" w:rsidTr="00BF1190">
        <w:tc>
          <w:tcPr>
            <w:tcW w:w="2907" w:type="dxa"/>
          </w:tcPr>
          <w:p w14:paraId="0631DC84" w14:textId="77777777" w:rsidR="008E7846" w:rsidRPr="00487162" w:rsidRDefault="008E7846" w:rsidP="00E45619">
            <w:pPr>
              <w:rPr>
                <w:i/>
              </w:rPr>
            </w:pPr>
            <w:r w:rsidRPr="00487162">
              <w:rPr>
                <w:i/>
              </w:rPr>
              <w:t>Dosage:</w:t>
            </w:r>
          </w:p>
        </w:tc>
        <w:tc>
          <w:tcPr>
            <w:tcW w:w="6307" w:type="dxa"/>
          </w:tcPr>
          <w:p w14:paraId="00069B77" w14:textId="77777777" w:rsidR="003A6E66" w:rsidRPr="008B5EE1" w:rsidRDefault="003A6E66" w:rsidP="004C7B14">
            <w:r w:rsidRPr="008B5EE1">
              <w:t>Insulin aspart has a faster onset and a shorter duration of action than soluble human insulin. Due to the faster onset of action, insulin aspart should generally be given immediately before a meal or when necessary, soon after the start of a meal.</w:t>
            </w:r>
          </w:p>
          <w:p w14:paraId="56FEB63C" w14:textId="2D819CA9" w:rsidR="00FF39ED" w:rsidRDefault="003A6E66" w:rsidP="004C7B14">
            <w:r w:rsidRPr="008B5EE1">
              <w:t xml:space="preserve">The dosage of insulin aspart is determined by the physician according to the patient’s individual needs. The individual insulin requirement is usually between 0.5 and 1.0 units/kg/day in adults and children. In a meal related treatment 50 to 70% of this requirement may be provided by Truvelog </w:t>
            </w:r>
            <w:r w:rsidR="008220BD">
              <w:t xml:space="preserve">(insulin aspart) </w:t>
            </w:r>
            <w:r w:rsidRPr="008B5EE1">
              <w:lastRenderedPageBreak/>
              <w:t>and the remainder provided by an intermediate-acting or long-acting insulin given at least once a day.</w:t>
            </w:r>
          </w:p>
          <w:p w14:paraId="168A51FC" w14:textId="772B6641" w:rsidR="00460036" w:rsidRPr="00487162" w:rsidRDefault="00460036" w:rsidP="00E45619">
            <w:r w:rsidRPr="00460036">
              <w:t>For further information regarding dosage, refer to the Product Information.</w:t>
            </w:r>
          </w:p>
        </w:tc>
      </w:tr>
      <w:tr w:rsidR="00460036" w:rsidRPr="00487162" w14:paraId="1E7C9835" w14:textId="77777777" w:rsidTr="00BF1190">
        <w:tc>
          <w:tcPr>
            <w:tcW w:w="2907" w:type="dxa"/>
          </w:tcPr>
          <w:p w14:paraId="39B2C902" w14:textId="77777777" w:rsidR="00460036" w:rsidRPr="00487162" w:rsidRDefault="00460036" w:rsidP="00E45619">
            <w:pPr>
              <w:rPr>
                <w:i/>
              </w:rPr>
            </w:pPr>
            <w:r w:rsidRPr="00460036">
              <w:rPr>
                <w:i/>
              </w:rPr>
              <w:lastRenderedPageBreak/>
              <w:t>Pregnancy category</w:t>
            </w:r>
            <w:r>
              <w:rPr>
                <w:i/>
              </w:rPr>
              <w:t>:</w:t>
            </w:r>
          </w:p>
        </w:tc>
        <w:tc>
          <w:tcPr>
            <w:tcW w:w="6307" w:type="dxa"/>
          </w:tcPr>
          <w:p w14:paraId="1AD61D2F" w14:textId="4DCB3AE0" w:rsidR="00460036" w:rsidRDefault="00ED10E8" w:rsidP="00866E88">
            <w:r>
              <w:t>A</w:t>
            </w:r>
          </w:p>
          <w:p w14:paraId="089E7221" w14:textId="4008481B" w:rsidR="00ED10E8" w:rsidRPr="00ED10E8" w:rsidRDefault="00ED10E8" w:rsidP="00ED10E8">
            <w:r w:rsidRPr="00ED10E8">
              <w:t>Drugs which have been taken by a large number of pregnant women and women of childbearing age without any proven increase in the frequency of malformations or other direct or indirect harmful effects on the fetus having been observed.</w:t>
            </w:r>
          </w:p>
          <w:p w14:paraId="0EB3B03C" w14:textId="0727CCEF"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2CE7FBC0" w14:textId="77777777" w:rsidR="008E7846" w:rsidRDefault="008E7846" w:rsidP="008E7846">
      <w:pPr>
        <w:pStyle w:val="Heading3"/>
      </w:pPr>
      <w:bookmarkStart w:id="13" w:name="_Toc247691503"/>
      <w:bookmarkStart w:id="14" w:name="_Toc314842484"/>
      <w:bookmarkStart w:id="15" w:name="_Toc65498883"/>
      <w:r>
        <w:t>Product background</w:t>
      </w:r>
      <w:bookmarkEnd w:id="13"/>
      <w:bookmarkEnd w:id="14"/>
      <w:bookmarkEnd w:id="15"/>
    </w:p>
    <w:p w14:paraId="5AB1CE10" w14:textId="226CD520" w:rsidR="008E7846" w:rsidRDefault="00250271" w:rsidP="009617A8">
      <w:r w:rsidRPr="00250271">
        <w:t xml:space="preserve">This AusPAR describes the application by </w:t>
      </w:r>
      <w:r w:rsidR="00ED10E8">
        <w:t xml:space="preserve">Sanofi-Aventis Australia Pty Ltd (the sponsor) to register </w:t>
      </w:r>
      <w:r w:rsidR="008A66AA">
        <w:t>Truvelog</w:t>
      </w:r>
      <w:r w:rsidR="00ED10E8">
        <w:t xml:space="preserve"> </w:t>
      </w:r>
      <w:r w:rsidRPr="00250271">
        <w:t>(</w:t>
      </w:r>
      <w:r w:rsidR="00ED10E8">
        <w:t>insulin aspart) 100 units/mL solution for injection cartridge</w:t>
      </w:r>
      <w:r w:rsidR="003A6E66">
        <w:t xml:space="preserve"> and pre</w:t>
      </w:r>
      <w:r w:rsidR="008220BD">
        <w:noBreakHyphen/>
      </w:r>
      <w:r w:rsidR="003A6E66">
        <w:t>filled pen</w:t>
      </w:r>
      <w:r w:rsidR="00ED10E8">
        <w:t>,</w:t>
      </w:r>
      <w:r w:rsidRPr="00250271">
        <w:t xml:space="preserve"> for the following proposed indication</w:t>
      </w:r>
      <w:r w:rsidR="00CF5DAD">
        <w:t>:</w:t>
      </w:r>
    </w:p>
    <w:p w14:paraId="6876950F" w14:textId="4488BBD7" w:rsidR="00ED10E8" w:rsidRPr="00ED10E8" w:rsidRDefault="00ED10E8" w:rsidP="00170644">
      <w:pPr>
        <w:ind w:left="720"/>
        <w:rPr>
          <w:i/>
        </w:rPr>
      </w:pPr>
      <w:r w:rsidRPr="00ED10E8">
        <w:rPr>
          <w:i/>
        </w:rPr>
        <w:t>Treatment of diabetes mellitus</w:t>
      </w:r>
    </w:p>
    <w:p w14:paraId="55D5147E" w14:textId="4438E2F3" w:rsidR="004F23D7" w:rsidRPr="00170644" w:rsidRDefault="004F23D7" w:rsidP="009617A8">
      <w:pPr>
        <w:rPr>
          <w:rFonts w:eastAsiaTheme="minorHAnsi"/>
          <w:color w:val="000000"/>
        </w:rPr>
      </w:pPr>
      <w:r w:rsidRPr="00170644">
        <w:rPr>
          <w:rFonts w:eastAsiaTheme="minorHAnsi"/>
          <w:color w:val="000000"/>
        </w:rPr>
        <w:t xml:space="preserve">Insulin lowers blood glucose levels by binding to insulin receptors to increase glucose uptake and inhibit hepatic glucose output. Insulin replacement therapy is essential for people with </w:t>
      </w:r>
      <w:r w:rsidR="008220BD">
        <w:rPr>
          <w:rFonts w:eastAsiaTheme="minorHAnsi"/>
          <w:color w:val="000000"/>
        </w:rPr>
        <w:t>t</w:t>
      </w:r>
      <w:r w:rsidRPr="00170644">
        <w:rPr>
          <w:rFonts w:eastAsiaTheme="minorHAnsi"/>
          <w:color w:val="000000"/>
        </w:rPr>
        <w:t>ype 1 diabetes</w:t>
      </w:r>
      <w:r w:rsidR="008220BD">
        <w:rPr>
          <w:rFonts w:eastAsiaTheme="minorHAnsi"/>
          <w:color w:val="000000"/>
        </w:rPr>
        <w:t xml:space="preserve"> mellitus</w:t>
      </w:r>
      <w:r w:rsidRPr="00170644">
        <w:rPr>
          <w:rFonts w:eastAsiaTheme="minorHAnsi"/>
          <w:color w:val="000000"/>
        </w:rPr>
        <w:t xml:space="preserve">. Insulin may also be required for people with </w:t>
      </w:r>
      <w:r w:rsidR="008220BD">
        <w:rPr>
          <w:rFonts w:eastAsiaTheme="minorHAnsi"/>
          <w:color w:val="000000"/>
        </w:rPr>
        <w:t>t</w:t>
      </w:r>
      <w:r w:rsidRPr="00170644">
        <w:rPr>
          <w:rFonts w:eastAsiaTheme="minorHAnsi"/>
          <w:color w:val="000000"/>
        </w:rPr>
        <w:t>ype 2 diabetes</w:t>
      </w:r>
      <w:r w:rsidR="008220BD">
        <w:rPr>
          <w:rFonts w:eastAsiaTheme="minorHAnsi"/>
          <w:color w:val="000000"/>
        </w:rPr>
        <w:t xml:space="preserve"> mellitus</w:t>
      </w:r>
      <w:r w:rsidRPr="00170644">
        <w:rPr>
          <w:rFonts w:eastAsiaTheme="minorHAnsi"/>
          <w:color w:val="000000"/>
        </w:rPr>
        <w:t xml:space="preserve"> or gestational diabetes. There are many types of insulins available in the market differing in origin, type of delivery system, and onset of action.</w:t>
      </w:r>
      <w:r w:rsidR="00170644">
        <w:rPr>
          <w:rStyle w:val="FootnoteReference"/>
          <w:rFonts w:eastAsiaTheme="minorHAnsi"/>
          <w:color w:val="000000"/>
        </w:rPr>
        <w:footnoteReference w:id="2"/>
      </w:r>
    </w:p>
    <w:p w14:paraId="224A2297" w14:textId="34F00595" w:rsidR="003A6E66" w:rsidRPr="00170644" w:rsidRDefault="003A6E66" w:rsidP="009617A8">
      <w:pPr>
        <w:rPr>
          <w:rFonts w:eastAsiaTheme="minorHAnsi"/>
          <w:color w:val="000000"/>
        </w:rPr>
      </w:pPr>
      <w:r w:rsidRPr="00170644">
        <w:rPr>
          <w:rFonts w:eastAsiaTheme="minorHAnsi"/>
          <w:color w:val="000000"/>
        </w:rPr>
        <w:t xml:space="preserve">The Product Information </w:t>
      </w:r>
      <w:r w:rsidR="00977DE9">
        <w:rPr>
          <w:rFonts w:eastAsiaTheme="minorHAnsi"/>
          <w:color w:val="000000"/>
        </w:rPr>
        <w:t xml:space="preserve">(PI) </w:t>
      </w:r>
      <w:r w:rsidRPr="00170644">
        <w:rPr>
          <w:rFonts w:eastAsiaTheme="minorHAnsi"/>
          <w:color w:val="000000"/>
        </w:rPr>
        <w:t>for Truvelog (insulin aspart) contains the following information regarding the mechanism of action of insulin aspart:</w:t>
      </w:r>
      <w:bookmarkStart w:id="16" w:name="_Ref61620360"/>
      <w:r>
        <w:rPr>
          <w:rStyle w:val="FootnoteReference"/>
          <w:rFonts w:eastAsiaTheme="minorHAnsi"/>
          <w:color w:val="000000"/>
        </w:rPr>
        <w:footnoteReference w:id="3"/>
      </w:r>
      <w:bookmarkEnd w:id="16"/>
    </w:p>
    <w:p w14:paraId="743E4F21" w14:textId="1EF73D1A" w:rsidR="004F23D7" w:rsidRPr="003A6E66" w:rsidRDefault="003A6E66" w:rsidP="00170644">
      <w:pPr>
        <w:ind w:left="720"/>
      </w:pPr>
      <w:r>
        <w:t>‘</w:t>
      </w:r>
      <w:r w:rsidR="004F23D7" w:rsidRPr="003A6E66">
        <w:t>Insulin aspart produces a more rapid and pronounced blood glucose lowering effect than soluble human insulin, due to the faster onset of action. Insulin aspart is equipotent to soluble h</w:t>
      </w:r>
      <w:r w:rsidR="000A6DB4" w:rsidRPr="003A6E66">
        <w:t>uman insulin on a molar basis.</w:t>
      </w:r>
    </w:p>
    <w:p w14:paraId="1161ED58" w14:textId="5B2F80DA" w:rsidR="004F23D7" w:rsidRPr="00170644" w:rsidRDefault="004F23D7" w:rsidP="00170644">
      <w:pPr>
        <w:ind w:left="720"/>
        <w:rPr>
          <w:rFonts w:eastAsiaTheme="minorHAnsi"/>
          <w:color w:val="000000"/>
        </w:rPr>
      </w:pPr>
      <w:r w:rsidRPr="00170644">
        <w:rPr>
          <w:rFonts w:eastAsiaTheme="minorHAnsi"/>
          <w:color w:val="000000"/>
        </w:rPr>
        <w:t>Insulin aspart has a shorter duration of action compared to soluble human insulin after subc</w:t>
      </w:r>
      <w:r w:rsidR="00B5444A" w:rsidRPr="00170644">
        <w:rPr>
          <w:rFonts w:eastAsiaTheme="minorHAnsi"/>
          <w:color w:val="000000"/>
        </w:rPr>
        <w:t>utaneous injection (</w:t>
      </w:r>
      <w:r w:rsidR="002F6718">
        <w:rPr>
          <w:rFonts w:eastAsiaTheme="minorHAnsi"/>
          <w:color w:val="000000"/>
        </w:rPr>
        <w:t xml:space="preserve">see </w:t>
      </w:r>
      <w:r w:rsidR="00B5444A" w:rsidRPr="00170644">
        <w:rPr>
          <w:rFonts w:eastAsiaTheme="minorHAnsi"/>
          <w:color w:val="000000"/>
        </w:rPr>
        <w:fldChar w:fldCharType="begin"/>
      </w:r>
      <w:r w:rsidR="00B5444A" w:rsidRPr="00170644">
        <w:rPr>
          <w:rFonts w:eastAsiaTheme="minorHAnsi"/>
          <w:color w:val="000000"/>
        </w:rPr>
        <w:instrText xml:space="preserve"> REF _Ref59463905 \h </w:instrText>
      </w:r>
      <w:r w:rsidR="009617A8" w:rsidRPr="00170644">
        <w:rPr>
          <w:rFonts w:eastAsiaTheme="minorHAnsi"/>
          <w:color w:val="000000"/>
        </w:rPr>
        <w:instrText xml:space="preserve"> \* MERGEFORMAT </w:instrText>
      </w:r>
      <w:r w:rsidR="00B5444A" w:rsidRPr="00170644">
        <w:rPr>
          <w:rFonts w:eastAsiaTheme="minorHAnsi"/>
          <w:color w:val="000000"/>
        </w:rPr>
      </w:r>
      <w:r w:rsidR="00B5444A" w:rsidRPr="00170644">
        <w:rPr>
          <w:rFonts w:eastAsiaTheme="minorHAnsi"/>
          <w:color w:val="000000"/>
        </w:rPr>
        <w:fldChar w:fldCharType="separate"/>
      </w:r>
      <w:r w:rsidR="00922676">
        <w:t xml:space="preserve">Figure </w:t>
      </w:r>
      <w:r w:rsidR="00922676">
        <w:rPr>
          <w:noProof/>
        </w:rPr>
        <w:t>1</w:t>
      </w:r>
      <w:r w:rsidR="00B5444A" w:rsidRPr="00170644">
        <w:rPr>
          <w:rFonts w:eastAsiaTheme="minorHAnsi"/>
          <w:color w:val="000000"/>
        </w:rPr>
        <w:fldChar w:fldCharType="end"/>
      </w:r>
      <w:r w:rsidR="00B5444A" w:rsidRPr="00170644">
        <w:rPr>
          <w:rFonts w:eastAsiaTheme="minorHAnsi"/>
          <w:color w:val="000000"/>
        </w:rPr>
        <w:t>).</w:t>
      </w:r>
    </w:p>
    <w:p w14:paraId="786390E5" w14:textId="190DD818" w:rsidR="00C62E97" w:rsidRDefault="004F23D7" w:rsidP="00170644">
      <w:pPr>
        <w:ind w:left="720"/>
        <w:rPr>
          <w:rFonts w:eastAsiaTheme="minorHAnsi"/>
          <w:color w:val="000000"/>
        </w:rPr>
      </w:pPr>
      <w:r w:rsidRPr="00170644">
        <w:rPr>
          <w:rFonts w:eastAsiaTheme="minorHAnsi"/>
          <w:color w:val="000000"/>
        </w:rPr>
        <w:t>When administered immediately before a meal, the effect of insulin aspart more closely mimics normal physiological postprandial insulin release than soluble human insulin</w:t>
      </w:r>
      <w:r w:rsidR="00C62E97">
        <w:rPr>
          <w:rFonts w:eastAsiaTheme="minorHAnsi"/>
          <w:color w:val="000000"/>
        </w:rPr>
        <w:t>.</w:t>
      </w:r>
    </w:p>
    <w:p w14:paraId="15971403" w14:textId="19F51ECC" w:rsidR="004F23D7" w:rsidRPr="00170644" w:rsidRDefault="004F23D7" w:rsidP="00170644">
      <w:pPr>
        <w:ind w:left="720"/>
        <w:rPr>
          <w:rFonts w:eastAsiaTheme="minorHAnsi"/>
          <w:color w:val="000000"/>
        </w:rPr>
      </w:pPr>
      <w:r w:rsidRPr="00170644">
        <w:rPr>
          <w:rFonts w:eastAsiaTheme="minorHAnsi"/>
          <w:color w:val="000000"/>
        </w:rPr>
        <w:t xml:space="preserve">The onset of action of </w:t>
      </w:r>
      <w:r w:rsidR="00B5444A" w:rsidRPr="00170644">
        <w:rPr>
          <w:rFonts w:eastAsiaTheme="minorHAnsi"/>
          <w:color w:val="000000"/>
        </w:rPr>
        <w:t xml:space="preserve">insulin aspart occurs within 10 to </w:t>
      </w:r>
      <w:r w:rsidRPr="00170644">
        <w:rPr>
          <w:rFonts w:eastAsiaTheme="minorHAnsi"/>
          <w:color w:val="000000"/>
        </w:rPr>
        <w:t>20 minutes of subcutaneous</w:t>
      </w:r>
      <w:r w:rsidR="002F6718">
        <w:rPr>
          <w:rFonts w:eastAsiaTheme="minorHAnsi"/>
          <w:color w:val="000000"/>
        </w:rPr>
        <w:t xml:space="preserve"> (SC)</w:t>
      </w:r>
      <w:r w:rsidRPr="00170644">
        <w:rPr>
          <w:rFonts w:eastAsiaTheme="minorHAnsi"/>
          <w:color w:val="000000"/>
        </w:rPr>
        <w:t xml:space="preserve"> injection. The maximum effect is exerted between 1 and 3</w:t>
      </w:r>
      <w:r w:rsidR="002F6718">
        <w:rPr>
          <w:rFonts w:eastAsiaTheme="minorHAnsi"/>
          <w:color w:val="000000"/>
        </w:rPr>
        <w:t> </w:t>
      </w:r>
      <w:r w:rsidRPr="00170644">
        <w:rPr>
          <w:rFonts w:eastAsiaTheme="minorHAnsi"/>
          <w:color w:val="000000"/>
        </w:rPr>
        <w:t>hours after injection. The duration of action is 3 to 5 hours. Insulin aspart has a more predictable time to peak effect within subjects than soluble human insulin.</w:t>
      </w:r>
    </w:p>
    <w:p w14:paraId="7A8D5A6F" w14:textId="0F794B4E" w:rsidR="004F23D7" w:rsidRPr="0044471C" w:rsidRDefault="004F23D7" w:rsidP="00170644">
      <w:pPr>
        <w:ind w:left="720"/>
        <w:rPr>
          <w:rFonts w:eastAsiaTheme="minorHAnsi"/>
          <w:color w:val="000000"/>
        </w:rPr>
      </w:pPr>
      <w:r w:rsidRPr="00170644">
        <w:rPr>
          <w:rFonts w:eastAsiaTheme="minorHAnsi"/>
          <w:color w:val="000000"/>
        </w:rPr>
        <w:lastRenderedPageBreak/>
        <w:t>As with all insulins in clinical practice, the duration of action of insulin aspart will vary according to the dose, injection site, blood flow, temperature and level of physical activity.</w:t>
      </w:r>
      <w:r w:rsidR="003A6E66">
        <w:rPr>
          <w:rFonts w:eastAsiaTheme="minorHAnsi"/>
          <w:color w:val="000000"/>
        </w:rPr>
        <w:t>’</w:t>
      </w:r>
    </w:p>
    <w:p w14:paraId="56935339" w14:textId="6909147E" w:rsidR="00A5026A" w:rsidRDefault="00A5026A" w:rsidP="00A5026A">
      <w:pPr>
        <w:pStyle w:val="FigureTitle"/>
      </w:pPr>
      <w:bookmarkStart w:id="17" w:name="_Ref59463905"/>
      <w:r>
        <w:t xml:space="preserve">Figure </w:t>
      </w:r>
      <w:r w:rsidR="00103C2A">
        <w:fldChar w:fldCharType="begin"/>
      </w:r>
      <w:r w:rsidR="00103C2A">
        <w:instrText xml:space="preserve"> SEQ Figure \* ARABIC </w:instrText>
      </w:r>
      <w:r w:rsidR="00103C2A">
        <w:fldChar w:fldCharType="separate"/>
      </w:r>
      <w:r w:rsidR="00922676">
        <w:rPr>
          <w:noProof/>
        </w:rPr>
        <w:t>1</w:t>
      </w:r>
      <w:r w:rsidR="00103C2A">
        <w:rPr>
          <w:noProof/>
        </w:rPr>
        <w:fldChar w:fldCharType="end"/>
      </w:r>
      <w:bookmarkEnd w:id="17"/>
      <w:r>
        <w:t>: Blood g</w:t>
      </w:r>
      <w:r w:rsidR="007205BB">
        <w:t>lucose concentrations (mean ± 2 estimated population mean</w:t>
      </w:r>
      <w:r>
        <w:t xml:space="preserve">) following a single pre-meal dose (0.15 units/kg) of insulin aspart injected immediately before a meal (solid curve), or </w:t>
      </w:r>
      <w:r w:rsidR="0044471C">
        <w:t>soluble</w:t>
      </w:r>
      <w:r>
        <w:t xml:space="preserve"> human insulin administrated 30</w:t>
      </w:r>
      <w:r w:rsidR="002F6718">
        <w:t> </w:t>
      </w:r>
      <w:r>
        <w:t>minutes before a meal (dashed curve) in patient with type 1 diabetes mellitus</w:t>
      </w:r>
    </w:p>
    <w:p w14:paraId="5A271083" w14:textId="12863A5D" w:rsidR="004F23D7" w:rsidRDefault="004F23D7" w:rsidP="004F23D7">
      <w:r>
        <w:rPr>
          <w:noProof/>
          <w:lang w:eastAsia="en-AU"/>
        </w:rPr>
        <w:drawing>
          <wp:inline distT="0" distB="0" distL="0" distR="0" wp14:anchorId="14BD2662" wp14:editId="507127E3">
            <wp:extent cx="5400040" cy="3151505"/>
            <wp:effectExtent l="0" t="0" r="0" b="0"/>
            <wp:docPr id="4" name="Picture 4" descr="Blood glucose concentrations (mean ± 2 estimated population mean) following a single pre-meal dose (0.15 units / kg) of insulin aspart injected immediately before a meal (solid curve), or soluable human insulin administrated 30 minutes before a meal (dashed curve) in patient with type 1 diabetes mell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3151505"/>
                    </a:xfrm>
                    <a:prstGeom prst="rect">
                      <a:avLst/>
                    </a:prstGeom>
                  </pic:spPr>
                </pic:pic>
              </a:graphicData>
            </a:graphic>
          </wp:inline>
        </w:drawing>
      </w:r>
    </w:p>
    <w:p w14:paraId="4279C346" w14:textId="65662458" w:rsidR="007A4370" w:rsidRPr="004F23D7" w:rsidRDefault="007A4370" w:rsidP="0044471C">
      <w:pPr>
        <w:pStyle w:val="TableDescription"/>
      </w:pPr>
      <w:r>
        <w:t>Source: PI for Truvelog.</w:t>
      </w:r>
      <w:r w:rsidR="00216EFC" w:rsidRPr="00216EFC">
        <w:rPr>
          <w:vertAlign w:val="superscript"/>
        </w:rPr>
        <w:fldChar w:fldCharType="begin"/>
      </w:r>
      <w:r w:rsidR="00216EFC" w:rsidRPr="00216EFC">
        <w:rPr>
          <w:vertAlign w:val="superscript"/>
        </w:rPr>
        <w:instrText xml:space="preserve"> NOTEREF _Ref61620360 \h </w:instrText>
      </w:r>
      <w:r w:rsidR="00216EFC">
        <w:rPr>
          <w:vertAlign w:val="superscript"/>
        </w:rPr>
        <w:instrText xml:space="preserve"> \* MERGEFORMAT </w:instrText>
      </w:r>
      <w:r w:rsidR="00216EFC" w:rsidRPr="00216EFC">
        <w:rPr>
          <w:vertAlign w:val="superscript"/>
        </w:rPr>
      </w:r>
      <w:r w:rsidR="00216EFC" w:rsidRPr="00216EFC">
        <w:rPr>
          <w:vertAlign w:val="superscript"/>
        </w:rPr>
        <w:fldChar w:fldCharType="separate"/>
      </w:r>
      <w:r w:rsidR="00922676">
        <w:rPr>
          <w:vertAlign w:val="superscript"/>
        </w:rPr>
        <w:t>3</w:t>
      </w:r>
      <w:r w:rsidR="00216EFC" w:rsidRPr="00216EFC">
        <w:rPr>
          <w:vertAlign w:val="superscript"/>
        </w:rPr>
        <w:fldChar w:fldCharType="end"/>
      </w:r>
      <w:r w:rsidR="00216EFC" w:rsidRPr="004F23D7">
        <w:t xml:space="preserve"> </w:t>
      </w:r>
    </w:p>
    <w:p w14:paraId="1CFB1EA4" w14:textId="1B3F6DF4" w:rsidR="00651C85" w:rsidRPr="00651C85" w:rsidRDefault="00651C85" w:rsidP="00651C85">
      <w:pPr>
        <w:tabs>
          <w:tab w:val="left" w:pos="1418"/>
        </w:tabs>
        <w:autoSpaceDE w:val="0"/>
        <w:autoSpaceDN w:val="0"/>
        <w:spacing w:line="240" w:lineRule="auto"/>
        <w:rPr>
          <w:rFonts w:eastAsiaTheme="minorHAnsi" w:cs="Cambria"/>
        </w:rPr>
      </w:pPr>
      <w:r w:rsidRPr="00651C85">
        <w:rPr>
          <w:rFonts w:eastAsiaTheme="minorHAnsi" w:cs="Cambria"/>
        </w:rPr>
        <w:t>This is an application to register a</w:t>
      </w:r>
      <w:r w:rsidR="00D536D0">
        <w:rPr>
          <w:rFonts w:eastAsiaTheme="minorHAnsi" w:cs="Cambria"/>
        </w:rPr>
        <w:t xml:space="preserve"> biosimilar to insulin aspart (</w:t>
      </w:r>
      <w:r w:rsidR="0044471C" w:rsidRPr="00651C85">
        <w:rPr>
          <w:rFonts w:eastAsiaTheme="minorHAnsi" w:cs="Cambria"/>
        </w:rPr>
        <w:t>NovoRapid</w:t>
      </w:r>
      <w:r w:rsidR="00D536D0">
        <w:rPr>
          <w:rFonts w:eastAsiaTheme="minorHAnsi" w:cs="Cambria"/>
        </w:rPr>
        <w:t xml:space="preserve"> branded</w:t>
      </w:r>
      <w:r w:rsidR="00124AA7">
        <w:rPr>
          <w:rFonts w:eastAsiaTheme="minorHAnsi" w:cs="Cambria"/>
        </w:rPr>
        <w:t>, the innovator product</w:t>
      </w:r>
      <w:r w:rsidR="00D536D0">
        <w:rPr>
          <w:rFonts w:eastAsiaTheme="minorHAnsi" w:cs="Cambria"/>
        </w:rPr>
        <w:t>)</w:t>
      </w:r>
      <w:r w:rsidR="005940D1">
        <w:rPr>
          <w:rFonts w:eastAsiaTheme="minorHAnsi" w:cs="Cambria"/>
        </w:rPr>
        <w:t xml:space="preserve"> </w:t>
      </w:r>
      <w:r w:rsidRPr="00651C85">
        <w:rPr>
          <w:rFonts w:eastAsiaTheme="minorHAnsi" w:cs="Cambria"/>
        </w:rPr>
        <w:t>manufactured by Novo Nordisk</w:t>
      </w:r>
      <w:r w:rsidR="001E2DB5">
        <w:rPr>
          <w:rFonts w:eastAsiaTheme="minorHAnsi" w:cs="Cambria"/>
        </w:rPr>
        <w:t xml:space="preserve"> </w:t>
      </w:r>
      <w:r w:rsidR="001E2DB5">
        <w:t>Pharmaceuticals Pty Ltd</w:t>
      </w:r>
      <w:r w:rsidRPr="00651C85">
        <w:rPr>
          <w:rFonts w:eastAsiaTheme="minorHAnsi" w:cs="Cambria"/>
        </w:rPr>
        <w:t>.</w:t>
      </w:r>
      <w:r w:rsidR="00D0196D">
        <w:rPr>
          <w:rStyle w:val="FootnoteReference"/>
          <w:rFonts w:eastAsiaTheme="minorHAnsi" w:cs="Cambria"/>
        </w:rPr>
        <w:footnoteReference w:id="4"/>
      </w:r>
      <w:r w:rsidRPr="00651C85">
        <w:rPr>
          <w:rFonts w:eastAsiaTheme="minorHAnsi" w:cs="Cambria"/>
        </w:rPr>
        <w:t xml:space="preserve"> Novo</w:t>
      </w:r>
      <w:r w:rsidR="00EB3907">
        <w:rPr>
          <w:rFonts w:eastAsiaTheme="minorHAnsi" w:cs="Cambria"/>
        </w:rPr>
        <w:t>R</w:t>
      </w:r>
      <w:r w:rsidRPr="00651C85">
        <w:rPr>
          <w:rFonts w:eastAsiaTheme="minorHAnsi" w:cs="Cambria"/>
        </w:rPr>
        <w:t>apid</w:t>
      </w:r>
      <w:r w:rsidR="005940D1">
        <w:rPr>
          <w:rFonts w:eastAsiaTheme="minorHAnsi" w:cs="Cambria"/>
        </w:rPr>
        <w:t xml:space="preserve"> </w:t>
      </w:r>
      <w:r w:rsidRPr="00651C85">
        <w:rPr>
          <w:rFonts w:eastAsiaTheme="minorHAnsi" w:cs="Cambria"/>
        </w:rPr>
        <w:t xml:space="preserve">was </w:t>
      </w:r>
      <w:r w:rsidR="00D0196D">
        <w:rPr>
          <w:rFonts w:eastAsiaTheme="minorHAnsi" w:cs="Cambria"/>
        </w:rPr>
        <w:t xml:space="preserve">first </w:t>
      </w:r>
      <w:r w:rsidRPr="00651C85">
        <w:rPr>
          <w:rFonts w:eastAsiaTheme="minorHAnsi" w:cs="Cambria"/>
        </w:rPr>
        <w:t>registered in 2006. It is widely used</w:t>
      </w:r>
      <w:r w:rsidR="000A6DB4">
        <w:rPr>
          <w:rFonts w:eastAsiaTheme="minorHAnsi" w:cs="Cambria"/>
        </w:rPr>
        <w:t xml:space="preserve"> for the treatment of diabetes.</w:t>
      </w:r>
    </w:p>
    <w:p w14:paraId="68D33C0A" w14:textId="51EDF725" w:rsidR="00651C85" w:rsidRPr="00651C85" w:rsidRDefault="00651C85" w:rsidP="00651C85">
      <w:pPr>
        <w:tabs>
          <w:tab w:val="left" w:pos="1418"/>
        </w:tabs>
        <w:autoSpaceDE w:val="0"/>
        <w:autoSpaceDN w:val="0"/>
        <w:spacing w:line="240" w:lineRule="auto"/>
        <w:rPr>
          <w:rFonts w:eastAsiaTheme="minorHAnsi" w:cs="Cambria"/>
        </w:rPr>
      </w:pPr>
      <w:r w:rsidRPr="00651C85">
        <w:rPr>
          <w:rFonts w:eastAsiaTheme="minorHAnsi" w:cs="Cambria"/>
        </w:rPr>
        <w:t>The sponsor has proposed the same indication as Novo</w:t>
      </w:r>
      <w:r w:rsidR="00EB3907">
        <w:rPr>
          <w:rFonts w:eastAsiaTheme="minorHAnsi" w:cs="Cambria"/>
        </w:rPr>
        <w:t>R</w:t>
      </w:r>
      <w:r w:rsidRPr="00651C85">
        <w:rPr>
          <w:rFonts w:eastAsiaTheme="minorHAnsi" w:cs="Cambria"/>
        </w:rPr>
        <w:t>apid</w:t>
      </w:r>
      <w:r w:rsidR="00D536D0">
        <w:rPr>
          <w:rFonts w:eastAsiaTheme="minorHAnsi" w:cs="Cambria"/>
        </w:rPr>
        <w:t xml:space="preserve">. </w:t>
      </w:r>
      <w:r w:rsidRPr="00651C85">
        <w:rPr>
          <w:rFonts w:eastAsiaTheme="minorHAnsi" w:cs="Cambria"/>
        </w:rPr>
        <w:t>It will be available in the same dose forms (c</w:t>
      </w:r>
      <w:r w:rsidR="000A6DB4">
        <w:rPr>
          <w:rFonts w:eastAsiaTheme="minorHAnsi" w:cs="Cambria"/>
        </w:rPr>
        <w:t>artridges and single use pens).</w:t>
      </w:r>
    </w:p>
    <w:p w14:paraId="0AB329E5" w14:textId="4AC91A95" w:rsidR="00651C85" w:rsidRPr="00651C85" w:rsidRDefault="00651C85" w:rsidP="00651C85">
      <w:pPr>
        <w:tabs>
          <w:tab w:val="left" w:pos="1418"/>
        </w:tabs>
        <w:autoSpaceDE w:val="0"/>
        <w:autoSpaceDN w:val="0"/>
        <w:spacing w:line="240" w:lineRule="auto"/>
        <w:rPr>
          <w:rFonts w:eastAsiaTheme="minorHAnsi" w:cs="Cambria"/>
        </w:rPr>
      </w:pPr>
      <w:r w:rsidRPr="00651C85">
        <w:rPr>
          <w:rFonts w:eastAsiaTheme="minorHAnsi" w:cs="Cambria"/>
        </w:rPr>
        <w:t xml:space="preserve">The pen injector proposed by </w:t>
      </w:r>
      <w:r w:rsidR="00D0196D">
        <w:rPr>
          <w:rFonts w:eastAsiaTheme="minorHAnsi" w:cs="Cambria"/>
        </w:rPr>
        <w:t>the sponsor</w:t>
      </w:r>
      <w:r w:rsidR="00D0196D" w:rsidRPr="00651C85">
        <w:rPr>
          <w:rFonts w:eastAsiaTheme="minorHAnsi" w:cs="Cambria"/>
        </w:rPr>
        <w:t xml:space="preserve"> </w:t>
      </w:r>
      <w:r w:rsidRPr="00651C85">
        <w:rPr>
          <w:rFonts w:eastAsiaTheme="minorHAnsi" w:cs="Cambria"/>
        </w:rPr>
        <w:t xml:space="preserve">is known as Solostar, this is the same injector as used for another widely used insulin analogue </w:t>
      </w:r>
      <w:r w:rsidR="00D536D0">
        <w:rPr>
          <w:rFonts w:eastAsiaTheme="minorHAnsi" w:cs="Cambria"/>
        </w:rPr>
        <w:t xml:space="preserve">called </w:t>
      </w:r>
      <w:r w:rsidRPr="00651C85">
        <w:rPr>
          <w:rFonts w:eastAsiaTheme="minorHAnsi" w:cs="Cambria"/>
        </w:rPr>
        <w:t>Lantus.</w:t>
      </w:r>
      <w:r w:rsidR="00D0196D">
        <w:rPr>
          <w:rStyle w:val="FootnoteReference"/>
          <w:rFonts w:eastAsiaTheme="minorHAnsi" w:cs="Cambria"/>
        </w:rPr>
        <w:footnoteReference w:id="5"/>
      </w:r>
    </w:p>
    <w:p w14:paraId="0DBBA3C7" w14:textId="310DB219" w:rsidR="00651C85" w:rsidRPr="007205BB" w:rsidRDefault="00D536D0" w:rsidP="007205BB">
      <w:pPr>
        <w:tabs>
          <w:tab w:val="left" w:pos="1418"/>
        </w:tabs>
        <w:autoSpaceDE w:val="0"/>
        <w:autoSpaceDN w:val="0"/>
        <w:spacing w:line="240" w:lineRule="auto"/>
        <w:rPr>
          <w:rFonts w:eastAsiaTheme="minorHAnsi" w:cs="Cambria"/>
        </w:rPr>
      </w:pPr>
      <w:r>
        <w:rPr>
          <w:rFonts w:eastAsiaTheme="minorHAnsi" w:cs="Cambria"/>
        </w:rPr>
        <w:t>The PI</w:t>
      </w:r>
      <w:r w:rsidR="00651C85" w:rsidRPr="00651C85">
        <w:rPr>
          <w:rFonts w:eastAsiaTheme="minorHAnsi" w:cs="Cambria"/>
        </w:rPr>
        <w:t xml:space="preserve"> is derived from the current PI for Novo</w:t>
      </w:r>
      <w:r w:rsidR="00EB3907">
        <w:rPr>
          <w:rFonts w:eastAsiaTheme="minorHAnsi" w:cs="Cambria"/>
        </w:rPr>
        <w:t>R</w:t>
      </w:r>
      <w:r w:rsidR="00651C85" w:rsidRPr="00651C85">
        <w:rPr>
          <w:rFonts w:eastAsiaTheme="minorHAnsi" w:cs="Cambria"/>
        </w:rPr>
        <w:t>apid</w:t>
      </w:r>
      <w:r w:rsidR="002F6718">
        <w:rPr>
          <w:rFonts w:eastAsiaTheme="minorHAnsi" w:cs="Cambria"/>
        </w:rPr>
        <w:t>;</w:t>
      </w:r>
      <w:r w:rsidR="00651C85" w:rsidRPr="00651C85">
        <w:rPr>
          <w:rFonts w:eastAsiaTheme="minorHAnsi" w:cs="Cambria"/>
        </w:rPr>
        <w:t xml:space="preserve"> </w:t>
      </w:r>
      <w:r w:rsidR="002F6718">
        <w:rPr>
          <w:rFonts w:eastAsiaTheme="minorHAnsi" w:cs="Cambria"/>
        </w:rPr>
        <w:t>h</w:t>
      </w:r>
      <w:r w:rsidR="00651C85" w:rsidRPr="00651C85">
        <w:rPr>
          <w:rFonts w:eastAsiaTheme="minorHAnsi" w:cs="Cambria"/>
        </w:rPr>
        <w:t>owever the sections relevant to Novomix,</w:t>
      </w:r>
      <w:r w:rsidR="005940D1">
        <w:rPr>
          <w:rFonts w:eastAsiaTheme="minorHAnsi" w:cs="Cambria"/>
        </w:rPr>
        <w:t xml:space="preserve"> </w:t>
      </w:r>
      <w:r w:rsidR="00651C85" w:rsidRPr="00651C85">
        <w:rPr>
          <w:rFonts w:eastAsiaTheme="minorHAnsi" w:cs="Cambria"/>
        </w:rPr>
        <w:t>insulin pumps and use of insulin aspart intravenously have b</w:t>
      </w:r>
      <w:r w:rsidR="007205BB">
        <w:rPr>
          <w:rFonts w:eastAsiaTheme="minorHAnsi" w:cs="Cambria"/>
        </w:rPr>
        <w:t>een deleted.</w:t>
      </w:r>
    </w:p>
    <w:p w14:paraId="10DA62B0" w14:textId="77777777" w:rsidR="008E7846" w:rsidRPr="003F31A2" w:rsidRDefault="00386150" w:rsidP="008E7846">
      <w:pPr>
        <w:pStyle w:val="Heading3"/>
      </w:pPr>
      <w:bookmarkStart w:id="18" w:name="_Toc314842485"/>
      <w:bookmarkStart w:id="19" w:name="_Toc247691504"/>
      <w:bookmarkStart w:id="20" w:name="_Toc65498884"/>
      <w:r>
        <w:t>Regulatory s</w:t>
      </w:r>
      <w:r w:rsidR="008E7846">
        <w:t>tatus</w:t>
      </w:r>
      <w:bookmarkEnd w:id="18"/>
      <w:bookmarkEnd w:id="19"/>
      <w:bookmarkEnd w:id="20"/>
    </w:p>
    <w:p w14:paraId="2508C35F" w14:textId="59DB9D93" w:rsidR="00940A89" w:rsidRDefault="00006FAB" w:rsidP="00940A89">
      <w:bookmarkStart w:id="21" w:name="_Toc247691505"/>
      <w:bookmarkStart w:id="22" w:name="_Toc314842486"/>
      <w:r w:rsidRPr="00006FAB">
        <w:t>This product is considered a new biosimilar medicine for Australian regulatory purposes.</w:t>
      </w:r>
    </w:p>
    <w:p w14:paraId="2AD7CB99" w14:textId="7B23CDB4" w:rsidR="00940A89" w:rsidRDefault="00006FAB" w:rsidP="00D536D0">
      <w:r>
        <w:t xml:space="preserve">At the time the TGA considered this application, a similar application had been approved </w:t>
      </w:r>
      <w:r w:rsidR="00D536D0">
        <w:t>in the European Union (</w:t>
      </w:r>
      <w:r w:rsidR="00887B14">
        <w:t xml:space="preserve">EU; </w:t>
      </w:r>
      <w:r w:rsidR="00D536D0">
        <w:t>June 2020)</w:t>
      </w:r>
      <w:r w:rsidR="009A2B36">
        <w:t>.</w:t>
      </w:r>
    </w:p>
    <w:p w14:paraId="225CE17B" w14:textId="46FD3D6B" w:rsidR="009A2B36" w:rsidRDefault="009A2B36" w:rsidP="004D32A7">
      <w:pPr>
        <w:pStyle w:val="TableTitle"/>
      </w:pPr>
      <w:r>
        <w:lastRenderedPageBreak/>
        <w:t xml:space="preserve">Table </w:t>
      </w:r>
      <w:r w:rsidR="00103C2A">
        <w:fldChar w:fldCharType="begin"/>
      </w:r>
      <w:r w:rsidR="00103C2A">
        <w:instrText xml:space="preserve"> SEQ Table \* ARABIC </w:instrText>
      </w:r>
      <w:r w:rsidR="00103C2A">
        <w:fldChar w:fldCharType="separate"/>
      </w:r>
      <w:r w:rsidR="00922676">
        <w:rPr>
          <w:noProof/>
        </w:rPr>
        <w:t>1</w:t>
      </w:r>
      <w:r w:rsidR="00103C2A">
        <w:rPr>
          <w:noProof/>
        </w:rPr>
        <w:fldChar w:fldCharType="end"/>
      </w:r>
      <w:r>
        <w:t>: International regulatory status</w:t>
      </w:r>
    </w:p>
    <w:tbl>
      <w:tblPr>
        <w:tblStyle w:val="TableTGAblue"/>
        <w:tblW w:w="0" w:type="auto"/>
        <w:tblLook w:val="04A0" w:firstRow="1" w:lastRow="0" w:firstColumn="1" w:lastColumn="0" w:noHBand="0" w:noVBand="1"/>
      </w:tblPr>
      <w:tblGrid>
        <w:gridCol w:w="2180"/>
        <w:gridCol w:w="2180"/>
        <w:gridCol w:w="2180"/>
        <w:gridCol w:w="2180"/>
      </w:tblGrid>
      <w:tr w:rsidR="00006FAB" w14:paraId="5F97A844" w14:textId="77777777" w:rsidTr="00CF5DAD">
        <w:trPr>
          <w:cnfStyle w:val="100000000000" w:firstRow="1" w:lastRow="0" w:firstColumn="0" w:lastColumn="0" w:oddVBand="0" w:evenVBand="0" w:oddHBand="0" w:evenHBand="0" w:firstRowFirstColumn="0" w:firstRowLastColumn="0" w:lastRowFirstColumn="0" w:lastRowLastColumn="0"/>
        </w:trPr>
        <w:tc>
          <w:tcPr>
            <w:tcW w:w="2180" w:type="dxa"/>
            <w:tcBorders>
              <w:top w:val="single" w:sz="4" w:space="0" w:color="auto"/>
              <w:left w:val="single" w:sz="4" w:space="0" w:color="auto"/>
              <w:bottom w:val="single" w:sz="4" w:space="0" w:color="auto"/>
              <w:right w:val="single" w:sz="4" w:space="0" w:color="auto"/>
            </w:tcBorders>
          </w:tcPr>
          <w:p w14:paraId="33AA6EBF" w14:textId="77777777" w:rsidR="00006FAB" w:rsidRDefault="00006FAB" w:rsidP="00006FAB">
            <w:pPr>
              <w:ind w:left="0" w:right="0"/>
            </w:pPr>
            <w:r>
              <w:t>Region</w:t>
            </w:r>
          </w:p>
        </w:tc>
        <w:tc>
          <w:tcPr>
            <w:tcW w:w="2180" w:type="dxa"/>
            <w:tcBorders>
              <w:top w:val="single" w:sz="4" w:space="0" w:color="auto"/>
              <w:left w:val="single" w:sz="4" w:space="0" w:color="auto"/>
              <w:bottom w:val="single" w:sz="4" w:space="0" w:color="auto"/>
              <w:right w:val="single" w:sz="4" w:space="0" w:color="auto"/>
            </w:tcBorders>
          </w:tcPr>
          <w:p w14:paraId="2C6757C6" w14:textId="77777777" w:rsidR="00006FAB" w:rsidRDefault="00006FAB" w:rsidP="00006FAB">
            <w:pPr>
              <w:ind w:left="0" w:right="0"/>
            </w:pPr>
            <w:r>
              <w:t>Submission date</w:t>
            </w:r>
          </w:p>
        </w:tc>
        <w:tc>
          <w:tcPr>
            <w:tcW w:w="2180" w:type="dxa"/>
            <w:tcBorders>
              <w:top w:val="single" w:sz="4" w:space="0" w:color="auto"/>
              <w:left w:val="single" w:sz="4" w:space="0" w:color="auto"/>
              <w:bottom w:val="single" w:sz="4" w:space="0" w:color="auto"/>
              <w:right w:val="single" w:sz="4" w:space="0" w:color="auto"/>
            </w:tcBorders>
          </w:tcPr>
          <w:p w14:paraId="139F1E39" w14:textId="77777777" w:rsidR="00006FAB" w:rsidRDefault="00006FAB" w:rsidP="00006FAB">
            <w:pPr>
              <w:ind w:left="0" w:right="0"/>
            </w:pPr>
            <w:r>
              <w:t>Status</w:t>
            </w:r>
          </w:p>
        </w:tc>
        <w:tc>
          <w:tcPr>
            <w:tcW w:w="2180" w:type="dxa"/>
            <w:tcBorders>
              <w:top w:val="single" w:sz="4" w:space="0" w:color="auto"/>
              <w:left w:val="single" w:sz="4" w:space="0" w:color="auto"/>
              <w:bottom w:val="single" w:sz="4" w:space="0" w:color="auto"/>
              <w:right w:val="single" w:sz="4" w:space="0" w:color="auto"/>
            </w:tcBorders>
          </w:tcPr>
          <w:p w14:paraId="5A573BA2" w14:textId="77777777" w:rsidR="00006FAB" w:rsidRDefault="00006FAB" w:rsidP="00006FAB">
            <w:pPr>
              <w:ind w:left="0" w:right="0"/>
            </w:pPr>
            <w:r>
              <w:t>Approved indications</w:t>
            </w:r>
          </w:p>
        </w:tc>
      </w:tr>
      <w:tr w:rsidR="00006FAB" w14:paraId="0885B12F" w14:textId="77777777" w:rsidTr="00CF5DAD">
        <w:tc>
          <w:tcPr>
            <w:tcW w:w="2180" w:type="dxa"/>
            <w:tcBorders>
              <w:top w:val="single" w:sz="4" w:space="0" w:color="auto"/>
            </w:tcBorders>
          </w:tcPr>
          <w:p w14:paraId="581F208D" w14:textId="1A19EF54" w:rsidR="00006FAB" w:rsidRDefault="00651C85" w:rsidP="00006FAB">
            <w:pPr>
              <w:ind w:left="0" w:right="0"/>
            </w:pPr>
            <w:r>
              <w:t>European Union</w:t>
            </w:r>
          </w:p>
        </w:tc>
        <w:tc>
          <w:tcPr>
            <w:tcW w:w="2180" w:type="dxa"/>
            <w:tcBorders>
              <w:top w:val="single" w:sz="4" w:space="0" w:color="auto"/>
            </w:tcBorders>
          </w:tcPr>
          <w:p w14:paraId="3D30B7FC" w14:textId="14523CC7" w:rsidR="00006FAB" w:rsidRDefault="00651C85" w:rsidP="00006FAB">
            <w:pPr>
              <w:ind w:left="0" w:right="0"/>
            </w:pPr>
            <w:r>
              <w:t>29 May 2019</w:t>
            </w:r>
          </w:p>
        </w:tc>
        <w:tc>
          <w:tcPr>
            <w:tcW w:w="2180" w:type="dxa"/>
            <w:tcBorders>
              <w:top w:val="single" w:sz="4" w:space="0" w:color="auto"/>
            </w:tcBorders>
          </w:tcPr>
          <w:p w14:paraId="110F1491" w14:textId="01B31A1B" w:rsidR="00006FAB" w:rsidRDefault="00D61267" w:rsidP="00006FAB">
            <w:pPr>
              <w:ind w:left="0" w:right="0"/>
            </w:pPr>
            <w:r>
              <w:t>Approved on 25</w:t>
            </w:r>
            <w:r w:rsidR="00F426E6">
              <w:t> </w:t>
            </w:r>
            <w:r>
              <w:t>June</w:t>
            </w:r>
            <w:r w:rsidR="00F426E6">
              <w:t> </w:t>
            </w:r>
            <w:r>
              <w:t xml:space="preserve">2020 (as </w:t>
            </w:r>
            <w:r w:rsidR="009A2B36">
              <w:t>‘</w:t>
            </w:r>
            <w:r>
              <w:t>Insulin aspart Sanofi</w:t>
            </w:r>
            <w:r w:rsidR="009A2B36">
              <w:t>’</w:t>
            </w:r>
            <w:r w:rsidR="007205BB">
              <w:t>)</w:t>
            </w:r>
          </w:p>
        </w:tc>
        <w:tc>
          <w:tcPr>
            <w:tcW w:w="2180" w:type="dxa"/>
            <w:tcBorders>
              <w:top w:val="single" w:sz="4" w:space="0" w:color="auto"/>
            </w:tcBorders>
          </w:tcPr>
          <w:p w14:paraId="0A94C63C" w14:textId="585A6D08" w:rsidR="00006FAB" w:rsidRPr="00D61267" w:rsidRDefault="008A66AA" w:rsidP="00006FAB">
            <w:pPr>
              <w:ind w:left="0" w:right="0"/>
              <w:rPr>
                <w:i/>
              </w:rPr>
            </w:pPr>
            <w:r>
              <w:rPr>
                <w:i/>
              </w:rPr>
              <w:t>T</w:t>
            </w:r>
            <w:r w:rsidR="00D61267" w:rsidRPr="00D61267">
              <w:rPr>
                <w:i/>
              </w:rPr>
              <w:t>reatment of diabetes mellitus in adults, adolescents and children aged 1 year and above</w:t>
            </w:r>
          </w:p>
        </w:tc>
      </w:tr>
    </w:tbl>
    <w:p w14:paraId="0205DB00" w14:textId="77777777" w:rsidR="008E7846" w:rsidRDefault="008E7846" w:rsidP="00940A89">
      <w:pPr>
        <w:pStyle w:val="Heading3"/>
      </w:pPr>
      <w:bookmarkStart w:id="23" w:name="_Toc65498885"/>
      <w:r>
        <w:t>Product Information</w:t>
      </w:r>
      <w:bookmarkEnd w:id="21"/>
      <w:bookmarkEnd w:id="22"/>
      <w:bookmarkEnd w:id="23"/>
    </w:p>
    <w:p w14:paraId="35AF48C6" w14:textId="7C2A0C15" w:rsidR="00940A89" w:rsidRDefault="006136D7" w:rsidP="00940A89">
      <w:bookmarkStart w:id="24" w:name="_Toc247691506"/>
      <w:bookmarkStart w:id="25"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0C5DB4AA" w14:textId="77777777" w:rsidR="00500337" w:rsidRDefault="00500337" w:rsidP="00500337">
      <w:pPr>
        <w:pStyle w:val="Heading2"/>
      </w:pPr>
      <w:bookmarkStart w:id="26" w:name="_Toc504480011"/>
      <w:bookmarkStart w:id="27" w:name="_Toc65498886"/>
      <w:r>
        <w:t>II. Registration timeline</w:t>
      </w:r>
      <w:bookmarkEnd w:id="26"/>
      <w:bookmarkEnd w:id="27"/>
    </w:p>
    <w:p w14:paraId="01E89EE0" w14:textId="77777777" w:rsidR="00500337" w:rsidRDefault="00500337" w:rsidP="00500337">
      <w:r>
        <w:t>The following table captures the key steps and dates for this application and which are detailed and discussed in this AusPAR.</w:t>
      </w:r>
    </w:p>
    <w:p w14:paraId="6DE40DAD" w14:textId="5A8B96E4" w:rsidR="00500337" w:rsidRPr="00377BD4" w:rsidRDefault="009A2B36" w:rsidP="009A2B36">
      <w:pPr>
        <w:pStyle w:val="TableTitle"/>
      </w:pPr>
      <w:r>
        <w:t xml:space="preserve">Table </w:t>
      </w:r>
      <w:r w:rsidR="00103C2A">
        <w:fldChar w:fldCharType="begin"/>
      </w:r>
      <w:r w:rsidR="00103C2A">
        <w:instrText xml:space="preserve"> SEQ Table \* ARABIC </w:instrText>
      </w:r>
      <w:r w:rsidR="00103C2A">
        <w:fldChar w:fldCharType="separate"/>
      </w:r>
      <w:r w:rsidR="00922676">
        <w:rPr>
          <w:noProof/>
        </w:rPr>
        <w:t>2</w:t>
      </w:r>
      <w:r w:rsidR="00103C2A">
        <w:rPr>
          <w:noProof/>
        </w:rPr>
        <w:fldChar w:fldCharType="end"/>
      </w:r>
      <w:r w:rsidR="00006FAB">
        <w:t>:</w:t>
      </w:r>
      <w:r w:rsidR="006A58A8" w:rsidRPr="006A58A8">
        <w:t xml:space="preserve"> Timeline for Submission PM-201</w:t>
      </w:r>
      <w:r w:rsidR="00FC5239">
        <w:t>9-04815-1-5</w:t>
      </w:r>
    </w:p>
    <w:tbl>
      <w:tblPr>
        <w:tblStyle w:val="TableTGAblue"/>
        <w:tblW w:w="0" w:type="auto"/>
        <w:tblLook w:val="04A0" w:firstRow="1" w:lastRow="0" w:firstColumn="1" w:lastColumn="0" w:noHBand="0" w:noVBand="1"/>
      </w:tblPr>
      <w:tblGrid>
        <w:gridCol w:w="4360"/>
        <w:gridCol w:w="4360"/>
      </w:tblGrid>
      <w:tr w:rsidR="00500337" w14:paraId="79440B39" w14:textId="77777777" w:rsidTr="00CF5DAD">
        <w:trPr>
          <w:cnfStyle w:val="100000000000" w:firstRow="1" w:lastRow="0" w:firstColumn="0" w:lastColumn="0" w:oddVBand="0" w:evenVBand="0" w:oddHBand="0" w:evenHBand="0" w:firstRowFirstColumn="0" w:firstRowLastColumn="0" w:lastRowFirstColumn="0" w:lastRowLastColumn="0"/>
          <w:cantSplit/>
        </w:trPr>
        <w:tc>
          <w:tcPr>
            <w:tcW w:w="4360" w:type="dxa"/>
            <w:tcBorders>
              <w:top w:val="single" w:sz="4" w:space="0" w:color="auto"/>
              <w:left w:val="single" w:sz="4" w:space="0" w:color="auto"/>
              <w:bottom w:val="single" w:sz="4" w:space="0" w:color="auto"/>
              <w:right w:val="single" w:sz="4" w:space="0" w:color="auto"/>
            </w:tcBorders>
          </w:tcPr>
          <w:p w14:paraId="60ED9A36" w14:textId="77777777" w:rsidR="00500337" w:rsidRDefault="00500337" w:rsidP="00500337">
            <w:pPr>
              <w:ind w:left="0" w:right="0"/>
            </w:pPr>
            <w:r>
              <w:t>Description</w:t>
            </w:r>
          </w:p>
        </w:tc>
        <w:tc>
          <w:tcPr>
            <w:tcW w:w="4360" w:type="dxa"/>
            <w:tcBorders>
              <w:top w:val="single" w:sz="4" w:space="0" w:color="auto"/>
              <w:left w:val="single" w:sz="4" w:space="0" w:color="auto"/>
              <w:bottom w:val="single" w:sz="4" w:space="0" w:color="auto"/>
              <w:right w:val="single" w:sz="4" w:space="0" w:color="auto"/>
            </w:tcBorders>
          </w:tcPr>
          <w:p w14:paraId="1641E6E8" w14:textId="77777777" w:rsidR="00500337" w:rsidRDefault="00500337" w:rsidP="00500337">
            <w:pPr>
              <w:ind w:left="0" w:right="0"/>
            </w:pPr>
            <w:r>
              <w:t>Date</w:t>
            </w:r>
          </w:p>
        </w:tc>
      </w:tr>
      <w:tr w:rsidR="00500337" w14:paraId="20ACA710" w14:textId="77777777" w:rsidTr="00CF5DAD">
        <w:tc>
          <w:tcPr>
            <w:tcW w:w="4360" w:type="dxa"/>
            <w:tcBorders>
              <w:top w:val="single" w:sz="4" w:space="0" w:color="auto"/>
            </w:tcBorders>
          </w:tcPr>
          <w:p w14:paraId="426F8BB5" w14:textId="77777777" w:rsidR="00500337" w:rsidRDefault="00500337" w:rsidP="00500337">
            <w:pPr>
              <w:ind w:left="0" w:right="0"/>
            </w:pPr>
            <w:r>
              <w:t>Submission dossier accepted and first round evaluation commenced</w:t>
            </w:r>
          </w:p>
        </w:tc>
        <w:tc>
          <w:tcPr>
            <w:tcW w:w="4360" w:type="dxa"/>
            <w:tcBorders>
              <w:top w:val="single" w:sz="4" w:space="0" w:color="auto"/>
            </w:tcBorders>
          </w:tcPr>
          <w:p w14:paraId="4C4F7E49" w14:textId="7812BAAC" w:rsidR="00500337" w:rsidRDefault="00AE3204" w:rsidP="00500337">
            <w:pPr>
              <w:ind w:left="0" w:right="0"/>
            </w:pPr>
            <w:r>
              <w:t>2 December 2019</w:t>
            </w:r>
          </w:p>
        </w:tc>
      </w:tr>
      <w:tr w:rsidR="00500337" w14:paraId="7D7ADAD5" w14:textId="77777777" w:rsidTr="00500337">
        <w:tc>
          <w:tcPr>
            <w:tcW w:w="4360" w:type="dxa"/>
          </w:tcPr>
          <w:p w14:paraId="1A91E3E9" w14:textId="77777777" w:rsidR="00500337" w:rsidRDefault="00500337" w:rsidP="00500337">
            <w:pPr>
              <w:ind w:left="0" w:right="0"/>
            </w:pPr>
            <w:r>
              <w:t>First round evaluation completed</w:t>
            </w:r>
          </w:p>
        </w:tc>
        <w:tc>
          <w:tcPr>
            <w:tcW w:w="4360" w:type="dxa"/>
          </w:tcPr>
          <w:p w14:paraId="69E125FA" w14:textId="57B02BB9" w:rsidR="00500337" w:rsidRDefault="00AE3204" w:rsidP="00500337">
            <w:pPr>
              <w:ind w:left="0" w:right="0"/>
            </w:pPr>
            <w:r>
              <w:t>30 April 2020</w:t>
            </w:r>
          </w:p>
        </w:tc>
      </w:tr>
      <w:tr w:rsidR="00500337" w14:paraId="0F590FDA" w14:textId="77777777" w:rsidTr="00500337">
        <w:tc>
          <w:tcPr>
            <w:tcW w:w="4360" w:type="dxa"/>
          </w:tcPr>
          <w:p w14:paraId="6D2A169C" w14:textId="77777777" w:rsidR="00500337" w:rsidRDefault="00500337" w:rsidP="00500337">
            <w:pPr>
              <w:ind w:left="0" w:right="0"/>
            </w:pPr>
            <w:r>
              <w:t>Sponsor provides responses on questions raised in first round evaluation</w:t>
            </w:r>
          </w:p>
        </w:tc>
        <w:tc>
          <w:tcPr>
            <w:tcW w:w="4360" w:type="dxa"/>
          </w:tcPr>
          <w:p w14:paraId="02B25AFB" w14:textId="3C70E663" w:rsidR="00500337" w:rsidRDefault="00AE3204" w:rsidP="00500337">
            <w:pPr>
              <w:ind w:left="0" w:right="0"/>
            </w:pPr>
            <w:r>
              <w:t>26 June 2020</w:t>
            </w:r>
          </w:p>
        </w:tc>
      </w:tr>
      <w:tr w:rsidR="00500337" w14:paraId="1232ECE3" w14:textId="77777777" w:rsidTr="00500337">
        <w:tc>
          <w:tcPr>
            <w:tcW w:w="4360" w:type="dxa"/>
          </w:tcPr>
          <w:p w14:paraId="66C1C84E" w14:textId="77777777" w:rsidR="00500337" w:rsidRDefault="00500337" w:rsidP="00500337">
            <w:pPr>
              <w:ind w:left="0" w:right="0"/>
            </w:pPr>
            <w:r>
              <w:t>Second round evaluation completed</w:t>
            </w:r>
          </w:p>
        </w:tc>
        <w:tc>
          <w:tcPr>
            <w:tcW w:w="4360" w:type="dxa"/>
          </w:tcPr>
          <w:p w14:paraId="332E4C53" w14:textId="266EADC2" w:rsidR="00500337" w:rsidRDefault="00AE3204" w:rsidP="00500337">
            <w:pPr>
              <w:ind w:left="0" w:right="0"/>
            </w:pPr>
            <w:r>
              <w:t>5 August 2020</w:t>
            </w:r>
          </w:p>
        </w:tc>
      </w:tr>
      <w:tr w:rsidR="00500337" w14:paraId="1CA0FC38" w14:textId="77777777" w:rsidTr="00500337">
        <w:tc>
          <w:tcPr>
            <w:tcW w:w="4360" w:type="dxa"/>
          </w:tcPr>
          <w:p w14:paraId="46B6870C" w14:textId="7D02FFB4" w:rsidR="00500337" w:rsidRDefault="00500337" w:rsidP="009A2B36">
            <w:pPr>
              <w:ind w:left="0" w:right="0"/>
            </w:pPr>
            <w:r>
              <w:t xml:space="preserve">Delegate’s </w:t>
            </w:r>
            <w:r w:rsidR="00632F02">
              <w:t>Overall benefit-risk assessment</w:t>
            </w:r>
          </w:p>
        </w:tc>
        <w:tc>
          <w:tcPr>
            <w:tcW w:w="4360" w:type="dxa"/>
          </w:tcPr>
          <w:p w14:paraId="6367B53E" w14:textId="6418B176" w:rsidR="00500337" w:rsidRDefault="009A2B36" w:rsidP="00500337">
            <w:pPr>
              <w:ind w:left="0" w:right="0"/>
            </w:pPr>
            <w:r>
              <w:t>9 September 2020</w:t>
            </w:r>
          </w:p>
        </w:tc>
      </w:tr>
      <w:tr w:rsidR="00500337" w14:paraId="6E14EC42" w14:textId="77777777" w:rsidTr="00500337">
        <w:tc>
          <w:tcPr>
            <w:tcW w:w="4360" w:type="dxa"/>
          </w:tcPr>
          <w:p w14:paraId="66F8AB03" w14:textId="77777777" w:rsidR="00500337" w:rsidRDefault="00500337" w:rsidP="00500337">
            <w:pPr>
              <w:ind w:left="0" w:right="0"/>
            </w:pPr>
            <w:r>
              <w:t>Sponsor’s pre-Advisory Committee response</w:t>
            </w:r>
          </w:p>
        </w:tc>
        <w:tc>
          <w:tcPr>
            <w:tcW w:w="4360" w:type="dxa"/>
          </w:tcPr>
          <w:p w14:paraId="6CC5748B" w14:textId="31677E78" w:rsidR="00500337" w:rsidRDefault="00AE3204" w:rsidP="00500337">
            <w:pPr>
              <w:ind w:left="0" w:right="0"/>
            </w:pPr>
            <w:r>
              <w:t xml:space="preserve">Not </w:t>
            </w:r>
            <w:r w:rsidR="009A2B36">
              <w:t>a</w:t>
            </w:r>
            <w:r>
              <w:t>pplicable</w:t>
            </w:r>
          </w:p>
        </w:tc>
      </w:tr>
      <w:tr w:rsidR="00500337" w14:paraId="09383734" w14:textId="77777777" w:rsidTr="00500337">
        <w:tc>
          <w:tcPr>
            <w:tcW w:w="4360" w:type="dxa"/>
          </w:tcPr>
          <w:p w14:paraId="33B8923E" w14:textId="77777777" w:rsidR="00500337" w:rsidRDefault="00500337" w:rsidP="00500337">
            <w:pPr>
              <w:ind w:left="0" w:right="0"/>
            </w:pPr>
            <w:r>
              <w:t>Advisory Committee meeting</w:t>
            </w:r>
          </w:p>
        </w:tc>
        <w:tc>
          <w:tcPr>
            <w:tcW w:w="4360" w:type="dxa"/>
          </w:tcPr>
          <w:p w14:paraId="4ACF2E83" w14:textId="3B510330" w:rsidR="00500337" w:rsidRDefault="00AE3204" w:rsidP="00500337">
            <w:pPr>
              <w:ind w:left="0" w:right="0"/>
            </w:pPr>
            <w:r>
              <w:t xml:space="preserve">Not </w:t>
            </w:r>
            <w:r w:rsidR="009A2B36">
              <w:t>a</w:t>
            </w:r>
            <w:r>
              <w:t>pplicable</w:t>
            </w:r>
          </w:p>
        </w:tc>
      </w:tr>
      <w:tr w:rsidR="00500337" w14:paraId="4E82425C" w14:textId="77777777" w:rsidTr="00500337">
        <w:tc>
          <w:tcPr>
            <w:tcW w:w="4360" w:type="dxa"/>
          </w:tcPr>
          <w:p w14:paraId="4CAA70AD" w14:textId="77777777" w:rsidR="00500337" w:rsidRDefault="00500337" w:rsidP="00500337">
            <w:pPr>
              <w:ind w:left="0" w:right="0"/>
            </w:pPr>
            <w:r>
              <w:t>Registration decision (Outcome)</w:t>
            </w:r>
          </w:p>
        </w:tc>
        <w:tc>
          <w:tcPr>
            <w:tcW w:w="4360" w:type="dxa"/>
          </w:tcPr>
          <w:p w14:paraId="41B16BD3" w14:textId="1BC62BBB" w:rsidR="00500337" w:rsidRDefault="00AE3204" w:rsidP="00500337">
            <w:pPr>
              <w:ind w:left="0" w:right="0"/>
            </w:pPr>
            <w:r>
              <w:t>14 October 2020</w:t>
            </w:r>
          </w:p>
        </w:tc>
      </w:tr>
      <w:tr w:rsidR="00500337" w14:paraId="15DD07F5" w14:textId="77777777" w:rsidTr="00500337">
        <w:tc>
          <w:tcPr>
            <w:tcW w:w="4360" w:type="dxa"/>
          </w:tcPr>
          <w:p w14:paraId="7638B2EA" w14:textId="77777777" w:rsidR="00500337" w:rsidRDefault="00500337" w:rsidP="00500337">
            <w:pPr>
              <w:ind w:left="0" w:right="0"/>
            </w:pPr>
            <w:r>
              <w:t xml:space="preserve">Completion of administrative activities and registration on </w:t>
            </w:r>
            <w:r w:rsidR="00006FAB">
              <w:t xml:space="preserve">the </w:t>
            </w:r>
            <w:r>
              <w:t>ARTG</w:t>
            </w:r>
          </w:p>
        </w:tc>
        <w:tc>
          <w:tcPr>
            <w:tcW w:w="4360" w:type="dxa"/>
          </w:tcPr>
          <w:p w14:paraId="78349FA2" w14:textId="5D7DD0B4" w:rsidR="00500337" w:rsidRDefault="00AE3204" w:rsidP="00500337">
            <w:pPr>
              <w:ind w:left="0" w:right="0"/>
            </w:pPr>
            <w:r>
              <w:t>15 October 2020</w:t>
            </w:r>
          </w:p>
        </w:tc>
      </w:tr>
      <w:tr w:rsidR="00500337" w14:paraId="76D10215" w14:textId="77777777" w:rsidTr="00500337">
        <w:tc>
          <w:tcPr>
            <w:tcW w:w="4360" w:type="dxa"/>
          </w:tcPr>
          <w:p w14:paraId="5B871074" w14:textId="77777777" w:rsidR="00500337" w:rsidRDefault="00500337" w:rsidP="00500337">
            <w:pPr>
              <w:ind w:left="0" w:right="0"/>
            </w:pPr>
            <w:r>
              <w:t>Number of working days from submission dossier acceptance to registration decision*</w:t>
            </w:r>
          </w:p>
        </w:tc>
        <w:tc>
          <w:tcPr>
            <w:tcW w:w="4360" w:type="dxa"/>
          </w:tcPr>
          <w:p w14:paraId="678F12CC" w14:textId="1D9BC850" w:rsidR="00500337" w:rsidRDefault="00AE3204" w:rsidP="00500337">
            <w:pPr>
              <w:ind w:left="0" w:right="0"/>
            </w:pPr>
            <w:r>
              <w:t>170</w:t>
            </w:r>
          </w:p>
        </w:tc>
      </w:tr>
    </w:tbl>
    <w:p w14:paraId="4B49E7FF"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57A67CE3" w14:textId="77777777" w:rsidR="008E7846" w:rsidRPr="00792A32" w:rsidRDefault="00456765" w:rsidP="008E7846">
      <w:pPr>
        <w:pStyle w:val="Heading2"/>
      </w:pPr>
      <w:bookmarkStart w:id="28" w:name="_Toc196046504"/>
      <w:bookmarkStart w:id="29" w:name="_Toc247691527"/>
      <w:bookmarkStart w:id="30" w:name="_Toc314842510"/>
      <w:bookmarkStart w:id="31" w:name="_Toc65498887"/>
      <w:bookmarkStart w:id="32" w:name="_Toc163441390"/>
      <w:bookmarkEnd w:id="24"/>
      <w:bookmarkEnd w:id="25"/>
      <w:bookmarkEnd w:id="2"/>
      <w:r>
        <w:lastRenderedPageBreak/>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1"/>
    </w:p>
    <w:p w14:paraId="2911E835" w14:textId="77777777" w:rsidR="00006FAB" w:rsidRDefault="00006FAB" w:rsidP="00006FAB">
      <w:bookmarkStart w:id="33" w:name="_Toc247691528"/>
      <w:r>
        <w:t>The submission was summarised in the following Delegate’s overview and recommendations.</w:t>
      </w:r>
    </w:p>
    <w:p w14:paraId="2EFF8DF5" w14:textId="77777777" w:rsidR="008E7846" w:rsidRDefault="008E7846" w:rsidP="008E7846">
      <w:pPr>
        <w:pStyle w:val="Heading3"/>
      </w:pPr>
      <w:bookmarkStart w:id="34" w:name="_Toc314842511"/>
      <w:bookmarkStart w:id="35" w:name="_Toc65498888"/>
      <w:r>
        <w:t>Quality</w:t>
      </w:r>
      <w:bookmarkEnd w:id="33"/>
      <w:bookmarkEnd w:id="34"/>
      <w:bookmarkEnd w:id="35"/>
    </w:p>
    <w:p w14:paraId="50135260" w14:textId="03328C4B" w:rsidR="002275F5" w:rsidRDefault="002275F5" w:rsidP="002275F5">
      <w:pPr>
        <w:tabs>
          <w:tab w:val="left" w:pos="1418"/>
        </w:tabs>
        <w:autoSpaceDE w:val="0"/>
        <w:autoSpaceDN w:val="0"/>
        <w:spacing w:line="240" w:lineRule="auto"/>
        <w:rPr>
          <w:rFonts w:eastAsiaTheme="minorHAnsi" w:cs="Cambria"/>
        </w:rPr>
      </w:pPr>
      <w:bookmarkStart w:id="36" w:name="_Toc314842512"/>
      <w:r>
        <w:rPr>
          <w:rFonts w:eastAsiaTheme="minorHAnsi" w:cs="Cambria"/>
        </w:rPr>
        <w:t xml:space="preserve">There were no objections by the </w:t>
      </w:r>
      <w:r w:rsidR="00873CEC">
        <w:rPr>
          <w:rFonts w:eastAsiaTheme="minorHAnsi" w:cs="Cambria"/>
        </w:rPr>
        <w:t>q</w:t>
      </w:r>
      <w:r w:rsidR="008A66AA">
        <w:rPr>
          <w:rFonts w:eastAsiaTheme="minorHAnsi" w:cs="Cambria"/>
        </w:rPr>
        <w:t xml:space="preserve">uality </w:t>
      </w:r>
      <w:r>
        <w:rPr>
          <w:rFonts w:eastAsiaTheme="minorHAnsi" w:cs="Cambria"/>
        </w:rPr>
        <w:t xml:space="preserve">evaluator in relation to the registration of </w:t>
      </w:r>
      <w:r w:rsidR="008A66AA">
        <w:rPr>
          <w:rFonts w:eastAsiaTheme="minorHAnsi" w:cs="Cambria"/>
        </w:rPr>
        <w:t>Truvelog</w:t>
      </w:r>
      <w:r w:rsidR="002F6718">
        <w:rPr>
          <w:rFonts w:eastAsiaTheme="minorHAnsi" w:cs="Cambria"/>
        </w:rPr>
        <w:t xml:space="preserve"> insulin aspart</w:t>
      </w:r>
      <w:r w:rsidR="008A66AA">
        <w:rPr>
          <w:rFonts w:eastAsiaTheme="minorHAnsi" w:cs="Cambria"/>
        </w:rPr>
        <w:t>.</w:t>
      </w:r>
    </w:p>
    <w:p w14:paraId="3B6F0A3D" w14:textId="7A8B8F10" w:rsidR="002D2D21" w:rsidRPr="002D2D21" w:rsidRDefault="002275F5" w:rsidP="00451DB9">
      <w:r w:rsidRPr="001F48AA">
        <w:t xml:space="preserve">Extensive characterisation studies involving comparison of primary, secondary and tertiary structures, physicochemical properties and biological activities showed that </w:t>
      </w:r>
      <w:r w:rsidR="005940D1">
        <w:t>Truvelog</w:t>
      </w:r>
      <w:r w:rsidRPr="005D7992">
        <w:t xml:space="preserve"> insulin aspart and </w:t>
      </w:r>
      <w:r w:rsidR="00EB3907">
        <w:t>NovoRapid</w:t>
      </w:r>
      <w:r w:rsidR="005940D1">
        <w:t xml:space="preserve"> </w:t>
      </w:r>
      <w:r w:rsidRPr="005D7992">
        <w:t>(EU</w:t>
      </w:r>
      <w:r w:rsidR="002F6718">
        <w:t>-sourced</w:t>
      </w:r>
      <w:r w:rsidRPr="005D7992">
        <w:t>)</w:t>
      </w:r>
      <w:r w:rsidR="00DB665C">
        <w:t xml:space="preserve"> (known as </w:t>
      </w:r>
      <w:r w:rsidR="004D32A7">
        <w:t>NovoLog</w:t>
      </w:r>
      <w:r w:rsidR="00DB665C">
        <w:t xml:space="preserve"> in the </w:t>
      </w:r>
      <w:r w:rsidR="00887B14">
        <w:t>United States (</w:t>
      </w:r>
      <w:r w:rsidRPr="005D7992">
        <w:t>US</w:t>
      </w:r>
      <w:r w:rsidR="00887B14">
        <w:t>)</w:t>
      </w:r>
      <w:r w:rsidRPr="005D7992">
        <w:t>) are generally similar.</w:t>
      </w:r>
      <w:r w:rsidR="005940D1">
        <w:t xml:space="preserve"> </w:t>
      </w:r>
      <w:r w:rsidRPr="005D7992">
        <w:t xml:space="preserve">The </w:t>
      </w:r>
      <w:r w:rsidRPr="00E834A5">
        <w:t xml:space="preserve">main </w:t>
      </w:r>
      <w:r>
        <w:t>d</w:t>
      </w:r>
      <w:r w:rsidRPr="00E834A5">
        <w:t xml:space="preserve">ifferences </w:t>
      </w:r>
      <w:r>
        <w:t xml:space="preserve">between </w:t>
      </w:r>
      <w:r w:rsidR="00124AA7">
        <w:t>Truvelog</w:t>
      </w:r>
      <w:r>
        <w:t xml:space="preserve"> and the innovator product are</w:t>
      </w:r>
      <w:r w:rsidRPr="00E834A5">
        <w:t xml:space="preserve"> the</w:t>
      </w:r>
      <w:r>
        <w:t xml:space="preserve"> </w:t>
      </w:r>
      <w:r w:rsidRPr="00E834A5">
        <w:t xml:space="preserve">absence of glycerol </w:t>
      </w:r>
      <w:r>
        <w:t>(</w:t>
      </w:r>
      <w:r w:rsidRPr="00E834A5">
        <w:t>as tonicity agent</w:t>
      </w:r>
      <w:r>
        <w:t>)</w:t>
      </w:r>
      <w:r w:rsidRPr="00E834A5">
        <w:t xml:space="preserve"> and disodium phosphate dihydrate </w:t>
      </w:r>
      <w:r>
        <w:t>(</w:t>
      </w:r>
      <w:r w:rsidRPr="00E834A5">
        <w:t>as buffering agent</w:t>
      </w:r>
      <w:r>
        <w:t>)</w:t>
      </w:r>
      <w:r w:rsidRPr="00E834A5">
        <w:t xml:space="preserve"> and the</w:t>
      </w:r>
      <w:r>
        <w:t xml:space="preserve"> </w:t>
      </w:r>
      <w:r w:rsidRPr="00E834A5">
        <w:t xml:space="preserve">addition of </w:t>
      </w:r>
      <w:r>
        <w:t>polysorbate 20. These differences were considered to be minor and not of concern with re</w:t>
      </w:r>
      <w:r w:rsidR="000A6DB4">
        <w:t>spect to product biosimilarity.</w:t>
      </w:r>
      <w:r w:rsidR="00F426E6">
        <w:t xml:space="preserve"> </w:t>
      </w:r>
      <w:r w:rsidR="002D2D21">
        <w:t xml:space="preserve">Insulin aspart is a two </w:t>
      </w:r>
      <w:r>
        <w:t>chain peptide cons</w:t>
      </w:r>
      <w:r w:rsidR="002D2D21">
        <w:t xml:space="preserve">isting of 51 amino acids. The A </w:t>
      </w:r>
      <w:r>
        <w:t>chain is compo</w:t>
      </w:r>
      <w:r w:rsidR="002D2D21">
        <w:t>sed of 21</w:t>
      </w:r>
      <w:r w:rsidR="002F6718">
        <w:t> </w:t>
      </w:r>
      <w:r w:rsidR="002D2D21">
        <w:t xml:space="preserve">amino acids and the B </w:t>
      </w:r>
      <w:r>
        <w:t>chain is composed of 30 amino acids. It is identical in primary structure to human insulin, only differing in amino acid sequence a</w:t>
      </w:r>
      <w:r w:rsidR="002D2D21">
        <w:t>t position 28 of the B</w:t>
      </w:r>
      <w:r w:rsidR="002F6718">
        <w:t> </w:t>
      </w:r>
      <w:r>
        <w:t>chain. Human insulin is 28B-L-proline-, whereas insulin aspart is 28B-L-aspartic acid-. As with human in</w:t>
      </w:r>
      <w:r w:rsidR="002D2D21">
        <w:t>sulin, insulin aspart contains two</w:t>
      </w:r>
      <w:r>
        <w:t xml:space="preserve"> </w:t>
      </w:r>
      <w:r w:rsidR="002D2D21">
        <w:t>interchain disulfide bonds and one intrachain disulfide bond</w:t>
      </w:r>
      <w:r w:rsidR="007205BB">
        <w:t xml:space="preserve"> (</w:t>
      </w:r>
      <w:r w:rsidR="002F6718">
        <w:t xml:space="preserve">see </w:t>
      </w:r>
      <w:r w:rsidR="007205BB">
        <w:fldChar w:fldCharType="begin"/>
      </w:r>
      <w:r w:rsidR="007205BB">
        <w:instrText xml:space="preserve"> REF _Ref59464197 \h </w:instrText>
      </w:r>
      <w:r w:rsidR="00352ACE">
        <w:instrText xml:space="preserve"> \* MERGEFORMAT </w:instrText>
      </w:r>
      <w:r w:rsidR="007205BB">
        <w:fldChar w:fldCharType="separate"/>
      </w:r>
      <w:r w:rsidR="00922676">
        <w:t xml:space="preserve">Figure </w:t>
      </w:r>
      <w:r w:rsidR="00922676">
        <w:rPr>
          <w:noProof/>
        </w:rPr>
        <w:t>2</w:t>
      </w:r>
      <w:r w:rsidR="007205BB">
        <w:fldChar w:fldCharType="end"/>
      </w:r>
      <w:r w:rsidR="002F6718">
        <w:t>, below</w:t>
      </w:r>
      <w:r w:rsidR="007205BB">
        <w:t>)</w:t>
      </w:r>
      <w:r w:rsidR="00352ACE">
        <w:t>.</w:t>
      </w:r>
    </w:p>
    <w:p w14:paraId="33D0804C" w14:textId="57EF31EF" w:rsidR="002D2D21" w:rsidRPr="002D2D21" w:rsidRDefault="002D2D21" w:rsidP="002D2D21">
      <w:pPr>
        <w:pStyle w:val="FigureTitle"/>
      </w:pPr>
      <w:bookmarkStart w:id="37" w:name="_Ref59464197"/>
      <w:r>
        <w:t xml:space="preserve">Figure </w:t>
      </w:r>
      <w:r w:rsidR="00103C2A">
        <w:fldChar w:fldCharType="begin"/>
      </w:r>
      <w:r w:rsidR="00103C2A">
        <w:instrText xml:space="preserve"> SEQ Figure \* ARABIC </w:instrText>
      </w:r>
      <w:r w:rsidR="00103C2A">
        <w:fldChar w:fldCharType="separate"/>
      </w:r>
      <w:r w:rsidR="00922676">
        <w:rPr>
          <w:noProof/>
        </w:rPr>
        <w:t>2</w:t>
      </w:r>
      <w:r w:rsidR="00103C2A">
        <w:rPr>
          <w:noProof/>
        </w:rPr>
        <w:fldChar w:fldCharType="end"/>
      </w:r>
      <w:bookmarkEnd w:id="37"/>
      <w:r>
        <w:t xml:space="preserve">: </w:t>
      </w:r>
      <w:r w:rsidR="00887B14">
        <w:t>I</w:t>
      </w:r>
      <w:r>
        <w:t>nsulin aspart chemical structure</w:t>
      </w:r>
    </w:p>
    <w:p w14:paraId="126F7368" w14:textId="016FA9C4" w:rsidR="002D2D21" w:rsidRDefault="002275F5" w:rsidP="00632F02">
      <w:r>
        <w:rPr>
          <w:noProof/>
          <w:lang w:eastAsia="en-AU"/>
        </w:rPr>
        <w:drawing>
          <wp:inline distT="0" distB="0" distL="0" distR="0" wp14:anchorId="1C7BAA11" wp14:editId="03A7C1C1">
            <wp:extent cx="5400675" cy="1371600"/>
            <wp:effectExtent l="0" t="0" r="9525" b="0"/>
            <wp:docPr id="5" name="Picture 5" descr="Insulin aspart 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675" cy="1371600"/>
                    </a:xfrm>
                    <a:prstGeom prst="rect">
                      <a:avLst/>
                    </a:prstGeom>
                    <a:noFill/>
                    <a:ln>
                      <a:noFill/>
                    </a:ln>
                  </pic:spPr>
                </pic:pic>
              </a:graphicData>
            </a:graphic>
          </wp:inline>
        </w:drawing>
      </w:r>
    </w:p>
    <w:p w14:paraId="635BAE88" w14:textId="5EA1AC29" w:rsidR="002275F5" w:rsidRDefault="002275F5" w:rsidP="002275F5">
      <w:pPr>
        <w:tabs>
          <w:tab w:val="right" w:pos="8494"/>
        </w:tabs>
        <w:autoSpaceDE w:val="0"/>
        <w:autoSpaceDN w:val="0"/>
        <w:spacing w:before="0" w:line="240" w:lineRule="auto"/>
        <w:rPr>
          <w:rFonts w:eastAsiaTheme="minorHAnsi" w:cs="Cambria"/>
        </w:rPr>
      </w:pPr>
      <w:r>
        <w:rPr>
          <w:rFonts w:eastAsiaTheme="minorHAnsi" w:cs="Cambria"/>
        </w:rPr>
        <w:t xml:space="preserve">The data supplied in relation to the physical and </w:t>
      </w:r>
      <w:r w:rsidR="002D2D21">
        <w:rPr>
          <w:rFonts w:eastAsiaTheme="minorHAnsi" w:cs="Cambria"/>
        </w:rPr>
        <w:t>chemical properties of insulin a</w:t>
      </w:r>
      <w:r>
        <w:rPr>
          <w:rFonts w:eastAsiaTheme="minorHAnsi" w:cs="Cambria"/>
        </w:rPr>
        <w:t>spart were satisfactory.</w:t>
      </w:r>
    </w:p>
    <w:p w14:paraId="4F4377D7" w14:textId="77777777" w:rsidR="002275F5" w:rsidRDefault="002275F5" w:rsidP="002275F5">
      <w:pPr>
        <w:tabs>
          <w:tab w:val="left" w:pos="1418"/>
        </w:tabs>
        <w:autoSpaceDE w:val="0"/>
        <w:autoSpaceDN w:val="0"/>
        <w:spacing w:line="240" w:lineRule="auto"/>
        <w:rPr>
          <w:rFonts w:eastAsiaTheme="minorHAnsi" w:cs="Cambria"/>
        </w:rPr>
      </w:pPr>
      <w:r>
        <w:rPr>
          <w:rFonts w:eastAsiaTheme="minorHAnsi" w:cs="Cambria"/>
        </w:rPr>
        <w:t>All manufacturing steps and analytical procedures were validated.</w:t>
      </w:r>
    </w:p>
    <w:p w14:paraId="6A59442D" w14:textId="77777777" w:rsidR="002275F5" w:rsidRPr="00381D8C" w:rsidRDefault="002275F5" w:rsidP="002275F5">
      <w:pPr>
        <w:tabs>
          <w:tab w:val="left" w:pos="1418"/>
        </w:tabs>
        <w:autoSpaceDE w:val="0"/>
        <w:autoSpaceDN w:val="0"/>
        <w:spacing w:line="240" w:lineRule="auto"/>
        <w:rPr>
          <w:rFonts w:eastAsiaTheme="minorHAnsi" w:cs="Cambria"/>
        </w:rPr>
      </w:pPr>
      <w:r w:rsidRPr="00381D8C">
        <w:rPr>
          <w:rFonts w:eastAsiaTheme="minorHAnsi" w:cs="Cambria"/>
        </w:rPr>
        <w:t>There were no issues in relation to the manufacture or manufacturer.</w:t>
      </w:r>
    </w:p>
    <w:p w14:paraId="7D9960B7" w14:textId="77777777" w:rsidR="002275F5" w:rsidRPr="00381D8C" w:rsidRDefault="002275F5" w:rsidP="002275F5">
      <w:pPr>
        <w:tabs>
          <w:tab w:val="left" w:pos="1418"/>
        </w:tabs>
        <w:autoSpaceDE w:val="0"/>
        <w:autoSpaceDN w:val="0"/>
        <w:spacing w:line="240" w:lineRule="auto"/>
        <w:rPr>
          <w:rFonts w:eastAsiaTheme="minorHAnsi" w:cs="Cambria"/>
        </w:rPr>
      </w:pPr>
      <w:r w:rsidRPr="00381D8C">
        <w:rPr>
          <w:rFonts w:eastAsiaTheme="minorHAnsi" w:cs="Cambria"/>
        </w:rPr>
        <w:t>There were no issues relating to the specifications.</w:t>
      </w:r>
    </w:p>
    <w:p w14:paraId="00203BAE" w14:textId="6C20E255" w:rsidR="002275F5" w:rsidRPr="00381D8C" w:rsidRDefault="002275F5" w:rsidP="002275F5">
      <w:pPr>
        <w:tabs>
          <w:tab w:val="left" w:pos="1418"/>
        </w:tabs>
        <w:autoSpaceDE w:val="0"/>
        <w:autoSpaceDN w:val="0"/>
        <w:spacing w:line="240" w:lineRule="auto"/>
      </w:pPr>
      <w:r w:rsidRPr="00381D8C">
        <w:t xml:space="preserve">The real time data submitted for the drug substance support a shelf life of 24 months when stored at </w:t>
      </w:r>
      <w:r w:rsidR="00E24625">
        <w:t>≤</w:t>
      </w:r>
      <w:r w:rsidRPr="00381D8C">
        <w:t xml:space="preserve"> -20°C</w:t>
      </w:r>
      <w:r w:rsidR="009A2B36">
        <w:t xml:space="preserve"> </w:t>
      </w:r>
      <w:r w:rsidR="00E24625">
        <w:t>±</w:t>
      </w:r>
      <w:r w:rsidR="009A2B36">
        <w:t xml:space="preserve"> </w:t>
      </w:r>
      <w:r w:rsidRPr="00381D8C">
        <w:t>5°C.</w:t>
      </w:r>
    </w:p>
    <w:p w14:paraId="6F9E249A" w14:textId="77777777" w:rsidR="002275F5" w:rsidRPr="00381D8C" w:rsidRDefault="002275F5" w:rsidP="002275F5">
      <w:pPr>
        <w:tabs>
          <w:tab w:val="left" w:pos="1418"/>
        </w:tabs>
        <w:autoSpaceDE w:val="0"/>
        <w:autoSpaceDN w:val="0"/>
        <w:spacing w:line="240" w:lineRule="auto"/>
      </w:pPr>
      <w:r w:rsidRPr="00381D8C">
        <w:t>The real time data submitted for the drug product support a shelf life of 12 months when stored at 5°C.</w:t>
      </w:r>
    </w:p>
    <w:p w14:paraId="20EF1019" w14:textId="050DF564" w:rsidR="002275F5" w:rsidRPr="00381D8C" w:rsidRDefault="002275F5" w:rsidP="002275F5">
      <w:pPr>
        <w:tabs>
          <w:tab w:val="left" w:pos="1418"/>
        </w:tabs>
        <w:autoSpaceDE w:val="0"/>
        <w:autoSpaceDN w:val="0"/>
        <w:spacing w:line="240" w:lineRule="auto"/>
      </w:pPr>
      <w:r w:rsidRPr="00381D8C">
        <w:t>The proposed shelf life and storage conditions for the opened product are 28 days when stored at room temperature (</w:t>
      </w:r>
      <w:r w:rsidR="00E24625">
        <w:t>≤</w:t>
      </w:r>
      <w:r w:rsidR="009A2B36">
        <w:t xml:space="preserve"> </w:t>
      </w:r>
      <w:r w:rsidRPr="00381D8C">
        <w:t>30</w:t>
      </w:r>
      <w:r w:rsidRPr="00451DB9">
        <w:t>°</w:t>
      </w:r>
      <w:r w:rsidRPr="00381D8C">
        <w:t>C).</w:t>
      </w:r>
    </w:p>
    <w:p w14:paraId="0E496361" w14:textId="694D1F33" w:rsidR="002275F5" w:rsidRPr="00381D8C" w:rsidRDefault="002275F5" w:rsidP="002275F5">
      <w:pPr>
        <w:tabs>
          <w:tab w:val="left" w:pos="1418"/>
        </w:tabs>
        <w:autoSpaceDE w:val="0"/>
        <w:autoSpaceDN w:val="0"/>
        <w:spacing w:line="240" w:lineRule="auto"/>
      </w:pPr>
      <w:r w:rsidRPr="00381D8C">
        <w:t xml:space="preserve">The manufacturer of the EU/US sourced innovator drug product is the same as the manufacturer of the </w:t>
      </w:r>
      <w:r w:rsidR="00C56EB4">
        <w:t>Australia (AU)/New Zealand (NZ)</w:t>
      </w:r>
      <w:r w:rsidRPr="00381D8C">
        <w:t xml:space="preserve"> innovator drug product.</w:t>
      </w:r>
      <w:r w:rsidR="00FE235F">
        <w:rPr>
          <w:rStyle w:val="FootnoteReference"/>
        </w:rPr>
        <w:footnoteReference w:id="6"/>
      </w:r>
      <w:r w:rsidRPr="00381D8C">
        <w:t xml:space="preserve"> Thus, </w:t>
      </w:r>
      <w:r w:rsidRPr="00381D8C">
        <w:lastRenderedPageBreak/>
        <w:t>bridging studies between A</w:t>
      </w:r>
      <w:r w:rsidR="002F6718">
        <w:t>ustralian</w:t>
      </w:r>
      <w:r w:rsidRPr="00381D8C">
        <w:t xml:space="preserve"> </w:t>
      </w:r>
      <w:r w:rsidR="00EB3907">
        <w:t>NovoRapid</w:t>
      </w:r>
      <w:r w:rsidR="005940D1">
        <w:t xml:space="preserve"> </w:t>
      </w:r>
      <w:r w:rsidR="009166E7">
        <w:t>and EU/US</w:t>
      </w:r>
      <w:r w:rsidR="002F6718">
        <w:t>-sourced</w:t>
      </w:r>
      <w:r w:rsidRPr="00381D8C">
        <w:t xml:space="preserve"> </w:t>
      </w:r>
      <w:r w:rsidR="00EB3907">
        <w:t>NovoRapid</w:t>
      </w:r>
      <w:r w:rsidR="005940D1">
        <w:t xml:space="preserve"> </w:t>
      </w:r>
      <w:r>
        <w:t>/</w:t>
      </w:r>
      <w:r w:rsidR="00EB3907">
        <w:t>NovoLog</w:t>
      </w:r>
      <w:r w:rsidR="005940D1">
        <w:t xml:space="preserve"> </w:t>
      </w:r>
      <w:r w:rsidRPr="00381D8C">
        <w:t>were no</w:t>
      </w:r>
      <w:r w:rsidR="003C0054">
        <w:t>t</w:t>
      </w:r>
      <w:r w:rsidRPr="00381D8C">
        <w:t xml:space="preserve"> considered necessary.</w:t>
      </w:r>
    </w:p>
    <w:p w14:paraId="307640FA" w14:textId="2970A748" w:rsidR="002275F5" w:rsidRDefault="002275F5" w:rsidP="002275F5">
      <w:pPr>
        <w:tabs>
          <w:tab w:val="left" w:pos="1418"/>
        </w:tabs>
        <w:autoSpaceDE w:val="0"/>
        <w:autoSpaceDN w:val="0"/>
        <w:spacing w:line="240" w:lineRule="auto"/>
      </w:pPr>
      <w:r>
        <w:t xml:space="preserve">In addition, the final drug product for EU </w:t>
      </w:r>
      <w:r w:rsidR="00EB3907">
        <w:t>NovoRapid</w:t>
      </w:r>
      <w:r w:rsidR="005940D1">
        <w:t xml:space="preserve"> </w:t>
      </w:r>
      <w:r w:rsidR="009166E7">
        <w:t>and US</w:t>
      </w:r>
      <w:r>
        <w:t xml:space="preserve"> </w:t>
      </w:r>
      <w:r w:rsidR="00EB3907">
        <w:t>NovoLog</w:t>
      </w:r>
      <w:r w:rsidR="005940D1">
        <w:t xml:space="preserve"> </w:t>
      </w:r>
      <w:r>
        <w:t xml:space="preserve">are the same, thus </w:t>
      </w:r>
      <w:r w:rsidR="00343462">
        <w:t>are reasonably considered to be</w:t>
      </w:r>
      <w:r>
        <w:t xml:space="preserve"> the same pro</w:t>
      </w:r>
      <w:r w:rsidR="000A6DB4">
        <w:t>ducts with different packaging.</w:t>
      </w:r>
    </w:p>
    <w:p w14:paraId="7AD0B5BD" w14:textId="77777777" w:rsidR="008E7846" w:rsidRDefault="008E7846" w:rsidP="008E7846">
      <w:pPr>
        <w:pStyle w:val="Heading3"/>
      </w:pPr>
      <w:bookmarkStart w:id="38" w:name="_Toc65498889"/>
      <w:r>
        <w:t>Nonclinical</w:t>
      </w:r>
      <w:bookmarkEnd w:id="36"/>
      <w:bookmarkEnd w:id="38"/>
    </w:p>
    <w:p w14:paraId="12845067" w14:textId="4DF2BE8D" w:rsidR="009617A8" w:rsidRPr="009617A8" w:rsidRDefault="002275F5" w:rsidP="009617A8">
      <w:bookmarkStart w:id="39" w:name="_Toc247691530"/>
      <w:bookmarkStart w:id="40" w:name="_Toc314842513"/>
      <w:r>
        <w:t>The nonclinical dossier contained comparative stu</w:t>
      </w:r>
      <w:r w:rsidR="009166E7">
        <w:t xml:space="preserve">dies on pharmacology and repeated </w:t>
      </w:r>
      <w:r>
        <w:t xml:space="preserve">dose toxicity (including toxicokinetics). The scope of the nonclinical program was </w:t>
      </w:r>
      <w:r w:rsidR="009166E7">
        <w:t xml:space="preserve">adequate under the relevant TGA </w:t>
      </w:r>
      <w:r>
        <w:t>adopted EU guideline</w:t>
      </w:r>
      <w:bookmarkStart w:id="41" w:name="_Ref59434540"/>
      <w:r w:rsidR="00F944AA">
        <w:t>.</w:t>
      </w:r>
      <w:r w:rsidR="009166E7">
        <w:rPr>
          <w:rStyle w:val="FootnoteReference"/>
        </w:rPr>
        <w:footnoteReference w:id="7"/>
      </w:r>
      <w:bookmarkEnd w:id="41"/>
      <w:r>
        <w:t xml:space="preserve"> The studies were conducted using EU-sourced </w:t>
      </w:r>
      <w:r w:rsidR="00EB3907">
        <w:t>NovoRapid</w:t>
      </w:r>
      <w:r w:rsidR="00202A3F">
        <w:t xml:space="preserve"> </w:t>
      </w:r>
      <w:r>
        <w:t xml:space="preserve">and US-sourced </w:t>
      </w:r>
      <w:r w:rsidR="00EB3907">
        <w:t>NovoLog</w:t>
      </w:r>
      <w:r w:rsidR="005940D1">
        <w:rPr>
          <w:sz w:val="14"/>
          <w:szCs w:val="14"/>
        </w:rPr>
        <w:t xml:space="preserve"> </w:t>
      </w:r>
      <w:r w:rsidR="000A6DB4">
        <w:t>as the reference products.</w:t>
      </w:r>
    </w:p>
    <w:p w14:paraId="04909920" w14:textId="5F9FE0AB" w:rsidR="002275F5" w:rsidRDefault="002275F5" w:rsidP="009617A8">
      <w:r>
        <w:t xml:space="preserve">A high degree of comparability was demonstrated between the form of insulin aspart in </w:t>
      </w:r>
      <w:r w:rsidR="00E24625">
        <w:t>Truvelog</w:t>
      </w:r>
      <w:r w:rsidR="005940D1">
        <w:t xml:space="preserve"> </w:t>
      </w:r>
      <w:r>
        <w:t xml:space="preserve">and that in </w:t>
      </w:r>
      <w:r w:rsidR="00EB3907">
        <w:t>NovoRapid</w:t>
      </w:r>
      <w:r w:rsidR="005940D1">
        <w:rPr>
          <w:b/>
          <w:bCs/>
          <w:sz w:val="13"/>
          <w:szCs w:val="13"/>
        </w:rPr>
        <w:t xml:space="preserve"> </w:t>
      </w:r>
      <w:r>
        <w:t xml:space="preserve">/ </w:t>
      </w:r>
      <w:r w:rsidR="00EB3907">
        <w:t>NovoLog</w:t>
      </w:r>
      <w:r w:rsidR="005940D1">
        <w:rPr>
          <w:b/>
          <w:bCs/>
          <w:sz w:val="13"/>
          <w:szCs w:val="13"/>
        </w:rPr>
        <w:t xml:space="preserve"> </w:t>
      </w:r>
      <w:r>
        <w:t xml:space="preserve">in </w:t>
      </w:r>
      <w:r>
        <w:rPr>
          <w:i/>
          <w:iCs/>
        </w:rPr>
        <w:t xml:space="preserve">in vitro </w:t>
      </w:r>
      <w:r w:rsidR="000A6DB4">
        <w:t>assays examining:</w:t>
      </w:r>
    </w:p>
    <w:p w14:paraId="5C186891" w14:textId="5CDCA1EE" w:rsidR="00963A3A" w:rsidRDefault="002275F5" w:rsidP="00963A3A">
      <w:pPr>
        <w:pStyle w:val="ListBullet"/>
      </w:pPr>
      <w:r>
        <w:t>binding affinity for recom</w:t>
      </w:r>
      <w:r w:rsidR="00E24625">
        <w:t xml:space="preserve">binant human insulin receptors: </w:t>
      </w:r>
      <w:r w:rsidR="00F944AA">
        <w:t xml:space="preserve">insulin receptor isoform </w:t>
      </w:r>
      <w:r w:rsidR="00E24625">
        <w:t>A (</w:t>
      </w:r>
      <w:r>
        <w:t>IR-A</w:t>
      </w:r>
      <w:r w:rsidR="00E24625">
        <w:t>)</w:t>
      </w:r>
      <w:r>
        <w:t xml:space="preserve"> and </w:t>
      </w:r>
      <w:r w:rsidR="00F944AA">
        <w:t xml:space="preserve">insulin receptor isoform </w:t>
      </w:r>
      <w:r w:rsidR="00E24625">
        <w:t>B (</w:t>
      </w:r>
      <w:r w:rsidR="000A6DB4">
        <w:t>IR-B)</w:t>
      </w:r>
    </w:p>
    <w:p w14:paraId="3C033D5C" w14:textId="3080F2F3" w:rsidR="00963A3A" w:rsidRDefault="002275F5" w:rsidP="00963A3A">
      <w:pPr>
        <w:pStyle w:val="ListBullet"/>
      </w:pPr>
      <w:r w:rsidRPr="00963A3A">
        <w:t xml:space="preserve">binding kinetics at IR-A and IR-B and the human </w:t>
      </w:r>
      <w:r w:rsidR="00F944AA" w:rsidRPr="00963A3A">
        <w:t xml:space="preserve">insulin-like growth factor </w:t>
      </w:r>
      <w:r w:rsidR="00963A3A" w:rsidRPr="00963A3A">
        <w:t>1 (</w:t>
      </w:r>
      <w:r w:rsidRPr="00963A3A">
        <w:t>IGF-1</w:t>
      </w:r>
      <w:r w:rsidR="00963A3A" w:rsidRPr="00963A3A">
        <w:t>)</w:t>
      </w:r>
      <w:r w:rsidR="000A6DB4">
        <w:t xml:space="preserve"> receptor (IGF1-R)</w:t>
      </w:r>
    </w:p>
    <w:p w14:paraId="1F787A8A" w14:textId="6CCFA561" w:rsidR="00963A3A" w:rsidRDefault="002275F5" w:rsidP="00963A3A">
      <w:pPr>
        <w:pStyle w:val="ListBullet"/>
      </w:pPr>
      <w:r w:rsidRPr="00963A3A">
        <w:t>receptor autophosphory</w:t>
      </w:r>
      <w:r w:rsidR="000A6DB4">
        <w:t>lation (IR-A, IR-B and IGF1-R)</w:t>
      </w:r>
    </w:p>
    <w:p w14:paraId="1F2ABCA3" w14:textId="761E507D" w:rsidR="00963A3A" w:rsidRDefault="00963A3A" w:rsidP="002275F5">
      <w:pPr>
        <w:pStyle w:val="ListBullet"/>
      </w:pPr>
      <w:r w:rsidRPr="00963A3A">
        <w:t xml:space="preserve">metabolic activity, </w:t>
      </w:r>
      <w:r w:rsidR="002275F5" w:rsidRPr="00963A3A">
        <w:t>asses</w:t>
      </w:r>
      <w:r w:rsidRPr="00963A3A">
        <w:t>sed as inhibition of lipolysis in cultured human adipocytes</w:t>
      </w:r>
      <w:r w:rsidR="002275F5" w:rsidRPr="00963A3A">
        <w:t>;</w:t>
      </w:r>
      <w:r w:rsidRPr="00963A3A">
        <w:t xml:space="preserve"> stimulation of glucose uptake </w:t>
      </w:r>
      <w:r w:rsidR="002275F5" w:rsidRPr="00963A3A">
        <w:t xml:space="preserve">by L6 rat myoblast cells overexpressing the human </w:t>
      </w:r>
      <w:r w:rsidR="00F944AA">
        <w:t>glucose transporter type 4 (</w:t>
      </w:r>
      <w:r w:rsidR="002275F5" w:rsidRPr="00963A3A">
        <w:t>GLUT4</w:t>
      </w:r>
      <w:r w:rsidR="00F944AA">
        <w:t>)</w:t>
      </w:r>
      <w:r w:rsidR="002275F5" w:rsidRPr="00963A3A">
        <w:t xml:space="preserve"> </w:t>
      </w:r>
      <w:r w:rsidRPr="00963A3A">
        <w:t>transporter</w:t>
      </w:r>
      <w:r w:rsidR="002275F5" w:rsidRPr="00963A3A">
        <w:t>; and attenuation of gluconeog</w:t>
      </w:r>
      <w:r w:rsidRPr="00963A3A">
        <w:t>enesis</w:t>
      </w:r>
      <w:r w:rsidR="00F944AA">
        <w:noBreakHyphen/>
      </w:r>
      <w:r w:rsidRPr="00963A3A">
        <w:t>related gene expression (</w:t>
      </w:r>
      <w:r w:rsidR="002275F5" w:rsidRPr="00963A3A">
        <w:t>glucuose-6-phosphatase gene expressi</w:t>
      </w:r>
      <w:r w:rsidRPr="00963A3A">
        <w:t>o</w:t>
      </w:r>
      <w:r w:rsidR="000A6DB4">
        <w:t>n in human primary hepatocytes)</w:t>
      </w:r>
    </w:p>
    <w:p w14:paraId="16AE36E4" w14:textId="57C8EA23" w:rsidR="002275F5" w:rsidRPr="00963A3A" w:rsidRDefault="002275F5" w:rsidP="002275F5">
      <w:pPr>
        <w:pStyle w:val="ListBullet"/>
      </w:pPr>
      <w:r w:rsidRPr="00963A3A">
        <w:t>mitogenic potency (assessed in human bre</w:t>
      </w:r>
      <w:r w:rsidR="000A6DB4">
        <w:t>ast adenocarcinoma cell lines).</w:t>
      </w:r>
    </w:p>
    <w:p w14:paraId="2ABBBFD7" w14:textId="46FDBC10" w:rsidR="002275F5" w:rsidRDefault="00963A3A" w:rsidP="009617A8">
      <w:r>
        <w:t>Four</w:t>
      </w:r>
      <w:r w:rsidR="002275F5">
        <w:t xml:space="preserve"> batches of </w:t>
      </w:r>
      <w:r w:rsidR="00E24625">
        <w:t>Truvelog</w:t>
      </w:r>
      <w:r w:rsidR="002275F5">
        <w:t xml:space="preserve"> an</w:t>
      </w:r>
      <w:r>
        <w:t>d three</w:t>
      </w:r>
      <w:r w:rsidR="002275F5">
        <w:t xml:space="preserve"> batches of </w:t>
      </w:r>
      <w:r w:rsidR="00EB3907">
        <w:t>NovoRapid</w:t>
      </w:r>
      <w:r w:rsidR="002275F5">
        <w:t xml:space="preserve"> were used.</w:t>
      </w:r>
    </w:p>
    <w:p w14:paraId="7FBB6714" w14:textId="28C142AF" w:rsidR="002275F5" w:rsidRDefault="002275F5" w:rsidP="009617A8">
      <w:r>
        <w:t xml:space="preserve">No specialised </w:t>
      </w:r>
      <w:r>
        <w:rPr>
          <w:i/>
          <w:iCs/>
        </w:rPr>
        <w:t xml:space="preserve">in vivo </w:t>
      </w:r>
      <w:r>
        <w:t xml:space="preserve">pharmacology assay was conducted (consistent with the applicable guideline), but relevant information was obtained as part of the toxicity studies conducted in rats, with the </w:t>
      </w:r>
      <w:r w:rsidR="00E24625">
        <w:t>Truvelog</w:t>
      </w:r>
      <w:r>
        <w:t xml:space="preserve">, </w:t>
      </w:r>
      <w:r w:rsidR="00EB3907">
        <w:t>NovoRapid</w:t>
      </w:r>
      <w:r w:rsidR="005940D1">
        <w:rPr>
          <w:sz w:val="14"/>
          <w:szCs w:val="14"/>
        </w:rPr>
        <w:t xml:space="preserve"> </w:t>
      </w:r>
      <w:r>
        <w:t xml:space="preserve">and </w:t>
      </w:r>
      <w:r w:rsidR="00EB3907">
        <w:t>NovoLog</w:t>
      </w:r>
      <w:r w:rsidR="005940D1">
        <w:rPr>
          <w:sz w:val="14"/>
          <w:szCs w:val="14"/>
        </w:rPr>
        <w:t xml:space="preserve"> </w:t>
      </w:r>
      <w:r>
        <w:t xml:space="preserve">forms of insulin aspart shown to display similar glucodynamic profiles following </w:t>
      </w:r>
      <w:r w:rsidR="004C00B8">
        <w:t>subcutaneous (</w:t>
      </w:r>
      <w:r>
        <w:t>SC</w:t>
      </w:r>
      <w:r w:rsidR="004C00B8">
        <w:t>)</w:t>
      </w:r>
      <w:r w:rsidR="000A6DB4">
        <w:t xml:space="preserve"> administration.</w:t>
      </w:r>
    </w:p>
    <w:p w14:paraId="4F05832F" w14:textId="3DA9C1B8" w:rsidR="002275F5" w:rsidRDefault="002275F5" w:rsidP="009617A8">
      <w:r>
        <w:t>Comparable plasma kinetic profiles after SC administration</w:t>
      </w:r>
      <w:r w:rsidRPr="00362CB1">
        <w:t xml:space="preserve"> </w:t>
      </w:r>
      <w:r>
        <w:t xml:space="preserve">from toxicokinetic data obtained in rats were evident for </w:t>
      </w:r>
      <w:r w:rsidR="00E24625">
        <w:t>Truvelog</w:t>
      </w:r>
      <w:r w:rsidR="005940D1">
        <w:t xml:space="preserve"> </w:t>
      </w:r>
      <w:r w:rsidR="00FA0D2D" w:rsidRPr="00FA0D2D">
        <w:rPr>
          <w:iCs/>
        </w:rPr>
        <w:t>compared to</w:t>
      </w:r>
      <w:r w:rsidR="00FA0D2D">
        <w:rPr>
          <w:i/>
          <w:iCs/>
        </w:rPr>
        <w:t xml:space="preserve"> </w:t>
      </w:r>
      <w:r w:rsidR="00EB3907">
        <w:t>NovoRapid</w:t>
      </w:r>
      <w:r w:rsidR="005940D1">
        <w:rPr>
          <w:sz w:val="14"/>
          <w:szCs w:val="14"/>
        </w:rPr>
        <w:t xml:space="preserve"> </w:t>
      </w:r>
      <w:r>
        <w:t xml:space="preserve">and </w:t>
      </w:r>
      <w:r w:rsidR="00EB3907">
        <w:t>NovoLog</w:t>
      </w:r>
      <w:r w:rsidR="00FA0D2D">
        <w:rPr>
          <w:sz w:val="14"/>
          <w:szCs w:val="14"/>
        </w:rPr>
        <w:t>.</w:t>
      </w:r>
    </w:p>
    <w:p w14:paraId="21867EB0" w14:textId="080A182C" w:rsidR="002275F5" w:rsidRDefault="00E24625" w:rsidP="002275F5">
      <w:pPr>
        <w:pStyle w:val="Default"/>
        <w:rPr>
          <w:sz w:val="22"/>
          <w:szCs w:val="22"/>
        </w:rPr>
      </w:pPr>
      <w:r>
        <w:rPr>
          <w:sz w:val="22"/>
          <w:szCs w:val="22"/>
        </w:rPr>
        <w:t>Truvelog</w:t>
      </w:r>
      <w:r w:rsidR="002275F5">
        <w:rPr>
          <w:sz w:val="22"/>
          <w:szCs w:val="22"/>
        </w:rPr>
        <w:t xml:space="preserve">, like </w:t>
      </w:r>
      <w:r w:rsidR="00EB3907">
        <w:rPr>
          <w:sz w:val="22"/>
          <w:szCs w:val="22"/>
        </w:rPr>
        <w:t>NovoRapid</w:t>
      </w:r>
      <w:r w:rsidR="002275F5">
        <w:rPr>
          <w:sz w:val="22"/>
          <w:szCs w:val="22"/>
        </w:rPr>
        <w:t xml:space="preserve">, was shown to be well tolerated locally following </w:t>
      </w:r>
      <w:r w:rsidR="00FA0D2D">
        <w:rPr>
          <w:sz w:val="22"/>
          <w:szCs w:val="22"/>
        </w:rPr>
        <w:t>SC administration in rats and rabbits</w:t>
      </w:r>
      <w:r w:rsidR="002275F5">
        <w:rPr>
          <w:sz w:val="22"/>
          <w:szCs w:val="22"/>
        </w:rPr>
        <w:t>. Intramuscular administration was similarly well tolerated, and intravenous and paravenous administration resulted i</w:t>
      </w:r>
      <w:r w:rsidR="00FA0D2D">
        <w:rPr>
          <w:sz w:val="22"/>
          <w:szCs w:val="22"/>
        </w:rPr>
        <w:t>n only slight local irritation in rabbits</w:t>
      </w:r>
      <w:r w:rsidR="000A6DB4">
        <w:rPr>
          <w:sz w:val="22"/>
          <w:szCs w:val="22"/>
        </w:rPr>
        <w:t>.</w:t>
      </w:r>
    </w:p>
    <w:p w14:paraId="6C5B86A1" w14:textId="77777777" w:rsidR="008E7846" w:rsidRDefault="008E7846" w:rsidP="008E7846">
      <w:pPr>
        <w:pStyle w:val="Heading3"/>
      </w:pPr>
      <w:bookmarkStart w:id="42" w:name="_Toc65498890"/>
      <w:r>
        <w:t>Clinical</w:t>
      </w:r>
      <w:bookmarkEnd w:id="39"/>
      <w:bookmarkEnd w:id="40"/>
      <w:bookmarkEnd w:id="42"/>
    </w:p>
    <w:p w14:paraId="3FDAA485" w14:textId="74C96874" w:rsidR="005A79DE" w:rsidRDefault="005A79DE" w:rsidP="005A79DE">
      <w:bookmarkStart w:id="43" w:name="_Toc314842514"/>
      <w:r>
        <w:t>The clinical dossier consists of:</w:t>
      </w:r>
    </w:p>
    <w:p w14:paraId="1E625F13" w14:textId="078B4C91" w:rsidR="005A79DE" w:rsidRDefault="005A79DE" w:rsidP="005A79DE">
      <w:pPr>
        <w:pStyle w:val="ListBullet"/>
      </w:pPr>
      <w:r>
        <w:t>Two</w:t>
      </w:r>
      <w:r w:rsidRPr="005A79DE">
        <w:t xml:space="preserve"> clinical pharmacology studies providing pharmacokinetic (PK) and pharmacodynamic (PD) data, conducted in Caucasian </w:t>
      </w:r>
      <w:r w:rsidR="00EB3907">
        <w:t xml:space="preserve">(Study PDY12695) </w:t>
      </w:r>
      <w:r w:rsidRPr="005A79DE">
        <w:t xml:space="preserve">and Japanese adults </w:t>
      </w:r>
      <w:r w:rsidR="00EB3907">
        <w:t>(Study </w:t>
      </w:r>
      <w:r w:rsidR="00EB3907" w:rsidRPr="00A568EB">
        <w:t>PDY15287</w:t>
      </w:r>
      <w:r w:rsidR="00EB3907">
        <w:t xml:space="preserve">), </w:t>
      </w:r>
      <w:r w:rsidRPr="005A79DE">
        <w:t>respectively (note that for the Japanese study, only the protocol was provided, no results).</w:t>
      </w:r>
    </w:p>
    <w:p w14:paraId="577FC216" w14:textId="64EC765F" w:rsidR="005A79DE" w:rsidRPr="005A79DE" w:rsidRDefault="005A79DE" w:rsidP="005A79DE">
      <w:pPr>
        <w:pStyle w:val="ListBullet"/>
      </w:pPr>
      <w:r>
        <w:rPr>
          <w:rFonts w:eastAsiaTheme="minorHAnsi" w:cs="Cambria"/>
          <w:color w:val="000000"/>
        </w:rPr>
        <w:lastRenderedPageBreak/>
        <w:t>One</w:t>
      </w:r>
      <w:r w:rsidRPr="005A79DE">
        <w:rPr>
          <w:rFonts w:eastAsiaTheme="minorHAnsi" w:cs="Cambria"/>
          <w:color w:val="000000"/>
        </w:rPr>
        <w:t xml:space="preserve"> pivotal efficacy/safe</w:t>
      </w:r>
      <w:r w:rsidR="003A3ECA">
        <w:rPr>
          <w:rFonts w:eastAsiaTheme="minorHAnsi" w:cs="Cambria"/>
          <w:color w:val="000000"/>
        </w:rPr>
        <w:t>ty and efficacy study (</w:t>
      </w:r>
      <w:r w:rsidR="00F944AA">
        <w:rPr>
          <w:rFonts w:eastAsiaTheme="minorHAnsi" w:cs="Cambria"/>
          <w:color w:val="000000"/>
        </w:rPr>
        <w:t xml:space="preserve">Study </w:t>
      </w:r>
      <w:r w:rsidR="003A3ECA">
        <w:rPr>
          <w:rFonts w:eastAsiaTheme="minorHAnsi" w:cs="Cambria"/>
          <w:color w:val="000000"/>
        </w:rPr>
        <w:t>EFC</w:t>
      </w:r>
      <w:r w:rsidR="000A6DB4">
        <w:rPr>
          <w:rFonts w:eastAsiaTheme="minorHAnsi" w:cs="Cambria"/>
          <w:color w:val="000000"/>
        </w:rPr>
        <w:t>15081).</w:t>
      </w:r>
    </w:p>
    <w:p w14:paraId="02549658" w14:textId="070FE230" w:rsidR="005A79DE" w:rsidRPr="005A79DE" w:rsidRDefault="005A79DE" w:rsidP="005A79DE">
      <w:pPr>
        <w:pStyle w:val="ListBullet"/>
      </w:pPr>
      <w:r>
        <w:rPr>
          <w:rFonts w:eastAsiaTheme="minorHAnsi" w:cs="Cambria"/>
          <w:color w:val="000000"/>
        </w:rPr>
        <w:t>A</w:t>
      </w:r>
      <w:r w:rsidRPr="005A79DE">
        <w:rPr>
          <w:rFonts w:eastAsiaTheme="minorHAnsi" w:cs="Cambria"/>
          <w:color w:val="000000"/>
        </w:rPr>
        <w:t xml:space="preserve"> safety assessment of the product used in continuous subcut</w:t>
      </w:r>
      <w:r w:rsidR="00594A2A">
        <w:rPr>
          <w:rFonts w:eastAsiaTheme="minorHAnsi" w:cs="Cambria"/>
          <w:color w:val="000000"/>
        </w:rPr>
        <w:t>aneous insulin infusion (CSII)</w:t>
      </w:r>
      <w:r w:rsidR="00534626">
        <w:rPr>
          <w:rFonts w:eastAsiaTheme="minorHAnsi" w:cs="Cambria"/>
          <w:color w:val="000000"/>
        </w:rPr>
        <w:t xml:space="preserve">, </w:t>
      </w:r>
      <w:r w:rsidR="00594A2A">
        <w:rPr>
          <w:rFonts w:eastAsiaTheme="minorHAnsi" w:cs="Cambria"/>
          <w:color w:val="000000"/>
        </w:rPr>
        <w:t xml:space="preserve">Study </w:t>
      </w:r>
      <w:r w:rsidR="00EB3907">
        <w:rPr>
          <w:rFonts w:eastAsiaTheme="minorHAnsi" w:cs="Cambria"/>
          <w:color w:val="000000"/>
        </w:rPr>
        <w:t>PDY</w:t>
      </w:r>
      <w:r w:rsidR="00594A2A">
        <w:rPr>
          <w:rFonts w:eastAsiaTheme="minorHAnsi" w:cs="Cambria"/>
          <w:color w:val="000000"/>
        </w:rPr>
        <w:t>15083</w:t>
      </w:r>
    </w:p>
    <w:p w14:paraId="3F14C757" w14:textId="396DD7F5" w:rsidR="002275F5" w:rsidRDefault="000A6DB4" w:rsidP="009617A8">
      <w:pPr>
        <w:pStyle w:val="ListBullet"/>
      </w:pPr>
      <w:r>
        <w:rPr>
          <w:rFonts w:eastAsiaTheme="minorHAnsi" w:cs="Cambria"/>
          <w:color w:val="000000"/>
        </w:rPr>
        <w:t>literature references.</w:t>
      </w:r>
    </w:p>
    <w:p w14:paraId="20F72E29" w14:textId="29FE1F7B" w:rsidR="002275F5" w:rsidRDefault="002275F5" w:rsidP="009617A8">
      <w:r>
        <w:t>The studies in the clinical development</w:t>
      </w:r>
      <w:r w:rsidR="005940D1">
        <w:t xml:space="preserve"> </w:t>
      </w:r>
      <w:r>
        <w:t>program were consistent with the requirements of the EMA guideline on non-clinical and clinical development of similar biological medicinal products containing recombinant human insulin and insulin analogue</w:t>
      </w:r>
      <w:r w:rsidR="00F944AA">
        <w:t>.</w:t>
      </w:r>
      <w:r w:rsidR="00E24625" w:rsidRPr="00E24625">
        <w:rPr>
          <w:vertAlign w:val="superscript"/>
        </w:rPr>
        <w:fldChar w:fldCharType="begin"/>
      </w:r>
      <w:r w:rsidR="00E24625" w:rsidRPr="00E24625">
        <w:rPr>
          <w:vertAlign w:val="superscript"/>
        </w:rPr>
        <w:instrText xml:space="preserve"> NOTEREF _Ref59434540 \h </w:instrText>
      </w:r>
      <w:r w:rsidR="00E24625">
        <w:rPr>
          <w:vertAlign w:val="superscript"/>
        </w:rPr>
        <w:instrText xml:space="preserve"> \* MERGEFORMAT </w:instrText>
      </w:r>
      <w:r w:rsidR="00E24625" w:rsidRPr="00E24625">
        <w:rPr>
          <w:vertAlign w:val="superscript"/>
        </w:rPr>
      </w:r>
      <w:r w:rsidR="00E24625" w:rsidRPr="00E24625">
        <w:rPr>
          <w:vertAlign w:val="superscript"/>
        </w:rPr>
        <w:fldChar w:fldCharType="separate"/>
      </w:r>
      <w:r w:rsidR="00922676">
        <w:rPr>
          <w:vertAlign w:val="superscript"/>
        </w:rPr>
        <w:t>7</w:t>
      </w:r>
      <w:r w:rsidR="00E24625" w:rsidRPr="00E24625">
        <w:rPr>
          <w:vertAlign w:val="superscript"/>
        </w:rPr>
        <w:fldChar w:fldCharType="end"/>
      </w:r>
    </w:p>
    <w:p w14:paraId="45B294D0" w14:textId="34BC30E2" w:rsidR="002275F5" w:rsidRPr="00E94188" w:rsidRDefault="00EB3907" w:rsidP="00E363DB">
      <w:pPr>
        <w:pStyle w:val="Heading4"/>
      </w:pPr>
      <w:r>
        <w:t>Pharmacokinetics</w:t>
      </w:r>
      <w:r w:rsidR="00C05941">
        <w:t xml:space="preserve"> </w:t>
      </w:r>
      <w:r w:rsidR="002275F5" w:rsidRPr="00E94188">
        <w:t>Study 12695</w:t>
      </w:r>
      <w:r w:rsidR="00C05941">
        <w:t xml:space="preserve"> (</w:t>
      </w:r>
      <w:r>
        <w:t xml:space="preserve">also known as </w:t>
      </w:r>
      <w:r w:rsidR="00F944AA">
        <w:t xml:space="preserve">Study </w:t>
      </w:r>
      <w:r w:rsidR="00C05941">
        <w:t>PDY12695)</w:t>
      </w:r>
    </w:p>
    <w:p w14:paraId="3ECAE3A4" w14:textId="571BCFDA" w:rsidR="00594A2A" w:rsidRDefault="00C05941" w:rsidP="009617A8">
      <w:r>
        <w:t>This was a three</w:t>
      </w:r>
      <w:r w:rsidR="002275F5">
        <w:t xml:space="preserve"> way comparison of </w:t>
      </w:r>
      <w:r w:rsidR="00E24625">
        <w:t>Truvelog</w:t>
      </w:r>
      <w:r w:rsidR="002275F5">
        <w:t>, Novo</w:t>
      </w:r>
      <w:r w:rsidR="00EB3907">
        <w:t>R</w:t>
      </w:r>
      <w:r w:rsidR="002275F5">
        <w:t>apid</w:t>
      </w:r>
      <w:r w:rsidR="005940D1">
        <w:t xml:space="preserve"> </w:t>
      </w:r>
      <w:r w:rsidR="002275F5">
        <w:t>and Novo</w:t>
      </w:r>
      <w:r w:rsidR="00EB3907">
        <w:t>L</w:t>
      </w:r>
      <w:r w:rsidR="002275F5">
        <w:t>og. A single dose of 0.3</w:t>
      </w:r>
      <w:r w:rsidR="00F944AA">
        <w:t> </w:t>
      </w:r>
      <w:r w:rsidR="002275F5">
        <w:t>units</w:t>
      </w:r>
      <w:r w:rsidR="003D7CD7">
        <w:t> </w:t>
      </w:r>
      <w:r w:rsidR="002275F5">
        <w:t>/</w:t>
      </w:r>
      <w:r w:rsidR="003D7CD7">
        <w:t> </w:t>
      </w:r>
      <w:r w:rsidR="002275F5">
        <w:t>kg of each formulation was administered to 30 patients with</w:t>
      </w:r>
      <w:r>
        <w:t xml:space="preserve"> Type 1 diabetes mellitus</w:t>
      </w:r>
      <w:r w:rsidR="002275F5">
        <w:t>.</w:t>
      </w:r>
    </w:p>
    <w:p w14:paraId="6FBF22B7" w14:textId="541D7363" w:rsidR="00594A2A" w:rsidRDefault="00594A2A" w:rsidP="009617A8">
      <w:r>
        <w:fldChar w:fldCharType="begin"/>
      </w:r>
      <w:r>
        <w:instrText xml:space="preserve"> REF _Ref59454280 \h </w:instrText>
      </w:r>
      <w:r w:rsidR="009617A8">
        <w:instrText xml:space="preserve"> \* MERGEFORMAT </w:instrText>
      </w:r>
      <w:r>
        <w:fldChar w:fldCharType="separate"/>
      </w:r>
      <w:r w:rsidR="00922676">
        <w:t xml:space="preserve">Table </w:t>
      </w:r>
      <w:r w:rsidR="00922676">
        <w:rPr>
          <w:noProof/>
        </w:rPr>
        <w:t>3</w:t>
      </w:r>
      <w:r>
        <w:fldChar w:fldCharType="end"/>
      </w:r>
      <w:r w:rsidR="00D733B0">
        <w:t xml:space="preserve"> </w:t>
      </w:r>
      <w:r>
        <w:t>shows the relative bioavailability between Truvelog, NovoRapid and NovoLog. It shows that the bioavailability is almost identica</w:t>
      </w:r>
      <w:r w:rsidR="009617A8">
        <w:t>l between the three treatments.</w:t>
      </w:r>
    </w:p>
    <w:p w14:paraId="01AB0B11" w14:textId="5CED3E88" w:rsidR="002275F5" w:rsidRDefault="00594A2A" w:rsidP="009617A8">
      <w:r>
        <w:fldChar w:fldCharType="begin"/>
      </w:r>
      <w:r>
        <w:instrText xml:space="preserve"> REF _Ref59454347 \h </w:instrText>
      </w:r>
      <w:r w:rsidR="009617A8">
        <w:instrText xml:space="preserve"> \* MERGEFORMAT </w:instrText>
      </w:r>
      <w:r>
        <w:fldChar w:fldCharType="separate"/>
      </w:r>
      <w:r w:rsidR="00922676" w:rsidRPr="00311CCF">
        <w:t xml:space="preserve">Table </w:t>
      </w:r>
      <w:r w:rsidR="00922676">
        <w:rPr>
          <w:noProof/>
        </w:rPr>
        <w:t>4</w:t>
      </w:r>
      <w:r>
        <w:fldChar w:fldCharType="end"/>
      </w:r>
      <w:r>
        <w:t xml:space="preserve"> shows the PK data between Truvelog, NovoRapid and NovoLog.</w:t>
      </w:r>
      <w:r w:rsidR="00AA1415">
        <w:t xml:space="preserve"> All three treatments shows near identical results.</w:t>
      </w:r>
    </w:p>
    <w:p w14:paraId="19D42CF9" w14:textId="25109C3E" w:rsidR="002275F5" w:rsidRDefault="00BD22D2" w:rsidP="00D210E8">
      <w:pPr>
        <w:pStyle w:val="TableTitle"/>
      </w:pPr>
      <w:bookmarkStart w:id="44" w:name="_Ref59454280"/>
      <w:r>
        <w:t xml:space="preserve">Table </w:t>
      </w:r>
      <w:r w:rsidR="00103C2A">
        <w:fldChar w:fldCharType="begin"/>
      </w:r>
      <w:r w:rsidR="00103C2A">
        <w:instrText xml:space="preserve"> SEQ Table \* ARABIC </w:instrText>
      </w:r>
      <w:r w:rsidR="00103C2A">
        <w:fldChar w:fldCharType="separate"/>
      </w:r>
      <w:r w:rsidR="00922676">
        <w:rPr>
          <w:noProof/>
        </w:rPr>
        <w:t>3</w:t>
      </w:r>
      <w:r w:rsidR="00103C2A">
        <w:rPr>
          <w:noProof/>
        </w:rPr>
        <w:fldChar w:fldCharType="end"/>
      </w:r>
      <w:bookmarkEnd w:id="44"/>
      <w:r w:rsidR="00594A2A">
        <w:t>: Study 12695 - relative bioavailability analysis of Truvelog (SAR341402), NovoRapid and NovoLog</w:t>
      </w:r>
    </w:p>
    <w:p w14:paraId="30AEFBB3" w14:textId="3E7004CE" w:rsidR="00EB3907" w:rsidRDefault="00EB3907" w:rsidP="002275F5">
      <w:pPr>
        <w:spacing w:before="0" w:after="0" w:line="240" w:lineRule="auto"/>
      </w:pPr>
      <w:r>
        <w:rPr>
          <w:noProof/>
          <w:lang w:eastAsia="en-AU"/>
        </w:rPr>
        <w:drawing>
          <wp:inline distT="0" distB="0" distL="0" distR="0" wp14:anchorId="0B28D830" wp14:editId="7CFD367F">
            <wp:extent cx="5400040" cy="2018030"/>
            <wp:effectExtent l="0" t="0" r="0" b="1270"/>
            <wp:docPr id="3" name="Picture 3" descr="Study 12695 - relative bioavailability analysis of Truvelog (SAR341402), NovoRapid and Nov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2018030"/>
                    </a:xfrm>
                    <a:prstGeom prst="rect">
                      <a:avLst/>
                    </a:prstGeom>
                  </pic:spPr>
                </pic:pic>
              </a:graphicData>
            </a:graphic>
          </wp:inline>
        </w:drawing>
      </w:r>
    </w:p>
    <w:p w14:paraId="087C0655" w14:textId="1EFAEC54" w:rsidR="00BD22D2" w:rsidRDefault="00804983" w:rsidP="00D210E8">
      <w:pPr>
        <w:pStyle w:val="TableDescription"/>
      </w:pPr>
      <w:r>
        <w:t xml:space="preserve">AUC = area under the plasma concentration-time curve, </w:t>
      </w:r>
      <w:r w:rsidR="00530E63">
        <w:t>AUC</w:t>
      </w:r>
      <w:r w:rsidR="00530E63" w:rsidRPr="00D210E8">
        <w:rPr>
          <w:vertAlign w:val="subscript"/>
        </w:rPr>
        <w:t>last</w:t>
      </w:r>
      <w:r w:rsidR="00530E63">
        <w:t xml:space="preserve"> = </w:t>
      </w:r>
      <w:r w:rsidR="00530E63">
        <w:rPr>
          <w:rFonts w:cs="Cambria"/>
          <w:color w:val="000000"/>
        </w:rPr>
        <w:t xml:space="preserve">Area under the plasma concentration-time curve calculated using the </w:t>
      </w:r>
      <w:r w:rsidR="00530E63" w:rsidRPr="00BE2FA4">
        <w:rPr>
          <w:rFonts w:cs="Cambria"/>
          <w:color w:val="000000"/>
        </w:rPr>
        <w:t xml:space="preserve">trapezoidal method from time zero to the real time </w:t>
      </w:r>
      <w:r w:rsidR="00530E63">
        <w:rPr>
          <w:rFonts w:cs="Cambria"/>
          <w:color w:val="000000"/>
        </w:rPr>
        <w:t>t</w:t>
      </w:r>
      <w:r w:rsidR="00530E63" w:rsidRPr="00D94C23">
        <w:rPr>
          <w:rFonts w:cs="Cambria"/>
          <w:color w:val="000000"/>
          <w:vertAlign w:val="subscript"/>
        </w:rPr>
        <w:t>last</w:t>
      </w:r>
      <w:r w:rsidR="00530E63">
        <w:rPr>
          <w:rFonts w:cs="Cambria"/>
          <w:color w:val="000000"/>
        </w:rPr>
        <w:t>/t</w:t>
      </w:r>
      <w:r w:rsidR="00530E63" w:rsidRPr="00BE2FA4">
        <w:rPr>
          <w:rFonts w:cs="Cambria"/>
          <w:color w:val="000000"/>
        </w:rPr>
        <w:t>ime corresponding to the last concentration above the limit of quantification</w:t>
      </w:r>
      <w:r w:rsidR="00530E63">
        <w:rPr>
          <w:rFonts w:cs="Cambria"/>
          <w:color w:val="000000"/>
        </w:rPr>
        <w:t xml:space="preserve">, </w:t>
      </w:r>
      <w:r>
        <w:t>C</w:t>
      </w:r>
      <w:r w:rsidRPr="00D210E8">
        <w:rPr>
          <w:vertAlign w:val="subscript"/>
        </w:rPr>
        <w:t>max</w:t>
      </w:r>
      <w:r>
        <w:t xml:space="preserve"> = maximum plasma concentration, INS = insulin aspart, </w:t>
      </w:r>
      <w:r w:rsidR="00BD22D2">
        <w:t>SAR341402 = compound development code for Truvelog.</w:t>
      </w:r>
    </w:p>
    <w:p w14:paraId="04A8AC92" w14:textId="6DFD85B2" w:rsidR="00594A2A" w:rsidRPr="00804983" w:rsidRDefault="00BD22D2" w:rsidP="00D210E8">
      <w:pPr>
        <w:pStyle w:val="TableTitle"/>
      </w:pPr>
      <w:bookmarkStart w:id="45" w:name="_Ref59454347"/>
      <w:r w:rsidRPr="00311CCF">
        <w:lastRenderedPageBreak/>
        <w:t xml:space="preserve">Table </w:t>
      </w:r>
      <w:r w:rsidRPr="00D733B0">
        <w:fldChar w:fldCharType="begin"/>
      </w:r>
      <w:r w:rsidRPr="00311CCF">
        <w:instrText xml:space="preserve"> SEQ Table \* ARABIC </w:instrText>
      </w:r>
      <w:r w:rsidRPr="00D733B0">
        <w:fldChar w:fldCharType="separate"/>
      </w:r>
      <w:r w:rsidR="00922676">
        <w:rPr>
          <w:noProof/>
        </w:rPr>
        <w:t>4</w:t>
      </w:r>
      <w:r w:rsidRPr="00D733B0">
        <w:fldChar w:fldCharType="end"/>
      </w:r>
      <w:bookmarkEnd w:id="45"/>
      <w:r w:rsidR="00594A2A" w:rsidRPr="00311CCF">
        <w:t xml:space="preserve">: Study 12695 - </w:t>
      </w:r>
      <w:r w:rsidRPr="00311CCF">
        <w:t>pharmacokinetic</w:t>
      </w:r>
      <w:r w:rsidR="00594A2A" w:rsidRPr="00311CCF">
        <w:t xml:space="preserve"> data for T</w:t>
      </w:r>
      <w:r w:rsidR="00EB3907" w:rsidRPr="00311CCF">
        <w:t>ru</w:t>
      </w:r>
      <w:r w:rsidR="00594A2A" w:rsidRPr="00311CCF">
        <w:t>velog (SAR341402), NovoRapid and NovoLog</w:t>
      </w:r>
    </w:p>
    <w:p w14:paraId="3D6E811A" w14:textId="71C57C88" w:rsidR="00262A3E" w:rsidRPr="00311CCF" w:rsidRDefault="008057A9" w:rsidP="00262A3E">
      <w:pPr>
        <w:spacing w:before="0" w:after="0" w:line="240" w:lineRule="auto"/>
        <w:rPr>
          <w:rFonts w:asciiTheme="minorHAnsi" w:hAnsiTheme="minorHAnsi"/>
          <w:b/>
        </w:rPr>
      </w:pPr>
      <w:r w:rsidRPr="00311CCF">
        <w:rPr>
          <w:noProof/>
          <w:lang w:eastAsia="en-AU"/>
        </w:rPr>
        <w:drawing>
          <wp:inline distT="0" distB="0" distL="0" distR="0" wp14:anchorId="18A2939C" wp14:editId="61118C1E">
            <wp:extent cx="5400040" cy="3776345"/>
            <wp:effectExtent l="0" t="0" r="0" b="0"/>
            <wp:docPr id="6" name="Picture 6" descr="Study 12695 - pharmacokineticPK data for Truvelog (SAR341402), NovoRapid and Nov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3776345"/>
                    </a:xfrm>
                    <a:prstGeom prst="rect">
                      <a:avLst/>
                    </a:prstGeom>
                  </pic:spPr>
                </pic:pic>
              </a:graphicData>
            </a:graphic>
          </wp:inline>
        </w:drawing>
      </w:r>
    </w:p>
    <w:p w14:paraId="5F1F8538" w14:textId="23F9E8E9" w:rsidR="00BB4F40" w:rsidRPr="009617A8" w:rsidRDefault="008057A9" w:rsidP="0057688F">
      <w:pPr>
        <w:pStyle w:val="TableDescription"/>
      </w:pPr>
      <w:r w:rsidRPr="00311CCF">
        <w:t>a: median (min – max)</w:t>
      </w:r>
      <w:r w:rsidR="00311CCF">
        <w:t xml:space="preserve">. </w:t>
      </w:r>
      <w:r w:rsidRPr="00311CCF">
        <w:t>b: n = 28</w:t>
      </w:r>
      <w:r w:rsidR="00EF0136" w:rsidRPr="00311CCF">
        <w:t>, Subject[ID redacted]; AUC not included in calculation of summary statistics (</w:t>
      </w:r>
      <w:r w:rsidR="00530E63">
        <w:t>v</w:t>
      </w:r>
      <w:r w:rsidR="00BE2FA4" w:rsidRPr="00BE2FA4">
        <w:t>alues with a percentage of extrapolation &gt;</w:t>
      </w:r>
      <w:r w:rsidR="00BE2FA4">
        <w:t xml:space="preserve"> </w:t>
      </w:r>
      <w:r w:rsidR="00BE2FA4" w:rsidRPr="00BE2FA4">
        <w:t>20%</w:t>
      </w:r>
      <w:r w:rsidR="00EF0136" w:rsidRPr="00311CCF">
        <w:t>)</w:t>
      </w:r>
      <w:r w:rsidR="00311CCF">
        <w:t xml:space="preserve">. </w:t>
      </w:r>
      <w:r w:rsidR="00EF0136" w:rsidRPr="00311CCF">
        <w:t>c: n</w:t>
      </w:r>
      <w:r w:rsidR="00D00FB9" w:rsidRPr="00311CCF">
        <w:t xml:space="preserve"> </w:t>
      </w:r>
      <w:r w:rsidR="00EF0136" w:rsidRPr="00311CCF">
        <w:t>=</w:t>
      </w:r>
      <w:r w:rsidR="00D00FB9" w:rsidRPr="00311CCF">
        <w:t xml:space="preserve"> </w:t>
      </w:r>
      <w:r w:rsidR="00EF0136" w:rsidRPr="00311CCF">
        <w:t>27, Subject [ID redacted] and [ID redacted]; AUC</w:t>
      </w:r>
      <w:r w:rsidR="00EF0136" w:rsidRPr="0057688F">
        <w:rPr>
          <w:vertAlign w:val="subscript"/>
        </w:rPr>
        <w:t>4-tlast</w:t>
      </w:r>
      <w:r w:rsidR="00202A3F" w:rsidRPr="0057688F">
        <w:rPr>
          <w:vertAlign w:val="subscript"/>
        </w:rPr>
        <w:t xml:space="preserve"> </w:t>
      </w:r>
      <w:r w:rsidR="00EF0136" w:rsidRPr="00311CCF">
        <w:t>cou</w:t>
      </w:r>
      <w:r w:rsidR="00EF0136" w:rsidRPr="009617A8">
        <w:t>ld not be calculated (t</w:t>
      </w:r>
      <w:r w:rsidR="00EF0136" w:rsidRPr="0057688F">
        <w:rPr>
          <w:vertAlign w:val="subscript"/>
        </w:rPr>
        <w:t>last</w:t>
      </w:r>
      <w:r w:rsidR="00EF0136" w:rsidRPr="009617A8">
        <w:t xml:space="preserve"> at T4H)</w:t>
      </w:r>
      <w:r w:rsidR="00311CCF">
        <w:t xml:space="preserve">. </w:t>
      </w:r>
      <w:r w:rsidR="00BB4F40" w:rsidRPr="009617A8">
        <w:t>d: n</w:t>
      </w:r>
      <w:r w:rsidR="00D00FB9">
        <w:t xml:space="preserve"> </w:t>
      </w:r>
      <w:r w:rsidR="00BB4F40" w:rsidRPr="009617A8">
        <w:t>=</w:t>
      </w:r>
      <w:r w:rsidR="00D00FB9">
        <w:t xml:space="preserve"> </w:t>
      </w:r>
      <w:r w:rsidR="00BB4F40" w:rsidRPr="009617A8">
        <w:t>28, Subject [ID redacted] AUC</w:t>
      </w:r>
      <w:r w:rsidR="00BB4F40" w:rsidRPr="0057688F">
        <w:rPr>
          <w:vertAlign w:val="subscript"/>
        </w:rPr>
        <w:t xml:space="preserve">4-tlast </w:t>
      </w:r>
      <w:r w:rsidR="00BB4F40" w:rsidRPr="009617A8">
        <w:t>could not be calculated (t</w:t>
      </w:r>
      <w:r w:rsidR="00BB4F40" w:rsidRPr="0057688F">
        <w:rPr>
          <w:vertAlign w:val="subscript"/>
        </w:rPr>
        <w:t>last</w:t>
      </w:r>
      <w:r w:rsidR="00BB4F40" w:rsidRPr="009617A8">
        <w:t xml:space="preserve"> at T4H)</w:t>
      </w:r>
      <w:r w:rsidR="00530E63">
        <w:t>.</w:t>
      </w:r>
    </w:p>
    <w:p w14:paraId="4B169D89" w14:textId="51ED6A4F" w:rsidR="009617A8" w:rsidRPr="00536486" w:rsidRDefault="00D733B0" w:rsidP="0057688F">
      <w:pPr>
        <w:pStyle w:val="TableDescription"/>
        <w:rPr>
          <w:sz w:val="18"/>
          <w:szCs w:val="18"/>
        </w:rPr>
      </w:pPr>
      <w:r>
        <w:t xml:space="preserve">SD: standard deviation. CI: confidence interval. </w:t>
      </w:r>
      <w:r w:rsidR="00262A3E" w:rsidRPr="009617A8">
        <w:t>N</w:t>
      </w:r>
      <w:r w:rsidR="00311CCF">
        <w:t>:</w:t>
      </w:r>
      <w:r w:rsidR="00262A3E" w:rsidRPr="009617A8">
        <w:t xml:space="preserve"> number of subjects</w:t>
      </w:r>
      <w:r w:rsidR="00311CCF">
        <w:t xml:space="preserve">. </w:t>
      </w:r>
      <w:r w:rsidR="00262A3E" w:rsidRPr="009617A8">
        <w:t xml:space="preserve">T4H: the </w:t>
      </w:r>
      <w:r w:rsidR="000B2794">
        <w:t>fourth</w:t>
      </w:r>
      <w:r w:rsidR="00262A3E" w:rsidRPr="009617A8">
        <w:t xml:space="preserve"> hour of sampling</w:t>
      </w:r>
      <w:r w:rsidR="00311CCF">
        <w:t xml:space="preserve">. </w:t>
      </w:r>
      <w:r w:rsidR="00262A3E" w:rsidRPr="009617A8">
        <w:t>C</w:t>
      </w:r>
      <w:r w:rsidR="00262A3E" w:rsidRPr="0057688F">
        <w:rPr>
          <w:vertAlign w:val="subscript"/>
        </w:rPr>
        <w:t>max</w:t>
      </w:r>
      <w:r w:rsidR="00262A3E" w:rsidRPr="009617A8">
        <w:t xml:space="preserve">: Maximum </w:t>
      </w:r>
      <w:r w:rsidR="00804983">
        <w:t>plasma</w:t>
      </w:r>
      <w:r w:rsidR="00262A3E" w:rsidRPr="009617A8">
        <w:t xml:space="preserve"> concentration</w:t>
      </w:r>
      <w:r w:rsidR="00311CCF">
        <w:t xml:space="preserve">. </w:t>
      </w:r>
      <w:r w:rsidR="00262A3E" w:rsidRPr="009617A8">
        <w:t>pg/m</w:t>
      </w:r>
      <w:r w:rsidR="000B2794">
        <w:t>L</w:t>
      </w:r>
      <w:r w:rsidR="00262A3E" w:rsidRPr="009617A8">
        <w:t>: picograms per milli</w:t>
      </w:r>
      <w:r w:rsidR="000B2794">
        <w:t>litre</w:t>
      </w:r>
      <w:r w:rsidR="00311CCF">
        <w:t xml:space="preserve">. </w:t>
      </w:r>
      <w:r w:rsidR="00262A3E" w:rsidRPr="009617A8">
        <w:t>t</w:t>
      </w:r>
      <w:r w:rsidR="00262A3E" w:rsidRPr="0057688F">
        <w:rPr>
          <w:vertAlign w:val="subscript"/>
        </w:rPr>
        <w:t>max</w:t>
      </w:r>
      <w:r w:rsidR="00262A3E" w:rsidRPr="009617A8">
        <w:t>: Time required to reach the maximum or peak recorded serum concentration</w:t>
      </w:r>
      <w:r w:rsidR="00311CCF">
        <w:t xml:space="preserve">. </w:t>
      </w:r>
      <w:r w:rsidR="00262A3E" w:rsidRPr="009617A8">
        <w:t>hr: hour</w:t>
      </w:r>
      <w:r w:rsidR="00311CCF">
        <w:t xml:space="preserve">. </w:t>
      </w:r>
      <w:r w:rsidR="00262A3E" w:rsidRPr="009617A8">
        <w:t>AUC</w:t>
      </w:r>
      <w:r w:rsidR="00262A3E" w:rsidRPr="0057688F">
        <w:rPr>
          <w:vertAlign w:val="subscript"/>
        </w:rPr>
        <w:t>0-2</w:t>
      </w:r>
      <w:r w:rsidR="00262A3E" w:rsidRPr="009617A8">
        <w:t>: Area under the plasma concentration-time curve, from time zero to 2 hours</w:t>
      </w:r>
      <w:r w:rsidR="00311CCF">
        <w:t xml:space="preserve">. </w:t>
      </w:r>
      <w:r w:rsidR="00262A3E" w:rsidRPr="009617A8">
        <w:t>pg</w:t>
      </w:r>
      <w:r w:rsidR="00BD22D2">
        <w:t>*</w:t>
      </w:r>
      <w:r w:rsidR="00262A3E" w:rsidRPr="009617A8">
        <w:t>hr/m</w:t>
      </w:r>
      <w:r w:rsidR="00BD22D2">
        <w:t>L</w:t>
      </w:r>
      <w:r w:rsidR="00262A3E" w:rsidRPr="009617A8">
        <w:t xml:space="preserve">: </w:t>
      </w:r>
      <w:r w:rsidR="00F37653">
        <w:t>p</w:t>
      </w:r>
      <w:r w:rsidR="00262A3E" w:rsidRPr="009617A8">
        <w:t xml:space="preserve">icograms </w:t>
      </w:r>
      <w:r w:rsidR="005C739D">
        <w:t xml:space="preserve">times </w:t>
      </w:r>
      <w:r w:rsidR="00262A3E" w:rsidRPr="009617A8">
        <w:t>hour</w:t>
      </w:r>
      <w:r w:rsidR="005C739D">
        <w:t>s</w:t>
      </w:r>
      <w:r w:rsidR="00262A3E" w:rsidRPr="009617A8">
        <w:t xml:space="preserve"> per millilitre</w:t>
      </w:r>
      <w:r w:rsidR="00311CCF">
        <w:t xml:space="preserve">. </w:t>
      </w:r>
      <w:r w:rsidR="00262A3E" w:rsidRPr="009617A8">
        <w:t>AUC</w:t>
      </w:r>
      <w:r w:rsidR="00262A3E" w:rsidRPr="0057688F">
        <w:rPr>
          <w:vertAlign w:val="subscript"/>
        </w:rPr>
        <w:t>4-tlast</w:t>
      </w:r>
      <w:r w:rsidR="00262A3E" w:rsidRPr="009617A8">
        <w:t xml:space="preserve">: Area under the plasma concentration-time curve, from 4 hours </w:t>
      </w:r>
      <w:r w:rsidRPr="00BE2FA4">
        <w:rPr>
          <w:rFonts w:cs="Cambria"/>
          <w:color w:val="000000"/>
        </w:rPr>
        <w:t xml:space="preserve">to the real time </w:t>
      </w:r>
      <w:r>
        <w:rPr>
          <w:rFonts w:cs="Cambria"/>
          <w:color w:val="000000"/>
        </w:rPr>
        <w:t>t</w:t>
      </w:r>
      <w:r w:rsidRPr="00D94C23">
        <w:rPr>
          <w:rFonts w:cs="Cambria"/>
          <w:color w:val="000000"/>
          <w:vertAlign w:val="subscript"/>
        </w:rPr>
        <w:t>last</w:t>
      </w:r>
      <w:r>
        <w:rPr>
          <w:rFonts w:cs="Cambria"/>
          <w:color w:val="000000"/>
        </w:rPr>
        <w:t>/t</w:t>
      </w:r>
      <w:r w:rsidRPr="00BE2FA4">
        <w:rPr>
          <w:rFonts w:cs="Cambria"/>
          <w:color w:val="000000"/>
        </w:rPr>
        <w:t>ime corresponding to the last concentration above the limit of quantification</w:t>
      </w:r>
      <w:r w:rsidR="00311CCF">
        <w:t xml:space="preserve">. </w:t>
      </w:r>
      <w:r w:rsidR="00262A3E" w:rsidRPr="009617A8">
        <w:t>AUC</w:t>
      </w:r>
      <w:r w:rsidR="00262A3E" w:rsidRPr="0057688F">
        <w:rPr>
          <w:vertAlign w:val="subscript"/>
        </w:rPr>
        <w:t>last</w:t>
      </w:r>
      <w:r w:rsidR="00262A3E" w:rsidRPr="009617A8">
        <w:t>: Area under the plasma concentration-time curve</w:t>
      </w:r>
      <w:r w:rsidR="00BE2FA4">
        <w:rPr>
          <w:rFonts w:cs="Cambria"/>
          <w:color w:val="000000"/>
        </w:rPr>
        <w:t xml:space="preserve"> calculated using the </w:t>
      </w:r>
      <w:r w:rsidR="00BE2FA4" w:rsidRPr="00BE2FA4">
        <w:rPr>
          <w:rFonts w:cs="Cambria"/>
          <w:color w:val="000000"/>
        </w:rPr>
        <w:t xml:space="preserve">trapezoidal method from time zero to the real time </w:t>
      </w:r>
      <w:r w:rsidR="00BE2FA4">
        <w:rPr>
          <w:rFonts w:cs="Cambria"/>
          <w:color w:val="000000"/>
        </w:rPr>
        <w:t>t</w:t>
      </w:r>
      <w:r w:rsidR="00BE2FA4" w:rsidRPr="00D94C23">
        <w:rPr>
          <w:rFonts w:cs="Cambria"/>
          <w:color w:val="000000"/>
          <w:vertAlign w:val="subscript"/>
        </w:rPr>
        <w:t>last</w:t>
      </w:r>
      <w:r w:rsidR="00BE2FA4">
        <w:rPr>
          <w:rFonts w:cs="Cambria"/>
          <w:color w:val="000000"/>
        </w:rPr>
        <w:t>/t</w:t>
      </w:r>
      <w:r w:rsidR="00BE2FA4" w:rsidRPr="00BE2FA4">
        <w:rPr>
          <w:rFonts w:cs="Cambria"/>
          <w:color w:val="000000"/>
        </w:rPr>
        <w:t>ime corresponding to the last concentration above the limit of quantification</w:t>
      </w:r>
      <w:r w:rsidR="00311CCF">
        <w:t xml:space="preserve">. </w:t>
      </w:r>
      <w:r w:rsidR="00262A3E" w:rsidRPr="009617A8">
        <w:t>AUC: Area under the plasma concentration-time curve</w:t>
      </w:r>
      <w:r w:rsidR="00311CCF">
        <w:t xml:space="preserve">. </w:t>
      </w:r>
      <w:r w:rsidR="000B2794">
        <w:t>t</w:t>
      </w:r>
      <w:r w:rsidR="00262A3E" w:rsidRPr="0057688F">
        <w:rPr>
          <w:vertAlign w:val="subscript"/>
        </w:rPr>
        <w:t>last</w:t>
      </w:r>
      <w:r w:rsidR="00262A3E" w:rsidRPr="009617A8">
        <w:t xml:space="preserve">: </w:t>
      </w:r>
      <w:r>
        <w:rPr>
          <w:rFonts w:cs="Cambria"/>
          <w:color w:val="000000"/>
        </w:rPr>
        <w:t>T</w:t>
      </w:r>
      <w:r w:rsidRPr="00BE2FA4">
        <w:rPr>
          <w:rFonts w:cs="Cambria"/>
          <w:color w:val="000000"/>
        </w:rPr>
        <w:t>ime corresponding to the last concentration above the limit of quantification</w:t>
      </w:r>
      <w:r w:rsidR="00311CCF">
        <w:t xml:space="preserve">. </w:t>
      </w:r>
      <w:r w:rsidR="00804983">
        <w:t>t</w:t>
      </w:r>
      <w:r w:rsidR="00262A3E" w:rsidRPr="0057688F">
        <w:rPr>
          <w:vertAlign w:val="subscript"/>
        </w:rPr>
        <w:t>1/2z</w:t>
      </w:r>
      <w:r w:rsidR="00262A3E" w:rsidRPr="009617A8">
        <w:t>: Terminal half life</w:t>
      </w:r>
      <w:r w:rsidR="00530E63">
        <w:t>.</w:t>
      </w:r>
    </w:p>
    <w:p w14:paraId="0E5B1764" w14:textId="24C30949" w:rsidR="002275F5" w:rsidRDefault="002275F5" w:rsidP="009617A8">
      <w:r w:rsidRPr="00B411C2">
        <w:t xml:space="preserve">Bioequivalence between </w:t>
      </w:r>
      <w:r w:rsidR="00E24625">
        <w:t>Truvelog</w:t>
      </w:r>
      <w:r w:rsidRPr="00B411C2">
        <w:t xml:space="preserve"> and the two comparators w</w:t>
      </w:r>
      <w:r>
        <w:t>ere</w:t>
      </w:r>
      <w:r w:rsidRPr="00B411C2">
        <w:t xml:space="preserve"> demonstrated</w:t>
      </w:r>
      <w:r w:rsidR="00AA1415">
        <w:t xml:space="preserve">, in </w:t>
      </w:r>
      <w:r w:rsidR="00AA1415">
        <w:fldChar w:fldCharType="begin"/>
      </w:r>
      <w:r w:rsidR="00AA1415">
        <w:instrText xml:space="preserve"> REF _Ref59454589 \h </w:instrText>
      </w:r>
      <w:r w:rsidR="009617A8">
        <w:instrText xml:space="preserve"> \* MERGEFORMAT </w:instrText>
      </w:r>
      <w:r w:rsidR="00AA1415">
        <w:fldChar w:fldCharType="separate"/>
      </w:r>
      <w:r w:rsidR="00922676">
        <w:t xml:space="preserve">Table </w:t>
      </w:r>
      <w:r w:rsidR="00922676">
        <w:rPr>
          <w:noProof/>
        </w:rPr>
        <w:t>5</w:t>
      </w:r>
      <w:r w:rsidR="00AA1415">
        <w:fldChar w:fldCharType="end"/>
      </w:r>
      <w:r w:rsidR="00AA1415">
        <w:t xml:space="preserve"> below</w:t>
      </w:r>
      <w:r w:rsidRPr="00B411C2">
        <w:t>.</w:t>
      </w:r>
    </w:p>
    <w:p w14:paraId="579D19F0" w14:textId="75CE75CF" w:rsidR="002275F5" w:rsidRDefault="00D733B0" w:rsidP="0057688F">
      <w:pPr>
        <w:pStyle w:val="TableTitle"/>
      </w:pPr>
      <w:bookmarkStart w:id="46" w:name="_Ref59454589"/>
      <w:r>
        <w:t xml:space="preserve">Table </w:t>
      </w:r>
      <w:r w:rsidR="00103C2A">
        <w:fldChar w:fldCharType="begin"/>
      </w:r>
      <w:r w:rsidR="00103C2A">
        <w:instrText xml:space="preserve"> SEQ Table \* ARABIC </w:instrText>
      </w:r>
      <w:r w:rsidR="00103C2A">
        <w:fldChar w:fldCharType="separate"/>
      </w:r>
      <w:r w:rsidR="00922676">
        <w:rPr>
          <w:noProof/>
        </w:rPr>
        <w:t>5</w:t>
      </w:r>
      <w:r w:rsidR="00103C2A">
        <w:rPr>
          <w:noProof/>
        </w:rPr>
        <w:fldChar w:fldCharType="end"/>
      </w:r>
      <w:bookmarkEnd w:id="46"/>
      <w:r w:rsidR="00AA1415">
        <w:t xml:space="preserve">: Statistical analyses of primary </w:t>
      </w:r>
      <w:r>
        <w:t>pharmacodynamics</w:t>
      </w:r>
      <w:r w:rsidR="00AA1415">
        <w:t xml:space="preserve"> variable</w:t>
      </w:r>
      <w:r w:rsidR="00536486">
        <w:t xml:space="preserve"> (GIR-AUC</w:t>
      </w:r>
      <w:r w:rsidR="00536486" w:rsidRPr="00536486">
        <w:rPr>
          <w:vertAlign w:val="subscript"/>
        </w:rPr>
        <w:t>0-12</w:t>
      </w:r>
      <w:r w:rsidR="00536486">
        <w:t>)</w:t>
      </w:r>
      <w:r w:rsidR="00AA1415">
        <w:t xml:space="preserve"> between Truvelog (SAR341402), NovoRapid and </w:t>
      </w:r>
      <w:r>
        <w:t>N</w:t>
      </w:r>
      <w:r w:rsidR="00AA1415">
        <w:t>ovoLog</w:t>
      </w:r>
    </w:p>
    <w:p w14:paraId="590A4CF7" w14:textId="3686045F" w:rsidR="00E32902" w:rsidRDefault="00E32902" w:rsidP="002275F5">
      <w:pPr>
        <w:spacing w:before="0" w:after="0" w:line="240" w:lineRule="auto"/>
        <w:rPr>
          <w:rFonts w:asciiTheme="minorHAnsi" w:hAnsiTheme="minorHAnsi"/>
        </w:rPr>
      </w:pPr>
      <w:r>
        <w:rPr>
          <w:noProof/>
          <w:lang w:eastAsia="en-AU"/>
        </w:rPr>
        <w:drawing>
          <wp:inline distT="0" distB="0" distL="0" distR="0" wp14:anchorId="4E628B40" wp14:editId="17C42DFE">
            <wp:extent cx="5400040" cy="715010"/>
            <wp:effectExtent l="0" t="0" r="0" b="8890"/>
            <wp:docPr id="10" name="Picture 10" descr="Statistical analyses of primary pharmacodynamics variable (GIR-AUC0-12) between Truvelog (SAR341402), NovoRapid and Novo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715010"/>
                    </a:xfrm>
                    <a:prstGeom prst="rect">
                      <a:avLst/>
                    </a:prstGeom>
                  </pic:spPr>
                </pic:pic>
              </a:graphicData>
            </a:graphic>
          </wp:inline>
        </w:drawing>
      </w:r>
    </w:p>
    <w:p w14:paraId="1072E1BF" w14:textId="1B3D41DB" w:rsidR="0017099E" w:rsidRDefault="00536486" w:rsidP="00D828D8">
      <w:pPr>
        <w:pStyle w:val="FigureDescription"/>
      </w:pPr>
      <w:r>
        <w:t>GIR-AUC</w:t>
      </w:r>
      <w:r w:rsidRPr="00536486">
        <w:rPr>
          <w:vertAlign w:val="subscript"/>
        </w:rPr>
        <w:t>0-12</w:t>
      </w:r>
      <w:r>
        <w:t xml:space="preserve">: </w:t>
      </w:r>
      <w:r w:rsidR="00D828D8">
        <w:t>area under the body weight standardized glucose infusion rate time curve from 0 to 12 hours</w:t>
      </w:r>
      <w:r w:rsidR="0017099E">
        <w:t>.</w:t>
      </w:r>
    </w:p>
    <w:p w14:paraId="6088AC5C" w14:textId="2D5DE012" w:rsidR="00536486" w:rsidRDefault="00E24625" w:rsidP="0017099E">
      <w:r>
        <w:t>Truvelog</w:t>
      </w:r>
      <w:r w:rsidR="002275F5">
        <w:t xml:space="preserve"> also had very similar pharmacodynamics (insulin mediated glucose uptake as measured by a</w:t>
      </w:r>
      <w:r w:rsidR="00536486">
        <w:t>n</w:t>
      </w:r>
      <w:r w:rsidR="002275F5">
        <w:t xml:space="preserve"> euglycaemic hyper</w:t>
      </w:r>
      <w:r w:rsidR="00536486">
        <w:t xml:space="preserve">insulinaemic </w:t>
      </w:r>
      <w:r w:rsidR="002275F5">
        <w:t>clamp</w:t>
      </w:r>
      <w:r w:rsidR="00EC6249">
        <w:t xml:space="preserve">, as demonstrated in </w:t>
      </w:r>
      <w:r w:rsidR="00EC6249">
        <w:fldChar w:fldCharType="begin"/>
      </w:r>
      <w:r w:rsidR="00EC6249">
        <w:instrText xml:space="preserve"> REF _Ref59460729 \h </w:instrText>
      </w:r>
      <w:r w:rsidR="0017099E">
        <w:instrText xml:space="preserve"> \* MERGEFORMAT </w:instrText>
      </w:r>
      <w:r w:rsidR="00EC6249">
        <w:fldChar w:fldCharType="separate"/>
      </w:r>
      <w:r w:rsidR="00922676">
        <w:t xml:space="preserve">Figure </w:t>
      </w:r>
      <w:r w:rsidR="00922676">
        <w:rPr>
          <w:noProof/>
        </w:rPr>
        <w:t>3</w:t>
      </w:r>
      <w:r w:rsidR="00EC6249">
        <w:fldChar w:fldCharType="end"/>
      </w:r>
      <w:r w:rsidR="0017099E">
        <w:t>.</w:t>
      </w:r>
    </w:p>
    <w:p w14:paraId="5A69F8B8" w14:textId="6B8AE51D" w:rsidR="00EC6249" w:rsidRDefault="00EC6249" w:rsidP="00EC6249">
      <w:pPr>
        <w:pStyle w:val="FigureTitle"/>
      </w:pPr>
      <w:bookmarkStart w:id="47" w:name="_Ref59460729"/>
      <w:r>
        <w:lastRenderedPageBreak/>
        <w:t xml:space="preserve">Figure </w:t>
      </w:r>
      <w:r w:rsidR="00103C2A">
        <w:fldChar w:fldCharType="begin"/>
      </w:r>
      <w:r w:rsidR="00103C2A">
        <w:instrText xml:space="preserve"> SEQ Figure \* ARABIC </w:instrText>
      </w:r>
      <w:r w:rsidR="00103C2A">
        <w:fldChar w:fldCharType="separate"/>
      </w:r>
      <w:r w:rsidR="00922676">
        <w:rPr>
          <w:noProof/>
        </w:rPr>
        <w:t>3</w:t>
      </w:r>
      <w:r w:rsidR="00103C2A">
        <w:rPr>
          <w:noProof/>
        </w:rPr>
        <w:fldChar w:fldCharType="end"/>
      </w:r>
      <w:bookmarkEnd w:id="47"/>
      <w:r>
        <w:t xml:space="preserve">: Study 12695 - mean smoothed </w:t>
      </w:r>
      <w:r w:rsidR="00D828D8">
        <w:t>glucose infusion rate</w:t>
      </w:r>
      <w:r>
        <w:t xml:space="preserve"> profiles over time in hours</w:t>
      </w:r>
    </w:p>
    <w:p w14:paraId="228CF36B" w14:textId="53CF763F" w:rsidR="002275F5" w:rsidRDefault="00EC6249" w:rsidP="002275F5">
      <w:pPr>
        <w:spacing w:before="0" w:after="0" w:line="240" w:lineRule="auto"/>
        <w:rPr>
          <w:rFonts w:asciiTheme="minorHAnsi" w:hAnsiTheme="minorHAnsi"/>
        </w:rPr>
      </w:pPr>
      <w:r>
        <w:rPr>
          <w:noProof/>
          <w:lang w:eastAsia="en-AU"/>
        </w:rPr>
        <w:drawing>
          <wp:inline distT="0" distB="0" distL="0" distR="0" wp14:anchorId="102939B0" wp14:editId="02C06664">
            <wp:extent cx="5400040" cy="3998595"/>
            <wp:effectExtent l="0" t="0" r="0" b="1905"/>
            <wp:docPr id="12" name="Picture 12" descr="Study 12695 - mean smoothed glucose infusion rate profiles over time in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040" cy="3998595"/>
                    </a:xfrm>
                    <a:prstGeom prst="rect">
                      <a:avLst/>
                    </a:prstGeom>
                  </pic:spPr>
                </pic:pic>
              </a:graphicData>
            </a:graphic>
          </wp:inline>
        </w:drawing>
      </w:r>
    </w:p>
    <w:p w14:paraId="58F82667" w14:textId="446709C3" w:rsidR="00D828D8" w:rsidRDefault="00D828D8" w:rsidP="00163EBC">
      <w:pPr>
        <w:pStyle w:val="TableDescription"/>
      </w:pPr>
      <w:r>
        <w:t>GIR: glucose infusion rate.</w:t>
      </w:r>
    </w:p>
    <w:p w14:paraId="146308D2" w14:textId="699E736B" w:rsidR="002275F5" w:rsidRPr="0017099E" w:rsidRDefault="003A3ECA" w:rsidP="0017099E">
      <w:pPr>
        <w:pStyle w:val="Heading4"/>
      </w:pPr>
      <w:r w:rsidRPr="0017099E">
        <w:t>Study EFC</w:t>
      </w:r>
      <w:r w:rsidR="002275F5" w:rsidRPr="0017099E">
        <w:t>15081</w:t>
      </w:r>
    </w:p>
    <w:p w14:paraId="1F8614C6" w14:textId="291D555E" w:rsidR="002275F5" w:rsidRDefault="002275F5" w:rsidP="0017099E">
      <w:r>
        <w:t xml:space="preserve">This was an international multicentre study of 597 patients with </w:t>
      </w:r>
      <w:r w:rsidR="00B8452F">
        <w:t>t</w:t>
      </w:r>
      <w:r w:rsidR="00C05941">
        <w:t>ype 1 diabetes mellitus</w:t>
      </w:r>
      <w:r>
        <w:t xml:space="preserve"> (and </w:t>
      </w:r>
      <w:r w:rsidR="00B8452F">
        <w:t>t</w:t>
      </w:r>
      <w:r w:rsidR="00C05941">
        <w:t>ype 2 diabetes mellitus</w:t>
      </w:r>
      <w:r>
        <w:t xml:space="preserve"> on </w:t>
      </w:r>
      <w:r w:rsidR="002E5A59">
        <w:t>multiple daily doses of insulin</w:t>
      </w:r>
      <w:r>
        <w:t xml:space="preserve">) conducted between August 2017 and July 2018. It was an open label study as the </w:t>
      </w:r>
      <w:r w:rsidR="002E5A59">
        <w:t xml:space="preserve">injection </w:t>
      </w:r>
      <w:r>
        <w:t xml:space="preserve">pens used to deliver the two insulins </w:t>
      </w:r>
      <w:r w:rsidR="002E5A59">
        <w:t>were</w:t>
      </w:r>
      <w:r w:rsidR="000A6DB4">
        <w:t xml:space="preserve"> different.</w:t>
      </w:r>
    </w:p>
    <w:p w14:paraId="6F00434B" w14:textId="3F7687D5" w:rsidR="002275F5" w:rsidRDefault="002275F5" w:rsidP="0017099E">
      <w:r>
        <w:t xml:space="preserve">The primary objective was to demonstrate non-inferiority, with regard to glycaemic control estimated by </w:t>
      </w:r>
      <w:r w:rsidR="002E5A59">
        <w:t xml:space="preserve">measurement of </w:t>
      </w:r>
      <w:r w:rsidR="00D828D8">
        <w:t>h</w:t>
      </w:r>
      <w:r w:rsidR="002E5A59">
        <w:t xml:space="preserve">aemoglobin </w:t>
      </w:r>
      <w:r w:rsidR="00ED2A78">
        <w:t>A1C</w:t>
      </w:r>
      <w:r w:rsidR="002E5A59">
        <w:t xml:space="preserve"> (</w:t>
      </w:r>
      <w:r>
        <w:t>HbA1c</w:t>
      </w:r>
      <w:r w:rsidR="002E5A59">
        <w:t>) levels</w:t>
      </w:r>
      <w:r>
        <w:t xml:space="preserve"> of </w:t>
      </w:r>
      <w:r w:rsidR="00E24625">
        <w:t>Truvelog</w:t>
      </w:r>
      <w:r>
        <w:t xml:space="preserve"> to </w:t>
      </w:r>
      <w:r w:rsidR="00EB3907">
        <w:t>NovoRapid</w:t>
      </w:r>
      <w:r w:rsidR="005940D1">
        <w:t xml:space="preserve"> </w:t>
      </w:r>
      <w:r>
        <w:t>/</w:t>
      </w:r>
      <w:r w:rsidR="00EB3907">
        <w:t>NovoLog</w:t>
      </w:r>
      <w:r>
        <w:t xml:space="preserve">. Secondary objectives were to assess immunogenicity of the test and reference substances using anti-insulin aspart antibodies (AIA) and to assess the relationship of AIA </w:t>
      </w:r>
      <w:r w:rsidR="005C46ED">
        <w:t xml:space="preserve">in regards to </w:t>
      </w:r>
      <w:r>
        <w:t>efficacy and safety.</w:t>
      </w:r>
    </w:p>
    <w:p w14:paraId="5E5E7749" w14:textId="3F440624" w:rsidR="002275F5" w:rsidRDefault="002275F5" w:rsidP="0017099E">
      <w:r>
        <w:t xml:space="preserve">The basal insulins used were insulin glargine or </w:t>
      </w:r>
      <w:r w:rsidR="005C46ED">
        <w:t xml:space="preserve">insulin </w:t>
      </w:r>
      <w:r>
        <w:t xml:space="preserve">detemir. Patients’ previous short acting insulin were changed to </w:t>
      </w:r>
      <w:r w:rsidR="00E24625">
        <w:t>Truvelog</w:t>
      </w:r>
      <w:r>
        <w:t xml:space="preserve"> or </w:t>
      </w:r>
      <w:r w:rsidR="00EB3907">
        <w:t>NovoRapid</w:t>
      </w:r>
      <w:r>
        <w:t>. The treatment period was 26</w:t>
      </w:r>
      <w:r w:rsidR="00227517">
        <w:t> </w:t>
      </w:r>
      <w:r>
        <w:t>weeks. Patients were followed up for a further 26 weeks in the safety component (but this was not included in the dossier). At study visits insulin dosage</w:t>
      </w:r>
      <w:r w:rsidR="005C46ED">
        <w:t xml:space="preserve"> was adjusted according to post </w:t>
      </w:r>
      <w:r>
        <w:t>prandial bloo</w:t>
      </w:r>
      <w:r w:rsidR="005C46ED">
        <w:t>d sugar monitoring measurements.</w:t>
      </w:r>
      <w:r>
        <w:t xml:space="preserve"> </w:t>
      </w:r>
      <w:r w:rsidR="005C46ED">
        <w:t>The aim was</w:t>
      </w:r>
      <w:r>
        <w:t xml:space="preserve"> to achieve 2 hour post-prandial plasma glucose of </w:t>
      </w:r>
      <w:r w:rsidR="005C46ED">
        <w:t>&lt;</w:t>
      </w:r>
      <w:r w:rsidR="00F01DDD">
        <w:t> 10 </w:t>
      </w:r>
      <w:r>
        <w:t>mmol</w:t>
      </w:r>
      <w:r w:rsidR="00C170FB">
        <w:t> </w:t>
      </w:r>
      <w:r>
        <w:t>/</w:t>
      </w:r>
      <w:r w:rsidR="00C170FB">
        <w:t> </w:t>
      </w:r>
      <w:r>
        <w:t xml:space="preserve">L while avoiding hypoglycaemia. Patients were seen </w:t>
      </w:r>
      <w:r w:rsidR="00D828D8">
        <w:t>eight</w:t>
      </w:r>
      <w:r>
        <w:t xml:space="preserve"> times over the first 6 months then once in the next 6 months. Approximately 93% of patients co</w:t>
      </w:r>
      <w:r w:rsidR="000A6DB4">
        <w:t>mpleted the 6 month follow up.</w:t>
      </w:r>
    </w:p>
    <w:p w14:paraId="1CDAC867" w14:textId="28284CD5" w:rsidR="002275F5" w:rsidRPr="0017099E" w:rsidRDefault="005C46ED" w:rsidP="0017099E">
      <w:pPr>
        <w:rPr>
          <w:rFonts w:asciiTheme="minorHAnsi" w:hAnsiTheme="minorHAnsi"/>
        </w:rPr>
      </w:pPr>
      <w:r>
        <w:t>At B</w:t>
      </w:r>
      <w:r w:rsidR="002275F5">
        <w:t xml:space="preserve">aseline, median age of </w:t>
      </w:r>
      <w:r>
        <w:t xml:space="preserve">subjects was 49 years (range 19 to </w:t>
      </w:r>
      <w:r w:rsidR="002275F5">
        <w:t xml:space="preserve">86), and 60% were male. Most (82.6%) were white Caucasian with a spread of other ethnic groups. 56% were from the United States and 25% from Eastern Europe. Median </w:t>
      </w:r>
      <w:r w:rsidR="00D828D8">
        <w:t xml:space="preserve">body mass index </w:t>
      </w:r>
      <w:r>
        <w:t xml:space="preserve">was 26.5 (range 15.4 to </w:t>
      </w:r>
      <w:r w:rsidR="002275F5">
        <w:t xml:space="preserve">39.7). 83.2% had </w:t>
      </w:r>
      <w:r w:rsidR="00C05941">
        <w:t>Type 1 diabetes mellitus</w:t>
      </w:r>
      <w:r w:rsidR="002275F5">
        <w:t>. Median duration of</w:t>
      </w:r>
      <w:r>
        <w:t xml:space="preserve"> diabetes was 17</w:t>
      </w:r>
      <w:r w:rsidR="00D828D8">
        <w:t> </w:t>
      </w:r>
      <w:r>
        <w:t xml:space="preserve">years (range 1 to </w:t>
      </w:r>
      <w:r w:rsidR="002275F5">
        <w:t xml:space="preserve">61). Baseline mean HbA1c was 7.9% and </w:t>
      </w:r>
      <w:r>
        <w:t xml:space="preserve">fasting plasma glucose test </w:t>
      </w:r>
      <w:r>
        <w:lastRenderedPageBreak/>
        <w:t>result of</w:t>
      </w:r>
      <w:r w:rsidR="002275F5">
        <w:t xml:space="preserve"> 9.9</w:t>
      </w:r>
      <w:r w:rsidR="00F01DDD">
        <w:t> </w:t>
      </w:r>
      <w:r w:rsidR="002275F5">
        <w:t>mmol</w:t>
      </w:r>
      <w:r w:rsidR="00C170FB">
        <w:t> </w:t>
      </w:r>
      <w:r w:rsidR="002275F5">
        <w:t>/</w:t>
      </w:r>
      <w:r w:rsidR="00C170FB">
        <w:t> </w:t>
      </w:r>
      <w:r w:rsidR="002275F5">
        <w:t>L. The data were well balanced between the test and control groups.</w:t>
      </w:r>
      <w:r>
        <w:t xml:space="preserve"> </w:t>
      </w:r>
      <w:r w:rsidR="003A3ECA">
        <w:rPr>
          <w:rFonts w:asciiTheme="minorHAnsi" w:hAnsiTheme="minorHAnsi"/>
        </w:rPr>
        <w:t xml:space="preserve">The point estimate and 95% CI were well within the non-inferiority margin of 0.3%. </w:t>
      </w:r>
      <w:r w:rsidR="003A3ECA">
        <w:t xml:space="preserve">This is shown in </w:t>
      </w:r>
      <w:r w:rsidR="003A3ECA">
        <w:fldChar w:fldCharType="begin"/>
      </w:r>
      <w:r w:rsidR="003A3ECA">
        <w:instrText xml:space="preserve"> REF _Ref59461486 \h </w:instrText>
      </w:r>
      <w:r w:rsidR="0017099E">
        <w:instrText xml:space="preserve"> \* MERGEFORMAT </w:instrText>
      </w:r>
      <w:r w:rsidR="003A3ECA">
        <w:fldChar w:fldCharType="separate"/>
      </w:r>
      <w:r w:rsidR="00922676">
        <w:t>Table 6</w:t>
      </w:r>
      <w:r w:rsidR="003A3ECA">
        <w:fldChar w:fldCharType="end"/>
      </w:r>
      <w:r w:rsidR="003A3ECA">
        <w:t>.</w:t>
      </w:r>
    </w:p>
    <w:p w14:paraId="7291B788" w14:textId="054C9898" w:rsidR="005C46ED" w:rsidRPr="005C46ED" w:rsidRDefault="00011D8F" w:rsidP="00163EBC">
      <w:pPr>
        <w:pStyle w:val="TableTitle"/>
      </w:pPr>
      <w:bookmarkStart w:id="48" w:name="_Ref59461486"/>
      <w:r>
        <w:t xml:space="preserve">Table </w:t>
      </w:r>
      <w:r w:rsidR="00103C2A">
        <w:fldChar w:fldCharType="begin"/>
      </w:r>
      <w:r w:rsidR="00103C2A">
        <w:instrText xml:space="preserve"> SEQ Table \* ARABIC </w:instrText>
      </w:r>
      <w:r w:rsidR="00103C2A">
        <w:fldChar w:fldCharType="separate"/>
      </w:r>
      <w:r w:rsidR="00922676">
        <w:rPr>
          <w:noProof/>
        </w:rPr>
        <w:t>6</w:t>
      </w:r>
      <w:r w:rsidR="00103C2A">
        <w:rPr>
          <w:noProof/>
        </w:rPr>
        <w:fldChar w:fldCharType="end"/>
      </w:r>
      <w:bookmarkEnd w:id="48"/>
      <w:r w:rsidR="005C46ED" w:rsidRPr="005C46ED">
        <w:t xml:space="preserve">: Summary of change in HbA1c (%) from Baseline to Week 26 using </w:t>
      </w:r>
      <w:r>
        <w:t>analysis of covariance</w:t>
      </w:r>
      <w:r w:rsidRPr="005C46ED">
        <w:t xml:space="preserve"> </w:t>
      </w:r>
      <w:r w:rsidR="005C46ED" w:rsidRPr="005C46ED">
        <w:t xml:space="preserve">analysis - </w:t>
      </w:r>
      <w:r w:rsidRPr="005C46ED">
        <w:t xml:space="preserve">intention to treat </w:t>
      </w:r>
      <w:r w:rsidR="005C46ED" w:rsidRPr="005C46ED">
        <w:t>population</w:t>
      </w:r>
    </w:p>
    <w:p w14:paraId="1046D7EF" w14:textId="7DA93DFD" w:rsidR="002275F5" w:rsidRDefault="005C46ED" w:rsidP="002275F5">
      <w:pPr>
        <w:spacing w:before="0" w:after="0" w:line="240" w:lineRule="auto"/>
        <w:rPr>
          <w:rFonts w:asciiTheme="minorHAnsi" w:hAnsiTheme="minorHAnsi"/>
        </w:rPr>
      </w:pPr>
      <w:r>
        <w:rPr>
          <w:noProof/>
          <w:lang w:eastAsia="en-AU"/>
        </w:rPr>
        <w:drawing>
          <wp:inline distT="0" distB="0" distL="0" distR="0" wp14:anchorId="60BBFC08" wp14:editId="6B4FC5AA">
            <wp:extent cx="5400040" cy="2301240"/>
            <wp:effectExtent l="0" t="0" r="0" b="3810"/>
            <wp:docPr id="13" name="Picture 13" descr="Table 6: Summary of change in HbA1c (%) from Baseline to Week 26 using analysis of covariance analysis - intention to trea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0040" cy="2301240"/>
                    </a:xfrm>
                    <a:prstGeom prst="rect">
                      <a:avLst/>
                    </a:prstGeom>
                  </pic:spPr>
                </pic:pic>
              </a:graphicData>
            </a:graphic>
          </wp:inline>
        </w:drawing>
      </w:r>
    </w:p>
    <w:p w14:paraId="436D6481" w14:textId="6560AFB8" w:rsidR="005C46ED" w:rsidRPr="005C46ED" w:rsidRDefault="005C46ED" w:rsidP="00163EBC">
      <w:pPr>
        <w:pStyle w:val="TableDescription"/>
      </w:pPr>
      <w:r w:rsidRPr="005C46ED">
        <w:t>ANCOVA = analysis of covariance.</w:t>
      </w:r>
      <w:r w:rsidR="00D828D8">
        <w:t xml:space="preserve"> </w:t>
      </w:r>
      <w:r w:rsidRPr="005C46ED">
        <w:t>SAR341402 = Truvelog.</w:t>
      </w:r>
      <w:r w:rsidR="00D828D8">
        <w:t xml:space="preserve"> </w:t>
      </w:r>
      <w:r>
        <w:t>N = number of subjects.</w:t>
      </w:r>
      <w:r w:rsidR="00D828D8">
        <w:t xml:space="preserve"> </w:t>
      </w:r>
      <w:r>
        <w:t>LS = Least Squares.</w:t>
      </w:r>
      <w:r w:rsidR="00D828D8">
        <w:t xml:space="preserve"> SE</w:t>
      </w:r>
      <w:r w:rsidR="00B8452F">
        <w:t> </w:t>
      </w:r>
      <w:r w:rsidR="00D828D8">
        <w:t>= standard error.</w:t>
      </w:r>
    </w:p>
    <w:p w14:paraId="2AAF9D5B" w14:textId="5E985DF2" w:rsidR="002275F5" w:rsidRPr="003A3ECA" w:rsidRDefault="005C46ED" w:rsidP="003A3ECA">
      <w:pPr>
        <w:pStyle w:val="FigureDescription"/>
      </w:pPr>
      <w:r>
        <w:t>a =</w:t>
      </w:r>
      <w:r w:rsidRPr="005C46ED">
        <w:t xml:space="preserve"> Retrieved dropout multiple imputations of missing changes at Week 26 (10 000 imputations using separate models for patients who prematurely discontinued or completed the main 6</w:t>
      </w:r>
      <w:r w:rsidR="00011D8F">
        <w:t xml:space="preserve"> </w:t>
      </w:r>
      <w:r w:rsidRPr="005C46ED">
        <w:t>month treatment period) followed by ANCOVA with treatment group (SAR341402, NovoLog/NovoRapid), the randomisation strata of geographical region and type of diabetes (Europe T</w:t>
      </w:r>
      <w:r>
        <w:t>ype 1</w:t>
      </w:r>
      <w:r w:rsidRPr="005C46ED">
        <w:t>, US T</w:t>
      </w:r>
      <w:r w:rsidR="003A3ECA">
        <w:t>ype 1, US Type 2,</w:t>
      </w:r>
      <w:r w:rsidRPr="005C46ED">
        <w:t xml:space="preserve"> Japan T</w:t>
      </w:r>
      <w:r w:rsidR="003A3ECA">
        <w:t>ype 1</w:t>
      </w:r>
      <w:r w:rsidRPr="005C46ED">
        <w:t>) and prior use of NovoLog/NovoRapid (Yes, No) as fixed categorical effects, as well as the continuous fixed covariate of Baseline HbA1c value. Results were combined using Rubin's formulae.</w:t>
      </w:r>
    </w:p>
    <w:p w14:paraId="2E3478DD" w14:textId="77777777" w:rsidR="002275F5" w:rsidRPr="00E94188" w:rsidRDefault="002275F5" w:rsidP="00E363DB">
      <w:pPr>
        <w:pStyle w:val="Heading4"/>
      </w:pPr>
      <w:r w:rsidRPr="00E94188">
        <w:t>Study PDY15083</w:t>
      </w:r>
    </w:p>
    <w:p w14:paraId="54AA837C" w14:textId="6A5D39BF" w:rsidR="002275F5" w:rsidRDefault="002275F5" w:rsidP="0017099E">
      <w:r>
        <w:t xml:space="preserve">This study was included as a supportive study to evaluate the use of </w:t>
      </w:r>
      <w:r w:rsidR="00E24625">
        <w:t>Truvelog</w:t>
      </w:r>
      <w:r w:rsidR="003A3ECA">
        <w:t xml:space="preserve"> in insulin pumps, </w:t>
      </w:r>
      <w:r>
        <w:t>however the sponsor is not proposi</w:t>
      </w:r>
      <w:r w:rsidR="003A3ECA">
        <w:t>ng to register a vial dose form</w:t>
      </w:r>
      <w:r>
        <w:t>.</w:t>
      </w:r>
      <w:r w:rsidR="005940D1">
        <w:t xml:space="preserve"> </w:t>
      </w:r>
      <w:r>
        <w:t xml:space="preserve">Its primary objective was to assess the safety of </w:t>
      </w:r>
      <w:r w:rsidR="00E24625">
        <w:t>Truvelog</w:t>
      </w:r>
      <w:r>
        <w:t xml:space="preserve"> and </w:t>
      </w:r>
      <w:r w:rsidR="00EB3907">
        <w:t>NovoLog</w:t>
      </w:r>
      <w:r w:rsidR="005940D1">
        <w:t xml:space="preserve"> </w:t>
      </w:r>
      <w:r>
        <w:t xml:space="preserve">when used in external insulin pumps in terms of the number of patients with infusion set occlusions. Infusion set </w:t>
      </w:r>
      <w:r w:rsidR="003A3ECA">
        <w:t>occlusions were defined as ‘</w:t>
      </w:r>
      <w:r>
        <w:t xml:space="preserve">infusion set change due to failure to correct hyperglycemia (plasma glucose </w:t>
      </w:r>
      <w:r w:rsidR="003A3ECA">
        <w:t>≥</w:t>
      </w:r>
      <w:r w:rsidR="00C62E97">
        <w:t> </w:t>
      </w:r>
      <w:r>
        <w:t>13.9</w:t>
      </w:r>
      <w:r w:rsidR="00C62E97">
        <w:t> </w:t>
      </w:r>
      <w:r>
        <w:t>mmol</w:t>
      </w:r>
      <w:r w:rsidR="00C62E97">
        <w:t> </w:t>
      </w:r>
      <w:r>
        <w:t>/</w:t>
      </w:r>
      <w:r w:rsidR="00C62E97">
        <w:t> </w:t>
      </w:r>
      <w:r>
        <w:t>L) by insulin bolus via the insulin pump</w:t>
      </w:r>
      <w:r w:rsidR="003A3ECA">
        <w:t>’.</w:t>
      </w:r>
    </w:p>
    <w:p w14:paraId="3982C744" w14:textId="129183E4" w:rsidR="002275F5" w:rsidRDefault="003A3ECA" w:rsidP="0017099E">
      <w:r>
        <w:t>S</w:t>
      </w:r>
      <w:r w:rsidR="002275F5">
        <w:t xml:space="preserve">ubjects underwent </w:t>
      </w:r>
      <w:r w:rsidR="00011D8F">
        <w:t>two</w:t>
      </w:r>
      <w:r w:rsidR="002275F5">
        <w:t xml:space="preserve"> treatment periods</w:t>
      </w:r>
      <w:r>
        <w:t xml:space="preserve">, </w:t>
      </w:r>
      <w:r w:rsidR="002275F5">
        <w:t xml:space="preserve">each of 4 weeks in one of two </w:t>
      </w:r>
      <w:r>
        <w:t>randomised sequences (</w:t>
      </w:r>
      <w:r w:rsidR="00E24625">
        <w:t>Truvelog</w:t>
      </w:r>
      <w:r w:rsidR="002275F5">
        <w:t xml:space="preserve"> or </w:t>
      </w:r>
      <w:r w:rsidR="00EB3907">
        <w:t>NovoLog</w:t>
      </w:r>
      <w:r>
        <w:t>)</w:t>
      </w:r>
      <w:r w:rsidR="002275F5">
        <w:t>.</w:t>
      </w:r>
      <w:r w:rsidR="005940D1">
        <w:t xml:space="preserve"> </w:t>
      </w:r>
      <w:r w:rsidR="002275F5">
        <w:t>The study was conducted in an</w:t>
      </w:r>
      <w:r>
        <w:t xml:space="preserve"> open </w:t>
      </w:r>
      <w:r w:rsidR="002275F5">
        <w:t xml:space="preserve">label fashion because the containers of the test and reference products differ in size, shape and cap colour. More patients had at least one infusion set occlusion with </w:t>
      </w:r>
      <w:r w:rsidR="00E24625">
        <w:t>Truvelog</w:t>
      </w:r>
      <w:r>
        <w:t xml:space="preserve"> (14 out of </w:t>
      </w:r>
      <w:r w:rsidR="002275F5">
        <w:t xml:space="preserve">43) than with </w:t>
      </w:r>
      <w:r w:rsidR="00EB3907">
        <w:t>NovoLog</w:t>
      </w:r>
      <w:r w:rsidR="005940D1">
        <w:t xml:space="preserve"> </w:t>
      </w:r>
      <w:r>
        <w:t xml:space="preserve">(12 out of </w:t>
      </w:r>
      <w:r w:rsidR="002275F5">
        <w:t xml:space="preserve">43), </w:t>
      </w:r>
      <w:r>
        <w:t xml:space="preserve">a </w:t>
      </w:r>
      <w:r w:rsidR="002275F5">
        <w:t>risk difference</w:t>
      </w:r>
      <w:r>
        <w:t xml:space="preserve"> of</w:t>
      </w:r>
      <w:r w:rsidR="002275F5">
        <w:t xml:space="preserve"> 4.1%. However the number of patients experiencing severe hyperglycaemia or severe hypoglycaemia </w:t>
      </w:r>
      <w:r>
        <w:t>were</w:t>
      </w:r>
      <w:r w:rsidR="002275F5">
        <w:t xml:space="preserve"> similar. The </w:t>
      </w:r>
      <w:r>
        <w:t xml:space="preserve">clinical </w:t>
      </w:r>
      <w:r w:rsidR="002275F5">
        <w:t>evaluator considered that the difference in infusion set occlusio</w:t>
      </w:r>
      <w:r w:rsidR="000A6DB4">
        <w:t>ns was clinically significant.</w:t>
      </w:r>
    </w:p>
    <w:p w14:paraId="69235936" w14:textId="43148F21" w:rsidR="002275F5" w:rsidRPr="00E94188" w:rsidRDefault="00E363DB" w:rsidP="00E363DB">
      <w:pPr>
        <w:pStyle w:val="Heading4"/>
      </w:pPr>
      <w:r>
        <w:t>Safety</w:t>
      </w:r>
    </w:p>
    <w:p w14:paraId="1DE99AA8" w14:textId="1AFB8C69" w:rsidR="002275F5" w:rsidRDefault="002275F5" w:rsidP="0017099E">
      <w:r>
        <w:t xml:space="preserve">The overall exposure to </w:t>
      </w:r>
      <w:r w:rsidR="00E24625">
        <w:t>Truvelog</w:t>
      </w:r>
      <w:r>
        <w:t xml:space="preserve"> in the clinical</w:t>
      </w:r>
      <w:r w:rsidR="000A6DB4">
        <w:t xml:space="preserve"> studies was 290 patient years.</w:t>
      </w:r>
    </w:p>
    <w:p w14:paraId="71414B42" w14:textId="050B2E2D" w:rsidR="002275F5" w:rsidRDefault="003A3ECA" w:rsidP="0017099E">
      <w:r>
        <w:t>In S</w:t>
      </w:r>
      <w:r w:rsidR="002275F5">
        <w:t xml:space="preserve">tudy </w:t>
      </w:r>
      <w:r>
        <w:t>EFC</w:t>
      </w:r>
      <w:r w:rsidR="002275F5">
        <w:t xml:space="preserve">15081, the proportion of patients with at least one hypoglycaemic event and the event rates of hypoglycaemia per patient-year of exposure were similar in the </w:t>
      </w:r>
      <w:r w:rsidR="00011D8F">
        <w:t>two</w:t>
      </w:r>
      <w:r w:rsidR="002275F5">
        <w:t xml:space="preserve"> treatment groups across all </w:t>
      </w:r>
      <w:r>
        <w:t>A</w:t>
      </w:r>
      <w:r w:rsidR="00A905D7">
        <w:t>merican Dia</w:t>
      </w:r>
      <w:r>
        <w:t>betes Association</w:t>
      </w:r>
      <w:r w:rsidR="002275F5">
        <w:t xml:space="preserve">-defined categories of </w:t>
      </w:r>
      <w:r w:rsidR="002275F5">
        <w:lastRenderedPageBreak/>
        <w:t xml:space="preserve">hypoglycaemia. Severe hypoglycaemia was reported by 4.0% of </w:t>
      </w:r>
      <w:r w:rsidR="00E24625">
        <w:t>Truvelog</w:t>
      </w:r>
      <w:r w:rsidR="002275F5">
        <w:t xml:space="preserve"> patients by comparison with 3.4% of </w:t>
      </w:r>
      <w:r w:rsidR="00EB3907">
        <w:t>NovoLog</w:t>
      </w:r>
      <w:r w:rsidR="005940D1">
        <w:t xml:space="preserve"> </w:t>
      </w:r>
      <w:r w:rsidR="002275F5">
        <w:t>/</w:t>
      </w:r>
      <w:r w:rsidR="00EB3907">
        <w:t>NovoRapid</w:t>
      </w:r>
      <w:r w:rsidR="005940D1">
        <w:t xml:space="preserve"> </w:t>
      </w:r>
      <w:r w:rsidR="0017099E">
        <w:t>patients.</w:t>
      </w:r>
    </w:p>
    <w:p w14:paraId="47B512EF" w14:textId="42EB2DDE" w:rsidR="002275F5" w:rsidRPr="0049628A" w:rsidRDefault="0016400F" w:rsidP="0017099E">
      <w:r>
        <w:t>In Study EFC</w:t>
      </w:r>
      <w:r w:rsidR="002275F5">
        <w:t>15081, the emergence of AIA</w:t>
      </w:r>
      <w:r w:rsidR="00011D8F">
        <w:t>s</w:t>
      </w:r>
      <w:r w:rsidR="002275F5">
        <w:t xml:space="preserve"> were specifically examined. A similar percentage of patients in both </w:t>
      </w:r>
      <w:r w:rsidR="00E24625">
        <w:t>Truvelog</w:t>
      </w:r>
      <w:r w:rsidR="002275F5">
        <w:t xml:space="preserve"> and comparator treatment groups had positive AIA titres at </w:t>
      </w:r>
      <w:r w:rsidR="00011D8F">
        <w:t>B</w:t>
      </w:r>
      <w:r w:rsidR="002275F5">
        <w:t>aseline. The proportion of the study population found to have seroconverted or exp</w:t>
      </w:r>
      <w:r>
        <w:t>erienced a rise in titre of pre</w:t>
      </w:r>
      <w:r w:rsidR="00011D8F">
        <w:t>-</w:t>
      </w:r>
      <w:r>
        <w:t xml:space="preserve">existing AIA between Baseline and 26 weeks (treatment </w:t>
      </w:r>
      <w:r w:rsidR="002275F5">
        <w:t xml:space="preserve">emergent AIAs) was similar with </w:t>
      </w:r>
      <w:r w:rsidR="00E24625">
        <w:t>Truvelog</w:t>
      </w:r>
      <w:r w:rsidR="002275F5">
        <w:t xml:space="preserve"> and </w:t>
      </w:r>
      <w:r w:rsidR="00EB3907">
        <w:t>NovoLog</w:t>
      </w:r>
      <w:r w:rsidR="005940D1">
        <w:t xml:space="preserve"> </w:t>
      </w:r>
      <w:r w:rsidR="002275F5">
        <w:t>/</w:t>
      </w:r>
      <w:r w:rsidR="00EB3907">
        <w:t>NovoRapid</w:t>
      </w:r>
      <w:r w:rsidR="002275F5">
        <w:t>, with a risk difference bet</w:t>
      </w:r>
      <w:r>
        <w:t xml:space="preserve">ween the </w:t>
      </w:r>
      <w:r w:rsidR="00011D8F">
        <w:t>two</w:t>
      </w:r>
      <w:r>
        <w:t xml:space="preserve"> treatment groups of </w:t>
      </w:r>
      <w:r w:rsidR="00011D8F">
        <w:noBreakHyphen/>
      </w:r>
      <w:r w:rsidR="00C62E97">
        <w:t xml:space="preserve"> </w:t>
      </w:r>
      <w:r w:rsidR="002275F5">
        <w:t>3.5% (90% CI: -</w:t>
      </w:r>
      <w:r w:rsidR="00C62E97">
        <w:t xml:space="preserve"> </w:t>
      </w:r>
      <w:r w:rsidR="002275F5">
        <w:t xml:space="preserve">8.75% to 1.73%). AIA titres were comparable between treatment groups with a maximum titre of </w:t>
      </w:r>
      <w:r w:rsidR="00A905D7">
        <w:t xml:space="preserve">1 in 1024 </w:t>
      </w:r>
      <w:r w:rsidR="002275F5">
        <w:t xml:space="preserve">in </w:t>
      </w:r>
      <w:r w:rsidR="00A905D7">
        <w:t>one</w:t>
      </w:r>
      <w:r w:rsidR="002275F5">
        <w:t xml:space="preserve"> patient with </w:t>
      </w:r>
      <w:r w:rsidR="00C05941">
        <w:t>Type 1 diabetes mellitus</w:t>
      </w:r>
      <w:r w:rsidR="002275F5">
        <w:t xml:space="preserve"> in the </w:t>
      </w:r>
      <w:r w:rsidR="00EB3907">
        <w:t>NovoLog</w:t>
      </w:r>
      <w:r w:rsidR="002275F5">
        <w:t>/</w:t>
      </w:r>
      <w:r w:rsidR="00EB3907">
        <w:t>NovoRapid</w:t>
      </w:r>
      <w:r w:rsidR="005940D1">
        <w:t xml:space="preserve"> </w:t>
      </w:r>
      <w:r w:rsidR="002275F5">
        <w:t>group. AIAs were cross</w:t>
      </w:r>
      <w:r w:rsidR="00A905D7">
        <w:t>-</w:t>
      </w:r>
      <w:r w:rsidR="002275F5">
        <w:t>reactive to human insulin in the vast majority of the pat</w:t>
      </w:r>
      <w:r w:rsidR="0049628A">
        <w:t>ients in both treatment groups.</w:t>
      </w:r>
    </w:p>
    <w:p w14:paraId="69B841AE" w14:textId="77777777" w:rsidR="008E7846" w:rsidRDefault="00386150" w:rsidP="007B6132">
      <w:pPr>
        <w:pStyle w:val="Heading3"/>
        <w:rPr>
          <w:lang w:eastAsia="en-AU"/>
        </w:rPr>
      </w:pPr>
      <w:bookmarkStart w:id="49" w:name="_Toc65498891"/>
      <w:r>
        <w:rPr>
          <w:lang w:eastAsia="en-AU"/>
        </w:rPr>
        <w:t>Risk m</w:t>
      </w:r>
      <w:r w:rsidR="008E7846">
        <w:rPr>
          <w:lang w:eastAsia="en-AU"/>
        </w:rPr>
        <w:t xml:space="preserve">anagement </w:t>
      </w:r>
      <w:r>
        <w:rPr>
          <w:lang w:eastAsia="en-AU"/>
        </w:rPr>
        <w:t>p</w:t>
      </w:r>
      <w:r w:rsidR="008E7846">
        <w:rPr>
          <w:lang w:eastAsia="en-AU"/>
        </w:rPr>
        <w:t>lan</w:t>
      </w:r>
      <w:bookmarkEnd w:id="43"/>
      <w:bookmarkEnd w:id="49"/>
    </w:p>
    <w:p w14:paraId="0E2AA9F8" w14:textId="0A6A576A" w:rsidR="00885E0E" w:rsidRPr="00FC4AE9" w:rsidRDefault="00885E0E" w:rsidP="00FC4AE9">
      <w:bookmarkStart w:id="50" w:name="_Toc247691531"/>
      <w:bookmarkStart w:id="51" w:name="_Toc314842515"/>
      <w:bookmarkStart w:id="52" w:name="_Toc196046505"/>
      <w:bookmarkStart w:id="53" w:name="_Toc196046949"/>
      <w:r w:rsidRPr="00FC4AE9">
        <w:t xml:space="preserve">The sponsor submitted version 1 of the EU </w:t>
      </w:r>
      <w:r w:rsidR="006F13DE">
        <w:t>risk management plan (</w:t>
      </w:r>
      <w:r w:rsidRPr="00FC4AE9">
        <w:t>RMP</w:t>
      </w:r>
      <w:r w:rsidR="006F13DE">
        <w:t xml:space="preserve">; </w:t>
      </w:r>
      <w:r w:rsidRPr="00FC4AE9">
        <w:t xml:space="preserve">data lock </w:t>
      </w:r>
      <w:r w:rsidR="006F13DE">
        <w:t xml:space="preserve">point </w:t>
      </w:r>
      <w:r w:rsidR="00FC4AE9" w:rsidRPr="00FC4AE9">
        <w:t>21 February 2019)</w:t>
      </w:r>
      <w:r w:rsidRPr="00FC4AE9">
        <w:t xml:space="preserve">; and version 1.0 of the </w:t>
      </w:r>
      <w:r w:rsidR="006F13DE">
        <w:t>Australian specific annex (</w:t>
      </w:r>
      <w:r w:rsidRPr="00FC4AE9">
        <w:t>ASA</w:t>
      </w:r>
      <w:r w:rsidR="006F13DE">
        <w:t>)</w:t>
      </w:r>
      <w:r w:rsidRPr="00FC4AE9">
        <w:t>.</w:t>
      </w:r>
    </w:p>
    <w:p w14:paraId="15C74C2A" w14:textId="3CF9A96D" w:rsidR="00885E0E" w:rsidRPr="00FC4AE9" w:rsidRDefault="00FC4AE9" w:rsidP="00FC4AE9">
      <w:r>
        <w:t xml:space="preserve">The summary of safety concerns and their associated risk monitoring and mitigation strategies are summarised </w:t>
      </w:r>
      <w:r w:rsidR="00885E0E" w:rsidRPr="00FC4AE9">
        <w:t>as follows:</w:t>
      </w:r>
    </w:p>
    <w:p w14:paraId="3E5CA347" w14:textId="77777777" w:rsidR="00FC4AE9" w:rsidRPr="00FC4AE9" w:rsidRDefault="00885E0E" w:rsidP="00FC4AE9">
      <w:pPr>
        <w:pStyle w:val="ListBullet"/>
      </w:pPr>
      <w:r w:rsidRPr="00FC4AE9">
        <w:t>Important identified risk: hypoglycaemia</w:t>
      </w:r>
    </w:p>
    <w:p w14:paraId="17B3C866" w14:textId="77777777" w:rsidR="00FC4AE9" w:rsidRPr="00FC4AE9" w:rsidRDefault="00885E0E" w:rsidP="00FC4AE9">
      <w:pPr>
        <w:pStyle w:val="ListBullet"/>
      </w:pPr>
      <w:r w:rsidRPr="00FC4AE9">
        <w:t>Important potential risk: medication errors due to insulin mix up and potential misuse of pen</w:t>
      </w:r>
    </w:p>
    <w:p w14:paraId="73847DB7" w14:textId="001EB388" w:rsidR="00FC4AE9" w:rsidRPr="00FC4AE9" w:rsidRDefault="00885E0E" w:rsidP="00FC4AE9">
      <w:pPr>
        <w:pStyle w:val="ListBullet"/>
      </w:pPr>
      <w:r w:rsidRPr="00FC4AE9">
        <w:t>Missing information: children less than 1 year</w:t>
      </w:r>
    </w:p>
    <w:p w14:paraId="1BD31953" w14:textId="2BF052F3" w:rsidR="00FC4AE9" w:rsidRPr="00FC4AE9" w:rsidRDefault="00885E0E" w:rsidP="00FC4AE9">
      <w:r w:rsidRPr="00FC4AE9">
        <w:t xml:space="preserve">The summary of safety concerns is based upon the EU RMP for </w:t>
      </w:r>
      <w:r w:rsidR="00EB3907">
        <w:t>NovoRapid</w:t>
      </w:r>
      <w:r w:rsidRPr="00FC4AE9">
        <w:t>, however the following items were not included:</w:t>
      </w:r>
    </w:p>
    <w:p w14:paraId="32714711" w14:textId="2D7F3F27" w:rsidR="00FC4AE9" w:rsidRPr="00FC4AE9" w:rsidRDefault="00885E0E" w:rsidP="00FC4AE9">
      <w:pPr>
        <w:pStyle w:val="ListBullet"/>
      </w:pPr>
      <w:r w:rsidRPr="00FC4AE9">
        <w:t xml:space="preserve">Important identified risk: hypoglycaemia- as this is a known </w:t>
      </w:r>
      <w:r w:rsidR="00FC4AE9" w:rsidRPr="00FC4AE9">
        <w:t>adverse effect</w:t>
      </w:r>
      <w:r w:rsidR="000A6DB4">
        <w:t xml:space="preserve"> and already included in the PI</w:t>
      </w:r>
    </w:p>
    <w:p w14:paraId="41BBB85E" w14:textId="1B7AE58B" w:rsidR="00885E0E" w:rsidRPr="00FC4AE9" w:rsidRDefault="00885E0E" w:rsidP="00FC4AE9">
      <w:pPr>
        <w:pStyle w:val="ListBullet"/>
      </w:pPr>
      <w:r w:rsidRPr="00FC4AE9">
        <w:t>Import</w:t>
      </w:r>
      <w:r w:rsidR="00FC4AE9" w:rsidRPr="00FC4AE9">
        <w:t xml:space="preserve">ant potential risks: misuse of </w:t>
      </w:r>
      <w:r w:rsidR="00EB3907">
        <w:t>NovoRapid</w:t>
      </w:r>
      <w:r w:rsidRPr="00FC4AE9">
        <w:t xml:space="preserve"> pump cart and injection/infusion site reactions in connection with pump use- as there is no presentation of </w:t>
      </w:r>
      <w:r w:rsidR="00E24625" w:rsidRPr="00FC4AE9">
        <w:t>Truvelog</w:t>
      </w:r>
      <w:r w:rsidRPr="00FC4AE9">
        <w:t xml:space="preserve"> designed to be used in insulin pumps</w:t>
      </w:r>
    </w:p>
    <w:p w14:paraId="599CC2D1" w14:textId="2C03BAE5" w:rsidR="00885E0E" w:rsidRDefault="00885E0E" w:rsidP="00FC4AE9">
      <w:r w:rsidRPr="00FC4AE9">
        <w:t>T</w:t>
      </w:r>
      <w:r w:rsidR="00FC4AE9" w:rsidRPr="00FC4AE9">
        <w:t>he s</w:t>
      </w:r>
      <w:r w:rsidRPr="00FC4AE9">
        <w:t xml:space="preserve">ponsor proposes to submit </w:t>
      </w:r>
      <w:r w:rsidR="006F13DE">
        <w:t>periodic safety update reports (</w:t>
      </w:r>
      <w:r w:rsidRPr="00FC4AE9">
        <w:t>PSURs</w:t>
      </w:r>
      <w:r w:rsidR="006F13DE">
        <w:t>)</w:t>
      </w:r>
      <w:r w:rsidRPr="00FC4AE9">
        <w:t xml:space="preserve"> for insulin aspart to the TGA annually </w:t>
      </w:r>
      <w:r w:rsidR="00FC4AE9" w:rsidRPr="00FC4AE9">
        <w:t xml:space="preserve">for a total of three years post </w:t>
      </w:r>
      <w:r w:rsidRPr="00FC4AE9">
        <w:t xml:space="preserve">registration of </w:t>
      </w:r>
      <w:r w:rsidR="00E24625" w:rsidRPr="00FC4AE9">
        <w:t>Truvelog</w:t>
      </w:r>
      <w:r w:rsidRPr="00FC4AE9">
        <w:t>. The timing of the first submission will be aligned with the EU PSUR reporting requirements.</w:t>
      </w:r>
    </w:p>
    <w:p w14:paraId="5771563A" w14:textId="4C8EE1B3" w:rsidR="00011D8F" w:rsidRPr="00FC4AE9" w:rsidRDefault="00011D8F" w:rsidP="00FC4AE9">
      <w:r>
        <w:t xml:space="preserve">There was no requirement for a risk management plan evaluation for a submission of this type, </w:t>
      </w:r>
      <w:r w:rsidRPr="00D374E0">
        <w:t>because it is a biosimilar for an innovator product that does not have any additional risk minimisation activities.</w:t>
      </w:r>
      <w:r w:rsidRPr="00D374E0">
        <w:rPr>
          <w:vertAlign w:val="superscript"/>
        </w:rPr>
        <w:footnoteReference w:id="8"/>
      </w:r>
    </w:p>
    <w:p w14:paraId="49C5EB09" w14:textId="77777777" w:rsidR="008E7846" w:rsidRDefault="00AA0ED0" w:rsidP="008E7846">
      <w:pPr>
        <w:pStyle w:val="Heading3"/>
      </w:pPr>
      <w:bookmarkStart w:id="54" w:name="_Toc65498892"/>
      <w:r>
        <w:t>Risk-benefit a</w:t>
      </w:r>
      <w:r w:rsidR="008E7846">
        <w:t>nalysis</w:t>
      </w:r>
      <w:bookmarkEnd w:id="50"/>
      <w:bookmarkEnd w:id="51"/>
      <w:bookmarkEnd w:id="54"/>
    </w:p>
    <w:p w14:paraId="48D684EC" w14:textId="77777777" w:rsidR="00D23139" w:rsidRDefault="007D53B6" w:rsidP="00D23139">
      <w:pPr>
        <w:pStyle w:val="Heading4"/>
      </w:pPr>
      <w:r>
        <w:t>Delegate’s considerations</w:t>
      </w:r>
    </w:p>
    <w:p w14:paraId="4F502774" w14:textId="39E1C10B" w:rsidR="00FC4AE9" w:rsidRDefault="00FC4AE9" w:rsidP="0017099E">
      <w:bookmarkStart w:id="55" w:name="_Toc247691532"/>
      <w:bookmarkStart w:id="56" w:name="_Toc314842516"/>
      <w:bookmarkEnd w:id="32"/>
      <w:bookmarkEnd w:id="52"/>
      <w:bookmarkEnd w:id="53"/>
      <w:r>
        <w:t>The data provided is adequate to support the registration of Truvelog as a biosimilar to insulin aspart (</w:t>
      </w:r>
      <w:r w:rsidR="00EB3907">
        <w:t>NovoRapid</w:t>
      </w:r>
      <w:r>
        <w:t>). The disposable pens are also sufficiently similar for patients to know how to use the device wit</w:t>
      </w:r>
      <w:r w:rsidR="000A6DB4">
        <w:t>hout the need for re-education.</w:t>
      </w:r>
    </w:p>
    <w:p w14:paraId="7E25174A" w14:textId="5EC0FD9D" w:rsidR="00FC4AE9" w:rsidRDefault="00FC4AE9" w:rsidP="0017099E">
      <w:r>
        <w:lastRenderedPageBreak/>
        <w:t xml:space="preserve">The Delegate notes that there was a numerically greater number of patients with pump occlusions who were using Truvelog compared to </w:t>
      </w:r>
      <w:r w:rsidR="00EB3907">
        <w:t>NovoRapid</w:t>
      </w:r>
      <w:r>
        <w:t>. The small difference in excipients between the two products is unlikely to cause this. In addition, occlusions or malfunction with insulin pumps are far more likely to be due to the pump mechanical issues or problems with the pump cannula or tubing than the insulin solution. The Delegate believes this difference is due to chance, or increased re</w:t>
      </w:r>
      <w:r w:rsidR="000A6DB4">
        <w:t>porting in the Truvelog group.</w:t>
      </w:r>
    </w:p>
    <w:p w14:paraId="6FFB803E" w14:textId="77777777" w:rsidR="00FC4AE9" w:rsidRDefault="00FC4AE9" w:rsidP="0017099E">
      <w:r>
        <w:t>The sponsor has omitted the potential risks associated use of Truvelog in pumps from the RMP as there is no vial presentation for this use. The Delegate disagrees with this rationale, because in clinical practice patients frequently use cartridges of insulin to withdraw insulin from and use in pumps. The sponsor is requested to:</w:t>
      </w:r>
    </w:p>
    <w:p w14:paraId="1E73CF39" w14:textId="77777777" w:rsidR="00FC4AE9" w:rsidRDefault="00FC4AE9" w:rsidP="00FC4AE9">
      <w:pPr>
        <w:pStyle w:val="ListBullet"/>
      </w:pPr>
      <w:r w:rsidRPr="00FC4AE9">
        <w:t>Include occlusion of insulin pumps as a potential risk in the ASA</w:t>
      </w:r>
    </w:p>
    <w:p w14:paraId="5BE18B8E" w14:textId="77777777" w:rsidR="00FC4AE9" w:rsidRPr="00FC4AE9" w:rsidRDefault="00FC4AE9" w:rsidP="00FC4AE9">
      <w:pPr>
        <w:pStyle w:val="ListBullet"/>
      </w:pPr>
      <w:r w:rsidRPr="00FC4AE9">
        <w:t xml:space="preserve">Include a discussion of </w:t>
      </w:r>
      <w:r>
        <w:t>adverse effect</w:t>
      </w:r>
      <w:r w:rsidRPr="00FC4AE9">
        <w:t xml:space="preserve">s of </w:t>
      </w:r>
      <w:r>
        <w:t>Truvelog</w:t>
      </w:r>
      <w:r w:rsidRPr="00FC4AE9">
        <w:t xml:space="preserve"> in insulin pumps in PSURs. Thi</w:t>
      </w:r>
      <w:r>
        <w:t>s may be under the subheading ‘</w:t>
      </w:r>
      <w:r w:rsidRPr="00FC4AE9">
        <w:t>off label use’ or alternative subheadings thought to be appropriate by the sponsor.</w:t>
      </w:r>
    </w:p>
    <w:p w14:paraId="6848B74A" w14:textId="0B6DEDA1" w:rsidR="00FC4AE9" w:rsidRPr="004615FB" w:rsidRDefault="00FC4AE9" w:rsidP="0017099E">
      <w:r>
        <w:t>The sponsor is otherwise proposing routine pharmacovigilance and risk mitigation activities. This is acceptable.</w:t>
      </w:r>
    </w:p>
    <w:p w14:paraId="1A76A0D4" w14:textId="5726205A" w:rsidR="00FC4AE9" w:rsidRPr="0017099E" w:rsidRDefault="00FC4AE9" w:rsidP="0017099E">
      <w:r>
        <w:t>The sponsor has requested to include the CMI and instructions for use in the pack, but not the PI. This is acceptable as this product is used by pa</w:t>
      </w:r>
      <w:r w:rsidR="0017099E">
        <w:t>tients for self administration.</w:t>
      </w:r>
    </w:p>
    <w:p w14:paraId="5404AA79" w14:textId="4F60FB46" w:rsidR="00FC4AE9" w:rsidRDefault="00FC4AE9" w:rsidP="0017099E">
      <w:pPr>
        <w:rPr>
          <w:b/>
        </w:rPr>
      </w:pPr>
      <w:r>
        <w:rPr>
          <w:rFonts w:asciiTheme="minorHAnsi" w:hAnsiTheme="minorHAnsi"/>
        </w:rPr>
        <w:t xml:space="preserve">In relation to the PI, the sponsor has included information from the clinical studies comparing Truvelog to </w:t>
      </w:r>
      <w:r w:rsidR="00EB3907">
        <w:rPr>
          <w:rFonts w:asciiTheme="minorHAnsi" w:hAnsiTheme="minorHAnsi"/>
        </w:rPr>
        <w:t>NovoRapid</w:t>
      </w:r>
      <w:r>
        <w:rPr>
          <w:rFonts w:asciiTheme="minorHAnsi" w:hAnsiTheme="minorHAnsi"/>
        </w:rPr>
        <w:t>/</w:t>
      </w:r>
      <w:r w:rsidR="00EB3907">
        <w:rPr>
          <w:rFonts w:asciiTheme="minorHAnsi" w:hAnsiTheme="minorHAnsi"/>
        </w:rPr>
        <w:t>NovoLog</w:t>
      </w:r>
      <w:r>
        <w:rPr>
          <w:rFonts w:asciiTheme="minorHAnsi" w:hAnsiTheme="minorHAnsi"/>
        </w:rPr>
        <w:t xml:space="preserve">. This is not required by the TGA. As Truvelog is considered a biosimilar to </w:t>
      </w:r>
      <w:r w:rsidR="00EB3907">
        <w:rPr>
          <w:rFonts w:asciiTheme="minorHAnsi" w:hAnsiTheme="minorHAnsi"/>
        </w:rPr>
        <w:t>NovoRapid</w:t>
      </w:r>
      <w:r>
        <w:rPr>
          <w:rFonts w:asciiTheme="minorHAnsi" w:hAnsiTheme="minorHAnsi"/>
        </w:rPr>
        <w:t>, and the exposure in the clinical development program for this is considerably less than the innovator, data from the innovator is considered sufficient.</w:t>
      </w:r>
    </w:p>
    <w:p w14:paraId="0454D867" w14:textId="14B40D3D" w:rsidR="008E7846" w:rsidRPr="002E238E" w:rsidRDefault="008E7846" w:rsidP="00885E0E">
      <w:pPr>
        <w:pStyle w:val="Heading3"/>
      </w:pPr>
      <w:bookmarkStart w:id="57" w:name="_Toc65498893"/>
      <w:r>
        <w:t>Outcome</w:t>
      </w:r>
      <w:bookmarkEnd w:id="55"/>
      <w:bookmarkEnd w:id="56"/>
      <w:bookmarkEnd w:id="57"/>
    </w:p>
    <w:p w14:paraId="5649552D" w14:textId="0EC58869" w:rsidR="007D53B6" w:rsidRDefault="007D53B6" w:rsidP="007D53B6">
      <w:bookmarkStart w:id="58" w:name="_Toc247691533"/>
      <w:bookmarkStart w:id="59" w:name="_Toc314842517"/>
      <w:r>
        <w:t xml:space="preserve">Based on a review of quality, safety and efficacy, TGA approved the registration of </w:t>
      </w:r>
      <w:r w:rsidR="00E24625">
        <w:t>Truvelog</w:t>
      </w:r>
      <w:r w:rsidR="006367D7" w:rsidRPr="006367D7">
        <w:t xml:space="preserve"> insulin aspart 100</w:t>
      </w:r>
      <w:r w:rsidR="00C62E97">
        <w:t xml:space="preserve"> </w:t>
      </w:r>
      <w:r w:rsidR="006367D7" w:rsidRPr="006367D7">
        <w:t>units</w:t>
      </w:r>
      <w:r w:rsidR="00C62E97">
        <w:t xml:space="preserve"> </w:t>
      </w:r>
      <w:r w:rsidR="006367D7" w:rsidRPr="006367D7">
        <w:t>/</w:t>
      </w:r>
      <w:r w:rsidR="00C62E97">
        <w:t xml:space="preserve"> </w:t>
      </w:r>
      <w:r w:rsidR="006367D7" w:rsidRPr="006367D7">
        <w:t>mL solution for injection cartridge</w:t>
      </w:r>
      <w:r w:rsidR="006F13DE">
        <w:t xml:space="preserve"> and pre-filled pen</w:t>
      </w:r>
      <w:r w:rsidR="006367D7">
        <w:t>,</w:t>
      </w:r>
      <w:r>
        <w:t xml:space="preserve"> for </w:t>
      </w:r>
      <w:r w:rsidR="006367D7">
        <w:t xml:space="preserve">subcutaneous injection, </w:t>
      </w:r>
      <w:r>
        <w:t>for the following</w:t>
      </w:r>
      <w:r w:rsidR="006367D7">
        <w:t xml:space="preserve"> indication:</w:t>
      </w:r>
    </w:p>
    <w:p w14:paraId="4F4C265C" w14:textId="768CFAA0" w:rsidR="006367D7" w:rsidRPr="006367D7" w:rsidRDefault="006367D7" w:rsidP="006367D7">
      <w:pPr>
        <w:ind w:firstLine="720"/>
        <w:rPr>
          <w:i/>
        </w:rPr>
      </w:pPr>
      <w:r w:rsidRPr="006367D7">
        <w:rPr>
          <w:i/>
        </w:rPr>
        <w:t>Treatment of diabetes mellitus</w:t>
      </w:r>
    </w:p>
    <w:p w14:paraId="1F5F1E74" w14:textId="541546DB" w:rsidR="00D23139" w:rsidRPr="00D23139" w:rsidRDefault="00D23139" w:rsidP="00D23139">
      <w:pPr>
        <w:pStyle w:val="Heading4"/>
      </w:pPr>
      <w:r w:rsidRPr="00D23139">
        <w:t>Specific conditions of registration applying to these goods</w:t>
      </w:r>
    </w:p>
    <w:p w14:paraId="71D9A2B6" w14:textId="3AFCDB7B" w:rsidR="00221F8B" w:rsidRDefault="00221F8B" w:rsidP="00221F8B">
      <w:pPr>
        <w:pStyle w:val="ListBullet"/>
      </w:pPr>
      <w:r>
        <w:t xml:space="preserve">This approval does not impose any requirement for the submission of </w:t>
      </w:r>
      <w:r w:rsidR="006F13DE">
        <w:t>PSURs</w:t>
      </w:r>
      <w:r>
        <w:t xml:space="preserve">. You </w:t>
      </w:r>
      <w:r w:rsidR="002E63AF">
        <w:t xml:space="preserve">[the sponsor] </w:t>
      </w:r>
      <w:r>
        <w:t>should note that it is a requirement that all existing requirements for the submission of PSURs as a consequence of the initial registration or subsequent changes must be completed.</w:t>
      </w:r>
    </w:p>
    <w:p w14:paraId="54617E48" w14:textId="6350D9F8" w:rsidR="00221F8B" w:rsidRPr="00221F8B" w:rsidRDefault="00221F8B" w:rsidP="00221F8B">
      <w:pPr>
        <w:pStyle w:val="ListBullet"/>
      </w:pPr>
      <w:r>
        <w:t xml:space="preserve">The Consumer Medicines Information (CMI) and Instructions for Use (IFU) leaflet must </w:t>
      </w:r>
      <w:r w:rsidRPr="00221F8B">
        <w:rPr>
          <w:rFonts w:eastAsiaTheme="minorHAnsi" w:cs="Cambria"/>
        </w:rPr>
        <w:t>be included with the products as package insert. The CMI should have a link to the full</w:t>
      </w:r>
      <w:r>
        <w:rPr>
          <w:rFonts w:eastAsiaTheme="minorHAnsi" w:cs="Cambria"/>
        </w:rPr>
        <w:t xml:space="preserve"> </w:t>
      </w:r>
      <w:r w:rsidRPr="00221F8B">
        <w:rPr>
          <w:rFonts w:eastAsiaTheme="minorHAnsi" w:cs="Cambria"/>
        </w:rPr>
        <w:t>version of the PI on the TGA website.</w:t>
      </w:r>
    </w:p>
    <w:p w14:paraId="308B2BC4" w14:textId="41B984EE" w:rsidR="00221F8B" w:rsidRDefault="00221F8B" w:rsidP="00221F8B">
      <w:pPr>
        <w:pStyle w:val="ListBullet"/>
      </w:pPr>
      <w:r>
        <w:t xml:space="preserve">Laboratory testing </w:t>
      </w:r>
      <w:r w:rsidR="002E63AF">
        <w:t xml:space="preserve">and </w:t>
      </w:r>
      <w:r>
        <w:t>compliance with Certified Product Details (CPD)</w:t>
      </w:r>
    </w:p>
    <w:p w14:paraId="1E5B4D55" w14:textId="55612E07" w:rsidR="00221F8B" w:rsidRPr="00221F8B" w:rsidRDefault="00221F8B" w:rsidP="00221F8B">
      <w:pPr>
        <w:pStyle w:val="ListBullet2"/>
      </w:pPr>
      <w:r w:rsidRPr="00221F8B">
        <w:t xml:space="preserve">All batches of </w:t>
      </w:r>
      <w:r w:rsidR="00E24625">
        <w:t>Truvelog</w:t>
      </w:r>
      <w:r w:rsidRPr="00221F8B">
        <w:t xml:space="preserve"> supplied in Australia must comply with the product</w:t>
      </w:r>
      <w:r>
        <w:t xml:space="preserve"> </w:t>
      </w:r>
      <w:r w:rsidRPr="00221F8B">
        <w:rPr>
          <w:rFonts w:eastAsiaTheme="minorHAnsi" w:cs="Cambria"/>
        </w:rPr>
        <w:t>details and specifications approved during evaluation and detailed in the</w:t>
      </w:r>
      <w:r>
        <w:rPr>
          <w:rFonts w:eastAsiaTheme="minorHAnsi" w:cs="Cambria"/>
        </w:rPr>
        <w:t xml:space="preserve"> </w:t>
      </w:r>
      <w:r w:rsidRPr="00221F8B">
        <w:rPr>
          <w:rFonts w:eastAsiaTheme="minorHAnsi" w:cs="Cambria"/>
        </w:rPr>
        <w:t>CPD.</w:t>
      </w:r>
    </w:p>
    <w:p w14:paraId="05EF7B4D" w14:textId="3FFF72A1" w:rsidR="00221F8B" w:rsidRDefault="00FC4AE9" w:rsidP="00221F8B">
      <w:pPr>
        <w:pStyle w:val="ListBullet2"/>
      </w:pPr>
      <w:r>
        <w:rPr>
          <w:rFonts w:eastAsiaTheme="minorHAnsi" w:cs="Cambria"/>
        </w:rPr>
        <w:t>When requested by the TGA, the s</w:t>
      </w:r>
      <w:r w:rsidR="00221F8B" w:rsidRPr="00221F8B">
        <w:rPr>
          <w:rFonts w:eastAsiaTheme="minorHAnsi" w:cs="Cambria"/>
        </w:rPr>
        <w:t>ponsor should be prepared to provide product</w:t>
      </w:r>
      <w:r w:rsidR="00221F8B">
        <w:t xml:space="preserve"> </w:t>
      </w:r>
      <w:r w:rsidR="00221F8B" w:rsidRPr="00221F8B">
        <w:rPr>
          <w:rFonts w:eastAsiaTheme="minorHAnsi" w:cs="Cambria"/>
        </w:rPr>
        <w:t>samples, specified reference materials and documentary evidence to enable the</w:t>
      </w:r>
      <w:r w:rsidR="00221F8B">
        <w:rPr>
          <w:rFonts w:eastAsiaTheme="minorHAnsi" w:cs="Cambria"/>
        </w:rPr>
        <w:t xml:space="preserve"> </w:t>
      </w:r>
      <w:r w:rsidR="00221F8B" w:rsidRPr="00221F8B">
        <w:rPr>
          <w:rFonts w:eastAsiaTheme="minorHAnsi" w:cs="Cambria"/>
        </w:rPr>
        <w:t>TGA to conduct laboratory testing on the Products. Outcomes of laboratory</w:t>
      </w:r>
      <w:r w:rsidR="00221F8B">
        <w:rPr>
          <w:rFonts w:eastAsiaTheme="minorHAnsi" w:cs="Cambria"/>
        </w:rPr>
        <w:t xml:space="preserve"> </w:t>
      </w:r>
      <w:r w:rsidR="00221F8B" w:rsidRPr="00221F8B">
        <w:rPr>
          <w:rFonts w:eastAsiaTheme="minorHAnsi" w:cs="Cambria"/>
        </w:rPr>
        <w:t>testing are published biannually in the TGA Database of Laboratory Testing</w:t>
      </w:r>
      <w:r w:rsidR="00221F8B">
        <w:rPr>
          <w:rFonts w:eastAsiaTheme="minorHAnsi" w:cs="Cambria"/>
        </w:rPr>
        <w:t xml:space="preserve"> Results </w:t>
      </w:r>
      <w:r w:rsidR="00221F8B">
        <w:rPr>
          <w:rFonts w:eastAsiaTheme="minorHAnsi" w:cs="Cambria"/>
        </w:rPr>
        <w:lastRenderedPageBreak/>
        <w:t>(</w:t>
      </w:r>
      <w:r w:rsidR="00221F8B" w:rsidRPr="00221F8B">
        <w:rPr>
          <w:rFonts w:eastAsiaTheme="minorHAnsi" w:cs="Cambria"/>
        </w:rPr>
        <w:t>http://www.tga.gov.au/ws-labs-index and periodically in testing reports</w:t>
      </w:r>
      <w:r w:rsidR="00221F8B">
        <w:rPr>
          <w:rFonts w:eastAsiaTheme="minorHAnsi" w:cs="Cambria"/>
        </w:rPr>
        <w:t>)</w:t>
      </w:r>
      <w:r w:rsidR="00221F8B" w:rsidRPr="00221F8B">
        <w:rPr>
          <w:rFonts w:eastAsiaTheme="minorHAnsi" w:cs="Cambria"/>
        </w:rPr>
        <w:t xml:space="preserve"> on the TGA website.</w:t>
      </w:r>
    </w:p>
    <w:p w14:paraId="44B5422F" w14:textId="77777777" w:rsidR="008E7846" w:rsidRDefault="00A80B5B" w:rsidP="00D23139">
      <w:pPr>
        <w:pStyle w:val="Heading2"/>
      </w:pPr>
      <w:bookmarkStart w:id="60" w:name="_Toc65498894"/>
      <w:r>
        <w:t xml:space="preserve">Attachment 1. </w:t>
      </w:r>
      <w:r w:rsidR="008E7846">
        <w:t xml:space="preserve">Product </w:t>
      </w:r>
      <w:r w:rsidR="00AA0ED0">
        <w:t>I</w:t>
      </w:r>
      <w:r w:rsidR="008E7846">
        <w:t>nformation</w:t>
      </w:r>
      <w:bookmarkEnd w:id="58"/>
      <w:bookmarkEnd w:id="59"/>
      <w:bookmarkEnd w:id="60"/>
    </w:p>
    <w:p w14:paraId="3E086F07" w14:textId="466A18EF" w:rsidR="00770CAC" w:rsidRPr="002E63AF" w:rsidRDefault="006136D7" w:rsidP="002E63AF">
      <w:pPr>
        <w:rPr>
          <w:color w:val="000000"/>
          <w:lang w:eastAsia="en-AU"/>
        </w:rPr>
      </w:pPr>
      <w:r w:rsidRPr="002B3624">
        <w:t xml:space="preserve">The </w:t>
      </w:r>
      <w:r>
        <w:t>PI</w:t>
      </w:r>
      <w:r w:rsidRPr="002B3624">
        <w:t xml:space="preserve"> for </w:t>
      </w:r>
      <w:r w:rsidR="002E63AF">
        <w:t>Truvelog</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1" w:history="1">
        <w:r w:rsidR="007C6B9B" w:rsidRPr="007C6B9B">
          <w:rPr>
            <w:rStyle w:val="Hyperlink"/>
          </w:rPr>
          <w:t>https://www.tga.gov.au/product-information-pi</w:t>
        </w:r>
      </w:hyperlink>
      <w:r w:rsidR="007C6B9B" w:rsidRPr="007C6B9B">
        <w:t>&gt;.</w:t>
      </w:r>
    </w:p>
    <w:p w14:paraId="6498455E" w14:textId="77777777" w:rsidR="00291957" w:rsidRDefault="00291957" w:rsidP="00291957">
      <w:pPr>
        <w:rPr>
          <w:lang w:eastAsia="ja-JP"/>
        </w:rPr>
      </w:pPr>
    </w:p>
    <w:p w14:paraId="40AA2195"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D730AF5" w14:textId="77777777" w:rsidTr="00A05FA4">
        <w:trPr>
          <w:trHeight w:hRule="exact" w:val="704"/>
        </w:trPr>
        <w:tc>
          <w:tcPr>
            <w:tcW w:w="9175" w:type="dxa"/>
          </w:tcPr>
          <w:p w14:paraId="59D72353" w14:textId="77777777" w:rsidR="001C32CD" w:rsidRPr="00487162" w:rsidRDefault="001C32CD" w:rsidP="00A05FA4">
            <w:pPr>
              <w:pStyle w:val="TGASignoff"/>
            </w:pPr>
            <w:r w:rsidRPr="00487162">
              <w:lastRenderedPageBreak/>
              <w:t>Therapeutic Goods Administration</w:t>
            </w:r>
          </w:p>
        </w:tc>
      </w:tr>
      <w:tr w:rsidR="001C32CD" w:rsidRPr="004C239D" w14:paraId="60EE3437" w14:textId="77777777" w:rsidTr="00A05FA4">
        <w:trPr>
          <w:trHeight w:val="1221"/>
        </w:trPr>
        <w:tc>
          <w:tcPr>
            <w:tcW w:w="9175" w:type="dxa"/>
            <w:tcMar>
              <w:top w:w="28" w:type="dxa"/>
            </w:tcMar>
          </w:tcPr>
          <w:p w14:paraId="317830BF" w14:textId="77777777" w:rsidR="001C32CD" w:rsidRPr="00487162" w:rsidRDefault="001C32CD" w:rsidP="00A05FA4">
            <w:pPr>
              <w:pStyle w:val="Address"/>
            </w:pPr>
            <w:r w:rsidRPr="00487162">
              <w:t>PO Box 100 Woden ACT 2606 Australia</w:t>
            </w:r>
          </w:p>
          <w:p w14:paraId="6AF2DDC2" w14:textId="6F4B57F2" w:rsidR="001C32CD" w:rsidRPr="00487162" w:rsidRDefault="001C32CD" w:rsidP="00A05FA4">
            <w:pPr>
              <w:pStyle w:val="Address"/>
            </w:pPr>
            <w:r w:rsidRPr="00487162">
              <w:t xml:space="preserve">Email: </w:t>
            </w:r>
            <w:hyperlink r:id="rId26" w:history="1">
              <w:r w:rsidRPr="004C239D">
                <w:rPr>
                  <w:rStyle w:val="Hyperlink"/>
                </w:rPr>
                <w:t>info@tga.gov.au</w:t>
              </w:r>
            </w:hyperlink>
            <w:r w:rsidR="005940D1">
              <w:t xml:space="preserve"> </w:t>
            </w:r>
            <w:r w:rsidRPr="00487162">
              <w:t>Phone: 1800 020 653</w:t>
            </w:r>
            <w:r w:rsidR="005940D1">
              <w:t xml:space="preserve"> </w:t>
            </w:r>
            <w:r w:rsidRPr="00487162">
              <w:t>Fax: 02 6232 8605</w:t>
            </w:r>
          </w:p>
          <w:p w14:paraId="02325B88" w14:textId="3879D7ED" w:rsidR="001C32CD" w:rsidRPr="004C239D" w:rsidRDefault="00103C2A"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2D560A96"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7F3A32" w16cid:durableId="23BE5E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E12EC" w14:textId="77777777" w:rsidR="00216EFC" w:rsidRDefault="00216EFC" w:rsidP="00C40A36">
      <w:pPr>
        <w:spacing w:after="0"/>
      </w:pPr>
      <w:r>
        <w:separator/>
      </w:r>
    </w:p>
  </w:endnote>
  <w:endnote w:type="continuationSeparator" w:id="0">
    <w:p w14:paraId="6930A526" w14:textId="77777777" w:rsidR="00216EFC" w:rsidRDefault="00216EFC"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216EFC" w:rsidRPr="00487162" w14:paraId="626A8B74" w14:textId="77777777" w:rsidTr="00DB750B">
      <w:trPr>
        <w:trHeight w:val="269"/>
      </w:trPr>
      <w:tc>
        <w:tcPr>
          <w:tcW w:w="7371" w:type="dxa"/>
          <w:tcMar>
            <w:top w:w="142" w:type="dxa"/>
            <w:bottom w:w="0" w:type="dxa"/>
          </w:tcMar>
        </w:tcPr>
        <w:p w14:paraId="5A71FC26" w14:textId="6A926515" w:rsidR="00216EFC" w:rsidRPr="00487162" w:rsidRDefault="00216EFC" w:rsidP="003F61E1">
          <w:pPr>
            <w:pStyle w:val="Footer"/>
          </w:pPr>
          <w:r w:rsidRPr="00487162">
            <w:t>AusPA</w:t>
          </w:r>
          <w:r>
            <w:t>R –Truvelog</w:t>
          </w:r>
          <w:r w:rsidRPr="00460036">
            <w:t xml:space="preserve">– </w:t>
          </w:r>
          <w:r>
            <w:t>insulin aspart</w:t>
          </w:r>
          <w:r w:rsidRPr="00460036">
            <w:t xml:space="preserve"> </w:t>
          </w:r>
          <w:r>
            <w:t>– Sanofi-Aventis Australia Pty Ltd - PM-2019-04815-1-5</w:t>
          </w:r>
          <w:r>
            <w:br/>
            <w:t>FINAL – 1 March 2021</w:t>
          </w:r>
        </w:p>
      </w:tc>
      <w:tc>
        <w:tcPr>
          <w:tcW w:w="1490" w:type="dxa"/>
          <w:tcMar>
            <w:top w:w="142" w:type="dxa"/>
            <w:bottom w:w="0" w:type="dxa"/>
          </w:tcMar>
        </w:tcPr>
        <w:p w14:paraId="61E32760" w14:textId="46CFC087" w:rsidR="00216EFC" w:rsidRPr="00487162" w:rsidRDefault="00216EFC" w:rsidP="00DB750B">
          <w:pPr>
            <w:pStyle w:val="Footer"/>
            <w:jc w:val="right"/>
          </w:pPr>
          <w:r w:rsidRPr="00487162">
            <w:t xml:space="preserve">Page </w:t>
          </w:r>
          <w:r>
            <w:fldChar w:fldCharType="begin"/>
          </w:r>
          <w:r>
            <w:instrText xml:space="preserve"> PAGE  \* Arabic </w:instrText>
          </w:r>
          <w:r>
            <w:fldChar w:fldCharType="separate"/>
          </w:r>
          <w:r w:rsidR="00103C2A">
            <w:rPr>
              <w:noProof/>
            </w:rPr>
            <w:t>2</w:t>
          </w:r>
          <w:r>
            <w:fldChar w:fldCharType="end"/>
          </w:r>
          <w:r w:rsidRPr="00487162">
            <w:t xml:space="preserve"> of </w:t>
          </w:r>
          <w:r w:rsidR="00103C2A">
            <w:fldChar w:fldCharType="begin"/>
          </w:r>
          <w:r w:rsidR="00103C2A">
            <w:instrText xml:space="preserve"> NUMPAGES  \* Arabic </w:instrText>
          </w:r>
          <w:r w:rsidR="00103C2A">
            <w:fldChar w:fldCharType="separate"/>
          </w:r>
          <w:r w:rsidR="00103C2A">
            <w:rPr>
              <w:noProof/>
            </w:rPr>
            <w:t>19</w:t>
          </w:r>
          <w:r w:rsidR="00103C2A">
            <w:rPr>
              <w:noProof/>
            </w:rPr>
            <w:fldChar w:fldCharType="end"/>
          </w:r>
        </w:p>
      </w:tc>
    </w:tr>
  </w:tbl>
  <w:p w14:paraId="2C74CB77" w14:textId="77777777" w:rsidR="00216EFC" w:rsidRDefault="00216EFC"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16EFC" w:rsidRPr="00487162" w14:paraId="3504210A" w14:textId="77777777" w:rsidTr="00E45619">
      <w:trPr>
        <w:trHeight w:val="269"/>
      </w:trPr>
      <w:tc>
        <w:tcPr>
          <w:tcW w:w="4519" w:type="dxa"/>
          <w:tcBorders>
            <w:top w:val="single" w:sz="4" w:space="0" w:color="auto"/>
          </w:tcBorders>
          <w:tcMar>
            <w:top w:w="142" w:type="dxa"/>
            <w:bottom w:w="0" w:type="dxa"/>
          </w:tcMar>
        </w:tcPr>
        <w:p w14:paraId="2E46323E" w14:textId="77777777" w:rsidR="00216EFC" w:rsidRPr="00487162" w:rsidRDefault="00216EFC" w:rsidP="00FE1DEE">
          <w:pPr>
            <w:pStyle w:val="Footer"/>
          </w:pPr>
          <w:r w:rsidRPr="00487162">
            <w:t>Document title, Part #, Section # - Section title</w:t>
          </w:r>
        </w:p>
        <w:p w14:paraId="56023855" w14:textId="77777777" w:rsidR="00216EFC" w:rsidRPr="00487162" w:rsidRDefault="00216EFC" w:rsidP="00FE1DEE">
          <w:pPr>
            <w:pStyle w:val="Footer"/>
          </w:pPr>
          <w:r w:rsidRPr="00487162">
            <w:t>V1.0 October 2010</w:t>
          </w:r>
        </w:p>
      </w:tc>
      <w:tc>
        <w:tcPr>
          <w:tcW w:w="4342" w:type="dxa"/>
          <w:tcBorders>
            <w:top w:val="single" w:sz="4" w:space="0" w:color="auto"/>
          </w:tcBorders>
          <w:tcMar>
            <w:top w:w="142" w:type="dxa"/>
            <w:bottom w:w="0" w:type="dxa"/>
          </w:tcMar>
        </w:tcPr>
        <w:p w14:paraId="2E37FD7B" w14:textId="77777777" w:rsidR="00216EFC" w:rsidRPr="00487162" w:rsidRDefault="00216EFC"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103C2A">
            <w:fldChar w:fldCharType="begin"/>
          </w:r>
          <w:r w:rsidR="00103C2A">
            <w:instrText xml:space="preserve"> NUMPAGES  </w:instrText>
          </w:r>
          <w:r w:rsidR="00103C2A">
            <w:fldChar w:fldCharType="separate"/>
          </w:r>
          <w:r>
            <w:rPr>
              <w:noProof/>
            </w:rPr>
            <w:t>2</w:t>
          </w:r>
          <w:r w:rsidR="00103C2A">
            <w:rPr>
              <w:noProof/>
            </w:rPr>
            <w:fldChar w:fldCharType="end"/>
          </w:r>
        </w:p>
      </w:tc>
    </w:tr>
  </w:tbl>
  <w:p w14:paraId="7A744FCD" w14:textId="77777777" w:rsidR="00216EFC" w:rsidRDefault="00216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8D3D6" w14:textId="77777777" w:rsidR="00216EFC" w:rsidRPr="001C32CD" w:rsidRDefault="00216EFC"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16EFC" w14:paraId="251D447E" w14:textId="77777777" w:rsidTr="0010601F">
      <w:trPr>
        <w:trHeight w:val="108"/>
      </w:trPr>
      <w:tc>
        <w:tcPr>
          <w:tcW w:w="8875" w:type="dxa"/>
          <w:gridSpan w:val="2"/>
          <w:tcBorders>
            <w:bottom w:val="single" w:sz="4" w:space="0" w:color="auto"/>
          </w:tcBorders>
          <w:tcMar>
            <w:right w:w="284" w:type="dxa"/>
          </w:tcMar>
        </w:tcPr>
        <w:p w14:paraId="49AD79EA" w14:textId="77777777" w:rsidR="00216EFC" w:rsidRDefault="00216EFC" w:rsidP="006E08B3">
          <w:pPr>
            <w:pStyle w:val="Heading3"/>
          </w:pPr>
          <w:r>
            <w:t>Copyright</w:t>
          </w:r>
        </w:p>
        <w:p w14:paraId="1F2ADB94" w14:textId="77777777" w:rsidR="00216EFC" w:rsidRDefault="00216EFC" w:rsidP="006E08B3">
          <w:r>
            <w:rPr>
              <w:rFonts w:cs="Arial"/>
            </w:rPr>
            <w:t>©</w:t>
          </w:r>
          <w:r>
            <w:t xml:space="preserve"> Commonwealth of Australia [add year]</w:t>
          </w:r>
        </w:p>
        <w:p w14:paraId="4A3680E0" w14:textId="77777777" w:rsidR="00216EFC" w:rsidRDefault="00216EFC" w:rsidP="006E08B3"/>
        <w:p w14:paraId="27FAEF7D" w14:textId="784FCA24" w:rsidR="00216EFC" w:rsidRDefault="00216EFC"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60C24747" w14:textId="77777777" w:rsidR="00216EFC" w:rsidRDefault="00216EFC" w:rsidP="006E08B3"/>
        <w:p w14:paraId="183569D4" w14:textId="77777777" w:rsidR="00216EFC" w:rsidRDefault="00216EFC" w:rsidP="006E08B3">
          <w:pPr>
            <w:pStyle w:val="Heading3"/>
          </w:pPr>
          <w:r>
            <w:t>Confidentiality</w:t>
          </w:r>
        </w:p>
        <w:p w14:paraId="5429A73B" w14:textId="77777777" w:rsidR="00216EFC" w:rsidRDefault="00216EFC"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D016BA2" w14:textId="77777777" w:rsidR="00216EFC" w:rsidRDefault="00216EFC" w:rsidP="006E08B3"/>
        <w:p w14:paraId="1A8B0098" w14:textId="77777777" w:rsidR="00216EFC" w:rsidRDefault="00216EFC" w:rsidP="006E08B3">
          <w:r>
            <w:t>For submission made by individuals, all personal details, other than your name, will be removed from your submission before it is published on the TGA’s Internet site.</w:t>
          </w:r>
        </w:p>
        <w:p w14:paraId="61A2796B" w14:textId="77777777" w:rsidR="00216EFC" w:rsidRDefault="00216EFC" w:rsidP="006E08B3"/>
        <w:p w14:paraId="3118F289" w14:textId="77777777" w:rsidR="00216EFC" w:rsidRDefault="00216EFC" w:rsidP="006E08B3">
          <w:r>
            <w:t>In addition, a list of parties making submissions will be published. If you do not wish to be identified with your submission you must specifically request this in the space provided ib the submission coversheet.</w:t>
          </w:r>
        </w:p>
      </w:tc>
    </w:tr>
    <w:tr w:rsidR="00216EFC" w14:paraId="2280A0BF" w14:textId="77777777" w:rsidTr="0010601F">
      <w:trPr>
        <w:trHeight w:val="417"/>
      </w:trPr>
      <w:tc>
        <w:tcPr>
          <w:tcW w:w="4519" w:type="dxa"/>
          <w:tcBorders>
            <w:top w:val="single" w:sz="4" w:space="0" w:color="auto"/>
          </w:tcBorders>
          <w:tcMar>
            <w:top w:w="142" w:type="dxa"/>
            <w:bottom w:w="0" w:type="dxa"/>
          </w:tcMar>
        </w:tcPr>
        <w:p w14:paraId="6ED95DA1" w14:textId="77777777" w:rsidR="00216EFC" w:rsidRDefault="00216EFC" w:rsidP="006E08B3">
          <w:r>
            <w:t>Document title, Part #, Section # - Section title</w:t>
          </w:r>
        </w:p>
        <w:p w14:paraId="23E9CABF" w14:textId="77777777" w:rsidR="00216EFC" w:rsidRDefault="00216EFC" w:rsidP="006E08B3">
          <w:r>
            <w:t>V1.0 October 2010</w:t>
          </w:r>
        </w:p>
      </w:tc>
      <w:tc>
        <w:tcPr>
          <w:tcW w:w="4356" w:type="dxa"/>
          <w:tcBorders>
            <w:top w:val="single" w:sz="4" w:space="0" w:color="auto"/>
          </w:tcBorders>
          <w:tcMar>
            <w:top w:w="142" w:type="dxa"/>
            <w:bottom w:w="0" w:type="dxa"/>
          </w:tcMar>
        </w:tcPr>
        <w:p w14:paraId="5B13D288" w14:textId="4063A8B7" w:rsidR="00216EFC" w:rsidRDefault="00216EFC"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103C2A">
            <w:fldChar w:fldCharType="begin"/>
          </w:r>
          <w:r w:rsidR="00103C2A">
            <w:instrText xml:space="preserve"> NUMPAGES  \* Arabic </w:instrText>
          </w:r>
          <w:r w:rsidR="00103C2A">
            <w:fldChar w:fldCharType="separate"/>
          </w:r>
          <w:r>
            <w:rPr>
              <w:noProof/>
            </w:rPr>
            <w:t>2</w:t>
          </w:r>
          <w:r w:rsidR="00103C2A">
            <w:rPr>
              <w:noProof/>
            </w:rPr>
            <w:fldChar w:fldCharType="end"/>
          </w:r>
          <w:r>
            <w:t xml:space="preserve"> </w:t>
          </w:r>
        </w:p>
      </w:tc>
    </w:tr>
  </w:tbl>
  <w:p w14:paraId="3BA38419" w14:textId="77777777" w:rsidR="00216EFC" w:rsidRDefault="00216E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46D5D" w14:textId="77777777" w:rsidR="00216EFC" w:rsidRDefault="00216EFC" w:rsidP="00C40A36">
      <w:pPr>
        <w:spacing w:after="0"/>
      </w:pPr>
      <w:r>
        <w:separator/>
      </w:r>
    </w:p>
  </w:footnote>
  <w:footnote w:type="continuationSeparator" w:id="0">
    <w:p w14:paraId="6F7160AE" w14:textId="77777777" w:rsidR="00216EFC" w:rsidRDefault="00216EFC" w:rsidP="00C40A36">
      <w:pPr>
        <w:spacing w:after="0"/>
      </w:pPr>
      <w:r>
        <w:continuationSeparator/>
      </w:r>
    </w:p>
  </w:footnote>
  <w:footnote w:id="1">
    <w:p w14:paraId="78F8C940" w14:textId="77777777" w:rsidR="00216EFC" w:rsidRDefault="00216EFC">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73797A95" w14:textId="38E19889" w:rsidR="00216EFC" w:rsidRPr="00100B29" w:rsidRDefault="00216EFC" w:rsidP="00100B29">
      <w:pPr>
        <w:pStyle w:val="FootnoteText"/>
      </w:pPr>
      <w:r w:rsidRPr="00100B29">
        <w:rPr>
          <w:rStyle w:val="FootnoteReference"/>
        </w:rPr>
        <w:footnoteRef/>
      </w:r>
      <w:r w:rsidRPr="00100B29">
        <w:t xml:space="preserve"> Diabetes Australia, </w:t>
      </w:r>
      <w:r>
        <w:t>‘</w:t>
      </w:r>
      <w:r w:rsidRPr="00100B29">
        <w:t>Living with Diabetes – Medicine</w:t>
      </w:r>
      <w:r>
        <w:t>’</w:t>
      </w:r>
      <w:r w:rsidRPr="00100B29">
        <w:t xml:space="preserve">, </w:t>
      </w:r>
      <w:r>
        <w:t>available from the Diabetes Australia website</w:t>
      </w:r>
      <w:r w:rsidRPr="00100B29">
        <w:t>, accessed January 2021</w:t>
      </w:r>
      <w:r>
        <w:t>.</w:t>
      </w:r>
    </w:p>
  </w:footnote>
  <w:footnote w:id="3">
    <w:p w14:paraId="6CBFD227" w14:textId="4AA89F9A" w:rsidR="00216EFC" w:rsidRDefault="00216EFC" w:rsidP="007A4370">
      <w:pPr>
        <w:pStyle w:val="FootnoteText"/>
      </w:pPr>
      <w:r>
        <w:rPr>
          <w:rStyle w:val="FootnoteReference"/>
        </w:rPr>
        <w:footnoteRef/>
      </w:r>
      <w:r>
        <w:t xml:space="preserve"> PI for Truvelog (insulin aspart (rbe) solution for injection) AUST R 325474, 325475 (ARTG start date 15 October 2020).</w:t>
      </w:r>
    </w:p>
  </w:footnote>
  <w:footnote w:id="4">
    <w:p w14:paraId="6B85D1A3" w14:textId="3A485EC1" w:rsidR="00216EFC" w:rsidRDefault="00216EFC">
      <w:pPr>
        <w:pStyle w:val="FootnoteText"/>
      </w:pPr>
      <w:r>
        <w:rPr>
          <w:rStyle w:val="FootnoteReference"/>
        </w:rPr>
        <w:footnoteRef/>
      </w:r>
      <w:r>
        <w:t xml:space="preserve"> The innovator products for Truvelog are: NovoRapid Penfill insulin aspart (rys) 300 U/3 mL injection cartridge AUST R 133444 (ARTG start date 21 December 2006) and NovoRapid Flexpen insulin aspart (rys) 300 U/3 mL injection multidose cartridge AUST R 133445 (ARTG start date 21 December 2006). Sponsor: </w:t>
      </w:r>
      <w:r w:rsidRPr="00651C85">
        <w:rPr>
          <w:rFonts w:eastAsiaTheme="minorHAnsi" w:cs="Cambria"/>
        </w:rPr>
        <w:t>Novo Nordisk</w:t>
      </w:r>
      <w:r>
        <w:rPr>
          <w:rFonts w:eastAsiaTheme="minorHAnsi" w:cs="Cambria"/>
        </w:rPr>
        <w:t xml:space="preserve"> </w:t>
      </w:r>
      <w:r>
        <w:t>Pharmaceuticals Pty Ltd.</w:t>
      </w:r>
    </w:p>
  </w:footnote>
  <w:footnote w:id="5">
    <w:p w14:paraId="201EC68A" w14:textId="6301D91D" w:rsidR="00216EFC" w:rsidRDefault="00216EFC">
      <w:pPr>
        <w:pStyle w:val="FootnoteText"/>
      </w:pPr>
      <w:r>
        <w:rPr>
          <w:rStyle w:val="FootnoteReference"/>
        </w:rPr>
        <w:footnoteRef/>
      </w:r>
      <w:r>
        <w:t xml:space="preserve"> Lantus Solostar 100 IU/mL insulin glargine (rbe) 3 mL solution for injection injector pen (ARTG start date 22 June 2006). Sponsor: Sanofi-Aventis Australia Pty Ltd.</w:t>
      </w:r>
    </w:p>
  </w:footnote>
  <w:footnote w:id="6">
    <w:p w14:paraId="31FE3161" w14:textId="103BC415" w:rsidR="00216EFC" w:rsidRDefault="00216EFC" w:rsidP="00FE235F">
      <w:pPr>
        <w:pStyle w:val="FootnoteText"/>
      </w:pPr>
      <w:r>
        <w:rPr>
          <w:rStyle w:val="FootnoteReference"/>
        </w:rPr>
        <w:footnoteRef/>
      </w:r>
      <w:r>
        <w:t xml:space="preserve"> Sponsor clarification: the sponsor provided various pieces of evidence in the justification for not providing biopharmaceutic studies. This included the drug substance manufacturers of the EU/US sources of the innovator drug product being the same as the Australian/New Zealand innovator drug product.</w:t>
      </w:r>
    </w:p>
  </w:footnote>
  <w:footnote w:id="7">
    <w:p w14:paraId="75AA7E60" w14:textId="796C93C1" w:rsidR="00216EFC" w:rsidRPr="00873CEC" w:rsidRDefault="00216EFC">
      <w:pPr>
        <w:pStyle w:val="FootnoteText"/>
      </w:pPr>
      <w:r>
        <w:rPr>
          <w:rStyle w:val="FootnoteReference"/>
        </w:rPr>
        <w:footnoteRef/>
      </w:r>
      <w:r>
        <w:t xml:space="preserve"> </w:t>
      </w:r>
      <w:r w:rsidRPr="00873CEC">
        <w:t xml:space="preserve">European Medicines Agency (EMA), Committee for Medicinal Products for Human Use (CHMP), </w:t>
      </w:r>
      <w:r w:rsidRPr="00451DB9">
        <w:t>Non-clinical and clinical development of similar biological medicinal products containing recombinant human insulin and insulin analogues, EMEA/CHMP/BMWP/32775/2005 Rev. 1</w:t>
      </w:r>
      <w:r>
        <w:t>, 26 February 2015.</w:t>
      </w:r>
    </w:p>
  </w:footnote>
  <w:footnote w:id="8">
    <w:p w14:paraId="7DC77935" w14:textId="77777777" w:rsidR="00216EFC" w:rsidRDefault="00216EFC" w:rsidP="00011D8F">
      <w:pPr>
        <w:pStyle w:val="FootnoteText"/>
      </w:pPr>
      <w:r>
        <w:rPr>
          <w:rStyle w:val="FootnoteReference"/>
        </w:rPr>
        <w:footnoteRef/>
      </w:r>
      <w:r>
        <w:t xml:space="preserve"> </w:t>
      </w:r>
      <w:r w:rsidRPr="007D53B6">
        <w:t>The sponsor must still comply with routine product vigilance and risk minimisation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AD1AA" w14:textId="77777777" w:rsidR="00216EFC" w:rsidRDefault="00216EFC"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EAAE6" w14:textId="77777777" w:rsidR="00216EFC" w:rsidRDefault="00216EFC">
    <w:pPr>
      <w:rPr>
        <w:noProof/>
        <w:lang w:eastAsia="en-AU"/>
      </w:rPr>
    </w:pPr>
    <w:r w:rsidRPr="00347824">
      <w:rPr>
        <w:noProof/>
        <w:lang w:eastAsia="en-AU"/>
      </w:rPr>
      <w:drawing>
        <wp:anchor distT="0" distB="0" distL="114300" distR="114300" simplePos="0" relativeHeight="251657216" behindDoc="1" locked="0" layoutInCell="1" allowOverlap="1" wp14:anchorId="30D2308E" wp14:editId="0A9D7F25">
          <wp:simplePos x="0" y="0"/>
          <wp:positionH relativeFrom="column">
            <wp:posOffset>-1089660</wp:posOffset>
          </wp:positionH>
          <wp:positionV relativeFrom="paragraph">
            <wp:posOffset>-585470</wp:posOffset>
          </wp:positionV>
          <wp:extent cx="7572375" cy="10706100"/>
          <wp:effectExtent l="19050" t="0" r="0" b="0"/>
          <wp:wrapNone/>
          <wp:docPr id="1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CFEE71D" w14:textId="77777777" w:rsidR="00216EFC" w:rsidRDefault="00216EFC" w:rsidP="00593AD1">
    <w:pPr>
      <w:pStyle w:val="HeaderNoLine"/>
    </w:pPr>
    <w:r>
      <w:rPr>
        <w:noProof/>
        <w:lang w:eastAsia="en-AU"/>
      </w:rPr>
      <w:drawing>
        <wp:inline distT="0" distB="0" distL="0" distR="0" wp14:anchorId="572373D3" wp14:editId="061F4723">
          <wp:extent cx="5400675" cy="7639050"/>
          <wp:effectExtent l="0" t="0" r="9525" b="0"/>
          <wp:docPr id="15" name="Picture 15"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E2CB" w14:textId="77777777" w:rsidR="00216EFC" w:rsidRDefault="00216E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53D2" w14:textId="77777777" w:rsidR="00216EFC" w:rsidRDefault="00216EFC">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8023B" w14:textId="77777777" w:rsidR="00216EFC" w:rsidRDefault="00216EFC">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FF6AE" w14:textId="77777777" w:rsidR="00216EFC" w:rsidRDefault="00216E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2088" w14:textId="77777777" w:rsidR="00216EFC" w:rsidRDefault="00216EFC"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1F9EB" w14:textId="77777777" w:rsidR="00216EFC" w:rsidRDefault="00216EFC" w:rsidP="006E08B3">
    <w:r>
      <w:t>Therapeutic Goods Administration</w:t>
    </w:r>
  </w:p>
  <w:p w14:paraId="6B2D68FC" w14:textId="77777777" w:rsidR="00216EFC" w:rsidRDefault="00216EFC"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C8E16D0"/>
    <w:multiLevelType w:val="hybridMultilevel"/>
    <w:tmpl w:val="363852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1"/>
  </w:num>
  <w:num w:numId="29">
    <w:abstractNumId w:val="6"/>
  </w:num>
  <w:num w:numId="30">
    <w:abstractNumId w:val="8"/>
  </w:num>
  <w:num w:numId="31">
    <w:abstractNumId w:val="4"/>
  </w:num>
  <w:num w:numId="32">
    <w:abstractNumId w:val="1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48E"/>
    <w:rsid w:val="00002031"/>
    <w:rsid w:val="00004734"/>
    <w:rsid w:val="00006B22"/>
    <w:rsid w:val="00006FAB"/>
    <w:rsid w:val="000114F6"/>
    <w:rsid w:val="00011D8F"/>
    <w:rsid w:val="0001276A"/>
    <w:rsid w:val="000246AE"/>
    <w:rsid w:val="00025C67"/>
    <w:rsid w:val="00044772"/>
    <w:rsid w:val="0004541C"/>
    <w:rsid w:val="0005559E"/>
    <w:rsid w:val="000604D6"/>
    <w:rsid w:val="000605CF"/>
    <w:rsid w:val="000734D8"/>
    <w:rsid w:val="00077775"/>
    <w:rsid w:val="00090471"/>
    <w:rsid w:val="00096AA7"/>
    <w:rsid w:val="000A3AED"/>
    <w:rsid w:val="000A6DB4"/>
    <w:rsid w:val="000B2794"/>
    <w:rsid w:val="000B3532"/>
    <w:rsid w:val="000B3A75"/>
    <w:rsid w:val="000C00C2"/>
    <w:rsid w:val="000C690F"/>
    <w:rsid w:val="000D1295"/>
    <w:rsid w:val="000D391B"/>
    <w:rsid w:val="000D3D6D"/>
    <w:rsid w:val="000D4FC7"/>
    <w:rsid w:val="000E6196"/>
    <w:rsid w:val="000F4869"/>
    <w:rsid w:val="000F5B42"/>
    <w:rsid w:val="000F6E6F"/>
    <w:rsid w:val="00100B29"/>
    <w:rsid w:val="00103C2A"/>
    <w:rsid w:val="0010601F"/>
    <w:rsid w:val="0010788A"/>
    <w:rsid w:val="00107A31"/>
    <w:rsid w:val="00107F97"/>
    <w:rsid w:val="00110EA5"/>
    <w:rsid w:val="00112F56"/>
    <w:rsid w:val="00124AA7"/>
    <w:rsid w:val="00124ACD"/>
    <w:rsid w:val="00125318"/>
    <w:rsid w:val="001305A2"/>
    <w:rsid w:val="00133238"/>
    <w:rsid w:val="00133A1B"/>
    <w:rsid w:val="0014197B"/>
    <w:rsid w:val="001447CD"/>
    <w:rsid w:val="001516B1"/>
    <w:rsid w:val="00154EBB"/>
    <w:rsid w:val="00156316"/>
    <w:rsid w:val="00161181"/>
    <w:rsid w:val="00162D14"/>
    <w:rsid w:val="00163780"/>
    <w:rsid w:val="00163EBC"/>
    <w:rsid w:val="0016400F"/>
    <w:rsid w:val="00165389"/>
    <w:rsid w:val="00170644"/>
    <w:rsid w:val="0017099E"/>
    <w:rsid w:val="0017693F"/>
    <w:rsid w:val="0018110E"/>
    <w:rsid w:val="00181684"/>
    <w:rsid w:val="001843C6"/>
    <w:rsid w:val="001850E0"/>
    <w:rsid w:val="001A03AF"/>
    <w:rsid w:val="001A2158"/>
    <w:rsid w:val="001A525F"/>
    <w:rsid w:val="001B09F9"/>
    <w:rsid w:val="001B5C90"/>
    <w:rsid w:val="001B6448"/>
    <w:rsid w:val="001C32CD"/>
    <w:rsid w:val="001D2984"/>
    <w:rsid w:val="001E07CF"/>
    <w:rsid w:val="001E2DB5"/>
    <w:rsid w:val="001E3529"/>
    <w:rsid w:val="001E59F1"/>
    <w:rsid w:val="001F2CEE"/>
    <w:rsid w:val="001F49EB"/>
    <w:rsid w:val="001F6CBA"/>
    <w:rsid w:val="00201D4E"/>
    <w:rsid w:val="00202199"/>
    <w:rsid w:val="00202A3F"/>
    <w:rsid w:val="002076C9"/>
    <w:rsid w:val="0021148E"/>
    <w:rsid w:val="00216EFC"/>
    <w:rsid w:val="00220B8A"/>
    <w:rsid w:val="00221F8B"/>
    <w:rsid w:val="002257F3"/>
    <w:rsid w:val="00227517"/>
    <w:rsid w:val="002275F5"/>
    <w:rsid w:val="00233456"/>
    <w:rsid w:val="002339A5"/>
    <w:rsid w:val="00250271"/>
    <w:rsid w:val="00257848"/>
    <w:rsid w:val="002578E8"/>
    <w:rsid w:val="00262A3E"/>
    <w:rsid w:val="0027084A"/>
    <w:rsid w:val="00280265"/>
    <w:rsid w:val="00286434"/>
    <w:rsid w:val="00286C59"/>
    <w:rsid w:val="00291957"/>
    <w:rsid w:val="00292B4C"/>
    <w:rsid w:val="002942D1"/>
    <w:rsid w:val="0029501A"/>
    <w:rsid w:val="002A3721"/>
    <w:rsid w:val="002B1638"/>
    <w:rsid w:val="002B3624"/>
    <w:rsid w:val="002D0952"/>
    <w:rsid w:val="002D2D21"/>
    <w:rsid w:val="002E40B3"/>
    <w:rsid w:val="002E4C9A"/>
    <w:rsid w:val="002E5A59"/>
    <w:rsid w:val="002E63AF"/>
    <w:rsid w:val="002F11F8"/>
    <w:rsid w:val="002F3F56"/>
    <w:rsid w:val="002F44B5"/>
    <w:rsid w:val="002F5122"/>
    <w:rsid w:val="002F6718"/>
    <w:rsid w:val="00311AC0"/>
    <w:rsid w:val="00311CCF"/>
    <w:rsid w:val="003176FC"/>
    <w:rsid w:val="00322E71"/>
    <w:rsid w:val="0032583B"/>
    <w:rsid w:val="00327883"/>
    <w:rsid w:val="0033370D"/>
    <w:rsid w:val="00335504"/>
    <w:rsid w:val="00340C18"/>
    <w:rsid w:val="00343462"/>
    <w:rsid w:val="003442FD"/>
    <w:rsid w:val="00347824"/>
    <w:rsid w:val="00350567"/>
    <w:rsid w:val="003521E8"/>
    <w:rsid w:val="00352ACE"/>
    <w:rsid w:val="003708DD"/>
    <w:rsid w:val="00370CE3"/>
    <w:rsid w:val="003728F3"/>
    <w:rsid w:val="003735BC"/>
    <w:rsid w:val="0037496E"/>
    <w:rsid w:val="0037624B"/>
    <w:rsid w:val="00383221"/>
    <w:rsid w:val="00386150"/>
    <w:rsid w:val="003874CE"/>
    <w:rsid w:val="00390900"/>
    <w:rsid w:val="003A3ECA"/>
    <w:rsid w:val="003A6E66"/>
    <w:rsid w:val="003A7F6C"/>
    <w:rsid w:val="003B4D60"/>
    <w:rsid w:val="003B7E39"/>
    <w:rsid w:val="003C0054"/>
    <w:rsid w:val="003C35E4"/>
    <w:rsid w:val="003C58DC"/>
    <w:rsid w:val="003D1E62"/>
    <w:rsid w:val="003D7CD7"/>
    <w:rsid w:val="003E0B99"/>
    <w:rsid w:val="003E2486"/>
    <w:rsid w:val="003E3208"/>
    <w:rsid w:val="003F0B04"/>
    <w:rsid w:val="003F61E1"/>
    <w:rsid w:val="0040134E"/>
    <w:rsid w:val="004334C7"/>
    <w:rsid w:val="00440A2D"/>
    <w:rsid w:val="00441C3F"/>
    <w:rsid w:val="0044471C"/>
    <w:rsid w:val="00444D1A"/>
    <w:rsid w:val="0045186A"/>
    <w:rsid w:val="00451DB9"/>
    <w:rsid w:val="004564A7"/>
    <w:rsid w:val="00456765"/>
    <w:rsid w:val="00460036"/>
    <w:rsid w:val="004617BF"/>
    <w:rsid w:val="004623FA"/>
    <w:rsid w:val="00463658"/>
    <w:rsid w:val="004637A0"/>
    <w:rsid w:val="004722CC"/>
    <w:rsid w:val="00490483"/>
    <w:rsid w:val="004936E4"/>
    <w:rsid w:val="00494E60"/>
    <w:rsid w:val="0049628A"/>
    <w:rsid w:val="00497487"/>
    <w:rsid w:val="004A2771"/>
    <w:rsid w:val="004A6189"/>
    <w:rsid w:val="004A7390"/>
    <w:rsid w:val="004B7B76"/>
    <w:rsid w:val="004C00B8"/>
    <w:rsid w:val="004C239D"/>
    <w:rsid w:val="004C2DCA"/>
    <w:rsid w:val="004C4FBE"/>
    <w:rsid w:val="004C61D2"/>
    <w:rsid w:val="004C7B14"/>
    <w:rsid w:val="004D32A7"/>
    <w:rsid w:val="004F0C4A"/>
    <w:rsid w:val="004F0F38"/>
    <w:rsid w:val="004F23D7"/>
    <w:rsid w:val="004F47D6"/>
    <w:rsid w:val="00500337"/>
    <w:rsid w:val="00501921"/>
    <w:rsid w:val="00522805"/>
    <w:rsid w:val="00530354"/>
    <w:rsid w:val="00530E63"/>
    <w:rsid w:val="00534626"/>
    <w:rsid w:val="0053625B"/>
    <w:rsid w:val="00536486"/>
    <w:rsid w:val="005434C6"/>
    <w:rsid w:val="00543B39"/>
    <w:rsid w:val="00546154"/>
    <w:rsid w:val="00550096"/>
    <w:rsid w:val="00555280"/>
    <w:rsid w:val="00557FF9"/>
    <w:rsid w:val="00562327"/>
    <w:rsid w:val="005711D5"/>
    <w:rsid w:val="00576378"/>
    <w:rsid w:val="0057688F"/>
    <w:rsid w:val="00577130"/>
    <w:rsid w:val="00577945"/>
    <w:rsid w:val="00577E38"/>
    <w:rsid w:val="00585322"/>
    <w:rsid w:val="005857C6"/>
    <w:rsid w:val="00592F6E"/>
    <w:rsid w:val="00593AD1"/>
    <w:rsid w:val="005940D1"/>
    <w:rsid w:val="00594A2A"/>
    <w:rsid w:val="005A68B6"/>
    <w:rsid w:val="005A79DE"/>
    <w:rsid w:val="005C46ED"/>
    <w:rsid w:val="005C5570"/>
    <w:rsid w:val="005C5B66"/>
    <w:rsid w:val="005C739D"/>
    <w:rsid w:val="005C79A4"/>
    <w:rsid w:val="005D5442"/>
    <w:rsid w:val="00603F32"/>
    <w:rsid w:val="00605AD4"/>
    <w:rsid w:val="006136D7"/>
    <w:rsid w:val="00625A6E"/>
    <w:rsid w:val="00632398"/>
    <w:rsid w:val="00632F02"/>
    <w:rsid w:val="006367D7"/>
    <w:rsid w:val="00640FC3"/>
    <w:rsid w:val="00642020"/>
    <w:rsid w:val="006430EE"/>
    <w:rsid w:val="00651C85"/>
    <w:rsid w:val="0065337B"/>
    <w:rsid w:val="0065419D"/>
    <w:rsid w:val="006603BC"/>
    <w:rsid w:val="006604D8"/>
    <w:rsid w:val="00664A5B"/>
    <w:rsid w:val="0066735C"/>
    <w:rsid w:val="006763D2"/>
    <w:rsid w:val="00680C08"/>
    <w:rsid w:val="00687841"/>
    <w:rsid w:val="006916A0"/>
    <w:rsid w:val="006931B1"/>
    <w:rsid w:val="006A15C0"/>
    <w:rsid w:val="006A58A8"/>
    <w:rsid w:val="006B00D3"/>
    <w:rsid w:val="006B7128"/>
    <w:rsid w:val="006C3E2A"/>
    <w:rsid w:val="006C642F"/>
    <w:rsid w:val="006C7950"/>
    <w:rsid w:val="006D03E5"/>
    <w:rsid w:val="006D5D3E"/>
    <w:rsid w:val="006E08B3"/>
    <w:rsid w:val="006F13DE"/>
    <w:rsid w:val="006F17AC"/>
    <w:rsid w:val="006F25B8"/>
    <w:rsid w:val="006F572E"/>
    <w:rsid w:val="007046D6"/>
    <w:rsid w:val="00705DB0"/>
    <w:rsid w:val="007205BB"/>
    <w:rsid w:val="00722B57"/>
    <w:rsid w:val="00730F8A"/>
    <w:rsid w:val="00735A8C"/>
    <w:rsid w:val="00740A41"/>
    <w:rsid w:val="0074253D"/>
    <w:rsid w:val="0074429B"/>
    <w:rsid w:val="007615BC"/>
    <w:rsid w:val="00762F05"/>
    <w:rsid w:val="007652FF"/>
    <w:rsid w:val="00770CAC"/>
    <w:rsid w:val="00770EF1"/>
    <w:rsid w:val="00773EF7"/>
    <w:rsid w:val="00774E1D"/>
    <w:rsid w:val="0077511D"/>
    <w:rsid w:val="007765D8"/>
    <w:rsid w:val="0077675A"/>
    <w:rsid w:val="00780355"/>
    <w:rsid w:val="007819FD"/>
    <w:rsid w:val="00785717"/>
    <w:rsid w:val="00785721"/>
    <w:rsid w:val="00793A59"/>
    <w:rsid w:val="007A2F15"/>
    <w:rsid w:val="007A4370"/>
    <w:rsid w:val="007A46F5"/>
    <w:rsid w:val="007A6505"/>
    <w:rsid w:val="007B6132"/>
    <w:rsid w:val="007B6E9F"/>
    <w:rsid w:val="007C1216"/>
    <w:rsid w:val="007C1AF7"/>
    <w:rsid w:val="007C6B9B"/>
    <w:rsid w:val="007D53B6"/>
    <w:rsid w:val="00804983"/>
    <w:rsid w:val="008057A9"/>
    <w:rsid w:val="00805D27"/>
    <w:rsid w:val="00806DCB"/>
    <w:rsid w:val="00821776"/>
    <w:rsid w:val="008220BD"/>
    <w:rsid w:val="008321F5"/>
    <w:rsid w:val="00832369"/>
    <w:rsid w:val="00834660"/>
    <w:rsid w:val="00836BC2"/>
    <w:rsid w:val="0085156D"/>
    <w:rsid w:val="00852B28"/>
    <w:rsid w:val="0085641B"/>
    <w:rsid w:val="00857136"/>
    <w:rsid w:val="00866E88"/>
    <w:rsid w:val="00873CEC"/>
    <w:rsid w:val="00875A6B"/>
    <w:rsid w:val="00885B11"/>
    <w:rsid w:val="00885E0E"/>
    <w:rsid w:val="008866E6"/>
    <w:rsid w:val="00886D15"/>
    <w:rsid w:val="00887306"/>
    <w:rsid w:val="00887B14"/>
    <w:rsid w:val="00887DD8"/>
    <w:rsid w:val="00891BA9"/>
    <w:rsid w:val="00896018"/>
    <w:rsid w:val="008960DD"/>
    <w:rsid w:val="0089635C"/>
    <w:rsid w:val="00897419"/>
    <w:rsid w:val="008A2B9D"/>
    <w:rsid w:val="008A3D9F"/>
    <w:rsid w:val="008A5E0B"/>
    <w:rsid w:val="008A66AA"/>
    <w:rsid w:val="008A6C73"/>
    <w:rsid w:val="008A6D59"/>
    <w:rsid w:val="008B128B"/>
    <w:rsid w:val="008B4B03"/>
    <w:rsid w:val="008B596F"/>
    <w:rsid w:val="008C159F"/>
    <w:rsid w:val="008C1623"/>
    <w:rsid w:val="008C1850"/>
    <w:rsid w:val="008C51A9"/>
    <w:rsid w:val="008E7846"/>
    <w:rsid w:val="008F02E5"/>
    <w:rsid w:val="008F1CCC"/>
    <w:rsid w:val="008F2967"/>
    <w:rsid w:val="008F6943"/>
    <w:rsid w:val="00902A21"/>
    <w:rsid w:val="00906D77"/>
    <w:rsid w:val="0091523F"/>
    <w:rsid w:val="009166E7"/>
    <w:rsid w:val="00920330"/>
    <w:rsid w:val="009219D7"/>
    <w:rsid w:val="00922676"/>
    <w:rsid w:val="00922D53"/>
    <w:rsid w:val="00923B70"/>
    <w:rsid w:val="00924482"/>
    <w:rsid w:val="00930237"/>
    <w:rsid w:val="00937C17"/>
    <w:rsid w:val="00940A89"/>
    <w:rsid w:val="00941F77"/>
    <w:rsid w:val="00946EA5"/>
    <w:rsid w:val="00960520"/>
    <w:rsid w:val="009617A8"/>
    <w:rsid w:val="00963A3A"/>
    <w:rsid w:val="00963C08"/>
    <w:rsid w:val="009752A5"/>
    <w:rsid w:val="00977DE9"/>
    <w:rsid w:val="0098585A"/>
    <w:rsid w:val="00995CE7"/>
    <w:rsid w:val="009A116C"/>
    <w:rsid w:val="009A2B36"/>
    <w:rsid w:val="009A4CED"/>
    <w:rsid w:val="009A690D"/>
    <w:rsid w:val="009B1D12"/>
    <w:rsid w:val="009B416B"/>
    <w:rsid w:val="009C4BD5"/>
    <w:rsid w:val="009D7B77"/>
    <w:rsid w:val="009E0BB0"/>
    <w:rsid w:val="009E2742"/>
    <w:rsid w:val="009E3FBB"/>
    <w:rsid w:val="009F20DE"/>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5026A"/>
    <w:rsid w:val="00A60BAD"/>
    <w:rsid w:val="00A725AB"/>
    <w:rsid w:val="00A76455"/>
    <w:rsid w:val="00A77F87"/>
    <w:rsid w:val="00A80B5B"/>
    <w:rsid w:val="00A8484D"/>
    <w:rsid w:val="00A84E36"/>
    <w:rsid w:val="00A905D7"/>
    <w:rsid w:val="00A964D1"/>
    <w:rsid w:val="00AA0ED0"/>
    <w:rsid w:val="00AA1415"/>
    <w:rsid w:val="00AA6A42"/>
    <w:rsid w:val="00AB0F4E"/>
    <w:rsid w:val="00AC2B40"/>
    <w:rsid w:val="00AC2BB2"/>
    <w:rsid w:val="00AC2C3C"/>
    <w:rsid w:val="00AC512D"/>
    <w:rsid w:val="00AD0083"/>
    <w:rsid w:val="00AD01E3"/>
    <w:rsid w:val="00AD3935"/>
    <w:rsid w:val="00AE3204"/>
    <w:rsid w:val="00AE65EB"/>
    <w:rsid w:val="00AE67A7"/>
    <w:rsid w:val="00AF1D94"/>
    <w:rsid w:val="00AF60C5"/>
    <w:rsid w:val="00B009C6"/>
    <w:rsid w:val="00B01548"/>
    <w:rsid w:val="00B029CC"/>
    <w:rsid w:val="00B130C5"/>
    <w:rsid w:val="00B13EBD"/>
    <w:rsid w:val="00B21D29"/>
    <w:rsid w:val="00B25034"/>
    <w:rsid w:val="00B33588"/>
    <w:rsid w:val="00B33863"/>
    <w:rsid w:val="00B37D17"/>
    <w:rsid w:val="00B4175E"/>
    <w:rsid w:val="00B41C85"/>
    <w:rsid w:val="00B452CE"/>
    <w:rsid w:val="00B5444A"/>
    <w:rsid w:val="00B54C25"/>
    <w:rsid w:val="00B76B91"/>
    <w:rsid w:val="00B77EB1"/>
    <w:rsid w:val="00B811C6"/>
    <w:rsid w:val="00B8452F"/>
    <w:rsid w:val="00B855B0"/>
    <w:rsid w:val="00B92E08"/>
    <w:rsid w:val="00BA2906"/>
    <w:rsid w:val="00BA4CFD"/>
    <w:rsid w:val="00BB4F40"/>
    <w:rsid w:val="00BC622A"/>
    <w:rsid w:val="00BD22D2"/>
    <w:rsid w:val="00BE0A78"/>
    <w:rsid w:val="00BE2FA4"/>
    <w:rsid w:val="00BE79F0"/>
    <w:rsid w:val="00BF046D"/>
    <w:rsid w:val="00BF1190"/>
    <w:rsid w:val="00BF3774"/>
    <w:rsid w:val="00BF5D04"/>
    <w:rsid w:val="00C009AA"/>
    <w:rsid w:val="00C05941"/>
    <w:rsid w:val="00C1164D"/>
    <w:rsid w:val="00C16861"/>
    <w:rsid w:val="00C170FB"/>
    <w:rsid w:val="00C346AB"/>
    <w:rsid w:val="00C404A6"/>
    <w:rsid w:val="00C40A36"/>
    <w:rsid w:val="00C44419"/>
    <w:rsid w:val="00C45E7B"/>
    <w:rsid w:val="00C471B1"/>
    <w:rsid w:val="00C525A2"/>
    <w:rsid w:val="00C52E24"/>
    <w:rsid w:val="00C56EB4"/>
    <w:rsid w:val="00C62E97"/>
    <w:rsid w:val="00C6316B"/>
    <w:rsid w:val="00C634A9"/>
    <w:rsid w:val="00C64586"/>
    <w:rsid w:val="00C70A36"/>
    <w:rsid w:val="00C70D53"/>
    <w:rsid w:val="00C73D0B"/>
    <w:rsid w:val="00C74F5C"/>
    <w:rsid w:val="00C76407"/>
    <w:rsid w:val="00C772FF"/>
    <w:rsid w:val="00C80137"/>
    <w:rsid w:val="00C801AF"/>
    <w:rsid w:val="00C80256"/>
    <w:rsid w:val="00C94CD4"/>
    <w:rsid w:val="00C9747E"/>
    <w:rsid w:val="00CB6BC0"/>
    <w:rsid w:val="00CC1B7C"/>
    <w:rsid w:val="00CC2D26"/>
    <w:rsid w:val="00CC727F"/>
    <w:rsid w:val="00CF15C3"/>
    <w:rsid w:val="00CF2B6F"/>
    <w:rsid w:val="00CF2F3E"/>
    <w:rsid w:val="00CF58B6"/>
    <w:rsid w:val="00CF5DAD"/>
    <w:rsid w:val="00D0062D"/>
    <w:rsid w:val="00D00FB9"/>
    <w:rsid w:val="00D017ED"/>
    <w:rsid w:val="00D0196D"/>
    <w:rsid w:val="00D040D3"/>
    <w:rsid w:val="00D04C65"/>
    <w:rsid w:val="00D153D8"/>
    <w:rsid w:val="00D201D2"/>
    <w:rsid w:val="00D210E8"/>
    <w:rsid w:val="00D224FE"/>
    <w:rsid w:val="00D23139"/>
    <w:rsid w:val="00D26B8D"/>
    <w:rsid w:val="00D374E0"/>
    <w:rsid w:val="00D425BB"/>
    <w:rsid w:val="00D453FA"/>
    <w:rsid w:val="00D5274F"/>
    <w:rsid w:val="00D536D0"/>
    <w:rsid w:val="00D57EEA"/>
    <w:rsid w:val="00D61267"/>
    <w:rsid w:val="00D6493E"/>
    <w:rsid w:val="00D7195D"/>
    <w:rsid w:val="00D7301E"/>
    <w:rsid w:val="00D733B0"/>
    <w:rsid w:val="00D816D3"/>
    <w:rsid w:val="00D828D8"/>
    <w:rsid w:val="00D83AE1"/>
    <w:rsid w:val="00D855D4"/>
    <w:rsid w:val="00D87448"/>
    <w:rsid w:val="00D902C9"/>
    <w:rsid w:val="00D93466"/>
    <w:rsid w:val="00DA1124"/>
    <w:rsid w:val="00DA64CB"/>
    <w:rsid w:val="00DB06B8"/>
    <w:rsid w:val="00DB6124"/>
    <w:rsid w:val="00DB665C"/>
    <w:rsid w:val="00DB6934"/>
    <w:rsid w:val="00DB750B"/>
    <w:rsid w:val="00DB75B7"/>
    <w:rsid w:val="00DC0A2F"/>
    <w:rsid w:val="00DC0B83"/>
    <w:rsid w:val="00DC1948"/>
    <w:rsid w:val="00DC6E02"/>
    <w:rsid w:val="00DD1BC6"/>
    <w:rsid w:val="00DD28CD"/>
    <w:rsid w:val="00DE02AE"/>
    <w:rsid w:val="00DE39D1"/>
    <w:rsid w:val="00DF1D7F"/>
    <w:rsid w:val="00DF4BE4"/>
    <w:rsid w:val="00E02382"/>
    <w:rsid w:val="00E02DC8"/>
    <w:rsid w:val="00E02FB4"/>
    <w:rsid w:val="00E13FC7"/>
    <w:rsid w:val="00E20571"/>
    <w:rsid w:val="00E235F7"/>
    <w:rsid w:val="00E23659"/>
    <w:rsid w:val="00E239D4"/>
    <w:rsid w:val="00E24625"/>
    <w:rsid w:val="00E26130"/>
    <w:rsid w:val="00E32902"/>
    <w:rsid w:val="00E363DB"/>
    <w:rsid w:val="00E40B22"/>
    <w:rsid w:val="00E44ED1"/>
    <w:rsid w:val="00E45619"/>
    <w:rsid w:val="00E4588F"/>
    <w:rsid w:val="00E45A4B"/>
    <w:rsid w:val="00E46DA3"/>
    <w:rsid w:val="00E51BB1"/>
    <w:rsid w:val="00E55CB0"/>
    <w:rsid w:val="00E624A5"/>
    <w:rsid w:val="00E64BA4"/>
    <w:rsid w:val="00E71345"/>
    <w:rsid w:val="00E7344E"/>
    <w:rsid w:val="00E82665"/>
    <w:rsid w:val="00EA3855"/>
    <w:rsid w:val="00EB0798"/>
    <w:rsid w:val="00EB3907"/>
    <w:rsid w:val="00EB40AD"/>
    <w:rsid w:val="00EB586E"/>
    <w:rsid w:val="00EB5FC8"/>
    <w:rsid w:val="00EC463D"/>
    <w:rsid w:val="00EC4BAA"/>
    <w:rsid w:val="00EC6249"/>
    <w:rsid w:val="00EC7A85"/>
    <w:rsid w:val="00ED10E8"/>
    <w:rsid w:val="00ED2922"/>
    <w:rsid w:val="00ED2A78"/>
    <w:rsid w:val="00ED3CAD"/>
    <w:rsid w:val="00ED5A41"/>
    <w:rsid w:val="00EE1DE8"/>
    <w:rsid w:val="00EE27C2"/>
    <w:rsid w:val="00EF0136"/>
    <w:rsid w:val="00EF4BAD"/>
    <w:rsid w:val="00EF59DC"/>
    <w:rsid w:val="00F01DDD"/>
    <w:rsid w:val="00F033EC"/>
    <w:rsid w:val="00F04F68"/>
    <w:rsid w:val="00F12670"/>
    <w:rsid w:val="00F14B27"/>
    <w:rsid w:val="00F3148D"/>
    <w:rsid w:val="00F323B0"/>
    <w:rsid w:val="00F325C5"/>
    <w:rsid w:val="00F32FE0"/>
    <w:rsid w:val="00F35298"/>
    <w:rsid w:val="00F37653"/>
    <w:rsid w:val="00F426E6"/>
    <w:rsid w:val="00F47333"/>
    <w:rsid w:val="00F47E37"/>
    <w:rsid w:val="00F50BDE"/>
    <w:rsid w:val="00F53C07"/>
    <w:rsid w:val="00F54B65"/>
    <w:rsid w:val="00F640B6"/>
    <w:rsid w:val="00F66DF2"/>
    <w:rsid w:val="00F80E40"/>
    <w:rsid w:val="00F848D9"/>
    <w:rsid w:val="00F944AA"/>
    <w:rsid w:val="00FA0D2D"/>
    <w:rsid w:val="00FA3798"/>
    <w:rsid w:val="00FA5069"/>
    <w:rsid w:val="00FA5B82"/>
    <w:rsid w:val="00FA639E"/>
    <w:rsid w:val="00FC1FCA"/>
    <w:rsid w:val="00FC25E4"/>
    <w:rsid w:val="00FC4AE9"/>
    <w:rsid w:val="00FC4EF7"/>
    <w:rsid w:val="00FC5239"/>
    <w:rsid w:val="00FD0824"/>
    <w:rsid w:val="00FD119B"/>
    <w:rsid w:val="00FD1EDC"/>
    <w:rsid w:val="00FE1DEE"/>
    <w:rsid w:val="00FE235F"/>
    <w:rsid w:val="00FF2126"/>
    <w:rsid w:val="00FF39ED"/>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C4F46F6"/>
  <w15:docId w15:val="{018F8F72-3395-490A-968E-97E39F62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BA2906"/>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BA2906"/>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BA2906"/>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BA2906"/>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extleft">
    <w:name w:val="Table text (left)"/>
    <w:basedOn w:val="Normal"/>
    <w:rsid w:val="002275F5"/>
    <w:pPr>
      <w:spacing w:before="20" w:after="20" w:line="200" w:lineRule="atLeast"/>
      <w:ind w:left="57" w:right="57"/>
    </w:pPr>
    <w:rPr>
      <w:rFonts w:eastAsia="MS Mincho" w:cstheme="minorBidi"/>
      <w:sz w:val="19"/>
      <w:szCs w:val="18"/>
      <w:lang w:val="en-GB"/>
    </w:rPr>
  </w:style>
  <w:style w:type="paragraph" w:customStyle="1" w:styleId="Default">
    <w:name w:val="Default"/>
    <w:rsid w:val="002275F5"/>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rsid w:val="002275F5"/>
    <w:pPr>
      <w:adjustRightInd w:val="0"/>
      <w:snapToGrid w:val="0"/>
      <w:spacing w:before="180" w:after="180"/>
      <w:ind w:left="720"/>
      <w:contextualSpacing/>
    </w:pPr>
    <w:rPr>
      <w:rFonts w:eastAsia="MS Mincho"/>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7.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3.xml"/><Relationship Id="rId27" Type="http://schemas.openxmlformats.org/officeDocument/2006/relationships/hyperlink" Target="https://www.tga.gov.au"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4679-458E-4444-A686-3AA9E5B5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19</Pages>
  <Words>4893</Words>
  <Characters>27548</Characters>
  <Application>Microsoft Office Word</Application>
  <DocSecurity>0</DocSecurity>
  <Lines>640</Lines>
  <Paragraphs>395</Paragraphs>
  <ScaleCrop>false</ScaleCrop>
  <HeadingPairs>
    <vt:vector size="2" baseType="variant">
      <vt:variant>
        <vt:lpstr>Title</vt:lpstr>
      </vt:variant>
      <vt:variant>
        <vt:i4>1</vt:i4>
      </vt:variant>
    </vt:vector>
  </HeadingPairs>
  <TitlesOfParts>
    <vt:vector size="1" baseType="lpstr">
      <vt:lpstr>Australian Public Assessment Report for Insulin aspart</vt:lpstr>
    </vt:vector>
  </TitlesOfParts>
  <Company>Department of Health Therapeutic Goods Administration</Company>
  <LinksUpToDate>false</LinksUpToDate>
  <CharactersWithSpaces>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Insulin aspart</dc:title>
  <dc:subject>prescription medicine regulation</dc:subject>
  <dc:creator>Therapeutic Goods Administration</dc:creator>
  <cp:keywords>AusPARs</cp:keywords>
  <cp:lastPrinted>2019-08-14T04:30:00Z</cp:lastPrinted>
  <dcterms:created xsi:type="dcterms:W3CDTF">2021-02-24T16:59:00Z</dcterms:created>
  <dcterms:modified xsi:type="dcterms:W3CDTF">2021-03-18T06:02:00Z</dcterms:modified>
  <cp:category/>
</cp:coreProperties>
</file>