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0BB38A1" w14:textId="77777777" w:rsidTr="00BF1190">
        <w:trPr>
          <w:trHeight w:val="1863"/>
        </w:trPr>
        <w:tc>
          <w:tcPr>
            <w:tcW w:w="3652" w:type="dxa"/>
            <w:tcBorders>
              <w:top w:val="nil"/>
              <w:left w:val="nil"/>
              <w:bottom w:val="nil"/>
              <w:right w:val="nil"/>
            </w:tcBorders>
          </w:tcPr>
          <w:p w14:paraId="321452DA" w14:textId="5853DB74" w:rsidR="008E7846" w:rsidRPr="00096AA7" w:rsidRDefault="007B69E1" w:rsidP="007B69E1">
            <w:pPr>
              <w:rPr>
                <w:rFonts w:ascii="Arial" w:hAnsi="Arial" w:cs="Arial"/>
                <w:b/>
                <w:color w:val="002C47"/>
                <w:sz w:val="36"/>
                <w:szCs w:val="36"/>
              </w:rPr>
            </w:pPr>
            <w:r>
              <w:rPr>
                <w:rFonts w:ascii="Arial" w:hAnsi="Arial" w:cs="Arial"/>
                <w:b/>
                <w:color w:val="002C47"/>
                <w:sz w:val="36"/>
                <w:szCs w:val="36"/>
              </w:rPr>
              <w:t>Ju</w:t>
            </w:r>
            <w:r w:rsidR="00FC7899">
              <w:rPr>
                <w:rFonts w:ascii="Arial" w:hAnsi="Arial" w:cs="Arial"/>
                <w:b/>
                <w:color w:val="002C47"/>
                <w:sz w:val="36"/>
                <w:szCs w:val="36"/>
              </w:rPr>
              <w:t>ly</w:t>
            </w:r>
            <w:r>
              <w:rPr>
                <w:rFonts w:ascii="Arial" w:hAnsi="Arial" w:cs="Arial"/>
                <w:b/>
                <w:color w:val="002C47"/>
                <w:sz w:val="36"/>
                <w:szCs w:val="36"/>
              </w:rPr>
              <w:t xml:space="preserve"> </w:t>
            </w:r>
            <w:r w:rsidR="00C71CC8">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AB892A1" w14:textId="77777777" w:rsidTr="0032583B">
        <w:trPr>
          <w:trHeight w:val="868"/>
        </w:trPr>
        <w:tc>
          <w:tcPr>
            <w:tcW w:w="9079" w:type="dxa"/>
          </w:tcPr>
          <w:p w14:paraId="3978649C"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8D318C" w:rsidRPr="008D318C">
              <w:rPr>
                <w:color w:val="FFFFFF" w:themeColor="background1"/>
              </w:rPr>
              <w:t>Inotuzumab ozogamicin</w:t>
            </w:r>
          </w:p>
        </w:tc>
      </w:tr>
      <w:tr w:rsidR="0032583B" w:rsidRPr="00B64760" w14:paraId="65D0E8B7" w14:textId="77777777" w:rsidTr="0032583B">
        <w:tc>
          <w:tcPr>
            <w:tcW w:w="9079" w:type="dxa"/>
          </w:tcPr>
          <w:p w14:paraId="75DE2225" w14:textId="77777777" w:rsidR="0032583B" w:rsidRPr="008E7846" w:rsidRDefault="0032583B" w:rsidP="008D318C">
            <w:pPr>
              <w:pStyle w:val="Subtitle"/>
              <w:rPr>
                <w:color w:val="FFFFFF" w:themeColor="background1"/>
              </w:rPr>
            </w:pPr>
            <w:r w:rsidRPr="008E7846">
              <w:rPr>
                <w:color w:val="FFFFFF" w:themeColor="background1"/>
              </w:rPr>
              <w:t>Proprietary Product Name:</w:t>
            </w:r>
            <w:r w:rsidR="006779D9">
              <w:rPr>
                <w:color w:val="FFFFFF" w:themeColor="background1"/>
              </w:rPr>
              <w:t xml:space="preserve"> Besponsa</w:t>
            </w:r>
          </w:p>
        </w:tc>
      </w:tr>
      <w:tr w:rsidR="0032583B" w:rsidRPr="00B64760" w14:paraId="38C5A1F1" w14:textId="77777777" w:rsidTr="0032583B">
        <w:trPr>
          <w:trHeight w:val="486"/>
        </w:trPr>
        <w:tc>
          <w:tcPr>
            <w:tcW w:w="9079" w:type="dxa"/>
          </w:tcPr>
          <w:p w14:paraId="1A7C9750" w14:textId="64FCC42C" w:rsidR="0032583B" w:rsidRPr="008E7846" w:rsidRDefault="0032583B" w:rsidP="0032583B">
            <w:pPr>
              <w:pStyle w:val="Subtitle"/>
              <w:rPr>
                <w:color w:val="FFFFFF" w:themeColor="background1"/>
              </w:rPr>
            </w:pPr>
            <w:r w:rsidRPr="008E7846">
              <w:rPr>
                <w:color w:val="FFFFFF" w:themeColor="background1"/>
              </w:rPr>
              <w:t>Sponsor:</w:t>
            </w:r>
            <w:r w:rsidR="006779D9">
              <w:rPr>
                <w:color w:val="FFFFFF" w:themeColor="background1"/>
              </w:rPr>
              <w:t xml:space="preserve"> </w:t>
            </w:r>
            <w:r w:rsidR="008D318C" w:rsidRPr="008D318C">
              <w:rPr>
                <w:color w:val="FFFFFF" w:themeColor="background1"/>
              </w:rPr>
              <w:t>Pfizer Australia Pty Limited</w:t>
            </w:r>
          </w:p>
        </w:tc>
      </w:tr>
    </w:tbl>
    <w:p w14:paraId="10E27824" w14:textId="77777777" w:rsidR="008E7846" w:rsidRPr="0085156D" w:rsidRDefault="008E7846" w:rsidP="0085156D">
      <w:r w:rsidRPr="0085156D">
        <w:br w:type="page"/>
      </w:r>
    </w:p>
    <w:p w14:paraId="5B27AB88" w14:textId="77777777" w:rsidR="008E7846" w:rsidRPr="001F6CBA" w:rsidRDefault="008E7846" w:rsidP="008E7846">
      <w:pPr>
        <w:pStyle w:val="NonTOCHeading2"/>
      </w:pPr>
      <w:r w:rsidRPr="001F6CBA">
        <w:lastRenderedPageBreak/>
        <w:t>About the Therapeutic Goods Administration (TGA)</w:t>
      </w:r>
    </w:p>
    <w:p w14:paraId="1BEC71ED" w14:textId="77777777" w:rsidR="008E7846" w:rsidRDefault="008E7846" w:rsidP="008A74B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8DB4BB1" w14:textId="77777777" w:rsidR="008E7846" w:rsidRDefault="00C80137" w:rsidP="008A74B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FF3A0C9" w14:textId="77777777" w:rsidR="008E7846" w:rsidRDefault="008E7846" w:rsidP="008A74B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06C36E7" w14:textId="77777777" w:rsidR="008E7846" w:rsidRDefault="008E7846" w:rsidP="008A74B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2832DBD" w14:textId="239306ED" w:rsidR="00441C3F" w:rsidRDefault="008E7846" w:rsidP="008A74BD">
      <w:pPr>
        <w:pStyle w:val="ListBullet"/>
        <w:numPr>
          <w:ilvl w:val="0"/>
          <w:numId w:val="1"/>
        </w:numPr>
        <w:ind w:left="357" w:hanging="357"/>
      </w:pPr>
      <w:r>
        <w:t xml:space="preserve">To report a problem with a medicine or medical device, please see the information on </w:t>
      </w:r>
      <w:r w:rsidR="00441C3F">
        <w:t>the TGA website &lt;</w:t>
      </w:r>
      <w:hyperlink r:id="rId10" w:history="1">
        <w:r w:rsidR="00441C3F">
          <w:rPr>
            <w:rStyle w:val="Hyperlink"/>
          </w:rPr>
          <w:t>https://www.tga.gov.au</w:t>
        </w:r>
      </w:hyperlink>
      <w:r w:rsidR="00EF795A">
        <w:t>&gt;</w:t>
      </w:r>
    </w:p>
    <w:p w14:paraId="7D7E5BD6" w14:textId="77777777" w:rsidR="008E7846" w:rsidRDefault="008E7846" w:rsidP="00875A6B">
      <w:pPr>
        <w:pStyle w:val="NonTOCHeading2"/>
      </w:pPr>
      <w:r>
        <w:t xml:space="preserve">About </w:t>
      </w:r>
      <w:proofErr w:type="spellStart"/>
      <w:r>
        <w:t>AusPARs</w:t>
      </w:r>
      <w:proofErr w:type="spellEnd"/>
    </w:p>
    <w:p w14:paraId="73961914" w14:textId="77777777" w:rsidR="008E7846" w:rsidRDefault="008E7846" w:rsidP="008A74B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04CFA3E" w14:textId="77777777" w:rsidR="008E7846" w:rsidRDefault="008E7846" w:rsidP="008A74BD">
      <w:pPr>
        <w:pStyle w:val="ListBullet"/>
        <w:numPr>
          <w:ilvl w:val="0"/>
          <w:numId w:val="1"/>
        </w:numPr>
        <w:ind w:left="357" w:hanging="357"/>
      </w:pPr>
      <w:proofErr w:type="spellStart"/>
      <w:r>
        <w:t>AusPARs</w:t>
      </w:r>
      <w:proofErr w:type="spellEnd"/>
      <w:r>
        <w:t xml:space="preserve"> are prepared and published by the TGA.</w:t>
      </w:r>
    </w:p>
    <w:p w14:paraId="0428FE9C" w14:textId="77777777" w:rsidR="008E7846" w:rsidRDefault="008E7846" w:rsidP="008A74BD">
      <w:pPr>
        <w:pStyle w:val="ListBullet"/>
        <w:numPr>
          <w:ilvl w:val="0"/>
          <w:numId w:val="1"/>
        </w:numPr>
        <w:ind w:left="357" w:hanging="357"/>
      </w:pPr>
      <w:r>
        <w:t>An AusPAR is prepared for submissions that relate to new chemical entities, generic medicines, major variations and extensions of indications.</w:t>
      </w:r>
    </w:p>
    <w:p w14:paraId="33BC513B" w14:textId="77777777" w:rsidR="008E7846" w:rsidRDefault="008E7846" w:rsidP="008A74B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A8524DD" w14:textId="77777777" w:rsidR="00B452CE" w:rsidRDefault="008E7846" w:rsidP="008A74BD">
      <w:pPr>
        <w:pStyle w:val="ListBullet"/>
        <w:numPr>
          <w:ilvl w:val="0"/>
          <w:numId w:val="1"/>
        </w:numPr>
        <w:ind w:left="357" w:hanging="357"/>
      </w:pPr>
      <w:r>
        <w:t>A new AusPAR will be developed to reflect changes to indications and/or major variations to a prescription medicine subject to evaluation by the TGA.</w:t>
      </w:r>
    </w:p>
    <w:p w14:paraId="40E429B9" w14:textId="77777777" w:rsidR="00924482" w:rsidRPr="00DF1D7F" w:rsidRDefault="00924482" w:rsidP="00F54B65">
      <w:pPr>
        <w:pStyle w:val="LegalSubheading"/>
        <w:spacing w:before="3120"/>
      </w:pPr>
      <w:r w:rsidRPr="00DF1D7F">
        <w:t>Copyright</w:t>
      </w:r>
    </w:p>
    <w:p w14:paraId="0C216637" w14:textId="77777777" w:rsidR="00924482" w:rsidRDefault="00924482" w:rsidP="00924482">
      <w:pPr>
        <w:pStyle w:val="LegalCopy"/>
      </w:pPr>
      <w:r w:rsidRPr="00191B3B">
        <w:rPr>
          <w:rFonts w:cs="Arial"/>
          <w:lang w:val="en-GB"/>
        </w:rPr>
        <w:t>© Comm</w:t>
      </w:r>
      <w:r>
        <w:rPr>
          <w:rFonts w:cs="Arial"/>
          <w:lang w:val="en-GB"/>
        </w:rPr>
        <w:t>onwealth of Australia 201</w:t>
      </w:r>
      <w:r w:rsidR="00C71CC8">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proofErr w:type="gramStart"/>
      <w:r w:rsidR="000F385B">
        <w:rPr>
          <w:rFonts w:cs="Arial"/>
        </w:rPr>
        <w:t xml:space="preserve">&gt; </w:t>
      </w:r>
      <w:r w:rsidRPr="00191B3B">
        <w:rPr>
          <w:rFonts w:cs="Arial"/>
        </w:rPr>
        <w:t>.</w:t>
      </w:r>
      <w:proofErr w:type="gramEnd"/>
    </w:p>
    <w:p w14:paraId="785B14CF"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93A3851" w14:textId="77777777" w:rsidR="0089635C" w:rsidRPr="0089635C" w:rsidRDefault="0089635C" w:rsidP="0010788A">
          <w:pPr>
            <w:pStyle w:val="Contents"/>
          </w:pPr>
          <w:r w:rsidRPr="0010788A">
            <w:t>Con</w:t>
          </w:r>
          <w:bookmarkStart w:id="2" w:name="_GoBack"/>
          <w:bookmarkEnd w:id="2"/>
          <w:r w:rsidRPr="0010788A">
            <w:t>tents</w:t>
          </w:r>
        </w:p>
        <w:p w14:paraId="05A6AD2F" w14:textId="77777777" w:rsidR="00F56DA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6505580" w:history="1">
            <w:r w:rsidR="00F56DAD" w:rsidRPr="00630C03">
              <w:rPr>
                <w:rStyle w:val="Hyperlink"/>
                <w:noProof/>
              </w:rPr>
              <w:t>Common abbreviations</w:t>
            </w:r>
            <w:r w:rsidR="00F56DAD">
              <w:rPr>
                <w:noProof/>
                <w:webHidden/>
              </w:rPr>
              <w:tab/>
            </w:r>
            <w:r w:rsidR="00F56DAD">
              <w:rPr>
                <w:noProof/>
                <w:webHidden/>
              </w:rPr>
              <w:fldChar w:fldCharType="begin"/>
            </w:r>
            <w:r w:rsidR="00F56DAD">
              <w:rPr>
                <w:noProof/>
                <w:webHidden/>
              </w:rPr>
              <w:instrText xml:space="preserve"> PAGEREF _Toc16505580 \h </w:instrText>
            </w:r>
            <w:r w:rsidR="00F56DAD">
              <w:rPr>
                <w:noProof/>
                <w:webHidden/>
              </w:rPr>
            </w:r>
            <w:r w:rsidR="00F56DAD">
              <w:rPr>
                <w:noProof/>
                <w:webHidden/>
              </w:rPr>
              <w:fldChar w:fldCharType="separate"/>
            </w:r>
            <w:r w:rsidR="00F56DAD">
              <w:rPr>
                <w:noProof/>
                <w:webHidden/>
              </w:rPr>
              <w:t>5</w:t>
            </w:r>
            <w:r w:rsidR="00F56DAD">
              <w:rPr>
                <w:noProof/>
                <w:webHidden/>
              </w:rPr>
              <w:fldChar w:fldCharType="end"/>
            </w:r>
          </w:hyperlink>
        </w:p>
        <w:p w14:paraId="664E9B4B" w14:textId="77777777" w:rsidR="00F56DAD" w:rsidRDefault="00F56DAD">
          <w:pPr>
            <w:pStyle w:val="TOC2"/>
            <w:rPr>
              <w:rFonts w:asciiTheme="minorHAnsi" w:eastAsiaTheme="minorEastAsia" w:hAnsiTheme="minorHAnsi" w:cstheme="minorBidi"/>
              <w:b w:val="0"/>
              <w:noProof/>
              <w:sz w:val="22"/>
              <w:lang w:eastAsia="en-AU"/>
            </w:rPr>
          </w:pPr>
          <w:hyperlink w:anchor="_Toc16505581" w:history="1">
            <w:r w:rsidRPr="00630C03">
              <w:rPr>
                <w:rStyle w:val="Hyperlink"/>
                <w:noProof/>
              </w:rPr>
              <w:t>I. Introduction to product submission</w:t>
            </w:r>
            <w:r>
              <w:rPr>
                <w:noProof/>
                <w:webHidden/>
              </w:rPr>
              <w:tab/>
            </w:r>
            <w:r>
              <w:rPr>
                <w:noProof/>
                <w:webHidden/>
              </w:rPr>
              <w:fldChar w:fldCharType="begin"/>
            </w:r>
            <w:r>
              <w:rPr>
                <w:noProof/>
                <w:webHidden/>
              </w:rPr>
              <w:instrText xml:space="preserve"> PAGEREF _Toc16505581 \h </w:instrText>
            </w:r>
            <w:r>
              <w:rPr>
                <w:noProof/>
                <w:webHidden/>
              </w:rPr>
            </w:r>
            <w:r>
              <w:rPr>
                <w:noProof/>
                <w:webHidden/>
              </w:rPr>
              <w:fldChar w:fldCharType="separate"/>
            </w:r>
            <w:r>
              <w:rPr>
                <w:noProof/>
                <w:webHidden/>
              </w:rPr>
              <w:t>11</w:t>
            </w:r>
            <w:r>
              <w:rPr>
                <w:noProof/>
                <w:webHidden/>
              </w:rPr>
              <w:fldChar w:fldCharType="end"/>
            </w:r>
          </w:hyperlink>
        </w:p>
        <w:p w14:paraId="70A8876D" w14:textId="77777777" w:rsidR="00F56DAD" w:rsidRDefault="00F56DAD">
          <w:pPr>
            <w:pStyle w:val="TOC3"/>
            <w:rPr>
              <w:rFonts w:asciiTheme="minorHAnsi" w:eastAsiaTheme="minorEastAsia" w:hAnsiTheme="minorHAnsi" w:cstheme="minorBidi"/>
              <w:noProof/>
              <w:lang w:eastAsia="en-AU"/>
            </w:rPr>
          </w:pPr>
          <w:hyperlink w:anchor="_Toc16505582" w:history="1">
            <w:r w:rsidRPr="00630C03">
              <w:rPr>
                <w:rStyle w:val="Hyperlink"/>
                <w:noProof/>
                <w:lang w:eastAsia="en-AU"/>
              </w:rPr>
              <w:t>Submission details</w:t>
            </w:r>
            <w:r>
              <w:rPr>
                <w:noProof/>
                <w:webHidden/>
              </w:rPr>
              <w:tab/>
            </w:r>
            <w:r>
              <w:rPr>
                <w:noProof/>
                <w:webHidden/>
              </w:rPr>
              <w:fldChar w:fldCharType="begin"/>
            </w:r>
            <w:r>
              <w:rPr>
                <w:noProof/>
                <w:webHidden/>
              </w:rPr>
              <w:instrText xml:space="preserve"> PAGEREF _Toc16505582 \h </w:instrText>
            </w:r>
            <w:r>
              <w:rPr>
                <w:noProof/>
                <w:webHidden/>
              </w:rPr>
            </w:r>
            <w:r>
              <w:rPr>
                <w:noProof/>
                <w:webHidden/>
              </w:rPr>
              <w:fldChar w:fldCharType="separate"/>
            </w:r>
            <w:r>
              <w:rPr>
                <w:noProof/>
                <w:webHidden/>
              </w:rPr>
              <w:t>11</w:t>
            </w:r>
            <w:r>
              <w:rPr>
                <w:noProof/>
                <w:webHidden/>
              </w:rPr>
              <w:fldChar w:fldCharType="end"/>
            </w:r>
          </w:hyperlink>
        </w:p>
        <w:p w14:paraId="0C60521E" w14:textId="77777777" w:rsidR="00F56DAD" w:rsidRDefault="00F56DAD">
          <w:pPr>
            <w:pStyle w:val="TOC3"/>
            <w:rPr>
              <w:rFonts w:asciiTheme="minorHAnsi" w:eastAsiaTheme="minorEastAsia" w:hAnsiTheme="minorHAnsi" w:cstheme="minorBidi"/>
              <w:noProof/>
              <w:lang w:eastAsia="en-AU"/>
            </w:rPr>
          </w:pPr>
          <w:hyperlink w:anchor="_Toc16505583" w:history="1">
            <w:r w:rsidRPr="00630C03">
              <w:rPr>
                <w:rStyle w:val="Hyperlink"/>
                <w:noProof/>
              </w:rPr>
              <w:t>Product background</w:t>
            </w:r>
            <w:r>
              <w:rPr>
                <w:noProof/>
                <w:webHidden/>
              </w:rPr>
              <w:tab/>
            </w:r>
            <w:r>
              <w:rPr>
                <w:noProof/>
                <w:webHidden/>
              </w:rPr>
              <w:fldChar w:fldCharType="begin"/>
            </w:r>
            <w:r>
              <w:rPr>
                <w:noProof/>
                <w:webHidden/>
              </w:rPr>
              <w:instrText xml:space="preserve"> PAGEREF _Toc16505583 \h </w:instrText>
            </w:r>
            <w:r>
              <w:rPr>
                <w:noProof/>
                <w:webHidden/>
              </w:rPr>
            </w:r>
            <w:r>
              <w:rPr>
                <w:noProof/>
                <w:webHidden/>
              </w:rPr>
              <w:fldChar w:fldCharType="separate"/>
            </w:r>
            <w:r>
              <w:rPr>
                <w:noProof/>
                <w:webHidden/>
              </w:rPr>
              <w:t>12</w:t>
            </w:r>
            <w:r>
              <w:rPr>
                <w:noProof/>
                <w:webHidden/>
              </w:rPr>
              <w:fldChar w:fldCharType="end"/>
            </w:r>
          </w:hyperlink>
        </w:p>
        <w:p w14:paraId="663B0391" w14:textId="77777777" w:rsidR="00F56DAD" w:rsidRDefault="00F56DAD">
          <w:pPr>
            <w:pStyle w:val="TOC3"/>
            <w:rPr>
              <w:rFonts w:asciiTheme="minorHAnsi" w:eastAsiaTheme="minorEastAsia" w:hAnsiTheme="minorHAnsi" w:cstheme="minorBidi"/>
              <w:noProof/>
              <w:lang w:eastAsia="en-AU"/>
            </w:rPr>
          </w:pPr>
          <w:hyperlink w:anchor="_Toc16505584" w:history="1">
            <w:r w:rsidRPr="00630C03">
              <w:rPr>
                <w:rStyle w:val="Hyperlink"/>
                <w:noProof/>
              </w:rPr>
              <w:t>Regulatory status</w:t>
            </w:r>
            <w:r>
              <w:rPr>
                <w:noProof/>
                <w:webHidden/>
              </w:rPr>
              <w:tab/>
            </w:r>
            <w:r>
              <w:rPr>
                <w:noProof/>
                <w:webHidden/>
              </w:rPr>
              <w:fldChar w:fldCharType="begin"/>
            </w:r>
            <w:r>
              <w:rPr>
                <w:noProof/>
                <w:webHidden/>
              </w:rPr>
              <w:instrText xml:space="preserve"> PAGEREF _Toc16505584 \h </w:instrText>
            </w:r>
            <w:r>
              <w:rPr>
                <w:noProof/>
                <w:webHidden/>
              </w:rPr>
            </w:r>
            <w:r>
              <w:rPr>
                <w:noProof/>
                <w:webHidden/>
              </w:rPr>
              <w:fldChar w:fldCharType="separate"/>
            </w:r>
            <w:r>
              <w:rPr>
                <w:noProof/>
                <w:webHidden/>
              </w:rPr>
              <w:t>12</w:t>
            </w:r>
            <w:r>
              <w:rPr>
                <w:noProof/>
                <w:webHidden/>
              </w:rPr>
              <w:fldChar w:fldCharType="end"/>
            </w:r>
          </w:hyperlink>
        </w:p>
        <w:p w14:paraId="0104B423" w14:textId="77777777" w:rsidR="00F56DAD" w:rsidRDefault="00F56DAD">
          <w:pPr>
            <w:pStyle w:val="TOC3"/>
            <w:rPr>
              <w:rFonts w:asciiTheme="minorHAnsi" w:eastAsiaTheme="minorEastAsia" w:hAnsiTheme="minorHAnsi" w:cstheme="minorBidi"/>
              <w:noProof/>
              <w:lang w:eastAsia="en-AU"/>
            </w:rPr>
          </w:pPr>
          <w:hyperlink w:anchor="_Toc16505585" w:history="1">
            <w:r w:rsidRPr="00630C03">
              <w:rPr>
                <w:rStyle w:val="Hyperlink"/>
                <w:noProof/>
              </w:rPr>
              <w:t>Product Information</w:t>
            </w:r>
            <w:r>
              <w:rPr>
                <w:noProof/>
                <w:webHidden/>
              </w:rPr>
              <w:tab/>
            </w:r>
            <w:r>
              <w:rPr>
                <w:noProof/>
                <w:webHidden/>
              </w:rPr>
              <w:fldChar w:fldCharType="begin"/>
            </w:r>
            <w:r>
              <w:rPr>
                <w:noProof/>
                <w:webHidden/>
              </w:rPr>
              <w:instrText xml:space="preserve"> PAGEREF _Toc16505585 \h </w:instrText>
            </w:r>
            <w:r>
              <w:rPr>
                <w:noProof/>
                <w:webHidden/>
              </w:rPr>
            </w:r>
            <w:r>
              <w:rPr>
                <w:noProof/>
                <w:webHidden/>
              </w:rPr>
              <w:fldChar w:fldCharType="separate"/>
            </w:r>
            <w:r>
              <w:rPr>
                <w:noProof/>
                <w:webHidden/>
              </w:rPr>
              <w:t>13</w:t>
            </w:r>
            <w:r>
              <w:rPr>
                <w:noProof/>
                <w:webHidden/>
              </w:rPr>
              <w:fldChar w:fldCharType="end"/>
            </w:r>
          </w:hyperlink>
        </w:p>
        <w:p w14:paraId="2C7F49C1" w14:textId="77777777" w:rsidR="00F56DAD" w:rsidRDefault="00F56DAD">
          <w:pPr>
            <w:pStyle w:val="TOC2"/>
            <w:rPr>
              <w:rFonts w:asciiTheme="minorHAnsi" w:eastAsiaTheme="minorEastAsia" w:hAnsiTheme="minorHAnsi" w:cstheme="minorBidi"/>
              <w:b w:val="0"/>
              <w:noProof/>
              <w:sz w:val="22"/>
              <w:lang w:eastAsia="en-AU"/>
            </w:rPr>
          </w:pPr>
          <w:hyperlink w:anchor="_Toc16505586" w:history="1">
            <w:r w:rsidRPr="00630C03">
              <w:rPr>
                <w:rStyle w:val="Hyperlink"/>
                <w:noProof/>
              </w:rPr>
              <w:t>II. Registration time line</w:t>
            </w:r>
            <w:r>
              <w:rPr>
                <w:noProof/>
                <w:webHidden/>
              </w:rPr>
              <w:tab/>
            </w:r>
            <w:r>
              <w:rPr>
                <w:noProof/>
                <w:webHidden/>
              </w:rPr>
              <w:fldChar w:fldCharType="begin"/>
            </w:r>
            <w:r>
              <w:rPr>
                <w:noProof/>
                <w:webHidden/>
              </w:rPr>
              <w:instrText xml:space="preserve"> PAGEREF _Toc16505586 \h </w:instrText>
            </w:r>
            <w:r>
              <w:rPr>
                <w:noProof/>
                <w:webHidden/>
              </w:rPr>
            </w:r>
            <w:r>
              <w:rPr>
                <w:noProof/>
                <w:webHidden/>
              </w:rPr>
              <w:fldChar w:fldCharType="separate"/>
            </w:r>
            <w:r>
              <w:rPr>
                <w:noProof/>
                <w:webHidden/>
              </w:rPr>
              <w:t>13</w:t>
            </w:r>
            <w:r>
              <w:rPr>
                <w:noProof/>
                <w:webHidden/>
              </w:rPr>
              <w:fldChar w:fldCharType="end"/>
            </w:r>
          </w:hyperlink>
        </w:p>
        <w:p w14:paraId="2A3D3CF2" w14:textId="77777777" w:rsidR="00F56DAD" w:rsidRDefault="00F56DAD">
          <w:pPr>
            <w:pStyle w:val="TOC2"/>
            <w:rPr>
              <w:rFonts w:asciiTheme="minorHAnsi" w:eastAsiaTheme="minorEastAsia" w:hAnsiTheme="minorHAnsi" w:cstheme="minorBidi"/>
              <w:b w:val="0"/>
              <w:noProof/>
              <w:sz w:val="22"/>
              <w:lang w:eastAsia="en-AU"/>
            </w:rPr>
          </w:pPr>
          <w:hyperlink w:anchor="_Toc16505587" w:history="1">
            <w:r w:rsidRPr="00630C03">
              <w:rPr>
                <w:rStyle w:val="Hyperlink"/>
                <w:noProof/>
              </w:rPr>
              <w:t>III. Quality findings</w:t>
            </w:r>
            <w:r>
              <w:rPr>
                <w:noProof/>
                <w:webHidden/>
              </w:rPr>
              <w:tab/>
            </w:r>
            <w:r>
              <w:rPr>
                <w:noProof/>
                <w:webHidden/>
              </w:rPr>
              <w:fldChar w:fldCharType="begin"/>
            </w:r>
            <w:r>
              <w:rPr>
                <w:noProof/>
                <w:webHidden/>
              </w:rPr>
              <w:instrText xml:space="preserve"> PAGEREF _Toc16505587 \h </w:instrText>
            </w:r>
            <w:r>
              <w:rPr>
                <w:noProof/>
                <w:webHidden/>
              </w:rPr>
            </w:r>
            <w:r>
              <w:rPr>
                <w:noProof/>
                <w:webHidden/>
              </w:rPr>
              <w:fldChar w:fldCharType="separate"/>
            </w:r>
            <w:r>
              <w:rPr>
                <w:noProof/>
                <w:webHidden/>
              </w:rPr>
              <w:t>14</w:t>
            </w:r>
            <w:r>
              <w:rPr>
                <w:noProof/>
                <w:webHidden/>
              </w:rPr>
              <w:fldChar w:fldCharType="end"/>
            </w:r>
          </w:hyperlink>
        </w:p>
        <w:p w14:paraId="0A57C800" w14:textId="77777777" w:rsidR="00F56DAD" w:rsidRDefault="00F56DAD">
          <w:pPr>
            <w:pStyle w:val="TOC3"/>
            <w:rPr>
              <w:rFonts w:asciiTheme="minorHAnsi" w:eastAsiaTheme="minorEastAsia" w:hAnsiTheme="minorHAnsi" w:cstheme="minorBidi"/>
              <w:noProof/>
              <w:lang w:eastAsia="en-AU"/>
            </w:rPr>
          </w:pPr>
          <w:hyperlink w:anchor="_Toc16505588" w:history="1">
            <w:r w:rsidRPr="00630C03">
              <w:rPr>
                <w:rStyle w:val="Hyperlink"/>
                <w:noProof/>
              </w:rPr>
              <w:t>Drug substance (active ingredient)</w:t>
            </w:r>
            <w:r>
              <w:rPr>
                <w:noProof/>
                <w:webHidden/>
              </w:rPr>
              <w:tab/>
            </w:r>
            <w:r>
              <w:rPr>
                <w:noProof/>
                <w:webHidden/>
              </w:rPr>
              <w:fldChar w:fldCharType="begin"/>
            </w:r>
            <w:r>
              <w:rPr>
                <w:noProof/>
                <w:webHidden/>
              </w:rPr>
              <w:instrText xml:space="preserve"> PAGEREF _Toc16505588 \h </w:instrText>
            </w:r>
            <w:r>
              <w:rPr>
                <w:noProof/>
                <w:webHidden/>
              </w:rPr>
            </w:r>
            <w:r>
              <w:rPr>
                <w:noProof/>
                <w:webHidden/>
              </w:rPr>
              <w:fldChar w:fldCharType="separate"/>
            </w:r>
            <w:r>
              <w:rPr>
                <w:noProof/>
                <w:webHidden/>
              </w:rPr>
              <w:t>14</w:t>
            </w:r>
            <w:r>
              <w:rPr>
                <w:noProof/>
                <w:webHidden/>
              </w:rPr>
              <w:fldChar w:fldCharType="end"/>
            </w:r>
          </w:hyperlink>
        </w:p>
        <w:p w14:paraId="64A06D0B" w14:textId="77777777" w:rsidR="00F56DAD" w:rsidRDefault="00F56DAD">
          <w:pPr>
            <w:pStyle w:val="TOC3"/>
            <w:rPr>
              <w:rFonts w:asciiTheme="minorHAnsi" w:eastAsiaTheme="minorEastAsia" w:hAnsiTheme="minorHAnsi" w:cstheme="minorBidi"/>
              <w:noProof/>
              <w:lang w:eastAsia="en-AU"/>
            </w:rPr>
          </w:pPr>
          <w:hyperlink w:anchor="_Toc16505589" w:history="1">
            <w:r w:rsidRPr="00630C03">
              <w:rPr>
                <w:rStyle w:val="Hyperlink"/>
                <w:noProof/>
              </w:rPr>
              <w:t>Drug product</w:t>
            </w:r>
            <w:r>
              <w:rPr>
                <w:noProof/>
                <w:webHidden/>
              </w:rPr>
              <w:tab/>
            </w:r>
            <w:r>
              <w:rPr>
                <w:noProof/>
                <w:webHidden/>
              </w:rPr>
              <w:fldChar w:fldCharType="begin"/>
            </w:r>
            <w:r>
              <w:rPr>
                <w:noProof/>
                <w:webHidden/>
              </w:rPr>
              <w:instrText xml:space="preserve"> PAGEREF _Toc16505589 \h </w:instrText>
            </w:r>
            <w:r>
              <w:rPr>
                <w:noProof/>
                <w:webHidden/>
              </w:rPr>
            </w:r>
            <w:r>
              <w:rPr>
                <w:noProof/>
                <w:webHidden/>
              </w:rPr>
              <w:fldChar w:fldCharType="separate"/>
            </w:r>
            <w:r>
              <w:rPr>
                <w:noProof/>
                <w:webHidden/>
              </w:rPr>
              <w:t>16</w:t>
            </w:r>
            <w:r>
              <w:rPr>
                <w:noProof/>
                <w:webHidden/>
              </w:rPr>
              <w:fldChar w:fldCharType="end"/>
            </w:r>
          </w:hyperlink>
        </w:p>
        <w:p w14:paraId="79843AA9" w14:textId="77777777" w:rsidR="00F56DAD" w:rsidRDefault="00F56DAD">
          <w:pPr>
            <w:pStyle w:val="TOC3"/>
            <w:rPr>
              <w:rFonts w:asciiTheme="minorHAnsi" w:eastAsiaTheme="minorEastAsia" w:hAnsiTheme="minorHAnsi" w:cstheme="minorBidi"/>
              <w:noProof/>
              <w:lang w:eastAsia="en-AU"/>
            </w:rPr>
          </w:pPr>
          <w:hyperlink w:anchor="_Toc16505590" w:history="1">
            <w:r w:rsidRPr="00630C03">
              <w:rPr>
                <w:rStyle w:val="Hyperlink"/>
                <w:noProof/>
              </w:rPr>
              <w:t>Quality summary and conclusions</w:t>
            </w:r>
            <w:r>
              <w:rPr>
                <w:noProof/>
                <w:webHidden/>
              </w:rPr>
              <w:tab/>
            </w:r>
            <w:r>
              <w:rPr>
                <w:noProof/>
                <w:webHidden/>
              </w:rPr>
              <w:fldChar w:fldCharType="begin"/>
            </w:r>
            <w:r>
              <w:rPr>
                <w:noProof/>
                <w:webHidden/>
              </w:rPr>
              <w:instrText xml:space="preserve"> PAGEREF _Toc16505590 \h </w:instrText>
            </w:r>
            <w:r>
              <w:rPr>
                <w:noProof/>
                <w:webHidden/>
              </w:rPr>
            </w:r>
            <w:r>
              <w:rPr>
                <w:noProof/>
                <w:webHidden/>
              </w:rPr>
              <w:fldChar w:fldCharType="separate"/>
            </w:r>
            <w:r>
              <w:rPr>
                <w:noProof/>
                <w:webHidden/>
              </w:rPr>
              <w:t>16</w:t>
            </w:r>
            <w:r>
              <w:rPr>
                <w:noProof/>
                <w:webHidden/>
              </w:rPr>
              <w:fldChar w:fldCharType="end"/>
            </w:r>
          </w:hyperlink>
        </w:p>
        <w:p w14:paraId="60CB710F" w14:textId="77777777" w:rsidR="00F56DAD" w:rsidRDefault="00F56DAD">
          <w:pPr>
            <w:pStyle w:val="TOC2"/>
            <w:rPr>
              <w:rFonts w:asciiTheme="minorHAnsi" w:eastAsiaTheme="minorEastAsia" w:hAnsiTheme="minorHAnsi" w:cstheme="minorBidi"/>
              <w:b w:val="0"/>
              <w:noProof/>
              <w:sz w:val="22"/>
              <w:lang w:eastAsia="en-AU"/>
            </w:rPr>
          </w:pPr>
          <w:hyperlink w:anchor="_Toc16505591" w:history="1">
            <w:r w:rsidRPr="00630C03">
              <w:rPr>
                <w:rStyle w:val="Hyperlink"/>
                <w:noProof/>
              </w:rPr>
              <w:t>IV. Nonclinical findings</w:t>
            </w:r>
            <w:r>
              <w:rPr>
                <w:noProof/>
                <w:webHidden/>
              </w:rPr>
              <w:tab/>
            </w:r>
            <w:r>
              <w:rPr>
                <w:noProof/>
                <w:webHidden/>
              </w:rPr>
              <w:fldChar w:fldCharType="begin"/>
            </w:r>
            <w:r>
              <w:rPr>
                <w:noProof/>
                <w:webHidden/>
              </w:rPr>
              <w:instrText xml:space="preserve"> PAGEREF _Toc16505591 \h </w:instrText>
            </w:r>
            <w:r>
              <w:rPr>
                <w:noProof/>
                <w:webHidden/>
              </w:rPr>
            </w:r>
            <w:r>
              <w:rPr>
                <w:noProof/>
                <w:webHidden/>
              </w:rPr>
              <w:fldChar w:fldCharType="separate"/>
            </w:r>
            <w:r>
              <w:rPr>
                <w:noProof/>
                <w:webHidden/>
              </w:rPr>
              <w:t>17</w:t>
            </w:r>
            <w:r>
              <w:rPr>
                <w:noProof/>
                <w:webHidden/>
              </w:rPr>
              <w:fldChar w:fldCharType="end"/>
            </w:r>
          </w:hyperlink>
        </w:p>
        <w:p w14:paraId="77BD3C77" w14:textId="77777777" w:rsidR="00F56DAD" w:rsidRDefault="00F56DAD">
          <w:pPr>
            <w:pStyle w:val="TOC3"/>
            <w:rPr>
              <w:rFonts w:asciiTheme="minorHAnsi" w:eastAsiaTheme="minorEastAsia" w:hAnsiTheme="minorHAnsi" w:cstheme="minorBidi"/>
              <w:noProof/>
              <w:lang w:eastAsia="en-AU"/>
            </w:rPr>
          </w:pPr>
          <w:hyperlink w:anchor="_Toc16505592" w:history="1">
            <w:r w:rsidRPr="00630C03">
              <w:rPr>
                <w:rStyle w:val="Hyperlink"/>
                <w:noProof/>
              </w:rPr>
              <w:t>Introduction</w:t>
            </w:r>
            <w:r>
              <w:rPr>
                <w:noProof/>
                <w:webHidden/>
              </w:rPr>
              <w:tab/>
            </w:r>
            <w:r>
              <w:rPr>
                <w:noProof/>
                <w:webHidden/>
              </w:rPr>
              <w:fldChar w:fldCharType="begin"/>
            </w:r>
            <w:r>
              <w:rPr>
                <w:noProof/>
                <w:webHidden/>
              </w:rPr>
              <w:instrText xml:space="preserve"> PAGEREF _Toc16505592 \h </w:instrText>
            </w:r>
            <w:r>
              <w:rPr>
                <w:noProof/>
                <w:webHidden/>
              </w:rPr>
            </w:r>
            <w:r>
              <w:rPr>
                <w:noProof/>
                <w:webHidden/>
              </w:rPr>
              <w:fldChar w:fldCharType="separate"/>
            </w:r>
            <w:r>
              <w:rPr>
                <w:noProof/>
                <w:webHidden/>
              </w:rPr>
              <w:t>17</w:t>
            </w:r>
            <w:r>
              <w:rPr>
                <w:noProof/>
                <w:webHidden/>
              </w:rPr>
              <w:fldChar w:fldCharType="end"/>
            </w:r>
          </w:hyperlink>
        </w:p>
        <w:p w14:paraId="31C59046" w14:textId="77777777" w:rsidR="00F56DAD" w:rsidRDefault="00F56DAD">
          <w:pPr>
            <w:pStyle w:val="TOC3"/>
            <w:rPr>
              <w:rFonts w:asciiTheme="minorHAnsi" w:eastAsiaTheme="minorEastAsia" w:hAnsiTheme="minorHAnsi" w:cstheme="minorBidi"/>
              <w:noProof/>
              <w:lang w:eastAsia="en-AU"/>
            </w:rPr>
          </w:pPr>
          <w:hyperlink w:anchor="_Toc16505593" w:history="1">
            <w:r w:rsidRPr="00630C03">
              <w:rPr>
                <w:rStyle w:val="Hyperlink"/>
                <w:noProof/>
              </w:rPr>
              <w:t>Pharmacology</w:t>
            </w:r>
            <w:r>
              <w:rPr>
                <w:noProof/>
                <w:webHidden/>
              </w:rPr>
              <w:tab/>
            </w:r>
            <w:r>
              <w:rPr>
                <w:noProof/>
                <w:webHidden/>
              </w:rPr>
              <w:fldChar w:fldCharType="begin"/>
            </w:r>
            <w:r>
              <w:rPr>
                <w:noProof/>
                <w:webHidden/>
              </w:rPr>
              <w:instrText xml:space="preserve"> PAGEREF _Toc16505593 \h </w:instrText>
            </w:r>
            <w:r>
              <w:rPr>
                <w:noProof/>
                <w:webHidden/>
              </w:rPr>
            </w:r>
            <w:r>
              <w:rPr>
                <w:noProof/>
                <w:webHidden/>
              </w:rPr>
              <w:fldChar w:fldCharType="separate"/>
            </w:r>
            <w:r>
              <w:rPr>
                <w:noProof/>
                <w:webHidden/>
              </w:rPr>
              <w:t>17</w:t>
            </w:r>
            <w:r>
              <w:rPr>
                <w:noProof/>
                <w:webHidden/>
              </w:rPr>
              <w:fldChar w:fldCharType="end"/>
            </w:r>
          </w:hyperlink>
        </w:p>
        <w:p w14:paraId="033CAE9E" w14:textId="77777777" w:rsidR="00F56DAD" w:rsidRDefault="00F56DAD">
          <w:pPr>
            <w:pStyle w:val="TOC3"/>
            <w:rPr>
              <w:rFonts w:asciiTheme="minorHAnsi" w:eastAsiaTheme="minorEastAsia" w:hAnsiTheme="minorHAnsi" w:cstheme="minorBidi"/>
              <w:noProof/>
              <w:lang w:eastAsia="en-AU"/>
            </w:rPr>
          </w:pPr>
          <w:hyperlink w:anchor="_Toc16505594" w:history="1">
            <w:r w:rsidRPr="00630C03">
              <w:rPr>
                <w:rStyle w:val="Hyperlink"/>
                <w:noProof/>
                <w:kern w:val="2"/>
              </w:rPr>
              <w:t>Secondary pharmacodynamics and safety pharmacology</w:t>
            </w:r>
            <w:r>
              <w:rPr>
                <w:noProof/>
                <w:webHidden/>
              </w:rPr>
              <w:tab/>
            </w:r>
            <w:r>
              <w:rPr>
                <w:noProof/>
                <w:webHidden/>
              </w:rPr>
              <w:fldChar w:fldCharType="begin"/>
            </w:r>
            <w:r>
              <w:rPr>
                <w:noProof/>
                <w:webHidden/>
              </w:rPr>
              <w:instrText xml:space="preserve"> PAGEREF _Toc16505594 \h </w:instrText>
            </w:r>
            <w:r>
              <w:rPr>
                <w:noProof/>
                <w:webHidden/>
              </w:rPr>
            </w:r>
            <w:r>
              <w:rPr>
                <w:noProof/>
                <w:webHidden/>
              </w:rPr>
              <w:fldChar w:fldCharType="separate"/>
            </w:r>
            <w:r>
              <w:rPr>
                <w:noProof/>
                <w:webHidden/>
              </w:rPr>
              <w:t>19</w:t>
            </w:r>
            <w:r>
              <w:rPr>
                <w:noProof/>
                <w:webHidden/>
              </w:rPr>
              <w:fldChar w:fldCharType="end"/>
            </w:r>
          </w:hyperlink>
        </w:p>
        <w:p w14:paraId="4A038710" w14:textId="77777777" w:rsidR="00F56DAD" w:rsidRDefault="00F56DAD">
          <w:pPr>
            <w:pStyle w:val="TOC3"/>
            <w:rPr>
              <w:rFonts w:asciiTheme="minorHAnsi" w:eastAsiaTheme="minorEastAsia" w:hAnsiTheme="minorHAnsi" w:cstheme="minorBidi"/>
              <w:noProof/>
              <w:lang w:eastAsia="en-AU"/>
            </w:rPr>
          </w:pPr>
          <w:hyperlink w:anchor="_Toc16505595" w:history="1">
            <w:r w:rsidRPr="00630C03">
              <w:rPr>
                <w:rStyle w:val="Hyperlink"/>
                <w:noProof/>
              </w:rPr>
              <w:t>Toxicology</w:t>
            </w:r>
            <w:r>
              <w:rPr>
                <w:noProof/>
                <w:webHidden/>
              </w:rPr>
              <w:tab/>
            </w:r>
            <w:r>
              <w:rPr>
                <w:noProof/>
                <w:webHidden/>
              </w:rPr>
              <w:fldChar w:fldCharType="begin"/>
            </w:r>
            <w:r>
              <w:rPr>
                <w:noProof/>
                <w:webHidden/>
              </w:rPr>
              <w:instrText xml:space="preserve"> PAGEREF _Toc16505595 \h </w:instrText>
            </w:r>
            <w:r>
              <w:rPr>
                <w:noProof/>
                <w:webHidden/>
              </w:rPr>
            </w:r>
            <w:r>
              <w:rPr>
                <w:noProof/>
                <w:webHidden/>
              </w:rPr>
              <w:fldChar w:fldCharType="separate"/>
            </w:r>
            <w:r>
              <w:rPr>
                <w:noProof/>
                <w:webHidden/>
              </w:rPr>
              <w:t>21</w:t>
            </w:r>
            <w:r>
              <w:rPr>
                <w:noProof/>
                <w:webHidden/>
              </w:rPr>
              <w:fldChar w:fldCharType="end"/>
            </w:r>
          </w:hyperlink>
        </w:p>
        <w:p w14:paraId="04615C57" w14:textId="77777777" w:rsidR="00F56DAD" w:rsidRDefault="00F56DAD">
          <w:pPr>
            <w:pStyle w:val="TOC3"/>
            <w:rPr>
              <w:rFonts w:asciiTheme="minorHAnsi" w:eastAsiaTheme="minorEastAsia" w:hAnsiTheme="minorHAnsi" w:cstheme="minorBidi"/>
              <w:noProof/>
              <w:lang w:eastAsia="en-AU"/>
            </w:rPr>
          </w:pPr>
          <w:hyperlink w:anchor="_Toc16505596" w:history="1">
            <w:r w:rsidRPr="00630C03">
              <w:rPr>
                <w:rStyle w:val="Hyperlink"/>
                <w:noProof/>
                <w:kern w:val="2"/>
              </w:rPr>
              <w:t>Repeat dose toxicity</w:t>
            </w:r>
            <w:r>
              <w:rPr>
                <w:noProof/>
                <w:webHidden/>
              </w:rPr>
              <w:tab/>
            </w:r>
            <w:r>
              <w:rPr>
                <w:noProof/>
                <w:webHidden/>
              </w:rPr>
              <w:fldChar w:fldCharType="begin"/>
            </w:r>
            <w:r>
              <w:rPr>
                <w:noProof/>
                <w:webHidden/>
              </w:rPr>
              <w:instrText xml:space="preserve"> PAGEREF _Toc16505596 \h </w:instrText>
            </w:r>
            <w:r>
              <w:rPr>
                <w:noProof/>
                <w:webHidden/>
              </w:rPr>
            </w:r>
            <w:r>
              <w:rPr>
                <w:noProof/>
                <w:webHidden/>
              </w:rPr>
              <w:fldChar w:fldCharType="separate"/>
            </w:r>
            <w:r>
              <w:rPr>
                <w:noProof/>
                <w:webHidden/>
              </w:rPr>
              <w:t>22</w:t>
            </w:r>
            <w:r>
              <w:rPr>
                <w:noProof/>
                <w:webHidden/>
              </w:rPr>
              <w:fldChar w:fldCharType="end"/>
            </w:r>
          </w:hyperlink>
        </w:p>
        <w:p w14:paraId="262032D3" w14:textId="77777777" w:rsidR="00F56DAD" w:rsidRDefault="00F56DAD">
          <w:pPr>
            <w:pStyle w:val="TOC3"/>
            <w:rPr>
              <w:rFonts w:asciiTheme="minorHAnsi" w:eastAsiaTheme="minorEastAsia" w:hAnsiTheme="minorHAnsi" w:cstheme="minorBidi"/>
              <w:noProof/>
              <w:lang w:eastAsia="en-AU"/>
            </w:rPr>
          </w:pPr>
          <w:hyperlink w:anchor="_Toc16505597" w:history="1">
            <w:r w:rsidRPr="00630C03">
              <w:rPr>
                <w:rStyle w:val="Hyperlink"/>
                <w:noProof/>
              </w:rPr>
              <w:t>Nonclinical summary and conclusions</w:t>
            </w:r>
            <w:r>
              <w:rPr>
                <w:noProof/>
                <w:webHidden/>
              </w:rPr>
              <w:tab/>
            </w:r>
            <w:r>
              <w:rPr>
                <w:noProof/>
                <w:webHidden/>
              </w:rPr>
              <w:fldChar w:fldCharType="begin"/>
            </w:r>
            <w:r>
              <w:rPr>
                <w:noProof/>
                <w:webHidden/>
              </w:rPr>
              <w:instrText xml:space="preserve"> PAGEREF _Toc16505597 \h </w:instrText>
            </w:r>
            <w:r>
              <w:rPr>
                <w:noProof/>
                <w:webHidden/>
              </w:rPr>
            </w:r>
            <w:r>
              <w:rPr>
                <w:noProof/>
                <w:webHidden/>
              </w:rPr>
              <w:fldChar w:fldCharType="separate"/>
            </w:r>
            <w:r>
              <w:rPr>
                <w:noProof/>
                <w:webHidden/>
              </w:rPr>
              <w:t>31</w:t>
            </w:r>
            <w:r>
              <w:rPr>
                <w:noProof/>
                <w:webHidden/>
              </w:rPr>
              <w:fldChar w:fldCharType="end"/>
            </w:r>
          </w:hyperlink>
        </w:p>
        <w:p w14:paraId="3C4A8B7D" w14:textId="77777777" w:rsidR="00F56DAD" w:rsidRDefault="00F56DAD">
          <w:pPr>
            <w:pStyle w:val="TOC2"/>
            <w:rPr>
              <w:rFonts w:asciiTheme="minorHAnsi" w:eastAsiaTheme="minorEastAsia" w:hAnsiTheme="minorHAnsi" w:cstheme="minorBidi"/>
              <w:b w:val="0"/>
              <w:noProof/>
              <w:sz w:val="22"/>
              <w:lang w:eastAsia="en-AU"/>
            </w:rPr>
          </w:pPr>
          <w:hyperlink w:anchor="_Toc16505598" w:history="1">
            <w:r w:rsidRPr="00630C03">
              <w:rPr>
                <w:rStyle w:val="Hyperlink"/>
                <w:noProof/>
              </w:rPr>
              <w:t>V. Clinical findings</w:t>
            </w:r>
            <w:r>
              <w:rPr>
                <w:noProof/>
                <w:webHidden/>
              </w:rPr>
              <w:tab/>
            </w:r>
            <w:r>
              <w:rPr>
                <w:noProof/>
                <w:webHidden/>
              </w:rPr>
              <w:fldChar w:fldCharType="begin"/>
            </w:r>
            <w:r>
              <w:rPr>
                <w:noProof/>
                <w:webHidden/>
              </w:rPr>
              <w:instrText xml:space="preserve"> PAGEREF _Toc16505598 \h </w:instrText>
            </w:r>
            <w:r>
              <w:rPr>
                <w:noProof/>
                <w:webHidden/>
              </w:rPr>
            </w:r>
            <w:r>
              <w:rPr>
                <w:noProof/>
                <w:webHidden/>
              </w:rPr>
              <w:fldChar w:fldCharType="separate"/>
            </w:r>
            <w:r>
              <w:rPr>
                <w:noProof/>
                <w:webHidden/>
              </w:rPr>
              <w:t>34</w:t>
            </w:r>
            <w:r>
              <w:rPr>
                <w:noProof/>
                <w:webHidden/>
              </w:rPr>
              <w:fldChar w:fldCharType="end"/>
            </w:r>
          </w:hyperlink>
        </w:p>
        <w:p w14:paraId="12D61527" w14:textId="77777777" w:rsidR="00F56DAD" w:rsidRDefault="00F56DAD">
          <w:pPr>
            <w:pStyle w:val="TOC3"/>
            <w:rPr>
              <w:rFonts w:asciiTheme="minorHAnsi" w:eastAsiaTheme="minorEastAsia" w:hAnsiTheme="minorHAnsi" w:cstheme="minorBidi"/>
              <w:noProof/>
              <w:lang w:eastAsia="en-AU"/>
            </w:rPr>
          </w:pPr>
          <w:hyperlink w:anchor="_Toc16505599" w:history="1">
            <w:r w:rsidRPr="00630C03">
              <w:rPr>
                <w:rStyle w:val="Hyperlink"/>
                <w:noProof/>
              </w:rPr>
              <w:t>Introduction</w:t>
            </w:r>
            <w:r>
              <w:rPr>
                <w:noProof/>
                <w:webHidden/>
              </w:rPr>
              <w:tab/>
            </w:r>
            <w:r>
              <w:rPr>
                <w:noProof/>
                <w:webHidden/>
              </w:rPr>
              <w:fldChar w:fldCharType="begin"/>
            </w:r>
            <w:r>
              <w:rPr>
                <w:noProof/>
                <w:webHidden/>
              </w:rPr>
              <w:instrText xml:space="preserve"> PAGEREF _Toc16505599 \h </w:instrText>
            </w:r>
            <w:r>
              <w:rPr>
                <w:noProof/>
                <w:webHidden/>
              </w:rPr>
            </w:r>
            <w:r>
              <w:rPr>
                <w:noProof/>
                <w:webHidden/>
              </w:rPr>
              <w:fldChar w:fldCharType="separate"/>
            </w:r>
            <w:r>
              <w:rPr>
                <w:noProof/>
                <w:webHidden/>
              </w:rPr>
              <w:t>34</w:t>
            </w:r>
            <w:r>
              <w:rPr>
                <w:noProof/>
                <w:webHidden/>
              </w:rPr>
              <w:fldChar w:fldCharType="end"/>
            </w:r>
          </w:hyperlink>
        </w:p>
        <w:p w14:paraId="39F62B5F" w14:textId="77777777" w:rsidR="00F56DAD" w:rsidRDefault="00F56DAD">
          <w:pPr>
            <w:pStyle w:val="TOC3"/>
            <w:rPr>
              <w:rFonts w:asciiTheme="minorHAnsi" w:eastAsiaTheme="minorEastAsia" w:hAnsiTheme="minorHAnsi" w:cstheme="minorBidi"/>
              <w:noProof/>
              <w:lang w:eastAsia="en-AU"/>
            </w:rPr>
          </w:pPr>
          <w:hyperlink w:anchor="_Toc16505600" w:history="1">
            <w:r w:rsidRPr="00630C03">
              <w:rPr>
                <w:rStyle w:val="Hyperlink"/>
                <w:noProof/>
              </w:rPr>
              <w:t>Pharmacokinetics</w:t>
            </w:r>
            <w:r>
              <w:rPr>
                <w:noProof/>
                <w:webHidden/>
              </w:rPr>
              <w:tab/>
            </w:r>
            <w:r>
              <w:rPr>
                <w:noProof/>
                <w:webHidden/>
              </w:rPr>
              <w:fldChar w:fldCharType="begin"/>
            </w:r>
            <w:r>
              <w:rPr>
                <w:noProof/>
                <w:webHidden/>
              </w:rPr>
              <w:instrText xml:space="preserve"> PAGEREF _Toc16505600 \h </w:instrText>
            </w:r>
            <w:r>
              <w:rPr>
                <w:noProof/>
                <w:webHidden/>
              </w:rPr>
            </w:r>
            <w:r>
              <w:rPr>
                <w:noProof/>
                <w:webHidden/>
              </w:rPr>
              <w:fldChar w:fldCharType="separate"/>
            </w:r>
            <w:r>
              <w:rPr>
                <w:noProof/>
                <w:webHidden/>
              </w:rPr>
              <w:t>39</w:t>
            </w:r>
            <w:r>
              <w:rPr>
                <w:noProof/>
                <w:webHidden/>
              </w:rPr>
              <w:fldChar w:fldCharType="end"/>
            </w:r>
          </w:hyperlink>
        </w:p>
        <w:p w14:paraId="33EAA9D0" w14:textId="77777777" w:rsidR="00F56DAD" w:rsidRDefault="00F56DAD">
          <w:pPr>
            <w:pStyle w:val="TOC3"/>
            <w:rPr>
              <w:rFonts w:asciiTheme="minorHAnsi" w:eastAsiaTheme="minorEastAsia" w:hAnsiTheme="minorHAnsi" w:cstheme="minorBidi"/>
              <w:noProof/>
              <w:lang w:eastAsia="en-AU"/>
            </w:rPr>
          </w:pPr>
          <w:hyperlink w:anchor="_Toc16505601" w:history="1">
            <w:r w:rsidRPr="00630C03">
              <w:rPr>
                <w:rStyle w:val="Hyperlink"/>
                <w:noProof/>
              </w:rPr>
              <w:t>Pharmacodynamics</w:t>
            </w:r>
            <w:r>
              <w:rPr>
                <w:noProof/>
                <w:webHidden/>
              </w:rPr>
              <w:tab/>
            </w:r>
            <w:r>
              <w:rPr>
                <w:noProof/>
                <w:webHidden/>
              </w:rPr>
              <w:fldChar w:fldCharType="begin"/>
            </w:r>
            <w:r>
              <w:rPr>
                <w:noProof/>
                <w:webHidden/>
              </w:rPr>
              <w:instrText xml:space="preserve"> PAGEREF _Toc16505601 \h </w:instrText>
            </w:r>
            <w:r>
              <w:rPr>
                <w:noProof/>
                <w:webHidden/>
              </w:rPr>
            </w:r>
            <w:r>
              <w:rPr>
                <w:noProof/>
                <w:webHidden/>
              </w:rPr>
              <w:fldChar w:fldCharType="separate"/>
            </w:r>
            <w:r>
              <w:rPr>
                <w:noProof/>
                <w:webHidden/>
              </w:rPr>
              <w:t>46</w:t>
            </w:r>
            <w:r>
              <w:rPr>
                <w:noProof/>
                <w:webHidden/>
              </w:rPr>
              <w:fldChar w:fldCharType="end"/>
            </w:r>
          </w:hyperlink>
        </w:p>
        <w:p w14:paraId="4C816348" w14:textId="77777777" w:rsidR="00F56DAD" w:rsidRDefault="00F56DAD">
          <w:pPr>
            <w:pStyle w:val="TOC3"/>
            <w:rPr>
              <w:rFonts w:asciiTheme="minorHAnsi" w:eastAsiaTheme="minorEastAsia" w:hAnsiTheme="minorHAnsi" w:cstheme="minorBidi"/>
              <w:noProof/>
              <w:lang w:eastAsia="en-AU"/>
            </w:rPr>
          </w:pPr>
          <w:hyperlink w:anchor="_Toc16505602" w:history="1">
            <w:r w:rsidRPr="00630C03">
              <w:rPr>
                <w:rStyle w:val="Hyperlink"/>
                <w:noProof/>
              </w:rPr>
              <w:t>Dosage selection for the pivotal studies</w:t>
            </w:r>
            <w:r>
              <w:rPr>
                <w:noProof/>
                <w:webHidden/>
              </w:rPr>
              <w:tab/>
            </w:r>
            <w:r>
              <w:rPr>
                <w:noProof/>
                <w:webHidden/>
              </w:rPr>
              <w:fldChar w:fldCharType="begin"/>
            </w:r>
            <w:r>
              <w:rPr>
                <w:noProof/>
                <w:webHidden/>
              </w:rPr>
              <w:instrText xml:space="preserve"> PAGEREF _Toc16505602 \h </w:instrText>
            </w:r>
            <w:r>
              <w:rPr>
                <w:noProof/>
                <w:webHidden/>
              </w:rPr>
            </w:r>
            <w:r>
              <w:rPr>
                <w:noProof/>
                <w:webHidden/>
              </w:rPr>
              <w:fldChar w:fldCharType="separate"/>
            </w:r>
            <w:r>
              <w:rPr>
                <w:noProof/>
                <w:webHidden/>
              </w:rPr>
              <w:t>49</w:t>
            </w:r>
            <w:r>
              <w:rPr>
                <w:noProof/>
                <w:webHidden/>
              </w:rPr>
              <w:fldChar w:fldCharType="end"/>
            </w:r>
          </w:hyperlink>
        </w:p>
        <w:p w14:paraId="1ACAAF61" w14:textId="77777777" w:rsidR="00F56DAD" w:rsidRDefault="00F56DAD">
          <w:pPr>
            <w:pStyle w:val="TOC3"/>
            <w:rPr>
              <w:rFonts w:asciiTheme="minorHAnsi" w:eastAsiaTheme="minorEastAsia" w:hAnsiTheme="minorHAnsi" w:cstheme="minorBidi"/>
              <w:noProof/>
              <w:lang w:eastAsia="en-AU"/>
            </w:rPr>
          </w:pPr>
          <w:hyperlink w:anchor="_Toc16505603" w:history="1">
            <w:r w:rsidRPr="00630C03">
              <w:rPr>
                <w:rStyle w:val="Hyperlink"/>
                <w:noProof/>
              </w:rPr>
              <w:t>Efficacy</w:t>
            </w:r>
            <w:r>
              <w:rPr>
                <w:noProof/>
                <w:webHidden/>
              </w:rPr>
              <w:tab/>
            </w:r>
            <w:r>
              <w:rPr>
                <w:noProof/>
                <w:webHidden/>
              </w:rPr>
              <w:fldChar w:fldCharType="begin"/>
            </w:r>
            <w:r>
              <w:rPr>
                <w:noProof/>
                <w:webHidden/>
              </w:rPr>
              <w:instrText xml:space="preserve"> PAGEREF _Toc16505603 \h </w:instrText>
            </w:r>
            <w:r>
              <w:rPr>
                <w:noProof/>
                <w:webHidden/>
              </w:rPr>
            </w:r>
            <w:r>
              <w:rPr>
                <w:noProof/>
                <w:webHidden/>
              </w:rPr>
              <w:fldChar w:fldCharType="separate"/>
            </w:r>
            <w:r>
              <w:rPr>
                <w:noProof/>
                <w:webHidden/>
              </w:rPr>
              <w:t>51</w:t>
            </w:r>
            <w:r>
              <w:rPr>
                <w:noProof/>
                <w:webHidden/>
              </w:rPr>
              <w:fldChar w:fldCharType="end"/>
            </w:r>
          </w:hyperlink>
        </w:p>
        <w:p w14:paraId="6CB6D721" w14:textId="77777777" w:rsidR="00F56DAD" w:rsidRDefault="00F56DAD">
          <w:pPr>
            <w:pStyle w:val="TOC3"/>
            <w:rPr>
              <w:rFonts w:asciiTheme="minorHAnsi" w:eastAsiaTheme="minorEastAsia" w:hAnsiTheme="minorHAnsi" w:cstheme="minorBidi"/>
              <w:noProof/>
              <w:lang w:eastAsia="en-AU"/>
            </w:rPr>
          </w:pPr>
          <w:hyperlink w:anchor="_Toc16505604" w:history="1">
            <w:r w:rsidRPr="00630C03">
              <w:rPr>
                <w:rStyle w:val="Hyperlink"/>
                <w:noProof/>
              </w:rPr>
              <w:t>Safety</w:t>
            </w:r>
            <w:r>
              <w:rPr>
                <w:noProof/>
                <w:webHidden/>
              </w:rPr>
              <w:tab/>
            </w:r>
            <w:r>
              <w:rPr>
                <w:noProof/>
                <w:webHidden/>
              </w:rPr>
              <w:fldChar w:fldCharType="begin"/>
            </w:r>
            <w:r>
              <w:rPr>
                <w:noProof/>
                <w:webHidden/>
              </w:rPr>
              <w:instrText xml:space="preserve"> PAGEREF _Toc16505604 \h </w:instrText>
            </w:r>
            <w:r>
              <w:rPr>
                <w:noProof/>
                <w:webHidden/>
              </w:rPr>
            </w:r>
            <w:r>
              <w:rPr>
                <w:noProof/>
                <w:webHidden/>
              </w:rPr>
              <w:fldChar w:fldCharType="separate"/>
            </w:r>
            <w:r>
              <w:rPr>
                <w:noProof/>
                <w:webHidden/>
              </w:rPr>
              <w:t>51</w:t>
            </w:r>
            <w:r>
              <w:rPr>
                <w:noProof/>
                <w:webHidden/>
              </w:rPr>
              <w:fldChar w:fldCharType="end"/>
            </w:r>
          </w:hyperlink>
        </w:p>
        <w:p w14:paraId="3D680459" w14:textId="77777777" w:rsidR="00F56DAD" w:rsidRDefault="00F56DAD">
          <w:pPr>
            <w:pStyle w:val="TOC3"/>
            <w:rPr>
              <w:rFonts w:asciiTheme="minorHAnsi" w:eastAsiaTheme="minorEastAsia" w:hAnsiTheme="minorHAnsi" w:cstheme="minorBidi"/>
              <w:noProof/>
              <w:lang w:eastAsia="en-AU"/>
            </w:rPr>
          </w:pPr>
          <w:hyperlink w:anchor="_Toc16505605" w:history="1">
            <w:r w:rsidRPr="00630C03">
              <w:rPr>
                <w:rStyle w:val="Hyperlink"/>
                <w:noProof/>
              </w:rPr>
              <w:t>First round benefit-risk assessment</w:t>
            </w:r>
            <w:r>
              <w:rPr>
                <w:noProof/>
                <w:webHidden/>
              </w:rPr>
              <w:tab/>
            </w:r>
            <w:r>
              <w:rPr>
                <w:noProof/>
                <w:webHidden/>
              </w:rPr>
              <w:fldChar w:fldCharType="begin"/>
            </w:r>
            <w:r>
              <w:rPr>
                <w:noProof/>
                <w:webHidden/>
              </w:rPr>
              <w:instrText xml:space="preserve"> PAGEREF _Toc16505605 \h </w:instrText>
            </w:r>
            <w:r>
              <w:rPr>
                <w:noProof/>
                <w:webHidden/>
              </w:rPr>
            </w:r>
            <w:r>
              <w:rPr>
                <w:noProof/>
                <w:webHidden/>
              </w:rPr>
              <w:fldChar w:fldCharType="separate"/>
            </w:r>
            <w:r>
              <w:rPr>
                <w:noProof/>
                <w:webHidden/>
              </w:rPr>
              <w:t>57</w:t>
            </w:r>
            <w:r>
              <w:rPr>
                <w:noProof/>
                <w:webHidden/>
              </w:rPr>
              <w:fldChar w:fldCharType="end"/>
            </w:r>
          </w:hyperlink>
        </w:p>
        <w:p w14:paraId="5A7BB1CF" w14:textId="77777777" w:rsidR="00F56DAD" w:rsidRDefault="00F56DAD">
          <w:pPr>
            <w:pStyle w:val="TOC3"/>
            <w:rPr>
              <w:rFonts w:asciiTheme="minorHAnsi" w:eastAsiaTheme="minorEastAsia" w:hAnsiTheme="minorHAnsi" w:cstheme="minorBidi"/>
              <w:noProof/>
              <w:lang w:eastAsia="en-AU"/>
            </w:rPr>
          </w:pPr>
          <w:hyperlink w:anchor="_Toc16505606" w:history="1">
            <w:r w:rsidRPr="00630C03">
              <w:rPr>
                <w:rStyle w:val="Hyperlink"/>
                <w:noProof/>
              </w:rPr>
              <w:t>First round recommendation regarding authorisation</w:t>
            </w:r>
            <w:r>
              <w:rPr>
                <w:noProof/>
                <w:webHidden/>
              </w:rPr>
              <w:tab/>
            </w:r>
            <w:r>
              <w:rPr>
                <w:noProof/>
                <w:webHidden/>
              </w:rPr>
              <w:fldChar w:fldCharType="begin"/>
            </w:r>
            <w:r>
              <w:rPr>
                <w:noProof/>
                <w:webHidden/>
              </w:rPr>
              <w:instrText xml:space="preserve"> PAGEREF _Toc16505606 \h </w:instrText>
            </w:r>
            <w:r>
              <w:rPr>
                <w:noProof/>
                <w:webHidden/>
              </w:rPr>
            </w:r>
            <w:r>
              <w:rPr>
                <w:noProof/>
                <w:webHidden/>
              </w:rPr>
              <w:fldChar w:fldCharType="separate"/>
            </w:r>
            <w:r>
              <w:rPr>
                <w:noProof/>
                <w:webHidden/>
              </w:rPr>
              <w:t>67</w:t>
            </w:r>
            <w:r>
              <w:rPr>
                <w:noProof/>
                <w:webHidden/>
              </w:rPr>
              <w:fldChar w:fldCharType="end"/>
            </w:r>
          </w:hyperlink>
        </w:p>
        <w:p w14:paraId="5661261E" w14:textId="77777777" w:rsidR="00F56DAD" w:rsidRDefault="00F56DAD">
          <w:pPr>
            <w:pStyle w:val="TOC3"/>
            <w:rPr>
              <w:rFonts w:asciiTheme="minorHAnsi" w:eastAsiaTheme="minorEastAsia" w:hAnsiTheme="minorHAnsi" w:cstheme="minorBidi"/>
              <w:noProof/>
              <w:lang w:eastAsia="en-AU"/>
            </w:rPr>
          </w:pPr>
          <w:hyperlink w:anchor="_Toc16505607" w:history="1">
            <w:r w:rsidRPr="00630C03">
              <w:rPr>
                <w:rStyle w:val="Hyperlink"/>
                <w:noProof/>
              </w:rPr>
              <w:t>Clinical questions and second round evaluation</w:t>
            </w:r>
            <w:r>
              <w:rPr>
                <w:noProof/>
                <w:webHidden/>
              </w:rPr>
              <w:tab/>
            </w:r>
            <w:r>
              <w:rPr>
                <w:noProof/>
                <w:webHidden/>
              </w:rPr>
              <w:fldChar w:fldCharType="begin"/>
            </w:r>
            <w:r>
              <w:rPr>
                <w:noProof/>
                <w:webHidden/>
              </w:rPr>
              <w:instrText xml:space="preserve"> PAGEREF _Toc16505607 \h </w:instrText>
            </w:r>
            <w:r>
              <w:rPr>
                <w:noProof/>
                <w:webHidden/>
              </w:rPr>
            </w:r>
            <w:r>
              <w:rPr>
                <w:noProof/>
                <w:webHidden/>
              </w:rPr>
              <w:fldChar w:fldCharType="separate"/>
            </w:r>
            <w:r>
              <w:rPr>
                <w:noProof/>
                <w:webHidden/>
              </w:rPr>
              <w:t>67</w:t>
            </w:r>
            <w:r>
              <w:rPr>
                <w:noProof/>
                <w:webHidden/>
              </w:rPr>
              <w:fldChar w:fldCharType="end"/>
            </w:r>
          </w:hyperlink>
        </w:p>
        <w:p w14:paraId="68003785" w14:textId="77777777" w:rsidR="00F56DAD" w:rsidRDefault="00F56DAD">
          <w:pPr>
            <w:pStyle w:val="TOC3"/>
            <w:rPr>
              <w:rFonts w:asciiTheme="minorHAnsi" w:eastAsiaTheme="minorEastAsia" w:hAnsiTheme="minorHAnsi" w:cstheme="minorBidi"/>
              <w:noProof/>
              <w:lang w:eastAsia="en-AU"/>
            </w:rPr>
          </w:pPr>
          <w:hyperlink w:anchor="_Toc16505608" w:history="1">
            <w:r w:rsidRPr="00630C03">
              <w:rPr>
                <w:rStyle w:val="Hyperlink"/>
                <w:noProof/>
              </w:rPr>
              <w:t>Second round benefit-risk assessment</w:t>
            </w:r>
            <w:r>
              <w:rPr>
                <w:noProof/>
                <w:webHidden/>
              </w:rPr>
              <w:tab/>
            </w:r>
            <w:r>
              <w:rPr>
                <w:noProof/>
                <w:webHidden/>
              </w:rPr>
              <w:fldChar w:fldCharType="begin"/>
            </w:r>
            <w:r>
              <w:rPr>
                <w:noProof/>
                <w:webHidden/>
              </w:rPr>
              <w:instrText xml:space="preserve"> PAGEREF _Toc16505608 \h </w:instrText>
            </w:r>
            <w:r>
              <w:rPr>
                <w:noProof/>
                <w:webHidden/>
              </w:rPr>
            </w:r>
            <w:r>
              <w:rPr>
                <w:noProof/>
                <w:webHidden/>
              </w:rPr>
              <w:fldChar w:fldCharType="separate"/>
            </w:r>
            <w:r>
              <w:rPr>
                <w:noProof/>
                <w:webHidden/>
              </w:rPr>
              <w:t>77</w:t>
            </w:r>
            <w:r>
              <w:rPr>
                <w:noProof/>
                <w:webHidden/>
              </w:rPr>
              <w:fldChar w:fldCharType="end"/>
            </w:r>
          </w:hyperlink>
        </w:p>
        <w:p w14:paraId="6B5ED55C" w14:textId="77777777" w:rsidR="00F56DAD" w:rsidRDefault="00F56DAD">
          <w:pPr>
            <w:pStyle w:val="TOC2"/>
            <w:rPr>
              <w:rFonts w:asciiTheme="minorHAnsi" w:eastAsiaTheme="minorEastAsia" w:hAnsiTheme="minorHAnsi" w:cstheme="minorBidi"/>
              <w:b w:val="0"/>
              <w:noProof/>
              <w:sz w:val="22"/>
              <w:lang w:eastAsia="en-AU"/>
            </w:rPr>
          </w:pPr>
          <w:hyperlink w:anchor="_Toc16505609" w:history="1">
            <w:r w:rsidRPr="00630C03">
              <w:rPr>
                <w:rStyle w:val="Hyperlink"/>
                <w:noProof/>
              </w:rPr>
              <w:t>VI. Pharmacovigilance findings</w:t>
            </w:r>
            <w:r>
              <w:rPr>
                <w:noProof/>
                <w:webHidden/>
              </w:rPr>
              <w:tab/>
            </w:r>
            <w:r>
              <w:rPr>
                <w:noProof/>
                <w:webHidden/>
              </w:rPr>
              <w:fldChar w:fldCharType="begin"/>
            </w:r>
            <w:r>
              <w:rPr>
                <w:noProof/>
                <w:webHidden/>
              </w:rPr>
              <w:instrText xml:space="preserve"> PAGEREF _Toc16505609 \h </w:instrText>
            </w:r>
            <w:r>
              <w:rPr>
                <w:noProof/>
                <w:webHidden/>
              </w:rPr>
            </w:r>
            <w:r>
              <w:rPr>
                <w:noProof/>
                <w:webHidden/>
              </w:rPr>
              <w:fldChar w:fldCharType="separate"/>
            </w:r>
            <w:r>
              <w:rPr>
                <w:noProof/>
                <w:webHidden/>
              </w:rPr>
              <w:t>78</w:t>
            </w:r>
            <w:r>
              <w:rPr>
                <w:noProof/>
                <w:webHidden/>
              </w:rPr>
              <w:fldChar w:fldCharType="end"/>
            </w:r>
          </w:hyperlink>
        </w:p>
        <w:p w14:paraId="302C27C7" w14:textId="77777777" w:rsidR="00F56DAD" w:rsidRDefault="00F56DAD">
          <w:pPr>
            <w:pStyle w:val="TOC3"/>
            <w:rPr>
              <w:rFonts w:asciiTheme="minorHAnsi" w:eastAsiaTheme="minorEastAsia" w:hAnsiTheme="minorHAnsi" w:cstheme="minorBidi"/>
              <w:noProof/>
              <w:lang w:eastAsia="en-AU"/>
            </w:rPr>
          </w:pPr>
          <w:hyperlink w:anchor="_Toc16505610" w:history="1">
            <w:r w:rsidRPr="00630C03">
              <w:rPr>
                <w:rStyle w:val="Hyperlink"/>
                <w:noProof/>
              </w:rPr>
              <w:t>Risk management plan</w:t>
            </w:r>
            <w:r>
              <w:rPr>
                <w:noProof/>
                <w:webHidden/>
              </w:rPr>
              <w:tab/>
            </w:r>
            <w:r>
              <w:rPr>
                <w:noProof/>
                <w:webHidden/>
              </w:rPr>
              <w:fldChar w:fldCharType="begin"/>
            </w:r>
            <w:r>
              <w:rPr>
                <w:noProof/>
                <w:webHidden/>
              </w:rPr>
              <w:instrText xml:space="preserve"> PAGEREF _Toc16505610 \h </w:instrText>
            </w:r>
            <w:r>
              <w:rPr>
                <w:noProof/>
                <w:webHidden/>
              </w:rPr>
            </w:r>
            <w:r>
              <w:rPr>
                <w:noProof/>
                <w:webHidden/>
              </w:rPr>
              <w:fldChar w:fldCharType="separate"/>
            </w:r>
            <w:r>
              <w:rPr>
                <w:noProof/>
                <w:webHidden/>
              </w:rPr>
              <w:t>78</w:t>
            </w:r>
            <w:r>
              <w:rPr>
                <w:noProof/>
                <w:webHidden/>
              </w:rPr>
              <w:fldChar w:fldCharType="end"/>
            </w:r>
          </w:hyperlink>
        </w:p>
        <w:p w14:paraId="28FED2CA" w14:textId="77777777" w:rsidR="00F56DAD" w:rsidRDefault="00F56DAD">
          <w:pPr>
            <w:pStyle w:val="TOC2"/>
            <w:rPr>
              <w:rFonts w:asciiTheme="minorHAnsi" w:eastAsiaTheme="minorEastAsia" w:hAnsiTheme="minorHAnsi" w:cstheme="minorBidi"/>
              <w:b w:val="0"/>
              <w:noProof/>
              <w:sz w:val="22"/>
              <w:lang w:eastAsia="en-AU"/>
            </w:rPr>
          </w:pPr>
          <w:hyperlink w:anchor="_Toc16505611" w:history="1">
            <w:r w:rsidRPr="00630C03">
              <w:rPr>
                <w:rStyle w:val="Hyperlink"/>
                <w:noProof/>
              </w:rPr>
              <w:t>VII. Overall conclusion and risk/benefit assessment</w:t>
            </w:r>
            <w:r>
              <w:rPr>
                <w:noProof/>
                <w:webHidden/>
              </w:rPr>
              <w:tab/>
            </w:r>
            <w:r>
              <w:rPr>
                <w:noProof/>
                <w:webHidden/>
              </w:rPr>
              <w:fldChar w:fldCharType="begin"/>
            </w:r>
            <w:r>
              <w:rPr>
                <w:noProof/>
                <w:webHidden/>
              </w:rPr>
              <w:instrText xml:space="preserve"> PAGEREF _Toc16505611 \h </w:instrText>
            </w:r>
            <w:r>
              <w:rPr>
                <w:noProof/>
                <w:webHidden/>
              </w:rPr>
            </w:r>
            <w:r>
              <w:rPr>
                <w:noProof/>
                <w:webHidden/>
              </w:rPr>
              <w:fldChar w:fldCharType="separate"/>
            </w:r>
            <w:r>
              <w:rPr>
                <w:noProof/>
                <w:webHidden/>
              </w:rPr>
              <w:t>80</w:t>
            </w:r>
            <w:r>
              <w:rPr>
                <w:noProof/>
                <w:webHidden/>
              </w:rPr>
              <w:fldChar w:fldCharType="end"/>
            </w:r>
          </w:hyperlink>
        </w:p>
        <w:p w14:paraId="52E94C86" w14:textId="77777777" w:rsidR="00F56DAD" w:rsidRDefault="00F56DAD">
          <w:pPr>
            <w:pStyle w:val="TOC3"/>
            <w:rPr>
              <w:rFonts w:asciiTheme="minorHAnsi" w:eastAsiaTheme="minorEastAsia" w:hAnsiTheme="minorHAnsi" w:cstheme="minorBidi"/>
              <w:noProof/>
              <w:lang w:eastAsia="en-AU"/>
            </w:rPr>
          </w:pPr>
          <w:hyperlink w:anchor="_Toc16505612" w:history="1">
            <w:r w:rsidRPr="00630C03">
              <w:rPr>
                <w:rStyle w:val="Hyperlink"/>
                <w:noProof/>
              </w:rPr>
              <w:t>Introduction</w:t>
            </w:r>
            <w:r>
              <w:rPr>
                <w:noProof/>
                <w:webHidden/>
              </w:rPr>
              <w:tab/>
            </w:r>
            <w:r>
              <w:rPr>
                <w:noProof/>
                <w:webHidden/>
              </w:rPr>
              <w:fldChar w:fldCharType="begin"/>
            </w:r>
            <w:r>
              <w:rPr>
                <w:noProof/>
                <w:webHidden/>
              </w:rPr>
              <w:instrText xml:space="preserve"> PAGEREF _Toc16505612 \h </w:instrText>
            </w:r>
            <w:r>
              <w:rPr>
                <w:noProof/>
                <w:webHidden/>
              </w:rPr>
            </w:r>
            <w:r>
              <w:rPr>
                <w:noProof/>
                <w:webHidden/>
              </w:rPr>
              <w:fldChar w:fldCharType="separate"/>
            </w:r>
            <w:r>
              <w:rPr>
                <w:noProof/>
                <w:webHidden/>
              </w:rPr>
              <w:t>80</w:t>
            </w:r>
            <w:r>
              <w:rPr>
                <w:noProof/>
                <w:webHidden/>
              </w:rPr>
              <w:fldChar w:fldCharType="end"/>
            </w:r>
          </w:hyperlink>
        </w:p>
        <w:p w14:paraId="5B2992E9" w14:textId="77777777" w:rsidR="00F56DAD" w:rsidRDefault="00F56DAD">
          <w:pPr>
            <w:pStyle w:val="TOC3"/>
            <w:rPr>
              <w:rFonts w:asciiTheme="minorHAnsi" w:eastAsiaTheme="minorEastAsia" w:hAnsiTheme="minorHAnsi" w:cstheme="minorBidi"/>
              <w:noProof/>
              <w:lang w:eastAsia="en-AU"/>
            </w:rPr>
          </w:pPr>
          <w:hyperlink w:anchor="_Toc16505613" w:history="1">
            <w:r w:rsidRPr="00630C03">
              <w:rPr>
                <w:rStyle w:val="Hyperlink"/>
                <w:noProof/>
              </w:rPr>
              <w:t>Quality</w:t>
            </w:r>
            <w:r>
              <w:rPr>
                <w:noProof/>
                <w:webHidden/>
              </w:rPr>
              <w:tab/>
            </w:r>
            <w:r>
              <w:rPr>
                <w:noProof/>
                <w:webHidden/>
              </w:rPr>
              <w:fldChar w:fldCharType="begin"/>
            </w:r>
            <w:r>
              <w:rPr>
                <w:noProof/>
                <w:webHidden/>
              </w:rPr>
              <w:instrText xml:space="preserve"> PAGEREF _Toc16505613 \h </w:instrText>
            </w:r>
            <w:r>
              <w:rPr>
                <w:noProof/>
                <w:webHidden/>
              </w:rPr>
            </w:r>
            <w:r>
              <w:rPr>
                <w:noProof/>
                <w:webHidden/>
              </w:rPr>
              <w:fldChar w:fldCharType="separate"/>
            </w:r>
            <w:r>
              <w:rPr>
                <w:noProof/>
                <w:webHidden/>
              </w:rPr>
              <w:t>83</w:t>
            </w:r>
            <w:r>
              <w:rPr>
                <w:noProof/>
                <w:webHidden/>
              </w:rPr>
              <w:fldChar w:fldCharType="end"/>
            </w:r>
          </w:hyperlink>
        </w:p>
        <w:p w14:paraId="64F5D380" w14:textId="77777777" w:rsidR="00F56DAD" w:rsidRDefault="00F56DAD">
          <w:pPr>
            <w:pStyle w:val="TOC3"/>
            <w:rPr>
              <w:rFonts w:asciiTheme="minorHAnsi" w:eastAsiaTheme="minorEastAsia" w:hAnsiTheme="minorHAnsi" w:cstheme="minorBidi"/>
              <w:noProof/>
              <w:lang w:eastAsia="en-AU"/>
            </w:rPr>
          </w:pPr>
          <w:hyperlink w:anchor="_Toc16505614" w:history="1">
            <w:r w:rsidRPr="00630C03">
              <w:rPr>
                <w:rStyle w:val="Hyperlink"/>
                <w:noProof/>
              </w:rPr>
              <w:t>Nonclinical</w:t>
            </w:r>
            <w:r>
              <w:rPr>
                <w:noProof/>
                <w:webHidden/>
              </w:rPr>
              <w:tab/>
            </w:r>
            <w:r>
              <w:rPr>
                <w:noProof/>
                <w:webHidden/>
              </w:rPr>
              <w:fldChar w:fldCharType="begin"/>
            </w:r>
            <w:r>
              <w:rPr>
                <w:noProof/>
                <w:webHidden/>
              </w:rPr>
              <w:instrText xml:space="preserve"> PAGEREF _Toc16505614 \h </w:instrText>
            </w:r>
            <w:r>
              <w:rPr>
                <w:noProof/>
                <w:webHidden/>
              </w:rPr>
            </w:r>
            <w:r>
              <w:rPr>
                <w:noProof/>
                <w:webHidden/>
              </w:rPr>
              <w:fldChar w:fldCharType="separate"/>
            </w:r>
            <w:r>
              <w:rPr>
                <w:noProof/>
                <w:webHidden/>
              </w:rPr>
              <w:t>83</w:t>
            </w:r>
            <w:r>
              <w:rPr>
                <w:noProof/>
                <w:webHidden/>
              </w:rPr>
              <w:fldChar w:fldCharType="end"/>
            </w:r>
          </w:hyperlink>
        </w:p>
        <w:p w14:paraId="45BFD40E" w14:textId="77777777" w:rsidR="00F56DAD" w:rsidRDefault="00F56DAD">
          <w:pPr>
            <w:pStyle w:val="TOC3"/>
            <w:rPr>
              <w:rFonts w:asciiTheme="minorHAnsi" w:eastAsiaTheme="minorEastAsia" w:hAnsiTheme="minorHAnsi" w:cstheme="minorBidi"/>
              <w:noProof/>
              <w:lang w:eastAsia="en-AU"/>
            </w:rPr>
          </w:pPr>
          <w:hyperlink w:anchor="_Toc16505615" w:history="1">
            <w:r w:rsidRPr="00630C03">
              <w:rPr>
                <w:rStyle w:val="Hyperlink"/>
                <w:noProof/>
              </w:rPr>
              <w:t>Clinical</w:t>
            </w:r>
            <w:r>
              <w:rPr>
                <w:noProof/>
                <w:webHidden/>
              </w:rPr>
              <w:tab/>
            </w:r>
            <w:r>
              <w:rPr>
                <w:noProof/>
                <w:webHidden/>
              </w:rPr>
              <w:fldChar w:fldCharType="begin"/>
            </w:r>
            <w:r>
              <w:rPr>
                <w:noProof/>
                <w:webHidden/>
              </w:rPr>
              <w:instrText xml:space="preserve"> PAGEREF _Toc16505615 \h </w:instrText>
            </w:r>
            <w:r>
              <w:rPr>
                <w:noProof/>
                <w:webHidden/>
              </w:rPr>
            </w:r>
            <w:r>
              <w:rPr>
                <w:noProof/>
                <w:webHidden/>
              </w:rPr>
              <w:fldChar w:fldCharType="separate"/>
            </w:r>
            <w:r>
              <w:rPr>
                <w:noProof/>
                <w:webHidden/>
              </w:rPr>
              <w:t>84</w:t>
            </w:r>
            <w:r>
              <w:rPr>
                <w:noProof/>
                <w:webHidden/>
              </w:rPr>
              <w:fldChar w:fldCharType="end"/>
            </w:r>
          </w:hyperlink>
        </w:p>
        <w:p w14:paraId="6B36EEE8" w14:textId="77777777" w:rsidR="00F56DAD" w:rsidRDefault="00F56DAD">
          <w:pPr>
            <w:pStyle w:val="TOC3"/>
            <w:rPr>
              <w:rFonts w:asciiTheme="minorHAnsi" w:eastAsiaTheme="minorEastAsia" w:hAnsiTheme="minorHAnsi" w:cstheme="minorBidi"/>
              <w:noProof/>
              <w:lang w:eastAsia="en-AU"/>
            </w:rPr>
          </w:pPr>
          <w:hyperlink w:anchor="_Toc16505616" w:history="1">
            <w:r w:rsidRPr="00630C03">
              <w:rPr>
                <w:rStyle w:val="Hyperlink"/>
                <w:noProof/>
                <w:lang w:eastAsia="en-AU"/>
              </w:rPr>
              <w:t>Risk management plan</w:t>
            </w:r>
            <w:r>
              <w:rPr>
                <w:noProof/>
                <w:webHidden/>
              </w:rPr>
              <w:tab/>
            </w:r>
            <w:r>
              <w:rPr>
                <w:noProof/>
                <w:webHidden/>
              </w:rPr>
              <w:fldChar w:fldCharType="begin"/>
            </w:r>
            <w:r>
              <w:rPr>
                <w:noProof/>
                <w:webHidden/>
              </w:rPr>
              <w:instrText xml:space="preserve"> PAGEREF _Toc16505616 \h </w:instrText>
            </w:r>
            <w:r>
              <w:rPr>
                <w:noProof/>
                <w:webHidden/>
              </w:rPr>
            </w:r>
            <w:r>
              <w:rPr>
                <w:noProof/>
                <w:webHidden/>
              </w:rPr>
              <w:fldChar w:fldCharType="separate"/>
            </w:r>
            <w:r>
              <w:rPr>
                <w:noProof/>
                <w:webHidden/>
              </w:rPr>
              <w:t>96</w:t>
            </w:r>
            <w:r>
              <w:rPr>
                <w:noProof/>
                <w:webHidden/>
              </w:rPr>
              <w:fldChar w:fldCharType="end"/>
            </w:r>
          </w:hyperlink>
        </w:p>
        <w:p w14:paraId="3578219C" w14:textId="77777777" w:rsidR="00F56DAD" w:rsidRDefault="00F56DAD">
          <w:pPr>
            <w:pStyle w:val="TOC3"/>
            <w:rPr>
              <w:rFonts w:asciiTheme="minorHAnsi" w:eastAsiaTheme="minorEastAsia" w:hAnsiTheme="minorHAnsi" w:cstheme="minorBidi"/>
              <w:noProof/>
              <w:lang w:eastAsia="en-AU"/>
            </w:rPr>
          </w:pPr>
          <w:hyperlink w:anchor="_Toc16505617" w:history="1">
            <w:r w:rsidRPr="00630C03">
              <w:rPr>
                <w:rStyle w:val="Hyperlink"/>
                <w:noProof/>
              </w:rPr>
              <w:t>Risk-benefit analysis</w:t>
            </w:r>
            <w:r>
              <w:rPr>
                <w:noProof/>
                <w:webHidden/>
              </w:rPr>
              <w:tab/>
            </w:r>
            <w:r>
              <w:rPr>
                <w:noProof/>
                <w:webHidden/>
              </w:rPr>
              <w:fldChar w:fldCharType="begin"/>
            </w:r>
            <w:r>
              <w:rPr>
                <w:noProof/>
                <w:webHidden/>
              </w:rPr>
              <w:instrText xml:space="preserve"> PAGEREF _Toc16505617 \h </w:instrText>
            </w:r>
            <w:r>
              <w:rPr>
                <w:noProof/>
                <w:webHidden/>
              </w:rPr>
            </w:r>
            <w:r>
              <w:rPr>
                <w:noProof/>
                <w:webHidden/>
              </w:rPr>
              <w:fldChar w:fldCharType="separate"/>
            </w:r>
            <w:r>
              <w:rPr>
                <w:noProof/>
                <w:webHidden/>
              </w:rPr>
              <w:t>101</w:t>
            </w:r>
            <w:r>
              <w:rPr>
                <w:noProof/>
                <w:webHidden/>
              </w:rPr>
              <w:fldChar w:fldCharType="end"/>
            </w:r>
          </w:hyperlink>
        </w:p>
        <w:p w14:paraId="5CAE23BA" w14:textId="77777777" w:rsidR="00F56DAD" w:rsidRDefault="00F56DAD">
          <w:pPr>
            <w:pStyle w:val="TOC3"/>
            <w:rPr>
              <w:rFonts w:asciiTheme="minorHAnsi" w:eastAsiaTheme="minorEastAsia" w:hAnsiTheme="minorHAnsi" w:cstheme="minorBidi"/>
              <w:noProof/>
              <w:lang w:eastAsia="en-AU"/>
            </w:rPr>
          </w:pPr>
          <w:hyperlink w:anchor="_Toc16505618" w:history="1">
            <w:r w:rsidRPr="00630C03">
              <w:rPr>
                <w:rStyle w:val="Hyperlink"/>
                <w:noProof/>
              </w:rPr>
              <w:t>Outcome</w:t>
            </w:r>
            <w:r>
              <w:rPr>
                <w:noProof/>
                <w:webHidden/>
              </w:rPr>
              <w:tab/>
            </w:r>
            <w:r>
              <w:rPr>
                <w:noProof/>
                <w:webHidden/>
              </w:rPr>
              <w:fldChar w:fldCharType="begin"/>
            </w:r>
            <w:r>
              <w:rPr>
                <w:noProof/>
                <w:webHidden/>
              </w:rPr>
              <w:instrText xml:space="preserve"> PAGEREF _Toc16505618 \h </w:instrText>
            </w:r>
            <w:r>
              <w:rPr>
                <w:noProof/>
                <w:webHidden/>
              </w:rPr>
            </w:r>
            <w:r>
              <w:rPr>
                <w:noProof/>
                <w:webHidden/>
              </w:rPr>
              <w:fldChar w:fldCharType="separate"/>
            </w:r>
            <w:r>
              <w:rPr>
                <w:noProof/>
                <w:webHidden/>
              </w:rPr>
              <w:t>113</w:t>
            </w:r>
            <w:r>
              <w:rPr>
                <w:noProof/>
                <w:webHidden/>
              </w:rPr>
              <w:fldChar w:fldCharType="end"/>
            </w:r>
          </w:hyperlink>
        </w:p>
        <w:p w14:paraId="1F9D9068" w14:textId="77777777" w:rsidR="00F56DAD" w:rsidRDefault="00F56DAD">
          <w:pPr>
            <w:pStyle w:val="TOC2"/>
            <w:rPr>
              <w:rFonts w:asciiTheme="minorHAnsi" w:eastAsiaTheme="minorEastAsia" w:hAnsiTheme="minorHAnsi" w:cstheme="minorBidi"/>
              <w:b w:val="0"/>
              <w:noProof/>
              <w:sz w:val="22"/>
              <w:lang w:eastAsia="en-AU"/>
            </w:rPr>
          </w:pPr>
          <w:hyperlink w:anchor="_Toc16505619" w:history="1">
            <w:r w:rsidRPr="00630C03">
              <w:rPr>
                <w:rStyle w:val="Hyperlink"/>
                <w:noProof/>
              </w:rPr>
              <w:t>Attachment 1. Product Information</w:t>
            </w:r>
            <w:r>
              <w:rPr>
                <w:noProof/>
                <w:webHidden/>
              </w:rPr>
              <w:tab/>
            </w:r>
            <w:r>
              <w:rPr>
                <w:noProof/>
                <w:webHidden/>
              </w:rPr>
              <w:fldChar w:fldCharType="begin"/>
            </w:r>
            <w:r>
              <w:rPr>
                <w:noProof/>
                <w:webHidden/>
              </w:rPr>
              <w:instrText xml:space="preserve"> PAGEREF _Toc16505619 \h </w:instrText>
            </w:r>
            <w:r>
              <w:rPr>
                <w:noProof/>
                <w:webHidden/>
              </w:rPr>
            </w:r>
            <w:r>
              <w:rPr>
                <w:noProof/>
                <w:webHidden/>
              </w:rPr>
              <w:fldChar w:fldCharType="separate"/>
            </w:r>
            <w:r>
              <w:rPr>
                <w:noProof/>
                <w:webHidden/>
              </w:rPr>
              <w:t>114</w:t>
            </w:r>
            <w:r>
              <w:rPr>
                <w:noProof/>
                <w:webHidden/>
              </w:rPr>
              <w:fldChar w:fldCharType="end"/>
            </w:r>
          </w:hyperlink>
        </w:p>
        <w:p w14:paraId="5BF06E11" w14:textId="77777777" w:rsidR="003A7F6C" w:rsidRPr="00B811C6" w:rsidRDefault="00DB6124" w:rsidP="00B811C6">
          <w:pPr>
            <w:pStyle w:val="TOC2"/>
          </w:pPr>
          <w:r>
            <w:fldChar w:fldCharType="end"/>
          </w:r>
        </w:p>
      </w:sdtContent>
    </w:sdt>
    <w:bookmarkStart w:id="3" w:name="_Toc314842482" w:displacedByCustomXml="prev"/>
    <w:p w14:paraId="31BB77E4" w14:textId="77777777" w:rsidR="00FD119B" w:rsidRDefault="00FD119B">
      <w:pPr>
        <w:spacing w:before="0" w:after="200" w:line="0" w:lineRule="auto"/>
      </w:pPr>
      <w:r>
        <w:br w:type="page"/>
      </w:r>
    </w:p>
    <w:p w14:paraId="7FF32703"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1650558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376"/>
        <w:gridCol w:w="6344"/>
      </w:tblGrid>
      <w:tr w:rsidR="00FD119B" w:rsidRPr="00C20945" w14:paraId="208BDF1A" w14:textId="77777777" w:rsidTr="00BF79CA">
        <w:trPr>
          <w:cnfStyle w:val="100000000000" w:firstRow="1" w:lastRow="0" w:firstColumn="0" w:lastColumn="0" w:oddVBand="0" w:evenVBand="0" w:oddHBand="0" w:evenHBand="0" w:firstRowFirstColumn="0" w:firstRowLastColumn="0" w:lastRowFirstColumn="0" w:lastRowLastColumn="0"/>
        </w:trPr>
        <w:tc>
          <w:tcPr>
            <w:tcW w:w="2376" w:type="dxa"/>
          </w:tcPr>
          <w:p w14:paraId="2E2C9F58" w14:textId="77777777" w:rsidR="00FD119B" w:rsidRPr="00C20945" w:rsidRDefault="00FD119B" w:rsidP="00C20945">
            <w:r w:rsidRPr="00C20945">
              <w:t>Abbreviation</w:t>
            </w:r>
          </w:p>
        </w:tc>
        <w:tc>
          <w:tcPr>
            <w:tcW w:w="6344" w:type="dxa"/>
          </w:tcPr>
          <w:p w14:paraId="00E9B330" w14:textId="77777777" w:rsidR="00FD119B" w:rsidRPr="00C20945" w:rsidRDefault="00FD119B" w:rsidP="00C20945">
            <w:r w:rsidRPr="00C20945">
              <w:t>Meaning</w:t>
            </w:r>
          </w:p>
        </w:tc>
      </w:tr>
      <w:tr w:rsidR="00C20945" w:rsidRPr="00C20945" w14:paraId="00D550A6" w14:textId="77777777" w:rsidTr="00BF79CA">
        <w:tc>
          <w:tcPr>
            <w:tcW w:w="2376" w:type="dxa"/>
          </w:tcPr>
          <w:p w14:paraId="30FAB7CC" w14:textId="77777777" w:rsidR="00C20945" w:rsidRPr="00C20945" w:rsidRDefault="003308E5" w:rsidP="00C20945">
            <w:r>
              <w:t>Δ</w:t>
            </w:r>
          </w:p>
        </w:tc>
        <w:tc>
          <w:tcPr>
            <w:tcW w:w="6344" w:type="dxa"/>
          </w:tcPr>
          <w:p w14:paraId="1D69D9CD" w14:textId="77777777" w:rsidR="00C20945" w:rsidRPr="00C20945" w:rsidRDefault="000A094C" w:rsidP="00C20945">
            <w:r>
              <w:t>D</w:t>
            </w:r>
            <w:r w:rsidR="00C20945" w:rsidRPr="00C20945">
              <w:t>elta</w:t>
            </w:r>
            <w:r>
              <w:t xml:space="preserve"> (difference)</w:t>
            </w:r>
          </w:p>
        </w:tc>
      </w:tr>
      <w:tr w:rsidR="00C20945" w:rsidRPr="00C20945" w14:paraId="54520654" w14:textId="77777777" w:rsidTr="00BF79CA">
        <w:tc>
          <w:tcPr>
            <w:tcW w:w="2376" w:type="dxa"/>
          </w:tcPr>
          <w:p w14:paraId="1283B0DC" w14:textId="77777777" w:rsidR="00C20945" w:rsidRPr="00C20945" w:rsidRDefault="003308E5" w:rsidP="00C20945">
            <w:proofErr w:type="spellStart"/>
            <w:r>
              <w:t>AcBut</w:t>
            </w:r>
            <w:proofErr w:type="spellEnd"/>
          </w:p>
        </w:tc>
        <w:tc>
          <w:tcPr>
            <w:tcW w:w="6344" w:type="dxa"/>
          </w:tcPr>
          <w:p w14:paraId="61249AC3" w14:textId="77777777" w:rsidR="00C20945" w:rsidRPr="00C20945" w:rsidRDefault="00C20945" w:rsidP="00C20945">
            <w:r w:rsidRPr="00C20945">
              <w:t>4-(4’-Acetylphenoxy)</w:t>
            </w:r>
            <w:proofErr w:type="spellStart"/>
            <w:r w:rsidRPr="00C20945">
              <w:t>butanoic</w:t>
            </w:r>
            <w:proofErr w:type="spellEnd"/>
            <w:r w:rsidRPr="00C20945">
              <w:t xml:space="preserve"> acid, a bifunctional linker</w:t>
            </w:r>
          </w:p>
        </w:tc>
      </w:tr>
      <w:tr w:rsidR="00200CE5" w:rsidRPr="00C20945" w14:paraId="72657F2E" w14:textId="77777777" w:rsidTr="00BF79CA">
        <w:tc>
          <w:tcPr>
            <w:tcW w:w="2376" w:type="dxa"/>
          </w:tcPr>
          <w:p w14:paraId="3868E701" w14:textId="3ACD07C4" w:rsidR="00200CE5" w:rsidRDefault="00200CE5" w:rsidP="00C20945">
            <w:r>
              <w:t>ACM</w:t>
            </w:r>
          </w:p>
        </w:tc>
        <w:tc>
          <w:tcPr>
            <w:tcW w:w="6344" w:type="dxa"/>
          </w:tcPr>
          <w:p w14:paraId="2B72E91B" w14:textId="66AFAE03" w:rsidR="00200CE5" w:rsidRPr="00C20945" w:rsidRDefault="00200CE5" w:rsidP="00C20945">
            <w:proofErr w:type="spellStart"/>
            <w:r>
              <w:t>Advisiory</w:t>
            </w:r>
            <w:proofErr w:type="spellEnd"/>
            <w:r>
              <w:t xml:space="preserve"> Committee on Medicines</w:t>
            </w:r>
          </w:p>
        </w:tc>
      </w:tr>
      <w:tr w:rsidR="00C20945" w:rsidRPr="00C20945" w14:paraId="5B682775" w14:textId="77777777" w:rsidTr="00BF79CA">
        <w:tc>
          <w:tcPr>
            <w:tcW w:w="2376" w:type="dxa"/>
          </w:tcPr>
          <w:p w14:paraId="69C99609" w14:textId="77777777" w:rsidR="00C20945" w:rsidRPr="00C20945" w:rsidRDefault="00C20945" w:rsidP="00C20945">
            <w:r w:rsidRPr="00C20945">
              <w:t>ADA</w:t>
            </w:r>
          </w:p>
        </w:tc>
        <w:tc>
          <w:tcPr>
            <w:tcW w:w="6344" w:type="dxa"/>
          </w:tcPr>
          <w:p w14:paraId="758DC915" w14:textId="18AC99E9" w:rsidR="00C20945" w:rsidRPr="00C20945" w:rsidRDefault="000A094C" w:rsidP="00C20945">
            <w:r>
              <w:t>A</w:t>
            </w:r>
            <w:r w:rsidR="00C20945" w:rsidRPr="00C20945">
              <w:t>ntidrug antibody</w:t>
            </w:r>
            <w:r w:rsidR="00FC7899">
              <w:t>/antibodies</w:t>
            </w:r>
          </w:p>
        </w:tc>
      </w:tr>
      <w:tr w:rsidR="00C20945" w:rsidRPr="00C20945" w14:paraId="125E346C" w14:textId="77777777" w:rsidTr="00BF79CA">
        <w:tc>
          <w:tcPr>
            <w:tcW w:w="2376" w:type="dxa"/>
          </w:tcPr>
          <w:p w14:paraId="45BEA505" w14:textId="77777777" w:rsidR="00C20945" w:rsidRPr="00C20945" w:rsidRDefault="00C20945" w:rsidP="00C20945">
            <w:r w:rsidRPr="00C20945">
              <w:t>ADC</w:t>
            </w:r>
          </w:p>
        </w:tc>
        <w:tc>
          <w:tcPr>
            <w:tcW w:w="6344" w:type="dxa"/>
          </w:tcPr>
          <w:p w14:paraId="3DCD91C6" w14:textId="3099469A" w:rsidR="00C20945" w:rsidRPr="00C20945" w:rsidRDefault="000A094C" w:rsidP="00C20945">
            <w:r>
              <w:t>A</w:t>
            </w:r>
            <w:r w:rsidR="00C20945" w:rsidRPr="00C20945">
              <w:t>ntibody</w:t>
            </w:r>
            <w:r w:rsidR="007A3382">
              <w:t xml:space="preserve"> </w:t>
            </w:r>
            <w:r w:rsidR="00C20945" w:rsidRPr="00C20945">
              <w:t>drug conjugate</w:t>
            </w:r>
          </w:p>
        </w:tc>
      </w:tr>
      <w:tr w:rsidR="00C20945" w:rsidRPr="00C20945" w14:paraId="269C05E9" w14:textId="77777777" w:rsidTr="00BF79CA">
        <w:tc>
          <w:tcPr>
            <w:tcW w:w="2376" w:type="dxa"/>
          </w:tcPr>
          <w:p w14:paraId="430DBE65" w14:textId="77777777" w:rsidR="00C20945" w:rsidRPr="00C20945" w:rsidRDefault="00C20945" w:rsidP="00C20945">
            <w:r w:rsidRPr="00C20945">
              <w:t>ADR</w:t>
            </w:r>
          </w:p>
        </w:tc>
        <w:tc>
          <w:tcPr>
            <w:tcW w:w="6344" w:type="dxa"/>
          </w:tcPr>
          <w:p w14:paraId="014DF426" w14:textId="77777777" w:rsidR="00C20945" w:rsidRPr="00C20945" w:rsidRDefault="000A094C" w:rsidP="00C20945">
            <w:r>
              <w:t>A</w:t>
            </w:r>
            <w:r w:rsidR="003308E5">
              <w:t>dverse drug reaction</w:t>
            </w:r>
          </w:p>
        </w:tc>
      </w:tr>
      <w:tr w:rsidR="00C20945" w:rsidRPr="00C20945" w14:paraId="7220CCFD" w14:textId="77777777" w:rsidTr="00BF79CA">
        <w:tc>
          <w:tcPr>
            <w:tcW w:w="2376" w:type="dxa"/>
          </w:tcPr>
          <w:p w14:paraId="4A9B86A6" w14:textId="77777777" w:rsidR="00C20945" w:rsidRPr="00C20945" w:rsidRDefault="00C20945" w:rsidP="00C20945">
            <w:r w:rsidRPr="00C20945">
              <w:t>AE</w:t>
            </w:r>
          </w:p>
        </w:tc>
        <w:tc>
          <w:tcPr>
            <w:tcW w:w="6344" w:type="dxa"/>
          </w:tcPr>
          <w:p w14:paraId="4B896CD4" w14:textId="77777777" w:rsidR="00C20945" w:rsidRPr="00C20945" w:rsidRDefault="000A094C" w:rsidP="00C20945">
            <w:r>
              <w:t>A</w:t>
            </w:r>
            <w:r w:rsidR="00C20945" w:rsidRPr="00C20945">
              <w:t>dverse event</w:t>
            </w:r>
          </w:p>
        </w:tc>
      </w:tr>
      <w:tr w:rsidR="00C20945" w:rsidRPr="00C20945" w14:paraId="002A8451" w14:textId="77777777" w:rsidTr="00BF79CA">
        <w:tc>
          <w:tcPr>
            <w:tcW w:w="2376" w:type="dxa"/>
          </w:tcPr>
          <w:p w14:paraId="6F650D27" w14:textId="77777777" w:rsidR="00C20945" w:rsidRPr="00C20945" w:rsidRDefault="00C20945" w:rsidP="00C20945">
            <w:proofErr w:type="spellStart"/>
            <w:r w:rsidRPr="00C20945">
              <w:t>AEoSI</w:t>
            </w:r>
            <w:proofErr w:type="spellEnd"/>
          </w:p>
        </w:tc>
        <w:tc>
          <w:tcPr>
            <w:tcW w:w="6344" w:type="dxa"/>
          </w:tcPr>
          <w:p w14:paraId="12B68C21" w14:textId="77777777" w:rsidR="00C20945" w:rsidRPr="00C20945" w:rsidRDefault="000A094C" w:rsidP="00C20945">
            <w:r>
              <w:t>A</w:t>
            </w:r>
            <w:r w:rsidR="00C20945" w:rsidRPr="00C20945">
              <w:t>d</w:t>
            </w:r>
            <w:r w:rsidR="003308E5">
              <w:t>verse event of special interest</w:t>
            </w:r>
          </w:p>
        </w:tc>
      </w:tr>
      <w:tr w:rsidR="000F7D61" w:rsidRPr="00C20945" w14:paraId="65FB28F8" w14:textId="77777777" w:rsidTr="00BF79CA">
        <w:tc>
          <w:tcPr>
            <w:tcW w:w="2376" w:type="dxa"/>
          </w:tcPr>
          <w:p w14:paraId="1331DEB5" w14:textId="4077D085" w:rsidR="000F7D61" w:rsidRPr="00C20945" w:rsidRDefault="000F7D61" w:rsidP="00C20945">
            <w:r>
              <w:t>AIHW</w:t>
            </w:r>
          </w:p>
        </w:tc>
        <w:tc>
          <w:tcPr>
            <w:tcW w:w="6344" w:type="dxa"/>
          </w:tcPr>
          <w:p w14:paraId="7B3972EF" w14:textId="79D3768C" w:rsidR="000F7D61" w:rsidRDefault="000F7D61" w:rsidP="00C20945">
            <w:r w:rsidRPr="00D16AAD">
              <w:rPr>
                <w:lang w:val="en-US"/>
              </w:rPr>
              <w:t>Australian Institut</w:t>
            </w:r>
            <w:r>
              <w:rPr>
                <w:lang w:val="en-US"/>
              </w:rPr>
              <w:t>e of Health and Welfare</w:t>
            </w:r>
          </w:p>
        </w:tc>
      </w:tr>
      <w:tr w:rsidR="00C20945" w:rsidRPr="00C20945" w14:paraId="528FB117" w14:textId="77777777" w:rsidTr="00BF79CA">
        <w:tc>
          <w:tcPr>
            <w:tcW w:w="2376" w:type="dxa"/>
          </w:tcPr>
          <w:p w14:paraId="7A22BEFC" w14:textId="77777777" w:rsidR="00C20945" w:rsidRPr="00C20945" w:rsidRDefault="00C20945" w:rsidP="00C20945">
            <w:r w:rsidRPr="00C20945">
              <w:t>ALL</w:t>
            </w:r>
          </w:p>
        </w:tc>
        <w:tc>
          <w:tcPr>
            <w:tcW w:w="6344" w:type="dxa"/>
          </w:tcPr>
          <w:p w14:paraId="2205C628" w14:textId="77777777" w:rsidR="00C20945" w:rsidRPr="00C20945" w:rsidRDefault="000A094C" w:rsidP="00C20945">
            <w:r>
              <w:t>A</w:t>
            </w:r>
            <w:r w:rsidR="00C20945" w:rsidRPr="00C20945">
              <w:t xml:space="preserve">cute lymphoblastic </w:t>
            </w:r>
            <w:r w:rsidR="003308E5" w:rsidRPr="00C20945">
              <w:t>leukaemia</w:t>
            </w:r>
          </w:p>
        </w:tc>
      </w:tr>
      <w:tr w:rsidR="00C20945" w:rsidRPr="00C20945" w14:paraId="119A59F3" w14:textId="77777777" w:rsidTr="00BF79CA">
        <w:tc>
          <w:tcPr>
            <w:tcW w:w="2376" w:type="dxa"/>
          </w:tcPr>
          <w:p w14:paraId="6D89A0E9" w14:textId="77777777" w:rsidR="00C20945" w:rsidRPr="00C20945" w:rsidRDefault="00C20945" w:rsidP="00C20945">
            <w:r w:rsidRPr="00C20945">
              <w:t>ALP</w:t>
            </w:r>
          </w:p>
        </w:tc>
        <w:tc>
          <w:tcPr>
            <w:tcW w:w="6344" w:type="dxa"/>
          </w:tcPr>
          <w:p w14:paraId="53EEF784" w14:textId="77777777" w:rsidR="00C20945" w:rsidRPr="00C20945" w:rsidRDefault="000A094C" w:rsidP="00C20945">
            <w:r>
              <w:t>A</w:t>
            </w:r>
            <w:r w:rsidR="003308E5">
              <w:t>lkaline phosphatase</w:t>
            </w:r>
          </w:p>
        </w:tc>
      </w:tr>
      <w:tr w:rsidR="00C20945" w:rsidRPr="00C20945" w14:paraId="48ACBBDC" w14:textId="77777777" w:rsidTr="00BF79CA">
        <w:tc>
          <w:tcPr>
            <w:tcW w:w="2376" w:type="dxa"/>
          </w:tcPr>
          <w:p w14:paraId="69796E55" w14:textId="77777777" w:rsidR="00C20945" w:rsidRPr="00C20945" w:rsidRDefault="00C20945" w:rsidP="00C20945">
            <w:r w:rsidRPr="00C20945">
              <w:t>ALT</w:t>
            </w:r>
          </w:p>
        </w:tc>
        <w:tc>
          <w:tcPr>
            <w:tcW w:w="6344" w:type="dxa"/>
          </w:tcPr>
          <w:p w14:paraId="728A8F6A" w14:textId="77777777" w:rsidR="00C20945" w:rsidRPr="00C20945" w:rsidRDefault="000A094C" w:rsidP="00C20945">
            <w:r>
              <w:t>A</w:t>
            </w:r>
            <w:r w:rsidR="00C20945" w:rsidRPr="00C20945">
              <w:t>lanine aminotransferase</w:t>
            </w:r>
          </w:p>
        </w:tc>
      </w:tr>
      <w:tr w:rsidR="00FC4300" w:rsidRPr="00C20945" w14:paraId="63A18F0F" w14:textId="77777777" w:rsidTr="00BF79CA">
        <w:tc>
          <w:tcPr>
            <w:tcW w:w="2376" w:type="dxa"/>
          </w:tcPr>
          <w:p w14:paraId="79F66822" w14:textId="47FA14AE" w:rsidR="00FC4300" w:rsidRPr="00C20945" w:rsidRDefault="00FC4300" w:rsidP="00C20945">
            <w:r>
              <w:t>APTT</w:t>
            </w:r>
          </w:p>
        </w:tc>
        <w:tc>
          <w:tcPr>
            <w:tcW w:w="6344" w:type="dxa"/>
          </w:tcPr>
          <w:p w14:paraId="7D05D3F6" w14:textId="5FF83612" w:rsidR="00FC4300" w:rsidRDefault="00FC4300" w:rsidP="00C20945">
            <w:r>
              <w:t>Activated partial thromboplastin time</w:t>
            </w:r>
          </w:p>
        </w:tc>
      </w:tr>
      <w:tr w:rsidR="00C20945" w:rsidRPr="00C20945" w14:paraId="603A55FB" w14:textId="77777777" w:rsidTr="00BF79CA">
        <w:tc>
          <w:tcPr>
            <w:tcW w:w="2376" w:type="dxa"/>
          </w:tcPr>
          <w:p w14:paraId="25AFC58F" w14:textId="77777777" w:rsidR="00C20945" w:rsidRPr="00C20945" w:rsidRDefault="00C20945" w:rsidP="00C20945">
            <w:r w:rsidRPr="00C20945">
              <w:t>ARDS</w:t>
            </w:r>
          </w:p>
        </w:tc>
        <w:tc>
          <w:tcPr>
            <w:tcW w:w="6344" w:type="dxa"/>
          </w:tcPr>
          <w:p w14:paraId="633AC23C" w14:textId="77777777" w:rsidR="00C20945" w:rsidRPr="00C20945" w:rsidRDefault="000A094C" w:rsidP="00C20945">
            <w:r>
              <w:t>A</w:t>
            </w:r>
            <w:r w:rsidR="00C20945" w:rsidRPr="00C20945">
              <w:t>cute respiratory distress syndrome</w:t>
            </w:r>
          </w:p>
        </w:tc>
      </w:tr>
      <w:tr w:rsidR="006C0BD9" w:rsidRPr="00C20945" w14:paraId="4C045908" w14:textId="77777777" w:rsidTr="00BF79CA">
        <w:tc>
          <w:tcPr>
            <w:tcW w:w="2376" w:type="dxa"/>
          </w:tcPr>
          <w:p w14:paraId="6905B120" w14:textId="5DD87813" w:rsidR="006C0BD9" w:rsidRDefault="006C0BD9" w:rsidP="00C20945">
            <w:r>
              <w:t>ARGPM</w:t>
            </w:r>
          </w:p>
        </w:tc>
        <w:tc>
          <w:tcPr>
            <w:tcW w:w="6344" w:type="dxa"/>
          </w:tcPr>
          <w:p w14:paraId="1A6912D6" w14:textId="54834785" w:rsidR="006C0BD9" w:rsidRDefault="006C0BD9" w:rsidP="00C20945">
            <w:r>
              <w:t>Australian Regulatory Guidelines for Prescription Medicines</w:t>
            </w:r>
          </w:p>
        </w:tc>
      </w:tr>
      <w:tr w:rsidR="001F0DE2" w:rsidRPr="00C20945" w14:paraId="26C172D2" w14:textId="77777777" w:rsidTr="00BF79CA">
        <w:tc>
          <w:tcPr>
            <w:tcW w:w="2376" w:type="dxa"/>
          </w:tcPr>
          <w:p w14:paraId="04F93F6B" w14:textId="665EB84E" w:rsidR="001F0DE2" w:rsidRPr="00C20945" w:rsidRDefault="001F0DE2" w:rsidP="00C20945">
            <w:r>
              <w:t>ARTG</w:t>
            </w:r>
          </w:p>
        </w:tc>
        <w:tc>
          <w:tcPr>
            <w:tcW w:w="6344" w:type="dxa"/>
          </w:tcPr>
          <w:p w14:paraId="6902AD5B" w14:textId="5AD17641" w:rsidR="001F0DE2" w:rsidRDefault="001F0DE2" w:rsidP="00C20945">
            <w:r>
              <w:t>Australian Register of Therapeutic Goods</w:t>
            </w:r>
          </w:p>
        </w:tc>
      </w:tr>
      <w:tr w:rsidR="00C20945" w:rsidRPr="00C20945" w14:paraId="73BB578B" w14:textId="77777777" w:rsidTr="00BF79CA">
        <w:tc>
          <w:tcPr>
            <w:tcW w:w="2376" w:type="dxa"/>
          </w:tcPr>
          <w:p w14:paraId="39016463" w14:textId="77777777" w:rsidR="00C20945" w:rsidRPr="00C20945" w:rsidRDefault="00C20945" w:rsidP="00C20945">
            <w:r w:rsidRPr="00C20945">
              <w:t>AST</w:t>
            </w:r>
          </w:p>
        </w:tc>
        <w:tc>
          <w:tcPr>
            <w:tcW w:w="6344" w:type="dxa"/>
          </w:tcPr>
          <w:p w14:paraId="0574FA84" w14:textId="77777777" w:rsidR="00C20945" w:rsidRPr="00C20945" w:rsidRDefault="000A094C" w:rsidP="00C20945">
            <w:r>
              <w:t>A</w:t>
            </w:r>
            <w:r w:rsidR="00C20945" w:rsidRPr="00C20945">
              <w:t>spartate aminotransferase</w:t>
            </w:r>
          </w:p>
        </w:tc>
      </w:tr>
      <w:tr w:rsidR="00C20945" w:rsidRPr="00C20945" w14:paraId="243EDA12" w14:textId="77777777" w:rsidTr="00BF79CA">
        <w:tc>
          <w:tcPr>
            <w:tcW w:w="2376" w:type="dxa"/>
          </w:tcPr>
          <w:p w14:paraId="751A552C" w14:textId="77777777" w:rsidR="00C20945" w:rsidRPr="00C20945" w:rsidRDefault="00C20945" w:rsidP="00C20945">
            <w:r w:rsidRPr="00C20945">
              <w:t>AUC</w:t>
            </w:r>
          </w:p>
        </w:tc>
        <w:tc>
          <w:tcPr>
            <w:tcW w:w="6344" w:type="dxa"/>
          </w:tcPr>
          <w:p w14:paraId="0E42658F" w14:textId="77777777" w:rsidR="00C20945" w:rsidRPr="00C20945" w:rsidRDefault="000A094C" w:rsidP="00C20945">
            <w:r>
              <w:t>A</w:t>
            </w:r>
            <w:r w:rsidR="003308E5">
              <w:t>rea under the curve</w:t>
            </w:r>
          </w:p>
        </w:tc>
      </w:tr>
      <w:tr w:rsidR="00C20945" w:rsidRPr="00C20945" w14:paraId="7C0B7468" w14:textId="77777777" w:rsidTr="00BF79CA">
        <w:tc>
          <w:tcPr>
            <w:tcW w:w="2376" w:type="dxa"/>
          </w:tcPr>
          <w:p w14:paraId="1A40A415" w14:textId="77777777" w:rsidR="00C20945" w:rsidRPr="00C20945" w:rsidRDefault="00C20945" w:rsidP="00C20945">
            <w:r w:rsidRPr="00C20945">
              <w:t>BCR-ABL</w:t>
            </w:r>
          </w:p>
        </w:tc>
        <w:tc>
          <w:tcPr>
            <w:tcW w:w="6344" w:type="dxa"/>
          </w:tcPr>
          <w:p w14:paraId="3CE36E4E" w14:textId="77777777" w:rsidR="00C20945" w:rsidRPr="00C20945" w:rsidRDefault="000A094C" w:rsidP="00C20945">
            <w:r>
              <w:t>B</w:t>
            </w:r>
            <w:r w:rsidR="00C20945" w:rsidRPr="00C20945">
              <w:t>reakpoint cluster region Abelson</w:t>
            </w:r>
          </w:p>
        </w:tc>
      </w:tr>
      <w:tr w:rsidR="00C20945" w:rsidRPr="00C20945" w14:paraId="79D69483" w14:textId="77777777" w:rsidTr="00BF79CA">
        <w:tc>
          <w:tcPr>
            <w:tcW w:w="2376" w:type="dxa"/>
          </w:tcPr>
          <w:p w14:paraId="5E7DC452" w14:textId="77777777" w:rsidR="00C20945" w:rsidRPr="00C20945" w:rsidRDefault="00C20945" w:rsidP="00C20945">
            <w:r w:rsidRPr="00C20945">
              <w:t>BCRP</w:t>
            </w:r>
          </w:p>
        </w:tc>
        <w:tc>
          <w:tcPr>
            <w:tcW w:w="6344" w:type="dxa"/>
          </w:tcPr>
          <w:p w14:paraId="19E17873" w14:textId="77777777" w:rsidR="00C20945" w:rsidRPr="00C20945" w:rsidRDefault="000A094C" w:rsidP="00C20945">
            <w:r>
              <w:t>B</w:t>
            </w:r>
            <w:r w:rsidR="003308E5">
              <w:t>reast cancer resistance protein</w:t>
            </w:r>
          </w:p>
        </w:tc>
      </w:tr>
      <w:tr w:rsidR="00C20945" w:rsidRPr="00C20945" w14:paraId="1F61FBA2" w14:textId="77777777" w:rsidTr="00BF79CA">
        <w:tc>
          <w:tcPr>
            <w:tcW w:w="2376" w:type="dxa"/>
          </w:tcPr>
          <w:p w14:paraId="380C6365" w14:textId="77777777" w:rsidR="00C20945" w:rsidRPr="00C20945" w:rsidRDefault="00C20945" w:rsidP="00C20945">
            <w:r w:rsidRPr="00C20945">
              <w:t>BSA</w:t>
            </w:r>
          </w:p>
        </w:tc>
        <w:tc>
          <w:tcPr>
            <w:tcW w:w="6344" w:type="dxa"/>
          </w:tcPr>
          <w:p w14:paraId="4E4DF2A1" w14:textId="77777777" w:rsidR="00C20945" w:rsidRPr="00C20945" w:rsidRDefault="000A094C" w:rsidP="00C20945">
            <w:r>
              <w:t>B</w:t>
            </w:r>
            <w:r w:rsidR="00C20945" w:rsidRPr="00C20945">
              <w:t>ody surface area</w:t>
            </w:r>
          </w:p>
        </w:tc>
      </w:tr>
      <w:tr w:rsidR="00C20945" w:rsidRPr="00C20945" w14:paraId="1069C04E" w14:textId="77777777" w:rsidTr="00BF79CA">
        <w:tc>
          <w:tcPr>
            <w:tcW w:w="2376" w:type="dxa"/>
          </w:tcPr>
          <w:p w14:paraId="0CFF33F8" w14:textId="77777777" w:rsidR="00C20945" w:rsidRPr="00C20945" w:rsidRDefault="00C20945" w:rsidP="00C20945">
            <w:r w:rsidRPr="00C20945">
              <w:t>CER</w:t>
            </w:r>
          </w:p>
        </w:tc>
        <w:tc>
          <w:tcPr>
            <w:tcW w:w="6344" w:type="dxa"/>
          </w:tcPr>
          <w:p w14:paraId="35797AD3" w14:textId="77777777" w:rsidR="00C20945" w:rsidRPr="00C20945" w:rsidRDefault="000A094C" w:rsidP="00C20945">
            <w:r>
              <w:t>C</w:t>
            </w:r>
            <w:r w:rsidR="003308E5">
              <w:t>linical evaluation report</w:t>
            </w:r>
          </w:p>
        </w:tc>
      </w:tr>
      <w:tr w:rsidR="00C20945" w:rsidRPr="00C20945" w14:paraId="5BC0047C" w14:textId="77777777" w:rsidTr="00BF79CA">
        <w:tc>
          <w:tcPr>
            <w:tcW w:w="2376" w:type="dxa"/>
          </w:tcPr>
          <w:p w14:paraId="44032709" w14:textId="77777777" w:rsidR="00C20945" w:rsidRPr="00C20945" w:rsidRDefault="00C20945" w:rsidP="00C20945">
            <w:r w:rsidRPr="00C20945">
              <w:t>CD22</w:t>
            </w:r>
          </w:p>
        </w:tc>
        <w:tc>
          <w:tcPr>
            <w:tcW w:w="6344" w:type="dxa"/>
          </w:tcPr>
          <w:p w14:paraId="47FD4EAC" w14:textId="77777777" w:rsidR="00C20945" w:rsidRPr="00C20945" w:rsidRDefault="000A094C" w:rsidP="00C20945">
            <w:r>
              <w:t>C</w:t>
            </w:r>
            <w:r w:rsidR="00C20945" w:rsidRPr="00C20945">
              <w:t>luster of differentiation-22</w:t>
            </w:r>
          </w:p>
        </w:tc>
      </w:tr>
      <w:tr w:rsidR="00BF79CA" w:rsidRPr="00C20945" w14:paraId="731E19B1" w14:textId="77777777" w:rsidTr="00BF79CA">
        <w:tc>
          <w:tcPr>
            <w:tcW w:w="2376" w:type="dxa"/>
          </w:tcPr>
          <w:p w14:paraId="7078E761" w14:textId="77777777" w:rsidR="00BF79CA" w:rsidRPr="00C20945" w:rsidRDefault="00BF79CA" w:rsidP="00C20945">
            <w:r w:rsidRPr="00BF79CA">
              <w:t>CHOP</w:t>
            </w:r>
          </w:p>
        </w:tc>
        <w:tc>
          <w:tcPr>
            <w:tcW w:w="6344" w:type="dxa"/>
          </w:tcPr>
          <w:p w14:paraId="69516860" w14:textId="03365C50" w:rsidR="00BF79CA" w:rsidRPr="00BF79CA" w:rsidRDefault="00BF79CA" w:rsidP="00BF79CA">
            <w:r w:rsidRPr="00BF79CA">
              <w:t xml:space="preserve">Cyclophosphamide, doxorubicin </w:t>
            </w:r>
            <w:r w:rsidR="00FC7899">
              <w:t>hydrochloride</w:t>
            </w:r>
            <w:r w:rsidRPr="00BF79CA">
              <w:t>, vincristine and prednisone</w:t>
            </w:r>
          </w:p>
        </w:tc>
      </w:tr>
      <w:tr w:rsidR="00C20945" w:rsidRPr="00C20945" w14:paraId="1BC4C3B1" w14:textId="77777777" w:rsidTr="00BF79CA">
        <w:tc>
          <w:tcPr>
            <w:tcW w:w="2376" w:type="dxa"/>
          </w:tcPr>
          <w:p w14:paraId="64CC8DF0" w14:textId="77777777" w:rsidR="00C20945" w:rsidRPr="00C20945" w:rsidRDefault="00C20945" w:rsidP="00C20945">
            <w:r w:rsidRPr="00C20945">
              <w:lastRenderedPageBreak/>
              <w:t>CI</w:t>
            </w:r>
          </w:p>
        </w:tc>
        <w:tc>
          <w:tcPr>
            <w:tcW w:w="6344" w:type="dxa"/>
          </w:tcPr>
          <w:p w14:paraId="166E2D19" w14:textId="77777777" w:rsidR="00C20945" w:rsidRPr="00C20945" w:rsidRDefault="000A094C" w:rsidP="00C20945">
            <w:r>
              <w:t>C</w:t>
            </w:r>
            <w:r w:rsidR="00C20945" w:rsidRPr="00C20945">
              <w:t>onfidence interval</w:t>
            </w:r>
          </w:p>
        </w:tc>
      </w:tr>
      <w:tr w:rsidR="00C20945" w:rsidRPr="00C20945" w14:paraId="409D081A" w14:textId="77777777" w:rsidTr="00BF79CA">
        <w:tc>
          <w:tcPr>
            <w:tcW w:w="2376" w:type="dxa"/>
          </w:tcPr>
          <w:p w14:paraId="66942C33" w14:textId="77777777" w:rsidR="00C20945" w:rsidRPr="00C20945" w:rsidRDefault="00C20945" w:rsidP="00C20945">
            <w:r w:rsidRPr="00C20945">
              <w:t>CL</w:t>
            </w:r>
          </w:p>
        </w:tc>
        <w:tc>
          <w:tcPr>
            <w:tcW w:w="6344" w:type="dxa"/>
          </w:tcPr>
          <w:p w14:paraId="5D7084A1" w14:textId="77777777" w:rsidR="00C20945" w:rsidRPr="00C20945" w:rsidRDefault="000A094C" w:rsidP="00C20945">
            <w:r>
              <w:t>Clearance</w:t>
            </w:r>
          </w:p>
        </w:tc>
      </w:tr>
      <w:tr w:rsidR="00C20945" w:rsidRPr="00C20945" w14:paraId="013748FF" w14:textId="77777777" w:rsidTr="00BF79CA">
        <w:tc>
          <w:tcPr>
            <w:tcW w:w="2376" w:type="dxa"/>
          </w:tcPr>
          <w:p w14:paraId="634CB1B3" w14:textId="77777777" w:rsidR="00C20945" w:rsidRPr="00C20945" w:rsidRDefault="00F769DD" w:rsidP="00C20945">
            <w:proofErr w:type="spellStart"/>
            <w:r w:rsidRPr="00AA53F4">
              <w:rPr>
                <w:lang w:val="en-US"/>
              </w:rPr>
              <w:t>C</w:t>
            </w:r>
            <w:r w:rsidRPr="00F769DD">
              <w:rPr>
                <w:vertAlign w:val="subscript"/>
                <w:lang w:val="en-US"/>
              </w:rPr>
              <w:t>max</w:t>
            </w:r>
            <w:proofErr w:type="spellEnd"/>
          </w:p>
        </w:tc>
        <w:tc>
          <w:tcPr>
            <w:tcW w:w="6344" w:type="dxa"/>
          </w:tcPr>
          <w:p w14:paraId="1049FB38" w14:textId="77777777" w:rsidR="00C20945" w:rsidRPr="00C20945" w:rsidRDefault="000A094C" w:rsidP="00C20945">
            <w:r>
              <w:t>Maximal plasma concentration</w:t>
            </w:r>
          </w:p>
        </w:tc>
      </w:tr>
      <w:tr w:rsidR="006C0BD9" w:rsidRPr="00C20945" w14:paraId="62FF80AE" w14:textId="77777777" w:rsidTr="00BF79CA">
        <w:tc>
          <w:tcPr>
            <w:tcW w:w="2376" w:type="dxa"/>
          </w:tcPr>
          <w:p w14:paraId="57C1644E" w14:textId="7EF87729" w:rsidR="006C0BD9" w:rsidRPr="00C20945" w:rsidRDefault="006C0BD9" w:rsidP="00C20945">
            <w:r>
              <w:t>CMI</w:t>
            </w:r>
          </w:p>
        </w:tc>
        <w:tc>
          <w:tcPr>
            <w:tcW w:w="6344" w:type="dxa"/>
          </w:tcPr>
          <w:p w14:paraId="3131EA8A" w14:textId="1D006BF0" w:rsidR="006C0BD9" w:rsidRDefault="006C0BD9" w:rsidP="00C20945">
            <w:r>
              <w:t>Consumer Medicines Information</w:t>
            </w:r>
          </w:p>
        </w:tc>
      </w:tr>
      <w:tr w:rsidR="00C20945" w:rsidRPr="00C20945" w14:paraId="2250CF0C" w14:textId="77777777" w:rsidTr="00BF79CA">
        <w:tc>
          <w:tcPr>
            <w:tcW w:w="2376" w:type="dxa"/>
          </w:tcPr>
          <w:p w14:paraId="40F81436" w14:textId="77777777" w:rsidR="00C20945" w:rsidRPr="00C20945" w:rsidRDefault="00C20945" w:rsidP="00C20945">
            <w:r w:rsidRPr="00C20945">
              <w:t>CNS</w:t>
            </w:r>
          </w:p>
        </w:tc>
        <w:tc>
          <w:tcPr>
            <w:tcW w:w="6344" w:type="dxa"/>
          </w:tcPr>
          <w:p w14:paraId="082C3097" w14:textId="77777777" w:rsidR="00C20945" w:rsidRPr="00C20945" w:rsidRDefault="000A094C" w:rsidP="00C20945">
            <w:r>
              <w:t>C</w:t>
            </w:r>
            <w:r w:rsidR="00C20945" w:rsidRPr="00C20945">
              <w:t>entral nervous system</w:t>
            </w:r>
          </w:p>
        </w:tc>
      </w:tr>
      <w:tr w:rsidR="00C20945" w:rsidRPr="00C20945" w14:paraId="40D34642" w14:textId="77777777" w:rsidTr="00BF79CA">
        <w:tc>
          <w:tcPr>
            <w:tcW w:w="2376" w:type="dxa"/>
          </w:tcPr>
          <w:p w14:paraId="1123D00F" w14:textId="77777777" w:rsidR="00C20945" w:rsidRPr="00C20945" w:rsidRDefault="00C20945" w:rsidP="00C20945">
            <w:r w:rsidRPr="00C20945">
              <w:t>CR</w:t>
            </w:r>
          </w:p>
        </w:tc>
        <w:tc>
          <w:tcPr>
            <w:tcW w:w="6344" w:type="dxa"/>
          </w:tcPr>
          <w:p w14:paraId="25F19AFB" w14:textId="77777777" w:rsidR="00C20945" w:rsidRPr="00C20945" w:rsidRDefault="000A094C" w:rsidP="002F076F">
            <w:r>
              <w:t>C</w:t>
            </w:r>
            <w:r w:rsidR="00C20945" w:rsidRPr="00C20945">
              <w:t xml:space="preserve">omplete </w:t>
            </w:r>
            <w:r w:rsidR="002F076F" w:rsidRPr="00C20945">
              <w:t>r</w:t>
            </w:r>
            <w:r w:rsidR="002F076F">
              <w:t>esponse</w:t>
            </w:r>
          </w:p>
        </w:tc>
      </w:tr>
      <w:tr w:rsidR="00C20945" w:rsidRPr="00C20945" w14:paraId="21FB9AA3" w14:textId="77777777" w:rsidTr="00BF79CA">
        <w:tc>
          <w:tcPr>
            <w:tcW w:w="2376" w:type="dxa"/>
          </w:tcPr>
          <w:p w14:paraId="043B18DD" w14:textId="77777777" w:rsidR="00C20945" w:rsidRPr="00C20945" w:rsidRDefault="00C20945" w:rsidP="00C20945">
            <w:proofErr w:type="spellStart"/>
            <w:r w:rsidRPr="00C20945">
              <w:t>CRi</w:t>
            </w:r>
            <w:proofErr w:type="spellEnd"/>
          </w:p>
        </w:tc>
        <w:tc>
          <w:tcPr>
            <w:tcW w:w="6344" w:type="dxa"/>
          </w:tcPr>
          <w:p w14:paraId="6A358351" w14:textId="077E4195" w:rsidR="00C20945" w:rsidRPr="00C20945" w:rsidRDefault="000A094C" w:rsidP="002F076F">
            <w:r>
              <w:t>C</w:t>
            </w:r>
            <w:r w:rsidR="00C20945" w:rsidRPr="00C20945">
              <w:t>omplete r</w:t>
            </w:r>
            <w:r w:rsidR="002F076F">
              <w:t>esponse</w:t>
            </w:r>
            <w:r w:rsidR="00C20945" w:rsidRPr="00C20945">
              <w:t xml:space="preserve"> with incomplete h</w:t>
            </w:r>
            <w:r w:rsidR="00FC7899">
              <w:t>a</w:t>
            </w:r>
            <w:r w:rsidR="00C20945" w:rsidRPr="00C20945">
              <w:t>ematologic recovery</w:t>
            </w:r>
          </w:p>
        </w:tc>
      </w:tr>
      <w:tr w:rsidR="00C20945" w:rsidRPr="00C20945" w14:paraId="084EE22B" w14:textId="77777777" w:rsidTr="00BF79CA">
        <w:tc>
          <w:tcPr>
            <w:tcW w:w="2376" w:type="dxa"/>
          </w:tcPr>
          <w:p w14:paraId="4C681B62" w14:textId="77777777" w:rsidR="00C20945" w:rsidRPr="00C20945" w:rsidRDefault="00C20945" w:rsidP="00C20945">
            <w:r w:rsidRPr="00C20945">
              <w:t>CSR</w:t>
            </w:r>
          </w:p>
        </w:tc>
        <w:tc>
          <w:tcPr>
            <w:tcW w:w="6344" w:type="dxa"/>
          </w:tcPr>
          <w:p w14:paraId="50EF52F8" w14:textId="77777777" w:rsidR="00C20945" w:rsidRPr="00C20945" w:rsidRDefault="000A094C" w:rsidP="00C20945">
            <w:r>
              <w:t>C</w:t>
            </w:r>
            <w:r w:rsidR="002F076F">
              <w:t>linical study report</w:t>
            </w:r>
          </w:p>
        </w:tc>
      </w:tr>
      <w:tr w:rsidR="00C20945" w:rsidRPr="00C20945" w14:paraId="7B139003" w14:textId="77777777" w:rsidTr="00BF79CA">
        <w:tc>
          <w:tcPr>
            <w:tcW w:w="2376" w:type="dxa"/>
          </w:tcPr>
          <w:p w14:paraId="55473894" w14:textId="77777777" w:rsidR="00C20945" w:rsidRPr="00C20945" w:rsidRDefault="00BF79CA" w:rsidP="00C20945">
            <w:r>
              <w:t>CTCAE</w:t>
            </w:r>
          </w:p>
        </w:tc>
        <w:tc>
          <w:tcPr>
            <w:tcW w:w="6344" w:type="dxa"/>
          </w:tcPr>
          <w:p w14:paraId="28525F02" w14:textId="061B78AE" w:rsidR="00C20945" w:rsidRPr="00C20945" w:rsidRDefault="00C20945" w:rsidP="00C20945">
            <w:r w:rsidRPr="00C20945">
              <w:t xml:space="preserve">Common </w:t>
            </w:r>
            <w:r w:rsidR="00FC7899">
              <w:t>T</w:t>
            </w:r>
            <w:r w:rsidR="00BF79CA" w:rsidRPr="00C20945">
              <w:t xml:space="preserve">erminology </w:t>
            </w:r>
            <w:r w:rsidR="00FC7899">
              <w:t>C</w:t>
            </w:r>
            <w:r w:rsidR="00BF79CA" w:rsidRPr="00C20945">
              <w:t xml:space="preserve">riteria for </w:t>
            </w:r>
            <w:r w:rsidR="00FC7899">
              <w:t>A</w:t>
            </w:r>
            <w:r w:rsidR="00BF79CA" w:rsidRPr="00C20945">
              <w:t xml:space="preserve">dverse </w:t>
            </w:r>
            <w:r w:rsidR="00FC7899">
              <w:t>E</w:t>
            </w:r>
            <w:r w:rsidR="00BF79CA" w:rsidRPr="00C20945">
              <w:t>vents</w:t>
            </w:r>
          </w:p>
        </w:tc>
      </w:tr>
      <w:tr w:rsidR="00C20945" w:rsidRPr="00C20945" w14:paraId="43E7DE29" w14:textId="77777777" w:rsidTr="00BF79CA">
        <w:tc>
          <w:tcPr>
            <w:tcW w:w="2376" w:type="dxa"/>
          </w:tcPr>
          <w:p w14:paraId="3888BD73" w14:textId="77777777" w:rsidR="00C20945" w:rsidRPr="00C20945" w:rsidRDefault="00C20945" w:rsidP="00C20945">
            <w:r w:rsidRPr="00C20945">
              <w:t>CU</w:t>
            </w:r>
          </w:p>
        </w:tc>
        <w:tc>
          <w:tcPr>
            <w:tcW w:w="6344" w:type="dxa"/>
          </w:tcPr>
          <w:p w14:paraId="70D8B014" w14:textId="77777777" w:rsidR="00C20945" w:rsidRPr="00C20945" w:rsidRDefault="000A094C" w:rsidP="00C20945">
            <w:r>
              <w:t>C</w:t>
            </w:r>
            <w:r w:rsidR="00BF79CA">
              <w:t>ompassionate use</w:t>
            </w:r>
          </w:p>
        </w:tc>
      </w:tr>
      <w:tr w:rsidR="00C20945" w:rsidRPr="00C20945" w14:paraId="62D64A1A" w14:textId="77777777" w:rsidTr="00BF79CA">
        <w:tc>
          <w:tcPr>
            <w:tcW w:w="2376" w:type="dxa"/>
          </w:tcPr>
          <w:p w14:paraId="31429E24" w14:textId="77777777" w:rsidR="00C20945" w:rsidRPr="00C20945" w:rsidRDefault="00C20945" w:rsidP="00C20945">
            <w:r w:rsidRPr="00C20945">
              <w:t>CV</w:t>
            </w:r>
          </w:p>
        </w:tc>
        <w:tc>
          <w:tcPr>
            <w:tcW w:w="6344" w:type="dxa"/>
          </w:tcPr>
          <w:p w14:paraId="63B99D59" w14:textId="77777777" w:rsidR="00C20945" w:rsidRPr="00C20945" w:rsidRDefault="000A094C" w:rsidP="00C20945">
            <w:r>
              <w:t>C</w:t>
            </w:r>
            <w:r w:rsidR="00C20945" w:rsidRPr="00C20945">
              <w:t>oefficient of variance</w:t>
            </w:r>
          </w:p>
        </w:tc>
      </w:tr>
      <w:tr w:rsidR="00EE79CB" w:rsidRPr="00C20945" w14:paraId="4433A46D" w14:textId="77777777" w:rsidTr="00BF79CA">
        <w:tc>
          <w:tcPr>
            <w:tcW w:w="2376" w:type="dxa"/>
          </w:tcPr>
          <w:p w14:paraId="28EC0A04" w14:textId="3CCCC66A" w:rsidR="00EE79CB" w:rsidRPr="00C20945" w:rsidRDefault="00EE79CB" w:rsidP="00C20945">
            <w:proofErr w:type="spellStart"/>
            <w:r>
              <w:t>C</w:t>
            </w:r>
            <w:r w:rsidRPr="004C4261">
              <w:rPr>
                <w:vertAlign w:val="subscript"/>
              </w:rPr>
              <w:t>avg</w:t>
            </w:r>
            <w:proofErr w:type="spellEnd"/>
          </w:p>
        </w:tc>
        <w:tc>
          <w:tcPr>
            <w:tcW w:w="6344" w:type="dxa"/>
          </w:tcPr>
          <w:p w14:paraId="0248F6E0" w14:textId="16E49FDC" w:rsidR="00EE79CB" w:rsidRDefault="00EE79CB" w:rsidP="00C20945">
            <w:r>
              <w:t>Average plasma concentration</w:t>
            </w:r>
          </w:p>
        </w:tc>
      </w:tr>
      <w:tr w:rsidR="00AC6DBC" w:rsidRPr="00C20945" w14:paraId="27A10FE7" w14:textId="77777777" w:rsidTr="00BF79CA">
        <w:tc>
          <w:tcPr>
            <w:tcW w:w="2376" w:type="dxa"/>
          </w:tcPr>
          <w:p w14:paraId="05A9EDFA" w14:textId="68EBEA9B" w:rsidR="00AC6DBC" w:rsidRPr="00C20945" w:rsidRDefault="00AC6DBC" w:rsidP="00C20945">
            <w:r>
              <w:t>CU</w:t>
            </w:r>
          </w:p>
        </w:tc>
        <w:tc>
          <w:tcPr>
            <w:tcW w:w="6344" w:type="dxa"/>
          </w:tcPr>
          <w:p w14:paraId="631B4132" w14:textId="3D942668" w:rsidR="00AC6DBC" w:rsidRDefault="00AC6DBC" w:rsidP="00C20945">
            <w:r>
              <w:t>Compassionate use</w:t>
            </w:r>
          </w:p>
        </w:tc>
      </w:tr>
      <w:tr w:rsidR="00C20945" w:rsidRPr="00C20945" w14:paraId="39A98749" w14:textId="77777777" w:rsidTr="00BF79CA">
        <w:tc>
          <w:tcPr>
            <w:tcW w:w="2376" w:type="dxa"/>
          </w:tcPr>
          <w:p w14:paraId="51E5C16E" w14:textId="77777777" w:rsidR="00C20945" w:rsidRPr="00C20945" w:rsidRDefault="00C20945" w:rsidP="00C20945">
            <w:r w:rsidRPr="00C20945">
              <w:t>CVP</w:t>
            </w:r>
          </w:p>
        </w:tc>
        <w:tc>
          <w:tcPr>
            <w:tcW w:w="6344" w:type="dxa"/>
          </w:tcPr>
          <w:p w14:paraId="763A67B5" w14:textId="77777777" w:rsidR="00C20945" w:rsidRPr="00C20945" w:rsidRDefault="000A094C" w:rsidP="00C20945">
            <w:r>
              <w:t>C</w:t>
            </w:r>
            <w:r w:rsidR="00C20945" w:rsidRPr="00C20945">
              <w:t>yclophospham</w:t>
            </w:r>
            <w:r w:rsidR="00BF79CA">
              <w:t>ide, vincristine and prednisone</w:t>
            </w:r>
          </w:p>
        </w:tc>
      </w:tr>
      <w:tr w:rsidR="00C20945" w:rsidRPr="00C20945" w14:paraId="29ECD43C" w14:textId="77777777" w:rsidTr="00BF79CA">
        <w:tc>
          <w:tcPr>
            <w:tcW w:w="2376" w:type="dxa"/>
          </w:tcPr>
          <w:p w14:paraId="37B7D12A" w14:textId="77777777" w:rsidR="00C20945" w:rsidRPr="00C20945" w:rsidRDefault="00C20945" w:rsidP="00C20945">
            <w:r w:rsidRPr="00C20945">
              <w:t>CYP</w:t>
            </w:r>
          </w:p>
        </w:tc>
        <w:tc>
          <w:tcPr>
            <w:tcW w:w="6344" w:type="dxa"/>
          </w:tcPr>
          <w:p w14:paraId="21E00357" w14:textId="77777777" w:rsidR="00C20945" w:rsidRPr="00C20945" w:rsidRDefault="000A094C" w:rsidP="00C20945">
            <w:r>
              <w:t>C</w:t>
            </w:r>
            <w:r w:rsidR="00C20945" w:rsidRPr="00C20945">
              <w:t>ytochrome P450</w:t>
            </w:r>
          </w:p>
        </w:tc>
      </w:tr>
      <w:tr w:rsidR="00C20945" w:rsidRPr="00C20945" w14:paraId="7D65687D" w14:textId="77777777" w:rsidTr="00BF79CA">
        <w:tc>
          <w:tcPr>
            <w:tcW w:w="2376" w:type="dxa"/>
          </w:tcPr>
          <w:p w14:paraId="7D96BB0A" w14:textId="77777777" w:rsidR="00C20945" w:rsidRPr="00C20945" w:rsidRDefault="00C20945" w:rsidP="00C20945">
            <w:r w:rsidRPr="00C20945">
              <w:t>DDI</w:t>
            </w:r>
          </w:p>
        </w:tc>
        <w:tc>
          <w:tcPr>
            <w:tcW w:w="6344" w:type="dxa"/>
          </w:tcPr>
          <w:p w14:paraId="1A926625" w14:textId="77777777" w:rsidR="00C20945" w:rsidRPr="00C20945" w:rsidRDefault="000A094C" w:rsidP="00C20945">
            <w:r>
              <w:t>D</w:t>
            </w:r>
            <w:r w:rsidR="00BF79CA">
              <w:t>rug-drug interaction</w:t>
            </w:r>
          </w:p>
        </w:tc>
      </w:tr>
      <w:tr w:rsidR="00C20945" w:rsidRPr="00C20945" w14:paraId="14A95E8D" w14:textId="77777777" w:rsidTr="00BF79CA">
        <w:tc>
          <w:tcPr>
            <w:tcW w:w="2376" w:type="dxa"/>
          </w:tcPr>
          <w:p w14:paraId="36667574" w14:textId="77777777" w:rsidR="00C20945" w:rsidRPr="00C20945" w:rsidRDefault="00C20945" w:rsidP="00C20945">
            <w:r w:rsidRPr="00C20945">
              <w:t>DILI</w:t>
            </w:r>
          </w:p>
        </w:tc>
        <w:tc>
          <w:tcPr>
            <w:tcW w:w="6344" w:type="dxa"/>
          </w:tcPr>
          <w:p w14:paraId="13B4A84D" w14:textId="77777777" w:rsidR="00C20945" w:rsidRPr="00C20945" w:rsidRDefault="000A094C" w:rsidP="00C20945">
            <w:r>
              <w:t>D</w:t>
            </w:r>
            <w:r w:rsidR="00C20945" w:rsidRPr="00C20945">
              <w:t>rug-induced liver injury</w:t>
            </w:r>
          </w:p>
        </w:tc>
      </w:tr>
      <w:tr w:rsidR="00C20945" w:rsidRPr="00C20945" w14:paraId="6E6362C5" w14:textId="77777777" w:rsidTr="00BF79CA">
        <w:tc>
          <w:tcPr>
            <w:tcW w:w="2376" w:type="dxa"/>
          </w:tcPr>
          <w:p w14:paraId="409D1320" w14:textId="77777777" w:rsidR="00C20945" w:rsidRPr="00C20945" w:rsidRDefault="00C20945" w:rsidP="00C20945">
            <w:r w:rsidRPr="00C20945">
              <w:t>DLT</w:t>
            </w:r>
          </w:p>
        </w:tc>
        <w:tc>
          <w:tcPr>
            <w:tcW w:w="6344" w:type="dxa"/>
          </w:tcPr>
          <w:p w14:paraId="64F38C89" w14:textId="77777777" w:rsidR="00C20945" w:rsidRPr="00C20945" w:rsidRDefault="000A094C" w:rsidP="00C20945">
            <w:r>
              <w:t>D</w:t>
            </w:r>
            <w:r w:rsidR="00C20945" w:rsidRPr="00C20945">
              <w:t>ose limiting toxicity</w:t>
            </w:r>
          </w:p>
        </w:tc>
      </w:tr>
      <w:tr w:rsidR="00C20945" w:rsidRPr="00C20945" w14:paraId="01B4740A" w14:textId="77777777" w:rsidTr="00BF79CA">
        <w:tc>
          <w:tcPr>
            <w:tcW w:w="2376" w:type="dxa"/>
          </w:tcPr>
          <w:p w14:paraId="75D11B32" w14:textId="77777777" w:rsidR="00C20945" w:rsidRPr="00C20945" w:rsidRDefault="00C20945" w:rsidP="00C20945">
            <w:r w:rsidRPr="00C20945">
              <w:t>DMH</w:t>
            </w:r>
          </w:p>
        </w:tc>
        <w:tc>
          <w:tcPr>
            <w:tcW w:w="6344" w:type="dxa"/>
          </w:tcPr>
          <w:p w14:paraId="720D4246" w14:textId="77777777" w:rsidR="00C20945" w:rsidRPr="00C20945" w:rsidRDefault="000A094C" w:rsidP="00C20945">
            <w:proofErr w:type="spellStart"/>
            <w:r>
              <w:t>D</w:t>
            </w:r>
            <w:r w:rsidR="00C20945" w:rsidRPr="00C20945">
              <w:t>imethylhydrazide</w:t>
            </w:r>
            <w:proofErr w:type="spellEnd"/>
          </w:p>
        </w:tc>
      </w:tr>
      <w:tr w:rsidR="00C20945" w:rsidRPr="00C20945" w14:paraId="5EA798EB" w14:textId="77777777" w:rsidTr="00BF79CA">
        <w:tc>
          <w:tcPr>
            <w:tcW w:w="2376" w:type="dxa"/>
          </w:tcPr>
          <w:p w14:paraId="02D459CF" w14:textId="77777777" w:rsidR="00C20945" w:rsidRPr="00C20945" w:rsidRDefault="00C20945" w:rsidP="00C20945">
            <w:proofErr w:type="spellStart"/>
            <w:r w:rsidRPr="00C20945">
              <w:t>DoR</w:t>
            </w:r>
            <w:proofErr w:type="spellEnd"/>
          </w:p>
        </w:tc>
        <w:tc>
          <w:tcPr>
            <w:tcW w:w="6344" w:type="dxa"/>
          </w:tcPr>
          <w:p w14:paraId="27861A31" w14:textId="77777777" w:rsidR="00C20945" w:rsidRPr="00C20945" w:rsidRDefault="000A094C" w:rsidP="00C20945">
            <w:r>
              <w:t>D</w:t>
            </w:r>
            <w:r w:rsidR="00C20945" w:rsidRPr="00C20945">
              <w:t>uration of remission</w:t>
            </w:r>
          </w:p>
        </w:tc>
      </w:tr>
      <w:tr w:rsidR="00C20945" w:rsidRPr="00C20945" w14:paraId="62F4C7F0" w14:textId="77777777" w:rsidTr="00BF79CA">
        <w:tc>
          <w:tcPr>
            <w:tcW w:w="2376" w:type="dxa"/>
          </w:tcPr>
          <w:p w14:paraId="5EA260BC" w14:textId="77777777" w:rsidR="00C20945" w:rsidRPr="00C20945" w:rsidRDefault="00C20945" w:rsidP="00C20945">
            <w:r w:rsidRPr="00C20945">
              <w:t>EAC</w:t>
            </w:r>
          </w:p>
        </w:tc>
        <w:tc>
          <w:tcPr>
            <w:tcW w:w="6344" w:type="dxa"/>
          </w:tcPr>
          <w:p w14:paraId="166605AF" w14:textId="77777777" w:rsidR="00C20945" w:rsidRPr="00C20945" w:rsidRDefault="00C20945" w:rsidP="00C20945">
            <w:r w:rsidRPr="00C20945">
              <w:t>Endpoint Adjudication Committee</w:t>
            </w:r>
          </w:p>
        </w:tc>
      </w:tr>
      <w:tr w:rsidR="00C20945" w:rsidRPr="00C20945" w14:paraId="6D7F749E" w14:textId="77777777" w:rsidTr="00BF79CA">
        <w:tc>
          <w:tcPr>
            <w:tcW w:w="2376" w:type="dxa"/>
          </w:tcPr>
          <w:p w14:paraId="63A73952" w14:textId="77777777" w:rsidR="00C20945" w:rsidRPr="00C20945" w:rsidRDefault="00C20945" w:rsidP="00C20945">
            <w:r w:rsidRPr="00C20945">
              <w:t>ECG</w:t>
            </w:r>
          </w:p>
        </w:tc>
        <w:tc>
          <w:tcPr>
            <w:tcW w:w="6344" w:type="dxa"/>
          </w:tcPr>
          <w:p w14:paraId="214EF7A7" w14:textId="77777777" w:rsidR="00C20945" w:rsidRPr="00C20945" w:rsidRDefault="000A094C" w:rsidP="00C20945">
            <w:r>
              <w:t>E</w:t>
            </w:r>
            <w:r w:rsidR="00C20945" w:rsidRPr="00C20945">
              <w:t>lectrocardiogram</w:t>
            </w:r>
          </w:p>
        </w:tc>
      </w:tr>
      <w:tr w:rsidR="00C20945" w:rsidRPr="00C20945" w14:paraId="3F9B1BC6" w14:textId="77777777" w:rsidTr="00BF79CA">
        <w:tc>
          <w:tcPr>
            <w:tcW w:w="2376" w:type="dxa"/>
          </w:tcPr>
          <w:p w14:paraId="4DA9BF05" w14:textId="77777777" w:rsidR="00C20945" w:rsidRPr="00C20945" w:rsidRDefault="00C20945" w:rsidP="00C20945">
            <w:r w:rsidRPr="00C20945">
              <w:t>ECL</w:t>
            </w:r>
          </w:p>
        </w:tc>
        <w:tc>
          <w:tcPr>
            <w:tcW w:w="6344" w:type="dxa"/>
          </w:tcPr>
          <w:p w14:paraId="0411F2C5" w14:textId="77777777" w:rsidR="00C20945" w:rsidRPr="00C20945" w:rsidRDefault="000A094C" w:rsidP="00C20945">
            <w:proofErr w:type="spellStart"/>
            <w:r>
              <w:t>E</w:t>
            </w:r>
            <w:r w:rsidR="00C20945" w:rsidRPr="00C20945">
              <w:t>lectrochemiluminescent</w:t>
            </w:r>
            <w:proofErr w:type="spellEnd"/>
          </w:p>
        </w:tc>
      </w:tr>
      <w:tr w:rsidR="00C20945" w:rsidRPr="00C20945" w14:paraId="6DBC1F25" w14:textId="77777777" w:rsidTr="00BF79CA">
        <w:tc>
          <w:tcPr>
            <w:tcW w:w="2376" w:type="dxa"/>
          </w:tcPr>
          <w:p w14:paraId="3C855B37" w14:textId="77777777" w:rsidR="00C20945" w:rsidRPr="00C20945" w:rsidRDefault="000E5B21" w:rsidP="00C20945">
            <w:r>
              <w:t>ECOG</w:t>
            </w:r>
          </w:p>
        </w:tc>
        <w:tc>
          <w:tcPr>
            <w:tcW w:w="6344" w:type="dxa"/>
          </w:tcPr>
          <w:p w14:paraId="6309101D" w14:textId="77777777" w:rsidR="00C20945" w:rsidRPr="00C20945" w:rsidRDefault="00C20945" w:rsidP="00C20945">
            <w:r w:rsidRPr="00C20945">
              <w:t>Eastern Cooperative Oncology Group</w:t>
            </w:r>
          </w:p>
        </w:tc>
      </w:tr>
      <w:tr w:rsidR="00C20945" w:rsidRPr="00C20945" w14:paraId="44525514" w14:textId="77777777" w:rsidTr="00BF79CA">
        <w:tc>
          <w:tcPr>
            <w:tcW w:w="2376" w:type="dxa"/>
          </w:tcPr>
          <w:p w14:paraId="6503BCE2" w14:textId="77777777" w:rsidR="00C20945" w:rsidRPr="00C20945" w:rsidRDefault="00C20945" w:rsidP="00C20945">
            <w:r w:rsidRPr="00C20945">
              <w:t>ELISA</w:t>
            </w:r>
          </w:p>
        </w:tc>
        <w:tc>
          <w:tcPr>
            <w:tcW w:w="6344" w:type="dxa"/>
          </w:tcPr>
          <w:p w14:paraId="5B722069" w14:textId="77777777" w:rsidR="00C20945" w:rsidRPr="00C20945" w:rsidRDefault="000A094C" w:rsidP="00C20945">
            <w:r>
              <w:t>E</w:t>
            </w:r>
            <w:r w:rsidR="00BF79CA">
              <w:t>nzyme linked assay</w:t>
            </w:r>
          </w:p>
        </w:tc>
      </w:tr>
      <w:tr w:rsidR="00C20945" w:rsidRPr="00C20945" w14:paraId="0D5F2DAC" w14:textId="77777777" w:rsidTr="00BF79CA">
        <w:tc>
          <w:tcPr>
            <w:tcW w:w="2376" w:type="dxa"/>
          </w:tcPr>
          <w:p w14:paraId="2596C08D" w14:textId="77777777" w:rsidR="00C20945" w:rsidRPr="00C20945" w:rsidRDefault="00C20945" w:rsidP="00C20945">
            <w:r w:rsidRPr="00C20945">
              <w:t>EMA</w:t>
            </w:r>
          </w:p>
        </w:tc>
        <w:tc>
          <w:tcPr>
            <w:tcW w:w="6344" w:type="dxa"/>
          </w:tcPr>
          <w:p w14:paraId="2365A45C" w14:textId="77777777" w:rsidR="00C20945" w:rsidRPr="00C20945" w:rsidRDefault="00C20945" w:rsidP="00C20945">
            <w:r w:rsidRPr="00C20945">
              <w:t>European Medicines Agency</w:t>
            </w:r>
          </w:p>
        </w:tc>
      </w:tr>
      <w:tr w:rsidR="00C20945" w:rsidRPr="00C20945" w14:paraId="06468DF5" w14:textId="77777777" w:rsidTr="00BF79CA">
        <w:tc>
          <w:tcPr>
            <w:tcW w:w="2376" w:type="dxa"/>
          </w:tcPr>
          <w:p w14:paraId="1767E791" w14:textId="77777777" w:rsidR="00C20945" w:rsidRPr="00C20945" w:rsidRDefault="00BF79CA" w:rsidP="00C20945">
            <w:r>
              <w:lastRenderedPageBreak/>
              <w:t>EORTC QLQ-C30</w:t>
            </w:r>
          </w:p>
        </w:tc>
        <w:tc>
          <w:tcPr>
            <w:tcW w:w="6344" w:type="dxa"/>
          </w:tcPr>
          <w:p w14:paraId="082B757A" w14:textId="5437BE34" w:rsidR="00C20945" w:rsidRPr="00C20945" w:rsidRDefault="00C20945" w:rsidP="00C20945">
            <w:r w:rsidRPr="00C20945">
              <w:t>European Organi</w:t>
            </w:r>
            <w:r w:rsidR="00FC7899">
              <w:t>s</w:t>
            </w:r>
            <w:r w:rsidRPr="00C20945">
              <w:t>ation for Research and Treatment of Cancer</w:t>
            </w:r>
            <w:r w:rsidR="00FC7899">
              <w:t>,</w:t>
            </w:r>
            <w:r w:rsidRPr="00C20945">
              <w:t xml:space="preserve"> </w:t>
            </w:r>
            <w:r w:rsidR="00FC7899">
              <w:t>core quality of life questionnaire(30 questions)</w:t>
            </w:r>
          </w:p>
        </w:tc>
      </w:tr>
      <w:tr w:rsidR="00C20945" w:rsidRPr="00C20945" w14:paraId="6674CA04" w14:textId="77777777" w:rsidTr="00BF79CA">
        <w:tc>
          <w:tcPr>
            <w:tcW w:w="2376" w:type="dxa"/>
          </w:tcPr>
          <w:p w14:paraId="5BC0B22A" w14:textId="77777777" w:rsidR="00C20945" w:rsidRPr="00C20945" w:rsidRDefault="00C20945" w:rsidP="00C20945">
            <w:r w:rsidRPr="00C20945">
              <w:t>EQ-VAS</w:t>
            </w:r>
          </w:p>
        </w:tc>
        <w:tc>
          <w:tcPr>
            <w:tcW w:w="6344" w:type="dxa"/>
          </w:tcPr>
          <w:p w14:paraId="0A7FDE03" w14:textId="0DB99AB3" w:rsidR="00C20945" w:rsidRPr="00C20945" w:rsidRDefault="00C20945" w:rsidP="00C20945">
            <w:proofErr w:type="spellStart"/>
            <w:r w:rsidRPr="00C20945">
              <w:t>EuroQoL</w:t>
            </w:r>
            <w:proofErr w:type="spellEnd"/>
            <w:r w:rsidRPr="00C20945">
              <w:t xml:space="preserve"> </w:t>
            </w:r>
            <w:r w:rsidR="004C4261">
              <w:t>v</w:t>
            </w:r>
            <w:r w:rsidRPr="00C20945">
              <w:t>isual analogue scale</w:t>
            </w:r>
          </w:p>
        </w:tc>
      </w:tr>
      <w:tr w:rsidR="00C20945" w:rsidRPr="00C20945" w14:paraId="0DA6DB8B" w14:textId="77777777" w:rsidTr="00BF79CA">
        <w:tc>
          <w:tcPr>
            <w:tcW w:w="2376" w:type="dxa"/>
          </w:tcPr>
          <w:p w14:paraId="2976ECBF" w14:textId="77777777" w:rsidR="00C20945" w:rsidRPr="00C20945" w:rsidRDefault="00C20945" w:rsidP="00C20945">
            <w:r w:rsidRPr="00C20945">
              <w:t>EQ-5D-3L</w:t>
            </w:r>
          </w:p>
        </w:tc>
        <w:tc>
          <w:tcPr>
            <w:tcW w:w="6344" w:type="dxa"/>
          </w:tcPr>
          <w:p w14:paraId="52652770" w14:textId="0B9D6996" w:rsidR="00C20945" w:rsidRPr="00C20945" w:rsidRDefault="00C20945" w:rsidP="00C20945">
            <w:proofErr w:type="spellStart"/>
            <w:r w:rsidRPr="00C20945">
              <w:t>EuroQoL</w:t>
            </w:r>
            <w:proofErr w:type="spellEnd"/>
            <w:r w:rsidR="00FC7899">
              <w:t xml:space="preserve"> 5</w:t>
            </w:r>
            <w:r w:rsidRPr="00C20945">
              <w:t xml:space="preserve"> </w:t>
            </w:r>
            <w:r w:rsidR="00FC7899">
              <w:t>d</w:t>
            </w:r>
            <w:r w:rsidRPr="00C20945">
              <w:t xml:space="preserve">imension questionnaire </w:t>
            </w:r>
            <w:r w:rsidR="00FC7899">
              <w:t>(</w:t>
            </w:r>
            <w:r w:rsidRPr="00C20945">
              <w:t>3 level version</w:t>
            </w:r>
            <w:r w:rsidR="00FC7899">
              <w:t>)</w:t>
            </w:r>
          </w:p>
        </w:tc>
      </w:tr>
      <w:tr w:rsidR="000E5B21" w:rsidRPr="00C20945" w14:paraId="0E044D28" w14:textId="77777777" w:rsidTr="00BF79CA">
        <w:tc>
          <w:tcPr>
            <w:tcW w:w="2376" w:type="dxa"/>
          </w:tcPr>
          <w:p w14:paraId="55410D88" w14:textId="77777777" w:rsidR="000E5B21" w:rsidRPr="00C20945" w:rsidRDefault="000E5B21" w:rsidP="00C20945">
            <w:r>
              <w:t>ESMO</w:t>
            </w:r>
          </w:p>
        </w:tc>
        <w:tc>
          <w:tcPr>
            <w:tcW w:w="6344" w:type="dxa"/>
          </w:tcPr>
          <w:p w14:paraId="3BB0F06D" w14:textId="77777777" w:rsidR="000E5B21" w:rsidRDefault="000E5B21" w:rsidP="00C20945">
            <w:r>
              <w:t>European Society for Medical Oncology</w:t>
            </w:r>
          </w:p>
        </w:tc>
      </w:tr>
      <w:tr w:rsidR="00C20945" w:rsidRPr="00C20945" w14:paraId="4B662750" w14:textId="77777777" w:rsidTr="00BF79CA">
        <w:tc>
          <w:tcPr>
            <w:tcW w:w="2376" w:type="dxa"/>
          </w:tcPr>
          <w:p w14:paraId="5610BCEA" w14:textId="77777777" w:rsidR="00C20945" w:rsidRPr="00C20945" w:rsidRDefault="00C20945" w:rsidP="00C20945">
            <w:r w:rsidRPr="00C20945">
              <w:t>FDA</w:t>
            </w:r>
          </w:p>
        </w:tc>
        <w:tc>
          <w:tcPr>
            <w:tcW w:w="6344" w:type="dxa"/>
          </w:tcPr>
          <w:p w14:paraId="5B2C3E7D" w14:textId="30E86973" w:rsidR="00C20945" w:rsidRPr="00C20945" w:rsidRDefault="00C20945" w:rsidP="00C20945">
            <w:r w:rsidRPr="00C20945">
              <w:t>Food and Drug Administration</w:t>
            </w:r>
            <w:r w:rsidR="00FC7899">
              <w:t xml:space="preserve"> (United States)</w:t>
            </w:r>
          </w:p>
        </w:tc>
      </w:tr>
      <w:tr w:rsidR="00C20945" w:rsidRPr="00C20945" w14:paraId="1D34347F" w14:textId="77777777" w:rsidTr="00BF79CA">
        <w:tc>
          <w:tcPr>
            <w:tcW w:w="2376" w:type="dxa"/>
          </w:tcPr>
          <w:p w14:paraId="28FF031A" w14:textId="77777777" w:rsidR="00C20945" w:rsidRPr="00C20945" w:rsidRDefault="00C20945" w:rsidP="00C20945">
            <w:r w:rsidRPr="00C20945">
              <w:t>FLAG</w:t>
            </w:r>
          </w:p>
        </w:tc>
        <w:tc>
          <w:tcPr>
            <w:tcW w:w="6344" w:type="dxa"/>
          </w:tcPr>
          <w:p w14:paraId="5A26CA85" w14:textId="77777777" w:rsidR="00C20945" w:rsidRPr="00C20945" w:rsidRDefault="000A094C" w:rsidP="00C20945">
            <w:proofErr w:type="spellStart"/>
            <w:r>
              <w:t>F</w:t>
            </w:r>
            <w:r w:rsidR="00C20945" w:rsidRPr="00C20945">
              <w:t>ludarabine</w:t>
            </w:r>
            <w:proofErr w:type="spellEnd"/>
            <w:r w:rsidR="00C20945" w:rsidRPr="00C20945">
              <w:t xml:space="preserve">, </w:t>
            </w:r>
            <w:proofErr w:type="spellStart"/>
            <w:r w:rsidR="00C20945" w:rsidRPr="00C20945">
              <w:t>cytarabine</w:t>
            </w:r>
            <w:proofErr w:type="spellEnd"/>
            <w:r w:rsidR="00C20945" w:rsidRPr="00C20945">
              <w:t>, granulocyte-colony stimulating factor</w:t>
            </w:r>
          </w:p>
        </w:tc>
      </w:tr>
      <w:tr w:rsidR="00C20945" w:rsidRPr="00C20945" w14:paraId="0F3C8A71" w14:textId="77777777" w:rsidTr="00BF79CA">
        <w:tc>
          <w:tcPr>
            <w:tcW w:w="2376" w:type="dxa"/>
          </w:tcPr>
          <w:p w14:paraId="76CEC05A" w14:textId="77777777" w:rsidR="00C20945" w:rsidRPr="00C20945" w:rsidRDefault="00C20945" w:rsidP="00C20945">
            <w:r w:rsidRPr="00C20945">
              <w:t>GCP</w:t>
            </w:r>
          </w:p>
        </w:tc>
        <w:tc>
          <w:tcPr>
            <w:tcW w:w="6344" w:type="dxa"/>
          </w:tcPr>
          <w:p w14:paraId="74B64330" w14:textId="77777777" w:rsidR="00C20945" w:rsidRPr="00C20945" w:rsidRDefault="00C20945" w:rsidP="00C20945">
            <w:r w:rsidRPr="00C20945">
              <w:t>Good Clinical Practice</w:t>
            </w:r>
          </w:p>
        </w:tc>
      </w:tr>
      <w:tr w:rsidR="00C20945" w:rsidRPr="00C20945" w14:paraId="79B5F58F" w14:textId="77777777" w:rsidTr="00BF79CA">
        <w:tc>
          <w:tcPr>
            <w:tcW w:w="2376" w:type="dxa"/>
          </w:tcPr>
          <w:p w14:paraId="2097CA39" w14:textId="77777777" w:rsidR="00C20945" w:rsidRPr="00C20945" w:rsidRDefault="00BF79CA" w:rsidP="00C20945">
            <w:r>
              <w:t>G</w:t>
            </w:r>
            <w:r w:rsidR="00C20945" w:rsidRPr="00C20945">
              <w:t>CSF</w:t>
            </w:r>
          </w:p>
        </w:tc>
        <w:tc>
          <w:tcPr>
            <w:tcW w:w="6344" w:type="dxa"/>
          </w:tcPr>
          <w:p w14:paraId="7A35B6E2" w14:textId="77777777" w:rsidR="00C20945" w:rsidRPr="00C20945" w:rsidRDefault="000A094C" w:rsidP="00C20945">
            <w:r>
              <w:t>G</w:t>
            </w:r>
            <w:r w:rsidR="00BF79CA">
              <w:t xml:space="preserve">ranulocyte </w:t>
            </w:r>
            <w:r w:rsidR="00C20945" w:rsidRPr="00C20945">
              <w:t>colony stimulating factor</w:t>
            </w:r>
          </w:p>
        </w:tc>
      </w:tr>
      <w:tr w:rsidR="00C20945" w:rsidRPr="00C20945" w14:paraId="459730A3" w14:textId="77777777" w:rsidTr="00BF79CA">
        <w:tc>
          <w:tcPr>
            <w:tcW w:w="2376" w:type="dxa"/>
          </w:tcPr>
          <w:p w14:paraId="549A59B9" w14:textId="77777777" w:rsidR="00C20945" w:rsidRPr="00C20945" w:rsidRDefault="00C20945" w:rsidP="00C20945">
            <w:r w:rsidRPr="00C20945">
              <w:t>GGT</w:t>
            </w:r>
          </w:p>
        </w:tc>
        <w:tc>
          <w:tcPr>
            <w:tcW w:w="6344" w:type="dxa"/>
          </w:tcPr>
          <w:p w14:paraId="4070E1E7" w14:textId="77777777" w:rsidR="00C20945" w:rsidRPr="00C20945" w:rsidRDefault="000A094C" w:rsidP="00C20945">
            <w:r>
              <w:t>G</w:t>
            </w:r>
            <w:r w:rsidR="00C20945" w:rsidRPr="00C20945">
              <w:t>amma-glutamyl transpeptidase</w:t>
            </w:r>
          </w:p>
        </w:tc>
      </w:tr>
      <w:tr w:rsidR="00BF79CA" w:rsidRPr="00C20945" w14:paraId="31D9983D" w14:textId="77777777" w:rsidTr="00BF79CA">
        <w:tc>
          <w:tcPr>
            <w:tcW w:w="2376" w:type="dxa"/>
          </w:tcPr>
          <w:p w14:paraId="5431AF43" w14:textId="77777777" w:rsidR="00BF79CA" w:rsidRPr="00C20945" w:rsidRDefault="00BF79CA" w:rsidP="00C20945">
            <w:r>
              <w:t>GLP</w:t>
            </w:r>
          </w:p>
        </w:tc>
        <w:tc>
          <w:tcPr>
            <w:tcW w:w="6344" w:type="dxa"/>
          </w:tcPr>
          <w:p w14:paraId="111D7336" w14:textId="77777777" w:rsidR="00BF79CA" w:rsidRDefault="00BF79CA" w:rsidP="00BF79CA">
            <w:r w:rsidRPr="00BF79CA">
              <w:t xml:space="preserve">Good </w:t>
            </w:r>
            <w:r>
              <w:t>Laboratory</w:t>
            </w:r>
            <w:r w:rsidRPr="00BF79CA">
              <w:t xml:space="preserve"> Practice</w:t>
            </w:r>
          </w:p>
        </w:tc>
      </w:tr>
      <w:tr w:rsidR="00C20945" w:rsidRPr="00C20945" w14:paraId="61C986B2" w14:textId="77777777" w:rsidTr="00BF79CA">
        <w:tc>
          <w:tcPr>
            <w:tcW w:w="2376" w:type="dxa"/>
          </w:tcPr>
          <w:p w14:paraId="03B229CA" w14:textId="77777777" w:rsidR="00C20945" w:rsidRPr="00C20945" w:rsidRDefault="00C20945" w:rsidP="00C20945">
            <w:r w:rsidRPr="00C20945">
              <w:t>GVHD</w:t>
            </w:r>
          </w:p>
        </w:tc>
        <w:tc>
          <w:tcPr>
            <w:tcW w:w="6344" w:type="dxa"/>
          </w:tcPr>
          <w:p w14:paraId="64F9E4C0" w14:textId="77777777" w:rsidR="00C20945" w:rsidRPr="00C20945" w:rsidRDefault="000A094C" w:rsidP="00C20945">
            <w:r>
              <w:t>G</w:t>
            </w:r>
            <w:r w:rsidR="00C20945" w:rsidRPr="00C20945">
              <w:t>raft versus host disease</w:t>
            </w:r>
          </w:p>
        </w:tc>
      </w:tr>
      <w:tr w:rsidR="00C20945" w:rsidRPr="00C20945" w14:paraId="43E35941" w14:textId="77777777" w:rsidTr="00BF79CA">
        <w:tc>
          <w:tcPr>
            <w:tcW w:w="2376" w:type="dxa"/>
          </w:tcPr>
          <w:p w14:paraId="0B41388E" w14:textId="77777777" w:rsidR="00C20945" w:rsidRPr="00C20945" w:rsidRDefault="00C20945" w:rsidP="00C20945">
            <w:r w:rsidRPr="00C20945">
              <w:t>h</w:t>
            </w:r>
          </w:p>
        </w:tc>
        <w:tc>
          <w:tcPr>
            <w:tcW w:w="6344" w:type="dxa"/>
          </w:tcPr>
          <w:p w14:paraId="6023438D" w14:textId="77777777" w:rsidR="00C20945" w:rsidRPr="00C20945" w:rsidRDefault="000A094C" w:rsidP="00C20945">
            <w:r>
              <w:t>H</w:t>
            </w:r>
            <w:r w:rsidR="00C20945" w:rsidRPr="00C20945">
              <w:t>our(s)</w:t>
            </w:r>
          </w:p>
        </w:tc>
      </w:tr>
      <w:tr w:rsidR="00C20945" w:rsidRPr="00C20945" w14:paraId="61886960" w14:textId="77777777" w:rsidTr="00BF79CA">
        <w:tc>
          <w:tcPr>
            <w:tcW w:w="2376" w:type="dxa"/>
          </w:tcPr>
          <w:p w14:paraId="03E3F513" w14:textId="77777777" w:rsidR="00C20945" w:rsidRPr="00C20945" w:rsidRDefault="00C20945" w:rsidP="00C20945">
            <w:r w:rsidRPr="00C20945">
              <w:t>HEAB</w:t>
            </w:r>
          </w:p>
        </w:tc>
        <w:tc>
          <w:tcPr>
            <w:tcW w:w="6344" w:type="dxa"/>
          </w:tcPr>
          <w:p w14:paraId="5B3D80F0" w14:textId="77777777" w:rsidR="00C20945" w:rsidRPr="00C20945" w:rsidRDefault="00C20945" w:rsidP="00C20945">
            <w:r w:rsidRPr="00C20945">
              <w:t>Hepatic Events Adjudication Board</w:t>
            </w:r>
          </w:p>
        </w:tc>
      </w:tr>
      <w:tr w:rsidR="00C20945" w:rsidRPr="00C20945" w14:paraId="09CB1AA4" w14:textId="77777777" w:rsidTr="00BF79CA">
        <w:tc>
          <w:tcPr>
            <w:tcW w:w="2376" w:type="dxa"/>
          </w:tcPr>
          <w:p w14:paraId="493F812F" w14:textId="77777777" w:rsidR="00C20945" w:rsidRPr="00C20945" w:rsidRDefault="00C20945" w:rsidP="00C20945">
            <w:r w:rsidRPr="00C20945">
              <w:t>HIDAC</w:t>
            </w:r>
          </w:p>
        </w:tc>
        <w:tc>
          <w:tcPr>
            <w:tcW w:w="6344" w:type="dxa"/>
          </w:tcPr>
          <w:p w14:paraId="244BC4D6" w14:textId="77777777" w:rsidR="00C20945" w:rsidRPr="00C20945" w:rsidRDefault="000A094C" w:rsidP="00C20945">
            <w:r>
              <w:t>H</w:t>
            </w:r>
            <w:r w:rsidR="00C20945" w:rsidRPr="00C20945">
              <w:t>igh-dose cytarabine</w:t>
            </w:r>
          </w:p>
        </w:tc>
      </w:tr>
      <w:tr w:rsidR="00C20945" w:rsidRPr="00C20945" w14:paraId="61F39420" w14:textId="77777777" w:rsidTr="00BF79CA">
        <w:tc>
          <w:tcPr>
            <w:tcW w:w="2376" w:type="dxa"/>
          </w:tcPr>
          <w:p w14:paraId="4FC9B156" w14:textId="77777777" w:rsidR="00C20945" w:rsidRPr="00C20945" w:rsidRDefault="00C20945" w:rsidP="00C20945">
            <w:r w:rsidRPr="00C20945">
              <w:t>HR</w:t>
            </w:r>
          </w:p>
        </w:tc>
        <w:tc>
          <w:tcPr>
            <w:tcW w:w="6344" w:type="dxa"/>
          </w:tcPr>
          <w:p w14:paraId="07A50D15" w14:textId="77777777" w:rsidR="00C20945" w:rsidRPr="00C20945" w:rsidRDefault="000A094C" w:rsidP="00C20945">
            <w:r>
              <w:t>H</w:t>
            </w:r>
            <w:r w:rsidR="00C20945" w:rsidRPr="00C20945">
              <w:t>azard ratio</w:t>
            </w:r>
          </w:p>
        </w:tc>
      </w:tr>
      <w:tr w:rsidR="00C20945" w:rsidRPr="00C20945" w14:paraId="1361A39B" w14:textId="77777777" w:rsidTr="00BF79CA">
        <w:tc>
          <w:tcPr>
            <w:tcW w:w="2376" w:type="dxa"/>
          </w:tcPr>
          <w:p w14:paraId="588683FD" w14:textId="77777777" w:rsidR="00C20945" w:rsidRPr="00C20945" w:rsidRDefault="00C20945" w:rsidP="00C20945">
            <w:r w:rsidRPr="00C20945">
              <w:t>HSCT</w:t>
            </w:r>
          </w:p>
        </w:tc>
        <w:tc>
          <w:tcPr>
            <w:tcW w:w="6344" w:type="dxa"/>
          </w:tcPr>
          <w:p w14:paraId="3B825E1F" w14:textId="77777777" w:rsidR="00C20945" w:rsidRPr="00C20945" w:rsidRDefault="000A094C" w:rsidP="00C20945">
            <w:r>
              <w:t>H</w:t>
            </w:r>
            <w:r w:rsidR="00C20945" w:rsidRPr="00C20945">
              <w:t>aematopoietic stem cell transplant</w:t>
            </w:r>
          </w:p>
        </w:tc>
      </w:tr>
      <w:tr w:rsidR="00C20945" w:rsidRPr="00C20945" w14:paraId="0A89810E" w14:textId="77777777" w:rsidTr="00BF79CA">
        <w:tc>
          <w:tcPr>
            <w:tcW w:w="2376" w:type="dxa"/>
          </w:tcPr>
          <w:p w14:paraId="23CE2AB5" w14:textId="77777777" w:rsidR="00C20945" w:rsidRPr="00C20945" w:rsidRDefault="00C20945" w:rsidP="00C20945">
            <w:r w:rsidRPr="00C20945">
              <w:t>Hyper-CVAD</w:t>
            </w:r>
          </w:p>
        </w:tc>
        <w:tc>
          <w:tcPr>
            <w:tcW w:w="6344" w:type="dxa"/>
          </w:tcPr>
          <w:p w14:paraId="37491A7A" w14:textId="77777777" w:rsidR="00C20945" w:rsidRPr="00C20945" w:rsidRDefault="000A094C" w:rsidP="000A094C">
            <w:r>
              <w:t>C</w:t>
            </w:r>
            <w:r w:rsidR="00C20945" w:rsidRPr="00C20945">
              <w:t>yclophosphamide, vincristine, doxorubicin, dexamethasone (part A); methotrexate and</w:t>
            </w:r>
            <w:r>
              <w:t xml:space="preserve"> </w:t>
            </w:r>
            <w:r w:rsidR="00C20945" w:rsidRPr="00C20945">
              <w:t>cytarabine (part B)</w:t>
            </w:r>
          </w:p>
        </w:tc>
      </w:tr>
      <w:tr w:rsidR="00D974EF" w:rsidRPr="00C20945" w14:paraId="41E40539" w14:textId="77777777" w:rsidTr="00BF79CA">
        <w:tc>
          <w:tcPr>
            <w:tcW w:w="2376" w:type="dxa"/>
          </w:tcPr>
          <w:p w14:paraId="26E800CD" w14:textId="6D21D169" w:rsidR="00D974EF" w:rsidRPr="004C4261" w:rsidRDefault="00D974EF" w:rsidP="008D611A">
            <w:pPr>
              <w:rPr>
                <w:vertAlign w:val="subscript"/>
              </w:rPr>
            </w:pPr>
            <w:r>
              <w:t>IC</w:t>
            </w:r>
            <w:r w:rsidRPr="008D611A">
              <w:rPr>
                <w:vertAlign w:val="subscript"/>
              </w:rPr>
              <w:t>50</w:t>
            </w:r>
          </w:p>
        </w:tc>
        <w:tc>
          <w:tcPr>
            <w:tcW w:w="6344" w:type="dxa"/>
          </w:tcPr>
          <w:p w14:paraId="2D73788A" w14:textId="456B8B13" w:rsidR="00D974EF" w:rsidRPr="00C20945" w:rsidRDefault="00D974EF" w:rsidP="00C20945">
            <w:r>
              <w:t>Half maximal inhibitory concentration</w:t>
            </w:r>
          </w:p>
        </w:tc>
      </w:tr>
      <w:tr w:rsidR="00C20945" w:rsidRPr="00C20945" w14:paraId="476444B2" w14:textId="77777777" w:rsidTr="00BF79CA">
        <w:tc>
          <w:tcPr>
            <w:tcW w:w="2376" w:type="dxa"/>
          </w:tcPr>
          <w:p w14:paraId="5828BB8B" w14:textId="77777777" w:rsidR="00C20945" w:rsidRPr="00C20945" w:rsidRDefault="00C20945" w:rsidP="00C20945">
            <w:r w:rsidRPr="00C20945">
              <w:t>ICH</w:t>
            </w:r>
          </w:p>
        </w:tc>
        <w:tc>
          <w:tcPr>
            <w:tcW w:w="6344" w:type="dxa"/>
          </w:tcPr>
          <w:p w14:paraId="2DAFABF3" w14:textId="77777777" w:rsidR="00C20945" w:rsidRPr="00C20945" w:rsidRDefault="00C20945" w:rsidP="00C20945">
            <w:r w:rsidRPr="00C20945">
              <w:t>International Conference on Harmonisation</w:t>
            </w:r>
          </w:p>
        </w:tc>
      </w:tr>
      <w:tr w:rsidR="00C20945" w:rsidRPr="00C20945" w14:paraId="074568F1" w14:textId="77777777" w:rsidTr="00BF79CA">
        <w:tc>
          <w:tcPr>
            <w:tcW w:w="2376" w:type="dxa"/>
          </w:tcPr>
          <w:p w14:paraId="6CAC3C13" w14:textId="77777777" w:rsidR="00C20945" w:rsidRPr="00C20945" w:rsidRDefault="00C20945" w:rsidP="00C20945">
            <w:proofErr w:type="spellStart"/>
            <w:r w:rsidRPr="00C20945">
              <w:t>InO</w:t>
            </w:r>
            <w:proofErr w:type="spellEnd"/>
          </w:p>
        </w:tc>
        <w:tc>
          <w:tcPr>
            <w:tcW w:w="6344" w:type="dxa"/>
          </w:tcPr>
          <w:p w14:paraId="268995D2" w14:textId="77777777" w:rsidR="00C20945" w:rsidRPr="00C20945" w:rsidRDefault="000A094C" w:rsidP="00C20945">
            <w:r>
              <w:t>I</w:t>
            </w:r>
            <w:r w:rsidR="00C20945" w:rsidRPr="00C20945">
              <w:t>notuzumab ozogamicin</w:t>
            </w:r>
          </w:p>
        </w:tc>
      </w:tr>
      <w:tr w:rsidR="00AC6DBC" w:rsidRPr="00C20945" w14:paraId="4C70C50F" w14:textId="77777777" w:rsidTr="00BF79CA">
        <w:tc>
          <w:tcPr>
            <w:tcW w:w="2376" w:type="dxa"/>
          </w:tcPr>
          <w:p w14:paraId="6D20C5F9" w14:textId="1D44B0F6" w:rsidR="00AC6DBC" w:rsidRPr="00C20945" w:rsidRDefault="00AC6DBC" w:rsidP="00C20945">
            <w:r>
              <w:t>ILD</w:t>
            </w:r>
          </w:p>
        </w:tc>
        <w:tc>
          <w:tcPr>
            <w:tcW w:w="6344" w:type="dxa"/>
          </w:tcPr>
          <w:p w14:paraId="1D57CD6E" w14:textId="6F457F0B" w:rsidR="00AC6DBC" w:rsidRDefault="00AC6DBC" w:rsidP="00C20945">
            <w:r>
              <w:t>Interstitial lung disease</w:t>
            </w:r>
          </w:p>
        </w:tc>
      </w:tr>
      <w:tr w:rsidR="00D974EF" w:rsidRPr="00C20945" w14:paraId="2F61966A" w14:textId="77777777" w:rsidTr="00BF79CA">
        <w:tc>
          <w:tcPr>
            <w:tcW w:w="2376" w:type="dxa"/>
          </w:tcPr>
          <w:p w14:paraId="336B1416" w14:textId="4DD42045" w:rsidR="00D974EF" w:rsidRPr="00C20945" w:rsidRDefault="00D974EF" w:rsidP="00C20945">
            <w:r>
              <w:t>IP</w:t>
            </w:r>
          </w:p>
        </w:tc>
        <w:tc>
          <w:tcPr>
            <w:tcW w:w="6344" w:type="dxa"/>
          </w:tcPr>
          <w:p w14:paraId="2DEE7094" w14:textId="5DE6E702" w:rsidR="00D974EF" w:rsidRDefault="00D974EF" w:rsidP="00C20945">
            <w:r>
              <w:t>Intraperitoneal</w:t>
            </w:r>
          </w:p>
        </w:tc>
      </w:tr>
      <w:tr w:rsidR="00D974EF" w:rsidRPr="00C20945" w14:paraId="6C2D32D7" w14:textId="77777777" w:rsidTr="00BF79CA">
        <w:tc>
          <w:tcPr>
            <w:tcW w:w="2376" w:type="dxa"/>
          </w:tcPr>
          <w:p w14:paraId="24413F6D" w14:textId="1D04630F" w:rsidR="00D974EF" w:rsidRPr="00C20945" w:rsidRDefault="00D974EF" w:rsidP="00C20945">
            <w:r>
              <w:t>IV</w:t>
            </w:r>
          </w:p>
        </w:tc>
        <w:tc>
          <w:tcPr>
            <w:tcW w:w="6344" w:type="dxa"/>
          </w:tcPr>
          <w:p w14:paraId="762B0A0B" w14:textId="45FBDE79" w:rsidR="00D974EF" w:rsidRDefault="00D974EF" w:rsidP="00C20945">
            <w:r>
              <w:t>Intravenous</w:t>
            </w:r>
          </w:p>
        </w:tc>
      </w:tr>
      <w:tr w:rsidR="00C20945" w:rsidRPr="00C20945" w14:paraId="6C22A7AB" w14:textId="77777777" w:rsidTr="00BF79CA">
        <w:tc>
          <w:tcPr>
            <w:tcW w:w="2376" w:type="dxa"/>
          </w:tcPr>
          <w:p w14:paraId="0CD79C40" w14:textId="77777777" w:rsidR="00C20945" w:rsidRPr="00C20945" w:rsidRDefault="00C20945" w:rsidP="00C20945">
            <w:proofErr w:type="spellStart"/>
            <w:r w:rsidRPr="00C20945">
              <w:t>Inv</w:t>
            </w:r>
            <w:proofErr w:type="spellEnd"/>
            <w:r w:rsidRPr="00C20945">
              <w:t xml:space="preserve"> Choice</w:t>
            </w:r>
          </w:p>
        </w:tc>
        <w:tc>
          <w:tcPr>
            <w:tcW w:w="6344" w:type="dxa"/>
          </w:tcPr>
          <w:p w14:paraId="46920DA7" w14:textId="77777777" w:rsidR="00C20945" w:rsidRPr="00C20945" w:rsidRDefault="00C20945" w:rsidP="00C20945">
            <w:r w:rsidRPr="00C20945">
              <w:t>Investigator’s choice of chemotherapy</w:t>
            </w:r>
          </w:p>
        </w:tc>
      </w:tr>
      <w:tr w:rsidR="00C20945" w:rsidRPr="00C20945" w14:paraId="0847E156" w14:textId="77777777" w:rsidTr="00BF79CA">
        <w:tc>
          <w:tcPr>
            <w:tcW w:w="2376" w:type="dxa"/>
          </w:tcPr>
          <w:p w14:paraId="08872976" w14:textId="77777777" w:rsidR="00C20945" w:rsidRPr="00C20945" w:rsidRDefault="00C20945" w:rsidP="00C20945">
            <w:r w:rsidRPr="00C20945">
              <w:lastRenderedPageBreak/>
              <w:t>ITT</w:t>
            </w:r>
          </w:p>
        </w:tc>
        <w:tc>
          <w:tcPr>
            <w:tcW w:w="6344" w:type="dxa"/>
          </w:tcPr>
          <w:p w14:paraId="444E3B5B" w14:textId="77777777" w:rsidR="00C20945" w:rsidRPr="00C20945" w:rsidRDefault="00C20945" w:rsidP="00C20945">
            <w:r w:rsidRPr="00C20945">
              <w:t>Intent-to-treat</w:t>
            </w:r>
          </w:p>
        </w:tc>
      </w:tr>
      <w:tr w:rsidR="00C20945" w:rsidRPr="00C20945" w14:paraId="156A5A81" w14:textId="77777777" w:rsidTr="00BF79CA">
        <w:tc>
          <w:tcPr>
            <w:tcW w:w="2376" w:type="dxa"/>
          </w:tcPr>
          <w:p w14:paraId="489C5A76" w14:textId="77777777" w:rsidR="00C20945" w:rsidRPr="00C20945" w:rsidRDefault="00C20945" w:rsidP="00C20945">
            <w:r w:rsidRPr="00C20945">
              <w:t>ITT218</w:t>
            </w:r>
          </w:p>
        </w:tc>
        <w:tc>
          <w:tcPr>
            <w:tcW w:w="6344" w:type="dxa"/>
          </w:tcPr>
          <w:p w14:paraId="31473FE1" w14:textId="3B0AE0CB" w:rsidR="00C20945" w:rsidRPr="00C20945" w:rsidRDefault="00C20945" w:rsidP="00C20945">
            <w:r w:rsidRPr="00C20945">
              <w:t>I</w:t>
            </w:r>
            <w:r w:rsidR="00FC7899">
              <w:t>ntent-to-treat</w:t>
            </w:r>
            <w:r w:rsidRPr="00C20945">
              <w:t xml:space="preserve"> for the initial 218 patients randomi</w:t>
            </w:r>
            <w:r w:rsidR="00FC7899">
              <w:t>s</w:t>
            </w:r>
            <w:r w:rsidRPr="00C20945">
              <w:t>ed</w:t>
            </w:r>
          </w:p>
        </w:tc>
      </w:tr>
      <w:tr w:rsidR="00C20945" w:rsidRPr="00C20945" w14:paraId="76941BED" w14:textId="77777777" w:rsidTr="00BF79CA">
        <w:tc>
          <w:tcPr>
            <w:tcW w:w="2376" w:type="dxa"/>
          </w:tcPr>
          <w:p w14:paraId="2C1ED072" w14:textId="77777777" w:rsidR="00C20945" w:rsidRPr="00C20945" w:rsidRDefault="00C20945" w:rsidP="00C20945">
            <w:r w:rsidRPr="00C20945">
              <w:t>IV</w:t>
            </w:r>
          </w:p>
        </w:tc>
        <w:tc>
          <w:tcPr>
            <w:tcW w:w="6344" w:type="dxa"/>
          </w:tcPr>
          <w:p w14:paraId="352F6721" w14:textId="77777777" w:rsidR="00C20945" w:rsidRPr="00C20945" w:rsidRDefault="000A094C" w:rsidP="00C20945">
            <w:r>
              <w:t>I</w:t>
            </w:r>
            <w:r w:rsidR="00C20945" w:rsidRPr="00C20945">
              <w:t>ntravenous</w:t>
            </w:r>
          </w:p>
        </w:tc>
      </w:tr>
      <w:tr w:rsidR="00C20945" w:rsidRPr="00C20945" w14:paraId="72A254D1" w14:textId="77777777" w:rsidTr="00BF79CA">
        <w:tc>
          <w:tcPr>
            <w:tcW w:w="2376" w:type="dxa"/>
          </w:tcPr>
          <w:p w14:paraId="2B00431E" w14:textId="77777777" w:rsidR="00C20945" w:rsidRPr="00C20945" w:rsidRDefault="00C20945" w:rsidP="00C20945">
            <w:r w:rsidRPr="00C20945">
              <w:t>IVRS</w:t>
            </w:r>
          </w:p>
        </w:tc>
        <w:tc>
          <w:tcPr>
            <w:tcW w:w="6344" w:type="dxa"/>
          </w:tcPr>
          <w:p w14:paraId="441B9EA7" w14:textId="77777777" w:rsidR="00C20945" w:rsidRPr="00C20945" w:rsidRDefault="00C20945" w:rsidP="00C20945">
            <w:r w:rsidRPr="00C20945">
              <w:t>Interactive Voice Response System</w:t>
            </w:r>
          </w:p>
        </w:tc>
      </w:tr>
      <w:tr w:rsidR="006C0BD9" w:rsidRPr="00C20945" w14:paraId="566512F9" w14:textId="77777777" w:rsidTr="00BF79CA">
        <w:tc>
          <w:tcPr>
            <w:tcW w:w="2376" w:type="dxa"/>
          </w:tcPr>
          <w:p w14:paraId="4CB077E8" w14:textId="51AB2857" w:rsidR="006C0BD9" w:rsidRPr="004C4261" w:rsidRDefault="006C0BD9" w:rsidP="008D611A">
            <w:pPr>
              <w:rPr>
                <w:vertAlign w:val="subscript"/>
              </w:rPr>
            </w:pPr>
            <w:r>
              <w:t>K</w:t>
            </w:r>
            <w:r w:rsidRPr="008D611A">
              <w:rPr>
                <w:vertAlign w:val="subscript"/>
              </w:rPr>
              <w:t>D</w:t>
            </w:r>
          </w:p>
        </w:tc>
        <w:tc>
          <w:tcPr>
            <w:tcW w:w="6344" w:type="dxa"/>
          </w:tcPr>
          <w:p w14:paraId="28F4E795" w14:textId="2E37684D" w:rsidR="006C0BD9" w:rsidRPr="00C20945" w:rsidRDefault="006C0BD9" w:rsidP="00C20945">
            <w:r>
              <w:t>Dissociation constant</w:t>
            </w:r>
          </w:p>
        </w:tc>
      </w:tr>
      <w:tr w:rsidR="00C20945" w:rsidRPr="00C20945" w14:paraId="0586E2BE" w14:textId="77777777" w:rsidTr="00BF79CA">
        <w:tc>
          <w:tcPr>
            <w:tcW w:w="2376" w:type="dxa"/>
          </w:tcPr>
          <w:p w14:paraId="589CC232" w14:textId="77777777" w:rsidR="00C20945" w:rsidRPr="00C20945" w:rsidRDefault="00C20945" w:rsidP="00C20945">
            <w:r w:rsidRPr="00C20945">
              <w:t>LC/MS/MS</w:t>
            </w:r>
          </w:p>
        </w:tc>
        <w:tc>
          <w:tcPr>
            <w:tcW w:w="6344" w:type="dxa"/>
          </w:tcPr>
          <w:p w14:paraId="10D2E424" w14:textId="77777777" w:rsidR="00C20945" w:rsidRPr="00C20945" w:rsidRDefault="000A094C" w:rsidP="00C20945">
            <w:r>
              <w:t>H</w:t>
            </w:r>
            <w:r w:rsidR="00C20945" w:rsidRPr="00C20945">
              <w:t>igh-performance liquid chromatography tandem mass spectrometric method</w:t>
            </w:r>
          </w:p>
        </w:tc>
      </w:tr>
      <w:tr w:rsidR="00C20945" w:rsidRPr="00C20945" w14:paraId="4B9BBFD0" w14:textId="77777777" w:rsidTr="00BF79CA">
        <w:tc>
          <w:tcPr>
            <w:tcW w:w="2376" w:type="dxa"/>
          </w:tcPr>
          <w:p w14:paraId="22B54634" w14:textId="77777777" w:rsidR="00C20945" w:rsidRPr="00C20945" w:rsidRDefault="00C20945" w:rsidP="00C20945">
            <w:r w:rsidRPr="00C20945">
              <w:t>LFT</w:t>
            </w:r>
          </w:p>
        </w:tc>
        <w:tc>
          <w:tcPr>
            <w:tcW w:w="6344" w:type="dxa"/>
          </w:tcPr>
          <w:p w14:paraId="1F52EEB1" w14:textId="77777777" w:rsidR="00C20945" w:rsidRPr="00C20945" w:rsidRDefault="000A094C" w:rsidP="00C20945">
            <w:r>
              <w:t>L</w:t>
            </w:r>
            <w:r w:rsidR="00C20945" w:rsidRPr="00C20945">
              <w:t>iver function test</w:t>
            </w:r>
          </w:p>
        </w:tc>
      </w:tr>
      <w:tr w:rsidR="00C20945" w:rsidRPr="00C20945" w14:paraId="685B2DE0" w14:textId="77777777" w:rsidTr="00BF79CA">
        <w:tc>
          <w:tcPr>
            <w:tcW w:w="2376" w:type="dxa"/>
          </w:tcPr>
          <w:p w14:paraId="311A5B4A" w14:textId="77777777" w:rsidR="00C20945" w:rsidRPr="00C20945" w:rsidRDefault="00C20945" w:rsidP="00C20945">
            <w:r w:rsidRPr="00C20945">
              <w:t>LLOQ</w:t>
            </w:r>
          </w:p>
        </w:tc>
        <w:tc>
          <w:tcPr>
            <w:tcW w:w="6344" w:type="dxa"/>
          </w:tcPr>
          <w:p w14:paraId="5B2CFFB8" w14:textId="77777777" w:rsidR="00C20945" w:rsidRPr="00C20945" w:rsidRDefault="000A094C" w:rsidP="00C20945">
            <w:r>
              <w:t>L</w:t>
            </w:r>
            <w:r w:rsidR="00C20945" w:rsidRPr="00C20945">
              <w:t>o</w:t>
            </w:r>
            <w:r w:rsidR="00A232E5">
              <w:t>wer limit of quantitation</w:t>
            </w:r>
          </w:p>
        </w:tc>
      </w:tr>
      <w:tr w:rsidR="001400FE" w:rsidRPr="00C20945" w14:paraId="306A8843" w14:textId="77777777" w:rsidTr="00BF79CA">
        <w:tc>
          <w:tcPr>
            <w:tcW w:w="2376" w:type="dxa"/>
          </w:tcPr>
          <w:p w14:paraId="7D5C84A1" w14:textId="01FA2D3D" w:rsidR="001400FE" w:rsidRPr="00C20945" w:rsidRDefault="001400FE" w:rsidP="00C20945">
            <w:r>
              <w:t>LOEL</w:t>
            </w:r>
          </w:p>
        </w:tc>
        <w:tc>
          <w:tcPr>
            <w:tcW w:w="6344" w:type="dxa"/>
          </w:tcPr>
          <w:p w14:paraId="61590D92" w14:textId="75A627CB" w:rsidR="001400FE" w:rsidRDefault="001400FE" w:rsidP="00C20945">
            <w:r>
              <w:t>Lowest observable effect level</w:t>
            </w:r>
          </w:p>
        </w:tc>
      </w:tr>
      <w:tr w:rsidR="00C20945" w:rsidRPr="00C20945" w14:paraId="569483BB" w14:textId="77777777" w:rsidTr="00BF79CA">
        <w:tc>
          <w:tcPr>
            <w:tcW w:w="2376" w:type="dxa"/>
          </w:tcPr>
          <w:p w14:paraId="0CFBEA22" w14:textId="77777777" w:rsidR="00C20945" w:rsidRPr="00C20945" w:rsidRDefault="00C20945" w:rsidP="00C20945">
            <w:r w:rsidRPr="00C20945">
              <w:t>LSLV</w:t>
            </w:r>
          </w:p>
        </w:tc>
        <w:tc>
          <w:tcPr>
            <w:tcW w:w="6344" w:type="dxa"/>
          </w:tcPr>
          <w:p w14:paraId="3751C237" w14:textId="77777777" w:rsidR="00C20945" w:rsidRPr="00C20945" w:rsidRDefault="00C20945" w:rsidP="00C20945">
            <w:r w:rsidRPr="00C20945">
              <w:t>Last Subject Last Visit</w:t>
            </w:r>
          </w:p>
        </w:tc>
      </w:tr>
      <w:tr w:rsidR="006779D9" w:rsidRPr="00C20945" w14:paraId="350B3E95" w14:textId="77777777" w:rsidTr="00BF79CA">
        <w:tc>
          <w:tcPr>
            <w:tcW w:w="2376" w:type="dxa"/>
          </w:tcPr>
          <w:p w14:paraId="1A8E8F47" w14:textId="77777777" w:rsidR="006779D9" w:rsidRPr="00C20945" w:rsidRDefault="006779D9" w:rsidP="00C20945">
            <w:proofErr w:type="spellStart"/>
            <w:r>
              <w:rPr>
                <w:lang w:val="en-GB"/>
              </w:rPr>
              <w:t>mAb</w:t>
            </w:r>
            <w:proofErr w:type="spellEnd"/>
          </w:p>
        </w:tc>
        <w:tc>
          <w:tcPr>
            <w:tcW w:w="6344" w:type="dxa"/>
          </w:tcPr>
          <w:p w14:paraId="6A1B514F" w14:textId="77777777" w:rsidR="006779D9" w:rsidRPr="00C20945" w:rsidRDefault="000A094C" w:rsidP="00C20945">
            <w:r>
              <w:rPr>
                <w:lang w:val="en-GB"/>
              </w:rPr>
              <w:t>M</w:t>
            </w:r>
            <w:r w:rsidR="006779D9">
              <w:rPr>
                <w:lang w:val="en-GB"/>
              </w:rPr>
              <w:t>onoclonal antibody</w:t>
            </w:r>
          </w:p>
        </w:tc>
      </w:tr>
      <w:tr w:rsidR="00C20945" w:rsidRPr="00C20945" w14:paraId="0DACC8B8" w14:textId="77777777" w:rsidTr="00BF79CA">
        <w:tc>
          <w:tcPr>
            <w:tcW w:w="2376" w:type="dxa"/>
          </w:tcPr>
          <w:p w14:paraId="0B6CAFC7" w14:textId="77777777" w:rsidR="00C20945" w:rsidRPr="00C20945" w:rsidRDefault="00A232E5" w:rsidP="00C20945">
            <w:r>
              <w:t>MATE</w:t>
            </w:r>
          </w:p>
        </w:tc>
        <w:tc>
          <w:tcPr>
            <w:tcW w:w="6344" w:type="dxa"/>
          </w:tcPr>
          <w:p w14:paraId="63A00A02" w14:textId="77777777" w:rsidR="00C20945" w:rsidRPr="00C20945" w:rsidRDefault="000A094C" w:rsidP="00C20945">
            <w:r>
              <w:t>M</w:t>
            </w:r>
            <w:r w:rsidR="00C20945" w:rsidRPr="00C20945">
              <w:t>ultidrug and toxin extrusion protein</w:t>
            </w:r>
          </w:p>
        </w:tc>
      </w:tr>
      <w:tr w:rsidR="00C20945" w:rsidRPr="00C20945" w14:paraId="395A0ED7" w14:textId="77777777" w:rsidTr="00BF79CA">
        <w:tc>
          <w:tcPr>
            <w:tcW w:w="2376" w:type="dxa"/>
          </w:tcPr>
          <w:p w14:paraId="389CF417" w14:textId="77777777" w:rsidR="00C20945" w:rsidRPr="00C20945" w:rsidRDefault="00C20945" w:rsidP="00C20945">
            <w:r w:rsidRPr="00C20945">
              <w:t>Max</w:t>
            </w:r>
          </w:p>
        </w:tc>
        <w:tc>
          <w:tcPr>
            <w:tcW w:w="6344" w:type="dxa"/>
          </w:tcPr>
          <w:p w14:paraId="784CE780" w14:textId="77777777" w:rsidR="00C20945" w:rsidRPr="00C20945" w:rsidRDefault="000A094C" w:rsidP="00C20945">
            <w:r>
              <w:t>M</w:t>
            </w:r>
            <w:r w:rsidR="00C20945" w:rsidRPr="00C20945">
              <w:t>aximum</w:t>
            </w:r>
          </w:p>
        </w:tc>
      </w:tr>
      <w:tr w:rsidR="00C20945" w:rsidRPr="00C20945" w14:paraId="76B3C27E" w14:textId="77777777" w:rsidTr="00BF79CA">
        <w:tc>
          <w:tcPr>
            <w:tcW w:w="2376" w:type="dxa"/>
          </w:tcPr>
          <w:p w14:paraId="4EF812F7" w14:textId="77777777" w:rsidR="00C20945" w:rsidRPr="00C20945" w:rsidRDefault="00C20945" w:rsidP="00C20945">
            <w:r w:rsidRPr="00C20945">
              <w:t>MDACC</w:t>
            </w:r>
          </w:p>
        </w:tc>
        <w:tc>
          <w:tcPr>
            <w:tcW w:w="6344" w:type="dxa"/>
          </w:tcPr>
          <w:p w14:paraId="1DFC64CD" w14:textId="5C104906" w:rsidR="00C20945" w:rsidRPr="00C20945" w:rsidRDefault="00C20945" w:rsidP="00C20945">
            <w:r w:rsidRPr="00C20945">
              <w:t xml:space="preserve">MD Anderson Cancer </w:t>
            </w:r>
            <w:proofErr w:type="spellStart"/>
            <w:r w:rsidRPr="00C20945">
              <w:t>Center</w:t>
            </w:r>
            <w:proofErr w:type="spellEnd"/>
            <w:r w:rsidR="00FC7899">
              <w:t xml:space="preserve"> (University of Texas, USA)</w:t>
            </w:r>
          </w:p>
        </w:tc>
      </w:tr>
      <w:tr w:rsidR="00C20945" w:rsidRPr="00C20945" w14:paraId="1F117A3E" w14:textId="77777777" w:rsidTr="00BF79CA">
        <w:tc>
          <w:tcPr>
            <w:tcW w:w="2376" w:type="dxa"/>
          </w:tcPr>
          <w:p w14:paraId="69395A8D" w14:textId="77777777" w:rsidR="00C20945" w:rsidRPr="00C20945" w:rsidRDefault="00C20945" w:rsidP="00C20945">
            <w:r w:rsidRPr="00C20945">
              <w:t>MDR1</w:t>
            </w:r>
          </w:p>
        </w:tc>
        <w:tc>
          <w:tcPr>
            <w:tcW w:w="6344" w:type="dxa"/>
          </w:tcPr>
          <w:p w14:paraId="5853B9F3" w14:textId="77777777" w:rsidR="00C20945" w:rsidRPr="00C20945" w:rsidRDefault="00C20945" w:rsidP="00C20945">
            <w:r w:rsidRPr="00C20945">
              <w:t>Multi-drug resistance protein 1</w:t>
            </w:r>
          </w:p>
        </w:tc>
      </w:tr>
      <w:tr w:rsidR="00C20945" w:rsidRPr="00C20945" w14:paraId="0556BC3B" w14:textId="77777777" w:rsidTr="00BF79CA">
        <w:tc>
          <w:tcPr>
            <w:tcW w:w="2376" w:type="dxa"/>
          </w:tcPr>
          <w:p w14:paraId="7C8B63A1" w14:textId="77777777" w:rsidR="00C20945" w:rsidRPr="00C20945" w:rsidRDefault="00C20945" w:rsidP="00C20945">
            <w:proofErr w:type="spellStart"/>
            <w:r w:rsidRPr="00C20945">
              <w:t>MedDRA</w:t>
            </w:r>
            <w:proofErr w:type="spellEnd"/>
          </w:p>
        </w:tc>
        <w:tc>
          <w:tcPr>
            <w:tcW w:w="6344" w:type="dxa"/>
          </w:tcPr>
          <w:p w14:paraId="0A79FFCB" w14:textId="77777777" w:rsidR="00C20945" w:rsidRPr="00C20945" w:rsidRDefault="00C20945" w:rsidP="00C20945">
            <w:r w:rsidRPr="00C20945">
              <w:t>Medical Dictionary for Regulatory Activities</w:t>
            </w:r>
          </w:p>
        </w:tc>
      </w:tr>
      <w:tr w:rsidR="00C20945" w:rsidRPr="00C20945" w14:paraId="71BD7E90" w14:textId="77777777" w:rsidTr="00BF79CA">
        <w:tc>
          <w:tcPr>
            <w:tcW w:w="2376" w:type="dxa"/>
          </w:tcPr>
          <w:p w14:paraId="6B7FE0B9" w14:textId="77777777" w:rsidR="00C20945" w:rsidRPr="00C20945" w:rsidRDefault="00C20945" w:rsidP="00C20945">
            <w:r w:rsidRPr="00C20945">
              <w:t>Min</w:t>
            </w:r>
          </w:p>
        </w:tc>
        <w:tc>
          <w:tcPr>
            <w:tcW w:w="6344" w:type="dxa"/>
          </w:tcPr>
          <w:p w14:paraId="23DD0960" w14:textId="77777777" w:rsidR="00C20945" w:rsidRPr="00C20945" w:rsidRDefault="000A094C" w:rsidP="00C20945">
            <w:r>
              <w:t>M</w:t>
            </w:r>
            <w:r w:rsidR="00C20945" w:rsidRPr="00C20945">
              <w:t>inimum</w:t>
            </w:r>
          </w:p>
        </w:tc>
      </w:tr>
      <w:tr w:rsidR="00C20945" w:rsidRPr="00C20945" w14:paraId="0F8793A9" w14:textId="77777777" w:rsidTr="00BF79CA">
        <w:tc>
          <w:tcPr>
            <w:tcW w:w="2376" w:type="dxa"/>
          </w:tcPr>
          <w:p w14:paraId="0DAD6096" w14:textId="77777777" w:rsidR="00C20945" w:rsidRPr="00C20945" w:rsidRDefault="00C20945" w:rsidP="00C20945">
            <w:proofErr w:type="spellStart"/>
            <w:r w:rsidRPr="00C20945">
              <w:t>mITT</w:t>
            </w:r>
            <w:proofErr w:type="spellEnd"/>
          </w:p>
        </w:tc>
        <w:tc>
          <w:tcPr>
            <w:tcW w:w="6344" w:type="dxa"/>
          </w:tcPr>
          <w:p w14:paraId="4F5F2126" w14:textId="77777777" w:rsidR="00C20945" w:rsidRPr="00C20945" w:rsidRDefault="000A094C" w:rsidP="00C20945">
            <w:r>
              <w:t>M</w:t>
            </w:r>
            <w:r w:rsidR="00C20945" w:rsidRPr="00C20945">
              <w:t>odified intent-to-treat</w:t>
            </w:r>
          </w:p>
        </w:tc>
      </w:tr>
      <w:tr w:rsidR="00C20945" w:rsidRPr="00C20945" w14:paraId="4764DCA1" w14:textId="77777777" w:rsidTr="00BF79CA">
        <w:tc>
          <w:tcPr>
            <w:tcW w:w="2376" w:type="dxa"/>
          </w:tcPr>
          <w:p w14:paraId="5F38809A" w14:textId="77777777" w:rsidR="00C20945" w:rsidRPr="00C20945" w:rsidRDefault="00C20945" w:rsidP="00C20945">
            <w:r w:rsidRPr="00C20945">
              <w:t>MRD</w:t>
            </w:r>
          </w:p>
        </w:tc>
        <w:tc>
          <w:tcPr>
            <w:tcW w:w="6344" w:type="dxa"/>
          </w:tcPr>
          <w:p w14:paraId="15AA755B" w14:textId="77777777" w:rsidR="00C20945" w:rsidRPr="00C20945" w:rsidRDefault="000A094C" w:rsidP="00C20945">
            <w:r>
              <w:t>M</w:t>
            </w:r>
            <w:r w:rsidR="00C20945" w:rsidRPr="00C20945">
              <w:t>inimal residual disease</w:t>
            </w:r>
          </w:p>
        </w:tc>
      </w:tr>
      <w:tr w:rsidR="00C20945" w:rsidRPr="00C20945" w14:paraId="75B8C710" w14:textId="77777777" w:rsidTr="00BF79CA">
        <w:tc>
          <w:tcPr>
            <w:tcW w:w="2376" w:type="dxa"/>
          </w:tcPr>
          <w:p w14:paraId="0370EBA7" w14:textId="77777777" w:rsidR="00C20945" w:rsidRPr="00C20945" w:rsidRDefault="00C20945" w:rsidP="00C20945">
            <w:r w:rsidRPr="00C20945">
              <w:t>MRP</w:t>
            </w:r>
          </w:p>
        </w:tc>
        <w:tc>
          <w:tcPr>
            <w:tcW w:w="6344" w:type="dxa"/>
          </w:tcPr>
          <w:p w14:paraId="1E0D0D02" w14:textId="77777777" w:rsidR="00C20945" w:rsidRPr="00C20945" w:rsidRDefault="000A094C" w:rsidP="00C20945">
            <w:r>
              <w:t>M</w:t>
            </w:r>
            <w:r w:rsidR="00C20945" w:rsidRPr="00C20945">
              <w:t>ultidrug resistance associated protein</w:t>
            </w:r>
          </w:p>
        </w:tc>
      </w:tr>
      <w:tr w:rsidR="00C20945" w:rsidRPr="00C20945" w14:paraId="6B7E4EFF" w14:textId="77777777" w:rsidTr="00BF79CA">
        <w:tc>
          <w:tcPr>
            <w:tcW w:w="2376" w:type="dxa"/>
          </w:tcPr>
          <w:p w14:paraId="4CB999A3" w14:textId="77777777" w:rsidR="00C20945" w:rsidRPr="00C20945" w:rsidRDefault="00C20945" w:rsidP="00C20945">
            <w:r w:rsidRPr="00C20945">
              <w:t>MTD</w:t>
            </w:r>
          </w:p>
        </w:tc>
        <w:tc>
          <w:tcPr>
            <w:tcW w:w="6344" w:type="dxa"/>
          </w:tcPr>
          <w:p w14:paraId="0747E08E" w14:textId="77777777" w:rsidR="00C20945" w:rsidRPr="00C20945" w:rsidRDefault="000A094C" w:rsidP="00C20945">
            <w:r>
              <w:t>M</w:t>
            </w:r>
            <w:r w:rsidR="00C20945" w:rsidRPr="00C20945">
              <w:t>aximum tolerated dose</w:t>
            </w:r>
          </w:p>
        </w:tc>
      </w:tr>
      <w:tr w:rsidR="00C20945" w:rsidRPr="00C20945" w14:paraId="61FDF223" w14:textId="77777777" w:rsidTr="00BF79CA">
        <w:tc>
          <w:tcPr>
            <w:tcW w:w="2376" w:type="dxa"/>
          </w:tcPr>
          <w:p w14:paraId="67A97B4E" w14:textId="77777777" w:rsidR="00C20945" w:rsidRPr="00C20945" w:rsidRDefault="00C20945" w:rsidP="00C20945">
            <w:r w:rsidRPr="00C20945">
              <w:t>MXN/Ara-C</w:t>
            </w:r>
          </w:p>
        </w:tc>
        <w:tc>
          <w:tcPr>
            <w:tcW w:w="6344" w:type="dxa"/>
          </w:tcPr>
          <w:p w14:paraId="6BEC441D" w14:textId="77777777" w:rsidR="00C20945" w:rsidRPr="00C20945" w:rsidRDefault="000A094C" w:rsidP="00C20945">
            <w:proofErr w:type="spellStart"/>
            <w:r>
              <w:t>M</w:t>
            </w:r>
            <w:r w:rsidR="00C20945" w:rsidRPr="00C20945">
              <w:t>itoxantrone</w:t>
            </w:r>
            <w:proofErr w:type="spellEnd"/>
            <w:r w:rsidR="00C20945" w:rsidRPr="00C20945">
              <w:t xml:space="preserve"> + </w:t>
            </w:r>
            <w:proofErr w:type="spellStart"/>
            <w:r w:rsidR="00C20945" w:rsidRPr="00C20945">
              <w:t>cytarabine</w:t>
            </w:r>
            <w:proofErr w:type="spellEnd"/>
          </w:p>
        </w:tc>
      </w:tr>
      <w:tr w:rsidR="00C20945" w:rsidRPr="00C20945" w14:paraId="030AEB50" w14:textId="77777777" w:rsidTr="00BF79CA">
        <w:tc>
          <w:tcPr>
            <w:tcW w:w="2376" w:type="dxa"/>
          </w:tcPr>
          <w:p w14:paraId="663F0E3E" w14:textId="77777777" w:rsidR="00C20945" w:rsidRPr="00C20945" w:rsidRDefault="00C20945" w:rsidP="00C20945">
            <w:r w:rsidRPr="00C20945">
              <w:t>n/N</w:t>
            </w:r>
          </w:p>
        </w:tc>
        <w:tc>
          <w:tcPr>
            <w:tcW w:w="6344" w:type="dxa"/>
          </w:tcPr>
          <w:p w14:paraId="1C123F16" w14:textId="77777777" w:rsidR="00C20945" w:rsidRPr="00C20945" w:rsidRDefault="000A094C" w:rsidP="00C20945">
            <w:r>
              <w:t>N</w:t>
            </w:r>
            <w:r w:rsidR="00C20945" w:rsidRPr="00C20945">
              <w:t>umber of patients</w:t>
            </w:r>
          </w:p>
        </w:tc>
      </w:tr>
      <w:tr w:rsidR="00C20945" w:rsidRPr="00C20945" w14:paraId="346676E0" w14:textId="77777777" w:rsidTr="00BF79CA">
        <w:tc>
          <w:tcPr>
            <w:tcW w:w="2376" w:type="dxa"/>
          </w:tcPr>
          <w:p w14:paraId="54F21801" w14:textId="77777777" w:rsidR="00C20945" w:rsidRPr="00C20945" w:rsidRDefault="00C20945" w:rsidP="00C20945">
            <w:r w:rsidRPr="00C20945">
              <w:t>N-Ac</w:t>
            </w:r>
          </w:p>
        </w:tc>
        <w:tc>
          <w:tcPr>
            <w:tcW w:w="6344" w:type="dxa"/>
          </w:tcPr>
          <w:p w14:paraId="668FC431" w14:textId="77777777" w:rsidR="00C20945" w:rsidRPr="00C20945" w:rsidRDefault="000A094C" w:rsidP="00C20945">
            <w:r>
              <w:t>N-acetyl</w:t>
            </w:r>
          </w:p>
        </w:tc>
      </w:tr>
      <w:tr w:rsidR="00C20945" w:rsidRPr="00C20945" w14:paraId="48516670" w14:textId="77777777" w:rsidTr="00BF79CA">
        <w:tc>
          <w:tcPr>
            <w:tcW w:w="2376" w:type="dxa"/>
          </w:tcPr>
          <w:p w14:paraId="59EB3881" w14:textId="77CE4B76" w:rsidR="00C20945" w:rsidRPr="00C20945" w:rsidRDefault="00BF79CA" w:rsidP="00BF79CA">
            <w:r>
              <w:t>NCI CTCAE</w:t>
            </w:r>
            <w:r w:rsidR="00FC7899">
              <w:t xml:space="preserve"> </w:t>
            </w:r>
            <w:r w:rsidR="00C20945" w:rsidRPr="00C20945">
              <w:t>v3.0</w:t>
            </w:r>
          </w:p>
        </w:tc>
        <w:tc>
          <w:tcPr>
            <w:tcW w:w="6344" w:type="dxa"/>
          </w:tcPr>
          <w:p w14:paraId="2FE3917E" w14:textId="2B5E9747" w:rsidR="00C20945" w:rsidRPr="00C20945" w:rsidRDefault="00C20945" w:rsidP="00BF79CA">
            <w:r w:rsidRPr="00C20945">
              <w:t>National Cancer Institute Common Terminology Crit</w:t>
            </w:r>
            <w:r w:rsidR="00BF79CA">
              <w:t xml:space="preserve">eria for Adverse Events </w:t>
            </w:r>
            <w:r w:rsidR="00FC7899">
              <w:t>v</w:t>
            </w:r>
            <w:r w:rsidR="00BF79CA">
              <w:t xml:space="preserve">ersion </w:t>
            </w:r>
            <w:r w:rsidRPr="00C20945">
              <w:t>3.0</w:t>
            </w:r>
          </w:p>
        </w:tc>
      </w:tr>
      <w:tr w:rsidR="00C20945" w:rsidRPr="00C20945" w14:paraId="0F40D8CA" w14:textId="77777777" w:rsidTr="00BF79CA">
        <w:tc>
          <w:tcPr>
            <w:tcW w:w="2376" w:type="dxa"/>
          </w:tcPr>
          <w:p w14:paraId="75D3C474" w14:textId="77777777" w:rsidR="00C20945" w:rsidRPr="00C20945" w:rsidRDefault="00C20945" w:rsidP="00C20945">
            <w:r w:rsidRPr="00C20945">
              <w:lastRenderedPageBreak/>
              <w:t>NHL</w:t>
            </w:r>
          </w:p>
        </w:tc>
        <w:tc>
          <w:tcPr>
            <w:tcW w:w="6344" w:type="dxa"/>
          </w:tcPr>
          <w:p w14:paraId="58249A50" w14:textId="77777777" w:rsidR="00C20945" w:rsidRPr="00C20945" w:rsidRDefault="000A094C" w:rsidP="00C20945">
            <w:r>
              <w:t>N</w:t>
            </w:r>
            <w:r w:rsidR="00C20945" w:rsidRPr="00C20945">
              <w:t>on-Hodgkin’s lymphoma</w:t>
            </w:r>
          </w:p>
        </w:tc>
      </w:tr>
      <w:tr w:rsidR="001400FE" w:rsidRPr="00C20945" w14:paraId="5B3FD351" w14:textId="77777777" w:rsidTr="00BF79CA">
        <w:tc>
          <w:tcPr>
            <w:tcW w:w="2376" w:type="dxa"/>
          </w:tcPr>
          <w:p w14:paraId="3107274A" w14:textId="3A9AA012" w:rsidR="001400FE" w:rsidRPr="00C20945" w:rsidRDefault="001400FE" w:rsidP="00C20945">
            <w:r>
              <w:t>NOEL</w:t>
            </w:r>
          </w:p>
        </w:tc>
        <w:tc>
          <w:tcPr>
            <w:tcW w:w="6344" w:type="dxa"/>
          </w:tcPr>
          <w:p w14:paraId="7A7AFCC4" w14:textId="58FB9D9E" w:rsidR="001400FE" w:rsidRDefault="001400FE" w:rsidP="00C20945">
            <w:r>
              <w:t>No observable effect level</w:t>
            </w:r>
          </w:p>
        </w:tc>
      </w:tr>
      <w:tr w:rsidR="00C20945" w:rsidRPr="00C20945" w14:paraId="64FD0B19" w14:textId="77777777" w:rsidTr="00BF79CA">
        <w:tc>
          <w:tcPr>
            <w:tcW w:w="2376" w:type="dxa"/>
          </w:tcPr>
          <w:p w14:paraId="45C97C2C" w14:textId="77777777" w:rsidR="00C20945" w:rsidRPr="00C20945" w:rsidRDefault="00C20945" w:rsidP="00C20945">
            <w:r w:rsidRPr="00C20945">
              <w:t>NYHA</w:t>
            </w:r>
          </w:p>
        </w:tc>
        <w:tc>
          <w:tcPr>
            <w:tcW w:w="6344" w:type="dxa"/>
          </w:tcPr>
          <w:p w14:paraId="5DAD8610" w14:textId="77777777" w:rsidR="00C20945" w:rsidRPr="00C20945" w:rsidRDefault="00C20945" w:rsidP="00C20945">
            <w:r w:rsidRPr="00C20945">
              <w:t>New York Heart Association</w:t>
            </w:r>
          </w:p>
        </w:tc>
      </w:tr>
      <w:tr w:rsidR="00C20945" w:rsidRPr="00C20945" w14:paraId="2D94778D" w14:textId="77777777" w:rsidTr="00BF79CA">
        <w:tc>
          <w:tcPr>
            <w:tcW w:w="2376" w:type="dxa"/>
          </w:tcPr>
          <w:p w14:paraId="5A9F9E83" w14:textId="77777777" w:rsidR="00C20945" w:rsidRPr="00C20945" w:rsidRDefault="00C20945" w:rsidP="00C20945">
            <w:r w:rsidRPr="00C20945">
              <w:t>OAT</w:t>
            </w:r>
          </w:p>
        </w:tc>
        <w:tc>
          <w:tcPr>
            <w:tcW w:w="6344" w:type="dxa"/>
          </w:tcPr>
          <w:p w14:paraId="3890FF07" w14:textId="77777777" w:rsidR="00C20945" w:rsidRPr="00C20945" w:rsidRDefault="000A094C" w:rsidP="00C20945">
            <w:r>
              <w:t>O</w:t>
            </w:r>
            <w:r w:rsidR="00A232E5">
              <w:t>rganic anion transporter</w:t>
            </w:r>
          </w:p>
        </w:tc>
      </w:tr>
      <w:tr w:rsidR="00C20945" w:rsidRPr="00C20945" w14:paraId="083BEA42" w14:textId="77777777" w:rsidTr="00BF79CA">
        <w:tc>
          <w:tcPr>
            <w:tcW w:w="2376" w:type="dxa"/>
          </w:tcPr>
          <w:p w14:paraId="33BB250E" w14:textId="77777777" w:rsidR="00C20945" w:rsidRPr="00C20945" w:rsidRDefault="00C20945" w:rsidP="00C20945">
            <w:r w:rsidRPr="00C20945">
              <w:t>OATP</w:t>
            </w:r>
          </w:p>
        </w:tc>
        <w:tc>
          <w:tcPr>
            <w:tcW w:w="6344" w:type="dxa"/>
          </w:tcPr>
          <w:p w14:paraId="2D8952D8" w14:textId="77777777" w:rsidR="00C20945" w:rsidRPr="00C20945" w:rsidRDefault="000A094C" w:rsidP="00C20945">
            <w:r>
              <w:t>O</w:t>
            </w:r>
            <w:r w:rsidR="00C20945" w:rsidRPr="00C20945">
              <w:t>rganic anion-transporting polypeptide</w:t>
            </w:r>
          </w:p>
        </w:tc>
      </w:tr>
      <w:tr w:rsidR="00C20945" w:rsidRPr="00C20945" w14:paraId="59936E0E" w14:textId="77777777" w:rsidTr="00BF79CA">
        <w:tc>
          <w:tcPr>
            <w:tcW w:w="2376" w:type="dxa"/>
          </w:tcPr>
          <w:p w14:paraId="7D96ABE2" w14:textId="77777777" w:rsidR="00C20945" w:rsidRPr="00C20945" w:rsidRDefault="00C20945" w:rsidP="00C20945">
            <w:r w:rsidRPr="00C20945">
              <w:t>OCT</w:t>
            </w:r>
          </w:p>
        </w:tc>
        <w:tc>
          <w:tcPr>
            <w:tcW w:w="6344" w:type="dxa"/>
          </w:tcPr>
          <w:p w14:paraId="184CE900" w14:textId="77777777" w:rsidR="00C20945" w:rsidRPr="00C20945" w:rsidRDefault="000A094C" w:rsidP="00C20945">
            <w:r>
              <w:t>O</w:t>
            </w:r>
            <w:r w:rsidR="00C20945" w:rsidRPr="00C20945">
              <w:t>rgani</w:t>
            </w:r>
            <w:r w:rsidR="00A232E5">
              <w:t>c cation transporter</w:t>
            </w:r>
          </w:p>
        </w:tc>
      </w:tr>
      <w:tr w:rsidR="006C0BD9" w:rsidRPr="00C20945" w14:paraId="121DCEAC" w14:textId="77777777" w:rsidTr="00BF79CA">
        <w:tc>
          <w:tcPr>
            <w:tcW w:w="2376" w:type="dxa"/>
          </w:tcPr>
          <w:p w14:paraId="657312FD" w14:textId="1C8E4E17" w:rsidR="006C0BD9" w:rsidRPr="00C20945" w:rsidRDefault="006C0BD9" w:rsidP="00C20945">
            <w:r>
              <w:t>OECD</w:t>
            </w:r>
          </w:p>
        </w:tc>
        <w:tc>
          <w:tcPr>
            <w:tcW w:w="6344" w:type="dxa"/>
          </w:tcPr>
          <w:p w14:paraId="0AAC614F" w14:textId="1A568546" w:rsidR="006C0BD9" w:rsidRDefault="006C0BD9" w:rsidP="00C20945">
            <w:r>
              <w:t>Organisation for Economic Co-operation and Development</w:t>
            </w:r>
          </w:p>
        </w:tc>
      </w:tr>
      <w:tr w:rsidR="00C20945" w:rsidRPr="00C20945" w14:paraId="0D958062" w14:textId="77777777" w:rsidTr="00BF79CA">
        <w:tc>
          <w:tcPr>
            <w:tcW w:w="2376" w:type="dxa"/>
          </w:tcPr>
          <w:p w14:paraId="07F1ECC0" w14:textId="77777777" w:rsidR="00C20945" w:rsidRPr="00C20945" w:rsidRDefault="00C20945" w:rsidP="00C20945">
            <w:r w:rsidRPr="00C20945">
              <w:t>OS</w:t>
            </w:r>
          </w:p>
        </w:tc>
        <w:tc>
          <w:tcPr>
            <w:tcW w:w="6344" w:type="dxa"/>
          </w:tcPr>
          <w:p w14:paraId="6714372C" w14:textId="77777777" w:rsidR="00C20945" w:rsidRPr="00C20945" w:rsidRDefault="000A094C" w:rsidP="00C20945">
            <w:r>
              <w:t>O</w:t>
            </w:r>
            <w:r w:rsidR="00C20945" w:rsidRPr="00C20945">
              <w:t>verall survival</w:t>
            </w:r>
          </w:p>
        </w:tc>
      </w:tr>
      <w:tr w:rsidR="00C20945" w:rsidRPr="00C20945" w14:paraId="49D3F8A5" w14:textId="77777777" w:rsidTr="00BF79CA">
        <w:tc>
          <w:tcPr>
            <w:tcW w:w="2376" w:type="dxa"/>
          </w:tcPr>
          <w:p w14:paraId="3B6AEA92" w14:textId="77777777" w:rsidR="00C20945" w:rsidRPr="00C20945" w:rsidRDefault="00C20945" w:rsidP="00C20945">
            <w:r w:rsidRPr="00C20945">
              <w:t>p</w:t>
            </w:r>
          </w:p>
        </w:tc>
        <w:tc>
          <w:tcPr>
            <w:tcW w:w="6344" w:type="dxa"/>
          </w:tcPr>
          <w:p w14:paraId="0FB5BB02" w14:textId="77777777" w:rsidR="00C20945" w:rsidRPr="00C20945" w:rsidRDefault="00C20945" w:rsidP="00C20945">
            <w:r w:rsidRPr="00C20945">
              <w:t>p-value</w:t>
            </w:r>
          </w:p>
        </w:tc>
      </w:tr>
      <w:tr w:rsidR="00C20945" w:rsidRPr="00C20945" w14:paraId="119D012B" w14:textId="77777777" w:rsidTr="00BF79CA">
        <w:tc>
          <w:tcPr>
            <w:tcW w:w="2376" w:type="dxa"/>
          </w:tcPr>
          <w:p w14:paraId="63F69F44" w14:textId="77777777" w:rsidR="00C20945" w:rsidRPr="00C20945" w:rsidRDefault="00C20945" w:rsidP="00C20945">
            <w:r w:rsidRPr="00C20945">
              <w:t>PD</w:t>
            </w:r>
          </w:p>
        </w:tc>
        <w:tc>
          <w:tcPr>
            <w:tcW w:w="6344" w:type="dxa"/>
          </w:tcPr>
          <w:p w14:paraId="0748DEEE" w14:textId="77777777" w:rsidR="00C20945" w:rsidRPr="00C20945" w:rsidRDefault="00A232E5" w:rsidP="00C20945">
            <w:r>
              <w:t>Pharmacodynamic</w:t>
            </w:r>
          </w:p>
        </w:tc>
      </w:tr>
      <w:tr w:rsidR="00C20945" w:rsidRPr="00C20945" w14:paraId="5E1A37C9" w14:textId="77777777" w:rsidTr="00BF79CA">
        <w:tc>
          <w:tcPr>
            <w:tcW w:w="2376" w:type="dxa"/>
          </w:tcPr>
          <w:p w14:paraId="4F4284A5" w14:textId="77777777" w:rsidR="00C20945" w:rsidRPr="00C20945" w:rsidRDefault="00C20945" w:rsidP="00C20945">
            <w:r w:rsidRPr="00C20945">
              <w:t>PFS</w:t>
            </w:r>
          </w:p>
        </w:tc>
        <w:tc>
          <w:tcPr>
            <w:tcW w:w="6344" w:type="dxa"/>
          </w:tcPr>
          <w:p w14:paraId="45E7865B" w14:textId="77777777" w:rsidR="00C20945" w:rsidRPr="00C20945" w:rsidRDefault="000A094C" w:rsidP="00C20945">
            <w:r>
              <w:t>P</w:t>
            </w:r>
            <w:r w:rsidR="00C20945" w:rsidRPr="00C20945">
              <w:t>rogression-free survival</w:t>
            </w:r>
          </w:p>
        </w:tc>
      </w:tr>
      <w:tr w:rsidR="00C20945" w:rsidRPr="00C20945" w14:paraId="790BA4F7" w14:textId="77777777" w:rsidTr="00BF79CA">
        <w:tc>
          <w:tcPr>
            <w:tcW w:w="2376" w:type="dxa"/>
          </w:tcPr>
          <w:p w14:paraId="2EDAF4FC" w14:textId="77777777" w:rsidR="00C20945" w:rsidRPr="00C20945" w:rsidRDefault="00C20945" w:rsidP="00C20945">
            <w:r w:rsidRPr="00C20945">
              <w:t>P-</w:t>
            </w:r>
            <w:proofErr w:type="spellStart"/>
            <w:r w:rsidRPr="00C20945">
              <w:t>gp</w:t>
            </w:r>
            <w:proofErr w:type="spellEnd"/>
          </w:p>
        </w:tc>
        <w:tc>
          <w:tcPr>
            <w:tcW w:w="6344" w:type="dxa"/>
          </w:tcPr>
          <w:p w14:paraId="20F52EA8" w14:textId="77777777" w:rsidR="00C20945" w:rsidRPr="00C20945" w:rsidRDefault="0041592A" w:rsidP="00C20945">
            <w:r>
              <w:t>P-glycoprotein</w:t>
            </w:r>
          </w:p>
        </w:tc>
      </w:tr>
      <w:tr w:rsidR="00C20945" w:rsidRPr="00C20945" w14:paraId="62AE1324" w14:textId="77777777" w:rsidTr="00BF79CA">
        <w:tc>
          <w:tcPr>
            <w:tcW w:w="2376" w:type="dxa"/>
          </w:tcPr>
          <w:p w14:paraId="4EC491F0" w14:textId="77777777" w:rsidR="00C20945" w:rsidRPr="00C20945" w:rsidRDefault="00C20945" w:rsidP="00C20945">
            <w:proofErr w:type="spellStart"/>
            <w:r w:rsidRPr="00C20945">
              <w:t>Ph</w:t>
            </w:r>
            <w:proofErr w:type="spellEnd"/>
            <w:r w:rsidRPr="00C20945">
              <w:t>-</w:t>
            </w:r>
          </w:p>
        </w:tc>
        <w:tc>
          <w:tcPr>
            <w:tcW w:w="6344" w:type="dxa"/>
          </w:tcPr>
          <w:p w14:paraId="661F87EA" w14:textId="77777777" w:rsidR="00C20945" w:rsidRPr="00C20945" w:rsidRDefault="00C20945" w:rsidP="00C20945">
            <w:r w:rsidRPr="00C20945">
              <w:t>Philadelphia chromosome–negative</w:t>
            </w:r>
          </w:p>
        </w:tc>
      </w:tr>
      <w:tr w:rsidR="00C20945" w:rsidRPr="00C20945" w14:paraId="030E1020" w14:textId="77777777" w:rsidTr="00BF79CA">
        <w:tc>
          <w:tcPr>
            <w:tcW w:w="2376" w:type="dxa"/>
          </w:tcPr>
          <w:p w14:paraId="4B2144F0" w14:textId="77777777" w:rsidR="00C20945" w:rsidRPr="00C20945" w:rsidRDefault="00C20945" w:rsidP="00C20945">
            <w:proofErr w:type="spellStart"/>
            <w:r w:rsidRPr="00C20945">
              <w:t>Ph</w:t>
            </w:r>
            <w:proofErr w:type="spellEnd"/>
            <w:r w:rsidRPr="00C20945">
              <w:t>+</w:t>
            </w:r>
          </w:p>
        </w:tc>
        <w:tc>
          <w:tcPr>
            <w:tcW w:w="6344" w:type="dxa"/>
          </w:tcPr>
          <w:p w14:paraId="565E8480" w14:textId="77777777" w:rsidR="00C20945" w:rsidRPr="00C20945" w:rsidRDefault="00C20945" w:rsidP="00C20945">
            <w:r w:rsidRPr="00C20945">
              <w:t>Philadelphia chromosome-positive</w:t>
            </w:r>
          </w:p>
        </w:tc>
      </w:tr>
      <w:tr w:rsidR="00C20945" w:rsidRPr="00C20945" w14:paraId="48FEEDD5" w14:textId="77777777" w:rsidTr="00BF79CA">
        <w:tc>
          <w:tcPr>
            <w:tcW w:w="2376" w:type="dxa"/>
          </w:tcPr>
          <w:p w14:paraId="4D8D4523" w14:textId="77777777" w:rsidR="00C20945" w:rsidRPr="00C20945" w:rsidRDefault="00C20945" w:rsidP="00C20945">
            <w:r w:rsidRPr="00C20945">
              <w:t>PK</w:t>
            </w:r>
          </w:p>
        </w:tc>
        <w:tc>
          <w:tcPr>
            <w:tcW w:w="6344" w:type="dxa"/>
          </w:tcPr>
          <w:p w14:paraId="3FA21B52" w14:textId="77777777" w:rsidR="00C20945" w:rsidRPr="00C20945" w:rsidRDefault="000A094C" w:rsidP="00C20945">
            <w:r>
              <w:t>P</w:t>
            </w:r>
            <w:r w:rsidR="00C20945" w:rsidRPr="00C20945">
              <w:t>harmacokinetic(s)</w:t>
            </w:r>
          </w:p>
        </w:tc>
      </w:tr>
      <w:tr w:rsidR="000F7D61" w:rsidRPr="00C20945" w14:paraId="0AA27549" w14:textId="77777777" w:rsidTr="00BF79CA">
        <w:tc>
          <w:tcPr>
            <w:tcW w:w="2376" w:type="dxa"/>
          </w:tcPr>
          <w:p w14:paraId="78DC3377" w14:textId="157A1CD5" w:rsidR="000F7D61" w:rsidRPr="00C20945" w:rsidRDefault="000F7D61" w:rsidP="00C20945">
            <w:r>
              <w:t>PIP</w:t>
            </w:r>
          </w:p>
        </w:tc>
        <w:tc>
          <w:tcPr>
            <w:tcW w:w="6344" w:type="dxa"/>
          </w:tcPr>
          <w:p w14:paraId="32AF5025" w14:textId="08B0CA69" w:rsidR="000F7D61" w:rsidRDefault="000F7D61" w:rsidP="00C20945">
            <w:r>
              <w:t>Paediatric Investigation Plan</w:t>
            </w:r>
          </w:p>
        </w:tc>
      </w:tr>
      <w:tr w:rsidR="00C20945" w:rsidRPr="00C20945" w14:paraId="2454B3D8" w14:textId="77777777" w:rsidTr="00BF79CA">
        <w:tc>
          <w:tcPr>
            <w:tcW w:w="2376" w:type="dxa"/>
          </w:tcPr>
          <w:p w14:paraId="76F6E46F" w14:textId="77777777" w:rsidR="00C20945" w:rsidRPr="00C20945" w:rsidRDefault="0041592A" w:rsidP="00C20945">
            <w:proofErr w:type="spellStart"/>
            <w:r>
              <w:t>p</w:t>
            </w:r>
            <w:r w:rsidRPr="00C20945">
              <w:t>op</w:t>
            </w:r>
            <w:r w:rsidR="00C20945" w:rsidRPr="00C20945">
              <w:t>PK</w:t>
            </w:r>
            <w:proofErr w:type="spellEnd"/>
          </w:p>
        </w:tc>
        <w:tc>
          <w:tcPr>
            <w:tcW w:w="6344" w:type="dxa"/>
          </w:tcPr>
          <w:p w14:paraId="78A67147" w14:textId="77777777" w:rsidR="00C20945" w:rsidRPr="00C20945" w:rsidRDefault="000A094C" w:rsidP="00C20945">
            <w:r>
              <w:t>P</w:t>
            </w:r>
            <w:r w:rsidR="00C20945" w:rsidRPr="00C20945">
              <w:t>opulation pharmacokinetics</w:t>
            </w:r>
          </w:p>
        </w:tc>
      </w:tr>
      <w:tr w:rsidR="00C20945" w:rsidRPr="00C20945" w14:paraId="77E33A2C" w14:textId="77777777" w:rsidTr="00BF79CA">
        <w:tc>
          <w:tcPr>
            <w:tcW w:w="2376" w:type="dxa"/>
          </w:tcPr>
          <w:p w14:paraId="60843378" w14:textId="77777777" w:rsidR="00C20945" w:rsidRPr="00C20945" w:rsidRDefault="00C20945" w:rsidP="00C20945">
            <w:r w:rsidRPr="00C20945">
              <w:t>PP218</w:t>
            </w:r>
          </w:p>
        </w:tc>
        <w:tc>
          <w:tcPr>
            <w:tcW w:w="6344" w:type="dxa"/>
          </w:tcPr>
          <w:p w14:paraId="4AB75FCE" w14:textId="77777777" w:rsidR="00C20945" w:rsidRPr="00C20945" w:rsidRDefault="000A094C" w:rsidP="00C20945">
            <w:r>
              <w:t>P</w:t>
            </w:r>
            <w:r w:rsidR="00C20945" w:rsidRPr="00C20945">
              <w:t>atients among the initial 218 patients randomized who met the criteria for PP Population</w:t>
            </w:r>
          </w:p>
        </w:tc>
      </w:tr>
      <w:tr w:rsidR="00AC6DBC" w:rsidRPr="00C20945" w14:paraId="1EE52EE4" w14:textId="77777777" w:rsidTr="00BF79CA">
        <w:tc>
          <w:tcPr>
            <w:tcW w:w="2376" w:type="dxa"/>
          </w:tcPr>
          <w:p w14:paraId="6CA10380" w14:textId="59449C3F" w:rsidR="00AC6DBC" w:rsidRPr="00C20945" w:rsidRDefault="00AC6DBC" w:rsidP="00C20945">
            <w:r>
              <w:t>PRO</w:t>
            </w:r>
          </w:p>
        </w:tc>
        <w:tc>
          <w:tcPr>
            <w:tcW w:w="6344" w:type="dxa"/>
          </w:tcPr>
          <w:p w14:paraId="78102841" w14:textId="382AF84D" w:rsidR="00AC6DBC" w:rsidRDefault="00AC6DBC" w:rsidP="00C20945">
            <w:r>
              <w:t>Patient reported outcome</w:t>
            </w:r>
          </w:p>
        </w:tc>
      </w:tr>
      <w:tr w:rsidR="00545E81" w:rsidRPr="00C20945" w14:paraId="6B66400A" w14:textId="77777777" w:rsidTr="00BF79CA">
        <w:tc>
          <w:tcPr>
            <w:tcW w:w="2376" w:type="dxa"/>
          </w:tcPr>
          <w:p w14:paraId="6A925B83" w14:textId="4CB3AB01" w:rsidR="00545E81" w:rsidRDefault="00545E81" w:rsidP="00C20945">
            <w:r>
              <w:t>PSUR</w:t>
            </w:r>
          </w:p>
        </w:tc>
        <w:tc>
          <w:tcPr>
            <w:tcW w:w="6344" w:type="dxa"/>
          </w:tcPr>
          <w:p w14:paraId="0BCDA602" w14:textId="23B42A72" w:rsidR="00545E81" w:rsidRDefault="00545E81" w:rsidP="00C20945">
            <w:r>
              <w:t>Post-safety update report</w:t>
            </w:r>
          </w:p>
        </w:tc>
      </w:tr>
      <w:tr w:rsidR="00C20945" w:rsidRPr="00C20945" w14:paraId="3DE309AA" w14:textId="77777777" w:rsidTr="00BF79CA">
        <w:tc>
          <w:tcPr>
            <w:tcW w:w="2376" w:type="dxa"/>
          </w:tcPr>
          <w:p w14:paraId="633BB01B" w14:textId="77777777" w:rsidR="00C20945" w:rsidRPr="00C20945" w:rsidRDefault="00C20945" w:rsidP="00C20945">
            <w:r w:rsidRPr="00C20945">
              <w:t>PT</w:t>
            </w:r>
          </w:p>
        </w:tc>
        <w:tc>
          <w:tcPr>
            <w:tcW w:w="6344" w:type="dxa"/>
          </w:tcPr>
          <w:p w14:paraId="03DFDB0C" w14:textId="77777777" w:rsidR="00C20945" w:rsidRPr="00C20945" w:rsidRDefault="000A094C" w:rsidP="00C20945">
            <w:r>
              <w:t>P</w:t>
            </w:r>
            <w:r w:rsidR="00C20945" w:rsidRPr="00C20945">
              <w:t>rothrombin time</w:t>
            </w:r>
          </w:p>
        </w:tc>
      </w:tr>
      <w:tr w:rsidR="00C20945" w:rsidRPr="00C20945" w14:paraId="4E0417CA" w14:textId="77777777" w:rsidTr="00BF79CA">
        <w:tc>
          <w:tcPr>
            <w:tcW w:w="2376" w:type="dxa"/>
          </w:tcPr>
          <w:p w14:paraId="49F6A256" w14:textId="77777777" w:rsidR="00C20945" w:rsidRPr="00C20945" w:rsidRDefault="00C20945" w:rsidP="00C20945">
            <w:r w:rsidRPr="00C20945">
              <w:t>PTS</w:t>
            </w:r>
          </w:p>
        </w:tc>
        <w:tc>
          <w:tcPr>
            <w:tcW w:w="6344" w:type="dxa"/>
          </w:tcPr>
          <w:p w14:paraId="15BEA672" w14:textId="77777777" w:rsidR="00C20945" w:rsidRPr="00C20945" w:rsidRDefault="000A094C" w:rsidP="00C20945">
            <w:r>
              <w:t>P</w:t>
            </w:r>
            <w:r w:rsidR="00C20945" w:rsidRPr="00C20945">
              <w:t>ost-transplant survival</w:t>
            </w:r>
          </w:p>
        </w:tc>
      </w:tr>
      <w:tr w:rsidR="00C20945" w:rsidRPr="00C20945" w14:paraId="43A3907D" w14:textId="77777777" w:rsidTr="00BF79CA">
        <w:tc>
          <w:tcPr>
            <w:tcW w:w="2376" w:type="dxa"/>
          </w:tcPr>
          <w:p w14:paraId="0E1178F4" w14:textId="77777777" w:rsidR="00C20945" w:rsidRPr="00C20945" w:rsidRDefault="00C20945" w:rsidP="00C20945">
            <w:r w:rsidRPr="00C20945">
              <w:t>PROs</w:t>
            </w:r>
          </w:p>
        </w:tc>
        <w:tc>
          <w:tcPr>
            <w:tcW w:w="6344" w:type="dxa"/>
          </w:tcPr>
          <w:p w14:paraId="4F59D094" w14:textId="77777777" w:rsidR="00C20945" w:rsidRPr="00C20945" w:rsidRDefault="000A094C" w:rsidP="00C20945">
            <w:r>
              <w:t>P</w:t>
            </w:r>
            <w:r w:rsidR="00C20945" w:rsidRPr="00C20945">
              <w:t>atient-reported outcomes</w:t>
            </w:r>
          </w:p>
        </w:tc>
      </w:tr>
      <w:tr w:rsidR="00C20945" w:rsidRPr="00C20945" w14:paraId="763F8683" w14:textId="77777777" w:rsidTr="00BF79CA">
        <w:tc>
          <w:tcPr>
            <w:tcW w:w="2376" w:type="dxa"/>
          </w:tcPr>
          <w:p w14:paraId="74EAD343" w14:textId="77777777" w:rsidR="00C20945" w:rsidRPr="00C20945" w:rsidRDefault="00C20945" w:rsidP="00C20945">
            <w:proofErr w:type="spellStart"/>
            <w:r w:rsidRPr="00C20945">
              <w:t>QoL</w:t>
            </w:r>
            <w:proofErr w:type="spellEnd"/>
          </w:p>
        </w:tc>
        <w:tc>
          <w:tcPr>
            <w:tcW w:w="6344" w:type="dxa"/>
          </w:tcPr>
          <w:p w14:paraId="6FB7B8F5" w14:textId="77777777" w:rsidR="00C20945" w:rsidRPr="00C20945" w:rsidRDefault="000A094C" w:rsidP="00C20945">
            <w:r>
              <w:t>Q</w:t>
            </w:r>
            <w:r w:rsidR="00C20945" w:rsidRPr="00C20945">
              <w:t>uality of life</w:t>
            </w:r>
          </w:p>
        </w:tc>
      </w:tr>
      <w:tr w:rsidR="00C20945" w:rsidRPr="00C20945" w14:paraId="41B061F3" w14:textId="77777777" w:rsidTr="00BF79CA">
        <w:tc>
          <w:tcPr>
            <w:tcW w:w="2376" w:type="dxa"/>
          </w:tcPr>
          <w:p w14:paraId="7E184500" w14:textId="77777777" w:rsidR="00C20945" w:rsidRPr="00C20945" w:rsidRDefault="00C20945" w:rsidP="00C20945">
            <w:r w:rsidRPr="00C20945">
              <w:t>QRS</w:t>
            </w:r>
          </w:p>
        </w:tc>
        <w:tc>
          <w:tcPr>
            <w:tcW w:w="6344" w:type="dxa"/>
          </w:tcPr>
          <w:p w14:paraId="041C031F" w14:textId="77777777" w:rsidR="00C20945" w:rsidRPr="00C20945" w:rsidRDefault="000A094C" w:rsidP="00C20945">
            <w:r>
              <w:t>B</w:t>
            </w:r>
            <w:r w:rsidR="00C20945" w:rsidRPr="00C20945">
              <w:t>eginning of Q to the end of the S wave</w:t>
            </w:r>
          </w:p>
        </w:tc>
      </w:tr>
      <w:tr w:rsidR="00C20945" w:rsidRPr="00C20945" w14:paraId="0BD86CFC" w14:textId="77777777" w:rsidTr="00BF79CA">
        <w:tc>
          <w:tcPr>
            <w:tcW w:w="2376" w:type="dxa"/>
          </w:tcPr>
          <w:p w14:paraId="26AA8F21" w14:textId="77777777" w:rsidR="00C20945" w:rsidRPr="00C20945" w:rsidRDefault="00C20945" w:rsidP="00C20945">
            <w:proofErr w:type="spellStart"/>
            <w:r w:rsidRPr="00C20945">
              <w:lastRenderedPageBreak/>
              <w:t>QTc</w:t>
            </w:r>
            <w:proofErr w:type="spellEnd"/>
          </w:p>
        </w:tc>
        <w:tc>
          <w:tcPr>
            <w:tcW w:w="6344" w:type="dxa"/>
          </w:tcPr>
          <w:p w14:paraId="7841B562" w14:textId="77777777" w:rsidR="00C20945" w:rsidRPr="00C20945" w:rsidRDefault="00C20945" w:rsidP="00C20945">
            <w:r w:rsidRPr="00C20945">
              <w:t>QT interval corrected for heart rate</w:t>
            </w:r>
          </w:p>
        </w:tc>
      </w:tr>
      <w:tr w:rsidR="00C20945" w:rsidRPr="00C20945" w14:paraId="231E6549" w14:textId="77777777" w:rsidTr="00BF79CA">
        <w:tc>
          <w:tcPr>
            <w:tcW w:w="2376" w:type="dxa"/>
          </w:tcPr>
          <w:p w14:paraId="08D9C71B" w14:textId="77777777" w:rsidR="00C20945" w:rsidRPr="00C20945" w:rsidRDefault="00C20945" w:rsidP="00C20945">
            <w:proofErr w:type="spellStart"/>
            <w:r w:rsidRPr="00C20945">
              <w:t>QTcF</w:t>
            </w:r>
            <w:proofErr w:type="spellEnd"/>
          </w:p>
        </w:tc>
        <w:tc>
          <w:tcPr>
            <w:tcW w:w="6344" w:type="dxa"/>
          </w:tcPr>
          <w:p w14:paraId="25B81C32" w14:textId="77777777" w:rsidR="00C20945" w:rsidRPr="00C20945" w:rsidRDefault="00C20945" w:rsidP="00C20945">
            <w:r w:rsidRPr="00C20945">
              <w:t xml:space="preserve">QT interval corrected for heart rate using </w:t>
            </w:r>
            <w:proofErr w:type="spellStart"/>
            <w:r w:rsidRPr="00C20945">
              <w:t>Fridericia’s</w:t>
            </w:r>
            <w:proofErr w:type="spellEnd"/>
            <w:r w:rsidRPr="00C20945">
              <w:t xml:space="preserve"> formula</w:t>
            </w:r>
          </w:p>
        </w:tc>
      </w:tr>
      <w:tr w:rsidR="00C20945" w:rsidRPr="00C20945" w14:paraId="6D81247C" w14:textId="77777777" w:rsidTr="00BF79CA">
        <w:tc>
          <w:tcPr>
            <w:tcW w:w="2376" w:type="dxa"/>
          </w:tcPr>
          <w:p w14:paraId="6020610F" w14:textId="77777777" w:rsidR="00C20945" w:rsidRPr="00C20945" w:rsidRDefault="00C20945" w:rsidP="00C20945">
            <w:r w:rsidRPr="00C20945">
              <w:t>RMST</w:t>
            </w:r>
          </w:p>
        </w:tc>
        <w:tc>
          <w:tcPr>
            <w:tcW w:w="6344" w:type="dxa"/>
          </w:tcPr>
          <w:p w14:paraId="5538577C" w14:textId="77777777" w:rsidR="00C20945" w:rsidRPr="00C20945" w:rsidRDefault="000A094C" w:rsidP="00C20945">
            <w:r>
              <w:t>R</w:t>
            </w:r>
            <w:r w:rsidR="00C20945" w:rsidRPr="00C20945">
              <w:t>estricted mean survival time</w:t>
            </w:r>
          </w:p>
        </w:tc>
      </w:tr>
      <w:tr w:rsidR="00C20945" w:rsidRPr="00C20945" w14:paraId="265ADCE3" w14:textId="77777777" w:rsidTr="00BF79CA">
        <w:tc>
          <w:tcPr>
            <w:tcW w:w="2376" w:type="dxa"/>
          </w:tcPr>
          <w:p w14:paraId="0E618D3B" w14:textId="77777777" w:rsidR="00C20945" w:rsidRPr="00C20945" w:rsidRDefault="00C20945" w:rsidP="00C20945">
            <w:r w:rsidRPr="00C20945">
              <w:t>RP2D</w:t>
            </w:r>
          </w:p>
        </w:tc>
        <w:tc>
          <w:tcPr>
            <w:tcW w:w="6344" w:type="dxa"/>
          </w:tcPr>
          <w:p w14:paraId="4F73BE5D" w14:textId="77777777" w:rsidR="00C20945" w:rsidRPr="00C20945" w:rsidRDefault="000A094C" w:rsidP="00C20945">
            <w:r>
              <w:t>R</w:t>
            </w:r>
            <w:r w:rsidR="00C20945" w:rsidRPr="00C20945">
              <w:t>ecommended Phase 2 dose</w:t>
            </w:r>
          </w:p>
        </w:tc>
      </w:tr>
      <w:tr w:rsidR="00C20945" w:rsidRPr="00C20945" w14:paraId="70CBBD9D" w14:textId="77777777" w:rsidTr="00BF79CA">
        <w:tc>
          <w:tcPr>
            <w:tcW w:w="2376" w:type="dxa"/>
          </w:tcPr>
          <w:p w14:paraId="06D8C7E9" w14:textId="77777777" w:rsidR="00C20945" w:rsidRPr="00C20945" w:rsidRDefault="00C20945" w:rsidP="00C20945">
            <w:r w:rsidRPr="00C20945">
              <w:t>SAE</w:t>
            </w:r>
          </w:p>
        </w:tc>
        <w:tc>
          <w:tcPr>
            <w:tcW w:w="6344" w:type="dxa"/>
          </w:tcPr>
          <w:p w14:paraId="4579E825" w14:textId="77777777" w:rsidR="00C20945" w:rsidRPr="00C20945" w:rsidRDefault="000A094C" w:rsidP="00C20945">
            <w:r>
              <w:t>S</w:t>
            </w:r>
            <w:r w:rsidR="00C20945" w:rsidRPr="00C20945">
              <w:t>erious adverse event</w:t>
            </w:r>
          </w:p>
        </w:tc>
      </w:tr>
      <w:tr w:rsidR="00C20945" w:rsidRPr="00C20945" w14:paraId="2ADC2A36" w14:textId="77777777" w:rsidTr="00BF79CA">
        <w:tc>
          <w:tcPr>
            <w:tcW w:w="2376" w:type="dxa"/>
          </w:tcPr>
          <w:p w14:paraId="533618A2" w14:textId="77777777" w:rsidR="00C20945" w:rsidRPr="00C20945" w:rsidRDefault="00C20945" w:rsidP="00C20945">
            <w:r w:rsidRPr="00C20945">
              <w:t>SAP</w:t>
            </w:r>
          </w:p>
        </w:tc>
        <w:tc>
          <w:tcPr>
            <w:tcW w:w="6344" w:type="dxa"/>
          </w:tcPr>
          <w:p w14:paraId="5D5BEE91" w14:textId="77777777" w:rsidR="00C20945" w:rsidRPr="00C20945" w:rsidRDefault="000A094C" w:rsidP="00C20945">
            <w:r>
              <w:t>S</w:t>
            </w:r>
            <w:r w:rsidR="00C20945" w:rsidRPr="00C20945">
              <w:t>tatistical analysis plan</w:t>
            </w:r>
          </w:p>
        </w:tc>
      </w:tr>
      <w:tr w:rsidR="00D974EF" w:rsidRPr="00C20945" w14:paraId="66596FA9" w14:textId="77777777" w:rsidTr="00BF79CA">
        <w:tc>
          <w:tcPr>
            <w:tcW w:w="2376" w:type="dxa"/>
          </w:tcPr>
          <w:p w14:paraId="5881C77C" w14:textId="101D9CEF" w:rsidR="00D974EF" w:rsidRPr="00C20945" w:rsidRDefault="00D974EF" w:rsidP="00C20945">
            <w:r>
              <w:t>SC</w:t>
            </w:r>
          </w:p>
        </w:tc>
        <w:tc>
          <w:tcPr>
            <w:tcW w:w="6344" w:type="dxa"/>
          </w:tcPr>
          <w:p w14:paraId="05CEB744" w14:textId="5B1A3DF0" w:rsidR="00D974EF" w:rsidRDefault="00D974EF" w:rsidP="00C20945">
            <w:r>
              <w:t>Subcutaneous</w:t>
            </w:r>
          </w:p>
        </w:tc>
      </w:tr>
      <w:tr w:rsidR="00C20945" w:rsidRPr="00C20945" w14:paraId="629515F2" w14:textId="77777777" w:rsidTr="00BF79CA">
        <w:tc>
          <w:tcPr>
            <w:tcW w:w="2376" w:type="dxa"/>
          </w:tcPr>
          <w:p w14:paraId="5B4C24EB" w14:textId="77777777" w:rsidR="00C20945" w:rsidRPr="00C20945" w:rsidRDefault="00C20945" w:rsidP="00C20945">
            <w:proofErr w:type="spellStart"/>
            <w:r w:rsidRPr="00C20945">
              <w:t>sCSR</w:t>
            </w:r>
            <w:proofErr w:type="spellEnd"/>
          </w:p>
        </w:tc>
        <w:tc>
          <w:tcPr>
            <w:tcW w:w="6344" w:type="dxa"/>
          </w:tcPr>
          <w:p w14:paraId="13313A45" w14:textId="77777777" w:rsidR="00C20945" w:rsidRPr="00C20945" w:rsidRDefault="000A094C" w:rsidP="00C20945">
            <w:r>
              <w:t>S</w:t>
            </w:r>
            <w:r w:rsidR="00C20945" w:rsidRPr="00C20945">
              <w:t>upplemental clinical study report</w:t>
            </w:r>
          </w:p>
        </w:tc>
      </w:tr>
      <w:tr w:rsidR="00C20945" w:rsidRPr="00C20945" w14:paraId="29B8D079" w14:textId="77777777" w:rsidTr="00BF79CA">
        <w:tc>
          <w:tcPr>
            <w:tcW w:w="2376" w:type="dxa"/>
          </w:tcPr>
          <w:p w14:paraId="0C77DD8D" w14:textId="77777777" w:rsidR="00C20945" w:rsidRPr="00C20945" w:rsidRDefault="00C20945" w:rsidP="00C20945">
            <w:r w:rsidRPr="00C20945">
              <w:t>SD</w:t>
            </w:r>
          </w:p>
        </w:tc>
        <w:tc>
          <w:tcPr>
            <w:tcW w:w="6344" w:type="dxa"/>
          </w:tcPr>
          <w:p w14:paraId="6D7B2EA1" w14:textId="77777777" w:rsidR="00C20945" w:rsidRPr="00C20945" w:rsidRDefault="000A094C" w:rsidP="00C20945">
            <w:r>
              <w:t>S</w:t>
            </w:r>
            <w:r w:rsidR="00C20945" w:rsidRPr="00C20945">
              <w:t>tandard deviation</w:t>
            </w:r>
          </w:p>
        </w:tc>
      </w:tr>
      <w:tr w:rsidR="00C20945" w:rsidRPr="00C20945" w14:paraId="3CA8B43A" w14:textId="77777777" w:rsidTr="00BF79CA">
        <w:tc>
          <w:tcPr>
            <w:tcW w:w="2376" w:type="dxa"/>
          </w:tcPr>
          <w:p w14:paraId="322280B5" w14:textId="77777777" w:rsidR="00C20945" w:rsidRPr="00C20945" w:rsidRDefault="00C20945" w:rsidP="00C20945">
            <w:r w:rsidRPr="00C20945">
              <w:t>SOC</w:t>
            </w:r>
          </w:p>
        </w:tc>
        <w:tc>
          <w:tcPr>
            <w:tcW w:w="6344" w:type="dxa"/>
          </w:tcPr>
          <w:p w14:paraId="70B075EB" w14:textId="75C54C87" w:rsidR="00C20945" w:rsidRPr="00C20945" w:rsidRDefault="000A094C" w:rsidP="00C20945">
            <w:r>
              <w:t>S</w:t>
            </w:r>
            <w:r w:rsidR="00C20945" w:rsidRPr="00C20945">
              <w:t xml:space="preserve">ystem </w:t>
            </w:r>
            <w:r w:rsidR="00D974EF">
              <w:t>O</w:t>
            </w:r>
            <w:r w:rsidR="00C20945" w:rsidRPr="00C20945">
              <w:t xml:space="preserve">rgan </w:t>
            </w:r>
            <w:r w:rsidR="00D974EF">
              <w:t>C</w:t>
            </w:r>
            <w:r w:rsidR="00C20945" w:rsidRPr="00C20945">
              <w:t>lass</w:t>
            </w:r>
          </w:p>
        </w:tc>
      </w:tr>
      <w:tr w:rsidR="00C20945" w:rsidRPr="00C20945" w14:paraId="09D0EC9B" w14:textId="77777777" w:rsidTr="00BF79CA">
        <w:tc>
          <w:tcPr>
            <w:tcW w:w="2376" w:type="dxa"/>
          </w:tcPr>
          <w:p w14:paraId="2F16F8A7" w14:textId="77777777" w:rsidR="00C20945" w:rsidRPr="00C20945" w:rsidRDefault="00C20945" w:rsidP="00C20945">
            <w:r w:rsidRPr="00C20945">
              <w:t>SOS</w:t>
            </w:r>
          </w:p>
        </w:tc>
        <w:tc>
          <w:tcPr>
            <w:tcW w:w="6344" w:type="dxa"/>
          </w:tcPr>
          <w:p w14:paraId="1F4DE182" w14:textId="77777777" w:rsidR="00C20945" w:rsidRPr="00C20945" w:rsidRDefault="000A094C" w:rsidP="00C20945">
            <w:r>
              <w:t>S</w:t>
            </w:r>
            <w:r w:rsidR="00C20945" w:rsidRPr="00C20945">
              <w:t>inusoidal obstruction syndrome</w:t>
            </w:r>
          </w:p>
        </w:tc>
      </w:tr>
      <w:tr w:rsidR="00AC6DBC" w:rsidRPr="00C20945" w14:paraId="60BC2F9F" w14:textId="77777777" w:rsidTr="00BF79CA">
        <w:tc>
          <w:tcPr>
            <w:tcW w:w="2376" w:type="dxa"/>
          </w:tcPr>
          <w:p w14:paraId="3BCC230C" w14:textId="2E7BD8CE" w:rsidR="00AC6DBC" w:rsidRPr="00C20945" w:rsidRDefault="00AC6DBC" w:rsidP="00C20945">
            <w:r>
              <w:t>SPM</w:t>
            </w:r>
          </w:p>
        </w:tc>
        <w:tc>
          <w:tcPr>
            <w:tcW w:w="6344" w:type="dxa"/>
          </w:tcPr>
          <w:p w14:paraId="216953AF" w14:textId="60391BD8" w:rsidR="00AC6DBC" w:rsidRDefault="00AC6DBC" w:rsidP="00C20945">
            <w:r>
              <w:t>Second primary malignancy</w:t>
            </w:r>
          </w:p>
        </w:tc>
      </w:tr>
      <w:tr w:rsidR="00C20945" w:rsidRPr="00C20945" w14:paraId="1C56388D" w14:textId="77777777" w:rsidTr="00BF79CA">
        <w:tc>
          <w:tcPr>
            <w:tcW w:w="2376" w:type="dxa"/>
          </w:tcPr>
          <w:p w14:paraId="2F11A883" w14:textId="77777777" w:rsidR="00C20945" w:rsidRPr="00C20945" w:rsidRDefault="00C20945" w:rsidP="00C20945">
            <w:r w:rsidRPr="00C20945">
              <w:t>TEAEs</w:t>
            </w:r>
          </w:p>
        </w:tc>
        <w:tc>
          <w:tcPr>
            <w:tcW w:w="6344" w:type="dxa"/>
          </w:tcPr>
          <w:p w14:paraId="537A77E4" w14:textId="77777777" w:rsidR="00C20945" w:rsidRPr="00C20945" w:rsidRDefault="000A094C" w:rsidP="00C20945">
            <w:r>
              <w:t>T</w:t>
            </w:r>
            <w:r w:rsidR="00C20945" w:rsidRPr="00C20945">
              <w:t>reatment-emergent adverse events</w:t>
            </w:r>
          </w:p>
        </w:tc>
      </w:tr>
      <w:tr w:rsidR="00C20945" w:rsidRPr="00C20945" w14:paraId="0A394EAE" w14:textId="77777777" w:rsidTr="00BF79CA">
        <w:tc>
          <w:tcPr>
            <w:tcW w:w="2376" w:type="dxa"/>
          </w:tcPr>
          <w:p w14:paraId="32C44114" w14:textId="2D15D0CE" w:rsidR="00C20945" w:rsidRPr="00C20945" w:rsidRDefault="00C20945" w:rsidP="00C20945">
            <w:r w:rsidRPr="00C20945">
              <w:t>TKI</w:t>
            </w:r>
          </w:p>
        </w:tc>
        <w:tc>
          <w:tcPr>
            <w:tcW w:w="6344" w:type="dxa"/>
          </w:tcPr>
          <w:p w14:paraId="2E017D86" w14:textId="38F828C2" w:rsidR="00C20945" w:rsidRPr="00C20945" w:rsidRDefault="000A094C" w:rsidP="00C20945">
            <w:r>
              <w:t>T</w:t>
            </w:r>
            <w:r w:rsidR="00C20945" w:rsidRPr="00C20945">
              <w:t>yrosine kinase inhibitor</w:t>
            </w:r>
          </w:p>
        </w:tc>
      </w:tr>
      <w:tr w:rsidR="00C20945" w:rsidRPr="00C20945" w14:paraId="2F1DE146" w14:textId="77777777" w:rsidTr="00BF79CA">
        <w:tc>
          <w:tcPr>
            <w:tcW w:w="2376" w:type="dxa"/>
          </w:tcPr>
          <w:p w14:paraId="538C2A3F" w14:textId="77777777" w:rsidR="00C20945" w:rsidRPr="00C20945" w:rsidRDefault="00C20945" w:rsidP="00C20945">
            <w:r w:rsidRPr="00C20945">
              <w:t>TLS</w:t>
            </w:r>
          </w:p>
        </w:tc>
        <w:tc>
          <w:tcPr>
            <w:tcW w:w="6344" w:type="dxa"/>
          </w:tcPr>
          <w:p w14:paraId="433DA634" w14:textId="77777777" w:rsidR="00C20945" w:rsidRPr="00C20945" w:rsidRDefault="000A094C" w:rsidP="00C20945">
            <w:r>
              <w:t>T</w:t>
            </w:r>
            <w:r w:rsidR="00C20945" w:rsidRPr="00C20945">
              <w:t>umour lysis syndrome</w:t>
            </w:r>
          </w:p>
        </w:tc>
      </w:tr>
      <w:tr w:rsidR="00C20945" w:rsidRPr="00C20945" w14:paraId="7B111201" w14:textId="77777777" w:rsidTr="00BF79CA">
        <w:tc>
          <w:tcPr>
            <w:tcW w:w="2376" w:type="dxa"/>
          </w:tcPr>
          <w:p w14:paraId="2857FFBD" w14:textId="77777777" w:rsidR="00C20945" w:rsidRPr="00C20945" w:rsidRDefault="00C20945" w:rsidP="00C20945">
            <w:r w:rsidRPr="00C20945">
              <w:t>UGT</w:t>
            </w:r>
          </w:p>
        </w:tc>
        <w:tc>
          <w:tcPr>
            <w:tcW w:w="6344" w:type="dxa"/>
          </w:tcPr>
          <w:p w14:paraId="52FAD02C" w14:textId="77777777" w:rsidR="00C20945" w:rsidRPr="00C20945" w:rsidRDefault="00C20945" w:rsidP="00C20945">
            <w:r w:rsidRPr="00C20945">
              <w:t>Uridine diphosphate-glucuronosyltransferase</w:t>
            </w:r>
          </w:p>
        </w:tc>
      </w:tr>
      <w:tr w:rsidR="00C20945" w:rsidRPr="00C20945" w14:paraId="34418843" w14:textId="77777777" w:rsidTr="00BF79CA">
        <w:tc>
          <w:tcPr>
            <w:tcW w:w="2376" w:type="dxa"/>
          </w:tcPr>
          <w:p w14:paraId="58ECB163" w14:textId="77777777" w:rsidR="00C20945" w:rsidRPr="00C20945" w:rsidRDefault="00C20945" w:rsidP="00C20945">
            <w:r w:rsidRPr="00C20945">
              <w:t>ULN</w:t>
            </w:r>
          </w:p>
        </w:tc>
        <w:tc>
          <w:tcPr>
            <w:tcW w:w="6344" w:type="dxa"/>
          </w:tcPr>
          <w:p w14:paraId="0B5E1B14" w14:textId="77777777" w:rsidR="00C20945" w:rsidRPr="00C20945" w:rsidRDefault="000E5B21" w:rsidP="00C20945">
            <w:r>
              <w:t>U</w:t>
            </w:r>
            <w:r w:rsidR="00C20945" w:rsidRPr="00C20945">
              <w:t>pper limit of normal</w:t>
            </w:r>
          </w:p>
        </w:tc>
      </w:tr>
      <w:tr w:rsidR="00C20945" w:rsidRPr="00C20945" w14:paraId="7F5A75F3" w14:textId="77777777" w:rsidTr="00BF79CA">
        <w:tc>
          <w:tcPr>
            <w:tcW w:w="2376" w:type="dxa"/>
          </w:tcPr>
          <w:p w14:paraId="51153C71" w14:textId="77777777" w:rsidR="00C20945" w:rsidRPr="00C20945" w:rsidRDefault="00C20945" w:rsidP="00C20945">
            <w:r w:rsidRPr="00C20945">
              <w:t>UK</w:t>
            </w:r>
          </w:p>
        </w:tc>
        <w:tc>
          <w:tcPr>
            <w:tcW w:w="6344" w:type="dxa"/>
          </w:tcPr>
          <w:p w14:paraId="36BCAD8B" w14:textId="77777777" w:rsidR="00C20945" w:rsidRPr="00C20945" w:rsidRDefault="00C20945" w:rsidP="00C20945">
            <w:r w:rsidRPr="00C20945">
              <w:t>United Kingdom</w:t>
            </w:r>
          </w:p>
        </w:tc>
      </w:tr>
      <w:tr w:rsidR="00C20945" w:rsidRPr="00C20945" w14:paraId="236C20FB" w14:textId="77777777" w:rsidTr="00BF79CA">
        <w:tc>
          <w:tcPr>
            <w:tcW w:w="2376" w:type="dxa"/>
          </w:tcPr>
          <w:p w14:paraId="4C6BDDEB" w14:textId="77777777" w:rsidR="00C20945" w:rsidRPr="00C20945" w:rsidRDefault="00C20945" w:rsidP="00C20945">
            <w:r w:rsidRPr="00C20945">
              <w:t>US</w:t>
            </w:r>
          </w:p>
        </w:tc>
        <w:tc>
          <w:tcPr>
            <w:tcW w:w="6344" w:type="dxa"/>
          </w:tcPr>
          <w:p w14:paraId="612D56E9" w14:textId="77777777" w:rsidR="00C20945" w:rsidRPr="00C20945" w:rsidRDefault="00C20945" w:rsidP="00C20945">
            <w:r w:rsidRPr="00C20945">
              <w:t>United States (of America)</w:t>
            </w:r>
          </w:p>
        </w:tc>
      </w:tr>
      <w:tr w:rsidR="00C20945" w:rsidRPr="00C20945" w14:paraId="03C1AA8D" w14:textId="77777777" w:rsidTr="00BF79CA">
        <w:tc>
          <w:tcPr>
            <w:tcW w:w="2376" w:type="dxa"/>
          </w:tcPr>
          <w:p w14:paraId="063A0C16" w14:textId="77777777" w:rsidR="00C20945" w:rsidRPr="00C20945" w:rsidRDefault="00C20945" w:rsidP="00C20945">
            <w:r w:rsidRPr="00C20945">
              <w:t>v</w:t>
            </w:r>
          </w:p>
        </w:tc>
        <w:tc>
          <w:tcPr>
            <w:tcW w:w="6344" w:type="dxa"/>
          </w:tcPr>
          <w:p w14:paraId="7BEE65BB" w14:textId="77777777" w:rsidR="00C20945" w:rsidRPr="00C20945" w:rsidRDefault="000E5B21" w:rsidP="00C20945">
            <w:r>
              <w:t>V</w:t>
            </w:r>
            <w:r w:rsidR="00C20945" w:rsidRPr="00C20945">
              <w:t>ersion</w:t>
            </w:r>
          </w:p>
        </w:tc>
      </w:tr>
      <w:tr w:rsidR="00C20945" w:rsidRPr="00C20945" w14:paraId="1A13EF1D" w14:textId="77777777" w:rsidTr="00BF79CA">
        <w:tc>
          <w:tcPr>
            <w:tcW w:w="2376" w:type="dxa"/>
          </w:tcPr>
          <w:p w14:paraId="37B8A130" w14:textId="77777777" w:rsidR="00C20945" w:rsidRPr="00C20945" w:rsidRDefault="00C20945" w:rsidP="00C20945">
            <w:r w:rsidRPr="00C20945">
              <w:t>VAD/CVAD</w:t>
            </w:r>
          </w:p>
        </w:tc>
        <w:tc>
          <w:tcPr>
            <w:tcW w:w="6344" w:type="dxa"/>
          </w:tcPr>
          <w:p w14:paraId="410C9098" w14:textId="77777777" w:rsidR="00C20945" w:rsidRPr="00C20945" w:rsidRDefault="000E5B21" w:rsidP="000E5B21">
            <w:r>
              <w:t>V</w:t>
            </w:r>
            <w:r w:rsidR="00C20945" w:rsidRPr="00C20945">
              <w:t xml:space="preserve">incristine, </w:t>
            </w:r>
            <w:proofErr w:type="spellStart"/>
            <w:r w:rsidR="00C20945" w:rsidRPr="00C20945">
              <w:t>adriamycin</w:t>
            </w:r>
            <w:proofErr w:type="spellEnd"/>
            <w:r w:rsidR="00C20945" w:rsidRPr="00C20945">
              <w:t>, and dexamethasone/cyclophosph</w:t>
            </w:r>
            <w:r>
              <w:t xml:space="preserve">amide, vincristine, </w:t>
            </w:r>
            <w:proofErr w:type="spellStart"/>
            <w:r>
              <w:t>adriamycin</w:t>
            </w:r>
            <w:proofErr w:type="spellEnd"/>
            <w:r>
              <w:t xml:space="preserve">, </w:t>
            </w:r>
            <w:r w:rsidR="00C20945" w:rsidRPr="00C20945">
              <w:t>and dexamethasone</w:t>
            </w:r>
          </w:p>
        </w:tc>
      </w:tr>
      <w:tr w:rsidR="00C20945" w:rsidRPr="00C20945" w14:paraId="7A81839E" w14:textId="77777777" w:rsidTr="00BF79CA">
        <w:tc>
          <w:tcPr>
            <w:tcW w:w="2376" w:type="dxa"/>
          </w:tcPr>
          <w:p w14:paraId="09C8E17D" w14:textId="77777777" w:rsidR="00C20945" w:rsidRPr="00C20945" w:rsidRDefault="00C20945" w:rsidP="00C20945">
            <w:r w:rsidRPr="00C20945">
              <w:t>VOD</w:t>
            </w:r>
          </w:p>
        </w:tc>
        <w:tc>
          <w:tcPr>
            <w:tcW w:w="6344" w:type="dxa"/>
          </w:tcPr>
          <w:p w14:paraId="7A7F237E" w14:textId="77777777" w:rsidR="00C20945" w:rsidRPr="00C20945" w:rsidRDefault="000E5B21" w:rsidP="00C20945">
            <w:r>
              <w:t>V</w:t>
            </w:r>
            <w:r w:rsidR="00C20945" w:rsidRPr="00C20945">
              <w:t>enoocclusive disease</w:t>
            </w:r>
          </w:p>
        </w:tc>
      </w:tr>
      <w:tr w:rsidR="00C20945" w:rsidRPr="00C20945" w14:paraId="78E0F258" w14:textId="77777777" w:rsidTr="00BF79CA">
        <w:tc>
          <w:tcPr>
            <w:tcW w:w="2376" w:type="dxa"/>
          </w:tcPr>
          <w:p w14:paraId="55A34580" w14:textId="77777777" w:rsidR="00C20945" w:rsidRPr="00C20945" w:rsidRDefault="00C20945" w:rsidP="00C20945">
            <w:r w:rsidRPr="00C20945">
              <w:t>WBC</w:t>
            </w:r>
          </w:p>
        </w:tc>
        <w:tc>
          <w:tcPr>
            <w:tcW w:w="6344" w:type="dxa"/>
          </w:tcPr>
          <w:p w14:paraId="73AE1823" w14:textId="77777777" w:rsidR="00C20945" w:rsidRPr="00C20945" w:rsidRDefault="000E5B21" w:rsidP="00C20945">
            <w:r>
              <w:t>W</w:t>
            </w:r>
            <w:r w:rsidR="00C20945" w:rsidRPr="00C20945">
              <w:t>hite blood cell</w:t>
            </w:r>
          </w:p>
        </w:tc>
      </w:tr>
    </w:tbl>
    <w:p w14:paraId="68BE0F14" w14:textId="77777777" w:rsidR="00FD119B" w:rsidRDefault="00FD119B" w:rsidP="00FD119B"/>
    <w:p w14:paraId="5E556EDF"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E8B3D7A" w14:textId="77777777" w:rsidR="008E7846" w:rsidRDefault="00F53C07" w:rsidP="008E7846">
      <w:pPr>
        <w:pStyle w:val="Heading2"/>
      </w:pPr>
      <w:bookmarkStart w:id="9" w:name="_Toc16505581"/>
      <w:r>
        <w:lastRenderedPageBreak/>
        <w:t>I.</w:t>
      </w:r>
      <w:r w:rsidR="008E7846">
        <w:t xml:space="preserve"> Introduction to product submission</w:t>
      </w:r>
      <w:bookmarkEnd w:id="3"/>
      <w:bookmarkEnd w:id="0"/>
      <w:bookmarkEnd w:id="9"/>
    </w:p>
    <w:p w14:paraId="0EC22A58" w14:textId="77777777" w:rsidR="008E7846" w:rsidRDefault="008E7846" w:rsidP="008E7846">
      <w:pPr>
        <w:pStyle w:val="Heading3"/>
        <w:rPr>
          <w:lang w:eastAsia="en-AU"/>
        </w:rPr>
      </w:pPr>
      <w:bookmarkStart w:id="10" w:name="_Toc247691502"/>
      <w:bookmarkStart w:id="11" w:name="_Toc314842483"/>
      <w:bookmarkStart w:id="12" w:name="_Toc1650558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4EA8297" w14:textId="77777777" w:rsidTr="003735BC">
        <w:tc>
          <w:tcPr>
            <w:tcW w:w="2907" w:type="dxa"/>
          </w:tcPr>
          <w:p w14:paraId="49DF2E36"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1FCA8F5" w14:textId="77777777" w:rsidR="008E7846" w:rsidRPr="003D1E62" w:rsidRDefault="008E7846" w:rsidP="000E5B21">
            <w:r w:rsidRPr="003D1E62">
              <w:t xml:space="preserve">New </w:t>
            </w:r>
            <w:r w:rsidR="000E5B21">
              <w:t>biological</w:t>
            </w:r>
            <w:r w:rsidRPr="003D1E62">
              <w:t xml:space="preserve"> </w:t>
            </w:r>
            <w:r w:rsidR="001B5C90">
              <w:t>e</w:t>
            </w:r>
            <w:r w:rsidR="000E5B21">
              <w:t>ntity</w:t>
            </w:r>
          </w:p>
        </w:tc>
      </w:tr>
      <w:tr w:rsidR="008E7846" w:rsidRPr="003D1E62" w14:paraId="1CA9EB9A" w14:textId="77777777" w:rsidTr="003735BC">
        <w:tc>
          <w:tcPr>
            <w:tcW w:w="2907" w:type="dxa"/>
          </w:tcPr>
          <w:p w14:paraId="53A0AE8D" w14:textId="77777777" w:rsidR="008E7846" w:rsidRPr="003D1E62" w:rsidRDefault="008E7846" w:rsidP="003D1E62">
            <w:r w:rsidRPr="003D1E62">
              <w:rPr>
                <w:i/>
              </w:rPr>
              <w:t>Decision</w:t>
            </w:r>
            <w:r w:rsidRPr="003D1E62">
              <w:t>:</w:t>
            </w:r>
          </w:p>
        </w:tc>
        <w:tc>
          <w:tcPr>
            <w:tcW w:w="6307" w:type="dxa"/>
          </w:tcPr>
          <w:p w14:paraId="56552CF1" w14:textId="77777777" w:rsidR="008E7846" w:rsidRPr="003D1E62" w:rsidRDefault="000D10FE" w:rsidP="000D10FE">
            <w:r>
              <w:t>Approved</w:t>
            </w:r>
          </w:p>
        </w:tc>
      </w:tr>
      <w:tr w:rsidR="008E7846" w:rsidRPr="003D1E62" w14:paraId="20108778" w14:textId="77777777" w:rsidTr="003735BC">
        <w:tc>
          <w:tcPr>
            <w:tcW w:w="2907" w:type="dxa"/>
          </w:tcPr>
          <w:p w14:paraId="3DC02273"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EF675C4" w14:textId="77777777" w:rsidR="008E7846" w:rsidRPr="003D1E62" w:rsidRDefault="000D10FE" w:rsidP="001B5C90">
            <w:r>
              <w:t>11 May 2018</w:t>
            </w:r>
          </w:p>
        </w:tc>
      </w:tr>
      <w:tr w:rsidR="00ED2922" w:rsidRPr="003D1E62" w14:paraId="30B2FCF3" w14:textId="77777777" w:rsidTr="003735BC">
        <w:tc>
          <w:tcPr>
            <w:tcW w:w="2907" w:type="dxa"/>
          </w:tcPr>
          <w:p w14:paraId="3529C0F7" w14:textId="77777777" w:rsidR="00ED2922" w:rsidRPr="00441C3F" w:rsidRDefault="00ED2922" w:rsidP="001B5C90">
            <w:pPr>
              <w:rPr>
                <w:i/>
              </w:rPr>
            </w:pPr>
            <w:r w:rsidRPr="00441C3F">
              <w:rPr>
                <w:i/>
              </w:rPr>
              <w:t>Date of entry onto ARTG</w:t>
            </w:r>
            <w:r w:rsidR="00500337">
              <w:rPr>
                <w:i/>
              </w:rPr>
              <w:t>:</w:t>
            </w:r>
          </w:p>
        </w:tc>
        <w:tc>
          <w:tcPr>
            <w:tcW w:w="6307" w:type="dxa"/>
          </w:tcPr>
          <w:p w14:paraId="1DDC8A51" w14:textId="77777777" w:rsidR="00ED2922" w:rsidRPr="00441C3F" w:rsidRDefault="000D10FE" w:rsidP="00EC463D">
            <w:pPr>
              <w:rPr>
                <w:i/>
              </w:rPr>
            </w:pPr>
            <w:r>
              <w:t>17 May 2018</w:t>
            </w:r>
          </w:p>
        </w:tc>
      </w:tr>
      <w:tr w:rsidR="00500337" w:rsidRPr="003D1E62" w14:paraId="489E7B10" w14:textId="77777777" w:rsidTr="003735BC">
        <w:tc>
          <w:tcPr>
            <w:tcW w:w="2907" w:type="dxa"/>
          </w:tcPr>
          <w:p w14:paraId="5D9EC09B" w14:textId="77777777" w:rsidR="00500337" w:rsidRPr="00441C3F" w:rsidRDefault="000D10FE" w:rsidP="001B5C90">
            <w:pPr>
              <w:rPr>
                <w:i/>
              </w:rPr>
            </w:pPr>
            <w:r>
              <w:rPr>
                <w:i/>
              </w:rPr>
              <w:t>ARTG number</w:t>
            </w:r>
            <w:r w:rsidR="00500337">
              <w:rPr>
                <w:i/>
              </w:rPr>
              <w:t>:</w:t>
            </w:r>
          </w:p>
        </w:tc>
        <w:tc>
          <w:tcPr>
            <w:tcW w:w="6307" w:type="dxa"/>
          </w:tcPr>
          <w:p w14:paraId="2E4FDB58" w14:textId="77777777" w:rsidR="00500337" w:rsidRPr="00441C3F" w:rsidRDefault="000D10FE" w:rsidP="00EC463D">
            <w:r>
              <w:t>288135</w:t>
            </w:r>
          </w:p>
        </w:tc>
      </w:tr>
      <w:tr w:rsidR="003735BC" w:rsidRPr="003D1E62" w14:paraId="5B3C7234" w14:textId="77777777" w:rsidTr="00700F0D">
        <w:trPr>
          <w:trHeight w:val="1201"/>
        </w:trPr>
        <w:tc>
          <w:tcPr>
            <w:tcW w:w="2907" w:type="dxa"/>
          </w:tcPr>
          <w:p w14:paraId="02E3E238"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7B6A23CE" w14:textId="77777777" w:rsidR="003735BC" w:rsidRDefault="000D10FE" w:rsidP="003735BC">
            <w:r>
              <w:t>Yes</w:t>
            </w:r>
          </w:p>
          <w:p w14:paraId="31EC8F26" w14:textId="77777777" w:rsidR="003735BC" w:rsidRPr="00487162" w:rsidRDefault="003735BC" w:rsidP="003735BC">
            <w:r>
              <w:t xml:space="preserve">This product will remain in the scheme for 5 years, starting on the date the product is first supplied in </w:t>
            </w:r>
            <w:r w:rsidR="000D10FE">
              <w:t>Australia</w:t>
            </w:r>
          </w:p>
        </w:tc>
      </w:tr>
      <w:tr w:rsidR="008E7846" w:rsidRPr="00487162" w14:paraId="46806F27" w14:textId="77777777" w:rsidTr="00BF1190">
        <w:tc>
          <w:tcPr>
            <w:tcW w:w="2907" w:type="dxa"/>
          </w:tcPr>
          <w:p w14:paraId="56462393" w14:textId="77777777" w:rsidR="008E7846" w:rsidRPr="00487162" w:rsidRDefault="000D10FE" w:rsidP="00E45619">
            <w:pPr>
              <w:rPr>
                <w:i/>
              </w:rPr>
            </w:pPr>
            <w:r>
              <w:rPr>
                <w:i/>
              </w:rPr>
              <w:t>Active ingredient</w:t>
            </w:r>
            <w:r w:rsidR="001B5C90">
              <w:rPr>
                <w:i/>
              </w:rPr>
              <w:t>:</w:t>
            </w:r>
          </w:p>
        </w:tc>
        <w:tc>
          <w:tcPr>
            <w:tcW w:w="6307" w:type="dxa"/>
          </w:tcPr>
          <w:p w14:paraId="5BCF9B2A" w14:textId="77777777" w:rsidR="008E7846" w:rsidRPr="00487162" w:rsidRDefault="000D10FE" w:rsidP="00E45619">
            <w:r>
              <w:t>Inotuzumab ozogamicin</w:t>
            </w:r>
          </w:p>
        </w:tc>
      </w:tr>
      <w:tr w:rsidR="008E7846" w:rsidRPr="00487162" w14:paraId="14515AB5" w14:textId="77777777" w:rsidTr="00BF1190">
        <w:tc>
          <w:tcPr>
            <w:tcW w:w="2907" w:type="dxa"/>
          </w:tcPr>
          <w:p w14:paraId="4834FD4A" w14:textId="77777777" w:rsidR="008E7846" w:rsidRPr="00487162" w:rsidRDefault="008E7846" w:rsidP="001B5C90">
            <w:pPr>
              <w:rPr>
                <w:i/>
              </w:rPr>
            </w:pPr>
            <w:r w:rsidRPr="00487162">
              <w:rPr>
                <w:i/>
              </w:rPr>
              <w:t>Product</w:t>
            </w:r>
            <w:r w:rsidR="000D10FE">
              <w:rPr>
                <w:i/>
              </w:rPr>
              <w:t xml:space="preserve"> name</w:t>
            </w:r>
            <w:r w:rsidR="001B5C90">
              <w:rPr>
                <w:i/>
              </w:rPr>
              <w:t>:</w:t>
            </w:r>
          </w:p>
        </w:tc>
        <w:tc>
          <w:tcPr>
            <w:tcW w:w="6307" w:type="dxa"/>
          </w:tcPr>
          <w:p w14:paraId="33E5DCB8" w14:textId="77777777" w:rsidR="008E7846" w:rsidRPr="00487162" w:rsidRDefault="000D10FE" w:rsidP="00E45619">
            <w:r>
              <w:t>Besponsa</w:t>
            </w:r>
          </w:p>
        </w:tc>
      </w:tr>
      <w:tr w:rsidR="008E7846" w:rsidRPr="00487162" w14:paraId="4286A1A4" w14:textId="77777777" w:rsidTr="00BF1190">
        <w:tc>
          <w:tcPr>
            <w:tcW w:w="2907" w:type="dxa"/>
          </w:tcPr>
          <w:p w14:paraId="10119FC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F2A8C54" w14:textId="77777777" w:rsidR="008E7846" w:rsidRDefault="000D10FE" w:rsidP="00E45619">
            <w:r>
              <w:t>Pfizer Australia Pty Ltd</w:t>
            </w:r>
          </w:p>
          <w:p w14:paraId="6E56247E" w14:textId="77777777" w:rsidR="000D10FE" w:rsidRDefault="000D10FE" w:rsidP="00E45619">
            <w:r>
              <w:t>38-42 Wharf Road</w:t>
            </w:r>
          </w:p>
          <w:p w14:paraId="79C2D587" w14:textId="77777777" w:rsidR="000D10FE" w:rsidRPr="00487162" w:rsidRDefault="000D10FE" w:rsidP="00E45619">
            <w:r>
              <w:t>West Ryde NSW 2114</w:t>
            </w:r>
          </w:p>
        </w:tc>
      </w:tr>
      <w:tr w:rsidR="008E7846" w:rsidRPr="00487162" w14:paraId="64897952" w14:textId="77777777" w:rsidTr="00BF1190">
        <w:tc>
          <w:tcPr>
            <w:tcW w:w="2907" w:type="dxa"/>
          </w:tcPr>
          <w:p w14:paraId="41F3E552" w14:textId="77777777" w:rsidR="008E7846" w:rsidRPr="00487162" w:rsidRDefault="000D10FE" w:rsidP="00E45619">
            <w:pPr>
              <w:rPr>
                <w:i/>
              </w:rPr>
            </w:pPr>
            <w:r>
              <w:rPr>
                <w:i/>
              </w:rPr>
              <w:t>Dose form</w:t>
            </w:r>
            <w:r w:rsidR="001B5C90">
              <w:rPr>
                <w:i/>
              </w:rPr>
              <w:t>:</w:t>
            </w:r>
          </w:p>
        </w:tc>
        <w:tc>
          <w:tcPr>
            <w:tcW w:w="6307" w:type="dxa"/>
          </w:tcPr>
          <w:p w14:paraId="44B16556" w14:textId="77777777" w:rsidR="008E7846" w:rsidRPr="00487162" w:rsidRDefault="000D10FE" w:rsidP="00E45619">
            <w:r>
              <w:t>Powder for injection</w:t>
            </w:r>
          </w:p>
        </w:tc>
      </w:tr>
      <w:tr w:rsidR="008E7846" w:rsidRPr="00487162" w14:paraId="50E2C86D" w14:textId="77777777" w:rsidTr="00BF1190">
        <w:tc>
          <w:tcPr>
            <w:tcW w:w="2907" w:type="dxa"/>
          </w:tcPr>
          <w:p w14:paraId="090019E8" w14:textId="77777777" w:rsidR="008E7846" w:rsidRPr="00487162" w:rsidRDefault="000D10FE" w:rsidP="00E45619">
            <w:pPr>
              <w:rPr>
                <w:i/>
              </w:rPr>
            </w:pPr>
            <w:r>
              <w:rPr>
                <w:i/>
              </w:rPr>
              <w:t>Strength</w:t>
            </w:r>
            <w:r w:rsidR="008E7846" w:rsidRPr="00487162">
              <w:rPr>
                <w:i/>
              </w:rPr>
              <w:t xml:space="preserve">: </w:t>
            </w:r>
          </w:p>
        </w:tc>
        <w:tc>
          <w:tcPr>
            <w:tcW w:w="6307" w:type="dxa"/>
          </w:tcPr>
          <w:p w14:paraId="63EE87F6" w14:textId="77777777" w:rsidR="008E7846" w:rsidRPr="00487162" w:rsidRDefault="000D10FE" w:rsidP="00E45619">
            <w:r>
              <w:t>1 mg</w:t>
            </w:r>
          </w:p>
        </w:tc>
      </w:tr>
      <w:tr w:rsidR="008E7846" w:rsidRPr="00487162" w14:paraId="31C16F77" w14:textId="77777777" w:rsidTr="00BF1190">
        <w:tc>
          <w:tcPr>
            <w:tcW w:w="2907" w:type="dxa"/>
          </w:tcPr>
          <w:p w14:paraId="272FD232" w14:textId="77777777" w:rsidR="008E7846" w:rsidRPr="00487162" w:rsidRDefault="000D10FE" w:rsidP="00E45619">
            <w:pPr>
              <w:rPr>
                <w:i/>
              </w:rPr>
            </w:pPr>
            <w:r>
              <w:rPr>
                <w:i/>
              </w:rPr>
              <w:t>Container</w:t>
            </w:r>
            <w:r w:rsidR="008E7846" w:rsidRPr="00487162">
              <w:rPr>
                <w:i/>
              </w:rPr>
              <w:t>:</w:t>
            </w:r>
          </w:p>
        </w:tc>
        <w:tc>
          <w:tcPr>
            <w:tcW w:w="6307" w:type="dxa"/>
          </w:tcPr>
          <w:p w14:paraId="709F7E69" w14:textId="77777777" w:rsidR="008E7846" w:rsidRPr="00487162" w:rsidRDefault="000D10FE" w:rsidP="000D10FE">
            <w:r>
              <w:t>vial</w:t>
            </w:r>
          </w:p>
        </w:tc>
      </w:tr>
      <w:tr w:rsidR="008E7846" w:rsidRPr="00487162" w14:paraId="474CC622" w14:textId="77777777" w:rsidTr="00BF1190">
        <w:tc>
          <w:tcPr>
            <w:tcW w:w="2907" w:type="dxa"/>
          </w:tcPr>
          <w:p w14:paraId="64DE02AB" w14:textId="77777777" w:rsidR="008E7846" w:rsidRPr="00487162" w:rsidRDefault="000D10FE" w:rsidP="00E45619">
            <w:pPr>
              <w:rPr>
                <w:i/>
              </w:rPr>
            </w:pPr>
            <w:r>
              <w:rPr>
                <w:i/>
              </w:rPr>
              <w:t>Pack size</w:t>
            </w:r>
            <w:r w:rsidR="008E7846" w:rsidRPr="00487162">
              <w:rPr>
                <w:i/>
              </w:rPr>
              <w:t>:</w:t>
            </w:r>
          </w:p>
        </w:tc>
        <w:tc>
          <w:tcPr>
            <w:tcW w:w="6307" w:type="dxa"/>
          </w:tcPr>
          <w:p w14:paraId="34193D2D" w14:textId="77777777" w:rsidR="008E7846" w:rsidRPr="00487162" w:rsidRDefault="000D10FE" w:rsidP="00E45619">
            <w:r>
              <w:t>1</w:t>
            </w:r>
          </w:p>
        </w:tc>
      </w:tr>
      <w:tr w:rsidR="008E7846" w:rsidRPr="00487162" w14:paraId="05D72EED" w14:textId="77777777" w:rsidTr="00BF1190">
        <w:tc>
          <w:tcPr>
            <w:tcW w:w="2907" w:type="dxa"/>
          </w:tcPr>
          <w:p w14:paraId="6759D792"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CAFF857" w14:textId="77777777" w:rsidR="008E7846" w:rsidRPr="00487162" w:rsidRDefault="006779D9" w:rsidP="00E45619">
            <w:pPr>
              <w:rPr>
                <w:rFonts w:eastAsia="MS Mincho"/>
                <w:lang w:eastAsia="ja-JP"/>
              </w:rPr>
            </w:pPr>
            <w:r>
              <w:rPr>
                <w:i/>
              </w:rPr>
              <w:t>Besponsa</w:t>
            </w:r>
            <w:r w:rsidR="00F51E04" w:rsidRPr="00F51E04">
              <w:rPr>
                <w:i/>
              </w:rPr>
              <w:t xml:space="preserve"> is indicated for the treatment of adults with relapsed or refractory </w:t>
            </w:r>
            <w:r w:rsidR="005C4508">
              <w:rPr>
                <w:i/>
              </w:rPr>
              <w:t>CD22 positive</w:t>
            </w:r>
            <w:r w:rsidR="00F51E04" w:rsidRPr="00F51E04">
              <w:rPr>
                <w:i/>
              </w:rPr>
              <w:t xml:space="preserve"> </w:t>
            </w:r>
            <w:r>
              <w:rPr>
                <w:i/>
              </w:rPr>
              <w:t>B cell</w:t>
            </w:r>
            <w:r w:rsidR="00F51E04" w:rsidRPr="00F51E04">
              <w:rPr>
                <w:i/>
              </w:rPr>
              <w:t xml:space="preserve"> precursor acute</w:t>
            </w:r>
            <w:r w:rsidR="000E5B21">
              <w:rPr>
                <w:i/>
              </w:rPr>
              <w:t xml:space="preserve"> lymphoblastic leukaemia (ALL)</w:t>
            </w:r>
          </w:p>
        </w:tc>
      </w:tr>
      <w:tr w:rsidR="008E7846" w:rsidRPr="00487162" w14:paraId="351F43E9" w14:textId="77777777" w:rsidTr="00BF1190">
        <w:tc>
          <w:tcPr>
            <w:tcW w:w="2907" w:type="dxa"/>
          </w:tcPr>
          <w:p w14:paraId="2B2FDD64" w14:textId="77777777" w:rsidR="008E7846" w:rsidRPr="00487162" w:rsidRDefault="000D10FE" w:rsidP="00E45619">
            <w:pPr>
              <w:rPr>
                <w:i/>
              </w:rPr>
            </w:pPr>
            <w:r>
              <w:rPr>
                <w:i/>
              </w:rPr>
              <w:t xml:space="preserve">Route </w:t>
            </w:r>
            <w:r w:rsidR="008E7846" w:rsidRPr="00487162">
              <w:rPr>
                <w:i/>
              </w:rPr>
              <w:t>of administration:</w:t>
            </w:r>
          </w:p>
        </w:tc>
        <w:tc>
          <w:tcPr>
            <w:tcW w:w="6307" w:type="dxa"/>
          </w:tcPr>
          <w:p w14:paraId="664D0E02" w14:textId="77777777" w:rsidR="008E7846" w:rsidRPr="00487162" w:rsidRDefault="000D10FE" w:rsidP="00E45619">
            <w:r>
              <w:t xml:space="preserve">Intravenous </w:t>
            </w:r>
            <w:r w:rsidR="00F51E04">
              <w:t>infusion</w:t>
            </w:r>
          </w:p>
        </w:tc>
      </w:tr>
      <w:tr w:rsidR="008E7846" w:rsidRPr="00487162" w14:paraId="41D4664E" w14:textId="77777777" w:rsidTr="00BF1190">
        <w:tc>
          <w:tcPr>
            <w:tcW w:w="2907" w:type="dxa"/>
          </w:tcPr>
          <w:p w14:paraId="0B7D0BAD" w14:textId="77777777" w:rsidR="008E7846" w:rsidRPr="00487162" w:rsidRDefault="008E7846" w:rsidP="00E45619">
            <w:pPr>
              <w:rPr>
                <w:i/>
              </w:rPr>
            </w:pPr>
            <w:r w:rsidRPr="00487162">
              <w:rPr>
                <w:i/>
              </w:rPr>
              <w:t>Dosage:</w:t>
            </w:r>
          </w:p>
        </w:tc>
        <w:tc>
          <w:tcPr>
            <w:tcW w:w="6307" w:type="dxa"/>
          </w:tcPr>
          <w:p w14:paraId="5735B101" w14:textId="77777777" w:rsidR="008E7846" w:rsidRPr="008A74BD" w:rsidRDefault="008A74BD" w:rsidP="00E70577">
            <w:r w:rsidRPr="008A74BD">
              <w:t xml:space="preserve">The </w:t>
            </w:r>
            <w:r>
              <w:t xml:space="preserve">dosing regimen consists of 4 </w:t>
            </w:r>
            <w:r w:rsidRPr="008A74BD">
              <w:t xml:space="preserve">week cycles in which doses are in 3 divided doses </w:t>
            </w:r>
            <w:r>
              <w:t>on D</w:t>
            </w:r>
            <w:r w:rsidRPr="008A74BD">
              <w:t>ays 1, 8 and 15, for up to 6 cycles. For full details please see the Product Information.</w:t>
            </w:r>
          </w:p>
        </w:tc>
      </w:tr>
    </w:tbl>
    <w:p w14:paraId="0C658A3E" w14:textId="77777777" w:rsidR="008E7846" w:rsidRDefault="008E7846" w:rsidP="008D611A">
      <w:pPr>
        <w:pStyle w:val="Heading3"/>
        <w:pageBreakBefore/>
      </w:pPr>
      <w:bookmarkStart w:id="13" w:name="_Toc247691503"/>
      <w:bookmarkStart w:id="14" w:name="_Toc314842484"/>
      <w:bookmarkStart w:id="15" w:name="_Toc16505583"/>
      <w:r>
        <w:lastRenderedPageBreak/>
        <w:t>Product background</w:t>
      </w:r>
      <w:bookmarkEnd w:id="13"/>
      <w:bookmarkEnd w:id="14"/>
      <w:bookmarkEnd w:id="15"/>
    </w:p>
    <w:p w14:paraId="2E752013" w14:textId="77777777" w:rsidR="00E70577" w:rsidRDefault="00940A89" w:rsidP="00940A89">
      <w:r w:rsidRPr="00940A89">
        <w:t xml:space="preserve">This AusPAR describes the application by </w:t>
      </w:r>
      <w:r w:rsidR="00B0512B">
        <w:t>Pfizer Australia Pty Ltd</w:t>
      </w:r>
      <w:r w:rsidR="00B0512B" w:rsidRPr="00940A89">
        <w:t xml:space="preserve"> </w:t>
      </w:r>
      <w:r w:rsidR="00B0512B">
        <w:t>(</w:t>
      </w:r>
      <w:r w:rsidRPr="00940A89">
        <w:t>the sponsor</w:t>
      </w:r>
      <w:r w:rsidR="00B0512B">
        <w:t>)</w:t>
      </w:r>
      <w:r w:rsidRPr="00940A89">
        <w:t xml:space="preserve"> to register </w:t>
      </w:r>
      <w:r w:rsidR="00B0512B">
        <w:t>Besponsa, inotuzumab ozogamicin</w:t>
      </w:r>
      <w:r w:rsidR="00B0512B" w:rsidRPr="00940A89">
        <w:t xml:space="preserve"> </w:t>
      </w:r>
      <w:r w:rsidR="00B0512B">
        <w:t>1 mg powder for injection vial</w:t>
      </w:r>
      <w:r w:rsidRPr="00940A89">
        <w:t xml:space="preserve"> for the following indication</w:t>
      </w:r>
      <w:r w:rsidR="00E70577">
        <w:t>:</w:t>
      </w:r>
    </w:p>
    <w:p w14:paraId="5E5C518A" w14:textId="77777777" w:rsidR="008A74BD" w:rsidRPr="00E70577" w:rsidRDefault="006779D9" w:rsidP="00E70577">
      <w:pPr>
        <w:ind w:left="720"/>
        <w:rPr>
          <w:i/>
        </w:rPr>
      </w:pPr>
      <w:r>
        <w:rPr>
          <w:i/>
        </w:rPr>
        <w:t>Besponsa</w:t>
      </w:r>
      <w:r w:rsidR="00E70577" w:rsidRPr="00E70577">
        <w:rPr>
          <w:i/>
        </w:rPr>
        <w:t xml:space="preserve"> is indicated for the treatment of adults with relapsed or refractory </w:t>
      </w:r>
      <w:r>
        <w:rPr>
          <w:i/>
        </w:rPr>
        <w:t>B cell</w:t>
      </w:r>
      <w:r w:rsidR="00E70577" w:rsidRPr="00E70577">
        <w:rPr>
          <w:i/>
        </w:rPr>
        <w:t xml:space="preserve"> precursor acute lymphoblastic leukaemia (ALL).</w:t>
      </w:r>
    </w:p>
    <w:p w14:paraId="16B116C4" w14:textId="77777777" w:rsidR="006779D9" w:rsidRDefault="008A74BD" w:rsidP="006779D9">
      <w:r>
        <w:t>Inotuzumab ozogamicin is an antibody drug conjugate (ADC</w:t>
      </w:r>
      <w:r w:rsidR="006779D9">
        <w:t xml:space="preserve">) </w:t>
      </w:r>
      <w:r>
        <w:t xml:space="preserve">The pharmacological activity as well as toxicity of inotuzumab ozogamicin is attributable </w:t>
      </w:r>
      <w:r w:rsidR="006779D9">
        <w:t>to the calicheamicin component.</w:t>
      </w:r>
    </w:p>
    <w:p w14:paraId="22C32BCE" w14:textId="77542048" w:rsidR="008A74BD" w:rsidRPr="006779D9" w:rsidRDefault="008A74BD" w:rsidP="006779D9">
      <w:pPr>
        <w:rPr>
          <w:sz w:val="24"/>
          <w:szCs w:val="24"/>
        </w:rPr>
      </w:pPr>
      <w:r>
        <w:t xml:space="preserve">Inotuzumab antibody binds to the </w:t>
      </w:r>
      <w:r w:rsidR="001F0DE2">
        <w:t>c</w:t>
      </w:r>
      <w:r w:rsidR="002F076F">
        <w:t>luster of differentiation</w:t>
      </w:r>
      <w:r w:rsidR="001F0DE2">
        <w:t xml:space="preserve"> </w:t>
      </w:r>
      <w:r w:rsidR="002F076F">
        <w:t>22 (</w:t>
      </w:r>
      <w:r>
        <w:t>CD22</w:t>
      </w:r>
      <w:r w:rsidR="002F076F">
        <w:t>)</w:t>
      </w:r>
      <w:r>
        <w:t xml:space="preserve"> </w:t>
      </w:r>
      <w:proofErr w:type="gramStart"/>
      <w:r>
        <w:t>antigen</w:t>
      </w:r>
      <w:proofErr w:type="gramEnd"/>
      <w:r>
        <w:t xml:space="preserve">, which is located on the vast majority of mature human </w:t>
      </w:r>
      <w:r w:rsidR="006779D9">
        <w:t>B cell</w:t>
      </w:r>
      <w:r>
        <w:t xml:space="preserve">s, as well as on a high proportion of malignant cells </w:t>
      </w:r>
      <w:r w:rsidRPr="006779D9">
        <w:t xml:space="preserve">in </w:t>
      </w:r>
      <w:r w:rsidR="006779D9" w:rsidRPr="006779D9">
        <w:t xml:space="preserve">acute lymphoblastic leukaemia </w:t>
      </w:r>
      <w:r w:rsidR="006779D9">
        <w:t>(</w:t>
      </w:r>
      <w:r w:rsidRPr="006779D9">
        <w:t>A</w:t>
      </w:r>
      <w:r>
        <w:t>LL</w:t>
      </w:r>
      <w:r w:rsidR="006779D9">
        <w:t>)</w:t>
      </w:r>
      <w:r>
        <w:t xml:space="preserve"> and a number of other </w:t>
      </w:r>
      <w:r w:rsidR="006779D9">
        <w:t>B cell</w:t>
      </w:r>
      <w:r>
        <w:t xml:space="preserve"> cancers. Binding to CD22 on </w:t>
      </w:r>
      <w:r w:rsidR="006779D9">
        <w:t>B cell</w:t>
      </w:r>
      <w:r>
        <w:t>s</w:t>
      </w:r>
      <w:r w:rsidR="006779D9">
        <w:t xml:space="preserve"> is</w:t>
      </w:r>
      <w:r>
        <w:t xml:space="preserve"> followed by internalisation and trafficking to lysosomes, where the acidic conditions favour hydrolysis of the calicheamicin derivative. </w:t>
      </w:r>
      <w:r w:rsidR="006779D9">
        <w:t>B cell</w:t>
      </w:r>
      <w:r>
        <w:t xml:space="preserve"> lines treated with the ADC showed induction of double strand DNA breaks, consistent with the proposed mechanism of action for calicheamicin, ultimately leading to induction of apoptosis </w:t>
      </w:r>
      <w:r w:rsidR="006779D9">
        <w:t>and cell death.</w:t>
      </w:r>
    </w:p>
    <w:p w14:paraId="34744611" w14:textId="5BEC7934" w:rsidR="008A74BD" w:rsidRDefault="008A74BD" w:rsidP="00940A89">
      <w:pPr>
        <w:rPr>
          <w:rFonts w:asciiTheme="minorHAnsi" w:hAnsiTheme="minorHAnsi" w:cs="‡˚ø◊w‚"/>
          <w:color w:val="000000"/>
          <w:lang w:val="en-US"/>
        </w:rPr>
      </w:pPr>
      <w:r w:rsidRPr="00D16AAD">
        <w:rPr>
          <w:rFonts w:asciiTheme="minorHAnsi" w:hAnsiTheme="minorHAnsi" w:cs="‡˚ø◊w‚"/>
          <w:color w:val="000000"/>
          <w:lang w:val="en-US"/>
        </w:rPr>
        <w:t xml:space="preserve">Treatment of relapsed or refractory ALL is still a major clinical challenge and there is no universally accepted treatment protocol for these </w:t>
      </w:r>
      <w:r>
        <w:rPr>
          <w:rFonts w:asciiTheme="minorHAnsi" w:hAnsiTheme="minorHAnsi" w:cs="‡˚ø◊w‚"/>
          <w:color w:val="000000"/>
          <w:lang w:val="en-US"/>
        </w:rPr>
        <w:t>patients. T</w:t>
      </w:r>
      <w:r w:rsidRPr="00D16AAD">
        <w:rPr>
          <w:rFonts w:asciiTheme="minorHAnsi" w:hAnsiTheme="minorHAnsi" w:cs="‡˚ø◊w‚"/>
          <w:color w:val="000000"/>
          <w:lang w:val="en-US"/>
        </w:rPr>
        <w:t xml:space="preserve">he </w:t>
      </w:r>
      <w:r w:rsidR="000E5B21">
        <w:t xml:space="preserve">European Society for </w:t>
      </w:r>
      <w:r w:rsidR="000E5B21" w:rsidRPr="000E5B21">
        <w:t>Medical Oncology</w:t>
      </w:r>
      <w:r w:rsidR="000E5B21" w:rsidRPr="000E5B21">
        <w:rPr>
          <w:rFonts w:asciiTheme="minorHAnsi" w:hAnsiTheme="minorHAnsi" w:cs="‡˚ø◊w‚"/>
          <w:color w:val="000000"/>
          <w:lang w:val="en-US"/>
        </w:rPr>
        <w:t xml:space="preserve"> (</w:t>
      </w:r>
      <w:r w:rsidRPr="000E5B21">
        <w:rPr>
          <w:rFonts w:asciiTheme="minorHAnsi" w:hAnsiTheme="minorHAnsi" w:cs="‡˚ø◊w‚"/>
          <w:color w:val="000000"/>
          <w:lang w:val="en-US"/>
        </w:rPr>
        <w:t>ESMO</w:t>
      </w:r>
      <w:r w:rsidR="000E5B21" w:rsidRPr="000E5B21">
        <w:rPr>
          <w:rFonts w:asciiTheme="minorHAnsi" w:hAnsiTheme="minorHAnsi" w:cs="‡˚ø◊w‚"/>
          <w:color w:val="000000"/>
          <w:lang w:val="en-US"/>
        </w:rPr>
        <w:t>)</w:t>
      </w:r>
      <w:r w:rsidRPr="000E5B21">
        <w:rPr>
          <w:rFonts w:asciiTheme="minorHAnsi" w:hAnsiTheme="minorHAnsi" w:cs="‡˚ø◊w‚"/>
          <w:color w:val="000000"/>
          <w:lang w:val="en-US"/>
        </w:rPr>
        <w:t xml:space="preserve"> guidelines (2016</w:t>
      </w:r>
      <w:r w:rsidRPr="00D16AAD">
        <w:rPr>
          <w:rFonts w:asciiTheme="minorHAnsi" w:hAnsiTheme="minorHAnsi" w:cs="‡˚ø◊w‚"/>
          <w:color w:val="000000"/>
          <w:lang w:val="en-US"/>
        </w:rPr>
        <w:t>)</w:t>
      </w:r>
      <w:bookmarkStart w:id="16" w:name="_Ref536533358"/>
      <w:r w:rsidR="00A953B4">
        <w:rPr>
          <w:rStyle w:val="FootnoteReference"/>
          <w:rFonts w:asciiTheme="minorHAnsi" w:hAnsiTheme="minorHAnsi" w:cs="‡˚ø◊w‚"/>
          <w:color w:val="000000"/>
          <w:lang w:val="en-US"/>
        </w:rPr>
        <w:footnoteReference w:id="1"/>
      </w:r>
      <w:bookmarkEnd w:id="16"/>
      <w:r w:rsidRPr="00D16AAD">
        <w:rPr>
          <w:rFonts w:asciiTheme="minorHAnsi" w:hAnsiTheme="minorHAnsi" w:cs="‡˚ø◊w‚"/>
          <w:color w:val="000000"/>
          <w:lang w:val="en-US"/>
        </w:rPr>
        <w:t xml:space="preserve"> </w:t>
      </w:r>
      <w:r>
        <w:rPr>
          <w:rFonts w:asciiTheme="minorHAnsi" w:hAnsiTheme="minorHAnsi" w:cs="‡˚ø◊w‚"/>
          <w:color w:val="000000"/>
          <w:lang w:val="en-US"/>
        </w:rPr>
        <w:t xml:space="preserve">indicate that </w:t>
      </w:r>
      <w:r w:rsidRPr="00D16AAD">
        <w:rPr>
          <w:rFonts w:asciiTheme="minorHAnsi" w:hAnsiTheme="minorHAnsi" w:cs="‡˚ø◊w‚"/>
          <w:color w:val="000000"/>
          <w:lang w:val="en-US"/>
        </w:rPr>
        <w:t xml:space="preserve">allogeneic </w:t>
      </w:r>
      <w:r w:rsidR="006779D9">
        <w:rPr>
          <w:rFonts w:asciiTheme="minorHAnsi" w:hAnsiTheme="minorHAnsi" w:cs="‡˚ø◊w‚"/>
          <w:color w:val="000000"/>
          <w:lang w:val="en-US"/>
        </w:rPr>
        <w:t>stem cell transplantation (</w:t>
      </w:r>
      <w:r w:rsidRPr="00D16AAD">
        <w:rPr>
          <w:rFonts w:asciiTheme="minorHAnsi" w:hAnsiTheme="minorHAnsi" w:cs="‡˚ø◊w‚"/>
          <w:color w:val="000000"/>
          <w:lang w:val="en-US"/>
        </w:rPr>
        <w:t>SCT</w:t>
      </w:r>
      <w:r w:rsidR="006779D9">
        <w:rPr>
          <w:rFonts w:asciiTheme="minorHAnsi" w:hAnsiTheme="minorHAnsi" w:cs="‡˚ø◊w‚"/>
          <w:color w:val="000000"/>
          <w:lang w:val="en-US"/>
        </w:rPr>
        <w:t>)</w:t>
      </w:r>
      <w:r w:rsidRPr="00D16AAD">
        <w:rPr>
          <w:rFonts w:asciiTheme="minorHAnsi" w:hAnsiTheme="minorHAnsi" w:cs="‡˚ø◊w‚"/>
          <w:color w:val="000000"/>
          <w:lang w:val="en-US"/>
        </w:rPr>
        <w:t xml:space="preserve"> is the only known curative option for patients with ALL </w:t>
      </w:r>
      <w:r>
        <w:rPr>
          <w:rFonts w:asciiTheme="minorHAnsi" w:hAnsiTheme="minorHAnsi" w:cs="‡˚ø◊w‚"/>
          <w:color w:val="000000"/>
          <w:lang w:val="en-US"/>
        </w:rPr>
        <w:t xml:space="preserve">and </w:t>
      </w:r>
      <w:r w:rsidRPr="00D16AAD">
        <w:rPr>
          <w:rFonts w:asciiTheme="minorHAnsi" w:hAnsiTheme="minorHAnsi" w:cs="‡˚ø◊w‚"/>
          <w:color w:val="000000"/>
          <w:lang w:val="en-US"/>
        </w:rPr>
        <w:t xml:space="preserve">that treatment </w:t>
      </w:r>
      <w:r>
        <w:rPr>
          <w:rFonts w:asciiTheme="minorHAnsi" w:hAnsiTheme="minorHAnsi" w:cs="‡˚ø◊w‚"/>
          <w:color w:val="000000"/>
          <w:lang w:val="en-US"/>
        </w:rPr>
        <w:t xml:space="preserve">of the disease </w:t>
      </w:r>
      <w:r w:rsidRPr="00D16AAD">
        <w:rPr>
          <w:rFonts w:asciiTheme="minorHAnsi" w:hAnsiTheme="minorHAnsi" w:cs="‡˚ø◊w‚"/>
          <w:color w:val="000000"/>
          <w:lang w:val="en-US"/>
        </w:rPr>
        <w:t xml:space="preserve">with a curative aim involves achievement of </w:t>
      </w:r>
      <w:r w:rsidR="006779D9">
        <w:rPr>
          <w:rFonts w:asciiTheme="minorHAnsi" w:hAnsiTheme="minorHAnsi" w:cs="‡˚ø◊w‚"/>
          <w:color w:val="000000"/>
          <w:lang w:val="en-US"/>
        </w:rPr>
        <w:t>complete response (</w:t>
      </w:r>
      <w:r w:rsidRPr="00D16AAD">
        <w:rPr>
          <w:rFonts w:asciiTheme="minorHAnsi" w:hAnsiTheme="minorHAnsi" w:cs="‡˚ø◊w‚"/>
          <w:color w:val="000000"/>
          <w:lang w:val="en-US"/>
        </w:rPr>
        <w:t>CR</w:t>
      </w:r>
      <w:r w:rsidR="006779D9">
        <w:rPr>
          <w:rFonts w:asciiTheme="minorHAnsi" w:hAnsiTheme="minorHAnsi" w:cs="‡˚ø◊w‚"/>
          <w:color w:val="000000"/>
          <w:lang w:val="en-US"/>
        </w:rPr>
        <w:t>)</w:t>
      </w:r>
      <w:r w:rsidRPr="00D16AAD">
        <w:rPr>
          <w:rFonts w:asciiTheme="minorHAnsi" w:hAnsiTheme="minorHAnsi" w:cs="‡˚ø◊w‚"/>
          <w:color w:val="000000"/>
          <w:lang w:val="en-US"/>
        </w:rPr>
        <w:t xml:space="preserve"> followed by allogeneic SCT</w:t>
      </w:r>
      <w:r>
        <w:rPr>
          <w:rFonts w:asciiTheme="minorHAnsi" w:hAnsiTheme="minorHAnsi" w:cs="‡˚ø◊w‚"/>
          <w:color w:val="000000"/>
          <w:lang w:val="en-US"/>
        </w:rPr>
        <w:t>.</w:t>
      </w:r>
    </w:p>
    <w:p w14:paraId="6BB0D7E9" w14:textId="77777777" w:rsidR="008E7846" w:rsidRDefault="00386150" w:rsidP="008E7846">
      <w:pPr>
        <w:pStyle w:val="Heading3"/>
      </w:pPr>
      <w:bookmarkStart w:id="17" w:name="_Toc314842485"/>
      <w:bookmarkStart w:id="18" w:name="_Toc247691504"/>
      <w:bookmarkStart w:id="19" w:name="_Toc16505584"/>
      <w:r>
        <w:t>Regulatory s</w:t>
      </w:r>
      <w:r w:rsidR="008E7846">
        <w:t>tatus</w:t>
      </w:r>
      <w:bookmarkEnd w:id="17"/>
      <w:bookmarkEnd w:id="18"/>
      <w:bookmarkEnd w:id="19"/>
    </w:p>
    <w:p w14:paraId="7A57E866" w14:textId="77777777" w:rsidR="00940A89" w:rsidRDefault="00940A89" w:rsidP="00940A89">
      <w:bookmarkStart w:id="20" w:name="_Toc247691505"/>
      <w:bookmarkStart w:id="21" w:name="_Toc314842486"/>
      <w:r w:rsidRPr="00940A89">
        <w:t>The product received initial registration on the Australian Register</w:t>
      </w:r>
      <w:r w:rsidR="00E70577">
        <w:t xml:space="preserve"> of Therapeutic Goods (ARTG) on 17 May 2018.</w:t>
      </w:r>
    </w:p>
    <w:p w14:paraId="197B7A7B" w14:textId="77777777" w:rsidR="00E70577" w:rsidRDefault="00E70577" w:rsidP="00E70577">
      <w:pPr>
        <w:pStyle w:val="Heading4"/>
      </w:pPr>
      <w:r>
        <w:t>International regulatory status</w:t>
      </w:r>
    </w:p>
    <w:p w14:paraId="31168A0A" w14:textId="77777777" w:rsidR="00E70577" w:rsidRDefault="00E70577" w:rsidP="00E70577">
      <w:r w:rsidRPr="00940A89">
        <w:t xml:space="preserve">At the time the TGA considered this </w:t>
      </w:r>
      <w:r w:rsidR="006779D9" w:rsidRPr="00940A89">
        <w:t>application;</w:t>
      </w:r>
      <w:r w:rsidRPr="00940A89">
        <w:t xml:space="preserve"> a similar application had been approved </w:t>
      </w:r>
      <w:r>
        <w:t>and</w:t>
      </w:r>
      <w:r w:rsidRPr="00940A89">
        <w:t xml:space="preserve"> was under co</w:t>
      </w:r>
      <w:r>
        <w:t>nsideration in the countries as shown in Table 1.</w:t>
      </w:r>
    </w:p>
    <w:p w14:paraId="48BA74CE" w14:textId="77777777" w:rsidR="00E70577" w:rsidRDefault="00E70577" w:rsidP="00E70577">
      <w:pPr>
        <w:pStyle w:val="TableTitle"/>
      </w:pPr>
      <w:r>
        <w:t>Table 1: International regulatory status (as at 6 April 2018)</w:t>
      </w:r>
    </w:p>
    <w:tbl>
      <w:tblPr>
        <w:tblStyle w:val="TableTGAblue"/>
        <w:tblW w:w="0" w:type="auto"/>
        <w:tblLook w:val="04A0" w:firstRow="1" w:lastRow="0" w:firstColumn="1" w:lastColumn="0" w:noHBand="0" w:noVBand="1"/>
      </w:tblPr>
      <w:tblGrid>
        <w:gridCol w:w="1668"/>
        <w:gridCol w:w="2409"/>
        <w:gridCol w:w="4643"/>
      </w:tblGrid>
      <w:tr w:rsidR="00E70577" w:rsidRPr="00E70577" w14:paraId="3DF5EBA5" w14:textId="77777777" w:rsidTr="00EF795A">
        <w:trPr>
          <w:cnfStyle w:val="100000000000" w:firstRow="1" w:lastRow="0" w:firstColumn="0" w:lastColumn="0" w:oddVBand="0" w:evenVBand="0" w:oddHBand="0" w:evenHBand="0" w:firstRowFirstColumn="0" w:firstRowLastColumn="0" w:lastRowFirstColumn="0" w:lastRowLastColumn="0"/>
        </w:trPr>
        <w:tc>
          <w:tcPr>
            <w:tcW w:w="1668" w:type="dxa"/>
          </w:tcPr>
          <w:p w14:paraId="341FCE24" w14:textId="77777777" w:rsidR="00E70577" w:rsidRPr="00E70577" w:rsidRDefault="00E70577" w:rsidP="00E70577">
            <w:pPr>
              <w:ind w:left="0" w:right="0"/>
              <w:rPr>
                <w:sz w:val="20"/>
                <w:szCs w:val="20"/>
              </w:rPr>
            </w:pPr>
            <w:r w:rsidRPr="00E70577">
              <w:rPr>
                <w:sz w:val="20"/>
                <w:szCs w:val="20"/>
              </w:rPr>
              <w:t>Country</w:t>
            </w:r>
          </w:p>
        </w:tc>
        <w:tc>
          <w:tcPr>
            <w:tcW w:w="2409" w:type="dxa"/>
          </w:tcPr>
          <w:p w14:paraId="4334039C" w14:textId="77777777" w:rsidR="00E70577" w:rsidRPr="00E70577" w:rsidRDefault="00E70577" w:rsidP="00E70577">
            <w:pPr>
              <w:ind w:left="0" w:right="0"/>
              <w:rPr>
                <w:sz w:val="20"/>
                <w:szCs w:val="20"/>
              </w:rPr>
            </w:pPr>
            <w:r w:rsidRPr="00E70577">
              <w:rPr>
                <w:sz w:val="20"/>
                <w:szCs w:val="20"/>
              </w:rPr>
              <w:t>Key dates</w:t>
            </w:r>
          </w:p>
        </w:tc>
        <w:tc>
          <w:tcPr>
            <w:tcW w:w="4643" w:type="dxa"/>
          </w:tcPr>
          <w:p w14:paraId="3D7B4AEB" w14:textId="77777777" w:rsidR="00E70577" w:rsidRPr="00E70577" w:rsidRDefault="00E70577" w:rsidP="00E70577">
            <w:pPr>
              <w:ind w:left="0" w:right="0"/>
              <w:rPr>
                <w:sz w:val="20"/>
                <w:szCs w:val="20"/>
              </w:rPr>
            </w:pPr>
            <w:r w:rsidRPr="00E70577">
              <w:rPr>
                <w:sz w:val="20"/>
                <w:szCs w:val="20"/>
              </w:rPr>
              <w:t>Indication</w:t>
            </w:r>
          </w:p>
        </w:tc>
      </w:tr>
      <w:tr w:rsidR="00E70577" w:rsidRPr="00E70577" w14:paraId="4D056072" w14:textId="77777777" w:rsidTr="00EF795A">
        <w:tc>
          <w:tcPr>
            <w:tcW w:w="1668" w:type="dxa"/>
          </w:tcPr>
          <w:p w14:paraId="1E5DDD5A" w14:textId="77777777" w:rsidR="00E70577" w:rsidRPr="00E70577" w:rsidRDefault="00E70577" w:rsidP="00E70577">
            <w:pPr>
              <w:ind w:left="0" w:right="0"/>
              <w:rPr>
                <w:sz w:val="20"/>
                <w:szCs w:val="20"/>
              </w:rPr>
            </w:pPr>
            <w:r>
              <w:rPr>
                <w:sz w:val="20"/>
                <w:szCs w:val="20"/>
              </w:rPr>
              <w:t xml:space="preserve">United States of </w:t>
            </w:r>
            <w:r w:rsidRPr="00E70577">
              <w:rPr>
                <w:sz w:val="20"/>
                <w:szCs w:val="20"/>
              </w:rPr>
              <w:t>America</w:t>
            </w:r>
          </w:p>
        </w:tc>
        <w:tc>
          <w:tcPr>
            <w:tcW w:w="2409" w:type="dxa"/>
          </w:tcPr>
          <w:p w14:paraId="6263872C" w14:textId="1B99BCF1" w:rsidR="00E70577" w:rsidRPr="00E70577" w:rsidRDefault="00E70577" w:rsidP="00EF795A">
            <w:pPr>
              <w:ind w:left="0" w:right="0"/>
              <w:rPr>
                <w:sz w:val="20"/>
                <w:szCs w:val="20"/>
              </w:rPr>
            </w:pPr>
            <w:r>
              <w:rPr>
                <w:sz w:val="20"/>
                <w:szCs w:val="20"/>
              </w:rPr>
              <w:t xml:space="preserve">Rolling submission from </w:t>
            </w:r>
            <w:r w:rsidRPr="00E70577">
              <w:rPr>
                <w:sz w:val="20"/>
                <w:szCs w:val="20"/>
              </w:rPr>
              <w:t>21 January 2016</w:t>
            </w:r>
            <w:r w:rsidR="00EF795A">
              <w:rPr>
                <w:sz w:val="20"/>
                <w:szCs w:val="20"/>
              </w:rPr>
              <w:t xml:space="preserve"> </w:t>
            </w:r>
            <w:r>
              <w:rPr>
                <w:sz w:val="20"/>
                <w:szCs w:val="20"/>
              </w:rPr>
              <w:t xml:space="preserve">Approved 17 August </w:t>
            </w:r>
            <w:r w:rsidRPr="00E70577">
              <w:rPr>
                <w:sz w:val="20"/>
                <w:szCs w:val="20"/>
              </w:rPr>
              <w:t>2017</w:t>
            </w:r>
          </w:p>
        </w:tc>
        <w:tc>
          <w:tcPr>
            <w:tcW w:w="4643" w:type="dxa"/>
          </w:tcPr>
          <w:p w14:paraId="1F459F84" w14:textId="77777777" w:rsidR="00E70577" w:rsidRPr="004C4261" w:rsidRDefault="006779D9" w:rsidP="00E70577">
            <w:pPr>
              <w:ind w:left="0" w:right="0"/>
              <w:rPr>
                <w:i/>
                <w:sz w:val="20"/>
                <w:szCs w:val="20"/>
              </w:rPr>
            </w:pPr>
            <w:r w:rsidRPr="004C4261">
              <w:rPr>
                <w:i/>
                <w:sz w:val="20"/>
                <w:szCs w:val="20"/>
              </w:rPr>
              <w:t>Besponsa</w:t>
            </w:r>
            <w:r w:rsidR="00E70577" w:rsidRPr="004C4261">
              <w:rPr>
                <w:i/>
                <w:sz w:val="20"/>
                <w:szCs w:val="20"/>
              </w:rPr>
              <w:t xml:space="preserve"> is indicated for the treatment of adults with relapsed or refractory </w:t>
            </w:r>
            <w:r w:rsidRPr="004C4261">
              <w:rPr>
                <w:i/>
                <w:sz w:val="20"/>
                <w:szCs w:val="20"/>
              </w:rPr>
              <w:t>B cell</w:t>
            </w:r>
            <w:r w:rsidR="00E70577" w:rsidRPr="004C4261">
              <w:rPr>
                <w:i/>
                <w:sz w:val="20"/>
                <w:szCs w:val="20"/>
              </w:rPr>
              <w:t xml:space="preserve"> precursor acute lymphoblastic </w:t>
            </w:r>
            <w:proofErr w:type="spellStart"/>
            <w:r w:rsidR="00E70577" w:rsidRPr="004C4261">
              <w:rPr>
                <w:i/>
                <w:sz w:val="20"/>
                <w:szCs w:val="20"/>
              </w:rPr>
              <w:t>leukemia</w:t>
            </w:r>
            <w:proofErr w:type="spellEnd"/>
            <w:r w:rsidR="00E70577" w:rsidRPr="004C4261">
              <w:rPr>
                <w:i/>
                <w:sz w:val="20"/>
                <w:szCs w:val="20"/>
              </w:rPr>
              <w:t xml:space="preserve"> (ALL).</w:t>
            </w:r>
          </w:p>
        </w:tc>
      </w:tr>
      <w:tr w:rsidR="00E70577" w:rsidRPr="00E70577" w14:paraId="2E8F1AE5" w14:textId="77777777" w:rsidTr="00EF795A">
        <w:tc>
          <w:tcPr>
            <w:tcW w:w="1668" w:type="dxa"/>
          </w:tcPr>
          <w:p w14:paraId="6251D8EB" w14:textId="77777777" w:rsidR="00E70577" w:rsidRPr="00E70577" w:rsidRDefault="00E70577" w:rsidP="00E70577">
            <w:pPr>
              <w:ind w:left="0" w:right="0"/>
              <w:rPr>
                <w:sz w:val="20"/>
                <w:szCs w:val="20"/>
              </w:rPr>
            </w:pPr>
            <w:r w:rsidRPr="00E70577">
              <w:rPr>
                <w:sz w:val="20"/>
                <w:szCs w:val="20"/>
              </w:rPr>
              <w:t>Europea</w:t>
            </w:r>
            <w:r>
              <w:rPr>
                <w:sz w:val="20"/>
                <w:szCs w:val="20"/>
              </w:rPr>
              <w:t xml:space="preserve">n Union (centralised </w:t>
            </w:r>
            <w:r w:rsidRPr="00E70577">
              <w:rPr>
                <w:sz w:val="20"/>
                <w:szCs w:val="20"/>
              </w:rPr>
              <w:t>procedure)</w:t>
            </w:r>
          </w:p>
        </w:tc>
        <w:tc>
          <w:tcPr>
            <w:tcW w:w="2409" w:type="dxa"/>
          </w:tcPr>
          <w:p w14:paraId="660D9FCD" w14:textId="24BCEDD5" w:rsidR="00E70577" w:rsidRPr="00E70577" w:rsidRDefault="00E70577" w:rsidP="00EF795A">
            <w:pPr>
              <w:ind w:left="0" w:right="0"/>
              <w:rPr>
                <w:sz w:val="20"/>
                <w:szCs w:val="20"/>
              </w:rPr>
            </w:pPr>
            <w:r>
              <w:rPr>
                <w:sz w:val="20"/>
                <w:szCs w:val="20"/>
              </w:rPr>
              <w:t>Submitted 14 </w:t>
            </w:r>
            <w:r w:rsidRPr="00E70577">
              <w:rPr>
                <w:sz w:val="20"/>
                <w:szCs w:val="20"/>
              </w:rPr>
              <w:t>April 2016</w:t>
            </w:r>
            <w:r w:rsidR="00EF795A">
              <w:rPr>
                <w:sz w:val="20"/>
                <w:szCs w:val="20"/>
              </w:rPr>
              <w:t xml:space="preserve"> </w:t>
            </w:r>
            <w:r>
              <w:rPr>
                <w:sz w:val="20"/>
                <w:szCs w:val="20"/>
              </w:rPr>
              <w:t>Approved 29 June </w:t>
            </w:r>
            <w:r w:rsidRPr="00E70577">
              <w:rPr>
                <w:sz w:val="20"/>
                <w:szCs w:val="20"/>
              </w:rPr>
              <w:t>2017</w:t>
            </w:r>
          </w:p>
        </w:tc>
        <w:tc>
          <w:tcPr>
            <w:tcW w:w="4643" w:type="dxa"/>
          </w:tcPr>
          <w:p w14:paraId="4733F01B" w14:textId="7765F500" w:rsidR="00414B09" w:rsidRPr="004C4261" w:rsidRDefault="006779D9" w:rsidP="00E70577">
            <w:pPr>
              <w:ind w:left="0" w:right="0"/>
              <w:rPr>
                <w:i/>
                <w:sz w:val="20"/>
                <w:szCs w:val="20"/>
              </w:rPr>
            </w:pPr>
            <w:proofErr w:type="spellStart"/>
            <w:r w:rsidRPr="004C4261">
              <w:rPr>
                <w:i/>
                <w:sz w:val="20"/>
                <w:szCs w:val="20"/>
              </w:rPr>
              <w:t>Besponsa</w:t>
            </w:r>
            <w:proofErr w:type="spellEnd"/>
            <w:r w:rsidR="00E70577" w:rsidRPr="004C4261">
              <w:rPr>
                <w:i/>
                <w:sz w:val="20"/>
                <w:szCs w:val="20"/>
              </w:rPr>
              <w:t xml:space="preserve"> is indicated as monotherapy for the treatment of adults with relapsed or refractory </w:t>
            </w:r>
            <w:r w:rsidR="005C4508" w:rsidRPr="004C4261">
              <w:rPr>
                <w:i/>
                <w:sz w:val="20"/>
                <w:szCs w:val="20"/>
              </w:rPr>
              <w:t>CD22 positive</w:t>
            </w:r>
            <w:r w:rsidR="00E70577" w:rsidRPr="004C4261">
              <w:rPr>
                <w:i/>
                <w:sz w:val="20"/>
                <w:szCs w:val="20"/>
              </w:rPr>
              <w:t xml:space="preserve"> </w:t>
            </w:r>
            <w:r w:rsidRPr="004C4261">
              <w:rPr>
                <w:i/>
                <w:sz w:val="20"/>
                <w:szCs w:val="20"/>
              </w:rPr>
              <w:t>B cell</w:t>
            </w:r>
            <w:r w:rsidR="00E70577" w:rsidRPr="004C4261">
              <w:rPr>
                <w:i/>
                <w:sz w:val="20"/>
                <w:szCs w:val="20"/>
              </w:rPr>
              <w:t xml:space="preserve"> precursor acute lymphoblastic leukaemia (ALL). Adult patients with Philadelphia chromosome positive (</w:t>
            </w:r>
            <w:proofErr w:type="spellStart"/>
            <w:r w:rsidR="00E70577" w:rsidRPr="004C4261">
              <w:rPr>
                <w:i/>
                <w:sz w:val="20"/>
                <w:szCs w:val="20"/>
              </w:rPr>
              <w:t>Ph</w:t>
            </w:r>
            <w:proofErr w:type="spellEnd"/>
            <w:r w:rsidR="00E70577" w:rsidRPr="004C4261">
              <w:rPr>
                <w:i/>
                <w:sz w:val="20"/>
                <w:szCs w:val="20"/>
              </w:rPr>
              <w:t xml:space="preserve">+) relapsed or refractory </w:t>
            </w:r>
            <w:r w:rsidRPr="004C4261">
              <w:rPr>
                <w:i/>
                <w:sz w:val="20"/>
                <w:szCs w:val="20"/>
              </w:rPr>
              <w:t xml:space="preserve">B </w:t>
            </w:r>
            <w:r w:rsidRPr="004C4261">
              <w:rPr>
                <w:i/>
                <w:sz w:val="20"/>
                <w:szCs w:val="20"/>
              </w:rPr>
              <w:lastRenderedPageBreak/>
              <w:t>cell</w:t>
            </w:r>
            <w:r w:rsidR="00E70577" w:rsidRPr="004C4261">
              <w:rPr>
                <w:i/>
                <w:sz w:val="20"/>
                <w:szCs w:val="20"/>
              </w:rPr>
              <w:t xml:space="preserve"> precursor ALL should have failed treatment with at least 1 tyrosine kinase inhibitor (TKI).</w:t>
            </w:r>
          </w:p>
        </w:tc>
      </w:tr>
      <w:tr w:rsidR="00E70577" w:rsidRPr="00E70577" w14:paraId="34833323" w14:textId="77777777" w:rsidTr="00EF795A">
        <w:tc>
          <w:tcPr>
            <w:tcW w:w="1668" w:type="dxa"/>
          </w:tcPr>
          <w:p w14:paraId="430789ED" w14:textId="77777777" w:rsidR="00E70577" w:rsidRPr="00E70577" w:rsidRDefault="00E70577" w:rsidP="00E70577">
            <w:pPr>
              <w:ind w:left="0" w:right="0"/>
              <w:rPr>
                <w:sz w:val="20"/>
                <w:szCs w:val="20"/>
              </w:rPr>
            </w:pPr>
            <w:r w:rsidRPr="00E70577">
              <w:rPr>
                <w:sz w:val="20"/>
                <w:szCs w:val="20"/>
              </w:rPr>
              <w:lastRenderedPageBreak/>
              <w:t>Canada</w:t>
            </w:r>
          </w:p>
        </w:tc>
        <w:tc>
          <w:tcPr>
            <w:tcW w:w="2409" w:type="dxa"/>
          </w:tcPr>
          <w:p w14:paraId="13430E8F" w14:textId="5DF5A55E" w:rsidR="00E70577" w:rsidRPr="00E70577" w:rsidRDefault="00E70577" w:rsidP="00E70577">
            <w:pPr>
              <w:ind w:left="0" w:right="0"/>
              <w:rPr>
                <w:sz w:val="20"/>
                <w:szCs w:val="20"/>
              </w:rPr>
            </w:pPr>
            <w:r>
              <w:rPr>
                <w:sz w:val="20"/>
                <w:szCs w:val="20"/>
              </w:rPr>
              <w:t>Submitted 30 </w:t>
            </w:r>
            <w:r w:rsidRPr="00E70577">
              <w:rPr>
                <w:sz w:val="20"/>
                <w:szCs w:val="20"/>
              </w:rPr>
              <w:t>March 2017</w:t>
            </w:r>
          </w:p>
          <w:p w14:paraId="0E92460A" w14:textId="77777777" w:rsidR="00E70577" w:rsidRPr="00E70577" w:rsidRDefault="00E70577" w:rsidP="00E70577">
            <w:pPr>
              <w:ind w:left="0" w:right="0"/>
              <w:rPr>
                <w:sz w:val="20"/>
                <w:szCs w:val="20"/>
              </w:rPr>
            </w:pPr>
            <w:r>
              <w:rPr>
                <w:sz w:val="20"/>
                <w:szCs w:val="20"/>
              </w:rPr>
              <w:t xml:space="preserve">Under </w:t>
            </w:r>
            <w:r w:rsidRPr="00E70577">
              <w:rPr>
                <w:sz w:val="20"/>
                <w:szCs w:val="20"/>
              </w:rPr>
              <w:t>evaluation</w:t>
            </w:r>
          </w:p>
        </w:tc>
        <w:tc>
          <w:tcPr>
            <w:tcW w:w="4643" w:type="dxa"/>
          </w:tcPr>
          <w:p w14:paraId="1C95A90E" w14:textId="62FA0CCD" w:rsidR="00E70577" w:rsidRPr="00E70577" w:rsidRDefault="00E70577" w:rsidP="00E70577">
            <w:pPr>
              <w:ind w:left="0" w:right="0"/>
              <w:rPr>
                <w:sz w:val="20"/>
                <w:szCs w:val="20"/>
              </w:rPr>
            </w:pPr>
          </w:p>
        </w:tc>
      </w:tr>
      <w:tr w:rsidR="00E70577" w:rsidRPr="00E70577" w14:paraId="037A145B" w14:textId="77777777" w:rsidTr="00EF795A">
        <w:tc>
          <w:tcPr>
            <w:tcW w:w="1668" w:type="dxa"/>
          </w:tcPr>
          <w:p w14:paraId="284D9045" w14:textId="77777777" w:rsidR="00E70577" w:rsidRPr="00E70577" w:rsidRDefault="00E70577" w:rsidP="00E70577">
            <w:pPr>
              <w:ind w:left="0" w:right="0"/>
              <w:rPr>
                <w:sz w:val="20"/>
                <w:szCs w:val="20"/>
              </w:rPr>
            </w:pPr>
            <w:r w:rsidRPr="00E70577">
              <w:rPr>
                <w:sz w:val="20"/>
                <w:szCs w:val="20"/>
              </w:rPr>
              <w:t>Switzerland</w:t>
            </w:r>
          </w:p>
        </w:tc>
        <w:tc>
          <w:tcPr>
            <w:tcW w:w="2409" w:type="dxa"/>
          </w:tcPr>
          <w:p w14:paraId="42A476A4" w14:textId="77777777" w:rsidR="00E70577" w:rsidRPr="00E70577" w:rsidRDefault="00E70577" w:rsidP="00E70577">
            <w:pPr>
              <w:ind w:left="0" w:right="0"/>
              <w:rPr>
                <w:sz w:val="20"/>
                <w:szCs w:val="20"/>
              </w:rPr>
            </w:pPr>
            <w:r>
              <w:rPr>
                <w:sz w:val="20"/>
                <w:szCs w:val="20"/>
              </w:rPr>
              <w:t>Submitted 30 </w:t>
            </w:r>
            <w:r w:rsidRPr="00E70577">
              <w:rPr>
                <w:sz w:val="20"/>
                <w:szCs w:val="20"/>
              </w:rPr>
              <w:t>August 2016</w:t>
            </w:r>
          </w:p>
          <w:p w14:paraId="3A6847AC" w14:textId="77777777" w:rsidR="00E70577" w:rsidRPr="00E70577" w:rsidRDefault="00E70577" w:rsidP="00E70577">
            <w:pPr>
              <w:ind w:left="0" w:right="0"/>
              <w:rPr>
                <w:sz w:val="20"/>
                <w:szCs w:val="20"/>
              </w:rPr>
            </w:pPr>
            <w:r>
              <w:rPr>
                <w:sz w:val="20"/>
                <w:szCs w:val="20"/>
              </w:rPr>
              <w:t>Approved 10 July </w:t>
            </w:r>
            <w:r w:rsidRPr="00E70577">
              <w:rPr>
                <w:sz w:val="20"/>
                <w:szCs w:val="20"/>
              </w:rPr>
              <w:t>2017</w:t>
            </w:r>
          </w:p>
        </w:tc>
        <w:tc>
          <w:tcPr>
            <w:tcW w:w="4643" w:type="dxa"/>
          </w:tcPr>
          <w:p w14:paraId="4D926002" w14:textId="77777777" w:rsidR="00E70577" w:rsidRPr="004C4261" w:rsidRDefault="00E70577" w:rsidP="00E70577">
            <w:pPr>
              <w:ind w:left="0" w:right="0"/>
              <w:rPr>
                <w:i/>
                <w:sz w:val="20"/>
                <w:szCs w:val="20"/>
              </w:rPr>
            </w:pPr>
            <w:r w:rsidRPr="004C4261">
              <w:rPr>
                <w:i/>
                <w:sz w:val="20"/>
                <w:szCs w:val="20"/>
              </w:rPr>
              <w:t xml:space="preserve">Besponsa is indicated for the treatment of adult patients with relapsed or refractory </w:t>
            </w:r>
            <w:r w:rsidR="005C4508" w:rsidRPr="004C4261">
              <w:rPr>
                <w:i/>
                <w:sz w:val="20"/>
                <w:szCs w:val="20"/>
              </w:rPr>
              <w:t>CD22 positive</w:t>
            </w:r>
            <w:r w:rsidRPr="004C4261">
              <w:rPr>
                <w:i/>
                <w:sz w:val="20"/>
                <w:szCs w:val="20"/>
              </w:rPr>
              <w:t xml:space="preserve"> </w:t>
            </w:r>
            <w:r w:rsidR="006779D9" w:rsidRPr="004C4261">
              <w:rPr>
                <w:i/>
                <w:sz w:val="20"/>
                <w:szCs w:val="20"/>
              </w:rPr>
              <w:t>B cell</w:t>
            </w:r>
            <w:r w:rsidRPr="004C4261">
              <w:rPr>
                <w:i/>
                <w:sz w:val="20"/>
                <w:szCs w:val="20"/>
              </w:rPr>
              <w:t xml:space="preserve"> precursor ALL (acute lymphoblastic leukaemia). Adult patients with Philadelphia chromosome-positive (</w:t>
            </w:r>
            <w:proofErr w:type="spellStart"/>
            <w:r w:rsidRPr="004C4261">
              <w:rPr>
                <w:i/>
                <w:sz w:val="20"/>
                <w:szCs w:val="20"/>
              </w:rPr>
              <w:t>Ph</w:t>
            </w:r>
            <w:proofErr w:type="spellEnd"/>
            <w:r w:rsidRPr="004C4261">
              <w:rPr>
                <w:i/>
                <w:sz w:val="20"/>
                <w:szCs w:val="20"/>
              </w:rPr>
              <w:t xml:space="preserve">+) relapsed or refractory </w:t>
            </w:r>
            <w:r w:rsidR="006779D9" w:rsidRPr="004C4261">
              <w:rPr>
                <w:i/>
                <w:sz w:val="20"/>
                <w:szCs w:val="20"/>
              </w:rPr>
              <w:t>B cell</w:t>
            </w:r>
            <w:r w:rsidRPr="004C4261">
              <w:rPr>
                <w:i/>
                <w:sz w:val="20"/>
                <w:szCs w:val="20"/>
              </w:rPr>
              <w:t xml:space="preserve"> precursor ALL should have failed treatment with at least one tyrosine kinase inhibitor (TKI).</w:t>
            </w:r>
          </w:p>
        </w:tc>
      </w:tr>
    </w:tbl>
    <w:p w14:paraId="2547DD9B" w14:textId="77777777" w:rsidR="00B2792E" w:rsidRPr="00B2792E" w:rsidRDefault="00B2792E" w:rsidP="00B2792E">
      <w:pPr>
        <w:pStyle w:val="Heading4"/>
      </w:pPr>
      <w:r w:rsidRPr="00B2792E">
        <w:t>Orphan drug designation</w:t>
      </w:r>
    </w:p>
    <w:p w14:paraId="510D49D1" w14:textId="77777777" w:rsidR="00B2792E" w:rsidRPr="00940A89" w:rsidRDefault="00B2792E" w:rsidP="00940A89">
      <w:r w:rsidRPr="00B2792E">
        <w:t xml:space="preserve">Inotuzumab ozogamicin (Besponsa) was designated as an orphan drug by the Therapeutic Goods Administration (TGA), Delegate of the Secretary, on 9 January 2017. The indication was for the treatment of </w:t>
      </w:r>
      <w:r w:rsidR="006779D9">
        <w:t>B cell</w:t>
      </w:r>
      <w:r w:rsidRPr="00B2792E">
        <w:t xml:space="preserve"> acute lymphoblastic leukaemia (ALL).</w:t>
      </w:r>
    </w:p>
    <w:p w14:paraId="05D5ADD9" w14:textId="77777777" w:rsidR="008E7846" w:rsidRDefault="008E7846" w:rsidP="00940A89">
      <w:pPr>
        <w:pStyle w:val="Heading3"/>
      </w:pPr>
      <w:bookmarkStart w:id="22" w:name="_Toc16505585"/>
      <w:r>
        <w:t>Product Information</w:t>
      </w:r>
      <w:bookmarkEnd w:id="20"/>
      <w:bookmarkEnd w:id="21"/>
      <w:bookmarkEnd w:id="22"/>
    </w:p>
    <w:p w14:paraId="717B05EA" w14:textId="7777777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5" w:history="1">
        <w:r w:rsidR="00441C3F" w:rsidRPr="00441C3F">
          <w:rPr>
            <w:rStyle w:val="Hyperlink"/>
          </w:rPr>
          <w:t>https://www.tga.gov.au/product-information-pi</w:t>
        </w:r>
      </w:hyperlink>
      <w:r w:rsidR="00A953B4">
        <w:t>&gt;</w:t>
      </w:r>
      <w:r w:rsidR="00940A89" w:rsidRPr="00940A89">
        <w:t>.</w:t>
      </w:r>
    </w:p>
    <w:p w14:paraId="179EE908" w14:textId="77777777" w:rsidR="00500337" w:rsidRDefault="00500337" w:rsidP="00500337">
      <w:pPr>
        <w:pStyle w:val="Heading2"/>
      </w:pPr>
      <w:bookmarkStart w:id="25" w:name="_Toc504480011"/>
      <w:bookmarkStart w:id="26" w:name="_Toc16505586"/>
      <w:r>
        <w:t>II. Registration time line</w:t>
      </w:r>
      <w:bookmarkEnd w:id="25"/>
      <w:bookmarkEnd w:id="26"/>
    </w:p>
    <w:p w14:paraId="465E97AC" w14:textId="77777777" w:rsidR="00500337" w:rsidRDefault="00500337" w:rsidP="00500337">
      <w:r>
        <w:t>The following table captures the key steps and dates for this application and which are detailed and discussed</w:t>
      </w:r>
      <w:r w:rsidR="00A953B4">
        <w:t xml:space="preserve"> in this AusPAR</w:t>
      </w:r>
      <w:r>
        <w:t>.</w:t>
      </w:r>
    </w:p>
    <w:p w14:paraId="35ED6B11" w14:textId="77777777" w:rsidR="00500337" w:rsidRPr="00377BD4" w:rsidRDefault="00E70577" w:rsidP="00E70577">
      <w:pPr>
        <w:pStyle w:val="TableTitle"/>
      </w:pPr>
      <w:r>
        <w:t>Table 2: Timeline for submission PM-2017-01455-1-4</w:t>
      </w:r>
    </w:p>
    <w:tbl>
      <w:tblPr>
        <w:tblStyle w:val="TableTGAblue"/>
        <w:tblW w:w="0" w:type="auto"/>
        <w:tblLook w:val="04A0" w:firstRow="1" w:lastRow="0" w:firstColumn="1" w:lastColumn="0" w:noHBand="0" w:noVBand="1"/>
      </w:tblPr>
      <w:tblGrid>
        <w:gridCol w:w="4360"/>
        <w:gridCol w:w="4360"/>
      </w:tblGrid>
      <w:tr w:rsidR="00500337" w14:paraId="29E28039"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70312CE3" w14:textId="77777777" w:rsidR="00500337" w:rsidRDefault="00500337" w:rsidP="00500337">
            <w:pPr>
              <w:ind w:left="0" w:right="0"/>
            </w:pPr>
            <w:r>
              <w:t>Description</w:t>
            </w:r>
          </w:p>
        </w:tc>
        <w:tc>
          <w:tcPr>
            <w:tcW w:w="4360" w:type="dxa"/>
          </w:tcPr>
          <w:p w14:paraId="2993E5C5" w14:textId="77777777" w:rsidR="00500337" w:rsidRDefault="00500337" w:rsidP="00500337">
            <w:pPr>
              <w:ind w:left="0" w:right="0"/>
            </w:pPr>
            <w:r>
              <w:t>Date</w:t>
            </w:r>
          </w:p>
        </w:tc>
      </w:tr>
      <w:tr w:rsidR="00500337" w14:paraId="45BFA1E9" w14:textId="77777777" w:rsidTr="00500337">
        <w:tc>
          <w:tcPr>
            <w:tcW w:w="4360" w:type="dxa"/>
          </w:tcPr>
          <w:p w14:paraId="715DD363" w14:textId="77777777" w:rsidR="00500337" w:rsidRDefault="00500337" w:rsidP="00500337">
            <w:pPr>
              <w:ind w:left="0" w:right="0"/>
            </w:pPr>
            <w:r>
              <w:t>Submission dossier accepted and first round evaluation commenced</w:t>
            </w:r>
          </w:p>
        </w:tc>
        <w:tc>
          <w:tcPr>
            <w:tcW w:w="4360" w:type="dxa"/>
          </w:tcPr>
          <w:p w14:paraId="37835E26" w14:textId="77777777" w:rsidR="00500337" w:rsidRDefault="004903E4" w:rsidP="00500337">
            <w:pPr>
              <w:ind w:left="0" w:right="0"/>
            </w:pPr>
            <w:r>
              <w:t>1 June 2017</w:t>
            </w:r>
          </w:p>
        </w:tc>
      </w:tr>
      <w:tr w:rsidR="00500337" w14:paraId="6819D13D" w14:textId="77777777" w:rsidTr="00500337">
        <w:tc>
          <w:tcPr>
            <w:tcW w:w="4360" w:type="dxa"/>
          </w:tcPr>
          <w:p w14:paraId="63B333C5" w14:textId="77777777" w:rsidR="00500337" w:rsidRDefault="00500337" w:rsidP="00500337">
            <w:pPr>
              <w:ind w:left="0" w:right="0"/>
            </w:pPr>
            <w:r>
              <w:t>First round evaluation completed</w:t>
            </w:r>
          </w:p>
        </w:tc>
        <w:tc>
          <w:tcPr>
            <w:tcW w:w="4360" w:type="dxa"/>
          </w:tcPr>
          <w:p w14:paraId="6CD5FB62" w14:textId="77777777" w:rsidR="00500337" w:rsidRDefault="004903E4" w:rsidP="00500337">
            <w:pPr>
              <w:ind w:left="0" w:right="0"/>
            </w:pPr>
            <w:r>
              <w:t>21 November 2017</w:t>
            </w:r>
          </w:p>
        </w:tc>
      </w:tr>
      <w:tr w:rsidR="00500337" w14:paraId="6821A4B4" w14:textId="77777777" w:rsidTr="00500337">
        <w:tc>
          <w:tcPr>
            <w:tcW w:w="4360" w:type="dxa"/>
          </w:tcPr>
          <w:p w14:paraId="417D0E11" w14:textId="77777777" w:rsidR="00500337" w:rsidRDefault="00500337" w:rsidP="00500337">
            <w:pPr>
              <w:ind w:left="0" w:right="0"/>
            </w:pPr>
            <w:r>
              <w:t>Sponsor provides responses on questions raised in first round evaluation</w:t>
            </w:r>
          </w:p>
        </w:tc>
        <w:tc>
          <w:tcPr>
            <w:tcW w:w="4360" w:type="dxa"/>
          </w:tcPr>
          <w:p w14:paraId="75917425" w14:textId="77777777" w:rsidR="00500337" w:rsidRDefault="004903E4" w:rsidP="00500337">
            <w:pPr>
              <w:ind w:left="0" w:right="0"/>
            </w:pPr>
            <w:r>
              <w:t>19 January 2018</w:t>
            </w:r>
          </w:p>
        </w:tc>
      </w:tr>
      <w:tr w:rsidR="00500337" w14:paraId="3DCE3E1C" w14:textId="77777777" w:rsidTr="00500337">
        <w:tc>
          <w:tcPr>
            <w:tcW w:w="4360" w:type="dxa"/>
          </w:tcPr>
          <w:p w14:paraId="6DB87191" w14:textId="77777777" w:rsidR="00500337" w:rsidRDefault="00500337" w:rsidP="00500337">
            <w:pPr>
              <w:ind w:left="0" w:right="0"/>
            </w:pPr>
            <w:r>
              <w:t>Second round evaluation completed</w:t>
            </w:r>
          </w:p>
        </w:tc>
        <w:tc>
          <w:tcPr>
            <w:tcW w:w="4360" w:type="dxa"/>
          </w:tcPr>
          <w:p w14:paraId="57E9C242" w14:textId="77777777" w:rsidR="00500337" w:rsidRDefault="004903E4" w:rsidP="00500337">
            <w:pPr>
              <w:ind w:left="0" w:right="0"/>
            </w:pPr>
            <w:r>
              <w:t>9 February 2018</w:t>
            </w:r>
          </w:p>
        </w:tc>
      </w:tr>
      <w:tr w:rsidR="00500337" w14:paraId="091CEBB8" w14:textId="77777777" w:rsidTr="00500337">
        <w:tc>
          <w:tcPr>
            <w:tcW w:w="4360" w:type="dxa"/>
          </w:tcPr>
          <w:p w14:paraId="2C3193BC" w14:textId="77777777" w:rsidR="00500337" w:rsidRDefault="00500337" w:rsidP="00500337">
            <w:pPr>
              <w:ind w:left="0" w:right="0"/>
            </w:pPr>
            <w:r>
              <w:t>Delegate’s Overall benefit-risk assessment and request for Advisory Committee advice</w:t>
            </w:r>
          </w:p>
        </w:tc>
        <w:tc>
          <w:tcPr>
            <w:tcW w:w="4360" w:type="dxa"/>
          </w:tcPr>
          <w:p w14:paraId="04FD6BCB" w14:textId="77777777" w:rsidR="00500337" w:rsidRDefault="001C7254" w:rsidP="00500337">
            <w:pPr>
              <w:ind w:left="0" w:right="0"/>
            </w:pPr>
            <w:r>
              <w:t>23 February 2018</w:t>
            </w:r>
          </w:p>
        </w:tc>
      </w:tr>
      <w:tr w:rsidR="00500337" w14:paraId="30B458A2" w14:textId="77777777" w:rsidTr="00500337">
        <w:tc>
          <w:tcPr>
            <w:tcW w:w="4360" w:type="dxa"/>
          </w:tcPr>
          <w:p w14:paraId="358BA253" w14:textId="77777777" w:rsidR="00500337" w:rsidRDefault="00500337" w:rsidP="00500337">
            <w:pPr>
              <w:ind w:left="0" w:right="0"/>
            </w:pPr>
            <w:r>
              <w:t>Sponsor’s pre-Advisory Committee response</w:t>
            </w:r>
          </w:p>
        </w:tc>
        <w:tc>
          <w:tcPr>
            <w:tcW w:w="4360" w:type="dxa"/>
          </w:tcPr>
          <w:p w14:paraId="48DF11A2" w14:textId="77777777" w:rsidR="00500337" w:rsidRDefault="001C7254" w:rsidP="00500337">
            <w:pPr>
              <w:ind w:left="0" w:right="0"/>
            </w:pPr>
            <w:r>
              <w:t>13 March 2018</w:t>
            </w:r>
          </w:p>
        </w:tc>
      </w:tr>
      <w:tr w:rsidR="00500337" w14:paraId="5CCDC5A9" w14:textId="77777777" w:rsidTr="00500337">
        <w:tc>
          <w:tcPr>
            <w:tcW w:w="4360" w:type="dxa"/>
          </w:tcPr>
          <w:p w14:paraId="11B8FE18" w14:textId="77777777" w:rsidR="00500337" w:rsidRDefault="00500337" w:rsidP="00500337">
            <w:pPr>
              <w:ind w:left="0" w:right="0"/>
            </w:pPr>
            <w:r>
              <w:lastRenderedPageBreak/>
              <w:t>Advisory Committee meeting</w:t>
            </w:r>
          </w:p>
        </w:tc>
        <w:tc>
          <w:tcPr>
            <w:tcW w:w="4360" w:type="dxa"/>
          </w:tcPr>
          <w:p w14:paraId="00F89DE3" w14:textId="77777777" w:rsidR="00500337" w:rsidRDefault="001C7254" w:rsidP="00500337">
            <w:pPr>
              <w:ind w:left="0" w:right="0"/>
            </w:pPr>
            <w:r>
              <w:t>6 April 2018</w:t>
            </w:r>
          </w:p>
        </w:tc>
      </w:tr>
      <w:tr w:rsidR="00500337" w14:paraId="0910D14C" w14:textId="77777777" w:rsidTr="00500337">
        <w:tc>
          <w:tcPr>
            <w:tcW w:w="4360" w:type="dxa"/>
          </w:tcPr>
          <w:p w14:paraId="5D24C713" w14:textId="77777777" w:rsidR="00500337" w:rsidRDefault="00500337" w:rsidP="00500337">
            <w:pPr>
              <w:ind w:left="0" w:right="0"/>
            </w:pPr>
            <w:r>
              <w:t>Registration decision (Outcome)</w:t>
            </w:r>
          </w:p>
        </w:tc>
        <w:tc>
          <w:tcPr>
            <w:tcW w:w="4360" w:type="dxa"/>
          </w:tcPr>
          <w:p w14:paraId="66F611AC" w14:textId="77777777" w:rsidR="00500337" w:rsidRDefault="000D10FE" w:rsidP="00500337">
            <w:pPr>
              <w:ind w:left="0" w:right="0"/>
            </w:pPr>
            <w:r>
              <w:t>11 May 2018</w:t>
            </w:r>
          </w:p>
        </w:tc>
      </w:tr>
      <w:tr w:rsidR="00500337" w14:paraId="721FB0F7" w14:textId="77777777" w:rsidTr="00500337">
        <w:tc>
          <w:tcPr>
            <w:tcW w:w="4360" w:type="dxa"/>
          </w:tcPr>
          <w:p w14:paraId="653A13F8" w14:textId="77777777" w:rsidR="00500337" w:rsidRDefault="00500337" w:rsidP="00500337">
            <w:pPr>
              <w:ind w:left="0" w:right="0"/>
            </w:pPr>
            <w:r>
              <w:t>Completion of administrative activities and registration on ARTG</w:t>
            </w:r>
          </w:p>
        </w:tc>
        <w:tc>
          <w:tcPr>
            <w:tcW w:w="4360" w:type="dxa"/>
          </w:tcPr>
          <w:p w14:paraId="001CF640" w14:textId="77777777" w:rsidR="00500337" w:rsidRDefault="000D10FE" w:rsidP="00500337">
            <w:pPr>
              <w:ind w:left="0" w:right="0"/>
            </w:pPr>
            <w:r>
              <w:t>17 May 2018</w:t>
            </w:r>
          </w:p>
        </w:tc>
      </w:tr>
      <w:tr w:rsidR="00500337" w14:paraId="02DD34B6" w14:textId="77777777" w:rsidTr="00500337">
        <w:tc>
          <w:tcPr>
            <w:tcW w:w="4360" w:type="dxa"/>
          </w:tcPr>
          <w:p w14:paraId="44D4EB05" w14:textId="77777777" w:rsidR="00500337" w:rsidRDefault="00500337" w:rsidP="00500337">
            <w:pPr>
              <w:ind w:left="0" w:right="0"/>
            </w:pPr>
            <w:r>
              <w:t>Number of working days from submission dossier acceptance to registration decision*</w:t>
            </w:r>
          </w:p>
        </w:tc>
        <w:tc>
          <w:tcPr>
            <w:tcW w:w="4360" w:type="dxa"/>
          </w:tcPr>
          <w:p w14:paraId="3748E746" w14:textId="77777777" w:rsidR="00500337" w:rsidRDefault="004903E4" w:rsidP="00500337">
            <w:pPr>
              <w:ind w:left="0" w:right="0"/>
            </w:pPr>
            <w:r>
              <w:t>195</w:t>
            </w:r>
          </w:p>
        </w:tc>
      </w:tr>
    </w:tbl>
    <w:p w14:paraId="7B3BDA25"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22CA7D8" w14:textId="77777777" w:rsidR="00500337" w:rsidRDefault="00500337" w:rsidP="00500337">
      <w:r>
        <w:t xml:space="preserve">Evaluations included </w:t>
      </w:r>
      <w:r w:rsidR="00A953B4">
        <w:t xml:space="preserve">under quality findings and nonclinical </w:t>
      </w:r>
      <w:r>
        <w:t>findings incorporate both the first and second round evaluations.</w:t>
      </w:r>
    </w:p>
    <w:p w14:paraId="462FD153" w14:textId="77777777" w:rsidR="008E7846" w:rsidRPr="003602A9" w:rsidRDefault="00500337" w:rsidP="008E7846">
      <w:pPr>
        <w:pStyle w:val="Heading2"/>
        <w:ind w:left="-11"/>
      </w:pPr>
      <w:bookmarkStart w:id="27" w:name="_Toc16505587"/>
      <w:r>
        <w:t>I</w:t>
      </w:r>
      <w:r w:rsidR="008E7846">
        <w:t>II. Quality</w:t>
      </w:r>
      <w:bookmarkEnd w:id="1"/>
      <w:r w:rsidR="008E7846">
        <w:t xml:space="preserve"> findings</w:t>
      </w:r>
      <w:bookmarkEnd w:id="23"/>
      <w:bookmarkEnd w:id="24"/>
      <w:bookmarkEnd w:id="27"/>
    </w:p>
    <w:p w14:paraId="337E3E69" w14:textId="77777777" w:rsidR="00257265" w:rsidRDefault="00257265" w:rsidP="00E70577">
      <w:pPr>
        <w:pStyle w:val="Heading3"/>
      </w:pPr>
      <w:bookmarkStart w:id="28" w:name="_Toc247691507"/>
      <w:bookmarkStart w:id="29" w:name="_Toc314842488"/>
      <w:bookmarkStart w:id="30" w:name="_Toc16505588"/>
      <w:r w:rsidRPr="008751DC">
        <w:t xml:space="preserve">Drug </w:t>
      </w:r>
      <w:r>
        <w:t>s</w:t>
      </w:r>
      <w:r w:rsidRPr="008751DC">
        <w:t>ubstance</w:t>
      </w:r>
      <w:r>
        <w:t xml:space="preserve"> (active ingredient)</w:t>
      </w:r>
      <w:bookmarkEnd w:id="30"/>
    </w:p>
    <w:p w14:paraId="0D2D1325" w14:textId="0E69E5C4" w:rsidR="006779D9" w:rsidRPr="006779D9" w:rsidRDefault="006779D9" w:rsidP="006779D9">
      <w:r w:rsidRPr="005136CB">
        <w:t>The manufacture of inotuzumab ozogamicin begins with the reaction of 2 drug substance intermediates: inotuzumab and activ</w:t>
      </w:r>
      <w:r>
        <w:t xml:space="preserve">ated calicheamicin derivative. </w:t>
      </w:r>
      <w:r w:rsidRPr="005136CB">
        <w:t xml:space="preserve">Activated calicheamicin derivative is prepared </w:t>
      </w:r>
      <w:r w:rsidRPr="007A3382">
        <w:t xml:space="preserve">from </w:t>
      </w:r>
      <w:r w:rsidRPr="004C4261">
        <w:t>N</w:t>
      </w:r>
      <w:r w:rsidRPr="007A3382">
        <w:noBreakHyphen/>
      </w:r>
      <w:r w:rsidRPr="005136CB">
        <w:t>acetyl</w:t>
      </w:r>
      <w:r w:rsidR="00742769">
        <w:t xml:space="preserve"> </w:t>
      </w:r>
      <w:r w:rsidRPr="005136CB">
        <w:t>calicheamicin and an activated linker, and is produced by microbial fermentation follo</w:t>
      </w:r>
      <w:r>
        <w:t>wed by synthetic modification.</w:t>
      </w:r>
    </w:p>
    <w:p w14:paraId="1544337B" w14:textId="77777777" w:rsidR="00257265" w:rsidRPr="00257265" w:rsidRDefault="00257265" w:rsidP="006779D9">
      <w:pPr>
        <w:pStyle w:val="Heading4"/>
        <w:rPr>
          <w:lang w:val="en-GB"/>
        </w:rPr>
      </w:pPr>
      <w:r w:rsidRPr="00227F36">
        <w:rPr>
          <w:lang w:val="en-GB"/>
        </w:rPr>
        <w:t>Inotuzumab</w:t>
      </w:r>
    </w:p>
    <w:p w14:paraId="7477C2A2" w14:textId="6A4DB280" w:rsidR="00257265" w:rsidRPr="00257265" w:rsidRDefault="006779D9" w:rsidP="00257265">
      <w:pPr>
        <w:rPr>
          <w:lang w:val="en-GB"/>
        </w:rPr>
      </w:pPr>
      <w:r w:rsidRPr="000E5B21">
        <w:t>Inotuzumab is a recombinant humanised monoclonal antibody (hinge-mutated immunoglobulin gamma-4 with kappa light chains, IgG4</w:t>
      </w:r>
      <w:r w:rsidRPr="000E5B21">
        <w:rPr>
          <w:rFonts w:hint="eastAsia"/>
        </w:rPr>
        <w:t>ĸ</w:t>
      </w:r>
      <w:r w:rsidRPr="000E5B21">
        <w:t>), specific for human antigen CD22, and is produced by mammalian (Chinese hamster ovary) cells</w:t>
      </w:r>
      <w:r w:rsidR="00742769">
        <w:t>.</w:t>
      </w:r>
      <w:r w:rsidR="000E5B21" w:rsidRPr="000E5B21">
        <w:t xml:space="preserve"> </w:t>
      </w:r>
      <w:r w:rsidR="004B6545">
        <w:t xml:space="preserve"> </w:t>
      </w:r>
      <w:r w:rsidR="000E5B21" w:rsidRPr="000E5B21">
        <w:rPr>
          <w:lang w:val="en-GB"/>
        </w:rPr>
        <w:t>The</w:t>
      </w:r>
      <w:r w:rsidRPr="000E5B21">
        <w:rPr>
          <w:lang w:val="en-GB"/>
        </w:rPr>
        <w:t xml:space="preserve"> two identical</w:t>
      </w:r>
      <w:r>
        <w:rPr>
          <w:lang w:val="en-GB"/>
        </w:rPr>
        <w:t xml:space="preserve"> heavy</w:t>
      </w:r>
      <w:r w:rsidR="00257265" w:rsidRPr="00227F36">
        <w:rPr>
          <w:lang w:val="en-GB"/>
        </w:rPr>
        <w:t xml:space="preserve"> chains and two identical light </w:t>
      </w:r>
      <w:proofErr w:type="gramStart"/>
      <w:r w:rsidR="00257265" w:rsidRPr="00227F36">
        <w:rPr>
          <w:lang w:val="en-GB"/>
        </w:rPr>
        <w:t>chains,</w:t>
      </w:r>
      <w:proofErr w:type="gramEnd"/>
      <w:r w:rsidR="00257265" w:rsidRPr="00227F36">
        <w:rPr>
          <w:lang w:val="en-GB"/>
        </w:rPr>
        <w:t xml:space="preserve"> </w:t>
      </w:r>
      <w:r w:rsidR="000E5B21">
        <w:rPr>
          <w:lang w:val="en-GB"/>
        </w:rPr>
        <w:t xml:space="preserve">are </w:t>
      </w:r>
      <w:r w:rsidR="00257265" w:rsidRPr="00227F36">
        <w:rPr>
          <w:lang w:val="en-GB"/>
        </w:rPr>
        <w:t xml:space="preserve">covalently linked with four inter-chain disulphide bonds. The complete, confirmed amino acid sequence of inotuzumab </w:t>
      </w:r>
      <w:r>
        <w:rPr>
          <w:lang w:val="en-GB"/>
        </w:rPr>
        <w:t>was provided</w:t>
      </w:r>
      <w:r w:rsidR="00257265" w:rsidRPr="00227F36">
        <w:rPr>
          <w:lang w:val="en-GB"/>
        </w:rPr>
        <w:t>.</w:t>
      </w:r>
    </w:p>
    <w:p w14:paraId="3172AF99" w14:textId="77777777" w:rsidR="00257265" w:rsidRDefault="006779D9" w:rsidP="006779D9">
      <w:pPr>
        <w:pStyle w:val="Heading4"/>
        <w:rPr>
          <w:lang w:val="en-GB"/>
        </w:rPr>
      </w:pPr>
      <w:r w:rsidRPr="00EC6187">
        <w:t>Activated calicheamicin derivative</w:t>
      </w:r>
    </w:p>
    <w:p w14:paraId="17C7460B" w14:textId="77777777" w:rsidR="006779D9" w:rsidRPr="003D7D6C" w:rsidRDefault="006779D9" w:rsidP="006779D9">
      <w:pPr>
        <w:pStyle w:val="Heading5"/>
      </w:pPr>
      <w:r w:rsidRPr="003D7D6C">
        <w:t>N-acetyl (N-Ac)-</w:t>
      </w:r>
      <w:r w:rsidRPr="003D7D6C">
        <w:rPr>
          <w:rFonts w:hint="eastAsia"/>
        </w:rPr>
        <w:t>γ</w:t>
      </w:r>
      <w:r w:rsidRPr="003D7D6C">
        <w:t>-</w:t>
      </w:r>
      <w:proofErr w:type="spellStart"/>
      <w:r w:rsidRPr="003D7D6C">
        <w:t>calicheamicin</w:t>
      </w:r>
      <w:proofErr w:type="spellEnd"/>
      <w:r w:rsidRPr="003D7D6C">
        <w:t xml:space="preserve"> </w:t>
      </w:r>
      <w:proofErr w:type="spellStart"/>
      <w:r w:rsidRPr="003D7D6C">
        <w:t>dimethylhydrazone</w:t>
      </w:r>
      <w:proofErr w:type="spellEnd"/>
    </w:p>
    <w:p w14:paraId="52D6D615" w14:textId="77777777" w:rsidR="006779D9" w:rsidRPr="008945D1" w:rsidRDefault="006779D9" w:rsidP="006779D9">
      <w:r w:rsidRPr="008945D1">
        <w:t>Calicheamicin is a cytotoxic anti</w:t>
      </w:r>
      <w:r>
        <w:t>-</w:t>
      </w:r>
      <w:r w:rsidRPr="008945D1">
        <w:t xml:space="preserve">tumour antibiotic isolated from the bacterium </w:t>
      </w:r>
      <w:proofErr w:type="spellStart"/>
      <w:r w:rsidRPr="008945D1">
        <w:rPr>
          <w:i/>
        </w:rPr>
        <w:t>Micromonospora</w:t>
      </w:r>
      <w:proofErr w:type="spellEnd"/>
      <w:r w:rsidRPr="008945D1">
        <w:rPr>
          <w:i/>
        </w:rPr>
        <w:t xml:space="preserve"> </w:t>
      </w:r>
      <w:proofErr w:type="spellStart"/>
      <w:r w:rsidRPr="008945D1">
        <w:rPr>
          <w:i/>
        </w:rPr>
        <w:t>echinospora</w:t>
      </w:r>
      <w:proofErr w:type="spellEnd"/>
      <w:r w:rsidRPr="008945D1">
        <w:rPr>
          <w:i/>
        </w:rPr>
        <w:t xml:space="preserve"> </w:t>
      </w:r>
      <w:proofErr w:type="spellStart"/>
      <w:r w:rsidRPr="008945D1">
        <w:t>ssp</w:t>
      </w:r>
      <w:proofErr w:type="spellEnd"/>
      <w:r w:rsidRPr="008945D1">
        <w:rPr>
          <w:i/>
        </w:rPr>
        <w:t xml:space="preserve"> </w:t>
      </w:r>
      <w:proofErr w:type="spellStart"/>
      <w:r w:rsidRPr="008945D1">
        <w:rPr>
          <w:i/>
        </w:rPr>
        <w:t>calichensis</w:t>
      </w:r>
      <w:proofErr w:type="spellEnd"/>
      <w:r w:rsidRPr="008945D1">
        <w:t>.</w:t>
      </w:r>
      <w:r>
        <w:t xml:space="preserve"> </w:t>
      </w:r>
      <w:r w:rsidRPr="008945D1">
        <w:t xml:space="preserve">Calicheamicin has an unusual, complex, cyclic </w:t>
      </w:r>
      <w:proofErr w:type="spellStart"/>
      <w:r w:rsidRPr="008945D1">
        <w:t>enediyne</w:t>
      </w:r>
      <w:proofErr w:type="spellEnd"/>
      <w:r w:rsidRPr="008945D1">
        <w:t xml:space="preserve"> with </w:t>
      </w:r>
      <w:proofErr w:type="spellStart"/>
      <w:r w:rsidRPr="008945D1">
        <w:t>methytrisulfide</w:t>
      </w:r>
      <w:proofErr w:type="spellEnd"/>
      <w:r w:rsidRPr="008945D1">
        <w:t xml:space="preserve"> an</w:t>
      </w:r>
      <w:r>
        <w:t xml:space="preserve">d </w:t>
      </w:r>
      <w:proofErr w:type="spellStart"/>
      <w:r>
        <w:t>arylglycoside</w:t>
      </w:r>
      <w:proofErr w:type="spellEnd"/>
      <w:r>
        <w:t xml:space="preserve"> functionality.</w:t>
      </w:r>
    </w:p>
    <w:p w14:paraId="785B7A9F" w14:textId="56ED4369" w:rsidR="00E661C1" w:rsidRPr="008945D1" w:rsidRDefault="00E661C1" w:rsidP="006779D9">
      <w:r w:rsidRPr="008945D1">
        <w:t xml:space="preserve">Calicheamicin is converted to a derivative and linked to a monoclonal antibody by </w:t>
      </w:r>
      <w:r>
        <w:t>a disulfide link.</w:t>
      </w:r>
    </w:p>
    <w:p w14:paraId="138A312F" w14:textId="56379B17" w:rsidR="00257265" w:rsidRPr="008945D1" w:rsidRDefault="00257265" w:rsidP="00257265">
      <w:r w:rsidRPr="008945D1">
        <w:t>The calicheamicin is bound to the antibody via a linker</w:t>
      </w:r>
      <w:r>
        <w:t xml:space="preserve"> that</w:t>
      </w:r>
      <w:r w:rsidRPr="008945D1">
        <w:t xml:space="preserve"> forms an amide bond with the antibody and a disulfide bond with the calicheamicin. The linker also conta</w:t>
      </w:r>
      <w:r w:rsidRPr="005136CB">
        <w:t>ins an internal hydrazone bond</w:t>
      </w:r>
      <w:r>
        <w:t xml:space="preserve"> that </w:t>
      </w:r>
      <w:r w:rsidRPr="008945D1">
        <w:t>is acid-labile.</w:t>
      </w:r>
      <w:r w:rsidR="006779D9">
        <w:t xml:space="preserve"> </w:t>
      </w:r>
      <w:r w:rsidRPr="008945D1">
        <w:t xml:space="preserve">After hydrolysis, the antibody is left with a small amide residue </w:t>
      </w:r>
      <w:r w:rsidR="00503681">
        <w:t>(</w:t>
      </w:r>
      <w:r w:rsidRPr="008945D1">
        <w:t>4-(4-acetylphenoxy)-b</w:t>
      </w:r>
      <w:r w:rsidR="006779D9">
        <w:t>utyrate</w:t>
      </w:r>
      <w:r w:rsidR="00503681">
        <w:t>)</w:t>
      </w:r>
      <w:r w:rsidR="006779D9">
        <w:t xml:space="preserve"> on the linked lysine.</w:t>
      </w:r>
    </w:p>
    <w:p w14:paraId="378D9956" w14:textId="601FAD04" w:rsidR="001966F7" w:rsidRPr="00257265" w:rsidRDefault="00257265" w:rsidP="001966F7">
      <w:r w:rsidRPr="008945D1">
        <w:t>Calicheamicin is converted to a mono-</w:t>
      </w:r>
      <w:r w:rsidRPr="008945D1">
        <w:rPr>
          <w:i/>
        </w:rPr>
        <w:t>N</w:t>
      </w:r>
      <w:r w:rsidRPr="008945D1">
        <w:t xml:space="preserve">-acetyl derivative and linked to a monoclonal antibody by conversion of the reactive </w:t>
      </w:r>
      <w:proofErr w:type="spellStart"/>
      <w:r w:rsidRPr="008945D1">
        <w:t>trisulfide</w:t>
      </w:r>
      <w:proofErr w:type="spellEnd"/>
      <w:r w:rsidRPr="008945D1">
        <w:t xml:space="preserve"> into a </w:t>
      </w:r>
      <w:proofErr w:type="spellStart"/>
      <w:r w:rsidRPr="008945D1">
        <w:t>disulfide</w:t>
      </w:r>
      <w:proofErr w:type="spellEnd"/>
      <w:r w:rsidRPr="008945D1">
        <w:t xml:space="preserve"> link.</w:t>
      </w:r>
      <w:r w:rsidR="006779D9">
        <w:t xml:space="preserve"> </w:t>
      </w:r>
      <w:r w:rsidRPr="008945D1">
        <w:t>The activated calicheamicin derivative structure (</w:t>
      </w:r>
      <w:r w:rsidR="001F0DE2">
        <w:t>molecular weight of approximately d</w:t>
      </w:r>
      <w:r w:rsidRPr="008945D1">
        <w:t xml:space="preserve"> 1779.76 Da)</w:t>
      </w:r>
      <w:proofErr w:type="gramStart"/>
      <w:r w:rsidR="004C4261">
        <w:t>.</w:t>
      </w:r>
      <w:r w:rsidRPr="008945D1">
        <w:t>.</w:t>
      </w:r>
      <w:proofErr w:type="gramEnd"/>
    </w:p>
    <w:bookmarkEnd w:id="28"/>
    <w:bookmarkEnd w:id="29"/>
    <w:p w14:paraId="21C3C3B5" w14:textId="351B54AF" w:rsidR="001966F7" w:rsidRDefault="001966F7" w:rsidP="00940A89">
      <w:pPr>
        <w:rPr>
          <w:b/>
        </w:rPr>
      </w:pPr>
      <w:r w:rsidRPr="008945D1">
        <w:lastRenderedPageBreak/>
        <w:t>Inotuzumab ozogamicin is a CD22-targeted antibody-drug conjugate (ADC). The antibody is a humanised immunoglobulin G, subtype 4 (IgG4) antibody (hinge-mutated immunoglobulin gamma-4 with kappa light chains, IgG4</w:t>
      </w:r>
      <w:r w:rsidRPr="008945D1">
        <w:rPr>
          <w:rFonts w:hint="eastAsia"/>
        </w:rPr>
        <w:t>ĸ</w:t>
      </w:r>
      <w:r w:rsidRPr="008945D1">
        <w:t>), inotuzumab, which specifically recognises human CD22.</w:t>
      </w:r>
      <w:r w:rsidR="006779D9">
        <w:t xml:space="preserve"> </w:t>
      </w:r>
      <w:r w:rsidRPr="008945D1">
        <w:t xml:space="preserve">The small molecule, </w:t>
      </w:r>
      <w:r w:rsidRPr="008945D1">
        <w:rPr>
          <w:i/>
        </w:rPr>
        <w:t>N</w:t>
      </w:r>
      <w:r w:rsidRPr="008945D1">
        <w:t>-acetyl (</w:t>
      </w:r>
      <w:r w:rsidRPr="008945D1">
        <w:rPr>
          <w:i/>
        </w:rPr>
        <w:t>N</w:t>
      </w:r>
      <w:r w:rsidRPr="008945D1">
        <w:t>-Ac)-</w:t>
      </w:r>
      <w:r w:rsidR="00395C6E">
        <w:t>γ</w:t>
      </w:r>
      <w:r w:rsidRPr="008945D1">
        <w:t>-</w:t>
      </w:r>
      <w:proofErr w:type="spellStart"/>
      <w:r w:rsidRPr="008945D1">
        <w:t>calicheamicin</w:t>
      </w:r>
      <w:proofErr w:type="spellEnd"/>
      <w:r w:rsidRPr="008945D1">
        <w:t xml:space="preserve"> </w:t>
      </w:r>
      <w:proofErr w:type="spellStart"/>
      <w:r w:rsidRPr="008945D1">
        <w:t>dimethylhydrazide</w:t>
      </w:r>
      <w:proofErr w:type="spellEnd"/>
      <w:r w:rsidRPr="008945D1">
        <w:t xml:space="preserve"> (DMH), is a cytotoxic semisynthetic natural product that is significantly more potent than conventional cytotoxic chemotherapeutic agents. </w:t>
      </w:r>
      <w:r w:rsidRPr="008945D1">
        <w:rPr>
          <w:i/>
        </w:rPr>
        <w:t>N</w:t>
      </w:r>
      <w:r w:rsidRPr="008945D1">
        <w:t>-Ac-γ-calicheamicin DMH is covalently attached to the antibody via a linker.</w:t>
      </w:r>
    </w:p>
    <w:p w14:paraId="6E37C953" w14:textId="519683CC" w:rsidR="00503681" w:rsidRDefault="001966F7" w:rsidP="001966F7">
      <w:r w:rsidRPr="00524EAC">
        <w:t>Conjugation occurs when calicheamicin reacts with un</w:t>
      </w:r>
      <w:r w:rsidR="00A953B4">
        <w:t>-</w:t>
      </w:r>
      <w:r w:rsidRPr="00524EAC">
        <w:t>protonated, accessible amine groups on the protein to form stable amide bonds</w:t>
      </w:r>
      <w:r>
        <w:t>.</w:t>
      </w:r>
      <w:r w:rsidR="006779D9">
        <w:t xml:space="preserve"> </w:t>
      </w:r>
      <w:r w:rsidRPr="00524EAC">
        <w:t>Conjugation leads to the formation of some undesired aggregated protein</w:t>
      </w:r>
      <w:r>
        <w:t xml:space="preserve"> and</w:t>
      </w:r>
      <w:r w:rsidRPr="00524EAC">
        <w:t xml:space="preserve"> removed by </w:t>
      </w:r>
      <w:r w:rsidR="00BB4E0B">
        <w:t>HIC</w:t>
      </w:r>
      <w:r w:rsidRPr="00524EAC">
        <w:t xml:space="preserve"> chromatography</w:t>
      </w:r>
      <w:r>
        <w:t xml:space="preserve"> </w:t>
      </w:r>
      <w:r w:rsidR="00BB4E0B">
        <w:t>followed by ultrafiltration</w:t>
      </w:r>
      <w:r w:rsidR="00503681">
        <w:t>.</w:t>
      </w:r>
    </w:p>
    <w:p w14:paraId="6D3360EF" w14:textId="31919AB6" w:rsidR="006779D9" w:rsidRDefault="001966F7" w:rsidP="006779D9">
      <w:pPr>
        <w:pStyle w:val="Heading4"/>
      </w:pPr>
      <w:r w:rsidRPr="00227F36">
        <w:rPr>
          <w:lang w:val="en-GB"/>
        </w:rPr>
        <w:t xml:space="preserve">Drug </w:t>
      </w:r>
      <w:r w:rsidR="001F0DE2">
        <w:rPr>
          <w:lang w:val="en-GB"/>
        </w:rPr>
        <w:t>s</w:t>
      </w:r>
      <w:r w:rsidRPr="00227F36">
        <w:rPr>
          <w:lang w:val="en-GB"/>
        </w:rPr>
        <w:t>ubstance</w:t>
      </w:r>
      <w:r w:rsidR="001F0DE2">
        <w:rPr>
          <w:lang w:val="en-GB"/>
        </w:rPr>
        <w:t xml:space="preserve"> (i</w:t>
      </w:r>
      <w:r w:rsidRPr="00227F36">
        <w:rPr>
          <w:lang w:val="en-GB"/>
        </w:rPr>
        <w:t xml:space="preserve">notuzumab </w:t>
      </w:r>
      <w:r w:rsidR="006779D9" w:rsidRPr="005136CB">
        <w:t>ozogamicin</w:t>
      </w:r>
      <w:r w:rsidR="001F0DE2">
        <w:t>)</w:t>
      </w:r>
    </w:p>
    <w:p w14:paraId="671AA915" w14:textId="77777777" w:rsidR="006779D9" w:rsidRPr="005136CB" w:rsidRDefault="006779D9" w:rsidP="006779D9">
      <w:r w:rsidRPr="005136CB">
        <w:t xml:space="preserve">Synthesis of the drug substance </w:t>
      </w:r>
      <w:r w:rsidR="00A953B4">
        <w:t xml:space="preserve">(active pharmaceutical ingredient (API)) </w:t>
      </w:r>
      <w:r w:rsidRPr="005136CB">
        <w:t>inotuzumab ozogamicin involves:</w:t>
      </w:r>
    </w:p>
    <w:p w14:paraId="04D57901" w14:textId="4895C056" w:rsidR="006779D9" w:rsidRPr="00A953B4" w:rsidRDefault="006779D9" w:rsidP="00A953B4">
      <w:pPr>
        <w:pStyle w:val="ListBullet"/>
      </w:pPr>
      <w:r w:rsidRPr="00A953B4">
        <w:t>γ-</w:t>
      </w:r>
      <w:r w:rsidR="001F0DE2">
        <w:t>c</w:t>
      </w:r>
      <w:r w:rsidRPr="00A953B4">
        <w:t>alicheamicin is made by fermentation, isolated and converted to N</w:t>
      </w:r>
      <w:r w:rsidR="001F0DE2">
        <w:noBreakHyphen/>
      </w:r>
      <w:r w:rsidRPr="00A953B4">
        <w:t>acetyl</w:t>
      </w:r>
      <w:r w:rsidR="001F0DE2">
        <w:t> </w:t>
      </w:r>
      <w:r w:rsidRPr="00A953B4">
        <w:t>calicheamicin</w:t>
      </w:r>
      <w:r w:rsidR="001F0DE2">
        <w:t>;</w:t>
      </w:r>
    </w:p>
    <w:p w14:paraId="0C8FBDD5" w14:textId="6D70E797" w:rsidR="006779D9" w:rsidRPr="00A953B4" w:rsidRDefault="006779D9" w:rsidP="00A953B4">
      <w:pPr>
        <w:pStyle w:val="ListBullet"/>
      </w:pPr>
      <w:r w:rsidRPr="00A953B4">
        <w:t>N-acetyl calicheamicin is synthetically coupled to t activated (N-</w:t>
      </w:r>
      <w:proofErr w:type="spellStart"/>
      <w:r w:rsidRPr="00A953B4">
        <w:t>hydroxysuccinimide</w:t>
      </w:r>
      <w:proofErr w:type="spellEnd"/>
      <w:r w:rsidRPr="00A953B4">
        <w:t xml:space="preserve"> ester) linker</w:t>
      </w:r>
      <w:r w:rsidR="001F0DE2">
        <w:t>;</w:t>
      </w:r>
    </w:p>
    <w:p w14:paraId="01725D23" w14:textId="5D76A27A" w:rsidR="006779D9" w:rsidRPr="00A953B4" w:rsidRDefault="006779D9" w:rsidP="00A953B4">
      <w:pPr>
        <w:pStyle w:val="ListBullet"/>
      </w:pPr>
      <w:r w:rsidRPr="00A953B4">
        <w:t>(</w:t>
      </w:r>
      <w:r w:rsidR="001F0DE2">
        <w:t>m</w:t>
      </w:r>
      <w:r w:rsidRPr="00A953B4">
        <w:t>anufacture of the antibody is discussed separately</w:t>
      </w:r>
      <w:r w:rsidR="001F0DE2">
        <w:t>);</w:t>
      </w:r>
    </w:p>
    <w:p w14:paraId="1B6BC981" w14:textId="77777777" w:rsidR="006779D9" w:rsidRDefault="006779D9" w:rsidP="00A953B4">
      <w:pPr>
        <w:pStyle w:val="ListBullet"/>
        <w:rPr>
          <w:lang w:val="en-GB"/>
        </w:rPr>
      </w:pPr>
      <w:proofErr w:type="gramStart"/>
      <w:r w:rsidRPr="005136CB">
        <w:t>the</w:t>
      </w:r>
      <w:proofErr w:type="gramEnd"/>
      <w:r w:rsidRPr="005136CB">
        <w:t xml:space="preserve"> activated calicheamicin derivative is conjugated with the inotuzumab antibody to form the API inotuzumab ozogamicin</w:t>
      </w:r>
      <w:r w:rsidR="00A953B4">
        <w:t>.</w:t>
      </w:r>
    </w:p>
    <w:p w14:paraId="111E1FC7" w14:textId="2B440C92" w:rsidR="001966F7" w:rsidRPr="00395C6E" w:rsidRDefault="006779D9" w:rsidP="001966F7">
      <w:r w:rsidRPr="008945D1">
        <w:t>In the API, inotuzumab is covalently linked to a calicheamicin, a cytotoxic agent.</w:t>
      </w:r>
      <w:r>
        <w:t xml:space="preserve"> </w:t>
      </w:r>
      <w:r w:rsidRPr="008945D1">
        <w:t xml:space="preserve">The antibody is covalently bonded to </w:t>
      </w:r>
      <w:r w:rsidRPr="004C4261">
        <w:t>N</w:t>
      </w:r>
      <w:r w:rsidRPr="008945D1">
        <w:t xml:space="preserve">-acetyl-γ-calicheamicin dimethyl hydrazide </w:t>
      </w:r>
      <w:r w:rsidRPr="006779D9">
        <w:t>(</w:t>
      </w:r>
      <w:proofErr w:type="spellStart"/>
      <w:r w:rsidRPr="006779D9">
        <w:t>NAc</w:t>
      </w:r>
      <w:proofErr w:type="spellEnd"/>
      <w:r w:rsidRPr="006779D9">
        <w:noBreakHyphen/>
        <w:t>γ</w:t>
      </w:r>
      <w:r w:rsidRPr="006779D9">
        <w:noBreakHyphen/>
      </w:r>
      <w:proofErr w:type="spellStart"/>
      <w:r w:rsidRPr="006779D9">
        <w:t>calicheamicin</w:t>
      </w:r>
      <w:proofErr w:type="spellEnd"/>
      <w:r w:rsidRPr="006779D9">
        <w:t xml:space="preserve"> DMH). </w:t>
      </w:r>
      <w:r w:rsidRPr="008945D1">
        <w:t xml:space="preserve">The linker is a relatively complex chain attached </w:t>
      </w:r>
      <w:r w:rsidRPr="004C4261">
        <w:t>via</w:t>
      </w:r>
      <w:r w:rsidRPr="008945D1">
        <w:t xml:space="preserve"> a sterically stabilised disulfide to the calicheamicin residue (sterically stabilised through 2</w:t>
      </w:r>
      <w:r w:rsidR="001F0DE2">
        <w:t> </w:t>
      </w:r>
      <w:proofErr w:type="spellStart"/>
      <w:r w:rsidRPr="008945D1">
        <w:t>methyls</w:t>
      </w:r>
      <w:proofErr w:type="spellEnd"/>
      <w:r w:rsidRPr="008945D1">
        <w:t xml:space="preserve"> on the adjoining carbon), and </w:t>
      </w:r>
      <w:r w:rsidRPr="004C4261">
        <w:t>via</w:t>
      </w:r>
      <w:r w:rsidRPr="008945D1">
        <w:t xml:space="preserve"> an amide to </w:t>
      </w:r>
      <w:proofErr w:type="spellStart"/>
      <w:r w:rsidRPr="008945D1">
        <w:t>lysines</w:t>
      </w:r>
      <w:proofErr w:type="spellEnd"/>
      <w:r w:rsidRPr="008945D1">
        <w:t xml:space="preserve"> of the antibody.</w:t>
      </w:r>
      <w:r>
        <w:t xml:space="preserve"> </w:t>
      </w:r>
      <w:r w:rsidRPr="008945D1">
        <w:t>The linker includes a hydrazone residue.</w:t>
      </w:r>
      <w:r>
        <w:t xml:space="preserve"> </w:t>
      </w:r>
      <w:r w:rsidRPr="008945D1">
        <w:t xml:space="preserve">The hydrazone is hydrolysed in acidic conditions to </w:t>
      </w:r>
      <w:r w:rsidRPr="008945D1">
        <w:rPr>
          <w:i/>
        </w:rPr>
        <w:t>‘</w:t>
      </w:r>
      <w:proofErr w:type="spellStart"/>
      <w:r w:rsidRPr="008945D1">
        <w:rPr>
          <w:i/>
        </w:rPr>
        <w:t>calicheamicin</w:t>
      </w:r>
      <w:proofErr w:type="spellEnd"/>
      <w:r w:rsidRPr="008945D1">
        <w:rPr>
          <w:i/>
        </w:rPr>
        <w:t xml:space="preserve">’ </w:t>
      </w:r>
      <w:r w:rsidRPr="008945D1">
        <w:t xml:space="preserve">(actually </w:t>
      </w:r>
      <w:proofErr w:type="spellStart"/>
      <w:r w:rsidRPr="006779D9">
        <w:t>NAc</w:t>
      </w:r>
      <w:proofErr w:type="spellEnd"/>
      <w:r w:rsidRPr="006779D9">
        <w:noBreakHyphen/>
        <w:t>γ</w:t>
      </w:r>
      <w:r w:rsidRPr="006779D9">
        <w:noBreakHyphen/>
      </w:r>
      <w:proofErr w:type="spellStart"/>
      <w:r w:rsidRPr="006779D9">
        <w:t>calicheamicin</w:t>
      </w:r>
      <w:proofErr w:type="spellEnd"/>
      <w:r w:rsidRPr="006779D9">
        <w:t xml:space="preserve"> DMH</w:t>
      </w:r>
      <w:r w:rsidR="00395C6E">
        <w:t>).</w:t>
      </w:r>
    </w:p>
    <w:p w14:paraId="4BB5BFF7" w14:textId="77777777" w:rsidR="001966F7" w:rsidRPr="00227F36" w:rsidRDefault="001966F7" w:rsidP="001966F7">
      <w:pPr>
        <w:rPr>
          <w:lang w:val="en-GB"/>
        </w:rPr>
      </w:pPr>
      <w:r w:rsidRPr="00227F36">
        <w:rPr>
          <w:lang w:val="en-GB"/>
        </w:rPr>
        <w:t>The chemical structure of the drug substance inotuzumab ozogamicin is below. The average number of calicheamicin derivative molecules conjugated to each inotuzumab molecule is approximately 6</w:t>
      </w:r>
      <w:r>
        <w:rPr>
          <w:lang w:val="en-GB"/>
        </w:rPr>
        <w:t>,</w:t>
      </w:r>
      <w:r w:rsidRPr="00227F36">
        <w:rPr>
          <w:lang w:val="en-GB"/>
        </w:rPr>
        <w:t xml:space="preserve"> with a distribution from 2 to 8.</w:t>
      </w:r>
    </w:p>
    <w:p w14:paraId="16923E70" w14:textId="6CA3063E" w:rsidR="001966F7" w:rsidRDefault="001966F7" w:rsidP="001966F7">
      <w:pPr>
        <w:pStyle w:val="FigureTitle"/>
      </w:pPr>
      <w:r>
        <w:t xml:space="preserve">Figure </w:t>
      </w:r>
      <w:r w:rsidR="00843728">
        <w:t>1</w:t>
      </w:r>
      <w:r>
        <w:t xml:space="preserve">: </w:t>
      </w:r>
      <w:r w:rsidRPr="00227F36">
        <w:rPr>
          <w:lang w:val="en-GB"/>
        </w:rPr>
        <w:t xml:space="preserve">Inotuzumab </w:t>
      </w:r>
      <w:r w:rsidR="00843728">
        <w:rPr>
          <w:lang w:val="en-GB"/>
        </w:rPr>
        <w:t>o</w:t>
      </w:r>
      <w:r w:rsidRPr="00227F36">
        <w:rPr>
          <w:lang w:val="en-GB"/>
        </w:rPr>
        <w:t>zogamicin</w:t>
      </w:r>
    </w:p>
    <w:p w14:paraId="03720670" w14:textId="77777777" w:rsidR="001966F7" w:rsidRDefault="001966F7" w:rsidP="00940A89">
      <w:pPr>
        <w:rPr>
          <w:b/>
        </w:rPr>
      </w:pPr>
      <w:r w:rsidRPr="00227F36">
        <w:rPr>
          <w:noProof/>
          <w:lang w:eastAsia="en-AU"/>
        </w:rPr>
        <w:drawing>
          <wp:inline distT="0" distB="0" distL="0" distR="0" wp14:anchorId="2505782F" wp14:editId="29A47037">
            <wp:extent cx="5043949" cy="2563048"/>
            <wp:effectExtent l="0" t="0" r="4445" b="8890"/>
            <wp:docPr id="53" name="Picture 53" descr="Figure 1: Inotuzumab Ozogami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4567" cy="2563362"/>
                    </a:xfrm>
                    <a:prstGeom prst="rect">
                      <a:avLst/>
                    </a:prstGeom>
                    <a:noFill/>
                    <a:ln>
                      <a:noFill/>
                    </a:ln>
                  </pic:spPr>
                </pic:pic>
              </a:graphicData>
            </a:graphic>
          </wp:inline>
        </w:drawing>
      </w:r>
    </w:p>
    <w:p w14:paraId="486DAF8F" w14:textId="77777777" w:rsidR="001966F7" w:rsidRPr="00227F36" w:rsidRDefault="001966F7" w:rsidP="001966F7">
      <w:pPr>
        <w:rPr>
          <w:lang w:val="en-GB"/>
        </w:rPr>
      </w:pPr>
      <w:r w:rsidRPr="00227F36">
        <w:rPr>
          <w:lang w:val="en-GB"/>
        </w:rPr>
        <w:lastRenderedPageBreak/>
        <w:t xml:space="preserve">Inotuzumab ozogamicin consists of a recombinant, humanized, IgG4 antibody covalently bonded (conjugated) to a semi-synthetic derivative of calicheamicin. Inotuzumab ozogamicin is a conjugate of the two intermediates: inotuzumab (G544 antibody) and activated calicheamicin derivative. The antibody chosen for development of inotuzumab was selected to target CD22, which is expressed on B cells. Calicheamicin is a potent </w:t>
      </w:r>
      <w:proofErr w:type="spellStart"/>
      <w:r w:rsidRPr="00227F36">
        <w:rPr>
          <w:lang w:val="en-GB"/>
        </w:rPr>
        <w:t>cytotoxin</w:t>
      </w:r>
      <w:proofErr w:type="spellEnd"/>
      <w:r w:rsidRPr="00227F36">
        <w:rPr>
          <w:lang w:val="en-GB"/>
        </w:rPr>
        <w:t xml:space="preserve"> that once conjugated to the anti-CD22 monoclonal antibody allows target-directed therapy. The calicheamicin is bound to the antibody via a linker, which forms an amide bond with the antibody and forms a disulphide bond with the calicheamicin. The linker also contains an internal </w:t>
      </w:r>
      <w:proofErr w:type="spellStart"/>
      <w:r w:rsidRPr="00227F36">
        <w:rPr>
          <w:lang w:val="en-GB"/>
        </w:rPr>
        <w:t>hydrazone</w:t>
      </w:r>
      <w:proofErr w:type="spellEnd"/>
      <w:r w:rsidRPr="00227F36">
        <w:rPr>
          <w:lang w:val="en-GB"/>
        </w:rPr>
        <w:t xml:space="preserve"> bond, which is acid-labile.</w:t>
      </w:r>
    </w:p>
    <w:p w14:paraId="32F4D59F" w14:textId="77777777" w:rsidR="001966F7" w:rsidRPr="00774CDA" w:rsidRDefault="001966F7" w:rsidP="00940A89">
      <w:pPr>
        <w:rPr>
          <w:lang w:val="en-GB"/>
        </w:rPr>
      </w:pPr>
      <w:r w:rsidRPr="00227F36">
        <w:rPr>
          <w:lang w:val="en-GB"/>
        </w:rPr>
        <w:t xml:space="preserve">Upon binding to its target, the conjugate is internalized by endocytosis. Hydrolysis of the linker can occur in the acidic environment of lysosomes of the tumour cell. Following hydrolytic cleavage of the linker, the calicheamicin acts as a DNA </w:t>
      </w:r>
      <w:r w:rsidR="00E40E8D">
        <w:rPr>
          <w:lang w:val="en-GB"/>
        </w:rPr>
        <w:t xml:space="preserve">minor groove </w:t>
      </w:r>
      <w:r w:rsidRPr="00E40E8D">
        <w:rPr>
          <w:lang w:val="en-GB"/>
        </w:rPr>
        <w:t>binding</w:t>
      </w:r>
      <w:r w:rsidRPr="00227F36">
        <w:rPr>
          <w:lang w:val="en-GB"/>
        </w:rPr>
        <w:t xml:space="preserve"> </w:t>
      </w:r>
      <w:proofErr w:type="spellStart"/>
      <w:r w:rsidRPr="00227F36">
        <w:rPr>
          <w:lang w:val="en-GB"/>
        </w:rPr>
        <w:t>cytotoxin</w:t>
      </w:r>
      <w:proofErr w:type="spellEnd"/>
      <w:r w:rsidRPr="00227F36">
        <w:rPr>
          <w:lang w:val="en-GB"/>
        </w:rPr>
        <w:t xml:space="preserve"> which causes cell death by inducing double strand DNA breaks. The structure of the linker was designed to achieve the best balance between release in the tumour cell and stability in circulation, thereby enhancing toxicity to tumour cells while minimizing exposure of unconjugated calicheamicin in circulation.</w:t>
      </w:r>
    </w:p>
    <w:p w14:paraId="75B3F1FA" w14:textId="77777777" w:rsidR="001966F7" w:rsidRPr="001966F7" w:rsidRDefault="001966F7" w:rsidP="001966F7">
      <w:r>
        <w:t xml:space="preserve">The manufacturing process and control procedures </w:t>
      </w:r>
      <w:r w:rsidR="00774CDA">
        <w:t xml:space="preserve">and tests </w:t>
      </w:r>
      <w:r>
        <w:t xml:space="preserve">were </w:t>
      </w:r>
      <w:r w:rsidR="00E40E8D">
        <w:t>described.</w:t>
      </w:r>
    </w:p>
    <w:p w14:paraId="1356ED06" w14:textId="77777777" w:rsidR="00774CDA" w:rsidRDefault="008E7846" w:rsidP="006779D9">
      <w:pPr>
        <w:pStyle w:val="Heading3"/>
      </w:pPr>
      <w:bookmarkStart w:id="31" w:name="_Toc247691508"/>
      <w:bookmarkStart w:id="32" w:name="_Toc314842490"/>
      <w:bookmarkStart w:id="33" w:name="_Toc16505589"/>
      <w:r w:rsidRPr="008751DC">
        <w:t xml:space="preserve">Drug </w:t>
      </w:r>
      <w:r>
        <w:t>p</w:t>
      </w:r>
      <w:r w:rsidRPr="008751DC">
        <w:t>roduc</w:t>
      </w:r>
      <w:bookmarkEnd w:id="31"/>
      <w:bookmarkEnd w:id="32"/>
      <w:r w:rsidR="006779D9">
        <w:t>t</w:t>
      </w:r>
      <w:bookmarkEnd w:id="33"/>
    </w:p>
    <w:p w14:paraId="08CFB38F" w14:textId="77777777" w:rsidR="00774CDA" w:rsidRDefault="00774CDA" w:rsidP="00774CDA">
      <w:pPr>
        <w:pStyle w:val="Heading4"/>
      </w:pPr>
      <w:r>
        <w:t>Stability</w:t>
      </w:r>
    </w:p>
    <w:p w14:paraId="23282727" w14:textId="77777777" w:rsidR="00774CDA" w:rsidRPr="001F48AA" w:rsidRDefault="00774CDA" w:rsidP="00774CDA">
      <w:r w:rsidRPr="001F48AA">
        <w:t>Stability data have been generated under stressed and real time conditions to characterise the stability profile of the product.</w:t>
      </w:r>
    </w:p>
    <w:p w14:paraId="5672D178" w14:textId="71067C5B" w:rsidR="00774CDA" w:rsidRPr="006779D9" w:rsidRDefault="00774CDA" w:rsidP="006779D9">
      <w:r w:rsidRPr="006779D9">
        <w:t>Based on the data provided, the proposed storage condition for the inotuzumab ozogamicin</w:t>
      </w:r>
      <w:r w:rsidR="00E40E8D">
        <w:t xml:space="preserve"> drug product of 24 months at 2 to </w:t>
      </w:r>
      <w:r w:rsidRPr="006779D9">
        <w:t>8 °C (protect from light), is justified.</w:t>
      </w:r>
    </w:p>
    <w:p w14:paraId="0DDABB51" w14:textId="77777777" w:rsidR="00774CDA" w:rsidRDefault="00774CDA" w:rsidP="00774CDA">
      <w:r w:rsidRPr="001F48AA">
        <w:t xml:space="preserve">In-use stability data have also been submitted. </w:t>
      </w:r>
      <w:r>
        <w:t>The following in-use condition is recommended:</w:t>
      </w:r>
    </w:p>
    <w:p w14:paraId="1B50DA49" w14:textId="4533641F" w:rsidR="00774CDA" w:rsidRPr="004C4261" w:rsidRDefault="00E40E8D" w:rsidP="004C4261">
      <w:pPr>
        <w:ind w:left="720"/>
        <w:rPr>
          <w:i/>
        </w:rPr>
      </w:pPr>
      <w:r w:rsidRPr="004C4261">
        <w:rPr>
          <w:i/>
        </w:rPr>
        <w:t>‘</w:t>
      </w:r>
      <w:r w:rsidR="00774CDA" w:rsidRPr="004C4261">
        <w:rPr>
          <w:i/>
        </w:rPr>
        <w:t>Reconstituted solution should be used immediately or after being refrigerated (2</w:t>
      </w:r>
      <w:r w:rsidR="006C0BD9">
        <w:rPr>
          <w:i/>
        </w:rPr>
        <w:noBreakHyphen/>
      </w:r>
      <w:r w:rsidR="00774CDA" w:rsidRPr="004C4261">
        <w:rPr>
          <w:i/>
        </w:rPr>
        <w:t>8°C) for up to 4 hours. Protect from light. Do not freeze</w:t>
      </w:r>
      <w:r w:rsidRPr="004C4261">
        <w:rPr>
          <w:i/>
        </w:rPr>
        <w:t>.’</w:t>
      </w:r>
    </w:p>
    <w:p w14:paraId="07D2DD6B" w14:textId="36BCAA46" w:rsidR="00774CDA" w:rsidRDefault="00774CDA" w:rsidP="00774CDA">
      <w:r w:rsidRPr="00714B62">
        <w:t>Stability studies have been conducted in accordance with rel</w:t>
      </w:r>
      <w:r w:rsidR="006779D9">
        <w:t xml:space="preserve">evant </w:t>
      </w:r>
      <w:r w:rsidR="00BF79CA">
        <w:t xml:space="preserve">International Conference on Harmonisation </w:t>
      </w:r>
      <w:r w:rsidR="00A232E5">
        <w:t>(</w:t>
      </w:r>
      <w:r w:rsidR="006779D9">
        <w:t>ICH</w:t>
      </w:r>
      <w:r w:rsidR="00A232E5">
        <w:t>)</w:t>
      </w:r>
      <w:r w:rsidR="006779D9">
        <w:t xml:space="preserve"> guidelines and </w:t>
      </w:r>
      <w:r w:rsidR="006C0BD9">
        <w:t>Australian Regulatory Guidelines for Prescription Medicines (</w:t>
      </w:r>
      <w:r w:rsidR="006779D9">
        <w:t>ARGPM</w:t>
      </w:r>
      <w:r w:rsidR="006C0BD9">
        <w:t>)</w:t>
      </w:r>
      <w:r w:rsidR="006779D9">
        <w:t>.</w:t>
      </w:r>
    </w:p>
    <w:p w14:paraId="3F84FC81" w14:textId="5F94CCCE" w:rsidR="00774CDA" w:rsidRPr="00714B62" w:rsidRDefault="00774CDA" w:rsidP="00774CDA">
      <w:r w:rsidRPr="006779D9">
        <w:t>No temperature excursion during shipping is permitted. Any batch exposed to</w:t>
      </w:r>
      <w:r w:rsidRPr="00714B62">
        <w:t xml:space="preserve"> temperature excursions outside the proposed shelf life storage conditions may not be supplied, and should be quarantined until a subsequent </w:t>
      </w:r>
      <w:r w:rsidR="006779D9">
        <w:t xml:space="preserve">variation </w:t>
      </w:r>
      <w:r w:rsidRPr="00714B62">
        <w:t>application</w:t>
      </w:r>
      <w:r w:rsidR="00503681">
        <w:t xml:space="preserve"> </w:t>
      </w:r>
      <w:r w:rsidR="006779D9">
        <w:t>has been determined.</w:t>
      </w:r>
    </w:p>
    <w:p w14:paraId="7C719DD6" w14:textId="21BC3723" w:rsidR="008E7846" w:rsidRPr="008751DC" w:rsidRDefault="008E7846" w:rsidP="008E7846">
      <w:pPr>
        <w:pStyle w:val="Heading3"/>
      </w:pPr>
      <w:bookmarkStart w:id="34" w:name="Table_3.2.S.3.1-7._Potential_Deamidation"/>
      <w:bookmarkStart w:id="35" w:name="3.2.S.3.1.7.2._Deamidation"/>
      <w:bookmarkStart w:id="36" w:name="_Toc247691509"/>
      <w:bookmarkStart w:id="37" w:name="_Toc314842493"/>
      <w:bookmarkStart w:id="38" w:name="_Toc16505590"/>
      <w:bookmarkEnd w:id="34"/>
      <w:bookmarkEnd w:id="35"/>
      <w:r>
        <w:t>Quality s</w:t>
      </w:r>
      <w:r w:rsidRPr="008751DC">
        <w:t>ummary</w:t>
      </w:r>
      <w:r>
        <w:t xml:space="preserve"> and conclusions</w:t>
      </w:r>
      <w:bookmarkEnd w:id="36"/>
      <w:bookmarkEnd w:id="37"/>
      <w:bookmarkEnd w:id="38"/>
    </w:p>
    <w:p w14:paraId="2DC11327" w14:textId="77777777" w:rsidR="00774CDA" w:rsidRPr="00774CDA" w:rsidRDefault="00774CDA" w:rsidP="00774CDA">
      <w:r w:rsidRPr="00774CDA">
        <w:t>There are no objections to the registration of this product from sterility; endotoxin, container safety an</w:t>
      </w:r>
      <w:r w:rsidR="00E40E8D">
        <w:t>d viral safety related aspects.</w:t>
      </w:r>
    </w:p>
    <w:p w14:paraId="6308951C" w14:textId="5DDDC053" w:rsidR="008E7846" w:rsidRPr="00774CDA" w:rsidRDefault="00774CDA" w:rsidP="00774CDA">
      <w:r w:rsidRPr="00774CDA">
        <w:t xml:space="preserve">With respect to </w:t>
      </w:r>
      <w:r w:rsidR="00E40E8D">
        <w:t>q</w:t>
      </w:r>
      <w:r w:rsidR="006779D9">
        <w:t>uality</w:t>
      </w:r>
      <w:r w:rsidRPr="00774CDA">
        <w:t xml:space="preserve"> matters, the </w:t>
      </w:r>
      <w:r w:rsidR="006C0BD9">
        <w:t>Product Information (</w:t>
      </w:r>
      <w:r w:rsidRPr="00774CDA">
        <w:t>PI</w:t>
      </w:r>
      <w:r w:rsidR="006C0BD9">
        <w:t>)</w:t>
      </w:r>
      <w:r w:rsidRPr="00774CDA">
        <w:t>,</w:t>
      </w:r>
      <w:r w:rsidR="006C0BD9">
        <w:t xml:space="preserve"> Consumer Medicines Information</w:t>
      </w:r>
      <w:r w:rsidRPr="00774CDA">
        <w:t xml:space="preserve"> </w:t>
      </w:r>
      <w:r w:rsidR="006C0BD9">
        <w:t>(</w:t>
      </w:r>
      <w:r w:rsidRPr="00774CDA">
        <w:t>CMI</w:t>
      </w:r>
      <w:r w:rsidR="006C0BD9">
        <w:t>)</w:t>
      </w:r>
      <w:r w:rsidRPr="00774CDA">
        <w:t xml:space="preserve"> and labels are acceptable.</w:t>
      </w:r>
    </w:p>
    <w:p w14:paraId="5B4D3A1F" w14:textId="77777777" w:rsidR="008E7846" w:rsidRDefault="008E7846" w:rsidP="008E7846">
      <w:pPr>
        <w:pStyle w:val="Heading2"/>
      </w:pPr>
      <w:bookmarkStart w:id="39" w:name="_Toc196046439"/>
      <w:bookmarkStart w:id="40" w:name="_Toc247691510"/>
      <w:bookmarkStart w:id="41" w:name="_Toc314842494"/>
      <w:bookmarkStart w:id="42" w:name="_Toc16505591"/>
      <w:r>
        <w:lastRenderedPageBreak/>
        <w:t>I</w:t>
      </w:r>
      <w:r w:rsidR="00500337">
        <w:t>V</w:t>
      </w:r>
      <w:r>
        <w:t>. Nonclinical</w:t>
      </w:r>
      <w:bookmarkEnd w:id="39"/>
      <w:r>
        <w:t xml:space="preserve"> findings</w:t>
      </w:r>
      <w:bookmarkEnd w:id="40"/>
      <w:bookmarkEnd w:id="41"/>
      <w:bookmarkEnd w:id="42"/>
    </w:p>
    <w:p w14:paraId="3CBBA721" w14:textId="77777777" w:rsidR="008E7846" w:rsidRPr="00E40E8D" w:rsidRDefault="008E7846" w:rsidP="00E40E8D">
      <w:pPr>
        <w:pStyle w:val="Heading3"/>
      </w:pPr>
      <w:bookmarkStart w:id="43" w:name="_Toc247691511"/>
      <w:bookmarkStart w:id="44" w:name="_Toc314842495"/>
      <w:bookmarkStart w:id="45" w:name="_Toc16505592"/>
      <w:r w:rsidRPr="00E40E8D">
        <w:t>Introduction</w:t>
      </w:r>
      <w:bookmarkEnd w:id="43"/>
      <w:bookmarkEnd w:id="44"/>
      <w:bookmarkEnd w:id="45"/>
    </w:p>
    <w:p w14:paraId="06077E19" w14:textId="77777777" w:rsidR="00C70C45" w:rsidRPr="00EB69F1" w:rsidRDefault="00C70C45" w:rsidP="00E40E8D">
      <w:pPr>
        <w:pStyle w:val="Heading4"/>
      </w:pPr>
      <w:bookmarkStart w:id="46" w:name="_Toc294861722"/>
      <w:bookmarkStart w:id="47" w:name="_Toc295290864"/>
      <w:bookmarkStart w:id="48" w:name="_Toc505172200"/>
      <w:r w:rsidRPr="00EB69F1">
        <w:t>General</w:t>
      </w:r>
      <w:r>
        <w:t xml:space="preserve"> </w:t>
      </w:r>
      <w:r w:rsidRPr="00EB69F1">
        <w:t>comments</w:t>
      </w:r>
      <w:bookmarkEnd w:id="46"/>
      <w:bookmarkEnd w:id="47"/>
      <w:bookmarkEnd w:id="48"/>
    </w:p>
    <w:p w14:paraId="39644E01" w14:textId="76948D10" w:rsidR="006C0BD9" w:rsidRDefault="00C70C45" w:rsidP="009B156B">
      <w:r w:rsidRPr="00E40E8D">
        <w:t xml:space="preserve">Inotuzumab ozogamicin </w:t>
      </w:r>
      <w:r w:rsidRPr="00E40E8D">
        <w:rPr>
          <w:smallCaps/>
        </w:rPr>
        <w:t>(</w:t>
      </w:r>
      <w:r w:rsidRPr="00E40E8D">
        <w:t xml:space="preserve">Besponsa) is an antibody drug conjugate (ADC) proposed to be used for the treatment of adults with relapsed or refractory </w:t>
      </w:r>
      <w:r w:rsidR="006779D9" w:rsidRPr="00E40E8D">
        <w:t>B cell</w:t>
      </w:r>
      <w:r w:rsidRPr="00E40E8D">
        <w:t xml:space="preserve"> precursor acute lymphoblastic leukaemia (ALL). </w:t>
      </w:r>
      <w:r w:rsidR="005711CA">
        <w:t>I</w:t>
      </w:r>
      <w:r w:rsidRPr="00E40E8D">
        <w:t xml:space="preserve">n the </w:t>
      </w:r>
      <w:r w:rsidR="006C0BD9">
        <w:t>European Union (</w:t>
      </w:r>
      <w:r w:rsidRPr="00E40E8D">
        <w:t>EU</w:t>
      </w:r>
      <w:r w:rsidR="006C0BD9">
        <w:t>)</w:t>
      </w:r>
      <w:r w:rsidR="005711CA">
        <w:t xml:space="preserve">, it was approved </w:t>
      </w:r>
      <w:r w:rsidRPr="00E40E8D">
        <w:t>(June 2017)</w:t>
      </w:r>
      <w:r w:rsidR="005711CA">
        <w:t xml:space="preserve"> with the following indication:</w:t>
      </w:r>
    </w:p>
    <w:p w14:paraId="687D4824" w14:textId="09B6655D" w:rsidR="002E7840" w:rsidRPr="002074A3" w:rsidRDefault="002E7840" w:rsidP="009B156B">
      <w:pPr>
        <w:ind w:left="720"/>
        <w:rPr>
          <w:lang w:eastAsia="en-GB"/>
        </w:rPr>
      </w:pPr>
      <w:r w:rsidRPr="009B156B">
        <w:rPr>
          <w:i/>
        </w:rPr>
        <w:t>B</w:t>
      </w:r>
      <w:r w:rsidR="006C0BD9" w:rsidRPr="009B156B">
        <w:rPr>
          <w:i/>
        </w:rPr>
        <w:t>esponsa</w:t>
      </w:r>
      <w:r w:rsidRPr="009B156B">
        <w:rPr>
          <w:i/>
        </w:rPr>
        <w:t xml:space="preserve"> is indicated as monotherapy for the treatment of adults with </w:t>
      </w:r>
      <w:r w:rsidRPr="009B156B">
        <w:rPr>
          <w:i/>
          <w:lang w:eastAsia="en-GB"/>
        </w:rPr>
        <w:t>relapsed or refractory CD22-positive B cell precursor acute lymphoblastic leukaemia (ALL). Adult patients with Philadelphia chromosome positive (</w:t>
      </w:r>
      <w:proofErr w:type="spellStart"/>
      <w:r w:rsidRPr="009B156B">
        <w:rPr>
          <w:i/>
          <w:lang w:eastAsia="en-GB"/>
        </w:rPr>
        <w:t>Ph</w:t>
      </w:r>
      <w:proofErr w:type="spellEnd"/>
      <w:r w:rsidRPr="009B156B">
        <w:rPr>
          <w:i/>
          <w:vertAlign w:val="superscript"/>
          <w:lang w:eastAsia="en-GB"/>
        </w:rPr>
        <w:t>+</w:t>
      </w:r>
      <w:r w:rsidRPr="009B156B">
        <w:rPr>
          <w:i/>
          <w:lang w:eastAsia="en-GB"/>
        </w:rPr>
        <w:t xml:space="preserve">) relapsed or refractory B cell precursor ALL </w:t>
      </w:r>
      <w:r w:rsidRPr="009B156B">
        <w:rPr>
          <w:i/>
          <w:color w:val="000000"/>
        </w:rPr>
        <w:t>should have failed treatment with at least 1 tyrosine kinase inhibitor (TKI).</w:t>
      </w:r>
    </w:p>
    <w:p w14:paraId="57432631" w14:textId="55A85650" w:rsidR="006C0BD9" w:rsidRDefault="005711CA" w:rsidP="009B156B">
      <w:pPr>
        <w:rPr>
          <w:lang w:val="en-GB"/>
        </w:rPr>
      </w:pPr>
      <w:r>
        <w:t xml:space="preserve">In </w:t>
      </w:r>
      <w:r w:rsidR="00C70C45" w:rsidRPr="00E40E8D">
        <w:t>the</w:t>
      </w:r>
      <w:r w:rsidR="006C0BD9">
        <w:t xml:space="preserve"> United States of America (</w:t>
      </w:r>
      <w:r w:rsidR="00C70C45" w:rsidRPr="00E40E8D">
        <w:t>USA</w:t>
      </w:r>
      <w:r w:rsidR="006C0BD9">
        <w:t>)</w:t>
      </w:r>
      <w:r>
        <w:t xml:space="preserve">, it was approved </w:t>
      </w:r>
      <w:r w:rsidR="00C70C45" w:rsidRPr="00E40E8D">
        <w:t>(August 2017)</w:t>
      </w:r>
      <w:r>
        <w:t xml:space="preserve"> with the following indication:</w:t>
      </w:r>
    </w:p>
    <w:p w14:paraId="3794D351" w14:textId="6ED069BB" w:rsidR="006C0BD9" w:rsidRPr="009B156B" w:rsidRDefault="002E7840" w:rsidP="009B156B">
      <w:pPr>
        <w:ind w:left="720"/>
        <w:rPr>
          <w:i/>
        </w:rPr>
      </w:pPr>
      <w:r w:rsidRPr="009B156B">
        <w:rPr>
          <w:i/>
          <w:lang w:val="en-GB"/>
        </w:rPr>
        <w:t>B</w:t>
      </w:r>
      <w:r w:rsidR="006C0BD9" w:rsidRPr="009B156B">
        <w:rPr>
          <w:i/>
          <w:lang w:val="en-GB"/>
        </w:rPr>
        <w:t>esponsa</w:t>
      </w:r>
      <w:r w:rsidRPr="009B156B">
        <w:rPr>
          <w:i/>
          <w:lang w:val="en-GB"/>
        </w:rPr>
        <w:t xml:space="preserve"> is a CD22-directed antibody-drug conjugate (ADC) indicated for the treatment of adults with relapsed or refractory B-cell precursor acute lymphoblastic </w:t>
      </w:r>
      <w:proofErr w:type="spellStart"/>
      <w:r w:rsidRPr="009B156B">
        <w:rPr>
          <w:i/>
          <w:lang w:val="en-GB"/>
        </w:rPr>
        <w:t>leukemia</w:t>
      </w:r>
      <w:proofErr w:type="spellEnd"/>
      <w:r w:rsidRPr="009B156B">
        <w:rPr>
          <w:i/>
          <w:lang w:val="en-GB"/>
        </w:rPr>
        <w:t xml:space="preserve"> (ALL).</w:t>
      </w:r>
    </w:p>
    <w:p w14:paraId="29457CB9" w14:textId="4C751A34" w:rsidR="00C70C45" w:rsidRDefault="00C70C45" w:rsidP="009B156B">
      <w:r w:rsidRPr="00E40E8D">
        <w:t xml:space="preserve">The cytotoxic component is the same as in </w:t>
      </w:r>
      <w:proofErr w:type="spellStart"/>
      <w:r w:rsidRPr="00E40E8D">
        <w:t>gemtuzumab</w:t>
      </w:r>
      <w:proofErr w:type="spellEnd"/>
      <w:r w:rsidRPr="00E40E8D">
        <w:t xml:space="preserve"> </w:t>
      </w:r>
      <w:proofErr w:type="spellStart"/>
      <w:r w:rsidRPr="00E40E8D">
        <w:t>ozogamicin</w:t>
      </w:r>
      <w:proofErr w:type="spellEnd"/>
      <w:r w:rsidRPr="00E40E8D">
        <w:t xml:space="preserve">, a CD33-targeting ADC for the treatment of CD33-positive acute myeloid leukaemia. </w:t>
      </w:r>
      <w:proofErr w:type="spellStart"/>
      <w:r w:rsidRPr="00E40E8D">
        <w:t>Gemtuzumab</w:t>
      </w:r>
      <w:proofErr w:type="spellEnd"/>
      <w:r w:rsidRPr="00E40E8D">
        <w:t xml:space="preserve"> </w:t>
      </w:r>
      <w:proofErr w:type="spellStart"/>
      <w:r w:rsidRPr="00E40E8D">
        <w:t>ozogamicin</w:t>
      </w:r>
      <w:proofErr w:type="spellEnd"/>
      <w:r w:rsidRPr="00E40E8D">
        <w:t xml:space="preserve"> was initially approved by the </w:t>
      </w:r>
      <w:r w:rsidR="00BF79CA">
        <w:t>US Food and Drug Administration</w:t>
      </w:r>
      <w:r w:rsidR="00BF79CA" w:rsidRPr="00E40E8D">
        <w:t xml:space="preserve"> </w:t>
      </w:r>
      <w:r w:rsidR="00BF79CA">
        <w:t>(</w:t>
      </w:r>
      <w:r w:rsidRPr="00E40E8D">
        <w:t>FDA</w:t>
      </w:r>
      <w:r w:rsidR="00BF79CA">
        <w:t>)</w:t>
      </w:r>
      <w:r w:rsidRPr="00E40E8D">
        <w:t xml:space="preserve"> through an accelerated approval process, but was subsequently withdrawn owing to safety and efficacy concerns. However, it has since (September 2017) been approved by the FDA at a lower dosing schedule and for a different patient population.</w:t>
      </w:r>
      <w:r w:rsidRPr="00E40E8D">
        <w:rPr>
          <w:rStyle w:val="FootnoteReference"/>
          <w:kern w:val="2"/>
        </w:rPr>
        <w:footnoteReference w:id="2"/>
      </w:r>
    </w:p>
    <w:p w14:paraId="69CE9168" w14:textId="0CCC1147" w:rsidR="00C70C45" w:rsidRPr="004334C7" w:rsidRDefault="006779D9" w:rsidP="007A3382">
      <w:r>
        <w:t>The nonclinical dossier</w:t>
      </w:r>
      <w:r w:rsidR="00C70C45">
        <w:t xml:space="preserve"> included studies to investigate safety pharmacology and toxicology that were designed and conducted in accordance with relevant </w:t>
      </w:r>
      <w:r w:rsidR="00C70C45" w:rsidRPr="005C4508">
        <w:t xml:space="preserve">ICH and </w:t>
      </w:r>
      <w:r w:rsidR="005C4508" w:rsidRPr="005C4508">
        <w:t xml:space="preserve">Organisation for Economic Co-operation and </w:t>
      </w:r>
      <w:r w:rsidR="005C4508" w:rsidRPr="009B156B">
        <w:t>Development (</w:t>
      </w:r>
      <w:r w:rsidR="00C70C45" w:rsidRPr="005C4508">
        <w:t>OECD</w:t>
      </w:r>
      <w:r w:rsidR="005C4508" w:rsidRPr="005C4508">
        <w:t>)</w:t>
      </w:r>
      <w:r w:rsidR="00C70C45" w:rsidRPr="005C4508">
        <w:t xml:space="preserve"> </w:t>
      </w:r>
      <w:r w:rsidR="00C70C45">
        <w:t>guidelines. Pivotal safety pharmacology, tissue cross reactivity and toxicology studies were conducted in a</w:t>
      </w:r>
      <w:r w:rsidR="00D81D76">
        <w:t xml:space="preserve">ccordance with </w:t>
      </w:r>
      <w:r w:rsidR="006C0BD9">
        <w:t>G</w:t>
      </w:r>
      <w:r w:rsidR="005C4508">
        <w:t xml:space="preserve">ood </w:t>
      </w:r>
      <w:r w:rsidR="006C0BD9">
        <w:t>L</w:t>
      </w:r>
      <w:r w:rsidR="005C4508">
        <w:t xml:space="preserve">aboratory </w:t>
      </w:r>
      <w:r w:rsidR="006C0BD9">
        <w:t>P</w:t>
      </w:r>
      <w:r w:rsidR="005C4508" w:rsidRPr="005C4508">
        <w:t>ractice (</w:t>
      </w:r>
      <w:r w:rsidR="00D81D76" w:rsidRPr="005C4508">
        <w:t>GLP</w:t>
      </w:r>
      <w:r w:rsidR="005C4508" w:rsidRPr="005C4508">
        <w:t>)</w:t>
      </w:r>
      <w:r w:rsidR="00E40E8D" w:rsidRPr="005C4508">
        <w:t xml:space="preserve"> guidelines</w:t>
      </w:r>
      <w:r w:rsidR="00E40E8D">
        <w:t>.</w:t>
      </w:r>
    </w:p>
    <w:p w14:paraId="34AD3892" w14:textId="77777777" w:rsidR="008E7846" w:rsidRDefault="008E7846" w:rsidP="008E7846">
      <w:pPr>
        <w:pStyle w:val="Heading3"/>
      </w:pPr>
      <w:bookmarkStart w:id="49" w:name="_Toc247691512"/>
      <w:bookmarkStart w:id="50" w:name="_Toc314842496"/>
      <w:bookmarkStart w:id="51" w:name="_Toc16505593"/>
      <w:r w:rsidRPr="00020030">
        <w:t>Pharmacology</w:t>
      </w:r>
      <w:bookmarkEnd w:id="49"/>
      <w:bookmarkEnd w:id="50"/>
      <w:bookmarkEnd w:id="51"/>
    </w:p>
    <w:p w14:paraId="74600131" w14:textId="77777777" w:rsidR="00C70C45" w:rsidRPr="00B53529" w:rsidRDefault="00C70C45" w:rsidP="00B53529">
      <w:pPr>
        <w:pStyle w:val="Heading4"/>
      </w:pPr>
      <w:r w:rsidRPr="00B53529">
        <w:t>Primary pharmacology</w:t>
      </w:r>
    </w:p>
    <w:p w14:paraId="221AB1EF" w14:textId="4E4D70B6" w:rsidR="00D81D76" w:rsidRDefault="00C70C45" w:rsidP="007A3382">
      <w:r w:rsidRPr="00D81D76">
        <w:rPr>
          <w:rStyle w:val="Hyperlink"/>
          <w:color w:val="auto"/>
          <w:u w:val="none"/>
        </w:rPr>
        <w:t>Inotuzumab ozogamicin is an antibody drug conjugate (</w:t>
      </w:r>
      <w:r w:rsidRPr="009B156B">
        <w:t>ADC) targeting human CD22.</w:t>
      </w:r>
      <w:r w:rsidR="006779D9" w:rsidRPr="009B156B">
        <w:t xml:space="preserve"> </w:t>
      </w:r>
      <w:r w:rsidRPr="009B156B">
        <w:t>The antibody component of inotuzumab ozogamicin is a humanised immunoglobulin G that recognises</w:t>
      </w:r>
      <w:r w:rsidRPr="007A3382">
        <w:t xml:space="preserve"> CD22, a </w:t>
      </w:r>
      <w:r w:rsidR="006779D9" w:rsidRPr="007A3382">
        <w:t>B cell</w:t>
      </w:r>
      <w:r w:rsidRPr="007A3382">
        <w:t xml:space="preserve"> specific transmembrane glycoprotein that is expressed on the cell surface of the vast majority of mature human IgM+ </w:t>
      </w:r>
      <w:proofErr w:type="spellStart"/>
      <w:r w:rsidRPr="007A3382">
        <w:t>IgD</w:t>
      </w:r>
      <w:proofErr w:type="spellEnd"/>
      <w:r w:rsidRPr="007A3382">
        <w:t xml:space="preserve">+ </w:t>
      </w:r>
      <w:r w:rsidR="006779D9" w:rsidRPr="007A3382">
        <w:t>B cell</w:t>
      </w:r>
      <w:r w:rsidRPr="007A3382">
        <w:t>s. C</w:t>
      </w:r>
      <w:r>
        <w:t xml:space="preserve">D22 is also expressed on a high proportion of malignant </w:t>
      </w:r>
      <w:r w:rsidRPr="005C4508">
        <w:t xml:space="preserve">cells in ALL, as well as a number of other </w:t>
      </w:r>
      <w:r w:rsidR="006779D9" w:rsidRPr="005C4508">
        <w:t>B cell</w:t>
      </w:r>
      <w:r w:rsidRPr="005C4508">
        <w:t xml:space="preserve"> cancers, including non-Hodgkin</w:t>
      </w:r>
      <w:r w:rsidR="00A232E5">
        <w:t>’s</w:t>
      </w:r>
      <w:r w:rsidRPr="005C4508">
        <w:t xml:space="preserve"> lymphoma (NHL),</w:t>
      </w:r>
      <w:r>
        <w:t xml:space="preserve"> chronic lymphocytic leukaemia, hairy cell leukaemia, marginal zone lymphoma, diffuse large </w:t>
      </w:r>
      <w:r w:rsidR="006779D9">
        <w:t>B cell</w:t>
      </w:r>
      <w:r>
        <w:t xml:space="preserve"> lymphoma, follicular lymphoma and mantle cell lymphoma</w:t>
      </w:r>
      <w:r w:rsidR="006C0BD9">
        <w:t>.</w:t>
      </w:r>
      <w:r>
        <w:rPr>
          <w:rStyle w:val="FootnoteReference"/>
        </w:rPr>
        <w:footnoteReference w:id="3"/>
      </w:r>
      <w:r>
        <w:t xml:space="preserve"> Thus</w:t>
      </w:r>
      <w:r w:rsidR="006C0BD9">
        <w:t>,</w:t>
      </w:r>
      <w:r>
        <w:t xml:space="preserve"> CD22 is a suitable antigen for targeting with ADC therapies for </w:t>
      </w:r>
      <w:r w:rsidR="006779D9">
        <w:t>B cell</w:t>
      </w:r>
      <w:r>
        <w:t xml:space="preserve"> malignancies.</w:t>
      </w:r>
    </w:p>
    <w:p w14:paraId="7528DE7C" w14:textId="3BA5779A" w:rsidR="00C70C45" w:rsidRPr="00B53529" w:rsidRDefault="00C70C45" w:rsidP="00B53529">
      <w:r w:rsidRPr="00B53529">
        <w:lastRenderedPageBreak/>
        <w:t xml:space="preserve">In vitro studies with inotuzumab demonstrated specific and saturable binding of the antibody to human </w:t>
      </w:r>
      <w:r w:rsidR="006779D9" w:rsidRPr="00B53529">
        <w:t>B cell</w:t>
      </w:r>
      <w:r w:rsidRPr="00B53529">
        <w:t xml:space="preserve"> lines and normal human </w:t>
      </w:r>
      <w:r w:rsidR="006779D9" w:rsidRPr="00B53529">
        <w:t>B cell</w:t>
      </w:r>
      <w:r w:rsidRPr="00B53529">
        <w:t>s from human blood (</w:t>
      </w:r>
      <w:r w:rsidR="00B53529" w:rsidRPr="00B53529">
        <w:t>dissociation constant (</w:t>
      </w:r>
      <w:r w:rsidRPr="00B53529">
        <w:t>K</w:t>
      </w:r>
      <w:r w:rsidRPr="00B53529">
        <w:rPr>
          <w:vertAlign w:val="subscript"/>
        </w:rPr>
        <w:t>D</w:t>
      </w:r>
      <w:r w:rsidR="00B53529" w:rsidRPr="00B53529">
        <w:t>)</w:t>
      </w:r>
      <w:r w:rsidR="0014606A">
        <w:t xml:space="preserve"> = </w:t>
      </w:r>
      <w:r w:rsidRPr="00B53529">
        <w:t>1</w:t>
      </w:r>
      <w:r w:rsidR="00603972">
        <w:t>3</w:t>
      </w:r>
      <w:r w:rsidRPr="00B53529">
        <w:t xml:space="preserve">0 </w:t>
      </w:r>
      <w:proofErr w:type="spellStart"/>
      <w:r w:rsidRPr="00B53529">
        <w:t>pM</w:t>
      </w:r>
      <w:proofErr w:type="spellEnd"/>
      <w:r w:rsidRPr="00B53529">
        <w:t xml:space="preserve">), but not to </w:t>
      </w:r>
      <w:r w:rsidR="006779D9" w:rsidRPr="00B53529">
        <w:t>B cell</w:t>
      </w:r>
      <w:r w:rsidRPr="00B53529">
        <w:t xml:space="preserve">s in whole blood from mouse, rat, rabbit or cynomolgus monkey. Inotuzumab did not bind to granulocytes, monocytes </w:t>
      </w:r>
      <w:r w:rsidR="001A22EF">
        <w:t>or</w:t>
      </w:r>
      <w:r w:rsidR="001A22EF" w:rsidRPr="00B53529">
        <w:t xml:space="preserve"> </w:t>
      </w:r>
      <w:r w:rsidRPr="00B53529">
        <w:t>T cells in whole blood from human or any other species</w:t>
      </w:r>
      <w:r w:rsidR="001A22EF">
        <w:t xml:space="preserve"> examined</w:t>
      </w:r>
      <w:r w:rsidRPr="00B53529">
        <w:t xml:space="preserve">. Following binding to CD22 on </w:t>
      </w:r>
      <w:r w:rsidR="006779D9" w:rsidRPr="00B53529">
        <w:t>B cell</w:t>
      </w:r>
      <w:r w:rsidRPr="00B53529">
        <w:t>s and ALL and NHL cell lines, inotuzumab was shown to be internalised and trafficked to lysosomes. Owing to the lack of cross-species reactivity for inotuzumab, the toxicology studies will only be useful for assessing target-independent toxicities associated with conjugated and unconjugated calicheamicin.</w:t>
      </w:r>
    </w:p>
    <w:p w14:paraId="3BEC31E2" w14:textId="55EA1D8B" w:rsidR="00C70C45" w:rsidRDefault="00C70C45" w:rsidP="00B53529">
      <w:r>
        <w:t xml:space="preserve">The cytotoxic component of the ADC is </w:t>
      </w:r>
      <w:r w:rsidRPr="009B156B">
        <w:t>N</w:t>
      </w:r>
      <w:r>
        <w:t>-acetyl-</w:t>
      </w:r>
      <w:r w:rsidR="005C4508">
        <w:t>γ</w:t>
      </w:r>
      <w:r>
        <w:t>-calicheamicin, which is covalently linked to inotuzumab by an acid cleavable linker composed of the condensation product of 4-(4’-acetylphenoxy)</w:t>
      </w:r>
      <w:r w:rsidR="005C4508">
        <w:t>-</w:t>
      </w:r>
      <w:proofErr w:type="spellStart"/>
      <w:r>
        <w:t>butanoic</w:t>
      </w:r>
      <w:proofErr w:type="spellEnd"/>
      <w:r>
        <w:t xml:space="preserve"> acid (Ac-But) and 3-methyl-3-mercaptobutane hydrazide (known as </w:t>
      </w:r>
      <w:proofErr w:type="spellStart"/>
      <w:r>
        <w:t>dimethylhydrazide</w:t>
      </w:r>
      <w:proofErr w:type="spellEnd"/>
      <w:r>
        <w:t>, DMH). Calicheamicin is</w:t>
      </w:r>
      <w:r w:rsidRPr="00724D6F">
        <w:t xml:space="preserve"> a member of the </w:t>
      </w:r>
      <w:proofErr w:type="spellStart"/>
      <w:r w:rsidRPr="00724D6F">
        <w:t>enediyne</w:t>
      </w:r>
      <w:proofErr w:type="spellEnd"/>
      <w:r w:rsidRPr="00724D6F">
        <w:t xml:space="preserve"> family of anti</w:t>
      </w:r>
      <w:r w:rsidR="005C4508">
        <w:t>-</w:t>
      </w:r>
      <w:r w:rsidRPr="00724D6F">
        <w:t xml:space="preserve">tumour antibiotics. A common structural feature of the </w:t>
      </w:r>
      <w:proofErr w:type="spellStart"/>
      <w:r w:rsidRPr="00724D6F">
        <w:t>calicheamicins</w:t>
      </w:r>
      <w:proofErr w:type="spellEnd"/>
      <w:r w:rsidRPr="00724D6F">
        <w:t xml:space="preserve"> is a ‘warhead’ triggered for rearrangement through reduction of a </w:t>
      </w:r>
      <w:proofErr w:type="spellStart"/>
      <w:r w:rsidRPr="00724D6F">
        <w:t>sulfur-sulfur</w:t>
      </w:r>
      <w:proofErr w:type="spellEnd"/>
      <w:r w:rsidRPr="00724D6F">
        <w:t xml:space="preserve"> bond by free thiols, in particular glutathione at </w:t>
      </w:r>
      <w:r>
        <w:t xml:space="preserve">the </w:t>
      </w:r>
      <w:r w:rsidRPr="00724D6F">
        <w:t xml:space="preserve">concentrations normally present intracellularly. </w:t>
      </w:r>
      <w:r>
        <w:t>It is proposed that following binding and internalisation of the ADC the calicheamicin derivative is hydrolysed in the acidic conditions of the cytoplasmic endosomes and lysosomes. Calicheamicin ultimately enters the nucleus of the cell, where it binds to the minor groove of DNA and causes double-strand DNA breaks, which leads to induction of apoptosis and cell death</w:t>
      </w:r>
      <w:r w:rsidR="005C4508">
        <w:t>.</w:t>
      </w:r>
      <w:r>
        <w:rPr>
          <w:rStyle w:val="FootnoteReference"/>
        </w:rPr>
        <w:footnoteReference w:id="4"/>
      </w:r>
      <w:r w:rsidR="00D974EF" w:rsidRPr="009B156B">
        <w:rPr>
          <w:vertAlign w:val="superscript"/>
        </w:rPr>
        <w:t>,</w:t>
      </w:r>
      <w:r w:rsidR="008D6338">
        <w:rPr>
          <w:rStyle w:val="FootnoteReference"/>
        </w:rPr>
        <w:footnoteReference w:id="5"/>
      </w:r>
    </w:p>
    <w:p w14:paraId="6F42883C" w14:textId="77777777" w:rsidR="00C70C45" w:rsidRPr="001E5819" w:rsidRDefault="00C70C45" w:rsidP="001E5819">
      <w:r w:rsidRPr="001E5819">
        <w:t xml:space="preserve">The binding affinity of inotuzumab to </w:t>
      </w:r>
      <w:r w:rsidR="006779D9" w:rsidRPr="001E5819">
        <w:t>B cell</w:t>
      </w:r>
      <w:r w:rsidRPr="001E5819">
        <w:t>s was unaffected by conjugation to calicheamicin (K</w:t>
      </w:r>
      <w:r w:rsidRPr="001E5819">
        <w:rPr>
          <w:vertAlign w:val="subscript"/>
        </w:rPr>
        <w:t>D</w:t>
      </w:r>
      <w:r w:rsidRPr="001E5819">
        <w:t xml:space="preserve"> for ADC</w:t>
      </w:r>
      <w:r w:rsidR="0014606A">
        <w:t xml:space="preserve"> = </w:t>
      </w:r>
      <w:r w:rsidRPr="001E5819">
        <w:t xml:space="preserve">150 </w:t>
      </w:r>
      <w:proofErr w:type="spellStart"/>
      <w:r w:rsidRPr="001E5819">
        <w:t>pM</w:t>
      </w:r>
      <w:proofErr w:type="spellEnd"/>
      <w:r w:rsidRPr="001E5819">
        <w:t xml:space="preserve">). Inotuzumab ozogamicin exhibited specific and concentration-dependent cytotoxicity against CD22+ </w:t>
      </w:r>
      <w:r w:rsidR="006779D9" w:rsidRPr="001E5819">
        <w:t>B cell</w:t>
      </w:r>
      <w:r w:rsidRPr="001E5819">
        <w:t xml:space="preserve"> origin cancer cell lines, while the unconjugated antibody had no effect on viability of CD22+ cells (at up to 100 μg/mL). A dose-dependent induction of double strand DNA breaks following treatment of </w:t>
      </w:r>
      <w:r w:rsidR="006779D9" w:rsidRPr="001E5819">
        <w:t>B cell</w:t>
      </w:r>
      <w:r w:rsidRPr="001E5819">
        <w:t xml:space="preserve"> lines with the ADC provided was consistent with the proposed mechanism of action. Correspondingly (and as expected for an IgG4 isotype), there was no evidence of complement- or antibody-dependent cytotoxicity following treatment of a </w:t>
      </w:r>
      <w:r w:rsidR="006779D9" w:rsidRPr="001E5819">
        <w:t>B cell</w:t>
      </w:r>
      <w:r w:rsidRPr="001E5819">
        <w:t xml:space="preserve"> line with inotuzumab or inotuzumab ozogamicin. In summary, the in vitro data support the proposed mechanism of action of the ADC.</w:t>
      </w:r>
    </w:p>
    <w:p w14:paraId="66715D88" w14:textId="08395F2E" w:rsidR="00C70C45" w:rsidRDefault="00C70C45" w:rsidP="00B53529">
      <w:r w:rsidRPr="00692CC7">
        <w:t>The anti</w:t>
      </w:r>
      <w:r>
        <w:t>-</w:t>
      </w:r>
      <w:r w:rsidRPr="00692CC7">
        <w:t xml:space="preserve">tumour </w:t>
      </w:r>
      <w:r>
        <w:t xml:space="preserve">activity of inotuzumab ozogamicin was demonstrated in </w:t>
      </w:r>
      <w:r w:rsidR="006779D9">
        <w:t>B cell</w:t>
      </w:r>
      <w:r>
        <w:t xml:space="preserve"> ALL and lymphoma xenografts in immunocompromised mice, including large and small</w:t>
      </w:r>
      <w:r w:rsidR="00D974EF">
        <w:t xml:space="preserve"> subcutaneously</w:t>
      </w:r>
      <w:r>
        <w:t xml:space="preserve"> </w:t>
      </w:r>
      <w:r w:rsidR="00D974EF">
        <w:t>(</w:t>
      </w:r>
      <w:r>
        <w:t>SC</w:t>
      </w:r>
      <w:r w:rsidR="00D974EF">
        <w:t>)</w:t>
      </w:r>
      <w:r>
        <w:t xml:space="preserve"> implanted tumours as well as in systemically disseminated tumour models. Although most of the animal studies used the </w:t>
      </w:r>
      <w:r w:rsidR="005C4508">
        <w:t xml:space="preserve">intra peritoneal </w:t>
      </w:r>
      <w:r w:rsidR="005C4508" w:rsidRPr="005C4508">
        <w:t>(</w:t>
      </w:r>
      <w:r w:rsidRPr="005C4508">
        <w:t>IP</w:t>
      </w:r>
      <w:r w:rsidR="005C4508" w:rsidRPr="005C4508">
        <w:t>)</w:t>
      </w:r>
      <w:r>
        <w:t xml:space="preserve"> route, the (clinical) </w:t>
      </w:r>
      <w:r w:rsidR="00A232E5">
        <w:t>intravenous (</w:t>
      </w:r>
      <w:r>
        <w:t>IV</w:t>
      </w:r>
      <w:r w:rsidR="00A232E5">
        <w:t>)</w:t>
      </w:r>
      <w:r>
        <w:t xml:space="preserve"> route was shown to be equally efficacious in a mouse lymphoma model. Neither unconjugated inotuzumab nor the unconjugated calicheamicin had any anti-tumour activity. Inotuzumab ozogamicin dose-dependently inhibited growth of SC implanted xenografts of </w:t>
      </w:r>
      <w:proofErr w:type="spellStart"/>
      <w:r>
        <w:t>Reh</w:t>
      </w:r>
      <w:proofErr w:type="spellEnd"/>
      <w:r>
        <w:t xml:space="preserve"> ALL cells in nude mice, with complete regression observed in mice treated with inotuzumab ozogamicin doses of 160 μg/kg (calicheamicin equivalents; three IP doses every four days; Q4D</w:t>
      </w:r>
      <w:r w:rsidR="001E5819">
        <w:t xml:space="preserve"> x </w:t>
      </w:r>
      <w:r>
        <w:t>3), equivalent to 6.57 mg/</w:t>
      </w:r>
      <w:r w:rsidR="00F769DD" w:rsidRPr="00AA53F4">
        <w:rPr>
          <w:lang w:val="en-US"/>
        </w:rPr>
        <w:t>m</w:t>
      </w:r>
      <w:r w:rsidR="00F769DD" w:rsidRPr="00F769DD">
        <w:rPr>
          <w:vertAlign w:val="superscript"/>
          <w:lang w:val="en-US"/>
        </w:rPr>
        <w:t>2</w:t>
      </w:r>
      <w:r>
        <w:t xml:space="preserve"> of inotuzumab antibody. In a disseminated model of ALL, inotuzumab ozogamicin treatment at a dose of 3.3 mg/</w:t>
      </w:r>
      <w:r w:rsidR="00F769DD" w:rsidRPr="00AA53F4">
        <w:rPr>
          <w:lang w:val="en-US"/>
        </w:rPr>
        <w:t>m</w:t>
      </w:r>
      <w:r w:rsidR="00F769DD" w:rsidRPr="00F769DD">
        <w:rPr>
          <w:vertAlign w:val="superscript"/>
          <w:lang w:val="en-US"/>
        </w:rPr>
        <w:t>2</w:t>
      </w:r>
      <w:r>
        <w:t xml:space="preserve"> was</w:t>
      </w:r>
      <w:r w:rsidR="005C4508">
        <w:t xml:space="preserve"> associated with 100% survival.</w:t>
      </w:r>
    </w:p>
    <w:p w14:paraId="261E0E70" w14:textId="18C6F41C" w:rsidR="00C70C45" w:rsidRDefault="00C70C45" w:rsidP="00B53529">
      <w:r>
        <w:t>The anti-tumour effects of inotuzumab ozogamicin were more sustained compared with CHOP, CVP</w:t>
      </w:r>
      <w:r w:rsidR="00D974EF">
        <w:t>;</w:t>
      </w:r>
      <w:r>
        <w:rPr>
          <w:rStyle w:val="FootnoteReference"/>
        </w:rPr>
        <w:footnoteReference w:id="6"/>
      </w:r>
      <w:r>
        <w:t xml:space="preserve"> or rituximab in inhibiting </w:t>
      </w:r>
      <w:r w:rsidR="006779D9">
        <w:t>B cell</w:t>
      </w:r>
      <w:r>
        <w:t xml:space="preserve"> lymphoma xenografts. Inotuzumab ozogamicin was also shown to be effective in treating resistant or relapsed tumours </w:t>
      </w:r>
      <w:r>
        <w:lastRenderedPageBreak/>
        <w:t>following CHOP or rituximab treatment. Combination treatment with CHOP or CVP was more effective than single agent treatment, while combination with rituximab enhanced survival only when treatment was commenced early in tumour development.</w:t>
      </w:r>
    </w:p>
    <w:p w14:paraId="6A1CA4F8" w14:textId="77777777" w:rsidR="00C70C45" w:rsidRPr="00EB69F1" w:rsidRDefault="00C70C45" w:rsidP="00C70C45">
      <w:pPr>
        <w:pStyle w:val="AssessmentSubsection"/>
        <w:rPr>
          <w:kern w:val="2"/>
        </w:rPr>
      </w:pPr>
      <w:bookmarkStart w:id="52" w:name="_Toc16505594"/>
      <w:r w:rsidRPr="00EB69F1">
        <w:rPr>
          <w:kern w:val="2"/>
        </w:rPr>
        <w:t>Secondary pharmacodynamics and safety pharmacology</w:t>
      </w:r>
      <w:bookmarkEnd w:id="52"/>
    </w:p>
    <w:p w14:paraId="67F1A677" w14:textId="57245A02" w:rsidR="00C70C45" w:rsidRDefault="005C4508" w:rsidP="005C4508">
      <w:r>
        <w:t xml:space="preserve">In tissue cross </w:t>
      </w:r>
      <w:r w:rsidR="00C70C45">
        <w:t xml:space="preserve">reactivity studies, inotuzumab stained human tissues with known CD22 expression, including lymphocytes in lymph node, spleen, </w:t>
      </w:r>
      <w:proofErr w:type="gramStart"/>
      <w:r w:rsidR="00C70C45">
        <w:t>tonsil,</w:t>
      </w:r>
      <w:proofErr w:type="gramEnd"/>
      <w:r w:rsidR="00C70C45">
        <w:t xml:space="preserve"> </w:t>
      </w:r>
      <w:r w:rsidR="00D974EF">
        <w:t>gut associated lymphoid tissue (</w:t>
      </w:r>
      <w:r w:rsidR="00C70C45">
        <w:t>GALT</w:t>
      </w:r>
      <w:r w:rsidR="00D974EF">
        <w:t>)</w:t>
      </w:r>
      <w:r w:rsidR="00C70C45">
        <w:t>, mononuclear cell infiltrates and whole blood.</w:t>
      </w:r>
      <w:r w:rsidR="006779D9">
        <w:t xml:space="preserve"> </w:t>
      </w:r>
      <w:r w:rsidR="00C70C45" w:rsidRPr="00FE4DBD">
        <w:t>Unexpectedly, inotuzumab also stained the stromal fibres in the dermis of the skin, mammary gland, and uterine cervix of humans.</w:t>
      </w:r>
      <w:r w:rsidR="00C70C45">
        <w:t xml:space="preserve"> The clinical significance of this is uncertain, but it may indicate the potential for additional off target toxicity in these tissues.</w:t>
      </w:r>
    </w:p>
    <w:p w14:paraId="3C8C2468" w14:textId="77777777" w:rsidR="00C70C45" w:rsidRDefault="00C70C45" w:rsidP="005C4508">
      <w:r>
        <w:t>Inotuzumab did not cross react with a limited selection of tissues samples from mouse, rat, rabbit, dog, cynomolgus and rhesus monkey (blood vessel endothelium, bone marrow, small intestine, kidney, liver, lymph node, spleen and skeletal muscle, but excluding skin, mammary gland and uterine cervix).</w:t>
      </w:r>
    </w:p>
    <w:p w14:paraId="675D8950" w14:textId="687FEC17" w:rsidR="00C70C45" w:rsidRPr="006E17A6" w:rsidRDefault="00C70C45" w:rsidP="005C4508">
      <w:pPr>
        <w:rPr>
          <w:kern w:val="2"/>
        </w:rPr>
      </w:pPr>
      <w:r w:rsidRPr="006E17A6">
        <w:rPr>
          <w:kern w:val="2"/>
        </w:rPr>
        <w:t>Specialised saf</w:t>
      </w:r>
      <w:r>
        <w:rPr>
          <w:kern w:val="2"/>
        </w:rPr>
        <w:t>ety pharmacology studies revealed no remarkable effects on</w:t>
      </w:r>
      <w:r w:rsidRPr="006E17A6">
        <w:rPr>
          <w:kern w:val="2"/>
        </w:rPr>
        <w:t xml:space="preserve"> the</w:t>
      </w:r>
      <w:r>
        <w:rPr>
          <w:kern w:val="2"/>
        </w:rPr>
        <w:t xml:space="preserve"> </w:t>
      </w:r>
      <w:r w:rsidR="002F076F">
        <w:t>central nervous system</w:t>
      </w:r>
      <w:r w:rsidR="002F076F">
        <w:rPr>
          <w:kern w:val="2"/>
        </w:rPr>
        <w:t xml:space="preserve"> (</w:t>
      </w:r>
      <w:r>
        <w:rPr>
          <w:kern w:val="2"/>
        </w:rPr>
        <w:t>CNS</w:t>
      </w:r>
      <w:r w:rsidR="002F076F">
        <w:rPr>
          <w:kern w:val="2"/>
        </w:rPr>
        <w:t>)</w:t>
      </w:r>
      <w:r>
        <w:rPr>
          <w:kern w:val="2"/>
        </w:rPr>
        <w:t xml:space="preserve"> or respiratory systems of rats (relative exposures based on dose per unit of body surface area, </w:t>
      </w:r>
      <w:r w:rsidR="003308E5">
        <w:rPr>
          <w:kern w:val="2"/>
        </w:rPr>
        <w:t>(</w:t>
      </w:r>
      <w:r>
        <w:rPr>
          <w:kern w:val="2"/>
        </w:rPr>
        <w:t>BSA</w:t>
      </w:r>
      <w:r w:rsidR="003308E5">
        <w:rPr>
          <w:kern w:val="2"/>
        </w:rPr>
        <w:t>)</w:t>
      </w:r>
      <w:r>
        <w:rPr>
          <w:kern w:val="2"/>
        </w:rPr>
        <w:t xml:space="preserve">, up to 11). A study of cardiovascular effects in conscious cynomolgus monkeys found toxicologically insignificant increases in mean blood pressure, and no effects on PR, QRS, QT or </w:t>
      </w:r>
      <w:proofErr w:type="spellStart"/>
      <w:r>
        <w:rPr>
          <w:kern w:val="2"/>
        </w:rPr>
        <w:t>QTc</w:t>
      </w:r>
      <w:proofErr w:type="spellEnd"/>
      <w:r w:rsidR="00D974EF">
        <w:rPr>
          <w:kern w:val="2"/>
        </w:rPr>
        <w:t xml:space="preserve"> intervals;</w:t>
      </w:r>
      <w:r w:rsidR="0041592A">
        <w:rPr>
          <w:rStyle w:val="FootnoteReference"/>
          <w:kern w:val="2"/>
        </w:rPr>
        <w:footnoteReference w:id="7"/>
      </w:r>
      <w:r>
        <w:rPr>
          <w:kern w:val="2"/>
        </w:rPr>
        <w:t xml:space="preserve"> (relative exposures based on dose per unit of BSA up to 10). The </w:t>
      </w:r>
      <w:r w:rsidR="00D974EF">
        <w:rPr>
          <w:kern w:val="2"/>
        </w:rPr>
        <w:t>half maximal inhibitory concentration (</w:t>
      </w:r>
      <w:r>
        <w:rPr>
          <w:kern w:val="2"/>
        </w:rPr>
        <w:t>IC</w:t>
      </w:r>
      <w:r>
        <w:rPr>
          <w:kern w:val="2"/>
          <w:vertAlign w:val="subscript"/>
        </w:rPr>
        <w:t>50</w:t>
      </w:r>
      <w:r w:rsidR="00D974EF">
        <w:rPr>
          <w:kern w:val="2"/>
        </w:rPr>
        <w:t xml:space="preserve">) </w:t>
      </w:r>
      <w:r>
        <w:rPr>
          <w:kern w:val="2"/>
        </w:rPr>
        <w:t xml:space="preserve">for </w:t>
      </w:r>
      <w:r w:rsidRPr="009B156B">
        <w:rPr>
          <w:rFonts w:eastAsiaTheme="minorHAnsi"/>
        </w:rPr>
        <w:t>N</w:t>
      </w:r>
      <w:r>
        <w:rPr>
          <w:rFonts w:eastAsiaTheme="minorHAnsi"/>
        </w:rPr>
        <w:t>-acetyl-ϒ-calicheamicin DMH</w:t>
      </w:r>
      <w:r>
        <w:rPr>
          <w:kern w:val="2"/>
        </w:rPr>
        <w:t xml:space="preserve"> inhibition of </w:t>
      </w:r>
      <w:proofErr w:type="spellStart"/>
      <w:r>
        <w:rPr>
          <w:kern w:val="2"/>
        </w:rPr>
        <w:t>hERG</w:t>
      </w:r>
      <w:proofErr w:type="spellEnd"/>
      <w:r>
        <w:rPr>
          <w:kern w:val="2"/>
        </w:rPr>
        <w:t xml:space="preserve"> currents was greater than 6.77 </w:t>
      </w:r>
      <w:proofErr w:type="spellStart"/>
      <w:r>
        <w:rPr>
          <w:kern w:val="2"/>
        </w:rPr>
        <w:t>μM</w:t>
      </w:r>
      <w:proofErr w:type="spellEnd"/>
      <w:r>
        <w:rPr>
          <w:kern w:val="2"/>
        </w:rPr>
        <w:t xml:space="preserve">, which is approximately 540 times greater than the clinical </w:t>
      </w:r>
      <w:r w:rsidR="002F076F">
        <w:t>maximal plasma concentration</w:t>
      </w:r>
      <w:r w:rsidR="002F076F" w:rsidRPr="00AA53F4">
        <w:rPr>
          <w:lang w:val="en-US"/>
        </w:rPr>
        <w:t xml:space="preserve"> </w:t>
      </w:r>
      <w:r w:rsidR="002F076F">
        <w:rPr>
          <w:lang w:val="en-US"/>
        </w:rPr>
        <w:t>(</w:t>
      </w:r>
      <w:proofErr w:type="spellStart"/>
      <w:r w:rsidR="00F769DD" w:rsidRPr="00AA53F4">
        <w:rPr>
          <w:lang w:val="en-US"/>
        </w:rPr>
        <w:t>C</w:t>
      </w:r>
      <w:r w:rsidR="00F769DD" w:rsidRPr="00F769DD">
        <w:rPr>
          <w:vertAlign w:val="subscript"/>
          <w:lang w:val="en-US"/>
        </w:rPr>
        <w:t>max</w:t>
      </w:r>
      <w:proofErr w:type="spellEnd"/>
      <w:r w:rsidR="002F076F">
        <w:rPr>
          <w:lang w:val="en-US"/>
        </w:rPr>
        <w:t>).</w:t>
      </w:r>
      <w:r>
        <w:rPr>
          <w:rStyle w:val="FootnoteReference"/>
          <w:kern w:val="2"/>
        </w:rPr>
        <w:footnoteReference w:id="8"/>
      </w:r>
    </w:p>
    <w:p w14:paraId="1843B572" w14:textId="07690804" w:rsidR="00C70C45" w:rsidRDefault="00C70C45" w:rsidP="005C4508">
      <w:pPr>
        <w:pStyle w:val="Heading4"/>
      </w:pPr>
      <w:bookmarkStart w:id="53" w:name="_Toc294861724"/>
      <w:bookmarkStart w:id="54" w:name="_Toc295290866"/>
      <w:bookmarkStart w:id="55" w:name="_Toc505172202"/>
      <w:r w:rsidRPr="00EB69F1">
        <w:t>Pharmacokinetics</w:t>
      </w:r>
      <w:bookmarkEnd w:id="53"/>
      <w:bookmarkEnd w:id="54"/>
      <w:bookmarkEnd w:id="55"/>
    </w:p>
    <w:p w14:paraId="7894A084" w14:textId="20B69540" w:rsidR="00C70C45" w:rsidRDefault="00C70C45" w:rsidP="005C4508">
      <w:r w:rsidRPr="005C4508">
        <w:t>Owing to the lack of cross-species reactivity for inotuzumab</w:t>
      </w:r>
      <w:r>
        <w:t xml:space="preserve"> the disposition of inotuzumab ozogamicin and its cytotoxic component in the nonclinical species (rat and monkey) is primarily non-target related. The disposition of inotuzumab ozogamicin in these species following IV administration was characterised by low plasma clearance (1.52 mL/h/kg and 1.14 mL/h/kg in rat and monkey, respectively), apparent volume of distribution (0.082 and 0.062 L/kg, respectively) consistent with no extravascular distribution, and mean terminal elimination half-life of the order of 50</w:t>
      </w:r>
      <w:r w:rsidR="00D974EF">
        <w:t xml:space="preserve"> to </w:t>
      </w:r>
      <w:r>
        <w:t>60 h in both species. In comparison, plasma clearance in humans was lower (0.476 mL/h/kg, assuming a 70 kg body weight), the terminal elimination half-life was much longer (approximately 12 days, or 288 h) and the apparent volume of distribution was 0.17 L/kg.</w:t>
      </w:r>
    </w:p>
    <w:p w14:paraId="78DEDA71" w14:textId="77777777" w:rsidR="00C70C45" w:rsidRDefault="00C70C45" w:rsidP="005C4508">
      <w:r>
        <w:t>Exposure to inotuzumab ozogamicin and the unconjugated antibody increased with dose, and the systemic exposure of the antibody (based on AUC values) was higher than the conjugate in both species. In monkeys, serum unconjugated calicheamicin concentrations were below quantifiable limits at all time points. Most of the circulating material in rat plasma was associated with the conjugated antibody, with only minimal amounts of de-conjugated calicheamicin-ass</w:t>
      </w:r>
      <w:r w:rsidR="005C4508">
        <w:t>ociated radioactivity detected.</w:t>
      </w:r>
    </w:p>
    <w:p w14:paraId="186F0FDF" w14:textId="77777777" w:rsidR="00C70C45" w:rsidRPr="00401756" w:rsidRDefault="005C4508" w:rsidP="005C4508">
      <w:r>
        <w:t xml:space="preserve">Repeat </w:t>
      </w:r>
      <w:r w:rsidR="00C70C45">
        <w:t>dose toxicokinetic studies in rats and monkeys revealed no sex-related differences in exposure. Increases in exposure were approximately dose-proportional in rats, but not in monkeys, where exposure increased more rapidly than dose. Anti-drug antibodies (ADAs) we</w:t>
      </w:r>
      <w:r>
        <w:t xml:space="preserve">re detected in approximately 10 to </w:t>
      </w:r>
      <w:r w:rsidR="00C70C45">
        <w:t xml:space="preserve">13% of rats dosed with inotuzumab ozogamicin, but they were not </w:t>
      </w:r>
      <w:r>
        <w:t>detected in the monkey studies.</w:t>
      </w:r>
    </w:p>
    <w:p w14:paraId="77C0AA5C" w14:textId="77777777" w:rsidR="00C70C45" w:rsidRPr="005C4508" w:rsidRDefault="00C70C45" w:rsidP="005C4508">
      <w:r>
        <w:lastRenderedPageBreak/>
        <w:t xml:space="preserve">Binding of </w:t>
      </w:r>
      <w:r w:rsidRPr="009B156B">
        <w:rPr>
          <w:kern w:val="2"/>
        </w:rPr>
        <w:t>N</w:t>
      </w:r>
      <w:r>
        <w:rPr>
          <w:kern w:val="2"/>
        </w:rPr>
        <w:t>-Ac-</w:t>
      </w:r>
      <w:r w:rsidR="005C4508">
        <w:rPr>
          <w:kern w:val="2"/>
        </w:rPr>
        <w:t>γ</w:t>
      </w:r>
      <w:r>
        <w:rPr>
          <w:kern w:val="2"/>
        </w:rPr>
        <w:t>-calicheamicin-DMH</w:t>
      </w:r>
      <w:r>
        <w:t xml:space="preserve"> to proteins in plasma was high</w:t>
      </w:r>
      <w:r w:rsidRPr="00AE3D48">
        <w:t xml:space="preserve"> in humans, rabbits and cynomolgus monkeys</w:t>
      </w:r>
      <w:r>
        <w:t xml:space="preserve"> (approximately 97%), and slightly higher values</w:t>
      </w:r>
      <w:r w:rsidR="006779D9">
        <w:t xml:space="preserve"> </w:t>
      </w:r>
      <w:r w:rsidRPr="00AE3D48">
        <w:t xml:space="preserve">in </w:t>
      </w:r>
      <w:proofErr w:type="spellStart"/>
      <w:r w:rsidRPr="00AE3D48">
        <w:t>Wistar</w:t>
      </w:r>
      <w:proofErr w:type="spellEnd"/>
      <w:r w:rsidRPr="00AE3D48">
        <w:t xml:space="preserve"> Han rats, SD rats and </w:t>
      </w:r>
      <w:r>
        <w:t>mice, with fraction unbound (</w:t>
      </w:r>
      <w:proofErr w:type="spellStart"/>
      <w:r>
        <w:t>fu</w:t>
      </w:r>
      <w:proofErr w:type="spellEnd"/>
      <w:r>
        <w:t xml:space="preserve">) values </w:t>
      </w:r>
      <w:r w:rsidRPr="00AE3D48">
        <w:t>0</w:t>
      </w:r>
      <w:r>
        <w:t>.5, 0.24 and 0.03 times the human</w:t>
      </w:r>
      <w:r w:rsidRPr="00AE3D48">
        <w:t xml:space="preserve"> value, respectively</w:t>
      </w:r>
      <w:r>
        <w:t xml:space="preserve">. Blood to plasma concentration ratios and RBC partition coefficients of </w:t>
      </w:r>
      <w:r w:rsidR="005C4508">
        <w:rPr>
          <w:i/>
        </w:rPr>
        <w:t>N</w:t>
      </w:r>
      <w:r w:rsidR="005C4508">
        <w:t>-Ac-γ</w:t>
      </w:r>
      <w:r>
        <w:rPr>
          <w:kern w:val="2"/>
        </w:rPr>
        <w:t>-calicheamicin-DMH in rat, monkey and human are indicative of limited distribution in red blood cells. A distribution study in rats with radiolabelled inotuzumab ozogamicin confirmed the limited tissue distribution following IV administration, as tissue-to-plasma radioactivity AUC ratios were below unity. The ADC and its metabolites showed very limited potential to cross the blood-brain barrier.</w:t>
      </w:r>
    </w:p>
    <w:p w14:paraId="35548F26" w14:textId="011C7EAF" w:rsidR="00C70C45" w:rsidRDefault="00C70C45" w:rsidP="005C4508">
      <w:r>
        <w:t xml:space="preserve">The pathways for clearance of inotuzumab ozogamicin from plasma in the nonclinical species are expected to differ from that in humans, owing to the lack of cross-species reactivity for inotuzumab. The metabolites identified following incubation of </w:t>
      </w:r>
      <w:r w:rsidR="005C4508">
        <w:rPr>
          <w:i/>
        </w:rPr>
        <w:t>N</w:t>
      </w:r>
      <w:r w:rsidR="005C4508">
        <w:t>-Ac-γ</w:t>
      </w:r>
      <w:r>
        <w:t>-calicheamicin D</w:t>
      </w:r>
      <w:r w:rsidR="0064216E">
        <w:t>M</w:t>
      </w:r>
      <w:r>
        <w:t>H in S9 fractions from rats, monkeys and humans were similar, and were also similar to those seen in plasma and in buffer control, suggesting that biotransformation may occur non-enzymatically</w:t>
      </w:r>
      <w:r w:rsidRPr="005C4508">
        <w:t>.</w:t>
      </w:r>
      <w:r w:rsidR="006779D9" w:rsidRPr="005C4508">
        <w:t xml:space="preserve"> </w:t>
      </w:r>
      <w:r w:rsidRPr="005C4508">
        <w:rPr>
          <w:vertAlign w:val="superscript"/>
        </w:rPr>
        <w:t>3</w:t>
      </w:r>
      <w:r>
        <w:t>H-</w:t>
      </w:r>
      <w:r w:rsidRPr="009B156B">
        <w:t>N</w:t>
      </w:r>
      <w:r>
        <w:t>-Ac-</w:t>
      </w:r>
      <w:r w:rsidR="005C4508">
        <w:t>γ</w:t>
      </w:r>
      <w:r>
        <w:t>-calicheamicin DM</w:t>
      </w:r>
      <w:r w:rsidR="00A13E38">
        <w:t>H</w:t>
      </w:r>
      <w:r>
        <w:t xml:space="preserve"> was extensively metabolised in rats following release from IV-administered </w:t>
      </w:r>
      <w:r>
        <w:rPr>
          <w:vertAlign w:val="superscript"/>
        </w:rPr>
        <w:t>3</w:t>
      </w:r>
      <w:r>
        <w:t xml:space="preserve">H-inotuzumab ozogamicin. </w:t>
      </w:r>
      <w:r w:rsidR="002754B3" w:rsidRPr="003A5F4A">
        <w:t xml:space="preserve">The primary metabolic pathway for </w:t>
      </w:r>
      <w:r w:rsidR="002754B3" w:rsidRPr="009B156B">
        <w:rPr>
          <w:vertAlign w:val="superscript"/>
        </w:rPr>
        <w:t>3</w:t>
      </w:r>
      <w:r w:rsidR="002754B3" w:rsidRPr="003A5F4A">
        <w:t>H</w:t>
      </w:r>
      <w:r w:rsidR="00D974EF">
        <w:t>-</w:t>
      </w:r>
      <w:r w:rsidR="002754B3" w:rsidRPr="003A5F4A">
        <w:t xml:space="preserve">N-Ac-γ-calicheamicin DMH was via non-enzymatic reduction </w:t>
      </w:r>
      <w:r w:rsidR="002754B3">
        <w:t>of the disulfide moiety</w:t>
      </w:r>
      <w:r w:rsidR="002754B3" w:rsidRPr="003A5F4A">
        <w:t xml:space="preserve">, with hydrolysis </w:t>
      </w:r>
      <w:r w:rsidR="002754B3">
        <w:t>(</w:t>
      </w:r>
      <w:r w:rsidR="002754B3" w:rsidRPr="003A5F4A">
        <w:t>at the hydrazide moiety), oxidation, and adduction (with pyruvic acid) being minor metabolic pathways.</w:t>
      </w:r>
      <w:r w:rsidR="002754B3">
        <w:t xml:space="preserve">  </w:t>
      </w:r>
      <w:r>
        <w:t xml:space="preserve">Approximately 98% of circulating radioactivity remained associated with protein, and inotuzumab ozogamicin accounted for 66% of total radioactivity based on </w:t>
      </w:r>
      <w:r w:rsidR="00D36D35">
        <w:t>the area under the curve from dosing to infinity (</w:t>
      </w:r>
      <w:r>
        <w:t>AUC</w:t>
      </w:r>
      <w:r>
        <w:rPr>
          <w:vertAlign w:val="subscript"/>
        </w:rPr>
        <w:t>0-∞</w:t>
      </w:r>
      <w:r w:rsidR="00D36D35">
        <w:t>)</w:t>
      </w:r>
      <w:r>
        <w:t xml:space="preserve">, with two unidentified higher </w:t>
      </w:r>
      <w:r w:rsidR="00D36D35">
        <w:t>molecular weight</w:t>
      </w:r>
      <w:r>
        <w:t xml:space="preserve"> components accounting for the remainder. The only metabolite detected in serum from </w:t>
      </w:r>
      <w:r w:rsidR="00D36D35">
        <w:t>non</w:t>
      </w:r>
      <w:r>
        <w:t xml:space="preserve">-Hodgkin’s Lymphoma patients treated with inotuzumab ozogamicin was cleaved </w:t>
      </w:r>
      <w:r w:rsidR="005C4508" w:rsidRPr="009B156B">
        <w:t>N</w:t>
      </w:r>
      <w:r w:rsidR="005C4508">
        <w:t>-Ac-γ</w:t>
      </w:r>
      <w:r>
        <w:t>-calicheamicin DMH. There were no un</w:t>
      </w:r>
      <w:r w:rsidR="005C4508">
        <w:t>ique human urinary metabolites.</w:t>
      </w:r>
    </w:p>
    <w:p w14:paraId="080464DF" w14:textId="77777777" w:rsidR="00C70C45" w:rsidRDefault="00C70C45" w:rsidP="005C4508">
      <w:r>
        <w:t xml:space="preserve">Non-specific hydrolysis of the acid-labile DMH linker of inotuzumab ozogamicin in plasma could potentially reduce its efficacy and/or increase toxicity. In </w:t>
      </w:r>
      <w:r w:rsidRPr="00D36D35">
        <w:t xml:space="preserve">an </w:t>
      </w:r>
      <w:r w:rsidRPr="009B156B">
        <w:t>ex vivo</w:t>
      </w:r>
      <w:r>
        <w:t xml:space="preserve"> study more than 90% of </w:t>
      </w:r>
      <w:r w:rsidR="005C4508">
        <w:t>drug related</w:t>
      </w:r>
      <w:r>
        <w:t xml:space="preserve"> activity remained associated with protein following incubation with plasma from rat, monkey and human for 96 h at 37 °C, and over time </w:t>
      </w:r>
      <w:r>
        <w:rPr>
          <w:vertAlign w:val="superscript"/>
        </w:rPr>
        <w:t>3</w:t>
      </w:r>
      <w:r>
        <w:t>H-</w:t>
      </w:r>
      <w:r w:rsidR="005C4508" w:rsidRPr="009B156B">
        <w:t>N</w:t>
      </w:r>
      <w:r w:rsidR="005C4508">
        <w:t>-Ac-γ</w:t>
      </w:r>
      <w:r>
        <w:t>-calicheamicin DMH-related radioactivity is likely to become associated with plasma proteins.</w:t>
      </w:r>
    </w:p>
    <w:p w14:paraId="2B9E7E1A" w14:textId="3D34C0D7" w:rsidR="00C70C45" w:rsidRPr="005B3409" w:rsidRDefault="00C70C45" w:rsidP="005C4508">
      <w:r w:rsidRPr="007D2225">
        <w:t>Following</w:t>
      </w:r>
      <w:r>
        <w:t xml:space="preserve"> IV administration of</w:t>
      </w:r>
      <w:r>
        <w:rPr>
          <w:vertAlign w:val="superscript"/>
        </w:rPr>
        <w:t xml:space="preserve"> </w:t>
      </w:r>
      <w:r w:rsidRPr="005B3409">
        <w:rPr>
          <w:vertAlign w:val="superscript"/>
        </w:rPr>
        <w:t>3</w:t>
      </w:r>
      <w:r w:rsidRPr="005B3409">
        <w:t>H</w:t>
      </w:r>
      <w:r w:rsidRPr="005B3409">
        <w:noBreakHyphen/>
        <w:t xml:space="preserve">inotuzumab ozogamicin </w:t>
      </w:r>
      <w:r>
        <w:t xml:space="preserve">to </w:t>
      </w:r>
      <w:r w:rsidRPr="005B3409">
        <w:t>rats</w:t>
      </w:r>
      <w:r>
        <w:t xml:space="preserve">, approximately 80% of </w:t>
      </w:r>
      <w:r w:rsidR="005C4508">
        <w:t>drug related</w:t>
      </w:r>
      <w:r>
        <w:t xml:space="preserve"> radioactivity was recovered in the faeces, following excretion into the bile, with approximately 8</w:t>
      </w:r>
      <w:r w:rsidR="00D36D35">
        <w:t xml:space="preserve"> to </w:t>
      </w:r>
      <w:r>
        <w:t>9% of the dose excreted via urine. Faecal radioactivity eliminat</w:t>
      </w:r>
      <w:r w:rsidR="005C4508">
        <w:t>ed slowly over 504 h post-dose.</w:t>
      </w:r>
    </w:p>
    <w:p w14:paraId="7A588309" w14:textId="77777777" w:rsidR="00C70C45" w:rsidRPr="00EB69F1" w:rsidRDefault="00C70C45" w:rsidP="005C4508">
      <w:pPr>
        <w:pStyle w:val="Heading4"/>
      </w:pPr>
      <w:bookmarkStart w:id="56" w:name="_Toc294861725"/>
      <w:r w:rsidRPr="00EB69F1">
        <w:t>Pharmacokinetic drug interactions</w:t>
      </w:r>
      <w:bookmarkEnd w:id="56"/>
      <w:r>
        <w:rPr>
          <w:rStyle w:val="FootnoteReference"/>
          <w:kern w:val="2"/>
        </w:rPr>
        <w:footnoteReference w:id="9"/>
      </w:r>
    </w:p>
    <w:p w14:paraId="30A7D713" w14:textId="6A2715CA" w:rsidR="00C70C45" w:rsidRDefault="00C70C45" w:rsidP="005C4508">
      <w:r>
        <w:t xml:space="preserve">As discussed above, metabolism of </w:t>
      </w:r>
      <w:r w:rsidR="005C4508" w:rsidRPr="009B156B">
        <w:t>N</w:t>
      </w:r>
      <w:r w:rsidR="005C4508">
        <w:t>-Ac-γ</w:t>
      </w:r>
      <w:r>
        <w:t xml:space="preserve">-calicheamicin DMH is unlikely to be mediated by </w:t>
      </w:r>
      <w:r w:rsidR="00D36D35">
        <w:t xml:space="preserve">cytochrome </w:t>
      </w:r>
      <w:r w:rsidR="00BF79CA">
        <w:t>P450 (CYP)</w:t>
      </w:r>
      <w:r>
        <w:t xml:space="preserve"> or </w:t>
      </w:r>
      <w:r w:rsidR="0041592A">
        <w:t>uridine diphosphate-glucuronosyltransferase (</w:t>
      </w:r>
      <w:r>
        <w:t>UGT</w:t>
      </w:r>
      <w:r w:rsidR="0041592A">
        <w:t>)</w:t>
      </w:r>
      <w:r>
        <w:t xml:space="preserve"> drug metabolising enzymes, and so interactions following co-administration with inhibitors or inducers of such enzymes are not anticipated. Based on </w:t>
      </w:r>
      <w:r w:rsidRPr="009B156B">
        <w:t>in vitro</w:t>
      </w:r>
      <w:r>
        <w:t xml:space="preserve"> data, i</w:t>
      </w:r>
      <w:r w:rsidRPr="00A374FD">
        <w:t>notuzumab</w:t>
      </w:r>
      <w:r w:rsidRPr="00002BC3">
        <w:t xml:space="preserve"> ozogamicin </w:t>
      </w:r>
      <w:r>
        <w:t xml:space="preserve">and/or </w:t>
      </w:r>
      <w:r w:rsidR="005C4508" w:rsidRPr="009B156B">
        <w:t>N</w:t>
      </w:r>
      <w:r w:rsidR="005C4508">
        <w:t>-Ac-γ</w:t>
      </w:r>
      <w:r>
        <w:t xml:space="preserve">-calicheamicin DMH showed low potential for inhibition of </w:t>
      </w:r>
      <w:r w:rsidRPr="00002BC3">
        <w:t>CYP1A2, CYP</w:t>
      </w:r>
      <w:r>
        <w:t xml:space="preserve">2A6, </w:t>
      </w:r>
      <w:r w:rsidRPr="00002BC3">
        <w:t>CYP2B6,</w:t>
      </w:r>
      <w:r w:rsidRPr="00EB69F1">
        <w:rPr>
          <w:color w:val="00B050"/>
        </w:rPr>
        <w:t xml:space="preserve"> </w:t>
      </w:r>
      <w:r w:rsidRPr="00002BC3">
        <w:t>CYP2C8, CYP2C9, CYP2C19</w:t>
      </w:r>
      <w:r>
        <w:t xml:space="preserve">, </w:t>
      </w:r>
      <w:r w:rsidRPr="00002BC3">
        <w:t>CYP2D</w:t>
      </w:r>
      <w:r>
        <w:t xml:space="preserve">6, </w:t>
      </w:r>
      <w:r w:rsidRPr="00002BC3">
        <w:t>CYP</w:t>
      </w:r>
      <w:r>
        <w:t xml:space="preserve">3A4/5, UGT1A1, UGT1A4, UGT1A6, UGT1A9 and UGT2B7 at clinically relevant concentrations. </w:t>
      </w:r>
      <w:r w:rsidR="005C4508" w:rsidRPr="009B156B">
        <w:t>N</w:t>
      </w:r>
      <w:r w:rsidR="00D36D35">
        <w:noBreakHyphen/>
      </w:r>
      <w:r w:rsidR="005C4508">
        <w:t>Ac-γ</w:t>
      </w:r>
      <w:r>
        <w:t>-calicheamicin DMH did not show potential to induce the activity of CYP450 enzyme</w:t>
      </w:r>
      <w:r w:rsidR="005C4508">
        <w:t>s.</w:t>
      </w:r>
    </w:p>
    <w:p w14:paraId="31F2AF79" w14:textId="77777777" w:rsidR="00C70C45" w:rsidRPr="00531F1C" w:rsidRDefault="005C4508" w:rsidP="005C4508">
      <w:r w:rsidRPr="009B156B">
        <w:lastRenderedPageBreak/>
        <w:t>N</w:t>
      </w:r>
      <w:r>
        <w:t>-Ac-γ</w:t>
      </w:r>
      <w:r w:rsidR="00C70C45">
        <w:t xml:space="preserve">-calicheamicin DMH was shown to be a substrate for P-glycoprotein but not the </w:t>
      </w:r>
      <w:r w:rsidR="003308E5">
        <w:t>breast cancer resistance protein (</w:t>
      </w:r>
      <w:r w:rsidR="00C70C45">
        <w:t>BCRP</w:t>
      </w:r>
      <w:r w:rsidR="003308E5">
        <w:t>)</w:t>
      </w:r>
      <w:r w:rsidR="00C70C45">
        <w:t xml:space="preserve"> efflux transporter in MDCK cells. Its uptake into human hepatocytes </w:t>
      </w:r>
      <w:r w:rsidR="00C70C45" w:rsidRPr="009B156B">
        <w:rPr>
          <w:i/>
        </w:rPr>
        <w:t>in vitro</w:t>
      </w:r>
      <w:r w:rsidR="00C70C45">
        <w:rPr>
          <w:i/>
        </w:rPr>
        <w:t xml:space="preserve"> </w:t>
      </w:r>
      <w:r w:rsidR="00C70C45">
        <w:rPr>
          <w:kern w:val="2"/>
        </w:rPr>
        <w:t xml:space="preserve">was not inhibited by the </w:t>
      </w:r>
      <w:r w:rsidR="00A232E5">
        <w:t>organic anion-transporting polypeptide</w:t>
      </w:r>
      <w:r w:rsidR="00A232E5">
        <w:rPr>
          <w:kern w:val="2"/>
        </w:rPr>
        <w:t xml:space="preserve"> (</w:t>
      </w:r>
      <w:r w:rsidR="00A232E5">
        <w:t>OATP</w:t>
      </w:r>
      <w:r w:rsidR="00A232E5">
        <w:rPr>
          <w:kern w:val="2"/>
        </w:rPr>
        <w:t xml:space="preserve">) </w:t>
      </w:r>
      <w:r w:rsidR="00C70C45">
        <w:rPr>
          <w:kern w:val="2"/>
        </w:rPr>
        <w:t xml:space="preserve">OATP1B1 and OATP1B3 hepatic uptake transporter inhibitor, </w:t>
      </w:r>
      <w:proofErr w:type="spellStart"/>
      <w:r w:rsidR="00C70C45">
        <w:rPr>
          <w:kern w:val="2"/>
        </w:rPr>
        <w:t>rifamycin</w:t>
      </w:r>
      <w:proofErr w:type="spellEnd"/>
      <w:r w:rsidR="00C70C45">
        <w:rPr>
          <w:kern w:val="2"/>
        </w:rPr>
        <w:t>, indicating that it enters human hepatocytes by passive diffusion, and therefore is unlikely to be a substrate for hepatic uptake transporters.</w:t>
      </w:r>
    </w:p>
    <w:p w14:paraId="464277F1" w14:textId="3FAC6F51" w:rsidR="00C70C45" w:rsidRPr="00DD5AF1" w:rsidRDefault="00C70C45" w:rsidP="005C4508">
      <w:r>
        <w:t xml:space="preserve">Similarly, based on </w:t>
      </w:r>
      <w:r w:rsidRPr="009B156B">
        <w:rPr>
          <w:i/>
        </w:rPr>
        <w:t>in vitro</w:t>
      </w:r>
      <w:r>
        <w:t xml:space="preserve"> studies, a</w:t>
      </w:r>
      <w:r w:rsidRPr="002A3E1C">
        <w:t>t</w:t>
      </w:r>
      <w:r>
        <w:t xml:space="preserve"> clinically relevant concentrations, </w:t>
      </w:r>
      <w:r w:rsidR="005C4508" w:rsidRPr="009B156B">
        <w:t>N</w:t>
      </w:r>
      <w:r w:rsidR="005C4508">
        <w:t>-Ac-γ</w:t>
      </w:r>
      <w:r>
        <w:t xml:space="preserve">-calicheamicin DMH is not expected to inhibit the efflux transporters </w:t>
      </w:r>
      <w:r w:rsidR="0041592A">
        <w:t>P-glycoprotein (</w:t>
      </w:r>
      <w:r>
        <w:t>P-</w:t>
      </w:r>
      <w:proofErr w:type="spellStart"/>
      <w:r>
        <w:t>gp</w:t>
      </w:r>
      <w:proofErr w:type="spellEnd"/>
      <w:r w:rsidR="0041592A">
        <w:t>)</w:t>
      </w:r>
      <w:r>
        <w:t>, BCRP, bile salt export pump (BSEP), multidrug resistance associated protein (MRP) 2, multidrug and toxin extrusion protein (MATE) 1, and MATE2K, or the uptake transporters OATP1B1, OATP1B3, organic cation transporter</w:t>
      </w:r>
      <w:r w:rsidR="00D36D35">
        <w:t xml:space="preserve"> (OCT) OCT1</w:t>
      </w:r>
      <w:r>
        <w:t xml:space="preserve">, </w:t>
      </w:r>
      <w:r w:rsidR="00D36D35">
        <w:t xml:space="preserve">and the </w:t>
      </w:r>
      <w:r>
        <w:t>organic anion transporter</w:t>
      </w:r>
      <w:r w:rsidR="00D36D35">
        <w:t>s</w:t>
      </w:r>
      <w:r>
        <w:t xml:space="preserve"> (OAT) </w:t>
      </w:r>
      <w:r w:rsidR="00D36D35">
        <w:t>OAT</w:t>
      </w:r>
      <w:r>
        <w:t>1</w:t>
      </w:r>
      <w:r w:rsidR="00D36D35">
        <w:t xml:space="preserve"> and</w:t>
      </w:r>
      <w:r>
        <w:t xml:space="preserve"> OAT3, and OCT2.</w:t>
      </w:r>
    </w:p>
    <w:p w14:paraId="7F004139" w14:textId="77777777" w:rsidR="0086046D" w:rsidRPr="005C4508" w:rsidRDefault="008E7846" w:rsidP="005C4508">
      <w:pPr>
        <w:pStyle w:val="Heading3"/>
      </w:pPr>
      <w:bookmarkStart w:id="57" w:name="_Toc247691514"/>
      <w:bookmarkStart w:id="58" w:name="_Toc314842498"/>
      <w:bookmarkStart w:id="59" w:name="_Toc16505595"/>
      <w:r w:rsidRPr="005C4508">
        <w:t>Toxicology</w:t>
      </w:r>
      <w:bookmarkEnd w:id="57"/>
      <w:bookmarkEnd w:id="58"/>
      <w:bookmarkEnd w:id="59"/>
    </w:p>
    <w:p w14:paraId="47D31E65" w14:textId="77777777" w:rsidR="00C70C45" w:rsidRPr="00EB69F1" w:rsidRDefault="00C70C45" w:rsidP="005C4508">
      <w:pPr>
        <w:pStyle w:val="Heading4"/>
      </w:pPr>
      <w:bookmarkStart w:id="60" w:name="_Toc294861727"/>
      <w:r w:rsidRPr="00EB69F1">
        <w:t>Acute toxicity</w:t>
      </w:r>
      <w:bookmarkEnd w:id="60"/>
    </w:p>
    <w:p w14:paraId="0941D7BF" w14:textId="77777777" w:rsidR="00C70C45" w:rsidRPr="005C4508" w:rsidRDefault="00CC30C8" w:rsidP="005C4508">
      <w:pPr>
        <w:pStyle w:val="TableTitle"/>
      </w:pPr>
      <w:r>
        <w:t>Table 3:</w:t>
      </w:r>
      <w:r w:rsidR="00C70C45" w:rsidRPr="005C4508">
        <w:t xml:space="preserve"> Relative exposure in acute toxicity studies</w:t>
      </w:r>
    </w:p>
    <w:tbl>
      <w:tblPr>
        <w:tblStyle w:val="TableTGAblue"/>
        <w:tblW w:w="8626" w:type="dxa"/>
        <w:tblLayout w:type="fixed"/>
        <w:tblLook w:val="01E0" w:firstRow="1" w:lastRow="1" w:firstColumn="1" w:lastColumn="1" w:noHBand="0" w:noVBand="0"/>
      </w:tblPr>
      <w:tblGrid>
        <w:gridCol w:w="1809"/>
        <w:gridCol w:w="1136"/>
        <w:gridCol w:w="1136"/>
        <w:gridCol w:w="1136"/>
        <w:gridCol w:w="845"/>
        <w:gridCol w:w="1427"/>
        <w:gridCol w:w="1137"/>
      </w:tblGrid>
      <w:tr w:rsidR="0086046D" w:rsidRPr="00EB69F1" w14:paraId="0FFFACA0" w14:textId="77777777" w:rsidTr="009B156B">
        <w:trPr>
          <w:cnfStyle w:val="100000000000" w:firstRow="1" w:lastRow="0" w:firstColumn="0" w:lastColumn="0" w:oddVBand="0" w:evenVBand="0" w:oddHBand="0" w:evenHBand="0" w:firstRowFirstColumn="0" w:firstRowLastColumn="0" w:lastRowFirstColumn="0" w:lastRowLastColumn="0"/>
          <w:trHeight w:val="723"/>
        </w:trPr>
        <w:tc>
          <w:tcPr>
            <w:tcW w:w="1809" w:type="dxa"/>
          </w:tcPr>
          <w:p w14:paraId="62AA4166" w14:textId="3B072EC6" w:rsidR="0086046D" w:rsidRPr="00D36D35" w:rsidRDefault="0086046D" w:rsidP="00EF795A">
            <w:pPr>
              <w:pStyle w:val="TableHeader"/>
              <w:ind w:left="0" w:right="0"/>
              <w:rPr>
                <w:b/>
                <w:color w:val="auto"/>
                <w:lang w:eastAsia="en-US"/>
              </w:rPr>
            </w:pPr>
            <w:r w:rsidRPr="00D36D35">
              <w:t>Species</w:t>
            </w:r>
            <w:r w:rsidR="00EF795A">
              <w:t xml:space="preserve"> </w:t>
            </w:r>
            <w:r w:rsidRPr="00D36D35">
              <w:t>Study no.</w:t>
            </w:r>
          </w:p>
        </w:tc>
        <w:tc>
          <w:tcPr>
            <w:tcW w:w="1136" w:type="dxa"/>
          </w:tcPr>
          <w:p w14:paraId="389BCB0F" w14:textId="410AC534" w:rsidR="0086046D" w:rsidRPr="00D36D35" w:rsidRDefault="0086046D" w:rsidP="00EF795A">
            <w:pPr>
              <w:pStyle w:val="TableHeader"/>
              <w:ind w:left="0" w:right="0"/>
              <w:rPr>
                <w:b/>
                <w:color w:val="auto"/>
                <w:lang w:eastAsia="en-US"/>
              </w:rPr>
            </w:pPr>
            <w:r w:rsidRPr="00D36D35">
              <w:t>Dose</w:t>
            </w:r>
            <w:r w:rsidR="00EF795A">
              <w:t xml:space="preserve"> </w:t>
            </w:r>
            <w:r w:rsidRPr="00D36D35">
              <w:t>(mg/</w:t>
            </w:r>
            <w:r w:rsidR="00F769DD" w:rsidRPr="00D36D35">
              <w:rPr>
                <w:lang w:val="en-US"/>
              </w:rPr>
              <w:t>m</w:t>
            </w:r>
            <w:r w:rsidR="00F769DD" w:rsidRPr="00D36D35">
              <w:rPr>
                <w:vertAlign w:val="superscript"/>
                <w:lang w:val="en-US"/>
              </w:rPr>
              <w:t>2</w:t>
            </w:r>
            <w:r w:rsidRPr="00D36D35">
              <w:t>)</w:t>
            </w:r>
          </w:p>
        </w:tc>
        <w:tc>
          <w:tcPr>
            <w:tcW w:w="1136" w:type="dxa"/>
          </w:tcPr>
          <w:p w14:paraId="4BC9D298" w14:textId="77777777" w:rsidR="0086046D" w:rsidRPr="00D36D35" w:rsidRDefault="0086046D">
            <w:pPr>
              <w:pStyle w:val="TableHeader"/>
              <w:ind w:left="0" w:right="0"/>
              <w:rPr>
                <w:b/>
                <w:color w:val="auto"/>
                <w:lang w:eastAsia="en-US"/>
              </w:rPr>
            </w:pPr>
            <w:r w:rsidRPr="00D36D35">
              <w:t>ER</w:t>
            </w:r>
            <w:r w:rsidRPr="00D36D35">
              <w:rPr>
                <w:vertAlign w:val="superscript"/>
              </w:rPr>
              <w:t>1</w:t>
            </w:r>
          </w:p>
        </w:tc>
        <w:tc>
          <w:tcPr>
            <w:tcW w:w="1136" w:type="dxa"/>
          </w:tcPr>
          <w:p w14:paraId="18A0EA63" w14:textId="77777777" w:rsidR="0086046D" w:rsidRPr="00D36D35" w:rsidRDefault="0086046D">
            <w:pPr>
              <w:pStyle w:val="TableHeader"/>
              <w:ind w:left="0" w:right="0"/>
              <w:rPr>
                <w:b/>
                <w:color w:val="auto"/>
                <w:lang w:eastAsia="en-US"/>
              </w:rPr>
            </w:pPr>
            <w:r w:rsidRPr="00D36D35">
              <w:t>^</w:t>
            </w:r>
            <w:proofErr w:type="spellStart"/>
            <w:r w:rsidR="00F769DD" w:rsidRPr="00D36D35">
              <w:rPr>
                <w:lang w:val="en-US"/>
              </w:rPr>
              <w:t>C</w:t>
            </w:r>
            <w:r w:rsidR="00F769DD" w:rsidRPr="00D36D35">
              <w:rPr>
                <w:vertAlign w:val="subscript"/>
                <w:lang w:val="en-US"/>
              </w:rPr>
              <w:t>max</w:t>
            </w:r>
            <w:proofErr w:type="spellEnd"/>
            <w:r w:rsidRPr="00D36D35">
              <w:t xml:space="preserve"> (ng/mL)</w:t>
            </w:r>
          </w:p>
        </w:tc>
        <w:tc>
          <w:tcPr>
            <w:tcW w:w="845" w:type="dxa"/>
          </w:tcPr>
          <w:p w14:paraId="704C9148" w14:textId="77777777" w:rsidR="0086046D" w:rsidRPr="00D36D35" w:rsidRDefault="0086046D">
            <w:pPr>
              <w:pStyle w:val="TableHeader"/>
              <w:ind w:left="0" w:right="0"/>
              <w:rPr>
                <w:b/>
                <w:color w:val="auto"/>
                <w:lang w:eastAsia="en-US"/>
              </w:rPr>
            </w:pPr>
            <w:r w:rsidRPr="00D36D35">
              <w:t>ER</w:t>
            </w:r>
            <w:r w:rsidRPr="00D36D35">
              <w:rPr>
                <w:vertAlign w:val="superscript"/>
              </w:rPr>
              <w:t>2</w:t>
            </w:r>
          </w:p>
        </w:tc>
        <w:tc>
          <w:tcPr>
            <w:tcW w:w="1427" w:type="dxa"/>
          </w:tcPr>
          <w:p w14:paraId="446E75A3" w14:textId="46DE0910" w:rsidR="0086046D" w:rsidRPr="00D36D35" w:rsidRDefault="0086046D">
            <w:pPr>
              <w:pStyle w:val="TableHeader"/>
              <w:ind w:left="0" w:right="0"/>
              <w:rPr>
                <w:b/>
                <w:color w:val="auto"/>
                <w:lang w:eastAsia="en-US"/>
              </w:rPr>
            </w:pPr>
            <w:r w:rsidRPr="00D36D35">
              <w:t>^AUC</w:t>
            </w:r>
            <w:r w:rsidRPr="00D36D35">
              <w:rPr>
                <w:vertAlign w:val="subscript"/>
              </w:rPr>
              <w:t>0</w:t>
            </w:r>
            <w:r w:rsidR="007A3382" w:rsidRPr="00D36D35">
              <w:rPr>
                <w:vertAlign w:val="subscript"/>
              </w:rPr>
              <w:noBreakHyphen/>
            </w:r>
            <w:r w:rsidRPr="00D36D35">
              <w:rPr>
                <w:rFonts w:hint="eastAsia"/>
                <w:vertAlign w:val="subscript"/>
              </w:rPr>
              <w:t>∞</w:t>
            </w:r>
            <w:r w:rsidRPr="00D36D35">
              <w:t>(</w:t>
            </w:r>
            <w:proofErr w:type="spellStart"/>
            <w:r w:rsidRPr="00D36D35">
              <w:t>ng∙h</w:t>
            </w:r>
            <w:proofErr w:type="spellEnd"/>
            <w:r w:rsidRPr="00D36D35">
              <w:t>/mL)</w:t>
            </w:r>
          </w:p>
        </w:tc>
        <w:tc>
          <w:tcPr>
            <w:tcW w:w="1137" w:type="dxa"/>
          </w:tcPr>
          <w:p w14:paraId="5CA3B911" w14:textId="77777777" w:rsidR="0086046D" w:rsidRPr="00D36D35" w:rsidRDefault="0086046D">
            <w:pPr>
              <w:pStyle w:val="TableHeader"/>
              <w:ind w:left="0" w:right="0"/>
              <w:rPr>
                <w:b/>
                <w:color w:val="auto"/>
                <w:lang w:eastAsia="en-US"/>
              </w:rPr>
            </w:pPr>
            <w:r w:rsidRPr="00D36D35">
              <w:t>ER</w:t>
            </w:r>
            <w:r w:rsidRPr="00D36D35">
              <w:rPr>
                <w:vertAlign w:val="superscript"/>
              </w:rPr>
              <w:t>3</w:t>
            </w:r>
          </w:p>
        </w:tc>
      </w:tr>
      <w:tr w:rsidR="0086046D" w:rsidRPr="00EB69F1" w14:paraId="7CE81959" w14:textId="77777777" w:rsidTr="009B156B">
        <w:trPr>
          <w:trHeight w:val="226"/>
        </w:trPr>
        <w:tc>
          <w:tcPr>
            <w:tcW w:w="1809" w:type="dxa"/>
            <w:vMerge w:val="restart"/>
          </w:tcPr>
          <w:p w14:paraId="4191052A" w14:textId="4F0E8E64" w:rsidR="007A3382" w:rsidRDefault="0086046D" w:rsidP="009B156B">
            <w:pPr>
              <w:pStyle w:val="Tabletext"/>
              <w:keepNext/>
              <w:keepLines/>
              <w:spacing w:before="40" w:after="40"/>
              <w:ind w:left="0" w:right="0"/>
              <w:jc w:val="center"/>
              <w:rPr>
                <w:color w:val="auto"/>
                <w:kern w:val="2"/>
                <w:szCs w:val="22"/>
                <w:lang w:eastAsia="en-US"/>
              </w:rPr>
            </w:pPr>
            <w:r w:rsidRPr="001F28BA">
              <w:rPr>
                <w:b/>
                <w:kern w:val="2"/>
              </w:rPr>
              <w:t>Rat</w:t>
            </w:r>
            <w:r>
              <w:rPr>
                <w:kern w:val="2"/>
              </w:rPr>
              <w:t xml:space="preserve"> </w:t>
            </w:r>
            <w:r w:rsidRPr="001F28BA">
              <w:rPr>
                <w:kern w:val="2"/>
              </w:rPr>
              <w:t>(SD)</w:t>
            </w:r>
          </w:p>
          <w:p w14:paraId="11966B53" w14:textId="77777777" w:rsidR="0086046D" w:rsidRPr="001F28BA" w:rsidRDefault="0086046D" w:rsidP="009B156B">
            <w:pPr>
              <w:pStyle w:val="Tabletext"/>
              <w:keepNext/>
              <w:keepLines/>
              <w:spacing w:before="40" w:after="40"/>
              <w:ind w:left="0" w:right="0"/>
              <w:jc w:val="center"/>
              <w:rPr>
                <w:color w:val="auto"/>
                <w:kern w:val="2"/>
                <w:szCs w:val="22"/>
                <w:lang w:eastAsia="en-US"/>
              </w:rPr>
            </w:pPr>
            <w:r>
              <w:rPr>
                <w:kern w:val="2"/>
              </w:rPr>
              <w:t>RPT-46233</w:t>
            </w:r>
          </w:p>
        </w:tc>
        <w:tc>
          <w:tcPr>
            <w:tcW w:w="1136" w:type="dxa"/>
          </w:tcPr>
          <w:p w14:paraId="52A00254" w14:textId="77777777" w:rsidR="0086046D" w:rsidRPr="001F28BA" w:rsidRDefault="0086046D" w:rsidP="009B156B">
            <w:pPr>
              <w:pStyle w:val="Tabletext"/>
              <w:keepNext/>
              <w:keepLines/>
              <w:ind w:left="0" w:right="0"/>
              <w:jc w:val="center"/>
              <w:rPr>
                <w:color w:val="auto"/>
                <w:kern w:val="2"/>
                <w:szCs w:val="22"/>
                <w:lang w:eastAsia="en-US"/>
              </w:rPr>
            </w:pPr>
            <w:r>
              <w:rPr>
                <w:kern w:val="2"/>
              </w:rPr>
              <w:t>2.92</w:t>
            </w:r>
          </w:p>
        </w:tc>
        <w:tc>
          <w:tcPr>
            <w:tcW w:w="1136" w:type="dxa"/>
          </w:tcPr>
          <w:p w14:paraId="5F862CAD" w14:textId="77777777" w:rsidR="0086046D" w:rsidRPr="001F28BA" w:rsidRDefault="0086046D" w:rsidP="009B156B">
            <w:pPr>
              <w:pStyle w:val="Tabletext"/>
              <w:keepNext/>
              <w:keepLines/>
              <w:ind w:left="0" w:right="0"/>
              <w:jc w:val="center"/>
              <w:rPr>
                <w:color w:val="auto"/>
                <w:kern w:val="2"/>
                <w:szCs w:val="22"/>
                <w:lang w:eastAsia="en-US"/>
              </w:rPr>
            </w:pPr>
            <w:r>
              <w:rPr>
                <w:kern w:val="2"/>
              </w:rPr>
              <w:t>3.7</w:t>
            </w:r>
          </w:p>
        </w:tc>
        <w:tc>
          <w:tcPr>
            <w:tcW w:w="1136" w:type="dxa"/>
          </w:tcPr>
          <w:p w14:paraId="396CD2B9" w14:textId="77777777" w:rsidR="0086046D" w:rsidRPr="009B156B" w:rsidRDefault="0086046D" w:rsidP="009B156B">
            <w:pPr>
              <w:rPr>
                <w:szCs w:val="19"/>
              </w:rPr>
            </w:pPr>
            <w:r w:rsidRPr="009B156B">
              <w:rPr>
                <w:sz w:val="19"/>
                <w:szCs w:val="19"/>
              </w:rPr>
              <w:t>8389</w:t>
            </w:r>
          </w:p>
        </w:tc>
        <w:tc>
          <w:tcPr>
            <w:tcW w:w="845" w:type="dxa"/>
          </w:tcPr>
          <w:p w14:paraId="1EDCCFF0" w14:textId="77777777" w:rsidR="0086046D" w:rsidRPr="009B156B" w:rsidRDefault="0086046D" w:rsidP="009B156B">
            <w:pPr>
              <w:rPr>
                <w:szCs w:val="19"/>
              </w:rPr>
            </w:pPr>
            <w:r w:rsidRPr="009B156B">
              <w:rPr>
                <w:sz w:val="19"/>
                <w:szCs w:val="19"/>
              </w:rPr>
              <w:t>27</w:t>
            </w:r>
          </w:p>
        </w:tc>
        <w:tc>
          <w:tcPr>
            <w:tcW w:w="1427" w:type="dxa"/>
          </w:tcPr>
          <w:p w14:paraId="1821DDAA" w14:textId="77777777" w:rsidR="0086046D" w:rsidRPr="009B156B" w:rsidRDefault="0086046D" w:rsidP="009B156B">
            <w:pPr>
              <w:rPr>
                <w:szCs w:val="19"/>
              </w:rPr>
            </w:pPr>
            <w:r w:rsidRPr="009B156B">
              <w:rPr>
                <w:sz w:val="19"/>
                <w:szCs w:val="19"/>
              </w:rPr>
              <w:t>220389</w:t>
            </w:r>
          </w:p>
        </w:tc>
        <w:tc>
          <w:tcPr>
            <w:tcW w:w="1137" w:type="dxa"/>
          </w:tcPr>
          <w:p w14:paraId="6641946D" w14:textId="77777777" w:rsidR="0086046D" w:rsidRPr="009B156B" w:rsidRDefault="0086046D" w:rsidP="009B156B">
            <w:pPr>
              <w:rPr>
                <w:szCs w:val="19"/>
              </w:rPr>
            </w:pPr>
            <w:r w:rsidRPr="009B156B">
              <w:rPr>
                <w:sz w:val="19"/>
                <w:szCs w:val="19"/>
              </w:rPr>
              <w:t>2.2</w:t>
            </w:r>
          </w:p>
        </w:tc>
      </w:tr>
      <w:tr w:rsidR="0086046D" w:rsidRPr="00EB69F1" w14:paraId="59E6ADD6" w14:textId="77777777" w:rsidTr="009B156B">
        <w:trPr>
          <w:trHeight w:val="226"/>
        </w:trPr>
        <w:tc>
          <w:tcPr>
            <w:tcW w:w="1809" w:type="dxa"/>
            <w:vMerge/>
          </w:tcPr>
          <w:p w14:paraId="6F215FEB" w14:textId="77777777" w:rsidR="0086046D" w:rsidRPr="001F28BA" w:rsidRDefault="0086046D" w:rsidP="009B156B">
            <w:pPr>
              <w:pStyle w:val="Tabletext"/>
              <w:keepNext/>
              <w:keepLines/>
              <w:spacing w:before="40" w:after="40"/>
              <w:ind w:left="0" w:right="0"/>
              <w:jc w:val="center"/>
              <w:rPr>
                <w:color w:val="auto"/>
                <w:kern w:val="2"/>
                <w:szCs w:val="22"/>
                <w:lang w:eastAsia="en-US"/>
              </w:rPr>
            </w:pPr>
          </w:p>
        </w:tc>
        <w:tc>
          <w:tcPr>
            <w:tcW w:w="1136" w:type="dxa"/>
          </w:tcPr>
          <w:p w14:paraId="6E69AC7C" w14:textId="77777777" w:rsidR="0086046D" w:rsidRPr="001F28BA" w:rsidRDefault="0086046D" w:rsidP="009B156B">
            <w:pPr>
              <w:pStyle w:val="Tabletext"/>
              <w:keepNext/>
              <w:keepLines/>
              <w:ind w:left="0" w:right="0"/>
              <w:jc w:val="center"/>
              <w:rPr>
                <w:color w:val="auto"/>
                <w:kern w:val="2"/>
                <w:szCs w:val="22"/>
                <w:lang w:eastAsia="en-US"/>
              </w:rPr>
            </w:pPr>
            <w:r>
              <w:rPr>
                <w:kern w:val="2"/>
              </w:rPr>
              <w:t>7.68</w:t>
            </w:r>
          </w:p>
        </w:tc>
        <w:tc>
          <w:tcPr>
            <w:tcW w:w="1136" w:type="dxa"/>
          </w:tcPr>
          <w:p w14:paraId="670B0376" w14:textId="77777777" w:rsidR="0086046D" w:rsidRPr="001F28BA" w:rsidRDefault="0086046D" w:rsidP="009B156B">
            <w:pPr>
              <w:pStyle w:val="Tabletext"/>
              <w:keepNext/>
              <w:keepLines/>
              <w:ind w:left="0" w:right="0"/>
              <w:jc w:val="center"/>
              <w:rPr>
                <w:color w:val="auto"/>
                <w:kern w:val="2"/>
                <w:szCs w:val="22"/>
                <w:lang w:eastAsia="en-US"/>
              </w:rPr>
            </w:pPr>
            <w:r>
              <w:rPr>
                <w:kern w:val="2"/>
              </w:rPr>
              <w:t>9.6</w:t>
            </w:r>
          </w:p>
        </w:tc>
        <w:tc>
          <w:tcPr>
            <w:tcW w:w="1136" w:type="dxa"/>
          </w:tcPr>
          <w:p w14:paraId="2C90ADCB" w14:textId="77777777" w:rsidR="0086046D" w:rsidRPr="001F28BA" w:rsidRDefault="0086046D" w:rsidP="009B156B">
            <w:pPr>
              <w:rPr>
                <w:color w:val="auto"/>
                <w:szCs w:val="22"/>
                <w:lang w:eastAsia="en-US"/>
              </w:rPr>
            </w:pPr>
            <w:r w:rsidRPr="009B156B">
              <w:rPr>
                <w:sz w:val="18"/>
              </w:rPr>
              <w:t>38895</w:t>
            </w:r>
          </w:p>
        </w:tc>
        <w:tc>
          <w:tcPr>
            <w:tcW w:w="845" w:type="dxa"/>
          </w:tcPr>
          <w:p w14:paraId="45681C1D" w14:textId="77777777" w:rsidR="0086046D" w:rsidRPr="009B156B" w:rsidRDefault="0086046D" w:rsidP="009B156B">
            <w:pPr>
              <w:rPr>
                <w:szCs w:val="19"/>
              </w:rPr>
            </w:pPr>
            <w:r w:rsidRPr="009B156B">
              <w:rPr>
                <w:sz w:val="19"/>
                <w:szCs w:val="19"/>
              </w:rPr>
              <w:t>126</w:t>
            </w:r>
          </w:p>
        </w:tc>
        <w:tc>
          <w:tcPr>
            <w:tcW w:w="1427" w:type="dxa"/>
          </w:tcPr>
          <w:p w14:paraId="460B566F" w14:textId="77777777" w:rsidR="0086046D" w:rsidRPr="009B156B" w:rsidRDefault="0086046D" w:rsidP="009B156B">
            <w:pPr>
              <w:rPr>
                <w:szCs w:val="19"/>
              </w:rPr>
            </w:pPr>
            <w:r w:rsidRPr="009B156B">
              <w:rPr>
                <w:sz w:val="19"/>
                <w:szCs w:val="19"/>
              </w:rPr>
              <w:t>779073</w:t>
            </w:r>
          </w:p>
        </w:tc>
        <w:tc>
          <w:tcPr>
            <w:tcW w:w="1137" w:type="dxa"/>
          </w:tcPr>
          <w:p w14:paraId="3BFFA842" w14:textId="77777777" w:rsidR="0086046D" w:rsidRPr="009B156B" w:rsidRDefault="0086046D" w:rsidP="009B156B">
            <w:pPr>
              <w:rPr>
                <w:szCs w:val="19"/>
              </w:rPr>
            </w:pPr>
            <w:r w:rsidRPr="009B156B">
              <w:rPr>
                <w:sz w:val="19"/>
                <w:szCs w:val="19"/>
              </w:rPr>
              <w:t>7.8</w:t>
            </w:r>
          </w:p>
        </w:tc>
      </w:tr>
      <w:tr w:rsidR="004322C0" w:rsidRPr="00EB69F1" w14:paraId="53E761A2" w14:textId="77777777" w:rsidTr="009B156B">
        <w:trPr>
          <w:trHeight w:val="226"/>
        </w:trPr>
        <w:tc>
          <w:tcPr>
            <w:tcW w:w="1809" w:type="dxa"/>
            <w:vMerge w:val="restart"/>
          </w:tcPr>
          <w:p w14:paraId="01A7DDFC" w14:textId="77777777" w:rsidR="004322C0" w:rsidRDefault="004322C0" w:rsidP="009B156B">
            <w:pPr>
              <w:pStyle w:val="Tabletext"/>
              <w:keepNext/>
              <w:keepLines/>
              <w:spacing w:before="40" w:after="40"/>
              <w:ind w:left="0" w:right="0"/>
              <w:jc w:val="center"/>
              <w:rPr>
                <w:b/>
                <w:color w:val="auto"/>
                <w:kern w:val="2"/>
                <w:szCs w:val="22"/>
                <w:lang w:eastAsia="en-US"/>
              </w:rPr>
            </w:pPr>
            <w:r>
              <w:rPr>
                <w:b/>
                <w:kern w:val="2"/>
              </w:rPr>
              <w:t>Monkey</w:t>
            </w:r>
          </w:p>
          <w:p w14:paraId="64F31143" w14:textId="77777777" w:rsidR="004322C0" w:rsidRDefault="004322C0" w:rsidP="009B156B">
            <w:pPr>
              <w:pStyle w:val="Tabletext"/>
              <w:keepNext/>
              <w:keepLines/>
              <w:spacing w:before="40" w:after="40"/>
              <w:ind w:left="0" w:right="0"/>
              <w:jc w:val="center"/>
              <w:rPr>
                <w:color w:val="auto"/>
                <w:kern w:val="2"/>
                <w:szCs w:val="22"/>
                <w:lang w:eastAsia="en-US"/>
              </w:rPr>
            </w:pPr>
            <w:r>
              <w:rPr>
                <w:kern w:val="2"/>
              </w:rPr>
              <w:t>(cynomolgus)</w:t>
            </w:r>
          </w:p>
          <w:p w14:paraId="1FFBCDF6" w14:textId="65B80B22" w:rsidR="00917942" w:rsidRPr="00ED6AFD" w:rsidRDefault="00917942" w:rsidP="009B156B">
            <w:pPr>
              <w:pStyle w:val="Tabletext"/>
              <w:keepNext/>
              <w:keepLines/>
              <w:spacing w:before="40" w:after="40"/>
              <w:ind w:left="0" w:right="0"/>
              <w:jc w:val="center"/>
              <w:rPr>
                <w:color w:val="auto"/>
                <w:kern w:val="2"/>
                <w:szCs w:val="22"/>
                <w:lang w:eastAsia="en-US"/>
              </w:rPr>
            </w:pPr>
            <w:r w:rsidRPr="009B156B">
              <w:rPr>
                <w:color w:val="auto"/>
              </w:rPr>
              <w:t>RPT-46644</w:t>
            </w:r>
          </w:p>
        </w:tc>
        <w:tc>
          <w:tcPr>
            <w:tcW w:w="1136" w:type="dxa"/>
          </w:tcPr>
          <w:p w14:paraId="1A191FCD" w14:textId="5B84C4C8" w:rsidR="004322C0" w:rsidRPr="004322C0" w:rsidRDefault="00917942" w:rsidP="009B156B">
            <w:pPr>
              <w:pStyle w:val="Tabletext"/>
              <w:keepNext/>
              <w:keepLines/>
              <w:ind w:left="0" w:right="0"/>
              <w:jc w:val="center"/>
              <w:rPr>
                <w:color w:val="auto"/>
                <w:kern w:val="2"/>
                <w:szCs w:val="22"/>
                <w:lang w:eastAsia="en-US"/>
              </w:rPr>
            </w:pPr>
            <w:r>
              <w:rPr>
                <w:kern w:val="2"/>
              </w:rPr>
              <w:t>4.2</w:t>
            </w:r>
          </w:p>
        </w:tc>
        <w:tc>
          <w:tcPr>
            <w:tcW w:w="1136" w:type="dxa"/>
          </w:tcPr>
          <w:p w14:paraId="50E5BAC0" w14:textId="77777777" w:rsidR="004322C0" w:rsidRPr="00ED6AFD" w:rsidRDefault="004322C0" w:rsidP="009B156B">
            <w:pPr>
              <w:pStyle w:val="Tabletext"/>
              <w:keepNext/>
              <w:keepLines/>
              <w:ind w:left="0" w:right="0"/>
              <w:jc w:val="center"/>
              <w:rPr>
                <w:color w:val="auto"/>
                <w:kern w:val="2"/>
                <w:szCs w:val="22"/>
                <w:lang w:eastAsia="en-US"/>
              </w:rPr>
            </w:pPr>
            <w:r>
              <w:rPr>
                <w:kern w:val="2"/>
              </w:rPr>
              <w:t>5.1</w:t>
            </w:r>
          </w:p>
        </w:tc>
        <w:tc>
          <w:tcPr>
            <w:tcW w:w="1136" w:type="dxa"/>
          </w:tcPr>
          <w:p w14:paraId="183A2D95" w14:textId="77777777" w:rsidR="004322C0" w:rsidRPr="00ED6AFD" w:rsidRDefault="004322C0" w:rsidP="009B156B">
            <w:pPr>
              <w:pStyle w:val="Tabletext"/>
              <w:keepNext/>
              <w:keepLines/>
              <w:spacing w:before="0" w:after="0"/>
              <w:ind w:left="0" w:right="0"/>
              <w:jc w:val="center"/>
              <w:rPr>
                <w:color w:val="auto"/>
                <w:kern w:val="2"/>
                <w:szCs w:val="22"/>
                <w:lang w:eastAsia="en-US"/>
              </w:rPr>
            </w:pPr>
            <w:r>
              <w:rPr>
                <w:kern w:val="2"/>
              </w:rPr>
              <w:t>17750</w:t>
            </w:r>
          </w:p>
        </w:tc>
        <w:tc>
          <w:tcPr>
            <w:tcW w:w="845" w:type="dxa"/>
          </w:tcPr>
          <w:p w14:paraId="0AF3766A" w14:textId="77777777" w:rsidR="004322C0" w:rsidRPr="009B156B" w:rsidRDefault="004322C0" w:rsidP="009B156B">
            <w:pPr>
              <w:rPr>
                <w:szCs w:val="19"/>
              </w:rPr>
            </w:pPr>
            <w:r w:rsidRPr="009B156B">
              <w:rPr>
                <w:sz w:val="19"/>
                <w:szCs w:val="19"/>
              </w:rPr>
              <w:t>58</w:t>
            </w:r>
          </w:p>
        </w:tc>
        <w:tc>
          <w:tcPr>
            <w:tcW w:w="1427" w:type="dxa"/>
          </w:tcPr>
          <w:p w14:paraId="39126659" w14:textId="44ED9FFE" w:rsidR="004322C0" w:rsidRPr="009B156B" w:rsidRDefault="004322C0" w:rsidP="00EF795A">
            <w:pPr>
              <w:rPr>
                <w:szCs w:val="19"/>
              </w:rPr>
            </w:pPr>
            <w:r w:rsidRPr="009B156B">
              <w:rPr>
                <w:sz w:val="19"/>
                <w:szCs w:val="19"/>
              </w:rPr>
              <w:t>25300</w:t>
            </w:r>
            <w:r w:rsidR="00917942" w:rsidRPr="009B156B">
              <w:rPr>
                <w:sz w:val="19"/>
                <w:szCs w:val="19"/>
              </w:rPr>
              <w:t>0</w:t>
            </w:r>
            <w:r w:rsidRPr="009B156B">
              <w:rPr>
                <w:sz w:val="19"/>
                <w:szCs w:val="19"/>
              </w:rPr>
              <w:t>4</w:t>
            </w:r>
            <w:r w:rsidR="00917942" w:rsidRPr="009B156B">
              <w:rPr>
                <w:sz w:val="19"/>
                <w:szCs w:val="19"/>
              </w:rPr>
              <w:t xml:space="preserve"> [KJP1]</w:t>
            </w:r>
            <w:r w:rsidR="00EF795A">
              <w:rPr>
                <w:sz w:val="19"/>
                <w:szCs w:val="19"/>
              </w:rPr>
              <w:t xml:space="preserve"> </w:t>
            </w:r>
            <w:r w:rsidR="00917942" w:rsidRPr="009B156B">
              <w:rPr>
                <w:sz w:val="19"/>
                <w:szCs w:val="19"/>
              </w:rPr>
              <w:t>[KJP2]</w:t>
            </w:r>
          </w:p>
        </w:tc>
        <w:tc>
          <w:tcPr>
            <w:tcW w:w="1137" w:type="dxa"/>
          </w:tcPr>
          <w:p w14:paraId="11ED33C2" w14:textId="77777777" w:rsidR="004322C0" w:rsidRPr="009B156B" w:rsidRDefault="004322C0" w:rsidP="009B156B">
            <w:pPr>
              <w:rPr>
                <w:szCs w:val="19"/>
              </w:rPr>
            </w:pPr>
            <w:r w:rsidRPr="009B156B">
              <w:rPr>
                <w:sz w:val="19"/>
                <w:szCs w:val="19"/>
              </w:rPr>
              <w:t>2.5</w:t>
            </w:r>
          </w:p>
        </w:tc>
      </w:tr>
      <w:tr w:rsidR="004322C0" w:rsidRPr="00EB69F1" w14:paraId="34D20D0F" w14:textId="77777777" w:rsidTr="009B156B">
        <w:trPr>
          <w:trHeight w:val="226"/>
        </w:trPr>
        <w:tc>
          <w:tcPr>
            <w:tcW w:w="1809" w:type="dxa"/>
            <w:vMerge/>
          </w:tcPr>
          <w:p w14:paraId="6E995A9E" w14:textId="77777777" w:rsidR="004322C0" w:rsidRPr="00ED6AFD" w:rsidRDefault="004322C0" w:rsidP="009B156B">
            <w:pPr>
              <w:pStyle w:val="Tabletext"/>
              <w:keepNext/>
              <w:keepLines/>
              <w:spacing w:before="40" w:after="40"/>
              <w:ind w:left="0" w:right="0"/>
              <w:jc w:val="center"/>
              <w:rPr>
                <w:color w:val="auto"/>
                <w:kern w:val="2"/>
                <w:szCs w:val="22"/>
                <w:lang w:eastAsia="en-US"/>
              </w:rPr>
            </w:pPr>
          </w:p>
        </w:tc>
        <w:tc>
          <w:tcPr>
            <w:tcW w:w="1136" w:type="dxa"/>
          </w:tcPr>
          <w:p w14:paraId="0C364647" w14:textId="329E90EA" w:rsidR="004322C0" w:rsidRPr="004322C0" w:rsidRDefault="00917942" w:rsidP="009B156B">
            <w:pPr>
              <w:pStyle w:val="Tabletext"/>
              <w:keepNext/>
              <w:keepLines/>
              <w:ind w:left="0" w:right="0"/>
              <w:jc w:val="center"/>
              <w:rPr>
                <w:color w:val="auto"/>
                <w:kern w:val="2"/>
                <w:szCs w:val="22"/>
                <w:lang w:eastAsia="en-US"/>
              </w:rPr>
            </w:pPr>
            <w:r>
              <w:rPr>
                <w:kern w:val="2"/>
              </w:rPr>
              <w:t>8.3</w:t>
            </w:r>
          </w:p>
        </w:tc>
        <w:tc>
          <w:tcPr>
            <w:tcW w:w="1136" w:type="dxa"/>
          </w:tcPr>
          <w:p w14:paraId="1932D468" w14:textId="77777777" w:rsidR="004322C0" w:rsidRPr="00ED6AFD" w:rsidRDefault="004322C0" w:rsidP="009B156B">
            <w:pPr>
              <w:pStyle w:val="Tabletext"/>
              <w:keepNext/>
              <w:keepLines/>
              <w:ind w:left="0" w:right="0"/>
              <w:jc w:val="center"/>
              <w:rPr>
                <w:color w:val="auto"/>
                <w:kern w:val="2"/>
                <w:szCs w:val="22"/>
                <w:lang w:eastAsia="en-US"/>
              </w:rPr>
            </w:pPr>
            <w:r>
              <w:rPr>
                <w:kern w:val="2"/>
              </w:rPr>
              <w:t>10.2</w:t>
            </w:r>
          </w:p>
        </w:tc>
        <w:tc>
          <w:tcPr>
            <w:tcW w:w="1136" w:type="dxa"/>
          </w:tcPr>
          <w:p w14:paraId="4E0B5F9D" w14:textId="77777777" w:rsidR="004322C0" w:rsidRPr="00ED6AFD" w:rsidRDefault="004322C0" w:rsidP="009B156B">
            <w:pPr>
              <w:pStyle w:val="Tabletext"/>
              <w:keepNext/>
              <w:keepLines/>
              <w:spacing w:before="0" w:after="0"/>
              <w:ind w:left="0" w:right="0"/>
              <w:jc w:val="center"/>
              <w:rPr>
                <w:color w:val="auto"/>
                <w:kern w:val="2"/>
                <w:szCs w:val="22"/>
                <w:lang w:eastAsia="en-US"/>
              </w:rPr>
            </w:pPr>
            <w:r>
              <w:rPr>
                <w:kern w:val="2"/>
              </w:rPr>
              <w:t>36300</w:t>
            </w:r>
          </w:p>
        </w:tc>
        <w:tc>
          <w:tcPr>
            <w:tcW w:w="845" w:type="dxa"/>
          </w:tcPr>
          <w:p w14:paraId="255FEEF7" w14:textId="77777777" w:rsidR="004322C0" w:rsidRPr="009B156B" w:rsidRDefault="004322C0" w:rsidP="009B156B">
            <w:pPr>
              <w:rPr>
                <w:szCs w:val="19"/>
              </w:rPr>
            </w:pPr>
            <w:r w:rsidRPr="009B156B">
              <w:rPr>
                <w:sz w:val="19"/>
                <w:szCs w:val="19"/>
              </w:rPr>
              <w:t>118</w:t>
            </w:r>
          </w:p>
        </w:tc>
        <w:tc>
          <w:tcPr>
            <w:tcW w:w="1427" w:type="dxa"/>
          </w:tcPr>
          <w:p w14:paraId="6C5F46E7" w14:textId="77777777" w:rsidR="004322C0" w:rsidRPr="009B156B" w:rsidRDefault="004322C0" w:rsidP="009B156B">
            <w:pPr>
              <w:rPr>
                <w:szCs w:val="19"/>
              </w:rPr>
            </w:pPr>
            <w:r w:rsidRPr="009B156B">
              <w:rPr>
                <w:sz w:val="19"/>
                <w:szCs w:val="19"/>
              </w:rPr>
              <w:t>5835004</w:t>
            </w:r>
          </w:p>
        </w:tc>
        <w:tc>
          <w:tcPr>
            <w:tcW w:w="1137" w:type="dxa"/>
          </w:tcPr>
          <w:p w14:paraId="1E300F92" w14:textId="77777777" w:rsidR="004322C0" w:rsidRPr="009B156B" w:rsidRDefault="004322C0" w:rsidP="009B156B">
            <w:pPr>
              <w:rPr>
                <w:szCs w:val="19"/>
              </w:rPr>
            </w:pPr>
            <w:r w:rsidRPr="009B156B">
              <w:rPr>
                <w:sz w:val="19"/>
                <w:szCs w:val="19"/>
              </w:rPr>
              <w:t>5.8</w:t>
            </w:r>
          </w:p>
        </w:tc>
      </w:tr>
      <w:tr w:rsidR="004322C0" w:rsidRPr="00EB69F1" w14:paraId="4F4145A0" w14:textId="77777777" w:rsidTr="009B156B">
        <w:trPr>
          <w:trHeight w:val="226"/>
        </w:trPr>
        <w:tc>
          <w:tcPr>
            <w:tcW w:w="1809" w:type="dxa"/>
            <w:vMerge/>
          </w:tcPr>
          <w:p w14:paraId="794BDB0D" w14:textId="77777777" w:rsidR="004322C0" w:rsidRPr="00ED6AFD" w:rsidRDefault="004322C0" w:rsidP="009B156B">
            <w:pPr>
              <w:pStyle w:val="Tabletext"/>
              <w:keepNext/>
              <w:keepLines/>
              <w:spacing w:before="40" w:after="40"/>
              <w:ind w:left="0" w:right="0"/>
              <w:jc w:val="center"/>
              <w:rPr>
                <w:color w:val="auto"/>
                <w:kern w:val="2"/>
                <w:szCs w:val="22"/>
                <w:lang w:eastAsia="en-US"/>
              </w:rPr>
            </w:pPr>
          </w:p>
        </w:tc>
        <w:tc>
          <w:tcPr>
            <w:tcW w:w="1136" w:type="dxa"/>
          </w:tcPr>
          <w:p w14:paraId="6E1F836C" w14:textId="05F62438" w:rsidR="004322C0" w:rsidRPr="004322C0" w:rsidRDefault="00917942" w:rsidP="009B156B">
            <w:pPr>
              <w:pStyle w:val="Tabletext"/>
              <w:keepNext/>
              <w:keepLines/>
              <w:ind w:left="0" w:right="0"/>
              <w:jc w:val="center"/>
              <w:rPr>
                <w:color w:val="auto"/>
                <w:kern w:val="2"/>
                <w:szCs w:val="22"/>
                <w:lang w:eastAsia="en-US"/>
              </w:rPr>
            </w:pPr>
            <w:r>
              <w:rPr>
                <w:kern w:val="2"/>
              </w:rPr>
              <w:t>16.7 [KJP3]</w:t>
            </w:r>
          </w:p>
        </w:tc>
        <w:tc>
          <w:tcPr>
            <w:tcW w:w="1136" w:type="dxa"/>
          </w:tcPr>
          <w:p w14:paraId="4A01B042" w14:textId="77777777" w:rsidR="004322C0" w:rsidRPr="00ED6AFD" w:rsidRDefault="004322C0" w:rsidP="009B156B">
            <w:pPr>
              <w:pStyle w:val="Tabletext"/>
              <w:keepNext/>
              <w:keepLines/>
              <w:ind w:left="0" w:right="0"/>
              <w:jc w:val="center"/>
              <w:rPr>
                <w:color w:val="auto"/>
                <w:kern w:val="2"/>
                <w:szCs w:val="22"/>
                <w:lang w:eastAsia="en-US"/>
              </w:rPr>
            </w:pPr>
            <w:r>
              <w:rPr>
                <w:kern w:val="2"/>
              </w:rPr>
              <w:t>20.6</w:t>
            </w:r>
          </w:p>
        </w:tc>
        <w:tc>
          <w:tcPr>
            <w:tcW w:w="1136" w:type="dxa"/>
          </w:tcPr>
          <w:p w14:paraId="3DD3AEB7" w14:textId="77777777" w:rsidR="004322C0" w:rsidRPr="00ED6AFD" w:rsidRDefault="004322C0" w:rsidP="009B156B">
            <w:pPr>
              <w:pStyle w:val="Tabletext"/>
              <w:keepNext/>
              <w:keepLines/>
              <w:spacing w:before="0" w:after="0"/>
              <w:ind w:left="0" w:right="0"/>
              <w:jc w:val="center"/>
              <w:rPr>
                <w:color w:val="auto"/>
                <w:kern w:val="2"/>
                <w:szCs w:val="22"/>
                <w:lang w:eastAsia="en-US"/>
              </w:rPr>
            </w:pPr>
            <w:r>
              <w:rPr>
                <w:kern w:val="2"/>
              </w:rPr>
              <w:t>65100</w:t>
            </w:r>
          </w:p>
        </w:tc>
        <w:tc>
          <w:tcPr>
            <w:tcW w:w="845" w:type="dxa"/>
          </w:tcPr>
          <w:p w14:paraId="7CE27B0B" w14:textId="77777777" w:rsidR="004322C0" w:rsidRPr="009B156B" w:rsidRDefault="004322C0" w:rsidP="009B156B">
            <w:pPr>
              <w:rPr>
                <w:szCs w:val="19"/>
              </w:rPr>
            </w:pPr>
            <w:r w:rsidRPr="009B156B">
              <w:rPr>
                <w:sz w:val="19"/>
                <w:szCs w:val="19"/>
              </w:rPr>
              <w:t>211</w:t>
            </w:r>
          </w:p>
        </w:tc>
        <w:tc>
          <w:tcPr>
            <w:tcW w:w="1427" w:type="dxa"/>
          </w:tcPr>
          <w:p w14:paraId="179749AA" w14:textId="77777777" w:rsidR="004322C0" w:rsidRPr="009B156B" w:rsidRDefault="004322C0" w:rsidP="009B156B">
            <w:pPr>
              <w:rPr>
                <w:szCs w:val="19"/>
              </w:rPr>
            </w:pPr>
            <w:r w:rsidRPr="009B156B">
              <w:rPr>
                <w:sz w:val="19"/>
                <w:szCs w:val="19"/>
              </w:rPr>
              <w:t>1218000</w:t>
            </w:r>
          </w:p>
        </w:tc>
        <w:tc>
          <w:tcPr>
            <w:tcW w:w="1137" w:type="dxa"/>
          </w:tcPr>
          <w:p w14:paraId="21F1AB31" w14:textId="77777777" w:rsidR="004322C0" w:rsidRPr="009B156B" w:rsidRDefault="004322C0" w:rsidP="009B156B">
            <w:pPr>
              <w:rPr>
                <w:szCs w:val="19"/>
              </w:rPr>
            </w:pPr>
            <w:r w:rsidRPr="009B156B">
              <w:rPr>
                <w:sz w:val="19"/>
                <w:szCs w:val="19"/>
              </w:rPr>
              <w:t>12.2</w:t>
            </w:r>
          </w:p>
        </w:tc>
      </w:tr>
      <w:tr w:rsidR="004322C0" w:rsidRPr="00EB69F1" w14:paraId="4EAAF56A" w14:textId="77777777" w:rsidTr="009B156B">
        <w:trPr>
          <w:trHeight w:val="226"/>
        </w:trPr>
        <w:tc>
          <w:tcPr>
            <w:tcW w:w="1809" w:type="dxa"/>
          </w:tcPr>
          <w:p w14:paraId="1618E844" w14:textId="77777777" w:rsidR="004322C0" w:rsidRDefault="004322C0" w:rsidP="009B156B">
            <w:pPr>
              <w:pStyle w:val="Tabletext"/>
              <w:spacing w:before="40" w:after="40"/>
              <w:ind w:left="0" w:right="0"/>
              <w:jc w:val="center"/>
              <w:rPr>
                <w:color w:val="auto"/>
                <w:kern w:val="2"/>
                <w:szCs w:val="22"/>
                <w:lang w:eastAsia="en-US"/>
              </w:rPr>
            </w:pPr>
            <w:r w:rsidRPr="00ED6AFD">
              <w:rPr>
                <w:b/>
                <w:kern w:val="2"/>
              </w:rPr>
              <w:t>Human</w:t>
            </w:r>
          </w:p>
          <w:p w14:paraId="143D7559" w14:textId="353DA6BE" w:rsidR="004322C0" w:rsidRPr="00ED6AFD" w:rsidRDefault="004322C0" w:rsidP="00EF795A">
            <w:pPr>
              <w:pStyle w:val="Tabletext"/>
              <w:spacing w:before="40" w:after="40"/>
              <w:ind w:left="0" w:right="0"/>
              <w:jc w:val="center"/>
              <w:rPr>
                <w:color w:val="auto"/>
                <w:kern w:val="2"/>
                <w:szCs w:val="22"/>
                <w:lang w:eastAsia="en-US"/>
              </w:rPr>
            </w:pPr>
            <w:r w:rsidRPr="00ED6AFD">
              <w:rPr>
                <w:kern w:val="2"/>
              </w:rPr>
              <w:t>ALL patients</w:t>
            </w:r>
            <w:r w:rsidR="00EF795A">
              <w:rPr>
                <w:kern w:val="2"/>
              </w:rPr>
              <w:t xml:space="preserve"> </w:t>
            </w:r>
            <w:r w:rsidRPr="00ED6AFD">
              <w:rPr>
                <w:kern w:val="2"/>
              </w:rPr>
              <w:t>steady state (</w:t>
            </w:r>
            <w:r w:rsidR="00D36D35">
              <w:rPr>
                <w:kern w:val="2"/>
              </w:rPr>
              <w:t>C</w:t>
            </w:r>
            <w:r w:rsidRPr="00ED6AFD">
              <w:rPr>
                <w:kern w:val="2"/>
              </w:rPr>
              <w:t>ycle</w:t>
            </w:r>
            <w:r w:rsidR="007A3382">
              <w:rPr>
                <w:kern w:val="2"/>
              </w:rPr>
              <w:t> </w:t>
            </w:r>
            <w:r w:rsidRPr="00ED6AFD">
              <w:rPr>
                <w:kern w:val="2"/>
              </w:rPr>
              <w:t>4)</w:t>
            </w:r>
            <w:r w:rsidR="00EF795A">
              <w:rPr>
                <w:kern w:val="2"/>
              </w:rPr>
              <w:t xml:space="preserve"> </w:t>
            </w:r>
            <w:r>
              <w:rPr>
                <w:kern w:val="2"/>
              </w:rPr>
              <w:t>(</w:t>
            </w:r>
            <w:r w:rsidRPr="00ED6AFD">
              <w:rPr>
                <w:kern w:val="2"/>
              </w:rPr>
              <w:t>population PK analysis, Module 2.5.3.1</w:t>
            </w:r>
            <w:r w:rsidR="007A3382">
              <w:rPr>
                <w:kern w:val="2"/>
              </w:rPr>
              <w:t>)</w:t>
            </w:r>
          </w:p>
        </w:tc>
        <w:tc>
          <w:tcPr>
            <w:tcW w:w="1136" w:type="dxa"/>
          </w:tcPr>
          <w:p w14:paraId="14CBA197" w14:textId="77777777" w:rsidR="004322C0" w:rsidRPr="00ED6AFD" w:rsidRDefault="004322C0">
            <w:pPr>
              <w:pStyle w:val="Tabletext"/>
              <w:ind w:left="0" w:right="0"/>
              <w:rPr>
                <w:color w:val="auto"/>
                <w:kern w:val="2"/>
                <w:szCs w:val="22"/>
                <w:lang w:eastAsia="en-US"/>
              </w:rPr>
            </w:pPr>
            <w:r>
              <w:rPr>
                <w:kern w:val="2"/>
              </w:rPr>
              <w:t>Max. 0.8</w:t>
            </w:r>
          </w:p>
        </w:tc>
        <w:tc>
          <w:tcPr>
            <w:tcW w:w="1136" w:type="dxa"/>
          </w:tcPr>
          <w:p w14:paraId="6302D18E" w14:textId="77777777" w:rsidR="004322C0" w:rsidRPr="00ED6AFD" w:rsidRDefault="004322C0" w:rsidP="009B156B">
            <w:pPr>
              <w:pStyle w:val="Tabletext"/>
              <w:ind w:left="0" w:right="0"/>
              <w:jc w:val="center"/>
              <w:rPr>
                <w:color w:val="auto"/>
                <w:kern w:val="2"/>
                <w:szCs w:val="22"/>
                <w:lang w:eastAsia="en-US"/>
              </w:rPr>
            </w:pPr>
            <w:r>
              <w:rPr>
                <w:kern w:val="2"/>
              </w:rPr>
              <w:t>-</w:t>
            </w:r>
          </w:p>
        </w:tc>
        <w:tc>
          <w:tcPr>
            <w:tcW w:w="1136" w:type="dxa"/>
          </w:tcPr>
          <w:p w14:paraId="7E2E1B29" w14:textId="77777777" w:rsidR="004322C0" w:rsidRPr="00ED6AFD" w:rsidRDefault="004322C0" w:rsidP="009B156B">
            <w:pPr>
              <w:pStyle w:val="Tabletext"/>
              <w:spacing w:before="0" w:after="0"/>
              <w:ind w:left="0" w:right="0"/>
              <w:jc w:val="center"/>
              <w:rPr>
                <w:color w:val="auto"/>
                <w:kern w:val="2"/>
                <w:szCs w:val="22"/>
                <w:lang w:eastAsia="en-US"/>
              </w:rPr>
            </w:pPr>
            <w:r>
              <w:rPr>
                <w:kern w:val="2"/>
              </w:rPr>
              <w:t>308</w:t>
            </w:r>
          </w:p>
        </w:tc>
        <w:tc>
          <w:tcPr>
            <w:tcW w:w="845" w:type="dxa"/>
          </w:tcPr>
          <w:p w14:paraId="49D4E749" w14:textId="77777777" w:rsidR="004322C0" w:rsidRPr="009B156B" w:rsidRDefault="004322C0" w:rsidP="009B156B">
            <w:pPr>
              <w:rPr>
                <w:szCs w:val="19"/>
                <w:highlight w:val="yellow"/>
              </w:rPr>
            </w:pPr>
            <w:r w:rsidRPr="009B156B">
              <w:rPr>
                <w:sz w:val="19"/>
                <w:szCs w:val="19"/>
              </w:rPr>
              <w:t>-</w:t>
            </w:r>
          </w:p>
        </w:tc>
        <w:tc>
          <w:tcPr>
            <w:tcW w:w="1427" w:type="dxa"/>
          </w:tcPr>
          <w:p w14:paraId="07B9AADF" w14:textId="77777777" w:rsidR="004322C0" w:rsidRPr="009B156B" w:rsidRDefault="004322C0" w:rsidP="009B156B">
            <w:pPr>
              <w:rPr>
                <w:szCs w:val="19"/>
              </w:rPr>
            </w:pPr>
            <w:r w:rsidRPr="009B156B">
              <w:rPr>
                <w:sz w:val="19"/>
                <w:szCs w:val="19"/>
              </w:rPr>
              <w:t>100000</w:t>
            </w:r>
          </w:p>
        </w:tc>
        <w:tc>
          <w:tcPr>
            <w:tcW w:w="1137" w:type="dxa"/>
          </w:tcPr>
          <w:p w14:paraId="78DCEE32" w14:textId="77777777" w:rsidR="004322C0" w:rsidRPr="009B156B" w:rsidRDefault="004322C0" w:rsidP="009B156B">
            <w:pPr>
              <w:rPr>
                <w:szCs w:val="19"/>
              </w:rPr>
            </w:pPr>
            <w:r w:rsidRPr="009B156B">
              <w:rPr>
                <w:sz w:val="19"/>
                <w:szCs w:val="19"/>
              </w:rPr>
              <w:t>-</w:t>
            </w:r>
          </w:p>
        </w:tc>
      </w:tr>
    </w:tbl>
    <w:p w14:paraId="0F95CA17" w14:textId="77777777" w:rsidR="0086046D" w:rsidRPr="00EB69F1" w:rsidRDefault="0086046D" w:rsidP="005C4508">
      <w:pPr>
        <w:pStyle w:val="TableDescription"/>
      </w:pPr>
      <w:r>
        <w:rPr>
          <w:position w:val="-2"/>
          <w:vertAlign w:val="superscript"/>
        </w:rPr>
        <w:t>1</w:t>
      </w:r>
      <w:r w:rsidR="0014606A">
        <w:t xml:space="preserve"> = </w:t>
      </w:r>
      <w:r>
        <w:t xml:space="preserve">exposure ratio based on dose per unit of BSA; </w:t>
      </w:r>
      <w:r w:rsidRPr="0055574A">
        <w:rPr>
          <w:vertAlign w:val="superscript"/>
        </w:rPr>
        <w:t>2</w:t>
      </w:r>
      <w:r w:rsidR="0014606A">
        <w:t xml:space="preserve"> = </w:t>
      </w:r>
      <w:r>
        <w:t xml:space="preserve">exposure ratio based on </w:t>
      </w:r>
      <w:proofErr w:type="spellStart"/>
      <w:r>
        <w:t>inotuzumab</w:t>
      </w:r>
      <w:proofErr w:type="spellEnd"/>
      <w:r>
        <w:t xml:space="preserve"> </w:t>
      </w:r>
      <w:proofErr w:type="spellStart"/>
      <w:r>
        <w:t>ozogamicin</w:t>
      </w:r>
      <w:proofErr w:type="spellEnd"/>
      <w:r>
        <w:t xml:space="preserve"> </w:t>
      </w:r>
      <w:proofErr w:type="spellStart"/>
      <w:r w:rsidR="00F769DD" w:rsidRPr="00AA53F4">
        <w:rPr>
          <w:lang w:val="en-US"/>
        </w:rPr>
        <w:t>C</w:t>
      </w:r>
      <w:r w:rsidR="00F769DD" w:rsidRPr="00F769DD">
        <w:rPr>
          <w:vertAlign w:val="subscript"/>
          <w:lang w:val="en-US"/>
        </w:rPr>
        <w:t>max</w:t>
      </w:r>
      <w:proofErr w:type="spellEnd"/>
      <w:r>
        <w:t xml:space="preserve">; </w:t>
      </w:r>
      <w:r w:rsidRPr="0055574A">
        <w:rPr>
          <w:vertAlign w:val="superscript"/>
        </w:rPr>
        <w:t>3</w:t>
      </w:r>
      <w:r w:rsidR="0014606A">
        <w:t xml:space="preserve"> = </w:t>
      </w:r>
      <w:r>
        <w:t xml:space="preserve">exposure ratio based on </w:t>
      </w:r>
      <w:r w:rsidRPr="00EB69F1">
        <w:t>animal</w:t>
      </w:r>
      <w:r>
        <w:t xml:space="preserve"> </w:t>
      </w:r>
      <w:proofErr w:type="spellStart"/>
      <w:r>
        <w:t>AUC</w:t>
      </w:r>
      <w:proofErr w:type="gramStart"/>
      <w:r w:rsidRPr="00EB69F1">
        <w:t>:human</w:t>
      </w:r>
      <w:proofErr w:type="spellEnd"/>
      <w:proofErr w:type="gramEnd"/>
      <w:r w:rsidRPr="00EB69F1">
        <w:t xml:space="preserve"> plasma AUC</w:t>
      </w:r>
      <w:r>
        <w:rPr>
          <w:vertAlign w:val="subscript"/>
        </w:rPr>
        <w:t>0–t,</w:t>
      </w:r>
      <w:r>
        <w:t xml:space="preserve"> where t</w:t>
      </w:r>
      <w:r w:rsidR="0014606A">
        <w:t xml:space="preserve"> = </w:t>
      </w:r>
      <w:r>
        <w:t>∞ (or 336 h)</w:t>
      </w:r>
      <w:r w:rsidRPr="0055574A">
        <w:rPr>
          <w:vertAlign w:val="superscript"/>
        </w:rPr>
        <w:t>4</w:t>
      </w:r>
      <w:r>
        <w:t xml:space="preserve"> for animal data, or1 cycle/4 weeks for human data)</w:t>
      </w:r>
      <w:r w:rsidRPr="00970C2E">
        <w:t>;</w:t>
      </w:r>
      <w:r>
        <w:t xml:space="preserve"> ^</w:t>
      </w:r>
      <w:r w:rsidR="0014606A">
        <w:t xml:space="preserve"> = </w:t>
      </w:r>
      <w:r>
        <w:t>data are</w:t>
      </w:r>
      <w:r w:rsidRPr="000977DF">
        <w:t xml:space="preserve"> </w:t>
      </w:r>
      <w:r>
        <w:t xml:space="preserve">for the sexes combined </w:t>
      </w:r>
    </w:p>
    <w:p w14:paraId="00767B06" w14:textId="0B740EFD" w:rsidR="0086046D" w:rsidRPr="002959B7" w:rsidRDefault="0086046D" w:rsidP="005C4508">
      <w:r w:rsidRPr="00716535">
        <w:t>Single dose toxicity studies were conducted in rats and monkeys using the IV route, with bolus dose administration.</w:t>
      </w:r>
      <w:r>
        <w:t xml:space="preserve"> In clinical use, therapeutic doses based on BSA (4 to 21 times the maximum recommended human dose) are infused over one hour, and this probably accounts for the high relative exposures achieved in the single dose toxicity studies based on comparisons of </w:t>
      </w:r>
      <w:proofErr w:type="spellStart"/>
      <w:r w:rsidR="00F769DD" w:rsidRPr="00AA53F4">
        <w:rPr>
          <w:lang w:val="en-US"/>
        </w:rPr>
        <w:t>C</w:t>
      </w:r>
      <w:r w:rsidR="00F769DD" w:rsidRPr="00F769DD">
        <w:rPr>
          <w:vertAlign w:val="subscript"/>
          <w:lang w:val="en-US"/>
        </w:rPr>
        <w:t>max</w:t>
      </w:r>
      <w:proofErr w:type="spellEnd"/>
      <w:r>
        <w:t xml:space="preserve"> </w:t>
      </w:r>
      <w:r w:rsidRPr="00CC30C8">
        <w:t xml:space="preserve">in Table </w:t>
      </w:r>
      <w:r w:rsidR="00CC30C8" w:rsidRPr="00CC30C8">
        <w:t>3</w:t>
      </w:r>
      <w:r w:rsidRPr="00CC30C8">
        <w:t>.</w:t>
      </w:r>
      <w:r>
        <w:t xml:space="preserve"> </w:t>
      </w:r>
      <w:r w:rsidRPr="00716535">
        <w:t>The maximum no</w:t>
      </w:r>
      <w:r>
        <w:t xml:space="preserve">n-lethal doses were </w:t>
      </w:r>
      <w:r w:rsidR="0035683C">
        <w:t>7.7</w:t>
      </w:r>
      <w:r w:rsidRPr="00716535">
        <w:t xml:space="preserve"> mg/</w:t>
      </w:r>
      <w:r w:rsidR="00F769DD" w:rsidRPr="00AA53F4">
        <w:rPr>
          <w:lang w:val="en-US"/>
        </w:rPr>
        <w:t>m</w:t>
      </w:r>
      <w:r w:rsidR="00F769DD" w:rsidRPr="00F769DD">
        <w:rPr>
          <w:vertAlign w:val="superscript"/>
          <w:lang w:val="en-US"/>
        </w:rPr>
        <w:t>2</w:t>
      </w:r>
      <w:r w:rsidRPr="00716535">
        <w:t xml:space="preserve"> and 16.4 mg/</w:t>
      </w:r>
      <w:r w:rsidR="00F769DD" w:rsidRPr="00AA53F4">
        <w:rPr>
          <w:lang w:val="en-US"/>
        </w:rPr>
        <w:t>m</w:t>
      </w:r>
      <w:r w:rsidR="00F769DD" w:rsidRPr="00F769DD">
        <w:rPr>
          <w:vertAlign w:val="superscript"/>
          <w:lang w:val="en-US"/>
        </w:rPr>
        <w:t>2</w:t>
      </w:r>
      <w:r w:rsidRPr="00716535">
        <w:t xml:space="preserve"> in rats and monkeys, respectively</w:t>
      </w:r>
      <w:r>
        <w:t xml:space="preserve"> (approximately 10 and 21 times the </w:t>
      </w:r>
      <w:r>
        <w:lastRenderedPageBreak/>
        <w:t xml:space="preserve">maximum proposed clinical dose in rats and monkeys, respectively; relative exposures 126 and 211, respectively based on </w:t>
      </w:r>
      <w:proofErr w:type="spellStart"/>
      <w:r w:rsidR="00F769DD" w:rsidRPr="00AA53F4">
        <w:rPr>
          <w:lang w:val="en-US"/>
        </w:rPr>
        <w:t>C</w:t>
      </w:r>
      <w:r w:rsidR="00F769DD" w:rsidRPr="00F769DD">
        <w:rPr>
          <w:vertAlign w:val="subscript"/>
          <w:lang w:val="en-US"/>
        </w:rPr>
        <w:t>max</w:t>
      </w:r>
      <w:proofErr w:type="spellEnd"/>
      <w:r>
        <w:t>, or 8 and 12, respectively based on AUC)</w:t>
      </w:r>
      <w:r w:rsidRPr="00716535">
        <w:t xml:space="preserve">. </w:t>
      </w:r>
      <w:r>
        <w:t>In both species, toxicity was evident at the lowest doses administered, which was 0.77 mg/</w:t>
      </w:r>
      <w:r w:rsidR="00F769DD" w:rsidRPr="00AA53F4">
        <w:rPr>
          <w:lang w:val="en-US"/>
        </w:rPr>
        <w:t>m</w:t>
      </w:r>
      <w:r w:rsidR="00F769DD" w:rsidRPr="00F769DD">
        <w:rPr>
          <w:vertAlign w:val="superscript"/>
          <w:lang w:val="en-US"/>
        </w:rPr>
        <w:t>2</w:t>
      </w:r>
      <w:r>
        <w:t xml:space="preserve"> in the rat (approximately 0.4 times the maximum human dose per unit of BSA) and 4.1</w:t>
      </w:r>
      <w:r w:rsidR="00D36D35">
        <w:t> </w:t>
      </w:r>
      <w:r>
        <w:t>mg/</w:t>
      </w:r>
      <w:r w:rsidR="00F769DD" w:rsidRPr="00AA53F4">
        <w:rPr>
          <w:lang w:val="en-US"/>
        </w:rPr>
        <w:t>m</w:t>
      </w:r>
      <w:r w:rsidR="00F769DD" w:rsidRPr="00F769DD">
        <w:rPr>
          <w:vertAlign w:val="superscript"/>
          <w:lang w:val="en-US"/>
        </w:rPr>
        <w:t>2</w:t>
      </w:r>
      <w:r>
        <w:t xml:space="preserve"> in the monkey (relative exposure 5 based on dose per unit of BSA; 58 based on </w:t>
      </w:r>
      <w:proofErr w:type="spellStart"/>
      <w:r w:rsidR="00F769DD" w:rsidRPr="00AA53F4">
        <w:rPr>
          <w:lang w:val="en-US"/>
        </w:rPr>
        <w:t>C</w:t>
      </w:r>
      <w:r w:rsidR="00F769DD" w:rsidRPr="00F769DD">
        <w:rPr>
          <w:vertAlign w:val="subscript"/>
          <w:lang w:val="en-US"/>
        </w:rPr>
        <w:t>max</w:t>
      </w:r>
      <w:proofErr w:type="spellEnd"/>
      <w:r w:rsidR="005C4508">
        <w:t xml:space="preserve"> and 2.5 based on AUC).</w:t>
      </w:r>
    </w:p>
    <w:p w14:paraId="5C5A3E2A" w14:textId="77777777" w:rsidR="0086046D" w:rsidRPr="00716535" w:rsidRDefault="0086046D" w:rsidP="005C4508">
      <w:r w:rsidRPr="00716535">
        <w:t>In rats, treatment-associated morta</w:t>
      </w:r>
      <w:r>
        <w:t>lities occurred at a dose of 16.4</w:t>
      </w:r>
      <w:r w:rsidRPr="00716535">
        <w:t xml:space="preserve"> mg/</w:t>
      </w:r>
      <w:r w:rsidR="00F769DD" w:rsidRPr="00AA53F4">
        <w:rPr>
          <w:lang w:val="en-US"/>
        </w:rPr>
        <w:t>m</w:t>
      </w:r>
      <w:r w:rsidR="00F769DD" w:rsidRPr="00F769DD">
        <w:rPr>
          <w:vertAlign w:val="superscript"/>
          <w:lang w:val="en-US"/>
        </w:rPr>
        <w:t>2</w:t>
      </w:r>
      <w:r>
        <w:t xml:space="preserve"> (11 times higher than the maximum clinical dose per unit of BSA)</w:t>
      </w:r>
      <w:r w:rsidRPr="00716535">
        <w:t xml:space="preserve">. </w:t>
      </w:r>
      <w:r>
        <w:t>D</w:t>
      </w:r>
      <w:r w:rsidRPr="00716535">
        <w:t xml:space="preserve">eath was attributed to compound-related multiple organ toxicity (hepatic </w:t>
      </w:r>
      <w:proofErr w:type="spellStart"/>
      <w:r w:rsidRPr="00716535">
        <w:t>centrilobular</w:t>
      </w:r>
      <w:proofErr w:type="spellEnd"/>
      <w:r w:rsidRPr="00716535">
        <w:t xml:space="preserve"> necrosis, lymphoid atrophy of spleen and thymus, and bone marrow </w:t>
      </w:r>
      <w:proofErr w:type="spellStart"/>
      <w:r w:rsidRPr="00716535">
        <w:t>hypocellularity</w:t>
      </w:r>
      <w:proofErr w:type="spellEnd"/>
      <w:r w:rsidRPr="00716535">
        <w:t>)</w:t>
      </w:r>
      <w:r>
        <w:t>. Necropsy findings included</w:t>
      </w:r>
      <w:r w:rsidRPr="00716535">
        <w:t xml:space="preserve"> </w:t>
      </w:r>
      <w:proofErr w:type="spellStart"/>
      <w:r w:rsidRPr="00716535">
        <w:t>hypocellularity</w:t>
      </w:r>
      <w:proofErr w:type="spellEnd"/>
      <w:r w:rsidRPr="00716535">
        <w:t xml:space="preserve"> of the bone </w:t>
      </w:r>
      <w:r>
        <w:t>marrow,</w:t>
      </w:r>
      <w:r w:rsidRPr="00716535">
        <w:t xml:space="preserve"> sinus haemorrh</w:t>
      </w:r>
      <w:r>
        <w:t xml:space="preserve">age in the mesenteric node, </w:t>
      </w:r>
      <w:r w:rsidRPr="00716535">
        <w:t>lymphoid atrophy in the spleen, thymus, and mand</w:t>
      </w:r>
      <w:r>
        <w:t>ibular or mesenteric node and gut-associated lymphatic tissue, cardiac haemorrhage</w:t>
      </w:r>
      <w:r w:rsidRPr="00716535">
        <w:t>, mucosal degeneration of the caecum</w:t>
      </w:r>
      <w:r>
        <w:t xml:space="preserve">, tubular casts in the kidneys and </w:t>
      </w:r>
      <w:r w:rsidRPr="00716535">
        <w:t>eosinophilic chief cells in glandular stomach</w:t>
      </w:r>
      <w:r>
        <w:t xml:space="preserve">. Males exhibited </w:t>
      </w:r>
      <w:r w:rsidRPr="00716535">
        <w:t>mammary gland</w:t>
      </w:r>
      <w:r>
        <w:t xml:space="preserve"> </w:t>
      </w:r>
      <w:r w:rsidRPr="00716535">
        <w:t>atrophy</w:t>
      </w:r>
      <w:r>
        <w:t>, and reproductive organ toxicity (</w:t>
      </w:r>
      <w:r w:rsidRPr="00716535">
        <w:t>tubular degeneration in the testes</w:t>
      </w:r>
      <w:r>
        <w:t>,</w:t>
      </w:r>
      <w:r w:rsidRPr="00716535">
        <w:t xml:space="preserve"> </w:t>
      </w:r>
      <w:proofErr w:type="spellStart"/>
      <w:r>
        <w:t>hypospermia</w:t>
      </w:r>
      <w:proofErr w:type="spellEnd"/>
      <w:r>
        <w:t xml:space="preserve"> in </w:t>
      </w:r>
      <w:proofErr w:type="spellStart"/>
      <w:r>
        <w:t>epididymides</w:t>
      </w:r>
      <w:proofErr w:type="spellEnd"/>
      <w:r>
        <w:t xml:space="preserve"> and prostate atrophy).</w:t>
      </w:r>
    </w:p>
    <w:p w14:paraId="2F31C38D" w14:textId="7E6FBA33" w:rsidR="0086046D" w:rsidRPr="007A3382" w:rsidRDefault="0086046D" w:rsidP="009B156B">
      <w:r>
        <w:t xml:space="preserve">Toxicities observed in the single dose studies were generally similar to those observed in the </w:t>
      </w:r>
      <w:r w:rsidR="005C4508">
        <w:t>repeat dose</w:t>
      </w:r>
      <w:r>
        <w:t xml:space="preserve"> studies, and are described in detail below.</w:t>
      </w:r>
    </w:p>
    <w:p w14:paraId="2327D6B6" w14:textId="77777777" w:rsidR="0086046D" w:rsidRPr="00EB69F1" w:rsidRDefault="005C4508" w:rsidP="0086046D">
      <w:pPr>
        <w:pStyle w:val="AssessmentSubsection"/>
        <w:rPr>
          <w:kern w:val="2"/>
        </w:rPr>
      </w:pPr>
      <w:bookmarkStart w:id="61" w:name="_Toc294861728"/>
      <w:bookmarkStart w:id="62" w:name="_Toc16505596"/>
      <w:r>
        <w:rPr>
          <w:kern w:val="2"/>
        </w:rPr>
        <w:t>Repeat dose</w:t>
      </w:r>
      <w:r w:rsidR="0086046D" w:rsidRPr="00EB69F1">
        <w:rPr>
          <w:kern w:val="2"/>
        </w:rPr>
        <w:t xml:space="preserve"> toxicity</w:t>
      </w:r>
      <w:bookmarkEnd w:id="61"/>
      <w:bookmarkEnd w:id="62"/>
    </w:p>
    <w:p w14:paraId="4A64B977" w14:textId="77C6D888" w:rsidR="0086046D" w:rsidRDefault="0086046D" w:rsidP="005C4508">
      <w:r>
        <w:t>R</w:t>
      </w:r>
      <w:r w:rsidRPr="00EC0553">
        <w:t>epeat dose toxicity studies</w:t>
      </w:r>
      <w:r>
        <w:t xml:space="preserve"> were conducted with SD rats and cynomolgus monkeys dosed weekly with inotuzumab ozogamicin by IV </w:t>
      </w:r>
      <w:r w:rsidR="004322C0">
        <w:t xml:space="preserve">bolus </w:t>
      </w:r>
      <w:r>
        <w:t xml:space="preserve">for up to 26 weeks (the same as </w:t>
      </w:r>
      <w:r w:rsidRPr="004322C0">
        <w:t xml:space="preserve">the clinical route, with the same dosing interval as for the first 3 weeks of each clinical dosing cycle). </w:t>
      </w:r>
      <w:r w:rsidR="004322C0" w:rsidRPr="00B2774D">
        <w:t xml:space="preserve">Investigations with </w:t>
      </w:r>
      <w:r w:rsidR="004322C0" w:rsidRPr="00D43D6D">
        <w:t>N</w:t>
      </w:r>
      <w:r w:rsidR="004322C0" w:rsidRPr="00B2774D">
        <w:t xml:space="preserve">-Ac-γ calicheamicin DMH were conducted in single- and 6-week repeat-dose studies in mice (single-dose only), rats, and dogs, and with </w:t>
      </w:r>
      <w:r w:rsidR="004322C0" w:rsidRPr="00B2774D">
        <w:rPr>
          <w:i/>
        </w:rPr>
        <w:t>N</w:t>
      </w:r>
      <w:r w:rsidR="004322C0" w:rsidRPr="00B2774D">
        <w:t>-Ac-ε-calicheamicin in single-dose studies in rats and dogs</w:t>
      </w:r>
      <w:r w:rsidR="004322C0" w:rsidRPr="004322C0" w:rsidDel="004322C0">
        <w:t xml:space="preserve"> </w:t>
      </w:r>
      <w:r>
        <w:t>(see Appendix 1, previously evaluated studies</w:t>
      </w:r>
      <w:r w:rsidR="00E661C1">
        <w:t xml:space="preserve"> </w:t>
      </w:r>
      <w:r w:rsidR="00D36D35">
        <w:t>[</w:t>
      </w:r>
      <w:r w:rsidR="00E661C1">
        <w:t>not included in this AusPAR</w:t>
      </w:r>
      <w:r w:rsidR="00D36D35">
        <w:t>]</w:t>
      </w:r>
      <w:r>
        <w:t>)</w:t>
      </w:r>
      <w:r w:rsidRPr="00EC0553">
        <w:t>.</w:t>
      </w:r>
      <w:r>
        <w:t xml:space="preserve"> In addition, the </w:t>
      </w:r>
      <w:r w:rsidR="005C4508">
        <w:t xml:space="preserve">effect of the unconjugated anti </w:t>
      </w:r>
      <w:r>
        <w:t>CD22</w:t>
      </w:r>
      <w:r w:rsidR="005C4508">
        <w:t xml:space="preserve"> antibody was assessed in the 4 </w:t>
      </w:r>
      <w:r>
        <w:t xml:space="preserve">week studies in rats and monkeys. Additional toxicity studies in monkeys included a combination study evaluating the effect of </w:t>
      </w:r>
      <w:proofErr w:type="spellStart"/>
      <w:r>
        <w:t>oprelvekin</w:t>
      </w:r>
      <w:proofErr w:type="spellEnd"/>
      <w:r>
        <w:t xml:space="preserve"> (</w:t>
      </w:r>
      <w:proofErr w:type="spellStart"/>
      <w:r>
        <w:t>Neumega</w:t>
      </w:r>
      <w:proofErr w:type="spellEnd"/>
      <w:r>
        <w:t>) administration on inotuzumab ozogamicin-related thrombocytopenia and an investigational study using a non-binding antibody conjugated to calicheamicin to explore the mechanism of conjugated</w:t>
      </w:r>
      <w:r w:rsidR="008365F2">
        <w:t xml:space="preserve"> and unconjugated calicheamicin </w:t>
      </w:r>
      <w:r>
        <w:t>related hepatotoxicity and thrombocytopenia.</w:t>
      </w:r>
    </w:p>
    <w:p w14:paraId="152BF0A9" w14:textId="6A459CD7" w:rsidR="0086046D" w:rsidRPr="005C4508" w:rsidRDefault="0086046D" w:rsidP="005C4508">
      <w:r>
        <w:t>The study designs and conduct were consistent with ICH guidelines, a</w:t>
      </w:r>
      <w:r w:rsidR="005C4508">
        <w:t xml:space="preserve">nd the pivotal studies were GLP </w:t>
      </w:r>
      <w:r>
        <w:t>compliant</w:t>
      </w:r>
      <w:r w:rsidRPr="00D43D6D">
        <w:rPr>
          <w:vertAlign w:val="superscript"/>
        </w:rPr>
        <w:t>.</w:t>
      </w:r>
      <w:r w:rsidRPr="00D36D35">
        <w:rPr>
          <w:rStyle w:val="FootnoteReference"/>
        </w:rPr>
        <w:footnoteReference w:id="10"/>
      </w:r>
      <w:r w:rsidR="00D36D35" w:rsidRPr="00D43D6D">
        <w:rPr>
          <w:vertAlign w:val="superscript"/>
        </w:rPr>
        <w:t>,</w:t>
      </w:r>
      <w:r w:rsidR="008D6338" w:rsidRPr="00D36D35">
        <w:rPr>
          <w:rStyle w:val="FootnoteReference"/>
        </w:rPr>
        <w:footnoteReference w:id="11"/>
      </w:r>
      <w:r w:rsidR="00D36D35" w:rsidRPr="00D43D6D">
        <w:rPr>
          <w:vertAlign w:val="superscript"/>
        </w:rPr>
        <w:t>,</w:t>
      </w:r>
      <w:bookmarkStart w:id="63" w:name="_Ref536526647"/>
      <w:r w:rsidR="008D6338" w:rsidRPr="00D36D35">
        <w:rPr>
          <w:rStyle w:val="FootnoteReference"/>
        </w:rPr>
        <w:footnoteReference w:id="12"/>
      </w:r>
      <w:bookmarkEnd w:id="63"/>
      <w:r w:rsidR="00D36D35" w:rsidRPr="00D43D6D">
        <w:rPr>
          <w:vertAlign w:val="superscript"/>
        </w:rPr>
        <w:t>,</w:t>
      </w:r>
      <w:bookmarkStart w:id="64" w:name="_Ref536526654"/>
      <w:r w:rsidR="008D6338" w:rsidRPr="00D36D35">
        <w:rPr>
          <w:rStyle w:val="FootnoteReference"/>
        </w:rPr>
        <w:footnoteReference w:id="13"/>
      </w:r>
      <w:bookmarkEnd w:id="64"/>
      <w:r w:rsidR="00D36D35" w:rsidRPr="00D43D6D">
        <w:rPr>
          <w:vertAlign w:val="superscript"/>
        </w:rPr>
        <w:t>,</w:t>
      </w:r>
      <w:r w:rsidR="008D6338" w:rsidRPr="00D36D35">
        <w:rPr>
          <w:rStyle w:val="FootnoteReference"/>
        </w:rPr>
        <w:footnoteReference w:id="14"/>
      </w:r>
      <w:r w:rsidR="00D36D35" w:rsidRPr="00D43D6D">
        <w:rPr>
          <w:vertAlign w:val="superscript"/>
        </w:rPr>
        <w:t>,</w:t>
      </w:r>
      <w:r w:rsidR="008D6338" w:rsidRPr="00D36D35">
        <w:rPr>
          <w:rStyle w:val="FootnoteReference"/>
        </w:rPr>
        <w:footnoteReference w:id="15"/>
      </w:r>
      <w:r w:rsidR="008D6338">
        <w:t xml:space="preserve"> </w:t>
      </w:r>
      <w:r>
        <w:t>As already mentioned</w:t>
      </w:r>
      <w:r w:rsidRPr="005C4508">
        <w:t xml:space="preserve">, </w:t>
      </w:r>
      <w:r w:rsidR="005C4508">
        <w:t xml:space="preserve">owing to the lack of cross </w:t>
      </w:r>
      <w:r w:rsidRPr="005C4508">
        <w:t>species reactivity for inotuzumab, the toxicology studies are o</w:t>
      </w:r>
      <w:r w:rsidR="005C4508">
        <w:t xml:space="preserve">nly useful for assessing target </w:t>
      </w:r>
      <w:r w:rsidRPr="005C4508">
        <w:t>independent toxicities associated with conjugated and unconjugated calicheamicin.</w:t>
      </w:r>
    </w:p>
    <w:p w14:paraId="51BC427C" w14:textId="77777777" w:rsidR="0086046D" w:rsidRPr="00EB69F1" w:rsidRDefault="0086046D" w:rsidP="005C4508">
      <w:pPr>
        <w:pStyle w:val="Heading5"/>
      </w:pPr>
      <w:r w:rsidRPr="00EB69F1">
        <w:t>Relative exposure</w:t>
      </w:r>
    </w:p>
    <w:p w14:paraId="3E4F66A3" w14:textId="77777777" w:rsidR="0086046D" w:rsidRDefault="0086046D" w:rsidP="005C4508">
      <w:r>
        <w:t>In the toxicology and toxicokinetic study reports, doses of inotuzumab ozogamicin were expressed as calicheamicin equivalents on the basis of μg/kg of body weight. These have been converted dose equivalents of the inotuzumab antibody on the basis of mg/kg of body weight and mg/</w:t>
      </w:r>
      <w:r w:rsidR="00F769DD" w:rsidRPr="00AA53F4">
        <w:rPr>
          <w:lang w:val="en-US"/>
        </w:rPr>
        <w:t>m</w:t>
      </w:r>
      <w:r w:rsidR="00F769DD" w:rsidRPr="00F769DD">
        <w:rPr>
          <w:vertAlign w:val="superscript"/>
          <w:lang w:val="en-US"/>
        </w:rPr>
        <w:t>2</w:t>
      </w:r>
      <w:r>
        <w:t xml:space="preserve"> BSA. </w:t>
      </w:r>
      <w:r w:rsidRPr="00BC7DEF">
        <w:t>Exposure ratios have been calculated using animal and human plasma AUC</w:t>
      </w:r>
      <w:r w:rsidRPr="00BC7DEF">
        <w:rPr>
          <w:vertAlign w:val="subscript"/>
        </w:rPr>
        <w:t>0–t</w:t>
      </w:r>
      <w:r w:rsidRPr="00BC7DEF">
        <w:t xml:space="preserve"> values where t</w:t>
      </w:r>
      <w:r w:rsidR="0014606A">
        <w:t xml:space="preserve"> = </w:t>
      </w:r>
      <w:r w:rsidRPr="00BC7DEF">
        <w:t xml:space="preserve">168 h for animals, and one cycle (4 weeks) for </w:t>
      </w:r>
      <w:r w:rsidRPr="00BC7DEF">
        <w:lastRenderedPageBreak/>
        <w:t>humans</w:t>
      </w:r>
      <w:r>
        <w:t>. The h</w:t>
      </w:r>
      <w:r w:rsidRPr="00BC7DEF">
        <w:t>uman reference value</w:t>
      </w:r>
      <w:r>
        <w:t xml:space="preserve"> is the population pharmacokinetic es</w:t>
      </w:r>
      <w:r w:rsidR="005C4508">
        <w:t>timate at steady s</w:t>
      </w:r>
      <w:r w:rsidR="008365F2">
        <w:t>tate (C</w:t>
      </w:r>
      <w:r w:rsidR="005C4508">
        <w:t>ycle 4</w:t>
      </w:r>
      <w:r>
        <w:t xml:space="preserve">). </w:t>
      </w:r>
      <w:r w:rsidRPr="00BC7DEF">
        <w:t xml:space="preserve">The AUC data used for animals is </w:t>
      </w:r>
      <w:r>
        <w:t xml:space="preserve">multiplied by four, to account for the difference in AUC measurement time period between animals and humans. The relative exposures at the highest dose were generally low multiples of the clinical exposure, with the exception of the </w:t>
      </w:r>
      <w:r w:rsidR="005C4508">
        <w:t>4 week</w:t>
      </w:r>
      <w:r>
        <w:t xml:space="preserve"> monkey study, wher</w:t>
      </w:r>
      <w:r w:rsidR="005C4508">
        <w:t>e the relative exposure was 24.</w:t>
      </w:r>
    </w:p>
    <w:p w14:paraId="07216205" w14:textId="77777777" w:rsidR="0086046D" w:rsidRPr="00EB69F1" w:rsidRDefault="00CC30C8" w:rsidP="0086046D">
      <w:pPr>
        <w:pStyle w:val="TableTitle"/>
      </w:pPr>
      <w:r>
        <w:t>Table 4:</w:t>
      </w:r>
      <w:r w:rsidR="0086046D">
        <w:t xml:space="preserve"> </w:t>
      </w:r>
      <w:r w:rsidR="0086046D" w:rsidRPr="00EB69F1">
        <w:t xml:space="preserve">Relative exposure in </w:t>
      </w:r>
      <w:r w:rsidR="005C4508">
        <w:t>repeat dose</w:t>
      </w:r>
      <w:r w:rsidR="0086046D" w:rsidRPr="00EB69F1">
        <w:t xml:space="preserve"> toxicity studies</w:t>
      </w:r>
    </w:p>
    <w:tbl>
      <w:tblPr>
        <w:tblStyle w:val="TableTGAblue"/>
        <w:tblW w:w="8791" w:type="dxa"/>
        <w:tblLayout w:type="fixed"/>
        <w:tblLook w:val="01E0" w:firstRow="1" w:lastRow="1" w:firstColumn="1" w:lastColumn="1" w:noHBand="0" w:noVBand="0"/>
      </w:tblPr>
      <w:tblGrid>
        <w:gridCol w:w="1449"/>
        <w:gridCol w:w="1579"/>
        <w:gridCol w:w="1710"/>
        <w:gridCol w:w="649"/>
        <w:gridCol w:w="1702"/>
        <w:gridCol w:w="1702"/>
      </w:tblGrid>
      <w:tr w:rsidR="0086046D" w:rsidRPr="007A3382" w14:paraId="393B2177" w14:textId="77777777" w:rsidTr="005C4508">
        <w:trPr>
          <w:cnfStyle w:val="100000000000" w:firstRow="1" w:lastRow="0" w:firstColumn="0" w:lastColumn="0" w:oddVBand="0" w:evenVBand="0" w:oddHBand="0" w:evenHBand="0" w:firstRowFirstColumn="0" w:firstRowLastColumn="0" w:lastRowFirstColumn="0" w:lastRowLastColumn="0"/>
          <w:trHeight w:val="140"/>
        </w:trPr>
        <w:tc>
          <w:tcPr>
            <w:tcW w:w="1449" w:type="dxa"/>
          </w:tcPr>
          <w:p w14:paraId="26BA1563" w14:textId="77777777" w:rsidR="0086046D" w:rsidRPr="007A3382" w:rsidRDefault="0086046D" w:rsidP="007A3382">
            <w:pPr>
              <w:ind w:left="0" w:right="0"/>
              <w:rPr>
                <w:sz w:val="20"/>
                <w:szCs w:val="20"/>
              </w:rPr>
            </w:pPr>
            <w:r w:rsidRPr="007A3382">
              <w:rPr>
                <w:sz w:val="20"/>
                <w:szCs w:val="20"/>
              </w:rPr>
              <w:t>Species</w:t>
            </w:r>
          </w:p>
        </w:tc>
        <w:tc>
          <w:tcPr>
            <w:tcW w:w="1579" w:type="dxa"/>
          </w:tcPr>
          <w:p w14:paraId="4BD339F3" w14:textId="77777777" w:rsidR="0086046D" w:rsidRPr="007A3382" w:rsidRDefault="005C4508" w:rsidP="007A3382">
            <w:pPr>
              <w:ind w:left="0" w:right="0"/>
              <w:rPr>
                <w:sz w:val="20"/>
                <w:szCs w:val="20"/>
              </w:rPr>
            </w:pPr>
            <w:r w:rsidRPr="007A3382">
              <w:rPr>
                <w:sz w:val="20"/>
                <w:szCs w:val="20"/>
              </w:rPr>
              <w:t xml:space="preserve">Study duration </w:t>
            </w:r>
            <w:r w:rsidR="00503681" w:rsidRPr="007A3382">
              <w:rPr>
                <w:sz w:val="20"/>
                <w:szCs w:val="20"/>
              </w:rPr>
              <w:t>(</w:t>
            </w:r>
            <w:r w:rsidR="0086046D" w:rsidRPr="007A3382">
              <w:rPr>
                <w:sz w:val="20"/>
                <w:szCs w:val="20"/>
              </w:rPr>
              <w:t>Study no.</w:t>
            </w:r>
            <w:r w:rsidR="00503681" w:rsidRPr="007A3382">
              <w:rPr>
                <w:sz w:val="20"/>
                <w:szCs w:val="20"/>
              </w:rPr>
              <w:t>)</w:t>
            </w:r>
          </w:p>
        </w:tc>
        <w:tc>
          <w:tcPr>
            <w:tcW w:w="1710" w:type="dxa"/>
          </w:tcPr>
          <w:p w14:paraId="016307F5" w14:textId="77777777" w:rsidR="0086046D" w:rsidRPr="007A3382" w:rsidRDefault="005C4508" w:rsidP="007A3382">
            <w:pPr>
              <w:ind w:left="0" w:right="0"/>
              <w:rPr>
                <w:sz w:val="20"/>
                <w:szCs w:val="20"/>
              </w:rPr>
            </w:pPr>
            <w:r w:rsidRPr="007A3382">
              <w:rPr>
                <w:sz w:val="20"/>
                <w:szCs w:val="20"/>
              </w:rPr>
              <w:t xml:space="preserve">Dose </w:t>
            </w:r>
            <w:r w:rsidR="0086046D" w:rsidRPr="007A3382">
              <w:rPr>
                <w:sz w:val="20"/>
                <w:szCs w:val="20"/>
              </w:rPr>
              <w:t>(mg/</w:t>
            </w:r>
            <w:r w:rsidR="00F769DD" w:rsidRPr="00D43D6D">
              <w:rPr>
                <w:sz w:val="20"/>
                <w:szCs w:val="20"/>
                <w:lang w:val="en-US"/>
              </w:rPr>
              <w:t>m</w:t>
            </w:r>
            <w:r w:rsidR="00F769DD" w:rsidRPr="00D43D6D">
              <w:rPr>
                <w:sz w:val="20"/>
                <w:szCs w:val="20"/>
                <w:vertAlign w:val="superscript"/>
                <w:lang w:val="en-US"/>
              </w:rPr>
              <w:t>2</w:t>
            </w:r>
            <w:r w:rsidR="0086046D" w:rsidRPr="007A3382">
              <w:rPr>
                <w:sz w:val="20"/>
                <w:szCs w:val="20"/>
              </w:rPr>
              <w:t>/cycle)</w:t>
            </w:r>
          </w:p>
        </w:tc>
        <w:tc>
          <w:tcPr>
            <w:tcW w:w="649" w:type="dxa"/>
          </w:tcPr>
          <w:p w14:paraId="4F34EBF7" w14:textId="77777777" w:rsidR="0086046D" w:rsidRPr="007A3382" w:rsidRDefault="0086046D" w:rsidP="007A3382">
            <w:pPr>
              <w:ind w:left="0" w:right="0"/>
              <w:rPr>
                <w:sz w:val="20"/>
                <w:szCs w:val="20"/>
              </w:rPr>
            </w:pPr>
            <w:r w:rsidRPr="007A3382">
              <w:rPr>
                <w:sz w:val="20"/>
                <w:szCs w:val="20"/>
              </w:rPr>
              <w:t>Sex</w:t>
            </w:r>
          </w:p>
        </w:tc>
        <w:tc>
          <w:tcPr>
            <w:tcW w:w="1702" w:type="dxa"/>
          </w:tcPr>
          <w:p w14:paraId="3C4D31C8" w14:textId="77777777" w:rsidR="0086046D" w:rsidRPr="007A3382" w:rsidRDefault="0086046D" w:rsidP="007A3382">
            <w:pPr>
              <w:ind w:left="0" w:right="0"/>
              <w:rPr>
                <w:sz w:val="20"/>
                <w:szCs w:val="20"/>
              </w:rPr>
            </w:pPr>
            <w:r w:rsidRPr="007A3382">
              <w:rPr>
                <w:sz w:val="20"/>
                <w:szCs w:val="20"/>
              </w:rPr>
              <w:t>AUC0–t</w:t>
            </w:r>
            <w:r w:rsidR="005C4508" w:rsidRPr="007A3382">
              <w:rPr>
                <w:sz w:val="20"/>
                <w:szCs w:val="20"/>
              </w:rPr>
              <w:t xml:space="preserve">^ </w:t>
            </w:r>
            <w:r w:rsidRPr="007A3382">
              <w:rPr>
                <w:sz w:val="20"/>
                <w:szCs w:val="20"/>
              </w:rPr>
              <w:t>(</w:t>
            </w:r>
            <w:proofErr w:type="spellStart"/>
            <w:r w:rsidRPr="007A3382">
              <w:rPr>
                <w:sz w:val="20"/>
                <w:szCs w:val="20"/>
              </w:rPr>
              <w:t>ng∙h</w:t>
            </w:r>
            <w:proofErr w:type="spellEnd"/>
            <w:r w:rsidRPr="007A3382">
              <w:rPr>
                <w:sz w:val="20"/>
                <w:szCs w:val="20"/>
              </w:rPr>
              <w:t>/mL)</w:t>
            </w:r>
          </w:p>
        </w:tc>
        <w:tc>
          <w:tcPr>
            <w:tcW w:w="1702" w:type="dxa"/>
          </w:tcPr>
          <w:p w14:paraId="787B9CCB" w14:textId="77777777" w:rsidR="0086046D" w:rsidRPr="007A3382" w:rsidRDefault="0086046D" w:rsidP="007A3382">
            <w:pPr>
              <w:ind w:left="0" w:right="0"/>
              <w:rPr>
                <w:sz w:val="20"/>
                <w:szCs w:val="20"/>
              </w:rPr>
            </w:pPr>
            <w:r w:rsidRPr="007A3382">
              <w:rPr>
                <w:sz w:val="20"/>
                <w:szCs w:val="20"/>
              </w:rPr>
              <w:t>Exposure ratio</w:t>
            </w:r>
            <w:r w:rsidRPr="00D43D6D">
              <w:rPr>
                <w:sz w:val="20"/>
                <w:szCs w:val="20"/>
                <w:vertAlign w:val="superscript"/>
              </w:rPr>
              <w:t>#</w:t>
            </w:r>
          </w:p>
        </w:tc>
      </w:tr>
      <w:tr w:rsidR="0086046D" w:rsidRPr="007A3382" w14:paraId="5F9D6AE2" w14:textId="77777777" w:rsidTr="005C4508">
        <w:trPr>
          <w:trHeight w:val="221"/>
        </w:trPr>
        <w:tc>
          <w:tcPr>
            <w:tcW w:w="1449" w:type="dxa"/>
            <w:vMerge w:val="restart"/>
          </w:tcPr>
          <w:p w14:paraId="2C7FA6AD" w14:textId="77777777" w:rsidR="0086046D" w:rsidRPr="007A3382" w:rsidRDefault="0086046D" w:rsidP="007A3382">
            <w:pPr>
              <w:ind w:left="0" w:right="0"/>
              <w:rPr>
                <w:sz w:val="20"/>
                <w:szCs w:val="20"/>
              </w:rPr>
            </w:pPr>
            <w:r w:rsidRPr="007A3382">
              <w:rPr>
                <w:sz w:val="20"/>
                <w:szCs w:val="20"/>
              </w:rPr>
              <w:t>Rat</w:t>
            </w:r>
            <w:r w:rsidR="00AF6A3A" w:rsidRPr="007A3382">
              <w:rPr>
                <w:sz w:val="20"/>
                <w:szCs w:val="20"/>
              </w:rPr>
              <w:t xml:space="preserve"> </w:t>
            </w:r>
            <w:r w:rsidRPr="007A3382">
              <w:rPr>
                <w:sz w:val="20"/>
                <w:szCs w:val="20"/>
              </w:rPr>
              <w:t>(SD)</w:t>
            </w:r>
          </w:p>
        </w:tc>
        <w:tc>
          <w:tcPr>
            <w:tcW w:w="1579" w:type="dxa"/>
            <w:vMerge w:val="restart"/>
          </w:tcPr>
          <w:p w14:paraId="382A0986" w14:textId="77777777" w:rsidR="0086046D" w:rsidRPr="007A3382" w:rsidRDefault="00AF6A3A" w:rsidP="007A3382">
            <w:pPr>
              <w:ind w:left="0" w:right="0"/>
              <w:rPr>
                <w:sz w:val="20"/>
                <w:szCs w:val="20"/>
              </w:rPr>
            </w:pPr>
            <w:r w:rsidRPr="007A3382">
              <w:rPr>
                <w:sz w:val="20"/>
                <w:szCs w:val="20"/>
              </w:rPr>
              <w:t xml:space="preserve">4 weeks </w:t>
            </w:r>
            <w:r w:rsidR="0086046D" w:rsidRPr="007A3382">
              <w:rPr>
                <w:sz w:val="20"/>
                <w:szCs w:val="20"/>
              </w:rPr>
              <w:t>R</w:t>
            </w:r>
            <w:r w:rsidRPr="007A3382">
              <w:rPr>
                <w:sz w:val="20"/>
                <w:szCs w:val="20"/>
              </w:rPr>
              <w:t>PT</w:t>
            </w:r>
            <w:r w:rsidRPr="007A3382">
              <w:rPr>
                <w:sz w:val="20"/>
                <w:szCs w:val="20"/>
              </w:rPr>
              <w:noBreakHyphen/>
            </w:r>
            <w:r w:rsidR="0086046D" w:rsidRPr="007A3382">
              <w:rPr>
                <w:sz w:val="20"/>
                <w:szCs w:val="20"/>
              </w:rPr>
              <w:t>46910</w:t>
            </w:r>
          </w:p>
        </w:tc>
        <w:tc>
          <w:tcPr>
            <w:tcW w:w="1710" w:type="dxa"/>
          </w:tcPr>
          <w:p w14:paraId="3FBC28E1" w14:textId="77777777" w:rsidR="0086046D" w:rsidRPr="007A3382" w:rsidRDefault="0086046D" w:rsidP="007A3382">
            <w:pPr>
              <w:ind w:left="0" w:right="0"/>
              <w:rPr>
                <w:sz w:val="20"/>
                <w:szCs w:val="20"/>
              </w:rPr>
            </w:pPr>
            <w:r w:rsidRPr="007A3382">
              <w:rPr>
                <w:sz w:val="20"/>
                <w:szCs w:val="20"/>
              </w:rPr>
              <w:t>0.41</w:t>
            </w:r>
          </w:p>
        </w:tc>
        <w:tc>
          <w:tcPr>
            <w:tcW w:w="649" w:type="dxa"/>
          </w:tcPr>
          <w:p w14:paraId="3079195B" w14:textId="77777777" w:rsidR="0086046D" w:rsidRPr="007A3382" w:rsidRDefault="0086046D" w:rsidP="007A3382">
            <w:pPr>
              <w:ind w:left="0" w:right="0"/>
              <w:rPr>
                <w:sz w:val="20"/>
                <w:szCs w:val="20"/>
              </w:rPr>
            </w:pPr>
            <w:r w:rsidRPr="007A3382">
              <w:rPr>
                <w:sz w:val="20"/>
                <w:szCs w:val="20"/>
              </w:rPr>
              <w:t>M</w:t>
            </w:r>
          </w:p>
        </w:tc>
        <w:tc>
          <w:tcPr>
            <w:tcW w:w="1702" w:type="dxa"/>
          </w:tcPr>
          <w:p w14:paraId="30CE74D4" w14:textId="77777777" w:rsidR="0086046D" w:rsidRPr="007A3382" w:rsidRDefault="0086046D" w:rsidP="007A3382">
            <w:pPr>
              <w:ind w:left="0" w:right="0"/>
              <w:rPr>
                <w:sz w:val="20"/>
                <w:szCs w:val="20"/>
              </w:rPr>
            </w:pPr>
            <w:r w:rsidRPr="007A3382">
              <w:rPr>
                <w:sz w:val="20"/>
                <w:szCs w:val="20"/>
              </w:rPr>
              <w:t>50 700</w:t>
            </w:r>
          </w:p>
        </w:tc>
        <w:tc>
          <w:tcPr>
            <w:tcW w:w="1702" w:type="dxa"/>
          </w:tcPr>
          <w:p w14:paraId="7B64A867" w14:textId="77777777" w:rsidR="0086046D" w:rsidRPr="007A3382" w:rsidRDefault="0086046D" w:rsidP="007A3382">
            <w:pPr>
              <w:ind w:left="0" w:right="0"/>
              <w:rPr>
                <w:sz w:val="20"/>
                <w:szCs w:val="20"/>
              </w:rPr>
            </w:pPr>
            <w:r w:rsidRPr="007A3382">
              <w:rPr>
                <w:sz w:val="20"/>
                <w:szCs w:val="20"/>
              </w:rPr>
              <w:t>2.0</w:t>
            </w:r>
          </w:p>
        </w:tc>
      </w:tr>
      <w:tr w:rsidR="0086046D" w:rsidRPr="007A3382" w14:paraId="32F0F9AD" w14:textId="77777777" w:rsidTr="005C4508">
        <w:trPr>
          <w:trHeight w:val="221"/>
        </w:trPr>
        <w:tc>
          <w:tcPr>
            <w:tcW w:w="1449" w:type="dxa"/>
            <w:vMerge/>
          </w:tcPr>
          <w:p w14:paraId="351A367F" w14:textId="77777777" w:rsidR="0086046D" w:rsidRPr="007A3382" w:rsidRDefault="0086046D" w:rsidP="007A3382">
            <w:pPr>
              <w:ind w:left="0" w:right="0"/>
              <w:rPr>
                <w:sz w:val="20"/>
                <w:szCs w:val="20"/>
              </w:rPr>
            </w:pPr>
          </w:p>
        </w:tc>
        <w:tc>
          <w:tcPr>
            <w:tcW w:w="1579" w:type="dxa"/>
            <w:vMerge/>
          </w:tcPr>
          <w:p w14:paraId="49A96A2C" w14:textId="77777777" w:rsidR="0086046D" w:rsidRPr="007A3382" w:rsidRDefault="0086046D" w:rsidP="007A3382">
            <w:pPr>
              <w:ind w:left="0" w:right="0"/>
              <w:rPr>
                <w:sz w:val="20"/>
                <w:szCs w:val="20"/>
              </w:rPr>
            </w:pPr>
          </w:p>
        </w:tc>
        <w:tc>
          <w:tcPr>
            <w:tcW w:w="1710" w:type="dxa"/>
            <w:vMerge w:val="restart"/>
          </w:tcPr>
          <w:p w14:paraId="035AF121" w14:textId="77777777" w:rsidR="0086046D" w:rsidRPr="007A3382" w:rsidRDefault="0086046D" w:rsidP="007A3382">
            <w:pPr>
              <w:ind w:left="0" w:right="0"/>
              <w:rPr>
                <w:sz w:val="20"/>
                <w:szCs w:val="20"/>
              </w:rPr>
            </w:pPr>
            <w:r w:rsidRPr="007A3382">
              <w:rPr>
                <w:sz w:val="20"/>
                <w:szCs w:val="20"/>
              </w:rPr>
              <w:t>1.24</w:t>
            </w:r>
          </w:p>
        </w:tc>
        <w:tc>
          <w:tcPr>
            <w:tcW w:w="649" w:type="dxa"/>
          </w:tcPr>
          <w:p w14:paraId="52E13BFB" w14:textId="77777777" w:rsidR="0086046D" w:rsidRPr="007A3382" w:rsidRDefault="0086046D" w:rsidP="007A3382">
            <w:pPr>
              <w:ind w:left="0" w:right="0"/>
              <w:rPr>
                <w:sz w:val="20"/>
                <w:szCs w:val="20"/>
              </w:rPr>
            </w:pPr>
            <w:r w:rsidRPr="007A3382">
              <w:rPr>
                <w:sz w:val="20"/>
                <w:szCs w:val="20"/>
              </w:rPr>
              <w:t>M</w:t>
            </w:r>
          </w:p>
        </w:tc>
        <w:tc>
          <w:tcPr>
            <w:tcW w:w="1702" w:type="dxa"/>
          </w:tcPr>
          <w:p w14:paraId="25C6E07B" w14:textId="77777777" w:rsidR="0086046D" w:rsidRPr="007A3382" w:rsidRDefault="0086046D" w:rsidP="007A3382">
            <w:pPr>
              <w:ind w:left="0" w:right="0"/>
              <w:rPr>
                <w:sz w:val="20"/>
                <w:szCs w:val="20"/>
              </w:rPr>
            </w:pPr>
            <w:r w:rsidRPr="007A3382">
              <w:rPr>
                <w:sz w:val="20"/>
                <w:szCs w:val="20"/>
              </w:rPr>
              <w:t>182 000</w:t>
            </w:r>
          </w:p>
        </w:tc>
        <w:tc>
          <w:tcPr>
            <w:tcW w:w="1702" w:type="dxa"/>
          </w:tcPr>
          <w:p w14:paraId="599E8F6C" w14:textId="77777777" w:rsidR="0086046D" w:rsidRPr="007A3382" w:rsidRDefault="0086046D" w:rsidP="007A3382">
            <w:pPr>
              <w:ind w:left="0" w:right="0"/>
              <w:rPr>
                <w:sz w:val="20"/>
                <w:szCs w:val="20"/>
              </w:rPr>
            </w:pPr>
            <w:r w:rsidRPr="007A3382">
              <w:rPr>
                <w:sz w:val="20"/>
                <w:szCs w:val="20"/>
              </w:rPr>
              <w:t>7.3</w:t>
            </w:r>
          </w:p>
        </w:tc>
      </w:tr>
      <w:tr w:rsidR="0086046D" w:rsidRPr="007A3382" w14:paraId="18091A6E" w14:textId="77777777" w:rsidTr="005C4508">
        <w:trPr>
          <w:trHeight w:val="221"/>
        </w:trPr>
        <w:tc>
          <w:tcPr>
            <w:tcW w:w="1449" w:type="dxa"/>
            <w:vMerge/>
          </w:tcPr>
          <w:p w14:paraId="61A73AB6" w14:textId="77777777" w:rsidR="0086046D" w:rsidRPr="007A3382" w:rsidRDefault="0086046D" w:rsidP="007A3382">
            <w:pPr>
              <w:ind w:left="0" w:right="0"/>
              <w:rPr>
                <w:sz w:val="20"/>
                <w:szCs w:val="20"/>
              </w:rPr>
            </w:pPr>
          </w:p>
        </w:tc>
        <w:tc>
          <w:tcPr>
            <w:tcW w:w="1579" w:type="dxa"/>
            <w:vMerge/>
          </w:tcPr>
          <w:p w14:paraId="6784424A" w14:textId="77777777" w:rsidR="0086046D" w:rsidRPr="007A3382" w:rsidRDefault="0086046D" w:rsidP="007A3382">
            <w:pPr>
              <w:ind w:left="0" w:right="0"/>
              <w:rPr>
                <w:sz w:val="20"/>
                <w:szCs w:val="20"/>
              </w:rPr>
            </w:pPr>
          </w:p>
        </w:tc>
        <w:tc>
          <w:tcPr>
            <w:tcW w:w="1710" w:type="dxa"/>
            <w:vMerge/>
          </w:tcPr>
          <w:p w14:paraId="57EFF97B" w14:textId="77777777" w:rsidR="0086046D" w:rsidRPr="007A3382" w:rsidRDefault="0086046D" w:rsidP="007A3382">
            <w:pPr>
              <w:ind w:left="0" w:right="0"/>
              <w:rPr>
                <w:sz w:val="20"/>
                <w:szCs w:val="20"/>
              </w:rPr>
            </w:pPr>
          </w:p>
        </w:tc>
        <w:tc>
          <w:tcPr>
            <w:tcW w:w="649" w:type="dxa"/>
          </w:tcPr>
          <w:p w14:paraId="2C42D367" w14:textId="77777777" w:rsidR="0086046D" w:rsidRPr="007A3382" w:rsidRDefault="0086046D" w:rsidP="007A3382">
            <w:pPr>
              <w:ind w:left="0" w:right="0"/>
              <w:rPr>
                <w:sz w:val="20"/>
                <w:szCs w:val="20"/>
              </w:rPr>
            </w:pPr>
            <w:r w:rsidRPr="007A3382">
              <w:rPr>
                <w:sz w:val="20"/>
                <w:szCs w:val="20"/>
              </w:rPr>
              <w:t>F</w:t>
            </w:r>
          </w:p>
        </w:tc>
        <w:tc>
          <w:tcPr>
            <w:tcW w:w="1702" w:type="dxa"/>
          </w:tcPr>
          <w:p w14:paraId="1AB4E997" w14:textId="77777777" w:rsidR="0086046D" w:rsidRPr="007A3382" w:rsidRDefault="0086046D" w:rsidP="007A3382">
            <w:pPr>
              <w:ind w:left="0" w:right="0"/>
              <w:rPr>
                <w:sz w:val="20"/>
                <w:szCs w:val="20"/>
              </w:rPr>
            </w:pPr>
            <w:r w:rsidRPr="007A3382">
              <w:rPr>
                <w:sz w:val="20"/>
                <w:szCs w:val="20"/>
              </w:rPr>
              <w:t>160 000</w:t>
            </w:r>
          </w:p>
        </w:tc>
        <w:tc>
          <w:tcPr>
            <w:tcW w:w="1702" w:type="dxa"/>
          </w:tcPr>
          <w:p w14:paraId="29721129" w14:textId="77777777" w:rsidR="0086046D" w:rsidRPr="007A3382" w:rsidRDefault="0086046D" w:rsidP="007A3382">
            <w:pPr>
              <w:ind w:left="0" w:right="0"/>
              <w:rPr>
                <w:sz w:val="20"/>
                <w:szCs w:val="20"/>
              </w:rPr>
            </w:pPr>
            <w:r w:rsidRPr="007A3382">
              <w:rPr>
                <w:sz w:val="20"/>
                <w:szCs w:val="20"/>
              </w:rPr>
              <w:t>6.4</w:t>
            </w:r>
          </w:p>
        </w:tc>
      </w:tr>
      <w:tr w:rsidR="0086046D" w:rsidRPr="007A3382" w14:paraId="660D9E89" w14:textId="77777777" w:rsidTr="005C4508">
        <w:trPr>
          <w:trHeight w:val="221"/>
        </w:trPr>
        <w:tc>
          <w:tcPr>
            <w:tcW w:w="1449" w:type="dxa"/>
            <w:vMerge/>
          </w:tcPr>
          <w:p w14:paraId="30479AD8" w14:textId="77777777" w:rsidR="0086046D" w:rsidRPr="007A3382" w:rsidRDefault="0086046D" w:rsidP="007A3382">
            <w:pPr>
              <w:ind w:left="0" w:right="0"/>
              <w:rPr>
                <w:sz w:val="20"/>
                <w:szCs w:val="20"/>
              </w:rPr>
            </w:pPr>
          </w:p>
        </w:tc>
        <w:tc>
          <w:tcPr>
            <w:tcW w:w="1579" w:type="dxa"/>
            <w:vMerge/>
          </w:tcPr>
          <w:p w14:paraId="460C22BD" w14:textId="77777777" w:rsidR="0086046D" w:rsidRPr="007A3382" w:rsidRDefault="0086046D" w:rsidP="007A3382">
            <w:pPr>
              <w:ind w:left="0" w:right="0"/>
              <w:rPr>
                <w:sz w:val="20"/>
                <w:szCs w:val="20"/>
              </w:rPr>
            </w:pPr>
          </w:p>
        </w:tc>
        <w:tc>
          <w:tcPr>
            <w:tcW w:w="1710" w:type="dxa"/>
            <w:vMerge/>
          </w:tcPr>
          <w:p w14:paraId="5A9D976F" w14:textId="77777777" w:rsidR="0086046D" w:rsidRPr="007A3382" w:rsidRDefault="0086046D" w:rsidP="007A3382">
            <w:pPr>
              <w:ind w:left="0" w:right="0"/>
              <w:rPr>
                <w:sz w:val="20"/>
                <w:szCs w:val="20"/>
              </w:rPr>
            </w:pPr>
          </w:p>
        </w:tc>
        <w:tc>
          <w:tcPr>
            <w:tcW w:w="649" w:type="dxa"/>
          </w:tcPr>
          <w:p w14:paraId="6AC750F1" w14:textId="77777777" w:rsidR="0086046D" w:rsidRPr="007A3382" w:rsidRDefault="0086046D" w:rsidP="007A3382">
            <w:pPr>
              <w:ind w:left="0" w:right="0"/>
              <w:rPr>
                <w:sz w:val="20"/>
                <w:szCs w:val="20"/>
              </w:rPr>
            </w:pPr>
            <w:r w:rsidRPr="007A3382">
              <w:rPr>
                <w:sz w:val="20"/>
                <w:szCs w:val="20"/>
              </w:rPr>
              <w:t>M/F</w:t>
            </w:r>
          </w:p>
        </w:tc>
        <w:tc>
          <w:tcPr>
            <w:tcW w:w="1702" w:type="dxa"/>
          </w:tcPr>
          <w:p w14:paraId="7B7922A9" w14:textId="77777777" w:rsidR="0086046D" w:rsidRPr="007A3382" w:rsidRDefault="0086046D" w:rsidP="007A3382">
            <w:pPr>
              <w:ind w:left="0" w:right="0"/>
              <w:rPr>
                <w:sz w:val="20"/>
                <w:szCs w:val="20"/>
              </w:rPr>
            </w:pPr>
            <w:r w:rsidRPr="007A3382">
              <w:rPr>
                <w:sz w:val="20"/>
                <w:szCs w:val="20"/>
              </w:rPr>
              <w:t>171 000</w:t>
            </w:r>
          </w:p>
        </w:tc>
        <w:tc>
          <w:tcPr>
            <w:tcW w:w="1702" w:type="dxa"/>
          </w:tcPr>
          <w:p w14:paraId="7133A9FF" w14:textId="77777777" w:rsidR="0086046D" w:rsidRPr="007A3382" w:rsidRDefault="0086046D" w:rsidP="007A3382">
            <w:pPr>
              <w:ind w:left="0" w:right="0"/>
              <w:rPr>
                <w:sz w:val="20"/>
                <w:szCs w:val="20"/>
              </w:rPr>
            </w:pPr>
            <w:r w:rsidRPr="007A3382">
              <w:rPr>
                <w:sz w:val="20"/>
                <w:szCs w:val="20"/>
              </w:rPr>
              <w:t>6.8</w:t>
            </w:r>
          </w:p>
        </w:tc>
      </w:tr>
      <w:tr w:rsidR="0086046D" w:rsidRPr="007A3382" w14:paraId="533AB0A1" w14:textId="77777777" w:rsidTr="005C4508">
        <w:trPr>
          <w:trHeight w:val="221"/>
        </w:trPr>
        <w:tc>
          <w:tcPr>
            <w:tcW w:w="1449" w:type="dxa"/>
            <w:vMerge/>
          </w:tcPr>
          <w:p w14:paraId="3387D433" w14:textId="77777777" w:rsidR="0086046D" w:rsidRPr="007A3382" w:rsidRDefault="0086046D" w:rsidP="007A3382">
            <w:pPr>
              <w:ind w:left="0" w:right="0"/>
              <w:rPr>
                <w:sz w:val="20"/>
                <w:szCs w:val="20"/>
              </w:rPr>
            </w:pPr>
          </w:p>
        </w:tc>
        <w:tc>
          <w:tcPr>
            <w:tcW w:w="1579" w:type="dxa"/>
            <w:vMerge/>
          </w:tcPr>
          <w:p w14:paraId="7CE4679D" w14:textId="77777777" w:rsidR="0086046D" w:rsidRPr="007A3382" w:rsidRDefault="0086046D" w:rsidP="007A3382">
            <w:pPr>
              <w:ind w:left="0" w:right="0"/>
              <w:rPr>
                <w:sz w:val="20"/>
                <w:szCs w:val="20"/>
              </w:rPr>
            </w:pPr>
          </w:p>
        </w:tc>
        <w:tc>
          <w:tcPr>
            <w:tcW w:w="1710" w:type="dxa"/>
          </w:tcPr>
          <w:p w14:paraId="6167EFFD" w14:textId="77777777" w:rsidR="0086046D" w:rsidRPr="007A3382" w:rsidRDefault="0086046D" w:rsidP="007A3382">
            <w:pPr>
              <w:ind w:left="0" w:right="0"/>
              <w:rPr>
                <w:sz w:val="20"/>
                <w:szCs w:val="20"/>
              </w:rPr>
            </w:pPr>
            <w:r w:rsidRPr="007A3382">
              <w:rPr>
                <w:sz w:val="20"/>
                <w:szCs w:val="20"/>
              </w:rPr>
              <w:t>4.07</w:t>
            </w:r>
          </w:p>
        </w:tc>
        <w:tc>
          <w:tcPr>
            <w:tcW w:w="649" w:type="dxa"/>
          </w:tcPr>
          <w:p w14:paraId="6B6EA3C9" w14:textId="77777777" w:rsidR="0086046D" w:rsidRPr="007A3382" w:rsidRDefault="0086046D" w:rsidP="007A3382">
            <w:pPr>
              <w:ind w:left="0" w:right="0"/>
              <w:rPr>
                <w:sz w:val="20"/>
                <w:szCs w:val="20"/>
              </w:rPr>
            </w:pPr>
            <w:r w:rsidRPr="007A3382">
              <w:rPr>
                <w:sz w:val="20"/>
                <w:szCs w:val="20"/>
              </w:rPr>
              <w:t>M</w:t>
            </w:r>
          </w:p>
        </w:tc>
        <w:tc>
          <w:tcPr>
            <w:tcW w:w="1702" w:type="dxa"/>
          </w:tcPr>
          <w:p w14:paraId="0E8E3EEC" w14:textId="77777777" w:rsidR="0086046D" w:rsidRPr="007A3382" w:rsidRDefault="0086046D" w:rsidP="007A3382">
            <w:pPr>
              <w:ind w:left="0" w:right="0"/>
              <w:rPr>
                <w:sz w:val="20"/>
                <w:szCs w:val="20"/>
              </w:rPr>
            </w:pPr>
            <w:r w:rsidRPr="007A3382">
              <w:rPr>
                <w:sz w:val="20"/>
                <w:szCs w:val="20"/>
              </w:rPr>
              <w:t>619 000</w:t>
            </w:r>
          </w:p>
        </w:tc>
        <w:tc>
          <w:tcPr>
            <w:tcW w:w="1702" w:type="dxa"/>
          </w:tcPr>
          <w:p w14:paraId="0210A29A" w14:textId="77777777" w:rsidR="0086046D" w:rsidRPr="007A3382" w:rsidRDefault="0086046D" w:rsidP="007A3382">
            <w:pPr>
              <w:ind w:left="0" w:right="0"/>
              <w:rPr>
                <w:sz w:val="20"/>
                <w:szCs w:val="20"/>
              </w:rPr>
            </w:pPr>
            <w:r w:rsidRPr="007A3382">
              <w:rPr>
                <w:sz w:val="20"/>
                <w:szCs w:val="20"/>
              </w:rPr>
              <w:t>25</w:t>
            </w:r>
          </w:p>
        </w:tc>
      </w:tr>
      <w:tr w:rsidR="0086046D" w:rsidRPr="007A3382" w14:paraId="27F1F79A" w14:textId="77777777" w:rsidTr="005C4508">
        <w:trPr>
          <w:trHeight w:val="221"/>
        </w:trPr>
        <w:tc>
          <w:tcPr>
            <w:tcW w:w="1449" w:type="dxa"/>
            <w:vMerge/>
          </w:tcPr>
          <w:p w14:paraId="0D9703A9" w14:textId="77777777" w:rsidR="0086046D" w:rsidRPr="007A3382" w:rsidRDefault="0086046D" w:rsidP="007A3382">
            <w:pPr>
              <w:ind w:left="0" w:right="0"/>
              <w:rPr>
                <w:sz w:val="20"/>
                <w:szCs w:val="20"/>
              </w:rPr>
            </w:pPr>
          </w:p>
        </w:tc>
        <w:tc>
          <w:tcPr>
            <w:tcW w:w="1579" w:type="dxa"/>
            <w:vMerge w:val="restart"/>
          </w:tcPr>
          <w:p w14:paraId="7574157A" w14:textId="77777777" w:rsidR="0086046D" w:rsidRPr="007A3382" w:rsidRDefault="00AF6A3A" w:rsidP="007A3382">
            <w:pPr>
              <w:ind w:left="0" w:right="0"/>
              <w:rPr>
                <w:sz w:val="20"/>
                <w:szCs w:val="20"/>
              </w:rPr>
            </w:pPr>
            <w:r w:rsidRPr="007A3382">
              <w:rPr>
                <w:sz w:val="20"/>
                <w:szCs w:val="20"/>
              </w:rPr>
              <w:t>26 weeks Pivotal; RPT</w:t>
            </w:r>
            <w:r w:rsidRPr="007A3382">
              <w:rPr>
                <w:sz w:val="20"/>
                <w:szCs w:val="20"/>
              </w:rPr>
              <w:noBreakHyphen/>
            </w:r>
            <w:r w:rsidR="0086046D" w:rsidRPr="007A3382">
              <w:rPr>
                <w:sz w:val="20"/>
                <w:szCs w:val="20"/>
              </w:rPr>
              <w:t>65042</w:t>
            </w:r>
          </w:p>
        </w:tc>
        <w:tc>
          <w:tcPr>
            <w:tcW w:w="1710" w:type="dxa"/>
          </w:tcPr>
          <w:p w14:paraId="0168D42C" w14:textId="77777777" w:rsidR="0086046D" w:rsidRPr="007A3382" w:rsidRDefault="0086046D" w:rsidP="007A3382">
            <w:pPr>
              <w:ind w:left="0" w:right="0"/>
              <w:rPr>
                <w:sz w:val="20"/>
                <w:szCs w:val="20"/>
              </w:rPr>
            </w:pPr>
            <w:r w:rsidRPr="007A3382">
              <w:rPr>
                <w:sz w:val="20"/>
                <w:szCs w:val="20"/>
              </w:rPr>
              <w:t>0.073</w:t>
            </w:r>
          </w:p>
        </w:tc>
        <w:tc>
          <w:tcPr>
            <w:tcW w:w="649" w:type="dxa"/>
          </w:tcPr>
          <w:p w14:paraId="2DA0505C" w14:textId="77777777" w:rsidR="0086046D" w:rsidRPr="007A3382" w:rsidRDefault="0086046D" w:rsidP="007A3382">
            <w:pPr>
              <w:ind w:left="0" w:right="0"/>
              <w:rPr>
                <w:sz w:val="20"/>
                <w:szCs w:val="20"/>
              </w:rPr>
            </w:pPr>
            <w:r w:rsidRPr="007A3382">
              <w:rPr>
                <w:sz w:val="20"/>
                <w:szCs w:val="20"/>
              </w:rPr>
              <w:t>M</w:t>
            </w:r>
          </w:p>
        </w:tc>
        <w:tc>
          <w:tcPr>
            <w:tcW w:w="1702" w:type="dxa"/>
          </w:tcPr>
          <w:p w14:paraId="7A37B1FC" w14:textId="77777777" w:rsidR="0086046D" w:rsidRPr="007A3382" w:rsidRDefault="0086046D" w:rsidP="007A3382">
            <w:pPr>
              <w:ind w:left="0" w:right="0"/>
              <w:rPr>
                <w:sz w:val="20"/>
                <w:szCs w:val="20"/>
              </w:rPr>
            </w:pPr>
            <w:r w:rsidRPr="007A3382">
              <w:rPr>
                <w:sz w:val="20"/>
                <w:szCs w:val="20"/>
              </w:rPr>
              <w:t>‡7630</w:t>
            </w:r>
          </w:p>
        </w:tc>
        <w:tc>
          <w:tcPr>
            <w:tcW w:w="1702" w:type="dxa"/>
          </w:tcPr>
          <w:p w14:paraId="45B410B6" w14:textId="77777777" w:rsidR="0086046D" w:rsidRPr="007A3382" w:rsidRDefault="0086046D" w:rsidP="007A3382">
            <w:pPr>
              <w:ind w:left="0" w:right="0"/>
              <w:rPr>
                <w:sz w:val="20"/>
                <w:szCs w:val="20"/>
              </w:rPr>
            </w:pPr>
            <w:r w:rsidRPr="007A3382">
              <w:rPr>
                <w:sz w:val="20"/>
                <w:szCs w:val="20"/>
              </w:rPr>
              <w:t>0.08</w:t>
            </w:r>
          </w:p>
        </w:tc>
      </w:tr>
      <w:tr w:rsidR="0086046D" w:rsidRPr="007A3382" w14:paraId="69945DA8" w14:textId="77777777" w:rsidTr="005C4508">
        <w:trPr>
          <w:trHeight w:val="221"/>
        </w:trPr>
        <w:tc>
          <w:tcPr>
            <w:tcW w:w="1449" w:type="dxa"/>
            <w:vMerge/>
          </w:tcPr>
          <w:p w14:paraId="08B48E7D" w14:textId="77777777" w:rsidR="0086046D" w:rsidRPr="007A3382" w:rsidRDefault="0086046D" w:rsidP="007A3382">
            <w:pPr>
              <w:ind w:left="0" w:right="0"/>
              <w:rPr>
                <w:sz w:val="20"/>
                <w:szCs w:val="20"/>
              </w:rPr>
            </w:pPr>
          </w:p>
        </w:tc>
        <w:tc>
          <w:tcPr>
            <w:tcW w:w="1579" w:type="dxa"/>
            <w:vMerge/>
          </w:tcPr>
          <w:p w14:paraId="11CB0617" w14:textId="77777777" w:rsidR="0086046D" w:rsidRPr="007A3382" w:rsidRDefault="0086046D" w:rsidP="007A3382">
            <w:pPr>
              <w:ind w:left="0" w:right="0"/>
              <w:rPr>
                <w:sz w:val="20"/>
                <w:szCs w:val="20"/>
              </w:rPr>
            </w:pPr>
          </w:p>
        </w:tc>
        <w:tc>
          <w:tcPr>
            <w:tcW w:w="1710" w:type="dxa"/>
          </w:tcPr>
          <w:p w14:paraId="34B54812" w14:textId="77777777" w:rsidR="0086046D" w:rsidRPr="007A3382" w:rsidRDefault="0086046D" w:rsidP="007A3382">
            <w:pPr>
              <w:ind w:left="0" w:right="0"/>
              <w:rPr>
                <w:sz w:val="20"/>
                <w:szCs w:val="20"/>
              </w:rPr>
            </w:pPr>
            <w:r w:rsidRPr="007A3382">
              <w:rPr>
                <w:sz w:val="20"/>
                <w:szCs w:val="20"/>
              </w:rPr>
              <w:t>0.218</w:t>
            </w:r>
          </w:p>
        </w:tc>
        <w:tc>
          <w:tcPr>
            <w:tcW w:w="649" w:type="dxa"/>
          </w:tcPr>
          <w:p w14:paraId="299A985B" w14:textId="77777777" w:rsidR="0086046D" w:rsidRPr="007A3382" w:rsidRDefault="0086046D" w:rsidP="007A3382">
            <w:pPr>
              <w:ind w:left="0" w:right="0"/>
              <w:rPr>
                <w:sz w:val="20"/>
                <w:szCs w:val="20"/>
              </w:rPr>
            </w:pPr>
            <w:r w:rsidRPr="007A3382">
              <w:rPr>
                <w:sz w:val="20"/>
                <w:szCs w:val="20"/>
              </w:rPr>
              <w:t>M</w:t>
            </w:r>
          </w:p>
        </w:tc>
        <w:tc>
          <w:tcPr>
            <w:tcW w:w="1702" w:type="dxa"/>
          </w:tcPr>
          <w:p w14:paraId="2AD3AF48" w14:textId="77777777" w:rsidR="0086046D" w:rsidRPr="007A3382" w:rsidRDefault="0086046D" w:rsidP="007A3382">
            <w:pPr>
              <w:ind w:left="0" w:right="0"/>
              <w:rPr>
                <w:sz w:val="20"/>
                <w:szCs w:val="20"/>
              </w:rPr>
            </w:pPr>
            <w:r w:rsidRPr="007A3382">
              <w:rPr>
                <w:sz w:val="20"/>
                <w:szCs w:val="20"/>
              </w:rPr>
              <w:t>20 200</w:t>
            </w:r>
          </w:p>
        </w:tc>
        <w:tc>
          <w:tcPr>
            <w:tcW w:w="1702" w:type="dxa"/>
          </w:tcPr>
          <w:p w14:paraId="15F816EE" w14:textId="77777777" w:rsidR="0086046D" w:rsidRPr="007A3382" w:rsidRDefault="0086046D" w:rsidP="007A3382">
            <w:pPr>
              <w:ind w:left="0" w:right="0"/>
              <w:rPr>
                <w:sz w:val="20"/>
                <w:szCs w:val="20"/>
              </w:rPr>
            </w:pPr>
            <w:r w:rsidRPr="007A3382">
              <w:rPr>
                <w:sz w:val="20"/>
                <w:szCs w:val="20"/>
              </w:rPr>
              <w:t>0.81</w:t>
            </w:r>
          </w:p>
        </w:tc>
      </w:tr>
      <w:tr w:rsidR="0086046D" w:rsidRPr="007A3382" w14:paraId="752FA199" w14:textId="77777777" w:rsidTr="005C4508">
        <w:trPr>
          <w:trHeight w:val="221"/>
        </w:trPr>
        <w:tc>
          <w:tcPr>
            <w:tcW w:w="1449" w:type="dxa"/>
            <w:vMerge/>
          </w:tcPr>
          <w:p w14:paraId="7BD9F4E2" w14:textId="77777777" w:rsidR="0086046D" w:rsidRPr="007A3382" w:rsidRDefault="0086046D" w:rsidP="007A3382">
            <w:pPr>
              <w:ind w:left="0" w:right="0"/>
              <w:rPr>
                <w:sz w:val="20"/>
                <w:szCs w:val="20"/>
              </w:rPr>
            </w:pPr>
          </w:p>
        </w:tc>
        <w:tc>
          <w:tcPr>
            <w:tcW w:w="1579" w:type="dxa"/>
            <w:vMerge/>
          </w:tcPr>
          <w:p w14:paraId="73946FCB" w14:textId="77777777" w:rsidR="0086046D" w:rsidRPr="007A3382" w:rsidRDefault="0086046D" w:rsidP="007A3382">
            <w:pPr>
              <w:ind w:left="0" w:right="0"/>
              <w:rPr>
                <w:sz w:val="20"/>
                <w:szCs w:val="20"/>
              </w:rPr>
            </w:pPr>
          </w:p>
        </w:tc>
        <w:tc>
          <w:tcPr>
            <w:tcW w:w="1710" w:type="dxa"/>
          </w:tcPr>
          <w:p w14:paraId="2091BBF4" w14:textId="77777777" w:rsidR="0086046D" w:rsidRPr="007A3382" w:rsidRDefault="0086046D" w:rsidP="007A3382">
            <w:pPr>
              <w:ind w:left="0" w:right="0"/>
              <w:rPr>
                <w:sz w:val="20"/>
                <w:szCs w:val="20"/>
              </w:rPr>
            </w:pPr>
            <w:r w:rsidRPr="007A3382">
              <w:rPr>
                <w:sz w:val="20"/>
                <w:szCs w:val="20"/>
              </w:rPr>
              <w:t>0.727</w:t>
            </w:r>
          </w:p>
        </w:tc>
        <w:tc>
          <w:tcPr>
            <w:tcW w:w="649" w:type="dxa"/>
          </w:tcPr>
          <w:p w14:paraId="11E44733" w14:textId="77777777" w:rsidR="0086046D" w:rsidRPr="007A3382" w:rsidRDefault="0086046D" w:rsidP="007A3382">
            <w:pPr>
              <w:ind w:left="0" w:right="0"/>
              <w:rPr>
                <w:sz w:val="20"/>
                <w:szCs w:val="20"/>
              </w:rPr>
            </w:pPr>
            <w:r w:rsidRPr="007A3382">
              <w:rPr>
                <w:sz w:val="20"/>
                <w:szCs w:val="20"/>
              </w:rPr>
              <w:t>M</w:t>
            </w:r>
          </w:p>
        </w:tc>
        <w:tc>
          <w:tcPr>
            <w:tcW w:w="1702" w:type="dxa"/>
          </w:tcPr>
          <w:p w14:paraId="7D8C34E8" w14:textId="77777777" w:rsidR="0086046D" w:rsidRPr="007A3382" w:rsidRDefault="0086046D" w:rsidP="007A3382">
            <w:pPr>
              <w:ind w:left="0" w:right="0"/>
              <w:rPr>
                <w:sz w:val="20"/>
                <w:szCs w:val="20"/>
              </w:rPr>
            </w:pPr>
            <w:r w:rsidRPr="007A3382">
              <w:rPr>
                <w:sz w:val="20"/>
                <w:szCs w:val="20"/>
              </w:rPr>
              <w:t>64 000</w:t>
            </w:r>
          </w:p>
        </w:tc>
        <w:tc>
          <w:tcPr>
            <w:tcW w:w="1702" w:type="dxa"/>
          </w:tcPr>
          <w:p w14:paraId="06D6B021" w14:textId="77777777" w:rsidR="0086046D" w:rsidRPr="007A3382" w:rsidRDefault="0086046D" w:rsidP="007A3382">
            <w:pPr>
              <w:ind w:left="0" w:right="0"/>
              <w:rPr>
                <w:sz w:val="20"/>
                <w:szCs w:val="20"/>
              </w:rPr>
            </w:pPr>
            <w:r w:rsidRPr="007A3382">
              <w:rPr>
                <w:sz w:val="20"/>
                <w:szCs w:val="20"/>
              </w:rPr>
              <w:t>2.6</w:t>
            </w:r>
          </w:p>
        </w:tc>
      </w:tr>
      <w:tr w:rsidR="0086046D" w:rsidRPr="007A3382" w14:paraId="706296C8" w14:textId="77777777" w:rsidTr="005C4508">
        <w:trPr>
          <w:trHeight w:val="221"/>
        </w:trPr>
        <w:tc>
          <w:tcPr>
            <w:tcW w:w="1449" w:type="dxa"/>
            <w:vMerge w:val="restart"/>
          </w:tcPr>
          <w:p w14:paraId="3F5772F4" w14:textId="77777777" w:rsidR="0086046D" w:rsidRPr="007A3382" w:rsidRDefault="0086046D" w:rsidP="007A3382">
            <w:pPr>
              <w:ind w:left="0" w:right="0"/>
              <w:rPr>
                <w:sz w:val="20"/>
                <w:szCs w:val="20"/>
              </w:rPr>
            </w:pPr>
            <w:r w:rsidRPr="007A3382">
              <w:rPr>
                <w:sz w:val="20"/>
                <w:szCs w:val="20"/>
              </w:rPr>
              <w:t>Monkey</w:t>
            </w:r>
            <w:r w:rsidR="005C4508" w:rsidRPr="007A3382">
              <w:rPr>
                <w:sz w:val="20"/>
                <w:szCs w:val="20"/>
              </w:rPr>
              <w:t xml:space="preserve"> </w:t>
            </w:r>
            <w:r w:rsidRPr="007A3382">
              <w:rPr>
                <w:sz w:val="20"/>
                <w:szCs w:val="20"/>
              </w:rPr>
              <w:t>(Cynomolgus)</w:t>
            </w:r>
          </w:p>
        </w:tc>
        <w:tc>
          <w:tcPr>
            <w:tcW w:w="1579" w:type="dxa"/>
            <w:vMerge w:val="restart"/>
          </w:tcPr>
          <w:p w14:paraId="18E1C499" w14:textId="77777777" w:rsidR="0086046D" w:rsidRPr="007A3382" w:rsidRDefault="005C4508" w:rsidP="007A3382">
            <w:pPr>
              <w:ind w:left="0" w:right="0"/>
              <w:rPr>
                <w:sz w:val="20"/>
                <w:szCs w:val="20"/>
              </w:rPr>
            </w:pPr>
            <w:r w:rsidRPr="007A3382">
              <w:rPr>
                <w:sz w:val="20"/>
                <w:szCs w:val="20"/>
              </w:rPr>
              <w:t xml:space="preserve">4 weeks </w:t>
            </w:r>
            <w:r w:rsidR="00AF6A3A" w:rsidRPr="007A3382">
              <w:rPr>
                <w:sz w:val="20"/>
                <w:szCs w:val="20"/>
              </w:rPr>
              <w:t>RPT</w:t>
            </w:r>
            <w:r w:rsidR="00AF6A3A" w:rsidRPr="007A3382">
              <w:rPr>
                <w:sz w:val="20"/>
                <w:szCs w:val="20"/>
              </w:rPr>
              <w:noBreakHyphen/>
            </w:r>
            <w:r w:rsidR="0086046D" w:rsidRPr="007A3382">
              <w:rPr>
                <w:sz w:val="20"/>
                <w:szCs w:val="20"/>
              </w:rPr>
              <w:t>46909</w:t>
            </w:r>
          </w:p>
        </w:tc>
        <w:tc>
          <w:tcPr>
            <w:tcW w:w="1710" w:type="dxa"/>
            <w:vMerge w:val="restart"/>
          </w:tcPr>
          <w:p w14:paraId="283FDFC6" w14:textId="77777777" w:rsidR="0086046D" w:rsidRPr="007A3382" w:rsidRDefault="0086046D" w:rsidP="007A3382">
            <w:pPr>
              <w:ind w:left="0" w:right="0"/>
              <w:rPr>
                <w:sz w:val="20"/>
                <w:szCs w:val="20"/>
              </w:rPr>
            </w:pPr>
            <w:r w:rsidRPr="007A3382">
              <w:rPr>
                <w:sz w:val="20"/>
                <w:szCs w:val="20"/>
              </w:rPr>
              <w:t>0.36</w:t>
            </w:r>
          </w:p>
        </w:tc>
        <w:tc>
          <w:tcPr>
            <w:tcW w:w="649" w:type="dxa"/>
          </w:tcPr>
          <w:p w14:paraId="35787FA1" w14:textId="77777777" w:rsidR="0086046D" w:rsidRPr="007A3382" w:rsidRDefault="0086046D" w:rsidP="007A3382">
            <w:pPr>
              <w:ind w:left="0" w:right="0"/>
              <w:rPr>
                <w:sz w:val="20"/>
                <w:szCs w:val="20"/>
              </w:rPr>
            </w:pPr>
            <w:r w:rsidRPr="007A3382">
              <w:rPr>
                <w:sz w:val="20"/>
                <w:szCs w:val="20"/>
              </w:rPr>
              <w:t>M</w:t>
            </w:r>
          </w:p>
        </w:tc>
        <w:tc>
          <w:tcPr>
            <w:tcW w:w="1702" w:type="dxa"/>
          </w:tcPr>
          <w:p w14:paraId="6AC50F04" w14:textId="77777777" w:rsidR="0086046D" w:rsidRPr="007A3382" w:rsidRDefault="0086046D" w:rsidP="007A3382">
            <w:pPr>
              <w:ind w:left="0" w:right="0"/>
              <w:rPr>
                <w:sz w:val="20"/>
                <w:szCs w:val="20"/>
              </w:rPr>
            </w:pPr>
            <w:r w:rsidRPr="007A3382">
              <w:rPr>
                <w:sz w:val="20"/>
                <w:szCs w:val="20"/>
              </w:rPr>
              <w:t>33 000</w:t>
            </w:r>
          </w:p>
        </w:tc>
        <w:tc>
          <w:tcPr>
            <w:tcW w:w="1702" w:type="dxa"/>
          </w:tcPr>
          <w:p w14:paraId="24DDE9E4" w14:textId="77777777" w:rsidR="0086046D" w:rsidRPr="007A3382" w:rsidRDefault="0086046D" w:rsidP="007A3382">
            <w:pPr>
              <w:ind w:left="0" w:right="0"/>
              <w:rPr>
                <w:sz w:val="20"/>
                <w:szCs w:val="20"/>
              </w:rPr>
            </w:pPr>
            <w:r w:rsidRPr="007A3382">
              <w:rPr>
                <w:sz w:val="20"/>
                <w:szCs w:val="20"/>
              </w:rPr>
              <w:t>1.3</w:t>
            </w:r>
          </w:p>
        </w:tc>
      </w:tr>
      <w:tr w:rsidR="0086046D" w:rsidRPr="007A3382" w14:paraId="6A422A9F" w14:textId="77777777" w:rsidTr="005C4508">
        <w:trPr>
          <w:trHeight w:val="221"/>
        </w:trPr>
        <w:tc>
          <w:tcPr>
            <w:tcW w:w="1449" w:type="dxa"/>
            <w:vMerge/>
          </w:tcPr>
          <w:p w14:paraId="113F7763" w14:textId="77777777" w:rsidR="0086046D" w:rsidRPr="007A3382" w:rsidRDefault="0086046D" w:rsidP="007A3382">
            <w:pPr>
              <w:ind w:left="0" w:right="0"/>
              <w:rPr>
                <w:sz w:val="20"/>
                <w:szCs w:val="20"/>
              </w:rPr>
            </w:pPr>
          </w:p>
        </w:tc>
        <w:tc>
          <w:tcPr>
            <w:tcW w:w="1579" w:type="dxa"/>
            <w:vMerge/>
          </w:tcPr>
          <w:p w14:paraId="4AD3C6D7" w14:textId="77777777" w:rsidR="0086046D" w:rsidRPr="007A3382" w:rsidRDefault="0086046D" w:rsidP="007A3382">
            <w:pPr>
              <w:ind w:left="0" w:right="0"/>
              <w:rPr>
                <w:sz w:val="20"/>
                <w:szCs w:val="20"/>
              </w:rPr>
            </w:pPr>
          </w:p>
        </w:tc>
        <w:tc>
          <w:tcPr>
            <w:tcW w:w="1710" w:type="dxa"/>
            <w:vMerge/>
          </w:tcPr>
          <w:p w14:paraId="397FF096" w14:textId="77777777" w:rsidR="0086046D" w:rsidRPr="007A3382" w:rsidRDefault="0086046D" w:rsidP="007A3382">
            <w:pPr>
              <w:ind w:left="0" w:right="0"/>
              <w:rPr>
                <w:sz w:val="20"/>
                <w:szCs w:val="20"/>
              </w:rPr>
            </w:pPr>
          </w:p>
        </w:tc>
        <w:tc>
          <w:tcPr>
            <w:tcW w:w="649" w:type="dxa"/>
          </w:tcPr>
          <w:p w14:paraId="7C3D7318" w14:textId="77777777" w:rsidR="0086046D" w:rsidRPr="007A3382" w:rsidRDefault="0086046D" w:rsidP="007A3382">
            <w:pPr>
              <w:ind w:left="0" w:right="0"/>
              <w:rPr>
                <w:sz w:val="20"/>
                <w:szCs w:val="20"/>
              </w:rPr>
            </w:pPr>
            <w:r w:rsidRPr="007A3382">
              <w:rPr>
                <w:sz w:val="20"/>
                <w:szCs w:val="20"/>
              </w:rPr>
              <w:t>F</w:t>
            </w:r>
          </w:p>
        </w:tc>
        <w:tc>
          <w:tcPr>
            <w:tcW w:w="1702" w:type="dxa"/>
          </w:tcPr>
          <w:p w14:paraId="5C75604B" w14:textId="77777777" w:rsidR="0086046D" w:rsidRPr="007A3382" w:rsidRDefault="0086046D" w:rsidP="007A3382">
            <w:pPr>
              <w:ind w:left="0" w:right="0"/>
              <w:rPr>
                <w:sz w:val="20"/>
                <w:szCs w:val="20"/>
              </w:rPr>
            </w:pPr>
            <w:r w:rsidRPr="007A3382">
              <w:rPr>
                <w:sz w:val="20"/>
                <w:szCs w:val="20"/>
              </w:rPr>
              <w:t>20 000</w:t>
            </w:r>
          </w:p>
        </w:tc>
        <w:tc>
          <w:tcPr>
            <w:tcW w:w="1702" w:type="dxa"/>
          </w:tcPr>
          <w:p w14:paraId="1DFC11C3" w14:textId="77777777" w:rsidR="0086046D" w:rsidRPr="007A3382" w:rsidRDefault="0086046D" w:rsidP="007A3382">
            <w:pPr>
              <w:ind w:left="0" w:right="0"/>
              <w:rPr>
                <w:sz w:val="20"/>
                <w:szCs w:val="20"/>
              </w:rPr>
            </w:pPr>
            <w:r w:rsidRPr="007A3382">
              <w:rPr>
                <w:sz w:val="20"/>
                <w:szCs w:val="20"/>
              </w:rPr>
              <w:t>0.8</w:t>
            </w:r>
          </w:p>
        </w:tc>
      </w:tr>
      <w:tr w:rsidR="0086046D" w:rsidRPr="007A3382" w14:paraId="53D14949" w14:textId="77777777" w:rsidTr="005C4508">
        <w:trPr>
          <w:trHeight w:val="221"/>
        </w:trPr>
        <w:tc>
          <w:tcPr>
            <w:tcW w:w="1449" w:type="dxa"/>
            <w:vMerge/>
          </w:tcPr>
          <w:p w14:paraId="076A0C3A" w14:textId="77777777" w:rsidR="0086046D" w:rsidRPr="007A3382" w:rsidRDefault="0086046D" w:rsidP="007A3382">
            <w:pPr>
              <w:ind w:left="0" w:right="0"/>
              <w:rPr>
                <w:sz w:val="20"/>
                <w:szCs w:val="20"/>
              </w:rPr>
            </w:pPr>
          </w:p>
        </w:tc>
        <w:tc>
          <w:tcPr>
            <w:tcW w:w="1579" w:type="dxa"/>
            <w:vMerge/>
          </w:tcPr>
          <w:p w14:paraId="0A63C738" w14:textId="77777777" w:rsidR="0086046D" w:rsidRPr="007A3382" w:rsidRDefault="0086046D" w:rsidP="007A3382">
            <w:pPr>
              <w:ind w:left="0" w:right="0"/>
              <w:rPr>
                <w:sz w:val="20"/>
                <w:szCs w:val="20"/>
              </w:rPr>
            </w:pPr>
          </w:p>
        </w:tc>
        <w:tc>
          <w:tcPr>
            <w:tcW w:w="1710" w:type="dxa"/>
            <w:vMerge/>
          </w:tcPr>
          <w:p w14:paraId="30DE6106" w14:textId="77777777" w:rsidR="0086046D" w:rsidRPr="007A3382" w:rsidRDefault="0086046D" w:rsidP="007A3382">
            <w:pPr>
              <w:ind w:left="0" w:right="0"/>
              <w:rPr>
                <w:sz w:val="20"/>
                <w:szCs w:val="20"/>
              </w:rPr>
            </w:pPr>
          </w:p>
        </w:tc>
        <w:tc>
          <w:tcPr>
            <w:tcW w:w="649" w:type="dxa"/>
          </w:tcPr>
          <w:p w14:paraId="5E3CE710" w14:textId="77777777" w:rsidR="0086046D" w:rsidRPr="007A3382" w:rsidRDefault="0086046D" w:rsidP="007A3382">
            <w:pPr>
              <w:ind w:left="0" w:right="0"/>
              <w:rPr>
                <w:sz w:val="20"/>
                <w:szCs w:val="20"/>
              </w:rPr>
            </w:pPr>
            <w:r w:rsidRPr="007A3382">
              <w:rPr>
                <w:sz w:val="20"/>
                <w:szCs w:val="20"/>
              </w:rPr>
              <w:t>M/F</w:t>
            </w:r>
          </w:p>
        </w:tc>
        <w:tc>
          <w:tcPr>
            <w:tcW w:w="1702" w:type="dxa"/>
          </w:tcPr>
          <w:p w14:paraId="61794061" w14:textId="77777777" w:rsidR="0086046D" w:rsidRPr="007A3382" w:rsidRDefault="0086046D" w:rsidP="007A3382">
            <w:pPr>
              <w:ind w:left="0" w:right="0"/>
              <w:rPr>
                <w:sz w:val="20"/>
                <w:szCs w:val="20"/>
              </w:rPr>
            </w:pPr>
            <w:r w:rsidRPr="007A3382">
              <w:rPr>
                <w:sz w:val="20"/>
                <w:szCs w:val="20"/>
              </w:rPr>
              <w:t>26 500</w:t>
            </w:r>
          </w:p>
        </w:tc>
        <w:tc>
          <w:tcPr>
            <w:tcW w:w="1702" w:type="dxa"/>
          </w:tcPr>
          <w:p w14:paraId="03A7B4D7" w14:textId="77777777" w:rsidR="0086046D" w:rsidRPr="007A3382" w:rsidRDefault="0086046D" w:rsidP="007A3382">
            <w:pPr>
              <w:ind w:left="0" w:right="0"/>
              <w:rPr>
                <w:sz w:val="20"/>
                <w:szCs w:val="20"/>
              </w:rPr>
            </w:pPr>
            <w:r w:rsidRPr="007A3382">
              <w:rPr>
                <w:sz w:val="20"/>
                <w:szCs w:val="20"/>
              </w:rPr>
              <w:t>1.1</w:t>
            </w:r>
          </w:p>
        </w:tc>
      </w:tr>
      <w:tr w:rsidR="0086046D" w:rsidRPr="007A3382" w14:paraId="464C5BFA" w14:textId="77777777" w:rsidTr="005C4508">
        <w:trPr>
          <w:trHeight w:val="221"/>
        </w:trPr>
        <w:tc>
          <w:tcPr>
            <w:tcW w:w="1449" w:type="dxa"/>
            <w:vMerge/>
          </w:tcPr>
          <w:p w14:paraId="1EF563AB" w14:textId="77777777" w:rsidR="0086046D" w:rsidRPr="007A3382" w:rsidRDefault="0086046D" w:rsidP="007A3382">
            <w:pPr>
              <w:ind w:left="0" w:right="0"/>
              <w:rPr>
                <w:sz w:val="20"/>
                <w:szCs w:val="20"/>
              </w:rPr>
            </w:pPr>
          </w:p>
        </w:tc>
        <w:tc>
          <w:tcPr>
            <w:tcW w:w="1579" w:type="dxa"/>
            <w:vMerge/>
          </w:tcPr>
          <w:p w14:paraId="46FD4B0C" w14:textId="77777777" w:rsidR="0086046D" w:rsidRPr="007A3382" w:rsidRDefault="0086046D" w:rsidP="007A3382">
            <w:pPr>
              <w:ind w:left="0" w:right="0"/>
              <w:rPr>
                <w:sz w:val="20"/>
                <w:szCs w:val="20"/>
              </w:rPr>
            </w:pPr>
          </w:p>
        </w:tc>
        <w:tc>
          <w:tcPr>
            <w:tcW w:w="1710" w:type="dxa"/>
            <w:vMerge w:val="restart"/>
          </w:tcPr>
          <w:p w14:paraId="7E34E079" w14:textId="77777777" w:rsidR="0086046D" w:rsidRPr="007A3382" w:rsidRDefault="0086046D" w:rsidP="007A3382">
            <w:pPr>
              <w:ind w:left="0" w:right="0"/>
              <w:rPr>
                <w:sz w:val="20"/>
                <w:szCs w:val="20"/>
              </w:rPr>
            </w:pPr>
            <w:r w:rsidRPr="007A3382">
              <w:rPr>
                <w:sz w:val="20"/>
                <w:szCs w:val="20"/>
              </w:rPr>
              <w:t>1.32</w:t>
            </w:r>
          </w:p>
        </w:tc>
        <w:tc>
          <w:tcPr>
            <w:tcW w:w="649" w:type="dxa"/>
          </w:tcPr>
          <w:p w14:paraId="4D948F59" w14:textId="77777777" w:rsidR="0086046D" w:rsidRPr="007A3382" w:rsidRDefault="0086046D" w:rsidP="007A3382">
            <w:pPr>
              <w:ind w:left="0" w:right="0"/>
              <w:rPr>
                <w:sz w:val="20"/>
                <w:szCs w:val="20"/>
              </w:rPr>
            </w:pPr>
            <w:r w:rsidRPr="007A3382">
              <w:rPr>
                <w:sz w:val="20"/>
                <w:szCs w:val="20"/>
              </w:rPr>
              <w:t>M</w:t>
            </w:r>
          </w:p>
        </w:tc>
        <w:tc>
          <w:tcPr>
            <w:tcW w:w="1702" w:type="dxa"/>
          </w:tcPr>
          <w:p w14:paraId="574C19E1" w14:textId="77777777" w:rsidR="0086046D" w:rsidRPr="007A3382" w:rsidRDefault="0086046D" w:rsidP="007A3382">
            <w:pPr>
              <w:ind w:left="0" w:right="0"/>
              <w:rPr>
                <w:sz w:val="20"/>
                <w:szCs w:val="20"/>
              </w:rPr>
            </w:pPr>
            <w:r w:rsidRPr="007A3382">
              <w:rPr>
                <w:sz w:val="20"/>
                <w:szCs w:val="20"/>
              </w:rPr>
              <w:t>145 000</w:t>
            </w:r>
          </w:p>
        </w:tc>
        <w:tc>
          <w:tcPr>
            <w:tcW w:w="1702" w:type="dxa"/>
          </w:tcPr>
          <w:p w14:paraId="1D89B0B2" w14:textId="77777777" w:rsidR="0086046D" w:rsidRPr="007A3382" w:rsidRDefault="0086046D" w:rsidP="007A3382">
            <w:pPr>
              <w:ind w:left="0" w:right="0"/>
              <w:rPr>
                <w:sz w:val="20"/>
                <w:szCs w:val="20"/>
              </w:rPr>
            </w:pPr>
            <w:r w:rsidRPr="007A3382">
              <w:rPr>
                <w:sz w:val="20"/>
                <w:szCs w:val="20"/>
              </w:rPr>
              <w:t>5.8</w:t>
            </w:r>
          </w:p>
        </w:tc>
      </w:tr>
      <w:tr w:rsidR="0086046D" w:rsidRPr="007A3382" w14:paraId="5E87BDC8" w14:textId="77777777" w:rsidTr="005C4508">
        <w:trPr>
          <w:trHeight w:val="221"/>
        </w:trPr>
        <w:tc>
          <w:tcPr>
            <w:tcW w:w="1449" w:type="dxa"/>
            <w:vMerge/>
          </w:tcPr>
          <w:p w14:paraId="7A717250" w14:textId="77777777" w:rsidR="0086046D" w:rsidRPr="007A3382" w:rsidRDefault="0086046D" w:rsidP="007A3382">
            <w:pPr>
              <w:ind w:left="0" w:right="0"/>
              <w:rPr>
                <w:sz w:val="20"/>
                <w:szCs w:val="20"/>
              </w:rPr>
            </w:pPr>
          </w:p>
        </w:tc>
        <w:tc>
          <w:tcPr>
            <w:tcW w:w="1579" w:type="dxa"/>
            <w:vMerge/>
          </w:tcPr>
          <w:p w14:paraId="6D3B67DD" w14:textId="77777777" w:rsidR="0086046D" w:rsidRPr="007A3382" w:rsidRDefault="0086046D" w:rsidP="007A3382">
            <w:pPr>
              <w:ind w:left="0" w:right="0"/>
              <w:rPr>
                <w:sz w:val="20"/>
                <w:szCs w:val="20"/>
              </w:rPr>
            </w:pPr>
          </w:p>
        </w:tc>
        <w:tc>
          <w:tcPr>
            <w:tcW w:w="1710" w:type="dxa"/>
            <w:vMerge/>
          </w:tcPr>
          <w:p w14:paraId="1B0C6C6B" w14:textId="77777777" w:rsidR="0086046D" w:rsidRPr="007A3382" w:rsidRDefault="0086046D" w:rsidP="007A3382">
            <w:pPr>
              <w:ind w:left="0" w:right="0"/>
              <w:rPr>
                <w:sz w:val="20"/>
                <w:szCs w:val="20"/>
              </w:rPr>
            </w:pPr>
          </w:p>
        </w:tc>
        <w:tc>
          <w:tcPr>
            <w:tcW w:w="649" w:type="dxa"/>
          </w:tcPr>
          <w:p w14:paraId="46A80456" w14:textId="77777777" w:rsidR="0086046D" w:rsidRPr="007A3382" w:rsidRDefault="0086046D" w:rsidP="007A3382">
            <w:pPr>
              <w:ind w:left="0" w:right="0"/>
              <w:rPr>
                <w:sz w:val="20"/>
                <w:szCs w:val="20"/>
              </w:rPr>
            </w:pPr>
            <w:r w:rsidRPr="007A3382">
              <w:rPr>
                <w:sz w:val="20"/>
                <w:szCs w:val="20"/>
              </w:rPr>
              <w:t>F</w:t>
            </w:r>
          </w:p>
        </w:tc>
        <w:tc>
          <w:tcPr>
            <w:tcW w:w="1702" w:type="dxa"/>
          </w:tcPr>
          <w:p w14:paraId="36BB2B50" w14:textId="77777777" w:rsidR="0086046D" w:rsidRPr="007A3382" w:rsidRDefault="0086046D" w:rsidP="007A3382">
            <w:pPr>
              <w:ind w:left="0" w:right="0"/>
              <w:rPr>
                <w:sz w:val="20"/>
                <w:szCs w:val="20"/>
              </w:rPr>
            </w:pPr>
            <w:r w:rsidRPr="007A3382">
              <w:rPr>
                <w:sz w:val="20"/>
                <w:szCs w:val="20"/>
              </w:rPr>
              <w:t>92 800</w:t>
            </w:r>
          </w:p>
        </w:tc>
        <w:tc>
          <w:tcPr>
            <w:tcW w:w="1702" w:type="dxa"/>
          </w:tcPr>
          <w:p w14:paraId="45796E42" w14:textId="77777777" w:rsidR="0086046D" w:rsidRPr="007A3382" w:rsidRDefault="0086046D" w:rsidP="007A3382">
            <w:pPr>
              <w:ind w:left="0" w:right="0"/>
              <w:rPr>
                <w:sz w:val="20"/>
                <w:szCs w:val="20"/>
              </w:rPr>
            </w:pPr>
            <w:r w:rsidRPr="007A3382">
              <w:rPr>
                <w:sz w:val="20"/>
                <w:szCs w:val="20"/>
              </w:rPr>
              <w:t>3.7</w:t>
            </w:r>
          </w:p>
        </w:tc>
      </w:tr>
      <w:tr w:rsidR="0086046D" w:rsidRPr="007A3382" w14:paraId="5C344379" w14:textId="77777777" w:rsidTr="005C4508">
        <w:trPr>
          <w:trHeight w:val="221"/>
        </w:trPr>
        <w:tc>
          <w:tcPr>
            <w:tcW w:w="1449" w:type="dxa"/>
            <w:vMerge/>
          </w:tcPr>
          <w:p w14:paraId="18887966" w14:textId="77777777" w:rsidR="0086046D" w:rsidRPr="007A3382" w:rsidRDefault="0086046D" w:rsidP="007A3382">
            <w:pPr>
              <w:ind w:left="0" w:right="0"/>
              <w:rPr>
                <w:sz w:val="20"/>
                <w:szCs w:val="20"/>
              </w:rPr>
            </w:pPr>
          </w:p>
        </w:tc>
        <w:tc>
          <w:tcPr>
            <w:tcW w:w="1579" w:type="dxa"/>
            <w:vMerge/>
          </w:tcPr>
          <w:p w14:paraId="46A60C6E" w14:textId="77777777" w:rsidR="0086046D" w:rsidRPr="007A3382" w:rsidRDefault="0086046D" w:rsidP="007A3382">
            <w:pPr>
              <w:ind w:left="0" w:right="0"/>
              <w:rPr>
                <w:sz w:val="20"/>
                <w:szCs w:val="20"/>
              </w:rPr>
            </w:pPr>
          </w:p>
        </w:tc>
        <w:tc>
          <w:tcPr>
            <w:tcW w:w="1710" w:type="dxa"/>
            <w:vMerge/>
          </w:tcPr>
          <w:p w14:paraId="6B37B1A6" w14:textId="77777777" w:rsidR="0086046D" w:rsidRPr="007A3382" w:rsidRDefault="0086046D" w:rsidP="007A3382">
            <w:pPr>
              <w:ind w:left="0" w:right="0"/>
              <w:rPr>
                <w:sz w:val="20"/>
                <w:szCs w:val="20"/>
              </w:rPr>
            </w:pPr>
          </w:p>
        </w:tc>
        <w:tc>
          <w:tcPr>
            <w:tcW w:w="649" w:type="dxa"/>
          </w:tcPr>
          <w:p w14:paraId="52A71767" w14:textId="77777777" w:rsidR="0086046D" w:rsidRPr="007A3382" w:rsidRDefault="0086046D" w:rsidP="007A3382">
            <w:pPr>
              <w:ind w:left="0" w:right="0"/>
              <w:rPr>
                <w:sz w:val="20"/>
                <w:szCs w:val="20"/>
              </w:rPr>
            </w:pPr>
            <w:r w:rsidRPr="007A3382">
              <w:rPr>
                <w:sz w:val="20"/>
                <w:szCs w:val="20"/>
              </w:rPr>
              <w:t>M/F</w:t>
            </w:r>
          </w:p>
        </w:tc>
        <w:tc>
          <w:tcPr>
            <w:tcW w:w="1702" w:type="dxa"/>
          </w:tcPr>
          <w:p w14:paraId="6F39AC0C" w14:textId="77777777" w:rsidR="0086046D" w:rsidRPr="007A3382" w:rsidRDefault="0086046D" w:rsidP="007A3382">
            <w:pPr>
              <w:ind w:left="0" w:right="0"/>
              <w:rPr>
                <w:sz w:val="20"/>
                <w:szCs w:val="20"/>
              </w:rPr>
            </w:pPr>
            <w:r w:rsidRPr="007A3382">
              <w:rPr>
                <w:sz w:val="20"/>
                <w:szCs w:val="20"/>
              </w:rPr>
              <w:t>118 900</w:t>
            </w:r>
          </w:p>
        </w:tc>
        <w:tc>
          <w:tcPr>
            <w:tcW w:w="1702" w:type="dxa"/>
          </w:tcPr>
          <w:p w14:paraId="128A3C34" w14:textId="77777777" w:rsidR="0086046D" w:rsidRPr="007A3382" w:rsidRDefault="0086046D" w:rsidP="007A3382">
            <w:pPr>
              <w:ind w:left="0" w:right="0"/>
              <w:rPr>
                <w:sz w:val="20"/>
                <w:szCs w:val="20"/>
              </w:rPr>
            </w:pPr>
            <w:r w:rsidRPr="007A3382">
              <w:rPr>
                <w:sz w:val="20"/>
                <w:szCs w:val="20"/>
              </w:rPr>
              <w:t>4.8</w:t>
            </w:r>
          </w:p>
        </w:tc>
      </w:tr>
      <w:tr w:rsidR="0086046D" w:rsidRPr="007A3382" w14:paraId="5242F067" w14:textId="77777777" w:rsidTr="005C4508">
        <w:trPr>
          <w:trHeight w:val="221"/>
        </w:trPr>
        <w:tc>
          <w:tcPr>
            <w:tcW w:w="1449" w:type="dxa"/>
            <w:vMerge/>
          </w:tcPr>
          <w:p w14:paraId="5C0D55B8" w14:textId="77777777" w:rsidR="0086046D" w:rsidRPr="007A3382" w:rsidRDefault="0086046D" w:rsidP="007A3382">
            <w:pPr>
              <w:ind w:left="0" w:right="0"/>
              <w:rPr>
                <w:sz w:val="20"/>
                <w:szCs w:val="20"/>
              </w:rPr>
            </w:pPr>
          </w:p>
        </w:tc>
        <w:tc>
          <w:tcPr>
            <w:tcW w:w="1579" w:type="dxa"/>
            <w:vMerge/>
          </w:tcPr>
          <w:p w14:paraId="069E48BE" w14:textId="77777777" w:rsidR="0086046D" w:rsidRPr="007A3382" w:rsidRDefault="0086046D" w:rsidP="007A3382">
            <w:pPr>
              <w:ind w:left="0" w:right="0"/>
              <w:rPr>
                <w:sz w:val="20"/>
                <w:szCs w:val="20"/>
              </w:rPr>
            </w:pPr>
          </w:p>
        </w:tc>
        <w:tc>
          <w:tcPr>
            <w:tcW w:w="1710" w:type="dxa"/>
            <w:vMerge w:val="restart"/>
          </w:tcPr>
          <w:p w14:paraId="01594CC9" w14:textId="77777777" w:rsidR="0086046D" w:rsidRPr="007A3382" w:rsidRDefault="0086046D" w:rsidP="007A3382">
            <w:pPr>
              <w:ind w:left="0" w:right="0"/>
              <w:rPr>
                <w:sz w:val="20"/>
                <w:szCs w:val="20"/>
              </w:rPr>
            </w:pPr>
            <w:r w:rsidRPr="007A3382">
              <w:rPr>
                <w:sz w:val="20"/>
                <w:szCs w:val="20"/>
              </w:rPr>
              <w:t>4.20</w:t>
            </w:r>
          </w:p>
        </w:tc>
        <w:tc>
          <w:tcPr>
            <w:tcW w:w="649" w:type="dxa"/>
          </w:tcPr>
          <w:p w14:paraId="59E3717E" w14:textId="77777777" w:rsidR="0086046D" w:rsidRPr="007A3382" w:rsidRDefault="0086046D" w:rsidP="007A3382">
            <w:pPr>
              <w:ind w:left="0" w:right="0"/>
              <w:rPr>
                <w:sz w:val="20"/>
                <w:szCs w:val="20"/>
              </w:rPr>
            </w:pPr>
            <w:r w:rsidRPr="007A3382">
              <w:rPr>
                <w:sz w:val="20"/>
                <w:szCs w:val="20"/>
              </w:rPr>
              <w:t>M</w:t>
            </w:r>
          </w:p>
        </w:tc>
        <w:tc>
          <w:tcPr>
            <w:tcW w:w="1702" w:type="dxa"/>
          </w:tcPr>
          <w:p w14:paraId="0585CAA4" w14:textId="77777777" w:rsidR="0086046D" w:rsidRPr="007A3382" w:rsidRDefault="0086046D" w:rsidP="007A3382">
            <w:pPr>
              <w:ind w:left="0" w:right="0"/>
              <w:rPr>
                <w:sz w:val="20"/>
                <w:szCs w:val="20"/>
              </w:rPr>
            </w:pPr>
            <w:r w:rsidRPr="007A3382">
              <w:rPr>
                <w:sz w:val="20"/>
                <w:szCs w:val="20"/>
              </w:rPr>
              <w:t>628 000</w:t>
            </w:r>
          </w:p>
        </w:tc>
        <w:tc>
          <w:tcPr>
            <w:tcW w:w="1702" w:type="dxa"/>
          </w:tcPr>
          <w:p w14:paraId="78BBA8AD" w14:textId="77777777" w:rsidR="0086046D" w:rsidRPr="007A3382" w:rsidRDefault="0086046D" w:rsidP="007A3382">
            <w:pPr>
              <w:ind w:left="0" w:right="0"/>
              <w:rPr>
                <w:sz w:val="20"/>
                <w:szCs w:val="20"/>
              </w:rPr>
            </w:pPr>
            <w:r w:rsidRPr="007A3382">
              <w:rPr>
                <w:sz w:val="20"/>
                <w:szCs w:val="20"/>
              </w:rPr>
              <w:t>25.1</w:t>
            </w:r>
          </w:p>
        </w:tc>
      </w:tr>
      <w:tr w:rsidR="0086046D" w:rsidRPr="007A3382" w14:paraId="0863142C" w14:textId="77777777" w:rsidTr="005C4508">
        <w:trPr>
          <w:trHeight w:val="221"/>
        </w:trPr>
        <w:tc>
          <w:tcPr>
            <w:tcW w:w="1449" w:type="dxa"/>
            <w:vMerge/>
          </w:tcPr>
          <w:p w14:paraId="6D0D8D7C" w14:textId="77777777" w:rsidR="0086046D" w:rsidRPr="007A3382" w:rsidRDefault="0086046D" w:rsidP="007A3382">
            <w:pPr>
              <w:ind w:left="0" w:right="0"/>
              <w:rPr>
                <w:sz w:val="20"/>
                <w:szCs w:val="20"/>
              </w:rPr>
            </w:pPr>
          </w:p>
        </w:tc>
        <w:tc>
          <w:tcPr>
            <w:tcW w:w="1579" w:type="dxa"/>
            <w:vMerge/>
          </w:tcPr>
          <w:p w14:paraId="3BF9C7BB" w14:textId="77777777" w:rsidR="0086046D" w:rsidRPr="007A3382" w:rsidRDefault="0086046D" w:rsidP="007A3382">
            <w:pPr>
              <w:ind w:left="0" w:right="0"/>
              <w:rPr>
                <w:sz w:val="20"/>
                <w:szCs w:val="20"/>
              </w:rPr>
            </w:pPr>
          </w:p>
        </w:tc>
        <w:tc>
          <w:tcPr>
            <w:tcW w:w="1710" w:type="dxa"/>
            <w:vMerge/>
          </w:tcPr>
          <w:p w14:paraId="78702A2C" w14:textId="77777777" w:rsidR="0086046D" w:rsidRPr="007A3382" w:rsidRDefault="0086046D" w:rsidP="007A3382">
            <w:pPr>
              <w:ind w:left="0" w:right="0"/>
              <w:rPr>
                <w:sz w:val="20"/>
                <w:szCs w:val="20"/>
              </w:rPr>
            </w:pPr>
          </w:p>
        </w:tc>
        <w:tc>
          <w:tcPr>
            <w:tcW w:w="649" w:type="dxa"/>
          </w:tcPr>
          <w:p w14:paraId="020EC0A4" w14:textId="77777777" w:rsidR="0086046D" w:rsidRPr="007A3382" w:rsidRDefault="0086046D" w:rsidP="007A3382">
            <w:pPr>
              <w:ind w:left="0" w:right="0"/>
              <w:rPr>
                <w:sz w:val="20"/>
                <w:szCs w:val="20"/>
              </w:rPr>
            </w:pPr>
            <w:r w:rsidRPr="007A3382">
              <w:rPr>
                <w:sz w:val="20"/>
                <w:szCs w:val="20"/>
              </w:rPr>
              <w:t>F</w:t>
            </w:r>
          </w:p>
        </w:tc>
        <w:tc>
          <w:tcPr>
            <w:tcW w:w="1702" w:type="dxa"/>
          </w:tcPr>
          <w:p w14:paraId="0B01015D" w14:textId="77777777" w:rsidR="0086046D" w:rsidRPr="007A3382" w:rsidRDefault="0086046D" w:rsidP="007A3382">
            <w:pPr>
              <w:ind w:left="0" w:right="0"/>
              <w:rPr>
                <w:sz w:val="20"/>
                <w:szCs w:val="20"/>
              </w:rPr>
            </w:pPr>
            <w:r w:rsidRPr="007A3382">
              <w:rPr>
                <w:sz w:val="20"/>
                <w:szCs w:val="20"/>
              </w:rPr>
              <w:t>576 000</w:t>
            </w:r>
          </w:p>
        </w:tc>
        <w:tc>
          <w:tcPr>
            <w:tcW w:w="1702" w:type="dxa"/>
          </w:tcPr>
          <w:p w14:paraId="409DFF97" w14:textId="77777777" w:rsidR="0086046D" w:rsidRPr="007A3382" w:rsidRDefault="0086046D" w:rsidP="007A3382">
            <w:pPr>
              <w:ind w:left="0" w:right="0"/>
              <w:rPr>
                <w:sz w:val="20"/>
                <w:szCs w:val="20"/>
              </w:rPr>
            </w:pPr>
            <w:r w:rsidRPr="007A3382">
              <w:rPr>
                <w:sz w:val="20"/>
                <w:szCs w:val="20"/>
              </w:rPr>
              <w:t>23.0</w:t>
            </w:r>
          </w:p>
        </w:tc>
      </w:tr>
      <w:tr w:rsidR="0086046D" w:rsidRPr="007A3382" w14:paraId="5A37544D" w14:textId="77777777" w:rsidTr="005C4508">
        <w:trPr>
          <w:trHeight w:val="221"/>
        </w:trPr>
        <w:tc>
          <w:tcPr>
            <w:tcW w:w="1449" w:type="dxa"/>
            <w:vMerge/>
          </w:tcPr>
          <w:p w14:paraId="5C099BBF" w14:textId="77777777" w:rsidR="0086046D" w:rsidRPr="007A3382" w:rsidRDefault="0086046D" w:rsidP="007A3382">
            <w:pPr>
              <w:ind w:left="0" w:right="0"/>
              <w:rPr>
                <w:sz w:val="20"/>
                <w:szCs w:val="20"/>
              </w:rPr>
            </w:pPr>
          </w:p>
        </w:tc>
        <w:tc>
          <w:tcPr>
            <w:tcW w:w="1579" w:type="dxa"/>
            <w:vMerge/>
          </w:tcPr>
          <w:p w14:paraId="77A8DE54" w14:textId="77777777" w:rsidR="0086046D" w:rsidRPr="007A3382" w:rsidRDefault="0086046D" w:rsidP="007A3382">
            <w:pPr>
              <w:ind w:left="0" w:right="0"/>
              <w:rPr>
                <w:sz w:val="20"/>
                <w:szCs w:val="20"/>
              </w:rPr>
            </w:pPr>
          </w:p>
        </w:tc>
        <w:tc>
          <w:tcPr>
            <w:tcW w:w="1710" w:type="dxa"/>
            <w:vMerge/>
          </w:tcPr>
          <w:p w14:paraId="24662498" w14:textId="77777777" w:rsidR="0086046D" w:rsidRPr="007A3382" w:rsidRDefault="0086046D" w:rsidP="007A3382">
            <w:pPr>
              <w:ind w:left="0" w:right="0"/>
              <w:rPr>
                <w:sz w:val="20"/>
                <w:szCs w:val="20"/>
              </w:rPr>
            </w:pPr>
          </w:p>
        </w:tc>
        <w:tc>
          <w:tcPr>
            <w:tcW w:w="649" w:type="dxa"/>
          </w:tcPr>
          <w:p w14:paraId="7D969A3B" w14:textId="77777777" w:rsidR="0086046D" w:rsidRPr="007A3382" w:rsidRDefault="0086046D" w:rsidP="007A3382">
            <w:pPr>
              <w:ind w:left="0" w:right="0"/>
              <w:rPr>
                <w:sz w:val="20"/>
                <w:szCs w:val="20"/>
              </w:rPr>
            </w:pPr>
            <w:r w:rsidRPr="007A3382">
              <w:rPr>
                <w:sz w:val="20"/>
                <w:szCs w:val="20"/>
              </w:rPr>
              <w:t>M/F</w:t>
            </w:r>
          </w:p>
        </w:tc>
        <w:tc>
          <w:tcPr>
            <w:tcW w:w="1702" w:type="dxa"/>
          </w:tcPr>
          <w:p w14:paraId="15A7C06C" w14:textId="77777777" w:rsidR="0086046D" w:rsidRPr="007A3382" w:rsidRDefault="0086046D" w:rsidP="007A3382">
            <w:pPr>
              <w:ind w:left="0" w:right="0"/>
              <w:rPr>
                <w:sz w:val="20"/>
                <w:szCs w:val="20"/>
              </w:rPr>
            </w:pPr>
            <w:r w:rsidRPr="007A3382">
              <w:rPr>
                <w:sz w:val="20"/>
                <w:szCs w:val="20"/>
              </w:rPr>
              <w:t>602 000</w:t>
            </w:r>
          </w:p>
        </w:tc>
        <w:tc>
          <w:tcPr>
            <w:tcW w:w="1702" w:type="dxa"/>
          </w:tcPr>
          <w:p w14:paraId="5F8DB3CB" w14:textId="77777777" w:rsidR="0086046D" w:rsidRPr="007A3382" w:rsidRDefault="0086046D" w:rsidP="007A3382">
            <w:pPr>
              <w:ind w:left="0" w:right="0"/>
              <w:rPr>
                <w:sz w:val="20"/>
                <w:szCs w:val="20"/>
              </w:rPr>
            </w:pPr>
            <w:r w:rsidRPr="007A3382">
              <w:rPr>
                <w:sz w:val="20"/>
                <w:szCs w:val="20"/>
              </w:rPr>
              <w:t>24.1</w:t>
            </w:r>
          </w:p>
        </w:tc>
      </w:tr>
      <w:tr w:rsidR="0086046D" w:rsidRPr="007A3382" w14:paraId="58B6A2FE" w14:textId="77777777" w:rsidTr="005C4508">
        <w:trPr>
          <w:trHeight w:val="221"/>
        </w:trPr>
        <w:tc>
          <w:tcPr>
            <w:tcW w:w="1449" w:type="dxa"/>
            <w:vMerge/>
          </w:tcPr>
          <w:p w14:paraId="17A9FAD9" w14:textId="77777777" w:rsidR="0086046D" w:rsidRPr="007A3382" w:rsidRDefault="0086046D" w:rsidP="007A3382">
            <w:pPr>
              <w:ind w:left="0" w:right="0"/>
              <w:rPr>
                <w:sz w:val="20"/>
                <w:szCs w:val="20"/>
              </w:rPr>
            </w:pPr>
          </w:p>
        </w:tc>
        <w:tc>
          <w:tcPr>
            <w:tcW w:w="1579" w:type="dxa"/>
            <w:vMerge w:val="restart"/>
          </w:tcPr>
          <w:p w14:paraId="6F090762" w14:textId="77777777" w:rsidR="0086046D" w:rsidRPr="007A3382" w:rsidRDefault="00AF6A3A" w:rsidP="007A3382">
            <w:pPr>
              <w:ind w:left="0" w:right="0"/>
              <w:rPr>
                <w:sz w:val="20"/>
                <w:szCs w:val="20"/>
              </w:rPr>
            </w:pPr>
            <w:r w:rsidRPr="007A3382">
              <w:rPr>
                <w:sz w:val="20"/>
                <w:szCs w:val="20"/>
              </w:rPr>
              <w:t>26 weeks Pivotal; RPT</w:t>
            </w:r>
            <w:r w:rsidRPr="007A3382">
              <w:rPr>
                <w:sz w:val="20"/>
                <w:szCs w:val="20"/>
              </w:rPr>
              <w:noBreakHyphen/>
              <w:t>65773</w:t>
            </w:r>
          </w:p>
        </w:tc>
        <w:tc>
          <w:tcPr>
            <w:tcW w:w="1710" w:type="dxa"/>
            <w:vMerge w:val="restart"/>
          </w:tcPr>
          <w:p w14:paraId="486D2F6A" w14:textId="77777777" w:rsidR="0086046D" w:rsidRPr="007A3382" w:rsidRDefault="0086046D" w:rsidP="007A3382">
            <w:pPr>
              <w:ind w:left="0" w:right="0"/>
              <w:rPr>
                <w:sz w:val="20"/>
                <w:szCs w:val="20"/>
              </w:rPr>
            </w:pPr>
            <w:r w:rsidRPr="007A3382">
              <w:rPr>
                <w:sz w:val="20"/>
                <w:szCs w:val="20"/>
              </w:rPr>
              <w:t>0.072</w:t>
            </w:r>
          </w:p>
        </w:tc>
        <w:tc>
          <w:tcPr>
            <w:tcW w:w="649" w:type="dxa"/>
          </w:tcPr>
          <w:p w14:paraId="1FC0D63E" w14:textId="77777777" w:rsidR="0086046D" w:rsidRPr="007A3382" w:rsidRDefault="0086046D" w:rsidP="007A3382">
            <w:pPr>
              <w:ind w:left="0" w:right="0"/>
              <w:rPr>
                <w:sz w:val="20"/>
                <w:szCs w:val="20"/>
              </w:rPr>
            </w:pPr>
            <w:r w:rsidRPr="007A3382">
              <w:rPr>
                <w:sz w:val="20"/>
                <w:szCs w:val="20"/>
              </w:rPr>
              <w:t>M</w:t>
            </w:r>
          </w:p>
        </w:tc>
        <w:tc>
          <w:tcPr>
            <w:tcW w:w="1702" w:type="dxa"/>
          </w:tcPr>
          <w:p w14:paraId="43E7CF1B" w14:textId="77777777" w:rsidR="0086046D" w:rsidRPr="007A3382" w:rsidRDefault="0086046D" w:rsidP="007A3382">
            <w:pPr>
              <w:ind w:left="0" w:right="0"/>
              <w:rPr>
                <w:sz w:val="20"/>
                <w:szCs w:val="20"/>
              </w:rPr>
            </w:pPr>
            <w:r w:rsidRPr="007A3382">
              <w:rPr>
                <w:sz w:val="20"/>
                <w:szCs w:val="20"/>
              </w:rPr>
              <w:t>4430</w:t>
            </w:r>
          </w:p>
        </w:tc>
        <w:tc>
          <w:tcPr>
            <w:tcW w:w="1702" w:type="dxa"/>
          </w:tcPr>
          <w:p w14:paraId="2F011CB2" w14:textId="77777777" w:rsidR="0086046D" w:rsidRPr="007A3382" w:rsidRDefault="0086046D" w:rsidP="007A3382">
            <w:pPr>
              <w:ind w:left="0" w:right="0"/>
              <w:rPr>
                <w:sz w:val="20"/>
                <w:szCs w:val="20"/>
              </w:rPr>
            </w:pPr>
            <w:r w:rsidRPr="007A3382">
              <w:rPr>
                <w:sz w:val="20"/>
                <w:szCs w:val="20"/>
              </w:rPr>
              <w:t>0.18</w:t>
            </w:r>
          </w:p>
        </w:tc>
      </w:tr>
      <w:tr w:rsidR="0086046D" w:rsidRPr="007A3382" w14:paraId="47177CA5" w14:textId="77777777" w:rsidTr="005C4508">
        <w:trPr>
          <w:trHeight w:val="221"/>
        </w:trPr>
        <w:tc>
          <w:tcPr>
            <w:tcW w:w="1449" w:type="dxa"/>
            <w:vMerge/>
          </w:tcPr>
          <w:p w14:paraId="7197CB4E" w14:textId="77777777" w:rsidR="0086046D" w:rsidRPr="007A3382" w:rsidRDefault="0086046D" w:rsidP="007A3382">
            <w:pPr>
              <w:ind w:left="0" w:right="0"/>
              <w:rPr>
                <w:sz w:val="20"/>
                <w:szCs w:val="20"/>
              </w:rPr>
            </w:pPr>
          </w:p>
        </w:tc>
        <w:tc>
          <w:tcPr>
            <w:tcW w:w="1579" w:type="dxa"/>
            <w:vMerge/>
          </w:tcPr>
          <w:p w14:paraId="675F51CA" w14:textId="77777777" w:rsidR="0086046D" w:rsidRPr="007A3382" w:rsidRDefault="0086046D" w:rsidP="007A3382">
            <w:pPr>
              <w:ind w:left="0" w:right="0"/>
              <w:rPr>
                <w:sz w:val="20"/>
                <w:szCs w:val="20"/>
              </w:rPr>
            </w:pPr>
          </w:p>
        </w:tc>
        <w:tc>
          <w:tcPr>
            <w:tcW w:w="1710" w:type="dxa"/>
            <w:vMerge/>
          </w:tcPr>
          <w:p w14:paraId="4ED1A64C" w14:textId="77777777" w:rsidR="0086046D" w:rsidRPr="007A3382" w:rsidRDefault="0086046D" w:rsidP="007A3382">
            <w:pPr>
              <w:ind w:left="0" w:right="0"/>
              <w:rPr>
                <w:sz w:val="20"/>
                <w:szCs w:val="20"/>
              </w:rPr>
            </w:pPr>
          </w:p>
        </w:tc>
        <w:tc>
          <w:tcPr>
            <w:tcW w:w="649" w:type="dxa"/>
          </w:tcPr>
          <w:p w14:paraId="5BE58B5F" w14:textId="77777777" w:rsidR="0086046D" w:rsidRPr="007A3382" w:rsidRDefault="0086046D" w:rsidP="007A3382">
            <w:pPr>
              <w:ind w:left="0" w:right="0"/>
              <w:rPr>
                <w:sz w:val="20"/>
                <w:szCs w:val="20"/>
              </w:rPr>
            </w:pPr>
            <w:r w:rsidRPr="007A3382">
              <w:rPr>
                <w:sz w:val="20"/>
                <w:szCs w:val="20"/>
              </w:rPr>
              <w:t>F</w:t>
            </w:r>
          </w:p>
        </w:tc>
        <w:tc>
          <w:tcPr>
            <w:tcW w:w="1702" w:type="dxa"/>
          </w:tcPr>
          <w:p w14:paraId="1020AC95" w14:textId="77777777" w:rsidR="0086046D" w:rsidRPr="007A3382" w:rsidRDefault="0086046D" w:rsidP="007A3382">
            <w:pPr>
              <w:ind w:left="0" w:right="0"/>
              <w:rPr>
                <w:sz w:val="20"/>
                <w:szCs w:val="20"/>
              </w:rPr>
            </w:pPr>
            <w:r w:rsidRPr="007A3382">
              <w:rPr>
                <w:sz w:val="20"/>
                <w:szCs w:val="20"/>
              </w:rPr>
              <w:t>3230</w:t>
            </w:r>
          </w:p>
        </w:tc>
        <w:tc>
          <w:tcPr>
            <w:tcW w:w="1702" w:type="dxa"/>
          </w:tcPr>
          <w:p w14:paraId="50898747" w14:textId="77777777" w:rsidR="0086046D" w:rsidRPr="007A3382" w:rsidRDefault="0086046D" w:rsidP="007A3382">
            <w:pPr>
              <w:ind w:left="0" w:right="0"/>
              <w:rPr>
                <w:sz w:val="20"/>
                <w:szCs w:val="20"/>
              </w:rPr>
            </w:pPr>
            <w:r w:rsidRPr="007A3382">
              <w:rPr>
                <w:sz w:val="20"/>
                <w:szCs w:val="20"/>
              </w:rPr>
              <w:t>0.13</w:t>
            </w:r>
          </w:p>
        </w:tc>
      </w:tr>
      <w:tr w:rsidR="0086046D" w:rsidRPr="007A3382" w14:paraId="51DD245E" w14:textId="77777777" w:rsidTr="005C4508">
        <w:trPr>
          <w:trHeight w:val="221"/>
        </w:trPr>
        <w:tc>
          <w:tcPr>
            <w:tcW w:w="1449" w:type="dxa"/>
            <w:vMerge/>
          </w:tcPr>
          <w:p w14:paraId="6B159537" w14:textId="77777777" w:rsidR="0086046D" w:rsidRPr="007A3382" w:rsidRDefault="0086046D" w:rsidP="007A3382">
            <w:pPr>
              <w:ind w:left="0" w:right="0"/>
              <w:rPr>
                <w:sz w:val="20"/>
                <w:szCs w:val="20"/>
              </w:rPr>
            </w:pPr>
          </w:p>
        </w:tc>
        <w:tc>
          <w:tcPr>
            <w:tcW w:w="1579" w:type="dxa"/>
            <w:vMerge/>
          </w:tcPr>
          <w:p w14:paraId="360A3F90" w14:textId="77777777" w:rsidR="0086046D" w:rsidRPr="007A3382" w:rsidRDefault="0086046D" w:rsidP="007A3382">
            <w:pPr>
              <w:ind w:left="0" w:right="0"/>
              <w:rPr>
                <w:sz w:val="20"/>
                <w:szCs w:val="20"/>
              </w:rPr>
            </w:pPr>
          </w:p>
        </w:tc>
        <w:tc>
          <w:tcPr>
            <w:tcW w:w="1710" w:type="dxa"/>
            <w:vMerge/>
          </w:tcPr>
          <w:p w14:paraId="42355666" w14:textId="77777777" w:rsidR="0086046D" w:rsidRPr="007A3382" w:rsidRDefault="0086046D" w:rsidP="007A3382">
            <w:pPr>
              <w:ind w:left="0" w:right="0"/>
              <w:rPr>
                <w:sz w:val="20"/>
                <w:szCs w:val="20"/>
              </w:rPr>
            </w:pPr>
          </w:p>
        </w:tc>
        <w:tc>
          <w:tcPr>
            <w:tcW w:w="649" w:type="dxa"/>
          </w:tcPr>
          <w:p w14:paraId="13404DCA" w14:textId="77777777" w:rsidR="0086046D" w:rsidRPr="007A3382" w:rsidRDefault="0086046D" w:rsidP="007A3382">
            <w:pPr>
              <w:ind w:left="0" w:right="0"/>
              <w:rPr>
                <w:sz w:val="20"/>
                <w:szCs w:val="20"/>
              </w:rPr>
            </w:pPr>
            <w:r w:rsidRPr="007A3382">
              <w:rPr>
                <w:sz w:val="20"/>
                <w:szCs w:val="20"/>
              </w:rPr>
              <w:t>M/F</w:t>
            </w:r>
          </w:p>
        </w:tc>
        <w:tc>
          <w:tcPr>
            <w:tcW w:w="1702" w:type="dxa"/>
          </w:tcPr>
          <w:p w14:paraId="24F503D8" w14:textId="77777777" w:rsidR="0086046D" w:rsidRPr="007A3382" w:rsidRDefault="0086046D" w:rsidP="007A3382">
            <w:pPr>
              <w:ind w:left="0" w:right="0"/>
              <w:rPr>
                <w:sz w:val="20"/>
                <w:szCs w:val="20"/>
              </w:rPr>
            </w:pPr>
            <w:r w:rsidRPr="007A3382">
              <w:rPr>
                <w:sz w:val="20"/>
                <w:szCs w:val="20"/>
              </w:rPr>
              <w:t>3 830</w:t>
            </w:r>
          </w:p>
        </w:tc>
        <w:tc>
          <w:tcPr>
            <w:tcW w:w="1702" w:type="dxa"/>
          </w:tcPr>
          <w:p w14:paraId="66A1378E" w14:textId="77777777" w:rsidR="0086046D" w:rsidRPr="007A3382" w:rsidRDefault="0086046D" w:rsidP="007A3382">
            <w:pPr>
              <w:ind w:left="0" w:right="0"/>
              <w:rPr>
                <w:sz w:val="20"/>
                <w:szCs w:val="20"/>
              </w:rPr>
            </w:pPr>
            <w:r w:rsidRPr="007A3382">
              <w:rPr>
                <w:sz w:val="20"/>
                <w:szCs w:val="20"/>
              </w:rPr>
              <w:t>0.15</w:t>
            </w:r>
          </w:p>
        </w:tc>
      </w:tr>
      <w:tr w:rsidR="0086046D" w:rsidRPr="007A3382" w14:paraId="0CD6BF33" w14:textId="77777777" w:rsidTr="005C4508">
        <w:trPr>
          <w:trHeight w:val="221"/>
        </w:trPr>
        <w:tc>
          <w:tcPr>
            <w:tcW w:w="1449" w:type="dxa"/>
            <w:vMerge/>
          </w:tcPr>
          <w:p w14:paraId="2BC90590" w14:textId="77777777" w:rsidR="0086046D" w:rsidRPr="007A3382" w:rsidRDefault="0086046D" w:rsidP="007A3382">
            <w:pPr>
              <w:ind w:left="0" w:right="0"/>
              <w:rPr>
                <w:sz w:val="20"/>
                <w:szCs w:val="20"/>
              </w:rPr>
            </w:pPr>
          </w:p>
        </w:tc>
        <w:tc>
          <w:tcPr>
            <w:tcW w:w="1579" w:type="dxa"/>
            <w:vMerge/>
          </w:tcPr>
          <w:p w14:paraId="59E72FDD" w14:textId="77777777" w:rsidR="0086046D" w:rsidRPr="007A3382" w:rsidRDefault="0086046D" w:rsidP="007A3382">
            <w:pPr>
              <w:ind w:left="0" w:right="0"/>
              <w:rPr>
                <w:sz w:val="20"/>
                <w:szCs w:val="20"/>
              </w:rPr>
            </w:pPr>
          </w:p>
        </w:tc>
        <w:tc>
          <w:tcPr>
            <w:tcW w:w="1710" w:type="dxa"/>
            <w:vMerge w:val="restart"/>
          </w:tcPr>
          <w:p w14:paraId="1524273A" w14:textId="77777777" w:rsidR="0086046D" w:rsidRPr="007A3382" w:rsidRDefault="0086046D" w:rsidP="007A3382">
            <w:pPr>
              <w:ind w:left="0" w:right="0"/>
              <w:rPr>
                <w:sz w:val="20"/>
                <w:szCs w:val="20"/>
              </w:rPr>
            </w:pPr>
            <w:r w:rsidRPr="007A3382">
              <w:rPr>
                <w:sz w:val="20"/>
                <w:szCs w:val="20"/>
              </w:rPr>
              <w:t>0.216</w:t>
            </w:r>
          </w:p>
        </w:tc>
        <w:tc>
          <w:tcPr>
            <w:tcW w:w="649" w:type="dxa"/>
          </w:tcPr>
          <w:p w14:paraId="27018BCD" w14:textId="77777777" w:rsidR="0086046D" w:rsidRPr="007A3382" w:rsidRDefault="0086046D" w:rsidP="007A3382">
            <w:pPr>
              <w:ind w:left="0" w:right="0"/>
              <w:rPr>
                <w:sz w:val="20"/>
                <w:szCs w:val="20"/>
              </w:rPr>
            </w:pPr>
            <w:r w:rsidRPr="007A3382">
              <w:rPr>
                <w:sz w:val="20"/>
                <w:szCs w:val="20"/>
              </w:rPr>
              <w:t>M</w:t>
            </w:r>
          </w:p>
        </w:tc>
        <w:tc>
          <w:tcPr>
            <w:tcW w:w="1702" w:type="dxa"/>
          </w:tcPr>
          <w:p w14:paraId="015D0600" w14:textId="77777777" w:rsidR="0086046D" w:rsidRPr="007A3382" w:rsidRDefault="0086046D" w:rsidP="007A3382">
            <w:pPr>
              <w:ind w:left="0" w:right="0"/>
              <w:rPr>
                <w:sz w:val="20"/>
                <w:szCs w:val="20"/>
              </w:rPr>
            </w:pPr>
            <w:r w:rsidRPr="007A3382">
              <w:rPr>
                <w:sz w:val="20"/>
                <w:szCs w:val="20"/>
              </w:rPr>
              <w:t>23 200</w:t>
            </w:r>
          </w:p>
        </w:tc>
        <w:tc>
          <w:tcPr>
            <w:tcW w:w="1702" w:type="dxa"/>
          </w:tcPr>
          <w:p w14:paraId="68BBEF43" w14:textId="77777777" w:rsidR="0086046D" w:rsidRPr="007A3382" w:rsidRDefault="0086046D" w:rsidP="007A3382">
            <w:pPr>
              <w:ind w:left="0" w:right="0"/>
              <w:rPr>
                <w:sz w:val="20"/>
                <w:szCs w:val="20"/>
              </w:rPr>
            </w:pPr>
            <w:r w:rsidRPr="007A3382">
              <w:rPr>
                <w:sz w:val="20"/>
                <w:szCs w:val="20"/>
              </w:rPr>
              <w:t>0.93</w:t>
            </w:r>
          </w:p>
        </w:tc>
      </w:tr>
      <w:tr w:rsidR="004322C0" w:rsidRPr="007A3382" w14:paraId="0E088496" w14:textId="77777777" w:rsidTr="005C4508">
        <w:trPr>
          <w:trHeight w:val="221"/>
        </w:trPr>
        <w:tc>
          <w:tcPr>
            <w:tcW w:w="1449" w:type="dxa"/>
            <w:vMerge/>
          </w:tcPr>
          <w:p w14:paraId="2571CF03" w14:textId="77777777" w:rsidR="004322C0" w:rsidRPr="007A3382" w:rsidRDefault="004322C0" w:rsidP="007A3382">
            <w:pPr>
              <w:ind w:left="0" w:right="0"/>
              <w:rPr>
                <w:sz w:val="20"/>
                <w:szCs w:val="20"/>
              </w:rPr>
            </w:pPr>
          </w:p>
        </w:tc>
        <w:tc>
          <w:tcPr>
            <w:tcW w:w="1579" w:type="dxa"/>
            <w:vMerge/>
          </w:tcPr>
          <w:p w14:paraId="1A1F6482" w14:textId="77777777" w:rsidR="004322C0" w:rsidRPr="007A3382" w:rsidRDefault="004322C0" w:rsidP="007A3382">
            <w:pPr>
              <w:ind w:left="0" w:right="0"/>
              <w:rPr>
                <w:sz w:val="20"/>
                <w:szCs w:val="20"/>
              </w:rPr>
            </w:pPr>
          </w:p>
        </w:tc>
        <w:tc>
          <w:tcPr>
            <w:tcW w:w="1710" w:type="dxa"/>
            <w:vMerge/>
          </w:tcPr>
          <w:p w14:paraId="415F8E77" w14:textId="77777777" w:rsidR="004322C0" w:rsidRPr="007A3382" w:rsidRDefault="004322C0" w:rsidP="007A3382">
            <w:pPr>
              <w:ind w:left="0" w:right="0"/>
              <w:rPr>
                <w:sz w:val="20"/>
                <w:szCs w:val="20"/>
              </w:rPr>
            </w:pPr>
          </w:p>
        </w:tc>
        <w:tc>
          <w:tcPr>
            <w:tcW w:w="649" w:type="dxa"/>
          </w:tcPr>
          <w:p w14:paraId="09E950C3" w14:textId="77777777" w:rsidR="004322C0" w:rsidRPr="007A3382" w:rsidRDefault="004322C0" w:rsidP="007A3382">
            <w:pPr>
              <w:ind w:left="0" w:right="0"/>
              <w:rPr>
                <w:sz w:val="20"/>
                <w:szCs w:val="20"/>
              </w:rPr>
            </w:pPr>
            <w:r w:rsidRPr="007A3382">
              <w:rPr>
                <w:sz w:val="20"/>
                <w:szCs w:val="20"/>
              </w:rPr>
              <w:t>F</w:t>
            </w:r>
          </w:p>
        </w:tc>
        <w:tc>
          <w:tcPr>
            <w:tcW w:w="1702" w:type="dxa"/>
          </w:tcPr>
          <w:p w14:paraId="56CC0109" w14:textId="0B9EC6A4" w:rsidR="004322C0" w:rsidRPr="007A3382" w:rsidRDefault="004322C0" w:rsidP="007A3382">
            <w:pPr>
              <w:ind w:left="0" w:right="0"/>
              <w:rPr>
                <w:sz w:val="20"/>
                <w:szCs w:val="20"/>
              </w:rPr>
            </w:pPr>
            <w:r w:rsidRPr="007A3382">
              <w:rPr>
                <w:sz w:val="20"/>
                <w:szCs w:val="20"/>
              </w:rPr>
              <w:t>20 200</w:t>
            </w:r>
          </w:p>
        </w:tc>
        <w:tc>
          <w:tcPr>
            <w:tcW w:w="1702" w:type="dxa"/>
          </w:tcPr>
          <w:p w14:paraId="6B5098F3" w14:textId="77777777" w:rsidR="004322C0" w:rsidRPr="007A3382" w:rsidRDefault="004322C0" w:rsidP="007A3382">
            <w:pPr>
              <w:ind w:left="0" w:right="0"/>
              <w:rPr>
                <w:sz w:val="20"/>
                <w:szCs w:val="20"/>
              </w:rPr>
            </w:pPr>
            <w:r w:rsidRPr="007A3382">
              <w:rPr>
                <w:sz w:val="20"/>
                <w:szCs w:val="20"/>
              </w:rPr>
              <w:t>0.89</w:t>
            </w:r>
          </w:p>
        </w:tc>
      </w:tr>
      <w:tr w:rsidR="004322C0" w:rsidRPr="007A3382" w14:paraId="2E68F11F" w14:textId="77777777" w:rsidTr="005C4508">
        <w:trPr>
          <w:trHeight w:val="221"/>
        </w:trPr>
        <w:tc>
          <w:tcPr>
            <w:tcW w:w="1449" w:type="dxa"/>
            <w:vMerge/>
          </w:tcPr>
          <w:p w14:paraId="77D32DF4" w14:textId="77777777" w:rsidR="004322C0" w:rsidRPr="007A3382" w:rsidRDefault="004322C0" w:rsidP="007A3382">
            <w:pPr>
              <w:ind w:left="0" w:right="0"/>
              <w:rPr>
                <w:sz w:val="20"/>
                <w:szCs w:val="20"/>
              </w:rPr>
            </w:pPr>
          </w:p>
        </w:tc>
        <w:tc>
          <w:tcPr>
            <w:tcW w:w="1579" w:type="dxa"/>
            <w:vMerge/>
          </w:tcPr>
          <w:p w14:paraId="7B96E412" w14:textId="77777777" w:rsidR="004322C0" w:rsidRPr="007A3382" w:rsidRDefault="004322C0" w:rsidP="007A3382">
            <w:pPr>
              <w:ind w:left="0" w:right="0"/>
              <w:rPr>
                <w:sz w:val="20"/>
                <w:szCs w:val="20"/>
              </w:rPr>
            </w:pPr>
          </w:p>
        </w:tc>
        <w:tc>
          <w:tcPr>
            <w:tcW w:w="1710" w:type="dxa"/>
            <w:vMerge/>
          </w:tcPr>
          <w:p w14:paraId="66B87F3F" w14:textId="77777777" w:rsidR="004322C0" w:rsidRPr="007A3382" w:rsidRDefault="004322C0" w:rsidP="007A3382">
            <w:pPr>
              <w:ind w:left="0" w:right="0"/>
              <w:rPr>
                <w:sz w:val="20"/>
                <w:szCs w:val="20"/>
              </w:rPr>
            </w:pPr>
          </w:p>
        </w:tc>
        <w:tc>
          <w:tcPr>
            <w:tcW w:w="649" w:type="dxa"/>
          </w:tcPr>
          <w:p w14:paraId="4EF685B4" w14:textId="77777777" w:rsidR="004322C0" w:rsidRPr="007A3382" w:rsidRDefault="004322C0" w:rsidP="007A3382">
            <w:pPr>
              <w:ind w:left="0" w:right="0"/>
              <w:rPr>
                <w:sz w:val="20"/>
                <w:szCs w:val="20"/>
              </w:rPr>
            </w:pPr>
            <w:r w:rsidRPr="007A3382">
              <w:rPr>
                <w:sz w:val="20"/>
                <w:szCs w:val="20"/>
              </w:rPr>
              <w:t>M/F</w:t>
            </w:r>
          </w:p>
        </w:tc>
        <w:tc>
          <w:tcPr>
            <w:tcW w:w="1702" w:type="dxa"/>
          </w:tcPr>
          <w:p w14:paraId="627420DB" w14:textId="65372F95" w:rsidR="004322C0" w:rsidRPr="007A3382" w:rsidRDefault="004322C0" w:rsidP="007A3382">
            <w:pPr>
              <w:ind w:left="0" w:right="0"/>
              <w:rPr>
                <w:sz w:val="20"/>
                <w:szCs w:val="20"/>
              </w:rPr>
            </w:pPr>
            <w:r w:rsidRPr="007A3382">
              <w:rPr>
                <w:sz w:val="20"/>
                <w:szCs w:val="20"/>
              </w:rPr>
              <w:t>21 700</w:t>
            </w:r>
          </w:p>
        </w:tc>
        <w:tc>
          <w:tcPr>
            <w:tcW w:w="1702" w:type="dxa"/>
          </w:tcPr>
          <w:p w14:paraId="1C1D62ED" w14:textId="77777777" w:rsidR="004322C0" w:rsidRPr="007A3382" w:rsidRDefault="004322C0" w:rsidP="007A3382">
            <w:pPr>
              <w:ind w:left="0" w:right="0"/>
              <w:rPr>
                <w:sz w:val="20"/>
                <w:szCs w:val="20"/>
              </w:rPr>
            </w:pPr>
            <w:r w:rsidRPr="007A3382">
              <w:rPr>
                <w:sz w:val="20"/>
                <w:szCs w:val="20"/>
              </w:rPr>
              <w:t>0.91</w:t>
            </w:r>
          </w:p>
        </w:tc>
      </w:tr>
      <w:tr w:rsidR="0086046D" w:rsidRPr="007A3382" w14:paraId="467D1C17" w14:textId="77777777" w:rsidTr="005C4508">
        <w:trPr>
          <w:trHeight w:val="221"/>
        </w:trPr>
        <w:tc>
          <w:tcPr>
            <w:tcW w:w="1449" w:type="dxa"/>
            <w:vMerge/>
          </w:tcPr>
          <w:p w14:paraId="0AF6EFA2" w14:textId="77777777" w:rsidR="0086046D" w:rsidRPr="007A3382" w:rsidRDefault="0086046D" w:rsidP="007A3382">
            <w:pPr>
              <w:ind w:left="0" w:right="0"/>
              <w:rPr>
                <w:sz w:val="20"/>
                <w:szCs w:val="20"/>
              </w:rPr>
            </w:pPr>
          </w:p>
        </w:tc>
        <w:tc>
          <w:tcPr>
            <w:tcW w:w="1579" w:type="dxa"/>
            <w:vMerge/>
          </w:tcPr>
          <w:p w14:paraId="3E53C443" w14:textId="77777777" w:rsidR="0086046D" w:rsidRPr="007A3382" w:rsidRDefault="0086046D" w:rsidP="007A3382">
            <w:pPr>
              <w:ind w:left="0" w:right="0"/>
              <w:rPr>
                <w:sz w:val="20"/>
                <w:szCs w:val="20"/>
              </w:rPr>
            </w:pPr>
          </w:p>
        </w:tc>
        <w:tc>
          <w:tcPr>
            <w:tcW w:w="1710" w:type="dxa"/>
            <w:vMerge w:val="restart"/>
          </w:tcPr>
          <w:p w14:paraId="2E9D10D6" w14:textId="77777777" w:rsidR="0086046D" w:rsidRPr="007A3382" w:rsidRDefault="0086046D" w:rsidP="007A3382">
            <w:pPr>
              <w:ind w:left="0" w:right="0"/>
              <w:rPr>
                <w:sz w:val="20"/>
                <w:szCs w:val="20"/>
              </w:rPr>
            </w:pPr>
            <w:r w:rsidRPr="007A3382">
              <w:rPr>
                <w:sz w:val="20"/>
                <w:szCs w:val="20"/>
              </w:rPr>
              <w:t>0.732</w:t>
            </w:r>
          </w:p>
        </w:tc>
        <w:tc>
          <w:tcPr>
            <w:tcW w:w="649" w:type="dxa"/>
          </w:tcPr>
          <w:p w14:paraId="5A9BBB0E" w14:textId="77777777" w:rsidR="0086046D" w:rsidRPr="007A3382" w:rsidRDefault="0086046D" w:rsidP="007A3382">
            <w:pPr>
              <w:ind w:left="0" w:right="0"/>
              <w:rPr>
                <w:sz w:val="20"/>
                <w:szCs w:val="20"/>
              </w:rPr>
            </w:pPr>
            <w:r w:rsidRPr="007A3382">
              <w:rPr>
                <w:sz w:val="20"/>
                <w:szCs w:val="20"/>
              </w:rPr>
              <w:t>M</w:t>
            </w:r>
          </w:p>
        </w:tc>
        <w:tc>
          <w:tcPr>
            <w:tcW w:w="1702" w:type="dxa"/>
          </w:tcPr>
          <w:p w14:paraId="2363F5B5" w14:textId="77777777" w:rsidR="0086046D" w:rsidRPr="007A3382" w:rsidRDefault="0086046D" w:rsidP="007A3382">
            <w:pPr>
              <w:ind w:left="0" w:right="0"/>
              <w:rPr>
                <w:sz w:val="20"/>
                <w:szCs w:val="20"/>
              </w:rPr>
            </w:pPr>
            <w:r w:rsidRPr="007A3382">
              <w:rPr>
                <w:sz w:val="20"/>
                <w:szCs w:val="20"/>
              </w:rPr>
              <w:t>86 100</w:t>
            </w:r>
          </w:p>
        </w:tc>
        <w:tc>
          <w:tcPr>
            <w:tcW w:w="1702" w:type="dxa"/>
          </w:tcPr>
          <w:p w14:paraId="4CD5F0A1" w14:textId="77777777" w:rsidR="0086046D" w:rsidRPr="007A3382" w:rsidRDefault="0086046D" w:rsidP="007A3382">
            <w:pPr>
              <w:ind w:left="0" w:right="0"/>
              <w:rPr>
                <w:sz w:val="20"/>
                <w:szCs w:val="20"/>
              </w:rPr>
            </w:pPr>
            <w:r w:rsidRPr="007A3382">
              <w:rPr>
                <w:sz w:val="20"/>
                <w:szCs w:val="20"/>
              </w:rPr>
              <w:t>3.4</w:t>
            </w:r>
          </w:p>
        </w:tc>
      </w:tr>
      <w:tr w:rsidR="0086046D" w:rsidRPr="007A3382" w14:paraId="31409B0E" w14:textId="77777777" w:rsidTr="005C4508">
        <w:trPr>
          <w:trHeight w:val="221"/>
        </w:trPr>
        <w:tc>
          <w:tcPr>
            <w:tcW w:w="1449" w:type="dxa"/>
            <w:vMerge/>
          </w:tcPr>
          <w:p w14:paraId="48AB82C2" w14:textId="77777777" w:rsidR="0086046D" w:rsidRPr="007A3382" w:rsidRDefault="0086046D" w:rsidP="007A3382">
            <w:pPr>
              <w:ind w:left="0" w:right="0"/>
              <w:rPr>
                <w:sz w:val="20"/>
                <w:szCs w:val="20"/>
              </w:rPr>
            </w:pPr>
          </w:p>
        </w:tc>
        <w:tc>
          <w:tcPr>
            <w:tcW w:w="1579" w:type="dxa"/>
            <w:vMerge/>
          </w:tcPr>
          <w:p w14:paraId="76C43599" w14:textId="77777777" w:rsidR="0086046D" w:rsidRPr="007A3382" w:rsidRDefault="0086046D" w:rsidP="007A3382">
            <w:pPr>
              <w:ind w:left="0" w:right="0"/>
              <w:rPr>
                <w:sz w:val="20"/>
                <w:szCs w:val="20"/>
              </w:rPr>
            </w:pPr>
          </w:p>
        </w:tc>
        <w:tc>
          <w:tcPr>
            <w:tcW w:w="1710" w:type="dxa"/>
            <w:vMerge/>
          </w:tcPr>
          <w:p w14:paraId="604928B7" w14:textId="77777777" w:rsidR="0086046D" w:rsidRPr="007A3382" w:rsidRDefault="0086046D" w:rsidP="007A3382">
            <w:pPr>
              <w:ind w:left="0" w:right="0"/>
              <w:rPr>
                <w:sz w:val="20"/>
                <w:szCs w:val="20"/>
              </w:rPr>
            </w:pPr>
          </w:p>
        </w:tc>
        <w:tc>
          <w:tcPr>
            <w:tcW w:w="649" w:type="dxa"/>
          </w:tcPr>
          <w:p w14:paraId="71ABD150" w14:textId="77777777" w:rsidR="0086046D" w:rsidRPr="007A3382" w:rsidRDefault="0086046D" w:rsidP="007A3382">
            <w:pPr>
              <w:ind w:left="0" w:right="0"/>
              <w:rPr>
                <w:sz w:val="20"/>
                <w:szCs w:val="20"/>
              </w:rPr>
            </w:pPr>
            <w:r w:rsidRPr="007A3382">
              <w:rPr>
                <w:sz w:val="20"/>
                <w:szCs w:val="20"/>
              </w:rPr>
              <w:t>F</w:t>
            </w:r>
          </w:p>
        </w:tc>
        <w:tc>
          <w:tcPr>
            <w:tcW w:w="1702" w:type="dxa"/>
          </w:tcPr>
          <w:p w14:paraId="6789EC49" w14:textId="77777777" w:rsidR="0086046D" w:rsidRPr="007A3382" w:rsidRDefault="0086046D" w:rsidP="007A3382">
            <w:pPr>
              <w:ind w:left="0" w:right="0"/>
              <w:rPr>
                <w:sz w:val="20"/>
                <w:szCs w:val="20"/>
              </w:rPr>
            </w:pPr>
            <w:r w:rsidRPr="007A3382">
              <w:rPr>
                <w:sz w:val="20"/>
                <w:szCs w:val="20"/>
              </w:rPr>
              <w:t>95 200</w:t>
            </w:r>
          </w:p>
        </w:tc>
        <w:tc>
          <w:tcPr>
            <w:tcW w:w="1702" w:type="dxa"/>
          </w:tcPr>
          <w:p w14:paraId="313AA109" w14:textId="77777777" w:rsidR="0086046D" w:rsidRPr="007A3382" w:rsidRDefault="0086046D" w:rsidP="007A3382">
            <w:pPr>
              <w:ind w:left="0" w:right="0"/>
              <w:rPr>
                <w:sz w:val="20"/>
                <w:szCs w:val="20"/>
              </w:rPr>
            </w:pPr>
            <w:r w:rsidRPr="007A3382">
              <w:rPr>
                <w:sz w:val="20"/>
                <w:szCs w:val="20"/>
              </w:rPr>
              <w:t>3.8</w:t>
            </w:r>
          </w:p>
        </w:tc>
      </w:tr>
      <w:tr w:rsidR="0086046D" w:rsidRPr="007A3382" w14:paraId="00627451" w14:textId="77777777" w:rsidTr="005C4508">
        <w:trPr>
          <w:trHeight w:val="221"/>
        </w:trPr>
        <w:tc>
          <w:tcPr>
            <w:tcW w:w="1449" w:type="dxa"/>
            <w:vMerge/>
          </w:tcPr>
          <w:p w14:paraId="16893830" w14:textId="77777777" w:rsidR="0086046D" w:rsidRPr="007A3382" w:rsidRDefault="0086046D" w:rsidP="007A3382">
            <w:pPr>
              <w:ind w:left="0" w:right="0"/>
              <w:rPr>
                <w:sz w:val="20"/>
                <w:szCs w:val="20"/>
              </w:rPr>
            </w:pPr>
          </w:p>
        </w:tc>
        <w:tc>
          <w:tcPr>
            <w:tcW w:w="1579" w:type="dxa"/>
            <w:vMerge/>
          </w:tcPr>
          <w:p w14:paraId="293D4395" w14:textId="77777777" w:rsidR="0086046D" w:rsidRPr="007A3382" w:rsidRDefault="0086046D" w:rsidP="007A3382">
            <w:pPr>
              <w:ind w:left="0" w:right="0"/>
              <w:rPr>
                <w:sz w:val="20"/>
                <w:szCs w:val="20"/>
              </w:rPr>
            </w:pPr>
          </w:p>
        </w:tc>
        <w:tc>
          <w:tcPr>
            <w:tcW w:w="1710" w:type="dxa"/>
            <w:vMerge/>
          </w:tcPr>
          <w:p w14:paraId="2E56832C" w14:textId="77777777" w:rsidR="0086046D" w:rsidRPr="007A3382" w:rsidRDefault="0086046D" w:rsidP="007A3382">
            <w:pPr>
              <w:ind w:left="0" w:right="0"/>
              <w:rPr>
                <w:sz w:val="20"/>
                <w:szCs w:val="20"/>
              </w:rPr>
            </w:pPr>
          </w:p>
        </w:tc>
        <w:tc>
          <w:tcPr>
            <w:tcW w:w="649" w:type="dxa"/>
          </w:tcPr>
          <w:p w14:paraId="47F2F2DF" w14:textId="77777777" w:rsidR="0086046D" w:rsidRPr="007A3382" w:rsidRDefault="0086046D" w:rsidP="007A3382">
            <w:pPr>
              <w:ind w:left="0" w:right="0"/>
              <w:rPr>
                <w:sz w:val="20"/>
                <w:szCs w:val="20"/>
              </w:rPr>
            </w:pPr>
            <w:r w:rsidRPr="007A3382">
              <w:rPr>
                <w:sz w:val="20"/>
                <w:szCs w:val="20"/>
              </w:rPr>
              <w:t>M/F</w:t>
            </w:r>
          </w:p>
        </w:tc>
        <w:tc>
          <w:tcPr>
            <w:tcW w:w="1702" w:type="dxa"/>
          </w:tcPr>
          <w:p w14:paraId="4E5C1E37" w14:textId="77777777" w:rsidR="0086046D" w:rsidRPr="007A3382" w:rsidRDefault="0086046D" w:rsidP="007A3382">
            <w:pPr>
              <w:ind w:left="0" w:right="0"/>
              <w:rPr>
                <w:sz w:val="20"/>
                <w:szCs w:val="20"/>
              </w:rPr>
            </w:pPr>
            <w:r w:rsidRPr="007A3382">
              <w:rPr>
                <w:sz w:val="20"/>
                <w:szCs w:val="20"/>
              </w:rPr>
              <w:t xml:space="preserve">90 650 </w:t>
            </w:r>
          </w:p>
        </w:tc>
        <w:tc>
          <w:tcPr>
            <w:tcW w:w="1702" w:type="dxa"/>
          </w:tcPr>
          <w:p w14:paraId="3F000F94" w14:textId="77777777" w:rsidR="0086046D" w:rsidRPr="007A3382" w:rsidRDefault="0086046D" w:rsidP="007A3382">
            <w:pPr>
              <w:ind w:left="0" w:right="0"/>
              <w:rPr>
                <w:sz w:val="20"/>
                <w:szCs w:val="20"/>
              </w:rPr>
            </w:pPr>
            <w:r w:rsidRPr="007A3382">
              <w:rPr>
                <w:sz w:val="20"/>
                <w:szCs w:val="20"/>
              </w:rPr>
              <w:t>3.6</w:t>
            </w:r>
          </w:p>
        </w:tc>
      </w:tr>
      <w:tr w:rsidR="0086046D" w:rsidRPr="007A3382" w14:paraId="06030B58" w14:textId="77777777" w:rsidTr="005C4508">
        <w:trPr>
          <w:trHeight w:val="221"/>
        </w:trPr>
        <w:tc>
          <w:tcPr>
            <w:tcW w:w="1449" w:type="dxa"/>
          </w:tcPr>
          <w:p w14:paraId="5C14E8D8" w14:textId="77777777" w:rsidR="0086046D" w:rsidRPr="007A3382" w:rsidRDefault="0086046D" w:rsidP="007A3382">
            <w:pPr>
              <w:ind w:left="0" w:right="0"/>
              <w:rPr>
                <w:sz w:val="20"/>
                <w:szCs w:val="20"/>
              </w:rPr>
            </w:pPr>
            <w:r w:rsidRPr="007A3382">
              <w:rPr>
                <w:sz w:val="20"/>
                <w:szCs w:val="20"/>
              </w:rPr>
              <w:t>Human</w:t>
            </w:r>
            <w:r w:rsidR="00AF6A3A" w:rsidRPr="007A3382">
              <w:rPr>
                <w:sz w:val="20"/>
                <w:szCs w:val="20"/>
              </w:rPr>
              <w:t xml:space="preserve"> ALL </w:t>
            </w:r>
            <w:r w:rsidRPr="007A3382">
              <w:rPr>
                <w:sz w:val="20"/>
                <w:szCs w:val="20"/>
              </w:rPr>
              <w:t>patients</w:t>
            </w:r>
          </w:p>
        </w:tc>
        <w:tc>
          <w:tcPr>
            <w:tcW w:w="1579" w:type="dxa"/>
          </w:tcPr>
          <w:p w14:paraId="293580C3" w14:textId="77777777" w:rsidR="0086046D" w:rsidRPr="007A3382" w:rsidRDefault="00AF6A3A" w:rsidP="007A3382">
            <w:pPr>
              <w:ind w:left="0" w:right="0"/>
              <w:rPr>
                <w:sz w:val="20"/>
                <w:szCs w:val="20"/>
              </w:rPr>
            </w:pPr>
            <w:r w:rsidRPr="007A3382">
              <w:rPr>
                <w:sz w:val="20"/>
                <w:szCs w:val="20"/>
              </w:rPr>
              <w:t xml:space="preserve">steady state (cycle 4) </w:t>
            </w:r>
            <w:r w:rsidR="00503681" w:rsidRPr="007A3382">
              <w:rPr>
                <w:sz w:val="20"/>
                <w:szCs w:val="20"/>
              </w:rPr>
              <w:t>(</w:t>
            </w:r>
            <w:r w:rsidRPr="007A3382">
              <w:rPr>
                <w:sz w:val="20"/>
                <w:szCs w:val="20"/>
              </w:rPr>
              <w:t>population PK analysis</w:t>
            </w:r>
            <w:r w:rsidR="00503681" w:rsidRPr="007A3382">
              <w:rPr>
                <w:sz w:val="20"/>
                <w:szCs w:val="20"/>
              </w:rPr>
              <w:t>)</w:t>
            </w:r>
          </w:p>
        </w:tc>
        <w:tc>
          <w:tcPr>
            <w:tcW w:w="2359" w:type="dxa"/>
            <w:gridSpan w:val="2"/>
          </w:tcPr>
          <w:p w14:paraId="049975FC" w14:textId="77777777" w:rsidR="0086046D" w:rsidRPr="007A3382" w:rsidRDefault="0086046D" w:rsidP="007A3382">
            <w:pPr>
              <w:ind w:left="0" w:right="0"/>
              <w:rPr>
                <w:sz w:val="20"/>
                <w:szCs w:val="20"/>
              </w:rPr>
            </w:pPr>
            <w:r w:rsidRPr="007A3382">
              <w:rPr>
                <w:sz w:val="20"/>
                <w:szCs w:val="20"/>
              </w:rPr>
              <w:t>0.5-0.8</w:t>
            </w:r>
          </w:p>
        </w:tc>
        <w:tc>
          <w:tcPr>
            <w:tcW w:w="1702" w:type="dxa"/>
          </w:tcPr>
          <w:p w14:paraId="0E50006B" w14:textId="77777777" w:rsidR="0086046D" w:rsidRPr="007A3382" w:rsidRDefault="0086046D" w:rsidP="007A3382">
            <w:pPr>
              <w:ind w:left="0" w:right="0"/>
              <w:rPr>
                <w:sz w:val="20"/>
                <w:szCs w:val="20"/>
              </w:rPr>
            </w:pPr>
            <w:r w:rsidRPr="007A3382">
              <w:rPr>
                <w:sz w:val="20"/>
                <w:szCs w:val="20"/>
              </w:rPr>
              <w:t>100 000</w:t>
            </w:r>
          </w:p>
        </w:tc>
        <w:tc>
          <w:tcPr>
            <w:tcW w:w="1702" w:type="dxa"/>
          </w:tcPr>
          <w:p w14:paraId="2E2CC15E" w14:textId="77777777" w:rsidR="0086046D" w:rsidRPr="007A3382" w:rsidRDefault="0086046D" w:rsidP="007A3382">
            <w:pPr>
              <w:ind w:left="0" w:right="0"/>
              <w:rPr>
                <w:sz w:val="20"/>
                <w:szCs w:val="20"/>
              </w:rPr>
            </w:pPr>
            <w:r w:rsidRPr="007A3382">
              <w:rPr>
                <w:sz w:val="20"/>
                <w:szCs w:val="20"/>
              </w:rPr>
              <w:t>–</w:t>
            </w:r>
          </w:p>
        </w:tc>
      </w:tr>
    </w:tbl>
    <w:p w14:paraId="3DD6DA6D" w14:textId="77777777" w:rsidR="0086046D" w:rsidRPr="00EB69F1" w:rsidRDefault="0086046D" w:rsidP="00AF6A3A">
      <w:pPr>
        <w:pStyle w:val="TableDescription"/>
      </w:pPr>
      <w:r w:rsidRPr="00EB69F1">
        <w:rPr>
          <w:position w:val="-2"/>
          <w:vertAlign w:val="superscript"/>
        </w:rPr>
        <w:t>#</w:t>
      </w:r>
      <w:r w:rsidR="0014606A">
        <w:t xml:space="preserve"> = </w:t>
      </w:r>
      <w:r>
        <w:t>(4</w:t>
      </w:r>
      <w:r w:rsidR="00AF6A3A">
        <w:t xml:space="preserve"> x </w:t>
      </w:r>
      <w:r w:rsidRPr="00EB69F1">
        <w:t>animal</w:t>
      </w:r>
      <w:r>
        <w:t xml:space="preserve"> AUC)</w:t>
      </w:r>
      <w:r w:rsidRPr="00EB69F1">
        <w:t>:</w:t>
      </w:r>
      <w:r w:rsidR="00AF6A3A">
        <w:t xml:space="preserve"> </w:t>
      </w:r>
      <w:r w:rsidRPr="00EB69F1">
        <w:t>human plasma AUC</w:t>
      </w:r>
      <w:r>
        <w:rPr>
          <w:vertAlign w:val="subscript"/>
        </w:rPr>
        <w:t>0–t,</w:t>
      </w:r>
      <w:r>
        <w:t xml:space="preserve"> where t</w:t>
      </w:r>
      <w:r w:rsidR="0014606A">
        <w:t xml:space="preserve"> = </w:t>
      </w:r>
      <w:r>
        <w:t>168 h for animal data, and 1 cycle/4 weeks for human data)</w:t>
      </w:r>
      <w:r w:rsidRPr="00970C2E">
        <w:t>;</w:t>
      </w:r>
      <w:r>
        <w:t xml:space="preserve"> ^</w:t>
      </w:r>
      <w:r w:rsidR="0014606A">
        <w:t xml:space="preserve"> = </w:t>
      </w:r>
      <w:r>
        <w:t>data are</w:t>
      </w:r>
      <w:r w:rsidRPr="000977DF">
        <w:t xml:space="preserve"> </w:t>
      </w:r>
      <w:r>
        <w:t>generally at the last sampling occasion (</w:t>
      </w:r>
      <w:r w:rsidR="00AF6A3A">
        <w:rPr>
          <w:kern w:val="2"/>
          <w:vertAlign w:val="superscript"/>
        </w:rPr>
        <w:t>‡</w:t>
      </w:r>
      <w:r w:rsidR="00AF6A3A">
        <w:rPr>
          <w:kern w:val="2"/>
        </w:rPr>
        <w:t>Day</w:t>
      </w:r>
      <w:r>
        <w:rPr>
          <w:kern w:val="2"/>
        </w:rPr>
        <w:t xml:space="preserve"> 1 data)</w:t>
      </w:r>
      <w:r>
        <w:t xml:space="preserve"> </w:t>
      </w:r>
    </w:p>
    <w:p w14:paraId="76866EEC" w14:textId="77777777" w:rsidR="0086046D" w:rsidRPr="00AF6A3A" w:rsidRDefault="0086046D" w:rsidP="00AF6A3A">
      <w:pPr>
        <w:pStyle w:val="Heading5"/>
      </w:pPr>
      <w:r w:rsidRPr="00AF6A3A">
        <w:t>Major toxicities</w:t>
      </w:r>
    </w:p>
    <w:p w14:paraId="1E5A4015" w14:textId="77777777" w:rsidR="00503681" w:rsidRDefault="0086046D" w:rsidP="00AF6A3A">
      <w:r>
        <w:t xml:space="preserve">As already noted, the nonclinical studies are unable to inform on target-mediated toxicity. </w:t>
      </w:r>
      <w:r w:rsidRPr="00B329FF">
        <w:t xml:space="preserve">There are </w:t>
      </w:r>
      <w:r>
        <w:t xml:space="preserve">currently </w:t>
      </w:r>
      <w:r w:rsidRPr="00B329FF">
        <w:t>no approved agents that target CD22, but there are several mon</w:t>
      </w:r>
      <w:r>
        <w:t xml:space="preserve">oclonal </w:t>
      </w:r>
      <w:r w:rsidRPr="00B329FF">
        <w:t>antibodies that target CD20 and deplete B cells</w:t>
      </w:r>
      <w:r>
        <w:t xml:space="preserve"> </w:t>
      </w:r>
      <w:r w:rsidRPr="00AF6A3A">
        <w:t>(</w:t>
      </w:r>
      <w:r w:rsidR="00AF6A3A" w:rsidRPr="00AF6A3A">
        <w:t>for example</w:t>
      </w:r>
      <w:r>
        <w:rPr>
          <w:i/>
        </w:rPr>
        <w:t xml:space="preserve"> </w:t>
      </w:r>
      <w:r>
        <w:t xml:space="preserve">rituximab). Adverse events associated with </w:t>
      </w:r>
      <w:r w:rsidR="006779D9">
        <w:t>B cell</w:t>
      </w:r>
      <w:r>
        <w:t xml:space="preserve"> depleting agents and included in the associated Product Information documents include</w:t>
      </w:r>
      <w:r w:rsidRPr="00B329FF">
        <w:t xml:space="preserve"> infusion react</w:t>
      </w:r>
      <w:r>
        <w:t xml:space="preserve">ions, hepatitis B reactivation, </w:t>
      </w:r>
      <w:r w:rsidRPr="00B329FF">
        <w:t>progressive mult</w:t>
      </w:r>
      <w:r>
        <w:t>ifocal leukoencephalopathy</w:t>
      </w:r>
      <w:r w:rsidRPr="00B329FF">
        <w:t>, tumo</w:t>
      </w:r>
      <w:r>
        <w:t>u</w:t>
      </w:r>
      <w:r w:rsidRPr="00B329FF">
        <w:t>r lysis syndrome, in</w:t>
      </w:r>
      <w:r>
        <w:t>fections and myelosuppression</w:t>
      </w:r>
      <w:r w:rsidR="00503681">
        <w:t>.</w:t>
      </w:r>
    </w:p>
    <w:p w14:paraId="07593249" w14:textId="77777777" w:rsidR="0086046D" w:rsidRDefault="0086046D" w:rsidP="00AF6A3A">
      <w:r>
        <w:t xml:space="preserve">In the </w:t>
      </w:r>
      <w:r w:rsidR="005C4508">
        <w:t>4 week</w:t>
      </w:r>
      <w:r>
        <w:t xml:space="preserve"> </w:t>
      </w:r>
      <w:r w:rsidR="005C4508">
        <w:t>repeat dose</w:t>
      </w:r>
      <w:r>
        <w:t xml:space="preserve"> toxicity studies in rats and monkeys there </w:t>
      </w:r>
      <w:r w:rsidRPr="00EF3D9E">
        <w:t>were no lesions attributable to the antibody itself</w:t>
      </w:r>
      <w:r>
        <w:t xml:space="preserve">. </w:t>
      </w:r>
      <w:r w:rsidR="00AF6A3A">
        <w:t xml:space="preserve">Rats exhibited only limited (10 to </w:t>
      </w:r>
      <w:r>
        <w:t xml:space="preserve">13%) ADA formation in </w:t>
      </w:r>
      <w:r w:rsidR="005C4508">
        <w:t>repeat dose</w:t>
      </w:r>
      <w:r>
        <w:t xml:space="preserve"> studies, and ADAs were not detected in monkeys. One male monkey dosed at 0.73 mg/</w:t>
      </w:r>
      <w:r w:rsidR="00F769DD" w:rsidRPr="00AA53F4">
        <w:rPr>
          <w:lang w:val="en-US"/>
        </w:rPr>
        <w:t>m</w:t>
      </w:r>
      <w:r w:rsidR="00F769DD" w:rsidRPr="00F769DD">
        <w:rPr>
          <w:vertAlign w:val="superscript"/>
          <w:lang w:val="en-US"/>
        </w:rPr>
        <w:t>2</w:t>
      </w:r>
      <w:r w:rsidR="00AF6A3A">
        <w:t xml:space="preserve"> in the </w:t>
      </w:r>
      <w:r w:rsidR="00AF6A3A" w:rsidRPr="00AF6A3A">
        <w:t>26</w:t>
      </w:r>
      <w:r w:rsidR="00AF6A3A">
        <w:t xml:space="preserve"> </w:t>
      </w:r>
      <w:r>
        <w:t xml:space="preserve">week study was </w:t>
      </w:r>
      <w:r w:rsidR="008365F2">
        <w:t>euthanised</w:t>
      </w:r>
      <w:r>
        <w:t xml:space="preserve"> prematurely in a moribund condition, and was found to be suffering from a </w:t>
      </w:r>
      <w:r w:rsidR="00AF6A3A">
        <w:t>protein losing</w:t>
      </w:r>
      <w:r>
        <w:t xml:space="preserve"> glomerulonephritis. The characteristics of the renal histopathological changes in this animal and their time course were consistent with immune complex deposition associated with ADAs, even though no ADAs were detected in this animal. Since it is possible that the ADAs may not have been present at the time of sampling, or there may have been drug interference in the ADA assay, it is not possible to rule out renal </w:t>
      </w:r>
      <w:r w:rsidRPr="00EF3D9E">
        <w:t>immune co</w:t>
      </w:r>
      <w:r>
        <w:t>mplex deposition as the underlying cause of the renal findings</w:t>
      </w:r>
      <w:r w:rsidRPr="00EF3D9E">
        <w:t>.</w:t>
      </w:r>
      <w:r>
        <w:t xml:space="preserve"> In general</w:t>
      </w:r>
      <w:r w:rsidRPr="008F233E">
        <w:t xml:space="preserve">, </w:t>
      </w:r>
      <w:r>
        <w:t xml:space="preserve">however, </w:t>
      </w:r>
      <w:r w:rsidRPr="008F233E">
        <w:t>the toxicity s</w:t>
      </w:r>
      <w:r>
        <w:t>tudies suggested that in common with</w:t>
      </w:r>
      <w:r w:rsidRPr="008F233E">
        <w:t xml:space="preserve"> the pharmacology, the toxicity was driven by the calicheamicin component.</w:t>
      </w:r>
      <w:r w:rsidR="006779D9">
        <w:t xml:space="preserve"> </w:t>
      </w:r>
      <w:r w:rsidRPr="008F233E">
        <w:t xml:space="preserve">Many of the results suggested that there was sufficient intracellular uptake and activation of the calicheamicin moiety in non-targeted cells in these toxicity studies to produce </w:t>
      </w:r>
      <w:r>
        <w:t>cytotoxic consequences of</w:t>
      </w:r>
      <w:r w:rsidRPr="008F233E">
        <w:t xml:space="preserve"> DNA damage. </w:t>
      </w:r>
      <w:r w:rsidRPr="00076C9F">
        <w:t>The major target organs for inotuzumab ozogamicin</w:t>
      </w:r>
      <w:r>
        <w:t xml:space="preserve"> were </w:t>
      </w:r>
      <w:r w:rsidRPr="00076C9F">
        <w:t xml:space="preserve">the liver, </w:t>
      </w:r>
      <w:proofErr w:type="spellStart"/>
      <w:r>
        <w:t>haematolymphopoietic</w:t>
      </w:r>
      <w:proofErr w:type="spellEnd"/>
      <w:r>
        <w:t xml:space="preserve"> tissues</w:t>
      </w:r>
      <w:r w:rsidRPr="00076C9F">
        <w:t xml:space="preserve"> and the male and female reproductive organs, with some effects also observed on the nervous system of rats and the kidney of rats and monkeys.</w:t>
      </w:r>
      <w:r>
        <w:t xml:space="preserve"> Decreased body weight and food consumption were evident in </w:t>
      </w:r>
      <w:r w:rsidR="00AF6A3A">
        <w:t>single and repeat dose studies.</w:t>
      </w:r>
    </w:p>
    <w:p w14:paraId="03EAC708" w14:textId="77777777" w:rsidR="0086046D" w:rsidRDefault="0086046D" w:rsidP="00AF6A3A">
      <w:pPr>
        <w:pStyle w:val="Heading5"/>
      </w:pPr>
      <w:r>
        <w:t>Hepatotoxicity</w:t>
      </w:r>
    </w:p>
    <w:p w14:paraId="60E22D56" w14:textId="1764B64A" w:rsidR="0086046D" w:rsidRDefault="0086046D" w:rsidP="00AF6A3A">
      <w:r>
        <w:t xml:space="preserve">Adverse hepatic effects, most notably associated with endothelial injury, were seen in rats and monkeys in both the acute and </w:t>
      </w:r>
      <w:r w:rsidR="005C4508">
        <w:t>repeat dose</w:t>
      </w:r>
      <w:r>
        <w:t xml:space="preserve"> toxicity studies, and are likely to represent early stages of hepatic </w:t>
      </w:r>
      <w:proofErr w:type="spellStart"/>
      <w:r>
        <w:t>veno</w:t>
      </w:r>
      <w:proofErr w:type="spellEnd"/>
      <w:r>
        <w:t>-occlusive disease (VOD; also known as sinusoidal obstruction syndrome</w:t>
      </w:r>
      <w:r w:rsidR="00DD3A70">
        <w:t>)</w:t>
      </w:r>
      <w:r>
        <w:t xml:space="preserve">. Development of VOD is a known serious and potentially life-threatening consequence of treatment with </w:t>
      </w:r>
      <w:proofErr w:type="spellStart"/>
      <w:r>
        <w:t>calicheamicin</w:t>
      </w:r>
      <w:proofErr w:type="spellEnd"/>
      <w:r>
        <w:t xml:space="preserve"> conjugates including </w:t>
      </w:r>
      <w:proofErr w:type="spellStart"/>
      <w:r>
        <w:t>gemtuzumab</w:t>
      </w:r>
      <w:proofErr w:type="spellEnd"/>
      <w:r>
        <w:t xml:space="preserve"> </w:t>
      </w:r>
      <w:proofErr w:type="spellStart"/>
      <w:r>
        <w:lastRenderedPageBreak/>
        <w:t>ozogamicin</w:t>
      </w:r>
      <w:proofErr w:type="spellEnd"/>
      <w:r>
        <w:t>.</w:t>
      </w:r>
      <w:r>
        <w:rPr>
          <w:rStyle w:val="FootnoteReference"/>
          <w:kern w:val="2"/>
          <w:szCs w:val="20"/>
        </w:rPr>
        <w:footnoteReference w:id="16"/>
      </w:r>
      <w:r w:rsidR="008177A2">
        <w:t xml:space="preserve"> </w:t>
      </w:r>
      <w:r w:rsidR="008177A2">
        <w:rPr>
          <w:rStyle w:val="FootnoteReference"/>
        </w:rPr>
        <w:footnoteReference w:id="17"/>
      </w:r>
      <w:r w:rsidR="006779D9">
        <w:t xml:space="preserve"> </w:t>
      </w:r>
      <w:r>
        <w:t xml:space="preserve">Hepatic VOD was reported in clinical trials with inotuzumab ozogamicin, and detailed information on this is included in the proposed </w:t>
      </w:r>
      <w:r w:rsidR="001400FE">
        <w:t>PI</w:t>
      </w:r>
      <w:r>
        <w:t xml:space="preserve"> document. In the </w:t>
      </w:r>
      <w:r w:rsidR="005C4508">
        <w:t>repeat dose</w:t>
      </w:r>
      <w:r>
        <w:t xml:space="preserve"> studies in rats and monkeys, increases in aminotransferases were associated with </w:t>
      </w:r>
      <w:r w:rsidRPr="008E2C6A">
        <w:t>sinusoidal dilatation</w:t>
      </w:r>
      <w:r>
        <w:t xml:space="preserve"> and (in monkeys) hepatocyte atrophy associated with </w:t>
      </w:r>
      <w:r w:rsidRPr="002E1220">
        <w:t>intervening</w:t>
      </w:r>
      <w:r>
        <w:t xml:space="preserve"> foci of hepatocyte hypertrophy or </w:t>
      </w:r>
      <w:r w:rsidRPr="002E1220">
        <w:t>regeneration</w:t>
      </w:r>
      <w:r>
        <w:t xml:space="preserve">. In rats, these changes were accompanied by </w:t>
      </w:r>
      <w:proofErr w:type="spellStart"/>
      <w:r>
        <w:t>angiectasis</w:t>
      </w:r>
      <w:proofErr w:type="spellEnd"/>
      <w:r>
        <w:t xml:space="preserve">, oval cell hyperplasia, </w:t>
      </w:r>
      <w:proofErr w:type="spellStart"/>
      <w:r>
        <w:t>cholangiofibrosis</w:t>
      </w:r>
      <w:proofErr w:type="spellEnd"/>
      <w:r>
        <w:t>, hepatocellular</w:t>
      </w:r>
      <w:r w:rsidRPr="008E2C6A">
        <w:t xml:space="preserve"> hypertrophy,</w:t>
      </w:r>
      <w:r>
        <w:t xml:space="preserve"> </w:t>
      </w:r>
      <w:proofErr w:type="spellStart"/>
      <w:r w:rsidRPr="008E2C6A">
        <w:t>karyomegaly</w:t>
      </w:r>
      <w:proofErr w:type="spellEnd"/>
      <w:r w:rsidRPr="008E2C6A">
        <w:t>, cellular vacuolation,</w:t>
      </w:r>
      <w:r>
        <w:t xml:space="preserve"> fibrosis and </w:t>
      </w:r>
      <w:r w:rsidRPr="008E2C6A">
        <w:t>extramedullary haematopoiesis</w:t>
      </w:r>
      <w:r w:rsidR="00AF6A3A">
        <w:t>.</w:t>
      </w:r>
    </w:p>
    <w:p w14:paraId="5FF21541" w14:textId="77777777" w:rsidR="0086046D" w:rsidRDefault="0086046D" w:rsidP="00AF6A3A">
      <w:r>
        <w:t xml:space="preserve">A more detailed understanding of calicheamicin-mediated hepatotoxicity in monkeys was gained in a study investigating the mechanism underlying the thrombocytopenic effect of inotuzumab ozogamicin in monkeys (the thrombocytopenic effect is discussed in more detail below). Bolus IV injections of an ADC (comprised of a humanised nonbinding IgG1 monoclonal antibody conjugated to </w:t>
      </w:r>
      <w:r w:rsidR="005C4508" w:rsidRPr="00D43D6D">
        <w:t>N</w:t>
      </w:r>
      <w:r w:rsidR="005C4508">
        <w:t>-Ac-γ</w:t>
      </w:r>
      <w:r>
        <w:t xml:space="preserve">-calicheamicin-DMH) were administered on </w:t>
      </w:r>
      <w:r w:rsidR="00AF6A3A">
        <w:t>Day</w:t>
      </w:r>
      <w:r>
        <w:t>s 1, 22 and 43 of a 9</w:t>
      </w:r>
      <w:r w:rsidR="00AF6A3A">
        <w:t xml:space="preserve"> week</w:t>
      </w:r>
      <w:r>
        <w:t xml:space="preserve"> study.</w:t>
      </w:r>
      <w:r w:rsidR="006779D9">
        <w:t xml:space="preserve"> </w:t>
      </w:r>
      <w:r>
        <w:t xml:space="preserve">Consistent with ADC-mediated </w:t>
      </w:r>
      <w:r w:rsidR="00AF6A3A">
        <w:t>liver specific</w:t>
      </w:r>
      <w:r>
        <w:t xml:space="preserve"> endothelial injury, increased blood concentrations of hyaluronic acid were associated with increased serum </w:t>
      </w:r>
      <w:r w:rsidR="003308E5">
        <w:t>aspartate aminotransferase (</w:t>
      </w:r>
      <w:r>
        <w:t>AST</w:t>
      </w:r>
      <w:r w:rsidR="003308E5">
        <w:t>)</w:t>
      </w:r>
      <w:r>
        <w:t xml:space="preserve"> and histopathological changes, and micro RNA-122 levels were markedly increased. In addition, the loss of VEGFR2 staining in endothelial cells of the </w:t>
      </w:r>
      <w:proofErr w:type="spellStart"/>
      <w:r>
        <w:t>midzonal</w:t>
      </w:r>
      <w:proofErr w:type="spellEnd"/>
      <w:r>
        <w:t xml:space="preserve"> and </w:t>
      </w:r>
      <w:proofErr w:type="spellStart"/>
      <w:r>
        <w:t>centrilobular</w:t>
      </w:r>
      <w:proofErr w:type="spellEnd"/>
      <w:r>
        <w:t xml:space="preserve"> regions, the presence of platelet staining in </w:t>
      </w:r>
      <w:proofErr w:type="spellStart"/>
      <w:r>
        <w:t>midzonal</w:t>
      </w:r>
      <w:proofErr w:type="spellEnd"/>
      <w:r>
        <w:t xml:space="preserve"> sinusoids, together with </w:t>
      </w:r>
      <w:r w:rsidRPr="00444596">
        <w:rPr>
          <w:rFonts w:hint="eastAsia"/>
        </w:rPr>
        <w:t>multifocal sinusoidal dilation and/or hepatocyte atrophy</w:t>
      </w:r>
      <w:r>
        <w:t xml:space="preserve">, is consistent with platelet sequestration, activation and degranulation. The increased </w:t>
      </w:r>
      <w:r w:rsidRPr="00444596">
        <w:rPr>
          <w:rFonts w:hint="eastAsia"/>
        </w:rPr>
        <w:t xml:space="preserve">CD34 expression </w:t>
      </w:r>
      <w:r>
        <w:t xml:space="preserve">observed </w:t>
      </w:r>
      <w:r w:rsidRPr="00444596">
        <w:rPr>
          <w:rFonts w:hint="eastAsia"/>
        </w:rPr>
        <w:t>in sinusoidal endothelial cells</w:t>
      </w:r>
      <w:r>
        <w:t xml:space="preserve"> is a marker of sinusoidal </w:t>
      </w:r>
      <w:proofErr w:type="spellStart"/>
      <w:r>
        <w:t>capillarisation</w:t>
      </w:r>
      <w:proofErr w:type="spellEnd"/>
      <w:r>
        <w:t>, which has been associated with functional impairment of the liver.</w:t>
      </w:r>
      <w:r>
        <w:rPr>
          <w:rStyle w:val="FootnoteReference"/>
        </w:rPr>
        <w:footnoteReference w:id="18"/>
      </w:r>
    </w:p>
    <w:p w14:paraId="652656B9" w14:textId="77777777" w:rsidR="0086046D" w:rsidRPr="00484E0D" w:rsidRDefault="0086046D" w:rsidP="00AF6A3A">
      <w:r>
        <w:t>Hepatic neoplasia and pre-neoplastic changes were also associated with inotuzumab ozogamicin administration in both species. In the 26</w:t>
      </w:r>
      <w:r w:rsidR="00AF6A3A">
        <w:t xml:space="preserve"> week</w:t>
      </w:r>
      <w:r>
        <w:t xml:space="preserve"> study in rats, hepatocellular adenomas were observed following dosing at 0.73 </w:t>
      </w:r>
      <w:proofErr w:type="gramStart"/>
      <w:r>
        <w:t>mg/</w:t>
      </w:r>
      <w:r w:rsidR="00F769DD" w:rsidRPr="00AA53F4">
        <w:rPr>
          <w:lang w:val="en-US"/>
        </w:rPr>
        <w:t>m</w:t>
      </w:r>
      <w:r w:rsidR="00F769DD" w:rsidRPr="00F769DD">
        <w:rPr>
          <w:vertAlign w:val="superscript"/>
          <w:lang w:val="en-US"/>
        </w:rPr>
        <w:t>2</w:t>
      </w:r>
      <w:r>
        <w:t>,</w:t>
      </w:r>
      <w:proofErr w:type="gramEnd"/>
      <w:r>
        <w:t xml:space="preserve"> and basophilic and/or eosinophilic cell foci were associated with doses of 0.07 mg/</w:t>
      </w:r>
      <w:r w:rsidR="00F769DD" w:rsidRPr="00AA53F4">
        <w:rPr>
          <w:lang w:val="en-US"/>
        </w:rPr>
        <w:t>m</w:t>
      </w:r>
      <w:r w:rsidR="00F769DD" w:rsidRPr="00F769DD">
        <w:rPr>
          <w:vertAlign w:val="superscript"/>
          <w:lang w:val="en-US"/>
        </w:rPr>
        <w:t>2</w:t>
      </w:r>
      <w:r>
        <w:t xml:space="preserve"> and above. Oval cell hyperplasia was also observed in rats given single doses of 8.2 mg/</w:t>
      </w:r>
      <w:r w:rsidR="00F769DD" w:rsidRPr="00AA53F4">
        <w:rPr>
          <w:lang w:val="en-US"/>
        </w:rPr>
        <w:t>m</w:t>
      </w:r>
      <w:r w:rsidR="00F769DD" w:rsidRPr="00F769DD">
        <w:rPr>
          <w:vertAlign w:val="superscript"/>
          <w:lang w:val="en-US"/>
        </w:rPr>
        <w:t>2</w:t>
      </w:r>
      <w:r>
        <w:t>, and after 4 weeks at 4.1 mg/</w:t>
      </w:r>
      <w:r w:rsidR="00F769DD" w:rsidRPr="00AA53F4">
        <w:rPr>
          <w:lang w:val="en-US"/>
        </w:rPr>
        <w:t>m</w:t>
      </w:r>
      <w:r w:rsidR="00F769DD" w:rsidRPr="00F769DD">
        <w:rPr>
          <w:vertAlign w:val="superscript"/>
          <w:lang w:val="en-US"/>
        </w:rPr>
        <w:t>2</w:t>
      </w:r>
      <w:r>
        <w:t xml:space="preserve"> and at 0.073 mg/</w:t>
      </w:r>
      <w:r w:rsidR="00F769DD" w:rsidRPr="00AA53F4">
        <w:rPr>
          <w:lang w:val="en-US"/>
        </w:rPr>
        <w:t>m</w:t>
      </w:r>
      <w:r w:rsidR="00F769DD" w:rsidRPr="00F769DD">
        <w:rPr>
          <w:vertAlign w:val="superscript"/>
          <w:lang w:val="en-US"/>
        </w:rPr>
        <w:t>2</w:t>
      </w:r>
      <w:r>
        <w:t xml:space="preserve"> in the 26</w:t>
      </w:r>
      <w:r w:rsidR="00AF6A3A">
        <w:t xml:space="preserve"> week</w:t>
      </w:r>
      <w:r>
        <w:t xml:space="preserve"> study. In the 26</w:t>
      </w:r>
      <w:r w:rsidR="00AF6A3A">
        <w:t xml:space="preserve"> week</w:t>
      </w:r>
      <w:r>
        <w:t xml:space="preserve"> study in monkeys, a focus of hepatocellular alteration in one HD female dosed at 0.73 mg/</w:t>
      </w:r>
      <w:r w:rsidR="00F769DD" w:rsidRPr="00AA53F4">
        <w:rPr>
          <w:lang w:val="en-US"/>
        </w:rPr>
        <w:t>m</w:t>
      </w:r>
      <w:r w:rsidR="00F769DD" w:rsidRPr="00F769DD">
        <w:rPr>
          <w:vertAlign w:val="superscript"/>
          <w:lang w:val="en-US"/>
        </w:rPr>
        <w:t>2</w:t>
      </w:r>
      <w:r>
        <w:t>. This is an uncommon spontaneous finding in cynomolgus monkeys. Increased hepatocellular proliferative activity (positive Ki-67 staining of nuclei) was seen in both rats and monkeys dosed for 26 weeks with 0.22 and 0.072 mg/</w:t>
      </w:r>
      <w:r w:rsidR="00F769DD" w:rsidRPr="00AA53F4">
        <w:rPr>
          <w:lang w:val="en-US"/>
        </w:rPr>
        <w:t>m</w:t>
      </w:r>
      <w:r w:rsidR="00F769DD" w:rsidRPr="00F769DD">
        <w:rPr>
          <w:vertAlign w:val="superscript"/>
          <w:lang w:val="en-US"/>
        </w:rPr>
        <w:t>2</w:t>
      </w:r>
      <w:r>
        <w:t xml:space="preserve"> and above, respectively. The increase in proliferative activity and identification of pre-neoplastic and neoplastic lesions is likely due to an increased turnover rate in the hepatocyte population and is consistent with genotoxic and cytotoxic effects in the liver. The </w:t>
      </w:r>
      <w:r w:rsidR="00AF6A3A">
        <w:t xml:space="preserve">no observable effect </w:t>
      </w:r>
      <w:r w:rsidR="00AF6A3A" w:rsidRPr="00AF6A3A">
        <w:t>levels (</w:t>
      </w:r>
      <w:r w:rsidRPr="00AF6A3A">
        <w:t>NOELs</w:t>
      </w:r>
      <w:r w:rsidR="00AF6A3A" w:rsidRPr="00AF6A3A">
        <w:t>)</w:t>
      </w:r>
      <w:r w:rsidRPr="00AF6A3A">
        <w:t xml:space="preserve"> for the</w:t>
      </w:r>
      <w:r>
        <w:t xml:space="preserve"> increased proliferative activity and pre-neoplastic change in the monkey were be</w:t>
      </w:r>
      <w:r w:rsidR="00AF6A3A">
        <w:t>low 0.15 and 0.9, respectively.</w:t>
      </w:r>
    </w:p>
    <w:p w14:paraId="0AD9D792" w14:textId="77777777" w:rsidR="0086046D" w:rsidRPr="00AF6A3A" w:rsidRDefault="0086046D" w:rsidP="00AF6A3A">
      <w:pPr>
        <w:pStyle w:val="Heading5"/>
      </w:pPr>
      <w:proofErr w:type="spellStart"/>
      <w:r w:rsidRPr="00AF6A3A">
        <w:t>Haematolymphopoietic</w:t>
      </w:r>
      <w:proofErr w:type="spellEnd"/>
      <w:r w:rsidRPr="00AF6A3A">
        <w:t xml:space="preserve"> tissues</w:t>
      </w:r>
    </w:p>
    <w:p w14:paraId="622F9FC7" w14:textId="77777777" w:rsidR="0086046D" w:rsidRDefault="0086046D" w:rsidP="00AF6A3A">
      <w:r>
        <w:t xml:space="preserve">Haematological findings associated with inotuzumab ozogamicin dosing in both rats and monkeys included reduced numbers of red cells, white cells, lymphocytes and platelets, and was usually associated with reduced reticulocyte numbers. Reductions in red cell numbers were accompanied by decreases in haemoglobin concentration and haematocrit, and by increases in red cell distribution width, mean cell volume and mean cell haemoglobin, with the combined effect indicative of reduced erythropoiesis. The magnitude of these effects increased with dose and duration of treatment, with relative </w:t>
      </w:r>
      <w:r>
        <w:lastRenderedPageBreak/>
        <w:t xml:space="preserve">exposure comparisons in both species confirming their clinical relevance. The reduction in </w:t>
      </w:r>
      <w:r w:rsidRPr="00AF6A3A">
        <w:t xml:space="preserve">white blood cells number was largely accounted for by reductions in lymphocyte numbers. In the </w:t>
      </w:r>
      <w:r w:rsidR="005C4508" w:rsidRPr="00AF6A3A">
        <w:t>4 week</w:t>
      </w:r>
      <w:r w:rsidRPr="00AF6A3A">
        <w:t xml:space="preserve"> </w:t>
      </w:r>
      <w:r w:rsidR="005C4508" w:rsidRPr="00AF6A3A">
        <w:t>repeat dose</w:t>
      </w:r>
      <w:r w:rsidRPr="00AF6A3A">
        <w:t xml:space="preserve"> study in rats, per</w:t>
      </w:r>
      <w:r w:rsidR="00AF6A3A" w:rsidRPr="00AF6A3A">
        <w:t xml:space="preserve">ipheral blood lymphocyte immune </w:t>
      </w:r>
      <w:r w:rsidRPr="00AF6A3A">
        <w:t>typing indicated that the effect of inotuzumab ozogamicin was consistent wi</w:t>
      </w:r>
      <w:r w:rsidR="00AF6A3A" w:rsidRPr="00AF6A3A">
        <w:t xml:space="preserve">th a differential effect of DNA </w:t>
      </w:r>
      <w:r w:rsidRPr="00AF6A3A">
        <w:t>damaging agents on major lymphocyte subsets, with the most pronounced effect on B-lymphocytes.</w:t>
      </w:r>
      <w:r w:rsidRPr="00AF6A3A">
        <w:rPr>
          <w:vertAlign w:val="superscript"/>
        </w:rPr>
        <w:footnoteReference w:id="19"/>
      </w:r>
    </w:p>
    <w:p w14:paraId="581187C8" w14:textId="77777777" w:rsidR="0086046D" w:rsidRDefault="0086046D" w:rsidP="00AF6A3A">
      <w:r>
        <w:t>H</w:t>
      </w:r>
      <w:r w:rsidRPr="00A547C6">
        <w:t>aematological findings were associated with decreased hematopoietic cellularity in the bone marrow and lymphoid depletion in the thymus, spleen, lymph nodes, and/or</w:t>
      </w:r>
      <w:r w:rsidR="00AF6A3A">
        <w:t xml:space="preserve"> gut </w:t>
      </w:r>
      <w:r>
        <w:t>associated lymphatic tissue</w:t>
      </w:r>
      <w:r w:rsidRPr="00A547C6">
        <w:t xml:space="preserve"> </w:t>
      </w:r>
      <w:r>
        <w:t>(</w:t>
      </w:r>
      <w:r w:rsidRPr="00A547C6">
        <w:t>GALT</w:t>
      </w:r>
      <w:r>
        <w:t xml:space="preserve">). </w:t>
      </w:r>
      <w:proofErr w:type="spellStart"/>
      <w:r>
        <w:t>Haematolymphopoietic</w:t>
      </w:r>
      <w:proofErr w:type="spellEnd"/>
      <w:r>
        <w:t xml:space="preserve"> toxicity was </w:t>
      </w:r>
      <w:r w:rsidRPr="00A547C6">
        <w:t>partial</w:t>
      </w:r>
      <w:r>
        <w:t>ly</w:t>
      </w:r>
      <w:r w:rsidRPr="00A547C6">
        <w:t xml:space="preserve"> to complete</w:t>
      </w:r>
      <w:r>
        <w:t>ly reversible</w:t>
      </w:r>
      <w:r w:rsidRPr="00A547C6">
        <w:t xml:space="preserve"> at the end of a </w:t>
      </w:r>
      <w:r w:rsidR="005C4508">
        <w:t>4 week</w:t>
      </w:r>
      <w:r w:rsidRPr="00A547C6">
        <w:t xml:space="preserve"> non-dosing period in t</w:t>
      </w:r>
      <w:r>
        <w:t xml:space="preserve">he </w:t>
      </w:r>
      <w:r w:rsidR="005C4508">
        <w:t>4 week</w:t>
      </w:r>
      <w:r>
        <w:t xml:space="preserve"> studies</w:t>
      </w:r>
      <w:r w:rsidRPr="00A547C6">
        <w:t>.</w:t>
      </w:r>
    </w:p>
    <w:p w14:paraId="3392F27A" w14:textId="77777777" w:rsidR="0086046D" w:rsidRPr="008953DE" w:rsidRDefault="0086046D" w:rsidP="00AF6A3A">
      <w:pPr>
        <w:pStyle w:val="Heading6"/>
      </w:pPr>
      <w:r>
        <w:t>Mechanism underlying the</w:t>
      </w:r>
      <w:r w:rsidR="009C511B">
        <w:t xml:space="preserve"> acute</w:t>
      </w:r>
      <w:r>
        <w:t xml:space="preserve"> thrombocytopenic effect in monkeys</w:t>
      </w:r>
    </w:p>
    <w:p w14:paraId="276CFE99" w14:textId="77777777" w:rsidR="0086046D" w:rsidRDefault="0086046D" w:rsidP="00AF6A3A">
      <w:r>
        <w:t xml:space="preserve">The </w:t>
      </w:r>
      <w:r w:rsidR="009C511B">
        <w:t xml:space="preserve">acute </w:t>
      </w:r>
      <w:r>
        <w:t>thrombocytopenic effect was more notable in monke</w:t>
      </w:r>
      <w:r w:rsidR="00AF6A3A">
        <w:t xml:space="preserve">ys than rats, and was present 3 to </w:t>
      </w:r>
      <w:r>
        <w:t>4 days after single dose administration, associated with systemic exposures (based on AUC) comparable to those anticipated in clinical use.</w:t>
      </w:r>
      <w:r w:rsidR="006779D9">
        <w:t xml:space="preserve"> </w:t>
      </w:r>
      <w:r>
        <w:t xml:space="preserve">The sponsor considered that the concomitant microscopic bone marrow </w:t>
      </w:r>
      <w:proofErr w:type="spellStart"/>
      <w:r>
        <w:t>hypocellularity</w:t>
      </w:r>
      <w:proofErr w:type="spellEnd"/>
      <w:r>
        <w:t xml:space="preserve"> appeared to develop at higher levels of systemic exposure, and could only partially account for the haematological changes. In addition, the rapid onset of platelet loss was considered to be more likely to be due to peripheral destruction rather than inhibition of </w:t>
      </w:r>
      <w:r w:rsidRPr="00D43D6D">
        <w:t>de novo</w:t>
      </w:r>
      <w:r>
        <w:t xml:space="preserve"> synthesis, since the no</w:t>
      </w:r>
      <w:r w:rsidR="00AF6A3A">
        <w:t xml:space="preserve">rmal platelet lifecycle is 6 to </w:t>
      </w:r>
      <w:r>
        <w:t>8 days in monkeys</w:t>
      </w:r>
      <w:r w:rsidR="00AF6A3A">
        <w:t>.</w:t>
      </w:r>
      <w:r>
        <w:rPr>
          <w:rStyle w:val="FootnoteReference"/>
          <w:kern w:val="2"/>
          <w:szCs w:val="20"/>
        </w:rPr>
        <w:footnoteReference w:id="20"/>
      </w:r>
      <w:r>
        <w:t xml:space="preserve"> Based on these considerations, the sponsor conducted a mechanistic study in cynomolgus monkeys with a non-binding ADC, which has already been discussed above in relation to calicheamicin-mediated hepatic endothelial toxicity. The study aimed to examine the hypothesis that the </w:t>
      </w:r>
      <w:r w:rsidR="009C511B">
        <w:t xml:space="preserve">acute </w:t>
      </w:r>
      <w:r>
        <w:t xml:space="preserve">thrombocytopenic effect was secondary to liver specific endothelial injury due to the calicheamicin component of the ADC. Similar to the </w:t>
      </w:r>
      <w:r w:rsidR="005C4508">
        <w:t>repeat dose</w:t>
      </w:r>
      <w:r>
        <w:t xml:space="preserve"> studies with inotuzumab ozogamicin, platelet numbers declined reversibly after each dose, with the first dose producing the most marked effect. Recovery was more protracted after subsequent administrations of the ADC. An absence of changes in bone marrow megakaryocyte density and morphology was supportive of the hypothesis that the thrombocytopenia was not due to inhibition of platelet production. The proposed mechanism underlying the </w:t>
      </w:r>
      <w:r w:rsidR="009C511B">
        <w:t xml:space="preserve">acute </w:t>
      </w:r>
      <w:r>
        <w:t xml:space="preserve">thrombocytopenic effect in monkeys is analogous to the effects of </w:t>
      </w:r>
      <w:proofErr w:type="spellStart"/>
      <w:r>
        <w:t>oxaliplatin</w:t>
      </w:r>
      <w:proofErr w:type="spellEnd"/>
      <w:r>
        <w:t>.</w:t>
      </w:r>
      <w:r>
        <w:rPr>
          <w:rStyle w:val="FootnoteReference"/>
        </w:rPr>
        <w:footnoteReference w:id="21"/>
      </w:r>
      <w:r>
        <w:t xml:space="preserve"> </w:t>
      </w:r>
      <w:r w:rsidR="00AF6A3A">
        <w:t xml:space="preserve">ADC </w:t>
      </w:r>
      <w:r>
        <w:t xml:space="preserve">mediated </w:t>
      </w:r>
      <w:r w:rsidR="00AF6A3A">
        <w:t>liver specific</w:t>
      </w:r>
      <w:r>
        <w:t xml:space="preserve"> endothelial injury was associated with the presence of platelet staining in </w:t>
      </w:r>
      <w:proofErr w:type="spellStart"/>
      <w:r>
        <w:t>midzonal</w:t>
      </w:r>
      <w:proofErr w:type="spellEnd"/>
      <w:r>
        <w:t xml:space="preserve"> sinusoids, together with </w:t>
      </w:r>
      <w:r w:rsidRPr="00444596">
        <w:rPr>
          <w:rFonts w:hint="eastAsia"/>
        </w:rPr>
        <w:t>multifocal sinusoidal dilation and/or hepatocyte atrophy</w:t>
      </w:r>
      <w:r>
        <w:t xml:space="preserve">, and is consistent with platelet sequestration, activation and degranulation in this tissue, which is likely to account for the </w:t>
      </w:r>
      <w:r w:rsidR="009C511B">
        <w:t xml:space="preserve">acute </w:t>
      </w:r>
      <w:r>
        <w:t xml:space="preserve">thrombocytopenic effect of the </w:t>
      </w:r>
      <w:proofErr w:type="spellStart"/>
      <w:r>
        <w:t>calicheamicin</w:t>
      </w:r>
      <w:proofErr w:type="spellEnd"/>
      <w:r>
        <w:t xml:space="preserve"> component of </w:t>
      </w:r>
      <w:proofErr w:type="spellStart"/>
      <w:r>
        <w:t>inotuzumab</w:t>
      </w:r>
      <w:proofErr w:type="spellEnd"/>
      <w:r>
        <w:t xml:space="preserve"> </w:t>
      </w:r>
      <w:proofErr w:type="spellStart"/>
      <w:r>
        <w:t>ozogamicin</w:t>
      </w:r>
      <w:proofErr w:type="spellEnd"/>
      <w:r>
        <w:t>.</w:t>
      </w:r>
    </w:p>
    <w:p w14:paraId="1B7009FA" w14:textId="77777777" w:rsidR="0086046D" w:rsidRDefault="0086046D" w:rsidP="00AF6A3A">
      <w:pPr>
        <w:pStyle w:val="Heading5"/>
      </w:pPr>
      <w:r>
        <w:t>Nerve</w:t>
      </w:r>
    </w:p>
    <w:p w14:paraId="343B7FDB" w14:textId="7042C799" w:rsidR="0086046D" w:rsidRDefault="0086046D" w:rsidP="00AF6A3A">
      <w:r w:rsidRPr="00857879">
        <w:t xml:space="preserve">Peripheral and central axonal degeneration was observed in the </w:t>
      </w:r>
      <w:r w:rsidR="005C4508">
        <w:t>4 week</w:t>
      </w:r>
      <w:r w:rsidRPr="00857879">
        <w:t xml:space="preserve"> repeat dose study in rats at doses of 1.24 mg/</w:t>
      </w:r>
      <w:r w:rsidR="00F769DD" w:rsidRPr="00AA53F4">
        <w:rPr>
          <w:lang w:val="en-US"/>
        </w:rPr>
        <w:t>m</w:t>
      </w:r>
      <w:r w:rsidR="00F769DD" w:rsidRPr="00F769DD">
        <w:rPr>
          <w:vertAlign w:val="superscript"/>
          <w:lang w:val="en-US"/>
        </w:rPr>
        <w:t>2</w:t>
      </w:r>
      <w:r w:rsidRPr="00857879">
        <w:t xml:space="preserve"> and above (relative exposure equal to 7, based on AUC</w:t>
      </w:r>
      <w:r>
        <w:t>; NOEL relative exposure</w:t>
      </w:r>
      <w:r w:rsidR="0014606A">
        <w:t xml:space="preserve"> = </w:t>
      </w:r>
      <w:r>
        <w:t>2</w:t>
      </w:r>
      <w:r w:rsidRPr="00857879">
        <w:t xml:space="preserve">). It was not observed in the 26 week study, where the </w:t>
      </w:r>
      <w:r w:rsidR="00160FA8">
        <w:t>high dose (</w:t>
      </w:r>
      <w:r w:rsidRPr="00857879">
        <w:t>HD</w:t>
      </w:r>
      <w:r w:rsidR="00160FA8">
        <w:t>)</w:t>
      </w:r>
      <w:r w:rsidRPr="00857879">
        <w:t xml:space="preserve"> level was 0.73 mg/</w:t>
      </w:r>
      <w:r w:rsidR="00F769DD" w:rsidRPr="00AA53F4">
        <w:rPr>
          <w:lang w:val="en-US"/>
        </w:rPr>
        <w:t>m</w:t>
      </w:r>
      <w:r w:rsidR="00F769DD" w:rsidRPr="00F769DD">
        <w:rPr>
          <w:vertAlign w:val="superscript"/>
          <w:lang w:val="en-US"/>
        </w:rPr>
        <w:t>2</w:t>
      </w:r>
      <w:r w:rsidRPr="00857879">
        <w:t xml:space="preserve"> (relative exposure 3), nor was it observed in the monkey studies. In the </w:t>
      </w:r>
      <w:r w:rsidR="00AF6A3A">
        <w:t>4 </w:t>
      </w:r>
      <w:r w:rsidR="005C4508">
        <w:t>week</w:t>
      </w:r>
      <w:r w:rsidRPr="00857879">
        <w:t xml:space="preserve"> rat study with inotuzumab ozogamicin, the sciatic nerve appeared to be more sensitive than cervical spinal cord based on numbers of affected animals, while axonal degeneration of trigeminal nerve was only seen in one anim</w:t>
      </w:r>
      <w:r w:rsidR="00AF6A3A">
        <w:t>al of each sex at a dose of 4.1 </w:t>
      </w:r>
      <w:r w:rsidRPr="00857879">
        <w:t>mg/</w:t>
      </w:r>
      <w:r w:rsidR="00F769DD" w:rsidRPr="00AA53F4">
        <w:rPr>
          <w:lang w:val="en-US"/>
        </w:rPr>
        <w:t>m</w:t>
      </w:r>
      <w:r w:rsidR="00F769DD" w:rsidRPr="00F769DD">
        <w:rPr>
          <w:vertAlign w:val="superscript"/>
          <w:lang w:val="en-US"/>
        </w:rPr>
        <w:t>2</w:t>
      </w:r>
      <w:r>
        <w:t xml:space="preserve"> </w:t>
      </w:r>
      <w:r w:rsidRPr="00857879">
        <w:t>both males and females</w:t>
      </w:r>
      <w:r>
        <w:t xml:space="preserve">. Of concern is the observation that axonal degeneration increased in incidence and severity at all three sites in the </w:t>
      </w:r>
      <w:r w:rsidR="005C4508">
        <w:t>4 week</w:t>
      </w:r>
      <w:r>
        <w:t xml:space="preserve"> recovery </w:t>
      </w:r>
      <w:r>
        <w:lastRenderedPageBreak/>
        <w:t>period, with additional findings reported in the lumba</w:t>
      </w:r>
      <w:r w:rsidR="00AF6A3A">
        <w:t xml:space="preserve">r spinal cord. In both the post </w:t>
      </w:r>
      <w:r>
        <w:t>dose and post</w:t>
      </w:r>
      <w:r w:rsidR="00AF6A3A">
        <w:t xml:space="preserve"> </w:t>
      </w:r>
      <w:r>
        <w:t>recovery examinations, there was a low incidence of axonal degeneration seen in the protein control group (1/15 in both sexes), with a small increase in incidence and severity (2/5 males and 1/4 females). The sponsor considered this to be an incidental finding, and considers that the neural toxicity is related to the cytotoxic agent. However, it was not se</w:t>
      </w:r>
      <w:r w:rsidR="00AF6A3A">
        <w:t>en in the saline control group.</w:t>
      </w:r>
    </w:p>
    <w:p w14:paraId="69A4CBB3" w14:textId="7CB048A7" w:rsidR="0086046D" w:rsidRDefault="0086046D" w:rsidP="00AF6A3A">
      <w:r w:rsidRPr="00857879">
        <w:t>Peripheral neuropathy is a known adverse event associated with certain cytotoxic antineoplastic agents such paclitaxel.</w:t>
      </w:r>
      <w:r>
        <w:t xml:space="preserve"> Based on the results in the </w:t>
      </w:r>
      <w:r w:rsidR="005C4508">
        <w:t>4 week</w:t>
      </w:r>
      <w:r>
        <w:t xml:space="preserve"> rat study, there appears to be a potential for peripheral neuropathy with clinical use of inotuzumab ozogamicin. The safety margin of </w:t>
      </w:r>
      <w:r w:rsidR="004322C0">
        <w:t>2</w:t>
      </w:r>
      <w:r>
        <w:t xml:space="preserve"> at the NOEL in rats, and the lack of effect in monkeys (at up to24 times the clinical AUC in the 4 week study) provide some reassurance. Neural toxicity is included in the Risk Management Plan, but is not mentioned in the </w:t>
      </w:r>
      <w:r w:rsidR="001400FE">
        <w:t>PI</w:t>
      </w:r>
      <w:r>
        <w:t xml:space="preserve"> document.</w:t>
      </w:r>
    </w:p>
    <w:p w14:paraId="72277561" w14:textId="02A3D013" w:rsidR="0086046D" w:rsidRDefault="0086046D" w:rsidP="00AF6A3A">
      <w:pPr>
        <w:pStyle w:val="Heading5"/>
      </w:pPr>
      <w:r>
        <w:t xml:space="preserve">Male </w:t>
      </w:r>
      <w:r w:rsidR="00EF795A">
        <w:t>reproductive organs</w:t>
      </w:r>
    </w:p>
    <w:p w14:paraId="6ECF04E5" w14:textId="530E6533" w:rsidR="0086046D" w:rsidRPr="00AF0721" w:rsidRDefault="0086046D" w:rsidP="00AF6A3A">
      <w:r>
        <w:t xml:space="preserve">Adverse effects of inotuzumab ozogamicin on the male reproductive organs were primarily observed in the rat toxicity studies, and were consistent with the effects of </w:t>
      </w:r>
      <w:r w:rsidR="005C4508" w:rsidRPr="00D43D6D">
        <w:t>N</w:t>
      </w:r>
      <w:r w:rsidR="00AF6A3A">
        <w:noBreakHyphen/>
        <w:t>Ac</w:t>
      </w:r>
      <w:r w:rsidR="00AF6A3A">
        <w:noBreakHyphen/>
      </w:r>
      <w:r w:rsidR="005C4508">
        <w:t>γ</w:t>
      </w:r>
      <w:r w:rsidRPr="00EC0553">
        <w:t xml:space="preserve"> calicheamicin DMH</w:t>
      </w:r>
      <w:r>
        <w:t xml:space="preserve"> (previously evaluated). Reduced testicular and </w:t>
      </w:r>
      <w:proofErr w:type="spellStart"/>
      <w:r>
        <w:t>epididymal</w:t>
      </w:r>
      <w:proofErr w:type="spellEnd"/>
      <w:r>
        <w:t xml:space="preserve"> size and weight, tubular degeneration, </w:t>
      </w:r>
      <w:proofErr w:type="spellStart"/>
      <w:r>
        <w:t>epididymal</w:t>
      </w:r>
      <w:proofErr w:type="spellEnd"/>
      <w:r>
        <w:t xml:space="preserve"> </w:t>
      </w:r>
      <w:proofErr w:type="spellStart"/>
      <w:r>
        <w:t>hypospermia</w:t>
      </w:r>
      <w:proofErr w:type="spellEnd"/>
      <w:r>
        <w:t xml:space="preserve"> and atrophy of the seminal vesicles, prostate and mammary gland were associated with single doses of 8.</w:t>
      </w:r>
      <w:r w:rsidR="00DD3A70">
        <w:t>7</w:t>
      </w:r>
      <w:r w:rsidR="00DD3A70" w:rsidDel="00DD3A70">
        <w:t xml:space="preserve"> </w:t>
      </w:r>
      <w:r>
        <w:t>mg/</w:t>
      </w:r>
      <w:r w:rsidR="00F769DD" w:rsidRPr="00AA53F4">
        <w:rPr>
          <w:lang w:val="en-US"/>
        </w:rPr>
        <w:t>m</w:t>
      </w:r>
      <w:r w:rsidR="00F769DD" w:rsidRPr="00F769DD">
        <w:rPr>
          <w:vertAlign w:val="superscript"/>
          <w:lang w:val="en-US"/>
        </w:rPr>
        <w:t>2</w:t>
      </w:r>
      <w:r>
        <w:t xml:space="preserve"> and repeated doses of 0.07 mg/</w:t>
      </w:r>
      <w:r w:rsidR="00F769DD" w:rsidRPr="00AA53F4">
        <w:rPr>
          <w:lang w:val="en-US"/>
        </w:rPr>
        <w:t>m</w:t>
      </w:r>
      <w:r w:rsidR="00F769DD" w:rsidRPr="00F769DD">
        <w:rPr>
          <w:vertAlign w:val="superscript"/>
          <w:lang w:val="en-US"/>
        </w:rPr>
        <w:t>2</w:t>
      </w:r>
      <w:r>
        <w:t xml:space="preserve"> and above. While these effects did not reverse, or were only partially reversed, in the 4 week recovery period, this is likely to </w:t>
      </w:r>
      <w:r w:rsidR="00AF6A3A">
        <w:t>be reflective of the 7</w:t>
      </w:r>
      <w:r w:rsidR="001400FE">
        <w:t> </w:t>
      </w:r>
      <w:r w:rsidR="00AF6A3A">
        <w:t xml:space="preserve">to </w:t>
      </w:r>
      <w:r>
        <w:t xml:space="preserve">8 week </w:t>
      </w:r>
      <w:proofErr w:type="spellStart"/>
      <w:r>
        <w:t>spermatogenic</w:t>
      </w:r>
      <w:proofErr w:type="spellEnd"/>
      <w:r>
        <w:t xml:space="preserve"> cycle in this species.</w:t>
      </w:r>
      <w:r>
        <w:rPr>
          <w:rStyle w:val="FootnoteReference"/>
        </w:rPr>
        <w:footnoteReference w:id="22"/>
      </w:r>
      <w:r>
        <w:t xml:space="preserve"> No male reproductive effects were noted in the 26</w:t>
      </w:r>
      <w:r w:rsidR="00AF6A3A">
        <w:t xml:space="preserve"> week</w:t>
      </w:r>
      <w:r>
        <w:t xml:space="preserve"> repeat dose study in monkeys. In the </w:t>
      </w:r>
      <w:r w:rsidR="005C4508">
        <w:t>4 week</w:t>
      </w:r>
      <w:r>
        <w:t xml:space="preserve"> study</w:t>
      </w:r>
      <w:r w:rsidR="004322C0">
        <w:t xml:space="preserve"> in monkeys</w:t>
      </w:r>
      <w:r>
        <w:t xml:space="preserve">, retracted and vacuolated </w:t>
      </w:r>
      <w:proofErr w:type="spellStart"/>
      <w:r>
        <w:t>Sertoli</w:t>
      </w:r>
      <w:proofErr w:type="spellEnd"/>
      <w:r>
        <w:t xml:space="preserve"> cell cytoplasm was noted in 2 males dosed at 4.2 mg/</w:t>
      </w:r>
      <w:r w:rsidR="00F769DD" w:rsidRPr="00AA53F4">
        <w:rPr>
          <w:lang w:val="en-US"/>
        </w:rPr>
        <w:t>m</w:t>
      </w:r>
      <w:r w:rsidR="00F769DD" w:rsidRPr="00F769DD">
        <w:rPr>
          <w:vertAlign w:val="superscript"/>
          <w:lang w:val="en-US"/>
        </w:rPr>
        <w:t>2</w:t>
      </w:r>
      <w:r>
        <w:t>. In both studies in this species, testicular maturation was either incomplete or variable, precluding an accurate assessment of male reproductive effects. Based on the known effects of calicheamicin and the outcome of the rat studies, adverse effects on male reproductive fu</w:t>
      </w:r>
      <w:r w:rsidR="00AF6A3A">
        <w:t>nction are clinically relevant.</w:t>
      </w:r>
    </w:p>
    <w:p w14:paraId="16FBAC5F" w14:textId="71220DA2" w:rsidR="0086046D" w:rsidRDefault="0086046D" w:rsidP="00AF6A3A">
      <w:pPr>
        <w:pStyle w:val="Heading5"/>
      </w:pPr>
      <w:r>
        <w:t xml:space="preserve">Female </w:t>
      </w:r>
      <w:r w:rsidR="00EF795A">
        <w:t>reproductive organs</w:t>
      </w:r>
    </w:p>
    <w:p w14:paraId="501070A2" w14:textId="77777777" w:rsidR="0086046D" w:rsidRDefault="0086046D" w:rsidP="00AF6A3A">
      <w:r>
        <w:t xml:space="preserve">Adverse effects on female reproductive organs included reduced ovarian or uterine weight, atrophy of ovarian, uterine and vaginal epithelium and ovarian necrosis. Partial to complete reversibility was demonstrated in both species. These effects are consistent with </w:t>
      </w:r>
      <w:r>
        <w:rPr>
          <w:kern w:val="2"/>
          <w:szCs w:val="20"/>
        </w:rPr>
        <w:t xml:space="preserve">the effects of </w:t>
      </w:r>
      <w:r w:rsidR="005C4508" w:rsidRPr="00D43D6D">
        <w:t>N</w:t>
      </w:r>
      <w:r w:rsidR="005C4508">
        <w:t>-Ac-γ</w:t>
      </w:r>
      <w:r w:rsidRPr="00EC0553">
        <w:t xml:space="preserve"> calicheamicin DMH</w:t>
      </w:r>
      <w:r>
        <w:t xml:space="preserve"> in rats and dogs. The only effects of treatment that was observed at clinical exposure levels (based on AUC) were reduced ovarian and uterine weight in the </w:t>
      </w:r>
      <w:r w:rsidR="005C4508">
        <w:t>4 week</w:t>
      </w:r>
      <w:r>
        <w:t xml:space="preserve"> monkey study. The NOEL for all other effects corresponded to low multiples of the clinical exposure level.</w:t>
      </w:r>
    </w:p>
    <w:p w14:paraId="21BDD291" w14:textId="77777777" w:rsidR="0086046D" w:rsidRDefault="0086046D" w:rsidP="00AF6A3A">
      <w:pPr>
        <w:pStyle w:val="Heading5"/>
      </w:pPr>
      <w:r>
        <w:t>Kidney</w:t>
      </w:r>
    </w:p>
    <w:p w14:paraId="0A43C4BE" w14:textId="2E9A9543" w:rsidR="0086046D" w:rsidRDefault="0086046D" w:rsidP="00AF6A3A">
      <w:r>
        <w:t xml:space="preserve">Calicheamicin-mediated renal toxicity was observed in the previously evaluated studies. In single dose studies in rats, </w:t>
      </w:r>
      <w:r w:rsidRPr="00C03601">
        <w:t xml:space="preserve">renal tubular dilation, </w:t>
      </w:r>
      <w:proofErr w:type="spellStart"/>
      <w:r w:rsidRPr="00C03601">
        <w:t>karyocytomegaly</w:t>
      </w:r>
      <w:proofErr w:type="spellEnd"/>
      <w:r w:rsidRPr="00C03601">
        <w:t xml:space="preserve">, and degeneration </w:t>
      </w:r>
      <w:r>
        <w:t xml:space="preserve">was observed with calicheamicin doses </w:t>
      </w:r>
      <w:proofErr w:type="gramStart"/>
      <w:r>
        <w:t xml:space="preserve">of </w:t>
      </w:r>
      <w:r w:rsidRPr="00C03601">
        <w:t>100 µg/kg</w:t>
      </w:r>
      <w:proofErr w:type="gramEnd"/>
      <w:r>
        <w:t xml:space="preserve"> and above, </w:t>
      </w:r>
      <w:r w:rsidRPr="00C03601">
        <w:t>increas</w:t>
      </w:r>
      <w:r>
        <w:t xml:space="preserve">ed renal tubular </w:t>
      </w:r>
      <w:proofErr w:type="spellStart"/>
      <w:r>
        <w:t>basophilia</w:t>
      </w:r>
      <w:proofErr w:type="spellEnd"/>
      <w:r>
        <w:t xml:space="preserve"> at 300 µg/kg</w:t>
      </w:r>
      <w:r w:rsidRPr="00C03601">
        <w:t xml:space="preserve"> and renal tubular casts</w:t>
      </w:r>
      <w:r>
        <w:t xml:space="preserve"> and necrosis of the renal cortical tubular</w:t>
      </w:r>
      <w:r w:rsidRPr="00C03601">
        <w:t xml:space="preserve"> </w:t>
      </w:r>
      <w:r>
        <w:t xml:space="preserve">epithelium was observed </w:t>
      </w:r>
      <w:r w:rsidRPr="00C03601">
        <w:t>at 1000 µg/kg</w:t>
      </w:r>
      <w:r>
        <w:t xml:space="preserve">. With repeated dosing, the </w:t>
      </w:r>
      <w:r w:rsidR="00AF6A3A">
        <w:t>lowest observable effect level (</w:t>
      </w:r>
      <w:r>
        <w:t>LOEL</w:t>
      </w:r>
      <w:r w:rsidR="00AF6A3A">
        <w:t>)</w:t>
      </w:r>
      <w:r>
        <w:t xml:space="preserve"> for </w:t>
      </w:r>
      <w:proofErr w:type="spellStart"/>
      <w:r>
        <w:t>karyocytomegaly</w:t>
      </w:r>
      <w:proofErr w:type="spellEnd"/>
      <w:r>
        <w:t xml:space="preserve"> was </w:t>
      </w:r>
      <w:proofErr w:type="gramStart"/>
      <w:r>
        <w:t xml:space="preserve">30 </w:t>
      </w:r>
      <w:r w:rsidRPr="00C03601">
        <w:t>µg/kg</w:t>
      </w:r>
      <w:r>
        <w:t xml:space="preserve"> in rats</w:t>
      </w:r>
      <w:proofErr w:type="gramEnd"/>
      <w:r>
        <w:t xml:space="preserve">. </w:t>
      </w:r>
      <w:proofErr w:type="spellStart"/>
      <w:r>
        <w:t>Karyocytomegaly</w:t>
      </w:r>
      <w:proofErr w:type="spellEnd"/>
      <w:r>
        <w:t xml:space="preserve"> was not observed in the single dose studies in this species with inotuzumab ozogamicin at calicheamicin equivalent doses </w:t>
      </w:r>
      <w:proofErr w:type="gramStart"/>
      <w:r>
        <w:t xml:space="preserve">of up to 200 </w:t>
      </w:r>
      <w:r w:rsidRPr="00C03601">
        <w:t>µg/kg</w:t>
      </w:r>
      <w:r>
        <w:t>,</w:t>
      </w:r>
      <w:proofErr w:type="gramEnd"/>
      <w:r>
        <w:t xml:space="preserve"> but renal tubular proteinaceous casts were seen at 100 μg/kg and above, and also in the </w:t>
      </w:r>
      <w:r w:rsidR="005C4508">
        <w:t>4 week</w:t>
      </w:r>
      <w:r>
        <w:t xml:space="preserve"> study at a calicheamicin dose of 50 μg/kg, with no concurrent lesions. There was an increased incidence and severity of chronic progressive nephropathy in the 26 week study in rats dosed at 10 μg/kg calicheamicin equivalents (inotuzumab ozogamicin dose 0.73 mg/</w:t>
      </w:r>
      <w:r w:rsidR="00F769DD" w:rsidRPr="00AA53F4">
        <w:rPr>
          <w:lang w:val="en-US"/>
        </w:rPr>
        <w:t>m</w:t>
      </w:r>
      <w:r w:rsidR="00F769DD" w:rsidRPr="00F769DD">
        <w:rPr>
          <w:vertAlign w:val="superscript"/>
          <w:lang w:val="en-US"/>
        </w:rPr>
        <w:t>2</w:t>
      </w:r>
      <w:r>
        <w:t xml:space="preserve">, relative </w:t>
      </w:r>
      <w:r>
        <w:lastRenderedPageBreak/>
        <w:t>exposure</w:t>
      </w:r>
      <w:r w:rsidR="001400FE">
        <w:t> </w:t>
      </w:r>
      <w:r w:rsidR="0014606A">
        <w:t>=</w:t>
      </w:r>
      <w:r w:rsidR="001400FE">
        <w:t> </w:t>
      </w:r>
      <w:r>
        <w:t>3). This is a species-specific spontaneous lesion, but it was clearly exacerbated by treatment.</w:t>
      </w:r>
    </w:p>
    <w:p w14:paraId="64DF6C1C" w14:textId="36FC1128" w:rsidR="00503681" w:rsidRDefault="0086046D" w:rsidP="00AF6A3A">
      <w:pPr>
        <w:rPr>
          <w:kern w:val="2"/>
          <w:szCs w:val="20"/>
        </w:rPr>
      </w:pPr>
      <w:r>
        <w:t xml:space="preserve">In the monkey, as already discussed above </w:t>
      </w:r>
      <w:r>
        <w:rPr>
          <w:kern w:val="2"/>
          <w:szCs w:val="20"/>
        </w:rPr>
        <w:t>one male in the 26</w:t>
      </w:r>
      <w:r w:rsidR="00AF6A3A">
        <w:rPr>
          <w:kern w:val="2"/>
          <w:szCs w:val="20"/>
        </w:rPr>
        <w:t xml:space="preserve"> week</w:t>
      </w:r>
      <w:r>
        <w:rPr>
          <w:kern w:val="2"/>
          <w:szCs w:val="20"/>
        </w:rPr>
        <w:t xml:space="preserve"> study was </w:t>
      </w:r>
      <w:proofErr w:type="spellStart"/>
      <w:r>
        <w:rPr>
          <w:kern w:val="2"/>
          <w:szCs w:val="20"/>
        </w:rPr>
        <w:t>euthanased</w:t>
      </w:r>
      <w:proofErr w:type="spellEnd"/>
      <w:r>
        <w:rPr>
          <w:kern w:val="2"/>
          <w:szCs w:val="20"/>
        </w:rPr>
        <w:t xml:space="preserve"> prematurely in a moribund condition, which was attributed to a </w:t>
      </w:r>
      <w:r w:rsidR="00AF6A3A">
        <w:rPr>
          <w:kern w:val="2"/>
          <w:szCs w:val="20"/>
        </w:rPr>
        <w:t>protein losing</w:t>
      </w:r>
      <w:r>
        <w:rPr>
          <w:kern w:val="2"/>
          <w:szCs w:val="20"/>
        </w:rPr>
        <w:t xml:space="preserve"> glomerulonephritis, associated with the presence of urinary protein, tubular protein casts in the kidney and systemic subacute vascular inflammation. It is not possible to rule out renal </w:t>
      </w:r>
      <w:r w:rsidRPr="00EF3D9E">
        <w:rPr>
          <w:kern w:val="2"/>
          <w:szCs w:val="20"/>
        </w:rPr>
        <w:t>immune co</w:t>
      </w:r>
      <w:r>
        <w:rPr>
          <w:kern w:val="2"/>
          <w:szCs w:val="20"/>
        </w:rPr>
        <w:t xml:space="preserve">mplex deposition as the underlying cause of the renal findings in this animal, although no ADAs were detected. However, it is considered to be highly likely that this was a consequence of treatment with inotuzumab ozogamicin. The NOEL for renal effects in the rat and monkey repeat dose studies were </w:t>
      </w:r>
      <w:r w:rsidRPr="007A3382">
        <w:rPr>
          <w:kern w:val="2"/>
          <w:szCs w:val="20"/>
        </w:rPr>
        <w:t>0.22 mg/</w:t>
      </w:r>
      <w:r w:rsidR="00F769DD" w:rsidRPr="007A3382">
        <w:rPr>
          <w:lang w:val="en-US"/>
        </w:rPr>
        <w:t>m</w:t>
      </w:r>
      <w:r w:rsidR="00F769DD" w:rsidRPr="007A3382">
        <w:rPr>
          <w:vertAlign w:val="superscript"/>
          <w:lang w:val="en-US"/>
        </w:rPr>
        <w:t>2</w:t>
      </w:r>
      <w:r w:rsidRPr="007A3382">
        <w:rPr>
          <w:kern w:val="2"/>
          <w:szCs w:val="20"/>
        </w:rPr>
        <w:t xml:space="preserve"> in </w:t>
      </w:r>
      <w:r w:rsidR="00FC017A" w:rsidRPr="00D43D6D">
        <w:rPr>
          <w:kern w:val="2"/>
          <w:szCs w:val="20"/>
        </w:rPr>
        <w:t xml:space="preserve">monkeys and </w:t>
      </w:r>
      <w:r w:rsidR="004322C0" w:rsidRPr="00D43D6D">
        <w:rPr>
          <w:kern w:val="2"/>
          <w:szCs w:val="20"/>
        </w:rPr>
        <w:t>0.073 mg/</w:t>
      </w:r>
      <w:r w:rsidR="004322C0" w:rsidRPr="00D43D6D">
        <w:rPr>
          <w:lang w:val="en-US"/>
        </w:rPr>
        <w:t>m</w:t>
      </w:r>
      <w:r w:rsidR="004322C0" w:rsidRPr="00D43D6D">
        <w:rPr>
          <w:vertAlign w:val="superscript"/>
          <w:lang w:val="en-US"/>
        </w:rPr>
        <w:t>2</w:t>
      </w:r>
      <w:r w:rsidR="00FC017A" w:rsidRPr="00D43D6D">
        <w:rPr>
          <w:kern w:val="2"/>
          <w:szCs w:val="20"/>
        </w:rPr>
        <w:t xml:space="preserve"> in rats</w:t>
      </w:r>
      <w:r>
        <w:rPr>
          <w:kern w:val="2"/>
          <w:szCs w:val="20"/>
        </w:rPr>
        <w:t xml:space="preserve"> which were associated with clinically relevant exposures</w:t>
      </w:r>
      <w:r w:rsidR="00503681">
        <w:rPr>
          <w:kern w:val="2"/>
          <w:szCs w:val="20"/>
        </w:rPr>
        <w:t>.</w:t>
      </w:r>
    </w:p>
    <w:p w14:paraId="6A436C20" w14:textId="77777777" w:rsidR="0086046D" w:rsidRDefault="0086046D" w:rsidP="00AF6A3A">
      <w:pPr>
        <w:pStyle w:val="Heading5"/>
      </w:pPr>
      <w:r>
        <w:t>Other findings</w:t>
      </w:r>
    </w:p>
    <w:p w14:paraId="3797EE6D" w14:textId="3FD16E03" w:rsidR="00503681" w:rsidRDefault="0086046D" w:rsidP="00AF6A3A">
      <w:r>
        <w:rPr>
          <w:kern w:val="2"/>
          <w:szCs w:val="20"/>
        </w:rPr>
        <w:t>In the repeat dose studies in rats and monkeys, i</w:t>
      </w:r>
      <w:r>
        <w:t>ncreases in neutrophil and monocyte numbers, accompanied by increased fibrinogen was consistent with inflammation.</w:t>
      </w:r>
      <w:r w:rsidR="006779D9">
        <w:t xml:space="preserve"> </w:t>
      </w:r>
      <w:r>
        <w:t xml:space="preserve">Changes in serum proteins (decreased albumin, increased globulin, and reduced </w:t>
      </w:r>
      <w:proofErr w:type="spellStart"/>
      <w:r w:rsidR="00FC4300">
        <w:t>albulin</w:t>
      </w:r>
      <w:proofErr w:type="spellEnd"/>
      <w:r w:rsidR="00FC4300">
        <w:t>/globulin</w:t>
      </w:r>
      <w:r>
        <w:t xml:space="preserve"> ratio) were consistent with the haematology findings. Increases in </w:t>
      </w:r>
      <w:r w:rsidR="00FC4300">
        <w:t>activated partial thromboplastin time (</w:t>
      </w:r>
      <w:r>
        <w:t>APTT</w:t>
      </w:r>
      <w:r w:rsidR="00FC4300">
        <w:t>)</w:t>
      </w:r>
      <w:r>
        <w:t xml:space="preserve"> </w:t>
      </w:r>
      <w:proofErr w:type="spellStart"/>
      <w:r>
        <w:t>and</w:t>
      </w:r>
      <w:r w:rsidR="0041592A">
        <w:t>prothrombin</w:t>
      </w:r>
      <w:proofErr w:type="spellEnd"/>
      <w:r w:rsidR="0041592A">
        <w:t xml:space="preserve"> time (</w:t>
      </w:r>
      <w:r>
        <w:t>PT</w:t>
      </w:r>
      <w:r w:rsidR="0041592A">
        <w:t>)</w:t>
      </w:r>
      <w:r>
        <w:t xml:space="preserve"> were observed in monkeys in single dose studies</w:t>
      </w:r>
      <w:r w:rsidR="00503681">
        <w:t>.</w:t>
      </w:r>
    </w:p>
    <w:p w14:paraId="5AA2AD87" w14:textId="77777777" w:rsidR="0086046D" w:rsidRPr="007A3382" w:rsidRDefault="0086046D" w:rsidP="007A3382">
      <w:pPr>
        <w:pStyle w:val="Heading4"/>
      </w:pPr>
      <w:bookmarkStart w:id="65" w:name="_Toc294861729"/>
      <w:r w:rsidRPr="007A3382">
        <w:t>Genotoxicity</w:t>
      </w:r>
      <w:bookmarkEnd w:id="65"/>
    </w:p>
    <w:p w14:paraId="2DE7FD65" w14:textId="5998AD84" w:rsidR="00503681" w:rsidRDefault="0086046D" w:rsidP="00AF6A3A">
      <w:r w:rsidRPr="00AF6A3A">
        <w:t>Genotoxicity studies with inotuzumab ozogamicin</w:t>
      </w:r>
      <w:r w:rsidR="006779D9" w:rsidRPr="00AF6A3A">
        <w:t xml:space="preserve"> </w:t>
      </w:r>
      <w:r w:rsidRPr="00AF6A3A">
        <w:t>and its cytotoxic component, N</w:t>
      </w:r>
      <w:r w:rsidR="00FC4300">
        <w:noBreakHyphen/>
      </w:r>
      <w:r>
        <w:t>Ac</w:t>
      </w:r>
      <w:r w:rsidR="00FC4300">
        <w:noBreakHyphen/>
      </w:r>
      <w:r>
        <w:t>ϒ</w:t>
      </w:r>
      <w:r w:rsidR="00FC4300">
        <w:noBreakHyphen/>
      </w:r>
      <w:r>
        <w:t xml:space="preserve">calicheamicin DMH, were adequate considering technical limitations, and the expectation of positive findings for mutagenicity and/or clastogenicity. </w:t>
      </w:r>
      <w:r w:rsidRPr="00AF6A3A">
        <w:t xml:space="preserve">Consistent with its capacity to bind in a </w:t>
      </w:r>
      <w:r>
        <w:t>sequence-specific manner to the minor groove of DNA, resulting in double stranded breaks</w:t>
      </w:r>
      <w:r w:rsidRPr="00AF6A3A">
        <w:t xml:space="preserve">, </w:t>
      </w:r>
      <w:r w:rsidRPr="00D43D6D">
        <w:t>N</w:t>
      </w:r>
      <w:r w:rsidRPr="00AF6A3A">
        <w:rPr>
          <w:rStyle w:val="Hyperlink"/>
          <w:i/>
          <w:u w:val="none"/>
        </w:rPr>
        <w:t>-</w:t>
      </w:r>
      <w:r>
        <w:t xml:space="preserve">Ac-ϒ-calicheamicin DMH was mutagenic in the Ames assay only in the </w:t>
      </w:r>
      <w:r>
        <w:rPr>
          <w:i/>
        </w:rPr>
        <w:t xml:space="preserve">E. </w:t>
      </w:r>
      <w:r w:rsidRPr="00C84DDD">
        <w:t>coli</w:t>
      </w:r>
      <w:r>
        <w:t xml:space="preserve"> strain, </w:t>
      </w:r>
      <w:r w:rsidRPr="00C84DDD">
        <w:t>at</w:t>
      </w:r>
      <w:r>
        <w:t xml:space="preserve"> concentrations of 3.09 μg/plate and above in the absence of metabolic activation, and at 12.3 μg/plate and above in its presence. Inotuzumab ozogamicin was not mutagenic in the Ames assay at the maximum feasible concentration </w:t>
      </w:r>
      <w:proofErr w:type="gramStart"/>
      <w:r>
        <w:t>of 7.3 μg/plate</w:t>
      </w:r>
      <w:proofErr w:type="gramEnd"/>
      <w:r>
        <w:t>. This is well below the recommendation of 5000 μg/plate, and may be below the limits of the assay sensitivity.</w:t>
      </w:r>
      <w:r>
        <w:rPr>
          <w:rStyle w:val="FootnoteReference"/>
        </w:rPr>
        <w:footnoteReference w:id="23"/>
      </w:r>
      <w:r w:rsidR="006779D9">
        <w:t xml:space="preserve"> </w:t>
      </w:r>
      <w:r>
        <w:t>The lack of mutagenicity in this study may also be reflective of a lack of intracellular penetration of the cytotoxic component</w:t>
      </w:r>
      <w:r w:rsidR="00503681">
        <w:t>.</w:t>
      </w:r>
    </w:p>
    <w:p w14:paraId="37F0CE01" w14:textId="77777777" w:rsidR="0086046D" w:rsidRPr="00653483" w:rsidRDefault="0086046D" w:rsidP="00AF6A3A">
      <w:r>
        <w:t xml:space="preserve">Clastogenicity of </w:t>
      </w:r>
      <w:r w:rsidRPr="00AF6A3A">
        <w:rPr>
          <w:i/>
        </w:rPr>
        <w:t>N-</w:t>
      </w:r>
      <w:r w:rsidRPr="000A4BD0">
        <w:t xml:space="preserve"> </w:t>
      </w:r>
      <w:r>
        <w:t xml:space="preserve">Ac-ϒ-calicheamicin DMH was demonstrated in an </w:t>
      </w:r>
      <w:r w:rsidRPr="00D43D6D">
        <w:rPr>
          <w:i/>
        </w:rPr>
        <w:t>in vitro</w:t>
      </w:r>
      <w:r>
        <w:t xml:space="preserve"> micronucleus assay in TK6 cells, and inotuzumab ozogamicin was clastogenic in the male mo</w:t>
      </w:r>
      <w:r w:rsidR="00AF6A3A">
        <w:t xml:space="preserve">use, with dose </w:t>
      </w:r>
      <w:r>
        <w:t>dependent increases in micronuclei formation from the lowest dose tested of 28 μg/kg (corresponding to 1.14 mg/</w:t>
      </w:r>
      <w:r w:rsidR="00F769DD" w:rsidRPr="00AA53F4">
        <w:rPr>
          <w:lang w:val="en-US"/>
        </w:rPr>
        <w:t>m</w:t>
      </w:r>
      <w:r w:rsidR="00F769DD" w:rsidRPr="00F769DD">
        <w:rPr>
          <w:vertAlign w:val="superscript"/>
          <w:lang w:val="en-US"/>
        </w:rPr>
        <w:t>2</w:t>
      </w:r>
      <w:r>
        <w:t>, 1.4 times the maximum human dose).</w:t>
      </w:r>
    </w:p>
    <w:p w14:paraId="2C1BCCB0" w14:textId="77777777" w:rsidR="0086046D" w:rsidRPr="00AF6A3A" w:rsidRDefault="0086046D" w:rsidP="00AF6A3A">
      <w:pPr>
        <w:pStyle w:val="Heading4"/>
      </w:pPr>
      <w:bookmarkStart w:id="66" w:name="_Toc294861730"/>
      <w:r w:rsidRPr="00AF6A3A">
        <w:t>Carcinogenicity</w:t>
      </w:r>
      <w:bookmarkEnd w:id="66"/>
    </w:p>
    <w:p w14:paraId="41884AFD" w14:textId="653E263F" w:rsidR="0086046D" w:rsidRPr="000B0B71" w:rsidRDefault="0086046D" w:rsidP="00AF6A3A">
      <w:r>
        <w:t>Given the intended indication (treatment of advanced cancer) and the genotoxicity of the calicheamicin component, carcinogenicity studies with inotuzumab ozogamicin are not required, and none were conducted.</w:t>
      </w:r>
      <w:r w:rsidR="008177A2" w:rsidRPr="008177A2">
        <w:rPr>
          <w:vertAlign w:val="superscript"/>
        </w:rPr>
        <w:fldChar w:fldCharType="begin"/>
      </w:r>
      <w:r w:rsidR="008177A2" w:rsidRPr="008177A2">
        <w:rPr>
          <w:vertAlign w:val="superscript"/>
        </w:rPr>
        <w:instrText xml:space="preserve"> NOTEREF _Ref536526647 \h </w:instrText>
      </w:r>
      <w:r w:rsidR="008177A2">
        <w:rPr>
          <w:vertAlign w:val="superscript"/>
        </w:rPr>
        <w:instrText xml:space="preserve"> \* MERGEFORMAT </w:instrText>
      </w:r>
      <w:r w:rsidR="008177A2" w:rsidRPr="008177A2">
        <w:rPr>
          <w:vertAlign w:val="superscript"/>
        </w:rPr>
      </w:r>
      <w:r w:rsidR="008177A2" w:rsidRPr="008177A2">
        <w:rPr>
          <w:vertAlign w:val="superscript"/>
        </w:rPr>
        <w:fldChar w:fldCharType="separate"/>
      </w:r>
      <w:r w:rsidR="00DF720C">
        <w:rPr>
          <w:vertAlign w:val="superscript"/>
        </w:rPr>
        <w:t>12</w:t>
      </w:r>
      <w:r w:rsidR="008177A2" w:rsidRPr="008177A2">
        <w:rPr>
          <w:vertAlign w:val="superscript"/>
        </w:rPr>
        <w:fldChar w:fldCharType="end"/>
      </w:r>
      <w:proofErr w:type="gramStart"/>
      <w:r w:rsidR="00FC4300">
        <w:rPr>
          <w:vertAlign w:val="superscript"/>
        </w:rPr>
        <w:t>,</w:t>
      </w:r>
      <w:proofErr w:type="gramEnd"/>
      <w:r w:rsidR="008177A2" w:rsidRPr="008177A2">
        <w:rPr>
          <w:vertAlign w:val="superscript"/>
        </w:rPr>
        <w:fldChar w:fldCharType="begin"/>
      </w:r>
      <w:r w:rsidR="008177A2" w:rsidRPr="008177A2">
        <w:rPr>
          <w:vertAlign w:val="superscript"/>
        </w:rPr>
        <w:instrText xml:space="preserve"> NOTEREF _Ref536526654 \h </w:instrText>
      </w:r>
      <w:r w:rsidR="008177A2">
        <w:rPr>
          <w:vertAlign w:val="superscript"/>
        </w:rPr>
        <w:instrText xml:space="preserve"> \* MERGEFORMAT </w:instrText>
      </w:r>
      <w:r w:rsidR="008177A2" w:rsidRPr="008177A2">
        <w:rPr>
          <w:vertAlign w:val="superscript"/>
        </w:rPr>
      </w:r>
      <w:r w:rsidR="008177A2" w:rsidRPr="008177A2">
        <w:rPr>
          <w:vertAlign w:val="superscript"/>
        </w:rPr>
        <w:fldChar w:fldCharType="separate"/>
      </w:r>
      <w:r w:rsidR="00DF720C">
        <w:rPr>
          <w:vertAlign w:val="superscript"/>
        </w:rPr>
        <w:t>13</w:t>
      </w:r>
      <w:r w:rsidR="008177A2" w:rsidRPr="008177A2">
        <w:rPr>
          <w:vertAlign w:val="superscript"/>
        </w:rPr>
        <w:fldChar w:fldCharType="end"/>
      </w:r>
      <w:r w:rsidR="00FC4300">
        <w:rPr>
          <w:vertAlign w:val="superscript"/>
        </w:rPr>
        <w:t>,</w:t>
      </w:r>
      <w:r>
        <w:rPr>
          <w:rStyle w:val="FootnoteReference"/>
        </w:rPr>
        <w:footnoteReference w:id="24"/>
      </w:r>
      <w:r w:rsidR="00FC4300" w:rsidRPr="00D43D6D">
        <w:rPr>
          <w:vertAlign w:val="superscript"/>
        </w:rPr>
        <w:t>,</w:t>
      </w:r>
      <w:r w:rsidR="008177A2">
        <w:rPr>
          <w:rStyle w:val="FootnoteReference"/>
        </w:rPr>
        <w:footnoteReference w:id="25"/>
      </w:r>
      <w:r>
        <w:t>As discussed above, neoplastic and non-neoplastic changes were seen in the livers of rats and monkeys in repeat dose studies</w:t>
      </w:r>
      <w:r>
        <w:rPr>
          <w:kern w:val="2"/>
          <w:szCs w:val="20"/>
        </w:rPr>
        <w:t xml:space="preserve"> with inotuzumab ozogamicin. </w:t>
      </w:r>
      <w:r>
        <w:t>The increase in proliferative activity and development of pre</w:t>
      </w:r>
      <w:r w:rsidR="00FC4300">
        <w:noBreakHyphen/>
      </w:r>
      <w:r>
        <w:t xml:space="preserve">neoplastic and neoplastic lesions in these studies is consistent with genotoxic and cytotoxic effects of calicheamicin. Increased proliferative activity was only partially reversible in the </w:t>
      </w:r>
      <w:r w:rsidR="005C4508">
        <w:t>4 week</w:t>
      </w:r>
      <w:r>
        <w:t xml:space="preserve"> repeat dose study in rats, as oval cell hyperplasia and a clear cell </w:t>
      </w:r>
      <w:r>
        <w:lastRenderedPageBreak/>
        <w:t>focus were reported in the recovery group. The NOEL for pre-neoplastic liver findings in the monkey was 0.22 mg/</w:t>
      </w:r>
      <w:r w:rsidR="00F769DD" w:rsidRPr="00AA53F4">
        <w:rPr>
          <w:lang w:val="en-US"/>
        </w:rPr>
        <w:t>m</w:t>
      </w:r>
      <w:r w:rsidR="00F769DD" w:rsidRPr="00F769DD">
        <w:rPr>
          <w:vertAlign w:val="superscript"/>
          <w:lang w:val="en-US"/>
        </w:rPr>
        <w:t>2</w:t>
      </w:r>
      <w:r>
        <w:t>, which was associated with a relative exposure of 0.9. In the rat, a NOEL for pre-neoplasia was not established, and the AUC at the LOEL of 0.073 mg/</w:t>
      </w:r>
      <w:r w:rsidR="00F769DD" w:rsidRPr="00AA53F4">
        <w:rPr>
          <w:lang w:val="en-US"/>
        </w:rPr>
        <w:t>m</w:t>
      </w:r>
      <w:r w:rsidR="00F769DD" w:rsidRPr="00F769DD">
        <w:rPr>
          <w:vertAlign w:val="superscript"/>
          <w:lang w:val="en-US"/>
        </w:rPr>
        <w:t>2</w:t>
      </w:r>
      <w:r>
        <w:t xml:space="preserve"> was approximately 0.1 times the clinical AUC.</w:t>
      </w:r>
    </w:p>
    <w:p w14:paraId="24B19797" w14:textId="77777777" w:rsidR="0086046D" w:rsidRPr="00EB69F1" w:rsidRDefault="0086046D" w:rsidP="00AF6A3A">
      <w:pPr>
        <w:pStyle w:val="Heading4"/>
      </w:pPr>
      <w:r w:rsidRPr="00EB69F1">
        <w:t>Reproductive toxicity</w:t>
      </w:r>
    </w:p>
    <w:p w14:paraId="4C1140DD" w14:textId="77777777" w:rsidR="0086046D" w:rsidRPr="007F3FD5" w:rsidRDefault="0086046D" w:rsidP="00AF6A3A">
      <w:r w:rsidRPr="00AF6A3A">
        <w:t xml:space="preserve">Reproductive toxicity studies covered female fertility in rats, and embryofetal development in rats and rabbits. Animals were dosed daily by the clinical (IV) route. The </w:t>
      </w:r>
      <w:r w:rsidRPr="007A3382">
        <w:t>study</w:t>
      </w:r>
      <w:r w:rsidRPr="007A3382">
        <w:rPr>
          <w:rStyle w:val="Hyperlink"/>
          <w:u w:val="none"/>
        </w:rPr>
        <w:t xml:space="preserve"> </w:t>
      </w:r>
      <w:r w:rsidRPr="007A3382">
        <w:t>designs</w:t>
      </w:r>
      <w:r>
        <w:t xml:space="preserve"> and their conduct were generally consistent with the relevant </w:t>
      </w:r>
      <w:r w:rsidR="00BF79CA">
        <w:t>European Medicines Agency (</w:t>
      </w:r>
      <w:r>
        <w:t>EMA</w:t>
      </w:r>
      <w:r w:rsidR="00BF79CA">
        <w:t>)</w:t>
      </w:r>
      <w:r>
        <w:t xml:space="preserve"> guideline</w:t>
      </w:r>
      <w:r w:rsidR="00AF6A3A">
        <w:t>,</w:t>
      </w:r>
      <w:r>
        <w:rPr>
          <w:rStyle w:val="FootnoteReference"/>
        </w:rPr>
        <w:footnoteReference w:id="26"/>
      </w:r>
      <w:r w:rsidR="00AF6A3A">
        <w:t xml:space="preserve"> and they were GLP </w:t>
      </w:r>
      <w:r>
        <w:t>compliant. The absence of a male fertility is acceptable based on the known genotoxicity of inotuzumab ozogamicin and the demonstration of male reproductive organ toxicity in the repe</w:t>
      </w:r>
      <w:r w:rsidR="00AF6A3A">
        <w:t>at dose studies. Effects on pre</w:t>
      </w:r>
      <w:r>
        <w:t xml:space="preserve"> and postnatal development were also not investigated, but this is appropriate given that the proposed ind</w:t>
      </w:r>
      <w:r w:rsidR="00AF6A3A">
        <w:t>ication is for advanced cancer.</w:t>
      </w:r>
    </w:p>
    <w:p w14:paraId="4CF2434A" w14:textId="77777777" w:rsidR="0086046D" w:rsidRDefault="0086046D" w:rsidP="00AF6A3A">
      <w:pPr>
        <w:pStyle w:val="Heading5"/>
      </w:pPr>
      <w:r w:rsidRPr="00EB69F1">
        <w:t>Relative exposure</w:t>
      </w:r>
    </w:p>
    <w:p w14:paraId="050C4208" w14:textId="77777777" w:rsidR="0086046D" w:rsidRPr="00EB69F1" w:rsidRDefault="00CC30C8" w:rsidP="0086046D">
      <w:pPr>
        <w:pStyle w:val="TableTitle"/>
      </w:pPr>
      <w:r>
        <w:t>Table 5:</w:t>
      </w:r>
      <w:r w:rsidR="0086046D">
        <w:t xml:space="preserve"> </w:t>
      </w:r>
      <w:r w:rsidR="0086046D" w:rsidRPr="00EB69F1">
        <w:t xml:space="preserve">Relative exposure in </w:t>
      </w:r>
      <w:r w:rsidR="0086046D">
        <w:t xml:space="preserve">reproductive </w:t>
      </w:r>
      <w:r w:rsidR="0086046D" w:rsidRPr="00EB69F1">
        <w:t>toxicity studies</w:t>
      </w:r>
    </w:p>
    <w:tbl>
      <w:tblPr>
        <w:tblStyle w:val="TableTGAblue"/>
        <w:tblW w:w="8652" w:type="dxa"/>
        <w:tblLayout w:type="fixed"/>
        <w:tblLook w:val="01E0" w:firstRow="1" w:lastRow="1" w:firstColumn="1" w:lastColumn="1" w:noHBand="0" w:noVBand="0"/>
      </w:tblPr>
      <w:tblGrid>
        <w:gridCol w:w="1814"/>
        <w:gridCol w:w="1813"/>
        <w:gridCol w:w="1675"/>
        <w:gridCol w:w="1675"/>
        <w:gridCol w:w="1675"/>
      </w:tblGrid>
      <w:tr w:rsidR="0086046D" w:rsidRPr="007A3382" w14:paraId="49404D93" w14:textId="77777777" w:rsidTr="00AF6A3A">
        <w:trPr>
          <w:cnfStyle w:val="100000000000" w:firstRow="1" w:lastRow="0" w:firstColumn="0" w:lastColumn="0" w:oddVBand="0" w:evenVBand="0" w:oddHBand="0" w:evenHBand="0" w:firstRowFirstColumn="0" w:firstRowLastColumn="0" w:lastRowFirstColumn="0" w:lastRowLastColumn="0"/>
          <w:trHeight w:val="488"/>
        </w:trPr>
        <w:tc>
          <w:tcPr>
            <w:tcW w:w="1814" w:type="dxa"/>
          </w:tcPr>
          <w:p w14:paraId="424DDFB5" w14:textId="77777777" w:rsidR="0086046D" w:rsidRPr="00D43D6D" w:rsidRDefault="0086046D" w:rsidP="00AF6A3A">
            <w:pPr>
              <w:pStyle w:val="TableHeader"/>
              <w:ind w:left="0" w:right="0"/>
              <w:rPr>
                <w:b/>
                <w:sz w:val="20"/>
                <w:szCs w:val="20"/>
              </w:rPr>
            </w:pPr>
            <w:r w:rsidRPr="00D43D6D">
              <w:rPr>
                <w:sz w:val="20"/>
                <w:szCs w:val="20"/>
              </w:rPr>
              <w:t>Species</w:t>
            </w:r>
          </w:p>
        </w:tc>
        <w:tc>
          <w:tcPr>
            <w:tcW w:w="1813" w:type="dxa"/>
          </w:tcPr>
          <w:p w14:paraId="408C0270" w14:textId="1C4E1F3F" w:rsidR="0086046D" w:rsidRPr="00D43D6D" w:rsidRDefault="0086046D" w:rsidP="00AF6A3A">
            <w:pPr>
              <w:pStyle w:val="TableHeader"/>
              <w:ind w:left="0" w:right="0"/>
              <w:rPr>
                <w:b/>
                <w:sz w:val="20"/>
                <w:szCs w:val="20"/>
              </w:rPr>
            </w:pPr>
            <w:r w:rsidRPr="00D43D6D">
              <w:rPr>
                <w:sz w:val="20"/>
                <w:szCs w:val="20"/>
              </w:rPr>
              <w:t>Study</w:t>
            </w:r>
            <w:r w:rsidR="007A3382" w:rsidRPr="00D43D6D">
              <w:rPr>
                <w:sz w:val="20"/>
                <w:szCs w:val="20"/>
              </w:rPr>
              <w:t xml:space="preserve"> </w:t>
            </w:r>
            <w:r w:rsidR="00503681" w:rsidRPr="00D43D6D">
              <w:rPr>
                <w:sz w:val="20"/>
                <w:szCs w:val="20"/>
              </w:rPr>
              <w:t>(</w:t>
            </w:r>
            <w:r w:rsidRPr="00D43D6D">
              <w:rPr>
                <w:sz w:val="20"/>
                <w:szCs w:val="20"/>
              </w:rPr>
              <w:t>Study no.</w:t>
            </w:r>
            <w:r w:rsidR="00503681" w:rsidRPr="00D43D6D">
              <w:rPr>
                <w:sz w:val="20"/>
                <w:szCs w:val="20"/>
              </w:rPr>
              <w:t>)</w:t>
            </w:r>
          </w:p>
        </w:tc>
        <w:tc>
          <w:tcPr>
            <w:tcW w:w="1675" w:type="dxa"/>
          </w:tcPr>
          <w:p w14:paraId="56465ACD" w14:textId="7C117DFD" w:rsidR="0086046D" w:rsidRPr="00D43D6D" w:rsidRDefault="0086046D" w:rsidP="00AF6A3A">
            <w:pPr>
              <w:pStyle w:val="TableHeader"/>
              <w:ind w:left="0" w:right="0"/>
              <w:rPr>
                <w:b/>
                <w:sz w:val="20"/>
                <w:szCs w:val="20"/>
              </w:rPr>
            </w:pPr>
            <w:r w:rsidRPr="00D43D6D">
              <w:rPr>
                <w:sz w:val="20"/>
                <w:szCs w:val="20"/>
              </w:rPr>
              <w:t>Dose</w:t>
            </w:r>
            <w:r w:rsidR="007A3382" w:rsidRPr="00D43D6D">
              <w:rPr>
                <w:sz w:val="20"/>
                <w:szCs w:val="20"/>
              </w:rPr>
              <w:t xml:space="preserve"> </w:t>
            </w:r>
            <w:r w:rsidRPr="00D43D6D">
              <w:rPr>
                <w:sz w:val="20"/>
                <w:szCs w:val="20"/>
              </w:rPr>
              <w:t>(mg/</w:t>
            </w:r>
            <w:r w:rsidR="00F769DD" w:rsidRPr="00D43D6D">
              <w:rPr>
                <w:sz w:val="20"/>
                <w:szCs w:val="20"/>
                <w:lang w:val="en-US"/>
              </w:rPr>
              <w:t>m</w:t>
            </w:r>
            <w:r w:rsidR="00F769DD" w:rsidRPr="00D43D6D">
              <w:rPr>
                <w:sz w:val="20"/>
                <w:szCs w:val="20"/>
                <w:vertAlign w:val="superscript"/>
                <w:lang w:val="en-US"/>
              </w:rPr>
              <w:t>2</w:t>
            </w:r>
            <w:r w:rsidRPr="00D43D6D">
              <w:rPr>
                <w:sz w:val="20"/>
                <w:szCs w:val="20"/>
              </w:rPr>
              <w:t>/day)</w:t>
            </w:r>
          </w:p>
        </w:tc>
        <w:tc>
          <w:tcPr>
            <w:tcW w:w="1675" w:type="dxa"/>
          </w:tcPr>
          <w:p w14:paraId="64165BB0" w14:textId="461B4567" w:rsidR="0086046D" w:rsidRPr="00D43D6D" w:rsidRDefault="0086046D" w:rsidP="00AF6A3A">
            <w:pPr>
              <w:pStyle w:val="TableHeader"/>
              <w:ind w:left="0" w:right="0"/>
              <w:rPr>
                <w:b/>
                <w:sz w:val="20"/>
                <w:szCs w:val="20"/>
              </w:rPr>
            </w:pPr>
            <w:r w:rsidRPr="00D43D6D">
              <w:rPr>
                <w:sz w:val="20"/>
                <w:szCs w:val="20"/>
              </w:rPr>
              <w:t>AUC</w:t>
            </w:r>
            <w:r w:rsidRPr="00D43D6D">
              <w:rPr>
                <w:sz w:val="20"/>
                <w:szCs w:val="20"/>
                <w:vertAlign w:val="subscript"/>
              </w:rPr>
              <w:t>0–24</w:t>
            </w:r>
            <w:r w:rsidRPr="00D43D6D">
              <w:rPr>
                <w:w w:val="50"/>
                <w:sz w:val="20"/>
                <w:szCs w:val="20"/>
                <w:vertAlign w:val="subscript"/>
              </w:rPr>
              <w:t> </w:t>
            </w:r>
            <w:r w:rsidRPr="00D43D6D">
              <w:rPr>
                <w:sz w:val="20"/>
                <w:szCs w:val="20"/>
                <w:vertAlign w:val="subscript"/>
              </w:rPr>
              <w:t>h</w:t>
            </w:r>
            <w:r w:rsidR="007A3382" w:rsidRPr="00D43D6D">
              <w:rPr>
                <w:sz w:val="20"/>
                <w:szCs w:val="20"/>
              </w:rPr>
              <w:t xml:space="preserve"> </w:t>
            </w:r>
            <w:r w:rsidRPr="00D43D6D">
              <w:rPr>
                <w:sz w:val="20"/>
                <w:szCs w:val="20"/>
              </w:rPr>
              <w:t>(</w:t>
            </w:r>
            <w:proofErr w:type="spellStart"/>
            <w:r w:rsidRPr="00D43D6D">
              <w:rPr>
                <w:sz w:val="20"/>
                <w:szCs w:val="20"/>
              </w:rPr>
              <w:t>ng∙h</w:t>
            </w:r>
            <w:proofErr w:type="spellEnd"/>
            <w:r w:rsidRPr="00D43D6D">
              <w:rPr>
                <w:sz w:val="20"/>
                <w:szCs w:val="20"/>
              </w:rPr>
              <w:t>/mL)</w:t>
            </w:r>
          </w:p>
        </w:tc>
        <w:tc>
          <w:tcPr>
            <w:tcW w:w="1675" w:type="dxa"/>
          </w:tcPr>
          <w:p w14:paraId="48C85A62" w14:textId="77777777" w:rsidR="0086046D" w:rsidRPr="00D43D6D" w:rsidRDefault="0086046D" w:rsidP="00AF6A3A">
            <w:pPr>
              <w:pStyle w:val="TableHeader"/>
              <w:ind w:left="0" w:right="0"/>
              <w:rPr>
                <w:b/>
                <w:sz w:val="20"/>
                <w:szCs w:val="20"/>
              </w:rPr>
            </w:pPr>
            <w:r w:rsidRPr="00D43D6D">
              <w:rPr>
                <w:sz w:val="20"/>
                <w:szCs w:val="20"/>
              </w:rPr>
              <w:t>Exposure ratio</w:t>
            </w:r>
            <w:r w:rsidRPr="00D43D6D">
              <w:rPr>
                <w:sz w:val="20"/>
                <w:szCs w:val="20"/>
                <w:vertAlign w:val="superscript"/>
              </w:rPr>
              <w:t>#</w:t>
            </w:r>
          </w:p>
        </w:tc>
      </w:tr>
      <w:tr w:rsidR="0086046D" w:rsidRPr="007A3382" w14:paraId="4AB74BA9" w14:textId="77777777" w:rsidTr="00AF6A3A">
        <w:trPr>
          <w:trHeight w:val="215"/>
        </w:trPr>
        <w:tc>
          <w:tcPr>
            <w:tcW w:w="1814" w:type="dxa"/>
            <w:vMerge w:val="restart"/>
          </w:tcPr>
          <w:p w14:paraId="42ECD06D" w14:textId="77777777" w:rsidR="0086046D" w:rsidRPr="00D43D6D" w:rsidRDefault="0086046D" w:rsidP="00AF6A3A">
            <w:pPr>
              <w:pStyle w:val="Tabletext"/>
              <w:keepNext/>
              <w:keepLines/>
              <w:spacing w:before="40" w:after="40"/>
              <w:ind w:left="0" w:right="0"/>
              <w:rPr>
                <w:kern w:val="2"/>
                <w:sz w:val="20"/>
                <w:szCs w:val="20"/>
              </w:rPr>
            </w:pPr>
            <w:r w:rsidRPr="00D43D6D">
              <w:rPr>
                <w:b/>
                <w:kern w:val="2"/>
                <w:sz w:val="20"/>
                <w:szCs w:val="20"/>
              </w:rPr>
              <w:t>Rat</w:t>
            </w:r>
            <w:r w:rsidR="00AF6A3A" w:rsidRPr="00D43D6D">
              <w:rPr>
                <w:kern w:val="2"/>
                <w:sz w:val="20"/>
                <w:szCs w:val="20"/>
              </w:rPr>
              <w:t xml:space="preserve"> </w:t>
            </w:r>
            <w:r w:rsidRPr="00D43D6D">
              <w:rPr>
                <w:kern w:val="2"/>
                <w:sz w:val="20"/>
                <w:szCs w:val="20"/>
              </w:rPr>
              <w:t>(SD)</w:t>
            </w:r>
          </w:p>
        </w:tc>
        <w:tc>
          <w:tcPr>
            <w:tcW w:w="1813" w:type="dxa"/>
            <w:vMerge w:val="restart"/>
            <w:vAlign w:val="center"/>
          </w:tcPr>
          <w:p w14:paraId="1204BF24" w14:textId="77777777" w:rsidR="0086046D" w:rsidRPr="00D43D6D" w:rsidRDefault="0086046D" w:rsidP="00AF6A3A">
            <w:pPr>
              <w:ind w:left="0" w:right="0"/>
              <w:rPr>
                <w:sz w:val="20"/>
                <w:szCs w:val="20"/>
              </w:rPr>
            </w:pPr>
            <w:r w:rsidRPr="00D43D6D">
              <w:rPr>
                <w:sz w:val="20"/>
                <w:szCs w:val="20"/>
              </w:rPr>
              <w:t>Fertility</w:t>
            </w:r>
            <w:r w:rsidR="00AF6A3A" w:rsidRPr="00D43D6D">
              <w:rPr>
                <w:sz w:val="20"/>
                <w:szCs w:val="20"/>
              </w:rPr>
              <w:t xml:space="preserve"> Study RPT</w:t>
            </w:r>
            <w:r w:rsidR="00AF6A3A" w:rsidRPr="00D43D6D">
              <w:rPr>
                <w:sz w:val="20"/>
                <w:szCs w:val="20"/>
              </w:rPr>
              <w:noBreakHyphen/>
            </w:r>
            <w:r w:rsidRPr="00D43D6D">
              <w:rPr>
                <w:sz w:val="20"/>
                <w:szCs w:val="20"/>
              </w:rPr>
              <w:t>69733</w:t>
            </w:r>
          </w:p>
        </w:tc>
        <w:tc>
          <w:tcPr>
            <w:tcW w:w="1675" w:type="dxa"/>
          </w:tcPr>
          <w:p w14:paraId="5B257DE0" w14:textId="77777777" w:rsidR="0086046D" w:rsidRPr="00D43D6D" w:rsidRDefault="0086046D" w:rsidP="00AF6A3A">
            <w:pPr>
              <w:ind w:left="0" w:right="0"/>
              <w:rPr>
                <w:sz w:val="20"/>
                <w:szCs w:val="20"/>
              </w:rPr>
            </w:pPr>
            <w:r w:rsidRPr="00D43D6D">
              <w:rPr>
                <w:sz w:val="20"/>
                <w:szCs w:val="20"/>
              </w:rPr>
              <w:t>0.011</w:t>
            </w:r>
          </w:p>
        </w:tc>
        <w:tc>
          <w:tcPr>
            <w:tcW w:w="1675" w:type="dxa"/>
          </w:tcPr>
          <w:p w14:paraId="485AE440"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441</w:t>
            </w:r>
          </w:p>
        </w:tc>
        <w:tc>
          <w:tcPr>
            <w:tcW w:w="1675" w:type="dxa"/>
          </w:tcPr>
          <w:p w14:paraId="61F337FA"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0.12</w:t>
            </w:r>
          </w:p>
        </w:tc>
      </w:tr>
      <w:tr w:rsidR="0086046D" w:rsidRPr="007A3382" w14:paraId="634C0BF4" w14:textId="77777777" w:rsidTr="00AF6A3A">
        <w:trPr>
          <w:trHeight w:val="215"/>
        </w:trPr>
        <w:tc>
          <w:tcPr>
            <w:tcW w:w="1814" w:type="dxa"/>
            <w:vMerge/>
          </w:tcPr>
          <w:p w14:paraId="74DE6410" w14:textId="77777777" w:rsidR="0086046D" w:rsidRPr="00D43D6D" w:rsidRDefault="0086046D" w:rsidP="00AF6A3A">
            <w:pPr>
              <w:pStyle w:val="Tabletext"/>
              <w:keepNext/>
              <w:keepLines/>
              <w:spacing w:before="40" w:after="40"/>
              <w:ind w:left="0" w:right="0"/>
              <w:rPr>
                <w:kern w:val="2"/>
                <w:sz w:val="20"/>
                <w:szCs w:val="20"/>
              </w:rPr>
            </w:pPr>
          </w:p>
        </w:tc>
        <w:tc>
          <w:tcPr>
            <w:tcW w:w="1813" w:type="dxa"/>
            <w:vMerge/>
            <w:vAlign w:val="center"/>
          </w:tcPr>
          <w:p w14:paraId="12B1B991" w14:textId="77777777" w:rsidR="0086046D" w:rsidRPr="00D43D6D" w:rsidRDefault="0086046D" w:rsidP="00AF6A3A">
            <w:pPr>
              <w:ind w:left="0" w:right="0"/>
              <w:rPr>
                <w:sz w:val="20"/>
                <w:szCs w:val="20"/>
              </w:rPr>
            </w:pPr>
          </w:p>
        </w:tc>
        <w:tc>
          <w:tcPr>
            <w:tcW w:w="1675" w:type="dxa"/>
          </w:tcPr>
          <w:p w14:paraId="4728BDFA" w14:textId="77777777" w:rsidR="0086046D" w:rsidRPr="00D43D6D" w:rsidRDefault="0086046D" w:rsidP="00AF6A3A">
            <w:pPr>
              <w:ind w:left="0" w:right="0"/>
              <w:rPr>
                <w:sz w:val="20"/>
                <w:szCs w:val="20"/>
              </w:rPr>
            </w:pPr>
            <w:r w:rsidRPr="00D43D6D">
              <w:rPr>
                <w:sz w:val="20"/>
                <w:szCs w:val="20"/>
              </w:rPr>
              <w:t>0.036</w:t>
            </w:r>
          </w:p>
        </w:tc>
        <w:tc>
          <w:tcPr>
            <w:tcW w:w="1675" w:type="dxa"/>
          </w:tcPr>
          <w:p w14:paraId="010CF28C"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1724</w:t>
            </w:r>
          </w:p>
        </w:tc>
        <w:tc>
          <w:tcPr>
            <w:tcW w:w="1675" w:type="dxa"/>
          </w:tcPr>
          <w:p w14:paraId="68C1865A"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0.48</w:t>
            </w:r>
          </w:p>
        </w:tc>
      </w:tr>
      <w:tr w:rsidR="0086046D" w:rsidRPr="007A3382" w14:paraId="0A8C7CCF" w14:textId="77777777" w:rsidTr="00AF6A3A">
        <w:trPr>
          <w:trHeight w:val="215"/>
        </w:trPr>
        <w:tc>
          <w:tcPr>
            <w:tcW w:w="1814" w:type="dxa"/>
            <w:vMerge/>
          </w:tcPr>
          <w:p w14:paraId="77736C19" w14:textId="77777777" w:rsidR="0086046D" w:rsidRPr="00D43D6D" w:rsidRDefault="0086046D" w:rsidP="00AF6A3A">
            <w:pPr>
              <w:pStyle w:val="Tabletext"/>
              <w:keepNext/>
              <w:keepLines/>
              <w:spacing w:before="40" w:after="40"/>
              <w:ind w:left="0" w:right="0"/>
              <w:rPr>
                <w:kern w:val="2"/>
                <w:sz w:val="20"/>
                <w:szCs w:val="20"/>
              </w:rPr>
            </w:pPr>
          </w:p>
        </w:tc>
        <w:tc>
          <w:tcPr>
            <w:tcW w:w="1813" w:type="dxa"/>
            <w:vMerge/>
            <w:vAlign w:val="center"/>
          </w:tcPr>
          <w:p w14:paraId="220700D5" w14:textId="77777777" w:rsidR="0086046D" w:rsidRPr="00D43D6D" w:rsidRDefault="0086046D" w:rsidP="00AF6A3A">
            <w:pPr>
              <w:pStyle w:val="Tabletext"/>
              <w:keepNext/>
              <w:keepLines/>
              <w:ind w:left="0" w:right="0"/>
              <w:jc w:val="center"/>
              <w:rPr>
                <w:color w:val="00B050"/>
                <w:kern w:val="2"/>
                <w:sz w:val="20"/>
                <w:szCs w:val="20"/>
              </w:rPr>
            </w:pPr>
          </w:p>
        </w:tc>
        <w:tc>
          <w:tcPr>
            <w:tcW w:w="1675" w:type="dxa"/>
          </w:tcPr>
          <w:p w14:paraId="01B7A7B3"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0.109</w:t>
            </w:r>
          </w:p>
        </w:tc>
        <w:tc>
          <w:tcPr>
            <w:tcW w:w="1675" w:type="dxa"/>
          </w:tcPr>
          <w:p w14:paraId="7DA939F7"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9672</w:t>
            </w:r>
          </w:p>
        </w:tc>
        <w:tc>
          <w:tcPr>
            <w:tcW w:w="1675" w:type="dxa"/>
          </w:tcPr>
          <w:p w14:paraId="6021C4EC"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2.7</w:t>
            </w:r>
          </w:p>
        </w:tc>
      </w:tr>
      <w:tr w:rsidR="0086046D" w:rsidRPr="007A3382" w14:paraId="438170E8" w14:textId="77777777" w:rsidTr="00AF6A3A">
        <w:trPr>
          <w:trHeight w:val="215"/>
        </w:trPr>
        <w:tc>
          <w:tcPr>
            <w:tcW w:w="1814" w:type="dxa"/>
            <w:vMerge/>
          </w:tcPr>
          <w:p w14:paraId="4A9CDA54" w14:textId="77777777" w:rsidR="0086046D" w:rsidRPr="00D43D6D" w:rsidRDefault="0086046D" w:rsidP="00AF6A3A">
            <w:pPr>
              <w:pStyle w:val="Tabletext"/>
              <w:keepNext/>
              <w:keepLines/>
              <w:spacing w:before="40" w:after="40"/>
              <w:ind w:left="0" w:right="0"/>
              <w:rPr>
                <w:kern w:val="2"/>
                <w:sz w:val="20"/>
                <w:szCs w:val="20"/>
              </w:rPr>
            </w:pPr>
          </w:p>
        </w:tc>
        <w:tc>
          <w:tcPr>
            <w:tcW w:w="1813" w:type="dxa"/>
            <w:vMerge w:val="restart"/>
            <w:vAlign w:val="center"/>
          </w:tcPr>
          <w:p w14:paraId="7E70AD24" w14:textId="77777777" w:rsidR="0086046D" w:rsidRPr="00D43D6D" w:rsidRDefault="00AF6A3A" w:rsidP="00AF6A3A">
            <w:pPr>
              <w:pStyle w:val="Tabletextleft"/>
              <w:ind w:left="0" w:right="0"/>
              <w:jc w:val="center"/>
              <w:rPr>
                <w:kern w:val="2"/>
                <w:sz w:val="20"/>
                <w:szCs w:val="20"/>
              </w:rPr>
            </w:pPr>
            <w:r w:rsidRPr="00D43D6D">
              <w:rPr>
                <w:kern w:val="2"/>
                <w:sz w:val="20"/>
                <w:szCs w:val="20"/>
              </w:rPr>
              <w:t>Embryofetal development Study </w:t>
            </w:r>
            <w:r w:rsidR="0086046D" w:rsidRPr="00D43D6D">
              <w:rPr>
                <w:kern w:val="2"/>
                <w:sz w:val="20"/>
                <w:szCs w:val="20"/>
              </w:rPr>
              <w:t>RPT-68342</w:t>
            </w:r>
          </w:p>
        </w:tc>
        <w:tc>
          <w:tcPr>
            <w:tcW w:w="1675" w:type="dxa"/>
          </w:tcPr>
          <w:p w14:paraId="43AF3C1C"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0.011</w:t>
            </w:r>
          </w:p>
        </w:tc>
        <w:tc>
          <w:tcPr>
            <w:tcW w:w="1675" w:type="dxa"/>
          </w:tcPr>
          <w:p w14:paraId="34A1C5BB"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364</w:t>
            </w:r>
          </w:p>
        </w:tc>
        <w:tc>
          <w:tcPr>
            <w:tcW w:w="1675" w:type="dxa"/>
          </w:tcPr>
          <w:p w14:paraId="3D2B5C51"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0.10</w:t>
            </w:r>
          </w:p>
        </w:tc>
      </w:tr>
      <w:tr w:rsidR="0086046D" w:rsidRPr="007A3382" w14:paraId="53961FA4" w14:textId="77777777" w:rsidTr="00AF6A3A">
        <w:trPr>
          <w:trHeight w:val="215"/>
        </w:trPr>
        <w:tc>
          <w:tcPr>
            <w:tcW w:w="1814" w:type="dxa"/>
            <w:vMerge/>
          </w:tcPr>
          <w:p w14:paraId="57D55A2F" w14:textId="77777777" w:rsidR="0086046D" w:rsidRPr="00D43D6D" w:rsidRDefault="0086046D" w:rsidP="00AF6A3A">
            <w:pPr>
              <w:pStyle w:val="Tabletext"/>
              <w:keepNext/>
              <w:keepLines/>
              <w:spacing w:before="40" w:after="40"/>
              <w:ind w:left="0" w:right="0"/>
              <w:rPr>
                <w:kern w:val="2"/>
                <w:sz w:val="20"/>
                <w:szCs w:val="20"/>
              </w:rPr>
            </w:pPr>
          </w:p>
        </w:tc>
        <w:tc>
          <w:tcPr>
            <w:tcW w:w="1813" w:type="dxa"/>
            <w:vMerge/>
            <w:vAlign w:val="center"/>
          </w:tcPr>
          <w:p w14:paraId="2EF1981D" w14:textId="77777777" w:rsidR="0086046D" w:rsidRPr="00D43D6D" w:rsidRDefault="0086046D" w:rsidP="00AF6A3A">
            <w:pPr>
              <w:pStyle w:val="Tabletext"/>
              <w:keepNext/>
              <w:keepLines/>
              <w:ind w:left="0" w:right="0"/>
              <w:jc w:val="center"/>
              <w:rPr>
                <w:kern w:val="2"/>
                <w:sz w:val="20"/>
                <w:szCs w:val="20"/>
              </w:rPr>
            </w:pPr>
          </w:p>
        </w:tc>
        <w:tc>
          <w:tcPr>
            <w:tcW w:w="1675" w:type="dxa"/>
          </w:tcPr>
          <w:p w14:paraId="05655E9D"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0.036</w:t>
            </w:r>
          </w:p>
        </w:tc>
        <w:tc>
          <w:tcPr>
            <w:tcW w:w="1675" w:type="dxa"/>
          </w:tcPr>
          <w:p w14:paraId="1CEB6ADA"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1680</w:t>
            </w:r>
          </w:p>
        </w:tc>
        <w:tc>
          <w:tcPr>
            <w:tcW w:w="1675" w:type="dxa"/>
          </w:tcPr>
          <w:p w14:paraId="0E6F016B"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0.47</w:t>
            </w:r>
          </w:p>
        </w:tc>
      </w:tr>
      <w:tr w:rsidR="0086046D" w:rsidRPr="007A3382" w14:paraId="441FDEE9" w14:textId="77777777" w:rsidTr="00AF6A3A">
        <w:trPr>
          <w:trHeight w:val="215"/>
        </w:trPr>
        <w:tc>
          <w:tcPr>
            <w:tcW w:w="1814" w:type="dxa"/>
            <w:vMerge/>
          </w:tcPr>
          <w:p w14:paraId="4148B224" w14:textId="77777777" w:rsidR="0086046D" w:rsidRPr="00D43D6D" w:rsidRDefault="0086046D" w:rsidP="00AF6A3A">
            <w:pPr>
              <w:pStyle w:val="Tabletext"/>
              <w:keepNext/>
              <w:keepLines/>
              <w:spacing w:before="40" w:after="40"/>
              <w:ind w:left="0" w:right="0"/>
              <w:rPr>
                <w:kern w:val="2"/>
                <w:sz w:val="20"/>
                <w:szCs w:val="20"/>
              </w:rPr>
            </w:pPr>
          </w:p>
        </w:tc>
        <w:tc>
          <w:tcPr>
            <w:tcW w:w="1813" w:type="dxa"/>
            <w:vMerge/>
            <w:vAlign w:val="center"/>
          </w:tcPr>
          <w:p w14:paraId="1CE6E792" w14:textId="77777777" w:rsidR="0086046D" w:rsidRPr="00D43D6D" w:rsidRDefault="0086046D" w:rsidP="00AF6A3A">
            <w:pPr>
              <w:pStyle w:val="Tabletext"/>
              <w:keepNext/>
              <w:keepLines/>
              <w:ind w:left="0" w:right="0"/>
              <w:jc w:val="center"/>
              <w:rPr>
                <w:kern w:val="2"/>
                <w:sz w:val="20"/>
                <w:szCs w:val="20"/>
              </w:rPr>
            </w:pPr>
          </w:p>
        </w:tc>
        <w:tc>
          <w:tcPr>
            <w:tcW w:w="1675" w:type="dxa"/>
          </w:tcPr>
          <w:p w14:paraId="614E935E"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0.109</w:t>
            </w:r>
          </w:p>
        </w:tc>
        <w:tc>
          <w:tcPr>
            <w:tcW w:w="1675" w:type="dxa"/>
          </w:tcPr>
          <w:p w14:paraId="1E787A5B"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6900</w:t>
            </w:r>
          </w:p>
        </w:tc>
        <w:tc>
          <w:tcPr>
            <w:tcW w:w="1675" w:type="dxa"/>
          </w:tcPr>
          <w:p w14:paraId="0EFABC8B"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1.9</w:t>
            </w:r>
          </w:p>
        </w:tc>
      </w:tr>
      <w:tr w:rsidR="0086046D" w:rsidRPr="007A3382" w14:paraId="6F67069A" w14:textId="77777777" w:rsidTr="00AF6A3A">
        <w:trPr>
          <w:trHeight w:val="215"/>
        </w:trPr>
        <w:tc>
          <w:tcPr>
            <w:tcW w:w="1814" w:type="dxa"/>
            <w:vMerge w:val="restart"/>
          </w:tcPr>
          <w:p w14:paraId="15B77640" w14:textId="77777777" w:rsidR="0086046D" w:rsidRPr="00D43D6D" w:rsidRDefault="0086046D" w:rsidP="00AF6A3A">
            <w:pPr>
              <w:pStyle w:val="Tabletext"/>
              <w:keepNext/>
              <w:keepLines/>
              <w:spacing w:before="40" w:after="40"/>
              <w:ind w:left="0" w:right="0"/>
              <w:rPr>
                <w:kern w:val="2"/>
                <w:sz w:val="20"/>
                <w:szCs w:val="20"/>
              </w:rPr>
            </w:pPr>
            <w:r w:rsidRPr="00D43D6D">
              <w:rPr>
                <w:b/>
                <w:kern w:val="2"/>
                <w:sz w:val="20"/>
                <w:szCs w:val="20"/>
              </w:rPr>
              <w:t>Rabbit</w:t>
            </w:r>
            <w:r w:rsidR="00AF6A3A" w:rsidRPr="00D43D6D">
              <w:rPr>
                <w:kern w:val="2"/>
                <w:sz w:val="20"/>
                <w:szCs w:val="20"/>
              </w:rPr>
              <w:t xml:space="preserve"> </w:t>
            </w:r>
            <w:r w:rsidRPr="00D43D6D">
              <w:rPr>
                <w:kern w:val="2"/>
                <w:sz w:val="20"/>
                <w:szCs w:val="20"/>
              </w:rPr>
              <w:t>(NZW)</w:t>
            </w:r>
          </w:p>
        </w:tc>
        <w:tc>
          <w:tcPr>
            <w:tcW w:w="1813" w:type="dxa"/>
            <w:vMerge w:val="restart"/>
            <w:vAlign w:val="center"/>
          </w:tcPr>
          <w:p w14:paraId="3A40346A" w14:textId="77777777" w:rsidR="0086046D" w:rsidRPr="00D43D6D" w:rsidRDefault="0086046D" w:rsidP="00AF6A3A">
            <w:pPr>
              <w:pStyle w:val="Tabletext"/>
              <w:keepNext/>
              <w:keepLines/>
              <w:ind w:left="0" w:right="0"/>
              <w:jc w:val="center"/>
              <w:rPr>
                <w:kern w:val="2"/>
                <w:sz w:val="20"/>
                <w:szCs w:val="20"/>
              </w:rPr>
            </w:pPr>
            <w:r w:rsidRPr="00D43D6D">
              <w:rPr>
                <w:kern w:val="2"/>
                <w:sz w:val="20"/>
                <w:szCs w:val="20"/>
              </w:rPr>
              <w:t>Embryofetal development</w:t>
            </w:r>
          </w:p>
          <w:p w14:paraId="4C27A511" w14:textId="77777777" w:rsidR="0086046D" w:rsidRPr="00D43D6D" w:rsidRDefault="0086046D" w:rsidP="00AF6A3A">
            <w:pPr>
              <w:pStyle w:val="Tabletext"/>
              <w:keepNext/>
              <w:keepLines/>
              <w:ind w:left="0" w:right="0"/>
              <w:jc w:val="center"/>
              <w:rPr>
                <w:kern w:val="2"/>
                <w:sz w:val="20"/>
                <w:szCs w:val="20"/>
              </w:rPr>
            </w:pPr>
            <w:r w:rsidRPr="00D43D6D">
              <w:rPr>
                <w:kern w:val="2"/>
                <w:sz w:val="20"/>
                <w:szCs w:val="20"/>
              </w:rPr>
              <w:t>Study RPT-72134</w:t>
            </w:r>
          </w:p>
        </w:tc>
        <w:tc>
          <w:tcPr>
            <w:tcW w:w="1675" w:type="dxa"/>
          </w:tcPr>
          <w:p w14:paraId="27F45FDC"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0.015</w:t>
            </w:r>
          </w:p>
        </w:tc>
        <w:tc>
          <w:tcPr>
            <w:tcW w:w="1675" w:type="dxa"/>
          </w:tcPr>
          <w:p w14:paraId="650E36DD"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1349</w:t>
            </w:r>
          </w:p>
        </w:tc>
        <w:tc>
          <w:tcPr>
            <w:tcW w:w="1675" w:type="dxa"/>
          </w:tcPr>
          <w:p w14:paraId="6D5BA21C"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0.38</w:t>
            </w:r>
          </w:p>
        </w:tc>
      </w:tr>
      <w:tr w:rsidR="0086046D" w:rsidRPr="007A3382" w14:paraId="4700CEE9" w14:textId="77777777" w:rsidTr="00AF6A3A">
        <w:trPr>
          <w:trHeight w:val="215"/>
        </w:trPr>
        <w:tc>
          <w:tcPr>
            <w:tcW w:w="1814" w:type="dxa"/>
            <w:vMerge/>
          </w:tcPr>
          <w:p w14:paraId="5E753AA7" w14:textId="77777777" w:rsidR="0086046D" w:rsidRPr="00D43D6D" w:rsidRDefault="0086046D" w:rsidP="00AF6A3A">
            <w:pPr>
              <w:pStyle w:val="Tabletext"/>
              <w:keepNext/>
              <w:keepLines/>
              <w:spacing w:before="40" w:after="40"/>
              <w:ind w:left="0" w:right="0"/>
              <w:rPr>
                <w:kern w:val="2"/>
                <w:sz w:val="20"/>
                <w:szCs w:val="20"/>
              </w:rPr>
            </w:pPr>
          </w:p>
        </w:tc>
        <w:tc>
          <w:tcPr>
            <w:tcW w:w="1813" w:type="dxa"/>
            <w:vMerge/>
            <w:vAlign w:val="center"/>
          </w:tcPr>
          <w:p w14:paraId="52580A7C" w14:textId="77777777" w:rsidR="0086046D" w:rsidRPr="00D43D6D" w:rsidRDefault="0086046D" w:rsidP="00AF6A3A">
            <w:pPr>
              <w:pStyle w:val="Tabletext"/>
              <w:keepNext/>
              <w:keepLines/>
              <w:ind w:left="0" w:right="0"/>
              <w:jc w:val="center"/>
              <w:rPr>
                <w:kern w:val="2"/>
                <w:sz w:val="20"/>
                <w:szCs w:val="20"/>
              </w:rPr>
            </w:pPr>
          </w:p>
        </w:tc>
        <w:tc>
          <w:tcPr>
            <w:tcW w:w="1675" w:type="dxa"/>
          </w:tcPr>
          <w:p w14:paraId="16970D84"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0.044</w:t>
            </w:r>
          </w:p>
        </w:tc>
        <w:tc>
          <w:tcPr>
            <w:tcW w:w="1675" w:type="dxa"/>
          </w:tcPr>
          <w:p w14:paraId="3BEE4BF5"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4187</w:t>
            </w:r>
          </w:p>
        </w:tc>
        <w:tc>
          <w:tcPr>
            <w:tcW w:w="1675" w:type="dxa"/>
          </w:tcPr>
          <w:p w14:paraId="3FE4C906"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1.2</w:t>
            </w:r>
          </w:p>
        </w:tc>
      </w:tr>
      <w:tr w:rsidR="0086046D" w:rsidRPr="007A3382" w14:paraId="09466A47" w14:textId="77777777" w:rsidTr="00AF6A3A">
        <w:trPr>
          <w:trHeight w:val="215"/>
        </w:trPr>
        <w:tc>
          <w:tcPr>
            <w:tcW w:w="1814" w:type="dxa"/>
            <w:vMerge/>
          </w:tcPr>
          <w:p w14:paraId="050E916C" w14:textId="77777777" w:rsidR="0086046D" w:rsidRPr="00D43D6D" w:rsidRDefault="0086046D" w:rsidP="00AF6A3A">
            <w:pPr>
              <w:pStyle w:val="Tabletext"/>
              <w:keepNext/>
              <w:keepLines/>
              <w:spacing w:before="40" w:after="40"/>
              <w:ind w:left="0" w:right="0"/>
              <w:rPr>
                <w:kern w:val="2"/>
                <w:sz w:val="20"/>
                <w:szCs w:val="20"/>
              </w:rPr>
            </w:pPr>
          </w:p>
        </w:tc>
        <w:tc>
          <w:tcPr>
            <w:tcW w:w="1813" w:type="dxa"/>
            <w:vMerge/>
            <w:vAlign w:val="center"/>
          </w:tcPr>
          <w:p w14:paraId="1AED885F" w14:textId="77777777" w:rsidR="0086046D" w:rsidRPr="00D43D6D" w:rsidRDefault="0086046D" w:rsidP="00AF6A3A">
            <w:pPr>
              <w:pStyle w:val="Tabletext"/>
              <w:keepNext/>
              <w:keepLines/>
              <w:ind w:left="0" w:right="0"/>
              <w:jc w:val="center"/>
              <w:rPr>
                <w:kern w:val="2"/>
                <w:sz w:val="20"/>
                <w:szCs w:val="20"/>
              </w:rPr>
            </w:pPr>
          </w:p>
        </w:tc>
        <w:tc>
          <w:tcPr>
            <w:tcW w:w="1675" w:type="dxa"/>
          </w:tcPr>
          <w:p w14:paraId="25955777"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0.145</w:t>
            </w:r>
          </w:p>
        </w:tc>
        <w:tc>
          <w:tcPr>
            <w:tcW w:w="1675" w:type="dxa"/>
          </w:tcPr>
          <w:p w14:paraId="6D49377C"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13264</w:t>
            </w:r>
          </w:p>
        </w:tc>
        <w:tc>
          <w:tcPr>
            <w:tcW w:w="1675" w:type="dxa"/>
          </w:tcPr>
          <w:p w14:paraId="2CE28649" w14:textId="77777777" w:rsidR="0086046D" w:rsidRPr="00D43D6D" w:rsidRDefault="0086046D" w:rsidP="00AF6A3A">
            <w:pPr>
              <w:pStyle w:val="Tabletext"/>
              <w:keepNext/>
              <w:keepLines/>
              <w:spacing w:before="0" w:after="0"/>
              <w:ind w:left="0" w:right="0"/>
              <w:rPr>
                <w:kern w:val="2"/>
                <w:sz w:val="20"/>
                <w:szCs w:val="20"/>
              </w:rPr>
            </w:pPr>
            <w:r w:rsidRPr="00D43D6D">
              <w:rPr>
                <w:kern w:val="2"/>
                <w:sz w:val="20"/>
                <w:szCs w:val="20"/>
              </w:rPr>
              <w:t>3.7</w:t>
            </w:r>
          </w:p>
        </w:tc>
      </w:tr>
      <w:tr w:rsidR="0086046D" w:rsidRPr="007A3382" w14:paraId="2CFA4AC8" w14:textId="77777777" w:rsidTr="00AF6A3A">
        <w:trPr>
          <w:trHeight w:val="215"/>
        </w:trPr>
        <w:tc>
          <w:tcPr>
            <w:tcW w:w="1814" w:type="dxa"/>
          </w:tcPr>
          <w:p w14:paraId="6D67CB68" w14:textId="77777777" w:rsidR="0086046D" w:rsidRPr="00D43D6D" w:rsidRDefault="0086046D" w:rsidP="00AF6A3A">
            <w:pPr>
              <w:pStyle w:val="Tabletext"/>
              <w:keepLines/>
              <w:spacing w:before="40" w:after="40"/>
              <w:ind w:left="0" w:right="0"/>
              <w:rPr>
                <w:b/>
                <w:kern w:val="2"/>
                <w:sz w:val="20"/>
                <w:szCs w:val="20"/>
              </w:rPr>
            </w:pPr>
            <w:r w:rsidRPr="00D43D6D">
              <w:rPr>
                <w:b/>
                <w:kern w:val="2"/>
                <w:sz w:val="20"/>
                <w:szCs w:val="20"/>
              </w:rPr>
              <w:t>Human</w:t>
            </w:r>
          </w:p>
          <w:p w14:paraId="41F335AA" w14:textId="77777777" w:rsidR="0086046D" w:rsidRPr="00D43D6D" w:rsidRDefault="0086046D" w:rsidP="00AF6A3A">
            <w:pPr>
              <w:pStyle w:val="Tabletext"/>
              <w:keepLines/>
              <w:spacing w:before="40" w:after="40"/>
              <w:ind w:left="0" w:right="0"/>
              <w:rPr>
                <w:kern w:val="2"/>
                <w:sz w:val="20"/>
                <w:szCs w:val="20"/>
              </w:rPr>
            </w:pPr>
            <w:r w:rsidRPr="00D43D6D">
              <w:rPr>
                <w:kern w:val="2"/>
                <w:sz w:val="20"/>
                <w:szCs w:val="20"/>
              </w:rPr>
              <w:t>ALL patients</w:t>
            </w:r>
          </w:p>
        </w:tc>
        <w:tc>
          <w:tcPr>
            <w:tcW w:w="1813" w:type="dxa"/>
            <w:vAlign w:val="center"/>
          </w:tcPr>
          <w:p w14:paraId="2A5E8F5A" w14:textId="77777777" w:rsidR="0086046D" w:rsidRPr="00D43D6D" w:rsidRDefault="0086046D" w:rsidP="00AF6A3A">
            <w:pPr>
              <w:pStyle w:val="Tabletext"/>
              <w:ind w:left="0" w:right="0"/>
              <w:jc w:val="center"/>
              <w:rPr>
                <w:kern w:val="2"/>
                <w:sz w:val="20"/>
                <w:szCs w:val="20"/>
              </w:rPr>
            </w:pPr>
            <w:r w:rsidRPr="00D43D6D">
              <w:rPr>
                <w:kern w:val="2"/>
                <w:sz w:val="20"/>
                <w:szCs w:val="20"/>
              </w:rPr>
              <w:t>steady state (cycle 4)</w:t>
            </w:r>
            <w:r w:rsidR="00AF6A3A" w:rsidRPr="00D43D6D">
              <w:rPr>
                <w:kern w:val="2"/>
                <w:sz w:val="20"/>
                <w:szCs w:val="20"/>
              </w:rPr>
              <w:t xml:space="preserve"> </w:t>
            </w:r>
            <w:r w:rsidR="00503681" w:rsidRPr="00D43D6D">
              <w:rPr>
                <w:kern w:val="2"/>
                <w:sz w:val="20"/>
                <w:szCs w:val="20"/>
              </w:rPr>
              <w:t>(</w:t>
            </w:r>
            <w:r w:rsidRPr="00D43D6D">
              <w:rPr>
                <w:kern w:val="2"/>
                <w:sz w:val="20"/>
                <w:szCs w:val="20"/>
              </w:rPr>
              <w:t>population PK analysis</w:t>
            </w:r>
            <w:r w:rsidR="00503681" w:rsidRPr="00D43D6D">
              <w:rPr>
                <w:kern w:val="2"/>
                <w:sz w:val="20"/>
                <w:szCs w:val="20"/>
              </w:rPr>
              <w:t>)</w:t>
            </w:r>
          </w:p>
        </w:tc>
        <w:tc>
          <w:tcPr>
            <w:tcW w:w="1675" w:type="dxa"/>
          </w:tcPr>
          <w:p w14:paraId="08AE4C4F" w14:textId="77777777" w:rsidR="0086046D" w:rsidRPr="00D43D6D" w:rsidRDefault="0086046D" w:rsidP="00AF6A3A">
            <w:pPr>
              <w:pStyle w:val="Tabletext"/>
              <w:spacing w:before="0" w:after="0"/>
              <w:ind w:left="0" w:right="0"/>
              <w:rPr>
                <w:kern w:val="2"/>
                <w:sz w:val="20"/>
                <w:szCs w:val="20"/>
              </w:rPr>
            </w:pPr>
            <w:r w:rsidRPr="00D43D6D">
              <w:rPr>
                <w:kern w:val="2"/>
                <w:sz w:val="20"/>
                <w:szCs w:val="20"/>
              </w:rPr>
              <w:t>0.5-0.8</w:t>
            </w:r>
          </w:p>
        </w:tc>
        <w:tc>
          <w:tcPr>
            <w:tcW w:w="1675" w:type="dxa"/>
          </w:tcPr>
          <w:p w14:paraId="21B239A9" w14:textId="77777777" w:rsidR="0086046D" w:rsidRPr="00D43D6D" w:rsidRDefault="0086046D" w:rsidP="00AF6A3A">
            <w:pPr>
              <w:pStyle w:val="Tabletext"/>
              <w:spacing w:before="0" w:after="0"/>
              <w:ind w:left="0" w:right="0"/>
              <w:rPr>
                <w:kern w:val="2"/>
                <w:sz w:val="20"/>
                <w:szCs w:val="20"/>
              </w:rPr>
            </w:pPr>
            <w:r w:rsidRPr="00D43D6D">
              <w:rPr>
                <w:kern w:val="2"/>
                <w:sz w:val="20"/>
                <w:szCs w:val="20"/>
                <w:vertAlign w:val="superscript"/>
              </w:rPr>
              <w:t>†</w:t>
            </w:r>
            <w:r w:rsidRPr="00D43D6D">
              <w:rPr>
                <w:kern w:val="2"/>
                <w:sz w:val="20"/>
                <w:szCs w:val="20"/>
              </w:rPr>
              <w:t>3571</w:t>
            </w:r>
          </w:p>
        </w:tc>
        <w:tc>
          <w:tcPr>
            <w:tcW w:w="1675" w:type="dxa"/>
          </w:tcPr>
          <w:p w14:paraId="4D5ABC65" w14:textId="77777777" w:rsidR="0086046D" w:rsidRPr="00D43D6D" w:rsidRDefault="0086046D" w:rsidP="00AF6A3A">
            <w:pPr>
              <w:pStyle w:val="Tabletext"/>
              <w:keepLines/>
              <w:spacing w:before="0" w:after="0"/>
              <w:ind w:left="0" w:right="0"/>
              <w:rPr>
                <w:kern w:val="2"/>
                <w:sz w:val="20"/>
                <w:szCs w:val="20"/>
              </w:rPr>
            </w:pPr>
            <w:r w:rsidRPr="00D43D6D">
              <w:rPr>
                <w:kern w:val="2"/>
                <w:sz w:val="20"/>
                <w:szCs w:val="20"/>
              </w:rPr>
              <w:t>–</w:t>
            </w:r>
          </w:p>
        </w:tc>
      </w:tr>
    </w:tbl>
    <w:p w14:paraId="19139733" w14:textId="77777777" w:rsidR="0086046D" w:rsidRPr="00663623" w:rsidRDefault="0086046D" w:rsidP="00AF6A3A">
      <w:pPr>
        <w:pStyle w:val="FootnoteText"/>
      </w:pPr>
      <w:r w:rsidRPr="00EB69F1">
        <w:rPr>
          <w:position w:val="-2"/>
          <w:vertAlign w:val="superscript"/>
        </w:rPr>
        <w:t>#</w:t>
      </w:r>
      <w:r w:rsidR="0014606A">
        <w:t xml:space="preserve"> = </w:t>
      </w:r>
      <w:proofErr w:type="spellStart"/>
      <w:r w:rsidRPr="00EB69F1">
        <w:t>animal:human</w:t>
      </w:r>
      <w:proofErr w:type="spellEnd"/>
      <w:r w:rsidRPr="00EB69F1">
        <w:t xml:space="preserve"> plasma AUC</w:t>
      </w:r>
      <w:r w:rsidRPr="00EB69F1">
        <w:rPr>
          <w:vertAlign w:val="subscript"/>
        </w:rPr>
        <w:t>0–24</w:t>
      </w:r>
      <w:r w:rsidRPr="00EB69F1">
        <w:rPr>
          <w:w w:val="50"/>
          <w:vertAlign w:val="subscript"/>
        </w:rPr>
        <w:t> </w:t>
      </w:r>
      <w:r w:rsidRPr="00EB69F1">
        <w:rPr>
          <w:vertAlign w:val="subscript"/>
        </w:rPr>
        <w:t>h</w:t>
      </w:r>
      <w:r>
        <w:t xml:space="preserve">; </w:t>
      </w:r>
      <w:r w:rsidRPr="00663623">
        <w:rPr>
          <w:kern w:val="2"/>
          <w:vertAlign w:val="superscript"/>
        </w:rPr>
        <w:t>†</w:t>
      </w:r>
      <w:r>
        <w:rPr>
          <w:kern w:val="2"/>
        </w:rPr>
        <w:t>human</w:t>
      </w:r>
      <w:r w:rsidRPr="00EB69F1">
        <w:t xml:space="preserve"> plasma AUC</w:t>
      </w:r>
      <w:r w:rsidRPr="00EB69F1">
        <w:rPr>
          <w:vertAlign w:val="subscript"/>
        </w:rPr>
        <w:t>0–24</w:t>
      </w:r>
      <w:r w:rsidRPr="00EB69F1">
        <w:rPr>
          <w:w w:val="50"/>
          <w:vertAlign w:val="subscript"/>
        </w:rPr>
        <w:t> </w:t>
      </w:r>
      <w:r w:rsidRPr="00EB69F1">
        <w:rPr>
          <w:vertAlign w:val="subscript"/>
        </w:rPr>
        <w:t>h</w:t>
      </w:r>
      <w:r>
        <w:t xml:space="preserve"> calculated by dividing AUC measured over a </w:t>
      </w:r>
      <w:r w:rsidR="00AF6A3A">
        <w:t>4 </w:t>
      </w:r>
      <w:r w:rsidR="005C4508">
        <w:t>week</w:t>
      </w:r>
      <w:r>
        <w:t xml:space="preserve"> cycle by 28</w:t>
      </w:r>
    </w:p>
    <w:p w14:paraId="1F9C5061" w14:textId="77777777" w:rsidR="0086046D" w:rsidRDefault="0086046D" w:rsidP="00AF6A3A">
      <w:r w:rsidRPr="009E476C">
        <w:t xml:space="preserve">Relative exposures at the high dose levels in the reproductive toxicity studies were 2-4, and are considered adequate based on the demonstration of maternal toxicity. There were no studies examining placental or </w:t>
      </w:r>
      <w:proofErr w:type="spellStart"/>
      <w:r w:rsidRPr="009E476C">
        <w:t>lactational</w:t>
      </w:r>
      <w:proofErr w:type="spellEnd"/>
      <w:r w:rsidRPr="009E476C">
        <w:t xml:space="preserve"> transfer of </w:t>
      </w:r>
      <w:proofErr w:type="spellStart"/>
      <w:r w:rsidRPr="009E476C">
        <w:t>inotuzumab</w:t>
      </w:r>
      <w:proofErr w:type="spellEnd"/>
      <w:r w:rsidRPr="009E476C">
        <w:t xml:space="preserve"> ozogamicin or its metabolites in animals.</w:t>
      </w:r>
    </w:p>
    <w:p w14:paraId="4AC44C57" w14:textId="77777777" w:rsidR="0086046D" w:rsidRPr="00BB05E0" w:rsidRDefault="0086046D" w:rsidP="00AF6A3A">
      <w:r>
        <w:t xml:space="preserve">As discussed above, inotuzumab ozogamicin had adverse effects on reproductive organs in the repeat dose studies. In male rats, these effects consisted of reduced testicular and </w:t>
      </w:r>
      <w:proofErr w:type="spellStart"/>
      <w:r>
        <w:t>epididymal</w:t>
      </w:r>
      <w:proofErr w:type="spellEnd"/>
      <w:r>
        <w:t xml:space="preserve"> size and weight, tubular degeneration, </w:t>
      </w:r>
      <w:proofErr w:type="spellStart"/>
      <w:r>
        <w:t>epididymal</w:t>
      </w:r>
      <w:proofErr w:type="spellEnd"/>
      <w:r>
        <w:t xml:space="preserve"> </w:t>
      </w:r>
      <w:proofErr w:type="spellStart"/>
      <w:r>
        <w:t>hypospermia</w:t>
      </w:r>
      <w:proofErr w:type="spellEnd"/>
      <w:r>
        <w:t xml:space="preserve"> and atrophy of the seminal vesicles, prostate and mammary gland, and were seen with repeated doses of 0.07 mg/</w:t>
      </w:r>
      <w:r w:rsidR="00F769DD" w:rsidRPr="00AA53F4">
        <w:rPr>
          <w:lang w:val="en-US"/>
        </w:rPr>
        <w:t>m</w:t>
      </w:r>
      <w:r w:rsidR="00F769DD" w:rsidRPr="00F769DD">
        <w:rPr>
          <w:vertAlign w:val="superscript"/>
          <w:lang w:val="en-US"/>
        </w:rPr>
        <w:t>2</w:t>
      </w:r>
      <w:r>
        <w:t xml:space="preserve"> and above (relative exposure 0.08). The extent of the sensitivity of reproductive organs in male monkeys to inotuzumab ozogamicin was not clearly established owing to their relative immaturity. In female animals, dosing with inotuzumab ozogamicin was associated with reduced ovarian or uterine weight, atrophy of ovarian, </w:t>
      </w:r>
      <w:r>
        <w:lastRenderedPageBreak/>
        <w:t xml:space="preserve">uterine and vaginal epithelium and ovarian necrosis. The NOEL for oestrous cycling and mating performance in the rat fertility study was </w:t>
      </w:r>
      <w:proofErr w:type="gramStart"/>
      <w:r>
        <w:t>0.11 mg/</w:t>
      </w:r>
      <w:r w:rsidR="00F769DD" w:rsidRPr="00AA53F4">
        <w:rPr>
          <w:lang w:val="en-US"/>
        </w:rPr>
        <w:t>m</w:t>
      </w:r>
      <w:r w:rsidR="00F769DD" w:rsidRPr="00F769DD">
        <w:rPr>
          <w:vertAlign w:val="superscript"/>
          <w:lang w:val="en-US"/>
        </w:rPr>
        <w:t>2</w:t>
      </w:r>
      <w:r>
        <w:t xml:space="preserve"> (approximately 3 times the clinical exposure, based on AUC)</w:t>
      </w:r>
      <w:proofErr w:type="gramEnd"/>
      <w:r>
        <w:t xml:space="preserve">. However, this dose was associated with maternal toxicity and increased numbers of resorptions, and hence the NOEL for reproductive performance was </w:t>
      </w:r>
      <w:proofErr w:type="gramStart"/>
      <w:r>
        <w:t>0.036 mg/</w:t>
      </w:r>
      <w:r w:rsidR="00F769DD" w:rsidRPr="00AA53F4">
        <w:rPr>
          <w:lang w:val="en-US"/>
        </w:rPr>
        <w:t>m</w:t>
      </w:r>
      <w:r w:rsidR="00F769DD" w:rsidRPr="00F769DD">
        <w:rPr>
          <w:vertAlign w:val="superscript"/>
          <w:lang w:val="en-US"/>
        </w:rPr>
        <w:t>2</w:t>
      </w:r>
      <w:r>
        <w:t xml:space="preserve"> (0.5 times the cl</w:t>
      </w:r>
      <w:r w:rsidR="001D0208">
        <w:t>inical exposure, based on AUC)</w:t>
      </w:r>
      <w:proofErr w:type="gramEnd"/>
      <w:r w:rsidR="001D0208">
        <w:t>.</w:t>
      </w:r>
    </w:p>
    <w:p w14:paraId="67B17ACC" w14:textId="1F4248E0" w:rsidR="0086046D" w:rsidRPr="00F13E77" w:rsidRDefault="0086046D" w:rsidP="00AF6A3A">
      <w:r>
        <w:t>Maternal toxicity was observed in the embryofetal development studies in rats and rabbits at doses of 0.11 and 0.15 mg/</w:t>
      </w:r>
      <w:r w:rsidR="00F769DD" w:rsidRPr="00AA53F4">
        <w:rPr>
          <w:lang w:val="en-US"/>
        </w:rPr>
        <w:t>m</w:t>
      </w:r>
      <w:r w:rsidR="00F769DD" w:rsidRPr="00F769DD">
        <w:rPr>
          <w:vertAlign w:val="superscript"/>
          <w:lang w:val="en-US"/>
        </w:rPr>
        <w:t>2</w:t>
      </w:r>
      <w:r>
        <w:t>, respectively. In rats, fetal weights were decreased at doses of 0.036 mg/</w:t>
      </w:r>
      <w:r w:rsidR="00F769DD" w:rsidRPr="00AA53F4">
        <w:rPr>
          <w:lang w:val="en-US"/>
        </w:rPr>
        <w:t>m</w:t>
      </w:r>
      <w:r w:rsidR="00F769DD" w:rsidRPr="00F769DD">
        <w:rPr>
          <w:vertAlign w:val="superscript"/>
          <w:lang w:val="en-US"/>
        </w:rPr>
        <w:t>2</w:t>
      </w:r>
      <w:r>
        <w:t xml:space="preserve"> and above (0.5 times the clinical exposure, based on AUC), and this was associated with reduced skeletal ossification. No developmental toxicity was seen in the pivotal embryofetal study in rabbits at maternally toxic doses </w:t>
      </w:r>
      <w:proofErr w:type="gramStart"/>
      <w:r>
        <w:t>of up to 0.145 mg/</w:t>
      </w:r>
      <w:r w:rsidR="00F769DD" w:rsidRPr="00AA53F4">
        <w:rPr>
          <w:lang w:val="en-US"/>
        </w:rPr>
        <w:t>m</w:t>
      </w:r>
      <w:r w:rsidR="00F769DD" w:rsidRPr="00F769DD">
        <w:rPr>
          <w:vertAlign w:val="superscript"/>
          <w:lang w:val="en-US"/>
        </w:rPr>
        <w:t>2</w:t>
      </w:r>
      <w:r>
        <w:t xml:space="preserve"> (approximately </w:t>
      </w:r>
      <w:r w:rsidR="0086679D">
        <w:t>4</w:t>
      </w:r>
      <w:r>
        <w:t xml:space="preserve"> times the clinical exposure, based on AUC)</w:t>
      </w:r>
      <w:proofErr w:type="gramEnd"/>
      <w:r>
        <w:t>. In the dose range-finding study in this species, a dose of 0.44 mg/</w:t>
      </w:r>
      <w:r w:rsidR="00F769DD" w:rsidRPr="00AA53F4">
        <w:rPr>
          <w:lang w:val="en-US"/>
        </w:rPr>
        <w:t>m</w:t>
      </w:r>
      <w:r w:rsidR="00F769DD" w:rsidRPr="00F769DD">
        <w:rPr>
          <w:vertAlign w:val="superscript"/>
          <w:lang w:val="en-US"/>
        </w:rPr>
        <w:t>2</w:t>
      </w:r>
      <w:r>
        <w:t xml:space="preserve"> was associated with significant maternal toxicity (including mortality), increased fetal resorptions a</w:t>
      </w:r>
      <w:r w:rsidR="001D0208">
        <w:t>nd decreased fetal body weight.</w:t>
      </w:r>
    </w:p>
    <w:p w14:paraId="1EC0D21B" w14:textId="77777777" w:rsidR="0086046D" w:rsidRDefault="0086046D" w:rsidP="00AF6A3A">
      <w:r>
        <w:t>Based on the nonclinical studies, clinical use of inotuzumab ozogamicin is likely to result in impaired male and female fertility. Although no teratogenic effects were observed in the reproductive toxicity studies in rats and rabbits, based on the genotoxic potential of the calicheamicin component, treatment with inotuzumab ozogamicin it is considered likely to pose a reproductive hazard to the developing fetus.</w:t>
      </w:r>
    </w:p>
    <w:p w14:paraId="66492229" w14:textId="77777777" w:rsidR="0086046D" w:rsidRPr="00EB69F1" w:rsidRDefault="0086046D" w:rsidP="001D0208">
      <w:pPr>
        <w:pStyle w:val="Heading5"/>
      </w:pPr>
      <w:r w:rsidRPr="00EB69F1">
        <w:t>Pregnancy classification</w:t>
      </w:r>
    </w:p>
    <w:p w14:paraId="1EB05C42" w14:textId="77777777" w:rsidR="0086046D" w:rsidRPr="00522DF9" w:rsidRDefault="0086046D" w:rsidP="001D0208">
      <w:r w:rsidRPr="00522DF9">
        <w:t>The sponsor has proposed Pregnancy Category D.</w:t>
      </w:r>
      <w:r w:rsidR="001D0208">
        <w:rPr>
          <w:rStyle w:val="FootnoteReference"/>
        </w:rPr>
        <w:footnoteReference w:id="27"/>
      </w:r>
      <w:r w:rsidRPr="00522DF9">
        <w:t xml:space="preserve"> This is appropriate based on the above</w:t>
      </w:r>
      <w:r w:rsidR="001D0208">
        <w:t xml:space="preserve"> considerations.</w:t>
      </w:r>
    </w:p>
    <w:p w14:paraId="6ED00FE3" w14:textId="77777777" w:rsidR="0086046D" w:rsidRDefault="001D0208" w:rsidP="001D0208">
      <w:pPr>
        <w:pStyle w:val="Heading4"/>
      </w:pPr>
      <w:r>
        <w:t>Local tolerance</w:t>
      </w:r>
    </w:p>
    <w:p w14:paraId="3EFE7558" w14:textId="0EFE2E10" w:rsidR="0086046D" w:rsidRPr="00EB69F1" w:rsidRDefault="0086046D" w:rsidP="001D0208">
      <w:r>
        <w:t>The sponsor did not conduct a dedicated local tolerance study. This is acceptable, since there were no macroscopic or microscopic changes noted at injection sites after 4 and 26</w:t>
      </w:r>
      <w:r w:rsidR="00FC4300">
        <w:t> </w:t>
      </w:r>
      <w:r w:rsidR="00AF6A3A">
        <w:t>week</w:t>
      </w:r>
      <w:r>
        <w:t>s of repeated dosing in rats and monkeys (using the same dosage formulation, route and frequency as is proposed clinically).</w:t>
      </w:r>
    </w:p>
    <w:p w14:paraId="6F07EE86" w14:textId="1C40489C" w:rsidR="0086046D" w:rsidRPr="00EB69F1" w:rsidRDefault="0031422A" w:rsidP="001D0208">
      <w:proofErr w:type="spellStart"/>
      <w:r>
        <w:t>Immunogenicity</w:t>
      </w:r>
      <w:r w:rsidR="0086046D">
        <w:t>The</w:t>
      </w:r>
      <w:proofErr w:type="spellEnd"/>
      <w:r w:rsidR="0086046D">
        <w:t xml:space="preserve"> sponsor did not submit any studies on immunogenicity</w:t>
      </w:r>
      <w:r w:rsidR="0086046D" w:rsidRPr="00C039CE">
        <w:t xml:space="preserve">. </w:t>
      </w:r>
      <w:r w:rsidR="0086046D">
        <w:t xml:space="preserve">As already discussed, ADA levels were measured in the </w:t>
      </w:r>
      <w:r w:rsidR="001D0208">
        <w:t>4</w:t>
      </w:r>
      <w:r w:rsidR="0086046D" w:rsidRPr="00C039CE">
        <w:t xml:space="preserve"> and 26</w:t>
      </w:r>
      <w:r w:rsidR="00AF6A3A">
        <w:t xml:space="preserve"> week</w:t>
      </w:r>
      <w:r w:rsidR="0086046D" w:rsidRPr="00C039CE">
        <w:t xml:space="preserve"> </w:t>
      </w:r>
      <w:r w:rsidR="005C4508">
        <w:t>repeat dose</w:t>
      </w:r>
      <w:r w:rsidR="0086046D" w:rsidRPr="00C039CE">
        <w:t xml:space="preserve"> toxicity studies in rats and monkeys. Two of 20 satellite rats (10%) administered inotuzumab ozogamicin (1 anima</w:t>
      </w:r>
      <w:r w:rsidR="0086046D">
        <w:t>l given 4.07 mg/</w:t>
      </w:r>
      <w:r w:rsidR="00F769DD" w:rsidRPr="00AA53F4">
        <w:rPr>
          <w:lang w:val="en-US"/>
        </w:rPr>
        <w:t>m</w:t>
      </w:r>
      <w:r w:rsidR="00F769DD" w:rsidRPr="00F769DD">
        <w:rPr>
          <w:vertAlign w:val="superscript"/>
          <w:lang w:val="en-US"/>
        </w:rPr>
        <w:t>2</w:t>
      </w:r>
      <w:r w:rsidR="0086046D">
        <w:t>/week) or inotuzumab</w:t>
      </w:r>
      <w:r w:rsidR="0086046D" w:rsidRPr="00C039CE">
        <w:t xml:space="preserve"> antibody (1 animal) for </w:t>
      </w:r>
      <w:r w:rsidR="0086046D">
        <w:t xml:space="preserve">4 weeks tested positive for ADAs </w:t>
      </w:r>
      <w:r w:rsidR="0086046D" w:rsidRPr="00C039CE">
        <w:t>at one or more time points after initiation of dosing. No rats were positive for ADA in the 0.41 and 1.24 mg/</w:t>
      </w:r>
      <w:r w:rsidR="00F769DD" w:rsidRPr="00AA53F4">
        <w:rPr>
          <w:lang w:val="en-US"/>
        </w:rPr>
        <w:t>m</w:t>
      </w:r>
      <w:r w:rsidR="00F769DD" w:rsidRPr="00F769DD">
        <w:rPr>
          <w:vertAlign w:val="superscript"/>
          <w:lang w:val="en-US"/>
        </w:rPr>
        <w:t>2</w:t>
      </w:r>
      <w:r w:rsidR="0086046D" w:rsidRPr="00C039CE">
        <w:t>/week groups. Two of 15 (13.3%) satellite rats administered inotuzumab ozogamicin for 26 weeks tested positive for ADA</w:t>
      </w:r>
      <w:r w:rsidR="0086046D">
        <w:t>s</w:t>
      </w:r>
      <w:r w:rsidR="0086046D" w:rsidRPr="00C039CE">
        <w:t xml:space="preserve"> at one or more time</w:t>
      </w:r>
      <w:r w:rsidR="0086046D">
        <w:t xml:space="preserve"> </w:t>
      </w:r>
      <w:r w:rsidR="0086046D" w:rsidRPr="00C039CE">
        <w:t>points (2 of 5 rats at 0.073 mg/</w:t>
      </w:r>
      <w:r w:rsidR="00F769DD" w:rsidRPr="00AA53F4">
        <w:rPr>
          <w:lang w:val="en-US"/>
        </w:rPr>
        <w:t>m</w:t>
      </w:r>
      <w:r w:rsidR="00F769DD" w:rsidRPr="00F769DD">
        <w:rPr>
          <w:vertAlign w:val="superscript"/>
          <w:lang w:val="en-US"/>
        </w:rPr>
        <w:t>2</w:t>
      </w:r>
      <w:r w:rsidR="0086046D" w:rsidRPr="00C039CE">
        <w:t>/week; 0 of 5 rats each at 0.218 or 0.727 mg/</w:t>
      </w:r>
      <w:r w:rsidR="00F769DD" w:rsidRPr="00AA53F4">
        <w:rPr>
          <w:lang w:val="en-US"/>
        </w:rPr>
        <w:t>m</w:t>
      </w:r>
      <w:r w:rsidR="00F769DD" w:rsidRPr="00F769DD">
        <w:rPr>
          <w:vertAlign w:val="superscript"/>
          <w:lang w:val="en-US"/>
        </w:rPr>
        <w:t>2</w:t>
      </w:r>
      <w:r w:rsidR="001D0208">
        <w:t>/week). In the 4</w:t>
      </w:r>
      <w:r w:rsidR="0086046D" w:rsidRPr="00C039CE">
        <w:t xml:space="preserve"> and 26</w:t>
      </w:r>
      <w:r w:rsidR="00AF6A3A">
        <w:t xml:space="preserve"> week</w:t>
      </w:r>
      <w:r w:rsidR="0086046D" w:rsidRPr="00C039CE">
        <w:t xml:space="preserve"> </w:t>
      </w:r>
      <w:r w:rsidR="005C4508">
        <w:t>repeat dose</w:t>
      </w:r>
      <w:r w:rsidR="0086046D" w:rsidRPr="00C039CE">
        <w:t xml:space="preserve"> toxicity studies in monkeys, ADA</w:t>
      </w:r>
      <w:r w:rsidR="0086046D">
        <w:t>s were</w:t>
      </w:r>
      <w:r w:rsidR="0086046D" w:rsidRPr="00C039CE">
        <w:t xml:space="preserve"> not detected in any animals after administration of i</w:t>
      </w:r>
      <w:r w:rsidR="0086046D">
        <w:t>notuzumab ozogamicin or inotuzumab</w:t>
      </w:r>
      <w:r w:rsidR="001D0208">
        <w:t xml:space="preserve"> antibody.</w:t>
      </w:r>
    </w:p>
    <w:p w14:paraId="1E5673A8" w14:textId="77777777" w:rsidR="0086046D" w:rsidRDefault="001D0208" w:rsidP="001D0208">
      <w:pPr>
        <w:pStyle w:val="Heading4"/>
      </w:pPr>
      <w:r>
        <w:t>Phototoxicity</w:t>
      </w:r>
    </w:p>
    <w:p w14:paraId="759FB9F0" w14:textId="77777777" w:rsidR="0086046D" w:rsidRPr="00C039CE" w:rsidRDefault="005C4508" w:rsidP="001D0208">
      <w:r w:rsidRPr="00D43D6D">
        <w:t>N</w:t>
      </w:r>
      <w:r>
        <w:t>-Ac-γ</w:t>
      </w:r>
      <w:r w:rsidR="0086046D" w:rsidRPr="00C039CE">
        <w:t>-calicheamicin DMH has significant absorbance in</w:t>
      </w:r>
      <w:r w:rsidR="0086046D">
        <w:t xml:space="preserve"> the UVA-UVB/visible range from 290 to 700 </w:t>
      </w:r>
      <w:r w:rsidR="0086046D" w:rsidRPr="00C039CE">
        <w:t>nm</w:t>
      </w:r>
      <w:r w:rsidR="0086046D">
        <w:t>,</w:t>
      </w:r>
      <w:r w:rsidR="0086046D" w:rsidRPr="00C039CE">
        <w:t xml:space="preserve"> with a molar e</w:t>
      </w:r>
      <w:r w:rsidR="0086046D">
        <w:t>xtinction coefficient exceeding1000 L/</w:t>
      </w:r>
      <w:proofErr w:type="spellStart"/>
      <w:r w:rsidR="0086046D">
        <w:t>m</w:t>
      </w:r>
      <w:r w:rsidR="0086046D" w:rsidRPr="00C039CE">
        <w:t>ol</w:t>
      </w:r>
      <w:proofErr w:type="spellEnd"/>
      <w:r w:rsidR="0086046D" w:rsidRPr="00C039CE">
        <w:t>/cm.</w:t>
      </w:r>
      <w:r w:rsidR="0086046D">
        <w:t xml:space="preserve"> On the basis of the results of a </w:t>
      </w:r>
      <w:proofErr w:type="spellStart"/>
      <w:r w:rsidR="0086046D" w:rsidRPr="00C039CE">
        <w:t>phototoxicity</w:t>
      </w:r>
      <w:proofErr w:type="spellEnd"/>
      <w:r w:rsidR="0086046D" w:rsidRPr="00C039CE">
        <w:t xml:space="preserve"> assay in </w:t>
      </w:r>
      <w:proofErr w:type="spellStart"/>
      <w:r w:rsidR="0086046D" w:rsidRPr="00C039CE">
        <w:t>Balb</w:t>
      </w:r>
      <w:proofErr w:type="spellEnd"/>
      <w:r w:rsidR="0086046D" w:rsidRPr="00C039CE">
        <w:t>/c 3T3 cells</w:t>
      </w:r>
      <w:r w:rsidR="0086046D">
        <w:t xml:space="preserve">, </w:t>
      </w:r>
      <w:r w:rsidRPr="00D43D6D">
        <w:t>N</w:t>
      </w:r>
      <w:r>
        <w:t>-Ac-γ</w:t>
      </w:r>
      <w:r w:rsidR="0086046D" w:rsidRPr="00C039CE">
        <w:t>-</w:t>
      </w:r>
      <w:proofErr w:type="spellStart"/>
      <w:r w:rsidR="0086046D" w:rsidRPr="00C039CE">
        <w:t>calicheamicin</w:t>
      </w:r>
      <w:proofErr w:type="spellEnd"/>
      <w:r w:rsidR="0086046D" w:rsidRPr="00C039CE">
        <w:t xml:space="preserve"> DMH</w:t>
      </w:r>
      <w:r w:rsidR="0086046D">
        <w:t xml:space="preserve"> and its antibody-conjugate, inotuzumab ozogamicin, </w:t>
      </w:r>
      <w:r w:rsidR="0086046D" w:rsidRPr="00C039CE">
        <w:t xml:space="preserve">is </w:t>
      </w:r>
      <w:r w:rsidR="0086046D">
        <w:t>not expected to have phototoxic potential.</w:t>
      </w:r>
    </w:p>
    <w:p w14:paraId="0BAD1816" w14:textId="2B78BF40" w:rsidR="0086046D" w:rsidRPr="00A57D63" w:rsidRDefault="0086046D" w:rsidP="001D0208">
      <w:pPr>
        <w:pStyle w:val="Heading4"/>
      </w:pPr>
      <w:r>
        <w:lastRenderedPageBreak/>
        <w:t xml:space="preserve">Blood </w:t>
      </w:r>
      <w:r w:rsidR="00EF795A">
        <w:t>c</w:t>
      </w:r>
      <w:r>
        <w:t>ompatibility</w:t>
      </w:r>
    </w:p>
    <w:p w14:paraId="0A81CD0D" w14:textId="77777777" w:rsidR="0086046D" w:rsidRPr="001D0208" w:rsidRDefault="0086046D" w:rsidP="001D0208">
      <w:r>
        <w:t>Inotuzumab ozogamicin and its vehicle showed no haemolytic potential in blood compatibility assays in rats, monkeys and humans, and there was no evidence of methaemoglobin formation or protein precipitation.</w:t>
      </w:r>
    </w:p>
    <w:p w14:paraId="30A42305" w14:textId="77777777" w:rsidR="0086046D" w:rsidRDefault="0086046D" w:rsidP="001D0208">
      <w:pPr>
        <w:pStyle w:val="Heading4"/>
      </w:pPr>
      <w:r w:rsidRPr="00EB69F1">
        <w:t>Impurities</w:t>
      </w:r>
    </w:p>
    <w:p w14:paraId="23E0529B" w14:textId="77777777" w:rsidR="0086046D" w:rsidRPr="00C83D64" w:rsidRDefault="0086046D" w:rsidP="001D0208">
      <w:r w:rsidRPr="00C83D64">
        <w:t xml:space="preserve">The proposed specifications for </w:t>
      </w:r>
      <w:r>
        <w:t xml:space="preserve">inorganic </w:t>
      </w:r>
      <w:r w:rsidRPr="00C83D64">
        <w:t>impurities/degradants in the drug substance/product are below th</w:t>
      </w:r>
      <w:r w:rsidR="001D0208">
        <w:t>e ICH qualification thresholds.</w:t>
      </w:r>
    </w:p>
    <w:p w14:paraId="6FCDCB57" w14:textId="77777777" w:rsidR="0086046D" w:rsidRPr="00EB69F1" w:rsidRDefault="0086046D" w:rsidP="001D0208">
      <w:pPr>
        <w:pStyle w:val="Heading4"/>
      </w:pPr>
      <w:r w:rsidRPr="00EB69F1">
        <w:t>Paediatric use</w:t>
      </w:r>
    </w:p>
    <w:p w14:paraId="44FEA9F0" w14:textId="77777777" w:rsidR="0086046D" w:rsidRPr="00C83D64" w:rsidRDefault="0086046D" w:rsidP="001D0208">
      <w:r w:rsidRPr="00C83D64">
        <w:t>Inotuzumab ozogamicin is not proposed for paediatric use and no specific studies in juvenile animals were submitted.</w:t>
      </w:r>
    </w:p>
    <w:p w14:paraId="78CA343A" w14:textId="7054C1D2" w:rsidR="0086046D" w:rsidRPr="00EB69F1" w:rsidRDefault="0086046D" w:rsidP="00D43D6D">
      <w:pPr>
        <w:pStyle w:val="Heading4"/>
      </w:pPr>
      <w:bookmarkStart w:id="67" w:name="_Toc505172204"/>
      <w:r w:rsidRPr="00EB69F1">
        <w:t>Comments on the</w:t>
      </w:r>
      <w:r>
        <w:t xml:space="preserve"> </w:t>
      </w:r>
      <w:r w:rsidR="00EF795A">
        <w:t>nonclinical</w:t>
      </w:r>
      <w:r w:rsidR="00EF795A" w:rsidRPr="00EB69F1">
        <w:t xml:space="preserve"> safety specification of the risk management plan</w:t>
      </w:r>
      <w:bookmarkEnd w:id="67"/>
    </w:p>
    <w:p w14:paraId="00427F53" w14:textId="3038F349" w:rsidR="00C9747E" w:rsidRDefault="0086046D" w:rsidP="0086046D">
      <w:r w:rsidRPr="00FE4DBD">
        <w:rPr>
          <w:kern w:val="2"/>
          <w:szCs w:val="20"/>
        </w:rPr>
        <w:t>Results and conclusions drawn from the nonclinical program for inotuzumab ozogamicin detailed in the sponsor’s draft Risk Ma</w:t>
      </w:r>
      <w:r w:rsidR="001D0208">
        <w:rPr>
          <w:kern w:val="2"/>
          <w:szCs w:val="20"/>
        </w:rPr>
        <w:t xml:space="preserve">nagement Plan </w:t>
      </w:r>
      <w:r w:rsidRPr="00FE4DBD">
        <w:rPr>
          <w:kern w:val="2"/>
          <w:szCs w:val="20"/>
        </w:rPr>
        <w:t xml:space="preserve">are in general concordance with those of the </w:t>
      </w:r>
      <w:r w:rsidR="007A3382">
        <w:rPr>
          <w:kern w:val="2"/>
          <w:szCs w:val="20"/>
        </w:rPr>
        <w:t>n</w:t>
      </w:r>
      <w:r w:rsidRPr="00FE4DBD">
        <w:rPr>
          <w:kern w:val="2"/>
          <w:szCs w:val="20"/>
        </w:rPr>
        <w:t xml:space="preserve">onclinical </w:t>
      </w:r>
      <w:r w:rsidR="007A3382">
        <w:rPr>
          <w:kern w:val="2"/>
          <w:szCs w:val="20"/>
        </w:rPr>
        <w:t>e</w:t>
      </w:r>
      <w:r w:rsidRPr="00FE4DBD">
        <w:rPr>
          <w:kern w:val="2"/>
          <w:szCs w:val="20"/>
        </w:rPr>
        <w:t>valuator.</w:t>
      </w:r>
    </w:p>
    <w:p w14:paraId="121B3626" w14:textId="77777777" w:rsidR="008E7846" w:rsidRPr="001D0208" w:rsidRDefault="008E7846" w:rsidP="001D0208">
      <w:pPr>
        <w:pStyle w:val="Heading3"/>
      </w:pPr>
      <w:bookmarkStart w:id="68" w:name="_Toc247691515"/>
      <w:bookmarkStart w:id="69" w:name="_Toc314842499"/>
      <w:bookmarkStart w:id="70" w:name="_Toc16505597"/>
      <w:r w:rsidRPr="001D0208">
        <w:t>Nonclinical summary and conclusions</w:t>
      </w:r>
      <w:bookmarkEnd w:id="68"/>
      <w:bookmarkEnd w:id="69"/>
      <w:bookmarkEnd w:id="70"/>
    </w:p>
    <w:p w14:paraId="38F8FC9D" w14:textId="13DA00E1" w:rsidR="00C70C45" w:rsidRPr="000F0237" w:rsidRDefault="00C70C45" w:rsidP="001D0208">
      <w:pPr>
        <w:pStyle w:val="ListBullet"/>
      </w:pPr>
      <w:r w:rsidRPr="000F0237">
        <w:t xml:space="preserve">The submitted </w:t>
      </w:r>
      <w:r w:rsidR="001D0208">
        <w:t>nonclinical</w:t>
      </w:r>
      <w:r w:rsidRPr="000F0237">
        <w:t xml:space="preserve"> dossier was in accordance with the relevant ICH guidelines for the nonclinical assessment of pharmaceuticals, anticancer pharmaceuticals and biological medicines</w:t>
      </w:r>
      <w:r>
        <w:t xml:space="preserve"> </w:t>
      </w:r>
      <w:r w:rsidRPr="000F0237">
        <w:t xml:space="preserve">(ICH </w:t>
      </w:r>
      <w:proofErr w:type="gramStart"/>
      <w:r w:rsidRPr="000F0237">
        <w:t>M3(</w:t>
      </w:r>
      <w:proofErr w:type="gramEnd"/>
      <w:r w:rsidRPr="000F0237">
        <w:t>R2)</w:t>
      </w:r>
      <w:r>
        <w:t>, ICH S9 and ICH S6)</w:t>
      </w:r>
      <w:r w:rsidRPr="000F0237">
        <w:t>. The overall quality of the nonclinical dossier was high. All pivotal safety-related studies (including tissue cross reactivity) were GLP compliant.</w:t>
      </w:r>
      <w:r>
        <w:t xml:space="preserve"> Inotuzumab did not show cross-species reactivity to </w:t>
      </w:r>
      <w:r w:rsidRPr="001D0208">
        <w:t xml:space="preserve">mouse, rat, rabbit or cynomolgus monkey </w:t>
      </w:r>
      <w:r w:rsidR="006779D9" w:rsidRPr="001D0208">
        <w:t>B cell</w:t>
      </w:r>
      <w:r w:rsidRPr="001D0208">
        <w:t>s or other tissues, and therefore the nonclinical species are only able to provide information on non-target mediated effects of the ADC. Any possible effects associated with CD22 binding would not be revealed by the animal models used.</w:t>
      </w:r>
    </w:p>
    <w:p w14:paraId="42FFECB5" w14:textId="77777777" w:rsidR="00C70C45" w:rsidRPr="000F0237" w:rsidRDefault="00C70C45" w:rsidP="001D0208">
      <w:pPr>
        <w:pStyle w:val="ListBullet"/>
      </w:pPr>
      <w:r w:rsidRPr="000F0237">
        <w:t>The pharmacological activity a</w:t>
      </w:r>
      <w:r>
        <w:t>s well as toxicity of inotuzumab</w:t>
      </w:r>
      <w:r w:rsidRPr="000F0237">
        <w:t xml:space="preserve"> ozogamicin</w:t>
      </w:r>
      <w:r>
        <w:t xml:space="preserve"> i</w:t>
      </w:r>
      <w:r w:rsidRPr="000F0237">
        <w:t xml:space="preserve">s attributable </w:t>
      </w:r>
      <w:r>
        <w:t>to the calicheamicin component. Inotuzumab</w:t>
      </w:r>
      <w:r w:rsidRPr="000F0237">
        <w:t xml:space="preserve"> antibody </w:t>
      </w:r>
      <w:r>
        <w:t>binds to the CD22</w:t>
      </w:r>
      <w:r w:rsidRPr="000F0237">
        <w:t xml:space="preserve"> antigen</w:t>
      </w:r>
      <w:r>
        <w:t>, which is</w:t>
      </w:r>
      <w:r w:rsidRPr="000F0237">
        <w:t xml:space="preserve"> located on</w:t>
      </w:r>
      <w:r>
        <w:t xml:space="preserve"> the vast majority of mature human </w:t>
      </w:r>
      <w:r w:rsidR="006779D9">
        <w:t>B cell</w:t>
      </w:r>
      <w:r>
        <w:t xml:space="preserve">s, as well as on a high proportion of malignant cells in ALL and a number of other </w:t>
      </w:r>
      <w:r w:rsidR="006779D9">
        <w:t>B cell</w:t>
      </w:r>
      <w:r>
        <w:t xml:space="preserve"> cancers. </w:t>
      </w:r>
      <w:r w:rsidRPr="001D0208">
        <w:t xml:space="preserve">Binding to CD22 on </w:t>
      </w:r>
      <w:r w:rsidR="006779D9" w:rsidRPr="001D0208">
        <w:t>B cell</w:t>
      </w:r>
      <w:r w:rsidRPr="001D0208">
        <w:t xml:space="preserve">s and ALL and NHL cell lines was demonstrated, followed by internalisation and trafficking to lysosomes, </w:t>
      </w:r>
      <w:r>
        <w:t>where the acidic conditions favour hydrolysis of the calicheamicin derivative.</w:t>
      </w:r>
      <w:r w:rsidR="006779D9">
        <w:t xml:space="preserve"> </w:t>
      </w:r>
      <w:r w:rsidR="006779D9" w:rsidRPr="001D0208">
        <w:t>B cell</w:t>
      </w:r>
      <w:r w:rsidRPr="001D0208">
        <w:t xml:space="preserve"> lines treated with the ADC showed induction of double strand DNA breaks, consistent with the proposed mechanism of action for calicheamicin, </w:t>
      </w:r>
      <w:r>
        <w:t>ultimately leading to induction of apoptosis and cell death</w:t>
      </w:r>
      <w:r w:rsidR="001D0208">
        <w:t>.</w:t>
      </w:r>
    </w:p>
    <w:p w14:paraId="6F28A75B" w14:textId="77777777" w:rsidR="00C70C45" w:rsidRDefault="00C70C45" w:rsidP="001D0208">
      <w:pPr>
        <w:pStyle w:val="ListBullet"/>
      </w:pPr>
      <w:r w:rsidRPr="00692CC7">
        <w:t>The anti</w:t>
      </w:r>
      <w:r>
        <w:t>-</w:t>
      </w:r>
      <w:r w:rsidRPr="00692CC7">
        <w:t xml:space="preserve">tumour </w:t>
      </w:r>
      <w:r>
        <w:t xml:space="preserve">activity of inotuzumab ozogamicin was demonstrated in </w:t>
      </w:r>
      <w:r w:rsidR="006779D9">
        <w:t>B cell</w:t>
      </w:r>
      <w:r>
        <w:t xml:space="preserve"> ALL and lymphoma xenografts in immunocompromised mice, including large and small SC implanted tumours as well as in systemically disseminated tumour models. Neither unconjugated inotuzumab nor the unconjugated calicheamici</w:t>
      </w:r>
      <w:r w:rsidR="001D0208">
        <w:t>n had any anti-tumour activity.</w:t>
      </w:r>
    </w:p>
    <w:p w14:paraId="05A93277" w14:textId="77777777" w:rsidR="00C70C45" w:rsidRDefault="001D0208" w:rsidP="001D0208">
      <w:pPr>
        <w:pStyle w:val="ListBullet"/>
      </w:pPr>
      <w:r>
        <w:t xml:space="preserve">In tissue cross </w:t>
      </w:r>
      <w:r w:rsidR="00C70C45">
        <w:t>reactivity studies, in addition to staining human tissues with known CD22 expression</w:t>
      </w:r>
      <w:r w:rsidR="00C70C45" w:rsidRPr="00FE4DBD">
        <w:t>, inotuzumab also stained the stromal fibres in the dermis of the skin, mammary gland, and uterine cervix of humans.</w:t>
      </w:r>
      <w:r w:rsidR="00C70C45">
        <w:t xml:space="preserve"> The clinical significance of this is uncertain, but it may indicate the potential for additional off ta</w:t>
      </w:r>
      <w:r>
        <w:t>rget toxicity in these tissues.</w:t>
      </w:r>
    </w:p>
    <w:p w14:paraId="4701C1FE" w14:textId="77777777" w:rsidR="00C70C45" w:rsidRDefault="00C70C45" w:rsidP="001D0208">
      <w:pPr>
        <w:pStyle w:val="ListBullet"/>
      </w:pPr>
      <w:r>
        <w:lastRenderedPageBreak/>
        <w:t>S</w:t>
      </w:r>
      <w:r w:rsidRPr="00D51F6D">
        <w:t>afety pharmacology studies assessed effects on the cardiovascular, respiratory and central nervous systems. No adverse effects were seen on CNS or respiratory function in rats. Increases in mean blood pressure in conscious cynomolgus monkey</w:t>
      </w:r>
      <w:r>
        <w:t>s</w:t>
      </w:r>
      <w:r w:rsidRPr="00D51F6D">
        <w:t xml:space="preserve"> were toxicologically insignificant. No significant inhibition of </w:t>
      </w:r>
      <w:proofErr w:type="spellStart"/>
      <w:r w:rsidRPr="00D51F6D">
        <w:t>hERG</w:t>
      </w:r>
      <w:proofErr w:type="spellEnd"/>
      <w:r w:rsidRPr="00D51F6D">
        <w:t xml:space="preserve"> K+ channel tail current by </w:t>
      </w:r>
      <w:r w:rsidRPr="00D43D6D">
        <w:rPr>
          <w:rFonts w:eastAsiaTheme="minorHAnsi"/>
        </w:rPr>
        <w:t>N</w:t>
      </w:r>
      <w:r w:rsidRPr="00D51F6D">
        <w:rPr>
          <w:rFonts w:eastAsiaTheme="minorHAnsi"/>
        </w:rPr>
        <w:t>-acetyl-ϒ-calicheamicin DMH</w:t>
      </w:r>
      <w:r w:rsidRPr="00D51F6D">
        <w:t xml:space="preserve"> was observed at clinically-relevant concentrations. Inotuzumab ozogamicin is not predicted to prolong the QT interval in patients.</w:t>
      </w:r>
    </w:p>
    <w:p w14:paraId="297C010C" w14:textId="77777777" w:rsidR="00C70C45" w:rsidRDefault="00C70C45" w:rsidP="001D0208">
      <w:pPr>
        <w:pStyle w:val="ListBullet"/>
        <w:rPr>
          <w:kern w:val="2"/>
        </w:rPr>
      </w:pPr>
      <w:r w:rsidRPr="001D0208">
        <w:t xml:space="preserve">Inotuzumab ozogamicin is stable in plasma. The pharmacokinetics of the ADC </w:t>
      </w:r>
      <w:r w:rsidRPr="004B5264">
        <w:t>was characterised by low plasma clearance</w:t>
      </w:r>
      <w:r w:rsidR="001D0208">
        <w:t xml:space="preserve"> (1.1 to </w:t>
      </w:r>
      <w:r>
        <w:t>1.5 mL/h/kg)</w:t>
      </w:r>
      <w:r w:rsidRPr="004B5264">
        <w:t xml:space="preserve">, an apparent volume of distribution indicating no or limited extravascular distribution, and mean terminal elimination </w:t>
      </w:r>
      <w:r w:rsidR="001D0208">
        <w:t xml:space="preserve">half-life of the order of 50 to </w:t>
      </w:r>
      <w:r>
        <w:t>60 </w:t>
      </w:r>
      <w:r w:rsidRPr="004B5264">
        <w:t xml:space="preserve">h. Plasma clearance in humans was lower than in animals, and the terminal elimination half-life was much longer, most probably due to the additional effect of target-mediated drug disposition. In keeping with this hypothesis, systemic exposures were approximately one third lower in human </w:t>
      </w:r>
      <w:r w:rsidR="005C4508">
        <w:t>CD22 positive</w:t>
      </w:r>
      <w:r w:rsidRPr="004B5264">
        <w:t xml:space="preserve"> </w:t>
      </w:r>
      <w:r w:rsidR="005C4508">
        <w:t>tumour bearing</w:t>
      </w:r>
      <w:r w:rsidRPr="004B5264">
        <w:t xml:space="preserve"> mice compared with mice without tumours.</w:t>
      </w:r>
      <w:r>
        <w:t xml:space="preserve"> </w:t>
      </w:r>
      <w:r w:rsidR="005C4508">
        <w:rPr>
          <w:i/>
        </w:rPr>
        <w:t>N</w:t>
      </w:r>
      <w:r w:rsidR="005C4508">
        <w:t>-Ac-γ</w:t>
      </w:r>
      <w:r>
        <w:rPr>
          <w:kern w:val="2"/>
        </w:rPr>
        <w:t>-calicheamicin-DMH</w:t>
      </w:r>
      <w:r>
        <w:t xml:space="preserve"> was approximately 97% bound to proteins in plasma.</w:t>
      </w:r>
    </w:p>
    <w:p w14:paraId="1540DFAF" w14:textId="03758400" w:rsidR="00C70C45" w:rsidRPr="005B3409" w:rsidRDefault="00C70C45" w:rsidP="001D0208">
      <w:pPr>
        <w:pStyle w:val="ListBullet"/>
      </w:pPr>
      <w:r>
        <w:t xml:space="preserve">Biotransformation of </w:t>
      </w:r>
      <w:r w:rsidR="005C4508">
        <w:rPr>
          <w:i/>
        </w:rPr>
        <w:t>N</w:t>
      </w:r>
      <w:r w:rsidR="005C4508">
        <w:t>-Ac-γ</w:t>
      </w:r>
      <w:r>
        <w:rPr>
          <w:kern w:val="2"/>
        </w:rPr>
        <w:t>-calicheamicin-DMH</w:t>
      </w:r>
      <w:r>
        <w:t xml:space="preserve"> is primarily non-enzymatic. The main metabolic pathways </w:t>
      </w:r>
      <w:r w:rsidR="00606664">
        <w:t xml:space="preserve">is </w:t>
      </w:r>
      <w:r>
        <w:t xml:space="preserve">reduction at the disulfide moiety </w:t>
      </w:r>
      <w:r w:rsidR="00606664">
        <w:t xml:space="preserve">that lead to the </w:t>
      </w:r>
      <w:r>
        <w:t>form</w:t>
      </w:r>
      <w:r w:rsidR="00606664">
        <w:t xml:space="preserve">ation </w:t>
      </w:r>
      <w:proofErr w:type="gramStart"/>
      <w:r w:rsidR="00606664">
        <w:t xml:space="preserve">of </w:t>
      </w:r>
      <w:r>
        <w:t xml:space="preserve"> </w:t>
      </w:r>
      <w:r w:rsidRPr="00065FAD">
        <w:rPr>
          <w:i/>
        </w:rPr>
        <w:t>N</w:t>
      </w:r>
      <w:proofErr w:type="gramEnd"/>
      <w:r>
        <w:t>-</w:t>
      </w:r>
      <w:r w:rsidRPr="002E2DEA">
        <w:t>Ac-ε calicheamicin</w:t>
      </w:r>
      <w:r>
        <w:t>,</w:t>
      </w:r>
      <w:r w:rsidRPr="002E2DEA">
        <w:t xml:space="preserve"> which is of low toxicity</w:t>
      </w:r>
      <w:r>
        <w:t>.</w:t>
      </w:r>
      <w:r w:rsidR="006779D9">
        <w:t xml:space="preserve"> </w:t>
      </w:r>
      <w:r>
        <w:t>There were no unique human urinary metabolites. In rats, elimination is predominantly the faecal (approximately 80%) following excretion into the bile.</w:t>
      </w:r>
    </w:p>
    <w:p w14:paraId="74D20A7F" w14:textId="77777777" w:rsidR="00C70C45" w:rsidRPr="00DD5AF1" w:rsidRDefault="005C4508" w:rsidP="001D0208">
      <w:pPr>
        <w:pStyle w:val="ListBullet"/>
      </w:pPr>
      <w:r>
        <w:rPr>
          <w:i/>
        </w:rPr>
        <w:t>N</w:t>
      </w:r>
      <w:r>
        <w:t>-Ac-γ</w:t>
      </w:r>
      <w:r w:rsidR="00C70C45">
        <w:t>-calicheamicin DMH is substrate for P-</w:t>
      </w:r>
      <w:proofErr w:type="spellStart"/>
      <w:r w:rsidR="00C70C45">
        <w:t>gp</w:t>
      </w:r>
      <w:proofErr w:type="spellEnd"/>
      <w:r w:rsidR="00C70C45">
        <w:t>, but not for the BCRP efflux or hepatic uptake transporters. According to the Product Information document, clinically relevant interactions with P-</w:t>
      </w:r>
      <w:proofErr w:type="spellStart"/>
      <w:r w:rsidR="00C70C45">
        <w:t>gp</w:t>
      </w:r>
      <w:proofErr w:type="spellEnd"/>
      <w:r w:rsidR="00C70C45">
        <w:t xml:space="preserve"> inhibitors were not observed. Based on </w:t>
      </w:r>
      <w:r w:rsidR="00C70C45" w:rsidRPr="006E3A0B">
        <w:rPr>
          <w:i/>
        </w:rPr>
        <w:t>in vitro</w:t>
      </w:r>
      <w:r w:rsidR="00C70C45" w:rsidRPr="00F513DD">
        <w:rPr>
          <w:i/>
        </w:rPr>
        <w:t xml:space="preserve"> </w:t>
      </w:r>
      <w:r w:rsidR="00C70C45">
        <w:t xml:space="preserve">studies, inotuzumab ozogamicin has low potential for interactions with substrates, inhibitors or inducers of CYP450 or UGT drug metabolising enzymes. Similarly, based on </w:t>
      </w:r>
      <w:r w:rsidR="00C70C45" w:rsidRPr="006E3A0B">
        <w:rPr>
          <w:i/>
        </w:rPr>
        <w:t>in vitro</w:t>
      </w:r>
      <w:r w:rsidR="00C70C45">
        <w:t xml:space="preserve"> studies, a</w:t>
      </w:r>
      <w:r w:rsidR="00C70C45" w:rsidRPr="002A3E1C">
        <w:t>t</w:t>
      </w:r>
      <w:r w:rsidR="00C70C45">
        <w:t xml:space="preserve"> clinically relevant concentrations </w:t>
      </w:r>
      <w:r>
        <w:rPr>
          <w:i/>
        </w:rPr>
        <w:t>N</w:t>
      </w:r>
      <w:r>
        <w:t>-Ac-γ</w:t>
      </w:r>
      <w:r w:rsidR="00C70C45">
        <w:t>-calicheamicin DMH is not expected to inhibit the efflux transporters P-</w:t>
      </w:r>
      <w:proofErr w:type="spellStart"/>
      <w:r w:rsidR="00C70C45">
        <w:t>gp</w:t>
      </w:r>
      <w:proofErr w:type="spellEnd"/>
      <w:r w:rsidR="00C70C45">
        <w:t>, BCRP, bile salt export pump (BSEP), multidrug resistance associated protein (MRP) 2, multidrug and toxin extrusion protein (MATE) 1, and MATE2K, or the uptake transporters OATP1B1, OATP1B3, organic cation transporter (OCT1), organic anion transporter (OAT) 1, OAT3, and OCT2.</w:t>
      </w:r>
    </w:p>
    <w:p w14:paraId="38E9A6BE" w14:textId="4E55968B" w:rsidR="00C70C45" w:rsidRDefault="00C70C45" w:rsidP="001D0208">
      <w:pPr>
        <w:pStyle w:val="ListBullet"/>
      </w:pPr>
      <w:r>
        <w:t>Single and r</w:t>
      </w:r>
      <w:r w:rsidRPr="00EC0553">
        <w:t>epeat dose toxicity studies</w:t>
      </w:r>
      <w:r>
        <w:t xml:space="preserve"> were conducted with SD rats and cynomolgus monkeys dosed with inotuzumab ozogamicin by IV </w:t>
      </w:r>
      <w:r w:rsidR="00720CCE">
        <w:t xml:space="preserve">bolus </w:t>
      </w:r>
      <w:r>
        <w:t xml:space="preserve">for up to 26 weeks (weekly dosing for </w:t>
      </w:r>
      <w:r w:rsidR="005C4508">
        <w:t>repeat dose</w:t>
      </w:r>
      <w:r>
        <w:t xml:space="preserve"> studies). The relative exposures at the highest dose were generally low multiples of the clinical exposure, with the exception of the </w:t>
      </w:r>
      <w:r w:rsidR="005C4508">
        <w:t>4 week</w:t>
      </w:r>
      <w:r>
        <w:t xml:space="preserve"> monkey study, where the </w:t>
      </w:r>
      <w:r w:rsidRPr="00FC4300">
        <w:t xml:space="preserve">relative exposure was 24. Investigations with </w:t>
      </w:r>
      <w:r w:rsidR="005C4508" w:rsidRPr="006E3A0B">
        <w:t>N</w:t>
      </w:r>
      <w:r w:rsidR="005C4508" w:rsidRPr="00FC4300">
        <w:t>-Ac-γ</w:t>
      </w:r>
      <w:r w:rsidRPr="00FC4300">
        <w:t xml:space="preserve"> calicheamicin DMH</w:t>
      </w:r>
      <w:r w:rsidRPr="00EA311F">
        <w:t xml:space="preserve"> and</w:t>
      </w:r>
      <w:r>
        <w:t xml:space="preserve"> </w:t>
      </w:r>
      <w:r w:rsidRPr="00682DF4">
        <w:rPr>
          <w:i/>
        </w:rPr>
        <w:t>N</w:t>
      </w:r>
      <w:r>
        <w:t>-Ac-ε</w:t>
      </w:r>
      <w:r w:rsidRPr="00682DF4">
        <w:t>-calicheamicin</w:t>
      </w:r>
      <w:r w:rsidRPr="00EC0553">
        <w:t xml:space="preserve"> were also conducted </w:t>
      </w:r>
      <w:r>
        <w:t xml:space="preserve">in single and </w:t>
      </w:r>
      <w:r w:rsidR="005C4508">
        <w:t>repeat dose</w:t>
      </w:r>
      <w:r>
        <w:t xml:space="preserve"> studies (up to </w:t>
      </w:r>
      <w:r w:rsidRPr="00EC0553">
        <w:t>6 weeks</w:t>
      </w:r>
      <w:r>
        <w:t>)</w:t>
      </w:r>
      <w:r w:rsidRPr="00EC0553">
        <w:t xml:space="preserve"> in </w:t>
      </w:r>
      <w:r>
        <w:t xml:space="preserve">mice, </w:t>
      </w:r>
      <w:r w:rsidRPr="00EC0553">
        <w:t>rats and dogs</w:t>
      </w:r>
      <w:r w:rsidR="001D0208">
        <w:t>.</w:t>
      </w:r>
    </w:p>
    <w:p w14:paraId="76AEA38F" w14:textId="56D9367D" w:rsidR="00C70C45" w:rsidRDefault="00C70C45" w:rsidP="001D0208">
      <w:pPr>
        <w:pStyle w:val="ListBullet"/>
      </w:pPr>
      <w:r>
        <w:t xml:space="preserve">There </w:t>
      </w:r>
      <w:r w:rsidRPr="00EF3D9E">
        <w:t>were no lesions attributable to the antibody itself</w:t>
      </w:r>
      <w:r>
        <w:t xml:space="preserve"> in the </w:t>
      </w:r>
      <w:r w:rsidR="005C4508">
        <w:t>4 week</w:t>
      </w:r>
      <w:r>
        <w:t xml:space="preserve"> </w:t>
      </w:r>
      <w:r w:rsidR="005C4508">
        <w:t>repeat dose</w:t>
      </w:r>
      <w:r>
        <w:t xml:space="preserve"> toxicity studies in rats and monkeys. There was limited (10</w:t>
      </w:r>
      <w:r w:rsidR="00FC4300">
        <w:t xml:space="preserve"> to </w:t>
      </w:r>
      <w:r>
        <w:t xml:space="preserve">13%) ADA formation in </w:t>
      </w:r>
      <w:r w:rsidR="005C4508">
        <w:t>repeat dose</w:t>
      </w:r>
      <w:r>
        <w:t xml:space="preserve"> studies in rats, and ADAs were not detected in monkeys. One male monkey dosed at 0.73 mg/</w:t>
      </w:r>
      <w:r w:rsidR="00F769DD" w:rsidRPr="00AA53F4">
        <w:rPr>
          <w:lang w:val="en-US"/>
        </w:rPr>
        <w:t>m</w:t>
      </w:r>
      <w:r w:rsidR="00F769DD" w:rsidRPr="00F769DD">
        <w:rPr>
          <w:vertAlign w:val="superscript"/>
          <w:lang w:val="en-US"/>
        </w:rPr>
        <w:t>2</w:t>
      </w:r>
      <w:r>
        <w:t xml:space="preserve"> in the 26</w:t>
      </w:r>
      <w:r w:rsidR="00AF6A3A">
        <w:t xml:space="preserve"> week</w:t>
      </w:r>
      <w:r>
        <w:t xml:space="preserve"> study developed a </w:t>
      </w:r>
      <w:r w:rsidR="00AF6A3A">
        <w:t>protein losing</w:t>
      </w:r>
      <w:r>
        <w:t xml:space="preserve"> glomerulonephritis. Renal immune complex deposition associated with ADA formation cannot be ruled out as the underlying cause of this finding</w:t>
      </w:r>
      <w:r w:rsidRPr="00EF3D9E">
        <w:t>.</w:t>
      </w:r>
      <w:r>
        <w:t xml:space="preserve"> However, in general </w:t>
      </w:r>
      <w:r w:rsidRPr="008F233E">
        <w:t>the toxicity was driven by the calicheamicin component</w:t>
      </w:r>
      <w:r>
        <w:t>, with evidence of</w:t>
      </w:r>
      <w:r w:rsidRPr="008F233E">
        <w:t xml:space="preserve"> sufficient intracellular uptake and activation of the calicheamicin moiety in non-targe</w:t>
      </w:r>
      <w:r>
        <w:t xml:space="preserve">ted cells to </w:t>
      </w:r>
      <w:r w:rsidRPr="008F233E">
        <w:t xml:space="preserve">produce </w:t>
      </w:r>
      <w:r>
        <w:t>cytotoxic consequences of</w:t>
      </w:r>
      <w:r w:rsidRPr="008F233E">
        <w:t xml:space="preserve"> DNA damage. </w:t>
      </w:r>
      <w:r w:rsidRPr="00076C9F">
        <w:t>The major target organs for inotuzumab ozogamicin</w:t>
      </w:r>
      <w:r>
        <w:t xml:space="preserve"> were </w:t>
      </w:r>
      <w:r w:rsidRPr="00076C9F">
        <w:t xml:space="preserve">the liver, </w:t>
      </w:r>
      <w:proofErr w:type="spellStart"/>
      <w:r>
        <w:t>haematolymphopoietic</w:t>
      </w:r>
      <w:proofErr w:type="spellEnd"/>
      <w:r>
        <w:t xml:space="preserve"> tissues</w:t>
      </w:r>
      <w:r w:rsidRPr="00076C9F">
        <w:t xml:space="preserve"> and the male and female reproductive organs, with some effects also observed on the nervous system</w:t>
      </w:r>
      <w:r>
        <w:t xml:space="preserve"> </w:t>
      </w:r>
      <w:r w:rsidRPr="00076C9F">
        <w:t>of rats and the kidney of rats and monkeys.</w:t>
      </w:r>
    </w:p>
    <w:p w14:paraId="24C58B4E" w14:textId="77777777" w:rsidR="00C70C45" w:rsidRPr="00484E0D" w:rsidRDefault="00C70C45" w:rsidP="001D0208">
      <w:pPr>
        <w:pStyle w:val="ListBullet"/>
      </w:pPr>
      <w:r>
        <w:lastRenderedPageBreak/>
        <w:t>Adverse hepatic effects, most notably associated with endothelial injury</w:t>
      </w:r>
      <w:r w:rsidR="00F077E3">
        <w:t xml:space="preserve"> in monkeys</w:t>
      </w:r>
      <w:r>
        <w:t xml:space="preserve">, were seen in rats and monkeys in both the acute and </w:t>
      </w:r>
      <w:r w:rsidR="005C4508">
        <w:t>repeat dose</w:t>
      </w:r>
      <w:r>
        <w:t xml:space="preserve"> toxicity studies, and are likely to represent early stages of hepatic </w:t>
      </w:r>
      <w:proofErr w:type="spellStart"/>
      <w:r>
        <w:t>veno</w:t>
      </w:r>
      <w:proofErr w:type="spellEnd"/>
      <w:r>
        <w:t>-occlusive disease (VOD)</w:t>
      </w:r>
      <w:r w:rsidR="00F077E3">
        <w:t xml:space="preserve"> in monkeys</w:t>
      </w:r>
      <w:r>
        <w:t>. Hepatic neoplasia and pre-neoplastic changes were also associated with inotuzumab ozogamicin administration in both species. An increase in proliferative activity and development of pre-neoplastic and neoplastic lesions is likely due to an increased turnover rate in the hepatocyte population and is consistent with genotoxic and cytotoxic effects in the liver. The NOELs for the increased proliferative activity and pre-neoplastic change in the monkey were below 0.15 and 0.</w:t>
      </w:r>
      <w:r w:rsidR="001D0208">
        <w:t>9, respectively.</w:t>
      </w:r>
    </w:p>
    <w:p w14:paraId="497DE79B" w14:textId="66A092D3" w:rsidR="00C70C45" w:rsidRDefault="00F077E3" w:rsidP="001D0208">
      <w:pPr>
        <w:pStyle w:val="ListBullet"/>
      </w:pPr>
      <w:r>
        <w:t>Acute t</w:t>
      </w:r>
      <w:r w:rsidR="00C70C45">
        <w:t>hrombocytopenia</w:t>
      </w:r>
      <w:r>
        <w:t xml:space="preserve"> in monkeys</w:t>
      </w:r>
      <w:r w:rsidR="00C70C45">
        <w:t xml:space="preserve"> appears to be a secondary effect of the liver specific endothelial injury due to the calicheamicin component of the ADC, and is characterised by platelet sequestration, activation and degranulation in this tissue. Decreases in red cell parameters and numbers of white cells, lymphocytes and reticulocytes </w:t>
      </w:r>
      <w:r w:rsidR="00C70C45" w:rsidRPr="00A547C6">
        <w:t>were associated with decreased hematopoietic cellularity in the bone marrow and lymphoid depletion in the thymus, spleen, lymph nodes, and/or</w:t>
      </w:r>
      <w:r w:rsidR="00C70C45">
        <w:t xml:space="preserve"> gut-associated lymphatic tissue</w:t>
      </w:r>
      <w:r w:rsidR="00C70C45" w:rsidRPr="00A547C6">
        <w:t xml:space="preserve"> </w:t>
      </w:r>
      <w:r w:rsidR="00C70C45">
        <w:t>(</w:t>
      </w:r>
      <w:r w:rsidR="00C70C45" w:rsidRPr="00A547C6">
        <w:t>GALT</w:t>
      </w:r>
      <w:r w:rsidR="00C70C45">
        <w:t>). Peripheral blood lymphocyte immune-typing in rats indicated that the effect of inotuzumab ozogamicin was consistent wi</w:t>
      </w:r>
      <w:r w:rsidR="001D0208">
        <w:t xml:space="preserve">th a differential effect of DNA </w:t>
      </w:r>
      <w:r w:rsidR="00C70C45">
        <w:t xml:space="preserve">damaging agents on major lymphocyte subsets, with </w:t>
      </w:r>
      <w:r w:rsidR="001D0208">
        <w:t>the most pronounced effect on B </w:t>
      </w:r>
      <w:r w:rsidR="00C70C45">
        <w:t>lymphocytes.</w:t>
      </w:r>
    </w:p>
    <w:p w14:paraId="7E2B0EF4" w14:textId="77777777" w:rsidR="00C70C45" w:rsidRDefault="00C70C45" w:rsidP="001D0208">
      <w:pPr>
        <w:pStyle w:val="ListBullet"/>
        <w:rPr>
          <w:rFonts w:eastAsiaTheme="minorHAnsi"/>
        </w:rPr>
      </w:pPr>
      <w:r>
        <w:rPr>
          <w:rFonts w:eastAsiaTheme="minorHAnsi"/>
        </w:rPr>
        <w:t>Based on the development of irreversible p</w:t>
      </w:r>
      <w:r w:rsidRPr="00857879">
        <w:rPr>
          <w:rFonts w:eastAsiaTheme="minorHAnsi"/>
        </w:rPr>
        <w:t xml:space="preserve">eripheral and central axonal degeneration in the </w:t>
      </w:r>
      <w:r w:rsidR="005C4508">
        <w:rPr>
          <w:rFonts w:eastAsiaTheme="minorHAnsi"/>
        </w:rPr>
        <w:t>4 week</w:t>
      </w:r>
      <w:r w:rsidRPr="00857879">
        <w:rPr>
          <w:rFonts w:eastAsiaTheme="minorHAnsi"/>
        </w:rPr>
        <w:t xml:space="preserve"> repeat dose study in rats</w:t>
      </w:r>
      <w:r>
        <w:rPr>
          <w:rFonts w:eastAsiaTheme="minorHAnsi"/>
        </w:rPr>
        <w:t>, there may be a potential for peripheral neuropathy with clinical use of inotuzumab ozogamicin. While this is most likely due to the cytotoxic component of the ADC, there was a low incidence of axonal degeneration seen in the protein control group, but not in the saline controls.</w:t>
      </w:r>
    </w:p>
    <w:p w14:paraId="54E9AB30" w14:textId="77777777" w:rsidR="00C70C45" w:rsidRPr="00AF0721" w:rsidRDefault="00C70C45" w:rsidP="001D0208">
      <w:pPr>
        <w:pStyle w:val="ListBullet"/>
      </w:pPr>
      <w:r>
        <w:t xml:space="preserve">Adverse </w:t>
      </w:r>
      <w:r w:rsidRPr="00C96BA1">
        <w:t>male reproductive organ</w:t>
      </w:r>
      <w:r>
        <w:t xml:space="preserve"> effects</w:t>
      </w:r>
      <w:r w:rsidRPr="00C96BA1">
        <w:t xml:space="preserve"> included decreased testicular weights, testicular degeneration, </w:t>
      </w:r>
      <w:proofErr w:type="spellStart"/>
      <w:r w:rsidRPr="00C96BA1">
        <w:t>hypospermia</w:t>
      </w:r>
      <w:proofErr w:type="spellEnd"/>
      <w:r w:rsidRPr="00C96BA1">
        <w:t xml:space="preserve">, and prostatic and seminal vesicle atrophy. Testicular degeneration and </w:t>
      </w:r>
      <w:proofErr w:type="spellStart"/>
      <w:r w:rsidRPr="00C96BA1">
        <w:t>hypospermia</w:t>
      </w:r>
      <w:proofErr w:type="spellEnd"/>
      <w:r w:rsidRPr="00C96BA1">
        <w:t xml:space="preserve"> were non</w:t>
      </w:r>
      <w:r>
        <w:t>-</w:t>
      </w:r>
      <w:r w:rsidRPr="00C96BA1">
        <w:t xml:space="preserve">reversible following a </w:t>
      </w:r>
      <w:r w:rsidR="005C4508">
        <w:t>4 week</w:t>
      </w:r>
      <w:r w:rsidRPr="00C96BA1">
        <w:t xml:space="preserve"> non</w:t>
      </w:r>
      <w:r>
        <w:t>-</w:t>
      </w:r>
      <w:r w:rsidRPr="00C96BA1">
        <w:t xml:space="preserve">dosing period. </w:t>
      </w:r>
      <w:r>
        <w:t xml:space="preserve">Effects </w:t>
      </w:r>
      <w:r w:rsidRPr="00C96BA1">
        <w:t>in female</w:t>
      </w:r>
      <w:r>
        <w:t>s</w:t>
      </w:r>
      <w:r w:rsidRPr="00C96BA1">
        <w:t xml:space="preserve"> included decreased ovarian and uterine weights, and ovarian and uterine atrophy. In the chronic studies of 26</w:t>
      </w:r>
      <w:r w:rsidR="00AF6A3A">
        <w:t xml:space="preserve"> week</w:t>
      </w:r>
      <w:r w:rsidRPr="00C96BA1">
        <w:t xml:space="preserve">s duration, adverse effects on reproductive organs occurred at </w:t>
      </w:r>
      <w:r w:rsidR="00503681">
        <w:t xml:space="preserve">≥ </w:t>
      </w:r>
      <w:r w:rsidRPr="00C96BA1">
        <w:t>0.07 mg/</w:t>
      </w:r>
      <w:r w:rsidR="00F769DD" w:rsidRPr="00AA53F4">
        <w:rPr>
          <w:lang w:val="en-US"/>
        </w:rPr>
        <w:t>m</w:t>
      </w:r>
      <w:r w:rsidR="00F769DD" w:rsidRPr="00F769DD">
        <w:rPr>
          <w:vertAlign w:val="superscript"/>
          <w:lang w:val="en-US"/>
        </w:rPr>
        <w:t>2</w:t>
      </w:r>
      <w:r w:rsidRPr="00C96BA1">
        <w:t xml:space="preserve"> in male rats and at 0.73 mg/</w:t>
      </w:r>
      <w:r w:rsidR="00F769DD" w:rsidRPr="00AA53F4">
        <w:rPr>
          <w:lang w:val="en-US"/>
        </w:rPr>
        <w:t>m</w:t>
      </w:r>
      <w:r w:rsidR="00F769DD" w:rsidRPr="00F769DD">
        <w:rPr>
          <w:vertAlign w:val="superscript"/>
          <w:lang w:val="en-US"/>
        </w:rPr>
        <w:t>2</w:t>
      </w:r>
      <w:r w:rsidRPr="00C96BA1">
        <w:t xml:space="preserve"> in female monkeys</w:t>
      </w:r>
      <w:r>
        <w:t xml:space="preserve"> (approximately 0.1 and 4</w:t>
      </w:r>
      <w:r w:rsidRPr="00C96BA1">
        <w:t xml:space="preserve"> times the exposure in patients at the maximum recommended dose, based on AUC</w:t>
      </w:r>
      <w:r>
        <w:t>, respectively</w:t>
      </w:r>
      <w:r w:rsidRPr="00C96BA1">
        <w:t>).</w:t>
      </w:r>
    </w:p>
    <w:p w14:paraId="235936B7" w14:textId="77777777" w:rsidR="00C70C45" w:rsidRDefault="00C70C45" w:rsidP="001D0208">
      <w:pPr>
        <w:pStyle w:val="ListBullet"/>
      </w:pPr>
      <w:r>
        <w:t xml:space="preserve">Consistent with the known effects of </w:t>
      </w:r>
      <w:r w:rsidRPr="006C3232">
        <w:t>N</w:t>
      </w:r>
      <w:r>
        <w:t>-acetyl</w:t>
      </w:r>
      <w:r w:rsidRPr="00B37AE1">
        <w:t>-</w:t>
      </w:r>
      <w:r>
        <w:t>ϒ-</w:t>
      </w:r>
      <w:r w:rsidRPr="00B37AE1">
        <w:t xml:space="preserve">calicheamicin </w:t>
      </w:r>
      <w:r>
        <w:t xml:space="preserve">DMH </w:t>
      </w:r>
      <w:r w:rsidRPr="00B37AE1">
        <w:t>on</w:t>
      </w:r>
      <w:r>
        <w:t xml:space="preserve"> DNA, inotuzumab ozogamicin was clastogenic in the </w:t>
      </w:r>
      <w:r>
        <w:rPr>
          <w:i/>
        </w:rPr>
        <w:t xml:space="preserve">in </w:t>
      </w:r>
      <w:r w:rsidRPr="006C3232">
        <w:rPr>
          <w:i/>
        </w:rPr>
        <w:t>vivo</w:t>
      </w:r>
      <w:r>
        <w:t xml:space="preserve"> </w:t>
      </w:r>
      <w:r w:rsidRPr="007A7DA4">
        <w:t>mouse</w:t>
      </w:r>
      <w:r>
        <w:t xml:space="preserve"> micronucleus assay. Although the ADC was negative in the Ames test at the maximum feasible dose, </w:t>
      </w:r>
      <w:r>
        <w:rPr>
          <w:i/>
        </w:rPr>
        <w:t>N</w:t>
      </w:r>
      <w:r>
        <w:t>-acetyl</w:t>
      </w:r>
      <w:r w:rsidRPr="00B37AE1">
        <w:t>-</w:t>
      </w:r>
      <w:r>
        <w:t>ϒ-</w:t>
      </w:r>
      <w:r w:rsidRPr="00B37AE1">
        <w:t xml:space="preserve">calicheamicin </w:t>
      </w:r>
      <w:r>
        <w:t xml:space="preserve">DMH </w:t>
      </w:r>
      <w:r w:rsidRPr="00B37AE1">
        <w:t xml:space="preserve">was mutagenic in </w:t>
      </w:r>
      <w:r>
        <w:t xml:space="preserve">this </w:t>
      </w:r>
      <w:r w:rsidRPr="00B37AE1">
        <w:t>assay</w:t>
      </w:r>
      <w:r>
        <w:t xml:space="preserve"> and was also found to be clastogenic in an </w:t>
      </w:r>
      <w:r w:rsidRPr="006C3232">
        <w:rPr>
          <w:i/>
        </w:rPr>
        <w:t>in vitro</w:t>
      </w:r>
      <w:r>
        <w:t xml:space="preserve"> micronucleus assay</w:t>
      </w:r>
      <w:r w:rsidRPr="00B37AE1">
        <w:t>.</w:t>
      </w:r>
      <w:r>
        <w:t xml:space="preserve"> Carcinogenicity studies with inotuzumab ozogamicin are not required, and none were conducted. The NOEL for pre-neoplastic liver findings in the monkey was 0.22 mg/</w:t>
      </w:r>
      <w:r w:rsidR="00F769DD" w:rsidRPr="00AA53F4">
        <w:rPr>
          <w:lang w:val="en-US"/>
        </w:rPr>
        <w:t>m</w:t>
      </w:r>
      <w:r w:rsidR="00F769DD" w:rsidRPr="00F769DD">
        <w:rPr>
          <w:vertAlign w:val="superscript"/>
          <w:lang w:val="en-US"/>
        </w:rPr>
        <w:t>2</w:t>
      </w:r>
      <w:r>
        <w:t>, (relative exposure 0.9). In the rat, the LOEL for pre-neoplasia of 0.073 mg/</w:t>
      </w:r>
      <w:r w:rsidR="00F769DD" w:rsidRPr="00AA53F4">
        <w:rPr>
          <w:lang w:val="en-US"/>
        </w:rPr>
        <w:t>m</w:t>
      </w:r>
      <w:r w:rsidR="00F769DD" w:rsidRPr="00F769DD">
        <w:rPr>
          <w:vertAlign w:val="superscript"/>
          <w:lang w:val="en-US"/>
        </w:rPr>
        <w:t>2</w:t>
      </w:r>
      <w:r>
        <w:t xml:space="preserve"> was approximately 0.1 times the clinical AUC. Increased proliferative activity was only partially reversible in the </w:t>
      </w:r>
      <w:r w:rsidR="005C4508">
        <w:t>4 week</w:t>
      </w:r>
      <w:r>
        <w:t xml:space="preserve"> repeat dose study in rats.</w:t>
      </w:r>
    </w:p>
    <w:p w14:paraId="3094E1FF" w14:textId="392D99B8" w:rsidR="00C70C45" w:rsidRDefault="00C70C45" w:rsidP="006C3232">
      <w:pPr>
        <w:pStyle w:val="ListBullet"/>
      </w:pPr>
      <w:r>
        <w:t>There were increased resorptions and reduced numbers of viable embryos in rats and rabbits following daily IV dosing of in fertility and embryofetal development studies. In rats, a maternally toxic dose of 0.109 mg/</w:t>
      </w:r>
      <w:r w:rsidR="00F769DD" w:rsidRPr="00AA53F4">
        <w:rPr>
          <w:lang w:val="en-US"/>
        </w:rPr>
        <w:t>m</w:t>
      </w:r>
      <w:r w:rsidR="00F769DD" w:rsidRPr="00F769DD">
        <w:rPr>
          <w:vertAlign w:val="superscript"/>
          <w:lang w:val="en-US"/>
        </w:rPr>
        <w:t>2</w:t>
      </w:r>
      <w:r>
        <w:t xml:space="preserve">/day was </w:t>
      </w:r>
      <w:proofErr w:type="spellStart"/>
      <w:r>
        <w:t>fetotoxic</w:t>
      </w:r>
      <w:proofErr w:type="spellEnd"/>
      <w:r>
        <w:t xml:space="preserve">, resulting in </w:t>
      </w:r>
      <w:proofErr w:type="spellStart"/>
      <w:r>
        <w:t>fetal</w:t>
      </w:r>
      <w:proofErr w:type="spellEnd"/>
      <w:r>
        <w:t xml:space="preserve"> growth retardation and delayed skeletal ossification. Slight fetal growth retardation in rats also occurred at 0.036 mg/</w:t>
      </w:r>
      <w:r w:rsidR="00F769DD" w:rsidRPr="00AA53F4">
        <w:rPr>
          <w:lang w:val="en-US"/>
        </w:rPr>
        <w:t>m</w:t>
      </w:r>
      <w:r w:rsidR="00F769DD" w:rsidRPr="00F769DD">
        <w:rPr>
          <w:vertAlign w:val="superscript"/>
          <w:lang w:val="en-US"/>
        </w:rPr>
        <w:t>2</w:t>
      </w:r>
      <w:r>
        <w:t>/day (approximately 0.</w:t>
      </w:r>
      <w:r w:rsidRPr="00F13E77">
        <w:t>5</w:t>
      </w:r>
      <w:r>
        <w:t xml:space="preserve"> times the human clinical exposure based on AUC). In rabbits, increased resorptions and fetal growth retardation were associated with maternal dosing during organogenesis at the 0.436</w:t>
      </w:r>
      <w:r w:rsidR="00FC4300">
        <w:t> </w:t>
      </w:r>
      <w:r>
        <w:t>mg/</w:t>
      </w:r>
      <w:r w:rsidR="00F769DD" w:rsidRPr="00AA53F4">
        <w:rPr>
          <w:lang w:val="en-US"/>
        </w:rPr>
        <w:t>m</w:t>
      </w:r>
      <w:r w:rsidR="00F769DD" w:rsidRPr="00F769DD">
        <w:rPr>
          <w:vertAlign w:val="superscript"/>
          <w:lang w:val="en-US"/>
        </w:rPr>
        <w:t>2</w:t>
      </w:r>
      <w:r>
        <w:t xml:space="preserve"> dose level.</w:t>
      </w:r>
    </w:p>
    <w:p w14:paraId="5AAED378" w14:textId="77777777" w:rsidR="00C70C45" w:rsidRPr="005A1F91" w:rsidRDefault="00C70C45" w:rsidP="001D0208">
      <w:pPr>
        <w:pStyle w:val="ListBullet"/>
      </w:pPr>
      <w:r>
        <w:lastRenderedPageBreak/>
        <w:t>Based on the adverse effects on male and female reproductive organs (see above), female and male fertility is likely to be impaired by treatment with inotuzumab ozo</w:t>
      </w:r>
      <w:r w:rsidR="001D0208">
        <w:t>gamicin.</w:t>
      </w:r>
    </w:p>
    <w:p w14:paraId="7FF388A4" w14:textId="77777777" w:rsidR="00C70C45" w:rsidRPr="001D0208" w:rsidRDefault="00C70C45" w:rsidP="001D0208">
      <w:pPr>
        <w:pStyle w:val="ListBullet"/>
      </w:pPr>
      <w:r>
        <w:t xml:space="preserve">Inotuzumab ozogamicin showed no phototoxic potential </w:t>
      </w:r>
      <w:r w:rsidRPr="006C3232">
        <w:rPr>
          <w:i/>
        </w:rPr>
        <w:t>in vitro</w:t>
      </w:r>
      <w:r w:rsidRPr="00FC4300">
        <w:t>.</w:t>
      </w:r>
      <w:r>
        <w:t xml:space="preserve"> There was no evidence of haemolytic potential, methaemoglobin formation or protein precipitation in blood compatibility assa</w:t>
      </w:r>
      <w:r w:rsidR="001D0208">
        <w:t>ys in rats, monkeys and humans.</w:t>
      </w:r>
    </w:p>
    <w:p w14:paraId="3CCE0AEB" w14:textId="77777777" w:rsidR="00C70C45" w:rsidRPr="00C71CC8" w:rsidRDefault="001D0208" w:rsidP="001D0208">
      <w:pPr>
        <w:pStyle w:val="Heading4"/>
      </w:pPr>
      <w:bookmarkStart w:id="71" w:name="_Toc294861479"/>
      <w:bookmarkStart w:id="72" w:name="_Toc295290862"/>
      <w:bookmarkStart w:id="73" w:name="_Toc505172198"/>
      <w:r w:rsidRPr="00C71CC8">
        <w:t>Conclusions and recommendation</w:t>
      </w:r>
      <w:bookmarkEnd w:id="71"/>
      <w:bookmarkEnd w:id="72"/>
      <w:bookmarkEnd w:id="73"/>
    </w:p>
    <w:p w14:paraId="47859F47" w14:textId="77777777" w:rsidR="00C70C45" w:rsidRPr="000F0237" w:rsidRDefault="00C70C45" w:rsidP="001D0208">
      <w:pPr>
        <w:pStyle w:val="ListBullet"/>
      </w:pPr>
      <w:r>
        <w:t xml:space="preserve">There were no major deficiencies in </w:t>
      </w:r>
      <w:r w:rsidR="001D0208">
        <w:t>the nonclinical dossier</w:t>
      </w:r>
      <w:r>
        <w:t xml:space="preserve">. However, owing to a lack of cross-species specificity, </w:t>
      </w:r>
      <w:r w:rsidRPr="001D0208">
        <w:t>the nonclinical species are only able to provide information on non-target mediated effects of the ADC.</w:t>
      </w:r>
    </w:p>
    <w:p w14:paraId="6C3C52B0" w14:textId="77777777" w:rsidR="00C70C45" w:rsidRPr="005A1F91" w:rsidRDefault="00C70C45" w:rsidP="001D0208">
      <w:pPr>
        <w:pStyle w:val="ListBullet"/>
      </w:pPr>
      <w:r>
        <w:t xml:space="preserve">The </w:t>
      </w:r>
      <w:r w:rsidRPr="005A1F91">
        <w:t>primary pharmacology studies</w:t>
      </w:r>
      <w:r>
        <w:t xml:space="preserve"> provide evidence supporting the proposed mechanism of action and potential efficacy in the treatment of human </w:t>
      </w:r>
      <w:r w:rsidR="006779D9">
        <w:t>B cell</w:t>
      </w:r>
      <w:r>
        <w:t xml:space="preserve"> malignancies.</w:t>
      </w:r>
    </w:p>
    <w:p w14:paraId="613D195B" w14:textId="77777777" w:rsidR="00503681" w:rsidRDefault="00C70C45" w:rsidP="001D0208">
      <w:pPr>
        <w:pStyle w:val="ListBullet"/>
      </w:pPr>
      <w:r>
        <w:t>N</w:t>
      </w:r>
      <w:r w:rsidRPr="005A1F91">
        <w:t xml:space="preserve">o clinically relevant hazards </w:t>
      </w:r>
      <w:r>
        <w:t xml:space="preserve">were </w:t>
      </w:r>
      <w:r w:rsidRPr="005A1F91">
        <w:t xml:space="preserve">identified </w:t>
      </w:r>
      <w:r>
        <w:t>in the safety pharmacology studies</w:t>
      </w:r>
      <w:r w:rsidRPr="005A1F91">
        <w:t>.</w:t>
      </w:r>
      <w:r w:rsidRPr="00E95F31">
        <w:t xml:space="preserve"> </w:t>
      </w:r>
      <w:r>
        <w:t>In tissue cross-reactivity studies inotuzumab unexpectedly</w:t>
      </w:r>
      <w:r w:rsidRPr="00FE4DBD">
        <w:t xml:space="preserve"> stained the stromal fibres in the dermis of the skin, mammary gland, and uterine cervix of humans.</w:t>
      </w:r>
      <w:r>
        <w:t xml:space="preserve"> The clinical significance of this is uncertain, but it may indicate the potential for additional off target toxicity in these tissues</w:t>
      </w:r>
      <w:r w:rsidR="00503681">
        <w:t>.</w:t>
      </w:r>
    </w:p>
    <w:p w14:paraId="000295CC" w14:textId="77777777" w:rsidR="00C70C45" w:rsidRPr="00484E0D" w:rsidRDefault="00C70C45" w:rsidP="001D0208">
      <w:pPr>
        <w:pStyle w:val="ListBullet"/>
      </w:pPr>
      <w:r>
        <w:t xml:space="preserve">Important toxicities included hepatic endothelial injury (likely to represent early stages of hepatic VOD), hepatic neoplasia and pre-neoplasia, thrombocytopenia (secondary to hepatic endothelial toxicity), </w:t>
      </w:r>
      <w:r>
        <w:rPr>
          <w:rFonts w:eastAsiaTheme="minorHAnsi"/>
        </w:rPr>
        <w:t>irreversible p</w:t>
      </w:r>
      <w:r w:rsidRPr="00857879">
        <w:rPr>
          <w:rFonts w:eastAsiaTheme="minorHAnsi"/>
        </w:rPr>
        <w:t>eripheral and central axonal degeneration</w:t>
      </w:r>
      <w:r>
        <w:rPr>
          <w:rFonts w:eastAsiaTheme="minorHAnsi"/>
        </w:rPr>
        <w:t xml:space="preserve"> and toxicity to</w:t>
      </w:r>
      <w:r>
        <w:t xml:space="preserve"> </w:t>
      </w:r>
      <w:proofErr w:type="spellStart"/>
      <w:r>
        <w:rPr>
          <w:kern w:val="2"/>
          <w:szCs w:val="20"/>
        </w:rPr>
        <w:t>h</w:t>
      </w:r>
      <w:r w:rsidRPr="00902269">
        <w:rPr>
          <w:kern w:val="2"/>
          <w:szCs w:val="20"/>
        </w:rPr>
        <w:t>aematolymphopoietic</w:t>
      </w:r>
      <w:proofErr w:type="spellEnd"/>
      <w:r>
        <w:t>, male and female reproductive and renal tissues. These effects are all considered to be of clinical significance.</w:t>
      </w:r>
    </w:p>
    <w:p w14:paraId="7E396F80" w14:textId="7D251D88" w:rsidR="00C70C45" w:rsidRPr="005A1F91" w:rsidRDefault="00C70C45" w:rsidP="001D0208">
      <w:pPr>
        <w:pStyle w:val="ListBullet"/>
        <w:rPr>
          <w:kern w:val="2"/>
        </w:rPr>
      </w:pPr>
      <w:r>
        <w:rPr>
          <w:kern w:val="2"/>
        </w:rPr>
        <w:t>In</w:t>
      </w:r>
      <w:r w:rsidR="001D0208">
        <w:rPr>
          <w:kern w:val="2"/>
        </w:rPr>
        <w:t>otuzumab ozogamicin and</w:t>
      </w:r>
      <w:r w:rsidR="006C3232">
        <w:rPr>
          <w:kern w:val="2"/>
        </w:rPr>
        <w:t xml:space="preserve"> </w:t>
      </w:r>
      <w:r w:rsidR="001D0208">
        <w:rPr>
          <w:kern w:val="2"/>
        </w:rPr>
        <w:t xml:space="preserve">its DNA </w:t>
      </w:r>
      <w:r>
        <w:rPr>
          <w:kern w:val="2"/>
        </w:rPr>
        <w:t>reactive cytotoxic component are mutagenic and clastogenic, and may pose a carcinogenic hazard.</w:t>
      </w:r>
    </w:p>
    <w:p w14:paraId="7C776AC6" w14:textId="77777777" w:rsidR="00C70C45" w:rsidRPr="005A1F91" w:rsidRDefault="00C70C45" w:rsidP="001D0208">
      <w:pPr>
        <w:pStyle w:val="ListBullet"/>
        <w:rPr>
          <w:kern w:val="2"/>
        </w:rPr>
      </w:pPr>
      <w:r w:rsidRPr="008F77EB">
        <w:rPr>
          <w:kern w:val="2"/>
        </w:rPr>
        <w:t>The nonclinical pharmacology and toxicology data are adequate to</w:t>
      </w:r>
      <w:r>
        <w:rPr>
          <w:kern w:val="2"/>
        </w:rPr>
        <w:t xml:space="preserve"> </w:t>
      </w:r>
      <w:r w:rsidRPr="008F77EB">
        <w:rPr>
          <w:kern w:val="2"/>
        </w:rPr>
        <w:t>support the approval of inotuzumab ozogamicin for the proposed indication.</w:t>
      </w:r>
    </w:p>
    <w:p w14:paraId="0C481D80" w14:textId="77777777" w:rsidR="00C70C45" w:rsidRPr="005A1F91" w:rsidRDefault="00C70C45" w:rsidP="001D0208">
      <w:r w:rsidRPr="005A1F91">
        <w:t xml:space="preserve">The </w:t>
      </w:r>
      <w:r w:rsidR="001D0208">
        <w:t xml:space="preserve">nonclinical evaluator also made recommendations with regard to the </w:t>
      </w:r>
      <w:r w:rsidRPr="005A1F91">
        <w:t xml:space="preserve">draft </w:t>
      </w:r>
      <w:r w:rsidR="001D0208">
        <w:t>PI</w:t>
      </w:r>
      <w:r w:rsidRPr="005A1F91">
        <w:t xml:space="preserve"> </w:t>
      </w:r>
      <w:r w:rsidR="001D0208">
        <w:t>however these are beyond the scope of the AusPAR</w:t>
      </w:r>
      <w:r w:rsidRPr="005A1F91">
        <w:t>.</w:t>
      </w:r>
    </w:p>
    <w:p w14:paraId="45A07CCF" w14:textId="77777777" w:rsidR="008E7846" w:rsidRPr="00254787" w:rsidRDefault="008E7846" w:rsidP="008E7846">
      <w:pPr>
        <w:pStyle w:val="Heading2"/>
      </w:pPr>
      <w:bookmarkStart w:id="74" w:name="_Toc196046462"/>
      <w:bookmarkStart w:id="75" w:name="_Toc247691516"/>
      <w:bookmarkStart w:id="76" w:name="_Toc314842500"/>
      <w:bookmarkStart w:id="77" w:name="_Toc163441353"/>
      <w:bookmarkStart w:id="78" w:name="_Toc163441348"/>
      <w:bookmarkStart w:id="79" w:name="_Toc16505598"/>
      <w:r>
        <w:t xml:space="preserve">V. </w:t>
      </w:r>
      <w:r w:rsidRPr="00254787">
        <w:t>Clinical</w:t>
      </w:r>
      <w:bookmarkEnd w:id="74"/>
      <w:r>
        <w:t xml:space="preserve"> </w:t>
      </w:r>
      <w:r w:rsidR="003A7F6C">
        <w:t>f</w:t>
      </w:r>
      <w:r>
        <w:t>indings</w:t>
      </w:r>
      <w:bookmarkEnd w:id="75"/>
      <w:bookmarkEnd w:id="76"/>
      <w:bookmarkEnd w:id="79"/>
    </w:p>
    <w:p w14:paraId="38E0EBB7" w14:textId="77777777" w:rsidR="00C80137" w:rsidRDefault="00C80137" w:rsidP="00D425BB">
      <w:bookmarkStart w:id="80" w:name="_Toc196046463"/>
      <w:r>
        <w:t xml:space="preserve">A summary of the </w:t>
      </w:r>
      <w:r w:rsidRPr="00FD70B8">
        <w:t>clinical findings is presented in this section.</w:t>
      </w:r>
    </w:p>
    <w:p w14:paraId="27BF8F24" w14:textId="77777777" w:rsidR="008E7846" w:rsidRDefault="008E7846" w:rsidP="008E7846">
      <w:pPr>
        <w:pStyle w:val="Heading3"/>
      </w:pPr>
      <w:bookmarkStart w:id="81" w:name="_Toc247691517"/>
      <w:bookmarkStart w:id="82" w:name="_Toc314842501"/>
      <w:bookmarkStart w:id="83" w:name="_Toc16505599"/>
      <w:r w:rsidRPr="00254787">
        <w:t>Introduction</w:t>
      </w:r>
      <w:bookmarkEnd w:id="80"/>
      <w:bookmarkEnd w:id="81"/>
      <w:bookmarkEnd w:id="82"/>
      <w:bookmarkEnd w:id="83"/>
    </w:p>
    <w:p w14:paraId="7AE332BD" w14:textId="77777777" w:rsidR="00C71CC8" w:rsidRDefault="00C71CC8" w:rsidP="00C71CC8">
      <w:pPr>
        <w:rPr>
          <w:rFonts w:asciiTheme="minorHAnsi" w:hAnsiTheme="minorHAnsi" w:cs="‡˚ø◊w‚"/>
          <w:color w:val="000000"/>
          <w:lang w:val="en-US"/>
        </w:rPr>
      </w:pPr>
      <w:r w:rsidRPr="002A1F67">
        <w:rPr>
          <w:rFonts w:asciiTheme="minorHAnsi" w:hAnsiTheme="minorHAnsi" w:cs="‡˚ø◊w‚"/>
          <w:color w:val="000000"/>
          <w:lang w:val="en-US"/>
        </w:rPr>
        <w:t>Inotuzumab ozogamicin is a CD22-targeted antibody-drug conjugate (ADC). The antibody,</w:t>
      </w:r>
      <w:r w:rsidR="006779D9">
        <w:rPr>
          <w:rFonts w:asciiTheme="minorHAnsi" w:hAnsiTheme="minorHAnsi" w:cs="‡˚ø◊w‚"/>
          <w:color w:val="000000"/>
          <w:lang w:val="en-US"/>
        </w:rPr>
        <w:t xml:space="preserve"> </w:t>
      </w:r>
      <w:r w:rsidRPr="002A1F67">
        <w:rPr>
          <w:rFonts w:asciiTheme="minorHAnsi" w:hAnsiTheme="minorHAnsi" w:cs="‡˚ø◊w‚"/>
          <w:color w:val="000000"/>
          <w:lang w:val="en-US"/>
        </w:rPr>
        <w:t>inotuzumab, is a humanised immunoglobulin G, subtype 4 (IgG4), which specifically recognises human CD22. The small molecule, N-acetyl (N-Ac)-γ-</w:t>
      </w:r>
      <w:proofErr w:type="spellStart"/>
      <w:r w:rsidRPr="002A1F67">
        <w:rPr>
          <w:rFonts w:asciiTheme="minorHAnsi" w:hAnsiTheme="minorHAnsi" w:cs="‡˚ø◊w‚"/>
          <w:color w:val="000000"/>
          <w:lang w:val="en-US"/>
        </w:rPr>
        <w:t>calicheamicin</w:t>
      </w:r>
      <w:proofErr w:type="spellEnd"/>
      <w:r w:rsidRPr="002A1F67">
        <w:rPr>
          <w:rFonts w:asciiTheme="minorHAnsi" w:hAnsiTheme="minorHAnsi" w:cs="‡˚ø◊w‚"/>
          <w:color w:val="000000"/>
          <w:lang w:val="en-US"/>
        </w:rPr>
        <w:t xml:space="preserve"> </w:t>
      </w:r>
      <w:proofErr w:type="spellStart"/>
      <w:r w:rsidRPr="002A1F67">
        <w:rPr>
          <w:rFonts w:asciiTheme="minorHAnsi" w:hAnsiTheme="minorHAnsi" w:cs="‡˚ø◊w‚"/>
          <w:color w:val="000000"/>
          <w:lang w:val="en-US"/>
        </w:rPr>
        <w:t>dimethylhydrazide</w:t>
      </w:r>
      <w:proofErr w:type="spellEnd"/>
      <w:r w:rsidRPr="002A1F67">
        <w:rPr>
          <w:rFonts w:asciiTheme="minorHAnsi" w:hAnsiTheme="minorHAnsi" w:cs="‡˚ø◊w‚"/>
          <w:color w:val="000000"/>
          <w:lang w:val="en-US"/>
        </w:rPr>
        <w:t xml:space="preserve"> (DMH), is a cytotoxic semisynthetic natural product that the sponsor states is significantly more potent than conventional cytotoxic chemotherapeutic agents</w:t>
      </w:r>
      <w:r w:rsidRPr="002A1F67">
        <w:rPr>
          <w:rFonts w:asciiTheme="minorHAnsi" w:hAnsiTheme="minorHAnsi" w:cs="‡˚ø◊w‚"/>
          <w:color w:val="0000FF"/>
          <w:lang w:val="en-US"/>
        </w:rPr>
        <w:t>.</w:t>
      </w:r>
      <w:r w:rsidRPr="002A1F67">
        <w:rPr>
          <w:rFonts w:asciiTheme="minorHAnsi" w:hAnsiTheme="minorHAnsi" w:cs="‡˚ø◊w‚"/>
          <w:color w:val="0000FF"/>
          <w:sz w:val="16"/>
          <w:szCs w:val="16"/>
          <w:lang w:val="en-US"/>
        </w:rPr>
        <w:t xml:space="preserve"> </w:t>
      </w:r>
      <w:r w:rsidRPr="002A1F67">
        <w:rPr>
          <w:rFonts w:asciiTheme="minorHAnsi" w:hAnsiTheme="minorHAnsi" w:cs="‡˚ø◊w‚"/>
          <w:color w:val="000000"/>
          <w:lang w:val="en-US"/>
        </w:rPr>
        <w:t>N-Ac-γ-calicheamicin DMH is covalently attached to the antibody via an acid-cleavable linker.</w:t>
      </w:r>
    </w:p>
    <w:p w14:paraId="791E749E" w14:textId="77777777" w:rsidR="00C71CC8" w:rsidRDefault="00C71CC8" w:rsidP="00C71CC8">
      <w:pPr>
        <w:widowControl w:val="0"/>
        <w:autoSpaceDE w:val="0"/>
        <w:autoSpaceDN w:val="0"/>
        <w:adjustRightInd w:val="0"/>
        <w:rPr>
          <w:rFonts w:ascii="‡˚ø◊w‚" w:hAnsi="‡˚ø◊w‚" w:cs="‡˚ø◊w‚"/>
          <w:lang w:val="en-US"/>
        </w:rPr>
      </w:pPr>
      <w:r>
        <w:rPr>
          <w:rFonts w:ascii="‡˚ø◊w‚" w:hAnsi="‡˚ø◊w‚" w:cs="‡˚ø◊w‚"/>
          <w:lang w:val="en-US"/>
        </w:rPr>
        <w:t>The dosage form is inotuzumab ozogamicin (rch) 1 mg powder for injection vial. After reconstitution with 4 mL of sterile water for injection, 1 mL of solution contains 0.25 mg inotuzumab ozogamicin.</w:t>
      </w:r>
    </w:p>
    <w:p w14:paraId="206CCA43" w14:textId="77777777" w:rsidR="00C71CC8" w:rsidRPr="00C71CC8" w:rsidRDefault="00C71CC8" w:rsidP="00C71CC8">
      <w:pPr>
        <w:pStyle w:val="Heading4"/>
      </w:pPr>
      <w:bookmarkStart w:id="84" w:name="_Toc503177976"/>
      <w:r w:rsidRPr="00C71CC8">
        <w:lastRenderedPageBreak/>
        <w:t>Dosage and administration</w:t>
      </w:r>
      <w:bookmarkEnd w:id="84"/>
    </w:p>
    <w:p w14:paraId="08981F5F" w14:textId="13EAE12C" w:rsidR="00C71CC8" w:rsidRPr="00C71CC8" w:rsidRDefault="00C71CC8" w:rsidP="00C71CC8">
      <w:r w:rsidRPr="00C71CC8">
        <w:t>The dosage and administration instructions for inotuzumab ozogamicin are set out in the draft PI (</w:t>
      </w:r>
      <w:r w:rsidR="000F7D61">
        <w:t xml:space="preserve">Section: </w:t>
      </w:r>
      <w:r w:rsidRPr="006C3232">
        <w:rPr>
          <w:i/>
        </w:rPr>
        <w:t>Dosage and Administration</w:t>
      </w:r>
      <w:r w:rsidRPr="00C71CC8">
        <w:t>). T</w:t>
      </w:r>
      <w:r w:rsidR="001D0208">
        <w:t>he key features are as follows:</w:t>
      </w:r>
    </w:p>
    <w:p w14:paraId="4EF8275F" w14:textId="77777777" w:rsidR="00C71CC8" w:rsidRPr="00C71CC8" w:rsidRDefault="00C71CC8" w:rsidP="001D0208">
      <w:pPr>
        <w:pStyle w:val="ListBullet"/>
      </w:pPr>
      <w:r w:rsidRPr="00C71CC8">
        <w:t>Bespo</w:t>
      </w:r>
      <w:r w:rsidR="001D0208">
        <w:t>nsa should be administered in 3</w:t>
      </w:r>
      <w:r w:rsidRPr="00C71CC8">
        <w:t xml:space="preserve"> to </w:t>
      </w:r>
      <w:r w:rsidR="005C4508">
        <w:t>4 week</w:t>
      </w:r>
      <w:r w:rsidRPr="00C71CC8">
        <w:t xml:space="preserve"> cycles.</w:t>
      </w:r>
    </w:p>
    <w:p w14:paraId="210B59A1" w14:textId="77777777" w:rsidR="00C71CC8" w:rsidRPr="00C71CC8" w:rsidRDefault="00C71CC8" w:rsidP="001D0208">
      <w:pPr>
        <w:pStyle w:val="ListBullet"/>
      </w:pPr>
      <w:r w:rsidRPr="00C71CC8">
        <w:t xml:space="preserve">Recommendations are provided relating to </w:t>
      </w:r>
      <w:proofErr w:type="spellStart"/>
      <w:r w:rsidRPr="00C71CC8">
        <w:t>cytoreduction</w:t>
      </w:r>
      <w:proofErr w:type="spellEnd"/>
      <w:r w:rsidRPr="00C71CC8">
        <w:t xml:space="preserve"> therapy prior to the first dose for patients with circulating lymphoblasts. Recommendations are also provided for pre-medication with a corticosteroid,</w:t>
      </w:r>
      <w:r w:rsidR="001D0208">
        <w:t xml:space="preserve"> antipyretic and antihistamine.</w:t>
      </w:r>
    </w:p>
    <w:p w14:paraId="4B7A4177" w14:textId="34CD04B7" w:rsidR="00C71CC8" w:rsidRPr="00C71CC8" w:rsidRDefault="00C71CC8" w:rsidP="001D0208">
      <w:pPr>
        <w:pStyle w:val="ListBullet"/>
      </w:pPr>
      <w:r w:rsidRPr="00C71CC8">
        <w:t xml:space="preserve">For patients proceeding to human stem cell transplant (HSCT), the recommended duration of treatment is 2 cycles. A third cycle should be considered for those patients who do not achieve a complete response (CR) or a complete response with incomplete </w:t>
      </w:r>
      <w:proofErr w:type="spellStart"/>
      <w:r w:rsidRPr="00C71CC8">
        <w:t>haematologic</w:t>
      </w:r>
      <w:proofErr w:type="spellEnd"/>
      <w:r w:rsidRPr="00C71CC8">
        <w:t xml:space="preserve"> recovery (</w:t>
      </w:r>
      <w:proofErr w:type="spellStart"/>
      <w:r w:rsidRPr="00C71CC8">
        <w:t>CRi</w:t>
      </w:r>
      <w:proofErr w:type="spellEnd"/>
      <w:r w:rsidRPr="00C71CC8">
        <w:t>) and minimal residual disease (MRD) negativity after 2</w:t>
      </w:r>
      <w:r w:rsidR="007A3382">
        <w:t> </w:t>
      </w:r>
      <w:r w:rsidRPr="00C71CC8">
        <w:t xml:space="preserve">cycles. For patients not proceeding to HSCT after achieving a CR or </w:t>
      </w:r>
      <w:proofErr w:type="spellStart"/>
      <w:r w:rsidRPr="00C71CC8">
        <w:t>CRi</w:t>
      </w:r>
      <w:proofErr w:type="spellEnd"/>
      <w:r w:rsidRPr="00C71CC8">
        <w:t xml:space="preserve"> and MRD negativity, additional cycles of treatment up to a maximum of 6 cycles may be administered. Patients who do not achieve a CR or </w:t>
      </w:r>
      <w:proofErr w:type="spellStart"/>
      <w:r w:rsidRPr="00C71CC8">
        <w:t>CRi</w:t>
      </w:r>
      <w:proofErr w:type="spellEnd"/>
      <w:r w:rsidRPr="00C71CC8">
        <w:t xml:space="preserve"> within 3 cycles should discontinue treatment. The recommended dosing regimens a</w:t>
      </w:r>
      <w:r w:rsidR="00CC30C8">
        <w:t>re summarised below in Table 6</w:t>
      </w:r>
      <w:r w:rsidR="001D0208">
        <w:t>.</w:t>
      </w:r>
    </w:p>
    <w:p w14:paraId="2C2E531D" w14:textId="77777777" w:rsidR="00C71CC8" w:rsidRPr="00CC60B0" w:rsidRDefault="00C71CC8" w:rsidP="00C71CC8">
      <w:pPr>
        <w:pStyle w:val="TableTitle"/>
        <w:rPr>
          <w:lang w:val="en-US"/>
        </w:rPr>
      </w:pPr>
      <w:bookmarkStart w:id="85" w:name="_Toc503178103"/>
      <w:r w:rsidRPr="00CC60B0">
        <w:t xml:space="preserve">Table </w:t>
      </w:r>
      <w:r w:rsidR="00CC30C8">
        <w:t>6</w:t>
      </w:r>
      <w:r w:rsidRPr="00CC60B0">
        <w:t xml:space="preserve">: </w:t>
      </w:r>
      <w:r w:rsidRPr="00CC60B0">
        <w:rPr>
          <w:lang w:val="en-US"/>
        </w:rPr>
        <w:t>Dosing regimen for Cycle 1 and subsequent cycles depending on response to treatment</w:t>
      </w:r>
      <w:bookmarkEnd w:id="85"/>
    </w:p>
    <w:p w14:paraId="0837540F" w14:textId="77777777" w:rsidR="00C71CC8" w:rsidRDefault="00C71CC8" w:rsidP="00C71CC8">
      <w:pPr>
        <w:widowControl w:val="0"/>
        <w:autoSpaceDE w:val="0"/>
        <w:autoSpaceDN w:val="0"/>
        <w:adjustRightInd w:val="0"/>
        <w:rPr>
          <w:rFonts w:ascii="‡˚ø◊w‚" w:hAnsi="‡˚ø◊w‚" w:cs="‡˚ø◊w‚"/>
          <w:lang w:val="en-US"/>
        </w:rPr>
      </w:pPr>
      <w:r>
        <w:rPr>
          <w:noProof/>
          <w:lang w:eastAsia="en-AU"/>
        </w:rPr>
        <w:drawing>
          <wp:inline distT="0" distB="0" distL="0" distR="0" wp14:anchorId="07673738" wp14:editId="1DBE15D2">
            <wp:extent cx="5400040" cy="3525026"/>
            <wp:effectExtent l="0" t="0" r="0" b="0"/>
            <wp:docPr id="1" name="Picture 1" descr="Table 6: Dosing regimen for Cycle 1 and subsequent cycles depending on response t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525026"/>
                    </a:xfrm>
                    <a:prstGeom prst="rect">
                      <a:avLst/>
                    </a:prstGeom>
                  </pic:spPr>
                </pic:pic>
              </a:graphicData>
            </a:graphic>
          </wp:inline>
        </w:drawing>
      </w:r>
    </w:p>
    <w:p w14:paraId="4DA072BA" w14:textId="77777777" w:rsidR="00C71CC8" w:rsidRDefault="00C71CC8" w:rsidP="00C71CC8">
      <w:pPr>
        <w:pStyle w:val="Heading4"/>
      </w:pPr>
      <w:bookmarkStart w:id="86" w:name="_Toc503177979"/>
      <w:r w:rsidRPr="00E709B3">
        <w:t>Information on the condition being treated</w:t>
      </w:r>
      <w:bookmarkEnd w:id="86"/>
    </w:p>
    <w:p w14:paraId="1F5E3B04" w14:textId="383AAF02" w:rsidR="00C71CC8" w:rsidRPr="00D16AAD" w:rsidRDefault="00C71CC8" w:rsidP="001D0208">
      <w:pPr>
        <w:rPr>
          <w:lang w:val="en-US"/>
        </w:rPr>
      </w:pPr>
      <w:r w:rsidRPr="00D16AAD">
        <w:rPr>
          <w:lang w:val="en-US"/>
        </w:rPr>
        <w:t>Acute lymphatic leukaemia (ALL) is a heterogeneous haematologic</w:t>
      </w:r>
      <w:r>
        <w:rPr>
          <w:lang w:val="en-US"/>
        </w:rPr>
        <w:t>al</w:t>
      </w:r>
      <w:r w:rsidRPr="00D16AAD">
        <w:rPr>
          <w:lang w:val="en-US"/>
        </w:rPr>
        <w:t xml:space="preserve"> disorder characterised by the proliferation of immature lymphoid cells in the bone marrow, peripheral blood and other organs</w:t>
      </w:r>
      <w:r w:rsidRPr="00D16AAD">
        <w:rPr>
          <w:color w:val="0000FF"/>
          <w:lang w:val="en-US"/>
        </w:rPr>
        <w:t xml:space="preserve">. </w:t>
      </w:r>
      <w:r w:rsidRPr="00D16AAD">
        <w:rPr>
          <w:lang w:val="en-US"/>
        </w:rPr>
        <w:t xml:space="preserve">The clinical presentation of ALL and the signs and symptoms of recurrence are typically nonspecific, and may include fatigue, lethargy, constitutional symptoms (fevers, night sweats, </w:t>
      </w:r>
      <w:r w:rsidR="007A3382" w:rsidRPr="00D16AAD">
        <w:rPr>
          <w:lang w:val="en-US"/>
        </w:rPr>
        <w:t>and weight</w:t>
      </w:r>
      <w:r w:rsidRPr="00D16AAD">
        <w:rPr>
          <w:lang w:val="en-US"/>
        </w:rPr>
        <w:t xml:space="preserve"> loss), </w:t>
      </w:r>
      <w:proofErr w:type="spellStart"/>
      <w:r w:rsidRPr="00D16AAD">
        <w:rPr>
          <w:lang w:val="en-US"/>
        </w:rPr>
        <w:t>dyspnoea</w:t>
      </w:r>
      <w:proofErr w:type="spellEnd"/>
      <w:r w:rsidRPr="00D16AAD">
        <w:rPr>
          <w:lang w:val="en-US"/>
        </w:rPr>
        <w:t xml:space="preserve">, dizziness, infections, and easy bruising or bleeding. The presence of lymphadenopathy and hepatosplenomegaly on physical examination is found in approximately 20% of patients. The initial diagnosis of ALL requires demonstration of </w:t>
      </w:r>
      <w:r w:rsidR="00503681">
        <w:rPr>
          <w:lang w:val="en-US"/>
        </w:rPr>
        <w:t xml:space="preserve">≥ </w:t>
      </w:r>
      <w:r w:rsidRPr="00D16AAD">
        <w:rPr>
          <w:lang w:val="en-US"/>
        </w:rPr>
        <w:t>20% bone marrow lymphoblasts.</w:t>
      </w:r>
    </w:p>
    <w:p w14:paraId="7D0ABC13" w14:textId="6924EBC4" w:rsidR="00503681" w:rsidRDefault="00C71CC8" w:rsidP="001D0208">
      <w:pPr>
        <w:rPr>
          <w:lang w:val="en-US"/>
        </w:rPr>
      </w:pPr>
      <w:r w:rsidRPr="00D16AAD">
        <w:rPr>
          <w:lang w:val="en-US"/>
        </w:rPr>
        <w:lastRenderedPageBreak/>
        <w:t xml:space="preserve">The following data relating to the incidence of ALL has been taken from </w:t>
      </w:r>
      <w:r w:rsidR="000F7D61">
        <w:rPr>
          <w:lang w:val="en-US"/>
        </w:rPr>
        <w:t xml:space="preserve">the </w:t>
      </w:r>
      <w:r w:rsidRPr="00D16AAD">
        <w:rPr>
          <w:lang w:val="en-US"/>
        </w:rPr>
        <w:t>Clinical Overview of the dossier and is based on US and European patients. However, it is considered that the data are applicable to the Australian population</w:t>
      </w:r>
      <w:r w:rsidR="00503681">
        <w:rPr>
          <w:lang w:val="en-US"/>
        </w:rPr>
        <w:t>.</w:t>
      </w:r>
    </w:p>
    <w:p w14:paraId="1FDE2AE0" w14:textId="639E60EC" w:rsidR="00C71CC8" w:rsidRPr="00D16AAD" w:rsidRDefault="00C71CC8" w:rsidP="001D0208">
      <w:pPr>
        <w:rPr>
          <w:lang w:val="en-US"/>
        </w:rPr>
      </w:pPr>
      <w:r w:rsidRPr="00D16AAD">
        <w:rPr>
          <w:lang w:val="en-US"/>
        </w:rPr>
        <w:t xml:space="preserve">ALL represents approximately 20% of </w:t>
      </w:r>
      <w:proofErr w:type="spellStart"/>
      <w:r w:rsidRPr="00D16AAD">
        <w:rPr>
          <w:lang w:val="en-US"/>
        </w:rPr>
        <w:t>leuk</w:t>
      </w:r>
      <w:r>
        <w:rPr>
          <w:lang w:val="en-US"/>
        </w:rPr>
        <w:t>a</w:t>
      </w:r>
      <w:r w:rsidRPr="00D16AAD">
        <w:rPr>
          <w:lang w:val="en-US"/>
        </w:rPr>
        <w:t>emias</w:t>
      </w:r>
      <w:proofErr w:type="spellEnd"/>
      <w:r w:rsidRPr="00D16AAD">
        <w:rPr>
          <w:lang w:val="en-US"/>
        </w:rPr>
        <w:t xml:space="preserve"> among adults and 80% of acute </w:t>
      </w:r>
      <w:proofErr w:type="spellStart"/>
      <w:r w:rsidRPr="00D16AAD">
        <w:rPr>
          <w:lang w:val="en-US"/>
        </w:rPr>
        <w:t>leukaemias</w:t>
      </w:r>
      <w:proofErr w:type="spellEnd"/>
      <w:r w:rsidRPr="00D16AAD">
        <w:rPr>
          <w:lang w:val="en-US"/>
        </w:rPr>
        <w:t xml:space="preserve"> in children. The age</w:t>
      </w:r>
      <w:r w:rsidR="007A3382">
        <w:rPr>
          <w:lang w:val="en-US"/>
        </w:rPr>
        <w:t xml:space="preserve"> </w:t>
      </w:r>
      <w:r w:rsidRPr="00D16AAD">
        <w:rPr>
          <w:lang w:val="en-US"/>
        </w:rPr>
        <w:t>adjusted incidence rate (2008</w:t>
      </w:r>
      <w:r w:rsidR="007A3382">
        <w:rPr>
          <w:lang w:val="en-US"/>
        </w:rPr>
        <w:t xml:space="preserve"> to </w:t>
      </w:r>
      <w:r w:rsidRPr="00D16AAD">
        <w:rPr>
          <w:lang w:val="en-US"/>
        </w:rPr>
        <w:t>2012) of ALL in the United States (US) was</w:t>
      </w:r>
      <w:r w:rsidR="006779D9">
        <w:rPr>
          <w:lang w:val="en-US"/>
        </w:rPr>
        <w:t xml:space="preserve"> </w:t>
      </w:r>
      <w:r w:rsidRPr="00D16AAD">
        <w:rPr>
          <w:lang w:val="en-US"/>
        </w:rPr>
        <w:t>1.7 per 100,000 individuals per year, with males having a slightly higher overall rate t</w:t>
      </w:r>
      <w:r>
        <w:rPr>
          <w:lang w:val="en-US"/>
        </w:rPr>
        <w:t xml:space="preserve">han females (1.9/100,000 </w:t>
      </w:r>
      <w:r w:rsidR="001D0208">
        <w:rPr>
          <w:lang w:val="en-US"/>
        </w:rPr>
        <w:t xml:space="preserve">versus </w:t>
      </w:r>
      <w:r w:rsidRPr="00D16AAD">
        <w:rPr>
          <w:lang w:val="en-US"/>
        </w:rPr>
        <w:t>1.5/100,000</w:t>
      </w:r>
      <w:r>
        <w:rPr>
          <w:lang w:val="en-US"/>
        </w:rPr>
        <w:t>, respectively</w:t>
      </w:r>
      <w:r w:rsidRPr="00D16AAD">
        <w:rPr>
          <w:lang w:val="en-US"/>
        </w:rPr>
        <w:t>).</w:t>
      </w:r>
      <w:r w:rsidRPr="00D16AAD">
        <w:rPr>
          <w:color w:val="0000FF"/>
          <w:lang w:val="en-US"/>
        </w:rPr>
        <w:t xml:space="preserve"> </w:t>
      </w:r>
      <w:r w:rsidRPr="00D16AAD">
        <w:rPr>
          <w:lang w:val="en-US"/>
        </w:rPr>
        <w:t>In Europe, the crude incidence rate of ALL is 1.3 per 100,000 individuals.</w:t>
      </w:r>
      <w:r w:rsidRPr="00D16AAD">
        <w:rPr>
          <w:color w:val="0000FF"/>
          <w:lang w:val="en-US"/>
        </w:rPr>
        <w:t xml:space="preserve"> </w:t>
      </w:r>
      <w:r w:rsidRPr="00D16AAD">
        <w:rPr>
          <w:lang w:val="en-US"/>
        </w:rPr>
        <w:t xml:space="preserve">The </w:t>
      </w:r>
      <w:r w:rsidR="006779D9">
        <w:rPr>
          <w:lang w:val="en-US"/>
        </w:rPr>
        <w:t>B cell</w:t>
      </w:r>
      <w:r w:rsidRPr="00D16AAD">
        <w:rPr>
          <w:lang w:val="en-US"/>
        </w:rPr>
        <w:t xml:space="preserve"> subtype accounts for approximately 75% of ALL cases in adults and approximately 88% of cases in children.</w:t>
      </w:r>
    </w:p>
    <w:p w14:paraId="291FA486" w14:textId="77777777" w:rsidR="00C71CC8" w:rsidRPr="00D16AAD" w:rsidRDefault="00C71CC8" w:rsidP="001D0208">
      <w:pPr>
        <w:rPr>
          <w:lang w:val="en-US"/>
        </w:rPr>
      </w:pPr>
      <w:r w:rsidRPr="00D16AAD">
        <w:rPr>
          <w:lang w:val="en-US"/>
        </w:rPr>
        <w:t>The peak incidence of ALL is in children between the ages of 0 and 4 years.</w:t>
      </w:r>
      <w:r w:rsidR="006779D9">
        <w:rPr>
          <w:lang w:val="en-US"/>
        </w:rPr>
        <w:t xml:space="preserve"> </w:t>
      </w:r>
      <w:r w:rsidRPr="00D16AAD">
        <w:rPr>
          <w:lang w:val="en-US"/>
        </w:rPr>
        <w:t>The median age of diagnosis for ALL is 14 years, with approximately 58% of patients diagnosed before the age of 20 years. By contrast, approximately 26% of cases are diagnosed after 45 years of age, and approximately 11% of patients are d</w:t>
      </w:r>
      <w:r w:rsidR="001D0208">
        <w:rPr>
          <w:lang w:val="en-US"/>
        </w:rPr>
        <w:t>iagnosed after 65 years of age.</w:t>
      </w:r>
    </w:p>
    <w:p w14:paraId="3DF777A8" w14:textId="77777777" w:rsidR="00C71CC8" w:rsidRPr="00D16AAD" w:rsidRDefault="001D0208" w:rsidP="001D0208">
      <w:pPr>
        <w:rPr>
          <w:lang w:val="en-US"/>
        </w:rPr>
      </w:pPr>
      <w:r>
        <w:rPr>
          <w:lang w:val="en-US"/>
        </w:rPr>
        <w:t xml:space="preserve">Overall, approximately 20% to </w:t>
      </w:r>
      <w:r w:rsidR="00C71CC8" w:rsidRPr="00D16AAD">
        <w:rPr>
          <w:lang w:val="en-US"/>
        </w:rPr>
        <w:t>30% of adult patients with ALL are Philadelphia chromosome-positive (</w:t>
      </w:r>
      <w:proofErr w:type="spellStart"/>
      <w:r w:rsidR="00C71CC8" w:rsidRPr="00D16AAD">
        <w:rPr>
          <w:lang w:val="en-US"/>
        </w:rPr>
        <w:t>Ph</w:t>
      </w:r>
      <w:proofErr w:type="spellEnd"/>
      <w:r w:rsidR="00C71CC8" w:rsidRPr="00D16AAD">
        <w:rPr>
          <w:lang w:val="en-US"/>
        </w:rPr>
        <w:t>+), with the incidence exceeding 50% in patients aged 50 years or older.</w:t>
      </w:r>
      <w:r w:rsidR="00C71CC8" w:rsidRPr="00D16AAD">
        <w:rPr>
          <w:color w:val="0000FF"/>
          <w:lang w:val="en-US"/>
        </w:rPr>
        <w:t xml:space="preserve"> </w:t>
      </w:r>
      <w:r w:rsidR="006779D9">
        <w:rPr>
          <w:lang w:val="en-US"/>
        </w:rPr>
        <w:t>B cell</w:t>
      </w:r>
      <w:r w:rsidR="00C71CC8" w:rsidRPr="00D16AAD">
        <w:rPr>
          <w:lang w:val="en-US"/>
        </w:rPr>
        <w:t xml:space="preserve"> ALL is frequently </w:t>
      </w:r>
      <w:r w:rsidR="00C71CC8">
        <w:rPr>
          <w:lang w:val="en-US"/>
        </w:rPr>
        <w:t xml:space="preserve">a </w:t>
      </w:r>
      <w:r w:rsidR="00C71CC8" w:rsidRPr="00D16AAD">
        <w:rPr>
          <w:lang w:val="en-US"/>
        </w:rPr>
        <w:t xml:space="preserve">fatal disease in adults. While the cure rates and survival outcomes for </w:t>
      </w:r>
      <w:r w:rsidR="006779D9">
        <w:rPr>
          <w:lang w:val="en-US"/>
        </w:rPr>
        <w:t>B cell</w:t>
      </w:r>
      <w:r w:rsidR="00C71CC8" w:rsidRPr="00D16AAD">
        <w:rPr>
          <w:lang w:val="en-US"/>
        </w:rPr>
        <w:t xml:space="preserve"> ALL have improved during the last several decades, most of the improvements have occurred in younger patients, primarily among children.</w:t>
      </w:r>
    </w:p>
    <w:p w14:paraId="59B62CBD" w14:textId="77777777" w:rsidR="00C71CC8" w:rsidRPr="00D16AAD" w:rsidRDefault="00C71CC8" w:rsidP="00C71CC8">
      <w:pPr>
        <w:widowControl w:val="0"/>
        <w:autoSpaceDE w:val="0"/>
        <w:autoSpaceDN w:val="0"/>
        <w:adjustRightInd w:val="0"/>
        <w:rPr>
          <w:rFonts w:asciiTheme="minorHAnsi" w:hAnsiTheme="minorHAnsi"/>
          <w:lang w:val="en-US"/>
        </w:rPr>
      </w:pPr>
      <w:r w:rsidRPr="00D16AAD">
        <w:rPr>
          <w:rFonts w:asciiTheme="minorHAnsi" w:hAnsiTheme="minorHAnsi"/>
          <w:lang w:val="en-US"/>
        </w:rPr>
        <w:t>Known prognostic factors associated with poor outcome after combination chemotherapy include older age, higher white blood cell (WBC) count at original diagnosis, certain cytogenetic features (</w:t>
      </w:r>
      <w:r w:rsidR="001D0208">
        <w:rPr>
          <w:rFonts w:asciiTheme="minorHAnsi" w:hAnsiTheme="minorHAnsi"/>
          <w:lang w:val="en-US"/>
        </w:rPr>
        <w:t>for example</w:t>
      </w:r>
      <w:r>
        <w:rPr>
          <w:rFonts w:asciiTheme="minorHAnsi" w:hAnsiTheme="minorHAnsi"/>
          <w:lang w:val="en-US"/>
        </w:rPr>
        <w:t>,</w:t>
      </w:r>
      <w:r w:rsidRPr="00D16AAD">
        <w:rPr>
          <w:rFonts w:asciiTheme="minorHAnsi" w:hAnsiTheme="minorHAnsi"/>
          <w:lang w:val="en-US"/>
        </w:rPr>
        <w:t xml:space="preserve"> </w:t>
      </w:r>
      <w:proofErr w:type="spellStart"/>
      <w:r w:rsidRPr="00D16AAD">
        <w:rPr>
          <w:rFonts w:asciiTheme="minorHAnsi" w:hAnsiTheme="minorHAnsi"/>
          <w:lang w:val="en-US"/>
        </w:rPr>
        <w:t>Ph</w:t>
      </w:r>
      <w:proofErr w:type="spellEnd"/>
      <w:r w:rsidRPr="00D16AAD">
        <w:rPr>
          <w:rFonts w:asciiTheme="minorHAnsi" w:hAnsiTheme="minorHAnsi"/>
          <w:lang w:val="en-US"/>
        </w:rPr>
        <w:t xml:space="preserve">+ or </w:t>
      </w:r>
      <w:r w:rsidRPr="008177A2">
        <w:rPr>
          <w:rFonts w:asciiTheme="minorHAnsi" w:hAnsiTheme="minorHAnsi"/>
          <w:lang w:val="en-US"/>
        </w:rPr>
        <w:t xml:space="preserve">translocation </w:t>
      </w:r>
      <w:r w:rsidR="00503681" w:rsidRPr="008177A2">
        <w:rPr>
          <w:rFonts w:asciiTheme="minorHAnsi" w:hAnsiTheme="minorHAnsi"/>
          <w:lang w:val="en-US"/>
        </w:rPr>
        <w:t>(</w:t>
      </w:r>
      <w:r w:rsidRPr="008177A2">
        <w:rPr>
          <w:rFonts w:asciiTheme="minorHAnsi" w:hAnsiTheme="minorHAnsi"/>
          <w:lang w:val="en-US"/>
        </w:rPr>
        <w:t>4;11</w:t>
      </w:r>
      <w:r w:rsidR="00503681" w:rsidRPr="008177A2">
        <w:rPr>
          <w:rFonts w:asciiTheme="minorHAnsi" w:hAnsiTheme="minorHAnsi"/>
          <w:lang w:val="en-US"/>
        </w:rPr>
        <w:t>)</w:t>
      </w:r>
      <w:r w:rsidRPr="008177A2">
        <w:rPr>
          <w:rFonts w:asciiTheme="minorHAnsi" w:hAnsiTheme="minorHAnsi"/>
          <w:lang w:val="en-US"/>
        </w:rPr>
        <w:t>)</w:t>
      </w:r>
      <w:r w:rsidRPr="00D16AAD">
        <w:rPr>
          <w:rFonts w:asciiTheme="minorHAnsi" w:hAnsiTheme="minorHAnsi"/>
          <w:lang w:val="en-US"/>
        </w:rPr>
        <w:t xml:space="preserve"> and re</w:t>
      </w:r>
      <w:r>
        <w:rPr>
          <w:rFonts w:asciiTheme="minorHAnsi" w:hAnsiTheme="minorHAnsi"/>
          <w:lang w:val="en-US"/>
        </w:rPr>
        <w:t>sponse to prior therapy (</w:t>
      </w:r>
      <w:r w:rsidR="001D0208">
        <w:rPr>
          <w:rFonts w:asciiTheme="minorHAnsi" w:hAnsiTheme="minorHAnsi"/>
          <w:lang w:val="en-US"/>
        </w:rPr>
        <w:t>for example</w:t>
      </w:r>
      <w:r>
        <w:rPr>
          <w:rFonts w:asciiTheme="minorHAnsi" w:hAnsiTheme="minorHAnsi"/>
          <w:lang w:val="en-US"/>
        </w:rPr>
        <w:t xml:space="preserve">, </w:t>
      </w:r>
      <w:r w:rsidRPr="00D16AAD">
        <w:rPr>
          <w:rFonts w:asciiTheme="minorHAnsi" w:hAnsiTheme="minorHAnsi"/>
          <w:lang w:val="en-US"/>
        </w:rPr>
        <w:t xml:space="preserve">salvage status, </w:t>
      </w:r>
      <w:r>
        <w:rPr>
          <w:rFonts w:asciiTheme="minorHAnsi" w:hAnsiTheme="minorHAnsi"/>
          <w:lang w:val="en-US"/>
        </w:rPr>
        <w:t>duration of response</w:t>
      </w:r>
      <w:r w:rsidRPr="00D16AAD">
        <w:rPr>
          <w:rFonts w:asciiTheme="minorHAnsi" w:hAnsiTheme="minorHAnsi"/>
          <w:lang w:val="en-US"/>
        </w:rPr>
        <w:t xml:space="preserve"> and persistent </w:t>
      </w:r>
      <w:r>
        <w:rPr>
          <w:rFonts w:asciiTheme="minorHAnsi" w:hAnsiTheme="minorHAnsi"/>
          <w:lang w:val="en-US"/>
        </w:rPr>
        <w:t>minimal residual disease</w:t>
      </w:r>
      <w:r w:rsidRPr="00D16AAD">
        <w:rPr>
          <w:rFonts w:asciiTheme="minorHAnsi" w:hAnsiTheme="minorHAnsi"/>
          <w:lang w:val="en-US"/>
        </w:rPr>
        <w:t>). Overall, older adult patients have the poorest outcome, with</w:t>
      </w:r>
      <w:r>
        <w:rPr>
          <w:rFonts w:asciiTheme="minorHAnsi" w:hAnsiTheme="minorHAnsi"/>
          <w:lang w:val="en-US"/>
        </w:rPr>
        <w:t xml:space="preserve"> </w:t>
      </w:r>
      <w:r w:rsidRPr="00D16AAD">
        <w:rPr>
          <w:rFonts w:asciiTheme="minorHAnsi" w:hAnsiTheme="minorHAnsi"/>
          <w:lang w:val="en-US"/>
        </w:rPr>
        <w:t xml:space="preserve">a </w:t>
      </w:r>
      <w:r w:rsidR="001D0208">
        <w:rPr>
          <w:rFonts w:asciiTheme="minorHAnsi" w:hAnsiTheme="minorHAnsi"/>
          <w:lang w:val="en-US"/>
        </w:rPr>
        <w:t>5 year</w:t>
      </w:r>
      <w:r w:rsidRPr="00D16AAD">
        <w:rPr>
          <w:rFonts w:asciiTheme="minorHAnsi" w:hAnsiTheme="minorHAnsi"/>
          <w:lang w:val="en-US"/>
        </w:rPr>
        <w:t xml:space="preserve"> </w:t>
      </w:r>
      <w:r w:rsidR="00A232E5">
        <w:t>overall survival</w:t>
      </w:r>
      <w:r w:rsidR="00A232E5" w:rsidRPr="00D16AAD">
        <w:rPr>
          <w:rFonts w:asciiTheme="minorHAnsi" w:hAnsiTheme="minorHAnsi"/>
          <w:lang w:val="en-US"/>
        </w:rPr>
        <w:t xml:space="preserve"> </w:t>
      </w:r>
      <w:r w:rsidR="00A232E5">
        <w:rPr>
          <w:rFonts w:asciiTheme="minorHAnsi" w:hAnsiTheme="minorHAnsi"/>
          <w:lang w:val="en-US"/>
        </w:rPr>
        <w:t>(</w:t>
      </w:r>
      <w:r w:rsidRPr="00D16AAD">
        <w:rPr>
          <w:rFonts w:asciiTheme="minorHAnsi" w:hAnsiTheme="minorHAnsi"/>
          <w:lang w:val="en-US"/>
        </w:rPr>
        <w:t>OS</w:t>
      </w:r>
      <w:r w:rsidR="00A232E5">
        <w:rPr>
          <w:rFonts w:asciiTheme="minorHAnsi" w:hAnsiTheme="minorHAnsi"/>
          <w:lang w:val="en-US"/>
        </w:rPr>
        <w:t>)</w:t>
      </w:r>
      <w:r w:rsidRPr="00D16AAD">
        <w:rPr>
          <w:rFonts w:asciiTheme="minorHAnsi" w:hAnsiTheme="minorHAnsi"/>
          <w:lang w:val="en-US"/>
        </w:rPr>
        <w:t xml:space="preserve"> rate of 24.1% for patients aged </w:t>
      </w:r>
      <w:r w:rsidR="001D0208">
        <w:rPr>
          <w:rFonts w:asciiTheme="minorHAnsi" w:hAnsiTheme="minorHAnsi"/>
          <w:lang w:val="en-US"/>
        </w:rPr>
        <w:t>40 to 59</w:t>
      </w:r>
      <w:r w:rsidRPr="00D16AAD">
        <w:rPr>
          <w:rFonts w:asciiTheme="minorHAnsi" w:hAnsiTheme="minorHAnsi"/>
          <w:lang w:val="en-US"/>
        </w:rPr>
        <w:t xml:space="preserve"> years and 17.7% for patients age</w:t>
      </w:r>
      <w:r w:rsidR="001D0208">
        <w:rPr>
          <w:rFonts w:asciiTheme="minorHAnsi" w:hAnsiTheme="minorHAnsi"/>
          <w:lang w:val="en-US"/>
        </w:rPr>
        <w:t xml:space="preserve">d 60 to </w:t>
      </w:r>
      <w:r w:rsidRPr="00D16AAD">
        <w:rPr>
          <w:rFonts w:asciiTheme="minorHAnsi" w:hAnsiTheme="minorHAnsi"/>
          <w:lang w:val="en-US"/>
        </w:rPr>
        <w:t>69 years. Outcomes are worse in relapsed or refractory patients, with a medi</w:t>
      </w:r>
      <w:r w:rsidR="001D0208">
        <w:rPr>
          <w:rFonts w:asciiTheme="minorHAnsi" w:hAnsiTheme="minorHAnsi"/>
          <w:lang w:val="en-US"/>
        </w:rPr>
        <w:t xml:space="preserve">an survival in adults of only 3 to </w:t>
      </w:r>
      <w:r w:rsidRPr="00D16AAD">
        <w:rPr>
          <w:rFonts w:asciiTheme="minorHAnsi" w:hAnsiTheme="minorHAnsi"/>
          <w:lang w:val="en-US"/>
        </w:rPr>
        <w:t>6 months.</w:t>
      </w:r>
    </w:p>
    <w:p w14:paraId="3CDF3E27" w14:textId="4DF9340C" w:rsidR="00C71CC8" w:rsidRDefault="00C71CC8" w:rsidP="00C71CC8">
      <w:pPr>
        <w:rPr>
          <w:rFonts w:asciiTheme="minorHAnsi" w:hAnsiTheme="minorHAnsi" w:cs="‡˚ø◊w‚"/>
          <w:lang w:val="en-US"/>
        </w:rPr>
      </w:pPr>
      <w:r w:rsidRPr="00D16AAD">
        <w:rPr>
          <w:lang w:val="en-US"/>
        </w:rPr>
        <w:t xml:space="preserve">The sponsor's information on the condition being treated is considered to be acceptable. Recent </w:t>
      </w:r>
      <w:r>
        <w:rPr>
          <w:lang w:val="en-US"/>
        </w:rPr>
        <w:t xml:space="preserve">Australian specific </w:t>
      </w:r>
      <w:r w:rsidRPr="00D16AAD">
        <w:rPr>
          <w:lang w:val="en-US"/>
        </w:rPr>
        <w:t>data from the Australian Institut</w:t>
      </w:r>
      <w:r>
        <w:rPr>
          <w:lang w:val="en-US"/>
        </w:rPr>
        <w:t xml:space="preserve">e of Health and Welfare (AIHW, 2017) </w:t>
      </w:r>
      <w:r w:rsidRPr="00D16AAD">
        <w:rPr>
          <w:lang w:val="en-US"/>
        </w:rPr>
        <w:t xml:space="preserve">indicates that in 2013 there were 348 cases of ALL diagnosed in Australia with an age standardised incidence rate of 1.5/100,000 persons, with the risk being greater in males than in females (1.6/100,000 </w:t>
      </w:r>
      <w:r w:rsidR="001D0208">
        <w:rPr>
          <w:lang w:val="en-US"/>
        </w:rPr>
        <w:t xml:space="preserve">versus </w:t>
      </w:r>
      <w:r w:rsidRPr="00D16AAD">
        <w:rPr>
          <w:lang w:val="en-US"/>
        </w:rPr>
        <w:t xml:space="preserve">1.4/100,000, respectively). The highest incidence rate </w:t>
      </w:r>
      <w:r>
        <w:rPr>
          <w:lang w:val="en-US"/>
        </w:rPr>
        <w:t xml:space="preserve">was </w:t>
      </w:r>
      <w:r w:rsidRPr="00D16AAD">
        <w:rPr>
          <w:lang w:val="en-US"/>
        </w:rPr>
        <w:t>in children a</w:t>
      </w:r>
      <w:r>
        <w:rPr>
          <w:lang w:val="en-US"/>
        </w:rPr>
        <w:t>ged 0 to 4 years (6.8/100,000). I</w:t>
      </w:r>
      <w:r w:rsidRPr="00D16AAD">
        <w:rPr>
          <w:lang w:val="en-US"/>
        </w:rPr>
        <w:t xml:space="preserve">n patients aged </w:t>
      </w:r>
      <w:r w:rsidR="000F385B">
        <w:rPr>
          <w:lang w:val="en-US"/>
        </w:rPr>
        <w:t xml:space="preserve">&gt; </w:t>
      </w:r>
      <w:r w:rsidRPr="00D16AAD">
        <w:rPr>
          <w:lang w:val="en-US"/>
        </w:rPr>
        <w:t>20 ye</w:t>
      </w:r>
      <w:r>
        <w:rPr>
          <w:lang w:val="en-US"/>
        </w:rPr>
        <w:t>ars, the incidence rate was</w:t>
      </w:r>
      <w:r w:rsidR="006779D9">
        <w:rPr>
          <w:lang w:val="en-US"/>
        </w:rPr>
        <w:t xml:space="preserve"> </w:t>
      </w:r>
      <w:r>
        <w:rPr>
          <w:lang w:val="en-US"/>
        </w:rPr>
        <w:t xml:space="preserve">higher </w:t>
      </w:r>
      <w:r w:rsidRPr="00D16AAD">
        <w:rPr>
          <w:lang w:val="en-US"/>
        </w:rPr>
        <w:t xml:space="preserve">in patients aged </w:t>
      </w:r>
      <w:r w:rsidR="00503681">
        <w:rPr>
          <w:lang w:val="en-US"/>
        </w:rPr>
        <w:t xml:space="preserve">≥ </w:t>
      </w:r>
      <w:r w:rsidRPr="00D16AAD">
        <w:rPr>
          <w:lang w:val="en-US"/>
        </w:rPr>
        <w:t>65 years than in patients aged &lt; 65 years</w:t>
      </w:r>
      <w:r>
        <w:rPr>
          <w:lang w:val="en-US"/>
        </w:rPr>
        <w:t xml:space="preserve">. In patients aged </w:t>
      </w:r>
      <w:r w:rsidR="00503681">
        <w:rPr>
          <w:lang w:val="en-US"/>
        </w:rPr>
        <w:t xml:space="preserve">≥ </w:t>
      </w:r>
      <w:r>
        <w:rPr>
          <w:lang w:val="en-US"/>
        </w:rPr>
        <w:t xml:space="preserve">65 years categorised by age group, </w:t>
      </w:r>
      <w:r w:rsidRPr="00D16AAD">
        <w:rPr>
          <w:lang w:val="en-US"/>
        </w:rPr>
        <w:t xml:space="preserve">the incidence rates </w:t>
      </w:r>
      <w:r>
        <w:rPr>
          <w:lang w:val="en-US"/>
        </w:rPr>
        <w:t xml:space="preserve">per 100,000 persons were 1.4 for patients aged </w:t>
      </w:r>
      <w:r w:rsidR="001D0208">
        <w:rPr>
          <w:lang w:val="en-US"/>
        </w:rPr>
        <w:t xml:space="preserve">65 to </w:t>
      </w:r>
      <w:r w:rsidRPr="00D16AAD">
        <w:rPr>
          <w:lang w:val="en-US"/>
        </w:rPr>
        <w:t>6</w:t>
      </w:r>
      <w:r>
        <w:rPr>
          <w:lang w:val="en-US"/>
        </w:rPr>
        <w:t>9 years</w:t>
      </w:r>
      <w:r w:rsidRPr="00D16AAD">
        <w:rPr>
          <w:lang w:val="en-US"/>
        </w:rPr>
        <w:t>, 1.1</w:t>
      </w:r>
      <w:r w:rsidR="001D0208">
        <w:rPr>
          <w:lang w:val="en-US"/>
        </w:rPr>
        <w:t xml:space="preserve"> for patients aged 70 to </w:t>
      </w:r>
      <w:r>
        <w:rPr>
          <w:lang w:val="en-US"/>
        </w:rPr>
        <w:t xml:space="preserve">74 years, </w:t>
      </w:r>
      <w:r w:rsidRPr="00D16AAD">
        <w:rPr>
          <w:lang w:val="en-US"/>
        </w:rPr>
        <w:t>1.5</w:t>
      </w:r>
      <w:r w:rsidR="001D0208">
        <w:rPr>
          <w:lang w:val="en-US"/>
        </w:rPr>
        <w:t xml:space="preserve"> for patients aged 75 to </w:t>
      </w:r>
      <w:r>
        <w:rPr>
          <w:lang w:val="en-US"/>
        </w:rPr>
        <w:t>79 years, 2.7 for patients aged 80</w:t>
      </w:r>
      <w:r w:rsidR="000F7D61">
        <w:rPr>
          <w:lang w:val="en-US"/>
        </w:rPr>
        <w:t xml:space="preserve"> to </w:t>
      </w:r>
      <w:r>
        <w:rPr>
          <w:lang w:val="en-US"/>
        </w:rPr>
        <w:t xml:space="preserve">84 years </w:t>
      </w:r>
      <w:r w:rsidRPr="00D16AAD">
        <w:rPr>
          <w:lang w:val="en-US"/>
        </w:rPr>
        <w:t>and 1.0</w:t>
      </w:r>
      <w:r>
        <w:rPr>
          <w:lang w:val="en-US"/>
        </w:rPr>
        <w:t xml:space="preserve"> for patients aged 85+</w:t>
      </w:r>
      <w:r w:rsidRPr="00D16AAD">
        <w:rPr>
          <w:lang w:val="en-US"/>
        </w:rPr>
        <w:t>. In patien</w:t>
      </w:r>
      <w:r>
        <w:rPr>
          <w:lang w:val="en-US"/>
        </w:rPr>
        <w:t xml:space="preserve">ts aged </w:t>
      </w:r>
      <w:r w:rsidR="00503681">
        <w:rPr>
          <w:lang w:val="en-US"/>
        </w:rPr>
        <w:t xml:space="preserve">≥ </w:t>
      </w:r>
      <w:r>
        <w:rPr>
          <w:lang w:val="en-US"/>
        </w:rPr>
        <w:t>20 years to &lt; 65 year,</w:t>
      </w:r>
      <w:r w:rsidR="006779D9">
        <w:rPr>
          <w:lang w:val="en-US"/>
        </w:rPr>
        <w:t xml:space="preserve"> </w:t>
      </w:r>
      <w:r w:rsidRPr="00D16AAD">
        <w:rPr>
          <w:lang w:val="en-US"/>
        </w:rPr>
        <w:t xml:space="preserve">the highest age specific incidence rate was in </w:t>
      </w:r>
      <w:r>
        <w:rPr>
          <w:lang w:val="en-US"/>
        </w:rPr>
        <w:t xml:space="preserve">patients aged </w:t>
      </w:r>
      <w:r w:rsidR="001D0208">
        <w:rPr>
          <w:lang w:val="en-US"/>
        </w:rPr>
        <w:t>50 to 54</w:t>
      </w:r>
      <w:r>
        <w:rPr>
          <w:lang w:val="en-US"/>
        </w:rPr>
        <w:t xml:space="preserve"> years </w:t>
      </w:r>
      <w:r w:rsidRPr="00D16AAD">
        <w:rPr>
          <w:lang w:val="en-US"/>
        </w:rPr>
        <w:t xml:space="preserve">(0.9/100,000 persons). </w:t>
      </w:r>
      <w:r>
        <w:rPr>
          <w:lang w:val="en-US"/>
        </w:rPr>
        <w:t>In 2014, t</w:t>
      </w:r>
      <w:r w:rsidRPr="00D16AAD">
        <w:rPr>
          <w:lang w:val="en-US"/>
        </w:rPr>
        <w:t xml:space="preserve">he crude mortality rate </w:t>
      </w:r>
      <w:r>
        <w:rPr>
          <w:lang w:val="en-US"/>
        </w:rPr>
        <w:t xml:space="preserve">for ALL was 0.4/100,000 persons, </w:t>
      </w:r>
      <w:r w:rsidRPr="00D16AAD">
        <w:rPr>
          <w:lang w:val="en-US"/>
        </w:rPr>
        <w:t xml:space="preserve">with the highest rates being in patients aged </w:t>
      </w:r>
      <w:r w:rsidR="00503681">
        <w:rPr>
          <w:lang w:val="en-US"/>
        </w:rPr>
        <w:t xml:space="preserve">≥ </w:t>
      </w:r>
      <w:r w:rsidR="001D0208">
        <w:rPr>
          <w:lang w:val="en-US"/>
        </w:rPr>
        <w:t>55 </w:t>
      </w:r>
      <w:r>
        <w:rPr>
          <w:lang w:val="en-US"/>
        </w:rPr>
        <w:t>years (0.5 to 1.8 per 100,</w:t>
      </w:r>
      <w:r w:rsidRPr="00D16AAD">
        <w:rPr>
          <w:lang w:val="en-US"/>
        </w:rPr>
        <w:t>000 persons). The mortality rates for both males and females declined in parallel from about 1980 to 2014. There were no Australian data based on the subtypes of ALL in the AIHW report.</w:t>
      </w:r>
    </w:p>
    <w:p w14:paraId="5B6042CC" w14:textId="77777777" w:rsidR="00C71CC8" w:rsidRPr="001D0208" w:rsidRDefault="00C71CC8" w:rsidP="001D0208">
      <w:pPr>
        <w:pStyle w:val="Heading4"/>
      </w:pPr>
      <w:bookmarkStart w:id="87" w:name="_Toc503177980"/>
      <w:r w:rsidRPr="001D0208">
        <w:t>Current treatment options</w:t>
      </w:r>
      <w:bookmarkEnd w:id="87"/>
    </w:p>
    <w:p w14:paraId="16EF63C7" w14:textId="77777777" w:rsidR="00C71CC8" w:rsidRPr="00D16AAD" w:rsidRDefault="00C71CC8" w:rsidP="001D0208">
      <w:pPr>
        <w:rPr>
          <w:lang w:val="en-US"/>
        </w:rPr>
      </w:pPr>
      <w:r w:rsidRPr="00D16AAD">
        <w:rPr>
          <w:lang w:val="en-US"/>
        </w:rPr>
        <w:t xml:space="preserve">Treatment of relapsed or refractory ALL is still a major clinical challenge and there is no universally accepted treatment protocol for these </w:t>
      </w:r>
      <w:r>
        <w:rPr>
          <w:lang w:val="en-US"/>
        </w:rPr>
        <w:t xml:space="preserve">patients. </w:t>
      </w:r>
      <w:r w:rsidRPr="00D16AAD">
        <w:rPr>
          <w:lang w:val="en-US"/>
        </w:rPr>
        <w:t xml:space="preserve">The </w:t>
      </w:r>
      <w:r>
        <w:rPr>
          <w:lang w:val="en-US"/>
        </w:rPr>
        <w:t xml:space="preserve">European Society for Medical Oncology (ESMO) </w:t>
      </w:r>
      <w:r w:rsidRPr="00D16AAD">
        <w:rPr>
          <w:lang w:val="en-US"/>
        </w:rPr>
        <w:t xml:space="preserve">guidelines (2016) for </w:t>
      </w:r>
      <w:r>
        <w:rPr>
          <w:lang w:val="en-US"/>
        </w:rPr>
        <w:t xml:space="preserve">the treatment of </w:t>
      </w:r>
      <w:r w:rsidRPr="00D16AAD">
        <w:rPr>
          <w:lang w:val="en-US"/>
        </w:rPr>
        <w:t xml:space="preserve">relapsed or refractory leukaemia in </w:t>
      </w:r>
      <w:r>
        <w:rPr>
          <w:lang w:val="en-US"/>
        </w:rPr>
        <w:t>adults</w:t>
      </w:r>
      <w:r w:rsidR="006779D9">
        <w:rPr>
          <w:lang w:val="en-US"/>
        </w:rPr>
        <w:t xml:space="preserve"> </w:t>
      </w:r>
      <w:r w:rsidRPr="00D16AAD">
        <w:rPr>
          <w:lang w:val="en-US"/>
        </w:rPr>
        <w:t xml:space="preserve">recommends </w:t>
      </w:r>
      <w:r>
        <w:rPr>
          <w:lang w:val="en-US"/>
        </w:rPr>
        <w:t xml:space="preserve">that clinical </w:t>
      </w:r>
      <w:r w:rsidRPr="00D16AAD">
        <w:rPr>
          <w:lang w:val="en-US"/>
        </w:rPr>
        <w:t xml:space="preserve">evaluation should take into account disease specific factors (BCP-ALL, T-ALL, </w:t>
      </w:r>
      <w:r w:rsidRPr="00D16AAD">
        <w:rPr>
          <w:i/>
          <w:lang w:val="en-US"/>
        </w:rPr>
        <w:t xml:space="preserve">ABL1 </w:t>
      </w:r>
      <w:r w:rsidRPr="00D16AAD">
        <w:rPr>
          <w:lang w:val="en-US"/>
        </w:rPr>
        <w:t>status), patient factors (age, performance status, organ function, and presence of extramedullary disease, in particular CNS</w:t>
      </w:r>
      <w:r>
        <w:rPr>
          <w:lang w:val="en-US"/>
        </w:rPr>
        <w:t xml:space="preserve"> disease</w:t>
      </w:r>
      <w:r w:rsidRPr="00D16AAD">
        <w:rPr>
          <w:lang w:val="en-US"/>
        </w:rPr>
        <w:t xml:space="preserve">), </w:t>
      </w:r>
      <w:r w:rsidRPr="00D16AAD">
        <w:rPr>
          <w:lang w:val="en-US"/>
        </w:rPr>
        <w:lastRenderedPageBreak/>
        <w:t>previous therapy (with particular reference to prior allograft, anthracycline dose) and specific toxicities of prior treatment which might guide therapeutic selection (</w:t>
      </w:r>
      <w:r w:rsidR="001D0208">
        <w:rPr>
          <w:lang w:val="en-US"/>
        </w:rPr>
        <w:t>for example</w:t>
      </w:r>
      <w:r w:rsidRPr="00D16AAD">
        <w:rPr>
          <w:lang w:val="en-US"/>
        </w:rPr>
        <w:t xml:space="preserve">, osteonecrosis, </w:t>
      </w:r>
      <w:proofErr w:type="spellStart"/>
      <w:r w:rsidRPr="00D16AAD">
        <w:rPr>
          <w:lang w:val="en-US"/>
        </w:rPr>
        <w:t>vinca</w:t>
      </w:r>
      <w:proofErr w:type="spellEnd"/>
      <w:r w:rsidRPr="00D16AAD">
        <w:rPr>
          <w:lang w:val="en-US"/>
        </w:rPr>
        <w:t xml:space="preserve"> alkaloid neuropathy, and specific infectious complications such as fungal infections)</w:t>
      </w:r>
      <w:r w:rsidR="001D0208">
        <w:rPr>
          <w:lang w:val="en-US"/>
        </w:rPr>
        <w:t>.</w:t>
      </w:r>
      <w:bookmarkStart w:id="88" w:name="_Ref536533407"/>
      <w:r w:rsidR="001D0208">
        <w:rPr>
          <w:rStyle w:val="FootnoteReference"/>
          <w:lang w:val="en-US"/>
        </w:rPr>
        <w:footnoteReference w:id="28"/>
      </w:r>
      <w:bookmarkEnd w:id="88"/>
    </w:p>
    <w:p w14:paraId="78D390B2" w14:textId="6C4E82EE" w:rsidR="00503681" w:rsidRDefault="00C71CC8" w:rsidP="001D0208">
      <w:pPr>
        <w:rPr>
          <w:lang w:val="en-US"/>
        </w:rPr>
      </w:pPr>
      <w:r>
        <w:rPr>
          <w:lang w:val="en-US"/>
        </w:rPr>
        <w:t>T</w:t>
      </w:r>
      <w:r w:rsidRPr="00D16AAD">
        <w:rPr>
          <w:lang w:val="en-US"/>
        </w:rPr>
        <w:t xml:space="preserve">he ESMO guidelines (2016) </w:t>
      </w:r>
      <w:r>
        <w:rPr>
          <w:lang w:val="en-US"/>
        </w:rPr>
        <w:t xml:space="preserve">indicate that </w:t>
      </w:r>
      <w:r w:rsidRPr="00D16AAD">
        <w:rPr>
          <w:lang w:val="en-US"/>
        </w:rPr>
        <w:t xml:space="preserve">allogeneic SCT is the only known curative option for patients with ALL </w:t>
      </w:r>
      <w:r>
        <w:rPr>
          <w:lang w:val="en-US"/>
        </w:rPr>
        <w:t xml:space="preserve">and </w:t>
      </w:r>
      <w:r w:rsidRPr="00D16AAD">
        <w:rPr>
          <w:lang w:val="en-US"/>
        </w:rPr>
        <w:t xml:space="preserve">that treatment </w:t>
      </w:r>
      <w:r>
        <w:rPr>
          <w:lang w:val="en-US"/>
        </w:rPr>
        <w:t xml:space="preserve">of the disease </w:t>
      </w:r>
      <w:r w:rsidRPr="00D16AAD">
        <w:rPr>
          <w:lang w:val="en-US"/>
        </w:rPr>
        <w:t>with a curative aim involves achievement of CR followed by allogeneic SCT</w:t>
      </w:r>
      <w:r>
        <w:rPr>
          <w:lang w:val="en-US"/>
        </w:rPr>
        <w:t xml:space="preserve">. </w:t>
      </w:r>
      <w:r w:rsidRPr="00D16AAD">
        <w:rPr>
          <w:lang w:val="en-US"/>
        </w:rPr>
        <w:t>The guideline</w:t>
      </w:r>
      <w:r>
        <w:rPr>
          <w:lang w:val="en-US"/>
        </w:rPr>
        <w:t xml:space="preserve">s refer to published data from </w:t>
      </w:r>
      <w:r w:rsidRPr="00D16AAD">
        <w:rPr>
          <w:lang w:val="en-US"/>
        </w:rPr>
        <w:t xml:space="preserve">four large trials indicating that the rate of second CR </w:t>
      </w:r>
      <w:r>
        <w:rPr>
          <w:lang w:val="en-US"/>
        </w:rPr>
        <w:t xml:space="preserve">in patient with relapsed disease </w:t>
      </w:r>
      <w:r w:rsidRPr="00D16AAD">
        <w:rPr>
          <w:lang w:val="en-US"/>
        </w:rPr>
        <w:t xml:space="preserve">was 44% to 45%, and </w:t>
      </w:r>
      <w:r>
        <w:rPr>
          <w:lang w:val="en-US"/>
        </w:rPr>
        <w:t xml:space="preserve">that </w:t>
      </w:r>
      <w:r w:rsidRPr="00D16AAD">
        <w:rPr>
          <w:lang w:val="en-US"/>
        </w:rPr>
        <w:t xml:space="preserve">the median OS </w:t>
      </w:r>
      <w:r>
        <w:rPr>
          <w:lang w:val="en-US"/>
        </w:rPr>
        <w:t xml:space="preserve">in these patients </w:t>
      </w:r>
      <w:r w:rsidRPr="00D16AAD">
        <w:rPr>
          <w:lang w:val="en-US"/>
        </w:rPr>
        <w:t xml:space="preserve">was 4.5 to 8.4 months. The </w:t>
      </w:r>
      <w:r>
        <w:rPr>
          <w:lang w:val="en-US"/>
        </w:rPr>
        <w:t xml:space="preserve">guidelines </w:t>
      </w:r>
      <w:r w:rsidRPr="00D16AAD">
        <w:rPr>
          <w:lang w:val="en-US"/>
        </w:rPr>
        <w:t>refer to published data showing that following</w:t>
      </w:r>
      <w:r w:rsidR="001D0208">
        <w:rPr>
          <w:lang w:val="en-US"/>
        </w:rPr>
        <w:t xml:space="preserve"> long duration of first CR (</w:t>
      </w:r>
      <w:r w:rsidR="000F385B">
        <w:rPr>
          <w:lang w:val="en-US"/>
        </w:rPr>
        <w:t>&gt;</w:t>
      </w:r>
      <w:r w:rsidR="000F7D61">
        <w:rPr>
          <w:lang w:val="en-US"/>
        </w:rPr>
        <w:t> </w:t>
      </w:r>
      <w:r w:rsidR="001D0208">
        <w:rPr>
          <w:lang w:val="en-US"/>
        </w:rPr>
        <w:t>2 </w:t>
      </w:r>
      <w:r w:rsidRPr="00D16AAD">
        <w:rPr>
          <w:lang w:val="en-US"/>
        </w:rPr>
        <w:t>years) re-induction with a standard induction regimen (such as used for original treatment) may be used for patients who have relapsed. The guidelines comment that short first CR or primary refractory disease is a very high risk situation, and consideration should immediately be given t</w:t>
      </w:r>
      <w:r>
        <w:rPr>
          <w:lang w:val="en-US"/>
        </w:rPr>
        <w:t xml:space="preserve">o the availability of trials with </w:t>
      </w:r>
      <w:r w:rsidRPr="00D16AAD">
        <w:rPr>
          <w:lang w:val="en-US"/>
        </w:rPr>
        <w:t xml:space="preserve">novel agents </w:t>
      </w:r>
      <w:r>
        <w:rPr>
          <w:lang w:val="en-US"/>
        </w:rPr>
        <w:t>to which the disease might be non-resistant</w:t>
      </w:r>
      <w:r w:rsidR="00503681">
        <w:rPr>
          <w:lang w:val="en-US"/>
        </w:rPr>
        <w:t>.</w:t>
      </w:r>
    </w:p>
    <w:p w14:paraId="676300D6" w14:textId="77777777" w:rsidR="00C71CC8" w:rsidRPr="00D16AAD" w:rsidRDefault="001D0208" w:rsidP="001D0208">
      <w:pPr>
        <w:rPr>
          <w:lang w:val="en-US" w:eastAsia="ja-JP"/>
        </w:rPr>
      </w:pPr>
      <w:r>
        <w:rPr>
          <w:lang w:val="en-US" w:eastAsia="ja-JP"/>
        </w:rPr>
        <w:t>The Summary of Efficacy</w:t>
      </w:r>
      <w:r w:rsidR="00C71CC8" w:rsidRPr="00D16AAD">
        <w:rPr>
          <w:lang w:val="en-US" w:eastAsia="ja-JP"/>
        </w:rPr>
        <w:t xml:space="preserve"> of the submitted dossier outlines various treatment regimens for the treatment of relapsed or refractory ALL.</w:t>
      </w:r>
    </w:p>
    <w:p w14:paraId="5C23FB77" w14:textId="77777777" w:rsidR="001D0208" w:rsidRDefault="00C71CC8" w:rsidP="001D0208">
      <w:pPr>
        <w:pStyle w:val="Numberbullet0"/>
        <w:numPr>
          <w:ilvl w:val="0"/>
          <w:numId w:val="18"/>
        </w:numPr>
        <w:rPr>
          <w:lang w:val="en-US"/>
        </w:rPr>
      </w:pPr>
      <w:r w:rsidRPr="001D0208">
        <w:rPr>
          <w:rFonts w:cs="‡˚ø◊w‚"/>
          <w:lang w:val="en-US"/>
        </w:rPr>
        <w:t>Treatment of relapsed or refractory Philadelphia-chromosome negative (</w:t>
      </w:r>
      <w:proofErr w:type="spellStart"/>
      <w:r w:rsidRPr="001D0208">
        <w:rPr>
          <w:rFonts w:cs="‡˚ø◊w‚"/>
          <w:lang w:val="en-US"/>
        </w:rPr>
        <w:t>Ph</w:t>
      </w:r>
      <w:proofErr w:type="spellEnd"/>
      <w:r w:rsidRPr="001D0208">
        <w:rPr>
          <w:rFonts w:cs="‡˚ø◊w‚"/>
          <w:lang w:val="en-US"/>
        </w:rPr>
        <w:t xml:space="preserve">-) </w:t>
      </w:r>
      <w:r w:rsidR="006779D9" w:rsidRPr="001D0208">
        <w:rPr>
          <w:rFonts w:cs="‡˚ø◊w‚"/>
          <w:lang w:val="en-US"/>
        </w:rPr>
        <w:t>B cell</w:t>
      </w:r>
      <w:r w:rsidRPr="001D0208">
        <w:rPr>
          <w:rFonts w:cs="‡˚ø◊w‚"/>
          <w:lang w:val="en-US"/>
        </w:rPr>
        <w:t xml:space="preserve"> ALL: </w:t>
      </w:r>
      <w:r w:rsidRPr="001D0208">
        <w:rPr>
          <w:lang w:val="en-US"/>
        </w:rPr>
        <w:t xml:space="preserve">There is no single, generally accepted, standard of care regimen. Treatment typically includes a variety of induction regimens. Commonly used regimens include: (1) therapies based on a backbone of vincristine, corticosteroids, and anthracyclines; (2) </w:t>
      </w:r>
      <w:proofErr w:type="spellStart"/>
      <w:r w:rsidRPr="001D0208">
        <w:rPr>
          <w:lang w:val="en-US"/>
        </w:rPr>
        <w:t>hyperfractionated</w:t>
      </w:r>
      <w:proofErr w:type="spellEnd"/>
      <w:r w:rsidRPr="001D0208">
        <w:rPr>
          <w:lang w:val="en-US"/>
        </w:rPr>
        <w:t xml:space="preserve"> cyclophosphamide, vincristine, doxorubicin, dexamethasone, and methotrexate and cytarabine (Hyper-CVAD); (3) cytarabine based regimens such as high-dose </w:t>
      </w:r>
      <w:proofErr w:type="spellStart"/>
      <w:r w:rsidRPr="001D0208">
        <w:rPr>
          <w:lang w:val="en-US"/>
        </w:rPr>
        <w:t>cytarabine</w:t>
      </w:r>
      <w:proofErr w:type="spellEnd"/>
      <w:r w:rsidRPr="001D0208">
        <w:rPr>
          <w:lang w:val="en-US"/>
        </w:rPr>
        <w:t xml:space="preserve"> (HIDAC), </w:t>
      </w:r>
      <w:proofErr w:type="spellStart"/>
      <w:r w:rsidRPr="001D0208">
        <w:rPr>
          <w:lang w:val="en-US"/>
        </w:rPr>
        <w:t>fludarabine</w:t>
      </w:r>
      <w:proofErr w:type="spellEnd"/>
      <w:r w:rsidRPr="001D0208">
        <w:rPr>
          <w:lang w:val="en-US"/>
        </w:rPr>
        <w:t xml:space="preserve"> plus </w:t>
      </w:r>
      <w:proofErr w:type="spellStart"/>
      <w:r w:rsidRPr="001D0208">
        <w:rPr>
          <w:lang w:val="en-US"/>
        </w:rPr>
        <w:t>cytarabine</w:t>
      </w:r>
      <w:proofErr w:type="spellEnd"/>
      <w:r w:rsidRPr="001D0208">
        <w:rPr>
          <w:lang w:val="en-US"/>
        </w:rPr>
        <w:t xml:space="preserve"> plus granulocyte-colony stimulating factor (FLAG) ± </w:t>
      </w:r>
      <w:proofErr w:type="spellStart"/>
      <w:r w:rsidRPr="001D0208">
        <w:rPr>
          <w:lang w:val="en-US"/>
        </w:rPr>
        <w:t>idarubicin</w:t>
      </w:r>
      <w:proofErr w:type="spellEnd"/>
      <w:r w:rsidRPr="001D0208">
        <w:rPr>
          <w:lang w:val="en-US"/>
        </w:rPr>
        <w:t xml:space="preserve">, or </w:t>
      </w:r>
      <w:proofErr w:type="spellStart"/>
      <w:r w:rsidRPr="001D0208">
        <w:rPr>
          <w:lang w:val="en-US"/>
        </w:rPr>
        <w:t>mitoxantrone</w:t>
      </w:r>
      <w:proofErr w:type="spellEnd"/>
      <w:r w:rsidRPr="001D0208">
        <w:rPr>
          <w:lang w:val="en-US"/>
        </w:rPr>
        <w:t xml:space="preserve"> (</w:t>
      </w:r>
      <w:proofErr w:type="spellStart"/>
      <w:r w:rsidRPr="001D0208">
        <w:rPr>
          <w:lang w:val="en-US"/>
        </w:rPr>
        <w:t>mitoxantrone</w:t>
      </w:r>
      <w:proofErr w:type="spellEnd"/>
      <w:r w:rsidRPr="001D0208">
        <w:rPr>
          <w:lang w:val="en-US"/>
        </w:rPr>
        <w:t xml:space="preserve"> not approved in Australia for ALL) plus cytarabine (MXN/Ara-C); and (4) </w:t>
      </w:r>
      <w:proofErr w:type="spellStart"/>
      <w:r w:rsidRPr="001D0208">
        <w:rPr>
          <w:lang w:val="en-US"/>
        </w:rPr>
        <w:t>clofarabine</w:t>
      </w:r>
      <w:proofErr w:type="spellEnd"/>
      <w:r w:rsidRPr="001D0208">
        <w:rPr>
          <w:lang w:val="en-US"/>
        </w:rPr>
        <w:t xml:space="preserve"> (approved in Australia only for paediatric patients) or methotrexate based regimens. In addition, </w:t>
      </w:r>
      <w:proofErr w:type="spellStart"/>
      <w:r w:rsidRPr="001D0208">
        <w:rPr>
          <w:lang w:val="en-US"/>
        </w:rPr>
        <w:t>blinatumomob</w:t>
      </w:r>
      <w:proofErr w:type="spellEnd"/>
      <w:r w:rsidRPr="001D0208">
        <w:rPr>
          <w:lang w:val="en-US"/>
        </w:rPr>
        <w:t xml:space="preserve"> can also be used for the treatment of patients with </w:t>
      </w:r>
      <w:proofErr w:type="spellStart"/>
      <w:r w:rsidRPr="001D0208">
        <w:rPr>
          <w:lang w:val="en-US"/>
        </w:rPr>
        <w:t>Ph</w:t>
      </w:r>
      <w:proofErr w:type="spellEnd"/>
      <w:r w:rsidRPr="001D0208">
        <w:rPr>
          <w:lang w:val="en-US"/>
        </w:rPr>
        <w:t xml:space="preserve">-negative </w:t>
      </w:r>
      <w:r w:rsidR="006779D9" w:rsidRPr="001D0208">
        <w:rPr>
          <w:lang w:val="en-US"/>
        </w:rPr>
        <w:t>B cell</w:t>
      </w:r>
      <w:r w:rsidRPr="001D0208">
        <w:rPr>
          <w:lang w:val="en-US"/>
        </w:rPr>
        <w:t xml:space="preserve"> ALL.</w:t>
      </w:r>
    </w:p>
    <w:p w14:paraId="6B72E962" w14:textId="77777777" w:rsidR="00C71CC8" w:rsidRPr="001D0208" w:rsidRDefault="00C71CC8" w:rsidP="001D0208">
      <w:pPr>
        <w:pStyle w:val="Numberbullet0"/>
        <w:numPr>
          <w:ilvl w:val="0"/>
          <w:numId w:val="18"/>
        </w:numPr>
        <w:rPr>
          <w:lang w:val="en-US"/>
        </w:rPr>
      </w:pPr>
      <w:r w:rsidRPr="001D0208">
        <w:rPr>
          <w:lang w:val="en-US"/>
        </w:rPr>
        <w:t xml:space="preserve">Treatment or relapsed or refractory </w:t>
      </w:r>
      <w:proofErr w:type="spellStart"/>
      <w:r w:rsidRPr="001D0208">
        <w:rPr>
          <w:lang w:val="en-US"/>
        </w:rPr>
        <w:t>Ph</w:t>
      </w:r>
      <w:proofErr w:type="spellEnd"/>
      <w:r w:rsidRPr="001D0208">
        <w:rPr>
          <w:lang w:val="en-US"/>
        </w:rPr>
        <w:t>-positive (</w:t>
      </w:r>
      <w:proofErr w:type="spellStart"/>
      <w:r w:rsidRPr="001D0208">
        <w:rPr>
          <w:lang w:val="en-US"/>
        </w:rPr>
        <w:t>Ph</w:t>
      </w:r>
      <w:proofErr w:type="spellEnd"/>
      <w:r w:rsidRPr="001D0208">
        <w:rPr>
          <w:lang w:val="en-US"/>
        </w:rPr>
        <w:t xml:space="preserve">+) </w:t>
      </w:r>
      <w:r w:rsidR="006779D9" w:rsidRPr="001D0208">
        <w:rPr>
          <w:lang w:val="en-US"/>
        </w:rPr>
        <w:t>B cell</w:t>
      </w:r>
      <w:r w:rsidRPr="001D0208">
        <w:rPr>
          <w:lang w:val="en-US"/>
        </w:rPr>
        <w:t xml:space="preserve"> ALL: Treatment typically includes TKIs. The ESMO guidelines recommend that patients with relapsed </w:t>
      </w:r>
      <w:proofErr w:type="spellStart"/>
      <w:r w:rsidRPr="001D0208">
        <w:rPr>
          <w:lang w:val="en-US"/>
        </w:rPr>
        <w:t>Ph</w:t>
      </w:r>
      <w:proofErr w:type="spellEnd"/>
      <w:r w:rsidRPr="001D0208">
        <w:rPr>
          <w:lang w:val="en-US"/>
        </w:rPr>
        <w:t xml:space="preserve">+ </w:t>
      </w:r>
      <w:r w:rsidR="006779D9" w:rsidRPr="001D0208">
        <w:rPr>
          <w:lang w:val="en-US"/>
        </w:rPr>
        <w:t>B cell</w:t>
      </w:r>
      <w:r w:rsidRPr="001D0208">
        <w:rPr>
          <w:lang w:val="en-US"/>
        </w:rPr>
        <w:t xml:space="preserve"> ALL should be offered treatment with the new generation of TKIs, according to the results of mutational analysis of their </w:t>
      </w:r>
      <w:r w:rsidR="003308E5">
        <w:t>breakpoint cluster region Abelson</w:t>
      </w:r>
      <w:r w:rsidR="003308E5" w:rsidRPr="001D0208">
        <w:rPr>
          <w:i/>
          <w:lang w:val="en-US"/>
        </w:rPr>
        <w:t xml:space="preserve"> </w:t>
      </w:r>
      <w:r w:rsidR="003308E5">
        <w:rPr>
          <w:i/>
          <w:lang w:val="en-US"/>
        </w:rPr>
        <w:t>(</w:t>
      </w:r>
      <w:r w:rsidRPr="001D0208">
        <w:rPr>
          <w:i/>
          <w:lang w:val="en-US"/>
        </w:rPr>
        <w:t>BCR-ABL1</w:t>
      </w:r>
      <w:r w:rsidR="003308E5">
        <w:rPr>
          <w:i/>
          <w:lang w:val="en-US"/>
        </w:rPr>
        <w:t>)</w:t>
      </w:r>
      <w:r w:rsidRPr="001D0208">
        <w:rPr>
          <w:lang w:val="en-US"/>
        </w:rPr>
        <w:t xml:space="preserve"> transcripts. The guidelines comment that </w:t>
      </w:r>
      <w:r w:rsidR="001D0208">
        <w:rPr>
          <w:lang w:val="en-US"/>
        </w:rPr>
        <w:t>‘a</w:t>
      </w:r>
      <w:r w:rsidRPr="001D0208">
        <w:rPr>
          <w:lang w:val="en-US"/>
        </w:rPr>
        <w:t xml:space="preserve">lthough TKIs </w:t>
      </w:r>
      <w:r w:rsidR="001D0208">
        <w:rPr>
          <w:lang w:val="en-US"/>
        </w:rPr>
        <w:t>are not without adverse events; t</w:t>
      </w:r>
      <w:r w:rsidRPr="001D0208">
        <w:rPr>
          <w:lang w:val="en-US"/>
        </w:rPr>
        <w:t xml:space="preserve">hey are, nonetheless a vastly superior option compared with repetitive treatment with </w:t>
      </w:r>
      <w:proofErr w:type="spellStart"/>
      <w:r w:rsidRPr="001D0208">
        <w:rPr>
          <w:lang w:val="en-US"/>
        </w:rPr>
        <w:t>myelosuppressive</w:t>
      </w:r>
      <w:proofErr w:type="spellEnd"/>
      <w:r w:rsidRPr="001D0208">
        <w:rPr>
          <w:lang w:val="en-US"/>
        </w:rPr>
        <w:t xml:space="preserve"> chemotherapy, as they preserve performance status and are better tolerated by elderly patients</w:t>
      </w:r>
      <w:r w:rsidR="001D0208">
        <w:rPr>
          <w:lang w:val="en-US"/>
        </w:rPr>
        <w:t>’</w:t>
      </w:r>
      <w:r w:rsidRPr="001D0208">
        <w:rPr>
          <w:lang w:val="en-US"/>
        </w:rPr>
        <w:t>. The guidelines note that there is no evidence that TKIs induce long-term survival post-relapse and that the majority of patients will require</w:t>
      </w:r>
      <w:r w:rsidR="001D0208">
        <w:rPr>
          <w:lang w:val="en-US"/>
        </w:rPr>
        <w:t xml:space="preserve"> allogeneic SCT.</w:t>
      </w:r>
    </w:p>
    <w:p w14:paraId="327036AF" w14:textId="77777777" w:rsidR="00605AD4" w:rsidRPr="001D0208" w:rsidRDefault="00605AD4" w:rsidP="001D0208">
      <w:pPr>
        <w:pStyle w:val="Heading4"/>
      </w:pPr>
      <w:bookmarkStart w:id="89" w:name="_Toc196046464"/>
      <w:bookmarkStart w:id="90" w:name="_Toc247691518"/>
      <w:bookmarkStart w:id="91" w:name="_Toc314842502"/>
      <w:r w:rsidRPr="001D0208">
        <w:t xml:space="preserve">Clinical </w:t>
      </w:r>
      <w:r w:rsidR="00EF59DC" w:rsidRPr="001D0208">
        <w:t>r</w:t>
      </w:r>
      <w:r w:rsidRPr="001D0208">
        <w:t>ationale</w:t>
      </w:r>
    </w:p>
    <w:p w14:paraId="15EEA893" w14:textId="77777777" w:rsidR="00C71CC8" w:rsidRPr="00660389" w:rsidRDefault="00C71CC8" w:rsidP="001D0208">
      <w:pPr>
        <w:rPr>
          <w:lang w:val="en-US"/>
        </w:rPr>
      </w:pPr>
      <w:r w:rsidRPr="00660389">
        <w:rPr>
          <w:lang w:val="en-US"/>
        </w:rPr>
        <w:t>In its covering letter</w:t>
      </w:r>
      <w:r>
        <w:rPr>
          <w:lang w:val="en-US"/>
        </w:rPr>
        <w:t xml:space="preserve"> for the submission t</w:t>
      </w:r>
      <w:r w:rsidR="001D0208">
        <w:rPr>
          <w:lang w:val="en-US"/>
        </w:rPr>
        <w:t>he sponsor states that ‘</w:t>
      </w:r>
      <w:proofErr w:type="spellStart"/>
      <w:r w:rsidR="001D0208">
        <w:rPr>
          <w:lang w:val="en-US"/>
        </w:rPr>
        <w:t>i</w:t>
      </w:r>
      <w:r w:rsidRPr="00660389">
        <w:rPr>
          <w:lang w:val="en-US"/>
        </w:rPr>
        <w:t>nspite</w:t>
      </w:r>
      <w:proofErr w:type="spellEnd"/>
      <w:r w:rsidRPr="00660389">
        <w:rPr>
          <w:lang w:val="en-US"/>
        </w:rPr>
        <w:t xml:space="preserve"> of many advances in the field of leukaemia during the past two decades, ALL remains a frequent cause of morbidity and mor</w:t>
      </w:r>
      <w:r w:rsidR="001D0208">
        <w:rPr>
          <w:lang w:val="en-US"/>
        </w:rPr>
        <w:t>tality throughout the world’.</w:t>
      </w:r>
    </w:p>
    <w:p w14:paraId="7FC5D070" w14:textId="77777777" w:rsidR="00500337" w:rsidRDefault="00C71CC8" w:rsidP="001D0208">
      <w:pPr>
        <w:rPr>
          <w:lang w:val="en-US"/>
        </w:rPr>
      </w:pPr>
      <w:r w:rsidRPr="00660389">
        <w:rPr>
          <w:lang w:val="en-US"/>
        </w:rPr>
        <w:t>The sponsor's rational</w:t>
      </w:r>
      <w:r>
        <w:rPr>
          <w:lang w:val="en-US"/>
        </w:rPr>
        <w:t xml:space="preserve">e, which is based on the significant morbidity and mortality of the disease and lack of chemotherapeutic options, </w:t>
      </w:r>
      <w:r w:rsidR="001D0208">
        <w:rPr>
          <w:lang w:val="en-US"/>
        </w:rPr>
        <w:t>is considered to be acceptable.</w:t>
      </w:r>
    </w:p>
    <w:p w14:paraId="62DA4C00" w14:textId="77777777" w:rsidR="00B2792E" w:rsidRPr="001D0208" w:rsidRDefault="00B2792E" w:rsidP="001D0208">
      <w:pPr>
        <w:pStyle w:val="Heading4"/>
      </w:pPr>
      <w:bookmarkStart w:id="92" w:name="_Toc503177982"/>
      <w:r w:rsidRPr="001D0208">
        <w:lastRenderedPageBreak/>
        <w:t>Formulation</w:t>
      </w:r>
      <w:bookmarkEnd w:id="92"/>
    </w:p>
    <w:p w14:paraId="6BA28AD1" w14:textId="77777777" w:rsidR="00B2792E" w:rsidRPr="00B2792E" w:rsidRDefault="00B2792E" w:rsidP="001D0208">
      <w:r w:rsidRPr="00B2792E">
        <w:t>The inotuzumab ozogamicin dosage strength proposed for registration is 1 mg/</w:t>
      </w:r>
      <w:proofErr w:type="spellStart"/>
      <w:r w:rsidRPr="00B2792E">
        <w:t>mL.</w:t>
      </w:r>
      <w:proofErr w:type="spellEnd"/>
      <w:r w:rsidRPr="00B2792E">
        <w:t xml:space="preserve"> The manufacturing process was modified from a 4 mg/vial to a 1 mg/vial dosage strength for commercial use, in part to minimise drug product wastage.</w:t>
      </w:r>
    </w:p>
    <w:p w14:paraId="55B46691" w14:textId="2DE59699" w:rsidR="00500337" w:rsidRPr="00500337" w:rsidRDefault="00B2792E" w:rsidP="00500337">
      <w:r w:rsidRPr="00B2792E">
        <w:t>Most patients in the clinical studies received inotuzumab ozogamicin using the 4 mg/vial dosage strength rather than the 1 mg/vial dosage strength intended for commercial use. Of the 164 patients randomised to the inotuzum</w:t>
      </w:r>
      <w:r w:rsidR="00503681">
        <w:t>ab ozogamicin treatment arm of S</w:t>
      </w:r>
      <w:r w:rsidRPr="00B2792E">
        <w:t>tudy</w:t>
      </w:r>
      <w:r w:rsidR="000F7D61">
        <w:t> </w:t>
      </w:r>
      <w:r w:rsidRPr="00B2792E">
        <w:t xml:space="preserve">B1931022 </w:t>
      </w:r>
      <w:r w:rsidR="000F7D61">
        <w:t xml:space="preserve">(the </w:t>
      </w:r>
      <w:r w:rsidRPr="00B2792E">
        <w:t xml:space="preserve">pivotal </w:t>
      </w:r>
      <w:r w:rsidR="001D0208">
        <w:t>Phase III</w:t>
      </w:r>
      <w:r w:rsidRPr="00B2792E">
        <w:t xml:space="preserve"> study in patients with ALL), 15 (9.1%) patients received study therapy with the 1 mg/vial dosage form of inotuzumab ozogamicin. In the supportive </w:t>
      </w:r>
      <w:r w:rsidR="001D0208">
        <w:t>Phase I/II</w:t>
      </w:r>
      <w:r w:rsidRPr="00B2792E">
        <w:t xml:space="preserve"> study (B1931010) in patients with ALL, all patients received inotuzumab ozogamicin </w:t>
      </w:r>
      <w:r w:rsidR="008177A2">
        <w:t>with the 4 mg/vial dosage form.</w:t>
      </w:r>
    </w:p>
    <w:p w14:paraId="04CF9F39" w14:textId="77777777" w:rsidR="00605AD4" w:rsidRPr="00503681" w:rsidRDefault="00605AD4" w:rsidP="00503681">
      <w:pPr>
        <w:pStyle w:val="Heading4"/>
      </w:pPr>
      <w:r w:rsidRPr="00503681">
        <w:t>Contents of the clinical dossier</w:t>
      </w:r>
    </w:p>
    <w:p w14:paraId="2C1BF951" w14:textId="17388EF6" w:rsidR="00B2792E" w:rsidRPr="00503681" w:rsidRDefault="00B2792E" w:rsidP="00B2792E">
      <w:pPr>
        <w:rPr>
          <w:lang w:eastAsia="ja-JP"/>
        </w:rPr>
      </w:pPr>
      <w:r>
        <w:rPr>
          <w:lang w:eastAsia="ja-JP"/>
        </w:rPr>
        <w:t>The clinical dossier included a comprehensive data package for evaluation of inotuzumab ozogamicin for the proposed indication. The clinical studies included 11</w:t>
      </w:r>
      <w:r w:rsidR="000F7D61">
        <w:rPr>
          <w:lang w:eastAsia="ja-JP"/>
        </w:rPr>
        <w:t xml:space="preserve"> sponsor-</w:t>
      </w:r>
      <w:r>
        <w:rPr>
          <w:lang w:eastAsia="ja-JP"/>
        </w:rPr>
        <w:t xml:space="preserve">sponsored clinical trials including 1 pivotal </w:t>
      </w:r>
      <w:r w:rsidR="001D0208">
        <w:rPr>
          <w:lang w:eastAsia="ja-JP"/>
        </w:rPr>
        <w:t>Phase III</w:t>
      </w:r>
      <w:r>
        <w:rPr>
          <w:lang w:eastAsia="ja-JP"/>
        </w:rPr>
        <w:t xml:space="preserve"> study in patients with ALL (</w:t>
      </w:r>
      <w:r w:rsidR="00503681">
        <w:rPr>
          <w:lang w:eastAsia="ja-JP"/>
        </w:rPr>
        <w:t>Study</w:t>
      </w:r>
      <w:r w:rsidR="000F7D61">
        <w:rPr>
          <w:lang w:eastAsia="ja-JP"/>
        </w:rPr>
        <w:t> </w:t>
      </w:r>
      <w:r>
        <w:rPr>
          <w:lang w:eastAsia="ja-JP"/>
        </w:rPr>
        <w:t xml:space="preserve">B1931022), 1 supportive </w:t>
      </w:r>
      <w:r w:rsidR="001D0208">
        <w:rPr>
          <w:lang w:eastAsia="ja-JP"/>
        </w:rPr>
        <w:t>Phase I/II</w:t>
      </w:r>
      <w:r>
        <w:rPr>
          <w:lang w:eastAsia="ja-JP"/>
        </w:rPr>
        <w:t xml:space="preserve"> studies in patients with ALL (</w:t>
      </w:r>
      <w:r w:rsidR="00503681">
        <w:rPr>
          <w:lang w:eastAsia="ja-JP"/>
        </w:rPr>
        <w:t>Study</w:t>
      </w:r>
      <w:r w:rsidR="000F7D61">
        <w:rPr>
          <w:lang w:eastAsia="ja-JP"/>
        </w:rPr>
        <w:t> </w:t>
      </w:r>
      <w:r>
        <w:rPr>
          <w:lang w:eastAsia="ja-JP"/>
        </w:rPr>
        <w:t>B1931010) and 9 studies in patients with non-Hodgkin’s lymphoma (NHL). There were no data in healthy volunteers. The clinical dossier was well presented</w:t>
      </w:r>
      <w:r w:rsidR="000F7D61">
        <w:rPr>
          <w:lang w:eastAsia="ja-JP"/>
        </w:rPr>
        <w:t xml:space="preserve"> and </w:t>
      </w:r>
      <w:proofErr w:type="spellStart"/>
      <w:r w:rsidR="000F7D61">
        <w:rPr>
          <w:lang w:eastAsia="ja-JP"/>
        </w:rPr>
        <w:t>contrained</w:t>
      </w:r>
      <w:proofErr w:type="spellEnd"/>
      <w:r w:rsidR="000F7D61">
        <w:rPr>
          <w:lang w:eastAsia="ja-JP"/>
        </w:rPr>
        <w:t xml:space="preserve"> the following:</w:t>
      </w:r>
    </w:p>
    <w:p w14:paraId="48386753" w14:textId="6FD1226B" w:rsidR="00B2792E" w:rsidRDefault="00503681" w:rsidP="00B2792E">
      <w:pPr>
        <w:pStyle w:val="ListBullet"/>
        <w:rPr>
          <w:lang w:eastAsia="ja-JP"/>
        </w:rPr>
      </w:pPr>
      <w:r>
        <w:rPr>
          <w:lang w:eastAsia="ja-JP"/>
        </w:rPr>
        <w:t xml:space="preserve">2 </w:t>
      </w:r>
      <w:r w:rsidR="000F7D61">
        <w:rPr>
          <w:lang w:eastAsia="ja-JP"/>
        </w:rPr>
        <w:t>sponsor-</w:t>
      </w:r>
      <w:r w:rsidR="00B2792E">
        <w:rPr>
          <w:lang w:eastAsia="ja-JP"/>
        </w:rPr>
        <w:t xml:space="preserve">sponsored studies in patients with ALL. The data for the pivotal </w:t>
      </w:r>
      <w:r w:rsidR="001D0208">
        <w:rPr>
          <w:lang w:eastAsia="ja-JP"/>
        </w:rPr>
        <w:t>Phase III</w:t>
      </w:r>
      <w:r w:rsidR="00B2792E">
        <w:rPr>
          <w:lang w:eastAsia="ja-JP"/>
        </w:rPr>
        <w:t xml:space="preserve"> study included an </w:t>
      </w:r>
      <w:r w:rsidR="002F076F">
        <w:rPr>
          <w:lang w:eastAsia="ja-JP"/>
        </w:rPr>
        <w:t xml:space="preserve">original clinical study report </w:t>
      </w:r>
      <w:r w:rsidR="00B2792E">
        <w:rPr>
          <w:lang w:eastAsia="ja-JP"/>
        </w:rPr>
        <w:t>(CSR), a supplementary CSR (</w:t>
      </w:r>
      <w:proofErr w:type="spellStart"/>
      <w:r w:rsidR="00B2792E">
        <w:rPr>
          <w:lang w:eastAsia="ja-JP"/>
        </w:rPr>
        <w:t>sCSR</w:t>
      </w:r>
      <w:proofErr w:type="spellEnd"/>
      <w:r w:rsidR="00B2792E">
        <w:rPr>
          <w:lang w:eastAsia="ja-JP"/>
        </w:rPr>
        <w:t xml:space="preserve">), a </w:t>
      </w:r>
      <w:r>
        <w:rPr>
          <w:lang w:eastAsia="ja-JP"/>
        </w:rPr>
        <w:t>Day 120</w:t>
      </w:r>
      <w:r w:rsidR="00B2792E">
        <w:rPr>
          <w:lang w:eastAsia="ja-JP"/>
        </w:rPr>
        <w:t xml:space="preserve"> Safety Update, and an updated overall survival analysis with data as of the last subject last visit (LSLV) </w:t>
      </w:r>
      <w:r>
        <w:rPr>
          <w:lang w:eastAsia="ja-JP"/>
        </w:rPr>
        <w:t>of 4 January 2017.</w:t>
      </w:r>
    </w:p>
    <w:p w14:paraId="36E0BF42" w14:textId="452265C5" w:rsidR="00B2792E" w:rsidRDefault="00503681" w:rsidP="00B2792E">
      <w:pPr>
        <w:pStyle w:val="ListBullet"/>
        <w:rPr>
          <w:lang w:eastAsia="ja-JP"/>
        </w:rPr>
      </w:pPr>
      <w:r>
        <w:rPr>
          <w:lang w:eastAsia="ja-JP"/>
        </w:rPr>
        <w:t xml:space="preserve">9 </w:t>
      </w:r>
      <w:r w:rsidR="000F7D61">
        <w:rPr>
          <w:lang w:eastAsia="ja-JP"/>
        </w:rPr>
        <w:t>sponsor-</w:t>
      </w:r>
      <w:r w:rsidR="00B2792E">
        <w:rPr>
          <w:lang w:eastAsia="ja-JP"/>
        </w:rPr>
        <w:t>sponsored clinic</w:t>
      </w:r>
      <w:r>
        <w:rPr>
          <w:lang w:eastAsia="ja-JP"/>
        </w:rPr>
        <w:t>al trials in patients with NHL.</w:t>
      </w:r>
    </w:p>
    <w:p w14:paraId="6716143A" w14:textId="77777777" w:rsidR="00B2792E" w:rsidRDefault="00B2792E" w:rsidP="00B2792E">
      <w:pPr>
        <w:pStyle w:val="ListBullet"/>
        <w:rPr>
          <w:lang w:eastAsia="ja-JP"/>
        </w:rPr>
      </w:pPr>
      <w:r>
        <w:rPr>
          <w:lang w:eastAsia="ja-JP"/>
        </w:rPr>
        <w:t>1 population pharmacokinetic (</w:t>
      </w:r>
      <w:proofErr w:type="spellStart"/>
      <w:r>
        <w:rPr>
          <w:lang w:eastAsia="ja-JP"/>
        </w:rPr>
        <w:t>popPK</w:t>
      </w:r>
      <w:proofErr w:type="spellEnd"/>
      <w:r>
        <w:rPr>
          <w:lang w:eastAsia="ja-JP"/>
        </w:rPr>
        <w:t>) report for ALL and NHL and a supplement to this report.</w:t>
      </w:r>
    </w:p>
    <w:p w14:paraId="5512D953" w14:textId="77777777" w:rsidR="00B2792E" w:rsidRDefault="00A232E5" w:rsidP="00B2792E">
      <w:pPr>
        <w:pStyle w:val="ListBullet"/>
        <w:rPr>
          <w:lang w:eastAsia="ja-JP"/>
        </w:rPr>
      </w:pPr>
      <w:r>
        <w:rPr>
          <w:lang w:eastAsia="ja-JP"/>
        </w:rPr>
        <w:t>6 pharmacodynamic (PD)</w:t>
      </w:r>
      <w:r w:rsidR="00B2792E">
        <w:rPr>
          <w:lang w:eastAsia="ja-JP"/>
        </w:rPr>
        <w:t xml:space="preserve"> and </w:t>
      </w:r>
      <w:r w:rsidR="0041592A">
        <w:t xml:space="preserve">pharmacokinetic (PK) </w:t>
      </w:r>
      <w:r w:rsidR="00B2792E">
        <w:rPr>
          <w:lang w:eastAsia="ja-JP"/>
        </w:rPr>
        <w:t xml:space="preserve">PK/D studies providing concentration </w:t>
      </w:r>
      <w:proofErr w:type="spellStart"/>
      <w:r w:rsidR="00B2792E">
        <w:rPr>
          <w:lang w:eastAsia="ja-JP"/>
        </w:rPr>
        <w:t>QTc</w:t>
      </w:r>
      <w:proofErr w:type="spellEnd"/>
      <w:r w:rsidR="00B2792E">
        <w:rPr>
          <w:lang w:eastAsia="ja-JP"/>
        </w:rPr>
        <w:t xml:space="preserve"> analysis in patients with NHL, PK/PD analyses of QT intervals in patients with ALL and NHL, PK/PD analyses of the effects of exposure on safety a</w:t>
      </w:r>
      <w:r w:rsidR="00503681">
        <w:rPr>
          <w:lang w:eastAsia="ja-JP"/>
        </w:rPr>
        <w:t xml:space="preserve">nd efficacy, and </w:t>
      </w:r>
      <w:proofErr w:type="spellStart"/>
      <w:r w:rsidR="00503681">
        <w:rPr>
          <w:lang w:eastAsia="ja-JP"/>
        </w:rPr>
        <w:t>popPK</w:t>
      </w:r>
      <w:proofErr w:type="spellEnd"/>
      <w:r w:rsidR="00503681">
        <w:rPr>
          <w:lang w:eastAsia="ja-JP"/>
        </w:rPr>
        <w:t xml:space="preserve"> exposure </w:t>
      </w:r>
      <w:r w:rsidR="00B2792E">
        <w:rPr>
          <w:lang w:eastAsia="ja-JP"/>
        </w:rPr>
        <w:t>response efficacy modelling (OS</w:t>
      </w:r>
      <w:r w:rsidR="00503681">
        <w:rPr>
          <w:lang w:eastAsia="ja-JP"/>
        </w:rPr>
        <w:t xml:space="preserve"> and </w:t>
      </w:r>
      <w:r>
        <w:t>progression-free survival</w:t>
      </w:r>
      <w:r>
        <w:rPr>
          <w:lang w:eastAsia="ja-JP"/>
        </w:rPr>
        <w:t xml:space="preserve"> (</w:t>
      </w:r>
      <w:r w:rsidR="00503681">
        <w:rPr>
          <w:lang w:eastAsia="ja-JP"/>
        </w:rPr>
        <w:t>PFS</w:t>
      </w:r>
      <w:r>
        <w:rPr>
          <w:lang w:eastAsia="ja-JP"/>
        </w:rPr>
        <w:t>)</w:t>
      </w:r>
      <w:r w:rsidR="00503681">
        <w:rPr>
          <w:lang w:eastAsia="ja-JP"/>
        </w:rPr>
        <w:t>) in patients with ALL.</w:t>
      </w:r>
    </w:p>
    <w:p w14:paraId="4F282057" w14:textId="77777777" w:rsidR="00B2792E" w:rsidRDefault="00B2792E" w:rsidP="00B2792E">
      <w:pPr>
        <w:pStyle w:val="ListBullet"/>
        <w:rPr>
          <w:lang w:eastAsia="ja-JP"/>
        </w:rPr>
      </w:pPr>
      <w:r>
        <w:rPr>
          <w:lang w:eastAsia="ja-JP"/>
        </w:rPr>
        <w:t>Safety data from investigator initiated studies (IIR).</w:t>
      </w:r>
    </w:p>
    <w:p w14:paraId="516D859E" w14:textId="77777777" w:rsidR="00B2792E" w:rsidRDefault="00B2792E" w:rsidP="00B2792E">
      <w:pPr>
        <w:pStyle w:val="ListBullet"/>
        <w:rPr>
          <w:lang w:eastAsia="ja-JP"/>
        </w:rPr>
      </w:pPr>
      <w:r>
        <w:rPr>
          <w:lang w:eastAsia="ja-JP"/>
        </w:rPr>
        <w:t>Safety data from c</w:t>
      </w:r>
      <w:r w:rsidR="00503681">
        <w:rPr>
          <w:lang w:eastAsia="ja-JP"/>
        </w:rPr>
        <w:t>ompassionate use (CU) programs.</w:t>
      </w:r>
    </w:p>
    <w:p w14:paraId="71ABDA55" w14:textId="77777777" w:rsidR="00B2792E" w:rsidRDefault="00B2792E" w:rsidP="00B2792E">
      <w:pPr>
        <w:pStyle w:val="ListBullet"/>
        <w:rPr>
          <w:lang w:eastAsia="ja-JP"/>
        </w:rPr>
      </w:pPr>
      <w:r>
        <w:rPr>
          <w:lang w:eastAsia="ja-JP"/>
        </w:rPr>
        <w:t xml:space="preserve">Integrated summary of clinical efficacy, cluster terms for analysis of safety, summary of clinical safety, </w:t>
      </w:r>
      <w:r w:rsidR="00503681">
        <w:rPr>
          <w:lang w:eastAsia="ja-JP"/>
        </w:rPr>
        <w:t>Day 120</w:t>
      </w:r>
      <w:r>
        <w:rPr>
          <w:lang w:eastAsia="ja-JP"/>
        </w:rPr>
        <w:t xml:space="preserve"> sa</w:t>
      </w:r>
      <w:r w:rsidR="00503681">
        <w:rPr>
          <w:lang w:eastAsia="ja-JP"/>
        </w:rPr>
        <w:t>fety update appendices 1 and 2.</w:t>
      </w:r>
    </w:p>
    <w:p w14:paraId="68E3EA35" w14:textId="77777777" w:rsidR="00B2792E" w:rsidRDefault="00B2792E" w:rsidP="00B2792E">
      <w:pPr>
        <w:pStyle w:val="ListBullet"/>
        <w:rPr>
          <w:lang w:eastAsia="ja-JP"/>
        </w:rPr>
      </w:pPr>
      <w:r>
        <w:rPr>
          <w:lang w:eastAsia="ja-JP"/>
        </w:rPr>
        <w:t>Reports of bioanalytical and analytical methods for the human studies.</w:t>
      </w:r>
    </w:p>
    <w:p w14:paraId="0A9CF2DC" w14:textId="77777777" w:rsidR="00B2792E" w:rsidRPr="00500337" w:rsidRDefault="00B2792E" w:rsidP="00500337">
      <w:pPr>
        <w:pStyle w:val="ListBullet"/>
        <w:rPr>
          <w:lang w:eastAsia="ja-JP"/>
        </w:rPr>
      </w:pPr>
      <w:r>
        <w:rPr>
          <w:lang w:eastAsia="ja-JP"/>
        </w:rPr>
        <w:t>Literature references.</w:t>
      </w:r>
    </w:p>
    <w:p w14:paraId="421DA236" w14:textId="77777777" w:rsidR="00605AD4" w:rsidRPr="00503681" w:rsidRDefault="00605AD4" w:rsidP="00503681">
      <w:pPr>
        <w:pStyle w:val="Heading4"/>
      </w:pPr>
      <w:r w:rsidRPr="00503681">
        <w:t>Paediatric data</w:t>
      </w:r>
    </w:p>
    <w:p w14:paraId="05E4C59E" w14:textId="77777777" w:rsidR="00B2792E" w:rsidRDefault="00B2792E" w:rsidP="00B2792E">
      <w:pPr>
        <w:rPr>
          <w:lang w:eastAsia="ja-JP"/>
        </w:rPr>
      </w:pPr>
      <w:r>
        <w:rPr>
          <w:lang w:eastAsia="ja-JP"/>
        </w:rPr>
        <w:t>No paediatric data were included in the clinical dossier. The sponsor has an agreed European Paediatric Investigation Plan (PIP), which includes a waiver for submitting data in a paediatric population from birth to less than 1 year on the grounds that the specific medicinal product does not represent a specific therapeutic benefit over existing treatments, and a deferral for starting studies in patients aged 1 to less than 18 years. T</w:t>
      </w:r>
      <w:r w:rsidRPr="00756B3B">
        <w:rPr>
          <w:lang w:eastAsia="ja-JP"/>
        </w:rPr>
        <w:t xml:space="preserve">he </w:t>
      </w:r>
      <w:r>
        <w:rPr>
          <w:lang w:eastAsia="ja-JP"/>
        </w:rPr>
        <w:t xml:space="preserve">European </w:t>
      </w:r>
      <w:r w:rsidRPr="00756B3B">
        <w:rPr>
          <w:lang w:eastAsia="ja-JP"/>
        </w:rPr>
        <w:t xml:space="preserve">Paediatric Committee decided that the first </w:t>
      </w:r>
      <w:r>
        <w:rPr>
          <w:lang w:eastAsia="ja-JP"/>
        </w:rPr>
        <w:t xml:space="preserve">paediatric </w:t>
      </w:r>
      <w:r w:rsidRPr="00756B3B">
        <w:rPr>
          <w:lang w:eastAsia="ja-JP"/>
        </w:rPr>
        <w:t>study should start as soon as a favourable benefit-risk relationship has been established in a controlled study in adults with ALL (</w:t>
      </w:r>
      <w:r w:rsidR="00503681">
        <w:rPr>
          <w:lang w:eastAsia="ja-JP"/>
        </w:rPr>
        <w:t>Study</w:t>
      </w:r>
      <w:r w:rsidRPr="00756B3B">
        <w:rPr>
          <w:lang w:eastAsia="ja-JP"/>
        </w:rPr>
        <w:t xml:space="preserve"> B1931022).</w:t>
      </w:r>
    </w:p>
    <w:p w14:paraId="347DE344" w14:textId="77777777" w:rsidR="00B2792E" w:rsidRDefault="00B2792E" w:rsidP="00B2792E">
      <w:pPr>
        <w:rPr>
          <w:lang w:eastAsia="ja-JP"/>
        </w:rPr>
      </w:pPr>
      <w:r>
        <w:rPr>
          <w:lang w:eastAsia="ja-JP"/>
        </w:rPr>
        <w:lastRenderedPageBreak/>
        <w:t xml:space="preserve">The sponsor is exempt from the requirement to submit paediatric data in the USA as inotuzumab ozogamicin is designated as an orphan drug for the treatment of </w:t>
      </w:r>
      <w:r w:rsidR="006779D9">
        <w:rPr>
          <w:lang w:eastAsia="ja-JP"/>
        </w:rPr>
        <w:t>B cell</w:t>
      </w:r>
      <w:r>
        <w:rPr>
          <w:lang w:eastAsia="ja-JP"/>
        </w:rPr>
        <w:t xml:space="preserve"> ALL in that jurisdiction.</w:t>
      </w:r>
    </w:p>
    <w:p w14:paraId="5C846944" w14:textId="53A71CFE" w:rsidR="00B2792E" w:rsidRDefault="00B2792E" w:rsidP="00B2792E">
      <w:pPr>
        <w:rPr>
          <w:lang w:eastAsia="ja-JP"/>
        </w:rPr>
      </w:pPr>
      <w:r w:rsidRPr="002A1F67">
        <w:rPr>
          <w:lang w:eastAsia="ja-JP"/>
        </w:rPr>
        <w:t>The lack of paediatric data is acceptable at this stage. However, the sponsor is requested to update the TGA on progress towards undertaking paediatric studies with inotuzumab ozoga</w:t>
      </w:r>
      <w:r>
        <w:rPr>
          <w:lang w:eastAsia="ja-JP"/>
        </w:rPr>
        <w:t>micin for the treatment of ALL</w:t>
      </w:r>
      <w:r w:rsidR="003C2D74">
        <w:rPr>
          <w:lang w:eastAsia="ja-JP"/>
        </w:rPr>
        <w:t>.</w:t>
      </w:r>
    </w:p>
    <w:p w14:paraId="5EC72D11" w14:textId="77777777" w:rsidR="00605AD4" w:rsidRDefault="00605AD4" w:rsidP="00605AD4">
      <w:pPr>
        <w:pStyle w:val="Heading4"/>
      </w:pPr>
      <w:r w:rsidRPr="00605AD4">
        <w:t>Good clinical practice</w:t>
      </w:r>
    </w:p>
    <w:p w14:paraId="1A18DD70" w14:textId="77777777" w:rsidR="00500337" w:rsidRPr="00500337" w:rsidRDefault="00B37AB3" w:rsidP="00B37AB3">
      <w:pPr>
        <w:rPr>
          <w:lang w:eastAsia="ja-JP"/>
        </w:rPr>
      </w:pPr>
      <w:r w:rsidRPr="002A1F67">
        <w:rPr>
          <w:lang w:eastAsia="ja-JP"/>
        </w:rPr>
        <w:t>The sponsor states the studies were</w:t>
      </w:r>
      <w:r w:rsidR="006779D9">
        <w:rPr>
          <w:lang w:eastAsia="ja-JP"/>
        </w:rPr>
        <w:t xml:space="preserve"> </w:t>
      </w:r>
      <w:r w:rsidRPr="002A1F67">
        <w:t>conducted in compliance with Good Clini</w:t>
      </w:r>
      <w:r w:rsidR="00503681">
        <w:t>cal Practice (GCP) guidelines.</w:t>
      </w:r>
    </w:p>
    <w:p w14:paraId="46F3D99E" w14:textId="77777777" w:rsidR="008E7846" w:rsidRDefault="008E7846" w:rsidP="00605AD4">
      <w:pPr>
        <w:pStyle w:val="Heading3"/>
      </w:pPr>
      <w:bookmarkStart w:id="93" w:name="_Toc16505600"/>
      <w:r w:rsidRPr="00254787">
        <w:t>Pharmacokinetics</w:t>
      </w:r>
      <w:bookmarkEnd w:id="77"/>
      <w:bookmarkEnd w:id="89"/>
      <w:bookmarkEnd w:id="90"/>
      <w:bookmarkEnd w:id="91"/>
      <w:bookmarkEnd w:id="93"/>
    </w:p>
    <w:p w14:paraId="13F06AA0" w14:textId="77777777" w:rsidR="00B37AB3" w:rsidRPr="00B37AB3" w:rsidRDefault="00B37AB3" w:rsidP="00B37AB3">
      <w:pPr>
        <w:pStyle w:val="Heading4"/>
      </w:pPr>
      <w:r>
        <w:t>Studies providing pharmacokinetic data</w:t>
      </w:r>
    </w:p>
    <w:p w14:paraId="09374901" w14:textId="7EEAB428" w:rsidR="00B37AB3" w:rsidRDefault="00B37AB3" w:rsidP="00503681">
      <w:pPr>
        <w:rPr>
          <w:rFonts w:cs="‡'F2ø◊◊Î"/>
          <w:lang w:val="en-US"/>
        </w:rPr>
      </w:pPr>
      <w:r>
        <w:t>T</w:t>
      </w:r>
      <w:r w:rsidRPr="00660389">
        <w:t xml:space="preserve">he submission included 11 </w:t>
      </w:r>
      <w:r w:rsidR="000F7D61">
        <w:t xml:space="preserve">sponsor </w:t>
      </w:r>
      <w:r w:rsidR="00503681">
        <w:t>sponsored</w:t>
      </w:r>
      <w:r w:rsidRPr="00660389">
        <w:t xml:space="preserve"> </w:t>
      </w:r>
      <w:r>
        <w:t xml:space="preserve">clinical </w:t>
      </w:r>
      <w:r w:rsidRPr="00660389">
        <w:t>studies comprising 2</w:t>
      </w:r>
      <w:r w:rsidR="000F7D61">
        <w:t> </w:t>
      </w:r>
      <w:r w:rsidRPr="00660389">
        <w:t xml:space="preserve">studies in patients with acute lymphoblastic leukaemia (ALL) and 9 studies in patients with non-Hodgkin's lymphoma (NHL). All 11 clinical studies included PK information for </w:t>
      </w:r>
      <w:r w:rsidRPr="00660389">
        <w:rPr>
          <w:rFonts w:cs="‡'F2ø◊◊Î"/>
          <w:lang w:val="en-US"/>
        </w:rPr>
        <w:t xml:space="preserve">inotuzumab ozogamicin. The 11 clinical studies with PK information are summarised in </w:t>
      </w:r>
      <w:r w:rsidR="00CC30C8" w:rsidRPr="00CC30C8">
        <w:rPr>
          <w:rFonts w:cs="‡'F2ø◊◊Î"/>
          <w:lang w:val="en-US"/>
        </w:rPr>
        <w:t>Table 7</w:t>
      </w:r>
      <w:r w:rsidRPr="00CC30C8">
        <w:rPr>
          <w:rFonts w:cs="‡'F2ø◊◊Î"/>
          <w:lang w:val="en-US"/>
        </w:rPr>
        <w:t>.</w:t>
      </w:r>
    </w:p>
    <w:p w14:paraId="28F86CC7" w14:textId="0D0E6FB3" w:rsidR="008177A2" w:rsidRDefault="008177A2" w:rsidP="008177A2">
      <w:pPr>
        <w:pStyle w:val="TableTitle"/>
      </w:pPr>
      <w:r>
        <w:rPr>
          <w:rFonts w:cs="‡'F2ø◊◊Î"/>
          <w:lang w:val="en-US"/>
        </w:rPr>
        <w:lastRenderedPageBreak/>
        <w:t xml:space="preserve">Table </w:t>
      </w:r>
      <w:r w:rsidR="00CC30C8">
        <w:rPr>
          <w:rFonts w:cs="‡'F2ø◊◊Î"/>
          <w:lang w:val="en-US"/>
        </w:rPr>
        <w:t>7:</w:t>
      </w:r>
      <w:r w:rsidRPr="008177A2">
        <w:t xml:space="preserve"> </w:t>
      </w:r>
      <w:r w:rsidRPr="003274CD">
        <w:t xml:space="preserve">Completed </w:t>
      </w:r>
      <w:r w:rsidR="000F7D61">
        <w:t>sponsor</w:t>
      </w:r>
      <w:r w:rsidRPr="003274CD">
        <w:t>-sponsored clinical studies w</w:t>
      </w:r>
      <w:r>
        <w:t>ith pharmacokinetic information</w:t>
      </w:r>
    </w:p>
    <w:p w14:paraId="5D71D7B9" w14:textId="77777777" w:rsidR="008177A2" w:rsidRDefault="0042126D" w:rsidP="008177A2">
      <w:r>
        <w:rPr>
          <w:noProof/>
          <w:lang w:eastAsia="en-AU"/>
        </w:rPr>
        <w:drawing>
          <wp:inline distT="0" distB="0" distL="0" distR="0" wp14:anchorId="2057CECA" wp14:editId="63A4E962">
            <wp:extent cx="5400040" cy="6916307"/>
            <wp:effectExtent l="0" t="0" r="0" b="0"/>
            <wp:docPr id="9" name="Picture 9" descr="Table 7: Completed Pfizer-sponsored clinical studies with pharmacokinet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6916307"/>
                    </a:xfrm>
                    <a:prstGeom prst="rect">
                      <a:avLst/>
                    </a:prstGeom>
                  </pic:spPr>
                </pic:pic>
              </a:graphicData>
            </a:graphic>
          </wp:inline>
        </w:drawing>
      </w:r>
    </w:p>
    <w:p w14:paraId="736DAE58" w14:textId="7DDFE198" w:rsidR="0042126D" w:rsidRDefault="0042126D" w:rsidP="0042126D">
      <w:pPr>
        <w:pStyle w:val="TableTitle"/>
      </w:pPr>
      <w:r>
        <w:rPr>
          <w:rFonts w:cs="‡'F2ø◊◊Î"/>
          <w:lang w:val="en-US"/>
        </w:rPr>
        <w:lastRenderedPageBreak/>
        <w:t xml:space="preserve">Table </w:t>
      </w:r>
      <w:r w:rsidR="00CC30C8">
        <w:rPr>
          <w:rFonts w:cs="‡'F2ø◊◊Î"/>
          <w:lang w:val="en-US"/>
        </w:rPr>
        <w:t>7</w:t>
      </w:r>
      <w:r w:rsidRPr="008177A2">
        <w:t xml:space="preserve"> </w:t>
      </w:r>
      <w:r>
        <w:t xml:space="preserve">(continued): </w:t>
      </w:r>
      <w:r w:rsidRPr="003274CD">
        <w:t xml:space="preserve">Completed </w:t>
      </w:r>
      <w:r w:rsidR="000F7D61">
        <w:t>sponsor</w:t>
      </w:r>
      <w:r w:rsidRPr="003274CD">
        <w:t>-sponsored clinical studies w</w:t>
      </w:r>
      <w:r>
        <w:t>ith pharmacokinetic information</w:t>
      </w:r>
    </w:p>
    <w:p w14:paraId="51C65383" w14:textId="77777777" w:rsidR="0042126D" w:rsidRPr="008177A2" w:rsidRDefault="0042126D" w:rsidP="0042126D">
      <w:r w:rsidRPr="0042126D">
        <w:rPr>
          <w:noProof/>
          <w:lang w:eastAsia="en-AU"/>
        </w:rPr>
        <w:drawing>
          <wp:inline distT="0" distB="0" distL="0" distR="0" wp14:anchorId="489A31D0" wp14:editId="5E75D0E7">
            <wp:extent cx="4086225" cy="8225765"/>
            <wp:effectExtent l="0" t="0" r="0" b="4445"/>
            <wp:docPr id="12" name="Picture 12" descr="Table 7 (continued): Completed Pfizer-sponsored clinical studies with pharmacokinet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86225" cy="8225765"/>
                    </a:xfrm>
                    <a:prstGeom prst="rect">
                      <a:avLst/>
                    </a:prstGeom>
                  </pic:spPr>
                </pic:pic>
              </a:graphicData>
            </a:graphic>
          </wp:inline>
        </w:drawing>
      </w:r>
    </w:p>
    <w:p w14:paraId="407EB802" w14:textId="77777777" w:rsidR="00503681" w:rsidRDefault="00B37AB3" w:rsidP="00503681">
      <w:pPr>
        <w:rPr>
          <w:rFonts w:eastAsiaTheme="minorHAnsi" w:cs="TimesNewRoman"/>
        </w:rPr>
      </w:pPr>
      <w:r w:rsidRPr="00660389">
        <w:lastRenderedPageBreak/>
        <w:t xml:space="preserve">There were no </w:t>
      </w:r>
      <w:r>
        <w:t xml:space="preserve">PK </w:t>
      </w:r>
      <w:r w:rsidRPr="00660389">
        <w:t>studies in healthy subjects</w:t>
      </w:r>
      <w:r>
        <w:t xml:space="preserve">. All </w:t>
      </w:r>
      <w:r w:rsidRPr="00660389">
        <w:t xml:space="preserve">PK information for </w:t>
      </w:r>
      <w:r w:rsidRPr="00660389">
        <w:rPr>
          <w:rFonts w:cs="‡'F2ø◊◊Î"/>
          <w:lang w:val="en-US"/>
        </w:rPr>
        <w:t xml:space="preserve">inotuzumab ozogamicin </w:t>
      </w:r>
      <w:r w:rsidRPr="00660389">
        <w:t xml:space="preserve">is derived from patients with ALL or NHL. This is considered to be acceptable given that the proposed product for registration contains a cytotoxic product. The proposed PI states that </w:t>
      </w:r>
      <w:r w:rsidR="00503681">
        <w:t>‘</w:t>
      </w:r>
      <w:r w:rsidRPr="006C3232">
        <w:rPr>
          <w:rFonts w:eastAsiaTheme="minorHAnsi" w:cs="TimesNewRoman"/>
          <w:i/>
        </w:rPr>
        <w:t xml:space="preserve">inotuzumab ozogamicin was clastogenic </w:t>
      </w:r>
      <w:r w:rsidRPr="000F7D61">
        <w:rPr>
          <w:rFonts w:eastAsiaTheme="minorHAnsi"/>
          <w:i/>
          <w:iCs/>
        </w:rPr>
        <w:t xml:space="preserve">in vivo </w:t>
      </w:r>
      <w:r w:rsidRPr="006C3232">
        <w:rPr>
          <w:rFonts w:eastAsiaTheme="minorHAnsi" w:cs="TimesNewRoman"/>
          <w:i/>
        </w:rPr>
        <w:t xml:space="preserve">in the bone marrow of male mice that received single doses </w:t>
      </w:r>
      <w:r w:rsidR="00503681" w:rsidRPr="006C3232">
        <w:rPr>
          <w:rFonts w:eastAsiaTheme="minorHAnsi" w:cs="TimesNewRoman"/>
          <w:i/>
        </w:rPr>
        <w:t xml:space="preserve">≥ </w:t>
      </w:r>
      <w:r w:rsidRPr="006C3232">
        <w:rPr>
          <w:rFonts w:eastAsiaTheme="minorHAnsi" w:cs="TimesNewRoman"/>
          <w:i/>
        </w:rPr>
        <w:t>1.14 mg/</w:t>
      </w:r>
      <w:r w:rsidR="00F769DD" w:rsidRPr="006C3232">
        <w:rPr>
          <w:i/>
          <w:lang w:val="en-US"/>
        </w:rPr>
        <w:t>m</w:t>
      </w:r>
      <w:r w:rsidR="00F769DD" w:rsidRPr="006C3232">
        <w:rPr>
          <w:i/>
          <w:vertAlign w:val="superscript"/>
          <w:lang w:val="en-US"/>
        </w:rPr>
        <w:t>2</w:t>
      </w:r>
      <w:r w:rsidRPr="006C3232">
        <w:rPr>
          <w:rFonts w:eastAsiaTheme="minorHAnsi" w:cs="TimesNewRoman"/>
          <w:i/>
        </w:rPr>
        <w:t xml:space="preserve">. This is consistent with the known induction of DNA breaks by </w:t>
      </w:r>
      <w:proofErr w:type="spellStart"/>
      <w:r w:rsidRPr="006C3232">
        <w:rPr>
          <w:rFonts w:eastAsiaTheme="minorHAnsi" w:cs="TimesNewRoman"/>
          <w:i/>
        </w:rPr>
        <w:t>calicheamicin</w:t>
      </w:r>
      <w:proofErr w:type="spellEnd"/>
      <w:r w:rsidRPr="006C3232">
        <w:rPr>
          <w:rFonts w:eastAsiaTheme="minorHAnsi" w:cs="TimesNewRoman"/>
          <w:i/>
        </w:rPr>
        <w:t xml:space="preserve"> and other </w:t>
      </w:r>
      <w:proofErr w:type="spellStart"/>
      <w:r w:rsidRPr="006C3232">
        <w:rPr>
          <w:rFonts w:eastAsiaTheme="minorHAnsi" w:cs="TimesNewRoman"/>
          <w:i/>
        </w:rPr>
        <w:t>enediyne</w:t>
      </w:r>
      <w:proofErr w:type="spellEnd"/>
      <w:r w:rsidRPr="006C3232">
        <w:rPr>
          <w:rFonts w:eastAsiaTheme="minorHAnsi" w:cs="TimesNewRoman"/>
          <w:i/>
        </w:rPr>
        <w:t xml:space="preserve"> </w:t>
      </w:r>
      <w:proofErr w:type="spellStart"/>
      <w:r w:rsidRPr="006C3232">
        <w:rPr>
          <w:rFonts w:eastAsiaTheme="minorHAnsi" w:cs="TimesNewRoman"/>
          <w:i/>
        </w:rPr>
        <w:t>antitumour</w:t>
      </w:r>
      <w:proofErr w:type="spellEnd"/>
      <w:r w:rsidRPr="006C3232">
        <w:rPr>
          <w:rFonts w:eastAsiaTheme="minorHAnsi" w:cs="TimesNewRoman"/>
          <w:i/>
        </w:rPr>
        <w:t xml:space="preserve"> antibiotics</w:t>
      </w:r>
      <w:r w:rsidR="00503681">
        <w:rPr>
          <w:rFonts w:eastAsiaTheme="minorHAnsi" w:cs="TimesNewRoman"/>
        </w:rPr>
        <w:t>’.</w:t>
      </w:r>
    </w:p>
    <w:p w14:paraId="58660263" w14:textId="77777777" w:rsidR="00503681" w:rsidRDefault="00503681" w:rsidP="00503681">
      <w:pPr>
        <w:rPr>
          <w:rFonts w:cs="‡'F2ø◊◊Î"/>
          <w:lang w:val="en-US"/>
        </w:rPr>
      </w:pPr>
      <w:r>
        <w:rPr>
          <w:rFonts w:cs="‡'F2ø◊◊Î"/>
          <w:lang w:val="en-US"/>
        </w:rPr>
        <w:t>Single agent</w:t>
      </w:r>
      <w:r w:rsidR="00B37AB3" w:rsidRPr="00660389">
        <w:rPr>
          <w:rFonts w:cs="‡'F2ø◊◊Î"/>
          <w:lang w:val="en-US"/>
        </w:rPr>
        <w:t xml:space="preserve"> inotuzum</w:t>
      </w:r>
      <w:r w:rsidR="00B37AB3">
        <w:rPr>
          <w:rFonts w:cs="‡'F2ø◊◊Î"/>
          <w:lang w:val="en-US"/>
        </w:rPr>
        <w:t>ab ozogamicin was administered in the</w:t>
      </w:r>
      <w:r w:rsidR="00B37AB3">
        <w:t xml:space="preserve"> </w:t>
      </w:r>
      <w:r w:rsidR="00B37AB3" w:rsidRPr="00660389">
        <w:t>2 studies</w:t>
      </w:r>
      <w:r w:rsidR="00B37AB3">
        <w:t xml:space="preserve"> in patients with ALL (</w:t>
      </w:r>
      <w:r>
        <w:rPr>
          <w:lang w:eastAsia="ja-JP"/>
        </w:rPr>
        <w:t>Study</w:t>
      </w:r>
      <w:r>
        <w:t xml:space="preserve"> </w:t>
      </w:r>
      <w:r w:rsidR="00B37AB3">
        <w:t xml:space="preserve">B1931022 </w:t>
      </w:r>
      <w:r>
        <w:t>(</w:t>
      </w:r>
      <w:r w:rsidR="001D0208">
        <w:t>Phase III</w:t>
      </w:r>
      <w:r w:rsidR="00B37AB3" w:rsidRPr="00660389">
        <w:t>, pivotal</w:t>
      </w:r>
      <w:r>
        <w:t>)</w:t>
      </w:r>
      <w:r w:rsidR="00B37AB3" w:rsidRPr="00660389">
        <w:t xml:space="preserve">; </w:t>
      </w:r>
      <w:r>
        <w:rPr>
          <w:lang w:eastAsia="ja-JP"/>
        </w:rPr>
        <w:t>Study</w:t>
      </w:r>
      <w:r w:rsidRPr="00660389">
        <w:t xml:space="preserve"> </w:t>
      </w:r>
      <w:r w:rsidR="00B37AB3" w:rsidRPr="00660389">
        <w:t>B19</w:t>
      </w:r>
      <w:r w:rsidR="00B37AB3">
        <w:t xml:space="preserve">31010 </w:t>
      </w:r>
      <w:r>
        <w:t>(</w:t>
      </w:r>
      <w:r w:rsidR="001D0208">
        <w:t>Phase I/II</w:t>
      </w:r>
      <w:r w:rsidR="00B37AB3">
        <w:t>, supportive</w:t>
      </w:r>
      <w:r>
        <w:t>)</w:t>
      </w:r>
      <w:r w:rsidR="00B37AB3">
        <w:t xml:space="preserve">). </w:t>
      </w:r>
      <w:r w:rsidR="00B37AB3" w:rsidRPr="00660389">
        <w:rPr>
          <w:rFonts w:cs="‡'F2ø◊◊Î"/>
          <w:lang w:val="en-US"/>
        </w:rPr>
        <w:t>In these studies, the concentration of inotuzumab ozogamicin and unconjugated calicheamicin in serum were measured using validated high-performance liquid chromatography with tandem mass spectrometry (HPLC/MS/MS) methods. The dose amount of inotuzumab ozogamicin was calculated based on total protein as reported on the vials. The molecular ratio of ADC versus total pro</w:t>
      </w:r>
      <w:r w:rsidR="00B37AB3">
        <w:rPr>
          <w:rFonts w:cs="‡'F2ø◊◊Î"/>
          <w:lang w:val="en-US"/>
        </w:rPr>
        <w:t>tein is close to 1 (1.076). T</w:t>
      </w:r>
      <w:r w:rsidR="00B37AB3" w:rsidRPr="00660389">
        <w:rPr>
          <w:rFonts w:cs="‡'F2ø◊◊Î"/>
          <w:lang w:val="en-US"/>
        </w:rPr>
        <w:t>herefore, for studies which utili</w:t>
      </w:r>
      <w:r w:rsidR="00B37AB3">
        <w:rPr>
          <w:rFonts w:cs="‡'F2ø◊◊Î"/>
          <w:lang w:val="en-US"/>
        </w:rPr>
        <w:t>s</w:t>
      </w:r>
      <w:r w:rsidR="00B37AB3" w:rsidRPr="00660389">
        <w:rPr>
          <w:rFonts w:cs="‡'F2ø◊◊Î"/>
          <w:lang w:val="en-US"/>
        </w:rPr>
        <w:t>ed the HPLC/MS/MS ana</w:t>
      </w:r>
      <w:r w:rsidR="00B37AB3">
        <w:rPr>
          <w:rFonts w:cs="‡'F2ø◊◊Î"/>
          <w:lang w:val="en-US"/>
        </w:rPr>
        <w:t xml:space="preserve">lysis for inotuzumab ozogamicin </w:t>
      </w:r>
      <w:r w:rsidR="00B37AB3" w:rsidRPr="00660389">
        <w:rPr>
          <w:rFonts w:cs="‡'F2ø◊◊Î"/>
          <w:lang w:val="en-US"/>
        </w:rPr>
        <w:t xml:space="preserve">reference was to either total protein or inotuzumab ozogamicin. The </w:t>
      </w:r>
      <w:r w:rsidR="00B37AB3">
        <w:rPr>
          <w:rFonts w:cs="‡'F2ø◊◊Î"/>
          <w:lang w:val="en-US"/>
        </w:rPr>
        <w:t xml:space="preserve">quantitation </w:t>
      </w:r>
      <w:r w:rsidR="00B37AB3" w:rsidRPr="00660389">
        <w:rPr>
          <w:rFonts w:cs="‡'F2ø◊◊Î"/>
          <w:lang w:val="en-US"/>
        </w:rPr>
        <w:t xml:space="preserve">range based on </w:t>
      </w:r>
      <w:r w:rsidR="00B37AB3">
        <w:rPr>
          <w:rFonts w:cs="‡'F2ø◊◊Î"/>
          <w:lang w:val="en-US"/>
        </w:rPr>
        <w:t xml:space="preserve">HPLC/MS/MS was </w:t>
      </w:r>
      <w:proofErr w:type="gramStart"/>
      <w:r w:rsidR="00B37AB3" w:rsidRPr="00660389">
        <w:rPr>
          <w:rFonts w:cs="‡'F2ø◊◊Î"/>
          <w:lang w:val="en-US"/>
        </w:rPr>
        <w:t>1.00 to 500 ng/mL for inotuzumab ozogamicin</w:t>
      </w:r>
      <w:proofErr w:type="gramEnd"/>
      <w:r w:rsidR="00B37AB3" w:rsidRPr="00660389">
        <w:rPr>
          <w:rFonts w:cs="‡'F2ø◊◊Î"/>
          <w:lang w:val="en-US"/>
        </w:rPr>
        <w:t xml:space="preserve"> and 0.0500 to 10.0</w:t>
      </w:r>
      <w:r>
        <w:rPr>
          <w:rFonts w:cs="‡'F2ø◊◊Î"/>
          <w:lang w:val="en-US"/>
        </w:rPr>
        <w:t> </w:t>
      </w:r>
      <w:r w:rsidR="00B37AB3" w:rsidRPr="00660389">
        <w:rPr>
          <w:rFonts w:cs="‡'F2ø◊◊Î"/>
          <w:lang w:val="en-US"/>
        </w:rPr>
        <w:t>ng/mL for unconjugated calicheamicin</w:t>
      </w:r>
      <w:r>
        <w:rPr>
          <w:rFonts w:cs="‡'F2ø◊◊Î"/>
          <w:lang w:val="en-US"/>
        </w:rPr>
        <w:t>.</w:t>
      </w:r>
    </w:p>
    <w:p w14:paraId="5C766BC0" w14:textId="401E3C5A" w:rsidR="00503681" w:rsidRPr="00503681" w:rsidRDefault="00B37AB3" w:rsidP="00503681">
      <w:pPr>
        <w:rPr>
          <w:lang w:val="en-US"/>
        </w:rPr>
      </w:pPr>
      <w:r w:rsidRPr="00660389">
        <w:rPr>
          <w:lang w:val="en-US"/>
        </w:rPr>
        <w:t xml:space="preserve">In the 9 studies in patients with NHL, </w:t>
      </w:r>
      <w:r w:rsidR="00E86989">
        <w:rPr>
          <w:lang w:val="en-US"/>
        </w:rPr>
        <w:t>single agent</w:t>
      </w:r>
      <w:r w:rsidRPr="00660389">
        <w:rPr>
          <w:lang w:val="en-US"/>
        </w:rPr>
        <w:t xml:space="preserve"> inotuzumab ozogamicin was administered in 3 </w:t>
      </w:r>
      <w:r w:rsidR="000F7D61">
        <w:rPr>
          <w:lang w:val="en-US"/>
        </w:rPr>
        <w:t>s</w:t>
      </w:r>
      <w:r w:rsidR="00617F88">
        <w:rPr>
          <w:lang w:val="en-US"/>
        </w:rPr>
        <w:t>tudies</w:t>
      </w:r>
      <w:r w:rsidRPr="00660389">
        <w:rPr>
          <w:lang w:val="en-US"/>
        </w:rPr>
        <w:t xml:space="preserve"> (</w:t>
      </w:r>
      <w:r w:rsidR="000F7D61">
        <w:rPr>
          <w:lang w:val="en-US"/>
        </w:rPr>
        <w:t xml:space="preserve">Studies </w:t>
      </w:r>
      <w:r w:rsidRPr="00660389">
        <w:rPr>
          <w:lang w:val="en-US"/>
        </w:rPr>
        <w:t xml:space="preserve">B1931002, B1931016, and B1931007), inotuzumab ozogamicin in combination with rituximab was administered in 5 </w:t>
      </w:r>
      <w:r w:rsidR="000F7D61">
        <w:rPr>
          <w:lang w:val="en-US"/>
        </w:rPr>
        <w:t>s</w:t>
      </w:r>
      <w:r w:rsidR="00617F88">
        <w:rPr>
          <w:lang w:val="en-US"/>
        </w:rPr>
        <w:t>tudies</w:t>
      </w:r>
      <w:r w:rsidRPr="00660389">
        <w:rPr>
          <w:lang w:val="en-US"/>
        </w:rPr>
        <w:t xml:space="preserve"> (</w:t>
      </w:r>
      <w:r w:rsidR="000F7D61">
        <w:rPr>
          <w:lang w:val="en-US"/>
        </w:rPr>
        <w:t>Studies </w:t>
      </w:r>
      <w:r w:rsidRPr="00660389">
        <w:rPr>
          <w:lang w:val="en-US"/>
        </w:rPr>
        <w:t xml:space="preserve">B1931001, B1931004, B1931005, B1931006, and B1931008), and inotuzumab ozogamicin in combination with rituximab and chemotherapy was administered </w:t>
      </w:r>
      <w:r>
        <w:rPr>
          <w:lang w:val="en-US"/>
        </w:rPr>
        <w:t xml:space="preserve">in 1 </w:t>
      </w:r>
      <w:r w:rsidR="00503681">
        <w:rPr>
          <w:lang w:val="en-US"/>
        </w:rPr>
        <w:t xml:space="preserve">(Study </w:t>
      </w:r>
      <w:r>
        <w:rPr>
          <w:lang w:val="en-US"/>
        </w:rPr>
        <w:t xml:space="preserve">B1931003). In the </w:t>
      </w:r>
      <w:r w:rsidRPr="00660389">
        <w:rPr>
          <w:lang w:val="en-US"/>
        </w:rPr>
        <w:t>clinical studies in patients with NHL, concentrations of inotuzumab ozogamicin, unconjugated calicheamicin, total calicheamicin (</w:t>
      </w:r>
      <w:r w:rsidR="00503681">
        <w:rPr>
          <w:lang w:val="en-US"/>
        </w:rPr>
        <w:t>that is</w:t>
      </w:r>
      <w:r w:rsidRPr="00660389">
        <w:rPr>
          <w:lang w:val="en-US"/>
        </w:rPr>
        <w:t xml:space="preserve">, unconjugated plus conjugated calicheamicin), and total antibody in serum were measured using enzyme-linked </w:t>
      </w:r>
      <w:r w:rsidRPr="00660389">
        <w:rPr>
          <w:rFonts w:asciiTheme="minorHAnsi" w:hAnsiTheme="minorHAnsi" w:cs="‡'F2ø◊◊Î"/>
          <w:lang w:val="en-US"/>
        </w:rPr>
        <w:t>immunosorbent assay (ELISA) methods.</w:t>
      </w:r>
      <w:r w:rsidR="006779D9">
        <w:rPr>
          <w:rFonts w:asciiTheme="minorHAnsi" w:hAnsiTheme="minorHAnsi" w:cs="‡'F2ø◊◊Î"/>
          <w:lang w:val="en-US"/>
        </w:rPr>
        <w:t xml:space="preserve"> </w:t>
      </w:r>
      <w:r w:rsidRPr="00660389">
        <w:rPr>
          <w:rFonts w:asciiTheme="minorHAnsi" w:hAnsiTheme="minorHAnsi" w:cs="‡'F2ø◊◊Î"/>
          <w:lang w:val="en-US"/>
        </w:rPr>
        <w:t xml:space="preserve">In the </w:t>
      </w:r>
      <w:r>
        <w:rPr>
          <w:rFonts w:asciiTheme="minorHAnsi" w:hAnsiTheme="minorHAnsi" w:cs="‡'F2ø◊◊Î"/>
          <w:lang w:val="en-US"/>
        </w:rPr>
        <w:t xml:space="preserve">clinical </w:t>
      </w:r>
      <w:r w:rsidRPr="00660389">
        <w:rPr>
          <w:rFonts w:asciiTheme="minorHAnsi" w:hAnsiTheme="minorHAnsi" w:cs="‡'F2ø◊◊Î"/>
          <w:lang w:val="en-US"/>
        </w:rPr>
        <w:t xml:space="preserve">studies in patients with NHL </w:t>
      </w:r>
      <w:r>
        <w:rPr>
          <w:rFonts w:asciiTheme="minorHAnsi" w:hAnsiTheme="minorHAnsi" w:cs="‡'F2ø◊◊Î"/>
          <w:lang w:val="en-US"/>
        </w:rPr>
        <w:t xml:space="preserve">where inotuzumab ozogamicin was administered </w:t>
      </w:r>
      <w:r w:rsidRPr="00660389">
        <w:rPr>
          <w:rFonts w:asciiTheme="minorHAnsi" w:hAnsiTheme="minorHAnsi" w:cs="‡'F2ø◊◊Î"/>
          <w:lang w:val="en-US"/>
        </w:rPr>
        <w:t>in combination with rituximab, an additional assessment was performed for detection of anti-rituximab antibodies using an ELISA</w:t>
      </w:r>
      <w:r w:rsidR="00503681">
        <w:rPr>
          <w:rFonts w:asciiTheme="minorHAnsi" w:hAnsiTheme="minorHAnsi" w:cs="‡'F2ø◊◊Î"/>
          <w:lang w:val="en-US"/>
        </w:rPr>
        <w:t>.</w:t>
      </w:r>
    </w:p>
    <w:p w14:paraId="46109225" w14:textId="77777777" w:rsidR="00B37AB3" w:rsidRPr="00B37AB3" w:rsidRDefault="00B37AB3" w:rsidP="00503681">
      <w:r w:rsidRPr="00660389">
        <w:rPr>
          <w:lang w:val="en-US"/>
        </w:rPr>
        <w:t xml:space="preserve">In the two ALL studies, anti-drug antibodies (ADA) to inotuzumab ozogamicin were </w:t>
      </w:r>
      <w:r>
        <w:rPr>
          <w:lang w:val="en-US"/>
        </w:rPr>
        <w:t>identified</w:t>
      </w:r>
      <w:r w:rsidRPr="00660389">
        <w:rPr>
          <w:lang w:val="en-US"/>
        </w:rPr>
        <w:t xml:space="preserve"> using a bridging electrochemiluminescence (ECL) assay. In the ALL studies, patients who tested positive for ADA were also tested for the presence of </w:t>
      </w:r>
      <w:proofErr w:type="spellStart"/>
      <w:r w:rsidRPr="00660389">
        <w:rPr>
          <w:lang w:val="en-US"/>
        </w:rPr>
        <w:t>neutrali</w:t>
      </w:r>
      <w:r>
        <w:rPr>
          <w:lang w:val="en-US"/>
        </w:rPr>
        <w:t>s</w:t>
      </w:r>
      <w:r w:rsidRPr="00660389">
        <w:rPr>
          <w:lang w:val="en-US"/>
        </w:rPr>
        <w:t>ing</w:t>
      </w:r>
      <w:proofErr w:type="spellEnd"/>
      <w:r w:rsidRPr="00660389">
        <w:rPr>
          <w:lang w:val="en-US"/>
        </w:rPr>
        <w:t xml:space="preserve"> antibodies (</w:t>
      </w:r>
      <w:proofErr w:type="spellStart"/>
      <w:r w:rsidRPr="00660389">
        <w:rPr>
          <w:lang w:val="en-US"/>
        </w:rPr>
        <w:t>nAb</w:t>
      </w:r>
      <w:r>
        <w:rPr>
          <w:lang w:val="en-US"/>
        </w:rPr>
        <w:t>s</w:t>
      </w:r>
      <w:proofErr w:type="spellEnd"/>
      <w:r w:rsidRPr="00660389">
        <w:rPr>
          <w:lang w:val="en-US"/>
        </w:rPr>
        <w:t xml:space="preserve">) to </w:t>
      </w:r>
      <w:proofErr w:type="spellStart"/>
      <w:r w:rsidRPr="00660389">
        <w:rPr>
          <w:lang w:val="en-US"/>
        </w:rPr>
        <w:t>inotuzumab</w:t>
      </w:r>
      <w:proofErr w:type="spellEnd"/>
      <w:r w:rsidRPr="00660389">
        <w:rPr>
          <w:lang w:val="en-US"/>
        </w:rPr>
        <w:t xml:space="preserve"> </w:t>
      </w:r>
      <w:proofErr w:type="spellStart"/>
      <w:r w:rsidRPr="00660389">
        <w:rPr>
          <w:lang w:val="en-US"/>
        </w:rPr>
        <w:t>ozogamicin</w:t>
      </w:r>
      <w:proofErr w:type="spellEnd"/>
      <w:r w:rsidRPr="00660389">
        <w:rPr>
          <w:lang w:val="en-US"/>
        </w:rPr>
        <w:t xml:space="preserve"> using a cell-based assay. In the nine NHL studies, ADAs </w:t>
      </w:r>
      <w:r w:rsidRPr="00660389">
        <w:rPr>
          <w:color w:val="000000"/>
          <w:lang w:val="en-US"/>
        </w:rPr>
        <w:t xml:space="preserve">to inotuzumab ozogamicin were </w:t>
      </w:r>
      <w:r>
        <w:rPr>
          <w:color w:val="000000"/>
          <w:lang w:val="en-US"/>
        </w:rPr>
        <w:t>identified</w:t>
      </w:r>
      <w:r w:rsidRPr="00660389">
        <w:rPr>
          <w:color w:val="000000"/>
          <w:lang w:val="en-US"/>
        </w:rPr>
        <w:t xml:space="preserve"> using an ELISA method. In the NHL studies, patients who tested positive for ADAs were not tested for the presence of </w:t>
      </w:r>
      <w:proofErr w:type="spellStart"/>
      <w:r w:rsidRPr="00660389">
        <w:rPr>
          <w:color w:val="000000"/>
          <w:lang w:val="en-US"/>
        </w:rPr>
        <w:t>nAbs</w:t>
      </w:r>
      <w:proofErr w:type="spellEnd"/>
      <w:r w:rsidRPr="00660389">
        <w:rPr>
          <w:color w:val="000000"/>
          <w:lang w:val="en-US"/>
        </w:rPr>
        <w:t xml:space="preserve"> as the assay was no available at the time these studies were conducted.</w:t>
      </w:r>
    </w:p>
    <w:p w14:paraId="04C376C7" w14:textId="77777777" w:rsidR="00B37AB3" w:rsidRPr="00503681" w:rsidRDefault="00B37AB3" w:rsidP="00503681">
      <w:pPr>
        <w:pStyle w:val="Heading4"/>
      </w:pPr>
      <w:r w:rsidRPr="00503681">
        <w:t>Population pharmacokinetic (</w:t>
      </w:r>
      <w:proofErr w:type="spellStart"/>
      <w:r w:rsidR="00503681" w:rsidRPr="00503681">
        <w:t>popPK</w:t>
      </w:r>
      <w:proofErr w:type="spellEnd"/>
      <w:r w:rsidR="00503681" w:rsidRPr="00503681">
        <w:t>) analyses</w:t>
      </w:r>
    </w:p>
    <w:p w14:paraId="59B061E5" w14:textId="77777777" w:rsidR="00503681" w:rsidRDefault="00B37AB3" w:rsidP="00503681">
      <w:r w:rsidRPr="00B37AB3">
        <w:t xml:space="preserve">In addition to the PK data from the individual studies in patients with ALL and NHL the submission also included two related </w:t>
      </w:r>
      <w:proofErr w:type="spellStart"/>
      <w:r w:rsidRPr="00B37AB3">
        <w:t>popPK</w:t>
      </w:r>
      <w:proofErr w:type="spellEnd"/>
      <w:r w:rsidRPr="00B37AB3">
        <w:t xml:space="preserve"> analyses. The initial </w:t>
      </w:r>
      <w:proofErr w:type="spellStart"/>
      <w:r w:rsidRPr="00B37AB3">
        <w:t>popPK</w:t>
      </w:r>
      <w:proofErr w:type="spellEnd"/>
      <w:r w:rsidRPr="00B37AB3">
        <w:t xml:space="preserve"> analysis (Report PMAR-EQDD-B193a-DP4-202) provided an integrated analysis of pooled data from 736 patients,</w:t>
      </w:r>
      <w:r w:rsidR="006779D9">
        <w:t xml:space="preserve"> </w:t>
      </w:r>
      <w:r w:rsidRPr="00B37AB3">
        <w:t xml:space="preserve">comprising 205 patients with relapsed or refractory ALL (from the 2 ALL studies referred to above) and 531 patients with relapsed or refractory NHL (from the 9 NHL studies referred to above). The supplemental </w:t>
      </w:r>
      <w:proofErr w:type="spellStart"/>
      <w:r w:rsidRPr="00B37AB3">
        <w:t>popPK</w:t>
      </w:r>
      <w:proofErr w:type="spellEnd"/>
      <w:r w:rsidRPr="00B37AB3">
        <w:t xml:space="preserve"> analysis (Report MAR-EQDD-B193a-DP4-202-Supplement) provided an updated integrated analysis including data from an additional 29 patients with ALL from </w:t>
      </w:r>
      <w:r w:rsidR="00503681">
        <w:t>Study</w:t>
      </w:r>
      <w:r w:rsidRPr="00B37AB3">
        <w:t xml:space="preserve"> B1931022. Therefore, the supplemental </w:t>
      </w:r>
      <w:proofErr w:type="spellStart"/>
      <w:r w:rsidRPr="00B37AB3">
        <w:t>popPK</w:t>
      </w:r>
      <w:proofErr w:type="spellEnd"/>
      <w:r w:rsidRPr="00B37AB3">
        <w:t xml:space="preserve"> analysis included pooled data from a total of 765 patients comprising 234 patients with ALL and 531 patients with NHL</w:t>
      </w:r>
      <w:r w:rsidR="00503681">
        <w:t>.</w:t>
      </w:r>
    </w:p>
    <w:p w14:paraId="5EA87178" w14:textId="77777777" w:rsidR="00605AD4" w:rsidRPr="00503681" w:rsidRDefault="00605AD4" w:rsidP="00503681">
      <w:pPr>
        <w:pStyle w:val="Heading4"/>
      </w:pPr>
      <w:r w:rsidRPr="00503681">
        <w:lastRenderedPageBreak/>
        <w:t>Evaluator’s conclusions on pharmacokinetics</w:t>
      </w:r>
    </w:p>
    <w:p w14:paraId="7F15FC48" w14:textId="77777777" w:rsidR="00503681" w:rsidRDefault="00B37AB3" w:rsidP="00B37AB3">
      <w:pPr>
        <w:pStyle w:val="ListBullet"/>
        <w:rPr>
          <w:lang w:val="en-US"/>
        </w:rPr>
      </w:pPr>
      <w:r w:rsidRPr="00E07FB3">
        <w:rPr>
          <w:rFonts w:cs="‡'F2ø◊◊Î"/>
          <w:lang w:val="en-US"/>
        </w:rPr>
        <w:t xml:space="preserve">Inotuzumab ozogamicin is an antibody drug conjugate (ADC). </w:t>
      </w:r>
      <w:r w:rsidRPr="00E07FB3">
        <w:rPr>
          <w:lang w:val="en-US"/>
        </w:rPr>
        <w:t>Th</w:t>
      </w:r>
      <w:r w:rsidR="00503681">
        <w:rPr>
          <w:lang w:val="en-US"/>
        </w:rPr>
        <w:t>e ADC consists of 3 components:</w:t>
      </w:r>
    </w:p>
    <w:p w14:paraId="1F1BFD4B" w14:textId="77777777" w:rsidR="00CB250C" w:rsidRPr="006C3232" w:rsidRDefault="00CB250C" w:rsidP="00C06E9F">
      <w:pPr>
        <w:pStyle w:val="ListBullet2"/>
      </w:pPr>
      <w:r w:rsidRPr="006C3232">
        <w:t>the recombinant humanised IgG4 kappa antibody inotuzumab, specific for human CD22;</w:t>
      </w:r>
    </w:p>
    <w:p w14:paraId="0FD0F560" w14:textId="77777777" w:rsidR="00CB250C" w:rsidRPr="006C3232" w:rsidRDefault="00CB250C" w:rsidP="00CB250C">
      <w:pPr>
        <w:pStyle w:val="ListBullet2"/>
      </w:pPr>
      <w:r w:rsidRPr="006C3232">
        <w:t>the cytotoxic agent N-acetyl-gamma-calicheamicin that causes DNA double strand-breaks; and</w:t>
      </w:r>
    </w:p>
    <w:p w14:paraId="5E621028" w14:textId="77777777" w:rsidR="00CB250C" w:rsidRPr="006C3232" w:rsidRDefault="00CB250C">
      <w:pPr>
        <w:pStyle w:val="ListBullet2"/>
      </w:pPr>
      <w:proofErr w:type="gramStart"/>
      <w:r w:rsidRPr="006C3232">
        <w:t>an</w:t>
      </w:r>
      <w:proofErr w:type="gramEnd"/>
      <w:r w:rsidRPr="006C3232">
        <w:t xml:space="preserve"> acid cleavable linker composed of the condensation product of</w:t>
      </w:r>
      <w:r w:rsidRPr="00CB250C">
        <w:t xml:space="preserve"> 4-(4’-Acetylphenoxy)</w:t>
      </w:r>
      <w:proofErr w:type="spellStart"/>
      <w:r w:rsidRPr="00CB250C">
        <w:t>butanoic</w:t>
      </w:r>
      <w:proofErr w:type="spellEnd"/>
      <w:r w:rsidRPr="00CB250C">
        <w:t xml:space="preserve"> acid, a bifunctional linker (</w:t>
      </w:r>
      <w:proofErr w:type="spellStart"/>
      <w:r w:rsidRPr="006C3232">
        <w:t>AcBut</w:t>
      </w:r>
      <w:proofErr w:type="spellEnd"/>
      <w:r w:rsidRPr="006C3232">
        <w:t>) and 3</w:t>
      </w:r>
      <w:r w:rsidRPr="006C3232">
        <w:noBreakHyphen/>
        <w:t xml:space="preserve">methyl-3-mercaptobutane hydrazide (known as </w:t>
      </w:r>
      <w:proofErr w:type="spellStart"/>
      <w:r w:rsidRPr="006C3232">
        <w:t>dimethylhydrazide</w:t>
      </w:r>
      <w:proofErr w:type="spellEnd"/>
      <w:r w:rsidRPr="006C3232">
        <w:t>) that covalently attaches N-acetyl-gamma-calicheamicin to inotuzumab.</w:t>
      </w:r>
    </w:p>
    <w:p w14:paraId="79B57CA9" w14:textId="21A4D927" w:rsidR="00B37AB3" w:rsidRPr="00E07FB3" w:rsidRDefault="00B37AB3" w:rsidP="00B37AB3">
      <w:pPr>
        <w:pStyle w:val="ListBullet"/>
        <w:rPr>
          <w:rFonts w:cs="‡Ôø◊ÁÏ"/>
          <w:lang w:val="en-US"/>
        </w:rPr>
      </w:pPr>
      <w:r w:rsidRPr="00E07FB3">
        <w:rPr>
          <w:rFonts w:cs="‡Ôø◊ÁÏ"/>
          <w:lang w:val="en-US"/>
        </w:rPr>
        <w:t>Validated HPLC/MS/MS methods were used to measure inotuzumab ozogamicin and unconjugated calicheamicin in serum from patients with relapsed or refractory ALL. Unconjugated calicheamicin levels were generally be</w:t>
      </w:r>
      <w:r w:rsidR="00503681">
        <w:rPr>
          <w:rFonts w:cs="‡Ôø◊ÁÏ"/>
          <w:lang w:val="en-US"/>
        </w:rPr>
        <w:t xml:space="preserve">low the </w:t>
      </w:r>
      <w:r w:rsidR="00A232E5">
        <w:t>lower limit of quantitation</w:t>
      </w:r>
      <w:r w:rsidR="00A232E5">
        <w:rPr>
          <w:rFonts w:cs="‡Ôø◊ÁÏ"/>
          <w:lang w:val="en-US"/>
        </w:rPr>
        <w:t xml:space="preserve"> (</w:t>
      </w:r>
      <w:r w:rsidR="00503681">
        <w:rPr>
          <w:rFonts w:cs="‡Ôø◊ÁÏ"/>
          <w:lang w:val="en-US"/>
        </w:rPr>
        <w:t>LLOQ</w:t>
      </w:r>
      <w:r w:rsidR="00A232E5">
        <w:rPr>
          <w:rFonts w:cs="‡Ôø◊ÁÏ"/>
          <w:lang w:val="en-US"/>
        </w:rPr>
        <w:t>)</w:t>
      </w:r>
      <w:r w:rsidR="00503681">
        <w:rPr>
          <w:rFonts w:cs="‡Ôø◊ÁÏ"/>
          <w:lang w:val="en-US"/>
        </w:rPr>
        <w:t xml:space="preserve"> of the assay </w:t>
      </w:r>
      <w:proofErr w:type="gramStart"/>
      <w:r w:rsidR="00503681">
        <w:rPr>
          <w:rFonts w:cs="‡Ôø◊ÁÏ"/>
          <w:lang w:val="en-US"/>
        </w:rPr>
        <w:t>(50 </w:t>
      </w:r>
      <w:proofErr w:type="spellStart"/>
      <w:r>
        <w:rPr>
          <w:rFonts w:cs="‡Ôø◊ÁÏ"/>
          <w:lang w:val="en-US"/>
        </w:rPr>
        <w:t>pg</w:t>
      </w:r>
      <w:proofErr w:type="spellEnd"/>
      <w:r>
        <w:rPr>
          <w:rFonts w:cs="‡Ôø◊ÁÏ"/>
          <w:lang w:val="en-US"/>
        </w:rPr>
        <w:t>/mL)</w:t>
      </w:r>
      <w:proofErr w:type="gramEnd"/>
      <w:r>
        <w:rPr>
          <w:rFonts w:cs="‡Ôø◊ÁÏ"/>
          <w:lang w:val="en-US"/>
        </w:rPr>
        <w:t xml:space="preserve"> </w:t>
      </w:r>
      <w:r w:rsidRPr="00E07FB3">
        <w:rPr>
          <w:rFonts w:cs="‡Ôø◊ÁÏ"/>
          <w:lang w:val="en-US"/>
        </w:rPr>
        <w:t xml:space="preserve">following </w:t>
      </w:r>
      <w:r>
        <w:rPr>
          <w:rFonts w:cs="‡Ôø◊ÁÏ"/>
          <w:lang w:val="en-US"/>
        </w:rPr>
        <w:t xml:space="preserve">the </w:t>
      </w:r>
      <w:proofErr w:type="spellStart"/>
      <w:r>
        <w:rPr>
          <w:rFonts w:cs="‡Ôø◊ÁÏ"/>
          <w:lang w:val="en-US"/>
        </w:rPr>
        <w:t>inotuzumab</w:t>
      </w:r>
      <w:proofErr w:type="spellEnd"/>
      <w:r>
        <w:rPr>
          <w:rFonts w:cs="‡Ôø◊ÁÏ"/>
          <w:lang w:val="en-US"/>
        </w:rPr>
        <w:t xml:space="preserve"> ozogamicin treatment regimen proposed for patients with </w:t>
      </w:r>
      <w:r w:rsidRPr="00E07FB3">
        <w:rPr>
          <w:rFonts w:cs="‡Ôø◊ÁÏ"/>
          <w:lang w:val="en-US"/>
        </w:rPr>
        <w:t>relapsed or refractory ALL</w:t>
      </w:r>
      <w:r>
        <w:rPr>
          <w:rFonts w:cs="‡Ôø◊ÁÏ"/>
          <w:lang w:val="en-US"/>
        </w:rPr>
        <w:t xml:space="preserve"> (</w:t>
      </w:r>
      <w:r w:rsidR="00503681">
        <w:rPr>
          <w:rFonts w:cs="‡Ôø◊ÁÏ"/>
          <w:lang w:val="en-US"/>
        </w:rPr>
        <w:t>Study</w:t>
      </w:r>
      <w:r w:rsidR="000F7D61">
        <w:rPr>
          <w:rFonts w:cs="‡Ôø◊ÁÏ"/>
          <w:lang w:val="en-US"/>
        </w:rPr>
        <w:t> </w:t>
      </w:r>
      <w:r w:rsidRPr="00E07FB3">
        <w:rPr>
          <w:rFonts w:cs="‡Ôø◊ÁÏ"/>
          <w:lang w:val="en-US"/>
        </w:rPr>
        <w:t>B1931022</w:t>
      </w:r>
      <w:r>
        <w:rPr>
          <w:rFonts w:cs="‡Ôø◊ÁÏ"/>
          <w:lang w:val="en-US"/>
        </w:rPr>
        <w:t>).</w:t>
      </w:r>
      <w:r w:rsidR="006779D9">
        <w:rPr>
          <w:rFonts w:cs="‡Ôø◊ÁÏ"/>
          <w:lang w:val="en-US"/>
        </w:rPr>
        <w:t xml:space="preserve"> </w:t>
      </w:r>
      <w:r>
        <w:rPr>
          <w:rFonts w:cs="‡Ôø◊ÁÏ"/>
          <w:lang w:val="en-US"/>
        </w:rPr>
        <w:t xml:space="preserve">Therefore, </w:t>
      </w:r>
      <w:r w:rsidRPr="009A0476">
        <w:rPr>
          <w:rFonts w:cs="‡?Ùø◊∑È"/>
          <w:color w:val="000000"/>
          <w:lang w:val="en-US"/>
        </w:rPr>
        <w:t>meaningful investigation of the clinical (</w:t>
      </w:r>
      <w:r w:rsidRPr="00160FA8">
        <w:rPr>
          <w:rFonts w:cs="‡?Ùø◊∑È"/>
          <w:i/>
          <w:color w:val="000000"/>
          <w:lang w:val="en-US"/>
        </w:rPr>
        <w:t>in vivo</w:t>
      </w:r>
      <w:r w:rsidRPr="009A0476">
        <w:rPr>
          <w:rFonts w:cs="‡?Ùø◊∑È"/>
          <w:color w:val="000000"/>
          <w:lang w:val="en-US"/>
        </w:rPr>
        <w:t>) pharmacok</w:t>
      </w:r>
      <w:r>
        <w:rPr>
          <w:rFonts w:cs="‡?Ùø◊∑È"/>
          <w:color w:val="000000"/>
          <w:lang w:val="en-US"/>
        </w:rPr>
        <w:t xml:space="preserve">inetics of the cytotoxic moiety of the ADC in humans was precluded. </w:t>
      </w:r>
      <w:r w:rsidRPr="00E07FB3">
        <w:rPr>
          <w:rFonts w:cs="‡Ôø◊ÁÏ"/>
          <w:lang w:val="en-US"/>
        </w:rPr>
        <w:t>Validated ELISA methods were used to measure inotuzumab ozogamicin, total antibody, total calicheamicin, and unconjugated calicheamicin in serum pharmacokinetic samples from patients with relapsed or refractory NHL.</w:t>
      </w:r>
    </w:p>
    <w:p w14:paraId="427C546F" w14:textId="77777777" w:rsidR="00503681" w:rsidRDefault="00B37AB3" w:rsidP="00B37AB3">
      <w:pPr>
        <w:pStyle w:val="ListBullet"/>
        <w:rPr>
          <w:lang w:val="en-US"/>
        </w:rPr>
      </w:pPr>
      <w:r w:rsidRPr="009A0476">
        <w:t xml:space="preserve">The pharmacokinetics of </w:t>
      </w:r>
      <w:r w:rsidRPr="009A0476">
        <w:rPr>
          <w:rFonts w:cs="‡Ôø◊ÁÏ"/>
          <w:lang w:val="en-US"/>
        </w:rPr>
        <w:t xml:space="preserve">inotuzumab ozogamicin are complex and have been reasonably well characterised based on data from patients with relapsed or refractory ALL (2 studies) or NHL (9 studies). In addition to PK data from the 11 individual clinical studies, pooled PK data were also available from an initial </w:t>
      </w:r>
      <w:proofErr w:type="spellStart"/>
      <w:r w:rsidRPr="009A0476">
        <w:rPr>
          <w:rFonts w:cs="‡Ôø◊ÁÏ"/>
          <w:lang w:val="en-US"/>
        </w:rPr>
        <w:t>popPK</w:t>
      </w:r>
      <w:proofErr w:type="spellEnd"/>
      <w:r w:rsidRPr="009A0476">
        <w:rPr>
          <w:rFonts w:cs="‡Ôø◊ÁÏ"/>
          <w:lang w:val="en-US"/>
        </w:rPr>
        <w:t xml:space="preserve"> analysis in 736 patients</w:t>
      </w:r>
      <w:r w:rsidR="006779D9">
        <w:rPr>
          <w:rFonts w:cs="‡Ôø◊ÁÏ"/>
          <w:lang w:val="en-US"/>
        </w:rPr>
        <w:t xml:space="preserve"> </w:t>
      </w:r>
      <w:r w:rsidRPr="009A0476">
        <w:rPr>
          <w:rFonts w:cs="‡Ôø◊ÁÏ"/>
          <w:lang w:val="en-US"/>
        </w:rPr>
        <w:t xml:space="preserve">(ALL </w:t>
      </w:r>
      <w:r w:rsidR="00503681">
        <w:rPr>
          <w:rFonts w:cs="‡Ôø◊ÁÏ"/>
          <w:lang w:val="en-US"/>
        </w:rPr>
        <w:t>(</w:t>
      </w:r>
      <w:r w:rsidRPr="009A0476">
        <w:rPr>
          <w:rFonts w:cs="‡Ôø◊ÁÏ"/>
          <w:lang w:val="en-US"/>
        </w:rPr>
        <w:t>n</w:t>
      </w:r>
      <w:r w:rsidR="0014606A">
        <w:rPr>
          <w:rFonts w:cs="‡Ôø◊ÁÏ"/>
          <w:lang w:val="en-US"/>
        </w:rPr>
        <w:t xml:space="preserve"> = </w:t>
      </w:r>
      <w:r w:rsidRPr="009A0476">
        <w:rPr>
          <w:rFonts w:cs="‡Ôø◊ÁÏ"/>
          <w:lang w:val="en-US"/>
        </w:rPr>
        <w:t>205</w:t>
      </w:r>
      <w:r w:rsidR="00503681">
        <w:rPr>
          <w:rFonts w:cs="‡Ôø◊ÁÏ"/>
          <w:lang w:val="en-US"/>
        </w:rPr>
        <w:t>)</w:t>
      </w:r>
      <w:r w:rsidRPr="009A0476">
        <w:rPr>
          <w:rFonts w:cs="‡Ôø◊ÁÏ"/>
          <w:lang w:val="en-US"/>
        </w:rPr>
        <w:t>, 2 studies; NHL (n</w:t>
      </w:r>
      <w:r w:rsidR="0014606A">
        <w:rPr>
          <w:rFonts w:cs="‡Ôø◊ÁÏ"/>
          <w:lang w:val="en-US"/>
        </w:rPr>
        <w:t xml:space="preserve"> = </w:t>
      </w:r>
      <w:r w:rsidRPr="009A0476">
        <w:rPr>
          <w:rFonts w:cs="‡Ôø◊ÁÏ"/>
          <w:lang w:val="en-US"/>
        </w:rPr>
        <w:t>531), 9 studies), with 7911 PK observations for</w:t>
      </w:r>
      <w:r w:rsidR="006779D9">
        <w:rPr>
          <w:rFonts w:cs="‡Ôø◊ÁÏ"/>
          <w:lang w:val="en-US"/>
        </w:rPr>
        <w:t xml:space="preserve"> </w:t>
      </w:r>
      <w:r w:rsidRPr="009A0476">
        <w:rPr>
          <w:rFonts w:cs="‡Ôø◊ÁÏ"/>
          <w:color w:val="000000"/>
          <w:lang w:val="en-US"/>
        </w:rPr>
        <w:t xml:space="preserve">inotuzumab ozogamicin and a supplemental </w:t>
      </w:r>
      <w:proofErr w:type="spellStart"/>
      <w:r w:rsidRPr="009A0476">
        <w:rPr>
          <w:rFonts w:cs="‡Ôø◊ÁÏ"/>
          <w:color w:val="000000"/>
          <w:lang w:val="en-US"/>
        </w:rPr>
        <w:t>popPK</w:t>
      </w:r>
      <w:proofErr w:type="spellEnd"/>
      <w:r w:rsidRPr="009A0476">
        <w:rPr>
          <w:rFonts w:cs="‡Ôø◊ÁÏ"/>
          <w:color w:val="000000"/>
          <w:lang w:val="en-US"/>
        </w:rPr>
        <w:t xml:space="preserve"> analysis including 29 additional patients with ALL. </w:t>
      </w:r>
      <w:r w:rsidRPr="009A0476">
        <w:rPr>
          <w:rFonts w:cs="‡Ôø◊ÁÏ"/>
          <w:lang w:val="en-US"/>
        </w:rPr>
        <w:t xml:space="preserve">There were no PK data in healthy subjects. This is considered to be acceptable given that calicheamicin is a cytotoxic agent reported to cause </w:t>
      </w:r>
      <w:r w:rsidRPr="009A0476">
        <w:rPr>
          <w:lang w:val="en-US"/>
        </w:rPr>
        <w:t>DNA double strand-breaks</w:t>
      </w:r>
      <w:r w:rsidR="00503681">
        <w:rPr>
          <w:lang w:val="en-US"/>
        </w:rPr>
        <w:t>.</w:t>
      </w:r>
    </w:p>
    <w:p w14:paraId="36BFF5AD" w14:textId="77777777" w:rsidR="00503681" w:rsidRDefault="00B37AB3" w:rsidP="00B37AB3">
      <w:pPr>
        <w:pStyle w:val="ListBullet"/>
        <w:rPr>
          <w:rFonts w:cs="‡Ôø◊ÁÏ"/>
          <w:lang w:val="en-US"/>
        </w:rPr>
      </w:pPr>
      <w:r w:rsidRPr="00E07FB3">
        <w:rPr>
          <w:rFonts w:cs="‡Ôø◊ÁÏ"/>
          <w:color w:val="000000"/>
          <w:lang w:val="en-US"/>
        </w:rPr>
        <w:t xml:space="preserve">The </w:t>
      </w:r>
      <w:proofErr w:type="spellStart"/>
      <w:r w:rsidRPr="00E07FB3">
        <w:rPr>
          <w:rFonts w:cs="‡Ôø◊ÁÏ"/>
          <w:color w:val="000000"/>
          <w:lang w:val="en-US"/>
        </w:rPr>
        <w:t>popPK</w:t>
      </w:r>
      <w:proofErr w:type="spellEnd"/>
      <w:r w:rsidRPr="00E07FB3">
        <w:rPr>
          <w:rFonts w:cs="‡Ôø◊ÁÏ"/>
          <w:color w:val="000000"/>
          <w:lang w:val="en-US"/>
        </w:rPr>
        <w:t xml:space="preserve"> analysis demonstrated that the pharmacokinetics of inotuzumab ozogamicin were well characterised </w:t>
      </w:r>
      <w:r w:rsidRPr="00E07FB3">
        <w:rPr>
          <w:rFonts w:cs="‡Ôø◊ÁÏ"/>
          <w:lang w:val="en-US"/>
        </w:rPr>
        <w:t>usin</w:t>
      </w:r>
      <w:r>
        <w:rPr>
          <w:rFonts w:cs="‡Ôø◊ÁÏ"/>
          <w:lang w:val="en-US"/>
        </w:rPr>
        <w:t>g a 2-compartment model with both l</w:t>
      </w:r>
      <w:r w:rsidRPr="00E07FB3">
        <w:rPr>
          <w:rFonts w:cs="‡Ôø◊ÁÏ"/>
          <w:lang w:val="en-US"/>
        </w:rPr>
        <w:t xml:space="preserve">inear </w:t>
      </w:r>
      <w:r>
        <w:rPr>
          <w:rFonts w:cs="‡Ôø◊ÁÏ"/>
          <w:lang w:val="en-US"/>
        </w:rPr>
        <w:t xml:space="preserve">clearance </w:t>
      </w:r>
      <w:r w:rsidR="00503681">
        <w:rPr>
          <w:rFonts w:cs="‡Ôø◊ÁÏ"/>
          <w:lang w:val="en-US"/>
        </w:rPr>
        <w:t xml:space="preserve">(time </w:t>
      </w:r>
      <w:r w:rsidRPr="00E07FB3">
        <w:rPr>
          <w:rFonts w:cs="‡Ôø◊ÁÏ"/>
          <w:lang w:val="en-US"/>
        </w:rPr>
        <w:t xml:space="preserve">independent) and time-dependent clearance. </w:t>
      </w:r>
      <w:r>
        <w:rPr>
          <w:rFonts w:cs="‡Ôø◊ÁÏ"/>
          <w:lang w:val="en-US"/>
        </w:rPr>
        <w:t>T</w:t>
      </w:r>
      <w:r w:rsidR="00503681">
        <w:rPr>
          <w:rFonts w:cs="‡Ôø◊ÁÏ"/>
          <w:lang w:val="en-US"/>
        </w:rPr>
        <w:t xml:space="preserve">ime </w:t>
      </w:r>
      <w:r w:rsidRPr="00E07FB3">
        <w:rPr>
          <w:rFonts w:cs="‡Ôø◊ÁÏ"/>
          <w:lang w:val="en-US"/>
        </w:rPr>
        <w:t xml:space="preserve">dependent clearance predominates </w:t>
      </w:r>
      <w:r>
        <w:rPr>
          <w:rFonts w:cs="‡Ôø◊ÁÏ"/>
          <w:lang w:val="en-US"/>
        </w:rPr>
        <w:t xml:space="preserve">at the start of treatment, </w:t>
      </w:r>
      <w:r w:rsidRPr="00E07FB3">
        <w:rPr>
          <w:rFonts w:cs="‡Ôø◊ÁÏ"/>
          <w:lang w:val="en-US"/>
        </w:rPr>
        <w:t xml:space="preserve">but </w:t>
      </w:r>
      <w:r>
        <w:rPr>
          <w:rFonts w:cs="‡Ôø◊ÁÏ"/>
          <w:lang w:val="en-US"/>
        </w:rPr>
        <w:t xml:space="preserve">its contribution to total clearance declines </w:t>
      </w:r>
      <w:r w:rsidRPr="00E07FB3">
        <w:rPr>
          <w:rFonts w:cs="‡Ôø◊ÁÏ"/>
          <w:lang w:val="en-US"/>
        </w:rPr>
        <w:t xml:space="preserve">over time. At steady state (approximately Cycle 4), linear clearance predominates. </w:t>
      </w:r>
      <w:r w:rsidR="00503681">
        <w:rPr>
          <w:rFonts w:cs="‡Ôø◊ÁÏ"/>
          <w:lang w:val="en-US"/>
        </w:rPr>
        <w:t xml:space="preserve">Time </w:t>
      </w:r>
      <w:r>
        <w:rPr>
          <w:rFonts w:cs="‡Ôø◊ÁÏ"/>
          <w:lang w:val="en-US"/>
        </w:rPr>
        <w:t>dependent clearance results in increased exposure being observed over the first 3 to 4 treatment cycles</w:t>
      </w:r>
      <w:r w:rsidR="006779D9">
        <w:rPr>
          <w:rFonts w:cs="‡Ôø◊ÁÏ"/>
          <w:lang w:val="en-US"/>
        </w:rPr>
        <w:t xml:space="preserve"> </w:t>
      </w:r>
      <w:r>
        <w:rPr>
          <w:rFonts w:cs="‡Ôø◊ÁÏ"/>
          <w:lang w:val="en-US"/>
        </w:rPr>
        <w:t>(</w:t>
      </w:r>
      <w:r w:rsidR="00503681">
        <w:rPr>
          <w:rFonts w:cs="‡Ôø◊ÁÏ"/>
          <w:lang w:val="en-US"/>
        </w:rPr>
        <w:t>that is</w:t>
      </w:r>
      <w:r>
        <w:rPr>
          <w:rFonts w:cs="‡Ôø◊ÁÏ"/>
          <w:lang w:val="en-US"/>
        </w:rPr>
        <w:t>, clearance decreases with time), with steady state exposure being achieved after 3 to 4 cycles (</w:t>
      </w:r>
      <w:r w:rsidR="00503681">
        <w:rPr>
          <w:rFonts w:cs="‡Ôø◊ÁÏ"/>
          <w:lang w:val="en-US"/>
        </w:rPr>
        <w:t>that is</w:t>
      </w:r>
      <w:r>
        <w:rPr>
          <w:rFonts w:cs="‡Ôø◊ÁÏ"/>
          <w:lang w:val="en-US"/>
        </w:rPr>
        <w:t>, clea</w:t>
      </w:r>
      <w:r w:rsidR="00503681">
        <w:rPr>
          <w:rFonts w:cs="‡Ôø◊ÁÏ"/>
          <w:lang w:val="en-US"/>
        </w:rPr>
        <w:t xml:space="preserve">rance becomes linear). The time </w:t>
      </w:r>
      <w:r>
        <w:rPr>
          <w:rFonts w:cs="‡Ôø◊ÁÏ"/>
          <w:lang w:val="en-US"/>
        </w:rPr>
        <w:t xml:space="preserve">dependent component of clearance for </w:t>
      </w:r>
      <w:r w:rsidRPr="00E07FB3">
        <w:rPr>
          <w:rFonts w:cs="‡Ôø◊ÁÏ"/>
          <w:color w:val="000000"/>
          <w:lang w:val="en-US"/>
        </w:rPr>
        <w:t>inotuzumab ozogamicin</w:t>
      </w:r>
      <w:r>
        <w:rPr>
          <w:rFonts w:cs="‡Ôø◊ÁÏ"/>
          <w:color w:val="000000"/>
          <w:lang w:val="en-US"/>
        </w:rPr>
        <w:t xml:space="preserve"> is </w:t>
      </w:r>
      <w:r w:rsidR="00503681">
        <w:rPr>
          <w:rFonts w:cs="‡Ôø◊ÁÏ"/>
          <w:lang w:val="en-US"/>
        </w:rPr>
        <w:t xml:space="preserve">consistent with target </w:t>
      </w:r>
      <w:r>
        <w:rPr>
          <w:rFonts w:cs="‡Ôø◊ÁÏ"/>
          <w:lang w:val="en-US"/>
        </w:rPr>
        <w:t>mediated drug disposition, with clearance decreasing and exposure increasing as the available receptors become saturated over the first 3 to 4 treatment cycles</w:t>
      </w:r>
      <w:r w:rsidR="00503681">
        <w:rPr>
          <w:rFonts w:cs="‡Ôø◊ÁÏ"/>
          <w:lang w:val="en-US"/>
        </w:rPr>
        <w:t>.</w:t>
      </w:r>
    </w:p>
    <w:p w14:paraId="7D40AF08" w14:textId="77777777" w:rsidR="00503681" w:rsidRDefault="00B37AB3" w:rsidP="00B37AB3">
      <w:pPr>
        <w:pStyle w:val="ListBullet"/>
        <w:rPr>
          <w:rFonts w:cs="‡'FCø◊«·"/>
          <w:color w:val="000000"/>
          <w:lang w:val="en-US"/>
        </w:rPr>
      </w:pPr>
      <w:r w:rsidRPr="00E07FB3">
        <w:rPr>
          <w:rFonts w:cs="‡Ôø◊ÁÏ"/>
          <w:lang w:val="en-US"/>
        </w:rPr>
        <w:t xml:space="preserve">There were no absorption studies as </w:t>
      </w:r>
      <w:r w:rsidRPr="00E07FB3">
        <w:rPr>
          <w:rFonts w:cs="‡Ôø◊ÁÏ"/>
          <w:color w:val="000000"/>
          <w:lang w:val="en-US"/>
        </w:rPr>
        <w:t xml:space="preserve">inotuzumab ozogamicin is administered via IV infusion. </w:t>
      </w:r>
      <w:proofErr w:type="gramStart"/>
      <w:r w:rsidRPr="00E07FB3">
        <w:rPr>
          <w:rFonts w:cs="‡Ôø◊ÁÏ"/>
          <w:color w:val="000000"/>
          <w:lang w:val="en-US"/>
        </w:rPr>
        <w:t>Only one strength</w:t>
      </w:r>
      <w:proofErr w:type="gramEnd"/>
      <w:r w:rsidRPr="00E07FB3">
        <w:rPr>
          <w:rFonts w:cs="‡Ôø◊ÁÏ"/>
          <w:color w:val="000000"/>
          <w:lang w:val="en-US"/>
        </w:rPr>
        <w:t xml:space="preserve"> is being proposed for registration (1 mg/ vial). In the clinical studies in patients with ALL and NHL vial stren</w:t>
      </w:r>
      <w:r w:rsidR="00503681">
        <w:rPr>
          <w:rFonts w:cs="‡Ôø◊ÁÏ"/>
          <w:color w:val="000000"/>
          <w:lang w:val="en-US"/>
        </w:rPr>
        <w:t>gths of 1, 3</w:t>
      </w:r>
      <w:r w:rsidRPr="00E07FB3">
        <w:rPr>
          <w:rFonts w:cs="‡Ôø◊ÁÏ"/>
          <w:color w:val="000000"/>
          <w:lang w:val="en-US"/>
        </w:rPr>
        <w:t>, and 4 mg/vial</w:t>
      </w:r>
      <w:r>
        <w:rPr>
          <w:rFonts w:cs="‡Ôø◊ÁÏ"/>
          <w:color w:val="000000"/>
          <w:lang w:val="en-US"/>
        </w:rPr>
        <w:t xml:space="preserve"> were used</w:t>
      </w:r>
      <w:r w:rsidRPr="00E07FB3">
        <w:rPr>
          <w:rFonts w:cs="‡Ôø◊ÁÏ"/>
          <w:color w:val="000000"/>
          <w:lang w:val="en-US"/>
        </w:rPr>
        <w:t xml:space="preserve">. The most commonly used strength was 4 mg/vial. No clinical bioequivalence studies were submitted comparing the three vial strengths used in the clinical program. However, such studies are not required as all strengths are administered by the IV route and, therefore, by definition are each 100% bioavailable. </w:t>
      </w:r>
      <w:r w:rsidRPr="00E07FB3">
        <w:rPr>
          <w:rFonts w:cs="‡'FCø◊«·"/>
          <w:lang w:val="en-US"/>
        </w:rPr>
        <w:t xml:space="preserve">The sponsor </w:t>
      </w:r>
      <w:r w:rsidRPr="00E07FB3">
        <w:rPr>
          <w:rFonts w:cs="‡'FCø◊«·"/>
          <w:lang w:val="en-US"/>
        </w:rPr>
        <w:lastRenderedPageBreak/>
        <w:t xml:space="preserve">reports that </w:t>
      </w:r>
      <w:r w:rsidRPr="00E07FB3">
        <w:rPr>
          <w:rFonts w:cs="‡'FCø◊«·"/>
          <w:color w:val="000000"/>
          <w:lang w:val="en-US"/>
        </w:rPr>
        <w:t>an analytical study demonstrated comparability between the 1 mg/vial in a 20 mL vial and</w:t>
      </w:r>
      <w:r w:rsidR="006779D9">
        <w:rPr>
          <w:rFonts w:cs="‡'FCø◊«·"/>
          <w:color w:val="000000"/>
          <w:lang w:val="en-US"/>
        </w:rPr>
        <w:t xml:space="preserve"> </w:t>
      </w:r>
      <w:r w:rsidRPr="00E07FB3">
        <w:rPr>
          <w:rFonts w:cs="‡'FCø◊«·"/>
          <w:color w:val="000000"/>
          <w:lang w:val="en-US"/>
        </w:rPr>
        <w:t>the 4 mg/vial in a 20 mL vial</w:t>
      </w:r>
      <w:r w:rsidR="00503681">
        <w:rPr>
          <w:rFonts w:cs="‡'FCø◊«·"/>
          <w:color w:val="000000"/>
          <w:lang w:val="en-US"/>
        </w:rPr>
        <w:t>.</w:t>
      </w:r>
    </w:p>
    <w:p w14:paraId="3587C729" w14:textId="544B78C5" w:rsidR="00503681" w:rsidRDefault="00B37AB3" w:rsidP="00B37AB3">
      <w:pPr>
        <w:pStyle w:val="ListBullet"/>
        <w:rPr>
          <w:rFonts w:cs="‡Ôø◊ÁÏ"/>
          <w:lang w:val="en-US"/>
        </w:rPr>
      </w:pPr>
      <w:r w:rsidRPr="00E07FB3">
        <w:rPr>
          <w:rFonts w:cs="‡Ôø◊ÁÏ"/>
          <w:color w:val="000000"/>
          <w:lang w:val="en-US"/>
        </w:rPr>
        <w:t>After the first dose of 0.8 mg/</w:t>
      </w:r>
      <w:r w:rsidR="00F769DD" w:rsidRPr="00AA53F4">
        <w:rPr>
          <w:lang w:val="en-US"/>
        </w:rPr>
        <w:t>m</w:t>
      </w:r>
      <w:r w:rsidR="00F769DD" w:rsidRPr="00F769DD">
        <w:rPr>
          <w:vertAlign w:val="superscript"/>
          <w:lang w:val="en-US"/>
        </w:rPr>
        <w:t>2</w:t>
      </w:r>
      <w:r w:rsidRPr="00E07FB3">
        <w:rPr>
          <w:rFonts w:cs="‡Ôø◊ÁÏ"/>
          <w:color w:val="000000"/>
          <w:lang w:val="en-US"/>
        </w:rPr>
        <w:t xml:space="preserve"> on Day 1 in patients (n</w:t>
      </w:r>
      <w:r w:rsidR="0014606A">
        <w:rPr>
          <w:rFonts w:cs="‡Ôø◊ÁÏ"/>
          <w:color w:val="000000"/>
          <w:lang w:val="en-US"/>
        </w:rPr>
        <w:t xml:space="preserve"> = </w:t>
      </w:r>
      <w:r w:rsidRPr="00E07FB3">
        <w:rPr>
          <w:rFonts w:cs="‡Ôø◊ÁÏ"/>
          <w:color w:val="000000"/>
          <w:lang w:val="en-US"/>
        </w:rPr>
        <w:t>128) with relapsed or refractory ALL (</w:t>
      </w:r>
      <w:r w:rsidR="00503681">
        <w:rPr>
          <w:rFonts w:cs="‡Ôø◊ÁÏ"/>
          <w:color w:val="000000"/>
          <w:lang w:val="en-US"/>
        </w:rPr>
        <w:t>Study</w:t>
      </w:r>
      <w:r w:rsidRPr="00E07FB3">
        <w:rPr>
          <w:rFonts w:cs="‡Ôø◊ÁÏ"/>
          <w:color w:val="000000"/>
          <w:lang w:val="en-US"/>
        </w:rPr>
        <w:t xml:space="preserve"> B1931022), mean (</w:t>
      </w:r>
      <w:r w:rsidR="0041592A">
        <w:t>standard deviation</w:t>
      </w:r>
      <w:r w:rsidR="0041592A" w:rsidRPr="00E07FB3">
        <w:rPr>
          <w:rFonts w:cs="‡Ôø◊ÁÏ"/>
          <w:color w:val="000000"/>
          <w:lang w:val="en-US"/>
        </w:rPr>
        <w:t xml:space="preserve"> </w:t>
      </w:r>
      <w:r w:rsidR="0041592A">
        <w:rPr>
          <w:rFonts w:cs="‡Ôø◊ÁÏ"/>
          <w:color w:val="000000"/>
          <w:lang w:val="en-US"/>
        </w:rPr>
        <w:t>(</w:t>
      </w:r>
      <w:r w:rsidRPr="00E07FB3">
        <w:rPr>
          <w:rFonts w:cs="‡Ôø◊ÁÏ"/>
          <w:color w:val="000000"/>
          <w:lang w:val="en-US"/>
        </w:rPr>
        <w:t>SD</w:t>
      </w:r>
      <w:r w:rsidR="0041592A">
        <w:rPr>
          <w:rFonts w:cs="‡Ôø◊ÁÏ"/>
          <w:color w:val="000000"/>
          <w:lang w:val="en-US"/>
        </w:rPr>
        <w:t>)</w:t>
      </w:r>
      <w:r w:rsidRPr="00E07FB3">
        <w:rPr>
          <w:rFonts w:cs="‡Ôø◊ÁÏ"/>
          <w:color w:val="000000"/>
          <w:lang w:val="en-US"/>
        </w:rPr>
        <w:t>) inotuzumab ozogamicin</w:t>
      </w:r>
      <w:r w:rsidR="006779D9">
        <w:rPr>
          <w:rFonts w:cs="‡Ôø◊ÁÏ"/>
          <w:color w:val="000000"/>
          <w:lang w:val="en-US"/>
        </w:rPr>
        <w:t xml:space="preserve"> </w:t>
      </w:r>
      <w:r>
        <w:rPr>
          <w:rFonts w:cs="‡Ôø◊ÁÏ"/>
          <w:color w:val="000000"/>
          <w:lang w:val="en-US"/>
        </w:rPr>
        <w:t xml:space="preserve">concentration </w:t>
      </w:r>
      <w:r w:rsidRPr="00E07FB3">
        <w:rPr>
          <w:rFonts w:cs="‡Ôø◊ÁÏ"/>
          <w:color w:val="000000"/>
          <w:lang w:val="en-US"/>
        </w:rPr>
        <w:t>at the end of the 1 hour infusion (</w:t>
      </w:r>
      <w:proofErr w:type="spellStart"/>
      <w:r w:rsidR="00F769DD" w:rsidRPr="00AA53F4">
        <w:rPr>
          <w:lang w:val="en-US"/>
        </w:rPr>
        <w:t>C</w:t>
      </w:r>
      <w:r w:rsidR="00F769DD" w:rsidRPr="00F769DD">
        <w:rPr>
          <w:vertAlign w:val="subscript"/>
          <w:lang w:val="en-US"/>
        </w:rPr>
        <w:t>max</w:t>
      </w:r>
      <w:proofErr w:type="spellEnd"/>
      <w:r w:rsidRPr="00E07FB3">
        <w:rPr>
          <w:rFonts w:cs="‡Ôø◊ÁÏ"/>
          <w:color w:val="000000"/>
          <w:lang w:val="en-US"/>
        </w:rPr>
        <w:t>) was 211 (232) ng/</w:t>
      </w:r>
      <w:proofErr w:type="spellStart"/>
      <w:r w:rsidRPr="00E07FB3">
        <w:rPr>
          <w:rFonts w:cs="‡Ôø◊ÁÏ"/>
          <w:color w:val="000000"/>
          <w:lang w:val="en-US"/>
        </w:rPr>
        <w:t>mL.</w:t>
      </w:r>
      <w:proofErr w:type="spellEnd"/>
      <w:r w:rsidRPr="00E07FB3">
        <w:rPr>
          <w:rFonts w:cs="‡Ôø◊ÁÏ"/>
          <w:color w:val="000000"/>
          <w:lang w:val="en-US"/>
        </w:rPr>
        <w:t xml:space="preserve"> The inter-subject variability for the </w:t>
      </w:r>
      <w:proofErr w:type="spellStart"/>
      <w:r w:rsidR="00F769DD" w:rsidRPr="00AA53F4">
        <w:rPr>
          <w:lang w:val="en-US"/>
        </w:rPr>
        <w:t>C</w:t>
      </w:r>
      <w:r w:rsidR="00F769DD" w:rsidRPr="00F769DD">
        <w:rPr>
          <w:vertAlign w:val="subscript"/>
          <w:lang w:val="en-US"/>
        </w:rPr>
        <w:t>max</w:t>
      </w:r>
      <w:proofErr w:type="spellEnd"/>
      <w:r w:rsidRPr="00E07FB3">
        <w:rPr>
          <w:rFonts w:cs="‡Ôø◊ÁÏ"/>
          <w:color w:val="000000"/>
          <w:lang w:val="en-US"/>
        </w:rPr>
        <w:t xml:space="preserve"> was high following the first dose, with a mean </w:t>
      </w:r>
      <w:r w:rsidR="00BF79CA">
        <w:t>coefficient of variance</w:t>
      </w:r>
      <w:r w:rsidR="00BF79CA" w:rsidRPr="00E07FB3">
        <w:rPr>
          <w:rFonts w:cs="‡Ôø◊ÁÏ"/>
          <w:color w:val="000000"/>
          <w:lang w:val="en-US"/>
        </w:rPr>
        <w:t xml:space="preserve"> </w:t>
      </w:r>
      <w:r w:rsidR="00BF79CA">
        <w:rPr>
          <w:rFonts w:cs="‡Ôø◊ÁÏ"/>
          <w:color w:val="000000"/>
          <w:lang w:val="en-US"/>
        </w:rPr>
        <w:t>(</w:t>
      </w:r>
      <w:r w:rsidRPr="00E07FB3">
        <w:rPr>
          <w:rFonts w:cs="‡Ôø◊ÁÏ"/>
          <w:color w:val="000000"/>
          <w:lang w:val="en-US"/>
        </w:rPr>
        <w:t>CV</w:t>
      </w:r>
      <w:r w:rsidR="00BF79CA">
        <w:rPr>
          <w:rFonts w:cs="‡Ôø◊ÁÏ"/>
          <w:color w:val="000000"/>
          <w:lang w:val="en-US"/>
        </w:rPr>
        <w:t>)</w:t>
      </w:r>
      <w:r w:rsidRPr="00E07FB3">
        <w:rPr>
          <w:rFonts w:cs="‡Ôø◊ÁÏ"/>
          <w:color w:val="000000"/>
          <w:lang w:val="en-US"/>
        </w:rPr>
        <w:t xml:space="preserve"> of 110%. The mean (SD) </w:t>
      </w:r>
      <w:r w:rsidRPr="00E07FB3">
        <w:rPr>
          <w:rFonts w:cs="‡Ôø◊ÁÏ"/>
          <w:lang w:val="en-US"/>
        </w:rPr>
        <w:t>simulated area under the concentration-time curve within the first dosing interval of 7 days (</w:t>
      </w:r>
      <w:proofErr w:type="spellStart"/>
      <w:r w:rsidR="00F769DD" w:rsidRPr="00AA53F4">
        <w:rPr>
          <w:lang w:val="en-US"/>
        </w:rPr>
        <w:t>AUC</w:t>
      </w:r>
      <w:r w:rsidR="00F769DD" w:rsidRPr="00F769DD">
        <w:rPr>
          <w:vertAlign w:val="subscript"/>
          <w:lang w:val="en-US"/>
        </w:rPr>
        <w:t>tau</w:t>
      </w:r>
      <w:proofErr w:type="spellEnd"/>
      <w:r w:rsidRPr="00E07FB3">
        <w:rPr>
          <w:rFonts w:cs="‡Ôø◊ÁÏ"/>
          <w:lang w:val="en-US"/>
        </w:rPr>
        <w:t xml:space="preserve">) for </w:t>
      </w:r>
      <w:proofErr w:type="spellStart"/>
      <w:r>
        <w:rPr>
          <w:rFonts w:cs="‡Ôø◊ÁÏ"/>
          <w:color w:val="000000"/>
          <w:lang w:val="en-US"/>
        </w:rPr>
        <w:t>inotuzumab</w:t>
      </w:r>
      <w:proofErr w:type="spellEnd"/>
      <w:r>
        <w:rPr>
          <w:rFonts w:cs="‡Ôø◊ÁÏ"/>
          <w:color w:val="000000"/>
          <w:lang w:val="en-US"/>
        </w:rPr>
        <w:t xml:space="preserve"> </w:t>
      </w:r>
      <w:proofErr w:type="spellStart"/>
      <w:r>
        <w:rPr>
          <w:rFonts w:cs="‡Ôø◊ÁÏ"/>
          <w:color w:val="000000"/>
          <w:lang w:val="en-US"/>
        </w:rPr>
        <w:t>ozogamicin</w:t>
      </w:r>
      <w:proofErr w:type="spellEnd"/>
      <w:r>
        <w:rPr>
          <w:rFonts w:cs="‡Ôø◊ÁÏ"/>
          <w:color w:val="000000"/>
          <w:lang w:val="en-US"/>
        </w:rPr>
        <w:t xml:space="preserve"> </w:t>
      </w:r>
      <w:r w:rsidRPr="00E07FB3">
        <w:rPr>
          <w:rFonts w:cs="‡Ôø◊ÁÏ"/>
          <w:lang w:val="en-US"/>
        </w:rPr>
        <w:t>following the first 0.8 mg/</w:t>
      </w:r>
      <w:r w:rsidR="00F769DD" w:rsidRPr="00AA53F4">
        <w:rPr>
          <w:lang w:val="en-US"/>
        </w:rPr>
        <w:t>m</w:t>
      </w:r>
      <w:r w:rsidR="00F769DD" w:rsidRPr="00F769DD">
        <w:rPr>
          <w:vertAlign w:val="superscript"/>
          <w:lang w:val="en-US"/>
        </w:rPr>
        <w:t>2</w:t>
      </w:r>
      <w:r>
        <w:rPr>
          <w:rFonts w:cs="‡Ôø◊ÁÏ"/>
          <w:lang w:val="en-US"/>
        </w:rPr>
        <w:t xml:space="preserve"> dose was 4330 (2140</w:t>
      </w:r>
      <w:r w:rsidRPr="00E07FB3">
        <w:rPr>
          <w:rFonts w:cs="‡Ôø◊ÁÏ"/>
          <w:lang w:val="en-US"/>
        </w:rPr>
        <w:t xml:space="preserve">) </w:t>
      </w:r>
      <w:proofErr w:type="spellStart"/>
      <w:r w:rsidRPr="00E07FB3">
        <w:rPr>
          <w:rFonts w:cs="‡Ôø◊ÁÏ"/>
          <w:lang w:val="en-US"/>
        </w:rPr>
        <w:t>ng·h</w:t>
      </w:r>
      <w:proofErr w:type="spellEnd"/>
      <w:r w:rsidRPr="00E07FB3">
        <w:rPr>
          <w:rFonts w:cs="‡Ôø◊ÁÏ"/>
          <w:lang w:val="en-US"/>
        </w:rPr>
        <w:t xml:space="preserve">/mL, based on data from the supplemental </w:t>
      </w:r>
      <w:proofErr w:type="spellStart"/>
      <w:r w:rsidRPr="00E07FB3">
        <w:rPr>
          <w:rFonts w:cs="‡Ôø◊ÁÏ"/>
          <w:lang w:val="en-US"/>
        </w:rPr>
        <w:t>popPK</w:t>
      </w:r>
      <w:proofErr w:type="spellEnd"/>
      <w:r w:rsidRPr="00E07FB3">
        <w:rPr>
          <w:rFonts w:cs="‡Ôø◊ÁÏ"/>
          <w:lang w:val="en-US"/>
        </w:rPr>
        <w:t xml:space="preserve"> analysis for the two ALL</w:t>
      </w:r>
      <w:r w:rsidR="00503681">
        <w:rPr>
          <w:rFonts w:cs="‡Ôø◊ÁÏ"/>
          <w:lang w:val="en-US"/>
        </w:rPr>
        <w:t xml:space="preserve"> studies; S</w:t>
      </w:r>
      <w:r w:rsidRPr="00E07FB3">
        <w:rPr>
          <w:rFonts w:cs="‡Ôø◊ÁÏ"/>
          <w:lang w:val="en-US"/>
        </w:rPr>
        <w:t>tudies</w:t>
      </w:r>
      <w:r w:rsidR="000F7D61">
        <w:rPr>
          <w:rFonts w:cs="‡Ôø◊ÁÏ"/>
          <w:lang w:val="en-US"/>
        </w:rPr>
        <w:t> </w:t>
      </w:r>
      <w:r w:rsidRPr="00E07FB3">
        <w:rPr>
          <w:rFonts w:cs="‡Ôø◊ÁÏ"/>
          <w:lang w:val="en-US"/>
        </w:rPr>
        <w:t>B1931022 and B1931010</w:t>
      </w:r>
      <w:r w:rsidR="00503681">
        <w:rPr>
          <w:rFonts w:cs="‡Ôø◊ÁÏ"/>
          <w:lang w:val="en-US"/>
        </w:rPr>
        <w:t>.</w:t>
      </w:r>
    </w:p>
    <w:p w14:paraId="34F0301C" w14:textId="77777777" w:rsidR="00503681" w:rsidRDefault="00B37AB3" w:rsidP="00B37AB3">
      <w:pPr>
        <w:pStyle w:val="ListBullet"/>
        <w:rPr>
          <w:rFonts w:cs="‡Ôø◊ÁÏ"/>
          <w:lang w:val="en-US"/>
        </w:rPr>
      </w:pPr>
      <w:r w:rsidRPr="00E07FB3">
        <w:rPr>
          <w:rFonts w:cs="‡Ôø◊ÁÏ"/>
          <w:lang w:val="en-US"/>
        </w:rPr>
        <w:t xml:space="preserve">Steady-state exposure </w:t>
      </w:r>
      <w:r>
        <w:rPr>
          <w:rFonts w:cs="‡Ôø◊ÁÏ"/>
          <w:lang w:val="en-US"/>
        </w:rPr>
        <w:t xml:space="preserve">to </w:t>
      </w:r>
      <w:r w:rsidRPr="00E07FB3">
        <w:rPr>
          <w:rFonts w:cs="‡Ôø◊ÁÏ"/>
          <w:color w:val="000000"/>
          <w:lang w:val="en-US"/>
        </w:rPr>
        <w:t xml:space="preserve">inotuzumab ozogamicin </w:t>
      </w:r>
      <w:r w:rsidRPr="00E07FB3">
        <w:rPr>
          <w:rFonts w:cs="‡Ôø◊ÁÏ"/>
          <w:lang w:val="en-US"/>
        </w:rPr>
        <w:t>was achieved by Cycle 4 in patients with relapsed or</w:t>
      </w:r>
      <w:r>
        <w:rPr>
          <w:rFonts w:cs="‡Ôø◊ÁÏ"/>
          <w:lang w:val="en-US"/>
        </w:rPr>
        <w:t xml:space="preserve"> </w:t>
      </w:r>
      <w:r w:rsidRPr="00E07FB3">
        <w:rPr>
          <w:rFonts w:cs="‡Ôø◊ÁÏ"/>
          <w:lang w:val="en-US"/>
        </w:rPr>
        <w:t xml:space="preserve">refractory ALL. In </w:t>
      </w:r>
      <w:r w:rsidR="00503681">
        <w:rPr>
          <w:rFonts w:cs="‡Ôø◊ÁÏ"/>
          <w:lang w:val="en-US"/>
        </w:rPr>
        <w:t>Study</w:t>
      </w:r>
      <w:r w:rsidRPr="00E07FB3">
        <w:rPr>
          <w:rFonts w:cs="‡Ôø◊ÁÏ"/>
          <w:lang w:val="en-US"/>
        </w:rPr>
        <w:t xml:space="preserve"> B1931022, the mean (SD) observed at the end of the 1 hour infusion (</w:t>
      </w:r>
      <w:proofErr w:type="spellStart"/>
      <w:r w:rsidR="00F769DD" w:rsidRPr="00AA53F4">
        <w:rPr>
          <w:lang w:val="en-US"/>
        </w:rPr>
        <w:t>C</w:t>
      </w:r>
      <w:r w:rsidR="00F769DD" w:rsidRPr="00F769DD">
        <w:rPr>
          <w:vertAlign w:val="subscript"/>
          <w:lang w:val="en-US"/>
        </w:rPr>
        <w:t>max</w:t>
      </w:r>
      <w:proofErr w:type="spellEnd"/>
      <w:r w:rsidRPr="00E07FB3">
        <w:rPr>
          <w:rFonts w:cs="‡Ôø◊ÁÏ"/>
          <w:lang w:val="en-US"/>
        </w:rPr>
        <w:t>) on Cycle 4 Day 1 was 308 (362) ng/mL, and pre-dose serum concentration (</w:t>
      </w:r>
      <w:proofErr w:type="spellStart"/>
      <w:r w:rsidRPr="00E07FB3">
        <w:rPr>
          <w:rFonts w:cs="‡Ôø◊ÁÏ"/>
          <w:lang w:val="en-US"/>
        </w:rPr>
        <w:t>C</w:t>
      </w:r>
      <w:r w:rsidRPr="00E07FB3">
        <w:rPr>
          <w:rFonts w:cs="‡Ôø◊ÁÏ"/>
          <w:vertAlign w:val="subscript"/>
          <w:lang w:val="en-US"/>
        </w:rPr>
        <w:t>trough</w:t>
      </w:r>
      <w:proofErr w:type="spellEnd"/>
      <w:r w:rsidRPr="00E07FB3">
        <w:rPr>
          <w:rFonts w:cs="‡Ôø◊ÁÏ"/>
          <w:lang w:val="en-US"/>
        </w:rPr>
        <w:t>) was 57.9 (29.8) ng</w:t>
      </w:r>
      <w:r w:rsidR="00503681">
        <w:rPr>
          <w:rFonts w:cs="‡Ôø◊ÁÏ"/>
          <w:lang w:val="en-US"/>
        </w:rPr>
        <w:t>/mL on Cycle 4 Day 1. The inter</w:t>
      </w:r>
      <w:r w:rsidR="00503681">
        <w:rPr>
          <w:rFonts w:cs="‡Ôø◊ÁÏ"/>
          <w:lang w:val="en-US"/>
        </w:rPr>
        <w:noBreakHyphen/>
      </w:r>
      <w:r w:rsidRPr="00E07FB3">
        <w:rPr>
          <w:rFonts w:cs="‡Ôø◊ÁÏ"/>
          <w:lang w:val="en-US"/>
        </w:rPr>
        <w:t xml:space="preserve">subject variability for the </w:t>
      </w:r>
      <w:proofErr w:type="spellStart"/>
      <w:r w:rsidR="00F769DD" w:rsidRPr="00AA53F4">
        <w:rPr>
          <w:lang w:val="en-US"/>
        </w:rPr>
        <w:t>C</w:t>
      </w:r>
      <w:r w:rsidR="00F769DD" w:rsidRPr="00F769DD">
        <w:rPr>
          <w:vertAlign w:val="subscript"/>
          <w:lang w:val="en-US"/>
        </w:rPr>
        <w:t>max</w:t>
      </w:r>
      <w:proofErr w:type="spellEnd"/>
      <w:r w:rsidR="006779D9">
        <w:rPr>
          <w:rFonts w:cs="‡Ôø◊ÁÏ"/>
          <w:vertAlign w:val="subscript"/>
          <w:lang w:val="en-US"/>
        </w:rPr>
        <w:t xml:space="preserve"> </w:t>
      </w:r>
      <w:r w:rsidRPr="00E07FB3">
        <w:rPr>
          <w:rFonts w:cs="‡Ôø◊ÁÏ"/>
          <w:lang w:val="en-US"/>
        </w:rPr>
        <w:t xml:space="preserve">was still high at steady state (Cycle 4, Day 1), with mean CV% of 118%. The mean (SD) simulated </w:t>
      </w:r>
      <w:proofErr w:type="spellStart"/>
      <w:r w:rsidR="00F769DD" w:rsidRPr="00AA53F4">
        <w:rPr>
          <w:lang w:val="en-US"/>
        </w:rPr>
        <w:t>AUC</w:t>
      </w:r>
      <w:r w:rsidR="00F769DD" w:rsidRPr="00F769DD">
        <w:rPr>
          <w:vertAlign w:val="subscript"/>
          <w:lang w:val="en-US"/>
        </w:rPr>
        <w:t>tau</w:t>
      </w:r>
      <w:proofErr w:type="spellEnd"/>
      <w:r w:rsidR="006779D9">
        <w:rPr>
          <w:rFonts w:cs="‡Ôø◊ÁÏ"/>
          <w:lang w:val="en-US"/>
        </w:rPr>
        <w:t xml:space="preserve"> </w:t>
      </w:r>
      <w:r w:rsidRPr="00E07FB3">
        <w:rPr>
          <w:rFonts w:cs="‡Ôø◊ÁÏ"/>
          <w:lang w:val="en-US"/>
        </w:rPr>
        <w:t xml:space="preserve">at steady state in Cycle 4 Day 1 was 29,500 (9430) </w:t>
      </w:r>
      <w:proofErr w:type="spellStart"/>
      <w:r w:rsidRPr="00E07FB3">
        <w:rPr>
          <w:rFonts w:cs="‡Ôø◊ÁÏ"/>
          <w:lang w:val="en-US"/>
        </w:rPr>
        <w:t>ng·h</w:t>
      </w:r>
      <w:proofErr w:type="spellEnd"/>
      <w:r w:rsidRPr="00E07FB3">
        <w:rPr>
          <w:rFonts w:cs="‡Ôø◊ÁÏ"/>
          <w:lang w:val="en-US"/>
        </w:rPr>
        <w:t xml:space="preserve">/mL, based on data from the supplemental </w:t>
      </w:r>
      <w:proofErr w:type="spellStart"/>
      <w:r w:rsidRPr="00E07FB3">
        <w:rPr>
          <w:rFonts w:cs="‡Ôø◊ÁÏ"/>
          <w:lang w:val="en-US"/>
        </w:rPr>
        <w:t>popPK</w:t>
      </w:r>
      <w:proofErr w:type="spellEnd"/>
      <w:r w:rsidRPr="00E07FB3">
        <w:rPr>
          <w:rFonts w:cs="‡Ôø◊ÁÏ"/>
          <w:lang w:val="en-US"/>
        </w:rPr>
        <w:t xml:space="preserve"> analysis for the two ALL </w:t>
      </w:r>
      <w:r w:rsidR="00503681">
        <w:rPr>
          <w:rFonts w:cs="‡Ôø◊ÁÏ"/>
          <w:lang w:val="en-US"/>
        </w:rPr>
        <w:t>studies; S</w:t>
      </w:r>
      <w:r w:rsidR="00503681" w:rsidRPr="00E07FB3">
        <w:rPr>
          <w:rFonts w:cs="‡Ôø◊ÁÏ"/>
          <w:lang w:val="en-US"/>
        </w:rPr>
        <w:t xml:space="preserve">tudies </w:t>
      </w:r>
      <w:r w:rsidRPr="00E07FB3">
        <w:rPr>
          <w:rFonts w:cs="‡Ôø◊ÁÏ"/>
          <w:lang w:val="en-US"/>
        </w:rPr>
        <w:t>B1931022 and B1931010</w:t>
      </w:r>
      <w:r w:rsidR="00503681">
        <w:rPr>
          <w:rFonts w:cs="‡Ôø◊ÁÏ"/>
          <w:lang w:val="en-US"/>
        </w:rPr>
        <w:t>.</w:t>
      </w:r>
    </w:p>
    <w:p w14:paraId="7D726F32" w14:textId="77777777" w:rsidR="00503681" w:rsidRDefault="00B37AB3" w:rsidP="00B37AB3">
      <w:pPr>
        <w:pStyle w:val="ListBullet"/>
        <w:rPr>
          <w:rFonts w:eastAsiaTheme="minorHAnsi" w:cs="Calibri"/>
        </w:rPr>
      </w:pPr>
      <w:r w:rsidRPr="00E07FB3">
        <w:rPr>
          <w:rFonts w:cs="‡Ôø◊ÁÏ"/>
          <w:lang w:val="en-US"/>
        </w:rPr>
        <w:t>The accumulation ratio (</w:t>
      </w:r>
      <w:proofErr w:type="spellStart"/>
      <w:r w:rsidRPr="00E07FB3">
        <w:rPr>
          <w:rFonts w:cs="‡Ôø◊ÁÏ"/>
          <w:lang w:val="en-US"/>
        </w:rPr>
        <w:t>AUC</w:t>
      </w:r>
      <w:r w:rsidRPr="00E07FB3">
        <w:rPr>
          <w:rFonts w:cs="‡Ôø◊ÁÏ"/>
          <w:vertAlign w:val="subscript"/>
          <w:lang w:val="en-US"/>
        </w:rPr>
        <w:t>cycle</w:t>
      </w:r>
      <w:proofErr w:type="spellEnd"/>
      <w:r w:rsidRPr="00E07FB3">
        <w:rPr>
          <w:rFonts w:cs="‡Ôø◊ÁÏ"/>
          <w:vertAlign w:val="subscript"/>
          <w:lang w:val="en-US"/>
        </w:rPr>
        <w:t xml:space="preserve"> 4</w:t>
      </w:r>
      <w:r w:rsidRPr="00E07FB3">
        <w:rPr>
          <w:rFonts w:cs="‡Ôø◊ÁÏ"/>
          <w:lang w:val="en-US"/>
        </w:rPr>
        <w:t>/</w:t>
      </w:r>
      <w:proofErr w:type="spellStart"/>
      <w:r w:rsidRPr="00E07FB3">
        <w:rPr>
          <w:rFonts w:cs="‡Ôø◊ÁÏ"/>
          <w:lang w:val="en-US"/>
        </w:rPr>
        <w:t>AUC</w:t>
      </w:r>
      <w:r w:rsidRPr="00E07FB3">
        <w:rPr>
          <w:rFonts w:cs="‡Ôø◊ÁÏ"/>
          <w:vertAlign w:val="subscript"/>
          <w:lang w:val="en-US"/>
        </w:rPr>
        <w:t>cycle</w:t>
      </w:r>
      <w:proofErr w:type="spellEnd"/>
      <w:r w:rsidRPr="00E07FB3">
        <w:rPr>
          <w:rFonts w:cs="‡Ôø◊ÁÏ"/>
          <w:vertAlign w:val="subscript"/>
          <w:lang w:val="en-US"/>
        </w:rPr>
        <w:t xml:space="preserve"> 1</w:t>
      </w:r>
      <w:r w:rsidRPr="00E07FB3">
        <w:rPr>
          <w:rFonts w:cs="‡Ôø◊ÁÏ"/>
          <w:lang w:val="en-US"/>
        </w:rPr>
        <w:t xml:space="preserve">) </w:t>
      </w:r>
      <w:r>
        <w:rPr>
          <w:rFonts w:cs="‡Ôø◊ÁÏ"/>
          <w:lang w:val="en-US"/>
        </w:rPr>
        <w:t xml:space="preserve">for </w:t>
      </w:r>
      <w:r w:rsidRPr="00E07FB3">
        <w:rPr>
          <w:rFonts w:cs="‡Ôø◊ÁÏ"/>
          <w:color w:val="000000"/>
          <w:lang w:val="en-US"/>
        </w:rPr>
        <w:t xml:space="preserve">inotuzumab ozogamicin </w:t>
      </w:r>
      <w:r w:rsidRPr="00E07FB3">
        <w:rPr>
          <w:rFonts w:cs="‡Ôø◊ÁÏ"/>
          <w:lang w:val="en-US"/>
        </w:rPr>
        <w:t xml:space="preserve">was 5.30 (90% </w:t>
      </w:r>
      <w:r w:rsidR="002F076F">
        <w:t>confidence interval</w:t>
      </w:r>
      <w:r w:rsidR="002F076F" w:rsidRPr="00E07FB3">
        <w:rPr>
          <w:rFonts w:cs="‡Ôø◊ÁÏ"/>
          <w:lang w:val="en-US"/>
        </w:rPr>
        <w:t xml:space="preserve"> </w:t>
      </w:r>
      <w:r w:rsidR="002F076F">
        <w:rPr>
          <w:rFonts w:cs="‡Ôø◊ÁÏ"/>
          <w:lang w:val="en-US"/>
        </w:rPr>
        <w:t>(</w:t>
      </w:r>
      <w:r w:rsidRPr="00E07FB3">
        <w:rPr>
          <w:rFonts w:cs="‡Ôø◊ÁÏ"/>
          <w:lang w:val="en-US"/>
        </w:rPr>
        <w:t>CI</w:t>
      </w:r>
      <w:r w:rsidR="002F076F">
        <w:rPr>
          <w:rFonts w:cs="‡Ôø◊ÁÏ"/>
          <w:lang w:val="en-US"/>
        </w:rPr>
        <w:t>)</w:t>
      </w:r>
      <w:r w:rsidRPr="00E07FB3">
        <w:rPr>
          <w:rFonts w:cs="‡Ôø◊ÁÏ"/>
          <w:lang w:val="en-US"/>
        </w:rPr>
        <w:t>: 5.12, 5.47),</w:t>
      </w:r>
      <w:r w:rsidR="006779D9">
        <w:rPr>
          <w:rFonts w:cs="‡Ôø◊ÁÏ"/>
          <w:lang w:val="en-US"/>
        </w:rPr>
        <w:t xml:space="preserve"> </w:t>
      </w:r>
      <w:r w:rsidRPr="00E07FB3">
        <w:rPr>
          <w:rFonts w:cs="‡Ôø◊ÁÏ"/>
          <w:lang w:val="en-US"/>
        </w:rPr>
        <w:t xml:space="preserve">based on simulated concentration data from the supplemental </w:t>
      </w:r>
      <w:proofErr w:type="spellStart"/>
      <w:r w:rsidRPr="00E07FB3">
        <w:rPr>
          <w:rFonts w:cs="‡Ôø◊ÁÏ"/>
          <w:lang w:val="en-US"/>
        </w:rPr>
        <w:t>popPK</w:t>
      </w:r>
      <w:proofErr w:type="spellEnd"/>
      <w:r w:rsidRPr="00E07FB3">
        <w:rPr>
          <w:rFonts w:cs="‡Ôø◊ÁÏ"/>
          <w:lang w:val="en-US"/>
        </w:rPr>
        <w:t xml:space="preserve"> analysis for the two ALL </w:t>
      </w:r>
      <w:r w:rsidR="00617F88">
        <w:rPr>
          <w:rFonts w:cs="‡Ôø◊ÁÏ"/>
          <w:lang w:val="en-US"/>
        </w:rPr>
        <w:t>Studies</w:t>
      </w:r>
      <w:r w:rsidRPr="00E07FB3">
        <w:rPr>
          <w:rFonts w:cs="‡Ôø◊ÁÏ"/>
          <w:lang w:val="en-US"/>
        </w:rPr>
        <w:t xml:space="preserve"> B1931022 and B1931010</w:t>
      </w:r>
      <w:r w:rsidRPr="00E07FB3">
        <w:rPr>
          <w:rFonts w:eastAsiaTheme="minorHAnsi" w:cs="Calibri"/>
        </w:rPr>
        <w:t xml:space="preserve"> for the recommended dosing regimen of inotuzumab </w:t>
      </w:r>
      <w:r w:rsidRPr="0040590A">
        <w:rPr>
          <w:rFonts w:eastAsiaTheme="minorHAnsi" w:cs="Calibri"/>
        </w:rPr>
        <w:t>ozogamicin at a total dose of 1.8 g/</w:t>
      </w:r>
      <w:r w:rsidR="00F769DD" w:rsidRPr="00AA53F4">
        <w:rPr>
          <w:lang w:val="en-US"/>
        </w:rPr>
        <w:t>m</w:t>
      </w:r>
      <w:r w:rsidR="00F769DD" w:rsidRPr="00F769DD">
        <w:rPr>
          <w:vertAlign w:val="superscript"/>
          <w:lang w:val="en-US"/>
        </w:rPr>
        <w:t>2</w:t>
      </w:r>
      <w:r w:rsidRPr="0040590A">
        <w:rPr>
          <w:rFonts w:eastAsiaTheme="minorHAnsi" w:cs="Calibri"/>
        </w:rPr>
        <w:t xml:space="preserve"> per 21 to </w:t>
      </w:r>
      <w:r w:rsidR="00503681">
        <w:rPr>
          <w:rFonts w:eastAsiaTheme="minorHAnsi" w:cs="Calibri"/>
        </w:rPr>
        <w:t>28 day</w:t>
      </w:r>
      <w:r w:rsidRPr="0040590A">
        <w:rPr>
          <w:rFonts w:eastAsiaTheme="minorHAnsi" w:cs="Calibri"/>
        </w:rPr>
        <w:t xml:space="preserve"> cycle (0.8 mg/</w:t>
      </w:r>
      <w:r w:rsidR="00F769DD" w:rsidRPr="00AA53F4">
        <w:rPr>
          <w:lang w:val="en-US"/>
        </w:rPr>
        <w:t>m</w:t>
      </w:r>
      <w:r w:rsidR="00F769DD" w:rsidRPr="00F769DD">
        <w:rPr>
          <w:vertAlign w:val="superscript"/>
          <w:lang w:val="en-US"/>
        </w:rPr>
        <w:t>2</w:t>
      </w:r>
      <w:r w:rsidRPr="0040590A">
        <w:rPr>
          <w:rFonts w:eastAsiaTheme="minorHAnsi" w:cs="Calibri"/>
        </w:rPr>
        <w:t xml:space="preserve"> on Day 1, and 0.5 mg/</w:t>
      </w:r>
      <w:r w:rsidR="00F769DD" w:rsidRPr="00AA53F4">
        <w:rPr>
          <w:lang w:val="en-US"/>
        </w:rPr>
        <w:t>m</w:t>
      </w:r>
      <w:r w:rsidR="00F769DD" w:rsidRPr="00F769DD">
        <w:rPr>
          <w:vertAlign w:val="superscript"/>
          <w:lang w:val="en-US"/>
        </w:rPr>
        <w:t>2</w:t>
      </w:r>
      <w:r w:rsidRPr="0040590A">
        <w:rPr>
          <w:rFonts w:eastAsiaTheme="minorHAnsi" w:cs="Calibri"/>
          <w:vertAlign w:val="superscript"/>
        </w:rPr>
        <w:t xml:space="preserve"> </w:t>
      </w:r>
      <w:r w:rsidRPr="0040590A">
        <w:rPr>
          <w:rFonts w:eastAsiaTheme="minorHAnsi" w:cs="Calibri"/>
        </w:rPr>
        <w:t>on Days 8 and 15)</w:t>
      </w:r>
      <w:r w:rsidR="00503681">
        <w:rPr>
          <w:rFonts w:eastAsiaTheme="minorHAnsi" w:cs="Calibri"/>
        </w:rPr>
        <w:t>.</w:t>
      </w:r>
    </w:p>
    <w:p w14:paraId="2A20C6E1" w14:textId="77777777" w:rsidR="00503681" w:rsidRDefault="00B37AB3" w:rsidP="00B37AB3">
      <w:pPr>
        <w:pStyle w:val="ListBullet"/>
        <w:rPr>
          <w:lang w:eastAsia="ja-JP"/>
        </w:rPr>
      </w:pPr>
      <w:r w:rsidRPr="0040590A">
        <w:rPr>
          <w:rFonts w:eastAsiaTheme="minorHAnsi" w:cs="Calibri"/>
        </w:rPr>
        <w:t xml:space="preserve">In general, PK parameters across the individual ALL and NHL studies showed moderate to high inter-subject variability. </w:t>
      </w:r>
      <w:r w:rsidRPr="0040590A">
        <w:rPr>
          <w:lang w:eastAsia="ja-JP"/>
        </w:rPr>
        <w:t xml:space="preserve">The pooled data for the two ALL studies showed that inter-individual variability for </w:t>
      </w:r>
      <w:proofErr w:type="spellStart"/>
      <w:r w:rsidR="00F769DD" w:rsidRPr="00AA53F4">
        <w:rPr>
          <w:lang w:val="en-US"/>
        </w:rPr>
        <w:t>C</w:t>
      </w:r>
      <w:r w:rsidR="00F769DD" w:rsidRPr="00F769DD">
        <w:rPr>
          <w:vertAlign w:val="subscript"/>
          <w:lang w:val="en-US"/>
        </w:rPr>
        <w:t>max</w:t>
      </w:r>
      <w:proofErr w:type="spellEnd"/>
      <w:r w:rsidRPr="0040590A">
        <w:rPr>
          <w:lang w:eastAsia="ja-JP"/>
        </w:rPr>
        <w:t xml:space="preserve"> was gr</w:t>
      </w:r>
      <w:r w:rsidR="00503681">
        <w:rPr>
          <w:lang w:eastAsia="ja-JP"/>
        </w:rPr>
        <w:t xml:space="preserve">eater following single </w:t>
      </w:r>
      <w:r>
        <w:rPr>
          <w:lang w:eastAsia="ja-JP"/>
        </w:rPr>
        <w:t>dose (CV</w:t>
      </w:r>
      <w:r w:rsidR="0014606A">
        <w:rPr>
          <w:lang w:eastAsia="ja-JP"/>
        </w:rPr>
        <w:t xml:space="preserve"> = </w:t>
      </w:r>
      <w:r w:rsidRPr="0040590A">
        <w:rPr>
          <w:lang w:eastAsia="ja-JP"/>
        </w:rPr>
        <w:t>172</w:t>
      </w:r>
      <w:r w:rsidR="00503681">
        <w:rPr>
          <w:lang w:eastAsia="ja-JP"/>
        </w:rPr>
        <w:t xml:space="preserve">%) compared to multiple </w:t>
      </w:r>
      <w:r>
        <w:rPr>
          <w:lang w:eastAsia="ja-JP"/>
        </w:rPr>
        <w:t>dose (CV</w:t>
      </w:r>
      <w:r w:rsidR="0014606A">
        <w:rPr>
          <w:lang w:eastAsia="ja-JP"/>
        </w:rPr>
        <w:t xml:space="preserve"> = </w:t>
      </w:r>
      <w:r w:rsidRPr="0040590A">
        <w:rPr>
          <w:lang w:eastAsia="ja-JP"/>
        </w:rPr>
        <w:t>113</w:t>
      </w:r>
      <w:r>
        <w:rPr>
          <w:lang w:eastAsia="ja-JP"/>
        </w:rPr>
        <w:t>%</w:t>
      </w:r>
      <w:r w:rsidRPr="0040590A">
        <w:rPr>
          <w:lang w:eastAsia="ja-JP"/>
        </w:rPr>
        <w:t>), as was inter-subject variability (</w:t>
      </w:r>
      <w:proofErr w:type="gramStart"/>
      <w:r w:rsidRPr="0040590A">
        <w:rPr>
          <w:lang w:eastAsia="ja-JP"/>
        </w:rPr>
        <w:t>CV%</w:t>
      </w:r>
      <w:proofErr w:type="gramEnd"/>
      <w:r w:rsidRPr="0040590A">
        <w:rPr>
          <w:lang w:eastAsia="ja-JP"/>
        </w:rPr>
        <w:t xml:space="preserve">) for </w:t>
      </w:r>
      <w:proofErr w:type="spellStart"/>
      <w:r w:rsidRPr="0040590A">
        <w:rPr>
          <w:lang w:eastAsia="ja-JP"/>
        </w:rPr>
        <w:t>C</w:t>
      </w:r>
      <w:r w:rsidRPr="009A0476">
        <w:rPr>
          <w:vertAlign w:val="subscript"/>
          <w:lang w:eastAsia="ja-JP"/>
        </w:rPr>
        <w:t>trough</w:t>
      </w:r>
      <w:proofErr w:type="spellEnd"/>
      <w:r w:rsidRPr="0040590A">
        <w:rPr>
          <w:lang w:eastAsia="ja-JP"/>
        </w:rPr>
        <w:t xml:space="preserve"> (157% </w:t>
      </w:r>
      <w:r w:rsidR="00503681">
        <w:rPr>
          <w:lang w:eastAsia="ja-JP"/>
        </w:rPr>
        <w:t>(single dose)</w:t>
      </w:r>
      <w:r>
        <w:rPr>
          <w:lang w:eastAsia="ja-JP"/>
        </w:rPr>
        <w:t xml:space="preserve"> </w:t>
      </w:r>
      <w:r w:rsidR="001D0208">
        <w:rPr>
          <w:lang w:eastAsia="ja-JP"/>
        </w:rPr>
        <w:t xml:space="preserve">versus </w:t>
      </w:r>
      <w:r w:rsidRPr="0040590A">
        <w:rPr>
          <w:lang w:eastAsia="ja-JP"/>
        </w:rPr>
        <w:t>101%</w:t>
      </w:r>
      <w:r>
        <w:rPr>
          <w:lang w:eastAsia="ja-JP"/>
        </w:rPr>
        <w:t xml:space="preserve"> </w:t>
      </w:r>
      <w:r w:rsidR="00503681">
        <w:rPr>
          <w:lang w:eastAsia="ja-JP"/>
        </w:rPr>
        <w:t>(</w:t>
      </w:r>
      <w:r>
        <w:rPr>
          <w:lang w:eastAsia="ja-JP"/>
        </w:rPr>
        <w:t>multiple dose</w:t>
      </w:r>
      <w:r w:rsidR="00503681">
        <w:rPr>
          <w:lang w:eastAsia="ja-JP"/>
        </w:rPr>
        <w:t>)</w:t>
      </w:r>
      <w:r>
        <w:rPr>
          <w:lang w:eastAsia="ja-JP"/>
        </w:rPr>
        <w:t>)</w:t>
      </w:r>
      <w:r w:rsidR="00503681">
        <w:rPr>
          <w:lang w:eastAsia="ja-JP"/>
        </w:rPr>
        <w:t>.</w:t>
      </w:r>
    </w:p>
    <w:p w14:paraId="467A6700" w14:textId="77777777" w:rsidR="00503681" w:rsidRDefault="00B37AB3" w:rsidP="00B37AB3">
      <w:pPr>
        <w:pStyle w:val="ListBullet"/>
        <w:rPr>
          <w:rFonts w:cstheme="majorHAnsi"/>
          <w:color w:val="000000"/>
          <w:lang w:val="en-US"/>
        </w:rPr>
      </w:pPr>
      <w:r w:rsidRPr="0040590A">
        <w:rPr>
          <w:rFonts w:cstheme="majorHAnsi"/>
          <w:lang w:val="en-US"/>
        </w:rPr>
        <w:t xml:space="preserve">In the NHL </w:t>
      </w:r>
      <w:r w:rsidR="00503681">
        <w:rPr>
          <w:rFonts w:cstheme="majorHAnsi"/>
          <w:lang w:val="en-US"/>
        </w:rPr>
        <w:t>S</w:t>
      </w:r>
      <w:r w:rsidRPr="0040590A">
        <w:rPr>
          <w:rFonts w:cstheme="majorHAnsi"/>
          <w:lang w:val="en-US"/>
        </w:rPr>
        <w:t xml:space="preserve">tudies B1931002 and B1931016, </w:t>
      </w:r>
      <w:r>
        <w:rPr>
          <w:rFonts w:cs="‡Ôø◊ÁÏ"/>
          <w:color w:val="000000"/>
          <w:lang w:val="en-US"/>
        </w:rPr>
        <w:t xml:space="preserve">inotuzumab ozogamicin was administered at single </w:t>
      </w:r>
      <w:r w:rsidRPr="0040590A">
        <w:rPr>
          <w:rFonts w:cstheme="majorHAnsi"/>
          <w:lang w:val="en-US"/>
        </w:rPr>
        <w:t>doses of 0.4, 0.8, 1.34, 1.8, and 2.4 mg/</w:t>
      </w:r>
      <w:r w:rsidR="00F769DD" w:rsidRPr="00AA53F4">
        <w:rPr>
          <w:lang w:val="en-US"/>
        </w:rPr>
        <w:t>m</w:t>
      </w:r>
      <w:r w:rsidR="00F769DD" w:rsidRPr="00F769DD">
        <w:rPr>
          <w:vertAlign w:val="superscript"/>
          <w:lang w:val="en-US"/>
        </w:rPr>
        <w:t>2</w:t>
      </w:r>
      <w:r w:rsidRPr="0040590A">
        <w:rPr>
          <w:rFonts w:cstheme="majorHAnsi"/>
          <w:lang w:val="en-US"/>
        </w:rPr>
        <w:t xml:space="preserve"> and 1.3 and 1.8 mg/</w:t>
      </w:r>
      <w:r w:rsidR="00F769DD" w:rsidRPr="00AA53F4">
        <w:rPr>
          <w:lang w:val="en-US"/>
        </w:rPr>
        <w:t>m</w:t>
      </w:r>
      <w:r w:rsidR="00F769DD" w:rsidRPr="00F769DD">
        <w:rPr>
          <w:vertAlign w:val="superscript"/>
          <w:lang w:val="en-US"/>
        </w:rPr>
        <w:t>2</w:t>
      </w:r>
      <w:r w:rsidRPr="0040590A">
        <w:rPr>
          <w:rFonts w:cstheme="majorHAnsi"/>
          <w:lang w:val="en-US"/>
        </w:rPr>
        <w:t>, respectively</w:t>
      </w:r>
      <w:r>
        <w:rPr>
          <w:rFonts w:cstheme="majorHAnsi"/>
          <w:lang w:val="en-US"/>
        </w:rPr>
        <w:t xml:space="preserve">. </w:t>
      </w:r>
      <w:r w:rsidRPr="0040590A">
        <w:rPr>
          <w:rFonts w:cstheme="majorHAnsi"/>
          <w:lang w:val="en-US"/>
        </w:rPr>
        <w:t xml:space="preserve">Using </w:t>
      </w:r>
      <w:r>
        <w:rPr>
          <w:rFonts w:cstheme="majorHAnsi"/>
          <w:lang w:val="en-US"/>
        </w:rPr>
        <w:t xml:space="preserve">the </w:t>
      </w:r>
      <w:proofErr w:type="spellStart"/>
      <w:r w:rsidR="00F769DD" w:rsidRPr="00AA53F4">
        <w:rPr>
          <w:lang w:val="en-US"/>
        </w:rPr>
        <w:t>C</w:t>
      </w:r>
      <w:r w:rsidR="00F769DD" w:rsidRPr="00F769DD">
        <w:rPr>
          <w:vertAlign w:val="subscript"/>
          <w:lang w:val="en-US"/>
        </w:rPr>
        <w:t>max</w:t>
      </w:r>
      <w:proofErr w:type="spellEnd"/>
      <w:r w:rsidRPr="0040590A">
        <w:rPr>
          <w:rFonts w:cstheme="majorHAnsi"/>
          <w:vertAlign w:val="subscript"/>
          <w:lang w:val="en-US"/>
        </w:rPr>
        <w:t xml:space="preserve"> </w:t>
      </w:r>
      <w:r w:rsidRPr="0040590A">
        <w:rPr>
          <w:rFonts w:cstheme="majorHAnsi"/>
          <w:lang w:val="en-US"/>
        </w:rPr>
        <w:t xml:space="preserve">and </w:t>
      </w:r>
      <w:proofErr w:type="spellStart"/>
      <w:r w:rsidR="00F769DD" w:rsidRPr="00AA53F4">
        <w:rPr>
          <w:lang w:val="en-US"/>
        </w:rPr>
        <w:t>AUC</w:t>
      </w:r>
      <w:r w:rsidR="00F769DD" w:rsidRPr="00F769DD">
        <w:rPr>
          <w:vertAlign w:val="subscript"/>
          <w:lang w:val="en-US"/>
        </w:rPr>
        <w:t>inf</w:t>
      </w:r>
      <w:proofErr w:type="spellEnd"/>
      <w:r w:rsidRPr="0040590A">
        <w:rPr>
          <w:rFonts w:cstheme="majorHAnsi"/>
          <w:lang w:val="en-US"/>
        </w:rPr>
        <w:t xml:space="preserve"> data</w:t>
      </w:r>
      <w:r>
        <w:rPr>
          <w:rFonts w:cstheme="majorHAnsi"/>
          <w:lang w:val="en-US"/>
        </w:rPr>
        <w:t xml:space="preserve"> from these two NHL studies</w:t>
      </w:r>
      <w:r w:rsidRPr="0040590A">
        <w:rPr>
          <w:rFonts w:cstheme="majorHAnsi"/>
          <w:lang w:val="en-US"/>
        </w:rPr>
        <w:t>, power models were applied t</w:t>
      </w:r>
      <w:r>
        <w:rPr>
          <w:rFonts w:cstheme="majorHAnsi"/>
          <w:lang w:val="en-US"/>
        </w:rPr>
        <w:t xml:space="preserve">o test dose proportionality </w:t>
      </w:r>
      <w:r w:rsidRPr="0040590A">
        <w:rPr>
          <w:rFonts w:cstheme="majorHAnsi"/>
          <w:lang w:val="en-US"/>
        </w:rPr>
        <w:t xml:space="preserve">for each component of inotuzumab ozogamicin. The increase in </w:t>
      </w:r>
      <w:proofErr w:type="spellStart"/>
      <w:r w:rsidR="00F769DD" w:rsidRPr="00AA53F4">
        <w:rPr>
          <w:lang w:val="en-US"/>
        </w:rPr>
        <w:t>C</w:t>
      </w:r>
      <w:r w:rsidR="00F769DD" w:rsidRPr="00F769DD">
        <w:rPr>
          <w:vertAlign w:val="subscript"/>
          <w:lang w:val="en-US"/>
        </w:rPr>
        <w:t>max</w:t>
      </w:r>
      <w:proofErr w:type="spellEnd"/>
      <w:r w:rsidRPr="0040590A">
        <w:rPr>
          <w:rFonts w:cstheme="majorHAnsi"/>
          <w:lang w:val="en-US"/>
        </w:rPr>
        <w:t xml:space="preserve"> appeared to be less than dose proportional for </w:t>
      </w:r>
      <w:r w:rsidRPr="0040590A">
        <w:rPr>
          <w:rFonts w:cstheme="majorHAnsi"/>
          <w:color w:val="000000"/>
          <w:lang w:val="en-US"/>
        </w:rPr>
        <w:t xml:space="preserve">inotuzumab ozogamicin, total calicheamicin and total antibody </w:t>
      </w:r>
      <w:r w:rsidRPr="0040590A">
        <w:rPr>
          <w:rFonts w:cstheme="majorHAnsi"/>
          <w:lang w:val="en-US"/>
        </w:rPr>
        <w:t xml:space="preserve">within the </w:t>
      </w:r>
      <w:r w:rsidR="00503681">
        <w:rPr>
          <w:rFonts w:cstheme="majorHAnsi"/>
          <w:lang w:val="en-US"/>
        </w:rPr>
        <w:t>single dose</w:t>
      </w:r>
      <w:r w:rsidRPr="0040590A">
        <w:rPr>
          <w:rFonts w:cstheme="majorHAnsi"/>
          <w:lang w:val="en-US"/>
        </w:rPr>
        <w:t xml:space="preserve"> range of 0.4 to 2.4 mg/</w:t>
      </w:r>
      <w:r w:rsidR="00F769DD" w:rsidRPr="00AA53F4">
        <w:rPr>
          <w:lang w:val="en-US"/>
        </w:rPr>
        <w:t>m</w:t>
      </w:r>
      <w:r w:rsidR="00F769DD" w:rsidRPr="00F769DD">
        <w:rPr>
          <w:vertAlign w:val="superscript"/>
          <w:lang w:val="en-US"/>
        </w:rPr>
        <w:t>2</w:t>
      </w:r>
      <w:r w:rsidRPr="0040590A">
        <w:rPr>
          <w:rFonts w:cstheme="majorHAnsi"/>
          <w:lang w:val="en-US"/>
        </w:rPr>
        <w:t xml:space="preserve">. The increase in </w:t>
      </w:r>
      <w:proofErr w:type="spellStart"/>
      <w:r w:rsidR="00F769DD" w:rsidRPr="00AA53F4">
        <w:rPr>
          <w:lang w:val="en-US"/>
        </w:rPr>
        <w:t>AUC</w:t>
      </w:r>
      <w:r w:rsidR="00F769DD" w:rsidRPr="00F769DD">
        <w:rPr>
          <w:vertAlign w:val="subscript"/>
          <w:lang w:val="en-US"/>
        </w:rPr>
        <w:t>inf</w:t>
      </w:r>
      <w:proofErr w:type="spellEnd"/>
      <w:r w:rsidRPr="0040590A">
        <w:rPr>
          <w:rFonts w:cstheme="majorHAnsi"/>
          <w:lang w:val="en-US"/>
        </w:rPr>
        <w:t xml:space="preserve"> appeared to more than dose proportional for total calicheamicin and total antibody over the </w:t>
      </w:r>
      <w:r w:rsidR="00503681">
        <w:rPr>
          <w:rFonts w:cstheme="majorHAnsi"/>
          <w:lang w:val="en-US"/>
        </w:rPr>
        <w:t>single dose,</w:t>
      </w:r>
      <w:r>
        <w:rPr>
          <w:rFonts w:cstheme="majorHAnsi"/>
          <w:lang w:val="en-US"/>
        </w:rPr>
        <w:t xml:space="preserve"> </w:t>
      </w:r>
      <w:r w:rsidRPr="0040590A">
        <w:rPr>
          <w:rFonts w:cstheme="majorHAnsi"/>
          <w:lang w:val="en-US"/>
        </w:rPr>
        <w:t>dose range of 0.4 to 2.4 mg/</w:t>
      </w:r>
      <w:r w:rsidR="00F769DD" w:rsidRPr="00AA53F4">
        <w:rPr>
          <w:lang w:val="en-US"/>
        </w:rPr>
        <w:t>m</w:t>
      </w:r>
      <w:r w:rsidR="00F769DD" w:rsidRPr="00F769DD">
        <w:rPr>
          <w:vertAlign w:val="superscript"/>
          <w:lang w:val="en-US"/>
        </w:rPr>
        <w:t>2</w:t>
      </w:r>
      <w:r w:rsidRPr="0040590A">
        <w:rPr>
          <w:rFonts w:cstheme="majorHAnsi"/>
          <w:lang w:val="en-US"/>
        </w:rPr>
        <w:t xml:space="preserve">, while dose ranging data for </w:t>
      </w:r>
      <w:proofErr w:type="spellStart"/>
      <w:r w:rsidR="00F769DD" w:rsidRPr="00AA53F4">
        <w:rPr>
          <w:lang w:val="en-US"/>
        </w:rPr>
        <w:t>AUC</w:t>
      </w:r>
      <w:r w:rsidR="00F769DD" w:rsidRPr="00F769DD">
        <w:rPr>
          <w:vertAlign w:val="subscript"/>
          <w:lang w:val="en-US"/>
        </w:rPr>
        <w:t>inf</w:t>
      </w:r>
      <w:proofErr w:type="spellEnd"/>
      <w:r w:rsidRPr="0040590A">
        <w:rPr>
          <w:rFonts w:cstheme="majorHAnsi"/>
          <w:lang w:val="en-US"/>
        </w:rPr>
        <w:t xml:space="preserve"> were not available for </w:t>
      </w:r>
      <w:r w:rsidRPr="0040590A">
        <w:rPr>
          <w:rFonts w:cstheme="majorHAnsi"/>
          <w:color w:val="000000"/>
          <w:lang w:val="en-US"/>
        </w:rPr>
        <w:t xml:space="preserve">inotuzumab ozogamicin. There were no </w:t>
      </w:r>
      <w:r w:rsidR="00503681">
        <w:rPr>
          <w:rFonts w:cstheme="majorHAnsi"/>
          <w:color w:val="000000"/>
          <w:lang w:val="en-US"/>
        </w:rPr>
        <w:t>single dose</w:t>
      </w:r>
      <w:r w:rsidRPr="0040590A">
        <w:rPr>
          <w:rFonts w:cstheme="majorHAnsi"/>
          <w:color w:val="000000"/>
          <w:lang w:val="en-US"/>
        </w:rPr>
        <w:t xml:space="preserve"> proportionality assessments in patients with ALL</w:t>
      </w:r>
      <w:r w:rsidR="00503681">
        <w:rPr>
          <w:rFonts w:cstheme="majorHAnsi"/>
          <w:color w:val="000000"/>
          <w:lang w:val="en-US"/>
        </w:rPr>
        <w:t>.</w:t>
      </w:r>
    </w:p>
    <w:p w14:paraId="60CE4CDB" w14:textId="77777777" w:rsidR="00B37AB3" w:rsidRPr="0040590A" w:rsidRDefault="00B37AB3" w:rsidP="00B37AB3">
      <w:pPr>
        <w:pStyle w:val="ListBullet"/>
      </w:pPr>
      <w:r w:rsidRPr="0040590A">
        <w:t xml:space="preserve">In the NHL </w:t>
      </w:r>
      <w:r w:rsidR="00503681">
        <w:t>Study</w:t>
      </w:r>
      <w:r w:rsidRPr="0040590A">
        <w:t xml:space="preserve"> B1931002, </w:t>
      </w:r>
      <w:r>
        <w:rPr>
          <w:rFonts w:cs="‡Ôø◊ÁÏ"/>
          <w:color w:val="000000"/>
          <w:lang w:val="en-US"/>
        </w:rPr>
        <w:t xml:space="preserve">inotuzumab ozogamicin administered as </w:t>
      </w:r>
      <w:r w:rsidRPr="0040590A">
        <w:t>multiple doses of 0.4 (n</w:t>
      </w:r>
      <w:r w:rsidR="0014606A">
        <w:t xml:space="preserve"> = </w:t>
      </w:r>
      <w:r w:rsidRPr="0040590A">
        <w:t>2), 0.8 (n</w:t>
      </w:r>
      <w:r w:rsidR="0014606A">
        <w:t xml:space="preserve"> = </w:t>
      </w:r>
      <w:r w:rsidRPr="0040590A">
        <w:t>8), 1.34 (n</w:t>
      </w:r>
      <w:r w:rsidR="0014606A">
        <w:t xml:space="preserve"> = </w:t>
      </w:r>
      <w:r w:rsidRPr="0040590A">
        <w:t>11), 1.8 (n</w:t>
      </w:r>
      <w:r w:rsidR="0014606A">
        <w:t xml:space="preserve"> = </w:t>
      </w:r>
      <w:r w:rsidRPr="0040590A">
        <w:t>6), and 2.4 (n</w:t>
      </w:r>
      <w:r w:rsidR="0014606A">
        <w:t xml:space="preserve"> = </w:t>
      </w:r>
      <w:r w:rsidRPr="0040590A">
        <w:t>6) mg/</w:t>
      </w:r>
      <w:r w:rsidR="00F769DD" w:rsidRPr="00AA53F4">
        <w:rPr>
          <w:lang w:val="en-US"/>
        </w:rPr>
        <w:t>m</w:t>
      </w:r>
      <w:r w:rsidR="00F769DD" w:rsidRPr="00F769DD">
        <w:rPr>
          <w:vertAlign w:val="superscript"/>
          <w:lang w:val="en-US"/>
        </w:rPr>
        <w:t>2</w:t>
      </w:r>
      <w:r w:rsidRPr="0040590A">
        <w:t xml:space="preserve"> </w:t>
      </w:r>
      <w:r w:rsidR="00503681">
        <w:t>Q3W</w:t>
      </w:r>
      <w:r w:rsidRPr="0040590A">
        <w:t xml:space="preserve"> for 3 and 4 week treatment cycles were administered in Part 1 of the study (</w:t>
      </w:r>
      <w:r w:rsidR="00E86989">
        <w:t>dose escalation</w:t>
      </w:r>
      <w:r w:rsidRPr="0040590A">
        <w:t xml:space="preserve">). Using </w:t>
      </w:r>
      <w:proofErr w:type="spellStart"/>
      <w:r w:rsidR="00F769DD" w:rsidRPr="00AA53F4">
        <w:rPr>
          <w:lang w:val="en-US"/>
        </w:rPr>
        <w:t>C</w:t>
      </w:r>
      <w:r w:rsidR="00F769DD" w:rsidRPr="00F769DD">
        <w:rPr>
          <w:vertAlign w:val="subscript"/>
          <w:lang w:val="en-US"/>
        </w:rPr>
        <w:t>max</w:t>
      </w:r>
      <w:proofErr w:type="spellEnd"/>
      <w:r w:rsidRPr="0040590A">
        <w:t xml:space="preserve"> and </w:t>
      </w:r>
      <w:proofErr w:type="spellStart"/>
      <w:r w:rsidR="00F769DD" w:rsidRPr="00AA53F4">
        <w:rPr>
          <w:lang w:val="en-US"/>
        </w:rPr>
        <w:t>AUC</w:t>
      </w:r>
      <w:r w:rsidR="00F769DD" w:rsidRPr="00F769DD">
        <w:rPr>
          <w:vertAlign w:val="subscript"/>
          <w:lang w:val="en-US"/>
        </w:rPr>
        <w:t>tau</w:t>
      </w:r>
      <w:proofErr w:type="spellEnd"/>
      <w:r w:rsidRPr="0040590A">
        <w:t xml:space="preserve"> data, power models were applied to test dose proportionality for each component of </w:t>
      </w:r>
      <w:proofErr w:type="spellStart"/>
      <w:r w:rsidRPr="0040590A">
        <w:t>inotuzumab</w:t>
      </w:r>
      <w:proofErr w:type="spellEnd"/>
      <w:r w:rsidRPr="0040590A">
        <w:t xml:space="preserve"> </w:t>
      </w:r>
      <w:proofErr w:type="spellStart"/>
      <w:r w:rsidRPr="0040590A">
        <w:t>ozogamicin</w:t>
      </w:r>
      <w:proofErr w:type="spellEnd"/>
      <w:r w:rsidRPr="0040590A">
        <w:t xml:space="preserve">. The increase in </w:t>
      </w:r>
      <w:proofErr w:type="spellStart"/>
      <w:r w:rsidR="00F769DD" w:rsidRPr="00AA53F4">
        <w:rPr>
          <w:lang w:val="en-US"/>
        </w:rPr>
        <w:t>C</w:t>
      </w:r>
      <w:r w:rsidR="00F769DD" w:rsidRPr="00F769DD">
        <w:rPr>
          <w:vertAlign w:val="subscript"/>
          <w:lang w:val="en-US"/>
        </w:rPr>
        <w:t>max</w:t>
      </w:r>
      <w:proofErr w:type="spellEnd"/>
      <w:r w:rsidRPr="0040590A">
        <w:t xml:space="preserve"> appeared to be less than dose proportional for </w:t>
      </w:r>
      <w:proofErr w:type="spellStart"/>
      <w:r w:rsidRPr="0040590A">
        <w:t>inotuzumab</w:t>
      </w:r>
      <w:proofErr w:type="spellEnd"/>
      <w:r w:rsidRPr="0040590A">
        <w:t xml:space="preserve"> </w:t>
      </w:r>
      <w:proofErr w:type="spellStart"/>
      <w:r w:rsidRPr="0040590A">
        <w:t>ozogamicin</w:t>
      </w:r>
      <w:proofErr w:type="spellEnd"/>
      <w:r w:rsidRPr="0040590A">
        <w:t xml:space="preserve"> and total antibody, but appeared dose propo</w:t>
      </w:r>
      <w:r>
        <w:t xml:space="preserve">rtional for total </w:t>
      </w:r>
      <w:proofErr w:type="spellStart"/>
      <w:r>
        <w:t>calicheamicin</w:t>
      </w:r>
      <w:proofErr w:type="spellEnd"/>
      <w:r>
        <w:t xml:space="preserve"> </w:t>
      </w:r>
      <w:r w:rsidRPr="0040590A">
        <w:t>within the dose range of 0.4 to 2.4 mg/</w:t>
      </w:r>
      <w:r w:rsidR="00F769DD" w:rsidRPr="00AA53F4">
        <w:rPr>
          <w:lang w:val="en-US"/>
        </w:rPr>
        <w:t>m</w:t>
      </w:r>
      <w:r w:rsidR="00F769DD" w:rsidRPr="00F769DD">
        <w:rPr>
          <w:vertAlign w:val="superscript"/>
          <w:lang w:val="en-US"/>
        </w:rPr>
        <w:t>2</w:t>
      </w:r>
      <w:r w:rsidRPr="0040590A">
        <w:t xml:space="preserve"> </w:t>
      </w:r>
      <w:r w:rsidR="00503681">
        <w:t>Q3W</w:t>
      </w:r>
      <w:r w:rsidRPr="0040590A">
        <w:t>.</w:t>
      </w:r>
      <w:r w:rsidR="006779D9">
        <w:t xml:space="preserve"> </w:t>
      </w:r>
      <w:r w:rsidRPr="0040590A">
        <w:t xml:space="preserve">The increase in </w:t>
      </w:r>
      <w:proofErr w:type="spellStart"/>
      <w:r w:rsidR="00F769DD" w:rsidRPr="00AA53F4">
        <w:rPr>
          <w:lang w:val="en-US"/>
        </w:rPr>
        <w:t>AUC</w:t>
      </w:r>
      <w:r w:rsidR="00F769DD" w:rsidRPr="00F769DD">
        <w:rPr>
          <w:vertAlign w:val="subscript"/>
          <w:lang w:val="en-US"/>
        </w:rPr>
        <w:t>tau</w:t>
      </w:r>
      <w:proofErr w:type="spellEnd"/>
      <w:r w:rsidRPr="0040590A">
        <w:t xml:space="preserve"> appeared to be greater than dose proportional for total antibody, but appeared to be dose proportional for total </w:t>
      </w:r>
      <w:proofErr w:type="spellStart"/>
      <w:r w:rsidRPr="0040590A">
        <w:t>calicheamicin</w:t>
      </w:r>
      <w:proofErr w:type="spellEnd"/>
      <w:r w:rsidRPr="0040590A">
        <w:t xml:space="preserve"> within the dose range of 0.4 to 2.4 mg/</w:t>
      </w:r>
      <w:r w:rsidR="00F769DD" w:rsidRPr="00AA53F4">
        <w:rPr>
          <w:lang w:val="en-US"/>
        </w:rPr>
        <w:t>m</w:t>
      </w:r>
      <w:r w:rsidR="00F769DD" w:rsidRPr="00F769DD">
        <w:rPr>
          <w:vertAlign w:val="superscript"/>
          <w:lang w:val="en-US"/>
        </w:rPr>
        <w:t>2</w:t>
      </w:r>
      <w:r w:rsidRPr="0040590A">
        <w:t xml:space="preserve"> </w:t>
      </w:r>
      <w:r w:rsidR="00503681">
        <w:t>Q3W</w:t>
      </w:r>
      <w:r w:rsidRPr="0040590A">
        <w:t xml:space="preserve">. </w:t>
      </w:r>
      <w:r w:rsidRPr="0040590A">
        <w:rPr>
          <w:rFonts w:cstheme="majorHAnsi"/>
          <w:color w:val="000000"/>
          <w:lang w:val="en-US"/>
        </w:rPr>
        <w:t>There were no multiple-dose proportionality assessments in patients with ALL.</w:t>
      </w:r>
    </w:p>
    <w:p w14:paraId="65674FF0" w14:textId="77777777" w:rsidR="00503681" w:rsidRDefault="00B37AB3" w:rsidP="00B37AB3">
      <w:pPr>
        <w:pStyle w:val="ListBullet"/>
      </w:pPr>
      <w:r w:rsidRPr="0040590A">
        <w:rPr>
          <w:rFonts w:cs="‡oÒø◊wÏ"/>
          <w:color w:val="000000"/>
          <w:lang w:val="en-US"/>
        </w:rPr>
        <w:lastRenderedPageBreak/>
        <w:t xml:space="preserve">Based on the </w:t>
      </w:r>
      <w:proofErr w:type="spellStart"/>
      <w:r w:rsidRPr="0040590A">
        <w:rPr>
          <w:rFonts w:cs="‡oÒø◊wÏ"/>
          <w:color w:val="000000"/>
          <w:lang w:val="en-US"/>
        </w:rPr>
        <w:t>popPK</w:t>
      </w:r>
      <w:proofErr w:type="spellEnd"/>
      <w:r w:rsidRPr="0040590A">
        <w:rPr>
          <w:rFonts w:cs="‡oÒø◊wÏ"/>
          <w:color w:val="000000"/>
          <w:lang w:val="en-US"/>
        </w:rPr>
        <w:t xml:space="preserve"> analysis, the total volume of distribution of </w:t>
      </w:r>
      <w:r w:rsidRPr="0040590A">
        <w:rPr>
          <w:rFonts w:cs="‡Ôø◊ÁÏ"/>
          <w:color w:val="000000"/>
          <w:lang w:val="en-US"/>
        </w:rPr>
        <w:t>inotuzumab ozogamicin</w:t>
      </w:r>
      <w:r w:rsidR="006779D9">
        <w:rPr>
          <w:rFonts w:cs="‡Ôø◊ÁÏ"/>
          <w:color w:val="000000"/>
          <w:lang w:val="en-US"/>
        </w:rPr>
        <w:t xml:space="preserve"> </w:t>
      </w:r>
      <w:r w:rsidRPr="0040590A">
        <w:rPr>
          <w:rFonts w:cs="‡oÒø◊wÏ"/>
          <w:color w:val="000000"/>
          <w:lang w:val="en-US"/>
        </w:rPr>
        <w:t>was approximately</w:t>
      </w:r>
      <w:r>
        <w:rPr>
          <w:rFonts w:cs="‡oÒø◊wÏ"/>
          <w:color w:val="000000"/>
          <w:lang w:val="en-US"/>
        </w:rPr>
        <w:t xml:space="preserve"> 12 L. This result indicates that </w:t>
      </w:r>
      <w:r w:rsidRPr="0040590A">
        <w:t xml:space="preserve">inotuzumab ozogamicin is </w:t>
      </w:r>
      <w:r>
        <w:t>not significantly distributed to the extravascular tissues</w:t>
      </w:r>
      <w:r w:rsidR="00503681">
        <w:t>.</w:t>
      </w:r>
    </w:p>
    <w:p w14:paraId="477296FC" w14:textId="77777777" w:rsidR="00503681" w:rsidRDefault="00B37AB3" w:rsidP="00B37AB3">
      <w:pPr>
        <w:pStyle w:val="ListBullet"/>
      </w:pPr>
      <w:r w:rsidRPr="0040590A">
        <w:rPr>
          <w:lang w:val="en-US"/>
        </w:rPr>
        <w:t xml:space="preserve">Unconjugated </w:t>
      </w:r>
      <w:proofErr w:type="spellStart"/>
      <w:r w:rsidRPr="0040590A">
        <w:rPr>
          <w:lang w:val="en-US"/>
        </w:rPr>
        <w:t>calicheamicin</w:t>
      </w:r>
      <w:proofErr w:type="spellEnd"/>
      <w:r w:rsidRPr="0040590A">
        <w:rPr>
          <w:lang w:val="en-US"/>
        </w:rPr>
        <w:t xml:space="preserve"> was highly bound to plasma proteins in humans (97.2%), with the geometric mean plasma unbound fraction (</w:t>
      </w:r>
      <w:proofErr w:type="spellStart"/>
      <w:r w:rsidRPr="0040590A">
        <w:t>fu</w:t>
      </w:r>
      <w:proofErr w:type="spellEnd"/>
      <w:r w:rsidRPr="0040590A">
        <w:t>) being</w:t>
      </w:r>
      <w:r w:rsidRPr="0040590A">
        <w:rPr>
          <w:lang w:val="en-US"/>
        </w:rPr>
        <w:t xml:space="preserve"> 0.0279. Unconjugated calicheamicin demonstrated limited distribution into red blood cell, with a blood-to-plasma partition ratio of 0.71.</w:t>
      </w:r>
      <w:r w:rsidR="006779D9">
        <w:rPr>
          <w:lang w:val="en-US"/>
        </w:rPr>
        <w:t xml:space="preserve"> </w:t>
      </w:r>
      <w:r w:rsidRPr="0040590A">
        <w:rPr>
          <w:lang w:val="en-US"/>
        </w:rPr>
        <w:t xml:space="preserve">There was no assessment of protein binding for </w:t>
      </w:r>
      <w:r w:rsidRPr="0040590A">
        <w:t xml:space="preserve">inotuzumab ozogamicin as such assessments are not applicable to </w:t>
      </w:r>
      <w:r>
        <w:t>therapeutic proteins</w:t>
      </w:r>
      <w:r w:rsidR="00503681">
        <w:t>.</w:t>
      </w:r>
    </w:p>
    <w:p w14:paraId="12171180" w14:textId="77777777" w:rsidR="00503681" w:rsidRDefault="00B37AB3" w:rsidP="00B37AB3">
      <w:pPr>
        <w:pStyle w:val="ListBullet"/>
        <w:rPr>
          <w:rFonts w:cs="‡Ôø◊ÁÏ"/>
          <w:color w:val="000000"/>
          <w:lang w:val="en-US"/>
        </w:rPr>
      </w:pPr>
      <w:r w:rsidRPr="0040590A">
        <w:rPr>
          <w:rFonts w:cs="‡?Ùø◊∑È"/>
          <w:color w:val="000000"/>
          <w:lang w:val="en-US"/>
        </w:rPr>
        <w:t>The primary metabolic pathway for inotuzumab ozogamicin was hydrolysis (at the</w:t>
      </w:r>
      <w:r w:rsidRPr="0040590A">
        <w:rPr>
          <w:lang w:val="en-US"/>
        </w:rPr>
        <w:t xml:space="preserve"> </w:t>
      </w:r>
      <w:proofErr w:type="spellStart"/>
      <w:r w:rsidRPr="009A0476">
        <w:rPr>
          <w:rFonts w:cs="‡?Ùø◊∑È"/>
          <w:color w:val="000000"/>
          <w:lang w:val="en-US"/>
        </w:rPr>
        <w:t>hydrazone</w:t>
      </w:r>
      <w:proofErr w:type="spellEnd"/>
      <w:r w:rsidRPr="009A0476">
        <w:rPr>
          <w:rFonts w:cs="‡?Ùø◊∑È"/>
          <w:color w:val="000000"/>
          <w:lang w:val="en-US"/>
        </w:rPr>
        <w:t xml:space="preserve"> moiety) to release N-Ac-γ-calicheamicin DMH (</w:t>
      </w:r>
      <w:r w:rsidR="00503681">
        <w:rPr>
          <w:rFonts w:cs="‡?Ùø◊∑È"/>
          <w:color w:val="000000"/>
          <w:lang w:val="en-US"/>
        </w:rPr>
        <w:t>that is</w:t>
      </w:r>
      <w:r w:rsidRPr="009A0476">
        <w:rPr>
          <w:rFonts w:cs="‡?Ùø◊∑È"/>
          <w:color w:val="000000"/>
          <w:lang w:val="en-US"/>
        </w:rPr>
        <w:t xml:space="preserve">, unconjugated calicheamicin). </w:t>
      </w:r>
      <w:r w:rsidRPr="009A0476">
        <w:rPr>
          <w:rFonts w:cs="‡o˝ø◊g‡"/>
          <w:lang w:val="en-US"/>
        </w:rPr>
        <w:t xml:space="preserve">The primary metabolic pathway for unconjugated calicheamicin was via non-enzymatic reduction (at the disulfide moiety), with hydrolysis (at the hydrazide moiety), oxidation, and adduction (with pyruvic acid) being minor metabolic pathways. There were no metabolic studies of the </w:t>
      </w:r>
      <w:r w:rsidRPr="009A0476">
        <w:rPr>
          <w:rFonts w:cs="‡Ôø◊ÁÏ"/>
          <w:color w:val="000000"/>
          <w:lang w:val="en-US"/>
        </w:rPr>
        <w:t>inotuzumab monoclonal antibody component of the drug, with clearance of monoclonal antibodies being primarily by catabolism with the resulting amino acids being recycled into other proteins</w:t>
      </w:r>
      <w:r w:rsidR="00503681">
        <w:rPr>
          <w:rFonts w:cs="‡Ôø◊ÁÏ"/>
          <w:color w:val="000000"/>
          <w:lang w:val="en-US"/>
        </w:rPr>
        <w:t>.</w:t>
      </w:r>
    </w:p>
    <w:p w14:paraId="1A0707B6" w14:textId="6E650DE9" w:rsidR="00503681" w:rsidRDefault="00B37AB3" w:rsidP="00B37AB3">
      <w:pPr>
        <w:pStyle w:val="ListBullet"/>
        <w:rPr>
          <w:rFonts w:cs="‡o˝ø◊g‡"/>
          <w:color w:val="000000"/>
          <w:lang w:val="en-US"/>
        </w:rPr>
      </w:pPr>
      <w:r w:rsidRPr="009A0476">
        <w:t xml:space="preserve">There were no mass balance studies determining the excretion profile of </w:t>
      </w:r>
      <w:r w:rsidRPr="009A0476">
        <w:rPr>
          <w:rFonts w:cs="‡?Ùø◊∑È"/>
          <w:color w:val="000000"/>
          <w:lang w:val="en-US"/>
        </w:rPr>
        <w:t xml:space="preserve">inotuzumab ozogamicin. However, in general such studies are not a requirement for </w:t>
      </w:r>
      <w:r>
        <w:rPr>
          <w:rFonts w:cs="‡?Ùø◊∑È"/>
          <w:color w:val="000000"/>
          <w:lang w:val="en-US"/>
        </w:rPr>
        <w:t>therapeutic proteins</w:t>
      </w:r>
      <w:r w:rsidRPr="009A0476">
        <w:rPr>
          <w:rFonts w:cs="‡?Ùø◊∑È"/>
          <w:color w:val="000000"/>
          <w:lang w:val="en-US"/>
        </w:rPr>
        <w:t xml:space="preserve"> as the</w:t>
      </w:r>
      <w:r>
        <w:rPr>
          <w:rFonts w:cs="‡?Ùø◊∑È"/>
          <w:color w:val="000000"/>
          <w:lang w:val="en-US"/>
        </w:rPr>
        <w:t xml:space="preserve">y </w:t>
      </w:r>
      <w:r w:rsidRPr="009A0476">
        <w:rPr>
          <w:rFonts w:cs="‡?Ùø◊∑È"/>
          <w:color w:val="000000"/>
          <w:lang w:val="en-US"/>
        </w:rPr>
        <w:t xml:space="preserve">are primarily cleared by catabolism. In the supplementary </w:t>
      </w:r>
      <w:proofErr w:type="spellStart"/>
      <w:r w:rsidRPr="009A0476">
        <w:rPr>
          <w:rFonts w:cs="‡?Ùø◊∑È"/>
          <w:color w:val="000000"/>
          <w:lang w:val="en-US"/>
        </w:rPr>
        <w:t>popPK</w:t>
      </w:r>
      <w:proofErr w:type="spellEnd"/>
      <w:r w:rsidRPr="009A0476">
        <w:rPr>
          <w:rFonts w:cs="‡?Ùø◊∑È"/>
          <w:color w:val="000000"/>
          <w:lang w:val="en-US"/>
        </w:rPr>
        <w:t xml:space="preserve"> analysis, the total clearance of inotuzumab ozogamicin at steady state in patients with ALL (n</w:t>
      </w:r>
      <w:r w:rsidR="0014606A">
        <w:rPr>
          <w:rFonts w:cs="‡?Ùø◊∑È"/>
          <w:color w:val="000000"/>
          <w:lang w:val="en-US"/>
        </w:rPr>
        <w:t xml:space="preserve"> = </w:t>
      </w:r>
      <w:r w:rsidRPr="009A0476">
        <w:rPr>
          <w:rFonts w:cs="‡?Ùø◊∑È"/>
          <w:color w:val="000000"/>
          <w:lang w:val="en-US"/>
        </w:rPr>
        <w:t>234) was 0.0333 L/h</w:t>
      </w:r>
      <w:r w:rsidRPr="009A0476">
        <w:rPr>
          <w:rFonts w:cs="‡o˝ø◊g‡"/>
          <w:color w:val="000000"/>
          <w:lang w:val="en-US"/>
        </w:rPr>
        <w:t xml:space="preserve"> and the terminal elimination half-life (beta t</w:t>
      </w:r>
      <w:r w:rsidR="00503681">
        <w:rPr>
          <w:rFonts w:cs="‡o˝ø◊g‡"/>
          <w:color w:val="000000"/>
          <w:lang w:val="en-US"/>
        </w:rPr>
        <w:t>½</w:t>
      </w:r>
      <w:r w:rsidRPr="009A0476">
        <w:rPr>
          <w:rFonts w:cs="‡o˝ø◊g‡"/>
          <w:color w:val="000000"/>
          <w:lang w:val="en-US"/>
        </w:rPr>
        <w:t>) was 120</w:t>
      </w:r>
      <w:r w:rsidR="00EB51B1">
        <w:rPr>
          <w:rFonts w:cs="‡o˝ø◊g‡"/>
          <w:color w:val="000000"/>
          <w:lang w:val="en-US"/>
        </w:rPr>
        <w:t> </w:t>
      </w:r>
      <w:r w:rsidRPr="009A0476">
        <w:rPr>
          <w:rFonts w:cs="‡o˝ø◊g‡"/>
          <w:color w:val="000000"/>
          <w:lang w:val="en-US"/>
        </w:rPr>
        <w:t xml:space="preserve">hours (5 days) following the first dose on Day 1 Cycle 1, and 294 hours (12.3 days) at steady state. The slow clearance and long terminal half-life of </w:t>
      </w:r>
      <w:r w:rsidRPr="009A0476">
        <w:rPr>
          <w:rFonts w:cs="‡?Ùø◊∑È"/>
          <w:color w:val="000000"/>
          <w:lang w:val="en-US"/>
        </w:rPr>
        <w:t xml:space="preserve">inotuzumab ozogamicin </w:t>
      </w:r>
      <w:r w:rsidRPr="009A0476">
        <w:rPr>
          <w:rFonts w:cs="‡o˝ø◊g‡"/>
          <w:color w:val="000000"/>
          <w:lang w:val="en-US"/>
        </w:rPr>
        <w:t xml:space="preserve">is typical of </w:t>
      </w:r>
      <w:r>
        <w:rPr>
          <w:rFonts w:cs="‡o˝ø◊g‡"/>
          <w:color w:val="000000"/>
          <w:lang w:val="en-US"/>
        </w:rPr>
        <w:t>large molecular weight therapeutic proteins</w:t>
      </w:r>
      <w:r w:rsidR="00503681">
        <w:rPr>
          <w:rFonts w:cs="‡o˝ø◊g‡"/>
          <w:color w:val="000000"/>
          <w:lang w:val="en-US"/>
        </w:rPr>
        <w:t>.</w:t>
      </w:r>
    </w:p>
    <w:p w14:paraId="1ABF8B0A" w14:textId="77777777" w:rsidR="00BD246E" w:rsidRDefault="00B37AB3" w:rsidP="00B37AB3">
      <w:pPr>
        <w:pStyle w:val="ListBullet"/>
        <w:rPr>
          <w:rFonts w:cs="‡?Ùø◊∑È"/>
          <w:color w:val="000000"/>
          <w:lang w:val="en-US"/>
        </w:rPr>
      </w:pPr>
      <w:r w:rsidRPr="009A0476">
        <w:rPr>
          <w:rFonts w:cs="‡o˝ø◊g‡"/>
          <w:color w:val="000000"/>
          <w:lang w:val="en-US"/>
        </w:rPr>
        <w:t>There were no dedicated clinical studies</w:t>
      </w:r>
      <w:r w:rsidRPr="0040590A">
        <w:rPr>
          <w:rFonts w:cs="‡o˝ø◊g‡"/>
          <w:color w:val="000000"/>
          <w:lang w:val="en-US"/>
        </w:rPr>
        <w:t xml:space="preserve"> investigating the PK of </w:t>
      </w:r>
      <w:r w:rsidRPr="0040590A">
        <w:rPr>
          <w:rFonts w:cs="‡?Ùø◊∑È"/>
          <w:color w:val="000000"/>
          <w:lang w:val="en-US"/>
        </w:rPr>
        <w:t xml:space="preserve">inotuzumab ozogamicin in special groups. However, the </w:t>
      </w:r>
      <w:proofErr w:type="spellStart"/>
      <w:r w:rsidRPr="0040590A">
        <w:rPr>
          <w:rFonts w:cs="‡?Ùø◊∑È"/>
          <w:color w:val="000000"/>
          <w:lang w:val="en-US"/>
        </w:rPr>
        <w:t>popPK</w:t>
      </w:r>
      <w:proofErr w:type="spellEnd"/>
      <w:r w:rsidRPr="0040590A">
        <w:rPr>
          <w:rFonts w:cs="‡?Ùø◊∑È"/>
          <w:color w:val="000000"/>
          <w:lang w:val="en-US"/>
        </w:rPr>
        <w:t xml:space="preserve"> analysis investigated the effects of a large number of pre-specified covariates on the PK of inotuzumab ozogamicin. The statistically significant covariates identified in the supplemental </w:t>
      </w:r>
      <w:proofErr w:type="spellStart"/>
      <w:r w:rsidRPr="0040590A">
        <w:rPr>
          <w:rFonts w:cs="‡?Ùø◊∑È"/>
          <w:color w:val="000000"/>
          <w:lang w:val="en-US"/>
        </w:rPr>
        <w:t>popPK</w:t>
      </w:r>
      <w:proofErr w:type="spellEnd"/>
      <w:r w:rsidRPr="0040590A">
        <w:rPr>
          <w:rFonts w:cs="‡?Ùø◊∑È"/>
          <w:color w:val="000000"/>
          <w:lang w:val="en-US"/>
        </w:rPr>
        <w:t xml:space="preserve"> analysis</w:t>
      </w:r>
      <w:r w:rsidR="00BD246E">
        <w:rPr>
          <w:rFonts w:cs="‡?Ùø◊∑È"/>
          <w:color w:val="000000"/>
          <w:lang w:val="en-US"/>
        </w:rPr>
        <w:t xml:space="preserve"> were:</w:t>
      </w:r>
    </w:p>
    <w:p w14:paraId="4145C1C5" w14:textId="77777777" w:rsidR="00BD246E" w:rsidRDefault="00B37AB3" w:rsidP="00BD246E">
      <w:pPr>
        <w:pStyle w:val="ListBullet2"/>
        <w:rPr>
          <w:lang w:val="en-US"/>
        </w:rPr>
      </w:pPr>
      <w:r w:rsidRPr="0040590A">
        <w:rPr>
          <w:lang w:val="en-US"/>
        </w:rPr>
        <w:t>baseline body surface area (BBSA) on linear clearance (CL</w:t>
      </w:r>
      <w:r w:rsidRPr="009A0476">
        <w:rPr>
          <w:vertAlign w:val="subscript"/>
          <w:lang w:val="en-US"/>
        </w:rPr>
        <w:t>1</w:t>
      </w:r>
      <w:r w:rsidRPr="0040590A">
        <w:rPr>
          <w:lang w:val="en-US"/>
        </w:rPr>
        <w:t>), clearance associated with time-dependent clearance (CL</w:t>
      </w:r>
      <w:r w:rsidRPr="009A0476">
        <w:rPr>
          <w:vertAlign w:val="subscript"/>
          <w:lang w:val="en-US"/>
        </w:rPr>
        <w:t>2</w:t>
      </w:r>
      <w:r w:rsidRPr="0040590A">
        <w:rPr>
          <w:lang w:val="en-US"/>
        </w:rPr>
        <w:t>), and volume of distribution in the central compartment (V</w:t>
      </w:r>
      <w:r w:rsidRPr="009A0476">
        <w:rPr>
          <w:vertAlign w:val="subscript"/>
          <w:lang w:val="en-US"/>
        </w:rPr>
        <w:t>1</w:t>
      </w:r>
      <w:r w:rsidR="00BD246E">
        <w:rPr>
          <w:lang w:val="en-US"/>
        </w:rPr>
        <w:t>);</w:t>
      </w:r>
    </w:p>
    <w:p w14:paraId="2C2772D1" w14:textId="77777777" w:rsidR="00BD246E" w:rsidRDefault="00B37AB3" w:rsidP="00BD246E">
      <w:pPr>
        <w:pStyle w:val="ListBullet2"/>
        <w:rPr>
          <w:lang w:val="en-US"/>
        </w:rPr>
      </w:pPr>
      <w:r w:rsidRPr="0040590A">
        <w:rPr>
          <w:lang w:val="en-US"/>
        </w:rPr>
        <w:t>disease and/or bioanalytical methods on CL</w:t>
      </w:r>
      <w:r w:rsidRPr="009A0476">
        <w:rPr>
          <w:vertAlign w:val="subscript"/>
          <w:lang w:val="en-US"/>
        </w:rPr>
        <w:t>1</w:t>
      </w:r>
      <w:r w:rsidRPr="0040590A">
        <w:rPr>
          <w:lang w:val="en-US"/>
        </w:rPr>
        <w:t xml:space="preserve"> and the decay co</w:t>
      </w:r>
      <w:r w:rsidR="00617F88">
        <w:rPr>
          <w:lang w:val="en-US"/>
        </w:rPr>
        <w:t xml:space="preserve">-efficient associated with time </w:t>
      </w:r>
      <w:r w:rsidRPr="0040590A">
        <w:rPr>
          <w:lang w:val="en-US"/>
        </w:rPr>
        <w:t>dependent clearance (</w:t>
      </w:r>
      <w:proofErr w:type="spellStart"/>
      <w:r w:rsidRPr="0040590A">
        <w:rPr>
          <w:lang w:val="en-US"/>
        </w:rPr>
        <w:t>k</w:t>
      </w:r>
      <w:r w:rsidRPr="0040590A">
        <w:rPr>
          <w:vertAlign w:val="subscript"/>
          <w:lang w:val="en-US"/>
        </w:rPr>
        <w:t>des</w:t>
      </w:r>
      <w:proofErr w:type="spellEnd"/>
      <w:r w:rsidR="00BD246E">
        <w:rPr>
          <w:lang w:val="en-US"/>
        </w:rPr>
        <w:t>);</w:t>
      </w:r>
    </w:p>
    <w:p w14:paraId="006C8403" w14:textId="77777777" w:rsidR="00BD246E" w:rsidRDefault="00B37AB3" w:rsidP="00BD246E">
      <w:pPr>
        <w:pStyle w:val="ListBullet2"/>
        <w:rPr>
          <w:lang w:val="en-US"/>
        </w:rPr>
      </w:pPr>
      <w:r w:rsidRPr="0040590A">
        <w:rPr>
          <w:lang w:val="en-US"/>
        </w:rPr>
        <w:t>absence of concomitant rituximab on CL</w:t>
      </w:r>
      <w:r w:rsidRPr="009A0476">
        <w:rPr>
          <w:vertAlign w:val="subscript"/>
          <w:lang w:val="en-US"/>
        </w:rPr>
        <w:t>1</w:t>
      </w:r>
      <w:r w:rsidRPr="0040590A">
        <w:rPr>
          <w:lang w:val="en-US"/>
        </w:rPr>
        <w:t xml:space="preserve"> (relevant f</w:t>
      </w:r>
      <w:r w:rsidR="00617F88">
        <w:rPr>
          <w:lang w:val="en-US"/>
        </w:rPr>
        <w:t>or patients with NHL only);</w:t>
      </w:r>
      <w:r w:rsidR="00BD246E">
        <w:rPr>
          <w:lang w:val="en-US"/>
        </w:rPr>
        <w:t>and</w:t>
      </w:r>
    </w:p>
    <w:p w14:paraId="5E111086" w14:textId="77777777" w:rsidR="00BD246E" w:rsidRDefault="00B37AB3" w:rsidP="00BD246E">
      <w:pPr>
        <w:pStyle w:val="ListBullet2"/>
        <w:rPr>
          <w:lang w:val="en-US"/>
        </w:rPr>
      </w:pPr>
      <w:proofErr w:type="gramStart"/>
      <w:r w:rsidRPr="0040590A">
        <w:rPr>
          <w:lang w:val="en-US"/>
        </w:rPr>
        <w:t>baseline</w:t>
      </w:r>
      <w:proofErr w:type="gramEnd"/>
      <w:r w:rsidRPr="0040590A">
        <w:rPr>
          <w:lang w:val="en-US"/>
        </w:rPr>
        <w:t xml:space="preserve"> percent of blasts in peripheral blood (BLSTPB) on </w:t>
      </w:r>
      <w:proofErr w:type="spellStart"/>
      <w:r w:rsidRPr="0040590A">
        <w:rPr>
          <w:lang w:val="en-US"/>
        </w:rPr>
        <w:t>k</w:t>
      </w:r>
      <w:r w:rsidRPr="0040590A">
        <w:rPr>
          <w:vertAlign w:val="subscript"/>
          <w:lang w:val="en-US"/>
        </w:rPr>
        <w:t>des</w:t>
      </w:r>
      <w:proofErr w:type="spellEnd"/>
      <w:r w:rsidRPr="0040590A">
        <w:rPr>
          <w:lang w:val="en-US"/>
        </w:rPr>
        <w:t xml:space="preserve"> (releva</w:t>
      </w:r>
      <w:r w:rsidR="00BD246E">
        <w:rPr>
          <w:lang w:val="en-US"/>
        </w:rPr>
        <w:t>nt for patients with ALL only).</w:t>
      </w:r>
    </w:p>
    <w:p w14:paraId="4FB3CFAE" w14:textId="77777777" w:rsidR="00503681" w:rsidRDefault="00B37AB3" w:rsidP="00BD246E">
      <w:pPr>
        <w:ind w:left="360"/>
        <w:rPr>
          <w:lang w:val="en-US"/>
        </w:rPr>
      </w:pPr>
      <w:r w:rsidRPr="0040590A">
        <w:rPr>
          <w:lang w:val="en-US"/>
        </w:rPr>
        <w:t xml:space="preserve">However, </w:t>
      </w:r>
      <w:r>
        <w:rPr>
          <w:lang w:val="en-US"/>
        </w:rPr>
        <w:t>t</w:t>
      </w:r>
      <w:r w:rsidRPr="0040590A">
        <w:rPr>
          <w:lang w:val="en-US"/>
        </w:rPr>
        <w:t>he only clinically significant covariate on the PK of patients with ALL was baseline body surface area</w:t>
      </w:r>
      <w:r>
        <w:rPr>
          <w:lang w:val="en-US"/>
        </w:rPr>
        <w:t>. The proposed dosage regimen of inotuzumab ozogamicin for the treatment of patients with ALL is based on individual patient BSA, which will account for the impact of BSA on the PK of the drug</w:t>
      </w:r>
      <w:r w:rsidR="00503681">
        <w:rPr>
          <w:lang w:val="en-US"/>
        </w:rPr>
        <w:t>.</w:t>
      </w:r>
    </w:p>
    <w:p w14:paraId="403313D6" w14:textId="069D98A6" w:rsidR="00B37AB3" w:rsidRPr="0040590A" w:rsidRDefault="00B37AB3" w:rsidP="00B37AB3">
      <w:pPr>
        <w:pStyle w:val="ListBullet"/>
        <w:rPr>
          <w:rFonts w:cs="‡?Ùø◊∑È"/>
          <w:color w:val="000000"/>
          <w:lang w:val="en-US"/>
        </w:rPr>
      </w:pPr>
      <w:r w:rsidRPr="0040590A">
        <w:rPr>
          <w:rFonts w:cs="‡?Ùø◊∑È"/>
          <w:color w:val="000000"/>
          <w:lang w:val="en-US"/>
        </w:rPr>
        <w:t xml:space="preserve">Based on the supplemental </w:t>
      </w:r>
      <w:proofErr w:type="spellStart"/>
      <w:r w:rsidRPr="0040590A">
        <w:rPr>
          <w:rFonts w:cs="‡?Ùø◊∑È"/>
          <w:color w:val="000000"/>
          <w:lang w:val="en-US"/>
        </w:rPr>
        <w:t>popPK</w:t>
      </w:r>
      <w:proofErr w:type="spellEnd"/>
      <w:r w:rsidRPr="0040590A">
        <w:rPr>
          <w:rFonts w:cs="‡?Ùø◊∑È"/>
          <w:color w:val="000000"/>
          <w:lang w:val="en-US"/>
        </w:rPr>
        <w:t xml:space="preserve"> analysis, the covariates of age, gender, racial group, </w:t>
      </w:r>
      <w:r w:rsidR="005B0E05">
        <w:rPr>
          <w:rFonts w:cs="‡?Ùø◊∑È"/>
          <w:color w:val="000000"/>
          <w:lang w:val="en-US"/>
        </w:rPr>
        <w:t xml:space="preserve">mild </w:t>
      </w:r>
      <w:r w:rsidRPr="0040590A">
        <w:rPr>
          <w:rFonts w:cs="‡?Ùø◊∑È"/>
          <w:color w:val="000000"/>
          <w:lang w:val="en-US"/>
        </w:rPr>
        <w:t>hepatic impairment,</w:t>
      </w:r>
      <w:bookmarkStart w:id="94" w:name="_Ref11660565"/>
      <w:r w:rsidR="002D0F49">
        <w:rPr>
          <w:rStyle w:val="FootnoteReference"/>
          <w:rFonts w:cs="‡?Ùø◊∑È"/>
          <w:color w:val="000000"/>
          <w:lang w:val="en-US"/>
        </w:rPr>
        <w:footnoteReference w:id="29"/>
      </w:r>
      <w:bookmarkEnd w:id="94"/>
      <w:r w:rsidRPr="0040590A">
        <w:rPr>
          <w:rFonts w:cs="‡?Ùø◊∑È"/>
          <w:color w:val="000000"/>
          <w:lang w:val="en-US"/>
        </w:rPr>
        <w:t xml:space="preserve"> and renal impairment had no significant effects on the PK of inotuzumab ozogamicin in patients with ALL. However, the data for moderate hepatic impairment </w:t>
      </w:r>
      <w:r w:rsidR="002D0F49" w:rsidRPr="0040590A">
        <w:rPr>
          <w:rFonts w:cs="‡?Ùø◊∑È"/>
          <w:color w:val="000000"/>
          <w:lang w:val="en-US"/>
        </w:rPr>
        <w:t>w</w:t>
      </w:r>
      <w:r w:rsidR="002D0F49">
        <w:rPr>
          <w:rFonts w:cs="‡?Ùø◊∑È"/>
          <w:color w:val="000000"/>
          <w:lang w:val="en-US"/>
        </w:rPr>
        <w:t>as</w:t>
      </w:r>
      <w:r w:rsidR="002D0F49" w:rsidRPr="0040590A">
        <w:rPr>
          <w:rFonts w:cs="‡?Ùø◊∑È"/>
          <w:color w:val="000000"/>
          <w:lang w:val="en-US"/>
        </w:rPr>
        <w:t xml:space="preserve"> </w:t>
      </w:r>
      <w:r w:rsidRPr="0040590A">
        <w:rPr>
          <w:rFonts w:cs="‡?Ùø◊∑È"/>
          <w:color w:val="000000"/>
          <w:lang w:val="en-US"/>
        </w:rPr>
        <w:t xml:space="preserve">based on </w:t>
      </w:r>
      <w:r w:rsidR="002D0F49">
        <w:rPr>
          <w:rFonts w:cs="‡?Ùø◊∑È"/>
          <w:color w:val="000000"/>
          <w:lang w:val="en-US"/>
        </w:rPr>
        <w:t>1</w:t>
      </w:r>
      <w:r w:rsidR="002D0F49" w:rsidRPr="0040590A">
        <w:rPr>
          <w:rFonts w:cs="‡?Ùø◊∑È"/>
          <w:color w:val="000000"/>
          <w:lang w:val="en-US"/>
        </w:rPr>
        <w:t xml:space="preserve"> </w:t>
      </w:r>
      <w:r w:rsidRPr="0040590A">
        <w:rPr>
          <w:rFonts w:cs="‡?Ùø◊∑È"/>
          <w:color w:val="000000"/>
          <w:lang w:val="en-US"/>
        </w:rPr>
        <w:t>patient only and the</w:t>
      </w:r>
      <w:r>
        <w:rPr>
          <w:rFonts w:cs="‡?Ùø◊∑È"/>
          <w:color w:val="000000"/>
          <w:lang w:val="en-US"/>
        </w:rPr>
        <w:t>re</w:t>
      </w:r>
      <w:r w:rsidRPr="0040590A">
        <w:rPr>
          <w:rFonts w:cs="‡?Ùø◊∑È"/>
          <w:color w:val="000000"/>
          <w:lang w:val="en-US"/>
        </w:rPr>
        <w:t xml:space="preserve"> were no data </w:t>
      </w:r>
      <w:r>
        <w:rPr>
          <w:rFonts w:cs="‡?Ùø◊∑È"/>
          <w:color w:val="000000"/>
          <w:lang w:val="en-US"/>
        </w:rPr>
        <w:t xml:space="preserve">for patients </w:t>
      </w:r>
      <w:r>
        <w:rPr>
          <w:rFonts w:cs="‡?Ùø◊∑È"/>
          <w:color w:val="000000"/>
          <w:lang w:val="en-US"/>
        </w:rPr>
        <w:lastRenderedPageBreak/>
        <w:t xml:space="preserve">with </w:t>
      </w:r>
      <w:r w:rsidRPr="0040590A">
        <w:rPr>
          <w:rFonts w:cs="‡?Ùø◊∑È"/>
          <w:color w:val="000000"/>
          <w:lang w:val="en-US"/>
        </w:rPr>
        <w:t xml:space="preserve">severe hepatic impairment, while there were only limited data for patients with renal impairment as most patients </w:t>
      </w:r>
      <w:r>
        <w:rPr>
          <w:rFonts w:cs="‡?Ùø◊∑È"/>
          <w:color w:val="000000"/>
          <w:lang w:val="en-US"/>
        </w:rPr>
        <w:t xml:space="preserve">had normal renal function </w:t>
      </w:r>
      <w:r w:rsidRPr="0040590A">
        <w:rPr>
          <w:rFonts w:cs="‡?Ùø◊∑È"/>
          <w:color w:val="000000"/>
          <w:lang w:val="en-US"/>
        </w:rPr>
        <w:t xml:space="preserve">(78.6% </w:t>
      </w:r>
      <w:r w:rsidR="00503681">
        <w:rPr>
          <w:rFonts w:cs="‡?Ùø◊∑È"/>
          <w:color w:val="000000"/>
          <w:lang w:val="en-US"/>
        </w:rPr>
        <w:t>(</w:t>
      </w:r>
      <w:r w:rsidRPr="0040590A">
        <w:rPr>
          <w:rFonts w:cs="‡?Ùø◊∑È"/>
          <w:color w:val="000000"/>
          <w:lang w:val="en-US"/>
        </w:rPr>
        <w:t>184/234</w:t>
      </w:r>
      <w:r w:rsidR="00503681">
        <w:rPr>
          <w:rFonts w:cs="‡?Ùø◊∑È"/>
          <w:color w:val="000000"/>
          <w:lang w:val="en-US"/>
        </w:rPr>
        <w:t>)</w:t>
      </w:r>
      <w:r w:rsidRPr="0040590A">
        <w:rPr>
          <w:rFonts w:cs="‡?Ùø◊∑È"/>
          <w:color w:val="000000"/>
          <w:lang w:val="en-US"/>
        </w:rPr>
        <w:t>)</w:t>
      </w:r>
    </w:p>
    <w:p w14:paraId="028CD97B" w14:textId="77777777" w:rsidR="00B37AB3" w:rsidRPr="0040590A" w:rsidRDefault="00B37AB3" w:rsidP="00B37AB3">
      <w:pPr>
        <w:pStyle w:val="ListBullet"/>
        <w:rPr>
          <w:rFonts w:cs="‡Ôø◊ÁÏ"/>
          <w:lang w:val="en-US"/>
        </w:rPr>
      </w:pPr>
      <w:r w:rsidRPr="0040590A">
        <w:t xml:space="preserve">There were no dedicated clinical </w:t>
      </w:r>
      <w:r w:rsidR="00BF79CA">
        <w:t>drug-drug interaction</w:t>
      </w:r>
      <w:r w:rsidR="00BF79CA" w:rsidRPr="0040590A">
        <w:t xml:space="preserve"> </w:t>
      </w:r>
      <w:r w:rsidR="00BF79CA">
        <w:t>(</w:t>
      </w:r>
      <w:r w:rsidRPr="0040590A">
        <w:t>DDI</w:t>
      </w:r>
      <w:r w:rsidR="00BF79CA">
        <w:t>)</w:t>
      </w:r>
      <w:r w:rsidRPr="0040590A">
        <w:t xml:space="preserve"> studies</w:t>
      </w:r>
      <w:r w:rsidR="006779D9">
        <w:t xml:space="preserve"> </w:t>
      </w:r>
      <w:r w:rsidRPr="0040590A">
        <w:t xml:space="preserve">investigating the PK of co-administration of </w:t>
      </w:r>
      <w:r w:rsidRPr="0040590A">
        <w:rPr>
          <w:rFonts w:cs="‡Ôø◊ÁÏ"/>
          <w:lang w:val="en-US"/>
        </w:rPr>
        <w:t xml:space="preserve">inotuzumab ozogamicin and other medicines. Limited data from the </w:t>
      </w:r>
      <w:proofErr w:type="spellStart"/>
      <w:r w:rsidRPr="0040590A">
        <w:rPr>
          <w:rFonts w:cs="‡Ôø◊ÁÏ"/>
          <w:lang w:val="en-US"/>
        </w:rPr>
        <w:t>popPK</w:t>
      </w:r>
      <w:proofErr w:type="spellEnd"/>
      <w:r w:rsidRPr="0040590A">
        <w:rPr>
          <w:rFonts w:cs="‡Ôø◊ÁÏ"/>
          <w:lang w:val="en-US"/>
        </w:rPr>
        <w:t xml:space="preserve"> analysis indicated that salvage line and prior radiotherapy had no clinically relevant effects on the PK of inotuzumab ozogamicin. In addition, the </w:t>
      </w:r>
      <w:proofErr w:type="spellStart"/>
      <w:r w:rsidRPr="0040590A">
        <w:rPr>
          <w:rFonts w:cs="‡Ôø◊ÁÏ"/>
          <w:lang w:val="en-US"/>
        </w:rPr>
        <w:t>popPK</w:t>
      </w:r>
      <w:proofErr w:type="spellEnd"/>
      <w:r w:rsidRPr="0040590A">
        <w:rPr>
          <w:rFonts w:cs="‡Ôø◊ÁÏ"/>
          <w:lang w:val="en-US"/>
        </w:rPr>
        <w:t xml:space="preserve"> analysis showed that concomitant administration of hydroxyurea, granulocyte-colony stimulating factors or P-glycoprotein inhibitors had no </w:t>
      </w:r>
      <w:r>
        <w:rPr>
          <w:rFonts w:cs="‡Ôø◊ÁÏ"/>
          <w:lang w:val="en-US"/>
        </w:rPr>
        <w:t xml:space="preserve">clinically relevant effects on </w:t>
      </w:r>
      <w:r w:rsidRPr="0040590A">
        <w:rPr>
          <w:rFonts w:cs="‡Ôø◊ÁÏ"/>
          <w:lang w:val="en-US"/>
        </w:rPr>
        <w:t>i</w:t>
      </w:r>
      <w:r>
        <w:rPr>
          <w:rFonts w:cs="‡Ôø◊ÁÏ"/>
          <w:lang w:val="en-US"/>
        </w:rPr>
        <w:t>notuzumab ozogamicin clearance.</w:t>
      </w:r>
    </w:p>
    <w:p w14:paraId="707FE3E6" w14:textId="77777777" w:rsidR="00503681" w:rsidRDefault="00B37AB3" w:rsidP="00B37AB3">
      <w:pPr>
        <w:pStyle w:val="ListBullet"/>
        <w:rPr>
          <w:rFonts w:cs="‡Ôø◊ÁÏ"/>
          <w:color w:val="000000"/>
          <w:lang w:val="en-US"/>
        </w:rPr>
      </w:pPr>
      <w:r w:rsidRPr="0040590A">
        <w:rPr>
          <w:rFonts w:cs="‡Ôø◊ÁÏ"/>
          <w:lang w:val="en-US"/>
        </w:rPr>
        <w:t xml:space="preserve">There were number of </w:t>
      </w:r>
      <w:r w:rsidRPr="002468EF">
        <w:rPr>
          <w:rFonts w:cs="‡Ôø◊ÁÏ"/>
          <w:lang w:val="en-US"/>
        </w:rPr>
        <w:t>in vitro</w:t>
      </w:r>
      <w:r w:rsidRPr="0040590A">
        <w:rPr>
          <w:rFonts w:cs="‡Ôø◊ÁÏ"/>
          <w:lang w:val="en-US"/>
        </w:rPr>
        <w:t xml:space="preserve"> human biomaterial studies investigating the potential clinical impact of co-administration of </w:t>
      </w:r>
      <w:r w:rsidRPr="0040590A">
        <w:rPr>
          <w:rFonts w:cs="‡Ôø◊ÁÏ"/>
          <w:color w:val="000000"/>
          <w:lang w:val="en-US"/>
        </w:rPr>
        <w:t>inotuzumab ozogamicin and drugs that are substrates for CYP enzymes, UGT enzymes, and transporters. Based on the reported results of these studies, it can be reasonably inferred that inotuzumab ozogamicin and/or unconjugated calicheamicin are unlikely to have clinically significant effects at relevant serum concentrations on drugs that are substrates for CYP enzymes, UGT enzymes, and transporters</w:t>
      </w:r>
      <w:r w:rsidR="00503681">
        <w:rPr>
          <w:rFonts w:cs="‡Ôø◊ÁÏ"/>
          <w:color w:val="000000"/>
          <w:lang w:val="en-US"/>
        </w:rPr>
        <w:t>.</w:t>
      </w:r>
    </w:p>
    <w:p w14:paraId="7556F2CD" w14:textId="77777777" w:rsidR="00503681" w:rsidRDefault="00B37AB3" w:rsidP="00B37AB3">
      <w:pPr>
        <w:pStyle w:val="ListBullet"/>
        <w:rPr>
          <w:rFonts w:cs="‡Ôø◊ÁÏ"/>
          <w:lang w:val="en-US"/>
        </w:rPr>
      </w:pPr>
      <w:r w:rsidRPr="0040590A">
        <w:rPr>
          <w:rFonts w:cs="‡Ôø◊ÁÏ"/>
          <w:color w:val="000000"/>
          <w:lang w:val="en-US"/>
        </w:rPr>
        <w:t xml:space="preserve">In patients with relapsed or refractory ALL, anti-drug antibodies (ADAs) at any time (pre- and post-dose) were observed in 7 of </w:t>
      </w:r>
      <w:r w:rsidRPr="0040590A">
        <w:rPr>
          <w:rFonts w:cs="‡Ôø◊ÁÏ"/>
          <w:lang w:val="en-US"/>
        </w:rPr>
        <w:t xml:space="preserve">236 patients (3.0%), including 1 (0.4%) patient who exhibited positive ADAs </w:t>
      </w:r>
      <w:r w:rsidRPr="002468EF">
        <w:rPr>
          <w:rFonts w:cs="‡Ôø◊ÁÏ"/>
          <w:lang w:val="en-US"/>
        </w:rPr>
        <w:t>de novo</w:t>
      </w:r>
      <w:r w:rsidRPr="0040590A">
        <w:rPr>
          <w:rFonts w:cs="‡Ôø◊ÁÏ"/>
          <w:lang w:val="en-US"/>
        </w:rPr>
        <w:t xml:space="preserve"> following treatment with inotuzumab ozogamicin.</w:t>
      </w:r>
      <w:r w:rsidR="006779D9">
        <w:rPr>
          <w:rFonts w:cs="‡Ôø◊ÁÏ"/>
          <w:lang w:val="en-US"/>
        </w:rPr>
        <w:t xml:space="preserve"> </w:t>
      </w:r>
      <w:r w:rsidRPr="0040590A">
        <w:rPr>
          <w:rFonts w:cs="‡Ôø◊ÁÏ"/>
          <w:lang w:val="en-US"/>
        </w:rPr>
        <w:t>None of the 7 patients with ADAs tested positive for neutrali</w:t>
      </w:r>
      <w:r>
        <w:rPr>
          <w:rFonts w:cs="‡Ôø◊ÁÏ"/>
          <w:lang w:val="en-US"/>
        </w:rPr>
        <w:t>s</w:t>
      </w:r>
      <w:r w:rsidRPr="0040590A">
        <w:rPr>
          <w:rFonts w:cs="‡Ôø◊ÁÏ"/>
          <w:lang w:val="en-US"/>
        </w:rPr>
        <w:t>ing antibodies using a cell based assay</w:t>
      </w:r>
      <w:r w:rsidR="00503681">
        <w:rPr>
          <w:rFonts w:cs="‡Ôø◊ÁÏ"/>
          <w:lang w:val="en-US"/>
        </w:rPr>
        <w:t>.</w:t>
      </w:r>
    </w:p>
    <w:p w14:paraId="23ADAA2B" w14:textId="77777777" w:rsidR="00B37AB3" w:rsidRPr="0040590A" w:rsidRDefault="00B37AB3" w:rsidP="00B37AB3">
      <w:pPr>
        <w:pStyle w:val="ListBullet"/>
        <w:rPr>
          <w:rFonts w:ascii="‡Ôø◊ÁÏ" w:hAnsi="‡Ôø◊ÁÏ" w:cs="‡Ôø◊ÁÏ"/>
          <w:lang w:val="en-US"/>
        </w:rPr>
      </w:pPr>
      <w:r>
        <w:rPr>
          <w:rFonts w:ascii="‡Ôø◊ÁÏ" w:hAnsi="‡Ôø◊ÁÏ" w:cs="‡Ôø◊ÁÏ"/>
          <w:lang w:val="en-US"/>
        </w:rPr>
        <w:t xml:space="preserve">In patients with relapsed or refractory NHL, </w:t>
      </w:r>
      <w:r>
        <w:rPr>
          <w:rFonts w:ascii="‡Ôø◊ÁÏ" w:hAnsi="‡Ôø◊ÁÏ" w:cs="‡Ôø◊ÁÏ"/>
          <w:color w:val="000000"/>
          <w:lang w:val="en-US"/>
        </w:rPr>
        <w:t>ADAs at any time (pre- and post-dose) were observed in 27 of 630 patients (4.29%), with no patients demonstrating only a positive post-dose ADA response. There were no data on neutralising antibodies in patients with NHL because the analytical method was not available at the time these studies were conducted.</w:t>
      </w:r>
    </w:p>
    <w:p w14:paraId="58660BA9" w14:textId="77777777" w:rsidR="00500337" w:rsidRPr="00617F88" w:rsidRDefault="00B37AB3" w:rsidP="00B37AB3">
      <w:pPr>
        <w:pStyle w:val="ListBullet"/>
        <w:rPr>
          <w:rFonts w:ascii="‡Ôø◊ÁÏ" w:hAnsi="‡Ôø◊ÁÏ" w:cs="‡Ôø◊ÁÏ"/>
          <w:lang w:val="en-US"/>
        </w:rPr>
      </w:pPr>
      <w:r w:rsidRPr="00617F88">
        <w:rPr>
          <w:rFonts w:ascii="‡Ôø◊ÁÏ" w:hAnsi="‡Ôø◊ÁÏ" w:cs="‡Ôø◊ÁÏ"/>
          <w:lang w:val="en-US"/>
        </w:rPr>
        <w:t xml:space="preserve">In patients with ALL, a </w:t>
      </w:r>
      <w:r w:rsidRPr="002468EF">
        <w:rPr>
          <w:rFonts w:ascii="‡Ôø◊ÁÏ" w:hAnsi="‡Ôø◊ÁÏ" w:cs="‡Ôø◊ÁÏ"/>
          <w:lang w:val="en-US"/>
        </w:rPr>
        <w:t>post-hoc</w:t>
      </w:r>
      <w:r w:rsidRPr="00617F88">
        <w:rPr>
          <w:rFonts w:ascii="‡Ôø◊ÁÏ" w:hAnsi="‡Ôø◊ÁÏ" w:cs="‡Ôø◊ÁÏ"/>
          <w:lang w:val="en-US"/>
        </w:rPr>
        <w:t xml:space="preserve"> analysis showed that ADA status had no significant impact on the clearance of inotuzumab ozogamicin. No assessment of the impact of ADA status on efficacy was undertaken due to the limited number of ADA positive patients. An assessment of the effect on all-causality </w:t>
      </w:r>
      <w:r w:rsidR="003308E5">
        <w:t>adverse events</w:t>
      </w:r>
      <w:r w:rsidR="003308E5" w:rsidRPr="00617F88">
        <w:rPr>
          <w:rFonts w:ascii="‡Ôø◊ÁÏ" w:hAnsi="‡Ôø◊ÁÏ" w:cs="‡Ôø◊ÁÏ"/>
          <w:lang w:val="en-US"/>
        </w:rPr>
        <w:t xml:space="preserve"> </w:t>
      </w:r>
      <w:r w:rsidR="003308E5">
        <w:rPr>
          <w:rFonts w:ascii="‡Ôø◊ÁÏ" w:hAnsi="‡Ôø◊ÁÏ" w:cs="‡Ôø◊ÁÏ"/>
          <w:lang w:val="en-US"/>
        </w:rPr>
        <w:t>(</w:t>
      </w:r>
      <w:r w:rsidRPr="00617F88">
        <w:rPr>
          <w:rFonts w:ascii="‡Ôø◊ÁÏ" w:hAnsi="‡Ôø◊ÁÏ" w:cs="‡Ôø◊ÁÏ"/>
          <w:lang w:val="en-US"/>
        </w:rPr>
        <w:t>AEs</w:t>
      </w:r>
      <w:r w:rsidR="003308E5">
        <w:rPr>
          <w:rFonts w:ascii="‡Ôø◊ÁÏ" w:hAnsi="‡Ôø◊ÁÏ" w:cs="‡Ôø◊ÁÏ"/>
          <w:lang w:val="en-US"/>
        </w:rPr>
        <w:t>)</w:t>
      </w:r>
      <w:r w:rsidRPr="00617F88">
        <w:rPr>
          <w:rFonts w:ascii="‡Ôø◊ÁÏ" w:hAnsi="‡Ôø◊ÁÏ" w:cs="‡Ôø◊ÁÏ"/>
          <w:lang w:val="en-US"/>
        </w:rPr>
        <w:t xml:space="preserve"> in the 7 ADA positive ALL patients from </w:t>
      </w:r>
      <w:r w:rsidR="00503681" w:rsidRPr="00617F88">
        <w:rPr>
          <w:rFonts w:ascii="‡Ôø◊ÁÏ" w:hAnsi="‡Ôø◊ÁÏ" w:cs="‡Ôø◊ÁÏ"/>
          <w:lang w:val="en-US"/>
        </w:rPr>
        <w:t>Study</w:t>
      </w:r>
      <w:r w:rsidRPr="00617F88">
        <w:rPr>
          <w:rFonts w:ascii="‡Ôø◊ÁÏ" w:hAnsi="‡Ôø◊ÁÏ" w:cs="‡Ôø◊ÁÏ"/>
          <w:lang w:val="en-US"/>
        </w:rPr>
        <w:t xml:space="preserve"> B1931022 was undertaken. However, the number of ADA positive patients is too small to draw clinically meaningful conclusions relating </w:t>
      </w:r>
      <w:r w:rsidR="00617F88">
        <w:rPr>
          <w:rFonts w:ascii="‡Ôø◊ÁÏ" w:hAnsi="‡Ôø◊ÁÏ" w:cs="‡Ôø◊ÁÏ"/>
          <w:lang w:val="en-US"/>
        </w:rPr>
        <w:t>to the impact on safety of ADAs.</w:t>
      </w:r>
    </w:p>
    <w:p w14:paraId="5DDA3CA4" w14:textId="77777777" w:rsidR="008E7846" w:rsidRPr="00617F88" w:rsidRDefault="008E7846" w:rsidP="00617F88">
      <w:pPr>
        <w:pStyle w:val="Heading3"/>
      </w:pPr>
      <w:bookmarkStart w:id="95" w:name="_Toc196046481"/>
      <w:bookmarkStart w:id="96" w:name="_Toc247691520"/>
      <w:bookmarkStart w:id="97" w:name="_Toc314842503"/>
      <w:bookmarkStart w:id="98" w:name="_Toc16505601"/>
      <w:r w:rsidRPr="00617F88">
        <w:t>Pharmacodynamics</w:t>
      </w:r>
      <w:bookmarkEnd w:id="78"/>
      <w:bookmarkEnd w:id="95"/>
      <w:bookmarkEnd w:id="96"/>
      <w:bookmarkEnd w:id="97"/>
      <w:bookmarkEnd w:id="98"/>
    </w:p>
    <w:p w14:paraId="18554F26" w14:textId="77777777" w:rsidR="00605AD4" w:rsidRPr="00617F88" w:rsidRDefault="00605AD4" w:rsidP="00617F88">
      <w:pPr>
        <w:pStyle w:val="Heading4"/>
      </w:pPr>
      <w:r w:rsidRPr="00617F88">
        <w:t>Studies providing pharmacodynamic data</w:t>
      </w:r>
    </w:p>
    <w:p w14:paraId="1BCA2A0A" w14:textId="70EEA05E" w:rsidR="00B37AB3" w:rsidRPr="00AE3019" w:rsidRDefault="00B37AB3" w:rsidP="00617F88">
      <w:pPr>
        <w:rPr>
          <w:lang w:eastAsia="ja-JP"/>
        </w:rPr>
      </w:pPr>
      <w:r w:rsidRPr="00AE3019">
        <w:rPr>
          <w:lang w:eastAsia="ja-JP"/>
        </w:rPr>
        <w:t xml:space="preserve">The following six </w:t>
      </w:r>
      <w:r w:rsidR="008E74BB">
        <w:rPr>
          <w:lang w:eastAsia="ja-JP"/>
        </w:rPr>
        <w:t>analyses</w:t>
      </w:r>
      <w:r w:rsidR="008E74BB" w:rsidRPr="00AE3019">
        <w:rPr>
          <w:lang w:eastAsia="ja-JP"/>
        </w:rPr>
        <w:t xml:space="preserve"> </w:t>
      </w:r>
      <w:r w:rsidRPr="00AE3019">
        <w:rPr>
          <w:lang w:eastAsia="ja-JP"/>
        </w:rPr>
        <w:t>provided PK/PD</w:t>
      </w:r>
      <w:r w:rsidR="006779D9">
        <w:rPr>
          <w:lang w:eastAsia="ja-JP"/>
        </w:rPr>
        <w:t xml:space="preserve"> </w:t>
      </w:r>
      <w:r w:rsidRPr="00AE3019">
        <w:rPr>
          <w:lang w:eastAsia="ja-JP"/>
        </w:rPr>
        <w:t>information:</w:t>
      </w:r>
    </w:p>
    <w:p w14:paraId="35BB952E" w14:textId="77777777" w:rsidR="00B37AB3" w:rsidRPr="00617F88" w:rsidRDefault="00B37AB3" w:rsidP="00617F88">
      <w:pPr>
        <w:pStyle w:val="ListBullet"/>
      </w:pPr>
      <w:r w:rsidRPr="00617F88">
        <w:t>PMAR-EQDD-B193a-DP4-205 provided PK/PD analyses of inotuzumab ozogamicin exposure with selected safety (VOD/</w:t>
      </w:r>
      <w:r w:rsidR="0041592A" w:rsidRPr="0041592A">
        <w:t xml:space="preserve"> </w:t>
      </w:r>
      <w:r w:rsidR="0041592A">
        <w:t>sinusoidal obstruction syndrome</w:t>
      </w:r>
      <w:r w:rsidR="0041592A" w:rsidRPr="00617F88">
        <w:t xml:space="preserve"> </w:t>
      </w:r>
      <w:r w:rsidR="0041592A">
        <w:t>(</w:t>
      </w:r>
      <w:r w:rsidRPr="00617F88">
        <w:t>SOS</w:t>
      </w:r>
      <w:r w:rsidR="0041592A">
        <w:t>)</w:t>
      </w:r>
      <w:r w:rsidRPr="00617F88">
        <w:t xml:space="preserve">; hepatotoxicity; </w:t>
      </w:r>
      <w:proofErr w:type="spellStart"/>
      <w:r w:rsidRPr="00617F88">
        <w:t>haematoxicity</w:t>
      </w:r>
      <w:proofErr w:type="spellEnd"/>
      <w:r w:rsidRPr="00617F88">
        <w:t>) and efficacy (CR/</w:t>
      </w:r>
      <w:proofErr w:type="spellStart"/>
      <w:r w:rsidRPr="00617F88">
        <w:t>CRi</w:t>
      </w:r>
      <w:proofErr w:type="spellEnd"/>
      <w:r w:rsidRPr="00617F88">
        <w:t xml:space="preserve"> and MRD) endpoints using pooled da</w:t>
      </w:r>
      <w:r w:rsidR="00617F88">
        <w:t>ta from patients with ALL from S</w:t>
      </w:r>
      <w:r w:rsidRPr="00617F88">
        <w:t xml:space="preserve">tudies B1931010 and B1931022. Individual patient PK parameters estimated from the analysis described in the </w:t>
      </w:r>
      <w:proofErr w:type="spellStart"/>
      <w:r w:rsidRPr="00617F88">
        <w:t>popPK</w:t>
      </w:r>
      <w:proofErr w:type="spellEnd"/>
      <w:r w:rsidRPr="00617F88">
        <w:t xml:space="preserve"> analysis PMAR-EQDD-B193a-DP4-202 provided the exposure values used in the E-R analysis.</w:t>
      </w:r>
    </w:p>
    <w:p w14:paraId="7856CD7D" w14:textId="77777777" w:rsidR="00B37AB3" w:rsidRPr="00617F88" w:rsidRDefault="00B37AB3" w:rsidP="00617F88">
      <w:pPr>
        <w:pStyle w:val="ListBullet"/>
      </w:pPr>
      <w:r w:rsidRPr="00617F88">
        <w:t xml:space="preserve">PMAR-EQDD-B193a-DP4-205-Supplement provided updated PK/PD analyses of inotuzumab ozogamicin exposure for selected safety (VOD/SOS; hepatotoxicity; </w:t>
      </w:r>
      <w:proofErr w:type="spellStart"/>
      <w:r w:rsidRPr="00617F88">
        <w:t>haematoxicity</w:t>
      </w:r>
      <w:proofErr w:type="spellEnd"/>
      <w:r w:rsidRPr="00617F88">
        <w:t>) and efficacy (CR/</w:t>
      </w:r>
      <w:proofErr w:type="spellStart"/>
      <w:r w:rsidRPr="00617F88">
        <w:t>CRi</w:t>
      </w:r>
      <w:proofErr w:type="spellEnd"/>
      <w:r w:rsidRPr="00617F88">
        <w:t xml:space="preserve"> and MRD) endpoints using pooled data from patients with ALL from </w:t>
      </w:r>
      <w:r w:rsidR="00617F88">
        <w:t>Studies</w:t>
      </w:r>
      <w:r w:rsidRPr="00617F88">
        <w:t xml:space="preserve"> B1931010 and B1931022. Individual patient PK </w:t>
      </w:r>
      <w:r w:rsidRPr="00617F88">
        <w:lastRenderedPageBreak/>
        <w:t xml:space="preserve">parameters estimated from the </w:t>
      </w:r>
      <w:proofErr w:type="spellStart"/>
      <w:r w:rsidRPr="00617F88">
        <w:t>popPK</w:t>
      </w:r>
      <w:proofErr w:type="spellEnd"/>
      <w:r w:rsidRPr="00617F88">
        <w:t xml:space="preserve"> analysis described in PMAR-EQDD-B193a-DP4-202-Supplement provided the exposure values used in the E-R analysis.</w:t>
      </w:r>
    </w:p>
    <w:p w14:paraId="35163510" w14:textId="77777777" w:rsidR="00B37AB3" w:rsidRPr="00617F88" w:rsidRDefault="00B37AB3" w:rsidP="00617F88">
      <w:pPr>
        <w:pStyle w:val="ListBullet"/>
      </w:pPr>
      <w:r w:rsidRPr="00617F88">
        <w:t xml:space="preserve">PMAR-EQDD-B193a-Regulatory Response-628 provided PK/PD analyses of ozogamicin exposure with OS and PFS using pooled data from patients with ALL from </w:t>
      </w:r>
      <w:r w:rsidR="00617F88" w:rsidRPr="00617F88">
        <w:t>Studies</w:t>
      </w:r>
      <w:r w:rsidRPr="00617F88">
        <w:t xml:space="preserve"> B1931010 and B1931022.</w:t>
      </w:r>
    </w:p>
    <w:p w14:paraId="2FFE7C02" w14:textId="77777777" w:rsidR="00500337" w:rsidRPr="00617F88" w:rsidRDefault="00B37AB3" w:rsidP="00617F88">
      <w:pPr>
        <w:pStyle w:val="ListBullet"/>
      </w:pPr>
      <w:r w:rsidRPr="00617F88">
        <w:t xml:space="preserve">PMAR-EQDD-B193c-Other-331, PMAR-EQDD-B193c-Other-332, and PMAR-EQDDB193c- DP4-533 summarised the modelling of QT interval versus concentrations of inotuzumab ozogamicin using data from </w:t>
      </w:r>
      <w:r w:rsidR="00503681" w:rsidRPr="00617F88">
        <w:t>Study</w:t>
      </w:r>
      <w:r w:rsidRPr="00617F88">
        <w:t xml:space="preserve"> B1931006 (NHL), </w:t>
      </w:r>
      <w:r w:rsidR="00503681" w:rsidRPr="00617F88">
        <w:t>Study</w:t>
      </w:r>
      <w:r w:rsidRPr="00617F88">
        <w:t xml:space="preserve"> B1931007 (NHL), and from </w:t>
      </w:r>
      <w:r w:rsidR="00617F88" w:rsidRPr="00617F88">
        <w:t>Studies</w:t>
      </w:r>
      <w:r w:rsidRPr="00617F88">
        <w:t xml:space="preserve"> B1931007 (NHL), B1931010 (ALL), and B1931022 (ALL), respectively. Study B1931007 in patients with relapsed or refractory NHL was included in the pooled analysis with the studies in patients with relapsed or refractory ALL to allow assessment of QT data at therapeutic as well as supra-therapeutic concentrations </w:t>
      </w:r>
      <w:r w:rsidR="00503681" w:rsidRPr="00617F88">
        <w:t>(</w:t>
      </w:r>
      <w:r w:rsidRPr="00617F88">
        <w:t>PMAR-EQDDB193c- DP4-533</w:t>
      </w:r>
      <w:r w:rsidR="00503681" w:rsidRPr="00617F88">
        <w:t>)</w:t>
      </w:r>
      <w:r w:rsidRPr="00617F88">
        <w:t>.</w:t>
      </w:r>
    </w:p>
    <w:p w14:paraId="50E8205B" w14:textId="77777777" w:rsidR="00605AD4" w:rsidRPr="00617F88" w:rsidRDefault="00605AD4" w:rsidP="00617F88">
      <w:pPr>
        <w:pStyle w:val="Heading4"/>
      </w:pPr>
      <w:r w:rsidRPr="00617F88">
        <w:t>Evaluator’s conclusions on pharmacodynamics</w:t>
      </w:r>
    </w:p>
    <w:p w14:paraId="742E35C5" w14:textId="77777777" w:rsidR="00B37AB3" w:rsidRPr="000E66F5" w:rsidRDefault="00B37AB3" w:rsidP="00617F88">
      <w:pPr>
        <w:pStyle w:val="Heading5"/>
        <w:rPr>
          <w:lang w:val="en-US"/>
        </w:rPr>
      </w:pPr>
      <w:r w:rsidRPr="000E66F5">
        <w:rPr>
          <w:lang w:val="en-US"/>
        </w:rPr>
        <w:t>Exposure-</w:t>
      </w:r>
      <w:r w:rsidR="00617F88" w:rsidRPr="000E66F5">
        <w:rPr>
          <w:lang w:val="en-US"/>
        </w:rPr>
        <w:t xml:space="preserve">response </w:t>
      </w:r>
      <w:r w:rsidR="00617F88">
        <w:rPr>
          <w:lang w:val="en-US"/>
        </w:rPr>
        <w:t>(efficacy)</w:t>
      </w:r>
    </w:p>
    <w:p w14:paraId="2BD1CA4B" w14:textId="5B8FD99F" w:rsidR="00503681" w:rsidRDefault="00B37AB3" w:rsidP="00B37AB3">
      <w:pPr>
        <w:pStyle w:val="ListBullet"/>
        <w:rPr>
          <w:rFonts w:cs="‡ﬂÛø◊ÁÈ"/>
          <w:lang w:val="en-US"/>
        </w:rPr>
      </w:pPr>
      <w:r w:rsidRPr="000E66F5">
        <w:rPr>
          <w:lang w:val="en-US"/>
        </w:rPr>
        <w:t xml:space="preserve">Exposure based on the </w:t>
      </w:r>
      <w:r w:rsidR="00BE6963">
        <w:rPr>
          <w:lang w:val="en-US"/>
        </w:rPr>
        <w:t>average plasma concentration (</w:t>
      </w:r>
      <w:proofErr w:type="spellStart"/>
      <w:r w:rsidR="000A4125" w:rsidRPr="00AA53F4">
        <w:t>C</w:t>
      </w:r>
      <w:r w:rsidR="000A4125" w:rsidRPr="000A4125">
        <w:rPr>
          <w:vertAlign w:val="subscript"/>
        </w:rPr>
        <w:t>avg</w:t>
      </w:r>
      <w:proofErr w:type="spellEnd"/>
      <w:r w:rsidR="00BE6963">
        <w:rPr>
          <w:lang w:val="en-US"/>
        </w:rPr>
        <w:t xml:space="preserve">) </w:t>
      </w:r>
      <w:r w:rsidRPr="000E66F5">
        <w:t xml:space="preserve">of </w:t>
      </w:r>
      <w:proofErr w:type="spellStart"/>
      <w:r w:rsidRPr="000E66F5">
        <w:rPr>
          <w:lang w:val="en-US"/>
        </w:rPr>
        <w:t>inotuzumab</w:t>
      </w:r>
      <w:proofErr w:type="spellEnd"/>
      <w:r w:rsidRPr="000E66F5">
        <w:rPr>
          <w:lang w:val="en-US"/>
        </w:rPr>
        <w:t xml:space="preserve"> </w:t>
      </w:r>
      <w:proofErr w:type="spellStart"/>
      <w:r w:rsidRPr="000E66F5">
        <w:rPr>
          <w:lang w:val="en-US"/>
        </w:rPr>
        <w:t>ozogamicin</w:t>
      </w:r>
      <w:proofErr w:type="spellEnd"/>
      <w:r w:rsidRPr="000E66F5">
        <w:rPr>
          <w:lang w:val="en-US"/>
        </w:rPr>
        <w:t xml:space="preserve"> and the percentage of </w:t>
      </w:r>
      <w:proofErr w:type="spellStart"/>
      <w:r w:rsidRPr="000E66F5">
        <w:rPr>
          <w:lang w:val="en-US"/>
        </w:rPr>
        <w:t>leukaemic</w:t>
      </w:r>
      <w:proofErr w:type="spellEnd"/>
      <w:r w:rsidRPr="000E66F5">
        <w:rPr>
          <w:lang w:val="en-US"/>
        </w:rPr>
        <w:t xml:space="preserve"> blasts that were </w:t>
      </w:r>
      <w:r w:rsidR="005C4508">
        <w:rPr>
          <w:lang w:val="en-US"/>
        </w:rPr>
        <w:t>CD22 positive</w:t>
      </w:r>
      <w:r w:rsidRPr="000E66F5">
        <w:rPr>
          <w:lang w:val="en-US"/>
        </w:rPr>
        <w:t xml:space="preserve"> at baseline were found to be statistically significant predictors of CR/</w:t>
      </w:r>
      <w:proofErr w:type="spellStart"/>
      <w:r w:rsidRPr="000E66F5">
        <w:rPr>
          <w:lang w:val="en-US"/>
        </w:rPr>
        <w:t>CRi</w:t>
      </w:r>
      <w:proofErr w:type="spellEnd"/>
      <w:r w:rsidRPr="000E66F5">
        <w:rPr>
          <w:lang w:val="en-US"/>
        </w:rPr>
        <w:t xml:space="preserve"> at a significance level of 0.05 </w:t>
      </w:r>
      <w:r w:rsidR="00503681">
        <w:rPr>
          <w:lang w:val="en-US"/>
        </w:rPr>
        <w:t>(</w:t>
      </w:r>
      <w:r w:rsidR="00617F88">
        <w:rPr>
          <w:lang w:val="en-US"/>
        </w:rPr>
        <w:t>Study</w:t>
      </w:r>
      <w:r w:rsidR="00EB51B1">
        <w:rPr>
          <w:lang w:val="en-US"/>
        </w:rPr>
        <w:t> </w:t>
      </w:r>
      <w:r w:rsidRPr="000E66F5">
        <w:rPr>
          <w:lang w:val="en-US"/>
        </w:rPr>
        <w:t>PMAR</w:t>
      </w:r>
      <w:r w:rsidR="00EB51B1">
        <w:rPr>
          <w:lang w:val="en-US"/>
        </w:rPr>
        <w:noBreakHyphen/>
      </w:r>
      <w:r w:rsidRPr="000E66F5">
        <w:rPr>
          <w:lang w:val="en-US"/>
        </w:rPr>
        <w:t>EQDD</w:t>
      </w:r>
      <w:r w:rsidR="00EB51B1">
        <w:rPr>
          <w:lang w:val="en-US"/>
        </w:rPr>
        <w:noBreakHyphen/>
      </w:r>
      <w:r w:rsidRPr="000E66F5">
        <w:rPr>
          <w:lang w:val="en-US"/>
        </w:rPr>
        <w:t>B193a</w:t>
      </w:r>
      <w:r w:rsidR="00EB51B1">
        <w:rPr>
          <w:lang w:val="en-US"/>
        </w:rPr>
        <w:noBreakHyphen/>
      </w:r>
      <w:r w:rsidRPr="000E66F5">
        <w:rPr>
          <w:lang w:val="en-US"/>
        </w:rPr>
        <w:t>DP4</w:t>
      </w:r>
      <w:r w:rsidR="00EB51B1">
        <w:rPr>
          <w:lang w:val="en-US"/>
        </w:rPr>
        <w:noBreakHyphen/>
      </w:r>
      <w:r w:rsidRPr="000E66F5">
        <w:rPr>
          <w:lang w:val="en-US"/>
        </w:rPr>
        <w:t>205-Supplement</w:t>
      </w:r>
      <w:r w:rsidR="00503681">
        <w:rPr>
          <w:lang w:val="en-US"/>
        </w:rPr>
        <w:t>)</w:t>
      </w:r>
      <w:r w:rsidRPr="000E66F5">
        <w:rPr>
          <w:lang w:val="en-US"/>
        </w:rPr>
        <w:t xml:space="preserve">. For the same </w:t>
      </w:r>
      <w:proofErr w:type="spellStart"/>
      <w:r w:rsidR="000A4125" w:rsidRPr="00AA53F4">
        <w:t>C</w:t>
      </w:r>
      <w:r w:rsidR="000A4125" w:rsidRPr="000A4125">
        <w:rPr>
          <w:vertAlign w:val="subscript"/>
        </w:rPr>
        <w:t>avg</w:t>
      </w:r>
      <w:proofErr w:type="spellEnd"/>
      <w:r w:rsidRPr="000E66F5">
        <w:rPr>
          <w:lang w:val="en-US"/>
        </w:rPr>
        <w:t xml:space="preserve"> value, the predicted probability of a response was greater in patients with </w:t>
      </w:r>
      <w:r w:rsidR="00503681">
        <w:rPr>
          <w:lang w:val="en-US"/>
        </w:rPr>
        <w:t xml:space="preserve">≥ </w:t>
      </w:r>
      <w:r w:rsidRPr="000E66F5">
        <w:rPr>
          <w:lang w:val="en-US"/>
        </w:rPr>
        <w:t xml:space="preserve">90% of </w:t>
      </w:r>
      <w:r w:rsidR="005C4508">
        <w:rPr>
          <w:lang w:val="en-US"/>
        </w:rPr>
        <w:t>CD22 positive</w:t>
      </w:r>
      <w:r w:rsidRPr="000E66F5">
        <w:rPr>
          <w:lang w:val="en-US"/>
        </w:rPr>
        <w:t xml:space="preserve"> </w:t>
      </w:r>
      <w:proofErr w:type="spellStart"/>
      <w:r w:rsidRPr="000E66F5">
        <w:rPr>
          <w:lang w:val="en-US"/>
        </w:rPr>
        <w:t>leukaemic</w:t>
      </w:r>
      <w:proofErr w:type="spellEnd"/>
      <w:r w:rsidRPr="000E66F5">
        <w:rPr>
          <w:lang w:val="en-US"/>
        </w:rPr>
        <w:t xml:space="preserve"> blasts at baseline compared to patients with &lt; 90% of </w:t>
      </w:r>
      <w:r w:rsidR="005C4508">
        <w:rPr>
          <w:lang w:val="en-US"/>
        </w:rPr>
        <w:t>CD22 positive</w:t>
      </w:r>
      <w:r w:rsidRPr="000E66F5">
        <w:rPr>
          <w:lang w:val="en-US"/>
        </w:rPr>
        <w:t xml:space="preserve"> </w:t>
      </w:r>
      <w:proofErr w:type="spellStart"/>
      <w:r w:rsidRPr="000E66F5">
        <w:rPr>
          <w:lang w:val="en-US"/>
        </w:rPr>
        <w:t>leukaemic</w:t>
      </w:r>
      <w:proofErr w:type="spellEnd"/>
      <w:r w:rsidRPr="000E66F5">
        <w:rPr>
          <w:lang w:val="en-US"/>
        </w:rPr>
        <w:t xml:space="preserve"> blasts at baseline</w:t>
      </w:r>
      <w:r w:rsidR="00503681">
        <w:rPr>
          <w:rFonts w:cs="‡ﬂÛø◊ÁÈ"/>
          <w:lang w:val="en-US"/>
        </w:rPr>
        <w:t>.</w:t>
      </w:r>
    </w:p>
    <w:p w14:paraId="2A4A5F50" w14:textId="77777777" w:rsidR="00B37AB3" w:rsidRPr="000E66F5" w:rsidRDefault="00B37AB3" w:rsidP="00B37AB3">
      <w:pPr>
        <w:pStyle w:val="ListBullet"/>
        <w:rPr>
          <w:lang w:val="en-US"/>
        </w:rPr>
      </w:pPr>
      <w:r w:rsidRPr="000E66F5">
        <w:rPr>
          <w:rFonts w:cs="‡ﬂÛø◊ÁÈ"/>
          <w:lang w:val="en-US"/>
        </w:rPr>
        <w:t xml:space="preserve">Exposure based on the </w:t>
      </w:r>
      <w:proofErr w:type="spellStart"/>
      <w:r w:rsidR="000A4125" w:rsidRPr="00AA53F4">
        <w:t>C</w:t>
      </w:r>
      <w:r w:rsidR="000A4125" w:rsidRPr="000A4125">
        <w:rPr>
          <w:vertAlign w:val="subscript"/>
        </w:rPr>
        <w:t>avg</w:t>
      </w:r>
      <w:proofErr w:type="spellEnd"/>
      <w:r w:rsidRPr="000E66F5">
        <w:rPr>
          <w:rFonts w:cs="‡ﬂÛø◊ÁÈ"/>
          <w:lang w:val="en-US"/>
        </w:rPr>
        <w:t xml:space="preserve"> of </w:t>
      </w:r>
      <w:proofErr w:type="spellStart"/>
      <w:r w:rsidRPr="000E66F5">
        <w:rPr>
          <w:rFonts w:cs="‡ﬂÛø◊ÁÈ"/>
          <w:lang w:val="en-US"/>
        </w:rPr>
        <w:t>inotuzumab</w:t>
      </w:r>
      <w:proofErr w:type="spellEnd"/>
      <w:r w:rsidRPr="000E66F5">
        <w:rPr>
          <w:rFonts w:cs="‡ﬂÛø◊ÁÈ"/>
          <w:lang w:val="en-US"/>
        </w:rPr>
        <w:t xml:space="preserve"> </w:t>
      </w:r>
      <w:proofErr w:type="spellStart"/>
      <w:r w:rsidRPr="000E66F5">
        <w:rPr>
          <w:rFonts w:cs="‡ﬂÛø◊ÁÈ"/>
          <w:lang w:val="en-US"/>
        </w:rPr>
        <w:t>ozogamicin</w:t>
      </w:r>
      <w:proofErr w:type="spellEnd"/>
      <w:r w:rsidRPr="000E66F5">
        <w:rPr>
          <w:rFonts w:cs="‡ﬂÛø◊ÁÈ"/>
          <w:lang w:val="en-US"/>
        </w:rPr>
        <w:t xml:space="preserve"> was </w:t>
      </w:r>
      <w:r>
        <w:rPr>
          <w:rFonts w:cs="‡ﬂÛø◊ÁÈ"/>
          <w:lang w:val="en-US"/>
        </w:rPr>
        <w:t xml:space="preserve">a </w:t>
      </w:r>
      <w:r w:rsidRPr="000E66F5">
        <w:rPr>
          <w:rFonts w:cs="‡ﬂÛø◊ÁÈ"/>
          <w:lang w:val="en-US"/>
        </w:rPr>
        <w:t>statistical</w:t>
      </w:r>
      <w:r w:rsidR="00617F88">
        <w:rPr>
          <w:rFonts w:cs="‡ﬂÛø◊ÁÈ"/>
          <w:lang w:val="en-US"/>
        </w:rPr>
        <w:t xml:space="preserve">ly significant predictor of MRD </w:t>
      </w:r>
      <w:r w:rsidRPr="000E66F5">
        <w:rPr>
          <w:rFonts w:cs="‡ﬂÛø◊ÁÈ"/>
          <w:lang w:val="en-US"/>
        </w:rPr>
        <w:t xml:space="preserve">negativity, as were baseline cytogenetics and baseline </w:t>
      </w:r>
      <w:r w:rsidRPr="000E66F5">
        <w:rPr>
          <w:lang w:val="en-US"/>
        </w:rPr>
        <w:t xml:space="preserve">percentage of </w:t>
      </w:r>
      <w:proofErr w:type="spellStart"/>
      <w:r w:rsidRPr="000E66F5">
        <w:rPr>
          <w:lang w:val="en-US"/>
        </w:rPr>
        <w:t>leukaemic</w:t>
      </w:r>
      <w:proofErr w:type="spellEnd"/>
      <w:r w:rsidRPr="000E66F5">
        <w:rPr>
          <w:lang w:val="en-US"/>
        </w:rPr>
        <w:t xml:space="preserve"> blasts that were </w:t>
      </w:r>
      <w:r w:rsidR="005C4508">
        <w:rPr>
          <w:lang w:val="en-US"/>
        </w:rPr>
        <w:t>CD22 positive</w:t>
      </w:r>
      <w:r w:rsidRPr="000E66F5">
        <w:rPr>
          <w:lang w:val="en-US"/>
        </w:rPr>
        <w:t xml:space="preserve"> </w:t>
      </w:r>
      <w:r w:rsidR="00503681">
        <w:rPr>
          <w:lang w:val="en-US"/>
        </w:rPr>
        <w:t>(</w:t>
      </w:r>
      <w:r w:rsidR="00617F88">
        <w:rPr>
          <w:lang w:val="en-US"/>
        </w:rPr>
        <w:t>Study</w:t>
      </w:r>
      <w:r w:rsidR="00617F88" w:rsidRPr="000E66F5">
        <w:rPr>
          <w:lang w:val="en-US"/>
        </w:rPr>
        <w:t xml:space="preserve"> </w:t>
      </w:r>
      <w:r w:rsidRPr="000E66F5">
        <w:rPr>
          <w:lang w:val="en-US"/>
        </w:rPr>
        <w:t>PMAR-EQDD-B193a-DP4-205-Supplement</w:t>
      </w:r>
      <w:r w:rsidR="00503681">
        <w:rPr>
          <w:lang w:val="en-US"/>
        </w:rPr>
        <w:t>)</w:t>
      </w:r>
      <w:r w:rsidRPr="000E66F5">
        <w:rPr>
          <w:lang w:val="en-US"/>
        </w:rPr>
        <w:t>.</w:t>
      </w:r>
    </w:p>
    <w:p w14:paraId="02373F28" w14:textId="77777777" w:rsidR="00B37AB3" w:rsidRPr="000E66F5" w:rsidRDefault="00B37AB3" w:rsidP="00B37AB3">
      <w:pPr>
        <w:pStyle w:val="ListBullet"/>
        <w:rPr>
          <w:rFonts w:cstheme="minorBidi"/>
          <w:lang w:val="en-US"/>
        </w:rPr>
      </w:pPr>
      <w:r w:rsidRPr="000E66F5">
        <w:rPr>
          <w:lang w:val="en-US"/>
        </w:rPr>
        <w:t xml:space="preserve">In the OS and PFS analyses, with and without censoring for post-study HSCT, </w:t>
      </w:r>
      <w:proofErr w:type="spellStart"/>
      <w:r w:rsidRPr="000E66F5">
        <w:rPr>
          <w:lang w:val="en-US"/>
        </w:rPr>
        <w:t>inotuzumab</w:t>
      </w:r>
      <w:proofErr w:type="spellEnd"/>
      <w:r w:rsidRPr="000E66F5">
        <w:rPr>
          <w:lang w:val="en-US"/>
        </w:rPr>
        <w:t xml:space="preserve"> </w:t>
      </w:r>
      <w:proofErr w:type="spellStart"/>
      <w:r w:rsidRPr="000E66F5">
        <w:rPr>
          <w:lang w:val="en-US"/>
        </w:rPr>
        <w:t>ozogamicin</w:t>
      </w:r>
      <w:proofErr w:type="spellEnd"/>
      <w:r w:rsidRPr="000E66F5">
        <w:rPr>
          <w:lang w:val="en-US"/>
        </w:rPr>
        <w:t xml:space="preserve"> </w:t>
      </w:r>
      <w:proofErr w:type="spellStart"/>
      <w:r w:rsidR="000A4125" w:rsidRPr="00AA53F4">
        <w:t>C</w:t>
      </w:r>
      <w:r w:rsidR="000A4125" w:rsidRPr="000A4125">
        <w:rPr>
          <w:vertAlign w:val="subscript"/>
        </w:rPr>
        <w:t>avg</w:t>
      </w:r>
      <w:proofErr w:type="spellEnd"/>
      <w:r w:rsidRPr="00284229">
        <w:rPr>
          <w:vertAlign w:val="subscript"/>
          <w:lang w:val="en-US"/>
        </w:rPr>
        <w:t xml:space="preserve"> </w:t>
      </w:r>
      <w:r w:rsidRPr="000E66F5">
        <w:rPr>
          <w:lang w:val="en-US"/>
        </w:rPr>
        <w:t>was a statistically significant predictor of both OS and PFS affecting the base hazard of both efficacy endpoints (</w:t>
      </w:r>
      <w:r w:rsidR="00503681">
        <w:rPr>
          <w:lang w:val="en-US"/>
        </w:rPr>
        <w:t>that is</w:t>
      </w:r>
      <w:r w:rsidRPr="000E66F5">
        <w:rPr>
          <w:lang w:val="en-US"/>
        </w:rPr>
        <w:t xml:space="preserve">, higher </w:t>
      </w:r>
      <w:proofErr w:type="spellStart"/>
      <w:r w:rsidR="000A4125" w:rsidRPr="00AA53F4">
        <w:t>C</w:t>
      </w:r>
      <w:r w:rsidR="000A4125" w:rsidRPr="000A4125">
        <w:rPr>
          <w:vertAlign w:val="subscript"/>
        </w:rPr>
        <w:t>avg</w:t>
      </w:r>
      <w:proofErr w:type="spellEnd"/>
      <w:r w:rsidRPr="000E66F5">
        <w:rPr>
          <w:lang w:val="en-US"/>
        </w:rPr>
        <w:t xml:space="preserve"> increased the probability of both OS and PFS ) </w:t>
      </w:r>
      <w:r w:rsidR="00503681">
        <w:rPr>
          <w:lang w:val="en-US"/>
        </w:rPr>
        <w:t>(</w:t>
      </w:r>
      <w:r w:rsidR="00617F88">
        <w:rPr>
          <w:lang w:val="en-US"/>
        </w:rPr>
        <w:t>Study</w:t>
      </w:r>
      <w:r w:rsidR="00617F88" w:rsidRPr="000E66F5">
        <w:rPr>
          <w:rFonts w:cs="‡ﬂÛø◊ÁÈ"/>
          <w:lang w:val="en-US"/>
        </w:rPr>
        <w:t xml:space="preserve"> </w:t>
      </w:r>
      <w:r w:rsidRPr="000E66F5">
        <w:rPr>
          <w:rFonts w:cs="‡ﬂÛø◊ÁÈ"/>
          <w:lang w:val="en-US"/>
        </w:rPr>
        <w:t>PMAR-EQDD-B193a-Regulatory Response-628</w:t>
      </w:r>
      <w:r w:rsidR="00503681">
        <w:rPr>
          <w:rFonts w:cs="‡ﬂÛø◊ÁÈ"/>
          <w:lang w:val="en-US"/>
        </w:rPr>
        <w:t>)</w:t>
      </w:r>
      <w:r w:rsidRPr="000E66F5">
        <w:rPr>
          <w:rFonts w:cs="‡ﬂÛø◊ÁÈ"/>
          <w:lang w:val="en-US"/>
        </w:rPr>
        <w:t xml:space="preserve">. However, </w:t>
      </w:r>
      <w:r w:rsidRPr="000E66F5">
        <w:rPr>
          <w:lang w:val="en-US"/>
        </w:rPr>
        <w:t>when CR/</w:t>
      </w:r>
      <w:proofErr w:type="spellStart"/>
      <w:r w:rsidRPr="000E66F5">
        <w:rPr>
          <w:lang w:val="en-US"/>
        </w:rPr>
        <w:t>CRi</w:t>
      </w:r>
      <w:proofErr w:type="spellEnd"/>
      <w:r w:rsidRPr="000E66F5">
        <w:rPr>
          <w:lang w:val="en-US"/>
        </w:rPr>
        <w:t xml:space="preserve"> and MRD were tested as potential prognostic factors affecting OS and PFS, along with the other pre-specified prognostic factors, </w:t>
      </w:r>
      <w:proofErr w:type="spellStart"/>
      <w:r w:rsidRPr="000E66F5">
        <w:rPr>
          <w:lang w:val="en-US"/>
        </w:rPr>
        <w:t>inotuzumab</w:t>
      </w:r>
      <w:proofErr w:type="spellEnd"/>
      <w:r w:rsidRPr="000E66F5">
        <w:rPr>
          <w:lang w:val="en-US"/>
        </w:rPr>
        <w:t xml:space="preserve"> </w:t>
      </w:r>
      <w:proofErr w:type="spellStart"/>
      <w:r w:rsidRPr="000E66F5">
        <w:rPr>
          <w:lang w:val="en-US"/>
        </w:rPr>
        <w:t>ozogamicin</w:t>
      </w:r>
      <w:proofErr w:type="spellEnd"/>
      <w:r w:rsidRPr="000E66F5">
        <w:rPr>
          <w:lang w:val="en-US"/>
        </w:rPr>
        <w:t xml:space="preserve"> exposure (</w:t>
      </w:r>
      <w:proofErr w:type="spellStart"/>
      <w:r w:rsidR="000A4125" w:rsidRPr="00AA53F4">
        <w:t>C</w:t>
      </w:r>
      <w:r w:rsidR="000A4125" w:rsidRPr="000A4125">
        <w:rPr>
          <w:vertAlign w:val="subscript"/>
        </w:rPr>
        <w:t>avg</w:t>
      </w:r>
      <w:proofErr w:type="spellEnd"/>
      <w:r w:rsidRPr="000E66F5">
        <w:rPr>
          <w:lang w:val="en-US"/>
        </w:rPr>
        <w:t xml:space="preserve">) was no longer a statistically significant predictor of either OS or PFS survival. The supplemental </w:t>
      </w:r>
      <w:proofErr w:type="spellStart"/>
      <w:r w:rsidRPr="000E66F5">
        <w:rPr>
          <w:lang w:val="en-US"/>
        </w:rPr>
        <w:t>popPK</w:t>
      </w:r>
      <w:proofErr w:type="spellEnd"/>
      <w:r w:rsidRPr="000E66F5">
        <w:rPr>
          <w:lang w:val="en-US"/>
        </w:rPr>
        <w:t xml:space="preserve"> analysis identified </w:t>
      </w:r>
      <w:proofErr w:type="spellStart"/>
      <w:r w:rsidR="000A4125" w:rsidRPr="00AA53F4">
        <w:t>C</w:t>
      </w:r>
      <w:r w:rsidR="000A4125" w:rsidRPr="000A4125">
        <w:rPr>
          <w:vertAlign w:val="subscript"/>
        </w:rPr>
        <w:t>avg</w:t>
      </w:r>
      <w:proofErr w:type="spellEnd"/>
      <w:r w:rsidRPr="000E66F5">
        <w:rPr>
          <w:lang w:val="en-US"/>
        </w:rPr>
        <w:t xml:space="preserve"> as statistically significant predictor of CR/</w:t>
      </w:r>
      <w:proofErr w:type="spellStart"/>
      <w:r w:rsidRPr="000E66F5">
        <w:rPr>
          <w:lang w:val="en-US"/>
        </w:rPr>
        <w:t>CRi</w:t>
      </w:r>
      <w:proofErr w:type="spellEnd"/>
      <w:r w:rsidRPr="000E66F5">
        <w:rPr>
          <w:lang w:val="en-US"/>
        </w:rPr>
        <w:t xml:space="preserve"> and MRD and therefore this exposure metric correlated with these variables.</w:t>
      </w:r>
    </w:p>
    <w:p w14:paraId="1C7E92C3" w14:textId="389C7EA1" w:rsidR="00503681" w:rsidRDefault="00B37AB3" w:rsidP="00B37AB3">
      <w:pPr>
        <w:pStyle w:val="ListBullet"/>
        <w:rPr>
          <w:rFonts w:cs="TimesNewRoman"/>
        </w:rPr>
      </w:pPr>
      <w:r w:rsidRPr="000E66F5">
        <w:rPr>
          <w:lang w:val="en-US"/>
        </w:rPr>
        <w:t>Limited data on unconjugated calicheamicin levels in patients with ALL</w:t>
      </w:r>
      <w:r w:rsidR="006779D9">
        <w:rPr>
          <w:lang w:val="en-US"/>
        </w:rPr>
        <w:t xml:space="preserve"> </w:t>
      </w:r>
      <w:r w:rsidRPr="000E66F5">
        <w:rPr>
          <w:lang w:val="en-US"/>
        </w:rPr>
        <w:t xml:space="preserve">indicate that this exposure metric is not a significant predictor of </w:t>
      </w:r>
      <w:r w:rsidRPr="000E66F5">
        <w:rPr>
          <w:rFonts w:cs="‡ﬂÛø◊ÁÈ"/>
          <w:lang w:val="en-US"/>
        </w:rPr>
        <w:t>efficacy (CR/</w:t>
      </w:r>
      <w:proofErr w:type="spellStart"/>
      <w:r w:rsidRPr="000E66F5">
        <w:rPr>
          <w:rFonts w:cs="‡ﬂÛø◊ÁÈ"/>
          <w:lang w:val="en-US"/>
        </w:rPr>
        <w:t>CRi</w:t>
      </w:r>
      <w:proofErr w:type="spellEnd"/>
      <w:r w:rsidRPr="000E66F5">
        <w:rPr>
          <w:rFonts w:cs="‡ﬂÛø◊ÁÈ"/>
          <w:lang w:val="en-US"/>
        </w:rPr>
        <w:t xml:space="preserve"> and MRD) </w:t>
      </w:r>
      <w:r w:rsidR="00503681">
        <w:rPr>
          <w:rFonts w:cs="‡ﬂÛø◊ÁÈ"/>
          <w:lang w:val="en-US"/>
        </w:rPr>
        <w:t>(</w:t>
      </w:r>
      <w:r w:rsidR="00617F88">
        <w:rPr>
          <w:lang w:val="en-US"/>
        </w:rPr>
        <w:t>Study</w:t>
      </w:r>
      <w:r w:rsidR="00EB51B1">
        <w:rPr>
          <w:rFonts w:cs="TimesNewRoman"/>
        </w:rPr>
        <w:t> </w:t>
      </w:r>
      <w:r w:rsidRPr="000E66F5">
        <w:rPr>
          <w:rFonts w:cs="TimesNewRoman"/>
        </w:rPr>
        <w:t>PMAR-EQDD-B193a-DP4-205</w:t>
      </w:r>
      <w:r w:rsidR="00503681">
        <w:rPr>
          <w:rFonts w:cs="TimesNewRoman"/>
        </w:rPr>
        <w:t>).</w:t>
      </w:r>
    </w:p>
    <w:p w14:paraId="3ED10348" w14:textId="77777777" w:rsidR="00B37AB3" w:rsidRPr="000E66F5" w:rsidRDefault="00B37AB3" w:rsidP="00617F88">
      <w:pPr>
        <w:pStyle w:val="Heading5"/>
        <w:rPr>
          <w:rFonts w:cs="‡ﬂÛø◊ÁÈ"/>
          <w:color w:val="000000"/>
          <w:lang w:val="en-US"/>
        </w:rPr>
      </w:pPr>
      <w:r w:rsidRPr="000E66F5">
        <w:t>Exposure-</w:t>
      </w:r>
      <w:r w:rsidR="00617F88" w:rsidRPr="000E66F5">
        <w:t>response (safety</w:t>
      </w:r>
      <w:r w:rsidRPr="000E66F5">
        <w:t>)</w:t>
      </w:r>
    </w:p>
    <w:p w14:paraId="7377B3B9" w14:textId="77777777" w:rsidR="00503681" w:rsidRPr="00617F88" w:rsidRDefault="00B37AB3" w:rsidP="00617F88">
      <w:pPr>
        <w:pStyle w:val="ListBullet"/>
      </w:pPr>
      <w:proofErr w:type="gramStart"/>
      <w:r w:rsidRPr="00617F88">
        <w:t>Log(</w:t>
      </w:r>
      <w:proofErr w:type="gramEnd"/>
      <w:r w:rsidRPr="00617F88">
        <w:t>cAUCP1) was found to be a statistically signifi</w:t>
      </w:r>
      <w:r w:rsidR="00617F88">
        <w:t>cant predictor of VOD/SOS (</w:t>
      </w:r>
      <w:r w:rsidR="00BF79CA">
        <w:t>Hepatic Events Adjudication Board (</w:t>
      </w:r>
      <w:r w:rsidR="00617F88">
        <w:t>HEAB</w:t>
      </w:r>
      <w:r w:rsidR="00BF79CA">
        <w:t>)</w:t>
      </w:r>
      <w:r w:rsidR="00617F88">
        <w:t> </w:t>
      </w:r>
      <w:r w:rsidRPr="00617F88">
        <w:t xml:space="preserve">assessed). Increasing cumulative AUC after period 1 (cAUCP1) was associated with an </w:t>
      </w:r>
      <w:r w:rsidR="00617F88">
        <w:t>increased risk of VOD/SOS (HEAB </w:t>
      </w:r>
      <w:r w:rsidRPr="00617F88">
        <w:t xml:space="preserve">assessed), and the risk was significantly greater in patients who received a HSCT during the study compared to patients who did not received a HSCT during the study </w:t>
      </w:r>
      <w:r w:rsidR="00503681" w:rsidRPr="00617F88">
        <w:t>(</w:t>
      </w:r>
      <w:r w:rsidR="00617F88">
        <w:rPr>
          <w:lang w:val="en-US"/>
        </w:rPr>
        <w:t>Study</w:t>
      </w:r>
      <w:r w:rsidR="00617F88" w:rsidRPr="00617F88">
        <w:t xml:space="preserve"> </w:t>
      </w:r>
      <w:r w:rsidRPr="00617F88">
        <w:t>PMAR-EQDD-B193a-DP4-205-Supplement</w:t>
      </w:r>
      <w:r w:rsidR="00503681" w:rsidRPr="00617F88">
        <w:t>).</w:t>
      </w:r>
    </w:p>
    <w:p w14:paraId="5236C6DA" w14:textId="65F09720" w:rsidR="00503681" w:rsidRDefault="00B37AB3" w:rsidP="00B37AB3">
      <w:pPr>
        <w:pStyle w:val="ListBullet"/>
        <w:rPr>
          <w:lang w:val="en-US"/>
        </w:rPr>
      </w:pPr>
      <w:r>
        <w:rPr>
          <w:lang w:val="en-US"/>
        </w:rPr>
        <w:t xml:space="preserve">No </w:t>
      </w:r>
      <w:r w:rsidRPr="000E66F5">
        <w:rPr>
          <w:lang w:val="en-US"/>
        </w:rPr>
        <w:t xml:space="preserve">statistically significant E-R (safety) relationships were found for neutropenia </w:t>
      </w:r>
      <w:r w:rsidR="00503681">
        <w:rPr>
          <w:lang w:val="en-US"/>
        </w:rPr>
        <w:t>≥</w:t>
      </w:r>
      <w:r w:rsidR="00EB51B1">
        <w:rPr>
          <w:lang w:val="en-US"/>
        </w:rPr>
        <w:t xml:space="preserve"> 3 Grade </w:t>
      </w:r>
      <w:r w:rsidRPr="000E66F5">
        <w:rPr>
          <w:lang w:val="en-US"/>
        </w:rPr>
        <w:t xml:space="preserve">or thrombocytopenia </w:t>
      </w:r>
      <w:r w:rsidR="00503681">
        <w:rPr>
          <w:lang w:val="en-US"/>
        </w:rPr>
        <w:t xml:space="preserve">≥ </w:t>
      </w:r>
      <w:r w:rsidR="00617F88">
        <w:rPr>
          <w:lang w:val="en-US"/>
        </w:rPr>
        <w:t>Grade</w:t>
      </w:r>
      <w:r w:rsidRPr="000E66F5">
        <w:rPr>
          <w:lang w:val="en-US"/>
        </w:rPr>
        <w:t xml:space="preserve"> 3. However, a high percentage of the total </w:t>
      </w:r>
      <w:r w:rsidRPr="000E66F5">
        <w:rPr>
          <w:lang w:val="en-US"/>
        </w:rPr>
        <w:lastRenderedPageBreak/>
        <w:t>population had baseline neutrop</w:t>
      </w:r>
      <w:r w:rsidR="00BE6963">
        <w:rPr>
          <w:lang w:val="en-US"/>
        </w:rPr>
        <w:t>a</w:t>
      </w:r>
      <w:r w:rsidRPr="000E66F5">
        <w:rPr>
          <w:lang w:val="en-US"/>
        </w:rPr>
        <w:t xml:space="preserve">enia </w:t>
      </w:r>
      <w:r w:rsidR="00503681">
        <w:rPr>
          <w:lang w:val="en-US"/>
        </w:rPr>
        <w:t xml:space="preserve">≥ </w:t>
      </w:r>
      <w:r w:rsidR="00BE6963">
        <w:rPr>
          <w:lang w:val="en-US"/>
        </w:rPr>
        <w:t>Grade 3</w:t>
      </w:r>
      <w:r w:rsidRPr="000E66F5">
        <w:rPr>
          <w:lang w:val="en-US"/>
        </w:rPr>
        <w:t xml:space="preserve"> or baseline thrombocytop</w:t>
      </w:r>
      <w:r w:rsidR="00BE6963">
        <w:rPr>
          <w:lang w:val="en-US"/>
        </w:rPr>
        <w:t>a</w:t>
      </w:r>
      <w:r w:rsidRPr="000E66F5">
        <w:rPr>
          <w:lang w:val="en-US"/>
        </w:rPr>
        <w:t xml:space="preserve">enia </w:t>
      </w:r>
      <w:r w:rsidR="00617F88">
        <w:rPr>
          <w:lang w:val="en-US"/>
        </w:rPr>
        <w:t>≥ Grade </w:t>
      </w:r>
      <w:r w:rsidRPr="000E66F5">
        <w:rPr>
          <w:lang w:val="en-US"/>
        </w:rPr>
        <w:t>3. Therefore, these patients were excluded and the percentage of the remaining population tested in the relevant E-R safety models were 62.8% (142/226) (neutropenia model) and 50.9% (11</w:t>
      </w:r>
      <w:r>
        <w:rPr>
          <w:lang w:val="en-US"/>
        </w:rPr>
        <w:t xml:space="preserve">9/234) (thrombocytopenia model) </w:t>
      </w:r>
      <w:r w:rsidR="00503681">
        <w:rPr>
          <w:lang w:val="en-US"/>
        </w:rPr>
        <w:t>(</w:t>
      </w:r>
      <w:r w:rsidR="00617F88">
        <w:rPr>
          <w:lang w:val="en-US"/>
        </w:rPr>
        <w:t>Study</w:t>
      </w:r>
      <w:r w:rsidR="00617F88" w:rsidRPr="000E66F5">
        <w:rPr>
          <w:lang w:val="en-US"/>
        </w:rPr>
        <w:t xml:space="preserve"> </w:t>
      </w:r>
      <w:r w:rsidRPr="000E66F5">
        <w:rPr>
          <w:lang w:val="en-US"/>
        </w:rPr>
        <w:t>PMAR-EQDD-B193a-DP4-205-Supplement</w:t>
      </w:r>
      <w:r w:rsidR="00503681">
        <w:rPr>
          <w:lang w:val="en-US"/>
        </w:rPr>
        <w:t>).</w:t>
      </w:r>
    </w:p>
    <w:p w14:paraId="1A7782C6" w14:textId="59E2A0D5" w:rsidR="00503681" w:rsidRDefault="00B37AB3" w:rsidP="00B37AB3">
      <w:pPr>
        <w:pStyle w:val="ListBullet"/>
        <w:rPr>
          <w:lang w:val="en-US"/>
        </w:rPr>
      </w:pPr>
      <w:r>
        <w:t>No</w:t>
      </w:r>
      <w:r w:rsidRPr="000E66F5">
        <w:rPr>
          <w:rFonts w:cs="‡Oıø◊áË"/>
          <w:lang w:val="en-US"/>
        </w:rPr>
        <w:t xml:space="preserve"> statistically significant </w:t>
      </w:r>
      <w:r w:rsidRPr="002468EF">
        <w:rPr>
          <w:rFonts w:cs="‡Oıø◊áË"/>
          <w:lang w:val="en-US"/>
        </w:rPr>
        <w:t>positive</w:t>
      </w:r>
      <w:r w:rsidRPr="000E66F5">
        <w:rPr>
          <w:rFonts w:cs="‡Oıø◊áË"/>
          <w:lang w:val="en-US"/>
        </w:rPr>
        <w:t xml:space="preserve"> </w:t>
      </w:r>
      <w:r w:rsidR="00BE6963">
        <w:rPr>
          <w:rFonts w:cs="‡Oıø◊áË"/>
          <w:lang w:val="en-US"/>
        </w:rPr>
        <w:t>exposure-response</w:t>
      </w:r>
      <w:r w:rsidRPr="000E66F5">
        <w:rPr>
          <w:rFonts w:cs="‡Oıø◊áË"/>
          <w:lang w:val="en-US"/>
        </w:rPr>
        <w:t xml:space="preserve"> (safety) relationships were found for elevated </w:t>
      </w:r>
      <w:r w:rsidR="003308E5">
        <w:t>alanine aminotransferase</w:t>
      </w:r>
      <w:r w:rsidR="003308E5" w:rsidRPr="000E66F5">
        <w:rPr>
          <w:rFonts w:cs="‡Oıø◊áË"/>
          <w:lang w:val="en-US"/>
        </w:rPr>
        <w:t xml:space="preserve"> </w:t>
      </w:r>
      <w:r w:rsidR="003308E5">
        <w:rPr>
          <w:rFonts w:cs="‡Oıø◊áË"/>
          <w:lang w:val="en-US"/>
        </w:rPr>
        <w:t>(</w:t>
      </w:r>
      <w:r w:rsidRPr="000E66F5">
        <w:rPr>
          <w:rFonts w:cs="‡Oıø◊áË"/>
          <w:lang w:val="en-US"/>
        </w:rPr>
        <w:t>ALT</w:t>
      </w:r>
      <w:r w:rsidR="003308E5">
        <w:rPr>
          <w:rFonts w:cs="‡Oıø◊áË"/>
          <w:lang w:val="en-US"/>
        </w:rPr>
        <w:t>)</w:t>
      </w:r>
      <w:r w:rsidRPr="000E66F5">
        <w:rPr>
          <w:rFonts w:cs="‡Oıø◊áË"/>
          <w:lang w:val="en-US"/>
        </w:rPr>
        <w:t xml:space="preserve"> </w:t>
      </w:r>
      <w:r w:rsidR="00503681">
        <w:rPr>
          <w:rFonts w:cs="‡Oıø◊áË"/>
          <w:lang w:val="en-US"/>
        </w:rPr>
        <w:t xml:space="preserve">≥ </w:t>
      </w:r>
      <w:r w:rsidR="00617F88">
        <w:rPr>
          <w:rFonts w:cs="‡Oıø◊áË"/>
          <w:lang w:val="en-US"/>
        </w:rPr>
        <w:t>Grade</w:t>
      </w:r>
      <w:r w:rsidRPr="000E66F5">
        <w:rPr>
          <w:rFonts w:cs="‡Oıø◊áË"/>
          <w:lang w:val="en-US"/>
        </w:rPr>
        <w:t xml:space="preserve"> 3, elevated AST </w:t>
      </w:r>
      <w:r w:rsidR="00503681">
        <w:rPr>
          <w:rFonts w:cs="‡Oıø◊áË"/>
          <w:lang w:val="en-US"/>
        </w:rPr>
        <w:t xml:space="preserve">≥ </w:t>
      </w:r>
      <w:r w:rsidR="00617F88">
        <w:rPr>
          <w:rFonts w:cs="‡Oıø◊áË"/>
          <w:lang w:val="en-US"/>
        </w:rPr>
        <w:t>Grade</w:t>
      </w:r>
      <w:r w:rsidRPr="000E66F5">
        <w:rPr>
          <w:rFonts w:cs="‡Oıø◊áË"/>
          <w:lang w:val="en-US"/>
        </w:rPr>
        <w:t xml:space="preserve"> 3, elevated bilirubin </w:t>
      </w:r>
      <w:r w:rsidR="00503681">
        <w:rPr>
          <w:rFonts w:cs="‡Oıø◊áË"/>
          <w:lang w:val="en-US"/>
        </w:rPr>
        <w:t xml:space="preserve">≥ </w:t>
      </w:r>
      <w:r w:rsidR="00617F88">
        <w:rPr>
          <w:rFonts w:cs="‡Oıø◊áË"/>
          <w:lang w:val="en-US"/>
        </w:rPr>
        <w:t>Grade 3</w:t>
      </w:r>
      <w:r w:rsidRPr="000E66F5">
        <w:rPr>
          <w:rFonts w:cs="‡Oıø◊áË"/>
          <w:lang w:val="en-US"/>
        </w:rPr>
        <w:t>, hepatic events defined by a pre-specified</w:t>
      </w:r>
      <w:r w:rsidR="00617F88">
        <w:rPr>
          <w:rFonts w:cs="‡Oıø◊áË"/>
          <w:lang w:val="en-US"/>
        </w:rPr>
        <w:t xml:space="preserve"> cluster term, and Investigator </w:t>
      </w:r>
      <w:r w:rsidRPr="000E66F5">
        <w:rPr>
          <w:rFonts w:cs="‡Oıø◊áË"/>
          <w:lang w:val="en-US"/>
        </w:rPr>
        <w:t>reported VOD/SOS</w:t>
      </w:r>
      <w:r>
        <w:rPr>
          <w:rFonts w:cs="‡Oıø◊áË"/>
          <w:lang w:val="en-US"/>
        </w:rPr>
        <w:t xml:space="preserve"> </w:t>
      </w:r>
      <w:r w:rsidR="00503681">
        <w:rPr>
          <w:lang w:val="en-US"/>
        </w:rPr>
        <w:t>(</w:t>
      </w:r>
      <w:r w:rsidR="00617F88">
        <w:rPr>
          <w:lang w:val="en-US"/>
        </w:rPr>
        <w:t>Study </w:t>
      </w:r>
      <w:r w:rsidRPr="000E66F5">
        <w:rPr>
          <w:lang w:val="en-US"/>
        </w:rPr>
        <w:t>PMAR-EQDD-B193a-DP4-205-Supplement</w:t>
      </w:r>
      <w:r w:rsidR="00503681">
        <w:rPr>
          <w:lang w:val="en-US"/>
        </w:rPr>
        <w:t>).</w:t>
      </w:r>
    </w:p>
    <w:p w14:paraId="75E096C8" w14:textId="77777777" w:rsidR="00503681" w:rsidRDefault="00B37AB3" w:rsidP="00B37AB3">
      <w:pPr>
        <w:pStyle w:val="ListBullet"/>
        <w:rPr>
          <w:rFonts w:cs="TimesNewRoman"/>
        </w:rPr>
      </w:pPr>
      <w:r w:rsidRPr="000E66F5">
        <w:rPr>
          <w:lang w:val="en-US"/>
        </w:rPr>
        <w:t>Limited data on unconjugated calicheamicin levels in patients with ALL</w:t>
      </w:r>
      <w:r w:rsidR="006779D9">
        <w:rPr>
          <w:lang w:val="en-US"/>
        </w:rPr>
        <w:t xml:space="preserve"> </w:t>
      </w:r>
      <w:r w:rsidRPr="000E66F5">
        <w:rPr>
          <w:lang w:val="en-US"/>
        </w:rPr>
        <w:t xml:space="preserve">indicate that this exposure metric is not a significant predictor of </w:t>
      </w:r>
      <w:r w:rsidRPr="000E66F5">
        <w:rPr>
          <w:rFonts w:cs="‡ﬂÛø◊ÁÈ"/>
          <w:lang w:val="en-US"/>
        </w:rPr>
        <w:t xml:space="preserve">safety (VOD/SOS; hepatotoxicity, haematological AEs) </w:t>
      </w:r>
      <w:r w:rsidR="00503681">
        <w:rPr>
          <w:rFonts w:cs="‡ﬂÛø◊ÁÈ"/>
          <w:lang w:val="en-US"/>
        </w:rPr>
        <w:t>(</w:t>
      </w:r>
      <w:r w:rsidR="00617F88">
        <w:rPr>
          <w:lang w:val="en-US"/>
        </w:rPr>
        <w:t>Study</w:t>
      </w:r>
      <w:r w:rsidR="00617F88" w:rsidRPr="000E66F5">
        <w:rPr>
          <w:rFonts w:cs="TimesNewRoman"/>
        </w:rPr>
        <w:t xml:space="preserve"> </w:t>
      </w:r>
      <w:r w:rsidRPr="000E66F5">
        <w:rPr>
          <w:rFonts w:cs="TimesNewRoman"/>
        </w:rPr>
        <w:t>PMAR-EQDD-B193a-DP4-205</w:t>
      </w:r>
      <w:r w:rsidR="00503681">
        <w:rPr>
          <w:rFonts w:cs="TimesNewRoman"/>
        </w:rPr>
        <w:t>).</w:t>
      </w:r>
    </w:p>
    <w:p w14:paraId="440560FB" w14:textId="77777777" w:rsidR="00B37AB3" w:rsidRPr="000E66F5" w:rsidRDefault="00B37AB3" w:rsidP="00617F88">
      <w:pPr>
        <w:pStyle w:val="Heading5"/>
        <w:rPr>
          <w:lang w:val="en-US"/>
        </w:rPr>
      </w:pPr>
      <w:proofErr w:type="spellStart"/>
      <w:r w:rsidRPr="000E66F5">
        <w:rPr>
          <w:lang w:val="en-US"/>
        </w:rPr>
        <w:t>QTc</w:t>
      </w:r>
      <w:proofErr w:type="spellEnd"/>
      <w:r w:rsidRPr="000E66F5">
        <w:rPr>
          <w:lang w:val="en-US"/>
        </w:rPr>
        <w:t xml:space="preserve"> analysis</w:t>
      </w:r>
    </w:p>
    <w:p w14:paraId="1D664D6F" w14:textId="7985E7AD" w:rsidR="00503681" w:rsidRDefault="00B37AB3" w:rsidP="00B37AB3">
      <w:pPr>
        <w:pStyle w:val="ListBullet"/>
        <w:rPr>
          <w:rFonts w:cs="‡ﬂıø◊ÁÁ"/>
          <w:lang w:val="en-US"/>
        </w:rPr>
      </w:pPr>
      <w:r w:rsidRPr="000E66F5">
        <w:rPr>
          <w:lang w:val="en-US"/>
        </w:rPr>
        <w:t xml:space="preserve">There was no </w:t>
      </w:r>
      <w:r w:rsidR="00503681">
        <w:rPr>
          <w:lang w:val="en-US"/>
        </w:rPr>
        <w:t>‘</w:t>
      </w:r>
      <w:r w:rsidRPr="000E66F5">
        <w:rPr>
          <w:lang w:val="en-US"/>
        </w:rPr>
        <w:t>thorough QT/</w:t>
      </w:r>
      <w:proofErr w:type="spellStart"/>
      <w:r w:rsidRPr="000E66F5">
        <w:rPr>
          <w:lang w:val="en-US"/>
        </w:rPr>
        <w:t>QTc</w:t>
      </w:r>
      <w:proofErr w:type="spellEnd"/>
      <w:r w:rsidR="00503681">
        <w:rPr>
          <w:lang w:val="en-US"/>
        </w:rPr>
        <w:t>’</w:t>
      </w:r>
      <w:r w:rsidRPr="000E66F5">
        <w:rPr>
          <w:lang w:val="en-US"/>
        </w:rPr>
        <w:t xml:space="preserve"> study in healthy volunteers meeting the relevant TGA adopted EU guidelines for non-arrhythmic drugs</w:t>
      </w:r>
      <w:r w:rsidR="00617F88">
        <w:rPr>
          <w:lang w:val="en-US"/>
        </w:rPr>
        <w:t>.</w:t>
      </w:r>
      <w:bookmarkStart w:id="99" w:name="_Ref536110845"/>
      <w:r w:rsidR="00617F88">
        <w:rPr>
          <w:rStyle w:val="FootnoteReference"/>
          <w:lang w:val="en-US"/>
        </w:rPr>
        <w:footnoteReference w:id="30"/>
      </w:r>
      <w:bookmarkEnd w:id="99"/>
      <w:r w:rsidRPr="000E66F5">
        <w:rPr>
          <w:lang w:val="en-US"/>
        </w:rPr>
        <w:t xml:space="preserve"> However, such a study in healthy volunteers could not be justified given that calicheamicin is a cytotoxic agent. The submitted data included a PK/PD analysis, which </w:t>
      </w:r>
      <w:r w:rsidRPr="000E66F5">
        <w:rPr>
          <w:rFonts w:cs="‡o˜ø◊áÊ"/>
          <w:lang w:val="en-US"/>
        </w:rPr>
        <w:t xml:space="preserve">showed that </w:t>
      </w:r>
      <w:r w:rsidRPr="000E66F5">
        <w:rPr>
          <w:lang w:val="en-US"/>
        </w:rPr>
        <w:t xml:space="preserve">inotuzumab ozogamicin is unlikely to be associated with clinically significant increases in </w:t>
      </w:r>
      <w:proofErr w:type="spellStart"/>
      <w:r w:rsidRPr="000E66F5">
        <w:rPr>
          <w:lang w:val="en-US"/>
        </w:rPr>
        <w:t>QTc</w:t>
      </w:r>
      <w:proofErr w:type="spellEnd"/>
      <w:r w:rsidRPr="000E66F5">
        <w:rPr>
          <w:lang w:val="en-US"/>
        </w:rPr>
        <w:t xml:space="preserve"> prolongation in patients with ALL </w:t>
      </w:r>
      <w:r w:rsidR="00503681">
        <w:rPr>
          <w:lang w:val="en-US"/>
        </w:rPr>
        <w:t>(</w:t>
      </w:r>
      <w:r w:rsidR="00617F88">
        <w:rPr>
          <w:lang w:val="en-US"/>
        </w:rPr>
        <w:t>Study</w:t>
      </w:r>
      <w:r w:rsidRPr="000E66F5">
        <w:rPr>
          <w:rFonts w:cs="‡Ô˘ø◊ï'E4"/>
          <w:lang w:val="en-US"/>
        </w:rPr>
        <w:t>PMAR-EQDD-B193c-DP4-533</w:t>
      </w:r>
      <w:r w:rsidR="00503681">
        <w:rPr>
          <w:rFonts w:cs="‡Ô˘ø◊ï'E4"/>
          <w:lang w:val="en-US"/>
        </w:rPr>
        <w:t>)</w:t>
      </w:r>
      <w:r w:rsidRPr="000E66F5">
        <w:rPr>
          <w:rFonts w:cs="‡Ô˘ø◊ï'E4"/>
          <w:lang w:val="en-US"/>
        </w:rPr>
        <w:t xml:space="preserve">. </w:t>
      </w:r>
      <w:r w:rsidRPr="000E66F5">
        <w:rPr>
          <w:rFonts w:cs="‡ﬂıø◊ÁÁ"/>
          <w:lang w:val="en-US"/>
        </w:rPr>
        <w:t xml:space="preserve">Simulated </w:t>
      </w:r>
      <w:proofErr w:type="spellStart"/>
      <w:r w:rsidRPr="000E66F5">
        <w:rPr>
          <w:rFonts w:cs="‡ﬂıø◊ÁÁ"/>
          <w:lang w:val="en-US"/>
        </w:rPr>
        <w:t>QTcF</w:t>
      </w:r>
      <w:proofErr w:type="spellEnd"/>
      <w:r w:rsidR="00BE6963">
        <w:rPr>
          <w:rFonts w:cs="‡ﬂıø◊ÁÁ"/>
          <w:lang w:val="en-US"/>
        </w:rPr>
        <w:t>;</w:t>
      </w:r>
      <w:r w:rsidR="0041592A">
        <w:rPr>
          <w:rStyle w:val="FootnoteReference"/>
          <w:rFonts w:cs="‡ﬂıø◊ÁÁ"/>
          <w:lang w:val="en-US"/>
        </w:rPr>
        <w:footnoteReference w:id="31"/>
      </w:r>
      <w:r w:rsidRPr="000E66F5">
        <w:rPr>
          <w:rFonts w:cs="‡ﬂıø◊ÁÁ"/>
          <w:lang w:val="en-US"/>
        </w:rPr>
        <w:t xml:space="preserve"> and </w:t>
      </w:r>
      <w:proofErr w:type="spellStart"/>
      <w:r w:rsidRPr="000E66F5">
        <w:rPr>
          <w:rFonts w:cs="‡ﬂıø◊ÁÁ"/>
          <w:lang w:val="en-US"/>
        </w:rPr>
        <w:t>QTcS</w:t>
      </w:r>
      <w:proofErr w:type="spellEnd"/>
      <w:r w:rsidRPr="000E66F5">
        <w:rPr>
          <w:rFonts w:cs="‡ﬂıø◊ÁÁ"/>
          <w:lang w:val="en-US"/>
        </w:rPr>
        <w:t xml:space="preserve"> values showed that the median (upper </w:t>
      </w:r>
      <w:r>
        <w:rPr>
          <w:rFonts w:cs="‡o˜ø◊áÊ"/>
          <w:lang w:val="en-US"/>
        </w:rPr>
        <w:t>97.5</w:t>
      </w:r>
      <w:r w:rsidRPr="002468EF">
        <w:rPr>
          <w:rFonts w:cs="‡o˜ø◊áÊ"/>
          <w:lang w:val="en-US"/>
        </w:rPr>
        <w:t>th</w:t>
      </w:r>
      <w:r>
        <w:rPr>
          <w:rFonts w:cs="‡o˜ø◊áÊ"/>
          <w:lang w:val="en-US"/>
        </w:rPr>
        <w:t xml:space="preserve"> percentile) </w:t>
      </w:r>
      <w:r w:rsidRPr="000E66F5">
        <w:rPr>
          <w:rFonts w:cs="‡ﬂıø◊ÁÁ"/>
          <w:lang w:val="en-US"/>
        </w:rPr>
        <w:t xml:space="preserve">for the changes at </w:t>
      </w:r>
      <w:r>
        <w:rPr>
          <w:rFonts w:cs="‡ﬂıø◊ÁÁ"/>
          <w:lang w:val="en-US"/>
        </w:rPr>
        <w:t xml:space="preserve">the </w:t>
      </w:r>
      <w:r w:rsidRPr="000E66F5">
        <w:rPr>
          <w:rFonts w:cs="‡ﬂıø◊ÁÁ"/>
          <w:lang w:val="en-US"/>
        </w:rPr>
        <w:t xml:space="preserve">therapeutic </w:t>
      </w:r>
      <w:proofErr w:type="spellStart"/>
      <w:r w:rsidR="00F769DD" w:rsidRPr="00AA53F4">
        <w:rPr>
          <w:lang w:val="en-US"/>
        </w:rPr>
        <w:t>C</w:t>
      </w:r>
      <w:r w:rsidR="00F769DD" w:rsidRPr="00F769DD">
        <w:rPr>
          <w:vertAlign w:val="subscript"/>
          <w:lang w:val="en-US"/>
        </w:rPr>
        <w:t>max</w:t>
      </w:r>
      <w:proofErr w:type="spellEnd"/>
      <w:r w:rsidRPr="000E66F5">
        <w:rPr>
          <w:rFonts w:cs="‡ﬂıø◊ÁÁ"/>
          <w:lang w:val="en-US"/>
        </w:rPr>
        <w:t xml:space="preserve"> of </w:t>
      </w:r>
      <w:proofErr w:type="spellStart"/>
      <w:r w:rsidRPr="000E66F5">
        <w:rPr>
          <w:rFonts w:cs="‡ﬂıø◊ÁÁ"/>
          <w:lang w:val="en-US"/>
        </w:rPr>
        <w:t>inotuzumab</w:t>
      </w:r>
      <w:proofErr w:type="spellEnd"/>
      <w:r w:rsidRPr="000E66F5">
        <w:rPr>
          <w:rFonts w:cs="‡ﬂıø◊ÁÁ"/>
          <w:lang w:val="en-US"/>
        </w:rPr>
        <w:t xml:space="preserve"> </w:t>
      </w:r>
      <w:proofErr w:type="spellStart"/>
      <w:r w:rsidRPr="000E66F5">
        <w:rPr>
          <w:rFonts w:cs="‡ﬂıø◊ÁÁ"/>
          <w:lang w:val="en-US"/>
        </w:rPr>
        <w:t>ozogamicin</w:t>
      </w:r>
      <w:proofErr w:type="spellEnd"/>
      <w:r w:rsidRPr="000E66F5">
        <w:rPr>
          <w:rFonts w:cs="‡ﬂıø◊ÁÁ"/>
          <w:lang w:val="en-US"/>
        </w:rPr>
        <w:t xml:space="preserve"> </w:t>
      </w:r>
      <w:r>
        <w:rPr>
          <w:rFonts w:cs="‡ﬂıø◊ÁÁ"/>
          <w:lang w:val="en-US"/>
        </w:rPr>
        <w:t xml:space="preserve">(371 ng/mL) </w:t>
      </w:r>
      <w:r w:rsidRPr="000E66F5">
        <w:rPr>
          <w:rFonts w:cs="‡ﬂıø◊ÁÁ"/>
          <w:lang w:val="en-US"/>
        </w:rPr>
        <w:t xml:space="preserve">were 2.53 </w:t>
      </w:r>
      <w:proofErr w:type="spellStart"/>
      <w:r w:rsidR="00617F88">
        <w:rPr>
          <w:rFonts w:cs="‡ﬂıø◊ÁÁ"/>
          <w:lang w:val="en-US"/>
        </w:rPr>
        <w:t>ms</w:t>
      </w:r>
      <w:proofErr w:type="spellEnd"/>
      <w:r w:rsidRPr="000E66F5">
        <w:rPr>
          <w:rFonts w:cs="‡ﬂıø◊ÁÁ"/>
          <w:lang w:val="en-US"/>
        </w:rPr>
        <w:t xml:space="preserve"> (4.92 </w:t>
      </w:r>
      <w:proofErr w:type="spellStart"/>
      <w:r w:rsidR="00617F88">
        <w:rPr>
          <w:rFonts w:cs="‡ﬂıø◊ÁÁ"/>
          <w:lang w:val="en-US"/>
        </w:rPr>
        <w:t>ms</w:t>
      </w:r>
      <w:proofErr w:type="spellEnd"/>
      <w:r w:rsidRPr="000E66F5">
        <w:rPr>
          <w:rFonts w:cs="‡ﬂıø◊ÁÁ"/>
          <w:lang w:val="en-US"/>
        </w:rPr>
        <w:t xml:space="preserve">) </w:t>
      </w:r>
      <w:r>
        <w:rPr>
          <w:rFonts w:cs="‡ﬂıø◊ÁÁ"/>
          <w:lang w:val="en-US"/>
        </w:rPr>
        <w:t xml:space="preserve">for </w:t>
      </w:r>
      <w:proofErr w:type="spellStart"/>
      <w:r>
        <w:rPr>
          <w:rFonts w:cs="‡ﬂıø◊ÁÁ"/>
          <w:lang w:val="en-US"/>
        </w:rPr>
        <w:t>QTcF</w:t>
      </w:r>
      <w:proofErr w:type="spellEnd"/>
      <w:r>
        <w:rPr>
          <w:rFonts w:cs="‡ﬂıø◊ÁÁ"/>
          <w:lang w:val="en-US"/>
        </w:rPr>
        <w:t xml:space="preserve"> </w:t>
      </w:r>
      <w:r w:rsidRPr="000E66F5">
        <w:rPr>
          <w:rFonts w:cs="‡ﬂıø◊ÁÁ"/>
          <w:lang w:val="en-US"/>
        </w:rPr>
        <w:t xml:space="preserve">and 2.70 </w:t>
      </w:r>
      <w:proofErr w:type="spellStart"/>
      <w:r w:rsidR="00617F88">
        <w:rPr>
          <w:rFonts w:cs="‡ﬂıø◊ÁÁ"/>
          <w:lang w:val="en-US"/>
        </w:rPr>
        <w:t>ms</w:t>
      </w:r>
      <w:proofErr w:type="spellEnd"/>
      <w:r w:rsidRPr="000E66F5">
        <w:rPr>
          <w:rFonts w:cs="‡ﬂıø◊ÁÁ"/>
          <w:lang w:val="en-US"/>
        </w:rPr>
        <w:t xml:space="preserve"> (5.40 </w:t>
      </w:r>
      <w:proofErr w:type="spellStart"/>
      <w:r w:rsidR="00617F88">
        <w:rPr>
          <w:rFonts w:cs="‡ﬂıø◊ÁÁ"/>
          <w:lang w:val="en-US"/>
        </w:rPr>
        <w:t>ms</w:t>
      </w:r>
      <w:proofErr w:type="spellEnd"/>
      <w:r w:rsidRPr="000E66F5">
        <w:rPr>
          <w:rFonts w:cs="‡ﬂıø◊ÁÁ"/>
          <w:lang w:val="en-US"/>
        </w:rPr>
        <w:t xml:space="preserve">) </w:t>
      </w:r>
      <w:r>
        <w:rPr>
          <w:rFonts w:cs="‡ﬂıø◊ÁÁ"/>
          <w:lang w:val="en-US"/>
        </w:rPr>
        <w:t xml:space="preserve">for </w:t>
      </w:r>
      <w:proofErr w:type="spellStart"/>
      <w:r>
        <w:rPr>
          <w:rFonts w:cs="‡ﬂıø◊ÁÁ"/>
          <w:lang w:val="en-US"/>
        </w:rPr>
        <w:t>QTcS</w:t>
      </w:r>
      <w:proofErr w:type="spellEnd"/>
      <w:r>
        <w:rPr>
          <w:rFonts w:cs="‡ﬂıø◊ÁÁ"/>
          <w:lang w:val="en-US"/>
        </w:rPr>
        <w:t xml:space="preserve">. </w:t>
      </w:r>
      <w:r w:rsidRPr="000E66F5">
        <w:rPr>
          <w:rFonts w:cs="‡ﬂıø◊ÁÁ"/>
          <w:lang w:val="en-US"/>
        </w:rPr>
        <w:t xml:space="preserve">The median (upper </w:t>
      </w:r>
      <w:r>
        <w:rPr>
          <w:rFonts w:cs="‡o˜ø◊áÊ"/>
          <w:lang w:val="en-US"/>
        </w:rPr>
        <w:t>97.5</w:t>
      </w:r>
      <w:r w:rsidRPr="002468EF">
        <w:rPr>
          <w:rFonts w:cs="‡o˜ø◊áÊ"/>
          <w:lang w:val="en-US"/>
        </w:rPr>
        <w:t>th</w:t>
      </w:r>
      <w:r>
        <w:rPr>
          <w:rFonts w:cs="‡o˜ø◊áÊ"/>
          <w:lang w:val="en-US"/>
        </w:rPr>
        <w:t xml:space="preserve"> percentile) </w:t>
      </w:r>
      <w:r w:rsidRPr="000E66F5">
        <w:rPr>
          <w:rFonts w:cs="‡ﬂıø◊ÁÁ"/>
          <w:lang w:val="en-US"/>
        </w:rPr>
        <w:t xml:space="preserve">for the changes at </w:t>
      </w:r>
      <w:r>
        <w:rPr>
          <w:rFonts w:cs="‡ﬂıø◊ÁÁ"/>
          <w:lang w:val="en-US"/>
        </w:rPr>
        <w:t xml:space="preserve">the </w:t>
      </w:r>
      <w:r w:rsidR="00617F88">
        <w:rPr>
          <w:rFonts w:cs="‡ﬂıø◊ÁÁ"/>
          <w:lang w:val="en-US"/>
        </w:rPr>
        <w:t xml:space="preserve">supra </w:t>
      </w:r>
      <w:r w:rsidRPr="000E66F5">
        <w:rPr>
          <w:rFonts w:cs="‡ﬂıø◊ÁÁ"/>
          <w:lang w:val="en-US"/>
        </w:rPr>
        <w:t xml:space="preserve">therapeutic </w:t>
      </w:r>
      <w:proofErr w:type="spellStart"/>
      <w:r w:rsidR="00F769DD" w:rsidRPr="00AA53F4">
        <w:rPr>
          <w:lang w:val="en-US"/>
        </w:rPr>
        <w:t>C</w:t>
      </w:r>
      <w:r w:rsidR="00F769DD" w:rsidRPr="00F769DD">
        <w:rPr>
          <w:vertAlign w:val="subscript"/>
          <w:lang w:val="en-US"/>
        </w:rPr>
        <w:t>max</w:t>
      </w:r>
      <w:proofErr w:type="spellEnd"/>
      <w:r>
        <w:rPr>
          <w:rFonts w:cs="‡ﬂıø◊ÁÁ"/>
          <w:lang w:val="en-US"/>
        </w:rPr>
        <w:t xml:space="preserve"> of </w:t>
      </w:r>
      <w:proofErr w:type="spellStart"/>
      <w:r>
        <w:rPr>
          <w:rFonts w:cs="‡ﬂıø◊ÁÁ"/>
          <w:lang w:val="en-US"/>
        </w:rPr>
        <w:t>inotuzumab</w:t>
      </w:r>
      <w:proofErr w:type="spellEnd"/>
      <w:r>
        <w:rPr>
          <w:rFonts w:cs="‡ﬂıø◊ÁÁ"/>
          <w:lang w:val="en-US"/>
        </w:rPr>
        <w:t xml:space="preserve"> </w:t>
      </w:r>
      <w:proofErr w:type="spellStart"/>
      <w:r>
        <w:rPr>
          <w:rFonts w:cs="‡ﬂıø◊ÁÁ"/>
          <w:lang w:val="en-US"/>
        </w:rPr>
        <w:t>ozogamicin</w:t>
      </w:r>
      <w:proofErr w:type="spellEnd"/>
      <w:r>
        <w:rPr>
          <w:rFonts w:cs="‡ﬂıø◊ÁÁ"/>
          <w:lang w:val="en-US"/>
        </w:rPr>
        <w:t xml:space="preserve"> (569 ng/mL) </w:t>
      </w:r>
      <w:r w:rsidRPr="000E66F5">
        <w:rPr>
          <w:rFonts w:cs="‡ﬂıø◊ÁÁ"/>
          <w:lang w:val="en-US"/>
        </w:rPr>
        <w:t xml:space="preserve">were 3.87 </w:t>
      </w:r>
      <w:proofErr w:type="spellStart"/>
      <w:r w:rsidR="00617F88">
        <w:rPr>
          <w:rFonts w:cs="‡ﬂıø◊ÁÁ"/>
          <w:lang w:val="en-US"/>
        </w:rPr>
        <w:t>ms</w:t>
      </w:r>
      <w:proofErr w:type="spellEnd"/>
      <w:r w:rsidRPr="000E66F5">
        <w:rPr>
          <w:rFonts w:cs="‡ﬂıø◊ÁÁ"/>
          <w:lang w:val="en-US"/>
        </w:rPr>
        <w:t xml:space="preserve"> (7.54 </w:t>
      </w:r>
      <w:proofErr w:type="spellStart"/>
      <w:r w:rsidR="00617F88">
        <w:rPr>
          <w:rFonts w:cs="‡ﬂıø◊ÁÁ"/>
          <w:lang w:val="en-US"/>
        </w:rPr>
        <w:t>ms</w:t>
      </w:r>
      <w:proofErr w:type="spellEnd"/>
      <w:r w:rsidRPr="000E66F5">
        <w:rPr>
          <w:rFonts w:cs="‡ﬂıø◊ÁÁ"/>
          <w:lang w:val="en-US"/>
        </w:rPr>
        <w:t xml:space="preserve">) for </w:t>
      </w:r>
      <w:proofErr w:type="spellStart"/>
      <w:r w:rsidRPr="000E66F5">
        <w:rPr>
          <w:rFonts w:cs="‡ﬂıø◊ÁÁ"/>
          <w:lang w:val="en-US"/>
        </w:rPr>
        <w:t>QTcF</w:t>
      </w:r>
      <w:proofErr w:type="spellEnd"/>
      <w:r w:rsidRPr="000E66F5">
        <w:rPr>
          <w:rFonts w:cs="‡ﬂıø◊ÁÁ"/>
          <w:lang w:val="en-US"/>
        </w:rPr>
        <w:t xml:space="preserve"> and 4.14 </w:t>
      </w:r>
      <w:proofErr w:type="spellStart"/>
      <w:r w:rsidR="00617F88">
        <w:rPr>
          <w:rFonts w:cs="‡ﬂıø◊ÁÁ"/>
          <w:lang w:val="en-US"/>
        </w:rPr>
        <w:t>ms</w:t>
      </w:r>
      <w:proofErr w:type="spellEnd"/>
      <w:r w:rsidRPr="000E66F5">
        <w:rPr>
          <w:rFonts w:cs="‡ﬂıø◊ÁÁ"/>
          <w:lang w:val="en-US"/>
        </w:rPr>
        <w:t xml:space="preserve"> (8.28 </w:t>
      </w:r>
      <w:proofErr w:type="spellStart"/>
      <w:r w:rsidR="00617F88">
        <w:rPr>
          <w:rFonts w:cs="‡ﬂıø◊ÁÁ"/>
          <w:lang w:val="en-US"/>
        </w:rPr>
        <w:t>ms</w:t>
      </w:r>
      <w:proofErr w:type="spellEnd"/>
      <w:r w:rsidRPr="000E66F5">
        <w:rPr>
          <w:rFonts w:cs="‡ﬂıø◊ÁÁ"/>
          <w:lang w:val="en-US"/>
        </w:rPr>
        <w:t xml:space="preserve">) </w:t>
      </w:r>
      <w:r>
        <w:rPr>
          <w:rFonts w:cs="‡ﬂıø◊ÁÁ"/>
          <w:lang w:val="en-US"/>
        </w:rPr>
        <w:t>for</w:t>
      </w:r>
      <w:r w:rsidR="006779D9">
        <w:rPr>
          <w:rFonts w:cs="‡ﬂıø◊ÁÁ"/>
          <w:lang w:val="en-US"/>
        </w:rPr>
        <w:t xml:space="preserve"> </w:t>
      </w:r>
      <w:proofErr w:type="spellStart"/>
      <w:r>
        <w:rPr>
          <w:rFonts w:cs="‡ﬂıø◊ÁÁ"/>
          <w:lang w:val="en-US"/>
        </w:rPr>
        <w:t>QTcS</w:t>
      </w:r>
      <w:proofErr w:type="spellEnd"/>
      <w:r>
        <w:rPr>
          <w:rFonts w:cs="‡ﬂıø◊ÁÁ"/>
          <w:lang w:val="en-US"/>
        </w:rPr>
        <w:t>.</w:t>
      </w:r>
      <w:r w:rsidRPr="000E66F5">
        <w:rPr>
          <w:rFonts w:cs="‡ﬂıø◊ÁÁ"/>
          <w:lang w:val="en-US"/>
        </w:rPr>
        <w:t xml:space="preserve"> </w:t>
      </w:r>
      <w:r>
        <w:rPr>
          <w:rFonts w:cs="‡ﬂıø◊ÁÁ"/>
          <w:lang w:val="en-US"/>
        </w:rPr>
        <w:t xml:space="preserve">The simulated median changes in </w:t>
      </w:r>
      <w:proofErr w:type="spellStart"/>
      <w:r>
        <w:rPr>
          <w:rFonts w:cs="‡ﬂıø◊ÁÁ"/>
          <w:lang w:val="en-US"/>
        </w:rPr>
        <w:t>QTc</w:t>
      </w:r>
      <w:proofErr w:type="spellEnd"/>
      <w:r>
        <w:rPr>
          <w:rFonts w:cs="‡ﬂıø◊ÁÁ"/>
          <w:lang w:val="en-US"/>
        </w:rPr>
        <w:t xml:space="preserve"> and </w:t>
      </w:r>
      <w:proofErr w:type="spellStart"/>
      <w:r>
        <w:rPr>
          <w:rFonts w:cs="‡ﬂıø◊ÁÁ"/>
          <w:lang w:val="en-US"/>
        </w:rPr>
        <w:t>QTcF</w:t>
      </w:r>
      <w:proofErr w:type="spellEnd"/>
      <w:r>
        <w:rPr>
          <w:rFonts w:cs="‡ﬂıø◊ÁÁ"/>
          <w:lang w:val="en-US"/>
        </w:rPr>
        <w:t xml:space="preserve"> and associated upper 97.5</w:t>
      </w:r>
      <w:r w:rsidRPr="002468EF">
        <w:rPr>
          <w:rFonts w:cs="‡ﬂıø◊ÁÁ"/>
          <w:lang w:val="en-US"/>
        </w:rPr>
        <w:t>th</w:t>
      </w:r>
      <w:r>
        <w:rPr>
          <w:rFonts w:cs="‡ﬂıø◊ÁÁ"/>
          <w:lang w:val="en-US"/>
        </w:rPr>
        <w:t xml:space="preserve"> percentiles were &lt; 10 </w:t>
      </w:r>
      <w:proofErr w:type="spellStart"/>
      <w:r w:rsidR="00617F88">
        <w:rPr>
          <w:rFonts w:cs="‡ﬂıø◊ÁÁ"/>
          <w:lang w:val="en-US"/>
        </w:rPr>
        <w:t>ms</w:t>
      </w:r>
      <w:proofErr w:type="spellEnd"/>
      <w:r w:rsidR="00617F88">
        <w:rPr>
          <w:rFonts w:cs="‡ﬂıø◊ÁÁ"/>
          <w:lang w:val="en-US"/>
        </w:rPr>
        <w:t xml:space="preserve"> at both therapeutic and supra </w:t>
      </w:r>
      <w:r>
        <w:rPr>
          <w:rFonts w:cs="‡ﬂıø◊ÁÁ"/>
          <w:lang w:val="en-US"/>
        </w:rPr>
        <w:t xml:space="preserve">therapeutic </w:t>
      </w:r>
      <w:proofErr w:type="spellStart"/>
      <w:r w:rsidR="00F769DD" w:rsidRPr="00AA53F4">
        <w:rPr>
          <w:lang w:val="en-US"/>
        </w:rPr>
        <w:t>C</w:t>
      </w:r>
      <w:r w:rsidR="00F769DD" w:rsidRPr="00F769DD">
        <w:rPr>
          <w:vertAlign w:val="subscript"/>
          <w:lang w:val="en-US"/>
        </w:rPr>
        <w:t>max</w:t>
      </w:r>
      <w:proofErr w:type="spellEnd"/>
      <w:r>
        <w:rPr>
          <w:rFonts w:cs="‡ﬂıø◊ÁÁ"/>
          <w:lang w:val="en-US"/>
        </w:rPr>
        <w:t xml:space="preserve"> levels.</w:t>
      </w:r>
      <w:r w:rsidR="006779D9">
        <w:rPr>
          <w:rFonts w:cs="‡ﬂıø◊ÁÁ"/>
          <w:lang w:val="en-US"/>
        </w:rPr>
        <w:t xml:space="preserve"> </w:t>
      </w:r>
      <w:r w:rsidRPr="000E66F5">
        <w:rPr>
          <w:rFonts w:cs="‡ﬂıø◊ÁÁ"/>
          <w:lang w:val="en-US"/>
        </w:rPr>
        <w:t xml:space="preserve">In addition, unconjugated calicheamicin exposure in patients with ALL </w:t>
      </w:r>
      <w:r>
        <w:rPr>
          <w:rFonts w:cs="‡ﬂıø◊ÁÁ"/>
          <w:lang w:val="en-US"/>
        </w:rPr>
        <w:t>is</w:t>
      </w:r>
      <w:r w:rsidRPr="000E66F5">
        <w:rPr>
          <w:rFonts w:cs="‡ﬂıø◊ÁÁ"/>
          <w:lang w:val="en-US"/>
        </w:rPr>
        <w:t xml:space="preserve"> unlikely to have a significant effect on </w:t>
      </w:r>
      <w:proofErr w:type="spellStart"/>
      <w:r w:rsidRPr="000E66F5">
        <w:rPr>
          <w:rFonts w:cs="‡ﬂıø◊ÁÁ"/>
          <w:lang w:val="en-US"/>
        </w:rPr>
        <w:t>QTc</w:t>
      </w:r>
      <w:proofErr w:type="spellEnd"/>
      <w:r w:rsidRPr="000E66F5">
        <w:rPr>
          <w:rFonts w:cs="‡ﬂıø◊ÁÁ"/>
          <w:lang w:val="en-US"/>
        </w:rPr>
        <w:t xml:space="preserve"> prolongation</w:t>
      </w:r>
      <w:r w:rsidR="00503681">
        <w:rPr>
          <w:rFonts w:cs="‡ﬂıø◊ÁÁ"/>
          <w:lang w:val="en-US"/>
        </w:rPr>
        <w:t>.</w:t>
      </w:r>
    </w:p>
    <w:p w14:paraId="78B56367" w14:textId="6640EF08" w:rsidR="00500337" w:rsidRPr="00617F88" w:rsidRDefault="00B37AB3" w:rsidP="00500337">
      <w:pPr>
        <w:pStyle w:val="ListBullet"/>
        <w:rPr>
          <w:rFonts w:cs="‡œ˙ø◊˜‚"/>
          <w:lang w:val="en-US"/>
        </w:rPr>
      </w:pPr>
      <w:r w:rsidRPr="000E66F5">
        <w:rPr>
          <w:rFonts w:cs="‡ﬂıø◊ÁÁ"/>
          <w:lang w:val="en-US"/>
        </w:rPr>
        <w:t>In a</w:t>
      </w:r>
      <w:r>
        <w:rPr>
          <w:rFonts w:cs="‡ﬂıø◊ÁÁ"/>
          <w:lang w:val="en-US"/>
        </w:rPr>
        <w:t>n exploratory</w:t>
      </w:r>
      <w:r w:rsidRPr="000E66F5">
        <w:rPr>
          <w:rFonts w:cs="‡ﬂıø◊ÁÁ"/>
          <w:lang w:val="en-US"/>
        </w:rPr>
        <w:t xml:space="preserve"> central tendency analysis in patients with ALL (</w:t>
      </w:r>
      <w:r w:rsidR="00503681">
        <w:rPr>
          <w:rFonts w:cs="‡œ˙ø◊˜‚"/>
          <w:lang w:val="en-US"/>
        </w:rPr>
        <w:t>Study</w:t>
      </w:r>
      <w:r w:rsidRPr="000E66F5">
        <w:rPr>
          <w:rFonts w:cs="‡œ˙ø◊˜‚"/>
          <w:lang w:val="en-US"/>
        </w:rPr>
        <w:t xml:space="preserve"> B1931022) </w:t>
      </w:r>
      <w:r>
        <w:rPr>
          <w:rFonts w:cs="‡œ˙ø◊˜‚"/>
          <w:lang w:val="en-US"/>
        </w:rPr>
        <w:t>mean</w:t>
      </w:r>
      <w:r w:rsidRPr="000E66F5">
        <w:rPr>
          <w:rFonts w:cs="‡œ˙ø◊˜‚"/>
          <w:lang w:val="en-US"/>
        </w:rPr>
        <w:t xml:space="preserve"> </w:t>
      </w:r>
      <w:r>
        <w:rPr>
          <w:rFonts w:cs="‡œ˙ø◊˜‚"/>
          <w:lang w:val="en-US"/>
        </w:rPr>
        <w:t xml:space="preserve">maximum </w:t>
      </w:r>
      <w:proofErr w:type="spellStart"/>
      <w:r w:rsidRPr="000E66F5">
        <w:rPr>
          <w:rFonts w:cs="‡œ˙ø◊˜‚"/>
          <w:lang w:val="en-US"/>
        </w:rPr>
        <w:t>QTcF</w:t>
      </w:r>
      <w:proofErr w:type="spellEnd"/>
      <w:r w:rsidRPr="000E66F5">
        <w:rPr>
          <w:rFonts w:cs="‡œ˙ø◊˜‚"/>
          <w:lang w:val="en-US"/>
        </w:rPr>
        <w:t xml:space="preserve"> changes from baseline were </w:t>
      </w:r>
      <w:r>
        <w:rPr>
          <w:rFonts w:cs="‡œ˙ø◊˜‚"/>
          <w:lang w:val="en-US"/>
        </w:rPr>
        <w:t>16.5</w:t>
      </w:r>
      <w:r w:rsidRPr="000E66F5">
        <w:rPr>
          <w:rFonts w:cs="‡œ˙ø◊˜‚"/>
          <w:lang w:val="en-US"/>
        </w:rPr>
        <w:t xml:space="preserve"> </w:t>
      </w:r>
      <w:proofErr w:type="spellStart"/>
      <w:r w:rsidR="00617F88">
        <w:rPr>
          <w:rFonts w:cs="‡œ˙ø◊˜‚"/>
          <w:lang w:val="en-US"/>
        </w:rPr>
        <w:t>ms</w:t>
      </w:r>
      <w:proofErr w:type="spellEnd"/>
      <w:r w:rsidRPr="000E66F5">
        <w:rPr>
          <w:rFonts w:cs="‡œ˙ø◊˜‚"/>
          <w:lang w:val="en-US"/>
        </w:rPr>
        <w:t xml:space="preserve"> (90% CI: 14.3, 18.7) in the inotuzumab ozogamicin arm and </w:t>
      </w:r>
      <w:r>
        <w:rPr>
          <w:rFonts w:cs="‡œ˙ø◊˜‚"/>
          <w:lang w:val="en-US"/>
        </w:rPr>
        <w:t>10.8</w:t>
      </w:r>
      <w:r w:rsidRPr="000E66F5">
        <w:rPr>
          <w:rFonts w:cs="‡œ˙ø◊˜‚"/>
          <w:lang w:val="en-US"/>
        </w:rPr>
        <w:t xml:space="preserve"> </w:t>
      </w:r>
      <w:proofErr w:type="spellStart"/>
      <w:r w:rsidR="00617F88">
        <w:rPr>
          <w:rFonts w:cs="‡œ˙ø◊˜‚"/>
          <w:lang w:val="en-US"/>
        </w:rPr>
        <w:t>ms</w:t>
      </w:r>
      <w:proofErr w:type="spellEnd"/>
      <w:r w:rsidRPr="000E66F5">
        <w:rPr>
          <w:rFonts w:cs="‡œ˙ø◊˜‚"/>
          <w:lang w:val="en-US"/>
        </w:rPr>
        <w:t xml:space="preserve"> (90% CI: 8.0, 13.6) in the control arm</w:t>
      </w:r>
      <w:r>
        <w:rPr>
          <w:rFonts w:cs="‡œ˙ø◊˜‚"/>
          <w:lang w:val="en-US"/>
        </w:rPr>
        <w:t xml:space="preserve">. </w:t>
      </w:r>
      <w:r w:rsidRPr="000E66F5">
        <w:rPr>
          <w:rFonts w:cs="‡œ˙ø◊˜‚"/>
          <w:lang w:val="en-US"/>
        </w:rPr>
        <w:t xml:space="preserve">The central tendency analysis of </w:t>
      </w:r>
      <w:proofErr w:type="spellStart"/>
      <w:r>
        <w:rPr>
          <w:rFonts w:cs="‡œ˙ø◊˜‚"/>
          <w:lang w:val="en-US"/>
        </w:rPr>
        <w:t>QTcF</w:t>
      </w:r>
      <w:proofErr w:type="spellEnd"/>
      <w:r>
        <w:rPr>
          <w:rFonts w:cs="‡œ˙ø◊˜‚"/>
          <w:lang w:val="en-US"/>
        </w:rPr>
        <w:t xml:space="preserve"> change from baseline </w:t>
      </w:r>
      <w:r w:rsidRPr="000E66F5">
        <w:rPr>
          <w:rFonts w:cs="‡œ˙ø◊˜‚"/>
          <w:lang w:val="en-US"/>
        </w:rPr>
        <w:t xml:space="preserve">for all data points demonstrated that the highest upper bound of the 2-sided 90% CI for </w:t>
      </w:r>
      <w:proofErr w:type="spellStart"/>
      <w:r w:rsidRPr="000E66F5">
        <w:rPr>
          <w:rFonts w:cs="‡œ˙ø◊˜‚"/>
          <w:lang w:val="en-US"/>
        </w:rPr>
        <w:t>QTcF</w:t>
      </w:r>
      <w:proofErr w:type="spellEnd"/>
      <w:r w:rsidRPr="000E66F5">
        <w:rPr>
          <w:rFonts w:cs="‡œ˙ø◊˜‚"/>
          <w:lang w:val="en-US"/>
        </w:rPr>
        <w:t xml:space="preserve"> was 21.1</w:t>
      </w:r>
      <w:r w:rsidR="00BE6963">
        <w:rPr>
          <w:rFonts w:cs="‡œ˙ø◊˜‚"/>
          <w:lang w:val="en-US"/>
        </w:rPr>
        <w:t> </w:t>
      </w:r>
      <w:proofErr w:type="spellStart"/>
      <w:r w:rsidR="00617F88">
        <w:rPr>
          <w:rFonts w:cs="‡œ˙ø◊˜‚"/>
          <w:lang w:val="en-US"/>
        </w:rPr>
        <w:t>ms</w:t>
      </w:r>
      <w:proofErr w:type="spellEnd"/>
      <w:r w:rsidRPr="000E66F5">
        <w:rPr>
          <w:rFonts w:cs="‡œ˙ø◊˜‚"/>
          <w:lang w:val="en-US"/>
        </w:rPr>
        <w:t xml:space="preserve"> (observed at Cycle 4/Day 1/1 hour) in the inotuzumab ozogamicin arm and 21.2 </w:t>
      </w:r>
      <w:proofErr w:type="spellStart"/>
      <w:r w:rsidR="00617F88">
        <w:rPr>
          <w:rFonts w:cs="‡œ˙ø◊˜‚"/>
          <w:lang w:val="en-US"/>
        </w:rPr>
        <w:t>ms</w:t>
      </w:r>
      <w:proofErr w:type="spellEnd"/>
      <w:r w:rsidRPr="000E66F5">
        <w:rPr>
          <w:rFonts w:cs="‡œ˙ø◊˜‚"/>
          <w:lang w:val="en-US"/>
        </w:rPr>
        <w:t xml:space="preserve"> (observed at Cycle 2/Day 1/1 hour) in the control arm. The reason for the prolonged </w:t>
      </w:r>
      <w:proofErr w:type="spellStart"/>
      <w:r w:rsidRPr="000E66F5">
        <w:rPr>
          <w:rFonts w:cs="‡œ˙ø◊˜‚"/>
          <w:lang w:val="en-US"/>
        </w:rPr>
        <w:t>QTcF</w:t>
      </w:r>
      <w:proofErr w:type="spellEnd"/>
      <w:r w:rsidRPr="000E66F5">
        <w:rPr>
          <w:rFonts w:cs="‡œ˙ø◊˜‚"/>
          <w:lang w:val="en-US"/>
        </w:rPr>
        <w:t xml:space="preserve"> observed in </w:t>
      </w:r>
      <w:r w:rsidR="00503681">
        <w:rPr>
          <w:rFonts w:cs="‡œ˙ø◊˜‚"/>
          <w:lang w:val="en-US"/>
        </w:rPr>
        <w:t>Study</w:t>
      </w:r>
      <w:r w:rsidRPr="000E66F5">
        <w:rPr>
          <w:rFonts w:cs="‡œ˙ø◊˜‚"/>
          <w:lang w:val="en-US"/>
        </w:rPr>
        <w:t xml:space="preserve"> B1931022 in both treatment arms is unknown. The sponsor stated that the finding might partly be due to the fact that</w:t>
      </w:r>
      <w:r w:rsidRPr="000E66F5">
        <w:rPr>
          <w:rFonts w:cs="‡ﬂıø◊ÁÁ"/>
          <w:lang w:val="en-US"/>
        </w:rPr>
        <w:t xml:space="preserve"> </w:t>
      </w:r>
      <w:r w:rsidRPr="000E66F5">
        <w:rPr>
          <w:rFonts w:cs="‡œ˙ø◊˜‚"/>
          <w:lang w:val="en-US"/>
        </w:rPr>
        <w:t>patients in the study received many concomitant medications,</w:t>
      </w:r>
      <w:r w:rsidRPr="000E66F5">
        <w:rPr>
          <w:rFonts w:cs="‡ﬂıø◊ÁÁ"/>
          <w:lang w:val="en-US"/>
        </w:rPr>
        <w:t xml:space="preserve"> </w:t>
      </w:r>
      <w:r w:rsidRPr="000E66F5">
        <w:rPr>
          <w:rFonts w:cs="‡œ˙ø◊˜‚"/>
          <w:lang w:val="en-US"/>
        </w:rPr>
        <w:t>some of which are known to prolong QT (</w:t>
      </w:r>
      <w:r w:rsidR="001D0208">
        <w:rPr>
          <w:rFonts w:cs="‡œ˙ø◊˜‚"/>
          <w:lang w:val="en-US"/>
        </w:rPr>
        <w:t>for example</w:t>
      </w:r>
      <w:r w:rsidRPr="000E66F5">
        <w:rPr>
          <w:rFonts w:cs="‡œ˙ø◊˜‚"/>
          <w:lang w:val="en-US"/>
        </w:rPr>
        <w:t xml:space="preserve">, metronidazole, </w:t>
      </w:r>
      <w:proofErr w:type="spellStart"/>
      <w:r w:rsidRPr="000E66F5">
        <w:rPr>
          <w:rFonts w:cs="‡œ˙ø◊˜‚"/>
          <w:lang w:val="en-US"/>
        </w:rPr>
        <w:t>posaconazole</w:t>
      </w:r>
      <w:proofErr w:type="spellEnd"/>
      <w:r w:rsidRPr="000E66F5">
        <w:rPr>
          <w:rFonts w:cs="‡œ˙ø◊˜‚"/>
          <w:lang w:val="en-US"/>
        </w:rPr>
        <w:t xml:space="preserve">, </w:t>
      </w:r>
      <w:proofErr w:type="spellStart"/>
      <w:r w:rsidRPr="000E66F5">
        <w:rPr>
          <w:rFonts w:cs="‡œ˙ø◊˜‚"/>
          <w:lang w:val="en-US"/>
        </w:rPr>
        <w:t>virocanazole</w:t>
      </w:r>
      <w:proofErr w:type="spellEnd"/>
      <w:r w:rsidRPr="000E66F5">
        <w:rPr>
          <w:rFonts w:cs="‡œ˙ø◊˜‚"/>
          <w:lang w:val="en-US"/>
        </w:rPr>
        <w:t>) or cause electrolyte disturbances (</w:t>
      </w:r>
      <w:r w:rsidR="001D0208">
        <w:rPr>
          <w:rFonts w:cs="‡œ˙ø◊˜‚"/>
          <w:lang w:val="en-US"/>
        </w:rPr>
        <w:t>for example</w:t>
      </w:r>
      <w:r w:rsidRPr="000E66F5">
        <w:rPr>
          <w:rFonts w:cs="‡œ˙ø◊˜‚"/>
          <w:lang w:val="en-US"/>
        </w:rPr>
        <w:t xml:space="preserve">, furosemide). In addition, many patients were reported to have electrolyte disturbances known to contribute to QT prolongation. However, given the overall frequency of concomitant medications and electrolyte disturbances, the sponsored acknowledged </w:t>
      </w:r>
      <w:r w:rsidR="00503681">
        <w:rPr>
          <w:rFonts w:cs="‡œ˙ø◊˜‚"/>
          <w:lang w:val="en-US"/>
        </w:rPr>
        <w:t>‘</w:t>
      </w:r>
      <w:r w:rsidRPr="000E66F5">
        <w:rPr>
          <w:rFonts w:cs="‡œ˙ø◊˜‚"/>
          <w:lang w:val="en-US"/>
        </w:rPr>
        <w:t>that it is not easily possible to estimate the impact that these factors may have had in prolonging QT i</w:t>
      </w:r>
      <w:r>
        <w:rPr>
          <w:rFonts w:cs="‡œ˙ø◊˜‚"/>
          <w:lang w:val="en-US"/>
        </w:rPr>
        <w:t>n both arms</w:t>
      </w:r>
      <w:r w:rsidR="00503681">
        <w:rPr>
          <w:rFonts w:cs="‡œ˙ø◊˜‚"/>
          <w:lang w:val="en-US"/>
        </w:rPr>
        <w:t>’</w:t>
      </w:r>
      <w:r>
        <w:rPr>
          <w:rFonts w:cs="‡œ˙ø◊˜‚"/>
          <w:lang w:val="en-US"/>
        </w:rPr>
        <w:t xml:space="preserve"> of </w:t>
      </w:r>
      <w:r w:rsidR="00503681">
        <w:rPr>
          <w:rFonts w:cs="‡œ˙ø◊˜‚"/>
          <w:lang w:val="en-US"/>
        </w:rPr>
        <w:t>Study</w:t>
      </w:r>
      <w:r>
        <w:rPr>
          <w:rFonts w:cs="‡œ˙ø◊˜‚"/>
          <w:lang w:val="en-US"/>
        </w:rPr>
        <w:t xml:space="preserve"> B1931022. </w:t>
      </w:r>
      <w:r w:rsidRPr="000E66F5">
        <w:rPr>
          <w:rFonts w:cs="‡œ˙ø◊˜‚"/>
          <w:lang w:val="en-US"/>
        </w:rPr>
        <w:t xml:space="preserve">In summary, it is considered that the reason for </w:t>
      </w:r>
      <w:proofErr w:type="spellStart"/>
      <w:r w:rsidRPr="000E66F5">
        <w:rPr>
          <w:rFonts w:cs="‡œ˙ø◊˜‚"/>
          <w:lang w:val="en-US"/>
        </w:rPr>
        <w:t>QTcF</w:t>
      </w:r>
      <w:proofErr w:type="spellEnd"/>
      <w:r w:rsidRPr="000E66F5">
        <w:rPr>
          <w:rFonts w:cs="‡œ˙ø◊˜‚"/>
          <w:lang w:val="en-US"/>
        </w:rPr>
        <w:t xml:space="preserve"> prolongation observed in both treatment arms in </w:t>
      </w:r>
      <w:r w:rsidR="00503681">
        <w:rPr>
          <w:rFonts w:cs="‡œ˙ø◊˜‚"/>
          <w:lang w:val="en-US"/>
        </w:rPr>
        <w:t>Study</w:t>
      </w:r>
      <w:r w:rsidRPr="000E66F5">
        <w:rPr>
          <w:rFonts w:cs="‡œ˙ø◊˜‚"/>
          <w:lang w:val="en-US"/>
        </w:rPr>
        <w:t xml:space="preserve"> B1931022 is unknown</w:t>
      </w:r>
      <w:r w:rsidR="00503681">
        <w:rPr>
          <w:rFonts w:cs="‡œ˙ø◊˜‚"/>
          <w:lang w:val="en-US"/>
        </w:rPr>
        <w:t>.</w:t>
      </w:r>
    </w:p>
    <w:p w14:paraId="61B35C94" w14:textId="77777777" w:rsidR="008E7846" w:rsidRPr="00617F88" w:rsidRDefault="00605AD4" w:rsidP="00617F88">
      <w:pPr>
        <w:pStyle w:val="Heading3"/>
      </w:pPr>
      <w:bookmarkStart w:id="100" w:name="_Toc16505602"/>
      <w:r w:rsidRPr="00617F88">
        <w:lastRenderedPageBreak/>
        <w:t>Dosage selection for the pivotal studies</w:t>
      </w:r>
      <w:bookmarkEnd w:id="100"/>
    </w:p>
    <w:p w14:paraId="38F384D7" w14:textId="77777777" w:rsidR="00503681" w:rsidRDefault="00B37AB3" w:rsidP="00617F88">
      <w:r w:rsidRPr="0006102A">
        <w:t xml:space="preserve">Clinical experience with inotuzumab ozogamicin in </w:t>
      </w:r>
      <w:r w:rsidR="006779D9">
        <w:t>B cell</w:t>
      </w:r>
      <w:r w:rsidRPr="0006102A">
        <w:t xml:space="preserve"> ALL started with the</w:t>
      </w:r>
      <w:r>
        <w:t xml:space="preserve"> </w:t>
      </w:r>
      <w:r w:rsidR="00E86989">
        <w:t>investigator initiated</w:t>
      </w:r>
      <w:r>
        <w:t xml:space="preserve"> </w:t>
      </w:r>
      <w:r w:rsidR="00503681">
        <w:t>Study</w:t>
      </w:r>
      <w:r>
        <w:t xml:space="preserve"> 2009-0872</w:t>
      </w:r>
      <w:r w:rsidR="00617F88">
        <w:t>;</w:t>
      </w:r>
      <w:r w:rsidR="00617F88">
        <w:rPr>
          <w:rStyle w:val="FootnoteReference"/>
        </w:rPr>
        <w:footnoteReference w:id="32"/>
      </w:r>
      <w:r w:rsidRPr="0006102A">
        <w:t xml:space="preserve"> and the </w:t>
      </w:r>
      <w:r w:rsidR="00503681">
        <w:t>Pfizer sponsored</w:t>
      </w:r>
      <w:r w:rsidRPr="0006102A">
        <w:t xml:space="preserve"> </w:t>
      </w:r>
      <w:r w:rsidR="00503681">
        <w:t>Study</w:t>
      </w:r>
      <w:r w:rsidRPr="0006102A">
        <w:t xml:space="preserve"> B1931010 (submitted as a supportive efficacy and safety study)</w:t>
      </w:r>
      <w:r w:rsidR="00503681">
        <w:t>.</w:t>
      </w:r>
    </w:p>
    <w:p w14:paraId="713BF53C" w14:textId="77777777" w:rsidR="00E86989" w:rsidRDefault="00E86989" w:rsidP="00E86989">
      <w:pPr>
        <w:pStyle w:val="Heading4"/>
      </w:pPr>
      <w:r w:rsidRPr="004B0BDF">
        <w:t>Study 2009-0872</w:t>
      </w:r>
    </w:p>
    <w:p w14:paraId="243BE36D" w14:textId="425CA357" w:rsidR="00503681" w:rsidRDefault="00B37AB3" w:rsidP="00E86989">
      <w:r w:rsidRPr="00E86989">
        <w:t>Study 2009-0872,</w:t>
      </w:r>
      <w:r w:rsidR="00E86989">
        <w:t xml:space="preserve"> an investigator </w:t>
      </w:r>
      <w:r w:rsidRPr="004B0BDF">
        <w:t xml:space="preserve">initiated, </w:t>
      </w:r>
      <w:r w:rsidR="00617F88">
        <w:t>Phase II</w:t>
      </w:r>
      <w:r w:rsidRPr="004B0BDF">
        <w:t xml:space="preserve"> study conducted at MD Anderson Cancer </w:t>
      </w:r>
      <w:proofErr w:type="spellStart"/>
      <w:r w:rsidRPr="004B0BDF">
        <w:t>Center</w:t>
      </w:r>
      <w:proofErr w:type="spellEnd"/>
      <w:r w:rsidRPr="004B0BDF">
        <w:t xml:space="preserve"> (MDACC) in the USA investigated the safety and preliminary activity of inotuzumab ozogamicin in patients with relapsed or refractory </w:t>
      </w:r>
      <w:r w:rsidR="005C4508">
        <w:t>CD22 positive</w:t>
      </w:r>
      <w:r w:rsidRPr="004B0BDF">
        <w:t xml:space="preserve"> ALL. In this study, 90 patients were treated with </w:t>
      </w:r>
      <w:r w:rsidR="00E86989">
        <w:t>single agent</w:t>
      </w:r>
      <w:r w:rsidRPr="004B0BDF">
        <w:t xml:space="preserve"> inotuzumab ozogamicin (49 patients received a </w:t>
      </w:r>
      <w:r w:rsidR="00503681">
        <w:t>single dose</w:t>
      </w:r>
      <w:r w:rsidRPr="004B0BDF">
        <w:t xml:space="preserve"> of 1.3 to 1.8 mg/</w:t>
      </w:r>
      <w:r w:rsidR="00F769DD" w:rsidRPr="00AA53F4">
        <w:rPr>
          <w:lang w:val="en-US"/>
        </w:rPr>
        <w:t>m</w:t>
      </w:r>
      <w:r w:rsidR="00F769DD" w:rsidRPr="00F769DD">
        <w:rPr>
          <w:vertAlign w:val="superscript"/>
          <w:lang w:val="en-US"/>
        </w:rPr>
        <w:t>2</w:t>
      </w:r>
      <w:r w:rsidRPr="004B0BDF">
        <w:rPr>
          <w:vertAlign w:val="superscript"/>
        </w:rPr>
        <w:t xml:space="preserve"> </w:t>
      </w:r>
      <w:r w:rsidRPr="004B0BDF">
        <w:t>every 3 to 4 weeks</w:t>
      </w:r>
      <w:r>
        <w:t xml:space="preserve"> </w:t>
      </w:r>
      <w:r w:rsidR="00503681">
        <w:t>(single dose</w:t>
      </w:r>
      <w:r>
        <w:t xml:space="preserve"> s</w:t>
      </w:r>
      <w:r w:rsidRPr="004B0BDF">
        <w:t>chedule</w:t>
      </w:r>
      <w:r w:rsidR="00503681">
        <w:t>)</w:t>
      </w:r>
      <w:r w:rsidRPr="004B0BDF">
        <w:t>, while 41 patients received a fractionated weekly dosing schedule of 0.8 mg/</w:t>
      </w:r>
      <w:r w:rsidR="00F769DD" w:rsidRPr="00AA53F4">
        <w:rPr>
          <w:lang w:val="en-US"/>
        </w:rPr>
        <w:t>m</w:t>
      </w:r>
      <w:r w:rsidR="00F769DD" w:rsidRPr="00F769DD">
        <w:rPr>
          <w:vertAlign w:val="superscript"/>
          <w:lang w:val="en-US"/>
        </w:rPr>
        <w:t>2</w:t>
      </w:r>
      <w:r w:rsidRPr="004B0BDF">
        <w:t xml:space="preserve"> on Day 1 and 0.5</w:t>
      </w:r>
      <w:r w:rsidR="00A05A46">
        <w:t> </w:t>
      </w:r>
      <w:r w:rsidRPr="004B0BDF">
        <w:t>mg/</w:t>
      </w:r>
      <w:r w:rsidR="00F769DD" w:rsidRPr="00AA53F4">
        <w:rPr>
          <w:lang w:val="en-US"/>
        </w:rPr>
        <w:t>m</w:t>
      </w:r>
      <w:r w:rsidR="00F769DD" w:rsidRPr="00F769DD">
        <w:rPr>
          <w:vertAlign w:val="superscript"/>
          <w:lang w:val="en-US"/>
        </w:rPr>
        <w:t>2</w:t>
      </w:r>
      <w:r w:rsidRPr="004B0BDF">
        <w:t xml:space="preserve"> on Days 8 and 15 every 3 to 4 weeks </w:t>
      </w:r>
      <w:r w:rsidR="00503681">
        <w:t>(</w:t>
      </w:r>
      <w:r w:rsidR="00E86989">
        <w:t xml:space="preserve">weekly </w:t>
      </w:r>
      <w:r w:rsidRPr="004B0BDF">
        <w:t>dose schedule</w:t>
      </w:r>
      <w:r w:rsidR="00503681">
        <w:t>)</w:t>
      </w:r>
      <w:r w:rsidRPr="004B0BDF">
        <w:t>)</w:t>
      </w:r>
      <w:r w:rsidR="00503681">
        <w:t>.</w:t>
      </w:r>
    </w:p>
    <w:p w14:paraId="2890A457" w14:textId="77777777" w:rsidR="00B37AB3" w:rsidRPr="004B0BDF" w:rsidRDefault="00B37AB3" w:rsidP="00E86989">
      <w:pPr>
        <w:rPr>
          <w:rFonts w:cs="AdvPS41863F"/>
          <w:color w:val="231F20"/>
        </w:rPr>
      </w:pPr>
      <w:r w:rsidRPr="004B0BDF">
        <w:t>An overall response rate of 58% (52/90 patients) was reported (</w:t>
      </w:r>
      <w:r w:rsidR="00503681">
        <w:t>that is</w:t>
      </w:r>
      <w:r w:rsidRPr="004B0BDF">
        <w:t xml:space="preserve">, CR </w:t>
      </w:r>
      <w:r w:rsidR="00503681">
        <w:t>(</w:t>
      </w:r>
      <w:r w:rsidRPr="004B0BDF">
        <w:t>n</w:t>
      </w:r>
      <w:r w:rsidR="0014606A">
        <w:t xml:space="preserve"> = </w:t>
      </w:r>
      <w:r w:rsidRPr="004B0BDF">
        <w:t>17, 19%</w:t>
      </w:r>
      <w:r w:rsidR="00503681">
        <w:t>)</w:t>
      </w:r>
      <w:r w:rsidRPr="004B0BDF">
        <w:t xml:space="preserve"> + </w:t>
      </w:r>
      <w:proofErr w:type="spellStart"/>
      <w:proofErr w:type="gramStart"/>
      <w:r w:rsidRPr="004B0BDF">
        <w:t>CRp</w:t>
      </w:r>
      <w:proofErr w:type="spellEnd"/>
      <w:proofErr w:type="gramEnd"/>
      <w:r w:rsidRPr="004B0BDF">
        <w:t xml:space="preserve"> </w:t>
      </w:r>
      <w:r w:rsidR="00503681">
        <w:t>(that is</w:t>
      </w:r>
      <w:r w:rsidRPr="004B0BDF">
        <w:t>, CR + no platelet recovery; n</w:t>
      </w:r>
      <w:r w:rsidR="0014606A">
        <w:t xml:space="preserve"> = </w:t>
      </w:r>
      <w:r w:rsidRPr="004B0BDF">
        <w:t>27; 30%) + bone marrow CR (</w:t>
      </w:r>
      <w:r w:rsidR="00503681">
        <w:t>that is</w:t>
      </w:r>
      <w:r w:rsidRPr="004B0BDF">
        <w:t>, no recovery of counts; n</w:t>
      </w:r>
      <w:r w:rsidR="0014606A">
        <w:t xml:space="preserve"> = </w:t>
      </w:r>
      <w:r w:rsidRPr="004B0BDF">
        <w:t>8, 9%</w:t>
      </w:r>
      <w:r w:rsidR="00503681">
        <w:t>)</w:t>
      </w:r>
      <w:r w:rsidRPr="004B0BDF">
        <w:t xml:space="preserve">). Response rates were similar for the </w:t>
      </w:r>
      <w:r w:rsidR="00503681">
        <w:t>single dose</w:t>
      </w:r>
      <w:r w:rsidRPr="004B0BDF">
        <w:t xml:space="preserve"> and weekly-dose schedules (57% </w:t>
      </w:r>
      <w:r w:rsidR="001D0208">
        <w:t xml:space="preserve">versus </w:t>
      </w:r>
      <w:r w:rsidRPr="004B0BDF">
        <w:t>59%, respectivel</w:t>
      </w:r>
      <w:r w:rsidR="00E86989">
        <w:t>y). The median survival was 6.2 </w:t>
      </w:r>
      <w:r w:rsidRPr="004B0BDF">
        <w:t xml:space="preserve">months overall, 5.0 months with the </w:t>
      </w:r>
      <w:r w:rsidR="00503681">
        <w:t>single dose</w:t>
      </w:r>
      <w:r w:rsidRPr="004B0BDF">
        <w:t xml:space="preserve"> schedule, and 7.3 months with the weekly-dose schedule.</w:t>
      </w:r>
      <w:r w:rsidRPr="004B0BDF">
        <w:rPr>
          <w:rFonts w:cs="AdvPS41863F"/>
          <w:color w:val="231F20"/>
        </w:rPr>
        <w:t xml:space="preserve"> The median survival was 9.2 months for patients in salvage 1 (37% at 1 year), 4.3 months for patients in salvage 2, and 6.6 months for patients in salvage 3 or later. The median remission duration was 7 months.</w:t>
      </w:r>
    </w:p>
    <w:p w14:paraId="4FFD6BFB" w14:textId="77777777" w:rsidR="00B37AB3" w:rsidRPr="004B0BDF" w:rsidRDefault="00B37AB3" w:rsidP="00E86989">
      <w:r w:rsidRPr="004B0BDF">
        <w:t xml:space="preserve">Reversible bilirubin elevation, fever, and hypotension were observed less frequently in patients on the weekly-dose schedule. In total, 36 of 90 patients (40%) underwent allogeneic stem cell transplantation. </w:t>
      </w:r>
      <w:proofErr w:type="spellStart"/>
      <w:r w:rsidRPr="004B0BDF">
        <w:t>Veno</w:t>
      </w:r>
      <w:proofErr w:type="spellEnd"/>
      <w:r w:rsidRPr="004B0BDF">
        <w:t xml:space="preserve">-occlusive disease was noted in 6 of 36 patients after stem cell transplantation (17%), was less frequent after the weekly schedule (7%), and with less </w:t>
      </w:r>
      <w:proofErr w:type="spellStart"/>
      <w:r w:rsidRPr="004B0BDF">
        <w:t>alkylators</w:t>
      </w:r>
      <w:proofErr w:type="spellEnd"/>
      <w:r w:rsidRPr="004B0BDF">
        <w:t xml:space="preserve"> in the preparative regimen. It was concluded that inotuzumab ozogamicin </w:t>
      </w:r>
      <w:r w:rsidR="00E86989">
        <w:t>single agent</w:t>
      </w:r>
      <w:r w:rsidRPr="004B0BDF">
        <w:t xml:space="preserve"> therapy was highly active, safe, and convenient in patients with refractory or relapsed ALL. The weekly dose schedule appeared to be equally effective and less toxic than the </w:t>
      </w:r>
      <w:r w:rsidR="00503681">
        <w:t>single dose</w:t>
      </w:r>
      <w:r w:rsidRPr="004B0BDF">
        <w:t xml:space="preserve"> schedule.</w:t>
      </w:r>
    </w:p>
    <w:p w14:paraId="482455DF" w14:textId="77777777" w:rsidR="00E86989" w:rsidRDefault="00E86989" w:rsidP="00E86989">
      <w:pPr>
        <w:pStyle w:val="Heading4"/>
      </w:pPr>
      <w:r w:rsidRPr="00284229">
        <w:t>Study B1931010</w:t>
      </w:r>
    </w:p>
    <w:p w14:paraId="34FF361C" w14:textId="18657523" w:rsidR="00503681" w:rsidRDefault="00B37AB3" w:rsidP="00E86989">
      <w:pPr>
        <w:rPr>
          <w:rFonts w:cs="TimesNewRoman"/>
        </w:rPr>
      </w:pPr>
      <w:r w:rsidRPr="00E86989">
        <w:t>Study B1931010</w:t>
      </w:r>
      <w:r w:rsidR="00E86989">
        <w:t xml:space="preserve"> was an open </w:t>
      </w:r>
      <w:r w:rsidRPr="00284229">
        <w:t xml:space="preserve">label, </w:t>
      </w:r>
      <w:r w:rsidR="001D0208">
        <w:t>Phase I/II</w:t>
      </w:r>
      <w:r w:rsidRPr="00284229">
        <w:t xml:space="preserve">, multicentre study conducted in the US designed to evaluate the safety, PK, and preliminary efficacy of a weekly dosing regimen of inotuzumab ozogamicin in adult patients with relapsed or refractory </w:t>
      </w:r>
      <w:r w:rsidR="005C4508">
        <w:t>CD22 positive</w:t>
      </w:r>
      <w:r w:rsidRPr="00284229">
        <w:t xml:space="preserve"> ALL, while establishing a recommended </w:t>
      </w:r>
      <w:r w:rsidR="00617F88">
        <w:t>Phase 2</w:t>
      </w:r>
      <w:r w:rsidRPr="00284229">
        <w:t xml:space="preserve"> dose (RP2D). In the Phase 1 </w:t>
      </w:r>
      <w:r w:rsidR="00E86989">
        <w:rPr>
          <w:rFonts w:cs="TimesNewRoman"/>
        </w:rPr>
        <w:t>dose escalation</w:t>
      </w:r>
      <w:r w:rsidRPr="00284229">
        <w:rPr>
          <w:rFonts w:cs="TimesNewRoman"/>
        </w:rPr>
        <w:t xml:space="preserve"> portion of the study, which was designed to determine the RP2D of inotuzumab ozogamicin based on both</w:t>
      </w:r>
      <w:r w:rsidR="00E86989">
        <w:rPr>
          <w:rFonts w:cs="TimesNewRoman"/>
        </w:rPr>
        <w:t>,</w:t>
      </w:r>
      <w:r w:rsidRPr="00284229">
        <w:rPr>
          <w:rFonts w:cs="TimesNewRoman"/>
        </w:rPr>
        <w:t xml:space="preserve"> efficacy and safety parameters, inotuzumab ozogamicin was administered on a weekly or biweekly</w:t>
      </w:r>
      <w:r w:rsidRPr="00284229">
        <w:t xml:space="preserve"> </w:t>
      </w:r>
      <w:r w:rsidRPr="00284229">
        <w:rPr>
          <w:rFonts w:cs="TimesNewRoman"/>
        </w:rPr>
        <w:t xml:space="preserve">schedule </w:t>
      </w:r>
      <w:proofErr w:type="gramStart"/>
      <w:r w:rsidRPr="00284229">
        <w:rPr>
          <w:rFonts w:cs="TimesNewRoman"/>
        </w:rPr>
        <w:t>with a cumulative dose</w:t>
      </w:r>
      <w:r>
        <w:rPr>
          <w:rFonts w:cs="TimesNewRoman"/>
        </w:rPr>
        <w:t>s</w:t>
      </w:r>
      <w:proofErr w:type="gramEnd"/>
      <w:r w:rsidRPr="00284229">
        <w:rPr>
          <w:rFonts w:cs="TimesNewRoman"/>
        </w:rPr>
        <w:t xml:space="preserve"> per </w:t>
      </w:r>
      <w:r w:rsidR="00503681">
        <w:rPr>
          <w:rFonts w:cs="TimesNewRoman"/>
        </w:rPr>
        <w:t>28 day</w:t>
      </w:r>
      <w:r w:rsidRPr="00284229">
        <w:rPr>
          <w:rFonts w:cs="TimesNewRoman"/>
        </w:rPr>
        <w:t xml:space="preserve"> cycle of 1.2, 1.6, and 1.8 mg/</w:t>
      </w:r>
      <w:r w:rsidR="00F769DD" w:rsidRPr="00AA53F4">
        <w:rPr>
          <w:lang w:val="en-US"/>
        </w:rPr>
        <w:t>m</w:t>
      </w:r>
      <w:r w:rsidR="00F769DD" w:rsidRPr="00F769DD">
        <w:rPr>
          <w:vertAlign w:val="superscript"/>
          <w:lang w:val="en-US"/>
        </w:rPr>
        <w:t>2</w:t>
      </w:r>
      <w:r w:rsidR="00E86989">
        <w:rPr>
          <w:rFonts w:cs="TimesNewRoman"/>
        </w:rPr>
        <w:t>/cycle. One</w:t>
      </w:r>
      <w:r>
        <w:rPr>
          <w:rFonts w:cs="TimesNewRoman"/>
        </w:rPr>
        <w:t xml:space="preserve"> </w:t>
      </w:r>
      <w:r w:rsidRPr="00284229">
        <w:rPr>
          <w:rFonts w:cs="TimesNewRoman"/>
        </w:rPr>
        <w:t xml:space="preserve">patient (out of 9 first enrolled patients) experienced a </w:t>
      </w:r>
      <w:r w:rsidR="00E86989">
        <w:rPr>
          <w:rFonts w:cs="TimesNewRoman"/>
        </w:rPr>
        <w:t>dose limiting</w:t>
      </w:r>
      <w:r w:rsidRPr="00284229">
        <w:rPr>
          <w:rFonts w:cs="TimesNewRoman"/>
        </w:rPr>
        <w:t xml:space="preserve"> toxicity (DLT) of elevated lipase at the 1.8 mg/</w:t>
      </w:r>
      <w:r w:rsidR="00F769DD" w:rsidRPr="00AA53F4">
        <w:rPr>
          <w:lang w:val="en-US"/>
        </w:rPr>
        <w:t>m</w:t>
      </w:r>
      <w:r w:rsidR="00F769DD" w:rsidRPr="00F769DD">
        <w:rPr>
          <w:vertAlign w:val="superscript"/>
          <w:lang w:val="en-US"/>
        </w:rPr>
        <w:t>2</w:t>
      </w:r>
      <w:r w:rsidRPr="00284229">
        <w:rPr>
          <w:rFonts w:cs="TimesNewRoman"/>
        </w:rPr>
        <w:t xml:space="preserve"> dose level. This DLT occurred after the first dose of 0.8 mg/</w:t>
      </w:r>
      <w:r w:rsidR="00F769DD" w:rsidRPr="00AA53F4">
        <w:rPr>
          <w:lang w:val="en-US"/>
        </w:rPr>
        <w:t>m</w:t>
      </w:r>
      <w:r w:rsidR="00F769DD" w:rsidRPr="00F769DD">
        <w:rPr>
          <w:vertAlign w:val="superscript"/>
          <w:lang w:val="en-US"/>
        </w:rPr>
        <w:t>2</w:t>
      </w:r>
      <w:r w:rsidRPr="00284229">
        <w:rPr>
          <w:rFonts w:cs="TimesNewRoman"/>
        </w:rPr>
        <w:t>, which was the same initial dose for all 3 dose groups. In this portion of the study there were no discernible differences between the 1.6</w:t>
      </w:r>
      <w:r w:rsidR="00A05A46">
        <w:rPr>
          <w:rFonts w:cs="TimesNewRoman"/>
        </w:rPr>
        <w:t> </w:t>
      </w:r>
      <w:r w:rsidRPr="00284229">
        <w:rPr>
          <w:rFonts w:cs="TimesNewRoman"/>
        </w:rPr>
        <w:t>mg/</w:t>
      </w:r>
      <w:r w:rsidR="00F769DD" w:rsidRPr="00AA53F4">
        <w:rPr>
          <w:lang w:val="en-US"/>
        </w:rPr>
        <w:t>m</w:t>
      </w:r>
      <w:r w:rsidR="00F769DD" w:rsidRPr="00F769DD">
        <w:rPr>
          <w:vertAlign w:val="superscript"/>
          <w:lang w:val="en-US"/>
        </w:rPr>
        <w:t>2</w:t>
      </w:r>
      <w:r w:rsidRPr="00284229">
        <w:rPr>
          <w:rFonts w:cs="TimesNewRoman"/>
        </w:rPr>
        <w:t xml:space="preserve"> and the 1.8 mg/</w:t>
      </w:r>
      <w:r w:rsidR="00F769DD" w:rsidRPr="00AA53F4">
        <w:rPr>
          <w:lang w:val="en-US"/>
        </w:rPr>
        <w:t>m</w:t>
      </w:r>
      <w:r w:rsidR="00F769DD" w:rsidRPr="00F769DD">
        <w:rPr>
          <w:vertAlign w:val="superscript"/>
          <w:lang w:val="en-US"/>
        </w:rPr>
        <w:t>2</w:t>
      </w:r>
      <w:r w:rsidRPr="00284229">
        <w:rPr>
          <w:rFonts w:cs="TimesNewRoman"/>
        </w:rPr>
        <w:t xml:space="preserve"> dose groups for </w:t>
      </w:r>
      <w:r w:rsidR="00617F88">
        <w:rPr>
          <w:rFonts w:cs="TimesNewRoman"/>
        </w:rPr>
        <w:t>Grade</w:t>
      </w:r>
      <w:r w:rsidRPr="00284229">
        <w:rPr>
          <w:rFonts w:cs="TimesNewRoman"/>
        </w:rPr>
        <w:t xml:space="preserve"> </w:t>
      </w:r>
      <w:r w:rsidR="00503681">
        <w:rPr>
          <w:rFonts w:cs="TimesNewRoman"/>
        </w:rPr>
        <w:t xml:space="preserve">≥ </w:t>
      </w:r>
      <w:r w:rsidRPr="00284229">
        <w:rPr>
          <w:rFonts w:cs="TimesNewRoman"/>
        </w:rPr>
        <w:t xml:space="preserve">3 hepatic AEs, with only 1 event of </w:t>
      </w:r>
      <w:r w:rsidR="00617F88">
        <w:rPr>
          <w:rFonts w:cs="TimesNewRoman"/>
        </w:rPr>
        <w:t>Grade</w:t>
      </w:r>
      <w:r w:rsidRPr="00284229">
        <w:rPr>
          <w:rFonts w:cs="TimesNewRoman"/>
        </w:rPr>
        <w:t xml:space="preserve"> 3 ALT increased being observed in each group. </w:t>
      </w:r>
      <w:r w:rsidRPr="00284229">
        <w:t>No cases of VOD/SOS were reported in this portion of the study.</w:t>
      </w:r>
      <w:r w:rsidRPr="00284229">
        <w:rPr>
          <w:rFonts w:cs="TimesNewRoman"/>
        </w:rPr>
        <w:t xml:space="preserve"> No doses higher than 1.8 mg/</w:t>
      </w:r>
      <w:r w:rsidR="00F769DD" w:rsidRPr="00AA53F4">
        <w:rPr>
          <w:lang w:val="en-US"/>
        </w:rPr>
        <w:t>m</w:t>
      </w:r>
      <w:r w:rsidR="00F769DD" w:rsidRPr="00F769DD">
        <w:rPr>
          <w:vertAlign w:val="superscript"/>
          <w:lang w:val="en-US"/>
        </w:rPr>
        <w:t>2</w:t>
      </w:r>
      <w:r w:rsidRPr="00284229">
        <w:rPr>
          <w:rFonts w:cs="TimesNewRoman"/>
        </w:rPr>
        <w:t xml:space="preserve">/cycle were investigated. The </w:t>
      </w:r>
      <w:r w:rsidR="00A232E5">
        <w:t>maximum tolerated dose</w:t>
      </w:r>
      <w:r w:rsidR="00A232E5" w:rsidRPr="00284229">
        <w:rPr>
          <w:rFonts w:cs="TimesNewRoman"/>
        </w:rPr>
        <w:t xml:space="preserve"> </w:t>
      </w:r>
      <w:r w:rsidR="00A232E5">
        <w:rPr>
          <w:rFonts w:cs="TimesNewRoman"/>
        </w:rPr>
        <w:t>(</w:t>
      </w:r>
      <w:r w:rsidRPr="00284229">
        <w:rPr>
          <w:rFonts w:cs="TimesNewRoman"/>
        </w:rPr>
        <w:t>MTD</w:t>
      </w:r>
      <w:r w:rsidR="00A232E5">
        <w:rPr>
          <w:rFonts w:cs="TimesNewRoman"/>
        </w:rPr>
        <w:t>)</w:t>
      </w:r>
      <w:r w:rsidRPr="00284229">
        <w:rPr>
          <w:rFonts w:cs="TimesNewRoman"/>
        </w:rPr>
        <w:t xml:space="preserve"> was not reached in the Phase 1 </w:t>
      </w:r>
      <w:r w:rsidR="00E86989">
        <w:rPr>
          <w:rFonts w:cs="TimesNewRoman"/>
        </w:rPr>
        <w:t>dose escalation</w:t>
      </w:r>
      <w:r w:rsidRPr="00284229">
        <w:rPr>
          <w:rFonts w:cs="TimesNewRoman"/>
        </w:rPr>
        <w:t xml:space="preserve"> portion of the study</w:t>
      </w:r>
      <w:r w:rsidR="00503681">
        <w:rPr>
          <w:rFonts w:cs="TimesNewRoman"/>
        </w:rPr>
        <w:t>.</w:t>
      </w:r>
    </w:p>
    <w:p w14:paraId="3DCBB1CE" w14:textId="074B8FAB" w:rsidR="00503681" w:rsidRDefault="00B37AB3" w:rsidP="00E86989">
      <w:r w:rsidRPr="0006102A">
        <w:rPr>
          <w:rFonts w:cs="Arial"/>
        </w:rPr>
        <w:lastRenderedPageBreak/>
        <w:t xml:space="preserve">Overall, 72 patients were </w:t>
      </w:r>
      <w:r>
        <w:rPr>
          <w:rFonts w:cs="Arial"/>
        </w:rPr>
        <w:t xml:space="preserve">enrolled and treated in </w:t>
      </w:r>
      <w:r w:rsidR="00503681">
        <w:rPr>
          <w:rFonts w:cs="Arial"/>
        </w:rPr>
        <w:t>Study</w:t>
      </w:r>
      <w:r>
        <w:rPr>
          <w:rFonts w:cs="Arial"/>
        </w:rPr>
        <w:t xml:space="preserve"> B1931010. </w:t>
      </w:r>
      <w:r w:rsidRPr="0006102A">
        <w:rPr>
          <w:rFonts w:cs="TimesNewRoman"/>
        </w:rPr>
        <w:t xml:space="preserve">In the Phase 1 </w:t>
      </w:r>
      <w:r w:rsidR="00E86989">
        <w:rPr>
          <w:rFonts w:cs="TimesNewRoman"/>
        </w:rPr>
        <w:t>dose finding</w:t>
      </w:r>
      <w:r w:rsidRPr="0006102A">
        <w:rPr>
          <w:rFonts w:cs="TimesNewRoman"/>
        </w:rPr>
        <w:t xml:space="preserve"> portion of </w:t>
      </w:r>
      <w:r>
        <w:rPr>
          <w:rFonts w:cs="TimesNewRoman"/>
        </w:rPr>
        <w:t>the study</w:t>
      </w:r>
      <w:r w:rsidRPr="0006102A">
        <w:rPr>
          <w:rFonts w:cs="TimesNewRoman"/>
        </w:rPr>
        <w:t>,</w:t>
      </w:r>
      <w:r>
        <w:rPr>
          <w:rFonts w:cs="TimesNewRoman"/>
        </w:rPr>
        <w:t xml:space="preserve"> </w:t>
      </w:r>
      <w:r w:rsidRPr="0006102A">
        <w:t>the CR/</w:t>
      </w:r>
      <w:proofErr w:type="spellStart"/>
      <w:r w:rsidRPr="0006102A">
        <w:t>CRi</w:t>
      </w:r>
      <w:proofErr w:type="spellEnd"/>
      <w:r w:rsidRPr="0006102A">
        <w:t xml:space="preserve"> rate was 6</w:t>
      </w:r>
      <w:r w:rsidR="00E86989">
        <w:t>6.7% (2/3 patients) for the 1.2 </w:t>
      </w:r>
      <w:r w:rsidRPr="0006102A">
        <w:t>mg/</w:t>
      </w:r>
      <w:r w:rsidR="00F769DD" w:rsidRPr="00AA53F4">
        <w:rPr>
          <w:lang w:val="en-US"/>
        </w:rPr>
        <w:t>m</w:t>
      </w:r>
      <w:r w:rsidR="00F769DD" w:rsidRPr="00F769DD">
        <w:rPr>
          <w:vertAlign w:val="superscript"/>
          <w:lang w:val="en-US"/>
        </w:rPr>
        <w:t>2</w:t>
      </w:r>
      <w:r w:rsidRPr="0006102A">
        <w:t>/cycle; 75.0% (9/12) for the 1.6 mg/</w:t>
      </w:r>
      <w:r w:rsidR="00F769DD" w:rsidRPr="00AA53F4">
        <w:rPr>
          <w:lang w:val="en-US"/>
        </w:rPr>
        <w:t>m</w:t>
      </w:r>
      <w:r w:rsidR="00F769DD" w:rsidRPr="00F769DD">
        <w:rPr>
          <w:vertAlign w:val="superscript"/>
          <w:lang w:val="en-US"/>
        </w:rPr>
        <w:t>2</w:t>
      </w:r>
      <w:r w:rsidRPr="0006102A">
        <w:t>/cycle; and 88.9% (8/9 patients) for the 1.8 mg/</w:t>
      </w:r>
      <w:r w:rsidR="00F769DD" w:rsidRPr="00AA53F4">
        <w:rPr>
          <w:lang w:val="en-US"/>
        </w:rPr>
        <w:t>m</w:t>
      </w:r>
      <w:r w:rsidR="00F769DD" w:rsidRPr="00F769DD">
        <w:rPr>
          <w:vertAlign w:val="superscript"/>
          <w:lang w:val="en-US"/>
        </w:rPr>
        <w:t>2</w:t>
      </w:r>
      <w:r w:rsidRPr="0006102A">
        <w:t xml:space="preserve">/cycle. In the Phase 1 </w:t>
      </w:r>
      <w:r w:rsidRPr="00284229">
        <w:t>dose expansion portion of the study, the CR/</w:t>
      </w:r>
      <w:proofErr w:type="spellStart"/>
      <w:r w:rsidRPr="00284229">
        <w:t>CRi</w:t>
      </w:r>
      <w:proofErr w:type="spellEnd"/>
      <w:r w:rsidRPr="00284229">
        <w:t xml:space="preserve"> rate was 46.2% (6/13) for the 1.8 mg/</w:t>
      </w:r>
      <w:r w:rsidR="00F769DD" w:rsidRPr="00AA53F4">
        <w:rPr>
          <w:lang w:val="en-US"/>
        </w:rPr>
        <w:t>m</w:t>
      </w:r>
      <w:r w:rsidR="00F769DD" w:rsidRPr="00F769DD">
        <w:rPr>
          <w:vertAlign w:val="superscript"/>
          <w:lang w:val="en-US"/>
        </w:rPr>
        <w:t>2</w:t>
      </w:r>
      <w:r w:rsidRPr="00284229">
        <w:t>/cycle. Based on a review of both safety and efficacy results, doses higher than 1.8 mg/</w:t>
      </w:r>
      <w:r w:rsidR="00F769DD" w:rsidRPr="00AA53F4">
        <w:rPr>
          <w:lang w:val="en-US"/>
        </w:rPr>
        <w:t>m</w:t>
      </w:r>
      <w:r w:rsidR="00F769DD" w:rsidRPr="00F769DD">
        <w:rPr>
          <w:vertAlign w:val="superscript"/>
          <w:lang w:val="en-US"/>
        </w:rPr>
        <w:t>2</w:t>
      </w:r>
      <w:r w:rsidRPr="00284229">
        <w:t>/cycle were not examined, the MTD was not reached, and the RP2D was determined to be 1.8 mg/</w:t>
      </w:r>
      <w:r w:rsidR="00F769DD" w:rsidRPr="00AA53F4">
        <w:rPr>
          <w:lang w:val="en-US"/>
        </w:rPr>
        <w:t>m</w:t>
      </w:r>
      <w:r w:rsidR="00F769DD" w:rsidRPr="00F769DD">
        <w:rPr>
          <w:vertAlign w:val="superscript"/>
          <w:lang w:val="en-US"/>
        </w:rPr>
        <w:t>2</w:t>
      </w:r>
      <w:r w:rsidRPr="00284229">
        <w:t>/cycle. However, while a MTD was not determined in this study, it had been previously determined to be 1.8 mg/</w:t>
      </w:r>
      <w:r w:rsidR="00F769DD" w:rsidRPr="00AA53F4">
        <w:rPr>
          <w:lang w:val="en-US"/>
        </w:rPr>
        <w:t>m</w:t>
      </w:r>
      <w:r w:rsidR="00F769DD" w:rsidRPr="00F769DD">
        <w:rPr>
          <w:vertAlign w:val="superscript"/>
          <w:lang w:val="en-US"/>
        </w:rPr>
        <w:t>2</w:t>
      </w:r>
      <w:r w:rsidRPr="00284229">
        <w:t xml:space="preserve"> every 4 weeks in patients with NHL</w:t>
      </w:r>
      <w:r w:rsidR="00503681">
        <w:t>.</w:t>
      </w:r>
    </w:p>
    <w:p w14:paraId="4A70F950" w14:textId="5B3159CC" w:rsidR="00503681" w:rsidRDefault="00B37AB3" w:rsidP="00E86989">
      <w:r w:rsidRPr="00284229">
        <w:t xml:space="preserve">In the Phase 2 portion of </w:t>
      </w:r>
      <w:r w:rsidR="00503681">
        <w:t>Study</w:t>
      </w:r>
      <w:r w:rsidRPr="00284229">
        <w:t xml:space="preserve"> B1931010, the CR/</w:t>
      </w:r>
      <w:proofErr w:type="spellStart"/>
      <w:r w:rsidRPr="00284229">
        <w:t>CRi</w:t>
      </w:r>
      <w:proofErr w:type="spellEnd"/>
      <w:r w:rsidRPr="00284229">
        <w:t xml:space="preserve"> rate was 68.6% (24/35 patients) in patients treated with the 1.8 mg/</w:t>
      </w:r>
      <w:r w:rsidR="00F769DD" w:rsidRPr="00AA53F4">
        <w:rPr>
          <w:lang w:val="en-US"/>
        </w:rPr>
        <w:t>m</w:t>
      </w:r>
      <w:r w:rsidR="00F769DD" w:rsidRPr="00F769DD">
        <w:rPr>
          <w:vertAlign w:val="superscript"/>
          <w:lang w:val="en-US"/>
        </w:rPr>
        <w:t>2</w:t>
      </w:r>
      <w:r w:rsidRPr="00284229">
        <w:t>/cycle. The 1</w:t>
      </w:r>
      <w:r w:rsidR="00E86989">
        <w:t>-sided p-value for the H0 (null </w:t>
      </w:r>
      <w:r w:rsidRPr="00284229">
        <w:t>hypothesis) CR/</w:t>
      </w:r>
      <w:proofErr w:type="spellStart"/>
      <w:r w:rsidRPr="00284229">
        <w:t>CRi</w:t>
      </w:r>
      <w:proofErr w:type="spellEnd"/>
      <w:r w:rsidRPr="00284229">
        <w:t xml:space="preserve"> rate </w:t>
      </w:r>
      <w:r w:rsidRPr="00284229">
        <w:rPr>
          <w:rFonts w:eastAsia="TimesNewRomanPSMT" w:cs="TimesNewRomanPSMT"/>
        </w:rPr>
        <w:t xml:space="preserve">≤ 20% </w:t>
      </w:r>
      <w:r w:rsidRPr="00284229">
        <w:t>was &lt; 0.0001. Therefore, the primary objective for the CR/</w:t>
      </w:r>
      <w:proofErr w:type="spellStart"/>
      <w:r w:rsidRPr="00284229">
        <w:t>CRi</w:t>
      </w:r>
      <w:proofErr w:type="spellEnd"/>
      <w:r w:rsidRPr="00284229">
        <w:t xml:space="preserve"> rate in the Phase 2 portion of the study was met as the rate was </w:t>
      </w:r>
      <w:r w:rsidR="000F385B">
        <w:t xml:space="preserve">&gt; </w:t>
      </w:r>
      <w:r w:rsidRPr="00284229">
        <w:t>20%. However, dose reduction to 1.6 mg/</w:t>
      </w:r>
      <w:r w:rsidR="00F769DD" w:rsidRPr="00AA53F4">
        <w:rPr>
          <w:lang w:val="en-US"/>
        </w:rPr>
        <w:t>m</w:t>
      </w:r>
      <w:r w:rsidR="00F769DD" w:rsidRPr="00F769DD">
        <w:rPr>
          <w:vertAlign w:val="superscript"/>
          <w:lang w:val="en-US"/>
        </w:rPr>
        <w:t>2</w:t>
      </w:r>
      <w:r w:rsidRPr="00284229">
        <w:t>/cycle was implemented after remission based on observations from previous studies indicating that increased exposure to inotuzumab ozogamicin occurs with subsequent doses and may be related to dose delays and reductions required later in therapy. Overall, the CR/</w:t>
      </w:r>
      <w:proofErr w:type="spellStart"/>
      <w:r w:rsidRPr="00284229">
        <w:t>CRi</w:t>
      </w:r>
      <w:proofErr w:type="spellEnd"/>
      <w:r w:rsidRPr="00284229">
        <w:t xml:space="preserve"> rate for all doses was 68.1% (49/72), with </w:t>
      </w:r>
      <w:r>
        <w:t xml:space="preserve">a </w:t>
      </w:r>
      <w:r w:rsidRPr="00284229">
        <w:t xml:space="preserve">CR rate </w:t>
      </w:r>
      <w:r>
        <w:t xml:space="preserve">of </w:t>
      </w:r>
      <w:r w:rsidRPr="00284229">
        <w:t xml:space="preserve">31.9% (23/72 patients) and </w:t>
      </w:r>
      <w:r>
        <w:t xml:space="preserve">a </w:t>
      </w:r>
      <w:proofErr w:type="spellStart"/>
      <w:r w:rsidRPr="00284229">
        <w:t>CRi</w:t>
      </w:r>
      <w:proofErr w:type="spellEnd"/>
      <w:r w:rsidRPr="00284229">
        <w:t xml:space="preserve"> rate </w:t>
      </w:r>
      <w:r>
        <w:t>of</w:t>
      </w:r>
      <w:r w:rsidRPr="00284229">
        <w:t xml:space="preserve"> 36.1% (26/72 patients)</w:t>
      </w:r>
      <w:r w:rsidR="00503681">
        <w:t>.</w:t>
      </w:r>
    </w:p>
    <w:p w14:paraId="6B1944DB" w14:textId="77777777" w:rsidR="00503681" w:rsidRDefault="00B37AB3" w:rsidP="00E86989">
      <w:r w:rsidRPr="00284229">
        <w:t xml:space="preserve">For the 49 patients who achieved CR or </w:t>
      </w:r>
      <w:proofErr w:type="spellStart"/>
      <w:r w:rsidRPr="00284229">
        <w:t>CRi</w:t>
      </w:r>
      <w:proofErr w:type="spellEnd"/>
      <w:r w:rsidRPr="00284229">
        <w:t xml:space="preserve"> (all doses), the median time to remission was 27 days while the median duration of remission (</w:t>
      </w:r>
      <w:proofErr w:type="spellStart"/>
      <w:r w:rsidRPr="00284229">
        <w:t>DoR</w:t>
      </w:r>
      <w:proofErr w:type="spellEnd"/>
      <w:r w:rsidRPr="00284229">
        <w:t xml:space="preserve">) (CR + </w:t>
      </w:r>
      <w:proofErr w:type="spellStart"/>
      <w:r w:rsidRPr="00284229">
        <w:t>CRi</w:t>
      </w:r>
      <w:proofErr w:type="spellEnd"/>
      <w:r w:rsidRPr="00284229">
        <w:t>) was 20.1 weeks. Of the patients who achieved CR/</w:t>
      </w:r>
      <w:proofErr w:type="spellStart"/>
      <w:r w:rsidRPr="00284229">
        <w:t>CRi</w:t>
      </w:r>
      <w:proofErr w:type="spellEnd"/>
      <w:r w:rsidRPr="00284229">
        <w:t xml:space="preserve"> (all doses), 8</w:t>
      </w:r>
      <w:r>
        <w:t>3.7% patients also achieved MRD-</w:t>
      </w:r>
      <w:r w:rsidRPr="00284229">
        <w:t>negativ</w:t>
      </w:r>
      <w:r>
        <w:t>ity, and the median time to MRD-</w:t>
      </w:r>
      <w:r w:rsidRPr="00284229">
        <w:t>negativity was 29 days. The HSCT rate (all doses) was 33.3% (24/72 patients). Overall, the median PFS was 17 wee</w:t>
      </w:r>
      <w:r>
        <w:t xml:space="preserve">ks (95%CI: 12.4, 23.6), </w:t>
      </w:r>
      <w:r w:rsidRPr="00284229">
        <w:t xml:space="preserve">without censoring for HSCT and the median OS was </w:t>
      </w:r>
      <w:r>
        <w:t xml:space="preserve">32 weeks (95% CI: 24.7, 40.0), </w:t>
      </w:r>
      <w:r w:rsidRPr="00284229">
        <w:t>without censoring for HSCT</w:t>
      </w:r>
      <w:r w:rsidR="00503681">
        <w:t>.</w:t>
      </w:r>
    </w:p>
    <w:p w14:paraId="43737ABF" w14:textId="0D705352" w:rsidR="00B37AB3" w:rsidRPr="00284229" w:rsidRDefault="00B37AB3" w:rsidP="00E86989">
      <w:pPr>
        <w:rPr>
          <w:rFonts w:eastAsia="TimesNewRomanPSMT" w:cs="TimesNewRomanPSMT"/>
        </w:rPr>
      </w:pPr>
      <w:r>
        <w:t xml:space="preserve">For the total study population </w:t>
      </w:r>
      <w:r w:rsidRPr="00284229">
        <w:t>(n</w:t>
      </w:r>
      <w:r w:rsidR="0014606A">
        <w:t xml:space="preserve"> = </w:t>
      </w:r>
      <w:r w:rsidRPr="00284229">
        <w:t xml:space="preserve">72), the most common all-causality </w:t>
      </w:r>
      <w:r w:rsidR="0041592A">
        <w:t>treatment-emergent adverse events</w:t>
      </w:r>
      <w:r w:rsidR="0041592A" w:rsidRPr="00284229">
        <w:t xml:space="preserve"> </w:t>
      </w:r>
      <w:r w:rsidR="0041592A">
        <w:t>(</w:t>
      </w:r>
      <w:r w:rsidRPr="00284229">
        <w:t>TEAEs</w:t>
      </w:r>
      <w:r w:rsidR="0041592A">
        <w:t>)</w:t>
      </w:r>
      <w:r w:rsidRPr="00284229">
        <w:t xml:space="preserve"> </w:t>
      </w:r>
      <w:r w:rsidRPr="00284229">
        <w:rPr>
          <w:rFonts w:eastAsia="TimesNewRomanPSMT" w:cs="TimesNewRomanPSMT"/>
        </w:rPr>
        <w:t>(</w:t>
      </w:r>
      <w:r w:rsidR="00503681">
        <w:rPr>
          <w:rFonts w:eastAsia="TimesNewRomanPSMT" w:cs="TimesNewRomanPSMT"/>
        </w:rPr>
        <w:t xml:space="preserve">≥ </w:t>
      </w:r>
      <w:r w:rsidRPr="00284229">
        <w:rPr>
          <w:rFonts w:eastAsia="TimesNewRomanPSMT" w:cs="TimesNewRomanPSMT"/>
        </w:rPr>
        <w:t xml:space="preserve">20%) </w:t>
      </w:r>
      <w:r>
        <w:rPr>
          <w:rFonts w:eastAsia="TimesNewRomanPSMT" w:cs="TimesNewRomanPSMT"/>
        </w:rPr>
        <w:t xml:space="preserve">were </w:t>
      </w:r>
      <w:r w:rsidRPr="00284229">
        <w:t>thrombocytop</w:t>
      </w:r>
      <w:r w:rsidR="00A05A46">
        <w:t>a</w:t>
      </w:r>
      <w:r w:rsidRPr="00284229">
        <w:t>enia (36.1%), nausea (34.7%), febrile neutrop</w:t>
      </w:r>
      <w:r w:rsidR="00A05A46">
        <w:t>a</w:t>
      </w:r>
      <w:r w:rsidRPr="00284229">
        <w:t>enia (30.6%), vomiting</w:t>
      </w:r>
      <w:r>
        <w:rPr>
          <w:rFonts w:eastAsia="TimesNewRomanPSMT" w:cs="TimesNewRomanPSMT"/>
        </w:rPr>
        <w:t xml:space="preserve"> </w:t>
      </w:r>
      <w:r w:rsidRPr="00284229">
        <w:t>(27.8</w:t>
      </w:r>
      <w:r>
        <w:t>%), and AST increased (26.4%), c</w:t>
      </w:r>
      <w:r w:rsidRPr="00284229">
        <w:t xml:space="preserve">onstipation </w:t>
      </w:r>
      <w:r>
        <w:t>(23.6%), pyrexia (23.6%</w:t>
      </w:r>
      <w:r w:rsidRPr="00284229">
        <w:t>), and</w:t>
      </w:r>
      <w:r>
        <w:rPr>
          <w:rFonts w:eastAsia="TimesNewRomanPSMT" w:cs="TimesNewRomanPSMT"/>
        </w:rPr>
        <w:t xml:space="preserve"> </w:t>
      </w:r>
      <w:r w:rsidRPr="00284229">
        <w:t>neutrop</w:t>
      </w:r>
      <w:r w:rsidR="00A05A46">
        <w:t>a</w:t>
      </w:r>
      <w:r w:rsidRPr="00284229">
        <w:t>enia (20.8%). These common</w:t>
      </w:r>
      <w:r>
        <w:t xml:space="preserve">ly reported </w:t>
      </w:r>
      <w:r w:rsidRPr="00284229">
        <w:t xml:space="preserve">TEAEs </w:t>
      </w:r>
      <w:r>
        <w:t xml:space="preserve">had </w:t>
      </w:r>
      <w:r w:rsidRPr="00284229">
        <w:t xml:space="preserve">also </w:t>
      </w:r>
      <w:r>
        <w:t xml:space="preserve">been </w:t>
      </w:r>
      <w:r w:rsidRPr="00284229">
        <w:t xml:space="preserve">observed in the previous </w:t>
      </w:r>
      <w:r>
        <w:t xml:space="preserve">investigator initiated </w:t>
      </w:r>
      <w:r w:rsidRPr="00284229">
        <w:t>study (</w:t>
      </w:r>
      <w:r w:rsidR="00A05A46">
        <w:t>Study </w:t>
      </w:r>
      <w:r w:rsidRPr="00284229">
        <w:rPr>
          <w:rFonts w:cs="Arial"/>
        </w:rPr>
        <w:t>2009-0872)</w:t>
      </w:r>
      <w:r>
        <w:t xml:space="preserve">. </w:t>
      </w:r>
      <w:r w:rsidRPr="00284229">
        <w:t xml:space="preserve">Grade 3 or 4 all-causality TEAEs occurring in 79.2% of patients were primarily haematologic events. All-causality TEAEs resulting in treatment modifications were primarily due to haematologic all-causality TEAEs (thrombocytopenia and neutropenia) and hepatic all-causality TEAEs (ALT increased, AST increased, </w:t>
      </w:r>
      <w:r w:rsidR="00BF79CA">
        <w:t>gamma-glutamyl transpeptidase</w:t>
      </w:r>
      <w:r w:rsidRPr="00284229">
        <w:t xml:space="preserve"> </w:t>
      </w:r>
      <w:r w:rsidR="00BF79CA">
        <w:t>(GGT)</w:t>
      </w:r>
      <w:r w:rsidR="00BF79CA" w:rsidRPr="00284229">
        <w:t xml:space="preserve"> </w:t>
      </w:r>
      <w:r w:rsidRPr="00284229">
        <w:t xml:space="preserve">increased, </w:t>
      </w:r>
      <w:r w:rsidR="003308E5">
        <w:t>alkaline phosphatase (</w:t>
      </w:r>
      <w:r>
        <w:t>ALP</w:t>
      </w:r>
      <w:r w:rsidR="003308E5">
        <w:t>)</w:t>
      </w:r>
      <w:r w:rsidRPr="00284229">
        <w:t xml:space="preserve"> increased, hyperbilirubinemia, and ascites). VOD/SOS </w:t>
      </w:r>
      <w:r w:rsidR="0041592A">
        <w:t>Serious adverse events</w:t>
      </w:r>
      <w:r w:rsidR="0041592A" w:rsidRPr="00284229">
        <w:t xml:space="preserve"> </w:t>
      </w:r>
      <w:r w:rsidR="0041592A">
        <w:t>(</w:t>
      </w:r>
      <w:r w:rsidRPr="00284229">
        <w:t>SAEs</w:t>
      </w:r>
      <w:r w:rsidR="0041592A">
        <w:t>)</w:t>
      </w:r>
      <w:r w:rsidRPr="00284229">
        <w:t xml:space="preserve"> were reported in 4 (5.6%) patients of which 2 events occurred (2/24 </w:t>
      </w:r>
      <w:r w:rsidR="00503681">
        <w:t>(</w:t>
      </w:r>
      <w:r w:rsidRPr="00284229">
        <w:t>8.3%</w:t>
      </w:r>
      <w:r w:rsidR="00503681">
        <w:t>)</w:t>
      </w:r>
      <w:r w:rsidRPr="00284229">
        <w:t xml:space="preserve">) post-HSCT. One patient met the </w:t>
      </w:r>
      <w:r>
        <w:t xml:space="preserve">biochemical </w:t>
      </w:r>
      <w:r w:rsidRPr="00284229">
        <w:t xml:space="preserve">criteria for </w:t>
      </w:r>
      <w:proofErr w:type="spellStart"/>
      <w:r>
        <w:t>Hy’s</w:t>
      </w:r>
      <w:proofErr w:type="spellEnd"/>
      <w:r>
        <w:t xml:space="preserve"> law (</w:t>
      </w:r>
      <w:r w:rsidR="00BF79CA">
        <w:t>drug-induced liver injury (</w:t>
      </w:r>
      <w:r>
        <w:t>DILI</w:t>
      </w:r>
      <w:r w:rsidR="00BF79CA">
        <w:t>)</w:t>
      </w:r>
      <w:r>
        <w:t xml:space="preserve">), but </w:t>
      </w:r>
      <w:r w:rsidRPr="00284229">
        <w:t xml:space="preserve">the </w:t>
      </w:r>
      <w:r w:rsidR="00A232E5">
        <w:t>liver function test</w:t>
      </w:r>
      <w:r w:rsidR="00A232E5" w:rsidRPr="00284229">
        <w:t xml:space="preserve"> </w:t>
      </w:r>
      <w:r w:rsidR="00A232E5">
        <w:t>(</w:t>
      </w:r>
      <w:r w:rsidRPr="00284229">
        <w:t>LFT</w:t>
      </w:r>
      <w:r w:rsidR="00A232E5">
        <w:t>)</w:t>
      </w:r>
      <w:r w:rsidRPr="00284229">
        <w:t xml:space="preserve"> </w:t>
      </w:r>
      <w:r>
        <w:t xml:space="preserve">abnormalities </w:t>
      </w:r>
      <w:r w:rsidRPr="00284229">
        <w:t>were due to leukaemic</w:t>
      </w:r>
      <w:r>
        <w:rPr>
          <w:rFonts w:eastAsia="TimesNewRomanPSMT" w:cs="TimesNewRomanPSMT"/>
        </w:rPr>
        <w:t xml:space="preserve"> </w:t>
      </w:r>
      <w:r w:rsidRPr="00284229">
        <w:t xml:space="preserve">infiltration of the liver in </w:t>
      </w:r>
      <w:r>
        <w:t xml:space="preserve">a </w:t>
      </w:r>
      <w:r w:rsidRPr="00284229">
        <w:t>setting</w:t>
      </w:r>
      <w:r>
        <w:t xml:space="preserve"> of rapid disease progression. </w:t>
      </w:r>
      <w:r w:rsidRPr="00284229">
        <w:t xml:space="preserve">Grade 5 all-causality TEAEs occurred in 12.5% of patients and included disease progression (6.9%) and pneumonia, septic shock, </w:t>
      </w:r>
      <w:proofErr w:type="spellStart"/>
      <w:r w:rsidRPr="00284229">
        <w:t>Stenotrophomonas</w:t>
      </w:r>
      <w:proofErr w:type="spellEnd"/>
      <w:r w:rsidRPr="00284229">
        <w:t xml:space="preserve"> sepsis, and VOD/SOS (1.4% each). Reasons for death within the active treatment phase was disease under study (8 </w:t>
      </w:r>
      <w:r w:rsidR="00503681">
        <w:t>(</w:t>
      </w:r>
      <w:r w:rsidRPr="00284229">
        <w:t>11.1%</w:t>
      </w:r>
      <w:r w:rsidR="00503681">
        <w:t>)</w:t>
      </w:r>
      <w:r w:rsidRPr="00284229">
        <w:t xml:space="preserve"> patients) and other reasons (4 </w:t>
      </w:r>
      <w:r w:rsidR="00503681">
        <w:t>(</w:t>
      </w:r>
      <w:r w:rsidRPr="00284229">
        <w:t>5.6%</w:t>
      </w:r>
      <w:r w:rsidR="00503681">
        <w:t>)</w:t>
      </w:r>
      <w:r>
        <w:rPr>
          <w:rFonts w:eastAsia="TimesNewRomanPSMT" w:cs="TimesNewRomanPSMT"/>
        </w:rPr>
        <w:t xml:space="preserve"> </w:t>
      </w:r>
      <w:r w:rsidRPr="00284229">
        <w:t>patients), including septic shock, disease progression, pneumonia, and subdural haematoma.</w:t>
      </w:r>
    </w:p>
    <w:p w14:paraId="4038CE86" w14:textId="77777777" w:rsidR="00503681" w:rsidRDefault="00B37AB3" w:rsidP="00E86989">
      <w:r w:rsidRPr="00284229">
        <w:t xml:space="preserve">When the pivotal </w:t>
      </w:r>
      <w:r w:rsidR="001D0208">
        <w:t>Phase III</w:t>
      </w:r>
      <w:r w:rsidRPr="00284229">
        <w:t xml:space="preserve"> </w:t>
      </w:r>
      <w:r w:rsidR="00503681">
        <w:t>Study</w:t>
      </w:r>
      <w:r w:rsidR="00E86989">
        <w:t xml:space="preserve"> B1931022</w:t>
      </w:r>
      <w:r w:rsidRPr="00284229">
        <w:t xml:space="preserve"> was designed, only preliminary results were available from the </w:t>
      </w:r>
      <w:r>
        <w:t xml:space="preserve">investigator initiated </w:t>
      </w:r>
      <w:r w:rsidR="00503681">
        <w:t>Study</w:t>
      </w:r>
      <w:r>
        <w:t xml:space="preserve"> 2009-0872 and the </w:t>
      </w:r>
      <w:r w:rsidR="00503681">
        <w:t>Pfizer sponsored</w:t>
      </w:r>
      <w:r>
        <w:t xml:space="preserve"> </w:t>
      </w:r>
      <w:r w:rsidR="00503681">
        <w:t>Study</w:t>
      </w:r>
      <w:r w:rsidR="00E86989">
        <w:t> </w:t>
      </w:r>
      <w:r w:rsidRPr="00284229">
        <w:t xml:space="preserve">B1931010 (Phase 1 was incomplete). </w:t>
      </w:r>
      <w:r>
        <w:t>However, b</w:t>
      </w:r>
      <w:r w:rsidRPr="00284229">
        <w:t xml:space="preserve">ased on the favourable preliminary results in </w:t>
      </w:r>
      <w:r w:rsidR="00E86989">
        <w:t>high risk</w:t>
      </w:r>
      <w:r w:rsidRPr="00284229">
        <w:t xml:space="preserve"> patients with relapsed or refractory ALL from these two preliminary studies, the pivotal </w:t>
      </w:r>
      <w:r w:rsidR="001D0208">
        <w:t>Phase III</w:t>
      </w:r>
      <w:r>
        <w:t xml:space="preserve"> </w:t>
      </w:r>
      <w:r w:rsidR="00503681">
        <w:t>Study</w:t>
      </w:r>
      <w:r w:rsidRPr="00284229">
        <w:t xml:space="preserve"> (</w:t>
      </w:r>
      <w:r w:rsidR="00E86989">
        <w:rPr>
          <w:lang w:val="en-US"/>
        </w:rPr>
        <w:t>Study</w:t>
      </w:r>
      <w:r w:rsidR="00E86989" w:rsidRPr="00284229">
        <w:t xml:space="preserve"> </w:t>
      </w:r>
      <w:r w:rsidRPr="00284229">
        <w:t>B1931022) was initiated to compare the safety and efficacy of inotuzumab ozogamicin 1.8 mg/</w:t>
      </w:r>
      <w:r w:rsidR="00F769DD" w:rsidRPr="00AA53F4">
        <w:rPr>
          <w:lang w:val="en-US"/>
        </w:rPr>
        <w:t>m</w:t>
      </w:r>
      <w:r w:rsidR="00F769DD" w:rsidRPr="00F769DD">
        <w:rPr>
          <w:vertAlign w:val="superscript"/>
          <w:lang w:val="en-US"/>
        </w:rPr>
        <w:t>2</w:t>
      </w:r>
      <w:r w:rsidRPr="00284229">
        <w:t xml:space="preserve">/cycle per cycle (dosed </w:t>
      </w:r>
      <w:r>
        <w:t>according to BSA</w:t>
      </w:r>
      <w:r w:rsidRPr="00284229">
        <w:t xml:space="preserve">) </w:t>
      </w:r>
      <w:r>
        <w:t xml:space="preserve">to </w:t>
      </w:r>
      <w:r w:rsidRPr="00284229">
        <w:t xml:space="preserve">defined </w:t>
      </w:r>
      <w:r>
        <w:t>I</w:t>
      </w:r>
      <w:r w:rsidRPr="00284229">
        <w:t>nvestigator’s choice of chemotherapy</w:t>
      </w:r>
      <w:r w:rsidR="00503681">
        <w:t>.</w:t>
      </w:r>
    </w:p>
    <w:p w14:paraId="5E57BC0D" w14:textId="77777777" w:rsidR="00B37AB3" w:rsidRPr="00E86989" w:rsidRDefault="00B37AB3" w:rsidP="00E86989">
      <w:pPr>
        <w:pStyle w:val="Heading4"/>
      </w:pPr>
      <w:bookmarkStart w:id="101" w:name="_Toc416353713"/>
      <w:bookmarkStart w:id="102" w:name="_Toc421005266"/>
      <w:bookmarkStart w:id="103" w:name="_Toc432079148"/>
      <w:bookmarkStart w:id="104" w:name="_Toc432080721"/>
      <w:bookmarkStart w:id="105" w:name="_Toc503178000"/>
      <w:r w:rsidRPr="00E86989">
        <w:lastRenderedPageBreak/>
        <w:t>Evaluator’s conclusions on dose finding for the pivotal studies</w:t>
      </w:r>
      <w:bookmarkEnd w:id="101"/>
      <w:bookmarkEnd w:id="102"/>
      <w:bookmarkEnd w:id="103"/>
      <w:bookmarkEnd w:id="104"/>
      <w:bookmarkEnd w:id="105"/>
    </w:p>
    <w:p w14:paraId="66D6229A" w14:textId="0F4ED0B0" w:rsidR="00503681" w:rsidRDefault="00B37AB3" w:rsidP="00B37AB3">
      <w:pPr>
        <w:rPr>
          <w:rFonts w:asciiTheme="minorHAnsi" w:eastAsiaTheme="minorHAnsi" w:hAnsiTheme="minorHAnsi" w:cs="Arial"/>
        </w:rPr>
      </w:pPr>
      <w:r>
        <w:rPr>
          <w:lang w:eastAsia="ja-JP"/>
        </w:rPr>
        <w:t xml:space="preserve">The dose finding data for inotuzumab ozogamicin based on the </w:t>
      </w:r>
      <w:r w:rsidR="00E86989">
        <w:rPr>
          <w:lang w:eastAsia="ja-JP"/>
        </w:rPr>
        <w:t>investigator initiated</w:t>
      </w:r>
      <w:r>
        <w:rPr>
          <w:lang w:eastAsia="ja-JP"/>
        </w:rPr>
        <w:t xml:space="preserve"> </w:t>
      </w:r>
      <w:r w:rsidR="00503681">
        <w:rPr>
          <w:lang w:eastAsia="ja-JP"/>
        </w:rPr>
        <w:t>Study</w:t>
      </w:r>
      <w:r w:rsidR="00EB51B1">
        <w:rPr>
          <w:lang w:eastAsia="ja-JP"/>
        </w:rPr>
        <w:t> </w:t>
      </w:r>
      <w:r w:rsidR="00E86989">
        <w:rPr>
          <w:rFonts w:asciiTheme="minorHAnsi" w:eastAsiaTheme="minorHAnsi" w:hAnsiTheme="minorHAnsi" w:cs="Arial"/>
        </w:rPr>
        <w:t>2009-0872</w:t>
      </w:r>
      <w:r>
        <w:rPr>
          <w:rFonts w:asciiTheme="minorHAnsi" w:eastAsiaTheme="minorHAnsi" w:hAnsiTheme="minorHAnsi" w:cs="Arial"/>
        </w:rPr>
        <w:t xml:space="preserve"> and the </w:t>
      </w:r>
      <w:r w:rsidR="00503681">
        <w:rPr>
          <w:rFonts w:asciiTheme="minorHAnsi" w:eastAsiaTheme="minorHAnsi" w:hAnsiTheme="minorHAnsi" w:cs="Arial"/>
        </w:rPr>
        <w:t>Pfizer sponsored</w:t>
      </w:r>
      <w:r>
        <w:rPr>
          <w:rFonts w:asciiTheme="minorHAnsi" w:eastAsiaTheme="minorHAnsi" w:hAnsiTheme="minorHAnsi" w:cs="Arial"/>
        </w:rPr>
        <w:t xml:space="preserve"> </w:t>
      </w:r>
      <w:r w:rsidR="00503681">
        <w:rPr>
          <w:rFonts w:asciiTheme="minorHAnsi" w:eastAsiaTheme="minorHAnsi" w:hAnsiTheme="minorHAnsi" w:cs="Arial"/>
        </w:rPr>
        <w:t>Study</w:t>
      </w:r>
      <w:r w:rsidR="00E86989">
        <w:rPr>
          <w:rFonts w:asciiTheme="minorHAnsi" w:eastAsiaTheme="minorHAnsi" w:hAnsiTheme="minorHAnsi" w:cs="Arial"/>
        </w:rPr>
        <w:t xml:space="preserve"> B1931010</w:t>
      </w:r>
      <w:r>
        <w:rPr>
          <w:rFonts w:asciiTheme="minorHAnsi" w:eastAsiaTheme="minorHAnsi" w:hAnsiTheme="minorHAnsi" w:cs="Arial"/>
        </w:rPr>
        <w:t xml:space="preserve"> in </w:t>
      </w:r>
      <w:r w:rsidR="00E86989">
        <w:rPr>
          <w:rFonts w:asciiTheme="minorHAnsi" w:eastAsiaTheme="minorHAnsi" w:hAnsiTheme="minorHAnsi" w:cs="Arial"/>
        </w:rPr>
        <w:t>high risk</w:t>
      </w:r>
      <w:r>
        <w:rPr>
          <w:rFonts w:asciiTheme="minorHAnsi" w:eastAsiaTheme="minorHAnsi" w:hAnsiTheme="minorHAnsi" w:cs="Arial"/>
        </w:rPr>
        <w:t xml:space="preserve"> patients with relapsed or refractory ALL are considered to be satisfactory</w:t>
      </w:r>
      <w:r w:rsidR="00503681">
        <w:rPr>
          <w:rFonts w:asciiTheme="minorHAnsi" w:eastAsiaTheme="minorHAnsi" w:hAnsiTheme="minorHAnsi" w:cs="Arial"/>
        </w:rPr>
        <w:t>.</w:t>
      </w:r>
    </w:p>
    <w:p w14:paraId="3FFA4CA8" w14:textId="77777777" w:rsidR="008E7846" w:rsidRPr="00E86989" w:rsidRDefault="008E7846" w:rsidP="00E86989">
      <w:pPr>
        <w:pStyle w:val="Heading3"/>
      </w:pPr>
      <w:bookmarkStart w:id="106" w:name="_Toc163441372"/>
      <w:bookmarkStart w:id="107" w:name="_Toc196046485"/>
      <w:bookmarkStart w:id="108" w:name="_Toc247691521"/>
      <w:bookmarkStart w:id="109" w:name="_Toc314842504"/>
      <w:bookmarkStart w:id="110" w:name="_Toc16505603"/>
      <w:r w:rsidRPr="00E86989">
        <w:t>Efficacy</w:t>
      </w:r>
      <w:bookmarkEnd w:id="106"/>
      <w:bookmarkEnd w:id="107"/>
      <w:bookmarkEnd w:id="108"/>
      <w:bookmarkEnd w:id="109"/>
      <w:bookmarkEnd w:id="110"/>
    </w:p>
    <w:p w14:paraId="005B934A" w14:textId="77777777" w:rsidR="00605AD4" w:rsidRPr="00E86989" w:rsidRDefault="00605AD4" w:rsidP="00E86989">
      <w:pPr>
        <w:pStyle w:val="Heading4"/>
      </w:pPr>
      <w:bookmarkStart w:id="111" w:name="_Toc184439992"/>
      <w:bookmarkStart w:id="112" w:name="_Toc184440279"/>
      <w:bookmarkStart w:id="113" w:name="_Toc184444657"/>
      <w:bookmarkStart w:id="114" w:name="_Toc196046487"/>
      <w:r w:rsidRPr="00E86989">
        <w:t>Studies providing efficacy data</w:t>
      </w:r>
    </w:p>
    <w:p w14:paraId="542E3195" w14:textId="292D4FB5" w:rsidR="00503681" w:rsidRDefault="007F237B" w:rsidP="00E86989">
      <w:pPr>
        <w:rPr>
          <w:lang w:eastAsia="ja-JP"/>
        </w:rPr>
      </w:pPr>
      <w:r w:rsidRPr="009D0369">
        <w:rPr>
          <w:lang w:eastAsia="ja-JP"/>
        </w:rPr>
        <w:t xml:space="preserve">Two </w:t>
      </w:r>
      <w:r w:rsidR="00E86989">
        <w:rPr>
          <w:lang w:eastAsia="ja-JP"/>
        </w:rPr>
        <w:t>open label</w:t>
      </w:r>
      <w:r>
        <w:rPr>
          <w:lang w:eastAsia="ja-JP"/>
        </w:rPr>
        <w:t xml:space="preserve"> </w:t>
      </w:r>
      <w:r w:rsidRPr="009D0369">
        <w:rPr>
          <w:lang w:eastAsia="ja-JP"/>
        </w:rPr>
        <w:t xml:space="preserve">studies provided evaluable efficacy data for </w:t>
      </w:r>
      <w:r>
        <w:rPr>
          <w:lang w:eastAsia="ja-JP"/>
        </w:rPr>
        <w:t>the proposed indication in patients with relapsed or refractory ALL, including one pivotal</w:t>
      </w:r>
      <w:r w:rsidR="00AC6DBC">
        <w:rPr>
          <w:lang w:eastAsia="ja-JP"/>
        </w:rPr>
        <w:t xml:space="preserve"> </w:t>
      </w:r>
      <w:r w:rsidR="001D0208">
        <w:rPr>
          <w:lang w:eastAsia="ja-JP"/>
        </w:rPr>
        <w:t>Phase III</w:t>
      </w:r>
      <w:r>
        <w:rPr>
          <w:lang w:eastAsia="ja-JP"/>
        </w:rPr>
        <w:t xml:space="preserve"> </w:t>
      </w:r>
      <w:r w:rsidR="00503681">
        <w:rPr>
          <w:lang w:eastAsia="ja-JP"/>
        </w:rPr>
        <w:t>Study</w:t>
      </w:r>
      <w:r w:rsidR="00AC6DBC">
        <w:rPr>
          <w:lang w:eastAsia="ja-JP"/>
        </w:rPr>
        <w:t> </w:t>
      </w:r>
      <w:r w:rsidR="00E86989">
        <w:rPr>
          <w:lang w:eastAsia="ja-JP"/>
        </w:rPr>
        <w:t>B1931022</w:t>
      </w:r>
      <w:r w:rsidR="00AC6DBC">
        <w:rPr>
          <w:lang w:eastAsia="ja-JP"/>
        </w:rPr>
        <w:t>;</w:t>
      </w:r>
      <w:r>
        <w:rPr>
          <w:lang w:eastAsia="ja-JP"/>
        </w:rPr>
        <w:t xml:space="preserve"> and one supportive </w:t>
      </w:r>
      <w:proofErr w:type="gramStart"/>
      <w:r w:rsidR="001D0208">
        <w:rPr>
          <w:lang w:eastAsia="ja-JP"/>
        </w:rPr>
        <w:t>Phase</w:t>
      </w:r>
      <w:proofErr w:type="gramEnd"/>
      <w:r w:rsidR="001D0208">
        <w:rPr>
          <w:lang w:eastAsia="ja-JP"/>
        </w:rPr>
        <w:t xml:space="preserve"> I/II</w:t>
      </w:r>
      <w:r>
        <w:rPr>
          <w:lang w:eastAsia="ja-JP"/>
        </w:rPr>
        <w:t xml:space="preserve"> </w:t>
      </w:r>
      <w:r w:rsidR="00503681">
        <w:rPr>
          <w:lang w:eastAsia="ja-JP"/>
        </w:rPr>
        <w:t>Study</w:t>
      </w:r>
      <w:r w:rsidR="00E86989">
        <w:rPr>
          <w:lang w:eastAsia="ja-JP"/>
        </w:rPr>
        <w:t xml:space="preserve"> B1931010</w:t>
      </w:r>
      <w:r>
        <w:rPr>
          <w:lang w:eastAsia="ja-JP"/>
        </w:rPr>
        <w:t>. Both studies have been fully evaluated</w:t>
      </w:r>
      <w:r w:rsidR="00503681">
        <w:rPr>
          <w:lang w:eastAsia="ja-JP"/>
        </w:rPr>
        <w:t>.</w:t>
      </w:r>
    </w:p>
    <w:p w14:paraId="0B3107B6" w14:textId="1F124593" w:rsidR="00503681" w:rsidRDefault="007F237B" w:rsidP="00E86989">
      <w:pPr>
        <w:rPr>
          <w:lang w:eastAsia="ja-JP"/>
        </w:rPr>
      </w:pPr>
      <w:r w:rsidRPr="009D0369">
        <w:rPr>
          <w:lang w:eastAsia="ja-JP"/>
        </w:rPr>
        <w:t xml:space="preserve">The pivotal </w:t>
      </w:r>
      <w:r w:rsidR="001D0208">
        <w:rPr>
          <w:lang w:eastAsia="ja-JP"/>
        </w:rPr>
        <w:t>Phase III</w:t>
      </w:r>
      <w:r w:rsidRPr="009D0369">
        <w:rPr>
          <w:lang w:eastAsia="ja-JP"/>
        </w:rPr>
        <w:t xml:space="preserve"> </w:t>
      </w:r>
      <w:r w:rsidR="00503681">
        <w:rPr>
          <w:lang w:eastAsia="ja-JP"/>
        </w:rPr>
        <w:t>Study</w:t>
      </w:r>
      <w:r w:rsidRPr="009D0369">
        <w:rPr>
          <w:lang w:eastAsia="ja-JP"/>
        </w:rPr>
        <w:t xml:space="preserve"> </w:t>
      </w:r>
      <w:r w:rsidR="00E86989">
        <w:rPr>
          <w:lang w:eastAsia="ja-JP"/>
        </w:rPr>
        <w:t>B1931022</w:t>
      </w:r>
      <w:r>
        <w:rPr>
          <w:lang w:eastAsia="ja-JP"/>
        </w:rPr>
        <w:t xml:space="preserve"> </w:t>
      </w:r>
      <w:r w:rsidRPr="009D0369">
        <w:rPr>
          <w:lang w:eastAsia="ja-JP"/>
        </w:rPr>
        <w:t>in</w:t>
      </w:r>
      <w:r>
        <w:rPr>
          <w:lang w:eastAsia="ja-JP"/>
        </w:rPr>
        <w:t>cluded</w:t>
      </w:r>
      <w:r w:rsidRPr="009D0369">
        <w:rPr>
          <w:lang w:eastAsia="ja-JP"/>
        </w:rPr>
        <w:t xml:space="preserve"> patients randomised 1:1 to </w:t>
      </w:r>
      <w:r w:rsidR="00E86989">
        <w:rPr>
          <w:lang w:eastAsia="ja-JP"/>
        </w:rPr>
        <w:t>open label</w:t>
      </w:r>
      <w:r w:rsidRPr="009D0369">
        <w:rPr>
          <w:lang w:eastAsia="ja-JP"/>
        </w:rPr>
        <w:t xml:space="preserve"> treatment with either inotuzumab ozogamicin (n</w:t>
      </w:r>
      <w:r w:rsidR="0014606A">
        <w:rPr>
          <w:lang w:eastAsia="ja-JP"/>
        </w:rPr>
        <w:t xml:space="preserve"> = </w:t>
      </w:r>
      <w:r w:rsidRPr="009D0369">
        <w:rPr>
          <w:lang w:eastAsia="ja-JP"/>
        </w:rPr>
        <w:t>164) or investigator’s choice (n</w:t>
      </w:r>
      <w:r w:rsidR="0014606A">
        <w:rPr>
          <w:lang w:eastAsia="ja-JP"/>
        </w:rPr>
        <w:t xml:space="preserve"> = </w:t>
      </w:r>
      <w:r w:rsidRPr="009D0369">
        <w:rPr>
          <w:lang w:eastAsia="ja-JP"/>
        </w:rPr>
        <w:t>162) of one of three pre</w:t>
      </w:r>
      <w:r>
        <w:rPr>
          <w:lang w:eastAsia="ja-JP"/>
        </w:rPr>
        <w:t>-</w:t>
      </w:r>
      <w:r w:rsidRPr="009D0369">
        <w:rPr>
          <w:lang w:eastAsia="ja-JP"/>
        </w:rPr>
        <w:t>defined treatment regimens. The pivotal study included the</w:t>
      </w:r>
      <w:r>
        <w:rPr>
          <w:lang w:eastAsia="ja-JP"/>
        </w:rPr>
        <w:t xml:space="preserve"> proposed dosage regimen of 1.8 mg/</w:t>
      </w:r>
      <w:r w:rsidR="00F769DD" w:rsidRPr="00AA53F4">
        <w:rPr>
          <w:lang w:val="en-US"/>
        </w:rPr>
        <w:t>m</w:t>
      </w:r>
      <w:r w:rsidR="00F769DD" w:rsidRPr="00F769DD">
        <w:rPr>
          <w:vertAlign w:val="superscript"/>
          <w:lang w:val="en-US"/>
        </w:rPr>
        <w:t>2</w:t>
      </w:r>
      <w:r>
        <w:rPr>
          <w:lang w:eastAsia="ja-JP"/>
        </w:rPr>
        <w:t xml:space="preserve"> in cycle 1 administered at a dose of 0.8 mg/</w:t>
      </w:r>
      <w:r w:rsidR="00F769DD" w:rsidRPr="00AA53F4">
        <w:rPr>
          <w:lang w:val="en-US"/>
        </w:rPr>
        <w:t>m</w:t>
      </w:r>
      <w:r w:rsidR="00F769DD" w:rsidRPr="00F769DD">
        <w:rPr>
          <w:vertAlign w:val="superscript"/>
          <w:lang w:val="en-US"/>
        </w:rPr>
        <w:t>2</w:t>
      </w:r>
      <w:r>
        <w:rPr>
          <w:lang w:eastAsia="ja-JP"/>
        </w:rPr>
        <w:t xml:space="preserve"> </w:t>
      </w:r>
      <w:r w:rsidRPr="009D0369">
        <w:rPr>
          <w:lang w:eastAsia="ja-JP"/>
        </w:rPr>
        <w:t>on</w:t>
      </w:r>
      <w:r>
        <w:rPr>
          <w:lang w:eastAsia="ja-JP"/>
        </w:rPr>
        <w:t xml:space="preserve"> </w:t>
      </w:r>
      <w:r w:rsidR="00AF6A3A">
        <w:rPr>
          <w:lang w:eastAsia="ja-JP"/>
        </w:rPr>
        <w:t>Day</w:t>
      </w:r>
      <w:r w:rsidR="00AC6DBC">
        <w:rPr>
          <w:lang w:eastAsia="ja-JP"/>
        </w:rPr>
        <w:t> </w:t>
      </w:r>
      <w:r>
        <w:rPr>
          <w:lang w:eastAsia="ja-JP"/>
        </w:rPr>
        <w:t>1 and 0.5 mg/</w:t>
      </w:r>
      <w:r w:rsidR="00F769DD" w:rsidRPr="00AA53F4">
        <w:rPr>
          <w:lang w:val="en-US"/>
        </w:rPr>
        <w:t>m</w:t>
      </w:r>
      <w:r w:rsidR="00F769DD" w:rsidRPr="00F769DD">
        <w:rPr>
          <w:vertAlign w:val="superscript"/>
          <w:lang w:val="en-US"/>
        </w:rPr>
        <w:t>2</w:t>
      </w:r>
      <w:r>
        <w:rPr>
          <w:vertAlign w:val="superscript"/>
          <w:lang w:eastAsia="ja-JP"/>
        </w:rPr>
        <w:t xml:space="preserve"> </w:t>
      </w:r>
      <w:r>
        <w:rPr>
          <w:lang w:eastAsia="ja-JP"/>
        </w:rPr>
        <w:t xml:space="preserve">on </w:t>
      </w:r>
      <w:r w:rsidR="00AF6A3A">
        <w:rPr>
          <w:lang w:eastAsia="ja-JP"/>
        </w:rPr>
        <w:t>Day</w:t>
      </w:r>
      <w:r>
        <w:rPr>
          <w:lang w:eastAsia="ja-JP"/>
        </w:rPr>
        <w:t>s 8 and 15 for 21 days, with cycle lengthening to 28 days for patients who achieved a response and/or to allow recovery from toxicity, and subsequent dose reduction in responders to 1.5 mg/</w:t>
      </w:r>
      <w:r w:rsidR="00F769DD" w:rsidRPr="00AA53F4">
        <w:rPr>
          <w:lang w:val="en-US"/>
        </w:rPr>
        <w:t>m</w:t>
      </w:r>
      <w:r w:rsidR="00F769DD" w:rsidRPr="00F769DD">
        <w:rPr>
          <w:vertAlign w:val="superscript"/>
          <w:lang w:val="en-US"/>
        </w:rPr>
        <w:t>2</w:t>
      </w:r>
      <w:r>
        <w:rPr>
          <w:lang w:eastAsia="ja-JP"/>
        </w:rPr>
        <w:t>/cycle at a dose of 0.5 mg/</w:t>
      </w:r>
      <w:r w:rsidR="00F769DD" w:rsidRPr="00AA53F4">
        <w:rPr>
          <w:lang w:val="en-US"/>
        </w:rPr>
        <w:t>m</w:t>
      </w:r>
      <w:r w:rsidR="00F769DD" w:rsidRPr="00F769DD">
        <w:rPr>
          <w:vertAlign w:val="superscript"/>
          <w:lang w:val="en-US"/>
        </w:rPr>
        <w:t>2</w:t>
      </w:r>
      <w:r>
        <w:rPr>
          <w:lang w:eastAsia="ja-JP"/>
        </w:rPr>
        <w:t xml:space="preserve"> on </w:t>
      </w:r>
      <w:r w:rsidR="00AF6A3A">
        <w:rPr>
          <w:lang w:eastAsia="ja-JP"/>
        </w:rPr>
        <w:t>Day</w:t>
      </w:r>
      <w:r>
        <w:rPr>
          <w:lang w:eastAsia="ja-JP"/>
        </w:rPr>
        <w:t>s 1, 8 and 15)</w:t>
      </w:r>
      <w:r w:rsidR="00503681">
        <w:rPr>
          <w:lang w:eastAsia="ja-JP"/>
        </w:rPr>
        <w:t>.</w:t>
      </w:r>
    </w:p>
    <w:p w14:paraId="7301862A" w14:textId="1B03EC53" w:rsidR="00500337" w:rsidRPr="00500337" w:rsidRDefault="007F237B" w:rsidP="00E86989">
      <w:r w:rsidRPr="009D0369">
        <w:rPr>
          <w:lang w:eastAsia="ja-JP"/>
        </w:rPr>
        <w:t xml:space="preserve">The supportive single-arm </w:t>
      </w:r>
      <w:r w:rsidR="001D0208">
        <w:rPr>
          <w:lang w:eastAsia="ja-JP"/>
        </w:rPr>
        <w:t>Phase I/II</w:t>
      </w:r>
      <w:r w:rsidRPr="009D0369">
        <w:rPr>
          <w:lang w:eastAsia="ja-JP"/>
        </w:rPr>
        <w:t xml:space="preserve"> </w:t>
      </w:r>
      <w:r w:rsidR="00503681">
        <w:rPr>
          <w:lang w:eastAsia="ja-JP"/>
        </w:rPr>
        <w:t>Study</w:t>
      </w:r>
      <w:r w:rsidRPr="009D0369">
        <w:rPr>
          <w:lang w:eastAsia="ja-JP"/>
        </w:rPr>
        <w:t xml:space="preserve"> </w:t>
      </w:r>
      <w:r>
        <w:rPr>
          <w:lang w:eastAsia="ja-JP"/>
        </w:rPr>
        <w:t xml:space="preserve">(B1931010) </w:t>
      </w:r>
      <w:r w:rsidRPr="009D0369">
        <w:rPr>
          <w:lang w:eastAsia="ja-JP"/>
        </w:rPr>
        <w:t>included a total 72 patients tre</w:t>
      </w:r>
      <w:r>
        <w:rPr>
          <w:lang w:eastAsia="ja-JP"/>
        </w:rPr>
        <w:t>ated with inotuzumab ozogamicin</w:t>
      </w:r>
      <w:r w:rsidRPr="009D0369">
        <w:rPr>
          <w:lang w:eastAsia="ja-JP"/>
        </w:rPr>
        <w:t xml:space="preserve">, including 37 patients in Phase 1 </w:t>
      </w:r>
      <w:r>
        <w:rPr>
          <w:lang w:eastAsia="ja-JP"/>
        </w:rPr>
        <w:t>(</w:t>
      </w:r>
      <w:r w:rsidR="00E86989">
        <w:rPr>
          <w:lang w:eastAsia="ja-JP"/>
        </w:rPr>
        <w:t>dose finding</w:t>
      </w:r>
      <w:r>
        <w:rPr>
          <w:lang w:eastAsia="ja-JP"/>
        </w:rPr>
        <w:t xml:space="preserve">) </w:t>
      </w:r>
      <w:r w:rsidRPr="009D0369">
        <w:rPr>
          <w:lang w:eastAsia="ja-JP"/>
        </w:rPr>
        <w:t>treated with a total dose of 1.2 mg/</w:t>
      </w:r>
      <w:r w:rsidR="00F769DD" w:rsidRPr="00AA53F4">
        <w:rPr>
          <w:lang w:val="en-US"/>
        </w:rPr>
        <w:t>m</w:t>
      </w:r>
      <w:r w:rsidR="00F769DD" w:rsidRPr="00F769DD">
        <w:rPr>
          <w:vertAlign w:val="superscript"/>
          <w:lang w:val="en-US"/>
        </w:rPr>
        <w:t>2</w:t>
      </w:r>
      <w:r>
        <w:rPr>
          <w:lang w:eastAsia="ja-JP"/>
        </w:rPr>
        <w:t xml:space="preserve"> (n</w:t>
      </w:r>
      <w:r w:rsidR="0014606A">
        <w:rPr>
          <w:lang w:eastAsia="ja-JP"/>
        </w:rPr>
        <w:t xml:space="preserve"> = </w:t>
      </w:r>
      <w:r>
        <w:rPr>
          <w:lang w:eastAsia="ja-JP"/>
        </w:rPr>
        <w:t>3), 1.6 mg/</w:t>
      </w:r>
      <w:r w:rsidR="00F769DD" w:rsidRPr="00AA53F4">
        <w:rPr>
          <w:lang w:val="en-US"/>
        </w:rPr>
        <w:t>m</w:t>
      </w:r>
      <w:r w:rsidR="00F769DD" w:rsidRPr="00F769DD">
        <w:rPr>
          <w:vertAlign w:val="superscript"/>
          <w:lang w:val="en-US"/>
        </w:rPr>
        <w:t>2</w:t>
      </w:r>
      <w:r>
        <w:rPr>
          <w:lang w:eastAsia="ja-JP"/>
        </w:rPr>
        <w:t xml:space="preserve"> </w:t>
      </w:r>
      <w:r w:rsidRPr="009D0369">
        <w:rPr>
          <w:lang w:eastAsia="ja-JP"/>
        </w:rPr>
        <w:t>(n</w:t>
      </w:r>
      <w:r w:rsidR="0014606A">
        <w:rPr>
          <w:lang w:eastAsia="ja-JP"/>
        </w:rPr>
        <w:t xml:space="preserve"> = </w:t>
      </w:r>
      <w:r>
        <w:rPr>
          <w:lang w:eastAsia="ja-JP"/>
        </w:rPr>
        <w:t>12</w:t>
      </w:r>
      <w:r w:rsidRPr="009D0369">
        <w:rPr>
          <w:lang w:eastAsia="ja-JP"/>
        </w:rPr>
        <w:t xml:space="preserve">), </w:t>
      </w:r>
      <w:r>
        <w:rPr>
          <w:lang w:eastAsia="ja-JP"/>
        </w:rPr>
        <w:t>1.8 mg/</w:t>
      </w:r>
      <w:r w:rsidR="00F769DD" w:rsidRPr="00AA53F4">
        <w:rPr>
          <w:lang w:val="en-US"/>
        </w:rPr>
        <w:t>m</w:t>
      </w:r>
      <w:r w:rsidR="00F769DD" w:rsidRPr="00F769DD">
        <w:rPr>
          <w:vertAlign w:val="superscript"/>
          <w:lang w:val="en-US"/>
        </w:rPr>
        <w:t>2</w:t>
      </w:r>
      <w:r>
        <w:rPr>
          <w:lang w:eastAsia="ja-JP"/>
        </w:rPr>
        <w:t xml:space="preserve"> (n</w:t>
      </w:r>
      <w:r w:rsidR="0014606A">
        <w:rPr>
          <w:lang w:eastAsia="ja-JP"/>
        </w:rPr>
        <w:t xml:space="preserve"> = </w:t>
      </w:r>
      <w:r>
        <w:rPr>
          <w:lang w:eastAsia="ja-JP"/>
        </w:rPr>
        <w:t>9), 13</w:t>
      </w:r>
      <w:r w:rsidR="00AC6DBC">
        <w:rPr>
          <w:lang w:eastAsia="ja-JP"/>
        </w:rPr>
        <w:t> </w:t>
      </w:r>
      <w:r>
        <w:rPr>
          <w:lang w:eastAsia="ja-JP"/>
        </w:rPr>
        <w:t xml:space="preserve">patients in the dose expansion cohort and 35 patients </w:t>
      </w:r>
      <w:r w:rsidRPr="009D0369">
        <w:rPr>
          <w:lang w:eastAsia="ja-JP"/>
        </w:rPr>
        <w:t>in Phase 2</w:t>
      </w:r>
      <w:r w:rsidR="006779D9">
        <w:rPr>
          <w:lang w:eastAsia="ja-JP"/>
        </w:rPr>
        <w:t xml:space="preserve"> </w:t>
      </w:r>
      <w:r w:rsidRPr="009D0369">
        <w:rPr>
          <w:lang w:eastAsia="ja-JP"/>
        </w:rPr>
        <w:t>treated with 1.8 mg/</w:t>
      </w:r>
      <w:r w:rsidR="00F769DD" w:rsidRPr="00AA53F4">
        <w:rPr>
          <w:lang w:val="en-US"/>
        </w:rPr>
        <w:t>m</w:t>
      </w:r>
      <w:r w:rsidR="00F769DD" w:rsidRPr="00F769DD">
        <w:rPr>
          <w:vertAlign w:val="superscript"/>
          <w:lang w:val="en-US"/>
        </w:rPr>
        <w:t>2</w:t>
      </w:r>
      <w:r w:rsidRPr="009D0369">
        <w:rPr>
          <w:lang w:eastAsia="ja-JP"/>
        </w:rPr>
        <w:t xml:space="preserve">/cycle </w:t>
      </w:r>
      <w:r w:rsidRPr="009D0369">
        <w:rPr>
          <w:rFonts w:eastAsiaTheme="minorHAnsi" w:cs="TimesNewRoman"/>
        </w:rPr>
        <w:t>administered at a dose of 0.8 mg/</w:t>
      </w:r>
      <w:r w:rsidR="00F769DD" w:rsidRPr="00AA53F4">
        <w:rPr>
          <w:lang w:val="en-US"/>
        </w:rPr>
        <w:t>m</w:t>
      </w:r>
      <w:r w:rsidR="00F769DD" w:rsidRPr="00F769DD">
        <w:rPr>
          <w:vertAlign w:val="superscript"/>
          <w:lang w:val="en-US"/>
        </w:rPr>
        <w:t>2</w:t>
      </w:r>
      <w:r w:rsidRPr="009D0369">
        <w:rPr>
          <w:rFonts w:eastAsiaTheme="minorHAnsi" w:cs="TimesNewRoman"/>
        </w:rPr>
        <w:t xml:space="preserve"> on Day 1 and 0.5 mg/</w:t>
      </w:r>
      <w:r w:rsidR="00F769DD" w:rsidRPr="00AA53F4">
        <w:rPr>
          <w:lang w:val="en-US"/>
        </w:rPr>
        <w:t>m</w:t>
      </w:r>
      <w:r w:rsidR="00F769DD" w:rsidRPr="00F769DD">
        <w:rPr>
          <w:vertAlign w:val="superscript"/>
          <w:lang w:val="en-US"/>
        </w:rPr>
        <w:t>2</w:t>
      </w:r>
      <w:r w:rsidRPr="009D0369">
        <w:rPr>
          <w:rFonts w:eastAsiaTheme="minorHAnsi" w:cs="TimesNewRoman"/>
        </w:rPr>
        <w:t xml:space="preserve"> on Days 8 and 15 of a </w:t>
      </w:r>
      <w:r w:rsidR="00503681">
        <w:rPr>
          <w:rFonts w:eastAsiaTheme="minorHAnsi" w:cs="TimesNewRoman"/>
        </w:rPr>
        <w:t>28 day</w:t>
      </w:r>
      <w:r w:rsidRPr="009D0369">
        <w:rPr>
          <w:rFonts w:eastAsiaTheme="minorHAnsi" w:cs="TimesNewRoman"/>
        </w:rPr>
        <w:t xml:space="preserve"> cycle with a dose reduction upon achieving CR/</w:t>
      </w:r>
      <w:proofErr w:type="spellStart"/>
      <w:r w:rsidRPr="009D0369">
        <w:rPr>
          <w:rFonts w:eastAsiaTheme="minorHAnsi" w:cs="TimesNewRoman"/>
        </w:rPr>
        <w:t>CRi</w:t>
      </w:r>
      <w:proofErr w:type="spellEnd"/>
      <w:r w:rsidRPr="009D0369">
        <w:rPr>
          <w:rFonts w:eastAsiaTheme="minorHAnsi" w:cs="TimesNewRoman"/>
        </w:rPr>
        <w:t>.</w:t>
      </w:r>
      <w:r>
        <w:rPr>
          <w:rFonts w:eastAsiaTheme="minorHAnsi" w:cs="TimesNewRoman"/>
        </w:rPr>
        <w:t xml:space="preserve"> The dose finding data from the </w:t>
      </w:r>
      <w:r w:rsidR="00E86989">
        <w:rPr>
          <w:rFonts w:eastAsiaTheme="minorHAnsi" w:cs="TimesNewRoman"/>
        </w:rPr>
        <w:t>supportive study used to define</w:t>
      </w:r>
      <w:r>
        <w:rPr>
          <w:rFonts w:eastAsiaTheme="minorHAnsi" w:cs="TimesNewRoman"/>
        </w:rPr>
        <w:t xml:space="preserve"> the most appropriate dose for the pivotal study.</w:t>
      </w:r>
    </w:p>
    <w:p w14:paraId="1C84EA2D" w14:textId="77777777" w:rsidR="008E7846" w:rsidRPr="00E86989" w:rsidRDefault="00605AD4" w:rsidP="00E86989">
      <w:pPr>
        <w:pStyle w:val="Heading4"/>
      </w:pPr>
      <w:r w:rsidRPr="00E86989">
        <w:t>Evaluator’s conclusions on efficacy</w:t>
      </w:r>
    </w:p>
    <w:p w14:paraId="32188FFF" w14:textId="77777777" w:rsidR="00503681" w:rsidRDefault="007F237B" w:rsidP="00E86989">
      <w:pPr>
        <w:rPr>
          <w:lang w:eastAsia="ja-JP"/>
        </w:rPr>
      </w:pPr>
      <w:r>
        <w:rPr>
          <w:lang w:eastAsia="ja-JP"/>
        </w:rPr>
        <w:t xml:space="preserve">The primary efficacy data supporting the application to register inotuzumab ozogamicin for the proposed indication was provided by one pivotal </w:t>
      </w:r>
      <w:r w:rsidR="001D0208">
        <w:rPr>
          <w:lang w:eastAsia="ja-JP"/>
        </w:rPr>
        <w:t>Phase III</w:t>
      </w:r>
      <w:r>
        <w:rPr>
          <w:lang w:eastAsia="ja-JP"/>
        </w:rPr>
        <w:t xml:space="preserve"> </w:t>
      </w:r>
      <w:r w:rsidR="00503681">
        <w:rPr>
          <w:lang w:eastAsia="ja-JP"/>
        </w:rPr>
        <w:t>Study</w:t>
      </w:r>
      <w:r w:rsidR="00E86989">
        <w:rPr>
          <w:lang w:eastAsia="ja-JP"/>
        </w:rPr>
        <w:t xml:space="preserve"> B1931022</w:t>
      </w:r>
      <w:r>
        <w:rPr>
          <w:lang w:eastAsia="ja-JP"/>
        </w:rPr>
        <w:t>. Supportive efficacy data were provided by one single-arm study in a heavily pre-treated group of patients with relapsed or refractory ALL. While the efficacy data for the proposed indication is limited it is considered adequate for inotuzumab ozogamicin, a designated orphan drug for an indication consistent with that being proposed for registration</w:t>
      </w:r>
      <w:r w:rsidR="00503681">
        <w:rPr>
          <w:lang w:eastAsia="ja-JP"/>
        </w:rPr>
        <w:t>.</w:t>
      </w:r>
    </w:p>
    <w:p w14:paraId="735906B2" w14:textId="77777777" w:rsidR="008E7846" w:rsidRPr="00E86989" w:rsidRDefault="008E7846" w:rsidP="00E86989">
      <w:pPr>
        <w:pStyle w:val="Heading3"/>
      </w:pPr>
      <w:bookmarkStart w:id="115" w:name="_Toc163441378"/>
      <w:bookmarkStart w:id="116" w:name="_Toc196046495"/>
      <w:bookmarkStart w:id="117" w:name="_Toc247691522"/>
      <w:bookmarkStart w:id="118" w:name="_Toc314842505"/>
      <w:bookmarkStart w:id="119" w:name="_Toc16505604"/>
      <w:bookmarkEnd w:id="111"/>
      <w:bookmarkEnd w:id="112"/>
      <w:bookmarkEnd w:id="113"/>
      <w:bookmarkEnd w:id="114"/>
      <w:r w:rsidRPr="00E86989">
        <w:t>Safety</w:t>
      </w:r>
      <w:bookmarkEnd w:id="115"/>
      <w:bookmarkEnd w:id="116"/>
      <w:bookmarkEnd w:id="117"/>
      <w:bookmarkEnd w:id="118"/>
      <w:bookmarkEnd w:id="119"/>
    </w:p>
    <w:p w14:paraId="3962CB6F" w14:textId="77777777" w:rsidR="00605AD4" w:rsidRPr="00E86989" w:rsidRDefault="00605AD4" w:rsidP="00E86989">
      <w:pPr>
        <w:pStyle w:val="Heading4"/>
      </w:pPr>
      <w:bookmarkStart w:id="120" w:name="_Toc247691524"/>
      <w:bookmarkStart w:id="121" w:name="_Toc314842508"/>
      <w:bookmarkStart w:id="122" w:name="_Toc196046504"/>
      <w:bookmarkStart w:id="123" w:name="_Toc163441390"/>
      <w:r w:rsidRPr="00E86989">
        <w:t>Studies providing safety data</w:t>
      </w:r>
    </w:p>
    <w:p w14:paraId="1E23230A" w14:textId="77777777" w:rsidR="007F237B" w:rsidRPr="00D232BF" w:rsidRDefault="007F237B" w:rsidP="00E86989">
      <w:r w:rsidRPr="00D232BF">
        <w:rPr>
          <w:lang w:eastAsia="ja-JP"/>
        </w:rPr>
        <w:t xml:space="preserve">The submission included a Summary of Clinical Safety (SCS) which included safety analyses </w:t>
      </w:r>
      <w:r w:rsidRPr="00D232BF">
        <w:t xml:space="preserve">performed in patients who received inotuzumab ozogamicin in </w:t>
      </w:r>
      <w:r>
        <w:t xml:space="preserve">11 </w:t>
      </w:r>
      <w:r w:rsidR="00503681">
        <w:t>Pfizer sponsored</w:t>
      </w:r>
      <w:r w:rsidRPr="00D232BF">
        <w:t xml:space="preserve"> clinical stud</w:t>
      </w:r>
      <w:r>
        <w:t xml:space="preserve">ies as well as in </w:t>
      </w:r>
      <w:r w:rsidR="00E86989">
        <w:t>investigator initiated</w:t>
      </w:r>
      <w:r>
        <w:t xml:space="preserve"> r</w:t>
      </w:r>
      <w:r w:rsidRPr="00D232BF">
        <w:t>esearch (IIR) studies and through compassionate use (CU)</w:t>
      </w:r>
      <w:r>
        <w:t xml:space="preserve"> programs</w:t>
      </w:r>
      <w:r w:rsidRPr="00D232BF">
        <w:t>.</w:t>
      </w:r>
      <w:r>
        <w:t xml:space="preserve"> </w:t>
      </w:r>
      <w:r w:rsidRPr="00D232BF">
        <w:t xml:space="preserve">The SCS focused on </w:t>
      </w:r>
      <w:r>
        <w:t>t</w:t>
      </w:r>
      <w:r w:rsidRPr="00D232BF">
        <w:t>he safety findings from the two studies in patients with rel</w:t>
      </w:r>
      <w:r>
        <w:t xml:space="preserve">apsed or refractory </w:t>
      </w:r>
      <w:r w:rsidR="006779D9">
        <w:t>B cell</w:t>
      </w:r>
      <w:r>
        <w:t xml:space="preserve"> ALL (</w:t>
      </w:r>
      <w:r w:rsidR="00503681">
        <w:t>that is</w:t>
      </w:r>
      <w:r>
        <w:t xml:space="preserve">, </w:t>
      </w:r>
      <w:r w:rsidRPr="00D232BF">
        <w:t>the pivotal ran</w:t>
      </w:r>
      <w:r>
        <w:t xml:space="preserve">domised </w:t>
      </w:r>
      <w:r w:rsidR="001D0208">
        <w:t>Phase III</w:t>
      </w:r>
      <w:r>
        <w:t xml:space="preserve"> Study B1931022 </w:t>
      </w:r>
      <w:r w:rsidRPr="00D232BF">
        <w:t xml:space="preserve">and the supportive </w:t>
      </w:r>
      <w:r w:rsidR="001D0208">
        <w:t>Phase I/II</w:t>
      </w:r>
      <w:r w:rsidRPr="00D232BF">
        <w:t xml:space="preserve"> </w:t>
      </w:r>
      <w:r w:rsidR="00503681">
        <w:t>Study</w:t>
      </w:r>
      <w:r w:rsidRPr="00D232BF">
        <w:t xml:space="preserve"> B1931010</w:t>
      </w:r>
      <w:r>
        <w:t>)</w:t>
      </w:r>
      <w:r w:rsidRPr="00D232BF">
        <w:t>.</w:t>
      </w:r>
      <w:r>
        <w:t xml:space="preserve"> </w:t>
      </w:r>
      <w:r w:rsidRPr="00D232BF">
        <w:t>The safety databases are summarised below:</w:t>
      </w:r>
    </w:p>
    <w:p w14:paraId="4503F593" w14:textId="008DF06B" w:rsidR="00E86989" w:rsidRDefault="00AC6DBC" w:rsidP="00E86989">
      <w:pPr>
        <w:pStyle w:val="Heading5"/>
        <w:rPr>
          <w:rFonts w:eastAsiaTheme="minorHAnsi"/>
        </w:rPr>
      </w:pPr>
      <w:r>
        <w:rPr>
          <w:rFonts w:eastAsiaTheme="minorHAnsi"/>
        </w:rPr>
        <w:t xml:space="preserve">Sponsor </w:t>
      </w:r>
      <w:r w:rsidR="00503681">
        <w:rPr>
          <w:rFonts w:eastAsiaTheme="minorHAnsi"/>
        </w:rPr>
        <w:t>sponsored</w:t>
      </w:r>
      <w:r w:rsidR="00E86989">
        <w:rPr>
          <w:rFonts w:eastAsiaTheme="minorHAnsi"/>
        </w:rPr>
        <w:t xml:space="preserve"> studies</w:t>
      </w:r>
    </w:p>
    <w:p w14:paraId="43F0D20F" w14:textId="77777777" w:rsidR="007F237B" w:rsidRDefault="007F237B" w:rsidP="00E86989">
      <w:r w:rsidRPr="00D232BF">
        <w:t xml:space="preserve">A total of 1207 patients were treated in 11 </w:t>
      </w:r>
      <w:r w:rsidR="00503681">
        <w:t>Pfizer sponsored</w:t>
      </w:r>
      <w:r w:rsidRPr="00D232BF">
        <w:t xml:space="preserve"> studies (Phases </w:t>
      </w:r>
      <w:r w:rsidR="00E86989">
        <w:t>I to III</w:t>
      </w:r>
      <w:r w:rsidRPr="00D232BF">
        <w:t xml:space="preserve">), including 880 (72.9%) patients who received at least 1 dose of inotuzumab ozogamicin, </w:t>
      </w:r>
      <w:r w:rsidRPr="00D232BF">
        <w:lastRenderedPageBreak/>
        <w:t>323 (26.8%) patients who received a comparator drug or drug regimen, and 4 (0.3%) patie</w:t>
      </w:r>
      <w:r>
        <w:t>nts who received only rituximab.</w:t>
      </w:r>
    </w:p>
    <w:p w14:paraId="08B75222" w14:textId="77777777" w:rsidR="00503681" w:rsidRDefault="007F237B" w:rsidP="00E86989">
      <w:r w:rsidRPr="00D232BF">
        <w:t xml:space="preserve">In the 2, </w:t>
      </w:r>
      <w:r w:rsidR="00E86989">
        <w:t>single agent</w:t>
      </w:r>
      <w:r>
        <w:t xml:space="preserve"> studies in patients with ALL, 307</w:t>
      </w:r>
      <w:r w:rsidRPr="00D232BF">
        <w:t xml:space="preserve"> patients were treate</w:t>
      </w:r>
      <w:r>
        <w:t xml:space="preserve">d in the pivotal </w:t>
      </w:r>
      <w:r w:rsidR="00503681">
        <w:t>Study</w:t>
      </w:r>
      <w:r>
        <w:t xml:space="preserve"> B1931022, including 164 patients treated with </w:t>
      </w:r>
      <w:r w:rsidRPr="00D232BF">
        <w:t>inotuzumab ozogamicin 1.8 mg/</w:t>
      </w:r>
      <w:r w:rsidR="00F769DD" w:rsidRPr="00AA53F4">
        <w:rPr>
          <w:lang w:val="en-US"/>
        </w:rPr>
        <w:t>m</w:t>
      </w:r>
      <w:r w:rsidR="00F769DD" w:rsidRPr="00F769DD">
        <w:rPr>
          <w:vertAlign w:val="superscript"/>
          <w:lang w:val="en-US"/>
        </w:rPr>
        <w:t>2</w:t>
      </w:r>
      <w:r>
        <w:t>/cycle reduced to 1.5 mg/</w:t>
      </w:r>
      <w:r w:rsidR="00F769DD" w:rsidRPr="00AA53F4">
        <w:rPr>
          <w:lang w:val="en-US"/>
        </w:rPr>
        <w:t>m</w:t>
      </w:r>
      <w:r w:rsidR="00F769DD" w:rsidRPr="00F769DD">
        <w:rPr>
          <w:vertAlign w:val="superscript"/>
          <w:lang w:val="en-US"/>
        </w:rPr>
        <w:t>2</w:t>
      </w:r>
      <w:r w:rsidRPr="00D232BF">
        <w:t xml:space="preserve">/cycle for </w:t>
      </w:r>
      <w:r>
        <w:t xml:space="preserve">responders and 143 patients treated with control, and </w:t>
      </w:r>
      <w:r w:rsidRPr="00D232BF">
        <w:t xml:space="preserve">72 patients </w:t>
      </w:r>
      <w:r>
        <w:t xml:space="preserve">were treated </w:t>
      </w:r>
      <w:r w:rsidRPr="00D232BF">
        <w:t xml:space="preserve">with inotuzumab ozogamicin </w:t>
      </w:r>
      <w:r>
        <w:t xml:space="preserve">at </w:t>
      </w:r>
      <w:r w:rsidRPr="00D232BF">
        <w:t>dose levels of 1.2 to 1.8 mg/</w:t>
      </w:r>
      <w:r w:rsidR="00F769DD" w:rsidRPr="00AA53F4">
        <w:rPr>
          <w:lang w:val="en-US"/>
        </w:rPr>
        <w:t>m</w:t>
      </w:r>
      <w:r w:rsidR="00F769DD" w:rsidRPr="00F769DD">
        <w:rPr>
          <w:vertAlign w:val="superscript"/>
          <w:lang w:val="en-US"/>
        </w:rPr>
        <w:t>2</w:t>
      </w:r>
      <w:r w:rsidRPr="00D232BF">
        <w:t>/cycle</w:t>
      </w:r>
      <w:r w:rsidRPr="00800B4C">
        <w:t xml:space="preserve"> </w:t>
      </w:r>
      <w:r>
        <w:t xml:space="preserve">in the supportive </w:t>
      </w:r>
      <w:r w:rsidR="00503681">
        <w:t>Study</w:t>
      </w:r>
      <w:r>
        <w:t xml:space="preserve"> B1931010</w:t>
      </w:r>
      <w:r w:rsidRPr="00D232BF">
        <w:t>, with 48 of these patients receiving inotuzumab ozogamicin at a dose level of 1.8 mg/</w:t>
      </w:r>
      <w:r w:rsidR="00F769DD" w:rsidRPr="00AA53F4">
        <w:rPr>
          <w:lang w:val="en-US"/>
        </w:rPr>
        <w:t>m</w:t>
      </w:r>
      <w:r w:rsidR="00F769DD" w:rsidRPr="00F769DD">
        <w:rPr>
          <w:vertAlign w:val="superscript"/>
          <w:lang w:val="en-US"/>
        </w:rPr>
        <w:t>2</w:t>
      </w:r>
      <w:r w:rsidRPr="00D232BF">
        <w:t>/cycle reduced to 1.6 mg/</w:t>
      </w:r>
      <w:r w:rsidR="00F769DD" w:rsidRPr="00AA53F4">
        <w:rPr>
          <w:lang w:val="en-US"/>
        </w:rPr>
        <w:t>m</w:t>
      </w:r>
      <w:r w:rsidR="00F769DD" w:rsidRPr="00F769DD">
        <w:rPr>
          <w:vertAlign w:val="superscript"/>
          <w:lang w:val="en-US"/>
        </w:rPr>
        <w:t>2</w:t>
      </w:r>
      <w:r w:rsidRPr="00D232BF">
        <w:t xml:space="preserve">/cycle for responders. </w:t>
      </w:r>
      <w:r>
        <w:t xml:space="preserve">The data </w:t>
      </w:r>
      <w:r w:rsidR="00E86989">
        <w:t>cut-off</w:t>
      </w:r>
      <w:r>
        <w:t xml:space="preserve"> dates in the SCS for the pivota</w:t>
      </w:r>
      <w:r w:rsidR="00E86989">
        <w:t>l and supportive studies were 8 </w:t>
      </w:r>
      <w:r>
        <w:t>March 2016 and 30 January 2015, respectively</w:t>
      </w:r>
      <w:r w:rsidR="00503681">
        <w:t>.</w:t>
      </w:r>
    </w:p>
    <w:p w14:paraId="7BD69D2B" w14:textId="604CD831" w:rsidR="00503681" w:rsidRDefault="007F237B" w:rsidP="00E86989">
      <w:r>
        <w:t xml:space="preserve">In the 9 </w:t>
      </w:r>
      <w:r w:rsidRPr="00D232BF">
        <w:t>NHL studies with inotuzumab ozogamicin alone or in combination with rituximab with or without chemotherapy, a total of 644 patients received inotuzumab ozogamicin (n</w:t>
      </w:r>
      <w:r w:rsidR="00EB51B1">
        <w:t> </w:t>
      </w:r>
      <w:r w:rsidR="0014606A">
        <w:t xml:space="preserve">= </w:t>
      </w:r>
      <w:r w:rsidRPr="00D232BF">
        <w:t xml:space="preserve">173, </w:t>
      </w:r>
      <w:r w:rsidR="00E86989">
        <w:t>single agent</w:t>
      </w:r>
      <w:r>
        <w:t xml:space="preserve"> </w:t>
      </w:r>
      <w:r w:rsidRPr="00D232BF">
        <w:t>inotuzumab ozogamicin; n</w:t>
      </w:r>
      <w:r w:rsidR="0014606A">
        <w:t xml:space="preserve"> = </w:t>
      </w:r>
      <w:r w:rsidRPr="00D232BF">
        <w:t>368, inotuzumab ozogamicin plus rituximab; n</w:t>
      </w:r>
      <w:r w:rsidR="0014606A">
        <w:t xml:space="preserve"> = </w:t>
      </w:r>
      <w:r w:rsidRPr="00D232BF">
        <w:t>103, inotuzumab ozogamicin plus rituximab plus multi-agent chemotherapy). An additional 4 patients in the inotuzumab ozogamicin plus rituximab arm of the combination studies received rituximab but did not receive inotuzumab ozogamicin</w:t>
      </w:r>
      <w:r w:rsidR="00503681">
        <w:t>.</w:t>
      </w:r>
    </w:p>
    <w:p w14:paraId="73586B03" w14:textId="77777777" w:rsidR="00E86989" w:rsidRDefault="00E86989" w:rsidP="00E86989">
      <w:pPr>
        <w:pStyle w:val="Heading5"/>
        <w:rPr>
          <w:rFonts w:eastAsiaTheme="minorHAnsi"/>
        </w:rPr>
      </w:pPr>
      <w:r>
        <w:rPr>
          <w:rFonts w:eastAsiaTheme="minorHAnsi"/>
        </w:rPr>
        <w:t>IIR and CU studies</w:t>
      </w:r>
    </w:p>
    <w:p w14:paraId="220E3D9D" w14:textId="77777777" w:rsidR="007F237B" w:rsidRPr="00D232BF" w:rsidRDefault="007F237B" w:rsidP="00E86989">
      <w:r w:rsidRPr="00D232BF">
        <w:t xml:space="preserve">Safety data from IIR studies and CU patients included only deaths and other serious adverse events (SAEs) obtained from the sponsor’s global safety database. In </w:t>
      </w:r>
      <w:r>
        <w:t xml:space="preserve">the </w:t>
      </w:r>
      <w:r w:rsidRPr="00D232BF">
        <w:t xml:space="preserve">IIR studies, as of the safety data </w:t>
      </w:r>
      <w:r w:rsidR="00E86989" w:rsidRPr="00D232BF">
        <w:t>cut-off</w:t>
      </w:r>
      <w:r w:rsidRPr="00D232BF">
        <w:t xml:space="preserve"> date of 30 June 2016, 307 patients </w:t>
      </w:r>
      <w:r>
        <w:t xml:space="preserve">had </w:t>
      </w:r>
      <w:r w:rsidRPr="00D232BF">
        <w:t xml:space="preserve">received either </w:t>
      </w:r>
      <w:r w:rsidR="00E86989">
        <w:t>single agent</w:t>
      </w:r>
      <w:r w:rsidRPr="00D232BF">
        <w:t xml:space="preserve"> inotuzumab ozogamicin or inotuzumab ozogamicin combined with other agents. For </w:t>
      </w:r>
      <w:r>
        <w:t xml:space="preserve">the </w:t>
      </w:r>
      <w:r w:rsidRPr="00D232BF">
        <w:t xml:space="preserve">CU patients, as of the safety data </w:t>
      </w:r>
      <w:r w:rsidR="00E86989">
        <w:t>cut-off</w:t>
      </w:r>
      <w:r w:rsidRPr="00D232BF">
        <w:t xml:space="preserve"> date of 30 June 2016, approximately 211 patients </w:t>
      </w:r>
      <w:r>
        <w:t xml:space="preserve">had </w:t>
      </w:r>
      <w:r w:rsidRPr="00D232BF">
        <w:t xml:space="preserve">received </w:t>
      </w:r>
      <w:r w:rsidR="00E86989">
        <w:t>single agent</w:t>
      </w:r>
      <w:r w:rsidRPr="00D232BF">
        <w:t xml:space="preserve"> inotuzumab ozogamicin for relapsed or refractory ALL or NHL after exhaustion of all other approved and available therapeutic options.</w:t>
      </w:r>
    </w:p>
    <w:p w14:paraId="175E7CB1" w14:textId="56B8849C" w:rsidR="007F237B" w:rsidRPr="00D232BF" w:rsidRDefault="00503681" w:rsidP="00E86989">
      <w:pPr>
        <w:pStyle w:val="Heading5"/>
      </w:pPr>
      <w:r>
        <w:t>Day 120</w:t>
      </w:r>
      <w:r w:rsidR="00E86989">
        <w:t xml:space="preserve"> </w:t>
      </w:r>
      <w:r w:rsidR="00EF795A">
        <w:t>safety update</w:t>
      </w:r>
    </w:p>
    <w:p w14:paraId="1EE23ECF" w14:textId="77777777" w:rsidR="00503681" w:rsidRDefault="007F237B" w:rsidP="00E86989">
      <w:pPr>
        <w:rPr>
          <w:color w:val="000000"/>
        </w:rPr>
      </w:pPr>
      <w:r w:rsidRPr="00D232BF">
        <w:t xml:space="preserve">The submission included a </w:t>
      </w:r>
      <w:r w:rsidR="00503681">
        <w:t>Day 120</w:t>
      </w:r>
      <w:r w:rsidRPr="00D232BF">
        <w:t xml:space="preserve"> </w:t>
      </w:r>
      <w:r>
        <w:t xml:space="preserve">Safety </w:t>
      </w:r>
      <w:r w:rsidRPr="00D232BF">
        <w:t xml:space="preserve">Update </w:t>
      </w:r>
      <w:r>
        <w:t xml:space="preserve">(SU) </w:t>
      </w:r>
      <w:r w:rsidRPr="00D232BF">
        <w:t>prepared for the FDA. Th</w:t>
      </w:r>
      <w:r>
        <w:t xml:space="preserve">is report </w:t>
      </w:r>
      <w:r w:rsidRPr="00D232BF">
        <w:t xml:space="preserve">provided updated </w:t>
      </w:r>
      <w:r>
        <w:t xml:space="preserve">safety information as of the </w:t>
      </w:r>
      <w:r w:rsidRPr="00D232BF">
        <w:t xml:space="preserve">data </w:t>
      </w:r>
      <w:r w:rsidR="00E86989">
        <w:t>cut-off</w:t>
      </w:r>
      <w:r w:rsidRPr="00D232BF">
        <w:t xml:space="preserve"> date of 1 September</w:t>
      </w:r>
      <w:r w:rsidR="006779D9">
        <w:t xml:space="preserve"> </w:t>
      </w:r>
      <w:r w:rsidRPr="00D232BF">
        <w:t>2016. The safety update focussed primarily on the updated data for th</w:t>
      </w:r>
      <w:r>
        <w:t>e</w:t>
      </w:r>
      <w:r w:rsidRPr="00D232BF">
        <w:t xml:space="preserve"> 307 patients who received treatment in the pivotal </w:t>
      </w:r>
      <w:r w:rsidR="00503681">
        <w:t>Study</w:t>
      </w:r>
      <w:r w:rsidRPr="00D232BF">
        <w:t xml:space="preserve"> B1931022. As all of these patients had discontinued study therapy (last patient last dose occurred on 29 April 2015) relatively few changes occurred in the safety data between the 8 March 2016 SCS </w:t>
      </w:r>
      <w:r w:rsidR="00E86989">
        <w:t>cut-off</w:t>
      </w:r>
      <w:r w:rsidRPr="00D232BF">
        <w:t xml:space="preserve"> date </w:t>
      </w:r>
      <w:r w:rsidR="00E86989">
        <w:t xml:space="preserve">and the 1 September 2016 safety </w:t>
      </w:r>
      <w:r w:rsidRPr="00D232BF">
        <w:t xml:space="preserve">update </w:t>
      </w:r>
      <w:r w:rsidR="00E86989">
        <w:t>cut-off</w:t>
      </w:r>
      <w:r w:rsidRPr="00D232BF">
        <w:t xml:space="preserve"> date. The </w:t>
      </w:r>
      <w:r w:rsidR="00E86989">
        <w:t>safety update</w:t>
      </w:r>
      <w:r w:rsidRPr="00D232BF">
        <w:t xml:space="preserve"> provided </w:t>
      </w:r>
      <w:r w:rsidRPr="00D232BF">
        <w:rPr>
          <w:color w:val="000000"/>
        </w:rPr>
        <w:t xml:space="preserve">changes in the safety data for 54 patients who were alive and in follow-up in </w:t>
      </w:r>
      <w:r w:rsidR="00503681">
        <w:rPr>
          <w:color w:val="000000"/>
        </w:rPr>
        <w:t>Study</w:t>
      </w:r>
      <w:r w:rsidRPr="00D232BF">
        <w:rPr>
          <w:color w:val="000000"/>
        </w:rPr>
        <w:t xml:space="preserve"> B19311022 as of the 8 March 2016 safe</w:t>
      </w:r>
      <w:r>
        <w:rPr>
          <w:color w:val="000000"/>
        </w:rPr>
        <w:t xml:space="preserve">ty data </w:t>
      </w:r>
      <w:r w:rsidR="00E86989">
        <w:rPr>
          <w:color w:val="000000"/>
        </w:rPr>
        <w:t>cut-off</w:t>
      </w:r>
      <w:r>
        <w:rPr>
          <w:color w:val="000000"/>
        </w:rPr>
        <w:t xml:space="preserve"> date for the SCS </w:t>
      </w:r>
      <w:r w:rsidRPr="00D232BF">
        <w:rPr>
          <w:color w:val="000000"/>
        </w:rPr>
        <w:t>(</w:t>
      </w:r>
      <w:r w:rsidR="00503681">
        <w:rPr>
          <w:color w:val="000000"/>
        </w:rPr>
        <w:t>that is</w:t>
      </w:r>
      <w:r>
        <w:rPr>
          <w:color w:val="000000"/>
        </w:rPr>
        <w:t xml:space="preserve">, </w:t>
      </w:r>
      <w:r w:rsidRPr="00D232BF">
        <w:rPr>
          <w:color w:val="000000"/>
        </w:rPr>
        <w:t>39 patients in the inotuzumab ozogamicin arm and 15 patients in the control arm</w:t>
      </w:r>
      <w:r>
        <w:rPr>
          <w:color w:val="000000"/>
        </w:rPr>
        <w:t>). In this 54 patient cohort, the l</w:t>
      </w:r>
      <w:r w:rsidRPr="00D232BF">
        <w:rPr>
          <w:color w:val="000000"/>
        </w:rPr>
        <w:t xml:space="preserve">ast patient </w:t>
      </w:r>
      <w:r>
        <w:rPr>
          <w:color w:val="000000"/>
        </w:rPr>
        <w:t xml:space="preserve">had been </w:t>
      </w:r>
      <w:r w:rsidRPr="00D232BF">
        <w:rPr>
          <w:color w:val="000000"/>
        </w:rPr>
        <w:t xml:space="preserve">randomised </w:t>
      </w:r>
      <w:r>
        <w:rPr>
          <w:color w:val="000000"/>
        </w:rPr>
        <w:t>on</w:t>
      </w:r>
      <w:r w:rsidRPr="00D232BF">
        <w:rPr>
          <w:color w:val="000000"/>
        </w:rPr>
        <w:t xml:space="preserve"> 23 December </w:t>
      </w:r>
      <w:r>
        <w:rPr>
          <w:color w:val="000000"/>
        </w:rPr>
        <w:t xml:space="preserve">2014. The </w:t>
      </w:r>
      <w:r w:rsidR="00A232E5">
        <w:t>Medical Dictionary for Regulatory Activities</w:t>
      </w:r>
      <w:r w:rsidR="00A232E5">
        <w:rPr>
          <w:color w:val="000000"/>
        </w:rPr>
        <w:t xml:space="preserve"> (</w:t>
      </w:r>
      <w:proofErr w:type="spellStart"/>
      <w:r>
        <w:rPr>
          <w:color w:val="000000"/>
        </w:rPr>
        <w:t>MedDRA</w:t>
      </w:r>
      <w:proofErr w:type="spellEnd"/>
      <w:r w:rsidR="00A232E5">
        <w:rPr>
          <w:color w:val="000000"/>
        </w:rPr>
        <w:t>)</w:t>
      </w:r>
      <w:r>
        <w:rPr>
          <w:color w:val="000000"/>
        </w:rPr>
        <w:t xml:space="preserve"> (v19.0) coding dictionary was applied to the AEs and the AEs were graded according to the NCI CTCAE</w:t>
      </w:r>
      <w:r w:rsidR="006779D9">
        <w:rPr>
          <w:color w:val="000000"/>
        </w:rPr>
        <w:t xml:space="preserve"> </w:t>
      </w:r>
      <w:r>
        <w:rPr>
          <w:color w:val="000000"/>
        </w:rPr>
        <w:t>(v3.0)</w:t>
      </w:r>
      <w:r w:rsidR="00503681">
        <w:rPr>
          <w:color w:val="000000"/>
        </w:rPr>
        <w:t>.</w:t>
      </w:r>
    </w:p>
    <w:p w14:paraId="689060FD" w14:textId="77777777" w:rsidR="00503681" w:rsidRDefault="007F237B" w:rsidP="00E86989">
      <w:r w:rsidRPr="00E63D92">
        <w:t xml:space="preserve">The </w:t>
      </w:r>
      <w:r w:rsidR="00503681">
        <w:t>Day 120</w:t>
      </w:r>
      <w:r w:rsidRPr="00E63D92">
        <w:t xml:space="preserve"> SU also included updated safety data for 48 patients in </w:t>
      </w:r>
      <w:r w:rsidR="00503681">
        <w:t>Study</w:t>
      </w:r>
      <w:r w:rsidRPr="00E63D92">
        <w:t xml:space="preserve"> B1931010 who received a total starting inotuzumab ozogamicin dose of 1.8 mg/</w:t>
      </w:r>
      <w:r w:rsidR="00F769DD" w:rsidRPr="00AA53F4">
        <w:rPr>
          <w:lang w:val="en-US"/>
        </w:rPr>
        <w:t>m</w:t>
      </w:r>
      <w:r w:rsidR="00F769DD" w:rsidRPr="00F769DD">
        <w:rPr>
          <w:vertAlign w:val="superscript"/>
          <w:lang w:val="en-US"/>
        </w:rPr>
        <w:t>2</w:t>
      </w:r>
      <w:r w:rsidRPr="00E63D92">
        <w:t>/cycle as a single agent; 7 of these patients remained in disease and su</w:t>
      </w:r>
      <w:r w:rsidR="00E86989">
        <w:t>rvival follow-up between the 30 </w:t>
      </w:r>
      <w:r w:rsidRPr="00E63D92">
        <w:t xml:space="preserve">January 2015 safety data </w:t>
      </w:r>
      <w:r w:rsidR="00E86989">
        <w:t>cut-off</w:t>
      </w:r>
      <w:r w:rsidRPr="00E63D92">
        <w:t xml:space="preserve"> date for </w:t>
      </w:r>
      <w:r w:rsidR="00503681">
        <w:t>Study</w:t>
      </w:r>
      <w:r w:rsidRPr="00E63D92">
        <w:t xml:space="preserve"> 1931010 in the SCS and the LPLV date of 15 January 2016. Of note, there were no new SAEs reported in this study after the 30 January 2015 </w:t>
      </w:r>
      <w:r w:rsidR="00E86989">
        <w:t>cut-off</w:t>
      </w:r>
      <w:r w:rsidRPr="00E63D92">
        <w:t xml:space="preserve"> date (SCS)</w:t>
      </w:r>
      <w:r w:rsidR="00503681">
        <w:t>.</w:t>
      </w:r>
    </w:p>
    <w:p w14:paraId="05E5C94B" w14:textId="77777777" w:rsidR="00503681" w:rsidRDefault="00E86989" w:rsidP="00E86989">
      <w:r>
        <w:t xml:space="preserve">The </w:t>
      </w:r>
      <w:r w:rsidRPr="00E63D92">
        <w:t>Day</w:t>
      </w:r>
      <w:r>
        <w:t xml:space="preserve"> 120 </w:t>
      </w:r>
      <w:r w:rsidR="007F237B" w:rsidRPr="00E63D92">
        <w:t>SU also included updated safety data (SAEs, deaths) for patients in the IIR studies (n</w:t>
      </w:r>
      <w:r w:rsidR="0014606A">
        <w:t xml:space="preserve"> = </w:t>
      </w:r>
      <w:r w:rsidR="007F237B" w:rsidRPr="00E63D92">
        <w:t xml:space="preserve">323) and the CU </w:t>
      </w:r>
      <w:r w:rsidR="007F237B">
        <w:t>program (n</w:t>
      </w:r>
      <w:r w:rsidR="0014606A">
        <w:t xml:space="preserve"> = </w:t>
      </w:r>
      <w:r w:rsidR="007F237B">
        <w:t>257),</w:t>
      </w:r>
      <w:r w:rsidR="006779D9">
        <w:t xml:space="preserve"> </w:t>
      </w:r>
      <w:r w:rsidR="007F237B">
        <w:t xml:space="preserve">as of the </w:t>
      </w:r>
      <w:r w:rsidR="007F237B" w:rsidRPr="00E63D92">
        <w:t xml:space="preserve">1 September 2016 </w:t>
      </w:r>
      <w:r>
        <w:t>cut-off</w:t>
      </w:r>
      <w:r w:rsidR="007F237B" w:rsidRPr="00E63D92">
        <w:t xml:space="preserve"> date</w:t>
      </w:r>
      <w:r w:rsidR="00503681">
        <w:t>.</w:t>
      </w:r>
    </w:p>
    <w:p w14:paraId="5B67EDA1" w14:textId="5435E715" w:rsidR="00503681" w:rsidRDefault="007F237B" w:rsidP="00E86989">
      <w:r w:rsidRPr="00D232BF">
        <w:t xml:space="preserve">The approach to the evaluation of safety adopted in this </w:t>
      </w:r>
      <w:r w:rsidR="002F076F">
        <w:t>clinical evaluation report</w:t>
      </w:r>
      <w:r w:rsidR="002F076F" w:rsidRPr="00D232BF">
        <w:t xml:space="preserve"> </w:t>
      </w:r>
      <w:r w:rsidR="002F076F">
        <w:t>(</w:t>
      </w:r>
      <w:r w:rsidRPr="00D232BF">
        <w:t>CER</w:t>
      </w:r>
      <w:r w:rsidR="002F076F">
        <w:t>)</w:t>
      </w:r>
      <w:r w:rsidRPr="00D232BF">
        <w:t xml:space="preserve"> has been to focus on the </w:t>
      </w:r>
      <w:r>
        <w:t xml:space="preserve">data from the </w:t>
      </w:r>
      <w:r w:rsidRPr="00D232BF">
        <w:t xml:space="preserve">pivotal </w:t>
      </w:r>
      <w:r w:rsidR="00503681">
        <w:t>Study</w:t>
      </w:r>
      <w:r w:rsidR="00E86989">
        <w:t xml:space="preserve"> B1931022</w:t>
      </w:r>
      <w:r>
        <w:t xml:space="preserve"> in patients with ALL. This </w:t>
      </w:r>
      <w:r>
        <w:lastRenderedPageBreak/>
        <w:t xml:space="preserve">study provides the key safety data as it includes patients with relapsed or refractory </w:t>
      </w:r>
      <w:r w:rsidR="006779D9">
        <w:t>B cell</w:t>
      </w:r>
      <w:r>
        <w:t xml:space="preserve"> precursor ALL treated with the proposed inotuzumab ozogamicin treatment regimen (n</w:t>
      </w:r>
      <w:r w:rsidR="00EB51B1">
        <w:t> </w:t>
      </w:r>
      <w:r w:rsidR="0014606A">
        <w:t>=</w:t>
      </w:r>
      <w:r w:rsidR="00EB51B1">
        <w:t> </w:t>
      </w:r>
      <w:r>
        <w:t>164) and comparative data for control group treatment (n</w:t>
      </w:r>
      <w:r w:rsidR="0014606A">
        <w:t xml:space="preserve"> = </w:t>
      </w:r>
      <w:r>
        <w:t xml:space="preserve">143). The evaluation of the safety data for this study is based on data from the </w:t>
      </w:r>
      <w:proofErr w:type="spellStart"/>
      <w:r>
        <w:t>sCSR</w:t>
      </w:r>
      <w:proofErr w:type="spellEnd"/>
      <w:r>
        <w:t xml:space="preserve">, SCS and 120-Day SU. The safety data for </w:t>
      </w:r>
      <w:r w:rsidR="00503681">
        <w:t>Study</w:t>
      </w:r>
      <w:r>
        <w:t xml:space="preserve"> B1931022 is consistent across all three data sources</w:t>
      </w:r>
      <w:r w:rsidR="00503681">
        <w:t>.</w:t>
      </w:r>
    </w:p>
    <w:p w14:paraId="3D1419D9" w14:textId="77777777" w:rsidR="00605AD4" w:rsidRPr="00E86989" w:rsidRDefault="00605AD4" w:rsidP="00E86989">
      <w:pPr>
        <w:pStyle w:val="Heading4"/>
      </w:pPr>
      <w:r w:rsidRPr="00E86989">
        <w:t>Patient exposure</w:t>
      </w:r>
    </w:p>
    <w:p w14:paraId="473063F0" w14:textId="77777777" w:rsidR="00503681" w:rsidRDefault="007F237B" w:rsidP="00E86989">
      <w:pPr>
        <w:rPr>
          <w:lang w:eastAsia="ja-JP"/>
        </w:rPr>
      </w:pPr>
      <w:r>
        <w:rPr>
          <w:lang w:eastAsia="ja-JP"/>
        </w:rPr>
        <w:t>The duration of exposure in the two ALL studies</w:t>
      </w:r>
      <w:r w:rsidR="00CC30C8">
        <w:rPr>
          <w:lang w:eastAsia="ja-JP"/>
        </w:rPr>
        <w:t xml:space="preserve"> is summarised below in Table 8</w:t>
      </w:r>
      <w:r w:rsidR="00503681">
        <w:rPr>
          <w:lang w:eastAsia="ja-JP"/>
        </w:rPr>
        <w:t>.</w:t>
      </w:r>
    </w:p>
    <w:p w14:paraId="2676BA51" w14:textId="5C80F4F0" w:rsidR="00503681" w:rsidRDefault="007F237B" w:rsidP="007F237B">
      <w:pPr>
        <w:pStyle w:val="TableTitle"/>
        <w:rPr>
          <w:lang w:eastAsia="ja-JP"/>
        </w:rPr>
      </w:pPr>
      <w:bookmarkStart w:id="124" w:name="_Toc503178161"/>
      <w:r w:rsidRPr="00290211">
        <w:t>Table</w:t>
      </w:r>
      <w:r w:rsidR="00CC30C8">
        <w:t xml:space="preserve"> 8</w:t>
      </w:r>
      <w:r w:rsidRPr="00290211">
        <w:t xml:space="preserve">: </w:t>
      </w:r>
      <w:r w:rsidRPr="00290211">
        <w:rPr>
          <w:lang w:eastAsia="ja-JP"/>
        </w:rPr>
        <w:t xml:space="preserve">Exposure in patients with ALL, </w:t>
      </w:r>
      <w:r w:rsidR="002468EF">
        <w:rPr>
          <w:lang w:eastAsia="ja-JP"/>
        </w:rPr>
        <w:t>S</w:t>
      </w:r>
      <w:r w:rsidRPr="00290211">
        <w:rPr>
          <w:lang w:eastAsia="ja-JP"/>
        </w:rPr>
        <w:t xml:space="preserve">tudies </w:t>
      </w:r>
      <w:r w:rsidR="00DA1C10">
        <w:rPr>
          <w:lang w:eastAsia="ja-JP"/>
        </w:rPr>
        <w:t>B</w:t>
      </w:r>
      <w:r w:rsidRPr="00290211">
        <w:rPr>
          <w:lang w:eastAsia="ja-JP"/>
        </w:rPr>
        <w:t xml:space="preserve">1931022 and </w:t>
      </w:r>
      <w:r w:rsidR="00DA1C10">
        <w:rPr>
          <w:lang w:eastAsia="ja-JP"/>
        </w:rPr>
        <w:t>B</w:t>
      </w:r>
      <w:r w:rsidRPr="00290211">
        <w:rPr>
          <w:lang w:eastAsia="ja-JP"/>
        </w:rPr>
        <w:t>1931010, safety population</w:t>
      </w:r>
      <w:bookmarkEnd w:id="124"/>
    </w:p>
    <w:p w14:paraId="33D67DE2" w14:textId="77777777" w:rsidR="00500337" w:rsidRDefault="007F237B" w:rsidP="00500337">
      <w:r>
        <w:rPr>
          <w:noProof/>
          <w:lang w:eastAsia="en-AU"/>
        </w:rPr>
        <w:drawing>
          <wp:inline distT="0" distB="0" distL="0" distR="0" wp14:anchorId="68DC0DAD" wp14:editId="5D0584EE">
            <wp:extent cx="5400040" cy="3817528"/>
            <wp:effectExtent l="0" t="0" r="0" b="0"/>
            <wp:docPr id="2" name="Picture 2" descr="Table 8: Exposure in patients with ALL, studies N1931022 and 1931010,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817528"/>
                    </a:xfrm>
                    <a:prstGeom prst="rect">
                      <a:avLst/>
                    </a:prstGeom>
                  </pic:spPr>
                </pic:pic>
              </a:graphicData>
            </a:graphic>
          </wp:inline>
        </w:drawing>
      </w:r>
    </w:p>
    <w:p w14:paraId="46A81361" w14:textId="186C9304" w:rsidR="00503681" w:rsidRDefault="007F237B" w:rsidP="00E86989">
      <w:r w:rsidRPr="00635021">
        <w:t xml:space="preserve">The median total dose for inotuzumab ozogamicin was </w:t>
      </w:r>
      <w:proofErr w:type="gramStart"/>
      <w:r w:rsidRPr="00635021">
        <w:t>4.2 mg/</w:t>
      </w:r>
      <w:r w:rsidR="00F769DD" w:rsidRPr="00AA53F4">
        <w:rPr>
          <w:lang w:val="en-US"/>
        </w:rPr>
        <w:t>m</w:t>
      </w:r>
      <w:r w:rsidR="00F769DD" w:rsidRPr="00F769DD">
        <w:rPr>
          <w:vertAlign w:val="superscript"/>
          <w:lang w:val="en-US"/>
        </w:rPr>
        <w:t>2</w:t>
      </w:r>
      <w:proofErr w:type="gramEnd"/>
      <w:r w:rsidRPr="00635021">
        <w:t xml:space="preserve"> (range: 0.8, 9.6 mg/</w:t>
      </w:r>
      <w:r w:rsidR="00F769DD" w:rsidRPr="00AA53F4">
        <w:rPr>
          <w:lang w:val="en-US"/>
        </w:rPr>
        <w:t>m</w:t>
      </w:r>
      <w:r w:rsidR="00F769DD" w:rsidRPr="00F769DD">
        <w:rPr>
          <w:vertAlign w:val="superscript"/>
          <w:lang w:val="en-US"/>
        </w:rPr>
        <w:t>2</w:t>
      </w:r>
      <w:r w:rsidRPr="00635021">
        <w:t>). The median actual dose intensity, defined as total actual exposure divided by number of cycles received, was 1.575 mg/</w:t>
      </w:r>
      <w:r w:rsidR="00F769DD" w:rsidRPr="00AA53F4">
        <w:rPr>
          <w:lang w:val="en-US"/>
        </w:rPr>
        <w:t>m</w:t>
      </w:r>
      <w:r w:rsidR="00F769DD" w:rsidRPr="00F769DD">
        <w:rPr>
          <w:vertAlign w:val="superscript"/>
          <w:lang w:val="en-US"/>
        </w:rPr>
        <w:t>2</w:t>
      </w:r>
      <w:r w:rsidRPr="00635021">
        <w:t>. The median relative dose intensity (RDI), defin</w:t>
      </w:r>
      <w:r>
        <w:t xml:space="preserve">ed as the actual dose intensity </w:t>
      </w:r>
      <w:r w:rsidRPr="00635021">
        <w:t>divided by the plan</w:t>
      </w:r>
      <w:r>
        <w:t>ned dose intensity, was 100.7%. T</w:t>
      </w:r>
      <w:r w:rsidRPr="00D232BF">
        <w:t>he exposure data for inotuzumab o</w:t>
      </w:r>
      <w:r>
        <w:t xml:space="preserve">zogamicin reported in the </w:t>
      </w:r>
      <w:r w:rsidR="00503681">
        <w:t>Day 120</w:t>
      </w:r>
      <w:r>
        <w:t xml:space="preserve"> SU remained unchanged from that reported in the SCS, as </w:t>
      </w:r>
      <w:r w:rsidRPr="00D232BF">
        <w:t xml:space="preserve">all 307 patients treated in </w:t>
      </w:r>
      <w:r w:rsidR="00503681">
        <w:t>Study</w:t>
      </w:r>
      <w:r w:rsidRPr="00D232BF">
        <w:t xml:space="preserve"> B1931022 had discontinued treatment </w:t>
      </w:r>
      <w:r>
        <w:t>at</w:t>
      </w:r>
      <w:r w:rsidRPr="00D232BF">
        <w:t xml:space="preserve"> the 8 March 2016 data </w:t>
      </w:r>
      <w:r w:rsidR="00E86989">
        <w:t>cut-off</w:t>
      </w:r>
      <w:r w:rsidRPr="00D232BF">
        <w:t xml:space="preserve"> date for the SCS</w:t>
      </w:r>
      <w:r w:rsidR="00503681">
        <w:t>.</w:t>
      </w:r>
    </w:p>
    <w:p w14:paraId="38FC46A2" w14:textId="77777777" w:rsidR="007F237B" w:rsidRPr="00500337" w:rsidRDefault="007F237B" w:rsidP="007F237B">
      <w:r w:rsidRPr="002B5B9F">
        <w:t xml:space="preserve">In </w:t>
      </w:r>
      <w:r w:rsidR="00503681">
        <w:t>Study</w:t>
      </w:r>
      <w:r w:rsidRPr="002B5B9F">
        <w:t xml:space="preserve"> B1931022 (pivotal), </w:t>
      </w:r>
      <w:r>
        <w:t xml:space="preserve">the duration of </w:t>
      </w:r>
      <w:r w:rsidRPr="002B5B9F">
        <w:t>Cy</w:t>
      </w:r>
      <w:r>
        <w:t xml:space="preserve">cle 1 was planned to be 21 days for </w:t>
      </w:r>
      <w:r w:rsidRPr="002B5B9F">
        <w:t xml:space="preserve">patients receiving 1 cycle and 28 days for patients receiving more than </w:t>
      </w:r>
      <w:r>
        <w:t>one</w:t>
      </w:r>
      <w:r w:rsidRPr="002B5B9F">
        <w:t xml:space="preserve"> cycle, with a dose reduction from 1.8 mg/</w:t>
      </w:r>
      <w:r w:rsidR="00F769DD" w:rsidRPr="00AA53F4">
        <w:rPr>
          <w:lang w:val="en-US"/>
        </w:rPr>
        <w:t>m</w:t>
      </w:r>
      <w:r w:rsidR="00F769DD" w:rsidRPr="00F769DD">
        <w:rPr>
          <w:vertAlign w:val="superscript"/>
          <w:lang w:val="en-US"/>
        </w:rPr>
        <w:t>2</w:t>
      </w:r>
      <w:r w:rsidRPr="002B5B9F">
        <w:t>/cycle to 1.5 mg/</w:t>
      </w:r>
      <w:r w:rsidR="00F769DD" w:rsidRPr="00AA53F4">
        <w:rPr>
          <w:lang w:val="en-US"/>
        </w:rPr>
        <w:t>m</w:t>
      </w:r>
      <w:r w:rsidR="00F769DD" w:rsidRPr="00F769DD">
        <w:rPr>
          <w:vertAlign w:val="superscript"/>
          <w:lang w:val="en-US"/>
        </w:rPr>
        <w:t>2</w:t>
      </w:r>
      <w:r>
        <w:t>/cycle on achieving CR/</w:t>
      </w:r>
      <w:proofErr w:type="spellStart"/>
      <w:r>
        <w:t>CR</w:t>
      </w:r>
      <w:r w:rsidRPr="002B5B9F">
        <w:t>i</w:t>
      </w:r>
      <w:proofErr w:type="spellEnd"/>
      <w:r w:rsidRPr="002B5B9F">
        <w:t>. Patients in the inotuzumab ozogamicin arm received study medication on Days 1, 8, and 15 of each cycle for up to 6 cycles. The median duration of treatment was 8.9 weeks (median number of cycles</w:t>
      </w:r>
      <w:r w:rsidR="0014606A">
        <w:t xml:space="preserve"> = </w:t>
      </w:r>
      <w:r w:rsidRPr="002B5B9F">
        <w:t>3).</w:t>
      </w:r>
      <w:r w:rsidRPr="002B5B9F">
        <w:rPr>
          <w:color w:val="000000"/>
        </w:rPr>
        <w:t xml:space="preserve"> In total, patients randomi</w:t>
      </w:r>
      <w:r>
        <w:rPr>
          <w:color w:val="000000"/>
        </w:rPr>
        <w:t>s</w:t>
      </w:r>
      <w:r w:rsidRPr="002B5B9F">
        <w:rPr>
          <w:color w:val="000000"/>
        </w:rPr>
        <w:t xml:space="preserve">ed to the inotuzumab ozogamicin arm received 464 cycles of therapy compared to 176 cycles for </w:t>
      </w:r>
      <w:r>
        <w:rPr>
          <w:color w:val="000000"/>
        </w:rPr>
        <w:t xml:space="preserve">patients randomised to </w:t>
      </w:r>
      <w:r w:rsidRPr="002B5B9F">
        <w:rPr>
          <w:color w:val="000000"/>
        </w:rPr>
        <w:t>the control arm</w:t>
      </w:r>
      <w:r>
        <w:rPr>
          <w:color w:val="000000"/>
        </w:rPr>
        <w:t xml:space="preserve"> (2.6 x more cycles for inotuzumab ozogamicin compared to control)</w:t>
      </w:r>
      <w:r w:rsidRPr="002B5B9F">
        <w:rPr>
          <w:color w:val="000000"/>
        </w:rPr>
        <w:t xml:space="preserve">. </w:t>
      </w:r>
      <w:r w:rsidRPr="002B5B9F">
        <w:t xml:space="preserve">The maximum allowed number of cycles per protocol was 6 cycles of inotuzumab ozogamicin or 4 cycles of control. A total of 127 (77.4%) patients in the inotuzumab ozogamicin arm started </w:t>
      </w:r>
      <w:r w:rsidR="000F385B">
        <w:t xml:space="preserve">&gt; </w:t>
      </w:r>
      <w:r w:rsidR="00E86989">
        <w:t>1 </w:t>
      </w:r>
      <w:r w:rsidRPr="002B5B9F">
        <w:t>cycle, 15 (9.1%) patients started at least 6 cycles, and 10 (6.1%) patients co</w:t>
      </w:r>
      <w:r w:rsidR="00E86989">
        <w:t xml:space="preserve">mpleted </w:t>
      </w:r>
      <w:r w:rsidR="00E86989">
        <w:lastRenderedPageBreak/>
        <w:t>6 </w:t>
      </w:r>
      <w:r w:rsidRPr="002B5B9F">
        <w:t>cycles</w:t>
      </w:r>
      <w:r>
        <w:t xml:space="preserve">. Of note, </w:t>
      </w:r>
      <w:r w:rsidRPr="002B5B9F">
        <w:rPr>
          <w:color w:val="000000"/>
        </w:rPr>
        <w:t>AE frequencies were not adjusted for the longer duration of treatment in the inotuzumab ozogamicin arm.</w:t>
      </w:r>
    </w:p>
    <w:p w14:paraId="412E78E3" w14:textId="77777777" w:rsidR="00605AD4" w:rsidRDefault="00605AD4" w:rsidP="00605AD4">
      <w:pPr>
        <w:pStyle w:val="Heading4"/>
      </w:pPr>
      <w:proofErr w:type="spellStart"/>
      <w:r w:rsidRPr="00605AD4">
        <w:t>Postmarketing</w:t>
      </w:r>
      <w:proofErr w:type="spellEnd"/>
      <w:r w:rsidRPr="00605AD4">
        <w:t xml:space="preserve"> data</w:t>
      </w:r>
    </w:p>
    <w:p w14:paraId="2EE0739C" w14:textId="77777777" w:rsidR="00500337" w:rsidRPr="00500337" w:rsidRDefault="0014606A" w:rsidP="0014606A">
      <w:r>
        <w:rPr>
          <w:lang w:eastAsia="ja-JP"/>
        </w:rPr>
        <w:t>There were no post-marketing data.</w:t>
      </w:r>
    </w:p>
    <w:p w14:paraId="73BFE4A9" w14:textId="77777777" w:rsidR="00605AD4" w:rsidRPr="00605AD4" w:rsidRDefault="00605AD4" w:rsidP="00605AD4">
      <w:pPr>
        <w:pStyle w:val="Heading4"/>
      </w:pPr>
      <w:r w:rsidRPr="00605AD4">
        <w:t>Evaluator’s conclusions on safety</w:t>
      </w:r>
    </w:p>
    <w:p w14:paraId="23B4220E" w14:textId="1C97FAB1" w:rsidR="0014606A" w:rsidRPr="008E210D" w:rsidRDefault="0014606A" w:rsidP="0014606A">
      <w:pPr>
        <w:rPr>
          <w:lang w:val="en-US"/>
        </w:rPr>
      </w:pPr>
      <w:r w:rsidRPr="008E210D">
        <w:rPr>
          <w:lang w:val="en-US"/>
        </w:rPr>
        <w:t xml:space="preserve">It is considered that the submitted data for inotuzumab ozogamicin have adequately established the safety of the drug for the treatment of the proposed indication. The safety data for inotuzumab ozogamicin is based on information from 11 </w:t>
      </w:r>
      <w:proofErr w:type="gramStart"/>
      <w:r w:rsidR="00AC6DBC">
        <w:rPr>
          <w:lang w:val="en-US"/>
        </w:rPr>
        <w:t>sponsor</w:t>
      </w:r>
      <w:proofErr w:type="gramEnd"/>
      <w:r w:rsidR="00AC6DBC">
        <w:rPr>
          <w:lang w:val="en-US"/>
        </w:rPr>
        <w:t xml:space="preserve"> </w:t>
      </w:r>
      <w:r>
        <w:rPr>
          <w:lang w:val="en-US"/>
        </w:rPr>
        <w:t>sponsored</w:t>
      </w:r>
      <w:r w:rsidRPr="008E210D">
        <w:rPr>
          <w:lang w:val="en-US"/>
        </w:rPr>
        <w:t xml:space="preserve"> clinical trials (2 ALL; 9 NHL) in which 880 patients received inotuzumab ozogamicin </w:t>
      </w:r>
      <w:r>
        <w:rPr>
          <w:rFonts w:cs="TimesNewRoman"/>
        </w:rPr>
        <w:t xml:space="preserve">in single </w:t>
      </w:r>
      <w:r w:rsidRPr="008E210D">
        <w:rPr>
          <w:rFonts w:cs="TimesNewRoman"/>
        </w:rPr>
        <w:t xml:space="preserve">agent studies, in studies in combination with rituximab, or in a study in combination with rituximab plus multi-agent chemotherapy. In addition to the 880 patients treated with </w:t>
      </w:r>
      <w:r w:rsidRPr="008E210D">
        <w:rPr>
          <w:lang w:val="en-US"/>
        </w:rPr>
        <w:t xml:space="preserve">inotuzumab ozogamicin in the 11 </w:t>
      </w:r>
      <w:r w:rsidR="00AC6DBC">
        <w:rPr>
          <w:lang w:val="en-US"/>
        </w:rPr>
        <w:t xml:space="preserve">sponsor </w:t>
      </w:r>
      <w:r>
        <w:rPr>
          <w:lang w:val="en-US"/>
        </w:rPr>
        <w:t>sponsored</w:t>
      </w:r>
      <w:r w:rsidRPr="008E210D">
        <w:rPr>
          <w:lang w:val="en-US"/>
        </w:rPr>
        <w:t xml:space="preserve"> trials, 323 patients had been treated with the drug in IIR studies and 257 patients had received the drug in CU p</w:t>
      </w:r>
      <w:r>
        <w:rPr>
          <w:lang w:val="en-US"/>
        </w:rPr>
        <w:t>rograms as of 1 September 2016.</w:t>
      </w:r>
    </w:p>
    <w:p w14:paraId="508B33E6" w14:textId="491200BB" w:rsidR="0014606A" w:rsidRDefault="0014606A" w:rsidP="0014606A">
      <w:pPr>
        <w:rPr>
          <w:lang w:val="en-US"/>
        </w:rPr>
      </w:pPr>
      <w:r>
        <w:rPr>
          <w:lang w:val="en-US"/>
        </w:rPr>
        <w:t xml:space="preserve">The key safety data for the proposed inotuzumab ozogamicin dosage regimen for patients with relapsed or refractory B-cell precursor ALL are provided by the pivotal Phase III, randomised, open label, </w:t>
      </w:r>
      <w:proofErr w:type="gramStart"/>
      <w:r>
        <w:rPr>
          <w:lang w:val="en-US"/>
        </w:rPr>
        <w:t>active</w:t>
      </w:r>
      <w:proofErr w:type="gramEnd"/>
      <w:r>
        <w:rPr>
          <w:lang w:val="en-US"/>
        </w:rPr>
        <w:t xml:space="preserve"> controlled Study B1931022. In this study, 164 patients were treated with inotuzumab ozogamicin at the dose proposed for registration and 143 patients were treated with a control regimen. Supportive safety data in patients with ALL were provided in the single arm Study B1931010 in 72 patients treated with various doses of inotuzumab ozogamicin including 42 patients treated with a dosage regimen consistent with that being proposed for registration. The safety data in the 164 patients treated with inotuzumab ozogamicin in the pivotal study is consistent with the 880 patients treated with inotuzumab ozogamicin from the 11 Pfizer studies, the IIR studies and the CU program.</w:t>
      </w:r>
    </w:p>
    <w:p w14:paraId="0752DCF8" w14:textId="77777777" w:rsidR="0014606A" w:rsidRPr="008E4AC1" w:rsidRDefault="0014606A" w:rsidP="0014606A">
      <w:pPr>
        <w:rPr>
          <w:lang w:val="en-US"/>
        </w:rPr>
      </w:pPr>
      <w:r>
        <w:rPr>
          <w:lang w:val="en-US"/>
        </w:rPr>
        <w:t>In the pivotal Study B1931022</w:t>
      </w:r>
      <w:r w:rsidRPr="00800B4C">
        <w:rPr>
          <w:lang w:val="en-US"/>
        </w:rPr>
        <w:t>, the median duration of treatment in the i</w:t>
      </w:r>
      <w:r>
        <w:rPr>
          <w:lang w:val="en-US"/>
        </w:rPr>
        <w:t xml:space="preserve">notuzumab ozogamicin arm was 10 </w:t>
      </w:r>
      <w:r w:rsidRPr="00800B4C">
        <w:rPr>
          <w:lang w:val="en-US"/>
        </w:rPr>
        <w:t>fold longer than in the control arm (8.9 weeks v</w:t>
      </w:r>
      <w:r>
        <w:rPr>
          <w:lang w:val="en-US"/>
        </w:rPr>
        <w:t>ersu</w:t>
      </w:r>
      <w:r w:rsidRPr="00800B4C">
        <w:rPr>
          <w:lang w:val="en-US"/>
        </w:rPr>
        <w:t>s 0.9 weeks, respectively) and th</w:t>
      </w:r>
      <w:r>
        <w:rPr>
          <w:lang w:val="en-US"/>
        </w:rPr>
        <w:t xml:space="preserve">e median number of cycles was 3 </w:t>
      </w:r>
      <w:r w:rsidRPr="00800B4C">
        <w:rPr>
          <w:lang w:val="en-US"/>
        </w:rPr>
        <w:t>fold higher (3 cycles v</w:t>
      </w:r>
      <w:r>
        <w:rPr>
          <w:lang w:val="en-US"/>
        </w:rPr>
        <w:t>ersu</w:t>
      </w:r>
      <w:r w:rsidRPr="00800B4C">
        <w:rPr>
          <w:lang w:val="en-US"/>
        </w:rPr>
        <w:t>s 1 cycle, respectively). No adjustmen</w:t>
      </w:r>
      <w:r>
        <w:rPr>
          <w:lang w:val="en-US"/>
        </w:rPr>
        <w:t xml:space="preserve">t was made in the incidence of </w:t>
      </w:r>
      <w:r w:rsidRPr="00800B4C">
        <w:rPr>
          <w:lang w:val="en-US"/>
        </w:rPr>
        <w:t xml:space="preserve">AEs reported in patients in the two treatment arms for the greater exposure observed in the inotuzumab ozogamicin arm compared to the control arm. </w:t>
      </w:r>
      <w:r w:rsidRPr="00800B4C">
        <w:rPr>
          <w:rFonts w:eastAsiaTheme="minorHAnsi" w:cs="Arial"/>
        </w:rPr>
        <w:t>The maximum allowed numb</w:t>
      </w:r>
      <w:r>
        <w:rPr>
          <w:rFonts w:eastAsiaTheme="minorHAnsi" w:cs="Arial"/>
        </w:rPr>
        <w:t>er of cycles per protocol was 6 </w:t>
      </w:r>
      <w:r w:rsidRPr="00800B4C">
        <w:rPr>
          <w:rFonts w:eastAsiaTheme="minorHAnsi" w:cs="Arial"/>
        </w:rPr>
        <w:t>cycles of inotuzumab ozogamicin or 4 cycles of investigator’s choice of chemotherapy (control</w:t>
      </w:r>
      <w:r>
        <w:rPr>
          <w:rFonts w:eastAsiaTheme="minorHAnsi" w:cs="Arial"/>
        </w:rPr>
        <w:t xml:space="preserve"> arm</w:t>
      </w:r>
      <w:r w:rsidRPr="00800B4C">
        <w:rPr>
          <w:rFonts w:eastAsiaTheme="minorHAnsi" w:cs="Arial"/>
        </w:rPr>
        <w:t xml:space="preserve">). </w:t>
      </w:r>
      <w:r>
        <w:rPr>
          <w:rFonts w:eastAsiaTheme="minorHAnsi" w:cs="Arial"/>
        </w:rPr>
        <w:t>In the inotuzumab ozogamicin arm, a</w:t>
      </w:r>
      <w:r w:rsidRPr="00800B4C">
        <w:rPr>
          <w:rFonts w:eastAsiaTheme="minorHAnsi" w:cs="Arial"/>
        </w:rPr>
        <w:t xml:space="preserve"> total of 127 (77.4%) patients started </w:t>
      </w:r>
      <w:r w:rsidR="000F385B">
        <w:rPr>
          <w:rFonts w:eastAsiaTheme="minorHAnsi" w:cs="Arial"/>
        </w:rPr>
        <w:t xml:space="preserve">&gt; </w:t>
      </w:r>
      <w:r w:rsidRPr="00800B4C">
        <w:rPr>
          <w:rFonts w:eastAsiaTheme="minorHAnsi" w:cs="Arial"/>
        </w:rPr>
        <w:t>1 cycle, 15 (9.1%) patients started at least 6 cycles, and</w:t>
      </w:r>
      <w:r>
        <w:rPr>
          <w:rFonts w:eastAsiaTheme="minorHAnsi" w:cs="Arial"/>
        </w:rPr>
        <w:t xml:space="preserve"> 10 (6.1%) patients completed 6 </w:t>
      </w:r>
      <w:r w:rsidRPr="00800B4C">
        <w:rPr>
          <w:rFonts w:eastAsiaTheme="minorHAnsi" w:cs="Arial"/>
        </w:rPr>
        <w:t xml:space="preserve">cycles. </w:t>
      </w:r>
      <w:r w:rsidRPr="00800B4C">
        <w:rPr>
          <w:lang w:val="en-US"/>
        </w:rPr>
        <w:t xml:space="preserve">In the safety population, 5 (3.0%) patients </w:t>
      </w:r>
      <w:r>
        <w:rPr>
          <w:lang w:val="en-US"/>
        </w:rPr>
        <w:t xml:space="preserve">in the inotuzumab ozogamicin arm </w:t>
      </w:r>
      <w:r w:rsidRPr="00800B4C">
        <w:rPr>
          <w:lang w:val="en-US"/>
        </w:rPr>
        <w:t xml:space="preserve">were treated for ≥ 24 weeks compared to no patients in the control arm. </w:t>
      </w:r>
      <w:r>
        <w:rPr>
          <w:lang w:val="en-US"/>
        </w:rPr>
        <w:t>Long-term (</w:t>
      </w:r>
      <w:r w:rsidR="000F385B">
        <w:rPr>
          <w:lang w:val="en-US"/>
        </w:rPr>
        <w:t xml:space="preserve">&gt; </w:t>
      </w:r>
      <w:r>
        <w:rPr>
          <w:lang w:val="en-US"/>
        </w:rPr>
        <w:t>6 months) safety data for inotuzumab ozogamicin are not relevant as the recommended maximum number of cycles (21 to 28 days) for the drug is six. Treatment with inotuzumab ozogamicin is primarily designed to achieve haematological remission in ≤ 3 treatment cycles, allowing suitable responders to proceed to HSCT, and not for long term repeat dosing maintenance therapy. Based on the pivotal efficacy data most patients are expected to respond within three cycles.</w:t>
      </w:r>
    </w:p>
    <w:p w14:paraId="10F3C47A" w14:textId="7C0CC375" w:rsidR="0014606A" w:rsidRDefault="0014606A" w:rsidP="0014606A">
      <w:r>
        <w:rPr>
          <w:lang w:val="en-US"/>
        </w:rPr>
        <w:t>In the pivotal study, TEAEs (all causality, all grades, Day 120 SU) occurred commonly in both treatment arms (99.4% (162/164), inotuzumab ozogamicin versus 100%, (143/143), control), and the majority of TEAES (all grades, SCS) were considered by the investigators to be treatment related (87.8% (144/164) inotuzumab ozogamicin versus 90.9% (130/143), control). TEAEs (all causality) reported in ≥ 20% of patients in the inotuzumab ozogamicin arm were thrombocytop</w:t>
      </w:r>
      <w:r w:rsidR="00AC6DBC">
        <w:rPr>
          <w:lang w:val="en-US"/>
        </w:rPr>
        <w:t>a</w:t>
      </w:r>
      <w:r>
        <w:rPr>
          <w:lang w:val="en-US"/>
        </w:rPr>
        <w:t xml:space="preserve">enia </w:t>
      </w:r>
      <w:r>
        <w:t>(49.4%), n</w:t>
      </w:r>
      <w:r w:rsidRPr="00A56C94">
        <w:t>eutropenia</w:t>
      </w:r>
      <w:r>
        <w:t xml:space="preserve"> (48.8%), a</w:t>
      </w:r>
      <w:r w:rsidRPr="00A56C94">
        <w:t>naemia</w:t>
      </w:r>
      <w:r>
        <w:t xml:space="preserve"> (33.5%), n</w:t>
      </w:r>
      <w:r w:rsidRPr="00A56C94">
        <w:t>ausea</w:t>
      </w:r>
      <w:r>
        <w:t xml:space="preserve"> (32.3%), p</w:t>
      </w:r>
      <w:r w:rsidRPr="00A56C94">
        <w:t>yrexia</w:t>
      </w:r>
      <w:r>
        <w:t xml:space="preserve"> (31.7%), l</w:t>
      </w:r>
      <w:r w:rsidRPr="00A56C94">
        <w:t>eukop</w:t>
      </w:r>
      <w:r w:rsidR="00AC6DBC">
        <w:t>a</w:t>
      </w:r>
      <w:r w:rsidRPr="00A56C94">
        <w:t>enia</w:t>
      </w:r>
      <w:r>
        <w:t xml:space="preserve"> (28.7%), h</w:t>
      </w:r>
      <w:r w:rsidRPr="00A56C94">
        <w:t>eadache</w:t>
      </w:r>
      <w:r>
        <w:t xml:space="preserve"> </w:t>
      </w:r>
      <w:r>
        <w:lastRenderedPageBreak/>
        <w:t>(27.4%), f</w:t>
      </w:r>
      <w:r w:rsidRPr="00A56C94">
        <w:t>ebrile neutrop</w:t>
      </w:r>
      <w:r w:rsidR="00AC6DBC">
        <w:t>a</w:t>
      </w:r>
      <w:r w:rsidRPr="00A56C94">
        <w:t>enia</w:t>
      </w:r>
      <w:r>
        <w:t xml:space="preserve"> (26.8%), f</w:t>
      </w:r>
      <w:r w:rsidRPr="00A56C94">
        <w:t>atigue</w:t>
      </w:r>
      <w:r>
        <w:t xml:space="preserve"> (25.6%), </w:t>
      </w:r>
      <w:r w:rsidRPr="00A56C94">
        <w:t>AST increased</w:t>
      </w:r>
      <w:r>
        <w:t xml:space="preserve"> (22.6%), </w:t>
      </w:r>
      <w:r w:rsidRPr="00A56C94">
        <w:t>GGT increased</w:t>
      </w:r>
      <w:r>
        <w:t xml:space="preserve"> (21.3%) and h</w:t>
      </w:r>
      <w:r w:rsidRPr="00A56C94">
        <w:t>yperbilirubinaemia</w:t>
      </w:r>
      <w:r>
        <w:t xml:space="preserve"> (21.3%).</w:t>
      </w:r>
    </w:p>
    <w:p w14:paraId="72C54081" w14:textId="7BBFB238" w:rsidR="0014606A" w:rsidRDefault="0014606A" w:rsidP="0014606A">
      <w:r>
        <w:rPr>
          <w:lang w:val="en-US"/>
        </w:rPr>
        <w:t xml:space="preserve">In the pivotal study, </w:t>
      </w:r>
      <w:r w:rsidRPr="0014606A">
        <w:t xml:space="preserve">TEAEs maximum Grade 3 or 4 events (Day 120 SU) occurred less frequently in the inotuzumab ozogamicin arm than in the control arm (75.0% (123/164) versus 85.3% (122/143), respectively), as did treatment related TEAEs maximum </w:t>
      </w:r>
      <w:r>
        <w:t>G</w:t>
      </w:r>
      <w:r w:rsidRPr="0014606A">
        <w:t>rade 3 or 4 events (SCS) (69.5% (114/164) versus 79.0% (113/143), respectively). TEAEs</w:t>
      </w:r>
      <w:r>
        <w:rPr>
          <w:lang w:val="en-US"/>
        </w:rPr>
        <w:t xml:space="preserve"> </w:t>
      </w:r>
      <w:r w:rsidRPr="0014606A">
        <w:rPr>
          <w:lang w:val="en-US"/>
        </w:rPr>
        <w:t xml:space="preserve">maximum </w:t>
      </w:r>
      <w:r>
        <w:rPr>
          <w:lang w:val="en-US"/>
        </w:rPr>
        <w:t>Grade 3 or 4 events</w:t>
      </w:r>
      <w:r w:rsidRPr="000309FF">
        <w:t xml:space="preserve"> </w:t>
      </w:r>
      <w:r>
        <w:t>reported in ≥ 5% of patients in the inotuzumab arm were n</w:t>
      </w:r>
      <w:r w:rsidRPr="000309FF">
        <w:t>eutrop</w:t>
      </w:r>
      <w:r w:rsidR="00AC6DBC">
        <w:t>a</w:t>
      </w:r>
      <w:r w:rsidRPr="000309FF">
        <w:t>enia</w:t>
      </w:r>
      <w:r>
        <w:t xml:space="preserve"> (47.0%), t</w:t>
      </w:r>
      <w:r w:rsidRPr="000309FF">
        <w:t>hrombocytop</w:t>
      </w:r>
      <w:r w:rsidR="00AC6DBC">
        <w:t>a</w:t>
      </w:r>
      <w:r w:rsidRPr="000309FF">
        <w:t xml:space="preserve">enia </w:t>
      </w:r>
      <w:r>
        <w:t>(40.9%), l</w:t>
      </w:r>
      <w:r w:rsidRPr="000309FF">
        <w:t>eukop</w:t>
      </w:r>
      <w:r w:rsidR="00AC6DBC">
        <w:t>a</w:t>
      </w:r>
      <w:r w:rsidRPr="000309FF">
        <w:t xml:space="preserve">enia </w:t>
      </w:r>
      <w:r>
        <w:t>(26.8%), f</w:t>
      </w:r>
      <w:r w:rsidRPr="000309FF">
        <w:t>ebrile leukop</w:t>
      </w:r>
      <w:r w:rsidR="00AC6DBC">
        <w:t>a</w:t>
      </w:r>
      <w:r w:rsidRPr="000309FF">
        <w:t xml:space="preserve">enia </w:t>
      </w:r>
      <w:r>
        <w:t>(26.8%), a</w:t>
      </w:r>
      <w:r w:rsidRPr="000309FF">
        <w:t xml:space="preserve">naemia </w:t>
      </w:r>
      <w:r>
        <w:t xml:space="preserve">(22.6%), </w:t>
      </w:r>
      <w:proofErr w:type="spellStart"/>
      <w:r>
        <w:t>l</w:t>
      </w:r>
      <w:r w:rsidRPr="000309FF">
        <w:t>ymphop</w:t>
      </w:r>
      <w:r w:rsidR="00AC6DBC">
        <w:t>a</w:t>
      </w:r>
      <w:r w:rsidRPr="000309FF">
        <w:t>enia</w:t>
      </w:r>
      <w:proofErr w:type="spellEnd"/>
      <w:r w:rsidRPr="000309FF">
        <w:t xml:space="preserve"> </w:t>
      </w:r>
      <w:r>
        <w:t xml:space="preserve">(16.5%), </w:t>
      </w:r>
      <w:r w:rsidRPr="000309FF">
        <w:t xml:space="preserve">GGT increased </w:t>
      </w:r>
      <w:r>
        <w:t>(11.0%), v</w:t>
      </w:r>
      <w:r w:rsidRPr="000309FF">
        <w:t>enoocclusive disease</w:t>
      </w:r>
      <w:r>
        <w:t xml:space="preserve"> (8.5%), hypokalaemia (6.7%), hyperbilirubinaemia (6.1%), and WBC decreased (6.1%).</w:t>
      </w:r>
    </w:p>
    <w:p w14:paraId="144879F2" w14:textId="77777777" w:rsidR="0014606A" w:rsidRDefault="0014606A" w:rsidP="0014606A">
      <w:r>
        <w:t xml:space="preserve">Grade 5 AEs (all causality, Day 120 SU) were reported more frequently in the inotuzumab ozogamicin arm than in the control arm (15.9%, n = 26 versus 11.2%, n = 16, respectively), as were treatment related grade 5 AEs (SCS) (5.5%, n = 9 versus 2.1%, n = 3, respectively). Of particular note, in the 9 patients in the inotuzumab arm who died, 5 cases were due VOD/SOS (all after HSCT) compared to no cases of VOD/SOS leading to death in the control arm. Other treatment related grade 5 AEs in the inotuzumab ozogamicin arm were 1 each of </w:t>
      </w:r>
      <w:r w:rsidR="003308E5">
        <w:t>acute respiratory distress syndrome (</w:t>
      </w:r>
      <w:r>
        <w:t>ARDS</w:t>
      </w:r>
      <w:r w:rsidR="003308E5">
        <w:t>)</w:t>
      </w:r>
      <w:r>
        <w:t>, intestinal ischaemia, multi-organ failure, pneumonia, and septic shock, while treatment related grade 5 AEs in the control arm were 1 each for multi-organ failure, haemorrhage intracranial, lung infection and respiratory failure.</w:t>
      </w:r>
    </w:p>
    <w:p w14:paraId="3B7AEDBD" w14:textId="35A39636" w:rsidR="0014606A" w:rsidRPr="00CC0F30" w:rsidRDefault="0014606A" w:rsidP="0014606A">
      <w:pPr>
        <w:rPr>
          <w:rFonts w:cs="TimesNewRoman"/>
        </w:rPr>
      </w:pPr>
      <w:r>
        <w:rPr>
          <w:rFonts w:cs="TimesNewRoman"/>
        </w:rPr>
        <w:t>‘All deaths’ (Day 120 SU), which included all deaths during treatment and in the follow-up period</w:t>
      </w:r>
      <w:r w:rsidR="00D84CC1">
        <w:rPr>
          <w:rFonts w:cs="TimesNewRoman"/>
        </w:rPr>
        <w:t>,</w:t>
      </w:r>
      <w:r w:rsidR="00D84CC1">
        <w:rPr>
          <w:rStyle w:val="FootnoteReference"/>
          <w:rFonts w:cs="TimesNewRoman"/>
        </w:rPr>
        <w:footnoteReference w:id="33"/>
      </w:r>
      <w:r>
        <w:rPr>
          <w:rFonts w:cs="TimesNewRoman"/>
        </w:rPr>
        <w:t xml:space="preserve"> were </w:t>
      </w:r>
      <w:r w:rsidRPr="00CC0F30">
        <w:rPr>
          <w:rFonts w:cs="TimesNewRoman"/>
        </w:rPr>
        <w:t xml:space="preserve">reported </w:t>
      </w:r>
      <w:r>
        <w:rPr>
          <w:rFonts w:cs="TimesNewRoman"/>
        </w:rPr>
        <w:t xml:space="preserve">less frequently in the inotuzumab ozogamicin arm than in the control arm (76.8% (126/164) versus 87.4% (125/143), respectively). Most </w:t>
      </w:r>
      <w:r w:rsidRPr="00CC0F30">
        <w:rPr>
          <w:rFonts w:cs="TimesNewRoman"/>
        </w:rPr>
        <w:t xml:space="preserve">deaths in both treatment </w:t>
      </w:r>
      <w:r>
        <w:rPr>
          <w:rFonts w:cs="TimesNewRoman"/>
        </w:rPr>
        <w:t>arms were</w:t>
      </w:r>
      <w:r w:rsidRPr="00CC0F30">
        <w:rPr>
          <w:rFonts w:cs="TimesNewRoman"/>
        </w:rPr>
        <w:t xml:space="preserve"> </w:t>
      </w:r>
      <w:r>
        <w:rPr>
          <w:rFonts w:cs="TimesNewRoman"/>
        </w:rPr>
        <w:t xml:space="preserve">due to </w:t>
      </w:r>
      <w:r w:rsidRPr="00CC0F30">
        <w:rPr>
          <w:rFonts w:cs="TimesNewRoman"/>
        </w:rPr>
        <w:t>the disease under study (</w:t>
      </w:r>
      <w:r>
        <w:rPr>
          <w:rFonts w:cs="TimesNewRoman"/>
        </w:rPr>
        <w:t xml:space="preserve">47.0%, </w:t>
      </w:r>
      <w:r w:rsidRPr="00CC0F30">
        <w:rPr>
          <w:rFonts w:cs="TimesNewRoman"/>
        </w:rPr>
        <w:t>n</w:t>
      </w:r>
      <w:r>
        <w:rPr>
          <w:rFonts w:cs="TimesNewRoman"/>
        </w:rPr>
        <w:t xml:space="preserve"> = </w:t>
      </w:r>
      <w:r w:rsidRPr="00CC0F30">
        <w:rPr>
          <w:rFonts w:cs="TimesNewRoman"/>
        </w:rPr>
        <w:t>77</w:t>
      </w:r>
      <w:r>
        <w:rPr>
          <w:rFonts w:cs="TimesNewRoman"/>
        </w:rPr>
        <w:t xml:space="preserve"> versus </w:t>
      </w:r>
      <w:r w:rsidRPr="00CC0F30">
        <w:rPr>
          <w:rFonts w:cs="TimesNewRoman"/>
        </w:rPr>
        <w:t xml:space="preserve">69.9%, </w:t>
      </w:r>
      <w:r>
        <w:rPr>
          <w:rFonts w:cs="TimesNewRoman"/>
        </w:rPr>
        <w:t xml:space="preserve">n = 100, </w:t>
      </w:r>
      <w:r w:rsidRPr="00CC0F30">
        <w:rPr>
          <w:rFonts w:cs="TimesNewRoman"/>
        </w:rPr>
        <w:t>respectively).</w:t>
      </w:r>
      <w:r>
        <w:rPr>
          <w:rFonts w:cs="TimesNewRoman"/>
        </w:rPr>
        <w:t xml:space="preserve"> </w:t>
      </w:r>
      <w:r w:rsidRPr="00CC0F30">
        <w:rPr>
          <w:rFonts w:cs="TimesNewRoman"/>
        </w:rPr>
        <w:t xml:space="preserve">Of note, </w:t>
      </w:r>
      <w:r w:rsidR="001348F0">
        <w:rPr>
          <w:rFonts w:cs="TimesNewRoman"/>
        </w:rPr>
        <w:t>‘</w:t>
      </w:r>
      <w:r w:rsidRPr="00CC0F30">
        <w:rPr>
          <w:rFonts w:cs="TimesNewRoman"/>
        </w:rPr>
        <w:t>all deaths</w:t>
      </w:r>
      <w:r w:rsidR="001348F0">
        <w:rPr>
          <w:rFonts w:cs="TimesNewRoman"/>
        </w:rPr>
        <w:t>’</w:t>
      </w:r>
      <w:r w:rsidRPr="00CC0F30">
        <w:rPr>
          <w:rFonts w:cs="TimesNewRoman"/>
        </w:rPr>
        <w:t xml:space="preserve"> due to infection were reported </w:t>
      </w:r>
      <w:r>
        <w:rPr>
          <w:rFonts w:cs="TimesNewRoman"/>
        </w:rPr>
        <w:t xml:space="preserve">more frequently in the inotuzumab ozogamicin arm than in the control arm (30.5%, </w:t>
      </w:r>
      <w:r w:rsidRPr="00CC0F30">
        <w:rPr>
          <w:rFonts w:cs="TimesNewRoman"/>
        </w:rPr>
        <w:t>n</w:t>
      </w:r>
      <w:r>
        <w:rPr>
          <w:rFonts w:cs="TimesNewRoman"/>
        </w:rPr>
        <w:t xml:space="preserve"> = </w:t>
      </w:r>
      <w:r w:rsidRPr="00CC0F30">
        <w:rPr>
          <w:rFonts w:cs="TimesNewRoman"/>
        </w:rPr>
        <w:t>50</w:t>
      </w:r>
      <w:r>
        <w:rPr>
          <w:rFonts w:cs="TimesNewRoman"/>
        </w:rPr>
        <w:t xml:space="preserve"> versus 17.5%, </w:t>
      </w:r>
      <w:r w:rsidRPr="00CC0F30">
        <w:rPr>
          <w:rFonts w:cs="TimesNewRoman"/>
        </w:rPr>
        <w:t>n</w:t>
      </w:r>
      <w:r>
        <w:rPr>
          <w:rFonts w:cs="TimesNewRoman"/>
        </w:rPr>
        <w:t xml:space="preserve"> = </w:t>
      </w:r>
      <w:r w:rsidRPr="00CC0F30">
        <w:rPr>
          <w:rFonts w:cs="TimesNewRoman"/>
        </w:rPr>
        <w:t>25</w:t>
      </w:r>
      <w:r>
        <w:rPr>
          <w:rFonts w:cs="TimesNewRoman"/>
        </w:rPr>
        <w:t>, respectively</w:t>
      </w:r>
      <w:r w:rsidRPr="00CC0F30">
        <w:rPr>
          <w:rFonts w:cs="TimesNewRoman"/>
        </w:rPr>
        <w:t>)</w:t>
      </w:r>
      <w:r>
        <w:rPr>
          <w:rFonts w:cs="TimesNewRoman"/>
        </w:rPr>
        <w:t xml:space="preserve">. </w:t>
      </w:r>
    </w:p>
    <w:p w14:paraId="75FF47AB" w14:textId="77777777" w:rsidR="0014606A" w:rsidRDefault="0014606A" w:rsidP="0014606A">
      <w:pPr>
        <w:rPr>
          <w:rFonts w:cs="TimesNewRoman"/>
          <w:color w:val="000000"/>
        </w:rPr>
      </w:pPr>
      <w:r>
        <w:rPr>
          <w:rFonts w:cs="TimesNewRoman"/>
        </w:rPr>
        <w:t xml:space="preserve">Post-transplantation deaths were also assessed in patients who underwent HSCT in the inotuzumab ozogamicin arm (n = 79) and the control arm (n = 35). Overall post-transplant mortality was similar in the inotuzumab ozogamicin and control arms (64.6% (51/79) versus 65.7% (23/35), respectively). </w:t>
      </w:r>
      <w:r>
        <w:rPr>
          <w:rFonts w:cs="TimesNewRoman"/>
          <w:color w:val="000000"/>
        </w:rPr>
        <w:t xml:space="preserve">The most common cause of post-transplant death was disease relapse, which was reported less frequently in the inotuzumab ozogamicin arm than in the control arm (37.3% (19/51) versus 69.6% (16/23), respectively). However, post-transplant non-relapse deaths were reported notably more frequently in patients in the inotuzumab ozogamicin arm than in the control arm (40.5% (32/79) versus 22.9% (8/35)). The most common reasons </w:t>
      </w:r>
      <w:r w:rsidRPr="001348F0">
        <w:rPr>
          <w:rFonts w:cs="TimesNewRoman"/>
          <w:color w:val="000000"/>
        </w:rPr>
        <w:t>for post-transplant non-relapse deaths relative to all deaths (relapse plus non-relapse)</w:t>
      </w:r>
      <w:r>
        <w:rPr>
          <w:rFonts w:cs="TimesNewRoman"/>
          <w:color w:val="000000"/>
        </w:rPr>
        <w:t xml:space="preserve"> in the inotuzumab arm (versus control, respectively) were infection (21.6% (11/51) versus 17.4% (4/23)) and VOD (9.8% (</w:t>
      </w:r>
      <w:r w:rsidR="001348F0">
        <w:rPr>
          <w:rFonts w:cs="TimesNewRoman"/>
          <w:color w:val="000000"/>
        </w:rPr>
        <w:t>5/51) versus 0% (0/23)).</w:t>
      </w:r>
    </w:p>
    <w:p w14:paraId="5D6D6D6C" w14:textId="77777777" w:rsidR="0014606A" w:rsidRDefault="0014606A" w:rsidP="0014606A">
      <w:pPr>
        <w:rPr>
          <w:rFonts w:cs="TimesNewRoman"/>
          <w:color w:val="000000"/>
        </w:rPr>
      </w:pPr>
      <w:r>
        <w:rPr>
          <w:rFonts w:cs="TimesNewRoman"/>
          <w:color w:val="000000"/>
        </w:rPr>
        <w:t xml:space="preserve">SAEs (all causality, </w:t>
      </w:r>
      <w:r w:rsidR="001348F0">
        <w:rPr>
          <w:rFonts w:cs="TimesNewRoman"/>
          <w:color w:val="000000"/>
        </w:rPr>
        <w:t xml:space="preserve">Day 120 </w:t>
      </w:r>
      <w:r>
        <w:rPr>
          <w:rFonts w:cs="TimesNewRoman"/>
          <w:color w:val="000000"/>
        </w:rPr>
        <w:t>SU), were reported in a similar proportion of patients in the inotuzumab ozogamicin and control arms (51.8% (85/164) versus 50.3% (75/143), respectively), and SAEs reported in ≥ 2% of patients in the inotuzumab arm were VOD (14.0%), febrile neutropenia (11.6%), pneumonia (6.1%), disease progression (4.9%), py</w:t>
      </w:r>
      <w:r w:rsidR="001348F0">
        <w:rPr>
          <w:rFonts w:cs="TimesNewRoman"/>
          <w:color w:val="000000"/>
        </w:rPr>
        <w:t>rexia (3.0%) and sepsis (2.4%).</w:t>
      </w:r>
    </w:p>
    <w:p w14:paraId="4A0B9D47" w14:textId="0425014A" w:rsidR="0014606A" w:rsidRDefault="0014606A" w:rsidP="0014606A">
      <w:pPr>
        <w:rPr>
          <w:rFonts w:cs="TimesNewRoman"/>
          <w:color w:val="000000"/>
        </w:rPr>
      </w:pPr>
      <w:r>
        <w:rPr>
          <w:rFonts w:cs="TimesNewRoman"/>
          <w:color w:val="000000"/>
        </w:rPr>
        <w:t xml:space="preserve">AEs (all causality, </w:t>
      </w:r>
      <w:r w:rsidR="001348F0">
        <w:rPr>
          <w:rFonts w:cs="TimesNewRoman"/>
          <w:color w:val="000000"/>
        </w:rPr>
        <w:t xml:space="preserve">Day 120 </w:t>
      </w:r>
      <w:r>
        <w:rPr>
          <w:rFonts w:cs="TimesNewRoman"/>
          <w:color w:val="000000"/>
        </w:rPr>
        <w:t xml:space="preserve">SU), leading to permanent treatment discontinuation were reported notably more frequently in the inotuzumab ozogamicin arm than in the control arm (18.9% (31/164) versus 7.7% (11/143), respectively). AEs leading to permanent treatment discontinuation reported in ≥ 2 patients in the ozogamicin arm were 5 (3.0%) </w:t>
      </w:r>
      <w:r>
        <w:rPr>
          <w:rFonts w:cs="TimesNewRoman"/>
          <w:color w:val="000000"/>
        </w:rPr>
        <w:lastRenderedPageBreak/>
        <w:t>patients with pneumonia, 3 (0.18%) patients each with hyperbilirubinaemia and thrombocytop</w:t>
      </w:r>
      <w:r w:rsidR="00AC6DBC">
        <w:rPr>
          <w:rFonts w:cs="TimesNewRoman"/>
          <w:color w:val="000000"/>
        </w:rPr>
        <w:t>a</w:t>
      </w:r>
      <w:r>
        <w:rPr>
          <w:rFonts w:cs="TimesNewRoman"/>
          <w:color w:val="000000"/>
        </w:rPr>
        <w:t xml:space="preserve">enia, and 2 (1.2%) patients each with sepsis, VOD, ALT increased, and GGT increased. Similarly, AEs (all causality, </w:t>
      </w:r>
      <w:r w:rsidR="001348F0">
        <w:rPr>
          <w:rFonts w:cs="TimesNewRoman"/>
          <w:color w:val="000000"/>
        </w:rPr>
        <w:t>Day 120</w:t>
      </w:r>
      <w:r>
        <w:rPr>
          <w:rFonts w:cs="TimesNewRoman"/>
          <w:color w:val="000000"/>
        </w:rPr>
        <w:t xml:space="preserve"> SU) resulting in temporary treatment delays were reported notably more frequently in the inotuzumab ozogamicin arm than in the control arm (43.9% (72/164) versus 11.9% (17/143), respectively). AEs (all causality, </w:t>
      </w:r>
      <w:r w:rsidR="001348F0">
        <w:rPr>
          <w:rFonts w:cs="TimesNewRoman"/>
          <w:color w:val="000000"/>
        </w:rPr>
        <w:t>Day 120</w:t>
      </w:r>
      <w:r>
        <w:rPr>
          <w:rFonts w:cs="TimesNewRoman"/>
          <w:color w:val="000000"/>
        </w:rPr>
        <w:t xml:space="preserve"> SU) resulting in dose reduction were reported in a small number of patients in both the inotuzumab ozogamicin and control arms (n = 5, 3.0% ver</w:t>
      </w:r>
      <w:r w:rsidR="001348F0">
        <w:rPr>
          <w:rFonts w:cs="TimesNewRoman"/>
          <w:color w:val="000000"/>
        </w:rPr>
        <w:t>sus n = 3, 2.1%, respectively).</w:t>
      </w:r>
    </w:p>
    <w:p w14:paraId="3A9D8CDA" w14:textId="77777777" w:rsidR="001348F0" w:rsidRDefault="0014606A" w:rsidP="0014606A">
      <w:pPr>
        <w:rPr>
          <w:rFonts w:eastAsiaTheme="minorHAnsi" w:cs="TimesNewRoman"/>
        </w:rPr>
      </w:pPr>
      <w:r>
        <w:rPr>
          <w:rFonts w:eastAsiaTheme="minorHAnsi" w:cs="TimesNewRoman"/>
          <w:color w:val="000000"/>
        </w:rPr>
        <w:t xml:space="preserve">The following adverse events of special interest were </w:t>
      </w:r>
      <w:r>
        <w:rPr>
          <w:rFonts w:eastAsiaTheme="minorHAnsi" w:cs="TimesNewRoman"/>
        </w:rPr>
        <w:t xml:space="preserve">assessed in </w:t>
      </w:r>
      <w:r w:rsidR="001348F0">
        <w:rPr>
          <w:rFonts w:eastAsiaTheme="minorHAnsi" w:cs="TimesNewRoman"/>
        </w:rPr>
        <w:t>Study B19311022:</w:t>
      </w:r>
    </w:p>
    <w:p w14:paraId="49315BCA" w14:textId="77777777" w:rsidR="001348F0" w:rsidRDefault="0014606A" w:rsidP="001348F0">
      <w:pPr>
        <w:pStyle w:val="ListBullet"/>
      </w:pPr>
      <w:r w:rsidRPr="00FC11E2">
        <w:t>hepatotoxicity, including VOD/</w:t>
      </w:r>
      <w:r>
        <w:t>SOS</w:t>
      </w:r>
      <w:r w:rsidR="001348F0">
        <w:t>;</w:t>
      </w:r>
    </w:p>
    <w:p w14:paraId="059B3100" w14:textId="4A6F1E26" w:rsidR="001348F0" w:rsidRDefault="0014606A" w:rsidP="001348F0">
      <w:pPr>
        <w:pStyle w:val="ListBullet"/>
      </w:pPr>
      <w:r w:rsidRPr="00FC11E2">
        <w:t>myelosuppression/</w:t>
      </w:r>
      <w:proofErr w:type="spellStart"/>
      <w:r w:rsidRPr="00FC11E2">
        <w:t>cy</w:t>
      </w:r>
      <w:r w:rsidR="001348F0">
        <w:t>top</w:t>
      </w:r>
      <w:r w:rsidR="00AC6DBC">
        <w:t>a</w:t>
      </w:r>
      <w:r w:rsidR="001348F0">
        <w:t>enia</w:t>
      </w:r>
      <w:proofErr w:type="spellEnd"/>
      <w:r w:rsidR="001348F0">
        <w:t>;</w:t>
      </w:r>
    </w:p>
    <w:p w14:paraId="2DB36D98" w14:textId="5FC66B55" w:rsidR="001348F0" w:rsidRDefault="0014606A" w:rsidP="001348F0">
      <w:pPr>
        <w:pStyle w:val="ListBullet"/>
      </w:pPr>
      <w:r w:rsidRPr="00FC11E2">
        <w:t>infections (not considered a separate risk, but considered to be complications of myelosuppression/</w:t>
      </w:r>
      <w:r w:rsidR="001348F0">
        <w:t>cytop</w:t>
      </w:r>
      <w:r w:rsidR="00AC6DBC">
        <w:t>a</w:t>
      </w:r>
      <w:r w:rsidR="001348F0">
        <w:t>enias);</w:t>
      </w:r>
    </w:p>
    <w:p w14:paraId="57803A95" w14:textId="23E47072" w:rsidR="001348F0" w:rsidRDefault="0014606A" w:rsidP="001348F0">
      <w:pPr>
        <w:pStyle w:val="ListBullet"/>
      </w:pPr>
      <w:r w:rsidRPr="00FC11E2">
        <w:t>haemorrhage events (not considered a separate risk, but considered to be complications o</w:t>
      </w:r>
      <w:r w:rsidR="001348F0">
        <w:t>f myelosuppression/cytop</w:t>
      </w:r>
      <w:r w:rsidR="00AC6DBC">
        <w:t>a</w:t>
      </w:r>
      <w:r w:rsidR="001348F0">
        <w:t>enias);</w:t>
      </w:r>
    </w:p>
    <w:p w14:paraId="6D544237" w14:textId="77777777" w:rsidR="001348F0" w:rsidRDefault="0014606A" w:rsidP="001348F0">
      <w:pPr>
        <w:pStyle w:val="ListBullet"/>
      </w:pPr>
      <w:r w:rsidRPr="00FC11E2">
        <w:t>in</w:t>
      </w:r>
      <w:r w:rsidR="001348F0">
        <w:t>fusion related reactions;</w:t>
      </w:r>
    </w:p>
    <w:p w14:paraId="547D1AE3" w14:textId="77777777" w:rsidR="001348F0" w:rsidRDefault="0014606A" w:rsidP="001348F0">
      <w:pPr>
        <w:pStyle w:val="ListBullet"/>
      </w:pPr>
      <w:r w:rsidRPr="00FC11E2">
        <w:t>tumo</w:t>
      </w:r>
      <w:r>
        <w:t>u</w:t>
      </w:r>
      <w:r w:rsidRPr="00FC11E2">
        <w:t>r lysis syndrome (TLS</w:t>
      </w:r>
      <w:r>
        <w:t>)</w:t>
      </w:r>
      <w:r w:rsidR="001348F0">
        <w:t>;</w:t>
      </w:r>
    </w:p>
    <w:p w14:paraId="5E7D4750" w14:textId="77777777" w:rsidR="001348F0" w:rsidRDefault="0014606A" w:rsidP="001348F0">
      <w:pPr>
        <w:pStyle w:val="ListBullet"/>
      </w:pPr>
      <w:r w:rsidRPr="00FC11E2">
        <w:t>i</w:t>
      </w:r>
      <w:r w:rsidR="001348F0">
        <w:t>nterstitial lung disease (ILD);</w:t>
      </w:r>
    </w:p>
    <w:p w14:paraId="0725A188" w14:textId="77777777" w:rsidR="001348F0" w:rsidRDefault="0014606A" w:rsidP="001348F0">
      <w:pPr>
        <w:pStyle w:val="ListBullet"/>
      </w:pPr>
      <w:r w:rsidRPr="00FC11E2">
        <w:t>inflam</w:t>
      </w:r>
      <w:r w:rsidR="001348F0">
        <w:t>matory gastrointestinal events;</w:t>
      </w:r>
    </w:p>
    <w:p w14:paraId="49B28D3C" w14:textId="77777777" w:rsidR="001348F0" w:rsidRDefault="001348F0" w:rsidP="001348F0">
      <w:pPr>
        <w:pStyle w:val="ListBullet"/>
      </w:pPr>
      <w:r>
        <w:t>pancreatitis;</w:t>
      </w:r>
    </w:p>
    <w:p w14:paraId="61E124CA" w14:textId="77777777" w:rsidR="001348F0" w:rsidRDefault="001348F0" w:rsidP="001348F0">
      <w:pPr>
        <w:pStyle w:val="ListBullet"/>
      </w:pPr>
      <w:r>
        <w:t>second primary malignancy;</w:t>
      </w:r>
    </w:p>
    <w:p w14:paraId="154D4C1A" w14:textId="77777777" w:rsidR="001348F0" w:rsidRDefault="0014606A" w:rsidP="001348F0">
      <w:pPr>
        <w:pStyle w:val="ListBullet"/>
      </w:pPr>
      <w:r w:rsidRPr="00FC11E2">
        <w:t>reproductive and developmental toxicity (post exposure during pregn</w:t>
      </w:r>
      <w:r w:rsidR="001348F0">
        <w:t>ancy including breast feeding);</w:t>
      </w:r>
    </w:p>
    <w:p w14:paraId="516D3871" w14:textId="77777777" w:rsidR="001348F0" w:rsidRDefault="001348F0" w:rsidP="001348F0">
      <w:pPr>
        <w:pStyle w:val="ListBullet"/>
      </w:pPr>
      <w:r>
        <w:t>nephrotoxicity; and</w:t>
      </w:r>
    </w:p>
    <w:p w14:paraId="661B2D53" w14:textId="77777777" w:rsidR="0014606A" w:rsidRDefault="0014606A" w:rsidP="001348F0">
      <w:pPr>
        <w:pStyle w:val="ListBullet"/>
      </w:pPr>
      <w:proofErr w:type="gramStart"/>
      <w:r>
        <w:t>n</w:t>
      </w:r>
      <w:r w:rsidRPr="00FC11E2">
        <w:t>eurotoxicity</w:t>
      </w:r>
      <w:proofErr w:type="gramEnd"/>
      <w:r w:rsidRPr="00FC11E2">
        <w:t>.</w:t>
      </w:r>
    </w:p>
    <w:p w14:paraId="3BA6C708" w14:textId="77777777" w:rsidR="0014606A" w:rsidRDefault="0014606A" w:rsidP="0014606A">
      <w:pPr>
        <w:rPr>
          <w:rFonts w:eastAsiaTheme="minorHAnsi" w:cs="TimesNewRoman"/>
        </w:rPr>
      </w:pPr>
      <w:r>
        <w:rPr>
          <w:rFonts w:eastAsiaTheme="minorHAnsi" w:cs="TimesNewRoman"/>
        </w:rPr>
        <w:t>Matters of particular note arising from the assessment of adverse events of special interest in the inotuzumab ozogamicin arm were:</w:t>
      </w:r>
    </w:p>
    <w:p w14:paraId="082E5DBE" w14:textId="77777777" w:rsidR="0014606A" w:rsidRDefault="0014606A" w:rsidP="0014606A">
      <w:pPr>
        <w:pStyle w:val="ListBullet"/>
      </w:pPr>
      <w:r>
        <w:t>increased risk of hepatotoxicity, including severe, life-threateni</w:t>
      </w:r>
      <w:r w:rsidR="001348F0">
        <w:t>ng and sometimes fatal VOD/SOS;</w:t>
      </w:r>
    </w:p>
    <w:p w14:paraId="75CF01B6" w14:textId="5A10944A" w:rsidR="0014606A" w:rsidRDefault="0014606A" w:rsidP="0014606A">
      <w:pPr>
        <w:pStyle w:val="ListBullet"/>
      </w:pPr>
      <w:r w:rsidRPr="00390227">
        <w:t>severe, life</w:t>
      </w:r>
      <w:r w:rsidR="00EB51B1">
        <w:t xml:space="preserve"> </w:t>
      </w:r>
      <w:r w:rsidRPr="00390227">
        <w:t>threatening myelosuppression/</w:t>
      </w:r>
      <w:proofErr w:type="spellStart"/>
      <w:r w:rsidRPr="00390227">
        <w:t>cytopenia</w:t>
      </w:r>
      <w:proofErr w:type="spellEnd"/>
      <w:r w:rsidRPr="00390227">
        <w:t>;</w:t>
      </w:r>
    </w:p>
    <w:p w14:paraId="21818C18" w14:textId="77777777" w:rsidR="0014606A" w:rsidRPr="00390227" w:rsidRDefault="0014606A" w:rsidP="0014606A">
      <w:pPr>
        <w:pStyle w:val="ListBullet"/>
      </w:pPr>
      <w:r>
        <w:t>serious infections were very commonly reported, and some</w:t>
      </w:r>
      <w:r w:rsidR="001348F0">
        <w:t xml:space="preserve"> were life-threatening or fatal;</w:t>
      </w:r>
    </w:p>
    <w:p w14:paraId="01E83AA2" w14:textId="77777777" w:rsidR="0014606A" w:rsidRDefault="001348F0" w:rsidP="0014606A">
      <w:pPr>
        <w:pStyle w:val="ListBullet"/>
      </w:pPr>
      <w:r>
        <w:t xml:space="preserve">infusion related </w:t>
      </w:r>
      <w:r w:rsidR="0014606A" w:rsidRPr="00390227">
        <w:t>reactions, including hypersensitivit</w:t>
      </w:r>
      <w:r w:rsidR="0014606A">
        <w:t>y, were reported very commonly; and</w:t>
      </w:r>
    </w:p>
    <w:p w14:paraId="451DF806" w14:textId="77777777" w:rsidR="0014606A" w:rsidRPr="00390227" w:rsidRDefault="0014606A" w:rsidP="0014606A">
      <w:pPr>
        <w:pStyle w:val="ListBullet"/>
      </w:pPr>
      <w:proofErr w:type="gramStart"/>
      <w:r>
        <w:t>pancreatic</w:t>
      </w:r>
      <w:proofErr w:type="gramEnd"/>
      <w:r>
        <w:t xml:space="preserve"> related adverse events including incr</w:t>
      </w:r>
      <w:r w:rsidR="001348F0">
        <w:t>eased serum amylase and lipase.</w:t>
      </w:r>
    </w:p>
    <w:p w14:paraId="29C0C73D" w14:textId="77777777" w:rsidR="00605AD4" w:rsidRPr="00605AD4" w:rsidRDefault="0014606A" w:rsidP="001348F0">
      <w:r>
        <w:t>Other relevant safety data are reviewed in the first round risk assessment.</w:t>
      </w:r>
    </w:p>
    <w:p w14:paraId="63A83D75" w14:textId="4289059D" w:rsidR="00605AD4" w:rsidRPr="00605AD4" w:rsidRDefault="00605AD4" w:rsidP="00605AD4">
      <w:pPr>
        <w:pStyle w:val="Heading3"/>
        <w:rPr>
          <w:rFonts w:eastAsia="Cambria"/>
        </w:rPr>
      </w:pPr>
      <w:bookmarkStart w:id="125" w:name="_Toc16505605"/>
      <w:r w:rsidRPr="00605AD4">
        <w:rPr>
          <w:rFonts w:eastAsia="Cambria"/>
        </w:rPr>
        <w:lastRenderedPageBreak/>
        <w:t xml:space="preserve">First </w:t>
      </w:r>
      <w:r w:rsidR="00EF795A" w:rsidRPr="00605AD4">
        <w:rPr>
          <w:rFonts w:eastAsia="Cambria"/>
        </w:rPr>
        <w:t>round benefit-risk assessment</w:t>
      </w:r>
      <w:bookmarkEnd w:id="125"/>
    </w:p>
    <w:p w14:paraId="484AAA96" w14:textId="77777777" w:rsidR="00605AD4" w:rsidRPr="001348F0" w:rsidRDefault="00605AD4" w:rsidP="001348F0">
      <w:pPr>
        <w:pStyle w:val="Heading4"/>
      </w:pPr>
      <w:r w:rsidRPr="001348F0">
        <w:t>First round assessment of benefits</w:t>
      </w:r>
    </w:p>
    <w:p w14:paraId="737F2AB5" w14:textId="77777777" w:rsidR="007D6AD4" w:rsidRPr="00A00367" w:rsidRDefault="007D6AD4" w:rsidP="007D6AD4">
      <w:pPr>
        <w:pStyle w:val="Heading5"/>
      </w:pPr>
      <w:r w:rsidRPr="00A00367">
        <w:t>Study B1931022</w:t>
      </w:r>
    </w:p>
    <w:p w14:paraId="7096695F" w14:textId="77777777" w:rsidR="00503681" w:rsidRDefault="007D6AD4" w:rsidP="007D6AD4">
      <w:r>
        <w:t xml:space="preserve">The benefits of inotuzumab ozogamicin for the treatment of patients with relapsed or refractory </w:t>
      </w:r>
      <w:r w:rsidR="005C4508">
        <w:t>CD22 positive</w:t>
      </w:r>
      <w:r>
        <w:t xml:space="preserve"> ALL, in the context of Salvage 1 or Salvage 2, has been adequately demonstrated in the pivotal study. The primary benefit of treatment with inotuzumab ozogamicin relates to the higher proportion of patients who achieved CR/</w:t>
      </w:r>
      <w:proofErr w:type="spellStart"/>
      <w:r>
        <w:t>CRi</w:t>
      </w:r>
      <w:proofErr w:type="spellEnd"/>
      <w:r>
        <w:t xml:space="preserve"> compared to patients treated with standard chemotherapy regimens, resulting in a higher of patients proceeding to HSCT with potentially curative outcome. However, while the proportion of patients proceeding to HSCT was higher in the inotuzumab ozogamicin arm than in the control arm, the pairwise analysis of OS did not meet the pre-specified boundary for statistical significance. In addition, the post-HSCT non-relapse mortality rate was notably higher in the inotuzumab ozogamicin arm than in t</w:t>
      </w:r>
      <w:r w:rsidR="001348F0">
        <w:t xml:space="preserve">he control arm, as were the 100 day and 12 </w:t>
      </w:r>
      <w:r>
        <w:t>month mortality rates for both post-HSCT mortality and non-relapse post-HSCT mortality</w:t>
      </w:r>
      <w:r w:rsidR="00503681">
        <w:t>.</w:t>
      </w:r>
    </w:p>
    <w:p w14:paraId="55555905" w14:textId="77777777" w:rsidR="007D6AD4" w:rsidRPr="00A00367" w:rsidRDefault="001348F0" w:rsidP="007D6AD4">
      <w:pPr>
        <w:pStyle w:val="Heading6"/>
      </w:pPr>
      <w:r>
        <w:t>CR/</w:t>
      </w:r>
      <w:proofErr w:type="spellStart"/>
      <w:r>
        <w:t>CRi</w:t>
      </w:r>
      <w:proofErr w:type="spellEnd"/>
      <w:r>
        <w:t xml:space="preserve"> (remission);</w:t>
      </w:r>
      <w:r w:rsidR="007D6AD4" w:rsidRPr="00A00367">
        <w:t xml:space="preserve"> primary efficacy endpoint</w:t>
      </w:r>
    </w:p>
    <w:p w14:paraId="46450A3B" w14:textId="77777777" w:rsidR="00503681" w:rsidRDefault="007D6AD4" w:rsidP="007D6AD4">
      <w:pPr>
        <w:pStyle w:val="ListBullet"/>
      </w:pPr>
      <w:r>
        <w:t>In the primary analysis of CR/</w:t>
      </w:r>
      <w:proofErr w:type="spellStart"/>
      <w:r>
        <w:t>CRi</w:t>
      </w:r>
      <w:proofErr w:type="spellEnd"/>
      <w:r>
        <w:t xml:space="preserve"> (per </w:t>
      </w:r>
      <w:r w:rsidR="00BF79CA">
        <w:t>endpoint adjudication committee (</w:t>
      </w:r>
      <w:r>
        <w:t>EAC</w:t>
      </w:r>
      <w:r w:rsidR="00BF79CA">
        <w:t>)</w:t>
      </w:r>
      <w:r>
        <w:t>) based on the ITT218</w:t>
      </w:r>
      <w:r w:rsidR="00A232E5">
        <w:rPr>
          <w:rStyle w:val="FootnoteReference"/>
        </w:rPr>
        <w:footnoteReference w:id="34"/>
      </w:r>
      <w:r>
        <w:t xml:space="preserve"> population (n</w:t>
      </w:r>
      <w:r w:rsidR="0014606A">
        <w:t xml:space="preserve"> = </w:t>
      </w:r>
      <w:r>
        <w:t xml:space="preserve">218) at the data </w:t>
      </w:r>
      <w:r w:rsidR="00E86989">
        <w:t>cut-off</w:t>
      </w:r>
      <w:r>
        <w:t xml:space="preserve"> date of 2 October 2014, the CR/</w:t>
      </w:r>
      <w:proofErr w:type="spellStart"/>
      <w:r>
        <w:t>CRi</w:t>
      </w:r>
      <w:proofErr w:type="spellEnd"/>
      <w:r>
        <w:t xml:space="preserve"> rate was statistically significantly higher in the inotuzumab ozogamicin arm compared to the control arm (80.7% </w:t>
      </w:r>
      <w:r w:rsidR="00503681">
        <w:t>(</w:t>
      </w:r>
      <w:r>
        <w:t>88/109</w:t>
      </w:r>
      <w:r w:rsidR="00503681">
        <w:t>)</w:t>
      </w:r>
      <w:r>
        <w:t xml:space="preserve"> </w:t>
      </w:r>
      <w:r w:rsidR="001D0208">
        <w:t xml:space="preserve">versus </w:t>
      </w:r>
      <w:r>
        <w:t xml:space="preserve">29.4% </w:t>
      </w:r>
      <w:r w:rsidR="00503681">
        <w:t>(</w:t>
      </w:r>
      <w:r>
        <w:t>32/109</w:t>
      </w:r>
      <w:r w:rsidR="00503681">
        <w:t>)</w:t>
      </w:r>
      <w:r>
        <w:t>, ∆</w:t>
      </w:r>
      <w:r w:rsidR="0014606A">
        <w:t xml:space="preserve"> = </w:t>
      </w:r>
      <w:r>
        <w:t xml:space="preserve">51.4% </w:t>
      </w:r>
      <w:r w:rsidR="00503681">
        <w:t>(</w:t>
      </w:r>
      <w:r>
        <w:t>97.5% CI: 38.4, 64.3</w:t>
      </w:r>
      <w:r w:rsidR="00503681">
        <w:t>)</w:t>
      </w:r>
      <w:r>
        <w:t xml:space="preserve">, </w:t>
      </w:r>
      <w:r w:rsidR="001348F0">
        <w:t>p &lt; 0</w:t>
      </w:r>
      <w:r>
        <w:t>.0001, 1-sided Chi square test). The difference between the two treatment arms is considered to be clinically meaningful. The results demonstrate that patients treated with inotuzumab ozogamicin have a greater chance of proceeding to potentially curative HSCT compared to patients treated with standard chemotherapy regimens</w:t>
      </w:r>
      <w:r w:rsidR="00503681">
        <w:t>.</w:t>
      </w:r>
    </w:p>
    <w:p w14:paraId="61A6451C" w14:textId="77777777" w:rsidR="00503681" w:rsidRDefault="007D6AD4" w:rsidP="007D6AD4">
      <w:pPr>
        <w:pStyle w:val="ListBullet"/>
      </w:pPr>
      <w:r>
        <w:t>The difference in favour of inotuzumab ozogamicin compared to control observed in the primary analysis of CR/</w:t>
      </w:r>
      <w:proofErr w:type="spellStart"/>
      <w:r>
        <w:t>CRi</w:t>
      </w:r>
      <w:proofErr w:type="spellEnd"/>
      <w:r>
        <w:t xml:space="preserve"> (per EAC) in the ITT218 population as of the data </w:t>
      </w:r>
      <w:r w:rsidR="001348F0">
        <w:t>cut</w:t>
      </w:r>
      <w:r w:rsidR="001348F0">
        <w:noBreakHyphen/>
      </w:r>
      <w:r w:rsidR="00E86989">
        <w:t>off</w:t>
      </w:r>
      <w:r>
        <w:t xml:space="preserve"> date of 2 October 2014 was consistent with the findings for all pre-specified stratification factor randomisation groups (age </w:t>
      </w:r>
      <w:r w:rsidR="00503681">
        <w:t>(</w:t>
      </w:r>
      <w:r>
        <w:t xml:space="preserve">&lt; 55 and </w:t>
      </w:r>
      <w:r w:rsidR="00503681">
        <w:t xml:space="preserve">≥ </w:t>
      </w:r>
      <w:r>
        <w:t>55 years</w:t>
      </w:r>
      <w:r w:rsidR="00503681">
        <w:t>)</w:t>
      </w:r>
      <w:r>
        <w:t xml:space="preserve">, line of salvage </w:t>
      </w:r>
      <w:r w:rsidR="00503681">
        <w:t>(</w:t>
      </w:r>
      <w:r>
        <w:t>1 and 2</w:t>
      </w:r>
      <w:r w:rsidR="00503681">
        <w:t>)</w:t>
      </w:r>
      <w:r>
        <w:t xml:space="preserve">, and duration of first remission </w:t>
      </w:r>
      <w:r w:rsidR="00503681">
        <w:t>(</w:t>
      </w:r>
      <w:r>
        <w:t>&lt;</w:t>
      </w:r>
      <w:r w:rsidR="001348F0">
        <w:t xml:space="preserve"> </w:t>
      </w:r>
      <w:r>
        <w:t xml:space="preserve">12 and </w:t>
      </w:r>
      <w:r w:rsidR="00503681">
        <w:t xml:space="preserve">≥ </w:t>
      </w:r>
      <w:r>
        <w:t>12 months</w:t>
      </w:r>
      <w:r w:rsidR="00503681">
        <w:t>)</w:t>
      </w:r>
      <w:r>
        <w:t>). Based on the pre-specified stratification factors at randomisation, the CR/</w:t>
      </w:r>
      <w:proofErr w:type="spellStart"/>
      <w:r>
        <w:t>CRi</w:t>
      </w:r>
      <w:proofErr w:type="spellEnd"/>
      <w:r>
        <w:t xml:space="preserve"> (per EAC) rate in patients in the inotuzumab ozogamicin arm (ITT218 population) was 80.3% (53/66) in patients aged &lt; 55 years and 81.4% (35/43) in patients aged </w:t>
      </w:r>
      <w:r w:rsidR="00503681">
        <w:t xml:space="preserve">≥ </w:t>
      </w:r>
      <w:r>
        <w:t xml:space="preserve">55 years, 87.7% (64/73) for salvage status 1 and 66.7% (24/36) for salvage status 2, 77.5% (55/71) for patients with a first remission &lt; 12 months and 86.8% (33/38) for patients with a first remission </w:t>
      </w:r>
      <w:r w:rsidR="00503681">
        <w:t xml:space="preserve">≥ </w:t>
      </w:r>
      <w:r>
        <w:t>12 months</w:t>
      </w:r>
      <w:r w:rsidR="00503681">
        <w:t>.</w:t>
      </w:r>
    </w:p>
    <w:p w14:paraId="42B62E8B" w14:textId="77777777" w:rsidR="00503681" w:rsidRDefault="007D6AD4" w:rsidP="007D6AD4">
      <w:pPr>
        <w:pStyle w:val="ListBullet"/>
      </w:pPr>
      <w:r>
        <w:t>In the supportive analysis of CR/</w:t>
      </w:r>
      <w:proofErr w:type="spellStart"/>
      <w:r>
        <w:t>CRi</w:t>
      </w:r>
      <w:proofErr w:type="spellEnd"/>
      <w:r>
        <w:t xml:space="preserve"> (per investigator) based on the updated data for the total </w:t>
      </w:r>
      <w:r w:rsidR="00A232E5">
        <w:t>intent-to-treat (</w:t>
      </w:r>
      <w:r>
        <w:t>ITT</w:t>
      </w:r>
      <w:r w:rsidR="00A232E5">
        <w:t>)</w:t>
      </w:r>
      <w:r>
        <w:t xml:space="preserve"> population (n</w:t>
      </w:r>
      <w:r w:rsidR="0014606A">
        <w:t xml:space="preserve"> = </w:t>
      </w:r>
      <w:r>
        <w:t xml:space="preserve">326) at the data </w:t>
      </w:r>
      <w:r w:rsidR="00E86989">
        <w:t>cut-off</w:t>
      </w:r>
      <w:r>
        <w:t xml:space="preserve"> date of 8 March 2016, the CR/</w:t>
      </w:r>
      <w:proofErr w:type="spellStart"/>
      <w:r>
        <w:t>CRi</w:t>
      </w:r>
      <w:proofErr w:type="spellEnd"/>
      <w:r>
        <w:t xml:space="preserve"> rate was statistically significantly higher in the inotuzumab ozogamicin arm compared to the control arm (73.2% </w:t>
      </w:r>
      <w:r w:rsidR="00503681">
        <w:t>(</w:t>
      </w:r>
      <w:r>
        <w:t>120/164</w:t>
      </w:r>
      <w:r w:rsidR="00503681">
        <w:t>)</w:t>
      </w:r>
      <w:r>
        <w:t xml:space="preserve"> </w:t>
      </w:r>
      <w:r w:rsidR="001D0208">
        <w:t xml:space="preserve">versus </w:t>
      </w:r>
      <w:r>
        <w:t xml:space="preserve">30.9% </w:t>
      </w:r>
      <w:r w:rsidR="00503681">
        <w:t>(</w:t>
      </w:r>
      <w:r>
        <w:t>50/162</w:t>
      </w:r>
      <w:r w:rsidR="00503681">
        <w:t>)</w:t>
      </w:r>
      <w:r>
        <w:t>, ∆</w:t>
      </w:r>
      <w:r w:rsidR="0014606A">
        <w:t xml:space="preserve"> = </w:t>
      </w:r>
      <w:r>
        <w:t xml:space="preserve">42.3% </w:t>
      </w:r>
      <w:r w:rsidR="00503681">
        <w:t>(</w:t>
      </w:r>
      <w:r>
        <w:t>97.5% CI: 31.1, 53.5</w:t>
      </w:r>
      <w:r w:rsidR="00503681">
        <w:t>)</w:t>
      </w:r>
      <w:r>
        <w:t xml:space="preserve">, </w:t>
      </w:r>
      <w:r w:rsidR="001348F0">
        <w:t>p &lt; 0</w:t>
      </w:r>
      <w:r>
        <w:t>.0001, 1-sided Chi square test). The result of the supportive analysis was consistent with the result of the primary analysis</w:t>
      </w:r>
      <w:r w:rsidR="00503681">
        <w:t>.</w:t>
      </w:r>
    </w:p>
    <w:p w14:paraId="62246F7F" w14:textId="77777777" w:rsidR="00503681" w:rsidRDefault="007D6AD4" w:rsidP="007D6AD4">
      <w:pPr>
        <w:pStyle w:val="ListBullet"/>
      </w:pPr>
      <w:r>
        <w:t>In patients in the ITT inotuzumab ozogamicin arm who achieved CR/</w:t>
      </w:r>
      <w:proofErr w:type="spellStart"/>
      <w:r>
        <w:t>CRi</w:t>
      </w:r>
      <w:proofErr w:type="spellEnd"/>
      <w:r>
        <w:t xml:space="preserve"> (per investigator) as of the 8 March 2016 data </w:t>
      </w:r>
      <w:r w:rsidR="00E86989">
        <w:t>cut-off</w:t>
      </w:r>
      <w:r>
        <w:t xml:space="preserve"> date (n</w:t>
      </w:r>
      <w:r w:rsidR="0014606A">
        <w:t xml:space="preserve"> = </w:t>
      </w:r>
      <w:r>
        <w:t>120), 70.8% (n</w:t>
      </w:r>
      <w:r w:rsidR="0014606A">
        <w:t xml:space="preserve"> = </w:t>
      </w:r>
      <w:r>
        <w:t>85) achieved remission in Cycle 1, 25.8% (n</w:t>
      </w:r>
      <w:r w:rsidR="0014606A">
        <w:t xml:space="preserve"> = </w:t>
      </w:r>
      <w:r>
        <w:t>31) achieved remission in Cycle 2 and 3.3% (n</w:t>
      </w:r>
      <w:r w:rsidR="0014606A">
        <w:t xml:space="preserve"> = </w:t>
      </w:r>
      <w:r>
        <w:t xml:space="preserve">4) achieved remission in Cycle 3. No patients in the inotuzumab </w:t>
      </w:r>
      <w:proofErr w:type="spellStart"/>
      <w:r>
        <w:t>ozogamicin</w:t>
      </w:r>
      <w:proofErr w:type="spellEnd"/>
      <w:r>
        <w:t xml:space="preserve"> arm achieved CR/</w:t>
      </w:r>
      <w:proofErr w:type="spellStart"/>
      <w:r>
        <w:t>CRi</w:t>
      </w:r>
      <w:proofErr w:type="spellEnd"/>
      <w:r>
        <w:t xml:space="preserve"> after Cycle 3. The data indicates that patients who have not achieved </w:t>
      </w:r>
      <w:r>
        <w:lastRenderedPageBreak/>
        <w:t>CR/</w:t>
      </w:r>
      <w:proofErr w:type="spellStart"/>
      <w:r>
        <w:t>CRi</w:t>
      </w:r>
      <w:proofErr w:type="spellEnd"/>
      <w:r>
        <w:t xml:space="preserve"> after 3 treatment cycles should have treatment with inotuzumab ozogamicin discontinued</w:t>
      </w:r>
      <w:r w:rsidR="00503681">
        <w:t>.</w:t>
      </w:r>
    </w:p>
    <w:p w14:paraId="2AD655A5" w14:textId="77777777" w:rsidR="007D6AD4" w:rsidRPr="00A00367" w:rsidRDefault="001348F0" w:rsidP="007D6AD4">
      <w:pPr>
        <w:pStyle w:val="Heading6"/>
      </w:pPr>
      <w:r>
        <w:t>Overall survival;</w:t>
      </w:r>
      <w:r w:rsidR="007D6AD4" w:rsidRPr="00A00367">
        <w:t xml:space="preserve"> primary efficacy endpoint</w:t>
      </w:r>
    </w:p>
    <w:p w14:paraId="7BA0741A" w14:textId="77777777" w:rsidR="00503681" w:rsidRDefault="007D6AD4" w:rsidP="007D6AD4">
      <w:r>
        <w:t>The primary analysis of OS was based on patients in the ITT population (n</w:t>
      </w:r>
      <w:r w:rsidR="0014606A">
        <w:t xml:space="preserve"> = </w:t>
      </w:r>
      <w:r>
        <w:t xml:space="preserve">326) as of the 8 March 2016 data </w:t>
      </w:r>
      <w:r w:rsidR="00E86989">
        <w:t>cut-off</w:t>
      </w:r>
      <w:r>
        <w:t xml:space="preserve"> date. The analysis was undertaken when a total of 252 deaths had occurred. The stratified </w:t>
      </w:r>
      <w:r w:rsidR="00BF79CA">
        <w:t>hazard ratio (</w:t>
      </w:r>
      <w:r>
        <w:t>HR</w:t>
      </w:r>
      <w:r w:rsidR="00BF79CA">
        <w:t>)</w:t>
      </w:r>
      <w:r>
        <w:t xml:space="preserve"> was 0.770 (97.5% CI: 0.578, 1.026), p</w:t>
      </w:r>
      <w:r w:rsidR="0014606A">
        <w:t xml:space="preserve"> = </w:t>
      </w:r>
      <w:r>
        <w:t>0.0203 (1-sided stratified log-rank test), indicating an overall 23% reduction in the risk of death in the inotuzumab ozogamicin arm relative to the control arm. However, the difference between the two treatment arms did not reach st</w:t>
      </w:r>
      <w:r w:rsidR="001348F0">
        <w:t>atistical significance as the 1</w:t>
      </w:r>
      <w:r>
        <w:t xml:space="preserve">-sided p-value of 0.0203 exceeded the pre-specified 1-sided p-value boundary of 0.0104 (adjusted for the interim analyses). The median duration of survival was </w:t>
      </w:r>
      <w:r w:rsidR="001348F0">
        <w:t>estimated to be 7.7 months (95% </w:t>
      </w:r>
      <w:r>
        <w:t>CI: 6.0, 9.2) in the inotuzumab arm and 6.7 months (95% CI: 4.9, 8.3) in the control arm, with an absolute difference of 1 month in favour of inotuzumab. The 1 month difference in median survival between the two treatment arms in favour of inotuzumab ozogamicin is considered to be not clinically significant</w:t>
      </w:r>
      <w:r w:rsidR="00503681">
        <w:t>.</w:t>
      </w:r>
    </w:p>
    <w:p w14:paraId="55930F7E" w14:textId="77777777" w:rsidR="007D6AD4" w:rsidRPr="00A00367" w:rsidRDefault="007D6AD4" w:rsidP="007D6AD4">
      <w:pPr>
        <w:pStyle w:val="Heading6"/>
      </w:pPr>
      <w:r w:rsidRPr="00A00367">
        <w:t>P</w:t>
      </w:r>
      <w:r w:rsidR="001348F0">
        <w:t>rogression free survival (PFS);</w:t>
      </w:r>
      <w:r w:rsidRPr="00A00367">
        <w:t xml:space="preserve"> secondary efficacy endpoint</w:t>
      </w:r>
    </w:p>
    <w:p w14:paraId="05C62CF8" w14:textId="77777777" w:rsidR="00503681" w:rsidRDefault="007D6AD4" w:rsidP="007D6AD4">
      <w:r>
        <w:t>The primary analysis of PFS was based on all randomised patients in the ITT population (n</w:t>
      </w:r>
      <w:r w:rsidR="001348F0">
        <w:t> </w:t>
      </w:r>
      <w:r w:rsidR="0014606A">
        <w:t xml:space="preserve">= </w:t>
      </w:r>
      <w:r>
        <w:t xml:space="preserve">326) as of the 8 March 2016 data </w:t>
      </w:r>
      <w:r w:rsidR="00E86989">
        <w:t>cut-off</w:t>
      </w:r>
      <w:r>
        <w:t xml:space="preserve"> date. The definition of PFS used in the study was non-standard, and included death, progressive disease (objective progression, relapsed from CR/</w:t>
      </w:r>
      <w:proofErr w:type="spellStart"/>
      <w:r>
        <w:t>CRi</w:t>
      </w:r>
      <w:proofErr w:type="spellEnd"/>
      <w:r>
        <w:t xml:space="preserve">, treatment discontinuation due to global deterioration of health status), and starting new induction therapy or post-therapy HSCT without achieving CR or </w:t>
      </w:r>
      <w:proofErr w:type="spellStart"/>
      <w:r>
        <w:t>CRi</w:t>
      </w:r>
      <w:proofErr w:type="spellEnd"/>
      <w:r>
        <w:t>. The duration of PFS was statistically significantly greater in the inotuzumab arm than in the control arm (</w:t>
      </w:r>
      <w:r w:rsidR="001348F0">
        <w:t>p &lt; 0</w:t>
      </w:r>
      <w:r>
        <w:t xml:space="preserve">.05), and the difference is considered to be clinically significant. The estimated mean duration of PFS was 5.0 months (95% CI: 3.7, 5.6) in the inotuzumab ozogamicin arm and 1.8 months (95% CI: 1.5, 2.2) in the control arm. The stratified HR was 0.452 (97.5% CI: 0.336, 0.609), </w:t>
      </w:r>
      <w:r w:rsidR="001348F0">
        <w:t>p &lt; 0</w:t>
      </w:r>
      <w:r>
        <w:t>.0001, 1-sided stratified log-rank test</w:t>
      </w:r>
      <w:r w:rsidR="00503681">
        <w:t>.</w:t>
      </w:r>
    </w:p>
    <w:p w14:paraId="1EB7D18E" w14:textId="77777777" w:rsidR="007D6AD4" w:rsidRPr="00A00367" w:rsidRDefault="007D6AD4" w:rsidP="007D6AD4">
      <w:pPr>
        <w:pStyle w:val="Heading6"/>
      </w:pPr>
      <w:r w:rsidRPr="00A00367">
        <w:t>Oth</w:t>
      </w:r>
      <w:r w:rsidR="001348F0">
        <w:t>er secondary efficacy endpoints</w:t>
      </w:r>
    </w:p>
    <w:p w14:paraId="0CEEF58D" w14:textId="77777777" w:rsidR="00503681" w:rsidRDefault="007D6AD4" w:rsidP="007D6AD4">
      <w:r>
        <w:t>While p-values were provided for the pairwise comparisons of the other secondary efficacy endpoints it is considered that these should be considered to be nominal rather than confirmatory.</w:t>
      </w:r>
      <w:r w:rsidR="006779D9">
        <w:t xml:space="preserve"> </w:t>
      </w:r>
      <w:r w:rsidRPr="001348F0">
        <w:t xml:space="preserve">No pre-specified method was described in the </w:t>
      </w:r>
      <w:r w:rsidR="0041592A">
        <w:t>statistical analysis plan</w:t>
      </w:r>
      <w:r w:rsidR="0041592A" w:rsidRPr="001348F0">
        <w:t xml:space="preserve"> </w:t>
      </w:r>
      <w:r w:rsidR="0041592A">
        <w:t>(</w:t>
      </w:r>
      <w:r w:rsidRPr="001348F0">
        <w:t>SAP</w:t>
      </w:r>
      <w:r w:rsidR="0041592A">
        <w:t>)</w:t>
      </w:r>
      <w:r>
        <w:t xml:space="preserve"> for controlling the overall type 1 error of the study at 1-sided 0.025 for statistical testing of the other secondary efficacy endpoints</w:t>
      </w:r>
      <w:r w:rsidR="00503681">
        <w:t>.</w:t>
      </w:r>
    </w:p>
    <w:p w14:paraId="464EE835" w14:textId="77777777" w:rsidR="007D6AD4" w:rsidRPr="00A00367" w:rsidRDefault="001348F0" w:rsidP="007D6AD4">
      <w:pPr>
        <w:pStyle w:val="Heading7"/>
      </w:pPr>
      <w:r>
        <w:t>Durati</w:t>
      </w:r>
      <w:r w:rsidR="007C09CF">
        <w:t>on of remission (</w:t>
      </w:r>
      <w:proofErr w:type="spellStart"/>
      <w:r w:rsidR="007C09CF">
        <w:t>DoR</w:t>
      </w:r>
      <w:proofErr w:type="spellEnd"/>
      <w:r w:rsidR="007C09CF">
        <w:t>)</w:t>
      </w:r>
    </w:p>
    <w:p w14:paraId="5C2F05C1" w14:textId="77777777" w:rsidR="007D6AD4" w:rsidRDefault="007D6AD4" w:rsidP="007C09CF">
      <w:r>
        <w:t xml:space="preserve">The primary assessment of the </w:t>
      </w:r>
      <w:proofErr w:type="spellStart"/>
      <w:r>
        <w:t>DoR</w:t>
      </w:r>
      <w:proofErr w:type="spellEnd"/>
      <w:r>
        <w:t xml:space="preserve"> in patients achieving CR/</w:t>
      </w:r>
      <w:proofErr w:type="spellStart"/>
      <w:r>
        <w:t>CRi</w:t>
      </w:r>
      <w:proofErr w:type="spellEnd"/>
      <w:r>
        <w:t xml:space="preserve"> (per investigator) was assessed in the updated data for the ITT218 population (n</w:t>
      </w:r>
      <w:r w:rsidR="0014606A">
        <w:t xml:space="preserve"> = </w:t>
      </w:r>
      <w:r>
        <w:t xml:space="preserve">218), as of the 8 March 2016 data </w:t>
      </w:r>
      <w:r w:rsidR="00E86989">
        <w:t>cut-off</w:t>
      </w:r>
      <w:r>
        <w:t xml:space="preserve"> date. In this analysis, the estimated median </w:t>
      </w:r>
      <w:proofErr w:type="spellStart"/>
      <w:r>
        <w:t>DoR</w:t>
      </w:r>
      <w:proofErr w:type="spellEnd"/>
      <w:r>
        <w:t xml:space="preserve"> was 5.4 months (95% CI: 4.2, 8.0) in the inotuzumab ozogamicin arm and 3.5 months (95% CI: 2.9, 6.6) in the control arm: stratified HR</w:t>
      </w:r>
      <w:r w:rsidR="0014606A">
        <w:t xml:space="preserve"> = </w:t>
      </w:r>
      <w:r>
        <w:t>0.502 (95% CI: 0.303, 0.832), p</w:t>
      </w:r>
      <w:r w:rsidR="0014606A">
        <w:t xml:space="preserve"> = </w:t>
      </w:r>
      <w:r>
        <w:t xml:space="preserve">0.0031, 1-sided stratified log-rank test. The improvement in the </w:t>
      </w:r>
      <w:proofErr w:type="spellStart"/>
      <w:r>
        <w:t>DoR</w:t>
      </w:r>
      <w:proofErr w:type="spellEnd"/>
      <w:r>
        <w:t xml:space="preserve"> in the </w:t>
      </w:r>
      <w:proofErr w:type="spellStart"/>
      <w:r>
        <w:t>inotuzumab</w:t>
      </w:r>
      <w:proofErr w:type="spellEnd"/>
      <w:r>
        <w:t xml:space="preserve"> arm compared to the control arm observed in this analysis was consistent with results in the updated data for the ITT population (n</w:t>
      </w:r>
      <w:r w:rsidR="0014606A">
        <w:t xml:space="preserve"> = </w:t>
      </w:r>
      <w:r>
        <w:t xml:space="preserve">326) as of the 8 March 2016 data cut-off date. In this analysis, the estimated median </w:t>
      </w:r>
      <w:proofErr w:type="spellStart"/>
      <w:r>
        <w:t>DoR</w:t>
      </w:r>
      <w:proofErr w:type="spellEnd"/>
      <w:r>
        <w:t xml:space="preserve"> was 5.3 months (95% CI: 4.2, 7.0) in the inotuzumab ozogamicin arm and 3.6 months (95% CI: 2.9, 5.2): stratified HR</w:t>
      </w:r>
      <w:r w:rsidR="0014606A">
        <w:t xml:space="preserve"> = </w:t>
      </w:r>
      <w:r>
        <w:t>0.597 (95% CI: 0.400, 0.890), p</w:t>
      </w:r>
      <w:r w:rsidR="0014606A">
        <w:t xml:space="preserve"> = </w:t>
      </w:r>
      <w:r>
        <w:t>0.0052, 1-sided stratified log-rank test.</w:t>
      </w:r>
    </w:p>
    <w:p w14:paraId="12FCA86A" w14:textId="77777777" w:rsidR="007D6AD4" w:rsidRPr="007C09CF" w:rsidRDefault="007C09CF" w:rsidP="007C09CF">
      <w:pPr>
        <w:pStyle w:val="Heading7"/>
      </w:pPr>
      <w:r w:rsidRPr="007C09CF">
        <w:t>MRD-negativity</w:t>
      </w:r>
    </w:p>
    <w:p w14:paraId="01D5A22F" w14:textId="560BD0A0" w:rsidR="00503681" w:rsidRDefault="007D6AD4" w:rsidP="007D6AD4">
      <w:pPr>
        <w:widowControl w:val="0"/>
        <w:autoSpaceDE w:val="0"/>
        <w:autoSpaceDN w:val="0"/>
        <w:adjustRightInd w:val="0"/>
        <w:rPr>
          <w:rFonts w:ascii="‡ˇÚø◊ÁÍ" w:hAnsi="‡ˇÚø◊ÁÍ" w:cs="‡ˇÚø◊ÁÍ"/>
          <w:lang w:val="en-US"/>
        </w:rPr>
      </w:pPr>
      <w:r>
        <w:rPr>
          <w:rFonts w:ascii="‡ˇÚø◊ÁÍ" w:hAnsi="‡ˇÚø◊ÁÍ" w:cs="‡ˇÚø◊ÁÍ"/>
          <w:lang w:val="en-US"/>
        </w:rPr>
        <w:t>MRD was assessed by a central labor</w:t>
      </w:r>
      <w:r w:rsidR="007C09CF">
        <w:rPr>
          <w:rFonts w:ascii="‡ˇÚø◊ÁÍ" w:hAnsi="‡ˇÚø◊ÁÍ" w:cs="‡ˇÚø◊ÁÍ"/>
          <w:lang w:val="en-US"/>
        </w:rPr>
        <w:t xml:space="preserve">atory using flow cytometry. MRD </w:t>
      </w:r>
      <w:r>
        <w:rPr>
          <w:rFonts w:ascii="‡ˇÚø◊ÁÍ" w:hAnsi="‡ˇÚø◊ÁÍ" w:cs="‡ˇÚø◊ÁÍ"/>
          <w:lang w:val="en-US"/>
        </w:rPr>
        <w:t xml:space="preserve">negativity was defined as leukaemic cells comprising &lt; </w:t>
      </w:r>
      <w:r w:rsidR="007C09CF">
        <w:rPr>
          <w:rFonts w:ascii="‡ˇÚø◊ÁÍ" w:hAnsi="‡ˇÚø◊ÁÍ" w:cs="‡ˇÚø◊ÁÍ"/>
          <w:lang w:val="en-US"/>
        </w:rPr>
        <w:t>1 x</w:t>
      </w:r>
      <w:r w:rsidR="00EB51B1">
        <w:rPr>
          <w:rFonts w:ascii="‡ˇÚø◊ÁÍ" w:hAnsi="‡ˇÚø◊ÁÍ" w:cs="‡ˇÚø◊ÁÍ"/>
          <w:lang w:val="en-US"/>
        </w:rPr>
        <w:t xml:space="preserve"> </w:t>
      </w:r>
      <w:r>
        <w:rPr>
          <w:rFonts w:ascii="‡ˇÚø◊ÁÍ" w:hAnsi="‡ˇÚø◊ÁÍ" w:cs="‡ˇÚø◊ÁÍ"/>
          <w:lang w:val="en-US"/>
        </w:rPr>
        <w:t>10</w:t>
      </w:r>
      <w:r w:rsidRPr="003666E3">
        <w:rPr>
          <w:rFonts w:ascii="‡ˇÚø◊ÁÍ" w:hAnsi="‡ˇÚø◊ÁÍ" w:cs="‡ˇÚø◊ÁÍ"/>
          <w:vertAlign w:val="superscript"/>
          <w:lang w:val="en-US"/>
        </w:rPr>
        <w:t xml:space="preserve">-4 </w:t>
      </w:r>
      <w:r>
        <w:rPr>
          <w:rFonts w:ascii="‡ˇÚø◊ÁÍ" w:hAnsi="‡ˇÚø◊ÁÍ" w:cs="‡ˇÚø◊ÁÍ"/>
          <w:lang w:val="en-US"/>
        </w:rPr>
        <w:t>(&lt;</w:t>
      </w:r>
      <w:r w:rsidR="007C09CF">
        <w:rPr>
          <w:rFonts w:ascii="‡ˇÚø◊ÁÍ" w:hAnsi="‡ˇÚø◊ÁÍ" w:cs="‡ˇÚø◊ÁÍ"/>
          <w:lang w:val="en-US"/>
        </w:rPr>
        <w:t xml:space="preserve"> </w:t>
      </w:r>
      <w:r>
        <w:rPr>
          <w:rFonts w:ascii="‡ˇÚø◊ÁÍ" w:hAnsi="‡ˇÚø◊ÁÍ" w:cs="‡ˇÚø◊ÁÍ"/>
          <w:lang w:val="en-US"/>
        </w:rPr>
        <w:t xml:space="preserve">0.01%). </w:t>
      </w:r>
      <w:r>
        <w:t xml:space="preserve">The primary assessment of MRD was in the </w:t>
      </w:r>
      <w:r>
        <w:rPr>
          <w:rFonts w:ascii="‡ˇÚø◊ÁÍ" w:hAnsi="‡ˇÚø◊ÁÍ" w:cs="‡ˇÚø◊ÁÍ"/>
          <w:lang w:val="en-US"/>
        </w:rPr>
        <w:t>ITT218 patients achiev</w:t>
      </w:r>
      <w:r w:rsidR="007C09CF">
        <w:rPr>
          <w:rFonts w:ascii="‡ˇÚø◊ÁÍ" w:hAnsi="‡ˇÚø◊ÁÍ" w:cs="‡ˇÚø◊ÁÍ"/>
          <w:lang w:val="en-US"/>
        </w:rPr>
        <w:t>ing CR/</w:t>
      </w:r>
      <w:proofErr w:type="spellStart"/>
      <w:r w:rsidR="007C09CF">
        <w:rPr>
          <w:rFonts w:ascii="‡ˇÚø◊ÁÍ" w:hAnsi="‡ˇÚø◊ÁÍ" w:cs="‡ˇÚø◊ÁÍ"/>
          <w:lang w:val="en-US"/>
        </w:rPr>
        <w:t>CRi</w:t>
      </w:r>
      <w:proofErr w:type="spellEnd"/>
      <w:r w:rsidR="007C09CF">
        <w:rPr>
          <w:rFonts w:ascii="‡ˇÚø◊ÁÍ" w:hAnsi="‡ˇÚø◊ÁÍ" w:cs="‡ˇÚø◊ÁÍ"/>
          <w:lang w:val="en-US"/>
        </w:rPr>
        <w:t xml:space="preserve"> (per EAC) as of the </w:t>
      </w:r>
      <w:r>
        <w:rPr>
          <w:rFonts w:ascii="‡ˇÚø◊ÁÍ" w:hAnsi="‡ˇÚø◊ÁÍ" w:cs="‡ˇÚø◊ÁÍ"/>
          <w:lang w:val="en-US"/>
        </w:rPr>
        <w:t>2 October 2014. In this analysis, in patients who achieved CR/</w:t>
      </w:r>
      <w:proofErr w:type="spellStart"/>
      <w:r>
        <w:rPr>
          <w:rFonts w:ascii="‡ˇÚø◊ÁÍ" w:hAnsi="‡ˇÚø◊ÁÍ" w:cs="‡ˇÚø◊ÁÍ"/>
          <w:lang w:val="en-US"/>
        </w:rPr>
        <w:t>CRi</w:t>
      </w:r>
      <w:proofErr w:type="spellEnd"/>
      <w:r>
        <w:rPr>
          <w:rFonts w:ascii="‡ˇÚø◊ÁÍ" w:hAnsi="‡ˇÚø◊ÁÍ" w:cs="‡ˇÚø◊ÁÍ"/>
          <w:lang w:val="en-US"/>
        </w:rPr>
        <w:t xml:space="preserve"> (per invest</w:t>
      </w:r>
      <w:r w:rsidR="007C09CF">
        <w:rPr>
          <w:rFonts w:ascii="‡ˇÚø◊ÁÍ" w:hAnsi="‡ˇÚø◊ÁÍ" w:cs="‡ˇÚø◊ÁÍ"/>
          <w:lang w:val="en-US"/>
        </w:rPr>
        <w:t>igator) the percentage with MRD </w:t>
      </w:r>
      <w:r>
        <w:rPr>
          <w:rFonts w:ascii="‡ˇÚø◊ÁÍ" w:hAnsi="‡ˇÚø◊ÁÍ" w:cs="‡ˇÚø◊ÁÍ"/>
          <w:lang w:val="en-US"/>
        </w:rPr>
        <w:t xml:space="preserve">negativity was notably higher in the inotuzumab ozogamicin arm than in the control </w:t>
      </w:r>
      <w:r>
        <w:rPr>
          <w:rFonts w:ascii="‡ˇÚø◊ÁÍ" w:hAnsi="‡ˇÚø◊ÁÍ" w:cs="‡ˇÚø◊ÁÍ"/>
          <w:lang w:val="en-US"/>
        </w:rPr>
        <w:lastRenderedPageBreak/>
        <w:t xml:space="preserve">arm (78.4%, </w:t>
      </w:r>
      <w:r w:rsidR="00503681">
        <w:rPr>
          <w:rFonts w:ascii="‡ˇÚø◊ÁÍ" w:hAnsi="‡ˇÚø◊ÁÍ" w:cs="‡ˇÚø◊ÁÍ"/>
          <w:lang w:val="en-US"/>
        </w:rPr>
        <w:t>(</w:t>
      </w:r>
      <w:r>
        <w:rPr>
          <w:rFonts w:ascii="‡ˇÚø◊ÁÍ" w:hAnsi="‡ˇÚø◊ÁÍ" w:cs="‡ˇÚø◊ÁÍ"/>
          <w:lang w:val="en-US"/>
        </w:rPr>
        <w:t>69/88</w:t>
      </w:r>
      <w:r w:rsidR="00503681">
        <w:rPr>
          <w:rFonts w:ascii="‡ˇÚø◊ÁÍ" w:hAnsi="‡ˇÚø◊ÁÍ" w:cs="‡ˇÚø◊ÁÍ"/>
          <w:lang w:val="en-US"/>
        </w:rPr>
        <w:t>)</w:t>
      </w:r>
      <w:r>
        <w:rPr>
          <w:rFonts w:ascii="‡ˇÚø◊ÁÍ" w:hAnsi="‡ˇÚø◊ÁÍ" w:cs="‡ˇÚø◊ÁÍ"/>
          <w:lang w:val="en-US"/>
        </w:rPr>
        <w:t xml:space="preserve"> </w:t>
      </w:r>
      <w:r w:rsidR="001D0208">
        <w:rPr>
          <w:rFonts w:ascii="‡ˇÚø◊ÁÍ" w:hAnsi="‡ˇÚø◊ÁÍ" w:cs="‡ˇÚø◊ÁÍ"/>
          <w:lang w:val="en-US"/>
        </w:rPr>
        <w:t xml:space="preserve">versus </w:t>
      </w:r>
      <w:r>
        <w:rPr>
          <w:rFonts w:ascii="‡ˇÚø◊ÁÍ" w:hAnsi="‡ˇÚø◊ÁÍ" w:cs="‡ˇÚø◊ÁÍ"/>
          <w:lang w:val="en-US"/>
        </w:rPr>
        <w:t xml:space="preserve">28.1%, </w:t>
      </w:r>
      <w:r w:rsidR="00503681">
        <w:rPr>
          <w:rFonts w:ascii="‡ˇÚø◊ÁÍ" w:hAnsi="‡ˇÚø◊ÁÍ" w:cs="‡ˇÚø◊ÁÍ"/>
          <w:lang w:val="en-US"/>
        </w:rPr>
        <w:t>(</w:t>
      </w:r>
      <w:r>
        <w:rPr>
          <w:rFonts w:ascii="‡ˇÚø◊ÁÍ" w:hAnsi="‡ˇÚø◊ÁÍ" w:cs="‡ˇÚø◊ÁÍ"/>
          <w:lang w:val="en-US"/>
        </w:rPr>
        <w:t>9/32</w:t>
      </w:r>
      <w:r w:rsidR="00503681">
        <w:rPr>
          <w:rFonts w:ascii="‡ˇÚø◊ÁÍ" w:hAnsi="‡ˇÚø◊ÁÍ" w:cs="‡ˇÚø◊ÁÍ"/>
          <w:lang w:val="en-US"/>
        </w:rPr>
        <w:t>)</w:t>
      </w:r>
      <w:r>
        <w:rPr>
          <w:rFonts w:ascii="‡ˇÚø◊ÁÍ" w:hAnsi="‡ˇÚø◊ÁÍ" w:cs="‡ˇÚø◊ÁÍ"/>
          <w:lang w:val="en-US"/>
        </w:rPr>
        <w:t xml:space="preserve">, respectively), </w:t>
      </w:r>
      <w:r w:rsidR="001348F0">
        <w:rPr>
          <w:rFonts w:ascii="‡ˇÚø◊ÁÍ" w:hAnsi="‡ˇÚø◊ÁÍ" w:cs="‡ˇÚø◊ÁÍ"/>
          <w:lang w:val="en-US"/>
        </w:rPr>
        <w:t>p &lt; 0</w:t>
      </w:r>
      <w:r>
        <w:rPr>
          <w:rFonts w:ascii="‡ˇÚø◊ÁÍ" w:hAnsi="‡ˇÚø◊ÁÍ" w:cs="‡ˇÚø◊ÁÍ"/>
          <w:lang w:val="en-US"/>
        </w:rPr>
        <w:t>.0001, 1-sided Chi-square test). This improvement was consistent with the results in ITT patients achieving CR/</w:t>
      </w:r>
      <w:proofErr w:type="spellStart"/>
      <w:r>
        <w:rPr>
          <w:rFonts w:ascii="‡ˇÚø◊ÁÍ" w:hAnsi="‡ˇÚø◊ÁÍ" w:cs="‡ˇÚø◊ÁÍ"/>
          <w:lang w:val="en-US"/>
        </w:rPr>
        <w:t>CR</w:t>
      </w:r>
      <w:r w:rsidR="007C09CF">
        <w:rPr>
          <w:rFonts w:ascii="‡ˇÚø◊ÁÍ" w:hAnsi="‡ˇÚø◊ÁÍ" w:cs="‡ˇÚø◊ÁÍ"/>
          <w:lang w:val="en-US"/>
        </w:rPr>
        <w:t>i</w:t>
      </w:r>
      <w:proofErr w:type="spellEnd"/>
      <w:r w:rsidR="007C09CF">
        <w:rPr>
          <w:rFonts w:ascii="‡ˇÚø◊ÁÍ" w:hAnsi="‡ˇÚø◊ÁÍ" w:cs="‡ˇÚø◊ÁÍ"/>
          <w:lang w:val="en-US"/>
        </w:rPr>
        <w:t xml:space="preserve"> (per investigator) as of the </w:t>
      </w:r>
      <w:r>
        <w:rPr>
          <w:rFonts w:ascii="‡ˇÚø◊ÁÍ" w:hAnsi="‡ˇÚø◊ÁÍ" w:cs="‡ˇÚø◊ÁÍ"/>
          <w:lang w:val="en-US"/>
        </w:rPr>
        <w:t xml:space="preserve">8 March 2016 data </w:t>
      </w:r>
      <w:r w:rsidR="00E86989">
        <w:rPr>
          <w:rFonts w:ascii="‡ˇÚø◊ÁÍ" w:hAnsi="‡ˇÚø◊ÁÍ" w:cs="‡ˇÚø◊ÁÍ"/>
          <w:lang w:val="en-US"/>
        </w:rPr>
        <w:t>cut-off</w:t>
      </w:r>
      <w:r>
        <w:rPr>
          <w:rFonts w:ascii="‡ˇÚø◊ÁÍ" w:hAnsi="‡ˇÚø◊ÁÍ" w:cs="‡ˇÚø◊ÁÍ"/>
          <w:lang w:val="en-US"/>
        </w:rPr>
        <w:t xml:space="preserve"> date. In this analysis, in patients who achieved CR/</w:t>
      </w:r>
      <w:proofErr w:type="spellStart"/>
      <w:r>
        <w:rPr>
          <w:rFonts w:ascii="‡ˇÚø◊ÁÍ" w:hAnsi="‡ˇÚø◊ÁÍ" w:cs="‡ˇÚø◊ÁÍ"/>
          <w:lang w:val="en-US"/>
        </w:rPr>
        <w:t>CRi</w:t>
      </w:r>
      <w:proofErr w:type="spellEnd"/>
      <w:r>
        <w:rPr>
          <w:rFonts w:ascii="‡ˇÚø◊ÁÍ" w:hAnsi="‡ˇÚø◊ÁÍ" w:cs="‡ˇÚø◊ÁÍ"/>
          <w:lang w:val="en-US"/>
        </w:rPr>
        <w:t xml:space="preserve"> (per investigator) the percentage with MRD-negativity was notably higher in the inotuzumab ozogamicin arm than in the control arm (76.7%, </w:t>
      </w:r>
      <w:r w:rsidR="00503681">
        <w:rPr>
          <w:rFonts w:ascii="‡ˇÚø◊ÁÍ" w:hAnsi="‡ˇÚø◊ÁÍ" w:cs="‡ˇÚø◊ÁÍ"/>
          <w:lang w:val="en-US"/>
        </w:rPr>
        <w:t>(</w:t>
      </w:r>
      <w:r>
        <w:rPr>
          <w:rFonts w:ascii="‡ˇÚø◊ÁÍ" w:hAnsi="‡ˇÚø◊ÁÍ" w:cs="‡ˇÚø◊ÁÍ"/>
          <w:lang w:val="en-US"/>
        </w:rPr>
        <w:t>92/120</w:t>
      </w:r>
      <w:r w:rsidR="00503681">
        <w:rPr>
          <w:rFonts w:ascii="‡ˇÚø◊ÁÍ" w:hAnsi="‡ˇÚø◊ÁÍ" w:cs="‡ˇÚø◊ÁÍ"/>
          <w:lang w:val="en-US"/>
        </w:rPr>
        <w:t>)</w:t>
      </w:r>
      <w:r>
        <w:rPr>
          <w:rFonts w:ascii="‡ˇÚø◊ÁÍ" w:hAnsi="‡ˇÚø◊ÁÍ" w:cs="‡ˇÚø◊ÁÍ"/>
          <w:lang w:val="en-US"/>
        </w:rPr>
        <w:t xml:space="preserve"> </w:t>
      </w:r>
      <w:r w:rsidR="001D0208">
        <w:rPr>
          <w:rFonts w:ascii="‡ˇÚø◊ÁÍ" w:hAnsi="‡ˇÚø◊ÁÍ" w:cs="‡ˇÚø◊ÁÍ"/>
          <w:lang w:val="en-US"/>
        </w:rPr>
        <w:t xml:space="preserve">versus </w:t>
      </w:r>
      <w:r>
        <w:rPr>
          <w:rFonts w:ascii="‡ˇÚø◊ÁÍ" w:hAnsi="‡ˇÚø◊ÁÍ" w:cs="‡ˇÚø◊ÁÍ"/>
          <w:lang w:val="en-US"/>
        </w:rPr>
        <w:t xml:space="preserve">38.0% </w:t>
      </w:r>
      <w:r w:rsidR="00503681">
        <w:rPr>
          <w:rFonts w:ascii="‡ˇÚø◊ÁÍ" w:hAnsi="‡ˇÚø◊ÁÍ" w:cs="‡ˇÚø◊ÁÍ"/>
          <w:lang w:val="en-US"/>
        </w:rPr>
        <w:t>(</w:t>
      </w:r>
      <w:r>
        <w:rPr>
          <w:rFonts w:ascii="‡ˇÚø◊ÁÍ" w:hAnsi="‡ˇÚø◊ÁÍ" w:cs="‡ˇÚø◊ÁÍ"/>
          <w:lang w:val="en-US"/>
        </w:rPr>
        <w:t>19/50</w:t>
      </w:r>
      <w:r w:rsidR="00503681">
        <w:rPr>
          <w:rFonts w:ascii="‡ˇÚø◊ÁÍ" w:hAnsi="‡ˇÚø◊ÁÍ" w:cs="‡ˇÚø◊ÁÍ"/>
          <w:lang w:val="en-US"/>
        </w:rPr>
        <w:t>)</w:t>
      </w:r>
      <w:r>
        <w:rPr>
          <w:rFonts w:ascii="‡ˇÚø◊ÁÍ" w:hAnsi="‡ˇÚø◊ÁÍ" w:cs="‡ˇÚø◊ÁÍ"/>
          <w:lang w:val="en-US"/>
        </w:rPr>
        <w:t xml:space="preserve">, respectively), </w:t>
      </w:r>
      <w:r w:rsidR="001348F0">
        <w:rPr>
          <w:rFonts w:ascii="‡ˇÚø◊ÁÍ" w:hAnsi="‡ˇÚø◊ÁÍ" w:cs="‡ˇÚø◊ÁÍ"/>
          <w:lang w:val="en-US"/>
        </w:rPr>
        <w:t>p &lt; 0</w:t>
      </w:r>
      <w:r>
        <w:rPr>
          <w:rFonts w:ascii="‡ˇÚø◊ÁÍ" w:hAnsi="‡ˇÚø◊ÁÍ" w:cs="‡ˇÚø◊ÁÍ"/>
          <w:lang w:val="en-US"/>
        </w:rPr>
        <w:t>.0001, 1-sided Chi-square test)</w:t>
      </w:r>
      <w:r w:rsidR="00503681">
        <w:rPr>
          <w:rFonts w:ascii="‡ˇÚø◊ÁÍ" w:hAnsi="‡ˇÚø◊ÁÍ" w:cs="‡ˇÚø◊ÁÍ"/>
          <w:lang w:val="en-US"/>
        </w:rPr>
        <w:t>.</w:t>
      </w:r>
    </w:p>
    <w:p w14:paraId="7BBB96F9" w14:textId="7F0C8E6E" w:rsidR="007D6AD4" w:rsidRPr="00A00367" w:rsidRDefault="007C09CF" w:rsidP="007D6AD4">
      <w:pPr>
        <w:pStyle w:val="Heading7"/>
      </w:pPr>
      <w:r>
        <w:t>HSCT</w:t>
      </w:r>
    </w:p>
    <w:p w14:paraId="669BCD9C" w14:textId="2A78B078" w:rsidR="007D6AD4" w:rsidRPr="00B40176" w:rsidRDefault="007D6AD4" w:rsidP="007D6AD4">
      <w:pPr>
        <w:rPr>
          <w:rFonts w:asciiTheme="minorHAnsi" w:hAnsiTheme="minorHAnsi"/>
        </w:rPr>
      </w:pPr>
      <w:r>
        <w:t xml:space="preserve">The primary assessment of the HSCT rate was in the ITT population as of the 8 March 2016 data </w:t>
      </w:r>
      <w:r w:rsidR="00E86989">
        <w:t>cut-off</w:t>
      </w:r>
      <w:r>
        <w:t xml:space="preserve"> date. The percentage of patients proceeding to HSCT from the first treatment dose to any time in the st</w:t>
      </w:r>
      <w:r w:rsidR="007C09CF">
        <w:t xml:space="preserve">udy in the ITT population was </w:t>
      </w:r>
      <w:r>
        <w:t>greater in the inotuzumab arm than in the control arm (47.0%, n</w:t>
      </w:r>
      <w:r w:rsidR="0014606A">
        <w:t xml:space="preserve"> = </w:t>
      </w:r>
      <w:r>
        <w:t xml:space="preserve">77 </w:t>
      </w:r>
      <w:r w:rsidR="001D0208">
        <w:t xml:space="preserve">versus </w:t>
      </w:r>
      <w:r>
        <w:t>20.4%, n</w:t>
      </w:r>
      <w:r w:rsidR="0014606A">
        <w:t xml:space="preserve"> = </w:t>
      </w:r>
      <w:r>
        <w:t xml:space="preserve">33, respectively). The percentage of patients proceeding to HSCT in the interval from the first treatment dose until the start of post induction treatment was </w:t>
      </w:r>
      <w:r w:rsidR="00D43D6A">
        <w:t xml:space="preserve">4 fold </w:t>
      </w:r>
      <w:r w:rsidRPr="00B40176">
        <w:rPr>
          <w:rFonts w:asciiTheme="minorHAnsi" w:hAnsiTheme="minorHAnsi"/>
        </w:rPr>
        <w:t>higher in the inotuzumab ozogamicin arm than in the control arm (43.3%, n</w:t>
      </w:r>
      <w:r w:rsidR="0014606A">
        <w:rPr>
          <w:rFonts w:asciiTheme="minorHAnsi" w:hAnsiTheme="minorHAnsi"/>
        </w:rPr>
        <w:t xml:space="preserve"> = </w:t>
      </w:r>
      <w:r w:rsidRPr="00B40176">
        <w:rPr>
          <w:rFonts w:asciiTheme="minorHAnsi" w:hAnsiTheme="minorHAnsi"/>
        </w:rPr>
        <w:t xml:space="preserve">71 </w:t>
      </w:r>
      <w:r w:rsidR="001D0208">
        <w:rPr>
          <w:rFonts w:asciiTheme="minorHAnsi" w:hAnsiTheme="minorHAnsi"/>
        </w:rPr>
        <w:t xml:space="preserve">versus </w:t>
      </w:r>
      <w:r w:rsidRPr="00B40176">
        <w:rPr>
          <w:rFonts w:asciiTheme="minorHAnsi" w:hAnsiTheme="minorHAnsi"/>
        </w:rPr>
        <w:t>11.1%, n</w:t>
      </w:r>
      <w:r w:rsidR="0014606A">
        <w:rPr>
          <w:rFonts w:asciiTheme="minorHAnsi" w:hAnsiTheme="minorHAnsi"/>
        </w:rPr>
        <w:t xml:space="preserve"> = </w:t>
      </w:r>
      <w:r w:rsidRPr="00B40176">
        <w:rPr>
          <w:rFonts w:asciiTheme="minorHAnsi" w:hAnsiTheme="minorHAnsi"/>
        </w:rPr>
        <w:t>18, respectively, ∆</w:t>
      </w:r>
      <w:r w:rsidR="0014606A">
        <w:rPr>
          <w:rFonts w:asciiTheme="minorHAnsi" w:hAnsiTheme="minorHAnsi"/>
        </w:rPr>
        <w:t xml:space="preserve"> = </w:t>
      </w:r>
      <w:r w:rsidRPr="00B40176">
        <w:rPr>
          <w:rFonts w:asciiTheme="minorHAnsi" w:hAnsiTheme="minorHAnsi"/>
        </w:rPr>
        <w:t xml:space="preserve">32.2% </w:t>
      </w:r>
      <w:r w:rsidR="00503681">
        <w:rPr>
          <w:rFonts w:asciiTheme="minorHAnsi" w:hAnsiTheme="minorHAnsi"/>
        </w:rPr>
        <w:t>(</w:t>
      </w:r>
      <w:r w:rsidRPr="00B40176">
        <w:rPr>
          <w:rFonts w:asciiTheme="minorHAnsi" w:hAnsiTheme="minorHAnsi"/>
        </w:rPr>
        <w:t>95% CI: 23.2, 41.2</w:t>
      </w:r>
      <w:r w:rsidR="00503681">
        <w:rPr>
          <w:rFonts w:asciiTheme="minorHAnsi" w:hAnsiTheme="minorHAnsi"/>
        </w:rPr>
        <w:t>)</w:t>
      </w:r>
      <w:r w:rsidRPr="00B40176">
        <w:rPr>
          <w:rFonts w:asciiTheme="minorHAnsi" w:hAnsiTheme="minorHAnsi"/>
        </w:rPr>
        <w:t xml:space="preserve">, </w:t>
      </w:r>
      <w:r w:rsidR="001348F0">
        <w:rPr>
          <w:rFonts w:asciiTheme="minorHAnsi" w:hAnsiTheme="minorHAnsi"/>
        </w:rPr>
        <w:t>p &lt; 0</w:t>
      </w:r>
      <w:r w:rsidRPr="00B40176">
        <w:rPr>
          <w:rFonts w:asciiTheme="minorHAnsi" w:hAnsiTheme="minorHAnsi"/>
        </w:rPr>
        <w:t xml:space="preserve">.0001, 1-sided Chi-square test). The percentage of patients proceeding to HSCT </w:t>
      </w:r>
      <w:r w:rsidRPr="007C09CF">
        <w:rPr>
          <w:rFonts w:asciiTheme="minorHAnsi" w:hAnsiTheme="minorHAnsi"/>
        </w:rPr>
        <w:t>directly after achieving CR/</w:t>
      </w:r>
      <w:proofErr w:type="spellStart"/>
      <w:r w:rsidRPr="007C09CF">
        <w:rPr>
          <w:rFonts w:asciiTheme="minorHAnsi" w:hAnsiTheme="minorHAnsi"/>
        </w:rPr>
        <w:t>CRi</w:t>
      </w:r>
      <w:proofErr w:type="spellEnd"/>
      <w:r w:rsidRPr="007C09CF">
        <w:rPr>
          <w:rFonts w:asciiTheme="minorHAnsi" w:hAnsiTheme="minorHAnsi"/>
        </w:rPr>
        <w:t xml:space="preserve"> (per investigator)</w:t>
      </w:r>
      <w:r w:rsidRPr="00B40176">
        <w:rPr>
          <w:rFonts w:asciiTheme="minorHAnsi" w:hAnsiTheme="minorHAnsi"/>
        </w:rPr>
        <w:t xml:space="preserve"> in the interval from the first treatment dose to the start of post induction therapy was higher in the inotuzumab ozogamicin arm than in the control arm (39.6%, n</w:t>
      </w:r>
      <w:r w:rsidR="00EB51B1">
        <w:rPr>
          <w:rFonts w:asciiTheme="minorHAnsi" w:hAnsiTheme="minorHAnsi"/>
        </w:rPr>
        <w:t> </w:t>
      </w:r>
      <w:r w:rsidR="0014606A">
        <w:rPr>
          <w:rFonts w:asciiTheme="minorHAnsi" w:hAnsiTheme="minorHAnsi"/>
        </w:rPr>
        <w:t>=</w:t>
      </w:r>
      <w:r w:rsidR="00EB51B1">
        <w:rPr>
          <w:rFonts w:asciiTheme="minorHAnsi" w:hAnsiTheme="minorHAnsi"/>
        </w:rPr>
        <w:t> </w:t>
      </w:r>
      <w:r w:rsidRPr="00B40176">
        <w:rPr>
          <w:rFonts w:asciiTheme="minorHAnsi" w:hAnsiTheme="minorHAnsi"/>
        </w:rPr>
        <w:t xml:space="preserve">65 </w:t>
      </w:r>
      <w:r w:rsidR="001D0208">
        <w:rPr>
          <w:rFonts w:asciiTheme="minorHAnsi" w:hAnsiTheme="minorHAnsi"/>
        </w:rPr>
        <w:t xml:space="preserve">versus </w:t>
      </w:r>
      <w:r w:rsidRPr="00B40176">
        <w:rPr>
          <w:rFonts w:asciiTheme="minorHAnsi" w:hAnsiTheme="minorHAnsi"/>
        </w:rPr>
        <w:t>9.9%, n</w:t>
      </w:r>
      <w:r w:rsidR="007C09CF">
        <w:rPr>
          <w:rFonts w:asciiTheme="minorHAnsi" w:hAnsiTheme="minorHAnsi"/>
        </w:rPr>
        <w:t> = </w:t>
      </w:r>
      <w:r w:rsidRPr="00B40176">
        <w:rPr>
          <w:rFonts w:asciiTheme="minorHAnsi" w:hAnsiTheme="minorHAnsi"/>
        </w:rPr>
        <w:t>16, respectively).</w:t>
      </w:r>
    </w:p>
    <w:p w14:paraId="022BD3E2" w14:textId="48BE463C" w:rsidR="00503681" w:rsidRDefault="007D6AD4" w:rsidP="007C09CF">
      <w:r w:rsidRPr="00B40176">
        <w:t xml:space="preserve">Based on the 8 March 2016 data </w:t>
      </w:r>
      <w:r w:rsidR="00E86989">
        <w:t>cut-off</w:t>
      </w:r>
      <w:r w:rsidRPr="00B40176">
        <w:t xml:space="preserve"> date, the </w:t>
      </w:r>
      <w:r w:rsidR="00D9091C">
        <w:t>p</w:t>
      </w:r>
      <w:r w:rsidR="00D9091C" w:rsidRPr="00D9091C">
        <w:t xml:space="preserve">ost-transplant </w:t>
      </w:r>
      <w:r w:rsidRPr="00B40176">
        <w:t xml:space="preserve">mortality rate in </w:t>
      </w:r>
      <w:r w:rsidR="00D9091C">
        <w:t>the 77</w:t>
      </w:r>
      <w:r w:rsidR="00AC6DBC">
        <w:t> </w:t>
      </w:r>
      <w:r w:rsidRPr="00B40176">
        <w:t xml:space="preserve">patients in the inotuzumab ozogamicin arm and </w:t>
      </w:r>
      <w:r w:rsidR="00D9091C">
        <w:t xml:space="preserve">33 patients in </w:t>
      </w:r>
      <w:r w:rsidRPr="00B40176">
        <w:t xml:space="preserve">the control arm </w:t>
      </w:r>
      <w:r w:rsidR="00D9091C">
        <w:t xml:space="preserve">who received follow-up HSCT </w:t>
      </w:r>
      <w:r w:rsidRPr="00B40176">
        <w:t xml:space="preserve">was similar (59.7% </w:t>
      </w:r>
      <w:r w:rsidR="00503681">
        <w:t>(</w:t>
      </w:r>
      <w:r w:rsidRPr="00B40176">
        <w:t>46/77</w:t>
      </w:r>
      <w:r w:rsidR="00503681">
        <w:t>)</w:t>
      </w:r>
      <w:r w:rsidRPr="00B40176">
        <w:t xml:space="preserve"> </w:t>
      </w:r>
      <w:r w:rsidR="001D0208">
        <w:t xml:space="preserve">versus </w:t>
      </w:r>
      <w:r w:rsidRPr="00B40176">
        <w:t xml:space="preserve">57.6% </w:t>
      </w:r>
      <w:r w:rsidR="00503681">
        <w:t>(</w:t>
      </w:r>
      <w:r w:rsidRPr="00B40176">
        <w:t>19/33</w:t>
      </w:r>
      <w:r w:rsidR="00503681">
        <w:t>)</w:t>
      </w:r>
      <w:r w:rsidRPr="00B40176">
        <w:t>, respectively). Howev</w:t>
      </w:r>
      <w:r w:rsidR="007C09CF">
        <w:t xml:space="preserve">er, the estimated post-HSCT 100 </w:t>
      </w:r>
      <w:r w:rsidRPr="00B40176">
        <w:t xml:space="preserve">day mortality rate was notably higher in the inotuzumab ozogamicin arm than in the control arm (26.0% </w:t>
      </w:r>
      <w:r w:rsidR="001D0208">
        <w:t xml:space="preserve">versus </w:t>
      </w:r>
      <w:r w:rsidRPr="00B40176">
        <w:t xml:space="preserve">6.1%, respectively), as was the estimated </w:t>
      </w:r>
      <w:r w:rsidR="007C09CF">
        <w:t xml:space="preserve">12 month </w:t>
      </w:r>
      <w:r w:rsidRPr="00B40176">
        <w:t xml:space="preserve">mortality rate (55.8% </w:t>
      </w:r>
      <w:r w:rsidR="001D0208">
        <w:t xml:space="preserve">versus </w:t>
      </w:r>
      <w:r w:rsidRPr="00B40176">
        <w:t>36.1%), respectively</w:t>
      </w:r>
      <w:r w:rsidR="00503681">
        <w:t>.</w:t>
      </w:r>
    </w:p>
    <w:p w14:paraId="666C4264" w14:textId="77777777" w:rsidR="00503681" w:rsidRDefault="007C09CF" w:rsidP="007C09CF">
      <w:pPr>
        <w:rPr>
          <w:rFonts w:cs="Times"/>
          <w:lang w:val="en-US"/>
        </w:rPr>
      </w:pPr>
      <w:r>
        <w:t xml:space="preserve">Furthermore, the post-HSCT non </w:t>
      </w:r>
      <w:r w:rsidR="007D6AD4" w:rsidRPr="00B40176">
        <w:t xml:space="preserve">relapse mortality rate was notably higher in the inotuzumab ozogamicin arm than in the control arm (39.0% </w:t>
      </w:r>
      <w:r w:rsidR="001D0208">
        <w:t xml:space="preserve">versus </w:t>
      </w:r>
      <w:r w:rsidR="007D6AD4" w:rsidRPr="00B40176">
        <w:t>27.3%, respectively), as was the estimated mortality r</w:t>
      </w:r>
      <w:r w:rsidR="007D6AD4">
        <w:t>ate at the end of 100 days (20.8</w:t>
      </w:r>
      <w:r w:rsidR="007D6AD4" w:rsidRPr="00B40176">
        <w:t xml:space="preserve">% </w:t>
      </w:r>
      <w:r w:rsidR="001D0208">
        <w:t xml:space="preserve">versus </w:t>
      </w:r>
      <w:r w:rsidR="007D6AD4" w:rsidRPr="00B40176">
        <w:t xml:space="preserve">6.1%, respectively) and 12 months (37.7% </w:t>
      </w:r>
      <w:r w:rsidR="001D0208">
        <w:t xml:space="preserve">versus </w:t>
      </w:r>
      <w:r w:rsidR="007D6AD4" w:rsidRPr="00B40176">
        <w:t xml:space="preserve">18.8%, respectively). </w:t>
      </w:r>
      <w:r w:rsidR="007D6AD4" w:rsidRPr="00B40176">
        <w:rPr>
          <w:rFonts w:cs="Times"/>
          <w:lang w:val="en-US"/>
        </w:rPr>
        <w:t>Therefore, while the overall post-HSCT mortality rate</w:t>
      </w:r>
      <w:r w:rsidR="006779D9">
        <w:rPr>
          <w:rFonts w:cs="Times"/>
          <w:lang w:val="en-US"/>
        </w:rPr>
        <w:t xml:space="preserve"> </w:t>
      </w:r>
      <w:r w:rsidR="007D6AD4" w:rsidRPr="00B40176">
        <w:rPr>
          <w:rFonts w:cs="Times"/>
          <w:lang w:val="en-US"/>
        </w:rPr>
        <w:t>was similar in the two treatment arms, the causes of death and timing of death were different between the arms. In the inotuzumab ozogamicin arm, more patients died due to reasons other than the disease under study (</w:t>
      </w:r>
      <w:r w:rsidR="001D0208">
        <w:rPr>
          <w:rFonts w:cs="Times"/>
          <w:lang w:val="en-US"/>
        </w:rPr>
        <w:t>for example</w:t>
      </w:r>
      <w:r w:rsidR="007D6AD4" w:rsidRPr="00B40176">
        <w:rPr>
          <w:rFonts w:cs="Times"/>
          <w:lang w:val="en-US"/>
        </w:rPr>
        <w:t xml:space="preserve">, infection and VOD/SOS) and had a higher 100-day and </w:t>
      </w:r>
      <w:r>
        <w:rPr>
          <w:rFonts w:cs="Times"/>
          <w:lang w:val="en-US"/>
        </w:rPr>
        <w:t xml:space="preserve">12 month </w:t>
      </w:r>
      <w:r w:rsidR="007D6AD4" w:rsidRPr="00B40176">
        <w:rPr>
          <w:rFonts w:cs="Times"/>
          <w:lang w:val="en-US"/>
        </w:rPr>
        <w:t>mortality rates than patients in the control arm</w:t>
      </w:r>
      <w:r w:rsidR="00503681">
        <w:rPr>
          <w:rFonts w:cs="Times"/>
          <w:lang w:val="en-US"/>
        </w:rPr>
        <w:t>.</w:t>
      </w:r>
    </w:p>
    <w:p w14:paraId="623BE67F" w14:textId="77777777" w:rsidR="007D6AD4" w:rsidRPr="00B40176" w:rsidRDefault="007D6AD4" w:rsidP="007D6AD4">
      <w:pPr>
        <w:pStyle w:val="Heading7"/>
        <w:rPr>
          <w:lang w:val="en-US"/>
        </w:rPr>
      </w:pPr>
      <w:r w:rsidRPr="00B40176">
        <w:rPr>
          <w:lang w:val="en-US"/>
        </w:rPr>
        <w:t>P</w:t>
      </w:r>
      <w:r w:rsidR="007C09CF">
        <w:rPr>
          <w:lang w:val="en-US"/>
        </w:rPr>
        <w:t>atient reported outcomes (PROs)</w:t>
      </w:r>
    </w:p>
    <w:p w14:paraId="2F0683C2" w14:textId="0E214941" w:rsidR="00503681" w:rsidRDefault="007D6AD4" w:rsidP="007C09CF">
      <w:pPr>
        <w:rPr>
          <w:lang w:val="en-US"/>
        </w:rPr>
      </w:pPr>
      <w:r w:rsidRPr="00B40176">
        <w:rPr>
          <w:lang w:val="en-US"/>
        </w:rPr>
        <w:t xml:space="preserve">Based on the </w:t>
      </w:r>
      <w:r w:rsidR="00BF79CA">
        <w:rPr>
          <w:lang w:val="en-US"/>
        </w:rPr>
        <w:t>s</w:t>
      </w:r>
      <w:r w:rsidR="007C09CF">
        <w:rPr>
          <w:lang w:val="en-US"/>
        </w:rPr>
        <w:t xml:space="preserve">tudy </w:t>
      </w:r>
      <w:r w:rsidRPr="00B40176">
        <w:rPr>
          <w:lang w:val="en-US"/>
        </w:rPr>
        <w:t>EORTC QLQ-C30</w:t>
      </w:r>
      <w:r w:rsidR="00BF79CA">
        <w:rPr>
          <w:rStyle w:val="FootnoteReference"/>
          <w:lang w:val="en-US"/>
        </w:rPr>
        <w:footnoteReference w:id="35"/>
      </w:r>
      <w:r w:rsidRPr="00B40176">
        <w:rPr>
          <w:lang w:val="en-US"/>
        </w:rPr>
        <w:t xml:space="preserve"> results (ITT population), inotuzumab ozogamicin treatment was associated with significantly better post-baseline scores in physical functioning, role functioning, social functioning, and appetite loss compared to control. There were no </w:t>
      </w:r>
      <w:r w:rsidR="00A96800">
        <w:rPr>
          <w:lang w:val="en-US"/>
        </w:rPr>
        <w:t xml:space="preserve">statistically </w:t>
      </w:r>
      <w:r w:rsidRPr="00B40176">
        <w:rPr>
          <w:lang w:val="en-US"/>
        </w:rPr>
        <w:t>significant differences between the two t</w:t>
      </w:r>
      <w:r w:rsidR="007C09CF">
        <w:rPr>
          <w:lang w:val="en-US"/>
        </w:rPr>
        <w:t>reatment arms as regards the EQ</w:t>
      </w:r>
      <w:r w:rsidR="007C09CF">
        <w:rPr>
          <w:lang w:val="en-US"/>
        </w:rPr>
        <w:noBreakHyphen/>
      </w:r>
      <w:r w:rsidRPr="00B40176">
        <w:rPr>
          <w:lang w:val="en-US"/>
        </w:rPr>
        <w:t xml:space="preserve">5D index and the </w:t>
      </w:r>
      <w:proofErr w:type="spellStart"/>
      <w:r w:rsidR="00BF79CA">
        <w:t>EuroQoL</w:t>
      </w:r>
      <w:proofErr w:type="spellEnd"/>
      <w:r w:rsidR="00BF79CA">
        <w:t xml:space="preserve"> visual analogue scale</w:t>
      </w:r>
      <w:r w:rsidR="00BF79CA" w:rsidRPr="00B40176">
        <w:rPr>
          <w:lang w:val="en-US"/>
        </w:rPr>
        <w:t xml:space="preserve"> </w:t>
      </w:r>
      <w:r w:rsidR="00BF79CA">
        <w:rPr>
          <w:lang w:val="en-US"/>
        </w:rPr>
        <w:t>(</w:t>
      </w:r>
      <w:r w:rsidRPr="00B40176">
        <w:rPr>
          <w:lang w:val="en-US"/>
        </w:rPr>
        <w:t>EQ-VAS</w:t>
      </w:r>
      <w:r w:rsidR="00BF79CA">
        <w:rPr>
          <w:lang w:val="en-US"/>
        </w:rPr>
        <w:t>)</w:t>
      </w:r>
      <w:r w:rsidRPr="00B40176">
        <w:rPr>
          <w:lang w:val="en-US"/>
        </w:rPr>
        <w:t>. Overall, treatment with inotuzumab ozogamicin is not associated with a decline in quality of life compared to control treatment</w:t>
      </w:r>
      <w:r w:rsidR="00503681">
        <w:rPr>
          <w:lang w:val="en-US"/>
        </w:rPr>
        <w:t>.</w:t>
      </w:r>
    </w:p>
    <w:p w14:paraId="27F9795A" w14:textId="77777777" w:rsidR="00605AD4" w:rsidRPr="007C09CF" w:rsidRDefault="00605AD4" w:rsidP="007C09CF">
      <w:pPr>
        <w:pStyle w:val="Heading4"/>
      </w:pPr>
      <w:r w:rsidRPr="007C09CF">
        <w:t>First round assessment of risks</w:t>
      </w:r>
    </w:p>
    <w:p w14:paraId="28B13D4D" w14:textId="77777777" w:rsidR="00503681" w:rsidRDefault="007D6AD4" w:rsidP="007D6AD4">
      <w:pPr>
        <w:rPr>
          <w:lang w:val="en-US"/>
        </w:rPr>
      </w:pPr>
      <w:r w:rsidRPr="00390227">
        <w:rPr>
          <w:lang w:val="en-US"/>
        </w:rPr>
        <w:t>The risks of treatment with inotuzumab ozogamicin compared to control for the proposed indication reviewed below a</w:t>
      </w:r>
      <w:r>
        <w:rPr>
          <w:lang w:val="en-US"/>
        </w:rPr>
        <w:t>re</w:t>
      </w:r>
      <w:r w:rsidRPr="00390227">
        <w:rPr>
          <w:lang w:val="en-US"/>
        </w:rPr>
        <w:t xml:space="preserve"> based on the pivotal </w:t>
      </w:r>
      <w:r w:rsidR="001D0208">
        <w:rPr>
          <w:lang w:val="en-US"/>
        </w:rPr>
        <w:t>Phase III</w:t>
      </w:r>
      <w:r w:rsidRPr="00390227">
        <w:rPr>
          <w:lang w:val="en-US"/>
        </w:rPr>
        <w:t xml:space="preserve"> </w:t>
      </w:r>
      <w:r w:rsidR="00503681">
        <w:rPr>
          <w:lang w:val="en-US"/>
        </w:rPr>
        <w:t>Study</w:t>
      </w:r>
      <w:r w:rsidR="007C09CF">
        <w:rPr>
          <w:lang w:val="en-US"/>
        </w:rPr>
        <w:t xml:space="preserve"> B1931022</w:t>
      </w:r>
      <w:r w:rsidRPr="00390227">
        <w:rPr>
          <w:lang w:val="en-US"/>
        </w:rPr>
        <w:t xml:space="preserve">. The risks of treatment with inotuzumab ozogamicin have been reviewed based on adverse drug reaction (ADR) data, mortality data and all causality TEAE data for adverse events of </w:t>
      </w:r>
      <w:r w:rsidRPr="00390227">
        <w:rPr>
          <w:lang w:val="en-US"/>
        </w:rPr>
        <w:lastRenderedPageBreak/>
        <w:t>special interest. Overall, the risks of inotuzumab ozogamicin have been well chara</w:t>
      </w:r>
      <w:r>
        <w:rPr>
          <w:lang w:val="en-US"/>
        </w:rPr>
        <w:t xml:space="preserve">cterised in the submitted data. </w:t>
      </w:r>
      <w:r w:rsidRPr="00390227">
        <w:rPr>
          <w:lang w:val="en-US"/>
        </w:rPr>
        <w:t xml:space="preserve">The safety data are considered to be </w:t>
      </w:r>
      <w:r>
        <w:rPr>
          <w:lang w:val="en-US"/>
        </w:rPr>
        <w:t>reliable</w:t>
      </w:r>
      <w:r w:rsidR="00503681">
        <w:rPr>
          <w:lang w:val="en-US"/>
        </w:rPr>
        <w:t>.</w:t>
      </w:r>
    </w:p>
    <w:p w14:paraId="32897104" w14:textId="77777777" w:rsidR="007D6AD4" w:rsidRPr="00390227" w:rsidRDefault="007C09CF" w:rsidP="007D6AD4">
      <w:pPr>
        <w:rPr>
          <w:rFonts w:eastAsiaTheme="minorHAnsi" w:cs="TimesNewRoman"/>
        </w:rPr>
      </w:pPr>
      <w:r>
        <w:rPr>
          <w:lang w:val="en-US"/>
        </w:rPr>
        <w:t>The criteria used to define</w:t>
      </w:r>
      <w:r w:rsidR="007D6AD4">
        <w:rPr>
          <w:lang w:val="en-US"/>
        </w:rPr>
        <w:t xml:space="preserve"> ADRs </w:t>
      </w:r>
      <w:r>
        <w:rPr>
          <w:lang w:val="en-US"/>
        </w:rPr>
        <w:t>were</w:t>
      </w:r>
      <w:r w:rsidR="007D6AD4">
        <w:rPr>
          <w:lang w:val="en-US"/>
        </w:rPr>
        <w:t xml:space="preserve"> </w:t>
      </w:r>
      <w:r>
        <w:rPr>
          <w:lang w:val="en-US"/>
        </w:rPr>
        <w:t>provided</w:t>
      </w:r>
      <w:r w:rsidR="007D6AD4" w:rsidRPr="00390227">
        <w:rPr>
          <w:lang w:val="en-US"/>
        </w:rPr>
        <w:t xml:space="preserve">. </w:t>
      </w:r>
      <w:proofErr w:type="spellStart"/>
      <w:r w:rsidR="007D6AD4" w:rsidRPr="00390227">
        <w:rPr>
          <w:lang w:val="en-US"/>
        </w:rPr>
        <w:t>MedDRA</w:t>
      </w:r>
      <w:proofErr w:type="spellEnd"/>
      <w:r w:rsidR="007D6AD4" w:rsidRPr="00390227">
        <w:rPr>
          <w:lang w:val="en-US"/>
        </w:rPr>
        <w:t xml:space="preserve"> (v18.1) coding dictionary was applied to define the ADRs, and severity was graded according to NCI CTCAE version 3.0. Both the approved FDA and EU prescribin</w:t>
      </w:r>
      <w:r w:rsidR="007D6AD4">
        <w:rPr>
          <w:lang w:val="en-US"/>
        </w:rPr>
        <w:t>g information documents include</w:t>
      </w:r>
      <w:r w:rsidR="007D6AD4" w:rsidRPr="00390227">
        <w:rPr>
          <w:lang w:val="en-US"/>
        </w:rPr>
        <w:t xml:space="preserve"> safety data based on the ADRs for inotuzumab ozogamic</w:t>
      </w:r>
      <w:r w:rsidR="007D6AD4">
        <w:rPr>
          <w:lang w:val="en-US"/>
        </w:rPr>
        <w:t xml:space="preserve">in. It should be noted that ADRs </w:t>
      </w:r>
      <w:r w:rsidR="007D6AD4" w:rsidRPr="00390227">
        <w:rPr>
          <w:lang w:val="en-US"/>
        </w:rPr>
        <w:t xml:space="preserve">included TEAEs (all causality) that commenced on or after C1D1 within 42 days of last dose of study drug, but prior to the start of new anticancer treatment (including HSCT). Therefore, </w:t>
      </w:r>
      <w:r w:rsidR="007D6AD4" w:rsidRPr="00390227">
        <w:t>VOD after follow-</w:t>
      </w:r>
      <w:r w:rsidR="007D6AD4">
        <w:t>up HSCT was not included as an ADR</w:t>
      </w:r>
      <w:r w:rsidR="007D6AD4">
        <w:rPr>
          <w:rFonts w:eastAsiaTheme="minorHAnsi" w:cs="TimesNewRoman"/>
        </w:rPr>
        <w:t xml:space="preserve">. </w:t>
      </w:r>
      <w:r w:rsidR="007D6AD4" w:rsidRPr="00390227">
        <w:rPr>
          <w:rFonts w:eastAsiaTheme="minorHAnsi" w:cs="TimesNewRoman"/>
        </w:rPr>
        <w:t xml:space="preserve">While VOD after follow-up HSCT was not included </w:t>
      </w:r>
      <w:r w:rsidR="007D6AD4">
        <w:rPr>
          <w:rFonts w:eastAsiaTheme="minorHAnsi" w:cs="TimesNewRoman"/>
        </w:rPr>
        <w:t xml:space="preserve">as a defined </w:t>
      </w:r>
      <w:r w:rsidR="007D6AD4" w:rsidRPr="00390227">
        <w:rPr>
          <w:rFonts w:eastAsiaTheme="minorHAnsi" w:cs="TimesNewRoman"/>
        </w:rPr>
        <w:t>ADR</w:t>
      </w:r>
      <w:r w:rsidR="007D6AD4">
        <w:rPr>
          <w:rFonts w:eastAsiaTheme="minorHAnsi" w:cs="TimesNewRoman"/>
        </w:rPr>
        <w:t xml:space="preserve"> </w:t>
      </w:r>
      <w:r w:rsidR="007D6AD4" w:rsidRPr="00390227">
        <w:rPr>
          <w:rFonts w:eastAsiaTheme="minorHAnsi" w:cs="TimesNewRoman"/>
        </w:rPr>
        <w:t>there were detailed descriptions of VOD after follow-up HSCT</w:t>
      </w:r>
      <w:r w:rsidR="007D6AD4">
        <w:rPr>
          <w:rFonts w:eastAsiaTheme="minorHAnsi" w:cs="TimesNewRoman"/>
        </w:rPr>
        <w:t xml:space="preserve"> in the submitted safety data.</w:t>
      </w:r>
    </w:p>
    <w:p w14:paraId="5DC16936" w14:textId="77777777" w:rsidR="007D6AD4" w:rsidRPr="00390227" w:rsidRDefault="007D6AD4" w:rsidP="007D6AD4">
      <w:pPr>
        <w:pStyle w:val="Heading5"/>
      </w:pPr>
      <w:r w:rsidRPr="00390227">
        <w:t>Adverse dru</w:t>
      </w:r>
      <w:r>
        <w:t>g reactions, all grades (</w:t>
      </w:r>
      <w:r w:rsidR="00503681">
        <w:t xml:space="preserve">≥ </w:t>
      </w:r>
      <w:r>
        <w:t>10%)</w:t>
      </w:r>
    </w:p>
    <w:p w14:paraId="5FEE36C0" w14:textId="77777777" w:rsidR="00503681" w:rsidRDefault="007D6AD4" w:rsidP="007D6AD4">
      <w:pPr>
        <w:autoSpaceDE w:val="0"/>
        <w:autoSpaceDN w:val="0"/>
        <w:adjustRightInd w:val="0"/>
        <w:rPr>
          <w:rFonts w:asciiTheme="minorHAnsi" w:hAnsiTheme="minorHAnsi" w:cstheme="minorHAnsi"/>
        </w:rPr>
      </w:pPr>
      <w:r w:rsidRPr="00390227">
        <w:rPr>
          <w:rFonts w:asciiTheme="minorHAnsi" w:hAnsiTheme="minorHAnsi" w:cstheme="minorHAnsi"/>
        </w:rPr>
        <w:t xml:space="preserve">Adverse drug reactions (all grades) reported in </w:t>
      </w:r>
      <w:r w:rsidR="00503681">
        <w:rPr>
          <w:rFonts w:asciiTheme="minorHAnsi" w:hAnsiTheme="minorHAnsi" w:cstheme="minorHAnsi"/>
        </w:rPr>
        <w:t xml:space="preserve">≥ </w:t>
      </w:r>
      <w:r w:rsidRPr="00390227">
        <w:rPr>
          <w:rFonts w:asciiTheme="minorHAnsi" w:hAnsiTheme="minorHAnsi" w:cstheme="minorHAnsi"/>
        </w:rPr>
        <w:t xml:space="preserve">10% of patients in the inotuzumab arm </w:t>
      </w:r>
      <w:r w:rsidR="001D0208">
        <w:rPr>
          <w:rFonts w:asciiTheme="minorHAnsi" w:hAnsiTheme="minorHAnsi" w:cstheme="minorHAnsi"/>
        </w:rPr>
        <w:t xml:space="preserve">versus </w:t>
      </w:r>
      <w:r w:rsidRPr="00390227">
        <w:rPr>
          <w:rFonts w:asciiTheme="minorHAnsi" w:hAnsiTheme="minorHAnsi" w:cstheme="minorHAnsi"/>
        </w:rPr>
        <w:t xml:space="preserve">the control arm, in descending order of frequency in the inotuzumab ozogamicin arm, are summarised below in Table </w:t>
      </w:r>
      <w:r w:rsidR="00CC30C8">
        <w:rPr>
          <w:rFonts w:asciiTheme="minorHAnsi" w:hAnsiTheme="minorHAnsi" w:cstheme="minorHAnsi"/>
        </w:rPr>
        <w:t>9</w:t>
      </w:r>
      <w:r w:rsidR="00503681">
        <w:rPr>
          <w:rFonts w:asciiTheme="minorHAnsi" w:hAnsiTheme="minorHAnsi" w:cstheme="minorHAnsi"/>
        </w:rPr>
        <w:t>.</w:t>
      </w:r>
    </w:p>
    <w:p w14:paraId="50B74070" w14:textId="77777777" w:rsidR="00503681" w:rsidRDefault="007D6AD4" w:rsidP="007D6AD4">
      <w:pPr>
        <w:pStyle w:val="TableTitle"/>
      </w:pPr>
      <w:bookmarkStart w:id="126" w:name="_Toc503178183"/>
      <w:r w:rsidRPr="00D749CA">
        <w:t>Table</w:t>
      </w:r>
      <w:r w:rsidR="00CC30C8">
        <w:t xml:space="preserve"> 9</w:t>
      </w:r>
      <w:r w:rsidRPr="00D749CA">
        <w:t xml:space="preserve">: Adverse drugs reactions with an incidence of </w:t>
      </w:r>
      <w:r w:rsidR="00503681">
        <w:t xml:space="preserve">≥ </w:t>
      </w:r>
      <w:r w:rsidRPr="00D749CA">
        <w:t>10% in the inotuzumab ozogamicin (all grades) arm compared to control treatment, safety population</w:t>
      </w:r>
      <w:bookmarkEnd w:id="126"/>
    </w:p>
    <w:p w14:paraId="212FD69D" w14:textId="77777777" w:rsidR="007D6AD4" w:rsidRPr="00D749CA" w:rsidRDefault="007D6AD4" w:rsidP="00CC30C8">
      <w:r w:rsidRPr="00CC30C8">
        <w:rPr>
          <w:noProof/>
          <w:lang w:eastAsia="en-AU"/>
        </w:rPr>
        <w:drawing>
          <wp:inline distT="0" distB="0" distL="0" distR="0" wp14:anchorId="37C98B8F" wp14:editId="49FBB268">
            <wp:extent cx="5400040" cy="5071191"/>
            <wp:effectExtent l="0" t="0" r="0" b="0"/>
            <wp:docPr id="5" name="Picture 5" descr="Table 9: Adverse drugs reactions with an incidence of ≥ 10% in the inotuzumab ozogamicin (all grades) arm compared to control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5071191"/>
                    </a:xfrm>
                    <a:prstGeom prst="rect">
                      <a:avLst/>
                    </a:prstGeom>
                  </pic:spPr>
                </pic:pic>
              </a:graphicData>
            </a:graphic>
          </wp:inline>
        </w:drawing>
      </w:r>
    </w:p>
    <w:p w14:paraId="43491B47" w14:textId="77777777" w:rsidR="007D6AD4" w:rsidRPr="00020C33" w:rsidRDefault="007D6AD4" w:rsidP="007D6AD4">
      <w:pPr>
        <w:pStyle w:val="Heading5"/>
      </w:pPr>
      <w:r w:rsidRPr="00020C33">
        <w:t>Adverse drug reactions all grades (</w:t>
      </w:r>
      <w:r w:rsidR="00503681">
        <w:t xml:space="preserve">≥ </w:t>
      </w:r>
      <w:r w:rsidR="007C09CF">
        <w:t>1% to &lt; 10%)</w:t>
      </w:r>
    </w:p>
    <w:p w14:paraId="66A84F41" w14:textId="77777777" w:rsidR="00503681" w:rsidRDefault="007D6AD4" w:rsidP="007D6AD4">
      <w:r w:rsidRPr="00020C33">
        <w:t xml:space="preserve">Commonly reported ADRs (all grades) </w:t>
      </w:r>
      <w:r>
        <w:t>occurring</w:t>
      </w:r>
      <w:r w:rsidR="006779D9">
        <w:t xml:space="preserve"> </w:t>
      </w:r>
      <w:r w:rsidRPr="00020C33">
        <w:t xml:space="preserve">in </w:t>
      </w:r>
      <w:r w:rsidR="00503681">
        <w:t xml:space="preserve">≥ </w:t>
      </w:r>
      <w:r w:rsidRPr="00020C33">
        <w:t>1% to &lt; 10% of patients in the inotuzumab ozogamicin arm (</w:t>
      </w:r>
      <w:r w:rsidR="001D0208">
        <w:t xml:space="preserve">versus </w:t>
      </w:r>
      <w:r w:rsidRPr="00020C33">
        <w:t xml:space="preserve">control), in descending order of frequency in the </w:t>
      </w:r>
      <w:r w:rsidRPr="00020C33">
        <w:lastRenderedPageBreak/>
        <w:t xml:space="preserve">inotuzumab ozogamicin arm, were (respectively): lipase increased (9.1% </w:t>
      </w:r>
      <w:r w:rsidR="001D0208">
        <w:t xml:space="preserve">versus </w:t>
      </w:r>
      <w:r w:rsidRPr="00020C33">
        <w:t xml:space="preserve">0.7%); abdominal distension (6.1% </w:t>
      </w:r>
      <w:r w:rsidR="001D0208">
        <w:t xml:space="preserve">versus </w:t>
      </w:r>
      <w:r w:rsidRPr="00020C33">
        <w:t xml:space="preserve">1.4%); amylase increased (4.9% </w:t>
      </w:r>
      <w:r w:rsidR="001D0208">
        <w:t xml:space="preserve">versus </w:t>
      </w:r>
      <w:r w:rsidRPr="00020C33">
        <w:t xml:space="preserve">0.7%); hyperuricaemia (4.3% </w:t>
      </w:r>
      <w:r w:rsidR="001D0208">
        <w:t xml:space="preserve">versus </w:t>
      </w:r>
      <w:r w:rsidRPr="00020C33">
        <w:t xml:space="preserve">0.7%); ascites (3.7% </w:t>
      </w:r>
      <w:r w:rsidR="001D0208">
        <w:t xml:space="preserve">versus </w:t>
      </w:r>
      <w:r w:rsidRPr="00020C33">
        <w:t xml:space="preserve">0%); pancytopenia (2.4% </w:t>
      </w:r>
      <w:r w:rsidR="001D0208">
        <w:t xml:space="preserve">versus </w:t>
      </w:r>
      <w:r w:rsidRPr="00020C33">
        <w:t xml:space="preserve">7.0%); VOD (2.4% </w:t>
      </w:r>
      <w:r w:rsidR="001D0208">
        <w:t xml:space="preserve">versus </w:t>
      </w:r>
      <w:r w:rsidRPr="00020C33">
        <w:t xml:space="preserve">0%); infusion related reactions (2.4% </w:t>
      </w:r>
      <w:r w:rsidR="001D0208">
        <w:t xml:space="preserve">versus </w:t>
      </w:r>
      <w:r w:rsidRPr="00020C33">
        <w:t xml:space="preserve">1.4%); TLS (2.4% </w:t>
      </w:r>
      <w:r w:rsidR="001D0208">
        <w:t xml:space="preserve">versus </w:t>
      </w:r>
      <w:r w:rsidRPr="00020C33">
        <w:t xml:space="preserve">2.1%); and </w:t>
      </w:r>
      <w:r w:rsidR="00BF79CA">
        <w:t>electrocardiogram</w:t>
      </w:r>
      <w:r w:rsidR="00BF79CA" w:rsidRPr="00020C33">
        <w:t xml:space="preserve"> </w:t>
      </w:r>
      <w:r w:rsidR="00BF79CA">
        <w:t>(</w:t>
      </w:r>
      <w:r w:rsidRPr="00020C33">
        <w:t>ECG</w:t>
      </w:r>
      <w:r w:rsidR="00BF79CA">
        <w:t>)</w:t>
      </w:r>
      <w:r w:rsidRPr="00020C33">
        <w:t xml:space="preserve"> QT prolonged (1.2% </w:t>
      </w:r>
      <w:r w:rsidR="001D0208">
        <w:t xml:space="preserve">versus </w:t>
      </w:r>
      <w:r w:rsidRPr="00020C33">
        <w:t>0.7%)</w:t>
      </w:r>
      <w:r w:rsidR="00503681">
        <w:t>.</w:t>
      </w:r>
    </w:p>
    <w:p w14:paraId="61F54FFF" w14:textId="77777777" w:rsidR="007D6AD4" w:rsidRPr="00020C33" w:rsidRDefault="007C09CF" w:rsidP="007D6AD4">
      <w:pPr>
        <w:pStyle w:val="Heading5"/>
      </w:pPr>
      <w:r>
        <w:t>Serious adverse drug reactions</w:t>
      </w:r>
    </w:p>
    <w:p w14:paraId="1B0ACC3F" w14:textId="77777777" w:rsidR="007D6AD4" w:rsidRPr="00020C33" w:rsidRDefault="007D6AD4" w:rsidP="007D6AD4">
      <w:r w:rsidRPr="00020C33">
        <w:t xml:space="preserve">Serious </w:t>
      </w:r>
      <w:r>
        <w:t>ADRs</w:t>
      </w:r>
      <w:r w:rsidRPr="00020C33">
        <w:t xml:space="preserve"> (all grades) reported in </w:t>
      </w:r>
      <w:r w:rsidR="00503681">
        <w:t xml:space="preserve">≥ </w:t>
      </w:r>
      <w:r w:rsidRPr="00020C33">
        <w:t>2% of patients in the inotuzumab ozogamicin arm (</w:t>
      </w:r>
      <w:r w:rsidR="001D0208">
        <w:t xml:space="preserve">versus </w:t>
      </w:r>
      <w:r w:rsidRPr="00020C33">
        <w:t xml:space="preserve">control), in descending order of frequency in the inotuzumab arm, were (respectively): infection (23.2% </w:t>
      </w:r>
      <w:r w:rsidR="001D0208">
        <w:t xml:space="preserve">versus </w:t>
      </w:r>
      <w:r w:rsidRPr="00020C33">
        <w:t xml:space="preserve">26.6%); febrile neutropenia (11.0% </w:t>
      </w:r>
      <w:r w:rsidR="001D0208">
        <w:t xml:space="preserve">versus </w:t>
      </w:r>
      <w:r w:rsidRPr="00020C33">
        <w:t xml:space="preserve">18.9%); haemorrhage (4.9% </w:t>
      </w:r>
      <w:r w:rsidR="001D0208">
        <w:t xml:space="preserve">versus </w:t>
      </w:r>
      <w:r w:rsidRPr="00020C33">
        <w:t xml:space="preserve">3.5%); abdominal pain (3.0% </w:t>
      </w:r>
      <w:r w:rsidR="001D0208">
        <w:t xml:space="preserve">versus </w:t>
      </w:r>
      <w:r w:rsidRPr="00020C33">
        <w:t xml:space="preserve">0%); pyrexia (3.0% </w:t>
      </w:r>
      <w:r w:rsidR="001D0208">
        <w:t xml:space="preserve">versus </w:t>
      </w:r>
      <w:r w:rsidRPr="00020C33">
        <w:t xml:space="preserve">2.1%); fatigue (2.4% </w:t>
      </w:r>
      <w:r w:rsidR="001D0208">
        <w:t xml:space="preserve">versus </w:t>
      </w:r>
      <w:r w:rsidRPr="00020C33">
        <w:t xml:space="preserve">0%); and VOD (2.4% </w:t>
      </w:r>
      <w:r w:rsidR="001D0208">
        <w:t xml:space="preserve">versus </w:t>
      </w:r>
      <w:r w:rsidRPr="00020C33">
        <w:t>0%).</w:t>
      </w:r>
    </w:p>
    <w:p w14:paraId="084A41DD" w14:textId="77777777" w:rsidR="007D6AD4" w:rsidRPr="00020C33" w:rsidRDefault="007D6AD4" w:rsidP="007D6AD4">
      <w:pPr>
        <w:pStyle w:val="Heading5"/>
      </w:pPr>
      <w:r w:rsidRPr="00020C33">
        <w:t>Adverse drug reactions leadi</w:t>
      </w:r>
      <w:r w:rsidR="007C09CF">
        <w:t>ng to treatment discontinuation</w:t>
      </w:r>
    </w:p>
    <w:p w14:paraId="23CD7EDF" w14:textId="77777777" w:rsidR="007D6AD4" w:rsidRPr="00020C33" w:rsidRDefault="007D6AD4" w:rsidP="007D6AD4">
      <w:r>
        <w:t xml:space="preserve">ADRs </w:t>
      </w:r>
      <w:r w:rsidRPr="00020C33">
        <w:t xml:space="preserve">(all grades) leading to treatment discontinuation in </w:t>
      </w:r>
      <w:r w:rsidR="00503681">
        <w:t xml:space="preserve">≥ </w:t>
      </w:r>
      <w:r w:rsidRPr="00020C33">
        <w:t>2 patients in the inotuzumab arm (</w:t>
      </w:r>
      <w:r w:rsidR="001D0208">
        <w:t xml:space="preserve">versus </w:t>
      </w:r>
      <w:r w:rsidRPr="00020C33">
        <w:t>control) were (respectively): infection (n</w:t>
      </w:r>
      <w:r w:rsidR="0014606A">
        <w:t xml:space="preserve"> = </w:t>
      </w:r>
      <w:r w:rsidRPr="00020C33">
        <w:t xml:space="preserve">10, 6.1% </w:t>
      </w:r>
      <w:r w:rsidR="001D0208">
        <w:t xml:space="preserve">versus </w:t>
      </w:r>
      <w:r w:rsidRPr="00020C33">
        <w:t>n</w:t>
      </w:r>
      <w:r w:rsidR="0014606A">
        <w:t xml:space="preserve"> = </w:t>
      </w:r>
      <w:r w:rsidRPr="00020C33">
        <w:t>6, 4.2%); thrombocytopenia (n</w:t>
      </w:r>
      <w:r w:rsidR="0014606A">
        <w:t xml:space="preserve"> = </w:t>
      </w:r>
      <w:r w:rsidRPr="00020C33">
        <w:t xml:space="preserve">3, 1.8% </w:t>
      </w:r>
      <w:r w:rsidR="001D0208">
        <w:t xml:space="preserve">versus </w:t>
      </w:r>
      <w:r w:rsidRPr="00020C33">
        <w:t>0%); transaminase increased (n</w:t>
      </w:r>
      <w:r w:rsidR="0014606A">
        <w:t xml:space="preserve"> = </w:t>
      </w:r>
      <w:r w:rsidRPr="00020C33">
        <w:t xml:space="preserve">3, 1.8% </w:t>
      </w:r>
      <w:r w:rsidR="001D0208">
        <w:t xml:space="preserve">versus </w:t>
      </w:r>
      <w:r w:rsidRPr="00020C33">
        <w:t>0%); haemorrhage (n</w:t>
      </w:r>
      <w:r w:rsidR="0014606A">
        <w:t xml:space="preserve"> = </w:t>
      </w:r>
      <w:r w:rsidRPr="00020C33">
        <w:t xml:space="preserve">3, 1.8% </w:t>
      </w:r>
      <w:r w:rsidR="001D0208">
        <w:t xml:space="preserve">versus </w:t>
      </w:r>
      <w:r w:rsidRPr="00020C33">
        <w:t>0%); hyperbilirubinaemia (n</w:t>
      </w:r>
      <w:r w:rsidR="0014606A">
        <w:t xml:space="preserve"> = </w:t>
      </w:r>
      <w:r>
        <w:t>3</w:t>
      </w:r>
      <w:r w:rsidRPr="00020C33">
        <w:t>, 1.</w:t>
      </w:r>
      <w:r>
        <w:t>8</w:t>
      </w:r>
      <w:r w:rsidRPr="00020C33">
        <w:t xml:space="preserve">% </w:t>
      </w:r>
      <w:r w:rsidR="001D0208">
        <w:t xml:space="preserve">versus </w:t>
      </w:r>
      <w:r w:rsidRPr="00020C33">
        <w:t>0%); VOD (n</w:t>
      </w:r>
      <w:r w:rsidR="0014606A">
        <w:t xml:space="preserve"> = </w:t>
      </w:r>
      <w:r w:rsidRPr="00020C33">
        <w:t xml:space="preserve">2, 1.2% </w:t>
      </w:r>
      <w:r w:rsidR="001D0208">
        <w:t xml:space="preserve">versus </w:t>
      </w:r>
      <w:r w:rsidRPr="00020C33">
        <w:t>0%); and GGT increased (n</w:t>
      </w:r>
      <w:r w:rsidR="0014606A">
        <w:t xml:space="preserve"> = </w:t>
      </w:r>
      <w:r w:rsidRPr="00020C33">
        <w:t xml:space="preserve">2, 1.2% </w:t>
      </w:r>
      <w:r w:rsidR="001D0208">
        <w:t xml:space="preserve">versus </w:t>
      </w:r>
      <w:r w:rsidRPr="00020C33">
        <w:t>0%).</w:t>
      </w:r>
    </w:p>
    <w:p w14:paraId="1D8904B6" w14:textId="77777777" w:rsidR="007D6AD4" w:rsidRPr="00020C33" w:rsidRDefault="007D6AD4" w:rsidP="007D6AD4">
      <w:pPr>
        <w:pStyle w:val="Heading5"/>
      </w:pPr>
      <w:r w:rsidRPr="00020C33">
        <w:t>Adverse drug reacti</w:t>
      </w:r>
      <w:r w:rsidR="007C09CF">
        <w:t>ons leading to treatment delays</w:t>
      </w:r>
    </w:p>
    <w:p w14:paraId="2C866979" w14:textId="77777777" w:rsidR="00503681" w:rsidRDefault="007D6AD4" w:rsidP="007C09CF">
      <w:r>
        <w:t>ADRs</w:t>
      </w:r>
      <w:r w:rsidR="006779D9">
        <w:t xml:space="preserve"> </w:t>
      </w:r>
      <w:r w:rsidRPr="00020C33">
        <w:t xml:space="preserve">(all grades) leading to treatment delays in </w:t>
      </w:r>
      <w:r w:rsidR="00503681">
        <w:t xml:space="preserve">≥ </w:t>
      </w:r>
      <w:r w:rsidRPr="00020C33">
        <w:t>2% of patients in the inotuzumab arm (</w:t>
      </w:r>
      <w:r w:rsidR="001D0208">
        <w:t xml:space="preserve">versus </w:t>
      </w:r>
      <w:r w:rsidRPr="00020C33">
        <w:t xml:space="preserve">control) were (respectively): neutropenia (17.1% </w:t>
      </w:r>
      <w:r w:rsidR="001D0208">
        <w:t xml:space="preserve">versus </w:t>
      </w:r>
      <w:r w:rsidRPr="00020C33">
        <w:t xml:space="preserve">0%); infection (10.4% </w:t>
      </w:r>
      <w:r w:rsidR="001D0208">
        <w:t xml:space="preserve">versus </w:t>
      </w:r>
      <w:r w:rsidRPr="00020C33">
        <w:t xml:space="preserve">2.1%); thrombocytopenia (9.8% </w:t>
      </w:r>
      <w:r w:rsidR="001D0208">
        <w:t xml:space="preserve">versus </w:t>
      </w:r>
      <w:r w:rsidRPr="00020C33">
        <w:t xml:space="preserve">0.7%); transaminase increased (5.5% </w:t>
      </w:r>
      <w:r w:rsidR="001D0208">
        <w:t xml:space="preserve">versus </w:t>
      </w:r>
      <w:r w:rsidRPr="00020C33">
        <w:t xml:space="preserve">0.7%); febrile neutropenia (4.9% </w:t>
      </w:r>
      <w:r w:rsidR="001D0208">
        <w:t xml:space="preserve">versus </w:t>
      </w:r>
      <w:r w:rsidRPr="00020C33">
        <w:t xml:space="preserve">1.4%); hyperbilirubinaemia (4.3% </w:t>
      </w:r>
      <w:r w:rsidR="001D0208">
        <w:t xml:space="preserve">versus </w:t>
      </w:r>
      <w:r w:rsidRPr="00020C33">
        <w:t xml:space="preserve">0.7%); and GGT increased (4.3% </w:t>
      </w:r>
      <w:r w:rsidR="001D0208">
        <w:t xml:space="preserve">versus </w:t>
      </w:r>
      <w:r w:rsidRPr="00020C33">
        <w:t>0%)</w:t>
      </w:r>
      <w:r w:rsidR="00503681">
        <w:t>.</w:t>
      </w:r>
    </w:p>
    <w:p w14:paraId="3B891901" w14:textId="77777777" w:rsidR="007D6AD4" w:rsidRPr="00020C33" w:rsidRDefault="007D6AD4" w:rsidP="007D6AD4">
      <w:pPr>
        <w:pStyle w:val="Heading5"/>
      </w:pPr>
      <w:r w:rsidRPr="00020C33">
        <w:t>Adverse drug reac</w:t>
      </w:r>
      <w:r w:rsidR="007C09CF">
        <w:t>tions leading to dose reduction</w:t>
      </w:r>
    </w:p>
    <w:p w14:paraId="1591113C" w14:textId="77777777" w:rsidR="00503681" w:rsidRDefault="007D6AD4" w:rsidP="007C09CF">
      <w:r>
        <w:t>ADRs</w:t>
      </w:r>
      <w:r w:rsidRPr="00020C33">
        <w:t xml:space="preserve"> (all grades) leading to dose reduction in </w:t>
      </w:r>
      <w:r w:rsidR="00503681">
        <w:t xml:space="preserve">≥ </w:t>
      </w:r>
      <w:r w:rsidRPr="00020C33">
        <w:t>2 patients in the inotuzumab arm (</w:t>
      </w:r>
      <w:r w:rsidR="001D0208">
        <w:t xml:space="preserve">versus </w:t>
      </w:r>
      <w:r w:rsidRPr="00020C33">
        <w:t>control) were (respectively): neutropenia (n</w:t>
      </w:r>
      <w:r w:rsidR="0014606A">
        <w:t xml:space="preserve"> = </w:t>
      </w:r>
      <w:r w:rsidRPr="00020C33">
        <w:t xml:space="preserve">2, 1.2% </w:t>
      </w:r>
      <w:r w:rsidR="001D0208">
        <w:t xml:space="preserve">versus </w:t>
      </w:r>
      <w:r w:rsidRPr="00020C33">
        <w:t>0%); thrombocytopenia (n</w:t>
      </w:r>
      <w:r w:rsidR="007C09CF">
        <w:t> = </w:t>
      </w:r>
      <w:r w:rsidRPr="00020C33">
        <w:t xml:space="preserve">2, 1.2% </w:t>
      </w:r>
      <w:r w:rsidR="001D0208">
        <w:t xml:space="preserve">versus </w:t>
      </w:r>
      <w:r w:rsidRPr="00020C33">
        <w:t>0%); and transaminase increased (n</w:t>
      </w:r>
      <w:r w:rsidR="0014606A">
        <w:t xml:space="preserve"> = </w:t>
      </w:r>
      <w:r w:rsidRPr="00020C33">
        <w:t xml:space="preserve">2. 1.2% </w:t>
      </w:r>
      <w:r w:rsidR="001D0208">
        <w:t xml:space="preserve">versus </w:t>
      </w:r>
      <w:r>
        <w:t>0%)</w:t>
      </w:r>
      <w:r w:rsidR="00503681">
        <w:t>.</w:t>
      </w:r>
    </w:p>
    <w:p w14:paraId="794EE46A" w14:textId="46993633" w:rsidR="007D6AD4" w:rsidRPr="00020C33" w:rsidRDefault="007C09CF" w:rsidP="007D6AD4">
      <w:pPr>
        <w:pStyle w:val="Heading5"/>
        <w:rPr>
          <w:lang w:val="en-US"/>
        </w:rPr>
      </w:pPr>
      <w:r>
        <w:rPr>
          <w:lang w:val="en-US"/>
        </w:rPr>
        <w:t>Death (G</w:t>
      </w:r>
      <w:r w:rsidR="007D6AD4" w:rsidRPr="00020C33">
        <w:rPr>
          <w:lang w:val="en-US"/>
        </w:rPr>
        <w:t>rade 5 TEAEs)</w:t>
      </w:r>
      <w:r w:rsidR="00A41567">
        <w:rPr>
          <w:lang w:val="en-US"/>
        </w:rPr>
        <w:t>;</w:t>
      </w:r>
      <w:r w:rsidR="007D6AD4" w:rsidRPr="00020C33">
        <w:rPr>
          <w:lang w:val="en-US"/>
        </w:rPr>
        <w:t xml:space="preserve"> data </w:t>
      </w:r>
      <w:r w:rsidR="00E86989">
        <w:rPr>
          <w:lang w:val="en-US"/>
        </w:rPr>
        <w:t>cut-off</w:t>
      </w:r>
      <w:r>
        <w:rPr>
          <w:lang w:val="en-US"/>
        </w:rPr>
        <w:t xml:space="preserve"> 1 September 2015</w:t>
      </w:r>
    </w:p>
    <w:p w14:paraId="629DAA7F" w14:textId="77777777" w:rsidR="007D6AD4" w:rsidRPr="00020C33" w:rsidRDefault="007D6AD4" w:rsidP="007C09CF">
      <w:pPr>
        <w:rPr>
          <w:lang w:val="en-US"/>
        </w:rPr>
      </w:pPr>
      <w:r w:rsidRPr="00020C33">
        <w:rPr>
          <w:lang w:val="en-US"/>
        </w:rPr>
        <w:t xml:space="preserve">The risk of death (Grade 5 TEAEs), both all causality and </w:t>
      </w:r>
      <w:r w:rsidR="0014606A">
        <w:rPr>
          <w:lang w:val="en-US"/>
        </w:rPr>
        <w:t>treatment related</w:t>
      </w:r>
      <w:r w:rsidRPr="00020C33">
        <w:rPr>
          <w:lang w:val="en-US"/>
        </w:rPr>
        <w:t xml:space="preserve">, were reported more frequently in the inotuzumab ozogamicin arm than in the control arm. Grade 5 TEAEs (all causality) were reported more frequently in the inotuzumab ozogamicin arm than in the control arm (15.9% </w:t>
      </w:r>
      <w:r w:rsidR="00503681">
        <w:rPr>
          <w:lang w:val="en-US"/>
        </w:rPr>
        <w:t>(</w:t>
      </w:r>
      <w:r w:rsidRPr="00020C33">
        <w:rPr>
          <w:lang w:val="en-US"/>
        </w:rPr>
        <w:t>26/164</w:t>
      </w:r>
      <w:r w:rsidR="00503681">
        <w:rPr>
          <w:lang w:val="en-US"/>
        </w:rPr>
        <w:t>)</w:t>
      </w:r>
      <w:r w:rsidRPr="00020C33">
        <w:rPr>
          <w:lang w:val="en-US"/>
        </w:rPr>
        <w:t xml:space="preserve"> </w:t>
      </w:r>
      <w:r w:rsidR="001D0208">
        <w:rPr>
          <w:lang w:val="en-US"/>
        </w:rPr>
        <w:t xml:space="preserve">versus </w:t>
      </w:r>
      <w:r w:rsidRPr="00020C33">
        <w:rPr>
          <w:lang w:val="en-US"/>
        </w:rPr>
        <w:t xml:space="preserve">11.2% </w:t>
      </w:r>
      <w:r w:rsidR="00503681">
        <w:rPr>
          <w:lang w:val="en-US"/>
        </w:rPr>
        <w:t>(</w:t>
      </w:r>
      <w:r w:rsidRPr="00020C33">
        <w:rPr>
          <w:lang w:val="en-US"/>
        </w:rPr>
        <w:t>16/143</w:t>
      </w:r>
      <w:r w:rsidR="00503681">
        <w:rPr>
          <w:lang w:val="en-US"/>
        </w:rPr>
        <w:t>)</w:t>
      </w:r>
      <w:r w:rsidRPr="00020C33">
        <w:rPr>
          <w:lang w:val="en-US"/>
        </w:rPr>
        <w:t xml:space="preserve">). </w:t>
      </w:r>
      <w:r w:rsidR="007C09CF">
        <w:rPr>
          <w:lang w:val="en-US"/>
        </w:rPr>
        <w:t>Treatment related</w:t>
      </w:r>
      <w:r w:rsidRPr="00020C33">
        <w:rPr>
          <w:lang w:val="en-US"/>
        </w:rPr>
        <w:t xml:space="preserve"> Grade 5 TEAEs were reported in 9 (5.5%) patients in the inotuzumab ozogamicin arm (5</w:t>
      </w:r>
      <w:r w:rsidR="007C09CF">
        <w:rPr>
          <w:lang w:val="en-US"/>
        </w:rPr>
        <w:t> x </w:t>
      </w:r>
      <w:r w:rsidRPr="00020C33">
        <w:rPr>
          <w:lang w:val="en-US"/>
        </w:rPr>
        <w:t>VOD; 1</w:t>
      </w:r>
      <w:r w:rsidR="007C09CF">
        <w:rPr>
          <w:lang w:val="en-US"/>
        </w:rPr>
        <w:t xml:space="preserve"> </w:t>
      </w:r>
      <w:r w:rsidRPr="00020C33">
        <w:rPr>
          <w:lang w:val="en-US"/>
        </w:rPr>
        <w:t>x each for ARDS, intestinal ischaemia, MOF, pneumonia, and septic shock), and 3 (2.1%) patients in the control arm (1</w:t>
      </w:r>
      <w:r w:rsidR="007C09CF">
        <w:rPr>
          <w:lang w:val="en-US"/>
        </w:rPr>
        <w:t xml:space="preserve"> </w:t>
      </w:r>
      <w:r w:rsidRPr="00020C33">
        <w:rPr>
          <w:lang w:val="en-US"/>
        </w:rPr>
        <w:t>x each for MOF, haemorrhage intracranial, lung infection, and respiratory failure).</w:t>
      </w:r>
    </w:p>
    <w:p w14:paraId="55A2AADE" w14:textId="7EC12A86" w:rsidR="007D6AD4" w:rsidRPr="00020C33" w:rsidRDefault="007D6AD4" w:rsidP="007D6AD4">
      <w:pPr>
        <w:pStyle w:val="Heading5"/>
        <w:rPr>
          <w:lang w:val="en-US"/>
        </w:rPr>
      </w:pPr>
      <w:r w:rsidRPr="00020C33">
        <w:rPr>
          <w:lang w:val="en-US"/>
        </w:rPr>
        <w:t>All deaths</w:t>
      </w:r>
      <w:r w:rsidR="00A41567">
        <w:rPr>
          <w:lang w:val="en-US"/>
        </w:rPr>
        <w:t>;</w:t>
      </w:r>
      <w:r w:rsidRPr="00020C33">
        <w:rPr>
          <w:lang w:val="en-US"/>
        </w:rPr>
        <w:t xml:space="preserve"> data </w:t>
      </w:r>
      <w:r w:rsidR="00E86989">
        <w:rPr>
          <w:lang w:val="en-US"/>
        </w:rPr>
        <w:t>cut-off</w:t>
      </w:r>
      <w:r w:rsidRPr="00020C33">
        <w:rPr>
          <w:lang w:val="en-US"/>
        </w:rPr>
        <w:t xml:space="preserve"> 1 September 2016 </w:t>
      </w:r>
    </w:p>
    <w:p w14:paraId="5C81F398" w14:textId="207B78C0" w:rsidR="007D6AD4" w:rsidRPr="00020C33" w:rsidRDefault="00503681" w:rsidP="007C09CF">
      <w:r>
        <w:t>‘</w:t>
      </w:r>
      <w:r w:rsidR="007D6AD4" w:rsidRPr="00020C33">
        <w:t>All deaths</w:t>
      </w:r>
      <w:r>
        <w:t>’</w:t>
      </w:r>
      <w:r w:rsidR="007D6AD4" w:rsidRPr="00020C33">
        <w:t>, which included all deaths during treatment and in the follow-up period</w:t>
      </w:r>
      <w:r w:rsidR="007D6AD4" w:rsidRPr="00811F72">
        <w:t>,</w:t>
      </w:r>
      <w:r w:rsidR="007D6AD4" w:rsidRPr="00020C33">
        <w:t xml:space="preserve"> </w:t>
      </w:r>
      <w:proofErr w:type="gramStart"/>
      <w:r w:rsidR="007D6AD4" w:rsidRPr="00020C33">
        <w:t>were</w:t>
      </w:r>
      <w:proofErr w:type="gramEnd"/>
      <w:r w:rsidR="007D6AD4" w:rsidRPr="00020C33">
        <w:t xml:space="preserve"> reported less frequently the inotuzumab ozogamicin than in the control arm (76.8% </w:t>
      </w:r>
      <w:r>
        <w:t>(</w:t>
      </w:r>
      <w:r w:rsidR="007D6AD4" w:rsidRPr="00020C33">
        <w:t>126/164</w:t>
      </w:r>
      <w:r>
        <w:t>)</w:t>
      </w:r>
      <w:r w:rsidR="007D6AD4" w:rsidRPr="00020C33">
        <w:t xml:space="preserve"> </w:t>
      </w:r>
      <w:r w:rsidR="001D0208">
        <w:t xml:space="preserve">versus </w:t>
      </w:r>
      <w:r w:rsidR="007D6AD4" w:rsidRPr="00020C33">
        <w:t xml:space="preserve">87.4% </w:t>
      </w:r>
      <w:r>
        <w:t>(</w:t>
      </w:r>
      <w:r w:rsidR="007D6AD4" w:rsidRPr="00020C33">
        <w:t>125/143</w:t>
      </w:r>
      <w:r>
        <w:t>)</w:t>
      </w:r>
      <w:r w:rsidR="007D6AD4" w:rsidRPr="00020C33">
        <w:t>, respectively). Most deaths in both treatment were due to the disease under study (47.0%, n</w:t>
      </w:r>
      <w:r w:rsidR="0014606A">
        <w:t xml:space="preserve"> = </w:t>
      </w:r>
      <w:r w:rsidR="007D6AD4" w:rsidRPr="00020C33">
        <w:t xml:space="preserve">77, inotuzumab ozogamicin </w:t>
      </w:r>
      <w:r w:rsidR="001D0208">
        <w:t xml:space="preserve">versus </w:t>
      </w:r>
      <w:r w:rsidR="007D6AD4" w:rsidRPr="00020C33">
        <w:t>69.9%, n</w:t>
      </w:r>
      <w:r w:rsidR="0014606A">
        <w:t xml:space="preserve"> = </w:t>
      </w:r>
      <w:r w:rsidR="007D6AD4" w:rsidRPr="00020C33">
        <w:t xml:space="preserve">100, control, respectively). Of note, </w:t>
      </w:r>
      <w:r>
        <w:t>‘</w:t>
      </w:r>
      <w:r w:rsidR="007D6AD4" w:rsidRPr="00020C33">
        <w:t>all deaths</w:t>
      </w:r>
      <w:r>
        <w:t>’</w:t>
      </w:r>
      <w:r w:rsidR="007D6AD4" w:rsidRPr="00020C33">
        <w:t xml:space="preserve"> due to infectio</w:t>
      </w:r>
      <w:r w:rsidR="007D6AD4">
        <w:t>n were reported more frequently in the inotuzumab ozogamicin arm than in the control arm (14.6%, n</w:t>
      </w:r>
      <w:r w:rsidR="0014606A">
        <w:t xml:space="preserve"> = </w:t>
      </w:r>
      <w:r w:rsidR="007D6AD4">
        <w:t xml:space="preserve">24 </w:t>
      </w:r>
      <w:r w:rsidR="001D0208">
        <w:t xml:space="preserve">versus </w:t>
      </w:r>
      <w:r w:rsidR="007D6AD4">
        <w:t>9.1%, n</w:t>
      </w:r>
      <w:r w:rsidR="0014606A">
        <w:t xml:space="preserve"> = </w:t>
      </w:r>
      <w:r w:rsidR="007D6AD4">
        <w:t>13</w:t>
      </w:r>
      <w:r w:rsidR="0040513A">
        <w:t>, respectively).</w:t>
      </w:r>
    </w:p>
    <w:p w14:paraId="006AEC1C" w14:textId="77777777" w:rsidR="007D6AD4" w:rsidRPr="00020C33" w:rsidRDefault="007D6AD4" w:rsidP="0040513A">
      <w:pPr>
        <w:pStyle w:val="Heading5"/>
        <w:rPr>
          <w:lang w:val="en-US"/>
        </w:rPr>
      </w:pPr>
      <w:r w:rsidRPr="00020C33">
        <w:rPr>
          <w:lang w:val="en-US"/>
        </w:rPr>
        <w:t>Post-tr</w:t>
      </w:r>
      <w:r w:rsidR="007C09CF">
        <w:rPr>
          <w:lang w:val="en-US"/>
        </w:rPr>
        <w:t>ansplant non-relapse mortality;</w:t>
      </w:r>
      <w:r w:rsidRPr="00020C33">
        <w:rPr>
          <w:lang w:val="en-US"/>
        </w:rPr>
        <w:t xml:space="preserve"> data </w:t>
      </w:r>
      <w:r w:rsidR="00E86989">
        <w:rPr>
          <w:lang w:val="en-US"/>
        </w:rPr>
        <w:t>cut-off</w:t>
      </w:r>
      <w:r w:rsidR="007C09CF">
        <w:rPr>
          <w:lang w:val="en-US"/>
        </w:rPr>
        <w:t xml:space="preserve"> 1 September 2016</w:t>
      </w:r>
    </w:p>
    <w:p w14:paraId="20F09224" w14:textId="77777777" w:rsidR="00503681" w:rsidRDefault="007D6AD4" w:rsidP="007C09CF">
      <w:pPr>
        <w:rPr>
          <w:rFonts w:cs="TimesNewRoman"/>
          <w:color w:val="000000"/>
        </w:rPr>
      </w:pPr>
      <w:r w:rsidRPr="00020C33">
        <w:rPr>
          <w:lang w:val="en-US"/>
        </w:rPr>
        <w:t xml:space="preserve">In patients who proceeded to HSCT, non-relapse post-transplant mortality </w:t>
      </w:r>
      <w:proofErr w:type="gramStart"/>
      <w:r w:rsidRPr="00020C33">
        <w:rPr>
          <w:lang w:val="en-US"/>
        </w:rPr>
        <w:t>occurred</w:t>
      </w:r>
      <w:proofErr w:type="gramEnd"/>
      <w:r w:rsidRPr="00020C33">
        <w:rPr>
          <w:lang w:val="en-US"/>
        </w:rPr>
        <w:t xml:space="preserve"> notably more frequently in patients in the inotuzumab ozogamicin arm than in the control arm (</w:t>
      </w:r>
      <w:r w:rsidRPr="00020C33">
        <w:rPr>
          <w:rFonts w:cs="TimesNewRoman"/>
          <w:color w:val="000000"/>
        </w:rPr>
        <w:t xml:space="preserve">40.5% </w:t>
      </w:r>
      <w:r w:rsidR="00503681">
        <w:rPr>
          <w:rFonts w:cs="TimesNewRoman"/>
          <w:color w:val="000000"/>
        </w:rPr>
        <w:t>(</w:t>
      </w:r>
      <w:r w:rsidRPr="00020C33">
        <w:rPr>
          <w:rFonts w:cs="TimesNewRoman"/>
          <w:color w:val="000000"/>
        </w:rPr>
        <w:t>32/79</w:t>
      </w:r>
      <w:r w:rsidR="00503681">
        <w:rPr>
          <w:rFonts w:cs="TimesNewRoman"/>
          <w:color w:val="000000"/>
        </w:rPr>
        <w:t>)</w:t>
      </w:r>
      <w:r w:rsidRPr="00020C33">
        <w:rPr>
          <w:rFonts w:cs="TimesNewRoman"/>
          <w:color w:val="000000"/>
        </w:rPr>
        <w:t xml:space="preserve"> </w:t>
      </w:r>
      <w:r w:rsidR="001D0208">
        <w:rPr>
          <w:rFonts w:cs="TimesNewRoman"/>
          <w:color w:val="000000"/>
        </w:rPr>
        <w:t xml:space="preserve">versus </w:t>
      </w:r>
      <w:r w:rsidRPr="00020C33">
        <w:rPr>
          <w:rFonts w:cs="TimesNewRoman"/>
          <w:color w:val="000000"/>
        </w:rPr>
        <w:t xml:space="preserve">22.9% </w:t>
      </w:r>
      <w:r w:rsidR="00503681">
        <w:rPr>
          <w:rFonts w:cs="TimesNewRoman"/>
          <w:color w:val="000000"/>
        </w:rPr>
        <w:t>(</w:t>
      </w:r>
      <w:r w:rsidRPr="00020C33">
        <w:rPr>
          <w:rFonts w:cs="TimesNewRoman"/>
          <w:color w:val="000000"/>
        </w:rPr>
        <w:t>8/35</w:t>
      </w:r>
      <w:r w:rsidR="00503681">
        <w:rPr>
          <w:rFonts w:cs="TimesNewRoman"/>
          <w:color w:val="000000"/>
        </w:rPr>
        <w:t>)</w:t>
      </w:r>
      <w:r w:rsidRPr="00020C33">
        <w:rPr>
          <w:rFonts w:cs="TimesNewRoman"/>
          <w:color w:val="000000"/>
        </w:rPr>
        <w:t>). The estimated non-relapse post-transp</w:t>
      </w:r>
      <w:r>
        <w:rPr>
          <w:rFonts w:cs="TimesNewRoman"/>
          <w:color w:val="000000"/>
        </w:rPr>
        <w:t>lant</w:t>
      </w:r>
      <w:r w:rsidRPr="00020C33">
        <w:rPr>
          <w:rFonts w:cs="TimesNewRoman"/>
          <w:color w:val="000000"/>
        </w:rPr>
        <w:t xml:space="preserve"> </w:t>
      </w:r>
      <w:r w:rsidRPr="00020C33">
        <w:rPr>
          <w:rFonts w:cs="TimesNewRoman"/>
          <w:color w:val="000000"/>
        </w:rPr>
        <w:lastRenderedPageBreak/>
        <w:t xml:space="preserve">mortality rate at </w:t>
      </w:r>
      <w:r>
        <w:rPr>
          <w:rFonts w:cs="TimesNewRoman"/>
          <w:color w:val="000000"/>
        </w:rPr>
        <w:t xml:space="preserve">the end of </w:t>
      </w:r>
      <w:r w:rsidR="00AF6A3A">
        <w:rPr>
          <w:rFonts w:cs="TimesNewRoman"/>
          <w:color w:val="000000"/>
        </w:rPr>
        <w:t>Day</w:t>
      </w:r>
      <w:r>
        <w:rPr>
          <w:rFonts w:cs="TimesNewRoman"/>
          <w:color w:val="000000"/>
        </w:rPr>
        <w:t xml:space="preserve"> 100 </w:t>
      </w:r>
      <w:r w:rsidRPr="00020C33">
        <w:rPr>
          <w:rFonts w:cs="TimesNewRoman"/>
          <w:color w:val="000000"/>
        </w:rPr>
        <w:t>was 20.3% in the inotuzumab ozogamicin a</w:t>
      </w:r>
      <w:r>
        <w:rPr>
          <w:rFonts w:cs="TimesNewRoman"/>
          <w:color w:val="000000"/>
        </w:rPr>
        <w:t xml:space="preserve">rm and 5.7% in the </w:t>
      </w:r>
      <w:r w:rsidR="007C09CF">
        <w:rPr>
          <w:rFonts w:cs="TimesNewRoman"/>
          <w:color w:val="000000"/>
        </w:rPr>
        <w:t>control arm, and at the end of M</w:t>
      </w:r>
      <w:r>
        <w:rPr>
          <w:rFonts w:cs="TimesNewRoman"/>
          <w:color w:val="000000"/>
        </w:rPr>
        <w:t>onth 12 was 38.0% and 14.5%, respectively.</w:t>
      </w:r>
      <w:r w:rsidRPr="00020C33">
        <w:rPr>
          <w:rFonts w:cs="TimesNewRoman"/>
          <w:color w:val="000000"/>
        </w:rPr>
        <w:t xml:space="preserve"> </w:t>
      </w:r>
      <w:r>
        <w:rPr>
          <w:rFonts w:cs="TimesNewRoman"/>
          <w:color w:val="000000"/>
        </w:rPr>
        <w:t xml:space="preserve">Of </w:t>
      </w:r>
      <w:r w:rsidRPr="007C09CF">
        <w:rPr>
          <w:rFonts w:cs="TimesNewRoman"/>
          <w:color w:val="000000"/>
        </w:rPr>
        <w:t xml:space="preserve">the total number of relapse plus non-relapse post-transplant </w:t>
      </w:r>
      <w:r w:rsidRPr="00A11477">
        <w:rPr>
          <w:rFonts w:cs="TimesNewRoman"/>
          <w:color w:val="000000"/>
        </w:rPr>
        <w:t>death</w:t>
      </w:r>
      <w:r>
        <w:rPr>
          <w:rFonts w:cs="TimesNewRoman"/>
          <w:color w:val="000000"/>
        </w:rPr>
        <w:t xml:space="preserve">s, </w:t>
      </w:r>
      <w:r w:rsidRPr="00A11477">
        <w:rPr>
          <w:rFonts w:cs="TimesNewRoman"/>
          <w:color w:val="000000"/>
        </w:rPr>
        <w:t>51</w:t>
      </w:r>
      <w:r>
        <w:rPr>
          <w:rFonts w:cs="TimesNewRoman"/>
          <w:color w:val="000000"/>
        </w:rPr>
        <w:t xml:space="preserve"> deaths occurred in 79 patients in the inotuzumab ozogamicin arm (64.6%) and 23 deaths occurred in 35 patients in the control arm (65.7%). The most common reasons for post-transplant non-relapse deaths relative to all deaths (relapse plus non-relapse) in the inotuzumab ozogamicin arm (</w:t>
      </w:r>
      <w:r w:rsidR="001D0208">
        <w:rPr>
          <w:rFonts w:cs="TimesNewRoman"/>
          <w:color w:val="000000"/>
        </w:rPr>
        <w:t xml:space="preserve">versus </w:t>
      </w:r>
      <w:r>
        <w:rPr>
          <w:rFonts w:cs="TimesNewRoman"/>
          <w:color w:val="000000"/>
        </w:rPr>
        <w:t xml:space="preserve">control arm, respectively), were infection (21.6% </w:t>
      </w:r>
      <w:r w:rsidR="00503681">
        <w:rPr>
          <w:rFonts w:cs="TimesNewRoman"/>
          <w:color w:val="000000"/>
        </w:rPr>
        <w:t>(</w:t>
      </w:r>
      <w:r>
        <w:rPr>
          <w:rFonts w:cs="TimesNewRoman"/>
          <w:color w:val="000000"/>
        </w:rPr>
        <w:t xml:space="preserve">11/51 </w:t>
      </w:r>
      <w:r w:rsidR="001D0208">
        <w:rPr>
          <w:rFonts w:cs="TimesNewRoman"/>
          <w:color w:val="000000"/>
        </w:rPr>
        <w:t xml:space="preserve">versus </w:t>
      </w:r>
      <w:r>
        <w:rPr>
          <w:rFonts w:cs="TimesNewRoman"/>
          <w:color w:val="000000"/>
        </w:rPr>
        <w:t xml:space="preserve">17.4% </w:t>
      </w:r>
      <w:r w:rsidR="00503681">
        <w:rPr>
          <w:rFonts w:cs="TimesNewRoman"/>
          <w:color w:val="000000"/>
        </w:rPr>
        <w:t>(</w:t>
      </w:r>
      <w:r>
        <w:rPr>
          <w:rFonts w:cs="TimesNewRoman"/>
          <w:color w:val="000000"/>
        </w:rPr>
        <w:t>4/23</w:t>
      </w:r>
      <w:r w:rsidR="00503681">
        <w:rPr>
          <w:rFonts w:cs="TimesNewRoman"/>
          <w:color w:val="000000"/>
        </w:rPr>
        <w:t>)</w:t>
      </w:r>
      <w:r>
        <w:rPr>
          <w:rFonts w:cs="TimesNewRoman"/>
          <w:color w:val="000000"/>
        </w:rPr>
        <w:t xml:space="preserve">) and VOD (9.8% </w:t>
      </w:r>
      <w:r w:rsidR="00503681">
        <w:rPr>
          <w:rFonts w:cs="TimesNewRoman"/>
          <w:color w:val="000000"/>
        </w:rPr>
        <w:t>(</w:t>
      </w:r>
      <w:r>
        <w:rPr>
          <w:rFonts w:cs="TimesNewRoman"/>
          <w:color w:val="000000"/>
        </w:rPr>
        <w:t>5/51</w:t>
      </w:r>
      <w:r w:rsidR="00503681">
        <w:rPr>
          <w:rFonts w:cs="TimesNewRoman"/>
          <w:color w:val="000000"/>
        </w:rPr>
        <w:t>)</w:t>
      </w:r>
      <w:r>
        <w:rPr>
          <w:rFonts w:cs="TimesNewRoman"/>
          <w:color w:val="000000"/>
        </w:rPr>
        <w:t xml:space="preserve"> </w:t>
      </w:r>
      <w:r w:rsidR="001D0208">
        <w:rPr>
          <w:rFonts w:cs="TimesNewRoman"/>
          <w:color w:val="000000"/>
        </w:rPr>
        <w:t xml:space="preserve">versus </w:t>
      </w:r>
      <w:r>
        <w:rPr>
          <w:rFonts w:cs="TimesNewRoman"/>
          <w:color w:val="000000"/>
        </w:rPr>
        <w:t xml:space="preserve">0% </w:t>
      </w:r>
      <w:r w:rsidR="00503681">
        <w:rPr>
          <w:rFonts w:cs="TimesNewRoman"/>
          <w:color w:val="000000"/>
        </w:rPr>
        <w:t>(</w:t>
      </w:r>
      <w:r>
        <w:rPr>
          <w:rFonts w:cs="TimesNewRoman"/>
          <w:color w:val="000000"/>
        </w:rPr>
        <w:t>0/23</w:t>
      </w:r>
      <w:r w:rsidR="00503681">
        <w:rPr>
          <w:rFonts w:cs="TimesNewRoman"/>
          <w:color w:val="000000"/>
        </w:rPr>
        <w:t>)</w:t>
      </w:r>
      <w:r>
        <w:rPr>
          <w:rFonts w:cs="TimesNewRoman"/>
          <w:color w:val="000000"/>
        </w:rPr>
        <w:t>)</w:t>
      </w:r>
      <w:r w:rsidR="00503681">
        <w:rPr>
          <w:rFonts w:cs="TimesNewRoman"/>
          <w:color w:val="000000"/>
        </w:rPr>
        <w:t>.</w:t>
      </w:r>
    </w:p>
    <w:p w14:paraId="482329BF" w14:textId="77777777" w:rsidR="007D6AD4" w:rsidRPr="00020C33" w:rsidRDefault="007D6AD4" w:rsidP="0040513A">
      <w:pPr>
        <w:pStyle w:val="Heading5"/>
        <w:rPr>
          <w:lang w:val="en-US"/>
        </w:rPr>
      </w:pPr>
      <w:r>
        <w:rPr>
          <w:lang w:val="en-US"/>
        </w:rPr>
        <w:t xml:space="preserve">Adverse events of special interest </w:t>
      </w:r>
      <w:r w:rsidR="007C09CF">
        <w:rPr>
          <w:lang w:val="en-US"/>
        </w:rPr>
        <w:t>(all causality); clustered terms;</w:t>
      </w:r>
      <w:r w:rsidRPr="00020C33">
        <w:rPr>
          <w:lang w:val="en-US"/>
        </w:rPr>
        <w:t xml:space="preserve"> data </w:t>
      </w:r>
      <w:r w:rsidR="00E86989">
        <w:rPr>
          <w:lang w:val="en-US"/>
        </w:rPr>
        <w:t>cut-off</w:t>
      </w:r>
      <w:r w:rsidR="007C09CF">
        <w:rPr>
          <w:lang w:val="en-US"/>
        </w:rPr>
        <w:t xml:space="preserve"> 1 September 2016</w:t>
      </w:r>
    </w:p>
    <w:p w14:paraId="08057259" w14:textId="77777777" w:rsidR="007D6AD4" w:rsidRPr="00020C33" w:rsidRDefault="007C09CF" w:rsidP="0040513A">
      <w:pPr>
        <w:pStyle w:val="Heading6"/>
        <w:rPr>
          <w:lang w:val="en-US"/>
        </w:rPr>
      </w:pPr>
      <w:r>
        <w:rPr>
          <w:lang w:val="en-US"/>
        </w:rPr>
        <w:t>Hepatotoxicity, including VOD/SOS</w:t>
      </w:r>
    </w:p>
    <w:p w14:paraId="540075FB" w14:textId="77777777" w:rsidR="00503681" w:rsidRDefault="007D6AD4" w:rsidP="007C09CF">
      <w:pPr>
        <w:rPr>
          <w:lang w:eastAsia="ja-JP"/>
        </w:rPr>
      </w:pPr>
      <w:r w:rsidRPr="00020C33">
        <w:t>Hepato</w:t>
      </w:r>
      <w:r w:rsidR="007C09CF">
        <w:t>to</w:t>
      </w:r>
      <w:r w:rsidRPr="00020C33">
        <w:t>xicity, including</w:t>
      </w:r>
      <w:r w:rsidR="006779D9">
        <w:t xml:space="preserve"> </w:t>
      </w:r>
      <w:r w:rsidRPr="00020C33">
        <w:t xml:space="preserve">severe, life-threatening and sometimes fatal VOD, was a notable risk </w:t>
      </w:r>
      <w:r>
        <w:t xml:space="preserve">associated with </w:t>
      </w:r>
      <w:r w:rsidRPr="00020C33">
        <w:t>inotuzumab ozogamicin</w:t>
      </w:r>
      <w:r>
        <w:t xml:space="preserve"> treatment</w:t>
      </w:r>
      <w:r w:rsidRPr="00020C33">
        <w:t xml:space="preserve">. </w:t>
      </w:r>
      <w:r w:rsidRPr="00020C33">
        <w:rPr>
          <w:lang w:val="en-US"/>
        </w:rPr>
        <w:t xml:space="preserve">Hepatotoxicity, including VOD, was reported more frequently in patients in the inotuzumab ozogamicin arm than in the control arm (all grades </w:t>
      </w:r>
      <w:r w:rsidR="00503681">
        <w:rPr>
          <w:lang w:val="en-US"/>
        </w:rPr>
        <w:t>(</w:t>
      </w:r>
      <w:r w:rsidRPr="00020C33">
        <w:rPr>
          <w:lang w:val="en-US"/>
        </w:rPr>
        <w:t xml:space="preserve">50.6% </w:t>
      </w:r>
      <w:r w:rsidR="001D0208">
        <w:rPr>
          <w:lang w:val="en-US"/>
        </w:rPr>
        <w:t xml:space="preserve">versus </w:t>
      </w:r>
      <w:r w:rsidRPr="00020C33">
        <w:rPr>
          <w:lang w:val="en-US"/>
        </w:rPr>
        <w:t>36.4%</w:t>
      </w:r>
      <w:r w:rsidR="00503681">
        <w:rPr>
          <w:lang w:val="en-US"/>
        </w:rPr>
        <w:t>)</w:t>
      </w:r>
      <w:r w:rsidRPr="00020C33">
        <w:rPr>
          <w:lang w:val="en-US"/>
        </w:rPr>
        <w:t xml:space="preserve">; </w:t>
      </w:r>
      <w:r w:rsidR="00617F88">
        <w:rPr>
          <w:lang w:val="en-US"/>
        </w:rPr>
        <w:t>Grade</w:t>
      </w:r>
      <w:r w:rsidR="007C09CF">
        <w:rPr>
          <w:lang w:val="en-US"/>
        </w:rPr>
        <w:t xml:space="preserve">s 3 to </w:t>
      </w:r>
      <w:r w:rsidRPr="00020C33">
        <w:rPr>
          <w:lang w:val="en-US"/>
        </w:rPr>
        <w:t xml:space="preserve">4 </w:t>
      </w:r>
      <w:r w:rsidR="00503681">
        <w:rPr>
          <w:lang w:val="en-US"/>
        </w:rPr>
        <w:t>(</w:t>
      </w:r>
      <w:r w:rsidRPr="00020C33">
        <w:rPr>
          <w:lang w:val="en-US"/>
        </w:rPr>
        <w:t xml:space="preserve">26.2% </w:t>
      </w:r>
      <w:r w:rsidR="001D0208">
        <w:rPr>
          <w:lang w:val="en-US"/>
        </w:rPr>
        <w:t xml:space="preserve">versus </w:t>
      </w:r>
      <w:r w:rsidRPr="00020C33">
        <w:rPr>
          <w:lang w:val="en-US"/>
        </w:rPr>
        <w:t>16.1%</w:t>
      </w:r>
      <w:r w:rsidR="00503681">
        <w:rPr>
          <w:lang w:val="en-US"/>
        </w:rPr>
        <w:t>)</w:t>
      </w:r>
      <w:r w:rsidRPr="00020C33">
        <w:rPr>
          <w:lang w:val="en-US"/>
        </w:rPr>
        <w:t xml:space="preserve">). Preferred term AEs (all grades) reported in </w:t>
      </w:r>
      <w:r w:rsidR="00503681">
        <w:rPr>
          <w:lang w:val="en-US"/>
        </w:rPr>
        <w:t xml:space="preserve">≥ </w:t>
      </w:r>
      <w:r w:rsidRPr="00020C33">
        <w:rPr>
          <w:lang w:val="en-US"/>
        </w:rPr>
        <w:t xml:space="preserve">10% of patients in the inotuzumab ozogamicin arm compared to the control arm were (respectively), AST increased (22.6% </w:t>
      </w:r>
      <w:r w:rsidR="001D0208">
        <w:rPr>
          <w:lang w:val="en-US"/>
        </w:rPr>
        <w:t xml:space="preserve">versus </w:t>
      </w:r>
      <w:r w:rsidRPr="00020C33">
        <w:rPr>
          <w:lang w:val="en-US"/>
        </w:rPr>
        <w:t xml:space="preserve">11.2%), GGT increased (21.3% </w:t>
      </w:r>
      <w:r w:rsidR="001D0208">
        <w:rPr>
          <w:lang w:val="en-US"/>
        </w:rPr>
        <w:t xml:space="preserve">versus </w:t>
      </w:r>
      <w:r w:rsidRPr="00020C33">
        <w:rPr>
          <w:lang w:val="en-US"/>
        </w:rPr>
        <w:t xml:space="preserve">8.4%), hyperbilirubinaemia (21.3% </w:t>
      </w:r>
      <w:r w:rsidR="001D0208">
        <w:rPr>
          <w:lang w:val="en-US"/>
        </w:rPr>
        <w:t xml:space="preserve">versus </w:t>
      </w:r>
      <w:r w:rsidRPr="00020C33">
        <w:rPr>
          <w:lang w:val="en-US"/>
        </w:rPr>
        <w:t xml:space="preserve">16.8%), ALT increased (15.2% </w:t>
      </w:r>
      <w:r w:rsidR="001D0208">
        <w:rPr>
          <w:lang w:val="en-US"/>
        </w:rPr>
        <w:t xml:space="preserve">versus </w:t>
      </w:r>
      <w:r w:rsidRPr="00020C33">
        <w:rPr>
          <w:lang w:val="en-US"/>
        </w:rPr>
        <w:t xml:space="preserve">12.6%), VOD (14.0% </w:t>
      </w:r>
      <w:r w:rsidR="001D0208">
        <w:rPr>
          <w:lang w:val="en-US"/>
        </w:rPr>
        <w:t xml:space="preserve">versus </w:t>
      </w:r>
      <w:r w:rsidRPr="00020C33">
        <w:rPr>
          <w:lang w:val="en-US"/>
        </w:rPr>
        <w:t xml:space="preserve">2.1%), and ALP increased (12.8% </w:t>
      </w:r>
      <w:r w:rsidR="001D0208">
        <w:rPr>
          <w:lang w:val="en-US"/>
        </w:rPr>
        <w:t xml:space="preserve">versus </w:t>
      </w:r>
      <w:r w:rsidRPr="00020C33">
        <w:rPr>
          <w:lang w:val="en-US"/>
        </w:rPr>
        <w:t>7.0%).</w:t>
      </w:r>
      <w:r w:rsidR="006779D9">
        <w:rPr>
          <w:lang w:val="en-US"/>
        </w:rPr>
        <w:t xml:space="preserve"> </w:t>
      </w:r>
      <w:r w:rsidRPr="00020C33">
        <w:rPr>
          <w:lang w:eastAsia="ja-JP"/>
        </w:rPr>
        <w:t xml:space="preserve">There were 5 (3.0%) deaths in the inotuzumab ozogamicin arm due to </w:t>
      </w:r>
      <w:proofErr w:type="spellStart"/>
      <w:r w:rsidRPr="00020C33">
        <w:rPr>
          <w:lang w:eastAsia="ja-JP"/>
        </w:rPr>
        <w:t>hepatoxicity</w:t>
      </w:r>
      <w:proofErr w:type="spellEnd"/>
      <w:r>
        <w:rPr>
          <w:lang w:eastAsia="ja-JP"/>
        </w:rPr>
        <w:t xml:space="preserve"> </w:t>
      </w:r>
      <w:r w:rsidRPr="00020C33">
        <w:rPr>
          <w:lang w:eastAsia="ja-JP"/>
        </w:rPr>
        <w:t xml:space="preserve">and all were due to </w:t>
      </w:r>
      <w:r>
        <w:rPr>
          <w:lang w:eastAsia="ja-JP"/>
        </w:rPr>
        <w:t>VOD</w:t>
      </w:r>
      <w:r w:rsidRPr="00020C33">
        <w:rPr>
          <w:lang w:eastAsia="ja-JP"/>
        </w:rPr>
        <w:t xml:space="preserve">. There were no deaths in the control arm due to </w:t>
      </w:r>
      <w:proofErr w:type="spellStart"/>
      <w:r w:rsidRPr="00020C33">
        <w:rPr>
          <w:lang w:eastAsia="ja-JP"/>
        </w:rPr>
        <w:t>hepatoxicity</w:t>
      </w:r>
      <w:proofErr w:type="spellEnd"/>
      <w:r w:rsidRPr="00020C33">
        <w:rPr>
          <w:lang w:eastAsia="ja-JP"/>
        </w:rPr>
        <w:t>, including VOD</w:t>
      </w:r>
      <w:r w:rsidR="00503681">
        <w:rPr>
          <w:lang w:eastAsia="ja-JP"/>
        </w:rPr>
        <w:t>.</w:t>
      </w:r>
    </w:p>
    <w:p w14:paraId="30BAFA1F" w14:textId="77777777" w:rsidR="00503681" w:rsidRDefault="007D6AD4" w:rsidP="007C09CF">
      <w:pPr>
        <w:rPr>
          <w:rFonts w:eastAsiaTheme="minorHAnsi"/>
        </w:rPr>
      </w:pPr>
      <w:r>
        <w:rPr>
          <w:rFonts w:eastAsiaTheme="minorHAnsi"/>
        </w:rPr>
        <w:t>In the inotuzumab ozogamicin treatment arm</w:t>
      </w:r>
      <w:r w:rsidRPr="00A41567">
        <w:rPr>
          <w:rFonts w:eastAsiaTheme="minorHAnsi"/>
        </w:rPr>
        <w:t>, univariate logistic regression analysis</w:t>
      </w:r>
      <w:r>
        <w:rPr>
          <w:rFonts w:eastAsiaTheme="minorHAnsi"/>
        </w:rPr>
        <w:t xml:space="preserve"> identified that greater risk of </w:t>
      </w:r>
      <w:r w:rsidR="00617F88">
        <w:rPr>
          <w:rFonts w:eastAsiaTheme="minorHAnsi"/>
        </w:rPr>
        <w:t>Grade</w:t>
      </w:r>
      <w:r>
        <w:rPr>
          <w:rFonts w:eastAsiaTheme="minorHAnsi"/>
        </w:rPr>
        <w:t xml:space="preserve"> </w:t>
      </w:r>
      <w:r w:rsidR="00503681">
        <w:rPr>
          <w:rFonts w:eastAsiaTheme="minorHAnsi"/>
        </w:rPr>
        <w:t xml:space="preserve">≥ </w:t>
      </w:r>
      <w:r>
        <w:rPr>
          <w:rFonts w:eastAsiaTheme="minorHAnsi"/>
        </w:rPr>
        <w:t xml:space="preserve">3 hepatotoxicity, including VOD/SOS was associated with baseline hepatic impairment (mild/moderate/severe </w:t>
      </w:r>
      <w:r w:rsidR="001D0208">
        <w:rPr>
          <w:rFonts w:eastAsiaTheme="minorHAnsi"/>
        </w:rPr>
        <w:t xml:space="preserve">versus </w:t>
      </w:r>
      <w:r>
        <w:rPr>
          <w:rFonts w:eastAsiaTheme="minorHAnsi"/>
        </w:rPr>
        <w:t>normal function), higher salvage status (</w:t>
      </w:r>
      <w:r w:rsidR="00503681">
        <w:rPr>
          <w:rFonts w:eastAsiaTheme="minorHAnsi"/>
        </w:rPr>
        <w:t xml:space="preserve">≥ </w:t>
      </w:r>
      <w:r>
        <w:rPr>
          <w:rFonts w:eastAsiaTheme="minorHAnsi"/>
        </w:rPr>
        <w:t xml:space="preserve">2 </w:t>
      </w:r>
      <w:r w:rsidR="001D0208">
        <w:rPr>
          <w:rFonts w:eastAsiaTheme="minorHAnsi"/>
        </w:rPr>
        <w:t xml:space="preserve">versus </w:t>
      </w:r>
      <w:r>
        <w:rPr>
          <w:rFonts w:eastAsiaTheme="minorHAnsi"/>
        </w:rPr>
        <w:t xml:space="preserve">1), prior history of liver disease (yes </w:t>
      </w:r>
      <w:r w:rsidR="001D0208">
        <w:rPr>
          <w:rFonts w:eastAsiaTheme="minorHAnsi"/>
        </w:rPr>
        <w:t xml:space="preserve">versus </w:t>
      </w:r>
      <w:r>
        <w:rPr>
          <w:rFonts w:eastAsiaTheme="minorHAnsi"/>
        </w:rPr>
        <w:t xml:space="preserve">no), prior HSCT (yes </w:t>
      </w:r>
      <w:r w:rsidR="001D0208">
        <w:rPr>
          <w:rFonts w:eastAsiaTheme="minorHAnsi"/>
        </w:rPr>
        <w:t xml:space="preserve">versus </w:t>
      </w:r>
      <w:r>
        <w:rPr>
          <w:rFonts w:eastAsiaTheme="minorHAnsi"/>
        </w:rPr>
        <w:t>no), and higher peripheral blast levels (</w:t>
      </w:r>
      <w:r w:rsidR="000F385B">
        <w:rPr>
          <w:rFonts w:eastAsiaTheme="minorHAnsi"/>
        </w:rPr>
        <w:t xml:space="preserve">&gt; </w:t>
      </w:r>
      <w:r>
        <w:rPr>
          <w:rFonts w:eastAsiaTheme="minorHAnsi"/>
        </w:rPr>
        <w:t xml:space="preserve">1000 /µL </w:t>
      </w:r>
      <w:r w:rsidR="001D0208">
        <w:rPr>
          <w:rFonts w:eastAsiaTheme="minorHAnsi"/>
        </w:rPr>
        <w:t xml:space="preserve">versus </w:t>
      </w:r>
      <w:r>
        <w:rPr>
          <w:rFonts w:eastAsiaTheme="minorHAnsi"/>
        </w:rPr>
        <w:t xml:space="preserve">≤ 1000 /µL). </w:t>
      </w:r>
      <w:r w:rsidRPr="007C09CF">
        <w:rPr>
          <w:rFonts w:eastAsiaTheme="minorHAnsi"/>
        </w:rPr>
        <w:t>Multivariate logistic regression analysis</w:t>
      </w:r>
      <w:r w:rsidRPr="00906D44">
        <w:rPr>
          <w:rFonts w:eastAsiaTheme="minorHAnsi"/>
        </w:rPr>
        <w:t xml:space="preserve"> </w:t>
      </w:r>
      <w:r>
        <w:rPr>
          <w:rFonts w:eastAsiaTheme="minorHAnsi"/>
        </w:rPr>
        <w:t xml:space="preserve">identified that greater risk of </w:t>
      </w:r>
      <w:r w:rsidR="00617F88">
        <w:rPr>
          <w:rFonts w:eastAsiaTheme="minorHAnsi"/>
        </w:rPr>
        <w:t>Grade</w:t>
      </w:r>
      <w:r>
        <w:rPr>
          <w:rFonts w:eastAsiaTheme="minorHAnsi"/>
        </w:rPr>
        <w:t xml:space="preserve"> </w:t>
      </w:r>
      <w:r w:rsidR="00503681">
        <w:rPr>
          <w:rFonts w:eastAsiaTheme="minorHAnsi"/>
        </w:rPr>
        <w:t xml:space="preserve">≥ </w:t>
      </w:r>
      <w:r>
        <w:rPr>
          <w:rFonts w:eastAsiaTheme="minorHAnsi"/>
        </w:rPr>
        <w:t xml:space="preserve">3 hepatotoxicity, including VOD/SOS was associated with prior HSCT (yes </w:t>
      </w:r>
      <w:r w:rsidR="001D0208">
        <w:rPr>
          <w:rFonts w:eastAsiaTheme="minorHAnsi"/>
        </w:rPr>
        <w:t xml:space="preserve">versus </w:t>
      </w:r>
      <w:r>
        <w:rPr>
          <w:rFonts w:eastAsiaTheme="minorHAnsi"/>
        </w:rPr>
        <w:t>no), higher peripheral blast levels (</w:t>
      </w:r>
      <w:r w:rsidR="000F385B">
        <w:rPr>
          <w:rFonts w:eastAsiaTheme="minorHAnsi"/>
        </w:rPr>
        <w:t xml:space="preserve">&gt; </w:t>
      </w:r>
      <w:r>
        <w:rPr>
          <w:rFonts w:eastAsiaTheme="minorHAnsi"/>
        </w:rPr>
        <w:t xml:space="preserve">1000 /µL </w:t>
      </w:r>
      <w:r w:rsidR="001D0208">
        <w:rPr>
          <w:rFonts w:eastAsiaTheme="minorHAnsi"/>
        </w:rPr>
        <w:t xml:space="preserve">versus </w:t>
      </w:r>
      <w:r>
        <w:rPr>
          <w:rFonts w:eastAsiaTheme="minorHAnsi"/>
        </w:rPr>
        <w:t xml:space="preserve">≤ 1000 /µL), and prior history of liver disease (yes </w:t>
      </w:r>
      <w:r w:rsidR="001D0208">
        <w:rPr>
          <w:rFonts w:eastAsiaTheme="minorHAnsi"/>
        </w:rPr>
        <w:t xml:space="preserve">versus </w:t>
      </w:r>
      <w:r>
        <w:rPr>
          <w:rFonts w:eastAsiaTheme="minorHAnsi"/>
        </w:rPr>
        <w:t>no)</w:t>
      </w:r>
      <w:r w:rsidR="00503681">
        <w:rPr>
          <w:rFonts w:eastAsiaTheme="minorHAnsi"/>
        </w:rPr>
        <w:t>.</w:t>
      </w:r>
    </w:p>
    <w:p w14:paraId="101A4C3C" w14:textId="53895B60" w:rsidR="00503681" w:rsidRDefault="007D6AD4" w:rsidP="007C09CF">
      <w:r w:rsidRPr="00020C33">
        <w:t>The following LFT laboratory test abnormalities (</w:t>
      </w:r>
      <w:r w:rsidR="000F385B">
        <w:t>Grade 3 to 4</w:t>
      </w:r>
      <w:r w:rsidRPr="00020C33">
        <w:t xml:space="preserve">) were reported in patients in the inotuzumab ozogamicin </w:t>
      </w:r>
      <w:r w:rsidR="001D0208">
        <w:t xml:space="preserve">versus </w:t>
      </w:r>
      <w:r w:rsidRPr="00020C33">
        <w:t>control arm, respectively</w:t>
      </w:r>
      <w:r>
        <w:t>: ALT increased (4.9%</w:t>
      </w:r>
      <w:r w:rsidR="00A41567">
        <w:t> </w:t>
      </w:r>
      <w:r w:rsidR="001D0208">
        <w:t xml:space="preserve">versus </w:t>
      </w:r>
      <w:r>
        <w:t xml:space="preserve">5.7%); </w:t>
      </w:r>
      <w:r w:rsidRPr="00020C33">
        <w:t xml:space="preserve">AST increased (5.5% </w:t>
      </w:r>
      <w:r w:rsidR="001D0208">
        <w:t xml:space="preserve">versus </w:t>
      </w:r>
      <w:r w:rsidRPr="00020C33">
        <w:t>5.8%</w:t>
      </w:r>
      <w:r>
        <w:t xml:space="preserve">); ALP increased (1.2% </w:t>
      </w:r>
      <w:r w:rsidR="001D0208">
        <w:t xml:space="preserve">versus </w:t>
      </w:r>
      <w:r>
        <w:t xml:space="preserve">2.9%); </w:t>
      </w:r>
      <w:r w:rsidRPr="00020C33">
        <w:t xml:space="preserve">and total bilirubinaemia (5.5% </w:t>
      </w:r>
      <w:r w:rsidR="001D0208">
        <w:t xml:space="preserve">versus </w:t>
      </w:r>
      <w:r w:rsidRPr="00020C33">
        <w:t>6.4%)</w:t>
      </w:r>
      <w:r w:rsidR="00503681">
        <w:t>.</w:t>
      </w:r>
    </w:p>
    <w:p w14:paraId="5BEB4C86" w14:textId="77777777" w:rsidR="00503681" w:rsidRDefault="007D6AD4" w:rsidP="007C09CF">
      <w:pPr>
        <w:rPr>
          <w:rFonts w:eastAsiaTheme="minorHAnsi"/>
        </w:rPr>
      </w:pPr>
      <w:r w:rsidRPr="00833530">
        <w:rPr>
          <w:rFonts w:eastAsiaTheme="minorHAnsi"/>
        </w:rPr>
        <w:t>Of note, acros</w:t>
      </w:r>
      <w:r>
        <w:rPr>
          <w:rFonts w:eastAsiaTheme="minorHAnsi"/>
        </w:rPr>
        <w:t>s the ALL and NHL studies, non-</w:t>
      </w:r>
      <w:r w:rsidR="007C09CF">
        <w:rPr>
          <w:rFonts w:eastAsiaTheme="minorHAnsi"/>
        </w:rPr>
        <w:t xml:space="preserve">VOD/SOS drug </w:t>
      </w:r>
      <w:r w:rsidRPr="00833530">
        <w:rPr>
          <w:rFonts w:eastAsiaTheme="minorHAnsi"/>
        </w:rPr>
        <w:t>induced liver injury (DILI</w:t>
      </w:r>
      <w:r>
        <w:rPr>
          <w:rFonts w:eastAsiaTheme="minorHAnsi"/>
        </w:rPr>
        <w:t xml:space="preserve">; </w:t>
      </w:r>
      <w:proofErr w:type="spellStart"/>
      <w:r>
        <w:rPr>
          <w:rFonts w:eastAsiaTheme="minorHAnsi"/>
        </w:rPr>
        <w:t>Hy’s</w:t>
      </w:r>
      <w:proofErr w:type="spellEnd"/>
      <w:r>
        <w:rPr>
          <w:rFonts w:eastAsiaTheme="minorHAnsi"/>
        </w:rPr>
        <w:t xml:space="preserve"> law</w:t>
      </w:r>
      <w:r w:rsidRPr="00833530">
        <w:rPr>
          <w:rFonts w:eastAsiaTheme="minorHAnsi"/>
        </w:rPr>
        <w:t xml:space="preserve">) was reported in 2 (0.2%) </w:t>
      </w:r>
      <w:r w:rsidR="007C09CF">
        <w:rPr>
          <w:rFonts w:eastAsiaTheme="minorHAnsi"/>
        </w:rPr>
        <w:t xml:space="preserve">patients (hepatitis acute; drug </w:t>
      </w:r>
      <w:r w:rsidRPr="00833530">
        <w:rPr>
          <w:rFonts w:eastAsiaTheme="minorHAnsi"/>
        </w:rPr>
        <w:t xml:space="preserve">induced liver injury) in the NHL combined chemotherapy study (inotuzumab ozogamicin plus chemotherapy </w:t>
      </w:r>
      <w:r w:rsidR="00503681">
        <w:rPr>
          <w:rFonts w:eastAsiaTheme="minorHAnsi"/>
        </w:rPr>
        <w:t>(Study</w:t>
      </w:r>
      <w:r w:rsidRPr="00833530">
        <w:rPr>
          <w:rFonts w:eastAsiaTheme="minorHAnsi"/>
        </w:rPr>
        <w:t xml:space="preserve"> 1003</w:t>
      </w:r>
      <w:r w:rsidR="00503681">
        <w:rPr>
          <w:rFonts w:eastAsiaTheme="minorHAnsi"/>
        </w:rPr>
        <w:t>)</w:t>
      </w:r>
      <w:r w:rsidRPr="00833530">
        <w:rPr>
          <w:rFonts w:eastAsiaTheme="minorHAnsi"/>
        </w:rPr>
        <w:t>).</w:t>
      </w:r>
      <w:r>
        <w:rPr>
          <w:rFonts w:eastAsiaTheme="minorHAnsi"/>
        </w:rPr>
        <w:t xml:space="preserve"> </w:t>
      </w:r>
      <w:r w:rsidRPr="00833530">
        <w:rPr>
          <w:rFonts w:eastAsiaTheme="minorHAnsi"/>
        </w:rPr>
        <w:t xml:space="preserve">Both patients had concomitant elevation of serum bilirubin </w:t>
      </w:r>
      <w:r w:rsidR="000F385B">
        <w:rPr>
          <w:rFonts w:eastAsiaTheme="minorHAnsi"/>
        </w:rPr>
        <w:t xml:space="preserve">&gt; </w:t>
      </w:r>
      <w:r w:rsidRPr="00833530">
        <w:rPr>
          <w:rFonts w:eastAsiaTheme="minorHAnsi"/>
        </w:rPr>
        <w:t>2</w:t>
      </w:r>
      <w:r w:rsidR="007C09CF">
        <w:rPr>
          <w:rFonts w:eastAsiaTheme="minorHAnsi"/>
        </w:rPr>
        <w:t xml:space="preserve"> </w:t>
      </w:r>
      <w:r w:rsidRPr="00833530">
        <w:rPr>
          <w:rFonts w:eastAsiaTheme="minorHAnsi"/>
        </w:rPr>
        <w:t xml:space="preserve">x </w:t>
      </w:r>
      <w:r w:rsidR="0041592A">
        <w:t>upper limit of normal</w:t>
      </w:r>
      <w:r w:rsidR="0041592A" w:rsidRPr="00833530">
        <w:rPr>
          <w:rFonts w:eastAsiaTheme="minorHAnsi"/>
        </w:rPr>
        <w:t xml:space="preserve"> </w:t>
      </w:r>
      <w:r w:rsidR="0041592A">
        <w:rPr>
          <w:rFonts w:eastAsiaTheme="minorHAnsi"/>
        </w:rPr>
        <w:t>(</w:t>
      </w:r>
      <w:r w:rsidRPr="00833530">
        <w:rPr>
          <w:rFonts w:eastAsiaTheme="minorHAnsi"/>
        </w:rPr>
        <w:t>ULN</w:t>
      </w:r>
      <w:r w:rsidR="0041592A">
        <w:rPr>
          <w:rFonts w:eastAsiaTheme="minorHAnsi"/>
        </w:rPr>
        <w:t>)</w:t>
      </w:r>
      <w:r w:rsidRPr="00833530">
        <w:rPr>
          <w:rFonts w:eastAsiaTheme="minorHAnsi"/>
        </w:rPr>
        <w:t xml:space="preserve"> and transaminases of </w:t>
      </w:r>
      <w:r w:rsidR="000F385B">
        <w:rPr>
          <w:rFonts w:eastAsiaTheme="minorHAnsi"/>
        </w:rPr>
        <w:t xml:space="preserve">&gt; </w:t>
      </w:r>
      <w:r w:rsidRPr="00833530">
        <w:rPr>
          <w:rFonts w:eastAsiaTheme="minorHAnsi"/>
        </w:rPr>
        <w:t>3</w:t>
      </w:r>
      <w:r w:rsidR="007C09CF">
        <w:rPr>
          <w:rFonts w:eastAsiaTheme="minorHAnsi"/>
        </w:rPr>
        <w:t xml:space="preserve"> </w:t>
      </w:r>
      <w:r w:rsidRPr="00833530">
        <w:rPr>
          <w:rFonts w:eastAsiaTheme="minorHAnsi"/>
        </w:rPr>
        <w:t>x ULN without evidence of cholestasis or other more likely aetiologies (</w:t>
      </w:r>
      <w:r w:rsidR="00503681">
        <w:rPr>
          <w:rFonts w:eastAsiaTheme="minorHAnsi"/>
        </w:rPr>
        <w:t>that is</w:t>
      </w:r>
      <w:r w:rsidRPr="00833530">
        <w:rPr>
          <w:rFonts w:eastAsiaTheme="minorHAnsi"/>
        </w:rPr>
        <w:t xml:space="preserve">, confirmed </w:t>
      </w:r>
      <w:proofErr w:type="spellStart"/>
      <w:r w:rsidRPr="00833530">
        <w:rPr>
          <w:rFonts w:eastAsiaTheme="minorHAnsi"/>
        </w:rPr>
        <w:t>Hy’s</w:t>
      </w:r>
      <w:proofErr w:type="spellEnd"/>
      <w:r w:rsidRPr="00833530">
        <w:rPr>
          <w:rFonts w:eastAsiaTheme="minorHAnsi"/>
        </w:rPr>
        <w:t xml:space="preserve"> law cases). No confirmed </w:t>
      </w:r>
      <w:proofErr w:type="spellStart"/>
      <w:r w:rsidRPr="00833530">
        <w:rPr>
          <w:rFonts w:eastAsiaTheme="minorHAnsi"/>
        </w:rPr>
        <w:t>Hy’s</w:t>
      </w:r>
      <w:proofErr w:type="spellEnd"/>
      <w:r w:rsidRPr="00833530">
        <w:rPr>
          <w:rFonts w:eastAsiaTheme="minorHAnsi"/>
        </w:rPr>
        <w:t xml:space="preserve"> law cases were observed in the pivotal study in either the inotuzumab </w:t>
      </w:r>
      <w:r>
        <w:rPr>
          <w:rFonts w:eastAsiaTheme="minorHAnsi"/>
        </w:rPr>
        <w:t>ozogamicin arm or the control arm</w:t>
      </w:r>
      <w:r w:rsidR="00503681">
        <w:rPr>
          <w:rFonts w:eastAsiaTheme="minorHAnsi"/>
        </w:rPr>
        <w:t>.</w:t>
      </w:r>
    </w:p>
    <w:p w14:paraId="6CE38964" w14:textId="57836616" w:rsidR="00503681" w:rsidRDefault="007D6AD4" w:rsidP="007C09CF">
      <w:r w:rsidRPr="00020C33">
        <w:t>Patients with less than adequate liver function were excluded from the pivotal study (</w:t>
      </w:r>
      <w:r w:rsidR="001D0208">
        <w:t>for example</w:t>
      </w:r>
      <w:r w:rsidRPr="00020C33">
        <w:t>, history of chronic liver disease such as cirrhosis or chronic alcohol abuse). The</w:t>
      </w:r>
      <w:r>
        <w:t>refore, the</w:t>
      </w:r>
      <w:r w:rsidRPr="00020C33">
        <w:t xml:space="preserve"> pivotal study included 230 patients with normal hepatic function, 74</w:t>
      </w:r>
      <w:r w:rsidR="00AC6DBC">
        <w:t> </w:t>
      </w:r>
      <w:r w:rsidRPr="00020C33">
        <w:t>patients with mild hepatic impairment, 2 patients with moderate hepatic impairment (both in the inotuzumab ozogamicin arm) and no patients with severe hepatic impairment. The number of patients with moderate or severe hepatic impairment in the pivotal study is too limited to draw meaningful conclusions relating to the safety of</w:t>
      </w:r>
      <w:r w:rsidR="006779D9">
        <w:t xml:space="preserve"> </w:t>
      </w:r>
      <w:r w:rsidRPr="00020C33">
        <w:t>inotuzumab ozogamicin in these patient groups</w:t>
      </w:r>
      <w:r w:rsidR="00503681">
        <w:t>.</w:t>
      </w:r>
    </w:p>
    <w:p w14:paraId="701AC3ED" w14:textId="77777777" w:rsidR="007D6AD4" w:rsidRPr="007C09CF" w:rsidRDefault="007C09CF" w:rsidP="007C09CF">
      <w:pPr>
        <w:pStyle w:val="Heading6"/>
      </w:pPr>
      <w:r w:rsidRPr="007C09CF">
        <w:lastRenderedPageBreak/>
        <w:t>VOD/SOS</w:t>
      </w:r>
    </w:p>
    <w:p w14:paraId="4DDB4C04" w14:textId="77777777" w:rsidR="00503681" w:rsidRDefault="007D6AD4" w:rsidP="007C09CF">
      <w:pPr>
        <w:rPr>
          <w:rFonts w:cs="TimesNewRoman"/>
        </w:rPr>
      </w:pPr>
      <w:r w:rsidRPr="00020C33">
        <w:rPr>
          <w:lang w:val="en-US"/>
        </w:rPr>
        <w:t xml:space="preserve">VOD was reported in </w:t>
      </w:r>
      <w:r w:rsidRPr="00590138">
        <w:rPr>
          <w:lang w:val="en-US"/>
        </w:rPr>
        <w:t>14% (23/164)</w:t>
      </w:r>
      <w:r w:rsidRPr="00020C33">
        <w:rPr>
          <w:lang w:val="en-US"/>
        </w:rPr>
        <w:t xml:space="preserve"> of patients in the inotuzumab ozogamicin arm during or follow</w:t>
      </w:r>
      <w:r>
        <w:rPr>
          <w:lang w:val="en-US"/>
        </w:rPr>
        <w:t xml:space="preserve">ing treatment or following HSCT </w:t>
      </w:r>
      <w:r w:rsidRPr="00020C33">
        <w:rPr>
          <w:lang w:val="en-US"/>
        </w:rPr>
        <w:t xml:space="preserve">compared to 2.1% (3/143) of patients in the control arm. In the 79 patients treated with inotuzumab who proceeded to follow-up HSCT, VOD was reported in 18 (22.8%) patients. In all 164 patients treated with inotuzumab ozogamicin </w:t>
      </w:r>
      <w:r w:rsidRPr="007C09CF">
        <w:rPr>
          <w:lang w:val="en-US"/>
        </w:rPr>
        <w:t>during study treatment or in follow-up without intervening HSCT,</w:t>
      </w:r>
      <w:r w:rsidRPr="00020C33">
        <w:rPr>
          <w:lang w:val="en-US"/>
        </w:rPr>
        <w:t xml:space="preserve"> VOD was reported in 5 (3.0%) patients. </w:t>
      </w:r>
      <w:r w:rsidRPr="00020C33">
        <w:rPr>
          <w:rFonts w:cs="TimesNewRoman"/>
        </w:rPr>
        <w:t>Of the 23 patients with VOD in the inotuzumab ozogamicin arm at the data cut-off date of 1 September 2016, 10 cases had not resolved, 8</w:t>
      </w:r>
      <w:r w:rsidR="007C09CF">
        <w:rPr>
          <w:rFonts w:cs="TimesNewRoman"/>
        </w:rPr>
        <w:t> </w:t>
      </w:r>
      <w:r>
        <w:rPr>
          <w:rFonts w:cs="TimesNewRoman"/>
        </w:rPr>
        <w:t>cases had resolved, and 5 cases</w:t>
      </w:r>
      <w:r w:rsidRPr="00020C33">
        <w:rPr>
          <w:rFonts w:cs="TimesNewRoman"/>
        </w:rPr>
        <w:t xml:space="preserve"> had resulted in death (all post-HSCT)</w:t>
      </w:r>
      <w:r w:rsidR="00503681">
        <w:rPr>
          <w:rFonts w:cs="TimesNewRoman"/>
        </w:rPr>
        <w:t>.</w:t>
      </w:r>
    </w:p>
    <w:p w14:paraId="71000519" w14:textId="77777777" w:rsidR="00503681" w:rsidRDefault="007D6AD4" w:rsidP="007C09CF">
      <w:pPr>
        <w:rPr>
          <w:rFonts w:cs="TimesNewRoman"/>
        </w:rPr>
      </w:pPr>
      <w:r>
        <w:rPr>
          <w:rFonts w:cs="TimesNewRoman"/>
        </w:rPr>
        <w:t xml:space="preserve">Based on data in the SCS for </w:t>
      </w:r>
      <w:r w:rsidRPr="00020C33">
        <w:rPr>
          <w:rFonts w:cs="TimesNewRoman"/>
        </w:rPr>
        <w:t xml:space="preserve">patients </w:t>
      </w:r>
      <w:r>
        <w:rPr>
          <w:rFonts w:cs="TimesNewRoman"/>
        </w:rPr>
        <w:t>in the inotuzumab arm who proceeded to HSCT (n</w:t>
      </w:r>
      <w:r w:rsidR="007C09CF">
        <w:rPr>
          <w:rFonts w:cs="TimesNewRoman"/>
        </w:rPr>
        <w:t> = </w:t>
      </w:r>
      <w:r>
        <w:rPr>
          <w:rFonts w:cs="TimesNewRoman"/>
        </w:rPr>
        <w:t>77), VOD</w:t>
      </w:r>
      <w:r w:rsidR="007C09CF">
        <w:rPr>
          <w:rFonts w:cs="TimesNewRoman"/>
        </w:rPr>
        <w:t xml:space="preserve"> was reported 2 </w:t>
      </w:r>
      <w:r w:rsidRPr="00020C33">
        <w:rPr>
          <w:rFonts w:cs="TimesNewRoman"/>
        </w:rPr>
        <w:t xml:space="preserve">fold more frequently in patients with a prior history of liver disease and/or hepatitis than in patients without such a </w:t>
      </w:r>
      <w:r>
        <w:rPr>
          <w:rFonts w:cs="TimesNewRoman"/>
        </w:rPr>
        <w:t xml:space="preserve">history </w:t>
      </w:r>
      <w:r w:rsidRPr="00020C33">
        <w:rPr>
          <w:rFonts w:cs="TimesNewRoman"/>
        </w:rPr>
        <w:t xml:space="preserve">(35% </w:t>
      </w:r>
      <w:r w:rsidR="00503681">
        <w:rPr>
          <w:rFonts w:cs="TimesNewRoman"/>
        </w:rPr>
        <w:t>(</w:t>
      </w:r>
      <w:r w:rsidRPr="00020C33">
        <w:rPr>
          <w:rFonts w:cs="TimesNewRoman"/>
        </w:rPr>
        <w:t>7/20</w:t>
      </w:r>
      <w:r w:rsidR="00503681">
        <w:rPr>
          <w:rFonts w:cs="TimesNewRoman"/>
        </w:rPr>
        <w:t>)</w:t>
      </w:r>
      <w:r w:rsidRPr="00020C33">
        <w:rPr>
          <w:rFonts w:cs="TimesNewRoman"/>
        </w:rPr>
        <w:t xml:space="preserve"> </w:t>
      </w:r>
      <w:r w:rsidR="001D0208">
        <w:rPr>
          <w:rFonts w:cs="TimesNewRoman"/>
        </w:rPr>
        <w:t xml:space="preserve">versus </w:t>
      </w:r>
      <w:r w:rsidRPr="00020C33">
        <w:rPr>
          <w:rFonts w:cs="TimesNewRoman"/>
        </w:rPr>
        <w:t xml:space="preserve">17.5% </w:t>
      </w:r>
      <w:r w:rsidR="00503681">
        <w:rPr>
          <w:rFonts w:cs="TimesNewRoman"/>
        </w:rPr>
        <w:t>(</w:t>
      </w:r>
      <w:r w:rsidRPr="00020C33">
        <w:rPr>
          <w:rFonts w:cs="TimesNewRoman"/>
        </w:rPr>
        <w:t>10/57</w:t>
      </w:r>
      <w:r w:rsidR="00503681">
        <w:rPr>
          <w:rFonts w:cs="TimesNewRoman"/>
        </w:rPr>
        <w:t>)</w:t>
      </w:r>
      <w:r w:rsidRPr="00020C33">
        <w:rPr>
          <w:rFonts w:cs="TimesNewRoman"/>
        </w:rPr>
        <w:t>, respectively).</w:t>
      </w:r>
      <w:r w:rsidR="006779D9">
        <w:rPr>
          <w:rFonts w:cs="TimesNewRoman"/>
        </w:rPr>
        <w:t xml:space="preserve"> </w:t>
      </w:r>
      <w:r w:rsidRPr="00020C33">
        <w:rPr>
          <w:rFonts w:cs="TimesNewRoman"/>
        </w:rPr>
        <w:t>One fatal case of VOD</w:t>
      </w:r>
      <w:r>
        <w:rPr>
          <w:rFonts w:cs="TimesNewRoman"/>
        </w:rPr>
        <w:t xml:space="preserve"> </w:t>
      </w:r>
      <w:r w:rsidRPr="00020C33">
        <w:rPr>
          <w:rFonts w:cs="TimesNewRoman"/>
        </w:rPr>
        <w:t xml:space="preserve">occurred in a patient with a prior history of liver disease and/or hepatitis. Therefore, it is reasonable to conclude that patients with a prior history of liver disease and/or ongoing liver disease are at an increased risk of severe, life-threatening </w:t>
      </w:r>
      <w:r>
        <w:rPr>
          <w:rFonts w:cs="TimesNewRoman"/>
        </w:rPr>
        <w:t>VOD</w:t>
      </w:r>
      <w:r w:rsidRPr="00020C33">
        <w:rPr>
          <w:rFonts w:cs="TimesNewRoman"/>
        </w:rPr>
        <w:t>, when treated with inotuzumab ozogamicin. Consequently, in the absence of adequate safety data in patients with a prior history of moderate or severe liver disease it is recommended that treatment with inotuzumab ozogamicin be contraindicated in these patients. In addition, inotuzumab ozogamicin should be contraindicated in all patients with a prior history of VOD</w:t>
      </w:r>
      <w:r w:rsidR="00503681">
        <w:rPr>
          <w:rFonts w:cs="TimesNewRoman"/>
        </w:rPr>
        <w:t>.</w:t>
      </w:r>
    </w:p>
    <w:p w14:paraId="28D09382" w14:textId="2C2BB413" w:rsidR="00503681" w:rsidRDefault="007D6AD4" w:rsidP="007C09CF">
      <w:pPr>
        <w:rPr>
          <w:rFonts w:cs="TimesNewRoman"/>
        </w:rPr>
      </w:pPr>
      <w:r w:rsidRPr="00AC5787">
        <w:rPr>
          <w:rFonts w:eastAsiaTheme="minorHAnsi" w:cs="TimesNewRoman"/>
        </w:rPr>
        <w:t xml:space="preserve">Based on the </w:t>
      </w:r>
      <w:r w:rsidRPr="007C09CF">
        <w:rPr>
          <w:rFonts w:eastAsiaTheme="minorHAnsi" w:cs="TimesNewRoman"/>
        </w:rPr>
        <w:t>univariate logistic regression analysis</w:t>
      </w:r>
      <w:r>
        <w:rPr>
          <w:rFonts w:eastAsiaTheme="minorHAnsi" w:cs="TimesNewRoman"/>
        </w:rPr>
        <w:t xml:space="preserve"> (n</w:t>
      </w:r>
      <w:r w:rsidR="0014606A">
        <w:rPr>
          <w:rFonts w:eastAsiaTheme="minorHAnsi" w:cs="TimesNewRoman"/>
        </w:rPr>
        <w:t xml:space="preserve"> = </w:t>
      </w:r>
      <w:r>
        <w:rPr>
          <w:rFonts w:eastAsiaTheme="minorHAnsi" w:cs="TimesNewRoman"/>
        </w:rPr>
        <w:t>79)</w:t>
      </w:r>
      <w:r w:rsidRPr="00AC5787">
        <w:rPr>
          <w:rFonts w:eastAsiaTheme="minorHAnsi" w:cs="TimesNewRoman"/>
        </w:rPr>
        <w:t xml:space="preserve">, </w:t>
      </w:r>
      <w:r>
        <w:rPr>
          <w:rFonts w:eastAsiaTheme="minorHAnsi" w:cs="TimesNewRoman"/>
        </w:rPr>
        <w:t xml:space="preserve">factors associated with an increased risk of VOD post-HSCT were, </w:t>
      </w:r>
      <w:r w:rsidRPr="00AC5787">
        <w:rPr>
          <w:rFonts w:eastAsiaTheme="minorHAnsi" w:cs="TimesNewRoman"/>
        </w:rPr>
        <w:t xml:space="preserve">exposure to dual </w:t>
      </w:r>
      <w:proofErr w:type="spellStart"/>
      <w:r w:rsidRPr="00AC5787">
        <w:rPr>
          <w:rFonts w:eastAsiaTheme="minorHAnsi" w:cs="TimesNewRoman"/>
        </w:rPr>
        <w:t>alkylator</w:t>
      </w:r>
      <w:proofErr w:type="spellEnd"/>
      <w:r w:rsidRPr="00AC5787">
        <w:rPr>
          <w:rFonts w:eastAsiaTheme="minorHAnsi" w:cs="TimesNewRoman"/>
        </w:rPr>
        <w:t xml:space="preserve"> conditioning therapy</w:t>
      </w:r>
      <w:r>
        <w:rPr>
          <w:rFonts w:eastAsiaTheme="minorHAnsi" w:cs="TimesNewRoman"/>
        </w:rPr>
        <w:t xml:space="preserve"> (dual </w:t>
      </w:r>
      <w:r w:rsidR="001D0208">
        <w:rPr>
          <w:rFonts w:eastAsiaTheme="minorHAnsi" w:cs="TimesNewRoman"/>
        </w:rPr>
        <w:t xml:space="preserve">versus </w:t>
      </w:r>
      <w:r>
        <w:rPr>
          <w:rFonts w:eastAsiaTheme="minorHAnsi" w:cs="TimesNewRoman"/>
        </w:rPr>
        <w:t xml:space="preserve">single), </w:t>
      </w:r>
      <w:r w:rsidRPr="00AC5787">
        <w:rPr>
          <w:rFonts w:eastAsiaTheme="minorHAnsi" w:cs="TimesNewRoman"/>
        </w:rPr>
        <w:t xml:space="preserve">exposure to </w:t>
      </w:r>
      <w:proofErr w:type="spellStart"/>
      <w:r w:rsidRPr="00AC5787">
        <w:rPr>
          <w:rFonts w:eastAsiaTheme="minorHAnsi" w:cs="TimesNewRoman"/>
        </w:rPr>
        <w:t>busulfan</w:t>
      </w:r>
      <w:proofErr w:type="spellEnd"/>
      <w:r w:rsidRPr="00AC5787">
        <w:rPr>
          <w:rFonts w:eastAsiaTheme="minorHAnsi" w:cs="TimesNewRoman"/>
        </w:rPr>
        <w:t xml:space="preserve"> containing conditioning therapy</w:t>
      </w:r>
      <w:r>
        <w:rPr>
          <w:rFonts w:eastAsiaTheme="minorHAnsi" w:cs="TimesNewRoman"/>
        </w:rPr>
        <w:t xml:space="preserve"> (yes </w:t>
      </w:r>
      <w:r w:rsidR="001D0208">
        <w:rPr>
          <w:rFonts w:eastAsiaTheme="minorHAnsi" w:cs="TimesNewRoman"/>
        </w:rPr>
        <w:t xml:space="preserve">versus </w:t>
      </w:r>
      <w:r>
        <w:rPr>
          <w:rFonts w:eastAsiaTheme="minorHAnsi" w:cs="TimesNewRoman"/>
        </w:rPr>
        <w:t>no), n</w:t>
      </w:r>
      <w:r w:rsidRPr="00AC5787">
        <w:rPr>
          <w:rFonts w:eastAsiaTheme="minorHAnsi" w:cs="TimesNewRoman"/>
        </w:rPr>
        <w:t>umber of study treatment cycles received at the time of HS</w:t>
      </w:r>
      <w:r>
        <w:rPr>
          <w:rFonts w:eastAsiaTheme="minorHAnsi" w:cs="TimesNewRoman"/>
        </w:rPr>
        <w:t xml:space="preserve">CT (continuous), higher last </w:t>
      </w:r>
      <w:r w:rsidRPr="00AC5787">
        <w:rPr>
          <w:rFonts w:eastAsiaTheme="minorHAnsi" w:cs="TimesNewRoman"/>
        </w:rPr>
        <w:t xml:space="preserve">bilirubin </w:t>
      </w:r>
      <w:r>
        <w:rPr>
          <w:rFonts w:eastAsiaTheme="minorHAnsi" w:cs="TimesNewRoman"/>
        </w:rPr>
        <w:t xml:space="preserve">level </w:t>
      </w:r>
      <w:r w:rsidRPr="00AC5787">
        <w:rPr>
          <w:rFonts w:eastAsiaTheme="minorHAnsi" w:cs="TimesNewRoman"/>
        </w:rPr>
        <w:t>prior to follow-up HSCT</w:t>
      </w:r>
      <w:r>
        <w:rPr>
          <w:rFonts w:eastAsiaTheme="minorHAnsi" w:cs="TimesNewRoman"/>
        </w:rPr>
        <w:t xml:space="preserve"> (</w:t>
      </w:r>
      <w:r w:rsidR="00503681">
        <w:rPr>
          <w:rFonts w:eastAsiaTheme="minorHAnsi" w:cs="TimesNewRoman"/>
        </w:rPr>
        <w:t xml:space="preserve">≥ </w:t>
      </w:r>
      <w:r>
        <w:rPr>
          <w:rFonts w:eastAsiaTheme="minorHAnsi" w:cs="TimesNewRoman"/>
        </w:rPr>
        <w:t xml:space="preserve">ULN </w:t>
      </w:r>
      <w:r w:rsidR="001D0208">
        <w:rPr>
          <w:rFonts w:eastAsiaTheme="minorHAnsi" w:cs="TimesNewRoman"/>
        </w:rPr>
        <w:t xml:space="preserve">versus </w:t>
      </w:r>
      <w:r>
        <w:rPr>
          <w:rFonts w:eastAsiaTheme="minorHAnsi" w:cs="TimesNewRoman"/>
        </w:rPr>
        <w:t>&lt; ULN), and increased age (</w:t>
      </w:r>
      <w:r w:rsidR="007C09CF">
        <w:rPr>
          <w:rFonts w:eastAsiaTheme="minorHAnsi" w:cs="TimesNewRoman"/>
        </w:rPr>
        <w:t>≥ 55 </w:t>
      </w:r>
      <w:r>
        <w:rPr>
          <w:rFonts w:eastAsiaTheme="minorHAnsi" w:cs="TimesNewRoman"/>
        </w:rPr>
        <w:t xml:space="preserve">years </w:t>
      </w:r>
      <w:r w:rsidR="001D0208">
        <w:rPr>
          <w:rFonts w:eastAsiaTheme="minorHAnsi" w:cs="TimesNewRoman"/>
        </w:rPr>
        <w:t xml:space="preserve">versus </w:t>
      </w:r>
      <w:r>
        <w:rPr>
          <w:rFonts w:eastAsiaTheme="minorHAnsi" w:cs="TimesNewRoman"/>
        </w:rPr>
        <w:t xml:space="preserve">&lt; 55 years). </w:t>
      </w:r>
      <w:r w:rsidRPr="00AC5787">
        <w:rPr>
          <w:rFonts w:eastAsiaTheme="minorHAnsi" w:cs="TimesNewRoman"/>
        </w:rPr>
        <w:t xml:space="preserve">Based on the </w:t>
      </w:r>
      <w:r w:rsidRPr="007C09CF">
        <w:rPr>
          <w:rFonts w:eastAsiaTheme="minorHAnsi" w:cs="TimesNewRoman"/>
        </w:rPr>
        <w:t>multivariate logistic regression analysis</w:t>
      </w:r>
      <w:r w:rsidRPr="00906D44">
        <w:rPr>
          <w:rFonts w:eastAsiaTheme="minorHAnsi" w:cs="TimesNewRoman"/>
        </w:rPr>
        <w:t xml:space="preserve"> </w:t>
      </w:r>
      <w:r w:rsidRPr="00AC5787">
        <w:rPr>
          <w:rFonts w:eastAsiaTheme="minorHAnsi" w:cs="TimesNewRoman"/>
        </w:rPr>
        <w:t>(</w:t>
      </w:r>
      <w:r>
        <w:rPr>
          <w:rFonts w:eastAsiaTheme="minorHAnsi" w:cs="TimesNewRoman"/>
        </w:rPr>
        <w:t>n</w:t>
      </w:r>
      <w:r w:rsidR="00AC6DBC">
        <w:rPr>
          <w:rFonts w:eastAsiaTheme="minorHAnsi" w:cs="TimesNewRoman"/>
        </w:rPr>
        <w:t> </w:t>
      </w:r>
      <w:r w:rsidR="0014606A">
        <w:rPr>
          <w:rFonts w:eastAsiaTheme="minorHAnsi" w:cs="TimesNewRoman"/>
        </w:rPr>
        <w:t>=</w:t>
      </w:r>
      <w:r w:rsidR="00AC6DBC">
        <w:rPr>
          <w:rFonts w:eastAsiaTheme="minorHAnsi" w:cs="TimesNewRoman"/>
        </w:rPr>
        <w:t> </w:t>
      </w:r>
      <w:r>
        <w:rPr>
          <w:rFonts w:eastAsiaTheme="minorHAnsi" w:cs="TimesNewRoman"/>
        </w:rPr>
        <w:t>62</w:t>
      </w:r>
      <w:r w:rsidRPr="00AC5787">
        <w:rPr>
          <w:rFonts w:eastAsiaTheme="minorHAnsi" w:cs="TimesNewRoman"/>
        </w:rPr>
        <w:t xml:space="preserve">), </w:t>
      </w:r>
      <w:r>
        <w:rPr>
          <w:rFonts w:eastAsiaTheme="minorHAnsi" w:cs="TimesNewRoman"/>
        </w:rPr>
        <w:t xml:space="preserve">factors associated with an increased risk of VOD post-HSCT were, </w:t>
      </w:r>
      <w:r w:rsidRPr="00AC5787">
        <w:rPr>
          <w:rFonts w:eastAsiaTheme="minorHAnsi" w:cs="TimesNewRoman"/>
        </w:rPr>
        <w:t xml:space="preserve">exposure to dual </w:t>
      </w:r>
      <w:proofErr w:type="spellStart"/>
      <w:r w:rsidRPr="00AC5787">
        <w:rPr>
          <w:rFonts w:eastAsiaTheme="minorHAnsi" w:cs="TimesNewRoman"/>
        </w:rPr>
        <w:t>alkylator</w:t>
      </w:r>
      <w:proofErr w:type="spellEnd"/>
      <w:r w:rsidRPr="00AC5787">
        <w:rPr>
          <w:rFonts w:eastAsiaTheme="minorHAnsi" w:cs="TimesNewRoman"/>
        </w:rPr>
        <w:t xml:space="preserve"> condit</w:t>
      </w:r>
      <w:r>
        <w:rPr>
          <w:rFonts w:eastAsiaTheme="minorHAnsi" w:cs="TimesNewRoman"/>
        </w:rPr>
        <w:t xml:space="preserve">ioning therapy (dual </w:t>
      </w:r>
      <w:r w:rsidR="001D0208">
        <w:rPr>
          <w:rFonts w:eastAsiaTheme="minorHAnsi" w:cs="TimesNewRoman"/>
        </w:rPr>
        <w:t xml:space="preserve">versus </w:t>
      </w:r>
      <w:r>
        <w:rPr>
          <w:rFonts w:eastAsiaTheme="minorHAnsi" w:cs="TimesNewRoman"/>
        </w:rPr>
        <w:t xml:space="preserve">single), </w:t>
      </w:r>
      <w:r w:rsidRPr="00AC5787">
        <w:rPr>
          <w:rFonts w:eastAsiaTheme="minorHAnsi" w:cs="TimesNewRoman"/>
        </w:rPr>
        <w:t>last bilirubin prior to follo</w:t>
      </w:r>
      <w:r>
        <w:rPr>
          <w:rFonts w:eastAsiaTheme="minorHAnsi" w:cs="TimesNewRoman"/>
        </w:rPr>
        <w:t>w-up HSCT (</w:t>
      </w:r>
      <w:r w:rsidR="00503681">
        <w:rPr>
          <w:rFonts w:eastAsiaTheme="minorHAnsi" w:cs="TimesNewRoman"/>
        </w:rPr>
        <w:t xml:space="preserve">≥ </w:t>
      </w:r>
      <w:r>
        <w:rPr>
          <w:rFonts w:eastAsiaTheme="minorHAnsi" w:cs="TimesNewRoman"/>
        </w:rPr>
        <w:t xml:space="preserve">ULN </w:t>
      </w:r>
      <w:r w:rsidR="001D0208">
        <w:rPr>
          <w:rFonts w:eastAsiaTheme="minorHAnsi" w:cs="TimesNewRoman"/>
        </w:rPr>
        <w:t xml:space="preserve">versus </w:t>
      </w:r>
      <w:r>
        <w:rPr>
          <w:rFonts w:eastAsiaTheme="minorHAnsi" w:cs="TimesNewRoman"/>
        </w:rPr>
        <w:t xml:space="preserve">&lt; ULN), and </w:t>
      </w:r>
      <w:r w:rsidRPr="00AC5787">
        <w:rPr>
          <w:rFonts w:eastAsiaTheme="minorHAnsi" w:cs="TimesNewRoman"/>
        </w:rPr>
        <w:t>last AST or ALT prior to follow-u</w:t>
      </w:r>
      <w:r>
        <w:rPr>
          <w:rFonts w:eastAsiaTheme="minorHAnsi" w:cs="TimesNewRoman"/>
        </w:rPr>
        <w:t>p HSCT (</w:t>
      </w:r>
      <w:r w:rsidR="000F385B">
        <w:rPr>
          <w:rFonts w:eastAsiaTheme="minorHAnsi" w:cs="TimesNewRoman"/>
        </w:rPr>
        <w:t xml:space="preserve">&gt; </w:t>
      </w:r>
      <w:r>
        <w:rPr>
          <w:rFonts w:eastAsiaTheme="minorHAnsi" w:cs="TimesNewRoman"/>
        </w:rPr>
        <w:t xml:space="preserve">1.5 x ULN </w:t>
      </w:r>
      <w:r w:rsidR="001D0208">
        <w:rPr>
          <w:rFonts w:eastAsiaTheme="minorHAnsi" w:cs="TimesNewRoman"/>
        </w:rPr>
        <w:t xml:space="preserve">versus </w:t>
      </w:r>
      <w:r w:rsidR="007C09CF">
        <w:rPr>
          <w:rFonts w:eastAsiaTheme="minorHAnsi" w:cs="TimesNewRoman"/>
        </w:rPr>
        <w:t>≤ </w:t>
      </w:r>
      <w:r>
        <w:rPr>
          <w:rFonts w:eastAsiaTheme="minorHAnsi" w:cs="TimesNewRoman"/>
        </w:rPr>
        <w:t xml:space="preserve">1.5 x ULN). </w:t>
      </w:r>
      <w:proofErr w:type="spellStart"/>
      <w:r>
        <w:rPr>
          <w:rFonts w:cs="TimesNewRoman"/>
        </w:rPr>
        <w:t>Busulfan</w:t>
      </w:r>
      <w:proofErr w:type="spellEnd"/>
      <w:r>
        <w:rPr>
          <w:rFonts w:cs="TimesNewRoman"/>
        </w:rPr>
        <w:t xml:space="preserve"> containing conditioning therapy and age variables were excluded from the final multivariate model due to correlation with other variables in the model</w:t>
      </w:r>
      <w:r w:rsidR="00503681">
        <w:rPr>
          <w:rFonts w:cs="TimesNewRoman"/>
        </w:rPr>
        <w:t>.</w:t>
      </w:r>
    </w:p>
    <w:p w14:paraId="64B7ACC7" w14:textId="77777777" w:rsidR="007D6AD4" w:rsidRPr="00020C33" w:rsidRDefault="007D6AD4" w:rsidP="0040513A">
      <w:pPr>
        <w:pStyle w:val="Heading6"/>
      </w:pPr>
      <w:r w:rsidRPr="00020C33">
        <w:t>Myelosuppression/</w:t>
      </w:r>
      <w:proofErr w:type="spellStart"/>
      <w:r w:rsidRPr="00020C33">
        <w:t>c</w:t>
      </w:r>
      <w:r w:rsidR="007C09CF">
        <w:t>ytopenia</w:t>
      </w:r>
      <w:proofErr w:type="spellEnd"/>
    </w:p>
    <w:p w14:paraId="756C443A" w14:textId="77777777" w:rsidR="00503681" w:rsidRDefault="007D6AD4" w:rsidP="007C09CF">
      <w:r w:rsidRPr="00020C33">
        <w:t>Myelosuppression/</w:t>
      </w:r>
      <w:proofErr w:type="spellStart"/>
      <w:r w:rsidRPr="00020C33">
        <w:t>cytopenias</w:t>
      </w:r>
      <w:proofErr w:type="spellEnd"/>
      <w:r w:rsidRPr="00020C33">
        <w:t xml:space="preserve"> </w:t>
      </w:r>
      <w:r w:rsidR="00617F88">
        <w:t>Grade</w:t>
      </w:r>
      <w:r w:rsidR="007C09CF">
        <w:t xml:space="preserve"> 3 to </w:t>
      </w:r>
      <w:r w:rsidRPr="00020C33">
        <w:t>4 events were reported in 80.5% (132/164) of patients in the inotuzumab arm and 88.1% (126/143) of patie</w:t>
      </w:r>
      <w:r w:rsidR="007C09CF">
        <w:t xml:space="preserve">nts in the control arm. Grade 3 to </w:t>
      </w:r>
      <w:r w:rsidRPr="00020C33">
        <w:t xml:space="preserve">4 AEs reported in </w:t>
      </w:r>
      <w:r w:rsidR="00503681">
        <w:t xml:space="preserve">≥ </w:t>
      </w:r>
      <w:r w:rsidRPr="00020C33">
        <w:t>20% of patients in the inotuzumab ozogamicin arm (</w:t>
      </w:r>
      <w:r w:rsidR="001D0208">
        <w:t xml:space="preserve">versus </w:t>
      </w:r>
      <w:r w:rsidRPr="00020C33">
        <w:t xml:space="preserve">control, respectively) were, neutropenia (47.0% </w:t>
      </w:r>
      <w:r w:rsidR="001D0208">
        <w:t xml:space="preserve">versus </w:t>
      </w:r>
      <w:r w:rsidRPr="00020C33">
        <w:t xml:space="preserve">44.1%), thrombocytopenia, (40.9% </w:t>
      </w:r>
      <w:r w:rsidR="001D0208">
        <w:t xml:space="preserve">versus </w:t>
      </w:r>
      <w:r w:rsidRPr="00020C33">
        <w:t xml:space="preserve">59.4%), leukopenia (26.8% </w:t>
      </w:r>
      <w:r w:rsidR="001D0208">
        <w:t xml:space="preserve">versus </w:t>
      </w:r>
      <w:r w:rsidRPr="00020C33">
        <w:t xml:space="preserve">37.1%), febrile neutropenia (26.8% </w:t>
      </w:r>
      <w:r w:rsidR="001D0208">
        <w:t xml:space="preserve">versus </w:t>
      </w:r>
      <w:r w:rsidRPr="00020C33">
        <w:t xml:space="preserve">53.8%), and anaemia (22.6% </w:t>
      </w:r>
      <w:r w:rsidR="001D0208">
        <w:t xml:space="preserve">versus </w:t>
      </w:r>
      <w:r w:rsidRPr="00020C33">
        <w:t xml:space="preserve">44.1%). There were 2 (1.2%) patients with pancytopenia </w:t>
      </w:r>
      <w:r w:rsidR="00617F88">
        <w:t>Grade</w:t>
      </w:r>
      <w:r w:rsidR="007C09CF">
        <w:t xml:space="preserve"> 3 to </w:t>
      </w:r>
      <w:r w:rsidRPr="00020C33">
        <w:t>4 in the inotuzumab ozogamicin arm compared to 4 (2.8%) patients in the control arm. There was 1 (0.6%) death due to a</w:t>
      </w:r>
      <w:r>
        <w:t>n</w:t>
      </w:r>
      <w:r w:rsidR="006779D9">
        <w:t xml:space="preserve"> </w:t>
      </w:r>
      <w:r w:rsidRPr="00020C33">
        <w:t>AE in the inotuzumab ozogamicin arm (neutropenic sepsis) and no deaths due AEs in the control arm</w:t>
      </w:r>
      <w:r w:rsidR="00503681">
        <w:t>.</w:t>
      </w:r>
    </w:p>
    <w:p w14:paraId="55826186" w14:textId="77777777" w:rsidR="00503681" w:rsidRDefault="007D6AD4" w:rsidP="007C09CF">
      <w:r w:rsidRPr="00020C33">
        <w:t>The following laboratory test abnormalities (</w:t>
      </w:r>
      <w:r w:rsidR="00617F88">
        <w:t>Grade</w:t>
      </w:r>
      <w:r w:rsidR="007C09CF">
        <w:t xml:space="preserve"> 3 to </w:t>
      </w:r>
      <w:r w:rsidRPr="00020C33">
        <w:t xml:space="preserve">4 AEs) were reported with an incidence of </w:t>
      </w:r>
      <w:r w:rsidR="00503681">
        <w:t xml:space="preserve">≥ </w:t>
      </w:r>
      <w:r w:rsidRPr="00020C33">
        <w:t>50% in patients in the inotuzumab ozogamicin arm (</w:t>
      </w:r>
      <w:r w:rsidR="001D0208">
        <w:t xml:space="preserve">versus </w:t>
      </w:r>
      <w:r w:rsidRPr="00020C33">
        <w:t xml:space="preserve">control, respectively): leucocytes decreased (81.6% </w:t>
      </w:r>
      <w:r w:rsidR="001D0208">
        <w:t xml:space="preserve">versus </w:t>
      </w:r>
      <w:r w:rsidRPr="00020C33">
        <w:t xml:space="preserve">97.9%); lymphopenia (71.2% </w:t>
      </w:r>
      <w:r w:rsidR="001D0208">
        <w:t xml:space="preserve">versus </w:t>
      </w:r>
      <w:r w:rsidRPr="00020C33">
        <w:t xml:space="preserve">90.1%); neutrophil count decreased (85.9% </w:t>
      </w:r>
      <w:r w:rsidR="001D0208">
        <w:t xml:space="preserve">versus </w:t>
      </w:r>
      <w:r w:rsidRPr="00020C33">
        <w:t>85.8%);</w:t>
      </w:r>
      <w:r>
        <w:t xml:space="preserve"> and</w:t>
      </w:r>
      <w:r w:rsidRPr="00020C33">
        <w:t xml:space="preserve"> platelet count decreased (76.7% </w:t>
      </w:r>
      <w:r w:rsidR="001D0208">
        <w:t xml:space="preserve">versus </w:t>
      </w:r>
      <w:r w:rsidRPr="00020C33">
        <w:t>98.6%)</w:t>
      </w:r>
      <w:r w:rsidR="00503681">
        <w:t>.</w:t>
      </w:r>
    </w:p>
    <w:p w14:paraId="05E446A6" w14:textId="77777777" w:rsidR="007D6AD4" w:rsidRPr="00020C33" w:rsidRDefault="007C09CF" w:rsidP="0040513A">
      <w:pPr>
        <w:pStyle w:val="Heading6"/>
      </w:pPr>
      <w:r>
        <w:t>Infections</w:t>
      </w:r>
    </w:p>
    <w:p w14:paraId="2176F02D" w14:textId="77777777" w:rsidR="00503681" w:rsidRDefault="007D6AD4" w:rsidP="000F385B">
      <w:pPr>
        <w:rPr>
          <w:color w:val="000000"/>
        </w:rPr>
      </w:pPr>
      <w:r>
        <w:t xml:space="preserve">Infection AEs (all grades) were reported notably less frequently in the inotuzumab ozogamicin arm than in the control arm (48.8% </w:t>
      </w:r>
      <w:r w:rsidR="00503681">
        <w:t>(</w:t>
      </w:r>
      <w:r>
        <w:t>80/164</w:t>
      </w:r>
      <w:r w:rsidR="00503681">
        <w:t>)</w:t>
      </w:r>
      <w:r>
        <w:t xml:space="preserve"> </w:t>
      </w:r>
      <w:r w:rsidR="001D0208">
        <w:t xml:space="preserve">versus </w:t>
      </w:r>
      <w:r>
        <w:t xml:space="preserve">76.9% </w:t>
      </w:r>
      <w:r w:rsidR="00503681">
        <w:t>(</w:t>
      </w:r>
      <w:r>
        <w:t>110/143</w:t>
      </w:r>
      <w:r w:rsidR="00503681">
        <w:t>)</w:t>
      </w:r>
      <w:r>
        <w:t xml:space="preserve">), as </w:t>
      </w:r>
      <w:r>
        <w:lastRenderedPageBreak/>
        <w:t xml:space="preserve">were </w:t>
      </w:r>
      <w:r w:rsidR="000F385B">
        <w:t>Grade 3 to 4</w:t>
      </w:r>
      <w:r>
        <w:t xml:space="preserve"> AEs </w:t>
      </w:r>
      <w:r w:rsidRPr="00020C33">
        <w:t xml:space="preserve">(23.8% </w:t>
      </w:r>
      <w:r w:rsidR="00503681">
        <w:t>(</w:t>
      </w:r>
      <w:r w:rsidRPr="00020C33">
        <w:t>39/164</w:t>
      </w:r>
      <w:r w:rsidR="00503681">
        <w:t>)</w:t>
      </w:r>
      <w:r w:rsidRPr="00020C33">
        <w:t xml:space="preserve"> </w:t>
      </w:r>
      <w:r w:rsidR="001D0208">
        <w:t xml:space="preserve">versus </w:t>
      </w:r>
      <w:r w:rsidRPr="00020C33">
        <w:t xml:space="preserve">50.3% </w:t>
      </w:r>
      <w:r w:rsidR="00503681">
        <w:t>(</w:t>
      </w:r>
      <w:r w:rsidRPr="00020C33">
        <w:t>72/143</w:t>
      </w:r>
      <w:r w:rsidR="00503681">
        <w:t>)</w:t>
      </w:r>
      <w:r w:rsidRPr="00020C33">
        <w:t xml:space="preserve">, respectively). The most commonly reported infections </w:t>
      </w:r>
      <w:r w:rsidR="000F385B">
        <w:t>Grade 3 to 4</w:t>
      </w:r>
      <w:r w:rsidRPr="00020C33">
        <w:t xml:space="preserve"> AE occurring in </w:t>
      </w:r>
      <w:r w:rsidR="00503681">
        <w:t xml:space="preserve">≥ </w:t>
      </w:r>
      <w:r w:rsidRPr="00020C33">
        <w:t>2% of patients in the inotuzumab ozogamicin arm (</w:t>
      </w:r>
      <w:r w:rsidR="001D0208">
        <w:t xml:space="preserve">versus </w:t>
      </w:r>
      <w:r w:rsidRPr="00020C33">
        <w:t xml:space="preserve">control, respectively) were </w:t>
      </w:r>
      <w:r w:rsidRPr="00020C33">
        <w:rPr>
          <w:color w:val="000000"/>
        </w:rPr>
        <w:t xml:space="preserve">pneumonia (4.3% </w:t>
      </w:r>
      <w:r w:rsidR="001D0208">
        <w:rPr>
          <w:color w:val="000000"/>
        </w:rPr>
        <w:t xml:space="preserve">versus </w:t>
      </w:r>
      <w:r w:rsidRPr="00020C33">
        <w:rPr>
          <w:color w:val="000000"/>
        </w:rPr>
        <w:t xml:space="preserve">4.2%), bacteraemia (3.7% </w:t>
      </w:r>
      <w:r w:rsidR="001D0208">
        <w:rPr>
          <w:color w:val="000000"/>
        </w:rPr>
        <w:t xml:space="preserve">versus </w:t>
      </w:r>
      <w:r w:rsidRPr="00020C33">
        <w:rPr>
          <w:color w:val="000000"/>
        </w:rPr>
        <w:t xml:space="preserve">7.0%), neutropenic sepsis (2.4% </w:t>
      </w:r>
      <w:r w:rsidR="001D0208">
        <w:rPr>
          <w:color w:val="000000"/>
        </w:rPr>
        <w:t xml:space="preserve">versus </w:t>
      </w:r>
      <w:r w:rsidRPr="00020C33">
        <w:rPr>
          <w:color w:val="000000"/>
        </w:rPr>
        <w:t xml:space="preserve">4.2%) and staphylococcal bacteraemia (2.4% </w:t>
      </w:r>
      <w:r w:rsidR="001D0208">
        <w:rPr>
          <w:color w:val="000000"/>
        </w:rPr>
        <w:t xml:space="preserve">versus </w:t>
      </w:r>
      <w:r w:rsidRPr="00020C33">
        <w:rPr>
          <w:color w:val="000000"/>
        </w:rPr>
        <w:t>2.1%). The</w:t>
      </w:r>
      <w:r>
        <w:rPr>
          <w:color w:val="000000"/>
        </w:rPr>
        <w:t>re</w:t>
      </w:r>
      <w:r w:rsidRPr="00020C33">
        <w:rPr>
          <w:color w:val="000000"/>
        </w:rPr>
        <w:t xml:space="preserve"> were 8 (4.9%) fatal infections (</w:t>
      </w:r>
      <w:r w:rsidR="00617F88">
        <w:rPr>
          <w:color w:val="000000"/>
        </w:rPr>
        <w:t>Grade</w:t>
      </w:r>
      <w:r w:rsidRPr="00020C33">
        <w:rPr>
          <w:color w:val="000000"/>
        </w:rPr>
        <w:t xml:space="preserve"> 5 AEs) in the inotuzumab ozogamicin arm (3</w:t>
      </w:r>
      <w:r w:rsidR="007C09CF">
        <w:rPr>
          <w:color w:val="000000"/>
        </w:rPr>
        <w:t xml:space="preserve"> </w:t>
      </w:r>
      <w:r w:rsidRPr="00020C33">
        <w:rPr>
          <w:color w:val="000000"/>
        </w:rPr>
        <w:t>x pneumonia, 2</w:t>
      </w:r>
      <w:r w:rsidR="007C09CF">
        <w:rPr>
          <w:color w:val="000000"/>
        </w:rPr>
        <w:t xml:space="preserve"> </w:t>
      </w:r>
      <w:r w:rsidRPr="00020C33">
        <w:rPr>
          <w:color w:val="000000"/>
        </w:rPr>
        <w:t>x sepsis, 1</w:t>
      </w:r>
      <w:r w:rsidR="007C09CF">
        <w:rPr>
          <w:color w:val="000000"/>
        </w:rPr>
        <w:t xml:space="preserve"> </w:t>
      </w:r>
      <w:r w:rsidRPr="00020C33">
        <w:rPr>
          <w:color w:val="000000"/>
        </w:rPr>
        <w:t xml:space="preserve">x each for neutropenic sepsis, </w:t>
      </w:r>
      <w:r>
        <w:rPr>
          <w:color w:val="000000"/>
        </w:rPr>
        <w:t xml:space="preserve">septic shock, </w:t>
      </w:r>
      <w:r w:rsidRPr="00020C33">
        <w:rPr>
          <w:color w:val="000000"/>
        </w:rPr>
        <w:t xml:space="preserve">staphylococcal sepsis, and </w:t>
      </w:r>
      <w:proofErr w:type="spellStart"/>
      <w:r w:rsidRPr="00020C33">
        <w:rPr>
          <w:color w:val="000000"/>
        </w:rPr>
        <w:t>pseudomonal</w:t>
      </w:r>
      <w:proofErr w:type="spellEnd"/>
      <w:r w:rsidRPr="00020C33">
        <w:rPr>
          <w:color w:val="000000"/>
        </w:rPr>
        <w:t xml:space="preserve"> sepsis), and 7 (4.9%) fatal infections (</w:t>
      </w:r>
      <w:r w:rsidR="00617F88">
        <w:rPr>
          <w:color w:val="000000"/>
        </w:rPr>
        <w:t>Grade</w:t>
      </w:r>
      <w:r w:rsidRPr="00020C33">
        <w:rPr>
          <w:color w:val="000000"/>
        </w:rPr>
        <w:t xml:space="preserve"> 5 AEs) in the control arm (2</w:t>
      </w:r>
      <w:r w:rsidR="007C09CF">
        <w:rPr>
          <w:color w:val="000000"/>
        </w:rPr>
        <w:t xml:space="preserve"> </w:t>
      </w:r>
      <w:r w:rsidRPr="00020C33">
        <w:rPr>
          <w:color w:val="000000"/>
        </w:rPr>
        <w:t>x sepsis, 1</w:t>
      </w:r>
      <w:r w:rsidR="007C09CF">
        <w:rPr>
          <w:color w:val="000000"/>
        </w:rPr>
        <w:t xml:space="preserve"> </w:t>
      </w:r>
      <w:r w:rsidRPr="00020C33">
        <w:rPr>
          <w:color w:val="000000"/>
        </w:rPr>
        <w:t xml:space="preserve">x each </w:t>
      </w:r>
      <w:proofErr w:type="spellStart"/>
      <w:r w:rsidRPr="00020C33">
        <w:rPr>
          <w:color w:val="000000"/>
        </w:rPr>
        <w:t>klebsiella</w:t>
      </w:r>
      <w:proofErr w:type="spellEnd"/>
      <w:r w:rsidRPr="00020C33">
        <w:rPr>
          <w:color w:val="000000"/>
        </w:rPr>
        <w:t xml:space="preserve"> sepsis, lung infection, septic shock, </w:t>
      </w:r>
      <w:proofErr w:type="spellStart"/>
      <w:r w:rsidRPr="00020C33">
        <w:rPr>
          <w:color w:val="000000"/>
        </w:rPr>
        <w:t>pseudomonal</w:t>
      </w:r>
      <w:proofErr w:type="spellEnd"/>
      <w:r w:rsidRPr="00020C33">
        <w:rPr>
          <w:color w:val="000000"/>
        </w:rPr>
        <w:t xml:space="preserve"> pneumonia, and systemic mycosis)</w:t>
      </w:r>
      <w:r w:rsidR="00503681">
        <w:rPr>
          <w:color w:val="000000"/>
        </w:rPr>
        <w:t>.</w:t>
      </w:r>
    </w:p>
    <w:p w14:paraId="6AE8A5B8" w14:textId="23A7F58D" w:rsidR="007D6AD4" w:rsidRPr="00020C33" w:rsidRDefault="007D6AD4" w:rsidP="0040513A">
      <w:pPr>
        <w:pStyle w:val="Heading6"/>
      </w:pPr>
      <w:r w:rsidRPr="00020C33">
        <w:t>In</w:t>
      </w:r>
      <w:r w:rsidR="007C09CF">
        <w:t>fusion</w:t>
      </w:r>
      <w:r w:rsidR="00A41567">
        <w:t xml:space="preserve"> </w:t>
      </w:r>
      <w:r w:rsidR="007C09CF">
        <w:t>related AEs</w:t>
      </w:r>
    </w:p>
    <w:p w14:paraId="7A2A6699" w14:textId="77777777" w:rsidR="00503681" w:rsidRDefault="007C09CF" w:rsidP="000F385B">
      <w:r>
        <w:t xml:space="preserve">Infusion </w:t>
      </w:r>
      <w:r w:rsidR="007D6AD4" w:rsidRPr="00020C33">
        <w:t xml:space="preserve">related AEs (all grades) were reported less frequently in the inotuzumab ozogamicin arm than in the control arm (32.3% </w:t>
      </w:r>
      <w:r w:rsidR="00503681">
        <w:t>(</w:t>
      </w:r>
      <w:r w:rsidR="007D6AD4" w:rsidRPr="00020C33">
        <w:t xml:space="preserve">53/164 </w:t>
      </w:r>
      <w:r w:rsidR="001D0208">
        <w:t xml:space="preserve">versus </w:t>
      </w:r>
      <w:r w:rsidR="007D6AD4" w:rsidRPr="00020C33">
        <w:t xml:space="preserve">44.1% </w:t>
      </w:r>
      <w:r w:rsidR="00503681">
        <w:t>(</w:t>
      </w:r>
      <w:r w:rsidR="007D6AD4" w:rsidRPr="00020C33">
        <w:t>63/143</w:t>
      </w:r>
      <w:r w:rsidR="00503681">
        <w:t>)</w:t>
      </w:r>
      <w:r w:rsidR="007D6AD4" w:rsidRPr="00020C33">
        <w:t xml:space="preserve">). The majority of </w:t>
      </w:r>
      <w:r w:rsidR="00503681">
        <w:t>‘</w:t>
      </w:r>
      <w:r w:rsidR="007D6AD4" w:rsidRPr="00020C33">
        <w:t>infusion-related AEs</w:t>
      </w:r>
      <w:r w:rsidR="00503681">
        <w:t>’</w:t>
      </w:r>
      <w:r w:rsidR="007D6AD4" w:rsidRPr="00020C33">
        <w:t xml:space="preserve"> in both treatment arms were </w:t>
      </w:r>
      <w:r w:rsidR="00617F88">
        <w:t>Grade</w:t>
      </w:r>
      <w:r>
        <w:t xml:space="preserve"> 1 to </w:t>
      </w:r>
      <w:r w:rsidR="007D6AD4" w:rsidRPr="00020C33">
        <w:t xml:space="preserve">2 in severity. </w:t>
      </w:r>
      <w:r w:rsidR="00503681">
        <w:t>‘</w:t>
      </w:r>
      <w:r>
        <w:t xml:space="preserve">Infusion </w:t>
      </w:r>
      <w:r w:rsidR="007D6AD4" w:rsidRPr="00020C33">
        <w:t>related AEs</w:t>
      </w:r>
      <w:r w:rsidR="00503681">
        <w:t>’</w:t>
      </w:r>
      <w:r>
        <w:t xml:space="preserve"> </w:t>
      </w:r>
      <w:r w:rsidR="007D6AD4" w:rsidRPr="00020C33">
        <w:t xml:space="preserve">(all grades) reported in </w:t>
      </w:r>
      <w:r w:rsidR="00503681">
        <w:t xml:space="preserve">≥ </w:t>
      </w:r>
      <w:r w:rsidR="007D6AD4" w:rsidRPr="00020C33">
        <w:t>2% of patients in the inotuzumab ozogamicin arm (</w:t>
      </w:r>
      <w:r w:rsidR="001D0208">
        <w:t xml:space="preserve">versus </w:t>
      </w:r>
      <w:r w:rsidR="007D6AD4" w:rsidRPr="00020C33">
        <w:t xml:space="preserve">control, respectively) were pyrexia (12.8% </w:t>
      </w:r>
      <w:r w:rsidR="001D0208">
        <w:t xml:space="preserve">versus </w:t>
      </w:r>
      <w:r w:rsidR="007D6AD4" w:rsidRPr="00020C33">
        <w:t xml:space="preserve">25.2%), chills (4.9% </w:t>
      </w:r>
      <w:r w:rsidR="001D0208">
        <w:t xml:space="preserve">versus </w:t>
      </w:r>
      <w:r w:rsidR="007D6AD4" w:rsidRPr="00020C33">
        <w:t xml:space="preserve">5.6%), rash (4.9% </w:t>
      </w:r>
      <w:r w:rsidR="001D0208">
        <w:t xml:space="preserve">versus </w:t>
      </w:r>
      <w:r w:rsidR="007D6AD4" w:rsidRPr="00020C33">
        <w:t xml:space="preserve">8.4%), hypotension (4.3% </w:t>
      </w:r>
      <w:r w:rsidR="001D0208">
        <w:t xml:space="preserve">versus </w:t>
      </w:r>
      <w:r w:rsidR="007D6AD4" w:rsidRPr="00020C33">
        <w:t xml:space="preserve">5.6%), dizziness (2.4% </w:t>
      </w:r>
      <w:r w:rsidR="001D0208">
        <w:t xml:space="preserve">versus </w:t>
      </w:r>
      <w:r w:rsidR="007D6AD4" w:rsidRPr="00020C33">
        <w:t xml:space="preserve">3.5%) and hyperhidrosis (2.4% </w:t>
      </w:r>
      <w:r w:rsidR="001D0208">
        <w:t xml:space="preserve">versus </w:t>
      </w:r>
      <w:r w:rsidR="007D6AD4" w:rsidRPr="00020C33">
        <w:t xml:space="preserve">1.3%). There were no reports of </w:t>
      </w:r>
      <w:r w:rsidR="007D6AD4">
        <w:t xml:space="preserve">anaphylaxis </w:t>
      </w:r>
      <w:r w:rsidR="007D6AD4" w:rsidRPr="00020C33">
        <w:t>in either treatment arm. There were no reports of</w:t>
      </w:r>
      <w:r>
        <w:t xml:space="preserve"> death associated with infusion </w:t>
      </w:r>
      <w:r w:rsidR="007D6AD4" w:rsidRPr="00020C33">
        <w:t>related AEs in either treatment arm</w:t>
      </w:r>
      <w:r w:rsidR="00503681">
        <w:t>.</w:t>
      </w:r>
    </w:p>
    <w:p w14:paraId="47AEE502" w14:textId="77777777" w:rsidR="007D6AD4" w:rsidRPr="00020C33" w:rsidRDefault="007C09CF" w:rsidP="0040513A">
      <w:pPr>
        <w:pStyle w:val="Heading6"/>
      </w:pPr>
      <w:r>
        <w:t>Haemorrhage AEs</w:t>
      </w:r>
    </w:p>
    <w:p w14:paraId="1B944715" w14:textId="77777777" w:rsidR="00503681" w:rsidRDefault="007D6AD4" w:rsidP="000F385B">
      <w:r w:rsidRPr="00020C33">
        <w:t xml:space="preserve">Haemorrhage AEs (all grades) were reported more frequently in patients in the inotuzumab ozogamicin arm than in the control arm (33.5% </w:t>
      </w:r>
      <w:r w:rsidR="00503681">
        <w:t>(</w:t>
      </w:r>
      <w:r w:rsidRPr="00020C33">
        <w:t>55/164</w:t>
      </w:r>
      <w:r w:rsidR="00503681">
        <w:t>)</w:t>
      </w:r>
      <w:r w:rsidRPr="00020C33">
        <w:t xml:space="preserve"> </w:t>
      </w:r>
      <w:r w:rsidR="001D0208">
        <w:t xml:space="preserve">versus </w:t>
      </w:r>
      <w:r w:rsidRPr="00020C33">
        <w:t xml:space="preserve">29.4% </w:t>
      </w:r>
      <w:r w:rsidR="00503681">
        <w:t>(</w:t>
      </w:r>
      <w:r w:rsidRPr="00020C33">
        <w:t>42/143</w:t>
      </w:r>
      <w:r w:rsidR="00503681">
        <w:t>)</w:t>
      </w:r>
      <w:r w:rsidRPr="00020C33">
        <w:t xml:space="preserve">), and the majority of events were </w:t>
      </w:r>
      <w:r w:rsidR="00617F88">
        <w:t>Grade</w:t>
      </w:r>
      <w:r w:rsidR="007C09CF">
        <w:t xml:space="preserve"> 1 to </w:t>
      </w:r>
      <w:r w:rsidRPr="00020C33">
        <w:t xml:space="preserve">2 in severity. </w:t>
      </w:r>
      <w:r w:rsidR="00503681">
        <w:t>‘</w:t>
      </w:r>
      <w:r w:rsidRPr="00020C33">
        <w:t>Haemorrhage AEs</w:t>
      </w:r>
      <w:r w:rsidR="00503681">
        <w:t>’</w:t>
      </w:r>
      <w:r w:rsidR="007C09CF">
        <w:t xml:space="preserve"> </w:t>
      </w:r>
      <w:r w:rsidRPr="00020C33">
        <w:t xml:space="preserve">(all grades) reported in </w:t>
      </w:r>
      <w:r w:rsidR="00503681">
        <w:t xml:space="preserve">≥ </w:t>
      </w:r>
      <w:r w:rsidRPr="00020C33">
        <w:t>2% of patients in the inotuzumab ozogamicin arm (</w:t>
      </w:r>
      <w:r w:rsidR="001D0208">
        <w:t xml:space="preserve">versus </w:t>
      </w:r>
      <w:r w:rsidRPr="00020C33">
        <w:t xml:space="preserve">control, respectively) were epistaxis (14.6% </w:t>
      </w:r>
      <w:r w:rsidR="001D0208">
        <w:t xml:space="preserve">versus </w:t>
      </w:r>
      <w:r w:rsidRPr="00020C33">
        <w:t xml:space="preserve">8.4%), contusion (6.1% </w:t>
      </w:r>
      <w:r w:rsidR="001D0208">
        <w:t xml:space="preserve">versus </w:t>
      </w:r>
      <w:r w:rsidRPr="00020C33">
        <w:t xml:space="preserve">2.1%), and haematuria (2.4% </w:t>
      </w:r>
      <w:r w:rsidR="001D0208">
        <w:t xml:space="preserve">versus </w:t>
      </w:r>
      <w:r w:rsidR="007C09CF">
        <w:t xml:space="preserve">2.1%). Grade 3 to </w:t>
      </w:r>
      <w:r w:rsidRPr="00020C33">
        <w:t xml:space="preserve">4 AEs were reported in 4.9% of patients in both treatment arms, and the only event reported in </w:t>
      </w:r>
      <w:r w:rsidR="00503681">
        <w:t xml:space="preserve">≥ </w:t>
      </w:r>
      <w:r w:rsidRPr="00020C33">
        <w:t>1% of patients in the inotuzumab arm (</w:t>
      </w:r>
      <w:r w:rsidR="001D0208">
        <w:t xml:space="preserve">versus </w:t>
      </w:r>
      <w:r w:rsidRPr="00020C33">
        <w:t xml:space="preserve">control, respectively) was epistaxis (1.2% </w:t>
      </w:r>
      <w:r w:rsidR="001D0208">
        <w:t xml:space="preserve">versus </w:t>
      </w:r>
      <w:r w:rsidRPr="00020C33">
        <w:t>1.4%).</w:t>
      </w:r>
      <w:r w:rsidR="006779D9">
        <w:t xml:space="preserve"> </w:t>
      </w:r>
      <w:r w:rsidRPr="00020C33">
        <w:t xml:space="preserve">Deaths due to </w:t>
      </w:r>
      <w:r w:rsidR="00503681">
        <w:t>‘</w:t>
      </w:r>
      <w:r w:rsidRPr="00020C33">
        <w:t>haemorrhage AEs</w:t>
      </w:r>
      <w:r w:rsidR="00503681">
        <w:t>’</w:t>
      </w:r>
      <w:r w:rsidRPr="00020C33">
        <w:t xml:space="preserve"> were reported in 2 (1.2%) patients in the inotuzumab ozogamicin arm (</w:t>
      </w:r>
      <w:r w:rsidR="007C09CF">
        <w:t>1 x</w:t>
      </w:r>
      <w:r w:rsidRPr="00020C33">
        <w:t xml:space="preserve"> each gastrointestinal haemorrhage, intra-abdominal haemorrhage, and haemorrhagic shock) and 1 (0.7%) patient in the control arm (1</w:t>
      </w:r>
      <w:r w:rsidR="007C09CF">
        <w:t xml:space="preserve"> </w:t>
      </w:r>
      <w:r w:rsidRPr="00020C33">
        <w:t>x haemorrhage intracranial)</w:t>
      </w:r>
      <w:r w:rsidR="00503681">
        <w:t>.</w:t>
      </w:r>
    </w:p>
    <w:p w14:paraId="2277C3CD" w14:textId="77777777" w:rsidR="007D6AD4" w:rsidRPr="00020C33" w:rsidRDefault="007D6AD4" w:rsidP="0040513A">
      <w:pPr>
        <w:pStyle w:val="Heading6"/>
      </w:pPr>
      <w:r w:rsidRPr="00020C33">
        <w:t>Inflammatory GI AE event</w:t>
      </w:r>
      <w:r w:rsidR="007C09CF">
        <w:t>s</w:t>
      </w:r>
    </w:p>
    <w:p w14:paraId="679F5AC6" w14:textId="77777777" w:rsidR="00503681" w:rsidRDefault="007D6AD4" w:rsidP="000F385B">
      <w:r>
        <w:t xml:space="preserve">Inflammatory GI </w:t>
      </w:r>
      <w:r w:rsidRPr="00020C33">
        <w:t xml:space="preserve">AEs </w:t>
      </w:r>
      <w:r>
        <w:t xml:space="preserve">(all grades) </w:t>
      </w:r>
      <w:r w:rsidRPr="00020C33">
        <w:t>were reported less frequently in the inotuzumab ozogamicin arm than in the control arm (1</w:t>
      </w:r>
      <w:r>
        <w:t xml:space="preserve">7.1% </w:t>
      </w:r>
      <w:r w:rsidR="00503681">
        <w:t>(</w:t>
      </w:r>
      <w:r>
        <w:t>28/164</w:t>
      </w:r>
      <w:r w:rsidR="00503681">
        <w:t>)</w:t>
      </w:r>
      <w:r>
        <w:t xml:space="preserve"> </w:t>
      </w:r>
      <w:r w:rsidR="001D0208">
        <w:t xml:space="preserve">versus </w:t>
      </w:r>
      <w:r>
        <w:t xml:space="preserve">28.7% </w:t>
      </w:r>
      <w:r w:rsidR="00503681">
        <w:t>(</w:t>
      </w:r>
      <w:r>
        <w:t>41/143</w:t>
      </w:r>
      <w:r w:rsidR="00503681">
        <w:t>)</w:t>
      </w:r>
      <w:r w:rsidRPr="00020C33">
        <w:t>). T</w:t>
      </w:r>
      <w:r>
        <w:t xml:space="preserve">he majority of </w:t>
      </w:r>
      <w:r w:rsidR="00503681">
        <w:t>‘</w:t>
      </w:r>
      <w:r>
        <w:t xml:space="preserve">inflammatory GI </w:t>
      </w:r>
      <w:r w:rsidRPr="00020C33">
        <w:t>AEs</w:t>
      </w:r>
      <w:r w:rsidR="00503681">
        <w:t>’</w:t>
      </w:r>
      <w:r w:rsidRPr="00020C33">
        <w:t xml:space="preserve"> were </w:t>
      </w:r>
      <w:r w:rsidR="00617F88">
        <w:t>Grade</w:t>
      </w:r>
      <w:r w:rsidR="007C09CF">
        <w:t xml:space="preserve"> 1 to </w:t>
      </w:r>
      <w:r w:rsidRPr="00020C33">
        <w:t xml:space="preserve">2 in severity in both treatment arms. In the inotuzumab ozogamicin arm, </w:t>
      </w:r>
      <w:r w:rsidR="00617F88">
        <w:t>Grade</w:t>
      </w:r>
      <w:r w:rsidRPr="00020C33">
        <w:t xml:space="preserve"> 3 AEs</w:t>
      </w:r>
      <w:r w:rsidR="006779D9">
        <w:t xml:space="preserve"> </w:t>
      </w:r>
      <w:r w:rsidRPr="00020C33">
        <w:t xml:space="preserve">were reported in 4 (2.4%) patients (stomatitis; </w:t>
      </w:r>
      <w:r w:rsidR="007C09CF">
        <w:t>1 x</w:t>
      </w:r>
      <w:r w:rsidRPr="00020C33">
        <w:t xml:space="preserve"> mucosal inflammation; </w:t>
      </w:r>
      <w:r w:rsidR="007C09CF">
        <w:t>1 x</w:t>
      </w:r>
      <w:r w:rsidRPr="00020C33">
        <w:t xml:space="preserve"> colitis), no </w:t>
      </w:r>
      <w:r w:rsidR="00617F88">
        <w:t>Grade</w:t>
      </w:r>
      <w:r w:rsidRPr="00020C33">
        <w:t xml:space="preserve"> 4 AEs were reported and 1 patient experienced a </w:t>
      </w:r>
      <w:r w:rsidR="00617F88">
        <w:t>Grade</w:t>
      </w:r>
      <w:r w:rsidRPr="00020C33">
        <w:t xml:space="preserve"> 5 AE (colitis ischaemic)</w:t>
      </w:r>
      <w:r w:rsidR="00503681">
        <w:t>.</w:t>
      </w:r>
    </w:p>
    <w:p w14:paraId="676A4CD2" w14:textId="77777777" w:rsidR="007D6AD4" w:rsidRPr="00020C33" w:rsidRDefault="000F385B" w:rsidP="0040513A">
      <w:pPr>
        <w:pStyle w:val="Heading6"/>
      </w:pPr>
      <w:r>
        <w:t>Pancreatitis</w:t>
      </w:r>
    </w:p>
    <w:p w14:paraId="74120DE5" w14:textId="77777777" w:rsidR="00503681" w:rsidRDefault="007D6AD4" w:rsidP="000F385B">
      <w:r w:rsidRPr="00020C33">
        <w:t>Pancreatitis AEs (</w:t>
      </w:r>
      <w:r>
        <w:t>all</w:t>
      </w:r>
      <w:r w:rsidRPr="00020C33">
        <w:t xml:space="preserve"> grade</w:t>
      </w:r>
      <w:r>
        <w:t>s</w:t>
      </w:r>
      <w:r w:rsidRPr="00020C33">
        <w:t xml:space="preserve">) were reported </w:t>
      </w:r>
      <w:r>
        <w:t xml:space="preserve">notably </w:t>
      </w:r>
      <w:r w:rsidRPr="00020C33">
        <w:t xml:space="preserve">more frequently in patients in the inotuzumab ozogamicin arm than in the control arm (11.0% </w:t>
      </w:r>
      <w:r w:rsidR="00503681">
        <w:t>(</w:t>
      </w:r>
      <w:r w:rsidRPr="00020C33">
        <w:t xml:space="preserve">18/164 </w:t>
      </w:r>
      <w:r w:rsidR="001D0208">
        <w:t xml:space="preserve">versus </w:t>
      </w:r>
      <w:r w:rsidRPr="00020C33">
        <w:t xml:space="preserve">2.1% </w:t>
      </w:r>
      <w:r w:rsidR="00503681">
        <w:t>(</w:t>
      </w:r>
      <w:r w:rsidRPr="00020C33">
        <w:t>3/143</w:t>
      </w:r>
      <w:r w:rsidR="00503681">
        <w:t>)</w:t>
      </w:r>
      <w:r w:rsidRPr="00020C33">
        <w:t xml:space="preserve">), as were </w:t>
      </w:r>
      <w:r w:rsidR="000F385B">
        <w:t>Grade 3 to 4</w:t>
      </w:r>
      <w:r w:rsidRPr="00020C33">
        <w:t xml:space="preserve"> AEs (4.9% </w:t>
      </w:r>
      <w:r w:rsidR="00503681">
        <w:t>(</w:t>
      </w:r>
      <w:r w:rsidRPr="00020C33">
        <w:t>8/16</w:t>
      </w:r>
      <w:r>
        <w:t>4</w:t>
      </w:r>
      <w:r w:rsidR="00503681">
        <w:t>)</w:t>
      </w:r>
      <w:r>
        <w:t xml:space="preserve"> </w:t>
      </w:r>
      <w:r w:rsidR="001D0208">
        <w:t xml:space="preserve">versus </w:t>
      </w:r>
      <w:r>
        <w:t xml:space="preserve">0.7% </w:t>
      </w:r>
      <w:r w:rsidR="00503681">
        <w:t>(</w:t>
      </w:r>
      <w:r>
        <w:t>1/143</w:t>
      </w:r>
      <w:r w:rsidR="00503681">
        <w:t>)</w:t>
      </w:r>
      <w:r w:rsidRPr="00020C33">
        <w:t xml:space="preserve">). </w:t>
      </w:r>
      <w:r w:rsidR="00503681">
        <w:t>‘</w:t>
      </w:r>
      <w:r w:rsidRPr="00020C33">
        <w:t>Pancreatitis AEs</w:t>
      </w:r>
      <w:r w:rsidR="00503681">
        <w:t>’</w:t>
      </w:r>
      <w:r w:rsidRPr="00020C33">
        <w:t xml:space="preserve"> </w:t>
      </w:r>
      <w:r w:rsidR="000F385B">
        <w:t>Grade 3 to 4</w:t>
      </w:r>
      <w:r w:rsidRPr="00020C33">
        <w:t xml:space="preserve"> reported in </w:t>
      </w:r>
      <w:r w:rsidR="00503681">
        <w:t xml:space="preserve">≥ </w:t>
      </w:r>
      <w:r w:rsidRPr="00020C33">
        <w:t xml:space="preserve">1 patient in either treatment arm (inotuzumab ozogamicin </w:t>
      </w:r>
      <w:r w:rsidR="001D0208">
        <w:t xml:space="preserve">versus </w:t>
      </w:r>
      <w:r w:rsidRPr="00020C33">
        <w:t>control, respectively) were lipase increased (n</w:t>
      </w:r>
      <w:r w:rsidR="0014606A">
        <w:t xml:space="preserve"> = </w:t>
      </w:r>
      <w:r w:rsidRPr="00020C33">
        <w:t xml:space="preserve">7, 4.3% </w:t>
      </w:r>
      <w:r w:rsidR="001D0208">
        <w:t xml:space="preserve">versus </w:t>
      </w:r>
      <w:r w:rsidRPr="00020C33">
        <w:t>n</w:t>
      </w:r>
      <w:r w:rsidR="0014606A">
        <w:t xml:space="preserve"> = </w:t>
      </w:r>
      <w:r w:rsidRPr="00020C33">
        <w:t>1, 0.7%) and amylase increased (n</w:t>
      </w:r>
      <w:r w:rsidR="0014606A">
        <w:t xml:space="preserve"> = </w:t>
      </w:r>
      <w:r w:rsidRPr="00020C33">
        <w:t xml:space="preserve">3, 1.8% </w:t>
      </w:r>
      <w:r w:rsidR="001D0208">
        <w:t xml:space="preserve">versus </w:t>
      </w:r>
      <w:r w:rsidRPr="00020C33">
        <w:t xml:space="preserve">0%). There </w:t>
      </w:r>
      <w:proofErr w:type="gramStart"/>
      <w:r w:rsidRPr="00020C33">
        <w:t>were</w:t>
      </w:r>
      <w:proofErr w:type="gramEnd"/>
      <w:r w:rsidRPr="00020C33">
        <w:t xml:space="preserve"> no </w:t>
      </w:r>
      <w:r w:rsidR="00503681">
        <w:t>‘</w:t>
      </w:r>
      <w:r w:rsidRPr="00020C33">
        <w:t>pancreatitis AEs</w:t>
      </w:r>
      <w:r w:rsidR="00503681">
        <w:t>’</w:t>
      </w:r>
      <w:r w:rsidRPr="00020C33">
        <w:t xml:space="preserve"> </w:t>
      </w:r>
      <w:r w:rsidR="00617F88">
        <w:t>Grade</w:t>
      </w:r>
      <w:r w:rsidRPr="00020C33">
        <w:t xml:space="preserve"> 5 events reported in either treatment arm. No perma</w:t>
      </w:r>
      <w:r>
        <w:t xml:space="preserve">nent treatment discontinuations </w:t>
      </w:r>
      <w:r w:rsidRPr="00020C33">
        <w:t xml:space="preserve">due </w:t>
      </w:r>
      <w:r w:rsidR="00503681">
        <w:t>‘</w:t>
      </w:r>
      <w:r w:rsidRPr="00020C33">
        <w:t>pancreatitis AEs</w:t>
      </w:r>
      <w:r w:rsidR="00503681">
        <w:t>’</w:t>
      </w:r>
      <w:r w:rsidRPr="00020C33">
        <w:t xml:space="preserve"> </w:t>
      </w:r>
      <w:proofErr w:type="gramStart"/>
      <w:r w:rsidRPr="00020C33">
        <w:t>were</w:t>
      </w:r>
      <w:proofErr w:type="gramEnd"/>
      <w:r w:rsidRPr="00020C33">
        <w:t xml:space="preserve"> reported in either treatment arm</w:t>
      </w:r>
      <w:r w:rsidR="00503681">
        <w:t>.</w:t>
      </w:r>
    </w:p>
    <w:p w14:paraId="73AC02D3" w14:textId="77777777" w:rsidR="00503681" w:rsidRDefault="007D6AD4" w:rsidP="000F385B">
      <w:r w:rsidRPr="00020C33">
        <w:t xml:space="preserve">Pancreatic-related laboratory test abnormalities were frequently observed in both the inotuzumab ozogamicin and control arms. The results for </w:t>
      </w:r>
      <w:r>
        <w:t xml:space="preserve">the </w:t>
      </w:r>
      <w:r w:rsidRPr="00020C33">
        <w:t>inotuzumab ozogamicin and control</w:t>
      </w:r>
      <w:r>
        <w:t xml:space="preserve"> arms were (respectively</w:t>
      </w:r>
      <w:r w:rsidRPr="00A41567">
        <w:t xml:space="preserve">), lipase increased all grades (30.4% </w:t>
      </w:r>
      <w:r w:rsidR="001D0208" w:rsidRPr="00A41567">
        <w:t xml:space="preserve">versus </w:t>
      </w:r>
      <w:r w:rsidRPr="00A41567">
        <w:t xml:space="preserve">18.6%), </w:t>
      </w:r>
      <w:r w:rsidR="00617F88" w:rsidRPr="00A41567">
        <w:lastRenderedPageBreak/>
        <w:t>Grade</w:t>
      </w:r>
      <w:r w:rsidR="000F385B" w:rsidRPr="00A41567">
        <w:t> </w:t>
      </w:r>
      <w:r w:rsidRPr="00A41567">
        <w:t xml:space="preserve">3 (10.8% </w:t>
      </w:r>
      <w:r w:rsidR="001D0208" w:rsidRPr="00A41567">
        <w:t xml:space="preserve">versus </w:t>
      </w:r>
      <w:r w:rsidRPr="00A41567">
        <w:t xml:space="preserve">2.0%), and </w:t>
      </w:r>
      <w:r w:rsidR="00617F88" w:rsidRPr="00A41567">
        <w:t>Grade</w:t>
      </w:r>
      <w:r w:rsidRPr="00A41567">
        <w:t xml:space="preserve"> 4 (1.4% </w:t>
      </w:r>
      <w:r w:rsidR="001D0208" w:rsidRPr="00A41567">
        <w:t xml:space="preserve">versus </w:t>
      </w:r>
      <w:r w:rsidRPr="00A41567">
        <w:t xml:space="preserve">0%), and serum amylase increased all grades (13.4% </w:t>
      </w:r>
      <w:r w:rsidR="001D0208" w:rsidRPr="00A41567">
        <w:t>v</w:t>
      </w:r>
      <w:r w:rsidR="001D0208">
        <w:t xml:space="preserve">ersus </w:t>
      </w:r>
      <w:r w:rsidRPr="00020C33">
        <w:t xml:space="preserve">10.5%), </w:t>
      </w:r>
      <w:r w:rsidR="00617F88">
        <w:t>Grade</w:t>
      </w:r>
      <w:r w:rsidRPr="00020C33">
        <w:t xml:space="preserve"> 3 (2.5% </w:t>
      </w:r>
      <w:r w:rsidR="001D0208">
        <w:t xml:space="preserve">versus </w:t>
      </w:r>
      <w:r w:rsidRPr="00020C33">
        <w:t xml:space="preserve">0.9%), and </w:t>
      </w:r>
      <w:r w:rsidR="00617F88">
        <w:t>Grade</w:t>
      </w:r>
      <w:r w:rsidRPr="00020C33">
        <w:t xml:space="preserve"> 4 (0% </w:t>
      </w:r>
      <w:r w:rsidR="001D0208">
        <w:t xml:space="preserve">versus </w:t>
      </w:r>
      <w:r w:rsidRPr="00020C33">
        <w:t>0%)</w:t>
      </w:r>
      <w:r w:rsidR="00503681">
        <w:t>.</w:t>
      </w:r>
    </w:p>
    <w:p w14:paraId="28F54394" w14:textId="77777777" w:rsidR="007D6AD4" w:rsidRPr="00020C33" w:rsidRDefault="000F385B" w:rsidP="0040513A">
      <w:pPr>
        <w:pStyle w:val="Heading6"/>
      </w:pPr>
      <w:r>
        <w:t>Tumour lysis syndrome</w:t>
      </w:r>
    </w:p>
    <w:p w14:paraId="642E4008" w14:textId="4BC5537C" w:rsidR="00503681" w:rsidRDefault="00AC6DBC" w:rsidP="000F385B">
      <w:r>
        <w:t>Tumour lysis syndrome (</w:t>
      </w:r>
      <w:r w:rsidR="007D6AD4" w:rsidRPr="00020C33">
        <w:t>TLS</w:t>
      </w:r>
      <w:r>
        <w:t>)</w:t>
      </w:r>
      <w:r w:rsidR="007D6AD4" w:rsidRPr="00020C33">
        <w:t xml:space="preserve"> AEs were reported in 4 (2.4%) patients in the inotuzumab ozogamicin arm (including 2 x </w:t>
      </w:r>
      <w:r w:rsidR="00617F88">
        <w:t>Grade</w:t>
      </w:r>
      <w:r w:rsidR="007D6AD4" w:rsidRPr="00020C33">
        <w:t xml:space="preserve"> 3 and 1 x </w:t>
      </w:r>
      <w:r w:rsidR="00617F88">
        <w:t>Grade</w:t>
      </w:r>
      <w:r w:rsidR="007D6AD4" w:rsidRPr="00020C33">
        <w:t xml:space="preserve"> 4) and 3 (2.1%) patients in the control arm (including 1</w:t>
      </w:r>
      <w:r w:rsidR="00A41567">
        <w:t> </w:t>
      </w:r>
      <w:r w:rsidR="007D6AD4" w:rsidRPr="00020C33">
        <w:t>x</w:t>
      </w:r>
      <w:r w:rsidR="00A41567">
        <w:t> </w:t>
      </w:r>
      <w:r w:rsidR="00617F88">
        <w:t>Grade</w:t>
      </w:r>
      <w:r w:rsidR="00A41567">
        <w:t> </w:t>
      </w:r>
      <w:r w:rsidR="007D6AD4" w:rsidRPr="00020C33">
        <w:t xml:space="preserve">3). There were no permanent treatment discontinuations or </w:t>
      </w:r>
      <w:r w:rsidR="00617F88">
        <w:t>Grade</w:t>
      </w:r>
      <w:r w:rsidR="007D6AD4" w:rsidRPr="00020C33">
        <w:t xml:space="preserve"> 5 AEs due to TLS in patients receiving inotuzumab ozogamicin</w:t>
      </w:r>
      <w:r w:rsidR="00503681">
        <w:t>.</w:t>
      </w:r>
    </w:p>
    <w:p w14:paraId="5D5B66BE" w14:textId="77777777" w:rsidR="007D6AD4" w:rsidRPr="002502CC" w:rsidRDefault="007D6AD4" w:rsidP="0040513A">
      <w:pPr>
        <w:pStyle w:val="Heading6"/>
        <w:rPr>
          <w:rFonts w:eastAsiaTheme="minorHAnsi"/>
        </w:rPr>
      </w:pPr>
      <w:r w:rsidRPr="002502CC">
        <w:rPr>
          <w:rFonts w:eastAsiaTheme="minorHAnsi"/>
        </w:rPr>
        <w:t xml:space="preserve">Second primary malignancy </w:t>
      </w:r>
      <w:r w:rsidR="000F385B">
        <w:rPr>
          <w:rFonts w:eastAsiaTheme="minorHAnsi"/>
        </w:rPr>
        <w:t>(SPM AEs)</w:t>
      </w:r>
    </w:p>
    <w:p w14:paraId="1681802F" w14:textId="6C20A159" w:rsidR="00503681" w:rsidRDefault="007D6AD4" w:rsidP="000F385B">
      <w:r>
        <w:t xml:space="preserve">There were 9 (5.5%) </w:t>
      </w:r>
      <w:r w:rsidR="00AC6DBC">
        <w:t>second primary malignancy (</w:t>
      </w:r>
      <w:r>
        <w:t>SPM</w:t>
      </w:r>
      <w:r w:rsidR="00AC6DBC">
        <w:t>)</w:t>
      </w:r>
      <w:r>
        <w:t xml:space="preserve"> AEs in the inotuzumab ozogamicin arm and none in the control arm. The </w:t>
      </w:r>
      <w:r w:rsidR="00503681">
        <w:t>‘</w:t>
      </w:r>
      <w:r>
        <w:t>SPM AEs</w:t>
      </w:r>
      <w:r w:rsidR="00503681">
        <w:t>’</w:t>
      </w:r>
      <w:r>
        <w:t xml:space="preserve"> (one each) in the inotuzumab arm were anogenital warts, cancer pain, </w:t>
      </w:r>
      <w:proofErr w:type="spellStart"/>
      <w:r>
        <w:t>chloroma</w:t>
      </w:r>
      <w:proofErr w:type="spellEnd"/>
      <w:r>
        <w:t xml:space="preserve">, infected neoplasm, leukaemia cutis, oral neoplasm benign, skin papilloma, tumour pain, and uterine leiomyoma. The majority of events were </w:t>
      </w:r>
      <w:r w:rsidR="00617F88">
        <w:t>Grade</w:t>
      </w:r>
      <w:r>
        <w:t xml:space="preserve"> 1</w:t>
      </w:r>
      <w:r w:rsidR="00A41567">
        <w:t xml:space="preserve"> to </w:t>
      </w:r>
      <w:r>
        <w:t xml:space="preserve">2 </w:t>
      </w:r>
      <w:proofErr w:type="gramStart"/>
      <w:r>
        <w:t>severity</w:t>
      </w:r>
      <w:proofErr w:type="gramEnd"/>
      <w:r>
        <w:t xml:space="preserve"> (8/9), with the only </w:t>
      </w:r>
      <w:r w:rsidR="00617F88">
        <w:t>Grade</w:t>
      </w:r>
      <w:r>
        <w:t xml:space="preserve"> 3 AE being </w:t>
      </w:r>
      <w:proofErr w:type="spellStart"/>
      <w:r>
        <w:t>chloroma</w:t>
      </w:r>
      <w:proofErr w:type="spellEnd"/>
      <w:r>
        <w:t xml:space="preserve">. There </w:t>
      </w:r>
      <w:proofErr w:type="gramStart"/>
      <w:r>
        <w:t>were</w:t>
      </w:r>
      <w:proofErr w:type="gramEnd"/>
      <w:r>
        <w:t xml:space="preserve"> no </w:t>
      </w:r>
      <w:r w:rsidR="00617F88">
        <w:t>Grade</w:t>
      </w:r>
      <w:r>
        <w:t xml:space="preserve"> 4 or 5 </w:t>
      </w:r>
      <w:r w:rsidR="00503681">
        <w:t>‘</w:t>
      </w:r>
      <w:r>
        <w:t>SPM AEs</w:t>
      </w:r>
      <w:r w:rsidR="00503681">
        <w:t>’.</w:t>
      </w:r>
    </w:p>
    <w:p w14:paraId="011F59E7" w14:textId="77777777" w:rsidR="007D6AD4" w:rsidRPr="002502CC" w:rsidRDefault="007D6AD4" w:rsidP="0040513A">
      <w:pPr>
        <w:pStyle w:val="Heading6"/>
      </w:pPr>
      <w:r w:rsidRPr="002502CC">
        <w:t>Neurotoxicity</w:t>
      </w:r>
    </w:p>
    <w:p w14:paraId="2AC8A9B1" w14:textId="77777777" w:rsidR="00503681" w:rsidRDefault="007D6AD4" w:rsidP="000F385B">
      <w:r>
        <w:t xml:space="preserve">Neurotoxicity AEs (all grades) were reported more frequently in patients in the inotuzumab ozogamicin arm compared to the control arm (10.4% </w:t>
      </w:r>
      <w:r w:rsidR="001D0208">
        <w:t xml:space="preserve">versus </w:t>
      </w:r>
      <w:r>
        <w:t xml:space="preserve">7.0%, respectively), primarily due to the increased frequency of peripheral neuropathy (3.7% </w:t>
      </w:r>
      <w:r w:rsidR="001D0208">
        <w:t xml:space="preserve">versus </w:t>
      </w:r>
      <w:r>
        <w:t>1.4%, respectively)</w:t>
      </w:r>
      <w:r w:rsidR="00503681">
        <w:t>.</w:t>
      </w:r>
    </w:p>
    <w:p w14:paraId="6F22BCAC" w14:textId="77777777" w:rsidR="007D6AD4" w:rsidRPr="002502CC" w:rsidRDefault="000F385B" w:rsidP="0040513A">
      <w:pPr>
        <w:pStyle w:val="Heading6"/>
        <w:rPr>
          <w:rFonts w:eastAsiaTheme="minorHAnsi"/>
        </w:rPr>
      </w:pPr>
      <w:r>
        <w:rPr>
          <w:rFonts w:eastAsiaTheme="minorHAnsi"/>
        </w:rPr>
        <w:t>Nephrotoxicity</w:t>
      </w:r>
    </w:p>
    <w:p w14:paraId="22AD01DE" w14:textId="77777777" w:rsidR="00503681" w:rsidRDefault="007D6AD4" w:rsidP="000F385B">
      <w:r w:rsidRPr="0096138F">
        <w:t>Nephrotoxicity AEs</w:t>
      </w:r>
      <w:r w:rsidR="00503681">
        <w:t>’</w:t>
      </w:r>
      <w:r w:rsidRPr="0096138F">
        <w:t xml:space="preserve"> were reported in a similar proportion of patients in the inotuzumab ozogamicin arm and the control arm (4.9% </w:t>
      </w:r>
      <w:r w:rsidR="001D0208">
        <w:t xml:space="preserve">versus </w:t>
      </w:r>
      <w:r w:rsidRPr="0096138F">
        <w:t xml:space="preserve">5.6%, respectively). The </w:t>
      </w:r>
      <w:r>
        <w:t>only AE (</w:t>
      </w:r>
      <w:r w:rsidRPr="0096138F">
        <w:t xml:space="preserve">all grades) reported in </w:t>
      </w:r>
      <w:r w:rsidR="00503681">
        <w:t xml:space="preserve">≥ </w:t>
      </w:r>
      <w:r w:rsidRPr="0096138F">
        <w:t>2% of patients was acute kidney injury in the inotuzumab ozogamicin arm</w:t>
      </w:r>
      <w:r>
        <w:t xml:space="preserve"> (2.4%, inotuzumab ozogamicin </w:t>
      </w:r>
      <w:r w:rsidR="001D0208">
        <w:t xml:space="preserve">versus </w:t>
      </w:r>
      <w:r>
        <w:t>1.4%, control)</w:t>
      </w:r>
      <w:r w:rsidR="00503681">
        <w:t>.</w:t>
      </w:r>
    </w:p>
    <w:p w14:paraId="622D68C1" w14:textId="77777777" w:rsidR="007D6AD4" w:rsidRDefault="000F385B" w:rsidP="0040513A">
      <w:pPr>
        <w:pStyle w:val="Heading6"/>
        <w:rPr>
          <w:rFonts w:eastAsiaTheme="minorHAnsi"/>
        </w:rPr>
      </w:pPr>
      <w:r>
        <w:rPr>
          <w:rFonts w:eastAsiaTheme="minorHAnsi"/>
        </w:rPr>
        <w:t>Interstitial lung disease (ILD)</w:t>
      </w:r>
    </w:p>
    <w:p w14:paraId="03189C6B" w14:textId="2310C65B" w:rsidR="007D6AD4" w:rsidRPr="002502CC" w:rsidRDefault="007D6AD4" w:rsidP="000F385B">
      <w:r w:rsidRPr="009F3317">
        <w:t xml:space="preserve">There were no AEs of </w:t>
      </w:r>
      <w:r w:rsidR="00AC6DBC">
        <w:t>interstitial lung disease (</w:t>
      </w:r>
      <w:r w:rsidRPr="009F3317">
        <w:t>ILD</w:t>
      </w:r>
      <w:r w:rsidR="00AC6DBC">
        <w:t>)</w:t>
      </w:r>
      <w:r w:rsidRPr="009F3317">
        <w:t xml:space="preserve"> reported in </w:t>
      </w:r>
      <w:r w:rsidR="00503681">
        <w:t>Study</w:t>
      </w:r>
      <w:r w:rsidRPr="009F3317">
        <w:t xml:space="preserve"> B1931022. However, 1 patient in the inotuzumab ozogamicin arm was reported to have Grade 1 </w:t>
      </w:r>
      <w:proofErr w:type="spellStart"/>
      <w:r>
        <w:t>o</w:t>
      </w:r>
      <w:r w:rsidRPr="009F3317">
        <w:t>bliterative</w:t>
      </w:r>
      <w:proofErr w:type="spellEnd"/>
      <w:r w:rsidRPr="009F3317">
        <w:t xml:space="preserve"> bronchiolitis and </w:t>
      </w:r>
      <w:r>
        <w:t>p</w:t>
      </w:r>
      <w:r w:rsidRPr="009F3317">
        <w:t xml:space="preserve">neumonitis and 1 patient in the control arm was reported to have Grade 2 </w:t>
      </w:r>
      <w:r>
        <w:t>b</w:t>
      </w:r>
      <w:r w:rsidRPr="009F3317">
        <w:t>ro</w:t>
      </w:r>
      <w:r>
        <w:t>n</w:t>
      </w:r>
      <w:r w:rsidRPr="009F3317">
        <w:t>chiolitis.</w:t>
      </w:r>
    </w:p>
    <w:p w14:paraId="6235625A" w14:textId="77777777" w:rsidR="007D6AD4" w:rsidRPr="00020C33" w:rsidRDefault="007D6AD4" w:rsidP="0040513A">
      <w:pPr>
        <w:pStyle w:val="Heading6"/>
      </w:pPr>
      <w:r w:rsidRPr="00020C33">
        <w:t>QT interval prolongation</w:t>
      </w:r>
    </w:p>
    <w:p w14:paraId="350AFA5A" w14:textId="3ADAC35A" w:rsidR="00503681" w:rsidRDefault="007D6AD4" w:rsidP="000F385B">
      <w:r w:rsidRPr="00020C33">
        <w:t>QT prolongation (clustered) AEs (all grades) were reported in 5 (3.0%) patients in the inotuzumab ozogamicin arm (</w:t>
      </w:r>
      <w:r w:rsidR="000F385B">
        <w:t>3 x</w:t>
      </w:r>
      <w:r w:rsidRPr="00020C33">
        <w:t xml:space="preserve"> ECG QT prolonged </w:t>
      </w:r>
      <w:r w:rsidR="00503681">
        <w:t>(</w:t>
      </w:r>
      <w:r w:rsidR="007C09CF">
        <w:t>1 x</w:t>
      </w:r>
      <w:r w:rsidRPr="00020C33">
        <w:t xml:space="preserve"> </w:t>
      </w:r>
      <w:r w:rsidR="00617F88">
        <w:t>Grade</w:t>
      </w:r>
      <w:r w:rsidRPr="00020C33">
        <w:t xml:space="preserve"> 1, </w:t>
      </w:r>
      <w:r w:rsidR="007C09CF">
        <w:t>2 x</w:t>
      </w:r>
      <w:r w:rsidRPr="00020C33">
        <w:t xml:space="preserve"> </w:t>
      </w:r>
      <w:r w:rsidR="00617F88">
        <w:t>Grade</w:t>
      </w:r>
      <w:r w:rsidRPr="00020C33">
        <w:t xml:space="preserve"> 2</w:t>
      </w:r>
      <w:r w:rsidR="00503681">
        <w:t>)</w:t>
      </w:r>
      <w:r w:rsidRPr="00020C33">
        <w:t xml:space="preserve">; </w:t>
      </w:r>
      <w:r w:rsidR="007C09CF">
        <w:t>1 x</w:t>
      </w:r>
      <w:r w:rsidRPr="00020C33">
        <w:t xml:space="preserve"> syncope </w:t>
      </w:r>
      <w:r w:rsidR="00503681">
        <w:t>(</w:t>
      </w:r>
      <w:r w:rsidR="007C09CF">
        <w:t>1 x</w:t>
      </w:r>
      <w:r w:rsidRPr="00020C33">
        <w:t xml:space="preserve"> </w:t>
      </w:r>
      <w:r w:rsidR="00617F88">
        <w:t>Grade</w:t>
      </w:r>
      <w:r w:rsidRPr="00020C33">
        <w:t xml:space="preserve"> 3</w:t>
      </w:r>
      <w:r w:rsidR="00503681">
        <w:t>)</w:t>
      </w:r>
      <w:r w:rsidRPr="00020C33">
        <w:t xml:space="preserve">; </w:t>
      </w:r>
      <w:r w:rsidR="007C09CF">
        <w:t>1 x</w:t>
      </w:r>
      <w:r w:rsidRPr="00020C33">
        <w:t xml:space="preserve"> ventricular tachycardia </w:t>
      </w:r>
      <w:r w:rsidR="00503681">
        <w:t>(</w:t>
      </w:r>
      <w:r w:rsidR="007C09CF">
        <w:t>1 x</w:t>
      </w:r>
      <w:r w:rsidRPr="00020C33">
        <w:t xml:space="preserve"> </w:t>
      </w:r>
      <w:r w:rsidR="00617F88">
        <w:t>Grade</w:t>
      </w:r>
      <w:r w:rsidRPr="00020C33">
        <w:t xml:space="preserve"> 2</w:t>
      </w:r>
      <w:r w:rsidR="00503681">
        <w:t>)</w:t>
      </w:r>
      <w:r w:rsidRPr="00020C33">
        <w:t>), and 3 (2.1%) patients in the control arm (</w:t>
      </w:r>
      <w:r w:rsidR="007C09CF">
        <w:t>1 x</w:t>
      </w:r>
      <w:r w:rsidRPr="00020C33">
        <w:t xml:space="preserve"> ECG QT prolonged </w:t>
      </w:r>
      <w:r w:rsidR="00503681">
        <w:t>(</w:t>
      </w:r>
      <w:r w:rsidR="007C09CF">
        <w:t>1 x</w:t>
      </w:r>
      <w:r w:rsidRPr="00020C33">
        <w:t xml:space="preserve"> </w:t>
      </w:r>
      <w:r w:rsidR="00617F88">
        <w:t>Grade</w:t>
      </w:r>
      <w:r w:rsidRPr="00020C33">
        <w:t xml:space="preserve"> 2</w:t>
      </w:r>
      <w:r w:rsidR="00503681">
        <w:t>)</w:t>
      </w:r>
      <w:r w:rsidRPr="00020C33">
        <w:t xml:space="preserve">; and </w:t>
      </w:r>
      <w:r w:rsidR="007C09CF">
        <w:t>1 x</w:t>
      </w:r>
      <w:r w:rsidRPr="00020C33">
        <w:t xml:space="preserve"> each </w:t>
      </w:r>
      <w:r w:rsidR="00503681">
        <w:t>(</w:t>
      </w:r>
      <w:r w:rsidR="00617F88">
        <w:t>Grade</w:t>
      </w:r>
      <w:r w:rsidRPr="00020C33">
        <w:t xml:space="preserve"> 1</w:t>
      </w:r>
      <w:r w:rsidR="00503681">
        <w:t>)</w:t>
      </w:r>
      <w:r w:rsidRPr="00020C33">
        <w:t xml:space="preserve"> syncope and ventricular tachycardia). There were no reported cases of torsade de pointes. There were no fatal AEs reported for QT prolongation. </w:t>
      </w:r>
      <w:r>
        <w:t>I</w:t>
      </w:r>
      <w:r w:rsidRPr="00020C33">
        <w:t xml:space="preserve">ncreases from baseline in the </w:t>
      </w:r>
      <w:proofErr w:type="spellStart"/>
      <w:r w:rsidRPr="00020C33">
        <w:t>QTcF</w:t>
      </w:r>
      <w:proofErr w:type="spellEnd"/>
      <w:r w:rsidRPr="00020C33">
        <w:t xml:space="preserve"> interval of </w:t>
      </w:r>
      <w:r w:rsidR="00503681">
        <w:t xml:space="preserve">≥ </w:t>
      </w:r>
      <w:r w:rsidRPr="00020C33">
        <w:t xml:space="preserve">60 </w:t>
      </w:r>
      <w:proofErr w:type="spellStart"/>
      <w:r w:rsidR="00617F88">
        <w:t>ms</w:t>
      </w:r>
      <w:proofErr w:type="spellEnd"/>
      <w:r w:rsidRPr="00020C33">
        <w:t xml:space="preserve"> were reported in </w:t>
      </w:r>
      <w:r>
        <w:t xml:space="preserve">a similar proportion of patients in the inotuzumab ozogamicin and </w:t>
      </w:r>
      <w:r w:rsidRPr="00020C33">
        <w:t>control arm</w:t>
      </w:r>
      <w:r>
        <w:t xml:space="preserve">s (2.5% </w:t>
      </w:r>
      <w:r w:rsidR="00503681">
        <w:t>(</w:t>
      </w:r>
      <w:r>
        <w:t>4/162</w:t>
      </w:r>
      <w:r w:rsidR="00503681">
        <w:t>)</w:t>
      </w:r>
      <w:r>
        <w:t xml:space="preserve"> </w:t>
      </w:r>
      <w:r w:rsidR="001D0208">
        <w:t xml:space="preserve">versus </w:t>
      </w:r>
      <w:r w:rsidRPr="00020C33">
        <w:t>2</w:t>
      </w:r>
      <w:r>
        <w:t xml:space="preserve">.4% </w:t>
      </w:r>
      <w:r w:rsidR="00503681">
        <w:t>(</w:t>
      </w:r>
      <w:r>
        <w:t>3/124</w:t>
      </w:r>
      <w:r w:rsidR="00503681">
        <w:t>)</w:t>
      </w:r>
      <w:r>
        <w:t xml:space="preserve">, respectively). </w:t>
      </w:r>
      <w:proofErr w:type="spellStart"/>
      <w:r w:rsidR="000F385B">
        <w:t>QTcF</w:t>
      </w:r>
      <w:proofErr w:type="spellEnd"/>
      <w:r w:rsidR="000F385B">
        <w:t xml:space="preserve"> values &gt;</w:t>
      </w:r>
      <w:r w:rsidR="00A41567">
        <w:t> </w:t>
      </w:r>
      <w:r w:rsidR="000F385B">
        <w:t>500 </w:t>
      </w:r>
      <w:proofErr w:type="spellStart"/>
      <w:r w:rsidR="00617F88">
        <w:t>ms</w:t>
      </w:r>
      <w:proofErr w:type="spellEnd"/>
      <w:r w:rsidRPr="00020C33">
        <w:t xml:space="preserve"> were reported in no patients in the inotuzumab ozogamicin arm and 1 (0.8%) patient in the control arm</w:t>
      </w:r>
      <w:r w:rsidR="00503681">
        <w:t>.</w:t>
      </w:r>
    </w:p>
    <w:p w14:paraId="01332F82" w14:textId="77777777" w:rsidR="00503681" w:rsidRDefault="007D6AD4" w:rsidP="000F385B">
      <w:pPr>
        <w:rPr>
          <w:color w:val="000000"/>
        </w:rPr>
      </w:pPr>
      <w:r>
        <w:rPr>
          <w:color w:val="000000"/>
        </w:rPr>
        <w:t xml:space="preserve">In both treatment arms </w:t>
      </w:r>
      <w:r w:rsidRPr="00020C33">
        <w:rPr>
          <w:color w:val="000000"/>
        </w:rPr>
        <w:t xml:space="preserve">the mean maximum </w:t>
      </w:r>
      <w:proofErr w:type="spellStart"/>
      <w:r w:rsidRPr="00020C33">
        <w:rPr>
          <w:color w:val="000000"/>
        </w:rPr>
        <w:t>QTcF</w:t>
      </w:r>
      <w:proofErr w:type="spellEnd"/>
      <w:r w:rsidRPr="00020C33">
        <w:rPr>
          <w:color w:val="000000"/>
        </w:rPr>
        <w:t xml:space="preserve"> was prolonged to </w:t>
      </w:r>
      <w:r w:rsidR="00503681">
        <w:rPr>
          <w:color w:val="000000"/>
        </w:rPr>
        <w:t xml:space="preserve">≥ </w:t>
      </w:r>
      <w:r w:rsidRPr="00020C33">
        <w:rPr>
          <w:color w:val="000000"/>
        </w:rPr>
        <w:t xml:space="preserve">10 </w:t>
      </w:r>
      <w:proofErr w:type="spellStart"/>
      <w:r w:rsidR="00617F88">
        <w:rPr>
          <w:color w:val="000000"/>
        </w:rPr>
        <w:t>ms</w:t>
      </w:r>
      <w:proofErr w:type="spellEnd"/>
      <w:r w:rsidRPr="00020C33">
        <w:rPr>
          <w:color w:val="000000"/>
        </w:rPr>
        <w:t xml:space="preserve"> (16.5 </w:t>
      </w:r>
      <w:proofErr w:type="spellStart"/>
      <w:r w:rsidR="00617F88">
        <w:rPr>
          <w:color w:val="000000"/>
        </w:rPr>
        <w:t>ms</w:t>
      </w:r>
      <w:proofErr w:type="spellEnd"/>
      <w:r w:rsidRPr="00020C33">
        <w:rPr>
          <w:color w:val="000000"/>
        </w:rPr>
        <w:t xml:space="preserve"> </w:t>
      </w:r>
      <w:r w:rsidR="00503681">
        <w:rPr>
          <w:color w:val="000000"/>
        </w:rPr>
        <w:t>(</w:t>
      </w:r>
      <w:r w:rsidRPr="00020C33">
        <w:rPr>
          <w:color w:val="000000"/>
        </w:rPr>
        <w:t>90% CI: 14.3, 18.7</w:t>
      </w:r>
      <w:r w:rsidR="00503681">
        <w:rPr>
          <w:color w:val="000000"/>
        </w:rPr>
        <w:t>)</w:t>
      </w:r>
      <w:r w:rsidRPr="00020C33">
        <w:rPr>
          <w:color w:val="000000"/>
        </w:rPr>
        <w:t xml:space="preserve">, </w:t>
      </w:r>
      <w:proofErr w:type="spellStart"/>
      <w:r w:rsidRPr="00020C33">
        <w:rPr>
          <w:color w:val="000000"/>
        </w:rPr>
        <w:t>inotuzumab</w:t>
      </w:r>
      <w:proofErr w:type="spellEnd"/>
      <w:r w:rsidRPr="00020C33">
        <w:rPr>
          <w:color w:val="000000"/>
        </w:rPr>
        <w:t xml:space="preserve"> </w:t>
      </w:r>
      <w:proofErr w:type="spellStart"/>
      <w:r w:rsidRPr="00020C33">
        <w:rPr>
          <w:color w:val="000000"/>
        </w:rPr>
        <w:t>ozogamicin</w:t>
      </w:r>
      <w:proofErr w:type="spellEnd"/>
      <w:r w:rsidRPr="00020C33">
        <w:rPr>
          <w:color w:val="000000"/>
        </w:rPr>
        <w:t xml:space="preserve">; 10.8 </w:t>
      </w:r>
      <w:proofErr w:type="spellStart"/>
      <w:r w:rsidR="00617F88">
        <w:rPr>
          <w:color w:val="000000"/>
        </w:rPr>
        <w:t>ms</w:t>
      </w:r>
      <w:proofErr w:type="spellEnd"/>
      <w:r w:rsidRPr="00020C33">
        <w:rPr>
          <w:color w:val="000000"/>
        </w:rPr>
        <w:t xml:space="preserve"> </w:t>
      </w:r>
      <w:r w:rsidR="00503681">
        <w:rPr>
          <w:color w:val="000000"/>
        </w:rPr>
        <w:t>(</w:t>
      </w:r>
      <w:r w:rsidRPr="00020C33">
        <w:rPr>
          <w:color w:val="000000"/>
        </w:rPr>
        <w:t>90% CI: 8.0, 13.6</w:t>
      </w:r>
      <w:r w:rsidR="00503681">
        <w:rPr>
          <w:color w:val="000000"/>
        </w:rPr>
        <w:t>)</w:t>
      </w:r>
      <w:r w:rsidRPr="00020C33">
        <w:rPr>
          <w:color w:val="000000"/>
        </w:rPr>
        <w:t xml:space="preserve">, control), with the highest upper bound 90% CI for the mean </w:t>
      </w:r>
      <w:proofErr w:type="spellStart"/>
      <w:r w:rsidRPr="00020C33">
        <w:rPr>
          <w:color w:val="000000"/>
        </w:rPr>
        <w:t>QTcF</w:t>
      </w:r>
      <w:proofErr w:type="spellEnd"/>
      <w:r w:rsidRPr="00020C33">
        <w:rPr>
          <w:color w:val="000000"/>
        </w:rPr>
        <w:t xml:space="preserve"> for all time points being </w:t>
      </w:r>
      <w:r w:rsidR="00503681">
        <w:rPr>
          <w:color w:val="000000"/>
        </w:rPr>
        <w:t xml:space="preserve">≥ </w:t>
      </w:r>
      <w:r w:rsidRPr="00020C33">
        <w:rPr>
          <w:color w:val="000000"/>
        </w:rPr>
        <w:t xml:space="preserve">20 </w:t>
      </w:r>
      <w:proofErr w:type="spellStart"/>
      <w:r w:rsidR="00617F88">
        <w:rPr>
          <w:color w:val="000000"/>
        </w:rPr>
        <w:t>ms</w:t>
      </w:r>
      <w:proofErr w:type="spellEnd"/>
      <w:r w:rsidRPr="00020C33">
        <w:rPr>
          <w:color w:val="000000"/>
        </w:rPr>
        <w:t xml:space="preserve"> in both treatment arms.</w:t>
      </w:r>
      <w:r>
        <w:rPr>
          <w:color w:val="000000"/>
        </w:rPr>
        <w:t xml:space="preserve"> The reason</w:t>
      </w:r>
      <w:r w:rsidRPr="00020C33">
        <w:rPr>
          <w:color w:val="000000"/>
        </w:rPr>
        <w:t xml:space="preserve"> </w:t>
      </w:r>
      <w:r>
        <w:rPr>
          <w:color w:val="000000"/>
        </w:rPr>
        <w:t xml:space="preserve">for </w:t>
      </w:r>
      <w:proofErr w:type="spellStart"/>
      <w:r w:rsidRPr="00020C33">
        <w:rPr>
          <w:color w:val="000000"/>
        </w:rPr>
        <w:t>QTcF</w:t>
      </w:r>
      <w:proofErr w:type="spellEnd"/>
      <w:r w:rsidRPr="00020C33">
        <w:rPr>
          <w:color w:val="000000"/>
        </w:rPr>
        <w:t xml:space="preserve"> prolongation in both treatment arms is unknown, but is not satisfactorily explained by the use of concomitant medications known to prolong the QT intervals and/or electrolyte disturbances</w:t>
      </w:r>
      <w:r w:rsidR="00503681">
        <w:rPr>
          <w:color w:val="000000"/>
        </w:rPr>
        <w:t>.</w:t>
      </w:r>
    </w:p>
    <w:p w14:paraId="23B2356B" w14:textId="77777777" w:rsidR="007D6AD4" w:rsidRPr="00020C33" w:rsidRDefault="000F385B" w:rsidP="0040513A">
      <w:pPr>
        <w:pStyle w:val="Heading5"/>
      </w:pPr>
      <w:r>
        <w:lastRenderedPageBreak/>
        <w:t>Other risks</w:t>
      </w:r>
    </w:p>
    <w:p w14:paraId="06B7FD47" w14:textId="77777777" w:rsidR="00503681" w:rsidRDefault="007D6AD4" w:rsidP="007D6AD4">
      <w:pPr>
        <w:pStyle w:val="ListBullet"/>
        <w:rPr>
          <w:rFonts w:eastAsiaTheme="minorHAnsi"/>
        </w:rPr>
      </w:pPr>
      <w:r w:rsidRPr="00833530">
        <w:t xml:space="preserve">In the pivotal study, </w:t>
      </w:r>
      <w:r>
        <w:t xml:space="preserve">in the inotuzumab ozogamicin arm </w:t>
      </w:r>
      <w:r w:rsidRPr="00833530">
        <w:t>AE</w:t>
      </w:r>
      <w:r>
        <w:t>s</w:t>
      </w:r>
      <w:r w:rsidRPr="00833530">
        <w:t xml:space="preserve"> </w:t>
      </w:r>
      <w:r>
        <w:t xml:space="preserve">(all grades) were reported in 99.3% (133/134) of patients aged &lt; 65 years and in 100% (30/30) of patients aged </w:t>
      </w:r>
      <w:r w:rsidR="00503681">
        <w:t xml:space="preserve">≥ </w:t>
      </w:r>
      <w:r>
        <w:t xml:space="preserve">65 years, while AEs </w:t>
      </w:r>
      <w:r w:rsidR="000F385B">
        <w:t>Grade 3 to 4</w:t>
      </w:r>
      <w:r>
        <w:t xml:space="preserve"> were reported in 74.6% (100/134) and 76.7% (23/30) of patients, respectively. Both SAEs and </w:t>
      </w:r>
      <w:r w:rsidR="00617F88">
        <w:t>Grade</w:t>
      </w:r>
      <w:r>
        <w:t xml:space="preserve"> 5 AEs were reported less</w:t>
      </w:r>
      <w:r w:rsidR="006779D9">
        <w:t xml:space="preserve"> </w:t>
      </w:r>
      <w:r>
        <w:t xml:space="preserve">frequently in the inotuzumab ozogamicin arm in patients aged &lt; 65 years than in patients aged </w:t>
      </w:r>
      <w:r w:rsidR="00503681">
        <w:t xml:space="preserve">≥ </w:t>
      </w:r>
      <w:r>
        <w:t xml:space="preserve">65 years (SAEs </w:t>
      </w:r>
      <w:r w:rsidR="00503681">
        <w:t>(</w:t>
      </w:r>
      <w:r>
        <w:t>48.5%, n</w:t>
      </w:r>
      <w:r w:rsidR="0014606A">
        <w:t xml:space="preserve"> = </w:t>
      </w:r>
      <w:r>
        <w:t xml:space="preserve">65 </w:t>
      </w:r>
      <w:r w:rsidR="001D0208">
        <w:t xml:space="preserve">versus </w:t>
      </w:r>
      <w:r>
        <w:t>66.7%, n</w:t>
      </w:r>
      <w:r w:rsidR="0014606A">
        <w:t xml:space="preserve"> = </w:t>
      </w:r>
      <w:r>
        <w:t>20</w:t>
      </w:r>
      <w:r w:rsidR="00503681">
        <w:t>)</w:t>
      </w:r>
      <w:r>
        <w:t xml:space="preserve">; </w:t>
      </w:r>
      <w:r w:rsidR="00617F88">
        <w:t>Grade</w:t>
      </w:r>
      <w:r>
        <w:t xml:space="preserve"> 5 AEs </w:t>
      </w:r>
      <w:r w:rsidR="00503681">
        <w:t>(</w:t>
      </w:r>
      <w:r>
        <w:t>14.2%, n</w:t>
      </w:r>
      <w:r w:rsidR="0014606A">
        <w:t xml:space="preserve"> = </w:t>
      </w:r>
      <w:r>
        <w:t xml:space="preserve">19 </w:t>
      </w:r>
      <w:r w:rsidR="001D0208">
        <w:t xml:space="preserve">versus </w:t>
      </w:r>
      <w:r>
        <w:t>23.3%, n</w:t>
      </w:r>
      <w:r w:rsidR="0014606A">
        <w:t xml:space="preserve"> = </w:t>
      </w:r>
      <w:r>
        <w:t>7</w:t>
      </w:r>
      <w:r w:rsidR="00503681">
        <w:t>)</w:t>
      </w:r>
      <w:r>
        <w:t xml:space="preserve">). </w:t>
      </w:r>
      <w:r w:rsidRPr="00833530">
        <w:t xml:space="preserve">Permanent treatment discontinuations due to AEs occurred more frequently in patients </w:t>
      </w:r>
      <w:r>
        <w:t xml:space="preserve">in the inotuzumab ozogamicin arm </w:t>
      </w:r>
      <w:r w:rsidRPr="00833530">
        <w:t xml:space="preserve">aged &lt; 65 years than aged </w:t>
      </w:r>
      <w:r w:rsidR="00503681">
        <w:t xml:space="preserve">≥ </w:t>
      </w:r>
      <w:r w:rsidRPr="00833530">
        <w:t>65 years</w:t>
      </w:r>
      <w:r>
        <w:t xml:space="preserve"> (20.1%, n</w:t>
      </w:r>
      <w:r w:rsidR="0014606A">
        <w:t xml:space="preserve"> = </w:t>
      </w:r>
      <w:r>
        <w:t xml:space="preserve">27 </w:t>
      </w:r>
      <w:r w:rsidR="001D0208">
        <w:t xml:space="preserve">versus </w:t>
      </w:r>
      <w:r>
        <w:t>10.0%, n</w:t>
      </w:r>
      <w:r w:rsidR="0014606A">
        <w:t xml:space="preserve"> = </w:t>
      </w:r>
      <w:r>
        <w:t>3</w:t>
      </w:r>
      <w:r w:rsidR="00503681">
        <w:t>)</w:t>
      </w:r>
      <w:r>
        <w:t xml:space="preserve">). </w:t>
      </w:r>
      <w:r w:rsidRPr="00833530">
        <w:t xml:space="preserve">The interpretation of the safety data in patients aged </w:t>
      </w:r>
      <w:r w:rsidR="00503681">
        <w:t xml:space="preserve">≥ </w:t>
      </w:r>
      <w:r w:rsidRPr="00833530">
        <w:t>65 years treated with inotuzumab ozogamicin is limited by the small nu</w:t>
      </w:r>
      <w:r>
        <w:t>mber of patients in this group. T</w:t>
      </w:r>
      <w:r w:rsidR="000F385B">
        <w:t>he univariate analysis (Day 120 </w:t>
      </w:r>
      <w:r>
        <w:t xml:space="preserve">SU) showed that in </w:t>
      </w:r>
      <w:r w:rsidRPr="00833530">
        <w:rPr>
          <w:rFonts w:eastAsiaTheme="minorHAnsi"/>
        </w:rPr>
        <w:t>patients treated with inotuzumab ozogamicin</w:t>
      </w:r>
      <w:r>
        <w:rPr>
          <w:rFonts w:eastAsiaTheme="minorHAnsi"/>
        </w:rPr>
        <w:t xml:space="preserve"> who proceeded to HSCT (n</w:t>
      </w:r>
      <w:r w:rsidR="0014606A">
        <w:rPr>
          <w:rFonts w:eastAsiaTheme="minorHAnsi"/>
        </w:rPr>
        <w:t xml:space="preserve"> = </w:t>
      </w:r>
      <w:r>
        <w:rPr>
          <w:rFonts w:eastAsiaTheme="minorHAnsi"/>
        </w:rPr>
        <w:t>79)</w:t>
      </w:r>
      <w:r w:rsidRPr="00833530">
        <w:rPr>
          <w:rFonts w:eastAsiaTheme="minorHAnsi"/>
        </w:rPr>
        <w:t xml:space="preserve">, age </w:t>
      </w:r>
      <w:r w:rsidR="00503681">
        <w:rPr>
          <w:rFonts w:eastAsiaTheme="minorHAnsi"/>
        </w:rPr>
        <w:t xml:space="preserve">≥ </w:t>
      </w:r>
      <w:r w:rsidRPr="00833530">
        <w:rPr>
          <w:rFonts w:eastAsiaTheme="minorHAnsi"/>
        </w:rPr>
        <w:t>55 years (n</w:t>
      </w:r>
      <w:r w:rsidR="0014606A">
        <w:rPr>
          <w:rFonts w:eastAsiaTheme="minorHAnsi"/>
        </w:rPr>
        <w:t xml:space="preserve"> = </w:t>
      </w:r>
      <w:r>
        <w:rPr>
          <w:rFonts w:eastAsiaTheme="minorHAnsi"/>
        </w:rPr>
        <w:t>17</w:t>
      </w:r>
      <w:r w:rsidRPr="00833530">
        <w:rPr>
          <w:rFonts w:eastAsiaTheme="minorHAnsi"/>
        </w:rPr>
        <w:t>) may significantly increase the risk of developing VOD</w:t>
      </w:r>
      <w:r>
        <w:rPr>
          <w:rFonts w:eastAsiaTheme="minorHAnsi"/>
        </w:rPr>
        <w:t>/SOS</w:t>
      </w:r>
      <w:r w:rsidR="006779D9">
        <w:rPr>
          <w:rFonts w:eastAsiaTheme="minorHAnsi"/>
        </w:rPr>
        <w:t xml:space="preserve"> </w:t>
      </w:r>
      <w:r w:rsidRPr="00833530">
        <w:rPr>
          <w:rFonts w:eastAsiaTheme="minorHAnsi"/>
        </w:rPr>
        <w:t>post-HSCT compared to age &lt; 55 years (n</w:t>
      </w:r>
      <w:r w:rsidR="0014606A">
        <w:rPr>
          <w:rFonts w:eastAsiaTheme="minorHAnsi"/>
        </w:rPr>
        <w:t xml:space="preserve"> = </w:t>
      </w:r>
      <w:r>
        <w:rPr>
          <w:rFonts w:eastAsiaTheme="minorHAnsi"/>
        </w:rPr>
        <w:t>62</w:t>
      </w:r>
      <w:r w:rsidRPr="00833530">
        <w:rPr>
          <w:rFonts w:eastAsiaTheme="minorHAnsi"/>
        </w:rPr>
        <w:t xml:space="preserve">). </w:t>
      </w:r>
      <w:r>
        <w:rPr>
          <w:rFonts w:eastAsiaTheme="minorHAnsi"/>
        </w:rPr>
        <w:t>Based on the 77 patients in the inotuzumab ozogamicin arm who underwent HSCT (</w:t>
      </w:r>
      <w:proofErr w:type="spellStart"/>
      <w:r>
        <w:rPr>
          <w:rFonts w:eastAsiaTheme="minorHAnsi"/>
        </w:rPr>
        <w:t>sCSR</w:t>
      </w:r>
      <w:proofErr w:type="spellEnd"/>
      <w:r>
        <w:rPr>
          <w:rFonts w:eastAsiaTheme="minorHAnsi"/>
        </w:rPr>
        <w:t>), the risk of developing VOD/VOS</w:t>
      </w:r>
      <w:r w:rsidR="006779D9">
        <w:rPr>
          <w:rFonts w:eastAsiaTheme="minorHAnsi"/>
        </w:rPr>
        <w:t xml:space="preserve"> </w:t>
      </w:r>
      <w:r>
        <w:rPr>
          <w:rFonts w:eastAsiaTheme="minorHAnsi"/>
        </w:rPr>
        <w:t xml:space="preserve">post-HSCT was 50% (3/6) in patients aged </w:t>
      </w:r>
      <w:r w:rsidR="00503681">
        <w:rPr>
          <w:rFonts w:eastAsiaTheme="minorHAnsi"/>
        </w:rPr>
        <w:t xml:space="preserve">≥ </w:t>
      </w:r>
      <w:r>
        <w:rPr>
          <w:rFonts w:eastAsiaTheme="minorHAnsi"/>
        </w:rPr>
        <w:t>65 years and 19.7% (14/71) in patients aged &lt; 65 years</w:t>
      </w:r>
      <w:r w:rsidR="00503681">
        <w:rPr>
          <w:rFonts w:eastAsiaTheme="minorHAnsi"/>
        </w:rPr>
        <w:t>.</w:t>
      </w:r>
    </w:p>
    <w:p w14:paraId="5B7C3CA2" w14:textId="77777777" w:rsidR="00503681" w:rsidRDefault="007D6AD4" w:rsidP="007D6AD4">
      <w:pPr>
        <w:pStyle w:val="ListBullet"/>
      </w:pPr>
      <w:r>
        <w:t xml:space="preserve">No </w:t>
      </w:r>
      <w:r w:rsidRPr="00020C33">
        <w:t xml:space="preserve">notably increased risks based </w:t>
      </w:r>
      <w:r>
        <w:t xml:space="preserve">on </w:t>
      </w:r>
      <w:r w:rsidRPr="00020C33">
        <w:t xml:space="preserve">gender or race were identified in patients treated </w:t>
      </w:r>
      <w:r>
        <w:t>with inotuzumab ozogamicin. However, safety data in Black patients were limited due to the small number of patients in this racial group treated with inotuzumab ozogamicin</w:t>
      </w:r>
      <w:r w:rsidR="00503681">
        <w:t>.</w:t>
      </w:r>
    </w:p>
    <w:p w14:paraId="482EFF03" w14:textId="77777777" w:rsidR="00503681" w:rsidRDefault="007D6AD4" w:rsidP="007D6AD4">
      <w:pPr>
        <w:pStyle w:val="ListBullet"/>
      </w:pPr>
      <w:r w:rsidRPr="00020C33">
        <w:t xml:space="preserve">The safety data in patients with mild renal impairment </w:t>
      </w:r>
      <w:r>
        <w:t xml:space="preserve">do not give rise to concern. </w:t>
      </w:r>
      <w:r w:rsidRPr="00020C33">
        <w:t xml:space="preserve">There were no adequate </w:t>
      </w:r>
      <w:r>
        <w:t xml:space="preserve">safety </w:t>
      </w:r>
      <w:r w:rsidRPr="00020C33">
        <w:t xml:space="preserve">data in patients with moderate renal impairment and no </w:t>
      </w:r>
      <w:r>
        <w:t xml:space="preserve">safety </w:t>
      </w:r>
      <w:r w:rsidRPr="00020C33">
        <w:t>data in patients with severe renal impairment/ESRD</w:t>
      </w:r>
      <w:r w:rsidR="00503681">
        <w:t>.</w:t>
      </w:r>
    </w:p>
    <w:p w14:paraId="4DF9E451" w14:textId="77777777" w:rsidR="00503681" w:rsidRPr="000F385B" w:rsidRDefault="007D6AD4" w:rsidP="000F385B">
      <w:pPr>
        <w:pStyle w:val="ListBullet"/>
      </w:pPr>
      <w:r w:rsidRPr="000F385B">
        <w:t>The safety data in patients with mild hepatic impairment suggest that inotuzumab ozogamicin should be used cautiously in these patients. There were no adequate safety data in patients with moderate or severe hepatic impairment. Treatment with inotuzumab ozogamicin is associated with notable hepatotoxicity, including life-threatening and sometimes fatal VOD. Therefore, it is recommended that inotuzumab ozogamicin be contraindicated in patients with moderate or severe hepatic impairment</w:t>
      </w:r>
      <w:r w:rsidR="00503681" w:rsidRPr="000F385B">
        <w:t>.</w:t>
      </w:r>
    </w:p>
    <w:p w14:paraId="06B8C32F" w14:textId="067C7790" w:rsidR="00503681" w:rsidRDefault="007D6AD4" w:rsidP="007D6AD4">
      <w:pPr>
        <w:pStyle w:val="ListBullet"/>
      </w:pPr>
      <w:r>
        <w:t>The</w:t>
      </w:r>
      <w:r w:rsidR="00160FA8">
        <w:t>re</w:t>
      </w:r>
      <w:r>
        <w:t xml:space="preserve"> were no pivotal safety data in patients with cardiac disease as the pivotal study excluded patients with active heart disease (</w:t>
      </w:r>
      <w:r w:rsidR="00A232E5">
        <w:t>New York Heart Association (</w:t>
      </w:r>
      <w:r>
        <w:t>NYHA</w:t>
      </w:r>
      <w:r w:rsidR="00A232E5">
        <w:t>)</w:t>
      </w:r>
      <w:r>
        <w:t xml:space="preserve"> class </w:t>
      </w:r>
      <w:r w:rsidR="00503681">
        <w:t xml:space="preserve">≥ </w:t>
      </w:r>
      <w:r>
        <w:t>3)</w:t>
      </w:r>
      <w:r w:rsidR="00503681">
        <w:t>.</w:t>
      </w:r>
    </w:p>
    <w:p w14:paraId="792487AF" w14:textId="77777777" w:rsidR="00503681" w:rsidRDefault="007D6AD4" w:rsidP="007D6AD4">
      <w:pPr>
        <w:pStyle w:val="ListBullet"/>
      </w:pPr>
      <w:r w:rsidRPr="00833530">
        <w:t>Laboratory abnormalities, other than those previously discussed for haematological, hepatic and pancreatic abnormalities do not give rise to concern</w:t>
      </w:r>
      <w:r w:rsidR="00503681">
        <w:t>.</w:t>
      </w:r>
    </w:p>
    <w:p w14:paraId="09764BD3" w14:textId="77777777" w:rsidR="00503681" w:rsidRDefault="007D6AD4" w:rsidP="007D6AD4">
      <w:pPr>
        <w:pStyle w:val="ListBullet"/>
      </w:pPr>
      <w:r w:rsidRPr="00833530">
        <w:t>There were no notable changes in vital signs in p</w:t>
      </w:r>
      <w:r>
        <w:t>atients in the inotuzumab arm</w:t>
      </w:r>
      <w:r w:rsidR="00503681">
        <w:t>.</w:t>
      </w:r>
    </w:p>
    <w:p w14:paraId="1A478BE3" w14:textId="77777777" w:rsidR="00605AD4" w:rsidRPr="00605AD4" w:rsidRDefault="00605AD4" w:rsidP="00605AD4">
      <w:pPr>
        <w:pStyle w:val="Heading4"/>
      </w:pPr>
      <w:r w:rsidRPr="00605AD4">
        <w:t>First round assessment of benefit-risk balance</w:t>
      </w:r>
    </w:p>
    <w:p w14:paraId="45CE39B7" w14:textId="5C18F68F" w:rsidR="00503681" w:rsidRDefault="0040513A" w:rsidP="000F385B">
      <w:pPr>
        <w:rPr>
          <w:lang w:val="en-US"/>
        </w:rPr>
      </w:pPr>
      <w:r>
        <w:rPr>
          <w:lang w:val="en-US"/>
        </w:rPr>
        <w:t>The pivotal study in patients with ALL demonstrated a notably superior CR/</w:t>
      </w:r>
      <w:proofErr w:type="spellStart"/>
      <w:r>
        <w:rPr>
          <w:lang w:val="en-US"/>
        </w:rPr>
        <w:t>CRi</w:t>
      </w:r>
      <w:proofErr w:type="spellEnd"/>
      <w:r>
        <w:rPr>
          <w:lang w:val="en-US"/>
        </w:rPr>
        <w:t xml:space="preserve"> rate in the ITT218 population in the inotuzumab ozogamicin arm compared to the control arm.</w:t>
      </w:r>
      <w:r w:rsidR="006779D9">
        <w:rPr>
          <w:lang w:val="en-US"/>
        </w:rPr>
        <w:t xml:space="preserve"> </w:t>
      </w:r>
      <w:r>
        <w:rPr>
          <w:lang w:val="en-US"/>
        </w:rPr>
        <w:t>The majority of patients in the inotuzumab ozogamicin arm who achieved CR/</w:t>
      </w:r>
      <w:proofErr w:type="spellStart"/>
      <w:r>
        <w:rPr>
          <w:lang w:val="en-US"/>
        </w:rPr>
        <w:t>CRi</w:t>
      </w:r>
      <w:proofErr w:type="spellEnd"/>
      <w:r>
        <w:rPr>
          <w:lang w:val="en-US"/>
        </w:rPr>
        <w:t xml:space="preserve"> did so within the first 2 treatment cycles, with no patients achieving haematological remission after </w:t>
      </w:r>
      <w:r w:rsidR="000F385B">
        <w:rPr>
          <w:lang w:val="en-US"/>
        </w:rPr>
        <w:t>C</w:t>
      </w:r>
      <w:r>
        <w:rPr>
          <w:lang w:val="en-US"/>
        </w:rPr>
        <w:t>ycle 3. The CR/</w:t>
      </w:r>
      <w:proofErr w:type="spellStart"/>
      <w:r>
        <w:rPr>
          <w:lang w:val="en-US"/>
        </w:rPr>
        <w:t>CRi</w:t>
      </w:r>
      <w:proofErr w:type="spellEnd"/>
      <w:r>
        <w:rPr>
          <w:lang w:val="en-US"/>
        </w:rPr>
        <w:t xml:space="preserve"> data suggest that, if considered suitable for HSCT, most patients treated with inotuzumab ozogamicin might be able to proceed to this potentially</w:t>
      </w:r>
      <w:r w:rsidR="006779D9">
        <w:rPr>
          <w:lang w:val="en-US"/>
        </w:rPr>
        <w:t xml:space="preserve"> </w:t>
      </w:r>
      <w:r>
        <w:rPr>
          <w:lang w:val="en-US"/>
        </w:rPr>
        <w:t>curative treatment modality. This provides a significant clinical advantage for patients treated with inotuzumab ozogamicin compared to patients treated with standard chemotherapeutic regimens</w:t>
      </w:r>
      <w:r w:rsidR="00503681">
        <w:rPr>
          <w:lang w:val="en-US"/>
        </w:rPr>
        <w:t>.</w:t>
      </w:r>
    </w:p>
    <w:p w14:paraId="1388E871" w14:textId="75851C73" w:rsidR="00503681" w:rsidRDefault="0040513A" w:rsidP="000F385B">
      <w:pPr>
        <w:rPr>
          <w:lang w:val="en-US"/>
        </w:rPr>
      </w:pPr>
      <w:r>
        <w:rPr>
          <w:lang w:val="en-US"/>
        </w:rPr>
        <w:lastRenderedPageBreak/>
        <w:t xml:space="preserve">However, while treatment with inotuzumab ozogamicin is associated with a significantly improved chance of haematological remission compared to standard chemotherapy regimens this does not translate into a </w:t>
      </w:r>
      <w:r w:rsidR="006F4B4B">
        <w:rPr>
          <w:lang w:val="en-US"/>
        </w:rPr>
        <w:t xml:space="preserve">statistically </w:t>
      </w:r>
      <w:r>
        <w:rPr>
          <w:lang w:val="en-US"/>
        </w:rPr>
        <w:t>significant improved overall survival benefit. Furthermore, the benefits of achieving CR/</w:t>
      </w:r>
      <w:proofErr w:type="spellStart"/>
      <w:r>
        <w:rPr>
          <w:lang w:val="en-US"/>
        </w:rPr>
        <w:t>CRi</w:t>
      </w:r>
      <w:proofErr w:type="spellEnd"/>
      <w:r>
        <w:rPr>
          <w:lang w:val="en-US"/>
        </w:rPr>
        <w:t xml:space="preserve"> and then proceeding to HSCT for patients treated with inotuzumab ozogamicin are offset, at least to some extent, by the risks of hepatotox</w:t>
      </w:r>
      <w:r w:rsidR="000F385B">
        <w:rPr>
          <w:lang w:val="en-US"/>
        </w:rPr>
        <w:t xml:space="preserve">icity, including fatal and life </w:t>
      </w:r>
      <w:r>
        <w:rPr>
          <w:lang w:val="en-US"/>
        </w:rPr>
        <w:t>threatening VOD/SOS, and post-HSCT non-relapse mortality. Nevertheless, on balance it is considered that the benefits of treatment with inotuzumab ozogamicin outweigh the risks</w:t>
      </w:r>
      <w:r w:rsidR="00503681">
        <w:rPr>
          <w:lang w:val="en-US"/>
        </w:rPr>
        <w:t>.</w:t>
      </w:r>
    </w:p>
    <w:p w14:paraId="0649EB0E" w14:textId="77777777" w:rsidR="00605AD4" w:rsidRPr="000F385B" w:rsidRDefault="0040513A" w:rsidP="000F385B">
      <w:r w:rsidRPr="000F385B">
        <w:t>For patients who achieve CR/</w:t>
      </w:r>
      <w:proofErr w:type="spellStart"/>
      <w:r w:rsidRPr="000F385B">
        <w:t>CRi</w:t>
      </w:r>
      <w:proofErr w:type="spellEnd"/>
      <w:r w:rsidRPr="000F385B">
        <w:t xml:space="preserve"> but do not proceed to HSCT a maximum of six treatment cycles are recommended, provided the patient remains in remission. These patients appear to be at a lower risk of hepatotoxicity, including fatal and life-threatening VOD/SOS, than patients achieving haematological remission and proceeding to HSCT. However, the benefit-risk balance of continuing treatment with inotuzumab ozogamicin in patients achieving CR/</w:t>
      </w:r>
      <w:proofErr w:type="spellStart"/>
      <w:r w:rsidRPr="000F385B">
        <w:t>CRi</w:t>
      </w:r>
      <w:proofErr w:type="spellEnd"/>
      <w:r w:rsidRPr="000F385B">
        <w:t xml:space="preserve"> but not proceeding to transplant is unclear. It might be clinically prudent to discontinue treatment with inotuzumab ozogamicin in these patients once a decision not to proceed to HSCT has been made. The total number of patients in the inotuzumab ozogamicin arm treated for 6 cycles was </w:t>
      </w:r>
      <w:proofErr w:type="gramStart"/>
      <w:r w:rsidRPr="000F385B">
        <w:t>limited,</w:t>
      </w:r>
      <w:proofErr w:type="gramEnd"/>
      <w:r w:rsidRPr="000F385B">
        <w:t xml:space="preserve"> with 15 (9.1%) patients starting a 6th cycle of treatment and 10 (6.1%) patients finished 6 treatment cycles. Five (5) patients who did not proceed to HSCT after inotuzumab ozogamicin treatment were still alive at 18 months. Of these 5 patients, 2 patients had received 3 cycles, 2 patients had received 4 cycles, and 1 patient had received 6 cycles.</w:t>
      </w:r>
    </w:p>
    <w:p w14:paraId="5CCB2DCF" w14:textId="1324C062" w:rsidR="00605AD4" w:rsidRPr="00605AD4" w:rsidRDefault="00605AD4" w:rsidP="00605AD4">
      <w:pPr>
        <w:pStyle w:val="Heading3"/>
        <w:rPr>
          <w:rFonts w:eastAsia="Cambria"/>
        </w:rPr>
      </w:pPr>
      <w:bookmarkStart w:id="127" w:name="_Toc16505606"/>
      <w:r w:rsidRPr="00605AD4">
        <w:rPr>
          <w:rFonts w:eastAsia="Cambria"/>
        </w:rPr>
        <w:t xml:space="preserve">First </w:t>
      </w:r>
      <w:r w:rsidR="00EF795A" w:rsidRPr="00605AD4">
        <w:rPr>
          <w:rFonts w:eastAsia="Cambria"/>
        </w:rPr>
        <w:t>round recommendation regarding authorisation</w:t>
      </w:r>
      <w:bookmarkEnd w:id="127"/>
    </w:p>
    <w:p w14:paraId="79A9411A" w14:textId="77777777" w:rsidR="00503681" w:rsidRDefault="0040513A" w:rsidP="000F385B">
      <w:pPr>
        <w:rPr>
          <w:lang w:eastAsia="ja-JP"/>
        </w:rPr>
      </w:pPr>
      <w:r>
        <w:rPr>
          <w:lang w:eastAsia="ja-JP"/>
        </w:rPr>
        <w:t xml:space="preserve">It is recommended that inotuzumab ozogamicin </w:t>
      </w:r>
      <w:r w:rsidRPr="000F385B">
        <w:rPr>
          <w:lang w:eastAsia="ja-JP"/>
        </w:rPr>
        <w:t>be approved for</w:t>
      </w:r>
      <w:r>
        <w:rPr>
          <w:lang w:eastAsia="ja-JP"/>
        </w:rPr>
        <w:t xml:space="preserve"> the treatment of adults with relapsed or refractory CD-22 </w:t>
      </w:r>
      <w:r w:rsidR="006779D9">
        <w:rPr>
          <w:lang w:eastAsia="ja-JP"/>
        </w:rPr>
        <w:t>B cell</w:t>
      </w:r>
      <w:r>
        <w:rPr>
          <w:lang w:eastAsia="ja-JP"/>
        </w:rPr>
        <w:t xml:space="preserve"> precursor acute lymphoblastic leukaemia (ALL)</w:t>
      </w:r>
      <w:r w:rsidR="00503681">
        <w:rPr>
          <w:lang w:eastAsia="ja-JP"/>
        </w:rPr>
        <w:t>.</w:t>
      </w:r>
    </w:p>
    <w:p w14:paraId="6D3379A7" w14:textId="186B8D7A" w:rsidR="00E33935" w:rsidRPr="000F385B" w:rsidRDefault="002F5122" w:rsidP="000F385B">
      <w:pPr>
        <w:pStyle w:val="Heading3"/>
        <w:rPr>
          <w:rFonts w:eastAsia="Cambria"/>
        </w:rPr>
      </w:pPr>
      <w:bookmarkStart w:id="128" w:name="_Toc16505607"/>
      <w:r w:rsidRPr="000F385B">
        <w:t xml:space="preserve">Clinical </w:t>
      </w:r>
      <w:r w:rsidR="00F56DAD" w:rsidRPr="000F385B">
        <w:t xml:space="preserve">questions and </w:t>
      </w:r>
      <w:r w:rsidR="00F56DAD" w:rsidRPr="000F385B">
        <w:rPr>
          <w:rFonts w:eastAsia="Cambria"/>
        </w:rPr>
        <w:t>second round evaluation</w:t>
      </w:r>
      <w:bookmarkEnd w:id="128"/>
    </w:p>
    <w:p w14:paraId="6ACEFB91" w14:textId="77777777" w:rsidR="00E33935" w:rsidRDefault="00E33935" w:rsidP="00E33935">
      <w:pPr>
        <w:pStyle w:val="Heading4"/>
      </w:pPr>
      <w:r>
        <w:t>General</w:t>
      </w:r>
    </w:p>
    <w:p w14:paraId="2195EC47" w14:textId="77777777" w:rsidR="00E33935" w:rsidRDefault="00E33935" w:rsidP="00E33935">
      <w:pPr>
        <w:pStyle w:val="Heading5"/>
        <w:rPr>
          <w:lang w:eastAsia="ja-JP"/>
        </w:rPr>
      </w:pPr>
      <w:r w:rsidRPr="00E33935">
        <w:rPr>
          <w:lang w:eastAsia="ja-JP"/>
        </w:rPr>
        <w:t>Quest</w:t>
      </w:r>
      <w:r>
        <w:rPr>
          <w:lang w:eastAsia="ja-JP"/>
        </w:rPr>
        <w:t>ion 1</w:t>
      </w:r>
    </w:p>
    <w:p w14:paraId="0F962A5A" w14:textId="77777777" w:rsidR="00503681" w:rsidRPr="002468EF" w:rsidRDefault="00E33935" w:rsidP="000F385B">
      <w:pPr>
        <w:rPr>
          <w:i/>
          <w:lang w:eastAsia="ja-JP"/>
        </w:rPr>
      </w:pPr>
      <w:r w:rsidRPr="002468EF">
        <w:rPr>
          <w:i/>
          <w:lang w:eastAsia="ja-JP"/>
        </w:rPr>
        <w:t>Please provide information on progress towards undertaking studies with inotuzumab ozogamicin in a paediatric population with acute lymphoblastic leukaemia</w:t>
      </w:r>
      <w:r w:rsidR="00503681" w:rsidRPr="002468EF">
        <w:rPr>
          <w:i/>
          <w:lang w:eastAsia="ja-JP"/>
        </w:rPr>
        <w:t>.</w:t>
      </w:r>
    </w:p>
    <w:p w14:paraId="0EE367E9" w14:textId="5D84235E" w:rsidR="00E33935" w:rsidRPr="002468EF" w:rsidRDefault="00A41567" w:rsidP="002468EF">
      <w:pPr>
        <w:pStyle w:val="Heading6"/>
        <w:rPr>
          <w:lang w:eastAsia="ja-JP"/>
        </w:rPr>
      </w:pPr>
      <w:r w:rsidRPr="002468EF">
        <w:rPr>
          <w:lang w:eastAsia="ja-JP"/>
        </w:rPr>
        <w:t xml:space="preserve">Sponsor’s </w:t>
      </w:r>
      <w:r w:rsidR="0006303D">
        <w:rPr>
          <w:lang w:eastAsia="ja-JP"/>
        </w:rPr>
        <w:t>r</w:t>
      </w:r>
      <w:r w:rsidR="00E33935" w:rsidRPr="002468EF">
        <w:rPr>
          <w:lang w:eastAsia="ja-JP"/>
        </w:rPr>
        <w:t>esponse:</w:t>
      </w:r>
    </w:p>
    <w:p w14:paraId="45160560" w14:textId="5BAD8FC8" w:rsidR="00E33935" w:rsidRPr="002468EF" w:rsidRDefault="00E33935" w:rsidP="00E33935">
      <w:pPr>
        <w:widowControl w:val="0"/>
        <w:autoSpaceDE w:val="0"/>
        <w:autoSpaceDN w:val="0"/>
        <w:adjustRightInd w:val="0"/>
        <w:rPr>
          <w:rFonts w:eastAsia="MS Mincho"/>
          <w:i/>
          <w:lang w:val="en-US" w:eastAsia="ja-JP"/>
        </w:rPr>
      </w:pPr>
      <w:r w:rsidRPr="002468EF">
        <w:rPr>
          <w:rFonts w:eastAsia="MS Mincho"/>
          <w:i/>
          <w:lang w:val="en-US" w:eastAsia="ja-JP"/>
        </w:rPr>
        <w:t xml:space="preserve">Published Data for Single-Agent Inotuzumab Ozogamicin in Pediatric Patients with </w:t>
      </w:r>
      <w:r w:rsidR="006779D9" w:rsidRPr="002468EF">
        <w:rPr>
          <w:rFonts w:eastAsia="MS Mincho"/>
          <w:i/>
          <w:lang w:val="en-US" w:eastAsia="ja-JP"/>
        </w:rPr>
        <w:t>B cell</w:t>
      </w:r>
      <w:r w:rsidRPr="002468EF">
        <w:rPr>
          <w:rFonts w:eastAsia="MS Mincho"/>
          <w:i/>
          <w:lang w:val="en-US" w:eastAsia="ja-JP"/>
        </w:rPr>
        <w:t xml:space="preserve"> Acute Lymphoblastic Leukemia (ALL)</w:t>
      </w:r>
      <w:r w:rsidR="0006303D">
        <w:rPr>
          <w:rFonts w:eastAsia="MS Mincho"/>
          <w:i/>
          <w:lang w:val="en-US" w:eastAsia="ja-JP"/>
        </w:rPr>
        <w:t>:</w:t>
      </w:r>
    </w:p>
    <w:p w14:paraId="78D90266" w14:textId="77777777" w:rsidR="00503681" w:rsidRDefault="00E33935" w:rsidP="00E33935">
      <w:pPr>
        <w:widowControl w:val="0"/>
        <w:autoSpaceDE w:val="0"/>
        <w:autoSpaceDN w:val="0"/>
        <w:adjustRightInd w:val="0"/>
        <w:rPr>
          <w:rFonts w:eastAsia="MS Mincho" w:cs="–Ô˜øªñ„"/>
          <w:lang w:val="en-US" w:eastAsia="ja-JP"/>
        </w:rPr>
      </w:pPr>
      <w:r w:rsidRPr="00DD10E5">
        <w:rPr>
          <w:rFonts w:eastAsia="MS Mincho" w:cs="–Ô˜øªñ„"/>
          <w:lang w:val="en-US" w:eastAsia="ja-JP"/>
        </w:rPr>
        <w:t xml:space="preserve">Currently, there is a limited amount of published data on the use of inotuzumab ozogamicin in pediatric patients with </w:t>
      </w:r>
      <w:r w:rsidR="006779D9">
        <w:rPr>
          <w:rFonts w:eastAsia="MS Mincho" w:cs="–Ô˜øªñ„"/>
          <w:lang w:val="en-US" w:eastAsia="ja-JP"/>
        </w:rPr>
        <w:t>B cell</w:t>
      </w:r>
      <w:r w:rsidRPr="00DD10E5">
        <w:rPr>
          <w:rFonts w:eastAsia="MS Mincho" w:cs="–Ô˜øªñ„"/>
          <w:lang w:val="en-US" w:eastAsia="ja-JP"/>
        </w:rPr>
        <w:t xml:space="preserve"> ALL</w:t>
      </w:r>
      <w:r w:rsidR="00503681">
        <w:rPr>
          <w:rFonts w:eastAsia="MS Mincho" w:cs="–Ô˜øªñ„"/>
          <w:lang w:val="en-US" w:eastAsia="ja-JP"/>
        </w:rPr>
        <w:t>.</w:t>
      </w:r>
    </w:p>
    <w:p w14:paraId="383DEAAE" w14:textId="77777777" w:rsidR="00E33935" w:rsidRPr="00DD10E5" w:rsidRDefault="00E33935" w:rsidP="00E33935">
      <w:pPr>
        <w:widowControl w:val="0"/>
        <w:autoSpaceDE w:val="0"/>
        <w:autoSpaceDN w:val="0"/>
        <w:adjustRightInd w:val="0"/>
        <w:rPr>
          <w:rFonts w:eastAsia="MS Mincho" w:cs="–Ô˜øªñ„"/>
          <w:lang w:val="en-US" w:eastAsia="ja-JP"/>
        </w:rPr>
      </w:pPr>
      <w:r w:rsidRPr="00DD10E5">
        <w:rPr>
          <w:rFonts w:eastAsia="MS Mincho"/>
          <w:i/>
          <w:lang w:val="en-US" w:eastAsia="ja-JP"/>
        </w:rPr>
        <w:t>MD Anderson Cancer Center (MDACC) Investigator-initiated Research (IIR) Study:</w:t>
      </w:r>
    </w:p>
    <w:p w14:paraId="3A60F725" w14:textId="314DB90C" w:rsidR="00E33935" w:rsidRPr="00DD10E5" w:rsidRDefault="00E33935" w:rsidP="000F385B">
      <w:pPr>
        <w:rPr>
          <w:lang w:val="en-US" w:eastAsia="ja-JP"/>
        </w:rPr>
      </w:pPr>
      <w:r w:rsidRPr="00DD10E5">
        <w:rPr>
          <w:lang w:val="en-US" w:eastAsia="ja-JP"/>
        </w:rPr>
        <w:t xml:space="preserve">A single institution, </w:t>
      </w:r>
      <w:r w:rsidR="00617F88">
        <w:rPr>
          <w:lang w:val="en-US" w:eastAsia="ja-JP"/>
        </w:rPr>
        <w:t>Phase II</w:t>
      </w:r>
      <w:r w:rsidRPr="00DD10E5">
        <w:rPr>
          <w:lang w:val="en-US" w:eastAsia="ja-JP"/>
        </w:rPr>
        <w:t xml:space="preserve">, IIR study exploring the safety and efficacy of inotuzumab ozogamicin patients with relapsed or refractory </w:t>
      </w:r>
      <w:r w:rsidR="006779D9">
        <w:rPr>
          <w:lang w:val="en-US" w:eastAsia="ja-JP"/>
        </w:rPr>
        <w:t>B cell</w:t>
      </w:r>
      <w:r w:rsidRPr="00DD10E5">
        <w:rPr>
          <w:lang w:val="en-US" w:eastAsia="ja-JP"/>
        </w:rPr>
        <w:t xml:space="preserve"> ALL was conducted at MDACC (Texas, United States </w:t>
      </w:r>
      <w:r w:rsidR="00503681">
        <w:rPr>
          <w:lang w:val="en-US" w:eastAsia="ja-JP"/>
        </w:rPr>
        <w:t>(</w:t>
      </w:r>
      <w:r w:rsidRPr="00DD10E5">
        <w:rPr>
          <w:lang w:val="en-US" w:eastAsia="ja-JP"/>
        </w:rPr>
        <w:t>US</w:t>
      </w:r>
      <w:r w:rsidR="00503681">
        <w:rPr>
          <w:lang w:val="en-US" w:eastAsia="ja-JP"/>
        </w:rPr>
        <w:t>)</w:t>
      </w:r>
      <w:r w:rsidRPr="00DD10E5">
        <w:rPr>
          <w:lang w:val="en-US" w:eastAsia="ja-JP"/>
        </w:rPr>
        <w:t>). The study enrolled 6 patients who were 18 years of age or younger</w:t>
      </w:r>
      <w:r w:rsidR="000F385B">
        <w:rPr>
          <w:lang w:val="en-US" w:eastAsia="ja-JP"/>
        </w:rPr>
        <w:t>.</w:t>
      </w:r>
      <w:r w:rsidR="000F385B">
        <w:rPr>
          <w:rStyle w:val="FootnoteReference"/>
          <w:lang w:val="en-US" w:eastAsia="ja-JP"/>
        </w:rPr>
        <w:footnoteReference w:id="36"/>
      </w:r>
      <w:r w:rsidRPr="00DD10E5">
        <w:rPr>
          <w:lang w:val="en-US" w:eastAsia="ja-JP"/>
        </w:rPr>
        <w:t xml:space="preserve"> In the publi</w:t>
      </w:r>
      <w:r w:rsidR="000F385B">
        <w:rPr>
          <w:lang w:val="en-US" w:eastAsia="ja-JP"/>
        </w:rPr>
        <w:t xml:space="preserve">cation by </w:t>
      </w:r>
      <w:proofErr w:type="spellStart"/>
      <w:r w:rsidR="000F385B">
        <w:rPr>
          <w:lang w:val="en-US" w:eastAsia="ja-JP"/>
        </w:rPr>
        <w:t>Rytting</w:t>
      </w:r>
      <w:proofErr w:type="spellEnd"/>
      <w:r w:rsidR="000F385B">
        <w:rPr>
          <w:lang w:val="en-US" w:eastAsia="ja-JP"/>
        </w:rPr>
        <w:t xml:space="preserve"> M et al, 2014;</w:t>
      </w:r>
      <w:r w:rsidR="000F385B">
        <w:rPr>
          <w:rStyle w:val="FootnoteReference"/>
          <w:lang w:val="en-US" w:eastAsia="ja-JP"/>
        </w:rPr>
        <w:footnoteReference w:id="37"/>
      </w:r>
      <w:r w:rsidR="000F385B">
        <w:rPr>
          <w:lang w:val="en-US" w:eastAsia="ja-JP"/>
        </w:rPr>
        <w:t xml:space="preserve"> the results of 5 children (4 to </w:t>
      </w:r>
      <w:r w:rsidRPr="00DD10E5">
        <w:rPr>
          <w:lang w:val="en-US" w:eastAsia="ja-JP"/>
        </w:rPr>
        <w:t>15</w:t>
      </w:r>
      <w:r w:rsidR="0006303D">
        <w:rPr>
          <w:lang w:val="en-US" w:eastAsia="ja-JP"/>
        </w:rPr>
        <w:t> </w:t>
      </w:r>
      <w:r w:rsidRPr="00DD10E5">
        <w:rPr>
          <w:lang w:val="en-US" w:eastAsia="ja-JP"/>
        </w:rPr>
        <w:t xml:space="preserve">years of age) enrolled on this MDACC </w:t>
      </w:r>
      <w:r w:rsidR="000F385B">
        <w:rPr>
          <w:lang w:val="en-US" w:eastAsia="ja-JP"/>
        </w:rPr>
        <w:t>IIR study were described. Three</w:t>
      </w:r>
      <w:r w:rsidRPr="00DD10E5">
        <w:rPr>
          <w:lang w:val="en-US" w:eastAsia="ja-JP"/>
        </w:rPr>
        <w:t xml:space="preserve"> of the 5 children </w:t>
      </w:r>
      <w:r w:rsidRPr="00DD10E5">
        <w:rPr>
          <w:lang w:val="en-US" w:eastAsia="ja-JP"/>
        </w:rPr>
        <w:lastRenderedPageBreak/>
        <w:t>received 1.3 mg/</w:t>
      </w:r>
      <w:r w:rsidR="00F769DD" w:rsidRPr="00AA53F4">
        <w:rPr>
          <w:lang w:val="en-US"/>
        </w:rPr>
        <w:t>m</w:t>
      </w:r>
      <w:r w:rsidR="00F769DD" w:rsidRPr="00F769DD">
        <w:rPr>
          <w:vertAlign w:val="superscript"/>
          <w:lang w:val="en-US"/>
        </w:rPr>
        <w:t>2</w:t>
      </w:r>
      <w:r w:rsidRPr="00DD10E5">
        <w:rPr>
          <w:lang w:val="en-US" w:eastAsia="ja-JP"/>
        </w:rPr>
        <w:t xml:space="preserve"> inotuzumab ozogamicin given once every 3 weeks; 1 of these patients had a dose escalation to 1.8 mg/</w:t>
      </w:r>
      <w:r w:rsidR="00F769DD" w:rsidRPr="00AA53F4">
        <w:rPr>
          <w:lang w:val="en-US"/>
        </w:rPr>
        <w:t>m</w:t>
      </w:r>
      <w:r w:rsidR="00F769DD" w:rsidRPr="00F769DD">
        <w:rPr>
          <w:vertAlign w:val="superscript"/>
          <w:lang w:val="en-US"/>
        </w:rPr>
        <w:t>2</w:t>
      </w:r>
      <w:r w:rsidRPr="00DD10E5">
        <w:rPr>
          <w:vertAlign w:val="superscript"/>
          <w:lang w:val="en-US" w:eastAsia="ja-JP"/>
        </w:rPr>
        <w:t xml:space="preserve"> </w:t>
      </w:r>
      <w:r w:rsidRPr="00DD10E5">
        <w:rPr>
          <w:lang w:val="en-US" w:eastAsia="ja-JP"/>
        </w:rPr>
        <w:t>for the second course. Two patients received the weekly schedule of inotuzumab ozogamicin as described above. All children received at least 2 courses of inotuzumab ozogamicin. One patient achieved a complete remission (CR), 2 patients achieved bone marrow morphologic remi</w:t>
      </w:r>
      <w:r>
        <w:rPr>
          <w:lang w:val="en-US" w:eastAsia="ja-JP"/>
        </w:rPr>
        <w:t xml:space="preserve">ssion with incomplete platelet </w:t>
      </w:r>
      <w:r w:rsidRPr="00DD10E5">
        <w:rPr>
          <w:lang w:val="en-US" w:eastAsia="ja-JP"/>
        </w:rPr>
        <w:t>count recovery (</w:t>
      </w:r>
      <w:proofErr w:type="spellStart"/>
      <w:proofErr w:type="gramStart"/>
      <w:r w:rsidRPr="00DD10E5">
        <w:rPr>
          <w:lang w:val="en-US" w:eastAsia="ja-JP"/>
        </w:rPr>
        <w:t>CRp</w:t>
      </w:r>
      <w:proofErr w:type="spellEnd"/>
      <w:proofErr w:type="gramEnd"/>
      <w:r w:rsidRPr="00DD10E5">
        <w:rPr>
          <w:lang w:val="en-US" w:eastAsia="ja-JP"/>
        </w:rPr>
        <w:t>), and 2 patients had no response. Toxicities included fever, sepsis and liver enzyme elevation.</w:t>
      </w:r>
      <w:r>
        <w:rPr>
          <w:lang w:val="en-US" w:eastAsia="ja-JP"/>
        </w:rPr>
        <w:t xml:space="preserve"> </w:t>
      </w:r>
      <w:r w:rsidRPr="00DD10E5">
        <w:rPr>
          <w:lang w:val="en-US" w:eastAsia="ja-JP"/>
        </w:rPr>
        <w:t>Three patients proceeded to a hematopoietic stem cell transplant (HSCT) following inotuzumab ozogamicin therapy. One of the transplanted patients developed venoocclusive disease (VOD) following receipt of an unrelated donor HSCT; the VOD resolved after therapy with defibrotide.</w:t>
      </w:r>
    </w:p>
    <w:p w14:paraId="34F6096E" w14:textId="587AE247" w:rsidR="00E33935" w:rsidRPr="00DD10E5" w:rsidRDefault="00E33935" w:rsidP="00E33935">
      <w:pPr>
        <w:widowControl w:val="0"/>
        <w:autoSpaceDE w:val="0"/>
        <w:autoSpaceDN w:val="0"/>
        <w:adjustRightInd w:val="0"/>
        <w:rPr>
          <w:rFonts w:eastAsia="MS Mincho"/>
          <w:i/>
          <w:lang w:val="en-US" w:eastAsia="ja-JP"/>
        </w:rPr>
      </w:pPr>
      <w:r w:rsidRPr="00DD10E5">
        <w:rPr>
          <w:rFonts w:eastAsia="MS Mincho"/>
          <w:i/>
          <w:lang w:val="en-US" w:eastAsia="ja-JP"/>
        </w:rPr>
        <w:t xml:space="preserve">Compassionate </w:t>
      </w:r>
      <w:r w:rsidR="00F56DAD">
        <w:rPr>
          <w:rFonts w:eastAsia="MS Mincho"/>
          <w:i/>
          <w:lang w:val="en-US" w:eastAsia="ja-JP"/>
        </w:rPr>
        <w:t>a</w:t>
      </w:r>
      <w:r w:rsidRPr="00DD10E5">
        <w:rPr>
          <w:rFonts w:eastAsia="MS Mincho"/>
          <w:i/>
          <w:lang w:val="en-US" w:eastAsia="ja-JP"/>
        </w:rPr>
        <w:t>ccess</w:t>
      </w:r>
      <w:r w:rsidR="0006303D">
        <w:rPr>
          <w:rFonts w:eastAsia="MS Mincho"/>
          <w:i/>
          <w:lang w:val="en-US" w:eastAsia="ja-JP"/>
        </w:rPr>
        <w:t>:</w:t>
      </w:r>
    </w:p>
    <w:p w14:paraId="5DD48345" w14:textId="77777777" w:rsidR="00E33935" w:rsidRPr="00DD10E5" w:rsidRDefault="00E33935" w:rsidP="000F385B">
      <w:pPr>
        <w:rPr>
          <w:lang w:val="en-US" w:eastAsia="ja-JP"/>
        </w:rPr>
      </w:pPr>
      <w:r w:rsidRPr="00DD10E5">
        <w:rPr>
          <w:lang w:val="en-US" w:eastAsia="ja-JP"/>
        </w:rPr>
        <w:t>Inotuzumab ozogamicin has also been used in the compassionate access setting. Clinical findings from 34 chil</w:t>
      </w:r>
      <w:r w:rsidR="000F385B">
        <w:rPr>
          <w:lang w:val="en-US" w:eastAsia="ja-JP"/>
        </w:rPr>
        <w:t xml:space="preserve">dren and young adults (aged 2.3 to </w:t>
      </w:r>
      <w:r w:rsidRPr="00DD10E5">
        <w:rPr>
          <w:lang w:val="en-US" w:eastAsia="ja-JP"/>
        </w:rPr>
        <w:t xml:space="preserve">21.4 years </w:t>
      </w:r>
      <w:r w:rsidR="00503681">
        <w:rPr>
          <w:lang w:val="en-US" w:eastAsia="ja-JP"/>
        </w:rPr>
        <w:t>(</w:t>
      </w:r>
      <w:r w:rsidRPr="00DD10E5">
        <w:rPr>
          <w:lang w:val="en-US" w:eastAsia="ja-JP"/>
        </w:rPr>
        <w:t>median 11.7</w:t>
      </w:r>
      <w:r w:rsidR="00503681">
        <w:rPr>
          <w:lang w:val="en-US" w:eastAsia="ja-JP"/>
        </w:rPr>
        <w:t>)</w:t>
      </w:r>
      <w:r w:rsidRPr="00DD10E5">
        <w:rPr>
          <w:lang w:val="en-US" w:eastAsia="ja-JP"/>
        </w:rPr>
        <w:t xml:space="preserve">) with multiply relapsed </w:t>
      </w:r>
      <w:r w:rsidR="006779D9">
        <w:rPr>
          <w:lang w:val="en-US" w:eastAsia="ja-JP"/>
        </w:rPr>
        <w:t>B cell</w:t>
      </w:r>
      <w:r w:rsidRPr="00DD10E5">
        <w:rPr>
          <w:lang w:val="en-US" w:eastAsia="ja-JP"/>
        </w:rPr>
        <w:t xml:space="preserve"> ALL, treated with inotuzumab ozogamicin through the </w:t>
      </w:r>
      <w:r w:rsidR="000F385B">
        <w:rPr>
          <w:lang w:val="en-US" w:eastAsia="ja-JP"/>
        </w:rPr>
        <w:t>s</w:t>
      </w:r>
      <w:r w:rsidRPr="00DD10E5">
        <w:rPr>
          <w:lang w:val="en-US" w:eastAsia="ja-JP"/>
        </w:rPr>
        <w:t>ponsor’s compassionate access program, were recently presented at the American Society Clinical Oncology (ASCO) annual meeting</w:t>
      </w:r>
      <w:r w:rsidR="000F385B">
        <w:rPr>
          <w:lang w:val="en-US" w:eastAsia="ja-JP"/>
        </w:rPr>
        <w:t>.</w:t>
      </w:r>
      <w:r w:rsidR="000F385B">
        <w:rPr>
          <w:rStyle w:val="FootnoteReference"/>
          <w:lang w:val="en-US" w:eastAsia="ja-JP"/>
        </w:rPr>
        <w:footnoteReference w:id="38"/>
      </w:r>
      <w:r w:rsidRPr="00DD10E5">
        <w:rPr>
          <w:lang w:val="en-US" w:eastAsia="ja-JP"/>
        </w:rPr>
        <w:t xml:space="preserve"> Patients were heavily pr</w:t>
      </w:r>
      <w:r w:rsidR="000F385B">
        <w:rPr>
          <w:lang w:val="en-US" w:eastAsia="ja-JP"/>
        </w:rPr>
        <w:t>etreated in 1st-5th relapse; 28 </w:t>
      </w:r>
      <w:r w:rsidRPr="00DD10E5">
        <w:rPr>
          <w:lang w:val="en-US" w:eastAsia="ja-JP"/>
        </w:rPr>
        <w:t>patients were refractory to their preceding regimen. Thirteen patients had received a prior</w:t>
      </w:r>
      <w:r>
        <w:rPr>
          <w:lang w:val="en-US" w:eastAsia="ja-JP"/>
        </w:rPr>
        <w:t xml:space="preserve"> </w:t>
      </w:r>
      <w:r w:rsidR="000F385B">
        <w:rPr>
          <w:lang w:val="en-US" w:eastAsia="ja-JP"/>
        </w:rPr>
        <w:t xml:space="preserve">HSCT. Patients received 1 to </w:t>
      </w:r>
      <w:r w:rsidRPr="00DD10E5">
        <w:rPr>
          <w:lang w:val="en-US" w:eastAsia="ja-JP"/>
        </w:rPr>
        <w:t xml:space="preserve">4 cycles (3 weekly doses) of inotuzumab ozogamicin. Of the 29 patients with </w:t>
      </w:r>
      <w:r w:rsidR="000F385B">
        <w:rPr>
          <w:lang w:val="en-US" w:eastAsia="ja-JP"/>
        </w:rPr>
        <w:t xml:space="preserve">&gt; </w:t>
      </w:r>
      <w:r w:rsidRPr="00DD10E5">
        <w:rPr>
          <w:lang w:val="en-US" w:eastAsia="ja-JP"/>
        </w:rPr>
        <w:t>5% bone marrow blasts at baseline, 18 (62%) patients achieved a CR of whom 13 achieved minimal residual disease (MRD) negativity; 15 patients proceeded to HSCT, and 5 proceeded to chimeric antigen recepto</w:t>
      </w:r>
      <w:r w:rsidR="000F385B">
        <w:rPr>
          <w:lang w:val="en-US" w:eastAsia="ja-JP"/>
        </w:rPr>
        <w:t xml:space="preserve">r (CAR) T-cell therapy. Grade </w:t>
      </w:r>
      <w:proofErr w:type="gramStart"/>
      <w:r w:rsidR="000F385B">
        <w:rPr>
          <w:lang w:val="en-US" w:eastAsia="ja-JP"/>
        </w:rPr>
        <w:t xml:space="preserve">1 to </w:t>
      </w:r>
      <w:r w:rsidRPr="00DD10E5">
        <w:rPr>
          <w:lang w:val="en-US" w:eastAsia="ja-JP"/>
        </w:rPr>
        <w:t>4 liver toxicity</w:t>
      </w:r>
      <w:proofErr w:type="gramEnd"/>
      <w:r w:rsidRPr="00DD10E5">
        <w:rPr>
          <w:lang w:val="en-US" w:eastAsia="ja-JP"/>
        </w:rPr>
        <w:t xml:space="preserve"> was reported in 32% of patients; findings were primarily asymptomatic elevations in transaminases/bilirubin. No VOD developed during inotuzumab ozogamicin treatment, but VOD was reported in 8/15 patients who proceeded to allogeneic HSCT after inotuzumab ozogamicin therapy; 1 event was fatal while the others recovered. There was a higher incidence of VOD in patients who had received a prior HSCT (6/8 patients) versus no prior HSCT (2/7 patients). Grade 3/4 infections were reported in 34% of patients.</w:t>
      </w:r>
    </w:p>
    <w:p w14:paraId="3CBCE4C1" w14:textId="4B043EBF" w:rsidR="00E33935" w:rsidRPr="002468EF" w:rsidRDefault="00E33935" w:rsidP="00E33935">
      <w:pPr>
        <w:widowControl w:val="0"/>
        <w:autoSpaceDE w:val="0"/>
        <w:autoSpaceDN w:val="0"/>
        <w:adjustRightInd w:val="0"/>
        <w:rPr>
          <w:rFonts w:eastAsia="MS Mincho" w:cs="–Ô˜øªñ„"/>
          <w:i/>
          <w:lang w:val="en-US" w:eastAsia="ja-JP"/>
        </w:rPr>
      </w:pPr>
      <w:r w:rsidRPr="002468EF">
        <w:rPr>
          <w:rFonts w:eastAsia="MS Mincho" w:cs="–Ô˜øªñ„"/>
          <w:i/>
          <w:lang w:val="en-US" w:eastAsia="ja-JP"/>
        </w:rPr>
        <w:t xml:space="preserve">Ongoing Trials of Inotuzumab Ozogamicin in Pediatric Patients with </w:t>
      </w:r>
      <w:r w:rsidR="006779D9" w:rsidRPr="002468EF">
        <w:rPr>
          <w:rFonts w:eastAsia="MS Mincho" w:cs="–Ô˜øªñ„"/>
          <w:i/>
          <w:lang w:val="en-US" w:eastAsia="ja-JP"/>
        </w:rPr>
        <w:t>B cell</w:t>
      </w:r>
      <w:r w:rsidRPr="002468EF">
        <w:rPr>
          <w:rFonts w:eastAsia="MS Mincho" w:cs="–Ô˜øªñ„"/>
          <w:i/>
          <w:lang w:val="en-US" w:eastAsia="ja-JP"/>
        </w:rPr>
        <w:t xml:space="preserve"> ALL</w:t>
      </w:r>
      <w:r w:rsidR="0006303D">
        <w:rPr>
          <w:rFonts w:eastAsia="MS Mincho" w:cs="–Ô˜øªñ„"/>
          <w:i/>
          <w:lang w:val="en-US" w:eastAsia="ja-JP"/>
        </w:rPr>
        <w:t>:</w:t>
      </w:r>
    </w:p>
    <w:p w14:paraId="35A08F2A" w14:textId="77777777" w:rsidR="00E33935" w:rsidRPr="00DD10E5" w:rsidRDefault="00E33935" w:rsidP="00E33935">
      <w:pPr>
        <w:widowControl w:val="0"/>
        <w:autoSpaceDE w:val="0"/>
        <w:autoSpaceDN w:val="0"/>
        <w:adjustRightInd w:val="0"/>
        <w:rPr>
          <w:rFonts w:eastAsia="MS Mincho" w:cs="–Ô˜øªñ„"/>
          <w:lang w:val="en-US" w:eastAsia="ja-JP"/>
        </w:rPr>
      </w:pPr>
      <w:r w:rsidRPr="00DD10E5">
        <w:rPr>
          <w:rFonts w:eastAsia="MS Mincho" w:cs="–Ô˜øªñ„"/>
          <w:lang w:val="en-US" w:eastAsia="ja-JP"/>
        </w:rPr>
        <w:t>There are 2 ongoing pediatric studies with inotuzumab ozogamicin.</w:t>
      </w:r>
    </w:p>
    <w:p w14:paraId="6BA109EF" w14:textId="77777777" w:rsidR="00E33935" w:rsidRPr="002468EF" w:rsidRDefault="000F385B" w:rsidP="002468EF">
      <w:pPr>
        <w:pStyle w:val="ListBullet"/>
        <w:rPr>
          <w:i/>
          <w:lang w:val="en-US" w:eastAsia="ja-JP"/>
        </w:rPr>
      </w:pPr>
      <w:r w:rsidRPr="002468EF">
        <w:rPr>
          <w:i/>
          <w:lang w:val="en-US" w:eastAsia="ja-JP"/>
        </w:rPr>
        <w:t>ITCC-059 Study</w:t>
      </w:r>
    </w:p>
    <w:p w14:paraId="1C070133" w14:textId="77777777" w:rsidR="00E33935" w:rsidRPr="00DD10E5" w:rsidRDefault="000F385B" w:rsidP="00E33935">
      <w:pPr>
        <w:widowControl w:val="0"/>
        <w:autoSpaceDE w:val="0"/>
        <w:autoSpaceDN w:val="0"/>
        <w:adjustRightInd w:val="0"/>
        <w:rPr>
          <w:rFonts w:eastAsia="MS Mincho" w:cs="–Ô˜øªñ„"/>
          <w:lang w:val="en-US" w:eastAsia="ja-JP"/>
        </w:rPr>
      </w:pPr>
      <w:r>
        <w:rPr>
          <w:rFonts w:eastAsia="MS Mincho" w:cs="–Ô˜øªñ„"/>
          <w:lang w:val="en-US" w:eastAsia="ja-JP"/>
        </w:rPr>
        <w:t>The ITCC-059 S</w:t>
      </w:r>
      <w:r w:rsidR="00E33935" w:rsidRPr="00DD10E5">
        <w:rPr>
          <w:rFonts w:eastAsia="MS Mincho" w:cs="–Ô˜øªñ„"/>
          <w:lang w:val="en-US" w:eastAsia="ja-JP"/>
        </w:rPr>
        <w:t>tudy is a clinical research collaboration (CRC) trial sponsored by the Innovative Therapies for Children with Cancer (ITCC) pediatric consortium through Erasmus Medical Center in the Netherlands. This study is being conducted in fulfillment of the Paediatric Investigational Plan (PIP) which was approved on 24 November 2014 by the European Medicines Agency’s (EMA) Paediatric Committee (PDCO).</w:t>
      </w:r>
      <w:r>
        <w:rPr>
          <w:rStyle w:val="FootnoteReference"/>
          <w:rFonts w:eastAsia="MS Mincho" w:cs="–Ô˜øªñ„"/>
          <w:lang w:val="en-US" w:eastAsia="ja-JP"/>
        </w:rPr>
        <w:footnoteReference w:id="39"/>
      </w:r>
      <w:r w:rsidR="00E33935" w:rsidRPr="00DD10E5">
        <w:rPr>
          <w:rFonts w:eastAsia="MS Mincho" w:cs="–Ô˜øªñ„"/>
          <w:lang w:val="en-US" w:eastAsia="ja-JP"/>
        </w:rPr>
        <w:t xml:space="preserve"> This ongoing study is investigating weekly inotuzumab ozogamicin as a single agent with the goal of establishing the recommended dose of inotuzumab ozogamicin when given as a single agent to pediatric </w:t>
      </w:r>
      <w:proofErr w:type="gramStart"/>
      <w:r w:rsidR="00E33935" w:rsidRPr="00DD10E5">
        <w:rPr>
          <w:rFonts w:eastAsia="MS Mincho" w:cs="–Ô˜øªñ„"/>
          <w:lang w:val="en-US" w:eastAsia="ja-JP"/>
        </w:rPr>
        <w:t>patients</w:t>
      </w:r>
      <w:proofErr w:type="gramEnd"/>
      <w:r w:rsidR="00E33935" w:rsidRPr="00DD10E5">
        <w:rPr>
          <w:rFonts w:eastAsia="MS Mincho" w:cs="–Ô˜øªñ„"/>
          <w:lang w:val="en-US" w:eastAsia="ja-JP"/>
        </w:rPr>
        <w:t xml:space="preserve"> </w:t>
      </w:r>
      <w:r w:rsidR="00503681">
        <w:rPr>
          <w:rFonts w:eastAsia="MS Mincho" w:cs="–Ô˜øªñ„"/>
          <w:lang w:val="en-US" w:eastAsia="ja-JP"/>
        </w:rPr>
        <w:t xml:space="preserve">≥ </w:t>
      </w:r>
      <w:r w:rsidR="00E33935" w:rsidRPr="00DD10E5">
        <w:rPr>
          <w:rFonts w:eastAsia="MS Mincho" w:cs="–Ô˜øªñ„"/>
          <w:lang w:val="en-US" w:eastAsia="ja-JP"/>
        </w:rPr>
        <w:t xml:space="preserve">1 year of age with relapsed or refractory </w:t>
      </w:r>
      <w:r w:rsidR="006779D9">
        <w:rPr>
          <w:rFonts w:eastAsia="MS Mincho" w:cs="–Ô˜øªñ„"/>
          <w:lang w:val="en-US" w:eastAsia="ja-JP"/>
        </w:rPr>
        <w:t>B cell</w:t>
      </w:r>
      <w:r w:rsidR="00E33935" w:rsidRPr="00DD10E5">
        <w:rPr>
          <w:rFonts w:eastAsia="MS Mincho" w:cs="–Ô˜øªñ„"/>
          <w:lang w:val="en-US" w:eastAsia="ja-JP"/>
        </w:rPr>
        <w:t xml:space="preserve"> ALL. In the second part of this study, inotuzumab ozogamicin will be combined with a standard ALL re</w:t>
      </w:r>
      <w:r>
        <w:rPr>
          <w:rFonts w:eastAsia="MS Mincho" w:cs="–Ô˜øªñ„"/>
          <w:lang w:val="en-US" w:eastAsia="ja-JP"/>
        </w:rPr>
        <w:t>-</w:t>
      </w:r>
      <w:r w:rsidR="00E33935" w:rsidRPr="00DD10E5">
        <w:rPr>
          <w:rFonts w:eastAsia="MS Mincho" w:cs="–Ô˜øªñ„"/>
          <w:lang w:val="en-US" w:eastAsia="ja-JP"/>
        </w:rPr>
        <w:t>induction</w:t>
      </w:r>
      <w:r w:rsidR="00E33935">
        <w:rPr>
          <w:rFonts w:eastAsia="MS Mincho" w:cs="–Ô˜øªñ„"/>
          <w:lang w:val="en-US" w:eastAsia="ja-JP"/>
        </w:rPr>
        <w:t xml:space="preserve"> </w:t>
      </w:r>
      <w:r w:rsidR="00E33935" w:rsidRPr="00DD10E5">
        <w:rPr>
          <w:rFonts w:eastAsia="MS Mincho" w:cs="–Ô˜øªñ„"/>
          <w:lang w:val="en-US" w:eastAsia="ja-JP"/>
        </w:rPr>
        <w:t xml:space="preserve">chemotherapy regimen (the UKALL-R3 regimen) to determine a recommended dose of inotuzumab ozogamicin in combination with this regimen in pediatric patients with second or greater relapsed or refractory </w:t>
      </w:r>
      <w:r w:rsidR="006779D9">
        <w:rPr>
          <w:rFonts w:eastAsia="MS Mincho" w:cs="–Ô˜øªñ„"/>
          <w:lang w:val="en-US" w:eastAsia="ja-JP"/>
        </w:rPr>
        <w:t>B cell</w:t>
      </w:r>
      <w:r w:rsidR="00E33935" w:rsidRPr="00DD10E5">
        <w:rPr>
          <w:rFonts w:eastAsia="MS Mincho" w:cs="–Ô˜øªñ„"/>
          <w:lang w:val="en-US" w:eastAsia="ja-JP"/>
        </w:rPr>
        <w:t xml:space="preserve"> ALL.</w:t>
      </w:r>
    </w:p>
    <w:p w14:paraId="53C5C03E" w14:textId="77777777" w:rsidR="00E33935" w:rsidRPr="00DD10E5" w:rsidRDefault="00E33935" w:rsidP="00E33935">
      <w:pPr>
        <w:widowControl w:val="0"/>
        <w:autoSpaceDE w:val="0"/>
        <w:autoSpaceDN w:val="0"/>
        <w:adjustRightInd w:val="0"/>
        <w:rPr>
          <w:rFonts w:eastAsia="MS Mincho" w:cs="–Ô˜øªñ„"/>
          <w:lang w:val="en-US" w:eastAsia="ja-JP"/>
        </w:rPr>
      </w:pPr>
      <w:r w:rsidRPr="00DD10E5">
        <w:rPr>
          <w:rFonts w:eastAsia="MS Mincho" w:cs="–Ô˜øªñ„"/>
          <w:lang w:val="en-US" w:eastAsia="ja-JP"/>
        </w:rPr>
        <w:t xml:space="preserve">In order to fulfil the PIP, a randomized </w:t>
      </w:r>
      <w:r w:rsidR="00E86989">
        <w:rPr>
          <w:rFonts w:eastAsia="MS Mincho" w:cs="–Ô˜øªñ„"/>
          <w:lang w:val="en-US" w:eastAsia="ja-JP"/>
        </w:rPr>
        <w:t>open label</w:t>
      </w:r>
      <w:r w:rsidRPr="00DD10E5">
        <w:rPr>
          <w:rFonts w:eastAsia="MS Mincho" w:cs="–Ô˜øªñ„"/>
          <w:lang w:val="en-US" w:eastAsia="ja-JP"/>
        </w:rPr>
        <w:t xml:space="preserve"> superiority trial will subsequently be conducted in order to evaluate the safety and efficacy of inotuzumab ozogamicin (based on the dose determined in the ITCC-059 study) added to a modified UKALL-R3 regimen in </w:t>
      </w:r>
      <w:r w:rsidRPr="00DD10E5">
        <w:rPr>
          <w:rFonts w:eastAsia="MS Mincho" w:cs="–Ô˜øªñ„"/>
          <w:lang w:val="en-US" w:eastAsia="ja-JP"/>
        </w:rPr>
        <w:lastRenderedPageBreak/>
        <w:t xml:space="preserve">children and adolescents with early first relapse of </w:t>
      </w:r>
      <w:r w:rsidR="006779D9">
        <w:rPr>
          <w:rFonts w:eastAsia="MS Mincho" w:cs="–Ô˜øªñ„"/>
          <w:lang w:val="en-US" w:eastAsia="ja-JP"/>
        </w:rPr>
        <w:t>B cell</w:t>
      </w:r>
      <w:r w:rsidRPr="00DD10E5">
        <w:rPr>
          <w:rFonts w:eastAsia="MS Mincho" w:cs="–Ô˜øªñ„"/>
          <w:lang w:val="en-US" w:eastAsia="ja-JP"/>
        </w:rPr>
        <w:t xml:space="preserve"> ALL.</w:t>
      </w:r>
    </w:p>
    <w:p w14:paraId="646CE5A2" w14:textId="77777777" w:rsidR="00E33935" w:rsidRPr="002468EF" w:rsidRDefault="000F385B" w:rsidP="002468EF">
      <w:pPr>
        <w:pStyle w:val="ListBullet"/>
        <w:rPr>
          <w:i/>
          <w:lang w:val="en-US" w:eastAsia="ja-JP"/>
        </w:rPr>
      </w:pPr>
      <w:r w:rsidRPr="002468EF">
        <w:rPr>
          <w:i/>
          <w:lang w:val="en-US" w:eastAsia="ja-JP"/>
        </w:rPr>
        <w:t>AALL 1621 Study</w:t>
      </w:r>
    </w:p>
    <w:p w14:paraId="40B27342" w14:textId="77777777" w:rsidR="00E33935" w:rsidRPr="00DD10E5" w:rsidRDefault="00E33935" w:rsidP="00E33935">
      <w:pPr>
        <w:widowControl w:val="0"/>
        <w:autoSpaceDE w:val="0"/>
        <w:autoSpaceDN w:val="0"/>
        <w:adjustRightInd w:val="0"/>
        <w:rPr>
          <w:rFonts w:eastAsia="MS Mincho" w:cs="–Ô˜øªñ„"/>
          <w:lang w:val="en-US" w:eastAsia="ja-JP"/>
        </w:rPr>
      </w:pPr>
      <w:r w:rsidRPr="00DD10E5">
        <w:rPr>
          <w:rFonts w:eastAsia="MS Mincho" w:cs="–Ô˜øªñ„"/>
          <w:lang w:val="en-US" w:eastAsia="ja-JP"/>
        </w:rPr>
        <w:t xml:space="preserve">The AALL 1621 </w:t>
      </w:r>
      <w:r w:rsidR="00503681">
        <w:rPr>
          <w:rFonts w:eastAsia="MS Mincho" w:cs="–Ô˜øªñ„"/>
          <w:lang w:val="en-US" w:eastAsia="ja-JP"/>
        </w:rPr>
        <w:t>Study</w:t>
      </w:r>
      <w:r w:rsidRPr="00DD10E5">
        <w:rPr>
          <w:rFonts w:eastAsia="MS Mincho" w:cs="–Ô˜øªñ„"/>
          <w:lang w:val="en-US" w:eastAsia="ja-JP"/>
        </w:rPr>
        <w:t xml:space="preserve"> is an IIR sponsored by the Children’s Oncology Group (COG) in the US investigating inotuzumab ozogamicin at a starting dose of 1.8 mg/</w:t>
      </w:r>
      <w:r w:rsidR="00F769DD" w:rsidRPr="00AA53F4">
        <w:rPr>
          <w:lang w:val="en-US"/>
        </w:rPr>
        <w:t>m</w:t>
      </w:r>
      <w:r w:rsidR="00F769DD" w:rsidRPr="00F769DD">
        <w:rPr>
          <w:vertAlign w:val="superscript"/>
          <w:lang w:val="en-US"/>
        </w:rPr>
        <w:t>2</w:t>
      </w:r>
      <w:r w:rsidRPr="00DD10E5">
        <w:rPr>
          <w:rFonts w:eastAsia="MS Mincho" w:cs="–Ô˜øªñ„"/>
          <w:lang w:val="en-US" w:eastAsia="ja-JP"/>
        </w:rPr>
        <w:t xml:space="preserve">/cycle using the weekly schedule in pediatric </w:t>
      </w:r>
      <w:proofErr w:type="gramStart"/>
      <w:r w:rsidRPr="00DD10E5">
        <w:rPr>
          <w:rFonts w:eastAsia="MS Mincho" w:cs="–Ô˜øªñ„"/>
          <w:lang w:val="en-US" w:eastAsia="ja-JP"/>
        </w:rPr>
        <w:t>patients</w:t>
      </w:r>
      <w:proofErr w:type="gramEnd"/>
      <w:r w:rsidRPr="00DD10E5">
        <w:rPr>
          <w:rFonts w:eastAsia="MS Mincho" w:cs="–Ô˜øªñ„"/>
          <w:lang w:val="en-US" w:eastAsia="ja-JP"/>
        </w:rPr>
        <w:t xml:space="preserve"> </w:t>
      </w:r>
      <w:r w:rsidR="00503681">
        <w:rPr>
          <w:rFonts w:eastAsia="MS Mincho" w:cs="–Ô˜øªñ„"/>
          <w:lang w:val="en-US" w:eastAsia="ja-JP"/>
        </w:rPr>
        <w:t xml:space="preserve">≥ </w:t>
      </w:r>
      <w:r w:rsidRPr="00DD10E5">
        <w:rPr>
          <w:rFonts w:eastAsia="MS Mincho" w:cs="–Ô˜øªñ„"/>
          <w:lang w:val="en-US" w:eastAsia="ja-JP"/>
        </w:rPr>
        <w:t xml:space="preserve">1 year of age with relapsed or refractory </w:t>
      </w:r>
      <w:r w:rsidR="006779D9">
        <w:rPr>
          <w:rFonts w:eastAsia="MS Mincho" w:cs="–Ô˜øªñ„"/>
          <w:lang w:val="en-US" w:eastAsia="ja-JP"/>
        </w:rPr>
        <w:t>B cell</w:t>
      </w:r>
      <w:r w:rsidRPr="00DD10E5">
        <w:rPr>
          <w:rFonts w:eastAsia="MS Mincho" w:cs="–Ô˜øªñ„"/>
          <w:lang w:val="en-US" w:eastAsia="ja-JP"/>
        </w:rPr>
        <w:t xml:space="preserve"> ALL. As of 30 October 2017, 16 of the planned 56 patients have been enrolled (Pfizer’s INSPIRE Tracking System </w:t>
      </w:r>
      <w:r w:rsidR="00503681">
        <w:rPr>
          <w:rFonts w:eastAsia="MS Mincho" w:cs="–Ô˜øªñ„"/>
          <w:lang w:val="en-US" w:eastAsia="ja-JP"/>
        </w:rPr>
        <w:t>(</w:t>
      </w:r>
      <w:r w:rsidR="000F385B">
        <w:rPr>
          <w:rFonts w:eastAsia="MS Mincho" w:cs="–Ô˜øªñ„"/>
          <w:lang w:val="en-US" w:eastAsia="ja-JP"/>
        </w:rPr>
        <w:t xml:space="preserve">Accessed </w:t>
      </w:r>
      <w:r w:rsidRPr="00DD10E5">
        <w:rPr>
          <w:rFonts w:eastAsia="MS Mincho" w:cs="–Ô˜øªñ„"/>
          <w:lang w:val="en-US" w:eastAsia="ja-JP"/>
        </w:rPr>
        <w:t>9 November 2017</w:t>
      </w:r>
      <w:r w:rsidR="00503681">
        <w:rPr>
          <w:rFonts w:eastAsia="MS Mincho" w:cs="–Ô˜øªñ„"/>
          <w:lang w:val="en-US" w:eastAsia="ja-JP"/>
        </w:rPr>
        <w:t>)</w:t>
      </w:r>
      <w:r w:rsidRPr="00DD10E5">
        <w:rPr>
          <w:rFonts w:eastAsia="MS Mincho" w:cs="–Ô˜øªñ„"/>
          <w:lang w:val="en-US" w:eastAsia="ja-JP"/>
        </w:rPr>
        <w:t>).</w:t>
      </w:r>
    </w:p>
    <w:p w14:paraId="18FC8B0A" w14:textId="72742E2C" w:rsidR="00E33935" w:rsidRPr="000F385B" w:rsidRDefault="000F385B" w:rsidP="002468EF">
      <w:pPr>
        <w:pStyle w:val="Heading6"/>
        <w:rPr>
          <w:lang w:val="en-US" w:eastAsia="ja-JP"/>
        </w:rPr>
      </w:pPr>
      <w:r>
        <w:rPr>
          <w:lang w:val="en-US" w:eastAsia="ja-JP"/>
        </w:rPr>
        <w:t xml:space="preserve">Clinical </w:t>
      </w:r>
      <w:r w:rsidR="0006303D">
        <w:rPr>
          <w:lang w:val="en-US" w:eastAsia="ja-JP"/>
        </w:rPr>
        <w:t>e</w:t>
      </w:r>
      <w:r>
        <w:rPr>
          <w:lang w:val="en-US" w:eastAsia="ja-JP"/>
        </w:rPr>
        <w:t xml:space="preserve">valuator’s </w:t>
      </w:r>
      <w:r w:rsidR="0006303D">
        <w:rPr>
          <w:lang w:val="en-US" w:eastAsia="ja-JP"/>
        </w:rPr>
        <w:t>c</w:t>
      </w:r>
      <w:r>
        <w:rPr>
          <w:lang w:val="en-US" w:eastAsia="ja-JP"/>
        </w:rPr>
        <w:t>omment</w:t>
      </w:r>
    </w:p>
    <w:p w14:paraId="2B6EACDD" w14:textId="77777777" w:rsidR="00503681" w:rsidRDefault="00E33935" w:rsidP="000F385B">
      <w:pPr>
        <w:rPr>
          <w:lang w:val="en-US" w:eastAsia="ja-JP"/>
        </w:rPr>
      </w:pPr>
      <w:r w:rsidRPr="00DD10E5">
        <w:rPr>
          <w:lang w:val="en-US" w:eastAsia="ja-JP"/>
        </w:rPr>
        <w:t>The sponsor’s response is satisfactory</w:t>
      </w:r>
      <w:r w:rsidR="00503681">
        <w:rPr>
          <w:lang w:val="en-US" w:eastAsia="ja-JP"/>
        </w:rPr>
        <w:t>.</w:t>
      </w:r>
    </w:p>
    <w:p w14:paraId="4FEA76E5" w14:textId="77777777" w:rsidR="00E33935" w:rsidRDefault="00E33935" w:rsidP="00E33935">
      <w:pPr>
        <w:pStyle w:val="Heading4"/>
      </w:pPr>
      <w:r w:rsidRPr="00E01445">
        <w:t>Pharmacokinetics</w:t>
      </w:r>
    </w:p>
    <w:p w14:paraId="70E01C82" w14:textId="6E1C55AD" w:rsidR="00E33935" w:rsidRDefault="00E33935" w:rsidP="00E33935">
      <w:pPr>
        <w:pStyle w:val="Heading5"/>
        <w:rPr>
          <w:lang w:eastAsia="ja-JP"/>
        </w:rPr>
      </w:pPr>
      <w:r w:rsidRPr="00E33935">
        <w:rPr>
          <w:lang w:eastAsia="ja-JP"/>
        </w:rPr>
        <w:t xml:space="preserve">Question </w:t>
      </w:r>
      <w:r w:rsidR="0006303D">
        <w:rPr>
          <w:lang w:eastAsia="ja-JP"/>
        </w:rPr>
        <w:t>2</w:t>
      </w:r>
    </w:p>
    <w:p w14:paraId="60B2A7F4" w14:textId="77777777" w:rsidR="00503681" w:rsidRPr="002468EF" w:rsidRDefault="00E33935" w:rsidP="00E33935">
      <w:pPr>
        <w:rPr>
          <w:rFonts w:asciiTheme="minorHAnsi" w:hAnsiTheme="minorHAnsi"/>
          <w:i/>
        </w:rPr>
      </w:pPr>
      <w:r w:rsidRPr="002468EF">
        <w:rPr>
          <w:rFonts w:asciiTheme="minorHAnsi" w:hAnsiTheme="minorHAnsi"/>
          <w:i/>
        </w:rPr>
        <w:t xml:space="preserve">In the Summary of Clinical Pharmacology, the value given for mean </w:t>
      </w:r>
      <w:proofErr w:type="spellStart"/>
      <w:r w:rsidR="00F769DD" w:rsidRPr="0006303D">
        <w:rPr>
          <w:lang w:val="en-US"/>
        </w:rPr>
        <w:t>AUC</w:t>
      </w:r>
      <w:r w:rsidR="00F769DD" w:rsidRPr="0006303D">
        <w:rPr>
          <w:vertAlign w:val="subscript"/>
          <w:lang w:val="en-US"/>
        </w:rPr>
        <w:t>tau</w:t>
      </w:r>
      <w:proofErr w:type="spellEnd"/>
      <w:r w:rsidR="000F385B" w:rsidRPr="002468EF">
        <w:rPr>
          <w:rFonts w:asciiTheme="minorHAnsi" w:hAnsiTheme="minorHAnsi"/>
          <w:i/>
        </w:rPr>
        <w:t xml:space="preserve"> of 4350 </w:t>
      </w:r>
      <w:r w:rsidRPr="002468EF">
        <w:rPr>
          <w:rFonts w:asciiTheme="minorHAnsi" w:hAnsiTheme="minorHAnsi"/>
          <w:i/>
        </w:rPr>
        <w:t>ng.hr/mL in Study Cycle 4 Day of Dose 94 (Table 16) appears to be incorrect. The source table from which the value is taken (</w:t>
      </w:r>
      <w:r w:rsidRPr="002468EF">
        <w:rPr>
          <w:rFonts w:asciiTheme="minorHAnsi" w:eastAsiaTheme="minorHAnsi" w:hAnsiTheme="minorHAnsi" w:cs="TimesNewRoman"/>
          <w:i/>
        </w:rPr>
        <w:t xml:space="preserve">PMAR-EQDD-B193a-DP4-202-Supplement, Table 14) indicates that the value is </w:t>
      </w:r>
      <w:proofErr w:type="gramStart"/>
      <w:r w:rsidRPr="002468EF">
        <w:rPr>
          <w:rFonts w:asciiTheme="minorHAnsi" w:eastAsiaTheme="minorHAnsi" w:hAnsiTheme="minorHAnsi" w:cs="TimesNewRoman"/>
          <w:i/>
        </w:rPr>
        <w:t xml:space="preserve">43500 </w:t>
      </w:r>
      <w:r w:rsidRPr="002468EF">
        <w:rPr>
          <w:rFonts w:asciiTheme="minorHAnsi" w:hAnsiTheme="minorHAnsi"/>
          <w:i/>
        </w:rPr>
        <w:t>ng.hr/</w:t>
      </w:r>
      <w:proofErr w:type="spellStart"/>
      <w:r w:rsidRPr="002468EF">
        <w:rPr>
          <w:rFonts w:asciiTheme="minorHAnsi" w:hAnsiTheme="minorHAnsi"/>
          <w:i/>
        </w:rPr>
        <w:t>mL</w:t>
      </w:r>
      <w:proofErr w:type="gramEnd"/>
      <w:r w:rsidRPr="002468EF">
        <w:rPr>
          <w:rFonts w:asciiTheme="minorHAnsi" w:hAnsiTheme="minorHAnsi"/>
          <w:i/>
        </w:rPr>
        <w:t>.</w:t>
      </w:r>
      <w:proofErr w:type="spellEnd"/>
      <w:r w:rsidRPr="002468EF">
        <w:rPr>
          <w:rFonts w:asciiTheme="minorHAnsi" w:hAnsiTheme="minorHAnsi"/>
          <w:i/>
        </w:rPr>
        <w:t xml:space="preserve"> Please comment on this apparent discrepancy</w:t>
      </w:r>
      <w:r w:rsidR="00503681" w:rsidRPr="002468EF">
        <w:rPr>
          <w:rFonts w:asciiTheme="minorHAnsi" w:hAnsiTheme="minorHAnsi"/>
          <w:i/>
        </w:rPr>
        <w:t>.</w:t>
      </w:r>
    </w:p>
    <w:p w14:paraId="5CBEA44C" w14:textId="500FCC40" w:rsidR="00A41567" w:rsidRPr="004B7FD2" w:rsidRDefault="00A41567" w:rsidP="00A41567">
      <w:pPr>
        <w:pStyle w:val="Heading6"/>
        <w:rPr>
          <w:lang w:eastAsia="ja-JP"/>
        </w:rPr>
      </w:pPr>
      <w:r w:rsidRPr="004B7FD2">
        <w:rPr>
          <w:lang w:eastAsia="ja-JP"/>
        </w:rPr>
        <w:t xml:space="preserve">Sponsor’s </w:t>
      </w:r>
      <w:r w:rsidR="0006303D">
        <w:rPr>
          <w:lang w:eastAsia="ja-JP"/>
        </w:rPr>
        <w:t>response</w:t>
      </w:r>
    </w:p>
    <w:p w14:paraId="3CBADD38" w14:textId="77777777" w:rsidR="00503681" w:rsidRDefault="00E33935" w:rsidP="000F385B">
      <w:pPr>
        <w:rPr>
          <w:lang w:val="en-US" w:eastAsia="ja-JP"/>
        </w:rPr>
      </w:pPr>
      <w:r w:rsidRPr="00DD10E5">
        <w:rPr>
          <w:lang w:val="en-US" w:eastAsia="ja-JP"/>
        </w:rPr>
        <w:t>The simulated mean for area under the cu</w:t>
      </w:r>
      <w:r>
        <w:rPr>
          <w:lang w:val="en-US" w:eastAsia="ja-JP"/>
        </w:rPr>
        <w:t>rve (</w:t>
      </w:r>
      <w:proofErr w:type="spellStart"/>
      <w:r w:rsidR="00F769DD" w:rsidRPr="00AA53F4">
        <w:rPr>
          <w:lang w:val="en-US"/>
        </w:rPr>
        <w:t>AUC</w:t>
      </w:r>
      <w:r w:rsidR="00F769DD" w:rsidRPr="00F769DD">
        <w:rPr>
          <w:vertAlign w:val="subscript"/>
          <w:lang w:val="en-US"/>
        </w:rPr>
        <w:t>tau</w:t>
      </w:r>
      <w:proofErr w:type="spellEnd"/>
      <w:r>
        <w:rPr>
          <w:lang w:val="en-US" w:eastAsia="ja-JP"/>
        </w:rPr>
        <w:t xml:space="preserve">) for Cycle 4 Day 92 </w:t>
      </w:r>
      <w:r w:rsidR="000F385B">
        <w:rPr>
          <w:lang w:val="en-US" w:eastAsia="ja-JP"/>
        </w:rPr>
        <w:t xml:space="preserve">is </w:t>
      </w:r>
      <w:proofErr w:type="gramStart"/>
      <w:r w:rsidR="000F385B">
        <w:rPr>
          <w:lang w:val="en-US" w:eastAsia="ja-JP"/>
        </w:rPr>
        <w:t>43500 </w:t>
      </w:r>
      <w:r w:rsidRPr="00DD10E5">
        <w:rPr>
          <w:lang w:val="en-US" w:eastAsia="ja-JP"/>
        </w:rPr>
        <w:t>ng.hr/</w:t>
      </w:r>
      <w:proofErr w:type="spellStart"/>
      <w:r w:rsidRPr="00DD10E5">
        <w:rPr>
          <w:lang w:val="en-US" w:eastAsia="ja-JP"/>
        </w:rPr>
        <w:t>mL</w:t>
      </w:r>
      <w:proofErr w:type="gramEnd"/>
      <w:r w:rsidRPr="00DD10E5">
        <w:rPr>
          <w:lang w:val="en-US" w:eastAsia="ja-JP"/>
        </w:rPr>
        <w:t>.</w:t>
      </w:r>
      <w:proofErr w:type="spellEnd"/>
      <w:r w:rsidRPr="00DD10E5">
        <w:rPr>
          <w:lang w:val="en-US" w:eastAsia="ja-JP"/>
        </w:rPr>
        <w:t xml:space="preserve"> The mean </w:t>
      </w:r>
      <w:proofErr w:type="spellStart"/>
      <w:r w:rsidR="00F769DD" w:rsidRPr="00AA53F4">
        <w:rPr>
          <w:lang w:val="en-US"/>
        </w:rPr>
        <w:t>AUC</w:t>
      </w:r>
      <w:r w:rsidR="00F769DD" w:rsidRPr="00F769DD">
        <w:rPr>
          <w:vertAlign w:val="subscript"/>
          <w:lang w:val="en-US"/>
        </w:rPr>
        <w:t>tau</w:t>
      </w:r>
      <w:proofErr w:type="spellEnd"/>
      <w:r w:rsidRPr="00DD10E5">
        <w:rPr>
          <w:lang w:val="en-US" w:eastAsia="ja-JP"/>
        </w:rPr>
        <w:t xml:space="preserve"> for </w:t>
      </w:r>
      <w:r>
        <w:rPr>
          <w:lang w:val="en-US" w:eastAsia="ja-JP"/>
        </w:rPr>
        <w:t xml:space="preserve">Cycle 4 Day 92 is incorrect. </w:t>
      </w:r>
      <w:r w:rsidR="00503681">
        <w:rPr>
          <w:lang w:val="en-US" w:eastAsia="ja-JP"/>
        </w:rPr>
        <w:t>(</w:t>
      </w:r>
      <w:r w:rsidRPr="00DD10E5">
        <w:rPr>
          <w:lang w:val="en-US" w:eastAsia="ja-JP"/>
        </w:rPr>
        <w:t>The sponsor provided a corrected Table 1</w:t>
      </w:r>
      <w:r>
        <w:rPr>
          <w:lang w:val="en-US" w:eastAsia="ja-JP"/>
        </w:rPr>
        <w:t>6</w:t>
      </w:r>
      <w:r w:rsidR="00503681">
        <w:rPr>
          <w:lang w:val="en-US" w:eastAsia="ja-JP"/>
        </w:rPr>
        <w:t>).</w:t>
      </w:r>
    </w:p>
    <w:p w14:paraId="67C575F2" w14:textId="4F4C4EE1" w:rsidR="00E33935" w:rsidRPr="000F385B" w:rsidRDefault="00E33935" w:rsidP="002468EF">
      <w:pPr>
        <w:pStyle w:val="Heading6"/>
        <w:rPr>
          <w:lang w:val="en-US" w:eastAsia="ja-JP"/>
        </w:rPr>
      </w:pPr>
      <w:r w:rsidRPr="000F385B">
        <w:rPr>
          <w:lang w:val="en-US" w:eastAsia="ja-JP"/>
        </w:rPr>
        <w:t xml:space="preserve">Clinical </w:t>
      </w:r>
      <w:r w:rsidR="0006303D">
        <w:rPr>
          <w:lang w:val="en-US" w:eastAsia="ja-JP"/>
        </w:rPr>
        <w:t>e</w:t>
      </w:r>
      <w:r w:rsidRPr="000F385B">
        <w:rPr>
          <w:lang w:val="en-US" w:eastAsia="ja-JP"/>
        </w:rPr>
        <w:t xml:space="preserve">valuator’s </w:t>
      </w:r>
      <w:r w:rsidR="0006303D">
        <w:rPr>
          <w:lang w:val="en-US" w:eastAsia="ja-JP"/>
        </w:rPr>
        <w:t>c</w:t>
      </w:r>
      <w:r w:rsidRPr="000F385B">
        <w:rPr>
          <w:lang w:val="en-US" w:eastAsia="ja-JP"/>
        </w:rPr>
        <w:t>omment</w:t>
      </w:r>
    </w:p>
    <w:p w14:paraId="1D4AC57E" w14:textId="77777777" w:rsidR="00503681" w:rsidRDefault="00E33935" w:rsidP="000F385B">
      <w:pPr>
        <w:rPr>
          <w:lang w:val="en-US" w:eastAsia="ja-JP"/>
        </w:rPr>
      </w:pPr>
      <w:r w:rsidRPr="00DD10E5">
        <w:rPr>
          <w:lang w:val="en-US" w:eastAsia="ja-JP"/>
        </w:rPr>
        <w:t>The sponsor’s response is satisfactory.</w:t>
      </w:r>
      <w:r>
        <w:rPr>
          <w:lang w:val="en-US" w:eastAsia="ja-JP"/>
        </w:rPr>
        <w:t xml:space="preserve"> However, the </w:t>
      </w:r>
      <w:r w:rsidR="000F385B">
        <w:rPr>
          <w:lang w:val="en-US" w:eastAsia="ja-JP"/>
        </w:rPr>
        <w:t>quality</w:t>
      </w:r>
      <w:r>
        <w:rPr>
          <w:lang w:val="en-US" w:eastAsia="ja-JP"/>
        </w:rPr>
        <w:t xml:space="preserve"> evaluator should be asked to comment on the response</w:t>
      </w:r>
      <w:r w:rsidR="00503681">
        <w:rPr>
          <w:lang w:val="en-US" w:eastAsia="ja-JP"/>
        </w:rPr>
        <w:t>.</w:t>
      </w:r>
    </w:p>
    <w:p w14:paraId="588740EC" w14:textId="3D7AE1A9" w:rsidR="00E33935" w:rsidRDefault="00E33935" w:rsidP="00E33935">
      <w:pPr>
        <w:pStyle w:val="Heading5"/>
        <w:rPr>
          <w:rFonts w:eastAsia="MS Mincho"/>
          <w:lang w:val="en-US" w:eastAsia="ja-JP"/>
        </w:rPr>
      </w:pPr>
      <w:r w:rsidRPr="00DD10E5">
        <w:rPr>
          <w:rFonts w:eastAsia="MS Mincho"/>
          <w:lang w:val="en-US" w:eastAsia="ja-JP"/>
        </w:rPr>
        <w:t>Question</w:t>
      </w:r>
      <w:r>
        <w:rPr>
          <w:rFonts w:eastAsia="MS Mincho"/>
          <w:lang w:val="en-US" w:eastAsia="ja-JP"/>
        </w:rPr>
        <w:t xml:space="preserve"> </w:t>
      </w:r>
      <w:r w:rsidR="0006303D">
        <w:rPr>
          <w:rFonts w:eastAsia="MS Mincho"/>
          <w:lang w:val="en-US" w:eastAsia="ja-JP"/>
        </w:rPr>
        <w:t>3</w:t>
      </w:r>
    </w:p>
    <w:p w14:paraId="57D288E1" w14:textId="2E2FD4A8" w:rsidR="00E33935" w:rsidRPr="002468EF" w:rsidRDefault="00E33935" w:rsidP="000F385B">
      <w:pPr>
        <w:rPr>
          <w:i/>
          <w:lang w:val="en-US" w:eastAsia="ja-JP"/>
        </w:rPr>
      </w:pPr>
      <w:r w:rsidRPr="002468EF">
        <w:rPr>
          <w:i/>
          <w:lang w:val="en-US"/>
        </w:rPr>
        <w:t xml:space="preserve">It was reported that there are 19 chiral centres on the activated calicheamicin derivative structure and two </w:t>
      </w:r>
      <w:r w:rsidRPr="002468EF">
        <w:rPr>
          <w:rFonts w:cs="‡oˆø◊gÁ"/>
          <w:i/>
          <w:lang w:val="en-US"/>
        </w:rPr>
        <w:t xml:space="preserve">possible E-Z </w:t>
      </w:r>
      <w:proofErr w:type="spellStart"/>
      <w:r w:rsidRPr="002468EF">
        <w:rPr>
          <w:rFonts w:cs="‡oˆø◊gÁ"/>
          <w:i/>
          <w:lang w:val="en-US"/>
        </w:rPr>
        <w:t>isomeri</w:t>
      </w:r>
      <w:r w:rsidR="0006303D" w:rsidRPr="002468EF">
        <w:rPr>
          <w:rFonts w:cs="‡oˆø◊gÁ"/>
          <w:i/>
          <w:lang w:val="en-US"/>
        </w:rPr>
        <w:t>s</w:t>
      </w:r>
      <w:r w:rsidRPr="002468EF">
        <w:rPr>
          <w:rFonts w:cs="‡oˆø◊gÁ"/>
          <w:i/>
          <w:lang w:val="en-US"/>
        </w:rPr>
        <w:t>ation</w:t>
      </w:r>
      <w:proofErr w:type="spellEnd"/>
      <w:r w:rsidRPr="002468EF">
        <w:rPr>
          <w:rFonts w:cs="‡oˆø◊gÁ"/>
          <w:i/>
          <w:lang w:val="en-US"/>
        </w:rPr>
        <w:t xml:space="preserve"> sites.</w:t>
      </w:r>
      <w:r w:rsidRPr="002468EF">
        <w:rPr>
          <w:i/>
          <w:lang w:val="en-US"/>
        </w:rPr>
        <w:t xml:space="preserve"> During the studies aimed at identifying the various impurities in activated calicheamicin derivative it was reported that an interconverting isomer of activated calicheamicin derivative was being separated from the main HPLC peak under the conditions used for the analysis and release of the material. Please comment on the clinical significance of the identified interconverting isomer of activated calicheamicin derivative.</w:t>
      </w:r>
    </w:p>
    <w:p w14:paraId="3DC3B215" w14:textId="58EEA179" w:rsidR="00A41567" w:rsidRDefault="00A41567" w:rsidP="00A41567">
      <w:pPr>
        <w:pStyle w:val="Heading6"/>
        <w:rPr>
          <w:lang w:eastAsia="ja-JP"/>
        </w:rPr>
      </w:pPr>
      <w:r>
        <w:rPr>
          <w:lang w:eastAsia="ja-JP"/>
        </w:rPr>
        <w:t xml:space="preserve">Sponsor’s </w:t>
      </w:r>
      <w:r w:rsidR="0006303D">
        <w:rPr>
          <w:lang w:eastAsia="ja-JP"/>
        </w:rPr>
        <w:t>r</w:t>
      </w:r>
      <w:r>
        <w:rPr>
          <w:lang w:eastAsia="ja-JP"/>
        </w:rPr>
        <w:t>esponse</w:t>
      </w:r>
    </w:p>
    <w:p w14:paraId="43928309" w14:textId="77777777" w:rsidR="00E33935" w:rsidRPr="00DD10E5" w:rsidRDefault="00E33935" w:rsidP="000F385B">
      <w:pPr>
        <w:rPr>
          <w:lang w:val="en-US" w:eastAsia="ja-JP"/>
        </w:rPr>
      </w:pPr>
      <w:r w:rsidRPr="00DD10E5">
        <w:rPr>
          <w:lang w:val="en-US" w:eastAsia="ja-JP"/>
        </w:rPr>
        <w:t>The presence of the interconverting isomers in the activated calicheamicin derivative is not clinically significant for one or both of the following reasons:</w:t>
      </w:r>
    </w:p>
    <w:p w14:paraId="66B9C84F" w14:textId="77777777" w:rsidR="00E33935" w:rsidRPr="00DD10E5" w:rsidRDefault="00E33935" w:rsidP="000F385B">
      <w:pPr>
        <w:pStyle w:val="ListBullet"/>
        <w:rPr>
          <w:lang w:val="en-US" w:eastAsia="ja-JP"/>
        </w:rPr>
      </w:pPr>
      <w:r w:rsidRPr="00DD10E5">
        <w:rPr>
          <w:lang w:val="en-US" w:eastAsia="ja-JP"/>
        </w:rPr>
        <w:t xml:space="preserve">The inotuzumab ozogamicin administered to the patient </w:t>
      </w:r>
      <w:r>
        <w:rPr>
          <w:lang w:val="en-US" w:eastAsia="ja-JP"/>
        </w:rPr>
        <w:t xml:space="preserve">contains an invariant ratio of </w:t>
      </w:r>
      <w:r w:rsidRPr="00DD10E5">
        <w:rPr>
          <w:lang w:val="en-US" w:eastAsia="ja-JP"/>
        </w:rPr>
        <w:t>isomers of the calicheamicin derivative. Since the isomers are interconverting and th</w:t>
      </w:r>
      <w:r>
        <w:rPr>
          <w:lang w:val="en-US" w:eastAsia="ja-JP"/>
        </w:rPr>
        <w:t xml:space="preserve">e </w:t>
      </w:r>
      <w:r w:rsidRPr="00DD10E5">
        <w:rPr>
          <w:lang w:val="en-US" w:eastAsia="ja-JP"/>
        </w:rPr>
        <w:t>time needed to reach equilibrium is relatively short, th</w:t>
      </w:r>
      <w:r>
        <w:rPr>
          <w:lang w:val="en-US" w:eastAsia="ja-JP"/>
        </w:rPr>
        <w:t xml:space="preserve">eir ratio is thermodynamically </w:t>
      </w:r>
      <w:r w:rsidRPr="00DD10E5">
        <w:rPr>
          <w:lang w:val="en-US" w:eastAsia="ja-JP"/>
        </w:rPr>
        <w:t>controlled. Based upon th</w:t>
      </w:r>
      <w:r>
        <w:rPr>
          <w:lang w:val="en-US" w:eastAsia="ja-JP"/>
        </w:rPr>
        <w:t xml:space="preserve">e literature cited in </w:t>
      </w:r>
      <w:r w:rsidR="000F385B">
        <w:rPr>
          <w:lang w:val="en-US" w:eastAsia="ja-JP"/>
        </w:rPr>
        <w:t>the quality module,</w:t>
      </w:r>
      <w:r>
        <w:rPr>
          <w:lang w:val="en-US" w:eastAsia="ja-JP"/>
        </w:rPr>
        <w:t xml:space="preserve"> </w:t>
      </w:r>
      <w:r w:rsidRPr="00DD10E5">
        <w:rPr>
          <w:lang w:val="en-US" w:eastAsia="ja-JP"/>
        </w:rPr>
        <w:t>th</w:t>
      </w:r>
      <w:r>
        <w:rPr>
          <w:lang w:val="en-US" w:eastAsia="ja-JP"/>
        </w:rPr>
        <w:t xml:space="preserve">e equilibration of the isomers </w:t>
      </w:r>
      <w:r w:rsidRPr="00DD10E5">
        <w:rPr>
          <w:lang w:val="en-US" w:eastAsia="ja-JP"/>
        </w:rPr>
        <w:t>does not require nucleophilic attack on the hydrazide; therefore, the equilibration proceeds irrespective of the medium in which the calicheamicin derivative is contained (</w:t>
      </w:r>
      <w:r w:rsidR="00503681">
        <w:rPr>
          <w:lang w:val="en-US" w:eastAsia="ja-JP"/>
        </w:rPr>
        <w:t>that is</w:t>
      </w:r>
      <w:r w:rsidRPr="00DD10E5">
        <w:rPr>
          <w:lang w:val="en-US" w:eastAsia="ja-JP"/>
        </w:rPr>
        <w:t>, including both organic and aqueous solvents). Therefore, given the amount of time involved in the manufacturing of the activated calicheamicin derivative and the inotuzumab ozogamicin drug substance and drug product, equilibrium is consistently achieved.</w:t>
      </w:r>
    </w:p>
    <w:p w14:paraId="004668F4" w14:textId="77777777" w:rsidR="00E33935" w:rsidRPr="00DD10E5" w:rsidRDefault="00E33935" w:rsidP="000F385B">
      <w:pPr>
        <w:pStyle w:val="ListBullet"/>
        <w:rPr>
          <w:lang w:val="en-US" w:eastAsia="ja-JP"/>
        </w:rPr>
      </w:pPr>
      <w:r w:rsidRPr="00DD10E5">
        <w:rPr>
          <w:lang w:val="en-US" w:eastAsia="ja-JP"/>
        </w:rPr>
        <w:t>The point of isomerization is removed during the delivery of the active calicheamicin</w:t>
      </w:r>
      <w:r w:rsidR="000F385B">
        <w:rPr>
          <w:lang w:val="en-US" w:eastAsia="ja-JP"/>
        </w:rPr>
        <w:t xml:space="preserve"> </w:t>
      </w:r>
      <w:r w:rsidRPr="00DD10E5">
        <w:rPr>
          <w:lang w:val="en-US" w:eastAsia="ja-JP"/>
        </w:rPr>
        <w:t>molecule to cellular DNA</w:t>
      </w:r>
      <w:r w:rsidR="000F385B">
        <w:rPr>
          <w:lang w:val="en-US" w:eastAsia="ja-JP"/>
        </w:rPr>
        <w:t>.</w:t>
      </w:r>
      <w:r w:rsidRPr="00DD10E5">
        <w:rPr>
          <w:lang w:val="en-US" w:eastAsia="ja-JP"/>
        </w:rPr>
        <w:t xml:space="preserve"> The origin and fate of the isomers is described in </w:t>
      </w:r>
      <w:r w:rsidR="000F385B">
        <w:rPr>
          <w:lang w:val="en-US" w:eastAsia="ja-JP"/>
        </w:rPr>
        <w:t xml:space="preserve">the quality </w:t>
      </w:r>
      <w:r w:rsidR="000F385B">
        <w:rPr>
          <w:lang w:val="en-US" w:eastAsia="ja-JP"/>
        </w:rPr>
        <w:lastRenderedPageBreak/>
        <w:t>module.</w:t>
      </w:r>
      <w:r w:rsidRPr="00DD10E5">
        <w:rPr>
          <w:lang w:val="en-US" w:eastAsia="ja-JP"/>
        </w:rPr>
        <w:t xml:space="preserve"> The isomeric moiety is the hydrazide portion of the linker which is hydrolyzed when inotuzumab ozogamicin enters the tumor cell. This hydrolysis removes the point of isomerism; therefore, the same calicheamicin molecule, after being further reduced and without isomeric potential, interacts with DNA, and leads to cell death.</w:t>
      </w:r>
    </w:p>
    <w:p w14:paraId="2834FB7C" w14:textId="29F1CBD3" w:rsidR="00E33935" w:rsidRPr="000F385B" w:rsidRDefault="00E33935" w:rsidP="002468EF">
      <w:pPr>
        <w:pStyle w:val="Heading6"/>
        <w:rPr>
          <w:lang w:val="en-US" w:eastAsia="ja-JP"/>
        </w:rPr>
      </w:pPr>
      <w:r w:rsidRPr="000F385B">
        <w:rPr>
          <w:lang w:val="en-US" w:eastAsia="ja-JP"/>
        </w:rPr>
        <w:t xml:space="preserve">Clinical </w:t>
      </w:r>
      <w:r w:rsidR="0006303D">
        <w:rPr>
          <w:lang w:val="en-US" w:eastAsia="ja-JP"/>
        </w:rPr>
        <w:t>e</w:t>
      </w:r>
      <w:r w:rsidRPr="000F385B">
        <w:rPr>
          <w:lang w:val="en-US" w:eastAsia="ja-JP"/>
        </w:rPr>
        <w:t xml:space="preserve">valuator’s </w:t>
      </w:r>
      <w:r w:rsidR="0006303D">
        <w:rPr>
          <w:lang w:val="en-US" w:eastAsia="ja-JP"/>
        </w:rPr>
        <w:t>c</w:t>
      </w:r>
      <w:r w:rsidRPr="000F385B">
        <w:rPr>
          <w:lang w:val="en-US" w:eastAsia="ja-JP"/>
        </w:rPr>
        <w:t>omment</w:t>
      </w:r>
    </w:p>
    <w:p w14:paraId="13A08949" w14:textId="77777777" w:rsidR="00503681" w:rsidRDefault="00E33935" w:rsidP="000F385B">
      <w:pPr>
        <w:rPr>
          <w:lang w:val="en-US" w:eastAsia="ja-JP"/>
        </w:rPr>
      </w:pPr>
      <w:r w:rsidRPr="00DD10E5">
        <w:rPr>
          <w:lang w:val="en-US" w:eastAsia="ja-JP"/>
        </w:rPr>
        <w:t>The sponsor’s response is satisfactory</w:t>
      </w:r>
      <w:r w:rsidR="00503681">
        <w:rPr>
          <w:lang w:val="en-US" w:eastAsia="ja-JP"/>
        </w:rPr>
        <w:t>.</w:t>
      </w:r>
    </w:p>
    <w:p w14:paraId="10BF7117" w14:textId="3C2535D8" w:rsidR="00E33935" w:rsidRDefault="00E33935" w:rsidP="00E33935">
      <w:pPr>
        <w:pStyle w:val="Heading5"/>
        <w:rPr>
          <w:lang w:val="en-US"/>
        </w:rPr>
      </w:pPr>
      <w:r>
        <w:rPr>
          <w:lang w:val="en-US"/>
        </w:rPr>
        <w:t xml:space="preserve">Question </w:t>
      </w:r>
      <w:r w:rsidR="0006303D">
        <w:rPr>
          <w:lang w:val="en-US"/>
        </w:rPr>
        <w:t>4</w:t>
      </w:r>
    </w:p>
    <w:p w14:paraId="1B624258" w14:textId="77777777" w:rsidR="00E33935" w:rsidRPr="002468EF" w:rsidRDefault="00E33935" w:rsidP="000F385B">
      <w:pPr>
        <w:rPr>
          <w:i/>
          <w:lang w:val="en-US"/>
        </w:rPr>
      </w:pPr>
      <w:r w:rsidRPr="002468EF">
        <w:rPr>
          <w:i/>
          <w:lang w:val="en-US"/>
        </w:rPr>
        <w:t>In the synopsis for the population modelling analysis report (PMAR-EQDD-B193a-Regulatory Response-162a), in the paragraphs discussing the results for the PFS analysis under Tables S7 and S9 reference is made to predictors of survival associated with a lower risk of death. The same issue arises in the discussion of the results for the PFS analysis in Section 7 of the report. However, as the data refer to PFS analyses should the references be to predictors of progression free survival with a lower risk of progression free events rather than predictors of survival associ</w:t>
      </w:r>
      <w:r w:rsidR="000F385B" w:rsidRPr="002468EF">
        <w:rPr>
          <w:i/>
          <w:lang w:val="en-US"/>
        </w:rPr>
        <w:t>ated with a lower risk of death</w:t>
      </w:r>
      <w:r w:rsidRPr="002468EF">
        <w:rPr>
          <w:i/>
          <w:lang w:val="en-US"/>
        </w:rPr>
        <w:t>?</w:t>
      </w:r>
    </w:p>
    <w:p w14:paraId="76CB708C" w14:textId="6BFA0B35" w:rsidR="00A41567" w:rsidRDefault="00A41567" w:rsidP="00A41567">
      <w:pPr>
        <w:pStyle w:val="Heading6"/>
        <w:rPr>
          <w:lang w:eastAsia="ja-JP"/>
        </w:rPr>
      </w:pPr>
      <w:r>
        <w:rPr>
          <w:lang w:eastAsia="ja-JP"/>
        </w:rPr>
        <w:t xml:space="preserve">Sponsor’s </w:t>
      </w:r>
      <w:r w:rsidR="0006303D">
        <w:rPr>
          <w:lang w:eastAsia="ja-JP"/>
        </w:rPr>
        <w:t>r</w:t>
      </w:r>
      <w:r>
        <w:rPr>
          <w:lang w:eastAsia="ja-JP"/>
        </w:rPr>
        <w:t>esponse</w:t>
      </w:r>
    </w:p>
    <w:p w14:paraId="1650567B" w14:textId="77777777" w:rsidR="00503681" w:rsidRDefault="00E33935" w:rsidP="00E33935">
      <w:pPr>
        <w:widowControl w:val="0"/>
        <w:autoSpaceDE w:val="0"/>
        <w:autoSpaceDN w:val="0"/>
        <w:adjustRightInd w:val="0"/>
        <w:rPr>
          <w:rFonts w:eastAsia="MS Mincho" w:cs="–Ô˜øªñ„"/>
          <w:lang w:val="en-US" w:eastAsia="ja-JP"/>
        </w:rPr>
      </w:pPr>
      <w:r w:rsidRPr="00DD10E5">
        <w:rPr>
          <w:rFonts w:eastAsia="MS Mincho" w:cs="–Ô˜øªñ„"/>
          <w:lang w:val="en-US" w:eastAsia="ja-JP"/>
        </w:rPr>
        <w:t xml:space="preserve">In </w:t>
      </w:r>
      <w:r w:rsidR="000F385B">
        <w:rPr>
          <w:rFonts w:eastAsia="MS Mincho" w:cs="–Ô˜øªñ„"/>
          <w:lang w:val="en-US" w:eastAsia="ja-JP"/>
        </w:rPr>
        <w:t>the clinical module</w:t>
      </w:r>
      <w:r w:rsidRPr="00DD10E5">
        <w:rPr>
          <w:rFonts w:eastAsia="MS Mincho" w:cs="–Ô˜øªñ„"/>
          <w:lang w:val="en-US" w:eastAsia="ja-JP"/>
        </w:rPr>
        <w:t xml:space="preserve">, PMAR-EQDD-B193a-Regulatory Response-628, in the paragraphs discussing the results for the PFS analysis under Tables S7 and S9 and in the discussion of the results for the PFS analysis in Section 7 of the report, the data should be referencing to predictors of progression free survival (PFS) with a lower risk of PFS events rather than predictors of survival associated with a lower risk of death. </w:t>
      </w:r>
      <w:r w:rsidR="00503681">
        <w:rPr>
          <w:rFonts w:eastAsia="MS Mincho" w:cs="–Ô˜øªñ„"/>
          <w:lang w:val="en-US" w:eastAsia="ja-JP"/>
        </w:rPr>
        <w:t>(</w:t>
      </w:r>
      <w:r w:rsidRPr="00DD10E5">
        <w:rPr>
          <w:rFonts w:eastAsia="MS Mincho" w:cs="–Ô˜øªñ„"/>
          <w:lang w:val="en-US" w:eastAsia="ja-JP"/>
        </w:rPr>
        <w:t xml:space="preserve">The sponsor </w:t>
      </w:r>
      <w:r>
        <w:rPr>
          <w:rFonts w:eastAsia="MS Mincho" w:cs="–Ô˜øªñ„"/>
          <w:lang w:val="en-US" w:eastAsia="ja-JP"/>
        </w:rPr>
        <w:t>provided</w:t>
      </w:r>
      <w:r w:rsidRPr="00DD10E5">
        <w:rPr>
          <w:rFonts w:eastAsia="MS Mincho" w:cs="–Ô˜øªñ„"/>
          <w:lang w:val="en-US" w:eastAsia="ja-JP"/>
        </w:rPr>
        <w:t xml:space="preserve"> corrected text for discussion of PFS analysis under Tables S7 and S9 and in Section 7 of the PPK analysis report</w:t>
      </w:r>
      <w:r w:rsidR="00503681">
        <w:rPr>
          <w:rFonts w:eastAsia="MS Mincho" w:cs="–Ô˜øªñ„"/>
          <w:lang w:val="en-US" w:eastAsia="ja-JP"/>
        </w:rPr>
        <w:t>).</w:t>
      </w:r>
    </w:p>
    <w:p w14:paraId="21D3A608" w14:textId="62CEEA1D" w:rsidR="00A41567" w:rsidRPr="000F385B" w:rsidRDefault="00A41567" w:rsidP="00A41567">
      <w:pPr>
        <w:pStyle w:val="Heading6"/>
        <w:rPr>
          <w:lang w:val="en-US" w:eastAsia="ja-JP"/>
        </w:rPr>
      </w:pPr>
      <w:r w:rsidRPr="000F385B">
        <w:rPr>
          <w:lang w:val="en-US" w:eastAsia="ja-JP"/>
        </w:rPr>
        <w:t xml:space="preserve">Clinical </w:t>
      </w:r>
      <w:r w:rsidR="0006303D">
        <w:rPr>
          <w:lang w:val="en-US" w:eastAsia="ja-JP"/>
        </w:rPr>
        <w:t>e</w:t>
      </w:r>
      <w:r w:rsidRPr="000F385B">
        <w:rPr>
          <w:lang w:val="en-US" w:eastAsia="ja-JP"/>
        </w:rPr>
        <w:t xml:space="preserve">valuator’s </w:t>
      </w:r>
      <w:r w:rsidR="0006303D">
        <w:rPr>
          <w:lang w:val="en-US" w:eastAsia="ja-JP"/>
        </w:rPr>
        <w:t>c</w:t>
      </w:r>
      <w:r w:rsidRPr="000F385B">
        <w:rPr>
          <w:lang w:val="en-US" w:eastAsia="ja-JP"/>
        </w:rPr>
        <w:t>omment</w:t>
      </w:r>
    </w:p>
    <w:p w14:paraId="1721A6FA" w14:textId="77777777" w:rsidR="00503681" w:rsidRDefault="00E33935" w:rsidP="000F385B">
      <w:pPr>
        <w:rPr>
          <w:lang w:val="en-US" w:eastAsia="ja-JP"/>
        </w:rPr>
      </w:pPr>
      <w:r w:rsidRPr="00DD10E5">
        <w:rPr>
          <w:lang w:val="en-US" w:eastAsia="ja-JP"/>
        </w:rPr>
        <w:t>The sponsor’s response is satisfactory</w:t>
      </w:r>
      <w:r w:rsidR="00503681">
        <w:rPr>
          <w:lang w:val="en-US" w:eastAsia="ja-JP"/>
        </w:rPr>
        <w:t>.</w:t>
      </w:r>
    </w:p>
    <w:p w14:paraId="010F89D5" w14:textId="36F851E6" w:rsidR="00E33935" w:rsidRDefault="00E33935" w:rsidP="00E33935">
      <w:pPr>
        <w:pStyle w:val="Heading5"/>
        <w:rPr>
          <w:lang w:val="en-US"/>
        </w:rPr>
      </w:pPr>
      <w:r w:rsidRPr="00DD10E5">
        <w:rPr>
          <w:lang w:val="en-US"/>
        </w:rPr>
        <w:t xml:space="preserve">Question </w:t>
      </w:r>
      <w:r w:rsidR="0006303D">
        <w:rPr>
          <w:lang w:val="en-US"/>
        </w:rPr>
        <w:t>5</w:t>
      </w:r>
    </w:p>
    <w:p w14:paraId="4C276F05" w14:textId="77777777" w:rsidR="00E33935" w:rsidRPr="002468EF" w:rsidRDefault="00E33935" w:rsidP="000F385B">
      <w:pPr>
        <w:rPr>
          <w:i/>
          <w:lang w:val="en-US"/>
        </w:rPr>
      </w:pPr>
      <w:r w:rsidRPr="002468EF">
        <w:rPr>
          <w:i/>
        </w:rPr>
        <w:t xml:space="preserve">In the PK/PD </w:t>
      </w:r>
      <w:r w:rsidR="00503681" w:rsidRPr="002468EF">
        <w:rPr>
          <w:i/>
        </w:rPr>
        <w:t>Study</w:t>
      </w:r>
      <w:r w:rsidRPr="002468EF">
        <w:rPr>
          <w:i/>
        </w:rPr>
        <w:t xml:space="preserve"> PMAR-EQDD-B193c-DP4-533, it is not clear why the changes from baseline in the </w:t>
      </w:r>
      <w:proofErr w:type="spellStart"/>
      <w:r w:rsidRPr="002468EF">
        <w:rPr>
          <w:i/>
        </w:rPr>
        <w:t>QTcF</w:t>
      </w:r>
      <w:proofErr w:type="spellEnd"/>
      <w:r w:rsidRPr="002468EF">
        <w:rPr>
          <w:i/>
        </w:rPr>
        <w:t xml:space="preserve"> and </w:t>
      </w:r>
      <w:proofErr w:type="spellStart"/>
      <w:r w:rsidRPr="002468EF">
        <w:rPr>
          <w:i/>
        </w:rPr>
        <w:t>QTcS</w:t>
      </w:r>
      <w:proofErr w:type="spellEnd"/>
      <w:r w:rsidRPr="002468EF">
        <w:rPr>
          <w:i/>
        </w:rPr>
        <w:t xml:space="preserve"> at therapeutic and supra-therapeutic </w:t>
      </w:r>
      <w:proofErr w:type="spellStart"/>
      <w:r w:rsidR="00F769DD" w:rsidRPr="002468EF">
        <w:rPr>
          <w:i/>
          <w:lang w:val="en-US"/>
        </w:rPr>
        <w:t>C</w:t>
      </w:r>
      <w:r w:rsidR="00F769DD" w:rsidRPr="002468EF">
        <w:rPr>
          <w:i/>
          <w:vertAlign w:val="subscript"/>
          <w:lang w:val="en-US"/>
        </w:rPr>
        <w:t>max</w:t>
      </w:r>
      <w:proofErr w:type="spellEnd"/>
      <w:r w:rsidRPr="002468EF">
        <w:rPr>
          <w:i/>
        </w:rPr>
        <w:t xml:space="preserve"> levels were</w:t>
      </w:r>
      <w:r w:rsidRPr="002468EF">
        <w:rPr>
          <w:i/>
          <w:lang w:val="en-US"/>
        </w:rPr>
        <w:t xml:space="preserve"> </w:t>
      </w:r>
      <w:proofErr w:type="spellStart"/>
      <w:r w:rsidRPr="002468EF">
        <w:rPr>
          <w:i/>
          <w:lang w:val="en-US"/>
        </w:rPr>
        <w:t>summarised</w:t>
      </w:r>
      <w:proofErr w:type="spellEnd"/>
      <w:r w:rsidRPr="002468EF">
        <w:rPr>
          <w:i/>
          <w:lang w:val="en-US"/>
        </w:rPr>
        <w:t xml:space="preserve"> using the median and 2.5th to 97.5th percentiles. The sponsor is requested to summarise the results using mean changes in </w:t>
      </w:r>
      <w:proofErr w:type="spellStart"/>
      <w:r w:rsidRPr="002468EF">
        <w:rPr>
          <w:i/>
          <w:lang w:val="en-US"/>
        </w:rPr>
        <w:t>QTcF</w:t>
      </w:r>
      <w:proofErr w:type="spellEnd"/>
      <w:r w:rsidRPr="002468EF">
        <w:rPr>
          <w:i/>
          <w:lang w:val="en-US"/>
        </w:rPr>
        <w:t xml:space="preserve"> and </w:t>
      </w:r>
      <w:proofErr w:type="spellStart"/>
      <w:r w:rsidRPr="002468EF">
        <w:rPr>
          <w:i/>
          <w:lang w:val="en-US"/>
        </w:rPr>
        <w:t>QTcS</w:t>
      </w:r>
      <w:proofErr w:type="spellEnd"/>
      <w:r w:rsidRPr="002468EF">
        <w:rPr>
          <w:i/>
          <w:lang w:val="en-US"/>
        </w:rPr>
        <w:t xml:space="preserve"> with 90% confidence intervals at therapeutic and supra-therapeutic </w:t>
      </w:r>
      <w:proofErr w:type="spellStart"/>
      <w:r w:rsidR="00F769DD" w:rsidRPr="002468EF">
        <w:rPr>
          <w:i/>
          <w:lang w:val="en-US"/>
        </w:rPr>
        <w:t>C</w:t>
      </w:r>
      <w:r w:rsidR="00F769DD" w:rsidRPr="002468EF">
        <w:rPr>
          <w:i/>
          <w:vertAlign w:val="subscript"/>
          <w:lang w:val="en-US"/>
        </w:rPr>
        <w:t>max</w:t>
      </w:r>
      <w:proofErr w:type="spellEnd"/>
      <w:r w:rsidRPr="002468EF">
        <w:rPr>
          <w:i/>
          <w:lang w:val="en-US"/>
        </w:rPr>
        <w:t xml:space="preserve"> levels.</w:t>
      </w:r>
    </w:p>
    <w:p w14:paraId="3CA4C814" w14:textId="695F852B" w:rsidR="00A41567" w:rsidRDefault="00A41567" w:rsidP="00A41567">
      <w:pPr>
        <w:pStyle w:val="Heading6"/>
        <w:rPr>
          <w:lang w:eastAsia="ja-JP"/>
        </w:rPr>
      </w:pPr>
      <w:r>
        <w:rPr>
          <w:lang w:eastAsia="ja-JP"/>
        </w:rPr>
        <w:t xml:space="preserve">Sponsor’s </w:t>
      </w:r>
      <w:r w:rsidR="0006303D">
        <w:rPr>
          <w:lang w:eastAsia="ja-JP"/>
        </w:rPr>
        <w:t>r</w:t>
      </w:r>
      <w:r>
        <w:rPr>
          <w:lang w:eastAsia="ja-JP"/>
        </w:rPr>
        <w:t>esponse</w:t>
      </w:r>
    </w:p>
    <w:p w14:paraId="2BDB4FFF" w14:textId="77777777" w:rsidR="00E33935" w:rsidRPr="00DD10E5" w:rsidRDefault="00E33935" w:rsidP="00E33935">
      <w:pPr>
        <w:widowControl w:val="0"/>
        <w:autoSpaceDE w:val="0"/>
        <w:autoSpaceDN w:val="0"/>
        <w:adjustRightInd w:val="0"/>
        <w:rPr>
          <w:rFonts w:eastAsia="MS Mincho" w:cs="–Ô˜øªñ„"/>
          <w:lang w:val="en-US" w:eastAsia="ja-JP"/>
        </w:rPr>
      </w:pPr>
      <w:r w:rsidRPr="00DD10E5">
        <w:rPr>
          <w:rFonts w:eastAsia="MS Mincho" w:cs="–Ô˜øªñ„"/>
          <w:lang w:val="en-US" w:eastAsia="ja-JP"/>
        </w:rPr>
        <w:t xml:space="preserve">In </w:t>
      </w:r>
      <w:r w:rsidR="000F385B">
        <w:rPr>
          <w:rFonts w:eastAsia="MS Mincho" w:cs="–Ô˜øªñ„"/>
          <w:lang w:val="en-US" w:eastAsia="ja-JP"/>
        </w:rPr>
        <w:t>the clinical module</w:t>
      </w:r>
      <w:r w:rsidRPr="00DD10E5">
        <w:rPr>
          <w:rFonts w:eastAsia="MS Mincho" w:cs="–Ô˜øªñ„"/>
          <w:lang w:val="en-US" w:eastAsia="ja-JP"/>
        </w:rPr>
        <w:t>, PMAR-EQDD-B193c-DP4-533, summary statistics were reported as the median and 95% confidence interval (CI) since the data were slightly skewed and the median was considered the most appropriate measure of central tendency. However, as shown in Table 1</w:t>
      </w:r>
      <w:r w:rsidR="00CC30C8">
        <w:rPr>
          <w:rFonts w:eastAsia="MS Mincho" w:cs="–Ô˜øªñ„"/>
          <w:lang w:val="en-US" w:eastAsia="ja-JP"/>
        </w:rPr>
        <w:t>0</w:t>
      </w:r>
      <w:r w:rsidRPr="00DD10E5">
        <w:rPr>
          <w:rFonts w:eastAsia="MS Mincho" w:cs="–Ô˜øªñ„"/>
          <w:lang w:val="en-US" w:eastAsia="ja-JP"/>
        </w:rPr>
        <w:t xml:space="preserve"> </w:t>
      </w:r>
      <w:r w:rsidR="00503681">
        <w:rPr>
          <w:rFonts w:eastAsia="MS Mincho" w:cs="–Ô˜øªñ„"/>
          <w:lang w:val="en-US" w:eastAsia="ja-JP"/>
        </w:rPr>
        <w:t>(</w:t>
      </w:r>
      <w:r w:rsidRPr="00DD10E5">
        <w:rPr>
          <w:rFonts w:eastAsia="MS Mincho" w:cs="–Ô˜øªñ„"/>
          <w:lang w:val="en-US" w:eastAsia="ja-JP"/>
        </w:rPr>
        <w:t>see below</w:t>
      </w:r>
      <w:r w:rsidR="00503681">
        <w:rPr>
          <w:rFonts w:eastAsia="MS Mincho" w:cs="–Ô˜øªñ„"/>
          <w:lang w:val="en-US" w:eastAsia="ja-JP"/>
        </w:rPr>
        <w:t>)</w:t>
      </w:r>
      <w:r w:rsidRPr="00DD10E5">
        <w:rPr>
          <w:rFonts w:eastAsia="MS Mincho" w:cs="–Ô˜øªñ„"/>
          <w:lang w:val="en-US" w:eastAsia="ja-JP"/>
        </w:rPr>
        <w:t>, the mean, median, and geometric mean (summary statistic for log-normally distributed data) were similar.</w:t>
      </w:r>
    </w:p>
    <w:p w14:paraId="1798C14E" w14:textId="77777777" w:rsidR="002F5122" w:rsidRPr="00E33935" w:rsidRDefault="00E33935" w:rsidP="00E33935">
      <w:pPr>
        <w:pStyle w:val="TableTitle"/>
      </w:pPr>
      <w:r>
        <w:lastRenderedPageBreak/>
        <w:t>Table 1</w:t>
      </w:r>
      <w:r w:rsidR="00CC30C8">
        <w:t>0</w:t>
      </w:r>
      <w:r>
        <w:t xml:space="preserve">: Simulated changes in </w:t>
      </w:r>
      <w:proofErr w:type="spellStart"/>
      <w:r>
        <w:t>QTcF</w:t>
      </w:r>
      <w:proofErr w:type="spellEnd"/>
      <w:r>
        <w:t xml:space="preserve"> and </w:t>
      </w:r>
      <w:proofErr w:type="spellStart"/>
      <w:r>
        <w:t>QTcS</w:t>
      </w:r>
      <w:proofErr w:type="spellEnd"/>
    </w:p>
    <w:p w14:paraId="5A3C94BE" w14:textId="77777777" w:rsidR="002F5122" w:rsidRPr="002F5122" w:rsidRDefault="00E33935" w:rsidP="002F5122">
      <w:r>
        <w:rPr>
          <w:noProof/>
          <w:lang w:eastAsia="en-AU"/>
        </w:rPr>
        <w:drawing>
          <wp:inline distT="0" distB="0" distL="0" distR="0" wp14:anchorId="57F8283B" wp14:editId="662C4137">
            <wp:extent cx="5400040" cy="1831167"/>
            <wp:effectExtent l="0" t="0" r="0" b="0"/>
            <wp:docPr id="6" name="Picture 6" descr="Table 10: Simulated changes in QTcF and QT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831167"/>
                    </a:xfrm>
                    <a:prstGeom prst="rect">
                      <a:avLst/>
                    </a:prstGeom>
                  </pic:spPr>
                </pic:pic>
              </a:graphicData>
            </a:graphic>
          </wp:inline>
        </w:drawing>
      </w:r>
    </w:p>
    <w:p w14:paraId="3F42F05B" w14:textId="1137145B" w:rsidR="00A41567" w:rsidRDefault="00A41567" w:rsidP="00A41567">
      <w:pPr>
        <w:pStyle w:val="Heading6"/>
        <w:rPr>
          <w:lang w:val="en-US" w:eastAsia="ja-JP"/>
        </w:rPr>
      </w:pPr>
      <w:r>
        <w:rPr>
          <w:lang w:val="en-US" w:eastAsia="ja-JP"/>
        </w:rPr>
        <w:t xml:space="preserve">Clinical </w:t>
      </w:r>
      <w:r w:rsidR="0006303D">
        <w:rPr>
          <w:lang w:val="en-US" w:eastAsia="ja-JP"/>
        </w:rPr>
        <w:t>e</w:t>
      </w:r>
      <w:r>
        <w:rPr>
          <w:lang w:val="en-US" w:eastAsia="ja-JP"/>
        </w:rPr>
        <w:t>valuator’s</w:t>
      </w:r>
      <w:r w:rsidR="002468EF">
        <w:rPr>
          <w:lang w:val="en-US" w:eastAsia="ja-JP"/>
        </w:rPr>
        <w:t xml:space="preserve"> </w:t>
      </w:r>
      <w:r w:rsidR="0006303D">
        <w:rPr>
          <w:lang w:val="en-US" w:eastAsia="ja-JP"/>
        </w:rPr>
        <w:t>c</w:t>
      </w:r>
      <w:r>
        <w:rPr>
          <w:lang w:val="en-US" w:eastAsia="ja-JP"/>
        </w:rPr>
        <w:t>omment</w:t>
      </w:r>
    </w:p>
    <w:p w14:paraId="1AC9471B" w14:textId="77777777" w:rsidR="00503681" w:rsidRDefault="00E33935" w:rsidP="000F385B">
      <w:pPr>
        <w:rPr>
          <w:lang w:val="en-US" w:eastAsia="ja-JP"/>
        </w:rPr>
      </w:pPr>
      <w:r w:rsidRPr="00DD10E5">
        <w:rPr>
          <w:lang w:val="en-US" w:eastAsia="ja-JP"/>
        </w:rPr>
        <w:t>The sponsor’s response is satisfactory</w:t>
      </w:r>
      <w:r w:rsidR="00503681">
        <w:rPr>
          <w:lang w:val="en-US" w:eastAsia="ja-JP"/>
        </w:rPr>
        <w:t>.</w:t>
      </w:r>
    </w:p>
    <w:p w14:paraId="36B99599" w14:textId="77777777" w:rsidR="006136D7" w:rsidRDefault="00E33935" w:rsidP="00E33935">
      <w:pPr>
        <w:pStyle w:val="Heading4"/>
      </w:pPr>
      <w:r w:rsidRPr="00E01445">
        <w:t>Efficacy</w:t>
      </w:r>
    </w:p>
    <w:p w14:paraId="08ACF0AB" w14:textId="09B9DA8F" w:rsidR="00E33935" w:rsidRDefault="00E33935" w:rsidP="00E33935">
      <w:pPr>
        <w:pStyle w:val="Heading5"/>
      </w:pPr>
      <w:r w:rsidRPr="00DD10E5">
        <w:rPr>
          <w:lang w:val="en-US"/>
        </w:rPr>
        <w:t xml:space="preserve">Question </w:t>
      </w:r>
      <w:r w:rsidR="0006303D">
        <w:rPr>
          <w:lang w:val="en-US"/>
        </w:rPr>
        <w:t>6</w:t>
      </w:r>
    </w:p>
    <w:p w14:paraId="6D997AAE" w14:textId="77777777" w:rsidR="00E33935" w:rsidRPr="009B3582" w:rsidRDefault="00E33935" w:rsidP="000F385B">
      <w:pPr>
        <w:rPr>
          <w:i/>
        </w:rPr>
      </w:pPr>
      <w:r w:rsidRPr="009B3582">
        <w:rPr>
          <w:i/>
          <w:lang w:val="en-US"/>
        </w:rPr>
        <w:t xml:space="preserve">In </w:t>
      </w:r>
      <w:r w:rsidR="00503681" w:rsidRPr="009B3582">
        <w:rPr>
          <w:i/>
          <w:lang w:val="en-US"/>
        </w:rPr>
        <w:t>Study</w:t>
      </w:r>
      <w:r w:rsidRPr="009B3582">
        <w:rPr>
          <w:i/>
          <w:lang w:val="en-US"/>
        </w:rPr>
        <w:t xml:space="preserve"> B1931022, the control arm consisted of investigator’s choice of FLAG, MXN/Ara-C or </w:t>
      </w:r>
      <w:proofErr w:type="spellStart"/>
      <w:r w:rsidRPr="009B3582">
        <w:rPr>
          <w:i/>
          <w:lang w:val="en-US"/>
        </w:rPr>
        <w:t>HiDAC</w:t>
      </w:r>
      <w:proofErr w:type="spellEnd"/>
      <w:r w:rsidRPr="009B3582">
        <w:rPr>
          <w:i/>
          <w:lang w:val="en-US"/>
        </w:rPr>
        <w:t xml:space="preserve"> regimens. Please comment on the place of the three control regimens in current Australian clinical practice for the treatment of relapsed and refractory </w:t>
      </w:r>
      <w:r w:rsidR="005C4508" w:rsidRPr="009B3582">
        <w:rPr>
          <w:i/>
          <w:lang w:val="en-US"/>
        </w:rPr>
        <w:t>CD22 positive</w:t>
      </w:r>
      <w:r w:rsidRPr="009B3582">
        <w:rPr>
          <w:i/>
          <w:lang w:val="en-US"/>
        </w:rPr>
        <w:t xml:space="preserve"> ALL, including </w:t>
      </w:r>
      <w:proofErr w:type="spellStart"/>
      <w:r w:rsidRPr="009B3582">
        <w:rPr>
          <w:i/>
          <w:lang w:val="en-US"/>
        </w:rPr>
        <w:t>Ph</w:t>
      </w:r>
      <w:proofErr w:type="spellEnd"/>
      <w:r w:rsidRPr="009B3582">
        <w:rPr>
          <w:i/>
          <w:lang w:val="en-US"/>
        </w:rPr>
        <w:t>+ disease.</w:t>
      </w:r>
    </w:p>
    <w:p w14:paraId="4FA9384F" w14:textId="03C92AFC" w:rsidR="00A41567" w:rsidRDefault="00A41567" w:rsidP="00A41567">
      <w:pPr>
        <w:pStyle w:val="Heading6"/>
        <w:rPr>
          <w:lang w:eastAsia="ja-JP"/>
        </w:rPr>
      </w:pPr>
      <w:r>
        <w:rPr>
          <w:lang w:eastAsia="ja-JP"/>
        </w:rPr>
        <w:t xml:space="preserve">Sponsor’s </w:t>
      </w:r>
      <w:r w:rsidR="0006303D">
        <w:rPr>
          <w:lang w:eastAsia="ja-JP"/>
        </w:rPr>
        <w:t>r</w:t>
      </w:r>
      <w:r>
        <w:rPr>
          <w:lang w:eastAsia="ja-JP"/>
        </w:rPr>
        <w:t>esponse</w:t>
      </w:r>
    </w:p>
    <w:p w14:paraId="22F09C17" w14:textId="507124AC" w:rsidR="00E33935" w:rsidRPr="00DD10E5" w:rsidRDefault="00E33935" w:rsidP="000F385B">
      <w:pPr>
        <w:rPr>
          <w:lang w:val="en-US" w:eastAsia="ja-JP"/>
        </w:rPr>
      </w:pPr>
      <w:r w:rsidRPr="00DD10E5">
        <w:rPr>
          <w:lang w:val="en-US" w:eastAsia="ja-JP"/>
        </w:rPr>
        <w:t xml:space="preserve">In the treatment of patients with relapsed and refractory </w:t>
      </w:r>
      <w:r w:rsidR="006779D9">
        <w:rPr>
          <w:lang w:val="en-US" w:eastAsia="ja-JP"/>
        </w:rPr>
        <w:t>B cell</w:t>
      </w:r>
      <w:r w:rsidRPr="00DD10E5">
        <w:rPr>
          <w:lang w:val="en-US" w:eastAsia="ja-JP"/>
        </w:rPr>
        <w:t xml:space="preserve"> ALL, there is no single standard of care. Given this, and as agreed with regulators as well as global ALL key opinion leaders, patients in the control arm were randomized to receive 1 of 3 predefined </w:t>
      </w:r>
      <w:proofErr w:type="spellStart"/>
      <w:r w:rsidRPr="00DD10E5">
        <w:rPr>
          <w:lang w:val="en-US" w:eastAsia="ja-JP"/>
        </w:rPr>
        <w:t>cytarabine</w:t>
      </w:r>
      <w:proofErr w:type="spellEnd"/>
      <w:r w:rsidRPr="00DD10E5">
        <w:rPr>
          <w:lang w:val="en-US" w:eastAsia="ja-JP"/>
        </w:rPr>
        <w:t xml:space="preserve">-based chemotherapy regimens: </w:t>
      </w:r>
      <w:proofErr w:type="spellStart"/>
      <w:r w:rsidRPr="00DD10E5">
        <w:rPr>
          <w:lang w:val="en-US" w:eastAsia="ja-JP"/>
        </w:rPr>
        <w:t>fludarabine</w:t>
      </w:r>
      <w:proofErr w:type="spellEnd"/>
      <w:r w:rsidRPr="00DD10E5">
        <w:rPr>
          <w:lang w:val="en-US" w:eastAsia="ja-JP"/>
        </w:rPr>
        <w:t xml:space="preserve"> + </w:t>
      </w:r>
      <w:proofErr w:type="spellStart"/>
      <w:r w:rsidRPr="00DD10E5">
        <w:rPr>
          <w:lang w:val="en-US" w:eastAsia="ja-JP"/>
        </w:rPr>
        <w:t>cytarabine</w:t>
      </w:r>
      <w:proofErr w:type="spellEnd"/>
      <w:r w:rsidRPr="00DD10E5">
        <w:rPr>
          <w:lang w:val="en-US" w:eastAsia="ja-JP"/>
        </w:rPr>
        <w:t xml:space="preserve"> + granulocyte-col</w:t>
      </w:r>
      <w:r>
        <w:rPr>
          <w:lang w:val="en-US" w:eastAsia="ja-JP"/>
        </w:rPr>
        <w:t xml:space="preserve">ony stimulating factor (FLAG), </w:t>
      </w:r>
      <w:proofErr w:type="spellStart"/>
      <w:r w:rsidRPr="00DD10E5">
        <w:rPr>
          <w:lang w:val="en-US" w:eastAsia="ja-JP"/>
        </w:rPr>
        <w:t>mitoxantrone</w:t>
      </w:r>
      <w:proofErr w:type="spellEnd"/>
      <w:r w:rsidRPr="00DD10E5">
        <w:rPr>
          <w:lang w:val="en-US" w:eastAsia="ja-JP"/>
        </w:rPr>
        <w:t xml:space="preserve"> + </w:t>
      </w:r>
      <w:proofErr w:type="spellStart"/>
      <w:r w:rsidRPr="00DD10E5">
        <w:rPr>
          <w:lang w:val="en-US" w:eastAsia="ja-JP"/>
        </w:rPr>
        <w:t>cytarabine</w:t>
      </w:r>
      <w:proofErr w:type="spellEnd"/>
      <w:r w:rsidRPr="00DD10E5">
        <w:rPr>
          <w:lang w:val="en-US" w:eastAsia="ja-JP"/>
        </w:rPr>
        <w:t xml:space="preserve"> (MXN/Ara-C), or high-dose cytarabine (HIDAC). Reported remission rates with these regimens vary from 32% to 83.3</w:t>
      </w:r>
      <w:r w:rsidRPr="0006303D">
        <w:rPr>
          <w:lang w:val="en-US" w:eastAsia="ja-JP"/>
        </w:rPr>
        <w:t>%</w:t>
      </w:r>
      <w:r w:rsidR="0006303D">
        <w:rPr>
          <w:lang w:val="en-US" w:eastAsia="ja-JP"/>
        </w:rPr>
        <w:t>.</w:t>
      </w:r>
      <w:r w:rsidR="000F385B" w:rsidRPr="0006303D">
        <w:rPr>
          <w:rStyle w:val="FootnoteReference"/>
          <w:lang w:val="en-US" w:eastAsia="ja-JP"/>
        </w:rPr>
        <w:footnoteReference w:id="40"/>
      </w:r>
      <w:r w:rsidR="0006303D" w:rsidRPr="009B3582">
        <w:rPr>
          <w:vertAlign w:val="superscript"/>
          <w:lang w:val="en-US" w:eastAsia="ja-JP"/>
        </w:rPr>
        <w:t>,</w:t>
      </w:r>
      <w:r w:rsidR="000F385B" w:rsidRPr="0006303D">
        <w:rPr>
          <w:rStyle w:val="FootnoteReference"/>
          <w:lang w:val="en-US" w:eastAsia="ja-JP"/>
        </w:rPr>
        <w:footnoteReference w:id="41"/>
      </w:r>
      <w:r w:rsidR="0006303D" w:rsidRPr="009B3582">
        <w:rPr>
          <w:vertAlign w:val="superscript"/>
          <w:lang w:val="en-US" w:eastAsia="ja-JP"/>
        </w:rPr>
        <w:t>,</w:t>
      </w:r>
      <w:r w:rsidR="00764C9B" w:rsidRPr="0006303D">
        <w:rPr>
          <w:rStyle w:val="FootnoteReference"/>
          <w:lang w:val="en-US" w:eastAsia="ja-JP"/>
        </w:rPr>
        <w:footnoteReference w:id="42"/>
      </w:r>
      <w:r w:rsidR="0006303D" w:rsidRPr="009B3582">
        <w:rPr>
          <w:vertAlign w:val="superscript"/>
          <w:lang w:val="en-US" w:eastAsia="ja-JP"/>
        </w:rPr>
        <w:t>,</w:t>
      </w:r>
      <w:r w:rsidR="00764C9B" w:rsidRPr="0006303D">
        <w:rPr>
          <w:rStyle w:val="FootnoteReference"/>
          <w:lang w:val="en-US" w:eastAsia="ja-JP"/>
        </w:rPr>
        <w:footnoteReference w:id="43"/>
      </w:r>
      <w:r w:rsidR="0006303D" w:rsidRPr="009B3582">
        <w:rPr>
          <w:vertAlign w:val="superscript"/>
          <w:lang w:val="en-US" w:eastAsia="ja-JP"/>
        </w:rPr>
        <w:t>,</w:t>
      </w:r>
      <w:r w:rsidR="00764C9B" w:rsidRPr="0006303D">
        <w:rPr>
          <w:rStyle w:val="FootnoteReference"/>
          <w:lang w:val="en-US" w:eastAsia="ja-JP"/>
        </w:rPr>
        <w:footnoteReference w:id="44"/>
      </w:r>
      <w:r w:rsidRPr="009B3582">
        <w:rPr>
          <w:vertAlign w:val="superscript"/>
          <w:lang w:val="en-US" w:eastAsia="ja-JP"/>
        </w:rPr>
        <w:t>;</w:t>
      </w:r>
      <w:r w:rsidRPr="00DD10E5">
        <w:rPr>
          <w:lang w:val="en-US" w:eastAsia="ja-JP"/>
        </w:rPr>
        <w:t xml:space="preserve"> Of note, tyrosine kinase inhibitors (TKIs) were not included in the control regimens because patients with Philadelphia chromosome positive (</w:t>
      </w:r>
      <w:proofErr w:type="spellStart"/>
      <w:r w:rsidRPr="00DD10E5">
        <w:rPr>
          <w:lang w:val="en-US" w:eastAsia="ja-JP"/>
        </w:rPr>
        <w:t>Ph</w:t>
      </w:r>
      <w:proofErr w:type="spellEnd"/>
      <w:r w:rsidRPr="00DD10E5">
        <w:rPr>
          <w:lang w:val="en-US" w:eastAsia="ja-JP"/>
        </w:rPr>
        <w:t xml:space="preserve">+) </w:t>
      </w:r>
      <w:r w:rsidR="006779D9">
        <w:rPr>
          <w:lang w:val="en-US" w:eastAsia="ja-JP"/>
        </w:rPr>
        <w:t>B cell</w:t>
      </w:r>
      <w:r w:rsidRPr="00DD10E5">
        <w:rPr>
          <w:lang w:val="en-US" w:eastAsia="ja-JP"/>
        </w:rPr>
        <w:t xml:space="preserve"> ALL would have already been expected to have progressed after standard treatment with TKIs.</w:t>
      </w:r>
    </w:p>
    <w:p w14:paraId="03A0ED55" w14:textId="77777777" w:rsidR="00E33935" w:rsidRPr="00DD10E5" w:rsidRDefault="00E33935" w:rsidP="00E33935">
      <w:pPr>
        <w:widowControl w:val="0"/>
        <w:autoSpaceDE w:val="0"/>
        <w:autoSpaceDN w:val="0"/>
        <w:adjustRightInd w:val="0"/>
        <w:rPr>
          <w:rFonts w:eastAsia="MS Mincho" w:cs="–Ô˜øªñ„"/>
          <w:color w:val="000000"/>
          <w:lang w:val="en-US" w:eastAsia="ja-JP"/>
        </w:rPr>
      </w:pPr>
      <w:r w:rsidRPr="00DD10E5">
        <w:rPr>
          <w:rFonts w:eastAsia="MS Mincho" w:cs="–Ô˜øªñ„"/>
          <w:color w:val="000000"/>
          <w:lang w:val="en-US" w:eastAsia="ja-JP"/>
        </w:rPr>
        <w:t xml:space="preserve">Based on feedback from hematologists in Australia, cytarabine-based regimens, such as FLAG, MXN/Ara-C, and HIDAC, </w:t>
      </w:r>
      <w:proofErr w:type="gramStart"/>
      <w:r w:rsidRPr="00DD10E5">
        <w:rPr>
          <w:rFonts w:eastAsia="MS Mincho" w:cs="–Ô˜øªñ„"/>
          <w:color w:val="000000"/>
          <w:lang w:val="en-US" w:eastAsia="ja-JP"/>
        </w:rPr>
        <w:t>are</w:t>
      </w:r>
      <w:proofErr w:type="gramEnd"/>
      <w:r w:rsidRPr="00DD10E5">
        <w:rPr>
          <w:rFonts w:eastAsia="MS Mincho" w:cs="–Ô˜øªñ„"/>
          <w:color w:val="000000"/>
          <w:lang w:val="en-US" w:eastAsia="ja-JP"/>
        </w:rPr>
        <w:t xml:space="preserve"> standardly used in current clinical practice for the treatment of relapsed and refractory </w:t>
      </w:r>
      <w:r w:rsidR="005C4508">
        <w:rPr>
          <w:rFonts w:eastAsia="MS Mincho" w:cs="–Ô˜øªñ„"/>
          <w:color w:val="000000"/>
          <w:lang w:val="en-US" w:eastAsia="ja-JP"/>
        </w:rPr>
        <w:t>CD22 positive</w:t>
      </w:r>
      <w:r w:rsidRPr="00DD10E5">
        <w:rPr>
          <w:rFonts w:eastAsia="MS Mincho" w:cs="–Ô˜øªñ„"/>
          <w:color w:val="000000"/>
          <w:lang w:val="en-US" w:eastAsia="ja-JP"/>
        </w:rPr>
        <w:t xml:space="preserve"> </w:t>
      </w:r>
      <w:r w:rsidR="006779D9">
        <w:rPr>
          <w:rFonts w:eastAsia="MS Mincho" w:cs="–Ô˜øªñ„"/>
          <w:color w:val="000000"/>
          <w:lang w:val="en-US" w:eastAsia="ja-JP"/>
        </w:rPr>
        <w:t>B cell</w:t>
      </w:r>
      <w:r w:rsidRPr="00DD10E5">
        <w:rPr>
          <w:rFonts w:eastAsia="MS Mincho" w:cs="–Ô˜øªñ„"/>
          <w:color w:val="000000"/>
          <w:lang w:val="en-US" w:eastAsia="ja-JP"/>
        </w:rPr>
        <w:t xml:space="preserve"> ALL, including in patients with </w:t>
      </w:r>
      <w:proofErr w:type="spellStart"/>
      <w:r w:rsidRPr="00DD10E5">
        <w:rPr>
          <w:rFonts w:eastAsia="MS Mincho" w:cs="–Ô˜øªñ„"/>
          <w:color w:val="000000"/>
          <w:lang w:val="en-US" w:eastAsia="ja-JP"/>
        </w:rPr>
        <w:t>Ph</w:t>
      </w:r>
      <w:proofErr w:type="spellEnd"/>
      <w:r w:rsidRPr="00DD10E5">
        <w:rPr>
          <w:rFonts w:eastAsia="MS Mincho" w:cs="–Ô˜øªñ„"/>
          <w:color w:val="000000"/>
          <w:lang w:val="en-US" w:eastAsia="ja-JP"/>
        </w:rPr>
        <w:t xml:space="preserve">+ disease. Therefore, the comparators used in the control arm of Study B1931022 are applicable in Australia for patients with relapsed or refractory </w:t>
      </w:r>
      <w:r w:rsidR="006779D9">
        <w:rPr>
          <w:rFonts w:eastAsia="MS Mincho" w:cs="–Ô˜øªñ„"/>
          <w:color w:val="000000"/>
          <w:lang w:val="en-US" w:eastAsia="ja-JP"/>
        </w:rPr>
        <w:t>B cell</w:t>
      </w:r>
      <w:r w:rsidRPr="00DD10E5">
        <w:rPr>
          <w:rFonts w:eastAsia="MS Mincho" w:cs="–Ô˜øªñ„"/>
          <w:color w:val="000000"/>
          <w:lang w:val="en-US" w:eastAsia="ja-JP"/>
        </w:rPr>
        <w:t xml:space="preserve"> ALL.</w:t>
      </w:r>
    </w:p>
    <w:p w14:paraId="4798D9E3" w14:textId="6F6D4181" w:rsidR="00A41567" w:rsidRDefault="00A41567" w:rsidP="00A41567">
      <w:pPr>
        <w:pStyle w:val="Heading6"/>
        <w:rPr>
          <w:lang w:val="en-US" w:eastAsia="ja-JP"/>
        </w:rPr>
      </w:pPr>
      <w:r>
        <w:rPr>
          <w:lang w:val="en-US" w:eastAsia="ja-JP"/>
        </w:rPr>
        <w:t xml:space="preserve">Clinical </w:t>
      </w:r>
      <w:r w:rsidR="0006303D">
        <w:rPr>
          <w:lang w:val="en-US" w:eastAsia="ja-JP"/>
        </w:rPr>
        <w:t>e</w:t>
      </w:r>
      <w:r>
        <w:rPr>
          <w:lang w:val="en-US" w:eastAsia="ja-JP"/>
        </w:rPr>
        <w:t xml:space="preserve">valuator’s </w:t>
      </w:r>
      <w:r w:rsidR="0006303D">
        <w:rPr>
          <w:lang w:val="en-US" w:eastAsia="ja-JP"/>
        </w:rPr>
        <w:t>c</w:t>
      </w:r>
      <w:r>
        <w:rPr>
          <w:lang w:val="en-US" w:eastAsia="ja-JP"/>
        </w:rPr>
        <w:t>omment</w:t>
      </w:r>
    </w:p>
    <w:p w14:paraId="37E05BFC" w14:textId="77777777" w:rsidR="00503681" w:rsidRDefault="00E33935" w:rsidP="00764C9B">
      <w:pPr>
        <w:rPr>
          <w:lang w:val="en-US" w:eastAsia="ja-JP"/>
        </w:rPr>
      </w:pPr>
      <w:r w:rsidRPr="00DD10E5">
        <w:rPr>
          <w:lang w:val="en-US" w:eastAsia="ja-JP"/>
        </w:rPr>
        <w:t>The sponsor’s response is satisfactory</w:t>
      </w:r>
      <w:r w:rsidR="00503681">
        <w:rPr>
          <w:lang w:val="en-US" w:eastAsia="ja-JP"/>
        </w:rPr>
        <w:t>.</w:t>
      </w:r>
    </w:p>
    <w:p w14:paraId="3535B72D" w14:textId="4D76E21B" w:rsidR="00E33935" w:rsidRDefault="00E33935" w:rsidP="00E33935">
      <w:pPr>
        <w:pStyle w:val="Heading5"/>
      </w:pPr>
      <w:r>
        <w:rPr>
          <w:lang w:val="en-US"/>
        </w:rPr>
        <w:lastRenderedPageBreak/>
        <w:t xml:space="preserve">Question </w:t>
      </w:r>
      <w:r w:rsidR="00902D57">
        <w:rPr>
          <w:lang w:val="en-US"/>
        </w:rPr>
        <w:t>7</w:t>
      </w:r>
    </w:p>
    <w:p w14:paraId="68C11103" w14:textId="77777777" w:rsidR="00E33935" w:rsidRPr="009B3582" w:rsidRDefault="00E33935" w:rsidP="00764C9B">
      <w:pPr>
        <w:rPr>
          <w:i/>
        </w:rPr>
      </w:pPr>
      <w:r w:rsidRPr="009B3582">
        <w:rPr>
          <w:i/>
          <w:lang w:val="en-US"/>
        </w:rPr>
        <w:t>Please provide a summary of the cumulative incidence of post-transplant mortality and post-transplant non-relapse mortality for patients with follow-up HSCT in the ITT population using the updated survival data of 4 January 2017 LSLV. The data should be presented in the same format as Table 64, page 275, supplemental CSR</w:t>
      </w:r>
    </w:p>
    <w:p w14:paraId="131DAAD4" w14:textId="28080E83" w:rsidR="00603BFA" w:rsidRDefault="00603BFA" w:rsidP="00603BFA">
      <w:pPr>
        <w:pStyle w:val="Heading6"/>
        <w:rPr>
          <w:lang w:eastAsia="ja-JP"/>
        </w:rPr>
      </w:pPr>
      <w:r>
        <w:rPr>
          <w:lang w:eastAsia="ja-JP"/>
        </w:rPr>
        <w:t xml:space="preserve">Sponsor’s </w:t>
      </w:r>
      <w:r w:rsidR="00902D57">
        <w:rPr>
          <w:lang w:eastAsia="ja-JP"/>
        </w:rPr>
        <w:t>r</w:t>
      </w:r>
      <w:r>
        <w:rPr>
          <w:lang w:eastAsia="ja-JP"/>
        </w:rPr>
        <w:t>espons</w:t>
      </w:r>
      <w:r w:rsidR="00902D57">
        <w:rPr>
          <w:lang w:eastAsia="ja-JP"/>
        </w:rPr>
        <w:t>e</w:t>
      </w:r>
    </w:p>
    <w:p w14:paraId="636D0EBB" w14:textId="582182BE" w:rsidR="00E33935" w:rsidRPr="00F51974" w:rsidRDefault="00E33935" w:rsidP="00764C9B">
      <w:pPr>
        <w:rPr>
          <w:lang w:val="en-US" w:eastAsia="ja-JP"/>
        </w:rPr>
      </w:pPr>
      <w:r w:rsidRPr="00F51974">
        <w:rPr>
          <w:lang w:val="en-US" w:eastAsia="ja-JP"/>
        </w:rPr>
        <w:t>Table 1</w:t>
      </w:r>
      <w:r w:rsidR="00CC30C8">
        <w:rPr>
          <w:lang w:val="en-US" w:eastAsia="ja-JP"/>
        </w:rPr>
        <w:t>1</w:t>
      </w:r>
      <w:r w:rsidRPr="00F51974">
        <w:rPr>
          <w:lang w:val="en-US" w:eastAsia="ja-JP"/>
        </w:rPr>
        <w:t xml:space="preserve"> </w:t>
      </w:r>
      <w:r w:rsidR="00503681">
        <w:rPr>
          <w:lang w:val="en-US" w:eastAsia="ja-JP"/>
        </w:rPr>
        <w:t>(</w:t>
      </w:r>
      <w:r w:rsidRPr="00F51974">
        <w:rPr>
          <w:lang w:val="en-US" w:eastAsia="ja-JP"/>
        </w:rPr>
        <w:t>see below</w:t>
      </w:r>
      <w:r w:rsidR="00503681">
        <w:rPr>
          <w:lang w:val="en-US" w:eastAsia="ja-JP"/>
        </w:rPr>
        <w:t>)</w:t>
      </w:r>
      <w:r w:rsidRPr="00F51974">
        <w:rPr>
          <w:lang w:val="en-US" w:eastAsia="ja-JP"/>
        </w:rPr>
        <w:t xml:space="preserve"> summari</w:t>
      </w:r>
      <w:r w:rsidR="00902D57">
        <w:rPr>
          <w:lang w:val="en-US" w:eastAsia="ja-JP"/>
        </w:rPr>
        <w:t>s</w:t>
      </w:r>
      <w:r w:rsidRPr="00F51974">
        <w:rPr>
          <w:lang w:val="en-US" w:eastAsia="ja-JP"/>
        </w:rPr>
        <w:t>es post-transplant mortality and non-relapse mortality for all patients with follow-up HSCT in the IT</w:t>
      </w:r>
      <w:r w:rsidR="00902D57">
        <w:rPr>
          <w:lang w:val="en-US" w:eastAsia="ja-JP"/>
        </w:rPr>
        <w:t>T population</w:t>
      </w:r>
      <w:r w:rsidRPr="00F51974">
        <w:rPr>
          <w:lang w:val="en-US" w:eastAsia="ja-JP"/>
        </w:rPr>
        <w:t xml:space="preserve"> using the updated survival da</w:t>
      </w:r>
      <w:r w:rsidR="00764C9B">
        <w:rPr>
          <w:lang w:val="en-US" w:eastAsia="ja-JP"/>
        </w:rPr>
        <w:t>ta as of 4 January </w:t>
      </w:r>
      <w:r w:rsidRPr="00F51974">
        <w:rPr>
          <w:lang w:val="en-US" w:eastAsia="ja-JP"/>
        </w:rPr>
        <w:t>2017 last subject last visit (LSLV).</w:t>
      </w:r>
    </w:p>
    <w:p w14:paraId="69DB05A8" w14:textId="07867DB8" w:rsidR="00E33935" w:rsidRDefault="00F72BCD" w:rsidP="00F72BCD">
      <w:pPr>
        <w:pStyle w:val="TableTitle"/>
      </w:pPr>
      <w:r>
        <w:t>Table 1</w:t>
      </w:r>
      <w:r w:rsidR="00CC30C8">
        <w:t>1</w:t>
      </w:r>
      <w:r>
        <w:t xml:space="preserve">: Study B1931022 Cumulative incidence of </w:t>
      </w:r>
      <w:r w:rsidR="00902D57">
        <w:t>p</w:t>
      </w:r>
      <w:r>
        <w:t>ost-</w:t>
      </w:r>
      <w:r w:rsidR="00902D57">
        <w:t>t</w:t>
      </w:r>
      <w:r>
        <w:t>ransplant mortality and non-relapse mortality for patients with follow-up HSCT</w:t>
      </w:r>
      <w:r w:rsidR="00843728">
        <w:t>;</w:t>
      </w:r>
      <w:r>
        <w:t xml:space="preserve"> ITT population (4</w:t>
      </w:r>
      <w:r w:rsidR="00902D57">
        <w:t> </w:t>
      </w:r>
      <w:r>
        <w:t>January</w:t>
      </w:r>
      <w:r w:rsidR="00902D57">
        <w:t> </w:t>
      </w:r>
      <w:r>
        <w:t>2017 LSLV)</w:t>
      </w:r>
    </w:p>
    <w:p w14:paraId="1274E330" w14:textId="77777777" w:rsidR="00E33935" w:rsidRDefault="00F72BCD" w:rsidP="006136D7">
      <w:r>
        <w:rPr>
          <w:noProof/>
          <w:lang w:eastAsia="en-AU"/>
        </w:rPr>
        <w:drawing>
          <wp:inline distT="0" distB="0" distL="0" distR="0" wp14:anchorId="4ACEB665" wp14:editId="77380B3E">
            <wp:extent cx="5400040" cy="4035030"/>
            <wp:effectExtent l="0" t="0" r="0" b="3810"/>
            <wp:docPr id="7" name="Picture 7" descr="Table 11: Study B1931022: Cumulative incidence of Post-Transplant mortality and non-relapse mortality for patients with follow-up HSCT – ITT population (4 January 2017 L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035030"/>
                    </a:xfrm>
                    <a:prstGeom prst="rect">
                      <a:avLst/>
                    </a:prstGeom>
                  </pic:spPr>
                </pic:pic>
              </a:graphicData>
            </a:graphic>
          </wp:inline>
        </w:drawing>
      </w:r>
    </w:p>
    <w:p w14:paraId="293C6428" w14:textId="77777777" w:rsidR="00F72BCD" w:rsidRPr="00F51974" w:rsidRDefault="00764C9B" w:rsidP="00764C9B">
      <w:pPr>
        <w:rPr>
          <w:lang w:val="en-US" w:eastAsia="ja-JP"/>
        </w:rPr>
      </w:pPr>
      <w:r>
        <w:rPr>
          <w:lang w:val="en-US" w:eastAsia="ja-JP"/>
        </w:rPr>
        <w:t xml:space="preserve">As of </w:t>
      </w:r>
      <w:r w:rsidR="00F72BCD" w:rsidRPr="00F51974">
        <w:rPr>
          <w:lang w:val="en-US" w:eastAsia="ja-JP"/>
        </w:rPr>
        <w:t xml:space="preserve">8 March 2016 </w:t>
      </w:r>
      <w:r w:rsidR="00E86989">
        <w:rPr>
          <w:lang w:val="en-US" w:eastAsia="ja-JP"/>
        </w:rPr>
        <w:t>cut-off</w:t>
      </w:r>
      <w:r w:rsidR="00F72BCD" w:rsidRPr="00F51974">
        <w:rPr>
          <w:lang w:val="en-US" w:eastAsia="ja-JP"/>
        </w:rPr>
        <w:t>, the number of patients with p</w:t>
      </w:r>
      <w:r>
        <w:rPr>
          <w:lang w:val="en-US" w:eastAsia="ja-JP"/>
        </w:rPr>
        <w:t>ost-transplant mortality was 46 </w:t>
      </w:r>
      <w:r w:rsidR="00F72BCD" w:rsidRPr="00F51974">
        <w:rPr>
          <w:lang w:val="en-US" w:eastAsia="ja-JP"/>
        </w:rPr>
        <w:t>(59.7%) patients in the inotuzumab ozogamicin arm and 19 (57.6%) patients in the control arm. The number of patients with post-transpla</w:t>
      </w:r>
      <w:r>
        <w:rPr>
          <w:lang w:val="en-US" w:eastAsia="ja-JP"/>
        </w:rPr>
        <w:t>nt non-relapse mortality was 30 </w:t>
      </w:r>
      <w:r w:rsidR="00F72BCD" w:rsidRPr="00F51974">
        <w:rPr>
          <w:lang w:val="en-US" w:eastAsia="ja-JP"/>
        </w:rPr>
        <w:t>(39.0%) patients in the inotuzumab ozogamicin arm, and 9 (27.3%) patients in the control arm.</w:t>
      </w:r>
    </w:p>
    <w:p w14:paraId="0CDB2375" w14:textId="77777777" w:rsidR="00503681" w:rsidRDefault="00764C9B" w:rsidP="00764C9B">
      <w:pPr>
        <w:rPr>
          <w:lang w:val="en-US" w:eastAsia="ja-JP"/>
        </w:rPr>
      </w:pPr>
      <w:r>
        <w:rPr>
          <w:lang w:val="en-US" w:eastAsia="ja-JP"/>
        </w:rPr>
        <w:t xml:space="preserve">As of </w:t>
      </w:r>
      <w:r w:rsidR="00F72BCD" w:rsidRPr="00F51974">
        <w:rPr>
          <w:lang w:val="en-US" w:eastAsia="ja-JP"/>
        </w:rPr>
        <w:t>4 January 2017 LSLV, the number of patients with post-transplant mortality was 53 (67.1%) patients in the inotuzumab ozogamicin arm and 25 (69.4%) patients in the control arm. The number of patients with post-transplant non-relapse mortality was 31 (39.2%) patients in the inotuzumab ozogamicin arm and 8 (22.2%) patients in the control arm</w:t>
      </w:r>
      <w:r w:rsidR="00503681">
        <w:rPr>
          <w:lang w:val="en-US" w:eastAsia="ja-JP"/>
        </w:rPr>
        <w:t>.</w:t>
      </w:r>
    </w:p>
    <w:p w14:paraId="4EF30953" w14:textId="67FCFA19" w:rsidR="00503681" w:rsidRDefault="00F72BCD" w:rsidP="00764C9B">
      <w:pPr>
        <w:rPr>
          <w:lang w:val="en-US" w:eastAsia="ja-JP"/>
        </w:rPr>
      </w:pPr>
      <w:r w:rsidRPr="00F51974">
        <w:rPr>
          <w:lang w:val="en-US" w:eastAsia="ja-JP"/>
        </w:rPr>
        <w:t>The number of patients with post-transplant non-relapse mortality in the control arm decreased fr</w:t>
      </w:r>
      <w:r w:rsidR="00764C9B">
        <w:rPr>
          <w:lang w:val="en-US" w:eastAsia="ja-JP"/>
        </w:rPr>
        <w:t xml:space="preserve">om 9 to 8 patients between the </w:t>
      </w:r>
      <w:r w:rsidRPr="00F51974">
        <w:rPr>
          <w:lang w:val="en-US" w:eastAsia="ja-JP"/>
        </w:rPr>
        <w:t xml:space="preserve">8 March 2016 </w:t>
      </w:r>
      <w:r w:rsidR="00E86989">
        <w:rPr>
          <w:lang w:val="en-US" w:eastAsia="ja-JP"/>
        </w:rPr>
        <w:t>cut-off</w:t>
      </w:r>
      <w:r w:rsidR="00764C9B">
        <w:rPr>
          <w:lang w:val="en-US" w:eastAsia="ja-JP"/>
        </w:rPr>
        <w:t xml:space="preserve"> and </w:t>
      </w:r>
      <w:r w:rsidRPr="00F51974">
        <w:rPr>
          <w:lang w:val="en-US" w:eastAsia="ja-JP"/>
        </w:rPr>
        <w:t xml:space="preserve">4 January 2017 LSLV. The reason for this was due to a change in the </w:t>
      </w:r>
      <w:r w:rsidR="00764C9B">
        <w:rPr>
          <w:lang w:val="en-US" w:eastAsia="ja-JP"/>
        </w:rPr>
        <w:t>reason for cause of death for 2 </w:t>
      </w:r>
      <w:r w:rsidRPr="00F51974">
        <w:rPr>
          <w:lang w:val="en-US" w:eastAsia="ja-JP"/>
        </w:rPr>
        <w:t xml:space="preserve">patients </w:t>
      </w:r>
      <w:r w:rsidR="00503681">
        <w:rPr>
          <w:lang w:val="en-US" w:eastAsia="ja-JP"/>
        </w:rPr>
        <w:t>(</w:t>
      </w:r>
      <w:r w:rsidRPr="00F51974">
        <w:rPr>
          <w:lang w:val="en-US" w:eastAsia="ja-JP"/>
        </w:rPr>
        <w:t>considered to have died due to relapse of disease instead of non-relapse</w:t>
      </w:r>
      <w:r w:rsidR="00503681">
        <w:rPr>
          <w:lang w:val="en-US" w:eastAsia="ja-JP"/>
        </w:rPr>
        <w:t>)</w:t>
      </w:r>
      <w:r w:rsidRPr="00F51974">
        <w:rPr>
          <w:lang w:val="en-US" w:eastAsia="ja-JP"/>
        </w:rPr>
        <w:t xml:space="preserve"> and </w:t>
      </w:r>
      <w:r w:rsidRPr="00F51974">
        <w:rPr>
          <w:lang w:val="en-US" w:eastAsia="ja-JP"/>
        </w:rPr>
        <w:lastRenderedPageBreak/>
        <w:t xml:space="preserve">there was 1 additional patient with non-relapse </w:t>
      </w:r>
      <w:proofErr w:type="spellStart"/>
      <w:r w:rsidRPr="00F51974">
        <w:rPr>
          <w:lang w:val="en-US" w:eastAsia="ja-JP"/>
        </w:rPr>
        <w:t>death.Overall</w:t>
      </w:r>
      <w:proofErr w:type="spellEnd"/>
      <w:r w:rsidRPr="00F51974">
        <w:rPr>
          <w:lang w:val="en-US" w:eastAsia="ja-JP"/>
        </w:rPr>
        <w:t>, the conclusions regarding post-transplant mortality and post-transplant non-relapse mortality for patients with follow-up HSCT in the ITT population usin</w:t>
      </w:r>
      <w:r w:rsidR="00764C9B">
        <w:rPr>
          <w:lang w:val="en-US" w:eastAsia="ja-JP"/>
        </w:rPr>
        <w:t xml:space="preserve">g the updated survival data of </w:t>
      </w:r>
      <w:r w:rsidRPr="00F51974">
        <w:rPr>
          <w:lang w:val="en-US" w:eastAsia="ja-JP"/>
        </w:rPr>
        <w:t xml:space="preserve">4 January 2017 LSLV remain </w:t>
      </w:r>
      <w:r w:rsidR="00764C9B">
        <w:rPr>
          <w:lang w:val="en-US" w:eastAsia="ja-JP"/>
        </w:rPr>
        <w:t>the same as those based on the 8 </w:t>
      </w:r>
      <w:r w:rsidRPr="00F51974">
        <w:rPr>
          <w:lang w:val="en-US" w:eastAsia="ja-JP"/>
        </w:rPr>
        <w:t xml:space="preserve">March 2016 </w:t>
      </w:r>
      <w:r w:rsidR="00E86989">
        <w:rPr>
          <w:lang w:val="en-US" w:eastAsia="ja-JP"/>
        </w:rPr>
        <w:t>cut-off</w:t>
      </w:r>
      <w:r w:rsidR="00764C9B">
        <w:rPr>
          <w:lang w:val="en-US" w:eastAsia="ja-JP"/>
        </w:rPr>
        <w:t xml:space="preserve">. As of the </w:t>
      </w:r>
      <w:r w:rsidRPr="00F51974">
        <w:rPr>
          <w:lang w:val="en-US" w:eastAsia="ja-JP"/>
        </w:rPr>
        <w:t>4 January 2017 LSLV, there was a higher post-HSCT non-relapse mortality rate in patients in the inotuzumab ozogamicin arm compared to the Investigator’s choice of chemotherapy arm, resulting in a higher Day 100 post-HSCT mortality rate. However, as previously noted, the overall post-HSCT mortality rate (including both non-relap</w:t>
      </w:r>
      <w:r w:rsidR="00764C9B">
        <w:rPr>
          <w:lang w:val="en-US" w:eastAsia="ja-JP"/>
        </w:rPr>
        <w:t xml:space="preserve">se mortality as well as relapse </w:t>
      </w:r>
      <w:r w:rsidRPr="00F51974">
        <w:rPr>
          <w:lang w:val="en-US" w:eastAsia="ja-JP"/>
        </w:rPr>
        <w:t>related mortality) was similar in the inotuzumab ozogamicin arm and Investigator’s choice of chemotherapy arm (67% and 69%, respectively)</w:t>
      </w:r>
      <w:r w:rsidR="00503681">
        <w:rPr>
          <w:lang w:val="en-US" w:eastAsia="ja-JP"/>
        </w:rPr>
        <w:t>.</w:t>
      </w:r>
    </w:p>
    <w:p w14:paraId="487A01E7" w14:textId="0082B770" w:rsidR="00603BFA" w:rsidRDefault="00603BFA" w:rsidP="00603BFA">
      <w:pPr>
        <w:pStyle w:val="Heading6"/>
        <w:rPr>
          <w:lang w:val="en-US" w:eastAsia="ja-JP"/>
        </w:rPr>
      </w:pPr>
      <w:r>
        <w:rPr>
          <w:lang w:val="en-US" w:eastAsia="ja-JP"/>
        </w:rPr>
        <w:t xml:space="preserve">Clinical </w:t>
      </w:r>
      <w:r w:rsidR="00902D57">
        <w:rPr>
          <w:lang w:val="en-US" w:eastAsia="ja-JP"/>
        </w:rPr>
        <w:t>e</w:t>
      </w:r>
      <w:r>
        <w:rPr>
          <w:lang w:val="en-US" w:eastAsia="ja-JP"/>
        </w:rPr>
        <w:t xml:space="preserve">valuator’s </w:t>
      </w:r>
      <w:proofErr w:type="spellStart"/>
      <w:r w:rsidR="00902D57">
        <w:rPr>
          <w:lang w:val="en-US" w:eastAsia="ja-JP"/>
        </w:rPr>
        <w:t>c</w:t>
      </w:r>
      <w:r>
        <w:rPr>
          <w:lang w:val="en-US" w:eastAsia="ja-JP"/>
        </w:rPr>
        <w:t>ommen</w:t>
      </w:r>
      <w:proofErr w:type="spellEnd"/>
    </w:p>
    <w:p w14:paraId="58E592F5" w14:textId="77777777" w:rsidR="00503681" w:rsidRDefault="00F72BCD" w:rsidP="00764C9B">
      <w:pPr>
        <w:rPr>
          <w:color w:val="000000"/>
          <w:lang w:val="en-US" w:eastAsia="ja-JP"/>
        </w:rPr>
      </w:pPr>
      <w:r w:rsidRPr="00EC62FD">
        <w:rPr>
          <w:lang w:val="en-US" w:eastAsia="ja-JP"/>
        </w:rPr>
        <w:t xml:space="preserve">The sponsor’s response is satisfactory. In the updated data, the overall </w:t>
      </w:r>
      <w:r w:rsidR="00764C9B">
        <w:rPr>
          <w:lang w:val="en-US" w:eastAsia="ja-JP"/>
        </w:rPr>
        <w:t xml:space="preserve">risk of post-transplant relapse </w:t>
      </w:r>
      <w:r w:rsidRPr="00EC62FD">
        <w:rPr>
          <w:lang w:val="en-US" w:eastAsia="ja-JP"/>
        </w:rPr>
        <w:t xml:space="preserve">related mortality in patients who underwent HSCT was similar in the </w:t>
      </w:r>
      <w:r w:rsidRPr="00EC62FD">
        <w:rPr>
          <w:color w:val="000000"/>
          <w:lang w:val="en-US" w:eastAsia="ja-JP"/>
        </w:rPr>
        <w:t xml:space="preserve">inotuzumab ozogamicin arm and in the control arm (67.1% </w:t>
      </w:r>
      <w:r w:rsidR="001D0208">
        <w:rPr>
          <w:color w:val="000000"/>
          <w:lang w:val="en-US" w:eastAsia="ja-JP"/>
        </w:rPr>
        <w:t xml:space="preserve">versus </w:t>
      </w:r>
      <w:r w:rsidRPr="00EC62FD">
        <w:rPr>
          <w:color w:val="000000"/>
          <w:lang w:val="en-US" w:eastAsia="ja-JP"/>
        </w:rPr>
        <w:t>69</w:t>
      </w:r>
      <w:r w:rsidR="00764C9B">
        <w:rPr>
          <w:color w:val="000000"/>
          <w:lang w:val="en-US" w:eastAsia="ja-JP"/>
        </w:rPr>
        <w:t xml:space="preserve">.7%, respectively), but the 100 day relapse </w:t>
      </w:r>
      <w:r w:rsidRPr="00EC62FD">
        <w:rPr>
          <w:color w:val="000000"/>
          <w:lang w:val="en-US" w:eastAsia="ja-JP"/>
        </w:rPr>
        <w:t xml:space="preserve">related mortality rate was higher in the inotuzumab ozogamicin arm than in the control arm (25.32% </w:t>
      </w:r>
      <w:r w:rsidR="001D0208">
        <w:rPr>
          <w:color w:val="000000"/>
          <w:lang w:val="en-US" w:eastAsia="ja-JP"/>
        </w:rPr>
        <w:t xml:space="preserve">versus </w:t>
      </w:r>
      <w:r w:rsidRPr="00EC62FD">
        <w:rPr>
          <w:color w:val="000000"/>
          <w:lang w:val="en-US" w:eastAsia="ja-JP"/>
        </w:rPr>
        <w:t>5.56%, respectively)</w:t>
      </w:r>
      <w:r w:rsidR="00503681">
        <w:rPr>
          <w:color w:val="000000"/>
          <w:lang w:val="en-US" w:eastAsia="ja-JP"/>
        </w:rPr>
        <w:t>.</w:t>
      </w:r>
    </w:p>
    <w:p w14:paraId="7A43A508" w14:textId="77777777" w:rsidR="00503681" w:rsidRDefault="00F72BCD" w:rsidP="00764C9B">
      <w:pPr>
        <w:rPr>
          <w:color w:val="000000"/>
          <w:lang w:val="en-US" w:eastAsia="ja-JP"/>
        </w:rPr>
      </w:pPr>
      <w:r w:rsidRPr="00EC62FD">
        <w:rPr>
          <w:lang w:val="en-US" w:eastAsia="ja-JP"/>
        </w:rPr>
        <w:t xml:space="preserve">The overall risk of post-transplant non-relapse mortality in patients who underwent HSCT was higher in the </w:t>
      </w:r>
      <w:r w:rsidRPr="00EC62FD">
        <w:rPr>
          <w:color w:val="000000"/>
          <w:lang w:val="en-US" w:eastAsia="ja-JP"/>
        </w:rPr>
        <w:t xml:space="preserve">inotuzumab ozogamicin arm than in the control arm (39.2% </w:t>
      </w:r>
      <w:r w:rsidR="001D0208">
        <w:rPr>
          <w:color w:val="000000"/>
          <w:lang w:val="en-US" w:eastAsia="ja-JP"/>
        </w:rPr>
        <w:t xml:space="preserve">versus </w:t>
      </w:r>
      <w:r w:rsidR="00764C9B">
        <w:rPr>
          <w:color w:val="000000"/>
          <w:lang w:val="en-US" w:eastAsia="ja-JP"/>
        </w:rPr>
        <w:t xml:space="preserve">22.2%, respectively), and 100 </w:t>
      </w:r>
      <w:r w:rsidRPr="00EC62FD">
        <w:rPr>
          <w:color w:val="000000"/>
          <w:lang w:val="en-US" w:eastAsia="ja-JP"/>
        </w:rPr>
        <w:t xml:space="preserve">day non-relapse related mortality rate was higher in the inotuzumab ozogamicin arm than in the control arm (20.25% </w:t>
      </w:r>
      <w:r w:rsidR="001D0208">
        <w:rPr>
          <w:color w:val="000000"/>
          <w:lang w:val="en-US" w:eastAsia="ja-JP"/>
        </w:rPr>
        <w:t xml:space="preserve">versus </w:t>
      </w:r>
      <w:r w:rsidRPr="00EC62FD">
        <w:rPr>
          <w:color w:val="000000"/>
          <w:lang w:val="en-US" w:eastAsia="ja-JP"/>
        </w:rPr>
        <w:t xml:space="preserve">5.56%, respectively). </w:t>
      </w:r>
      <w:r w:rsidRPr="00EC62FD">
        <w:rPr>
          <w:lang w:val="en-US" w:eastAsia="ja-JP"/>
        </w:rPr>
        <w:t xml:space="preserve">In </w:t>
      </w:r>
      <w:r w:rsidR="00503681">
        <w:rPr>
          <w:lang w:val="en-US" w:eastAsia="ja-JP"/>
        </w:rPr>
        <w:t>Study</w:t>
      </w:r>
      <w:r w:rsidRPr="00EC62FD">
        <w:rPr>
          <w:lang w:val="en-US" w:eastAsia="ja-JP"/>
        </w:rPr>
        <w:t xml:space="preserve"> B1931022, the most common causes of post-HSCT non-relapse mortality included VOD and infections in the inotuzumab ozogamicin arm (Day 120 Safety Update). VOD was reported in 18 (22.8%) of the 79 patients in the inotuzumab ozogamicin arm</w:t>
      </w:r>
      <w:r w:rsidR="00764C9B">
        <w:rPr>
          <w:lang w:val="en-US" w:eastAsia="ja-JP"/>
        </w:rPr>
        <w:t>,</w:t>
      </w:r>
      <w:r w:rsidRPr="00EC62FD">
        <w:rPr>
          <w:lang w:val="en-US" w:eastAsia="ja-JP"/>
        </w:rPr>
        <w:t xml:space="preserve"> who underwent HSCT, and 5 of these patients experienced a fatal VOD event. </w:t>
      </w:r>
      <w:r w:rsidRPr="00EC62FD">
        <w:rPr>
          <w:color w:val="000000"/>
          <w:lang w:val="en-US" w:eastAsia="ja-JP"/>
        </w:rPr>
        <w:t>In the inotuzumab ozogamicin arm, among patients with ongoing VOD at time of</w:t>
      </w:r>
      <w:r w:rsidRPr="00EC62FD">
        <w:rPr>
          <w:lang w:val="en-US" w:eastAsia="ja-JP"/>
        </w:rPr>
        <w:t xml:space="preserve"> </w:t>
      </w:r>
      <w:r w:rsidRPr="00EC62FD">
        <w:rPr>
          <w:color w:val="000000"/>
          <w:lang w:val="en-US" w:eastAsia="ja-JP"/>
        </w:rPr>
        <w:t>death, 6 patients died due to multi-organ failure (MOF) or infection (3 patients died due to MOF,</w:t>
      </w:r>
      <w:r w:rsidRPr="00EC62FD">
        <w:rPr>
          <w:lang w:val="en-US" w:eastAsia="ja-JP"/>
        </w:rPr>
        <w:t xml:space="preserve"> </w:t>
      </w:r>
      <w:r w:rsidR="00764C9B">
        <w:rPr>
          <w:color w:val="000000"/>
          <w:lang w:val="en-US" w:eastAsia="ja-JP"/>
        </w:rPr>
        <w:t>2 </w:t>
      </w:r>
      <w:r w:rsidRPr="00EC62FD">
        <w:rPr>
          <w:color w:val="000000"/>
          <w:lang w:val="en-US" w:eastAsia="ja-JP"/>
        </w:rPr>
        <w:t>patients died due to infection, and 1 patient died due to MOF and infection</w:t>
      </w:r>
      <w:r>
        <w:rPr>
          <w:color w:val="000000"/>
          <w:lang w:val="en-US" w:eastAsia="ja-JP"/>
        </w:rPr>
        <w:t>)</w:t>
      </w:r>
      <w:r w:rsidR="00503681">
        <w:rPr>
          <w:color w:val="000000"/>
          <w:lang w:val="en-US" w:eastAsia="ja-JP"/>
        </w:rPr>
        <w:t>.</w:t>
      </w:r>
    </w:p>
    <w:p w14:paraId="101F108E" w14:textId="77777777" w:rsidR="00503681" w:rsidRDefault="00F72BCD" w:rsidP="00764C9B">
      <w:pPr>
        <w:rPr>
          <w:color w:val="000000"/>
          <w:lang w:val="en-US" w:eastAsia="ja-JP"/>
        </w:rPr>
      </w:pPr>
      <w:r w:rsidRPr="00EC62FD">
        <w:rPr>
          <w:lang w:val="en-US" w:eastAsia="ja-JP"/>
        </w:rPr>
        <w:t xml:space="preserve">The updated draft PI includes a boxed warning and a precautionary statement relating to the increased risk of post-HSCT non-relapse </w:t>
      </w:r>
      <w:r>
        <w:rPr>
          <w:lang w:val="en-US" w:eastAsia="ja-JP"/>
        </w:rPr>
        <w:t xml:space="preserve">mortality </w:t>
      </w:r>
      <w:r w:rsidRPr="00EC62FD">
        <w:rPr>
          <w:lang w:val="en-US" w:eastAsia="ja-JP"/>
        </w:rPr>
        <w:t xml:space="preserve">in patients treated with </w:t>
      </w:r>
      <w:r w:rsidRPr="00EC62FD">
        <w:rPr>
          <w:color w:val="000000"/>
          <w:lang w:val="en-US" w:eastAsia="ja-JP"/>
        </w:rPr>
        <w:t>inotuzumab ozogamicin</w:t>
      </w:r>
      <w:r w:rsidR="00503681">
        <w:rPr>
          <w:color w:val="000000"/>
          <w:lang w:val="en-US" w:eastAsia="ja-JP"/>
        </w:rPr>
        <w:t>.</w:t>
      </w:r>
    </w:p>
    <w:p w14:paraId="12CAD9C0" w14:textId="45CE395A" w:rsidR="00E33935" w:rsidRDefault="00F72BCD" w:rsidP="00F72BCD">
      <w:pPr>
        <w:pStyle w:val="Heading5"/>
      </w:pPr>
      <w:r>
        <w:rPr>
          <w:rFonts w:eastAsia="MS Mincho"/>
          <w:lang w:val="en-US" w:eastAsia="ja-JP"/>
        </w:rPr>
        <w:t xml:space="preserve">Question </w:t>
      </w:r>
      <w:r w:rsidR="00902D57">
        <w:rPr>
          <w:rFonts w:eastAsia="MS Mincho"/>
          <w:lang w:val="en-US" w:eastAsia="ja-JP"/>
        </w:rPr>
        <w:t>8</w:t>
      </w:r>
    </w:p>
    <w:p w14:paraId="0B105D24" w14:textId="77777777" w:rsidR="00E33935" w:rsidRPr="009B3582" w:rsidRDefault="00F72BCD" w:rsidP="00764C9B">
      <w:pPr>
        <w:rPr>
          <w:i/>
        </w:rPr>
      </w:pPr>
      <w:r w:rsidRPr="009B3582">
        <w:rPr>
          <w:i/>
          <w:lang w:eastAsia="ja-JP"/>
        </w:rPr>
        <w:t>It is noted that the updated number of patients in the Investigator’s choice of chemotherapy arm who proceeded to HSCT is given as 35 in the US label and 36 in the LSLV (4 January 2017) data. Please comment on this apparent discrepancy</w:t>
      </w:r>
      <w:r w:rsidR="00764C9B" w:rsidRPr="009B3582">
        <w:rPr>
          <w:i/>
          <w:lang w:eastAsia="ja-JP"/>
        </w:rPr>
        <w:t>.</w:t>
      </w:r>
    </w:p>
    <w:p w14:paraId="732507CC" w14:textId="7529A95F" w:rsidR="00603BFA" w:rsidRDefault="00603BFA" w:rsidP="00603BFA">
      <w:pPr>
        <w:pStyle w:val="Heading6"/>
        <w:rPr>
          <w:lang w:eastAsia="ja-JP"/>
        </w:rPr>
      </w:pPr>
      <w:r>
        <w:rPr>
          <w:lang w:eastAsia="ja-JP"/>
        </w:rPr>
        <w:t xml:space="preserve">Sponsor’s </w:t>
      </w:r>
      <w:r w:rsidR="00902D57">
        <w:rPr>
          <w:lang w:eastAsia="ja-JP"/>
        </w:rPr>
        <w:t>r</w:t>
      </w:r>
      <w:r>
        <w:rPr>
          <w:lang w:eastAsia="ja-JP"/>
        </w:rPr>
        <w:t>esponse</w:t>
      </w:r>
    </w:p>
    <w:p w14:paraId="47651AA8" w14:textId="77777777" w:rsidR="00503681" w:rsidRDefault="00F72BCD" w:rsidP="00F72BCD">
      <w:pPr>
        <w:widowControl w:val="0"/>
        <w:autoSpaceDE w:val="0"/>
        <w:autoSpaceDN w:val="0"/>
        <w:adjustRightInd w:val="0"/>
        <w:rPr>
          <w:rFonts w:eastAsia="MS Mincho" w:cs="–Ô˜øªñ„"/>
          <w:color w:val="000000"/>
          <w:lang w:val="en-US" w:eastAsia="ja-JP"/>
        </w:rPr>
      </w:pPr>
      <w:r w:rsidRPr="00DD10E5">
        <w:rPr>
          <w:rFonts w:eastAsia="MS Mincho" w:cs="–Ô˜øªñ„"/>
          <w:color w:val="000000"/>
          <w:lang w:val="en-US" w:eastAsia="ja-JP"/>
        </w:rPr>
        <w:t>The approved USPI reflects the Study B1931022 data from the total number of patients in the inotuzumab ozogamicin arm and Investigator’s choice of chemotherapy arm that proceeded to</w:t>
      </w:r>
      <w:r>
        <w:rPr>
          <w:rFonts w:eastAsia="MS Mincho" w:cs="–Ô˜øªñ„"/>
          <w:color w:val="000000"/>
          <w:lang w:val="en-US" w:eastAsia="ja-JP"/>
        </w:rPr>
        <w:t xml:space="preserve"> </w:t>
      </w:r>
      <w:r w:rsidRPr="00DD10E5">
        <w:rPr>
          <w:rFonts w:eastAsia="MS Mincho" w:cs="–Ô˜øªñ„"/>
          <w:color w:val="000000"/>
          <w:lang w:val="en-US" w:eastAsia="ja-JP"/>
        </w:rPr>
        <w:t>hematopoietic HSCT as of the BLA Day 120 Safety Update (</w:t>
      </w:r>
      <w:r w:rsidR="00503681">
        <w:rPr>
          <w:rFonts w:eastAsia="MS Mincho" w:cs="–Ô˜øªñ„"/>
          <w:color w:val="000000"/>
          <w:lang w:val="en-US" w:eastAsia="ja-JP"/>
        </w:rPr>
        <w:t>that is</w:t>
      </w:r>
      <w:r w:rsidRPr="00DD10E5">
        <w:rPr>
          <w:rFonts w:eastAsia="MS Mincho" w:cs="–Ô˜øªñ„"/>
          <w:color w:val="000000"/>
          <w:lang w:val="en-US" w:eastAsia="ja-JP"/>
        </w:rPr>
        <w:t xml:space="preserve">, </w:t>
      </w:r>
      <w:r w:rsidR="00E86989">
        <w:rPr>
          <w:rFonts w:eastAsia="MS Mincho" w:cs="–Ô˜øªñ„"/>
          <w:color w:val="000000"/>
          <w:lang w:val="en-US" w:eastAsia="ja-JP"/>
        </w:rPr>
        <w:t>cut-off</w:t>
      </w:r>
      <w:r w:rsidR="00764C9B">
        <w:rPr>
          <w:rFonts w:eastAsia="MS Mincho" w:cs="–Ô˜øªñ„"/>
          <w:color w:val="000000"/>
          <w:lang w:val="en-US" w:eastAsia="ja-JP"/>
        </w:rPr>
        <w:t xml:space="preserve"> date of </w:t>
      </w:r>
      <w:r w:rsidRPr="00DD10E5">
        <w:rPr>
          <w:rFonts w:eastAsia="MS Mincho" w:cs="–Ô˜øªñ„"/>
          <w:color w:val="000000"/>
          <w:lang w:val="en-US" w:eastAsia="ja-JP"/>
        </w:rPr>
        <w:t>1 September</w:t>
      </w:r>
      <w:r>
        <w:rPr>
          <w:rFonts w:eastAsia="MS Mincho" w:cs="–Ô˜øªñ„"/>
          <w:color w:val="000000"/>
          <w:lang w:val="en-US" w:eastAsia="ja-JP"/>
        </w:rPr>
        <w:t xml:space="preserve"> </w:t>
      </w:r>
      <w:r w:rsidRPr="00DD10E5">
        <w:rPr>
          <w:rFonts w:eastAsia="MS Mincho" w:cs="–Ô˜øªñ„"/>
          <w:color w:val="000000"/>
          <w:lang w:val="en-US" w:eastAsia="ja-JP"/>
        </w:rPr>
        <w:t>2016); at that time, 35 patients in the Investigator’s choice of chemotherapy arm had proceeded</w:t>
      </w:r>
      <w:r>
        <w:rPr>
          <w:rFonts w:eastAsia="MS Mincho" w:cs="–Ô˜øªñ„"/>
          <w:color w:val="000000"/>
          <w:lang w:val="en-US" w:eastAsia="ja-JP"/>
        </w:rPr>
        <w:t xml:space="preserve"> </w:t>
      </w:r>
      <w:r w:rsidRPr="00DD10E5">
        <w:rPr>
          <w:rFonts w:eastAsia="MS Mincho" w:cs="–Ô˜øªñ„"/>
          <w:color w:val="000000"/>
          <w:lang w:val="en-US" w:eastAsia="ja-JP"/>
        </w:rPr>
        <w:t>to hematopoietic HSCT</w:t>
      </w:r>
      <w:r w:rsidR="00503681">
        <w:rPr>
          <w:rFonts w:eastAsia="MS Mincho" w:cs="–Ô˜øªñ„"/>
          <w:color w:val="000000"/>
          <w:lang w:val="en-US" w:eastAsia="ja-JP"/>
        </w:rPr>
        <w:t>.</w:t>
      </w:r>
    </w:p>
    <w:p w14:paraId="0CBC6B16" w14:textId="77777777" w:rsidR="00F72BCD" w:rsidRPr="00DD10E5" w:rsidRDefault="00F72BCD" w:rsidP="00F72BCD">
      <w:pPr>
        <w:widowControl w:val="0"/>
        <w:autoSpaceDE w:val="0"/>
        <w:autoSpaceDN w:val="0"/>
        <w:adjustRightInd w:val="0"/>
        <w:rPr>
          <w:rFonts w:eastAsia="MS Mincho" w:cs="–Ô˜øªñ„"/>
          <w:color w:val="000000"/>
          <w:lang w:val="en-US" w:eastAsia="ja-JP"/>
        </w:rPr>
      </w:pPr>
      <w:r w:rsidRPr="00DD10E5">
        <w:rPr>
          <w:rFonts w:eastAsia="MS Mincho" w:cs="–Ô˜øªñ„"/>
          <w:color w:val="000000"/>
          <w:lang w:val="en-US" w:eastAsia="ja-JP"/>
        </w:rPr>
        <w:t xml:space="preserve">As of Study B1931022 last </w:t>
      </w:r>
      <w:r w:rsidR="00764C9B">
        <w:rPr>
          <w:rFonts w:eastAsia="MS Mincho" w:cs="–Ô˜øªñ„"/>
          <w:color w:val="000000"/>
          <w:lang w:val="en-US" w:eastAsia="ja-JP"/>
        </w:rPr>
        <w:t xml:space="preserve">subject last visit date (LSLV; </w:t>
      </w:r>
      <w:r w:rsidRPr="00DD10E5">
        <w:rPr>
          <w:rFonts w:eastAsia="MS Mincho" w:cs="–Ô˜øªñ„"/>
          <w:color w:val="000000"/>
          <w:lang w:val="en-US" w:eastAsia="ja-JP"/>
        </w:rPr>
        <w:t>4 January 2017), 36 patients in the Investigator’s choice of chemotherapy arm had proceeded to hematopoietic stem cell transplant (HSCT). Although the FDA was made aware of this updated data during BLA review, the Agency did not request the USPI to be updated to reflect this change.</w:t>
      </w:r>
    </w:p>
    <w:p w14:paraId="3364EC7B" w14:textId="12CD54E5" w:rsidR="00F72BCD" w:rsidRPr="00764C9B" w:rsidRDefault="00F72BCD" w:rsidP="009B3582">
      <w:pPr>
        <w:pStyle w:val="Heading6"/>
        <w:rPr>
          <w:lang w:val="en-US" w:eastAsia="ja-JP"/>
        </w:rPr>
      </w:pPr>
      <w:r w:rsidRPr="00764C9B">
        <w:rPr>
          <w:lang w:val="en-US" w:eastAsia="ja-JP"/>
        </w:rPr>
        <w:t xml:space="preserve">Clinical </w:t>
      </w:r>
      <w:r w:rsidR="00902D57">
        <w:rPr>
          <w:lang w:val="en-US" w:eastAsia="ja-JP"/>
        </w:rPr>
        <w:t>e</w:t>
      </w:r>
      <w:r w:rsidRPr="00764C9B">
        <w:rPr>
          <w:lang w:val="en-US" w:eastAsia="ja-JP"/>
        </w:rPr>
        <w:t xml:space="preserve">valuator’s </w:t>
      </w:r>
      <w:r w:rsidR="00902D57">
        <w:rPr>
          <w:lang w:val="en-US" w:eastAsia="ja-JP"/>
        </w:rPr>
        <w:t>c</w:t>
      </w:r>
      <w:r w:rsidRPr="00764C9B">
        <w:rPr>
          <w:lang w:val="en-US" w:eastAsia="ja-JP"/>
        </w:rPr>
        <w:t>omment</w:t>
      </w:r>
    </w:p>
    <w:p w14:paraId="41D0FB15" w14:textId="77777777" w:rsidR="00E33935" w:rsidRDefault="00F72BCD" w:rsidP="00764C9B">
      <w:r w:rsidRPr="00DD10E5">
        <w:rPr>
          <w:lang w:val="en-US" w:eastAsia="ja-JP"/>
        </w:rPr>
        <w:t>The sponsor’s response is satisfactory.</w:t>
      </w:r>
    </w:p>
    <w:p w14:paraId="093D2AA6" w14:textId="6A3E8585" w:rsidR="00E33935" w:rsidRDefault="00F72BCD" w:rsidP="00F72BCD">
      <w:pPr>
        <w:pStyle w:val="Heading5"/>
      </w:pPr>
      <w:r>
        <w:lastRenderedPageBreak/>
        <w:t xml:space="preserve">Question </w:t>
      </w:r>
      <w:r w:rsidR="00902D57">
        <w:t>9</w:t>
      </w:r>
    </w:p>
    <w:p w14:paraId="0A99E9DD" w14:textId="77777777" w:rsidR="00E33935" w:rsidRPr="009B3582" w:rsidRDefault="00F72BCD" w:rsidP="00902D57">
      <w:pPr>
        <w:rPr>
          <w:i/>
        </w:rPr>
      </w:pPr>
      <w:r w:rsidRPr="009B3582">
        <w:rPr>
          <w:i/>
        </w:rPr>
        <w:t>Please discuss the benefits and risks of treatment with inotuzumab ozogamicin in patients who achieve a CR/</w:t>
      </w:r>
      <w:proofErr w:type="spellStart"/>
      <w:r w:rsidRPr="009B3582">
        <w:rPr>
          <w:i/>
        </w:rPr>
        <w:t>CRi</w:t>
      </w:r>
      <w:proofErr w:type="spellEnd"/>
      <w:r w:rsidRPr="009B3582">
        <w:rPr>
          <w:i/>
        </w:rPr>
        <w:t xml:space="preserve"> but do not proceed to HSCT. The benefit-risk balance of continuing treatment with inotuzumab ozogamicin in these patients is unclear. Does the sponsor consider that</w:t>
      </w:r>
      <w:r w:rsidR="006779D9" w:rsidRPr="009B3582">
        <w:rPr>
          <w:i/>
        </w:rPr>
        <w:t xml:space="preserve"> </w:t>
      </w:r>
      <w:r w:rsidRPr="009B3582">
        <w:rPr>
          <w:i/>
        </w:rPr>
        <w:t>it might be clinically prudent to discontinue treatment with inotuzumab ozogamicin in these patients once a decision not to proceed to HSCT has been made?</w:t>
      </w:r>
    </w:p>
    <w:p w14:paraId="343105A4" w14:textId="22DBBABB" w:rsidR="00603BFA" w:rsidRDefault="00603BFA" w:rsidP="00603BFA">
      <w:pPr>
        <w:pStyle w:val="Heading6"/>
        <w:rPr>
          <w:lang w:eastAsia="ja-JP"/>
        </w:rPr>
      </w:pPr>
      <w:r>
        <w:rPr>
          <w:lang w:eastAsia="ja-JP"/>
        </w:rPr>
        <w:t xml:space="preserve">Sponsor’s </w:t>
      </w:r>
      <w:r w:rsidR="00902D57">
        <w:rPr>
          <w:lang w:eastAsia="ja-JP"/>
        </w:rPr>
        <w:t>r</w:t>
      </w:r>
      <w:r>
        <w:rPr>
          <w:lang w:eastAsia="ja-JP"/>
        </w:rPr>
        <w:t>esponse</w:t>
      </w:r>
    </w:p>
    <w:p w14:paraId="1560E99B" w14:textId="17F2D8E2" w:rsidR="00F72BCD" w:rsidRPr="00764C9B" w:rsidRDefault="00764C9B" w:rsidP="00F72BCD">
      <w:pPr>
        <w:widowControl w:val="0"/>
        <w:autoSpaceDE w:val="0"/>
        <w:autoSpaceDN w:val="0"/>
        <w:adjustRightInd w:val="0"/>
        <w:rPr>
          <w:rFonts w:eastAsia="MS Mincho" w:cs="–Ô˜øªñ„"/>
          <w:i/>
          <w:lang w:val="en-US" w:eastAsia="ja-JP"/>
        </w:rPr>
      </w:pPr>
      <w:r w:rsidRPr="00764C9B">
        <w:rPr>
          <w:rFonts w:eastAsia="MS Mincho" w:cs="–Ô˜øªñ„"/>
          <w:i/>
          <w:lang w:val="en-US" w:eastAsia="ja-JP"/>
        </w:rPr>
        <w:t>Efficacy</w:t>
      </w:r>
      <w:r w:rsidR="00902D57">
        <w:rPr>
          <w:rFonts w:eastAsia="MS Mincho" w:cs="–Ô˜øªñ„"/>
          <w:i/>
          <w:lang w:val="en-US" w:eastAsia="ja-JP"/>
        </w:rPr>
        <w:t>:</w:t>
      </w:r>
    </w:p>
    <w:p w14:paraId="41EE9ED9" w14:textId="77777777" w:rsidR="00F72BCD" w:rsidRPr="00DD10E5" w:rsidRDefault="00F72BCD" w:rsidP="00764C9B">
      <w:pPr>
        <w:rPr>
          <w:lang w:val="en-US" w:eastAsia="ja-JP"/>
        </w:rPr>
      </w:pPr>
      <w:r w:rsidRPr="00DD10E5">
        <w:rPr>
          <w:lang w:val="en-US" w:eastAsia="ja-JP"/>
        </w:rPr>
        <w:t xml:space="preserve">In the inotuzumab ozogamicin arm of Study B1931022, all responding patients first achieved remission (complete remission </w:t>
      </w:r>
      <w:r w:rsidR="00503681">
        <w:rPr>
          <w:lang w:val="en-US" w:eastAsia="ja-JP"/>
        </w:rPr>
        <w:t>(</w:t>
      </w:r>
      <w:r w:rsidRPr="00DD10E5">
        <w:rPr>
          <w:lang w:val="en-US" w:eastAsia="ja-JP"/>
        </w:rPr>
        <w:t>CR</w:t>
      </w:r>
      <w:r w:rsidR="00503681">
        <w:rPr>
          <w:lang w:val="en-US" w:eastAsia="ja-JP"/>
        </w:rPr>
        <w:t>)</w:t>
      </w:r>
      <w:r w:rsidRPr="00DD10E5">
        <w:rPr>
          <w:lang w:val="en-US" w:eastAsia="ja-JP"/>
        </w:rPr>
        <w:t xml:space="preserve"> or complete remission with incomplete hematologic recovery </w:t>
      </w:r>
      <w:r w:rsidR="00503681">
        <w:rPr>
          <w:lang w:val="en-US" w:eastAsia="ja-JP"/>
        </w:rPr>
        <w:t>(</w:t>
      </w:r>
      <w:proofErr w:type="spellStart"/>
      <w:r w:rsidRPr="00DD10E5">
        <w:rPr>
          <w:lang w:val="en-US" w:eastAsia="ja-JP"/>
        </w:rPr>
        <w:t>CRi</w:t>
      </w:r>
      <w:proofErr w:type="spellEnd"/>
      <w:r w:rsidR="00503681">
        <w:rPr>
          <w:lang w:val="en-US" w:eastAsia="ja-JP"/>
        </w:rPr>
        <w:t>)</w:t>
      </w:r>
      <w:r w:rsidRPr="00DD10E5">
        <w:rPr>
          <w:lang w:val="en-US" w:eastAsia="ja-JP"/>
        </w:rPr>
        <w:t>) within 1 to 3 cycles; no responding patient first achieved remission after Cycle 3.</w:t>
      </w:r>
    </w:p>
    <w:p w14:paraId="7A50C5DE" w14:textId="02577F23" w:rsidR="00503681" w:rsidRDefault="00F72BCD" w:rsidP="00764C9B">
      <w:pPr>
        <w:rPr>
          <w:lang w:val="en-US" w:eastAsia="ja-JP"/>
        </w:rPr>
      </w:pPr>
      <w:r w:rsidRPr="00DD10E5">
        <w:rPr>
          <w:lang w:val="en-US" w:eastAsia="ja-JP"/>
        </w:rPr>
        <w:t>Table 1</w:t>
      </w:r>
      <w:r w:rsidR="00CC30C8">
        <w:rPr>
          <w:lang w:val="en-US" w:eastAsia="ja-JP"/>
        </w:rPr>
        <w:t>2</w:t>
      </w:r>
      <w:r w:rsidRPr="00DD10E5">
        <w:rPr>
          <w:lang w:val="en-US" w:eastAsia="ja-JP"/>
        </w:rPr>
        <w:t xml:space="preserve"> </w:t>
      </w:r>
      <w:r w:rsidR="00503681">
        <w:rPr>
          <w:lang w:val="en-US" w:eastAsia="ja-JP"/>
        </w:rPr>
        <w:t>(</w:t>
      </w:r>
      <w:r w:rsidRPr="00DD10E5">
        <w:rPr>
          <w:lang w:val="en-US" w:eastAsia="ja-JP"/>
        </w:rPr>
        <w:t>see below</w:t>
      </w:r>
      <w:r w:rsidR="00503681">
        <w:rPr>
          <w:lang w:val="en-US" w:eastAsia="ja-JP"/>
        </w:rPr>
        <w:t>)</w:t>
      </w:r>
      <w:r w:rsidRPr="00DD10E5">
        <w:rPr>
          <w:lang w:val="en-US" w:eastAsia="ja-JP"/>
        </w:rPr>
        <w:t xml:space="preserve"> </w:t>
      </w:r>
      <w:r w:rsidRPr="00DD10E5">
        <w:rPr>
          <w:color w:val="000000"/>
          <w:lang w:val="en-US" w:eastAsia="ja-JP"/>
        </w:rPr>
        <w:t>shows duration of response (</w:t>
      </w:r>
      <w:proofErr w:type="spellStart"/>
      <w:r w:rsidRPr="00DD10E5">
        <w:rPr>
          <w:color w:val="000000"/>
          <w:lang w:val="en-US" w:eastAsia="ja-JP"/>
        </w:rPr>
        <w:t>DoR</w:t>
      </w:r>
      <w:proofErr w:type="spellEnd"/>
      <w:r w:rsidRPr="00DD10E5">
        <w:rPr>
          <w:color w:val="000000"/>
          <w:lang w:val="en-US" w:eastAsia="ja-JP"/>
        </w:rPr>
        <w:t>) and overall survival (OS), by maximum cycle received, for patients in the inotuzumab ozogamicin arm of Study</w:t>
      </w:r>
      <w:r w:rsidR="00902D57">
        <w:rPr>
          <w:color w:val="000000"/>
          <w:lang w:val="en-US" w:eastAsia="ja-JP"/>
        </w:rPr>
        <w:t> </w:t>
      </w:r>
      <w:r w:rsidRPr="00DD10E5">
        <w:rPr>
          <w:color w:val="000000"/>
          <w:lang w:val="en-US" w:eastAsia="ja-JP"/>
        </w:rPr>
        <w:t>B1931022 who achieved CR/</w:t>
      </w:r>
      <w:proofErr w:type="spellStart"/>
      <w:r w:rsidRPr="00DD10E5">
        <w:rPr>
          <w:color w:val="000000"/>
          <w:lang w:val="en-US" w:eastAsia="ja-JP"/>
        </w:rPr>
        <w:t>CRi</w:t>
      </w:r>
      <w:proofErr w:type="spellEnd"/>
      <w:r w:rsidRPr="00DD10E5">
        <w:rPr>
          <w:color w:val="000000"/>
          <w:lang w:val="en-US" w:eastAsia="ja-JP"/>
        </w:rPr>
        <w:t xml:space="preserve"> and did not undergo follow-up HSCT (as of the 08 March 2016 data </w:t>
      </w:r>
      <w:r w:rsidR="00E86989">
        <w:rPr>
          <w:color w:val="000000"/>
          <w:lang w:val="en-US" w:eastAsia="ja-JP"/>
        </w:rPr>
        <w:t>cut-off</w:t>
      </w:r>
      <w:r w:rsidRPr="00DD10E5">
        <w:rPr>
          <w:color w:val="000000"/>
          <w:lang w:val="en-US" w:eastAsia="ja-JP"/>
        </w:rPr>
        <w:t xml:space="preserve"> date). Although not statistically significant, responders who received a maximum of 4 to 6 cycles had numerically higher median </w:t>
      </w:r>
      <w:proofErr w:type="spellStart"/>
      <w:r w:rsidRPr="00DD10E5">
        <w:rPr>
          <w:color w:val="000000"/>
          <w:lang w:val="en-US" w:eastAsia="ja-JP"/>
        </w:rPr>
        <w:t>DoR</w:t>
      </w:r>
      <w:proofErr w:type="spellEnd"/>
      <w:r w:rsidRPr="00DD10E5">
        <w:rPr>
          <w:color w:val="000000"/>
          <w:lang w:val="en-US" w:eastAsia="ja-JP"/>
        </w:rPr>
        <w:t xml:space="preserve"> and OS compared to responders who received a maximum of 1 to 3 cycles (median </w:t>
      </w:r>
      <w:proofErr w:type="spellStart"/>
      <w:r w:rsidRPr="00DD10E5">
        <w:rPr>
          <w:color w:val="000000"/>
          <w:lang w:val="en-US" w:eastAsia="ja-JP"/>
        </w:rPr>
        <w:t>DoR</w:t>
      </w:r>
      <w:proofErr w:type="spellEnd"/>
      <w:r w:rsidRPr="00DD10E5">
        <w:rPr>
          <w:color w:val="000000"/>
          <w:lang w:val="en-US" w:eastAsia="ja-JP"/>
        </w:rPr>
        <w:t xml:space="preserve"> of 4.2 and 2.5 months, respectively, and median OS of 8.0 and 5.3 months, respectively). </w:t>
      </w:r>
      <w:r w:rsidRPr="00DD10E5">
        <w:rPr>
          <w:lang w:val="en-US" w:eastAsia="ja-JP"/>
        </w:rPr>
        <w:t>Five (5) responders who did not proceed to HSCT after inotuzumab ozogamicin treatment</w:t>
      </w:r>
      <w:r w:rsidRPr="00DD10E5">
        <w:rPr>
          <w:color w:val="000000"/>
          <w:lang w:val="en-US" w:eastAsia="ja-JP"/>
        </w:rPr>
        <w:t xml:space="preserve"> </w:t>
      </w:r>
      <w:r w:rsidRPr="00DD10E5">
        <w:rPr>
          <w:lang w:val="en-US" w:eastAsia="ja-JP"/>
        </w:rPr>
        <w:t xml:space="preserve">were still alive at 18 months. Of these 5 patients, 2 patients had received 3 cycles and had </w:t>
      </w:r>
      <w:proofErr w:type="spellStart"/>
      <w:r w:rsidRPr="00DD10E5">
        <w:rPr>
          <w:lang w:val="en-US" w:eastAsia="ja-JP"/>
        </w:rPr>
        <w:t>DoR</w:t>
      </w:r>
      <w:proofErr w:type="spellEnd"/>
      <w:r w:rsidRPr="00DD10E5">
        <w:rPr>
          <w:lang w:val="en-US" w:eastAsia="ja-JP"/>
        </w:rPr>
        <w:t xml:space="preserve"> of 57 and 128 days, 2 patients had received 4 cycles and had </w:t>
      </w:r>
      <w:proofErr w:type="spellStart"/>
      <w:r w:rsidRPr="00DD10E5">
        <w:rPr>
          <w:lang w:val="en-US" w:eastAsia="ja-JP"/>
        </w:rPr>
        <w:t>DoR</w:t>
      </w:r>
      <w:proofErr w:type="spellEnd"/>
      <w:r w:rsidRPr="00DD10E5">
        <w:rPr>
          <w:lang w:val="en-US" w:eastAsia="ja-JP"/>
        </w:rPr>
        <w:t xml:space="preserve"> of 332 and 488 days, and 1 patient had received 6 cycles and had </w:t>
      </w:r>
      <w:proofErr w:type="spellStart"/>
      <w:r w:rsidRPr="00DD10E5">
        <w:rPr>
          <w:lang w:val="en-US" w:eastAsia="ja-JP"/>
        </w:rPr>
        <w:t>DoR</w:t>
      </w:r>
      <w:proofErr w:type="spellEnd"/>
      <w:r w:rsidRPr="00DD10E5">
        <w:rPr>
          <w:lang w:val="en-US" w:eastAsia="ja-JP"/>
        </w:rPr>
        <w:t xml:space="preserve"> of 317 days</w:t>
      </w:r>
      <w:r w:rsidR="00503681">
        <w:rPr>
          <w:lang w:val="en-US" w:eastAsia="ja-JP"/>
        </w:rPr>
        <w:t>.</w:t>
      </w:r>
    </w:p>
    <w:p w14:paraId="07C3CA17" w14:textId="044AA65F" w:rsidR="00E33935" w:rsidRDefault="00F72BCD" w:rsidP="00F72BCD">
      <w:pPr>
        <w:pStyle w:val="TableTitle"/>
      </w:pPr>
      <w:r>
        <w:t>Table 1</w:t>
      </w:r>
      <w:r w:rsidR="00CC30C8">
        <w:t>2</w:t>
      </w:r>
      <w:r>
        <w:t>: Study B1931022 Duration of response and overall survival for patients who achieved CR/</w:t>
      </w:r>
      <w:proofErr w:type="spellStart"/>
      <w:r>
        <w:t>CRi</w:t>
      </w:r>
      <w:proofErr w:type="spellEnd"/>
      <w:r>
        <w:t xml:space="preserve"> but did not undergo follow up HSCT by maximum number of treatment cycles received (ITT population, inotuzumab ozogamicin arm) (8</w:t>
      </w:r>
      <w:r w:rsidR="00603BFA">
        <w:t> </w:t>
      </w:r>
      <w:r>
        <w:t>March</w:t>
      </w:r>
      <w:r w:rsidR="00603BFA">
        <w:t> </w:t>
      </w:r>
      <w:r>
        <w:t xml:space="preserve">2016 data </w:t>
      </w:r>
      <w:r w:rsidR="00E86989">
        <w:t>cut-off</w:t>
      </w:r>
      <w:r>
        <w:t>)</w:t>
      </w:r>
    </w:p>
    <w:p w14:paraId="7D2C9251" w14:textId="77777777" w:rsidR="00E33935" w:rsidRDefault="00F72BCD" w:rsidP="006136D7">
      <w:r>
        <w:rPr>
          <w:noProof/>
          <w:lang w:eastAsia="en-AU"/>
        </w:rPr>
        <w:drawing>
          <wp:inline distT="0" distB="0" distL="0" distR="0" wp14:anchorId="3C143F76" wp14:editId="6FD3681B">
            <wp:extent cx="5400040" cy="1725590"/>
            <wp:effectExtent l="0" t="0" r="0" b="8255"/>
            <wp:docPr id="8" name="Picture 8" descr="Table 12: Study B1931022: Duration of response and overall survival for patients who achieved CR/CRi but did not undergo follow up HSCT by maximum number of treatment cycles received (ITT population, inotuzumab ozogamicin arm) (8 March 2016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725590"/>
                    </a:xfrm>
                    <a:prstGeom prst="rect">
                      <a:avLst/>
                    </a:prstGeom>
                  </pic:spPr>
                </pic:pic>
              </a:graphicData>
            </a:graphic>
          </wp:inline>
        </w:drawing>
      </w:r>
    </w:p>
    <w:p w14:paraId="31F635F2" w14:textId="77777777" w:rsidR="00F72BCD" w:rsidRPr="00764C9B" w:rsidRDefault="00764C9B" w:rsidP="00764C9B">
      <w:pPr>
        <w:rPr>
          <w:i/>
          <w:lang w:val="en-US" w:eastAsia="ja-JP"/>
        </w:rPr>
      </w:pPr>
      <w:r w:rsidRPr="00764C9B">
        <w:rPr>
          <w:i/>
          <w:lang w:val="en-US" w:eastAsia="ja-JP"/>
        </w:rPr>
        <w:t>Safety</w:t>
      </w:r>
    </w:p>
    <w:p w14:paraId="4D805CF4" w14:textId="77777777" w:rsidR="00503681" w:rsidRDefault="00F72BCD" w:rsidP="00764C9B">
      <w:pPr>
        <w:rPr>
          <w:lang w:val="en-US" w:eastAsia="ja-JP"/>
        </w:rPr>
      </w:pPr>
      <w:r w:rsidRPr="00F51974">
        <w:rPr>
          <w:lang w:val="en-US" w:eastAsia="ja-JP"/>
        </w:rPr>
        <w:t>In order to determine whether more cycles of inotuzumab ozogamicin treatment resulted in increased toxicity in Study B1931022, a</w:t>
      </w:r>
      <w:r w:rsidR="00764C9B">
        <w:rPr>
          <w:lang w:val="en-US" w:eastAsia="ja-JP"/>
        </w:rPr>
        <w:t xml:space="preserve">n analysis of safety (based on </w:t>
      </w:r>
      <w:r w:rsidRPr="00F51974">
        <w:rPr>
          <w:lang w:val="en-US" w:eastAsia="ja-JP"/>
        </w:rPr>
        <w:t xml:space="preserve">8 March 2016 data </w:t>
      </w:r>
      <w:r w:rsidR="00E86989">
        <w:rPr>
          <w:lang w:val="en-US" w:eastAsia="ja-JP"/>
        </w:rPr>
        <w:t>cut-off</w:t>
      </w:r>
      <w:r w:rsidRPr="00F51974">
        <w:rPr>
          <w:lang w:val="en-US" w:eastAsia="ja-JP"/>
        </w:rPr>
        <w:t xml:space="preserve"> date) according to treatment cycle was undertaken. Patients could receive up to 6 cycles of treatment, though it was recommended that patients proceeding to HSCT be treated with 2 cycles or the fewest number of cycles to achieve CR/</w:t>
      </w:r>
      <w:proofErr w:type="spellStart"/>
      <w:r w:rsidRPr="00F51974">
        <w:rPr>
          <w:lang w:val="en-US" w:eastAsia="ja-JP"/>
        </w:rPr>
        <w:t>CRi</w:t>
      </w:r>
      <w:proofErr w:type="spellEnd"/>
      <w:r w:rsidRPr="00F51974">
        <w:rPr>
          <w:lang w:val="en-US" w:eastAsia="ja-JP"/>
        </w:rPr>
        <w:t xml:space="preserve"> (if CR/</w:t>
      </w:r>
      <w:proofErr w:type="spellStart"/>
      <w:r w:rsidRPr="00F51974">
        <w:rPr>
          <w:lang w:val="en-US" w:eastAsia="ja-JP"/>
        </w:rPr>
        <w:t>CRi</w:t>
      </w:r>
      <w:proofErr w:type="spellEnd"/>
      <w:r w:rsidRPr="00F51974">
        <w:rPr>
          <w:lang w:val="en-US" w:eastAsia="ja-JP"/>
        </w:rPr>
        <w:t xml:space="preserve"> not achieved after 2 cycles). Reasons for discontinuation of inotuzumab ozogamicin treatment included complete response (39.0%), adverse events (16.5%), objective progression or relapse (14.6%) and resistant disease (11.0%)</w:t>
      </w:r>
      <w:r w:rsidR="00503681">
        <w:rPr>
          <w:lang w:val="en-US" w:eastAsia="ja-JP"/>
        </w:rPr>
        <w:t>.</w:t>
      </w:r>
    </w:p>
    <w:p w14:paraId="507AE6E3" w14:textId="77777777" w:rsidR="00F72BCD" w:rsidRDefault="00F72BCD" w:rsidP="00764C9B">
      <w:pPr>
        <w:rPr>
          <w:lang w:val="en-US" w:eastAsia="ja-JP"/>
        </w:rPr>
      </w:pPr>
      <w:r w:rsidRPr="00CC30C8">
        <w:rPr>
          <w:lang w:val="en-US" w:eastAsia="ja-JP"/>
        </w:rPr>
        <w:t xml:space="preserve">Table </w:t>
      </w:r>
      <w:r w:rsidR="00CC30C8" w:rsidRPr="00CC30C8">
        <w:rPr>
          <w:lang w:val="en-US" w:eastAsia="ja-JP"/>
        </w:rPr>
        <w:t>13</w:t>
      </w:r>
      <w:r w:rsidRPr="00CC30C8">
        <w:rPr>
          <w:lang w:val="en-US" w:eastAsia="ja-JP"/>
        </w:rPr>
        <w:t xml:space="preserve"> shows the frequency of all-causality Grade </w:t>
      </w:r>
      <w:r w:rsidR="00503681" w:rsidRPr="00CC30C8">
        <w:rPr>
          <w:lang w:val="en-US" w:eastAsia="ja-JP"/>
        </w:rPr>
        <w:t xml:space="preserve">≥ </w:t>
      </w:r>
      <w:r w:rsidR="00764C9B" w:rsidRPr="00CC30C8">
        <w:rPr>
          <w:lang w:val="en-US" w:eastAsia="ja-JP"/>
        </w:rPr>
        <w:t xml:space="preserve">3 treatment </w:t>
      </w:r>
      <w:r w:rsidRPr="00CC30C8">
        <w:rPr>
          <w:lang w:val="en-US" w:eastAsia="ja-JP"/>
        </w:rPr>
        <w:t>emergent adverse</w:t>
      </w:r>
      <w:r w:rsidRPr="00F51974">
        <w:rPr>
          <w:lang w:val="en-US" w:eastAsia="ja-JP"/>
        </w:rPr>
        <w:t xml:space="preserve"> events (TEAEs) occurring in </w:t>
      </w:r>
      <w:r w:rsidR="000F385B">
        <w:rPr>
          <w:lang w:val="en-US" w:eastAsia="ja-JP"/>
        </w:rPr>
        <w:t xml:space="preserve">&gt; </w:t>
      </w:r>
      <w:r w:rsidRPr="00F51974">
        <w:rPr>
          <w:lang w:val="en-US" w:eastAsia="ja-JP"/>
        </w:rPr>
        <w:t xml:space="preserve">1 patient according to the treatment cycle started. The frequency of all-causality Grade </w:t>
      </w:r>
      <w:r w:rsidR="00503681">
        <w:rPr>
          <w:lang w:val="en-US" w:eastAsia="ja-JP"/>
        </w:rPr>
        <w:t xml:space="preserve">≥ </w:t>
      </w:r>
      <w:r w:rsidRPr="00F51974">
        <w:rPr>
          <w:lang w:val="en-US" w:eastAsia="ja-JP"/>
        </w:rPr>
        <w:t xml:space="preserve">3 TEAEs was similar among the patients who started </w:t>
      </w:r>
      <w:r w:rsidRPr="00F51974">
        <w:rPr>
          <w:lang w:val="en-US" w:eastAsia="ja-JP"/>
        </w:rPr>
        <w:lastRenderedPageBreak/>
        <w:t xml:space="preserve">Cycles 1 through 6 for most of the individual TEAEs. In general, individual Grade </w:t>
      </w:r>
      <w:r w:rsidR="00503681">
        <w:rPr>
          <w:lang w:val="en-US" w:eastAsia="ja-JP"/>
        </w:rPr>
        <w:t xml:space="preserve">≥ </w:t>
      </w:r>
      <w:r w:rsidRPr="00F51974">
        <w:rPr>
          <w:lang w:val="en-US" w:eastAsia="ja-JP"/>
        </w:rPr>
        <w:t xml:space="preserve">3 TEAEs did not appear to increase with increasing number of cycles. A few Grade </w:t>
      </w:r>
      <w:r w:rsidR="00503681">
        <w:rPr>
          <w:lang w:val="en-US" w:eastAsia="ja-JP"/>
        </w:rPr>
        <w:t xml:space="preserve">≥ </w:t>
      </w:r>
      <w:r w:rsidRPr="00F51974">
        <w:rPr>
          <w:lang w:val="en-US" w:eastAsia="ja-JP"/>
        </w:rPr>
        <w:t>3 TEAEs did trend higher in patients treated with more than 3 cycles of inotuzumab ozogamicin (</w:t>
      </w:r>
      <w:r w:rsidR="001D0208">
        <w:rPr>
          <w:lang w:val="en-US" w:eastAsia="ja-JP"/>
        </w:rPr>
        <w:t>for example</w:t>
      </w:r>
      <w:r w:rsidRPr="00F51974">
        <w:rPr>
          <w:lang w:val="en-US" w:eastAsia="ja-JP"/>
        </w:rPr>
        <w:t xml:space="preserve">, thrombocytopenia, </w:t>
      </w:r>
      <w:r w:rsidR="00764C9B" w:rsidRPr="00F51974">
        <w:rPr>
          <w:lang w:val="en-US" w:eastAsia="ja-JP"/>
        </w:rPr>
        <w:t>and neutropenia</w:t>
      </w:r>
      <w:r w:rsidRPr="00F51974">
        <w:rPr>
          <w:lang w:val="en-US" w:eastAsia="ja-JP"/>
        </w:rPr>
        <w:t>).</w:t>
      </w:r>
    </w:p>
    <w:p w14:paraId="15F88209" w14:textId="01FBFB98" w:rsidR="001612AD" w:rsidRDefault="001612AD" w:rsidP="001612AD">
      <w:pPr>
        <w:pStyle w:val="TableTitle"/>
        <w:rPr>
          <w:lang w:val="en-US" w:eastAsia="ja-JP"/>
        </w:rPr>
      </w:pPr>
      <w:r>
        <w:rPr>
          <w:lang w:val="en-US" w:eastAsia="ja-JP"/>
        </w:rPr>
        <w:t xml:space="preserve">Table </w:t>
      </w:r>
      <w:r w:rsidR="00CC30C8">
        <w:rPr>
          <w:lang w:val="en-US" w:eastAsia="ja-JP"/>
        </w:rPr>
        <w:t>13</w:t>
      </w:r>
      <w:r w:rsidRPr="00DD10E5">
        <w:t xml:space="preserve">: </w:t>
      </w:r>
      <w:r w:rsidR="00843728">
        <w:t xml:space="preserve">Study </w:t>
      </w:r>
      <w:r w:rsidRPr="00DD10E5">
        <w:rPr>
          <w:lang w:val="en-US" w:eastAsia="ja-JP"/>
        </w:rPr>
        <w:t>B1931022</w:t>
      </w:r>
      <w:r w:rsidR="00902D57">
        <w:rPr>
          <w:lang w:val="en-US" w:eastAsia="ja-JP"/>
        </w:rPr>
        <w:t xml:space="preserve"> </w:t>
      </w:r>
      <w:r w:rsidRPr="00DD10E5">
        <w:rPr>
          <w:lang w:val="en-US" w:eastAsia="ja-JP"/>
        </w:rPr>
        <w:t>Summary of all-causality TEAEs grades ≥</w:t>
      </w:r>
      <w:r w:rsidR="00CC30C8">
        <w:rPr>
          <w:lang w:val="en-US" w:eastAsia="ja-JP"/>
        </w:rPr>
        <w:t xml:space="preserve"> </w:t>
      </w:r>
      <w:r w:rsidRPr="00DD10E5">
        <w:rPr>
          <w:lang w:val="en-US" w:eastAsia="ja-JP"/>
        </w:rPr>
        <w:t>3 reported in &gt;</w:t>
      </w:r>
      <w:r w:rsidR="00843728">
        <w:rPr>
          <w:lang w:val="en-US" w:eastAsia="ja-JP"/>
        </w:rPr>
        <w:t> </w:t>
      </w:r>
      <w:r w:rsidRPr="00DD10E5">
        <w:rPr>
          <w:lang w:val="en-US" w:eastAsia="ja-JP"/>
        </w:rPr>
        <w:t xml:space="preserve">1 patient by </w:t>
      </w:r>
      <w:proofErr w:type="spellStart"/>
      <w:r w:rsidRPr="00DD10E5">
        <w:rPr>
          <w:lang w:val="en-US" w:eastAsia="ja-JP"/>
        </w:rPr>
        <w:t>MedDRA</w:t>
      </w:r>
      <w:proofErr w:type="spellEnd"/>
      <w:r w:rsidRPr="00DD10E5">
        <w:rPr>
          <w:lang w:val="en-US" w:eastAsia="ja-JP"/>
        </w:rPr>
        <w:t xml:space="preserve"> preferred term by cycle started in inotuzumab ozogamicin arm; safety populat</w:t>
      </w:r>
      <w:r>
        <w:rPr>
          <w:lang w:val="en-US" w:eastAsia="ja-JP"/>
        </w:rPr>
        <w:t>ion (8 March 2016 cut-off date)</w:t>
      </w:r>
    </w:p>
    <w:p w14:paraId="79A15880" w14:textId="77777777" w:rsidR="001612AD" w:rsidRPr="001612AD" w:rsidRDefault="001612AD" w:rsidP="00CC30C8">
      <w:pPr>
        <w:rPr>
          <w:lang w:val="en-US" w:eastAsia="ja-JP"/>
        </w:rPr>
      </w:pPr>
      <w:r w:rsidRPr="00CC30C8">
        <w:rPr>
          <w:noProof/>
          <w:lang w:eastAsia="en-AU"/>
        </w:rPr>
        <w:drawing>
          <wp:inline distT="0" distB="0" distL="0" distR="0" wp14:anchorId="1C4DD6A3" wp14:editId="712FE462">
            <wp:extent cx="5400040" cy="7346675"/>
            <wp:effectExtent l="0" t="0" r="0" b="6985"/>
            <wp:docPr id="16" name="Picture 16" descr="Table 13: B1931022 – Summary of all-causality TEAEs grades ≥ 3 reported in &gt; 1 patient by MedDRA preferred term by cycle started in inotuzumab ozogamicin arm; safety population (8 March 2016 cut-off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7346675"/>
                    </a:xfrm>
                    <a:prstGeom prst="rect">
                      <a:avLst/>
                    </a:prstGeom>
                  </pic:spPr>
                </pic:pic>
              </a:graphicData>
            </a:graphic>
          </wp:inline>
        </w:drawing>
      </w:r>
    </w:p>
    <w:p w14:paraId="3DCD2069" w14:textId="77777777" w:rsidR="00503681" w:rsidRDefault="00F72BCD" w:rsidP="00764C9B">
      <w:pPr>
        <w:rPr>
          <w:lang w:val="en-US" w:eastAsia="ja-JP"/>
        </w:rPr>
      </w:pPr>
      <w:r w:rsidRPr="00F51974">
        <w:rPr>
          <w:lang w:val="en-US" w:eastAsia="ja-JP"/>
        </w:rPr>
        <w:lastRenderedPageBreak/>
        <w:t xml:space="preserve">Patients who received a maximum of 6 cycles had the highest frequency of Grade </w:t>
      </w:r>
      <w:r w:rsidR="00503681">
        <w:rPr>
          <w:lang w:val="en-US" w:eastAsia="ja-JP"/>
        </w:rPr>
        <w:t xml:space="preserve">≥ </w:t>
      </w:r>
      <w:r w:rsidRPr="00F51974">
        <w:rPr>
          <w:lang w:val="en-US" w:eastAsia="ja-JP"/>
        </w:rPr>
        <w:t xml:space="preserve">3 events within System Organ Class (SOC) Hepatobiliary Disorders (4/15 </w:t>
      </w:r>
      <w:r w:rsidR="00503681">
        <w:rPr>
          <w:lang w:val="en-US" w:eastAsia="ja-JP"/>
        </w:rPr>
        <w:t>(</w:t>
      </w:r>
      <w:r w:rsidRPr="00F51974">
        <w:rPr>
          <w:lang w:val="en-US" w:eastAsia="ja-JP"/>
        </w:rPr>
        <w:t>26.7%</w:t>
      </w:r>
      <w:r w:rsidR="00503681">
        <w:rPr>
          <w:lang w:val="en-US" w:eastAsia="ja-JP"/>
        </w:rPr>
        <w:t>)</w:t>
      </w:r>
      <w:r w:rsidRPr="00F51974">
        <w:rPr>
          <w:lang w:val="en-US" w:eastAsia="ja-JP"/>
        </w:rPr>
        <w:t xml:space="preserve"> patients). The most common Grade </w:t>
      </w:r>
      <w:r w:rsidR="00503681">
        <w:rPr>
          <w:lang w:val="en-US" w:eastAsia="ja-JP"/>
        </w:rPr>
        <w:t xml:space="preserve">≥ </w:t>
      </w:r>
      <w:r w:rsidRPr="00F51974">
        <w:rPr>
          <w:lang w:val="en-US" w:eastAsia="ja-JP"/>
        </w:rPr>
        <w:t xml:space="preserve">3 event within this SOC was hyperbilirubinemia (3/15 </w:t>
      </w:r>
      <w:r w:rsidR="00503681">
        <w:rPr>
          <w:lang w:val="en-US" w:eastAsia="ja-JP"/>
        </w:rPr>
        <w:t>(</w:t>
      </w:r>
      <w:r w:rsidRPr="00F51974">
        <w:rPr>
          <w:lang w:val="en-US" w:eastAsia="ja-JP"/>
        </w:rPr>
        <w:t>20%</w:t>
      </w:r>
      <w:r w:rsidR="00503681">
        <w:rPr>
          <w:lang w:val="en-US" w:eastAsia="ja-JP"/>
        </w:rPr>
        <w:t>)</w:t>
      </w:r>
      <w:r w:rsidRPr="00F51974">
        <w:rPr>
          <w:lang w:val="en-US" w:eastAsia="ja-JP"/>
        </w:rPr>
        <w:t xml:space="preserve"> patients). While consistently increased frequency with increasing number of cycles was not observed for Grade </w:t>
      </w:r>
      <w:r w:rsidR="00503681">
        <w:rPr>
          <w:lang w:val="en-US" w:eastAsia="ja-JP"/>
        </w:rPr>
        <w:t xml:space="preserve">≥ </w:t>
      </w:r>
      <w:r w:rsidRPr="00F51974">
        <w:rPr>
          <w:lang w:val="en-US" w:eastAsia="ja-JP"/>
        </w:rPr>
        <w:t>3 hyperbiliru</w:t>
      </w:r>
      <w:r w:rsidR="00764C9B">
        <w:rPr>
          <w:lang w:val="en-US" w:eastAsia="ja-JP"/>
        </w:rPr>
        <w:t xml:space="preserve">binemia, the frequencies of any </w:t>
      </w:r>
      <w:r w:rsidRPr="00F51974">
        <w:rPr>
          <w:lang w:val="en-US" w:eastAsia="ja-JP"/>
        </w:rPr>
        <w:t>grade hyperbilirubinemia were highest in Cycles 3 th</w:t>
      </w:r>
      <w:r w:rsidR="00764C9B">
        <w:rPr>
          <w:lang w:val="en-US" w:eastAsia="ja-JP"/>
        </w:rPr>
        <w:t xml:space="preserve">rough 6 (the frequencies of any </w:t>
      </w:r>
      <w:r w:rsidRPr="00F51974">
        <w:rPr>
          <w:lang w:val="en-US" w:eastAsia="ja-JP"/>
        </w:rPr>
        <w:t>grade hyperbilirubinemia were 7.9%, 7.1%, 9.2%, 15.6%, 38.5%, 60.0% in Cycles 1 through 6, respectively</w:t>
      </w:r>
      <w:r w:rsidR="00503681">
        <w:rPr>
          <w:lang w:val="en-US" w:eastAsia="ja-JP"/>
        </w:rPr>
        <w:t>.</w:t>
      </w:r>
    </w:p>
    <w:p w14:paraId="01612401" w14:textId="77777777" w:rsidR="00F72BCD" w:rsidRPr="00F51974" w:rsidRDefault="00F72BCD" w:rsidP="00764C9B">
      <w:pPr>
        <w:rPr>
          <w:lang w:val="en-US" w:eastAsia="ja-JP"/>
        </w:rPr>
      </w:pPr>
      <w:r w:rsidRPr="00F51974">
        <w:rPr>
          <w:lang w:val="en-US" w:eastAsia="ja-JP"/>
        </w:rPr>
        <w:t>Venoocclusive disease/sinusoidal obstruction syndrome (VOD/SOS) was reported in each cycle category. However, for patients not proceeding to HSCT, the risk of VOD/SOS was substantially lower compared to patients who proceeded to HSCT. Among all 164 patients treated in the inotuzumab ozogamicin arm, VOD/SOS was reported in 5/164 (3%) patients during study therapy or in follow-up without an intervening HSCT: of these 5 patients, 3 patients received 1 cycle (including incomplete cycle), 1 patient received 3 cycles, and 1 patient received 6 cycles. Thus, for these 5 patients who had VOD/SOS during study therapy or in follow-up without an intervening HSCT, the risk of VOD/SOS did not increase with greater number of cycles.</w:t>
      </w:r>
    </w:p>
    <w:p w14:paraId="0103B5FB" w14:textId="2C738AB4" w:rsidR="00F72BCD" w:rsidRPr="00F51974" w:rsidRDefault="00764C9B" w:rsidP="00764C9B">
      <w:pPr>
        <w:rPr>
          <w:lang w:val="en-US" w:eastAsia="ja-JP"/>
        </w:rPr>
      </w:pPr>
      <w:r w:rsidRPr="00902D57">
        <w:rPr>
          <w:i/>
          <w:lang w:val="en-US" w:eastAsia="ja-JP"/>
        </w:rPr>
        <w:t xml:space="preserve">Overall </w:t>
      </w:r>
      <w:proofErr w:type="spellStart"/>
      <w:r w:rsidRPr="00902D57">
        <w:rPr>
          <w:i/>
          <w:lang w:val="en-US" w:eastAsia="ja-JP"/>
        </w:rPr>
        <w:t>summary</w:t>
      </w:r>
      <w:r w:rsidR="00902D57">
        <w:rPr>
          <w:lang w:val="en-US" w:eastAsia="ja-JP"/>
        </w:rPr>
        <w:t>:</w:t>
      </w:r>
      <w:r w:rsidR="00F72BCD" w:rsidRPr="00F51974">
        <w:rPr>
          <w:lang w:val="en-US" w:eastAsia="ja-JP"/>
        </w:rPr>
        <w:t>Based</w:t>
      </w:r>
      <w:proofErr w:type="spellEnd"/>
      <w:r w:rsidR="00F72BCD" w:rsidRPr="00F51974">
        <w:rPr>
          <w:lang w:val="en-US" w:eastAsia="ja-JP"/>
        </w:rPr>
        <w:t xml:space="preserve"> on the efficacy and safety analyses summari</w:t>
      </w:r>
      <w:r w:rsidR="00902D57">
        <w:rPr>
          <w:lang w:val="en-US" w:eastAsia="ja-JP"/>
        </w:rPr>
        <w:t>s</w:t>
      </w:r>
      <w:r w:rsidR="00F72BCD" w:rsidRPr="00F51974">
        <w:rPr>
          <w:lang w:val="en-US" w:eastAsia="ja-JP"/>
        </w:rPr>
        <w:t xml:space="preserve">ed in this response, the </w:t>
      </w:r>
      <w:r w:rsidR="00902D57">
        <w:rPr>
          <w:lang w:val="en-US" w:eastAsia="ja-JP"/>
        </w:rPr>
        <w:t>sponsor</w:t>
      </w:r>
      <w:r w:rsidR="00902D57" w:rsidRPr="00F51974">
        <w:rPr>
          <w:lang w:val="en-US" w:eastAsia="ja-JP"/>
        </w:rPr>
        <w:t xml:space="preserve"> </w:t>
      </w:r>
      <w:r w:rsidR="00F72BCD" w:rsidRPr="00F51974">
        <w:rPr>
          <w:lang w:val="en-US" w:eastAsia="ja-JP"/>
        </w:rPr>
        <w:t>considers that additional cycles of treatment up to a maximum of 6 cycles in patients not proceeding to HSCT is justified. Specifically:</w:t>
      </w:r>
    </w:p>
    <w:p w14:paraId="0669045D" w14:textId="77777777" w:rsidR="00F72BCD" w:rsidRPr="00F51974" w:rsidRDefault="00F72BCD" w:rsidP="00F72BCD">
      <w:pPr>
        <w:pStyle w:val="ListBullet"/>
        <w:rPr>
          <w:lang w:val="en-US" w:eastAsia="ja-JP"/>
        </w:rPr>
      </w:pPr>
      <w:r w:rsidRPr="00F51974">
        <w:rPr>
          <w:lang w:val="en-US" w:eastAsia="ja-JP"/>
        </w:rPr>
        <w:t>For patients who achieved CR/</w:t>
      </w:r>
      <w:proofErr w:type="spellStart"/>
      <w:r w:rsidRPr="00F51974">
        <w:rPr>
          <w:lang w:val="en-US" w:eastAsia="ja-JP"/>
        </w:rPr>
        <w:t>CRi</w:t>
      </w:r>
      <w:proofErr w:type="spellEnd"/>
      <w:r w:rsidRPr="00F51974">
        <w:rPr>
          <w:lang w:val="en-US" w:eastAsia="ja-JP"/>
        </w:rPr>
        <w:t xml:space="preserve"> but who were not eligib</w:t>
      </w:r>
      <w:r>
        <w:rPr>
          <w:lang w:val="en-US" w:eastAsia="ja-JP"/>
        </w:rPr>
        <w:t xml:space="preserve">le to undergo HSCT, additional </w:t>
      </w:r>
      <w:r w:rsidRPr="00F51974">
        <w:rPr>
          <w:lang w:val="en-US" w:eastAsia="ja-JP"/>
        </w:rPr>
        <w:t xml:space="preserve">cycles (up to a maximum of 6) may be beneficial to maintain the response and for survival. Additionally, among the 5 patients who did not </w:t>
      </w:r>
      <w:r>
        <w:rPr>
          <w:lang w:val="en-US" w:eastAsia="ja-JP"/>
        </w:rPr>
        <w:t>und</w:t>
      </w:r>
      <w:r w:rsidR="00764C9B">
        <w:rPr>
          <w:lang w:val="en-US" w:eastAsia="ja-JP"/>
        </w:rPr>
        <w:t xml:space="preserve">ergo HSCT and were 18 </w:t>
      </w:r>
      <w:r>
        <w:rPr>
          <w:lang w:val="en-US" w:eastAsia="ja-JP"/>
        </w:rPr>
        <w:t xml:space="preserve">month </w:t>
      </w:r>
      <w:r w:rsidRPr="00F51974">
        <w:rPr>
          <w:lang w:val="en-US" w:eastAsia="ja-JP"/>
        </w:rPr>
        <w:t xml:space="preserve">survivors, 3 patients had received </w:t>
      </w:r>
      <w:r w:rsidR="000F385B">
        <w:rPr>
          <w:lang w:val="en-US" w:eastAsia="ja-JP"/>
        </w:rPr>
        <w:t xml:space="preserve">&gt; </w:t>
      </w:r>
      <w:r w:rsidRPr="00F51974">
        <w:rPr>
          <w:lang w:val="en-US" w:eastAsia="ja-JP"/>
        </w:rPr>
        <w:t>3 cycles.</w:t>
      </w:r>
    </w:p>
    <w:p w14:paraId="05D91907" w14:textId="77777777" w:rsidR="00F72BCD" w:rsidRPr="00F51974" w:rsidRDefault="00F72BCD" w:rsidP="00F72BCD">
      <w:pPr>
        <w:pStyle w:val="ListBullet"/>
        <w:rPr>
          <w:lang w:val="en-US" w:eastAsia="ja-JP"/>
        </w:rPr>
      </w:pPr>
      <w:r w:rsidRPr="00F51974">
        <w:rPr>
          <w:lang w:val="en-US" w:eastAsia="ja-JP"/>
        </w:rPr>
        <w:t xml:space="preserve">The frequency of all-causality Grade </w:t>
      </w:r>
      <w:r w:rsidR="00503681">
        <w:rPr>
          <w:lang w:val="en-US" w:eastAsia="ja-JP"/>
        </w:rPr>
        <w:t xml:space="preserve">≥ </w:t>
      </w:r>
      <w:r w:rsidRPr="00F51974">
        <w:rPr>
          <w:lang w:val="en-US" w:eastAsia="ja-JP"/>
        </w:rPr>
        <w:t>3 TEAEs was simi</w:t>
      </w:r>
      <w:r>
        <w:rPr>
          <w:lang w:val="en-US" w:eastAsia="ja-JP"/>
        </w:rPr>
        <w:t xml:space="preserve">lar among patients who started </w:t>
      </w:r>
      <w:r w:rsidRPr="00F51974">
        <w:rPr>
          <w:lang w:val="en-US" w:eastAsia="ja-JP"/>
        </w:rPr>
        <w:t>Cycles 1 through 6 for most individual TEAEs. In general, ind</w:t>
      </w:r>
      <w:r>
        <w:rPr>
          <w:lang w:val="en-US" w:eastAsia="ja-JP"/>
        </w:rPr>
        <w:t xml:space="preserve">ividual Grade </w:t>
      </w:r>
      <w:r w:rsidR="00503681">
        <w:rPr>
          <w:lang w:val="en-US" w:eastAsia="ja-JP"/>
        </w:rPr>
        <w:t xml:space="preserve">≥ </w:t>
      </w:r>
      <w:r>
        <w:rPr>
          <w:lang w:val="en-US" w:eastAsia="ja-JP"/>
        </w:rPr>
        <w:t xml:space="preserve">3 TEAEs did not </w:t>
      </w:r>
      <w:r w:rsidRPr="00F51974">
        <w:rPr>
          <w:lang w:val="en-US" w:eastAsia="ja-JP"/>
        </w:rPr>
        <w:t xml:space="preserve">appear to increase with increasing number of cycles. A few Grade </w:t>
      </w:r>
      <w:r w:rsidR="00503681">
        <w:rPr>
          <w:lang w:val="en-US" w:eastAsia="ja-JP"/>
        </w:rPr>
        <w:t xml:space="preserve">≥ </w:t>
      </w:r>
      <w:r w:rsidRPr="00F51974">
        <w:rPr>
          <w:lang w:val="en-US" w:eastAsia="ja-JP"/>
        </w:rPr>
        <w:t>3 TEAEs d</w:t>
      </w:r>
      <w:r>
        <w:rPr>
          <w:lang w:val="en-US" w:eastAsia="ja-JP"/>
        </w:rPr>
        <w:t xml:space="preserve">id trend </w:t>
      </w:r>
      <w:r w:rsidRPr="00F51974">
        <w:rPr>
          <w:lang w:val="en-US" w:eastAsia="ja-JP"/>
        </w:rPr>
        <w:t>higher in patients treated with more than 3 cycles o</w:t>
      </w:r>
      <w:r>
        <w:rPr>
          <w:lang w:val="en-US" w:eastAsia="ja-JP"/>
        </w:rPr>
        <w:t>f inotuzumab ozogamicin (</w:t>
      </w:r>
      <w:r w:rsidR="001D0208">
        <w:rPr>
          <w:lang w:val="en-US" w:eastAsia="ja-JP"/>
        </w:rPr>
        <w:t>for example</w:t>
      </w:r>
      <w:r>
        <w:rPr>
          <w:lang w:val="en-US" w:eastAsia="ja-JP"/>
        </w:rPr>
        <w:t xml:space="preserve">, </w:t>
      </w:r>
      <w:r w:rsidRPr="00F51974">
        <w:rPr>
          <w:lang w:val="en-US" w:eastAsia="ja-JP"/>
        </w:rPr>
        <w:t xml:space="preserve">thrombocytopenia, </w:t>
      </w:r>
      <w:proofErr w:type="gramStart"/>
      <w:r w:rsidRPr="00F51974">
        <w:rPr>
          <w:lang w:val="en-US" w:eastAsia="ja-JP"/>
        </w:rPr>
        <w:t>neutropenia</w:t>
      </w:r>
      <w:proofErr w:type="gramEnd"/>
      <w:r w:rsidRPr="00F51974">
        <w:rPr>
          <w:lang w:val="en-US" w:eastAsia="ja-JP"/>
        </w:rPr>
        <w:t>). For patients not proceedin</w:t>
      </w:r>
      <w:r>
        <w:rPr>
          <w:lang w:val="en-US" w:eastAsia="ja-JP"/>
        </w:rPr>
        <w:t xml:space="preserve">g to HSCT, the risk of VOD/SOS </w:t>
      </w:r>
      <w:r w:rsidRPr="00F51974">
        <w:rPr>
          <w:lang w:val="en-US" w:eastAsia="ja-JP"/>
        </w:rPr>
        <w:t>did not increase with greater number of cycles.</w:t>
      </w:r>
    </w:p>
    <w:p w14:paraId="74A1CF77" w14:textId="5720381B" w:rsidR="00F63D2A" w:rsidRPr="00BB3E2B" w:rsidRDefault="00F63D2A" w:rsidP="00BB3E2B">
      <w:pPr>
        <w:rPr>
          <w:i/>
          <w:lang w:val="en-US" w:eastAsia="ja-JP"/>
        </w:rPr>
      </w:pPr>
      <w:r w:rsidRPr="00BB3E2B">
        <w:rPr>
          <w:i/>
          <w:lang w:val="en-US" w:eastAsia="ja-JP"/>
        </w:rPr>
        <w:t>Product Information (PI)</w:t>
      </w:r>
      <w:r w:rsidR="00902D57">
        <w:rPr>
          <w:i/>
          <w:lang w:val="en-US" w:eastAsia="ja-JP"/>
        </w:rPr>
        <w:t>:</w:t>
      </w:r>
    </w:p>
    <w:p w14:paraId="7EA10E10" w14:textId="679CEC9C" w:rsidR="00F63D2A" w:rsidRPr="00F51974" w:rsidRDefault="00F63D2A" w:rsidP="00BB3E2B">
      <w:pPr>
        <w:rPr>
          <w:lang w:val="en-US" w:eastAsia="ja-JP"/>
        </w:rPr>
      </w:pPr>
      <w:r w:rsidRPr="00F51974">
        <w:rPr>
          <w:lang w:val="en-US" w:eastAsia="ja-JP"/>
        </w:rPr>
        <w:t xml:space="preserve">For patients not proceeding to HSCT, the </w:t>
      </w:r>
      <w:r w:rsidR="00902D57">
        <w:rPr>
          <w:lang w:val="en-US" w:eastAsia="ja-JP"/>
        </w:rPr>
        <w:t>sponsor</w:t>
      </w:r>
      <w:r w:rsidR="00902D57" w:rsidRPr="00F51974">
        <w:rPr>
          <w:lang w:val="en-US" w:eastAsia="ja-JP"/>
        </w:rPr>
        <w:t xml:space="preserve"> </w:t>
      </w:r>
      <w:r w:rsidRPr="00F51974">
        <w:rPr>
          <w:lang w:val="en-US" w:eastAsia="ja-JP"/>
        </w:rPr>
        <w:t>proposes the text below in the revised label. In addition, the label clearly states that patients who do not achieve a CR/</w:t>
      </w:r>
      <w:proofErr w:type="spellStart"/>
      <w:r w:rsidRPr="00F51974">
        <w:rPr>
          <w:lang w:val="en-US" w:eastAsia="ja-JP"/>
        </w:rPr>
        <w:t>CRi</w:t>
      </w:r>
      <w:proofErr w:type="spellEnd"/>
      <w:r w:rsidRPr="00F51974">
        <w:rPr>
          <w:lang w:val="en-US" w:eastAsia="ja-JP"/>
        </w:rPr>
        <w:t xml:space="preserve"> within 3 cycles should discontinue treatment.</w:t>
      </w:r>
    </w:p>
    <w:p w14:paraId="03A57C52" w14:textId="77777777" w:rsidR="00F63D2A" w:rsidRPr="009B3582" w:rsidRDefault="00503681" w:rsidP="00BB3E2B">
      <w:pPr>
        <w:ind w:left="720"/>
        <w:rPr>
          <w:i/>
          <w:lang w:val="en-US" w:eastAsia="ja-JP"/>
        </w:rPr>
      </w:pPr>
      <w:r w:rsidRPr="009B3582">
        <w:rPr>
          <w:i/>
          <w:lang w:val="en-US" w:eastAsia="ja-JP"/>
        </w:rPr>
        <w:t>‘</w:t>
      </w:r>
      <w:r w:rsidR="00F63D2A" w:rsidRPr="009B3582">
        <w:rPr>
          <w:i/>
          <w:lang w:val="en-US" w:eastAsia="ja-JP"/>
        </w:rPr>
        <w:t>Recommended Dosage Regimen</w:t>
      </w:r>
    </w:p>
    <w:p w14:paraId="7E9EF6AE" w14:textId="77777777" w:rsidR="00F63D2A" w:rsidRPr="009B3582" w:rsidRDefault="006779D9" w:rsidP="00BB3E2B">
      <w:pPr>
        <w:ind w:left="720"/>
        <w:rPr>
          <w:i/>
          <w:lang w:val="en-US" w:eastAsia="ja-JP"/>
        </w:rPr>
      </w:pPr>
      <w:r w:rsidRPr="009B3582">
        <w:rPr>
          <w:i/>
          <w:lang w:val="en-US" w:eastAsia="ja-JP"/>
        </w:rPr>
        <w:t>Besponsa</w:t>
      </w:r>
      <w:r w:rsidR="00BB3E2B" w:rsidRPr="009B3582">
        <w:rPr>
          <w:i/>
          <w:lang w:val="en-US" w:eastAsia="ja-JP"/>
        </w:rPr>
        <w:t xml:space="preserve"> should be administered in 3</w:t>
      </w:r>
      <w:r w:rsidR="00F63D2A" w:rsidRPr="009B3582">
        <w:rPr>
          <w:i/>
          <w:lang w:val="en-US" w:eastAsia="ja-JP"/>
        </w:rPr>
        <w:t xml:space="preserve"> to </w:t>
      </w:r>
      <w:r w:rsidR="005C4508" w:rsidRPr="009B3582">
        <w:rPr>
          <w:i/>
          <w:lang w:val="en-US" w:eastAsia="ja-JP"/>
        </w:rPr>
        <w:t>4 week</w:t>
      </w:r>
      <w:r w:rsidR="00F63D2A" w:rsidRPr="009B3582">
        <w:rPr>
          <w:i/>
          <w:lang w:val="en-US" w:eastAsia="ja-JP"/>
        </w:rPr>
        <w:t xml:space="preserve"> cycles.</w:t>
      </w:r>
    </w:p>
    <w:p w14:paraId="336A6773" w14:textId="0A2E18FB" w:rsidR="00F63D2A" w:rsidRPr="009B3582" w:rsidRDefault="00F63D2A" w:rsidP="00BB3E2B">
      <w:pPr>
        <w:ind w:left="720"/>
        <w:rPr>
          <w:i/>
          <w:lang w:val="en-US" w:eastAsia="ja-JP"/>
        </w:rPr>
      </w:pPr>
      <w:r w:rsidRPr="009B3582">
        <w:rPr>
          <w:i/>
          <w:lang w:val="en-US" w:eastAsia="ja-JP"/>
        </w:rPr>
        <w:t xml:space="preserve">For patients proceeding to HSCT, the recommended duration of treatment with </w:t>
      </w:r>
      <w:r w:rsidR="006779D9" w:rsidRPr="009B3582">
        <w:rPr>
          <w:i/>
          <w:lang w:val="en-US" w:eastAsia="ja-JP"/>
        </w:rPr>
        <w:t>Besponsa</w:t>
      </w:r>
      <w:r w:rsidRPr="009B3582">
        <w:rPr>
          <w:i/>
          <w:lang w:val="en-US" w:eastAsia="ja-JP"/>
        </w:rPr>
        <w:t xml:space="preserve"> is 2 cycles. A third cycle may be considered for those patients who do not achieve CR or </w:t>
      </w:r>
      <w:proofErr w:type="spellStart"/>
      <w:r w:rsidRPr="009B3582">
        <w:rPr>
          <w:i/>
          <w:lang w:val="en-US" w:eastAsia="ja-JP"/>
        </w:rPr>
        <w:t>CRi</w:t>
      </w:r>
      <w:proofErr w:type="spellEnd"/>
      <w:r w:rsidRPr="009B3582">
        <w:rPr>
          <w:i/>
          <w:lang w:val="en-US" w:eastAsia="ja-JP"/>
        </w:rPr>
        <w:t xml:space="preserve"> and MRD negativity after 2 cycles (see P</w:t>
      </w:r>
      <w:r w:rsidR="00902D57" w:rsidRPr="00902D57">
        <w:rPr>
          <w:i/>
          <w:lang w:val="en-US" w:eastAsia="ja-JP"/>
        </w:rPr>
        <w:t>recautions</w:t>
      </w:r>
      <w:r w:rsidR="00902D57">
        <w:rPr>
          <w:i/>
          <w:lang w:val="en-US" w:eastAsia="ja-JP"/>
        </w:rPr>
        <w:t>:</w:t>
      </w:r>
      <w:r w:rsidRPr="009B3582">
        <w:rPr>
          <w:i/>
          <w:lang w:val="en-US" w:eastAsia="ja-JP"/>
        </w:rPr>
        <w:t xml:space="preserve"> Hepatotoxicity, including VOD/SOS).</w:t>
      </w:r>
    </w:p>
    <w:p w14:paraId="140F7288" w14:textId="77777777" w:rsidR="00F63D2A" w:rsidRPr="009B3582" w:rsidRDefault="00F63D2A" w:rsidP="00BB3E2B">
      <w:pPr>
        <w:ind w:left="720"/>
        <w:rPr>
          <w:i/>
          <w:lang w:val="en-US" w:eastAsia="ja-JP"/>
        </w:rPr>
      </w:pPr>
      <w:r w:rsidRPr="009B3582">
        <w:rPr>
          <w:i/>
          <w:lang w:val="en-US" w:eastAsia="ja-JP"/>
        </w:rPr>
        <w:t>For patients not proceeding to HSCT, a maximum of 6 cycles, may be administered.</w:t>
      </w:r>
    </w:p>
    <w:p w14:paraId="2FA99763" w14:textId="77777777" w:rsidR="00F63D2A" w:rsidRPr="009B3582" w:rsidRDefault="00F63D2A" w:rsidP="00BB3E2B">
      <w:pPr>
        <w:ind w:left="720"/>
        <w:rPr>
          <w:i/>
          <w:lang w:val="en-US" w:eastAsia="ja-JP"/>
        </w:rPr>
      </w:pPr>
      <w:r w:rsidRPr="009B3582">
        <w:rPr>
          <w:i/>
          <w:lang w:val="en-US" w:eastAsia="ja-JP"/>
        </w:rPr>
        <w:t xml:space="preserve">Any patients who do not achieve a CR or </w:t>
      </w:r>
      <w:proofErr w:type="spellStart"/>
      <w:r w:rsidRPr="009B3582">
        <w:rPr>
          <w:i/>
          <w:lang w:val="en-US" w:eastAsia="ja-JP"/>
        </w:rPr>
        <w:t>CRi</w:t>
      </w:r>
      <w:proofErr w:type="spellEnd"/>
      <w:r w:rsidRPr="009B3582">
        <w:rPr>
          <w:i/>
          <w:lang w:val="en-US" w:eastAsia="ja-JP"/>
        </w:rPr>
        <w:t xml:space="preserve"> within 3 cycles should discontinue treatment.</w:t>
      </w:r>
      <w:r w:rsidR="00503681" w:rsidRPr="009B3582">
        <w:rPr>
          <w:i/>
          <w:lang w:val="en-US" w:eastAsia="ja-JP"/>
        </w:rPr>
        <w:t>’</w:t>
      </w:r>
    </w:p>
    <w:p w14:paraId="18216B7D" w14:textId="77777777" w:rsidR="00F63D2A" w:rsidRPr="00F51974" w:rsidRDefault="00F63D2A" w:rsidP="00F63D2A">
      <w:pPr>
        <w:rPr>
          <w:lang w:val="en-US" w:eastAsia="ja-JP"/>
        </w:rPr>
      </w:pPr>
      <w:r w:rsidRPr="00F51974">
        <w:rPr>
          <w:lang w:val="en-US" w:eastAsia="ja-JP"/>
        </w:rPr>
        <w:t>This text aligns with the approved United States Package Insert.</w:t>
      </w:r>
    </w:p>
    <w:p w14:paraId="3673888B" w14:textId="30C2816F" w:rsidR="00603BFA" w:rsidRDefault="00603BFA" w:rsidP="00603BFA">
      <w:pPr>
        <w:pStyle w:val="Heading6"/>
        <w:rPr>
          <w:lang w:val="en-US" w:eastAsia="ja-JP"/>
        </w:rPr>
      </w:pPr>
      <w:r>
        <w:rPr>
          <w:lang w:val="en-US" w:eastAsia="ja-JP"/>
        </w:rPr>
        <w:t xml:space="preserve">Clinical </w:t>
      </w:r>
      <w:r w:rsidR="00902D57">
        <w:rPr>
          <w:lang w:val="en-US" w:eastAsia="ja-JP"/>
        </w:rPr>
        <w:t>e</w:t>
      </w:r>
      <w:r>
        <w:rPr>
          <w:lang w:val="en-US" w:eastAsia="ja-JP"/>
        </w:rPr>
        <w:t xml:space="preserve">valuator’s </w:t>
      </w:r>
      <w:r w:rsidR="00902D57">
        <w:rPr>
          <w:lang w:val="en-US" w:eastAsia="ja-JP"/>
        </w:rPr>
        <w:t>c</w:t>
      </w:r>
      <w:r>
        <w:rPr>
          <w:lang w:val="en-US" w:eastAsia="ja-JP"/>
        </w:rPr>
        <w:t>omment</w:t>
      </w:r>
    </w:p>
    <w:p w14:paraId="125DB852" w14:textId="77777777" w:rsidR="00503681" w:rsidRDefault="00F63D2A" w:rsidP="00BB3E2B">
      <w:pPr>
        <w:rPr>
          <w:lang w:val="en-US" w:eastAsia="ja-JP"/>
        </w:rPr>
      </w:pPr>
      <w:r w:rsidRPr="00DD10E5">
        <w:rPr>
          <w:lang w:val="en-US" w:eastAsia="ja-JP"/>
        </w:rPr>
        <w:t xml:space="preserve">The sponsor’s response is satisfactory. The efficacy data showed a small increase in both the median duration of response and the median duration of overall survival in patients </w:t>
      </w:r>
      <w:r w:rsidRPr="00DD10E5">
        <w:rPr>
          <w:lang w:val="en-US" w:eastAsia="ja-JP"/>
        </w:rPr>
        <w:lastRenderedPageBreak/>
        <w:t>who achieved CR/</w:t>
      </w:r>
      <w:proofErr w:type="spellStart"/>
      <w:r w:rsidRPr="00DD10E5">
        <w:rPr>
          <w:lang w:val="en-US" w:eastAsia="ja-JP"/>
        </w:rPr>
        <w:t>CRi</w:t>
      </w:r>
      <w:proofErr w:type="spellEnd"/>
      <w:r w:rsidRPr="00DD10E5">
        <w:rPr>
          <w:lang w:val="en-US" w:eastAsia="ja-JP"/>
        </w:rPr>
        <w:t xml:space="preserve"> but did no undergo follow-up HSCT treated for 4 to 6 cycles compared with 1 to 3 cycles, but the differences were not statistically significant. The safety data showed that all-causality </w:t>
      </w:r>
      <w:r w:rsidR="00617F88">
        <w:rPr>
          <w:lang w:val="en-US" w:eastAsia="ja-JP"/>
        </w:rPr>
        <w:t>Grade</w:t>
      </w:r>
      <w:r w:rsidRPr="00DD10E5">
        <w:rPr>
          <w:lang w:val="en-US" w:eastAsia="ja-JP"/>
        </w:rPr>
        <w:t xml:space="preserve"> </w:t>
      </w:r>
      <w:r w:rsidR="00503681">
        <w:rPr>
          <w:lang w:val="en-US" w:eastAsia="ja-JP"/>
        </w:rPr>
        <w:t xml:space="preserve">≥ </w:t>
      </w:r>
      <w:r w:rsidRPr="00DD10E5">
        <w:rPr>
          <w:lang w:val="en-US" w:eastAsia="ja-JP"/>
        </w:rPr>
        <w:t>3 TEAEs (any) increased with increasing number of cycles. However, this result should be interpreted having regard to the decreasing number of patients exposed to treatment with increasing number of cycles</w:t>
      </w:r>
      <w:r w:rsidR="00503681">
        <w:rPr>
          <w:lang w:val="en-US" w:eastAsia="ja-JP"/>
        </w:rPr>
        <w:t>.</w:t>
      </w:r>
    </w:p>
    <w:p w14:paraId="3074ECDE" w14:textId="77777777" w:rsidR="00F63D2A" w:rsidRPr="00F63D2A" w:rsidRDefault="00F63D2A" w:rsidP="00F63D2A">
      <w:pPr>
        <w:pStyle w:val="Heading4"/>
      </w:pPr>
      <w:r w:rsidRPr="00F63D2A">
        <w:t>Safety</w:t>
      </w:r>
    </w:p>
    <w:p w14:paraId="10AFDAA4" w14:textId="30EC4263" w:rsidR="00E33935" w:rsidRDefault="00F63D2A" w:rsidP="00F63D2A">
      <w:pPr>
        <w:pStyle w:val="Heading5"/>
      </w:pPr>
      <w:r w:rsidRPr="00244AAD">
        <w:rPr>
          <w:lang w:val="en-US" w:eastAsia="ja-JP"/>
        </w:rPr>
        <w:t xml:space="preserve">Question </w:t>
      </w:r>
      <w:r w:rsidR="00902D57">
        <w:rPr>
          <w:lang w:val="en-US" w:eastAsia="ja-JP"/>
        </w:rPr>
        <w:t>10</w:t>
      </w:r>
    </w:p>
    <w:p w14:paraId="45637ED3" w14:textId="77777777" w:rsidR="00E33935" w:rsidRPr="009B3582" w:rsidRDefault="00F63D2A" w:rsidP="006136D7">
      <w:pPr>
        <w:rPr>
          <w:i/>
        </w:rPr>
      </w:pPr>
      <w:r w:rsidRPr="009B3582">
        <w:rPr>
          <w:i/>
          <w:lang w:val="en-US" w:eastAsia="ja-JP"/>
        </w:rPr>
        <w:t xml:space="preserve">In the pivotal </w:t>
      </w:r>
      <w:r w:rsidR="00503681" w:rsidRPr="009B3582">
        <w:rPr>
          <w:i/>
          <w:lang w:val="en-US" w:eastAsia="ja-JP"/>
        </w:rPr>
        <w:t>Study</w:t>
      </w:r>
      <w:r w:rsidRPr="009B3582">
        <w:rPr>
          <w:i/>
          <w:lang w:val="en-US" w:eastAsia="ja-JP"/>
        </w:rPr>
        <w:t xml:space="preserve"> B1931022, one patient in the inotuzumab ozogamicin arm had a prior history of VOD/SOS, which was a protocol violation. What were the safety findings in this patient?</w:t>
      </w:r>
    </w:p>
    <w:p w14:paraId="6BF85ED0" w14:textId="21F2D217" w:rsidR="00603BFA" w:rsidRDefault="00603BFA" w:rsidP="00603BFA">
      <w:pPr>
        <w:pStyle w:val="Heading6"/>
        <w:rPr>
          <w:lang w:eastAsia="ja-JP"/>
        </w:rPr>
      </w:pPr>
      <w:r>
        <w:rPr>
          <w:lang w:eastAsia="ja-JP"/>
        </w:rPr>
        <w:t xml:space="preserve">Sponsor’s </w:t>
      </w:r>
      <w:r w:rsidR="00902D57">
        <w:rPr>
          <w:lang w:eastAsia="ja-JP"/>
        </w:rPr>
        <w:t>r</w:t>
      </w:r>
      <w:r>
        <w:rPr>
          <w:lang w:eastAsia="ja-JP"/>
        </w:rPr>
        <w:t>esponse</w:t>
      </w:r>
    </w:p>
    <w:p w14:paraId="03EDC873" w14:textId="77777777" w:rsidR="00F63D2A" w:rsidRPr="005B7EAE" w:rsidRDefault="00F63D2A" w:rsidP="00BB3E2B">
      <w:pPr>
        <w:rPr>
          <w:lang w:val="en-US"/>
        </w:rPr>
      </w:pPr>
      <w:r w:rsidRPr="005B7EAE">
        <w:rPr>
          <w:lang w:val="en-US"/>
        </w:rPr>
        <w:t xml:space="preserve">In Study B1931022, one patient with a prior history of hepatic VOD/SOS was inadvertently enrolled on the study, </w:t>
      </w:r>
      <w:proofErr w:type="gramStart"/>
      <w:r w:rsidRPr="005B7EAE">
        <w:rPr>
          <w:lang w:val="en-US"/>
        </w:rPr>
        <w:t>At</w:t>
      </w:r>
      <w:proofErr w:type="gramEnd"/>
      <w:r w:rsidRPr="005B7EAE">
        <w:rPr>
          <w:lang w:val="en-US"/>
        </w:rPr>
        <w:t xml:space="preserve"> baseline, the patient had severe neutropenia (absolute neutrophil count 0) and 95% marrow blasts The patient received 2</w:t>
      </w:r>
      <w:r>
        <w:rPr>
          <w:lang w:val="en-US"/>
        </w:rPr>
        <w:t xml:space="preserve"> doses of inotuzumab ozogamicin </w:t>
      </w:r>
      <w:r w:rsidRPr="005B7EAE">
        <w:rPr>
          <w:lang w:val="en-US"/>
        </w:rPr>
        <w:t>response to treatment was not assessed. The course of treatment was complicated by events including hyperbilirubinemia, ascites, cirrhosis (which was considered pre-existing since it was diagnosed radiographically 21 days after the first dose of inotuzumab ozogamicin), and infections. The</w:t>
      </w:r>
      <w:r>
        <w:rPr>
          <w:lang w:val="en-US"/>
        </w:rPr>
        <w:t xml:space="preserve"> </w:t>
      </w:r>
      <w:r w:rsidRPr="005B7EAE">
        <w:rPr>
          <w:lang w:val="en-US"/>
        </w:rPr>
        <w:t>patient discontinued treatment and died due to pneumonia approximately 1 mont</w:t>
      </w:r>
      <w:r>
        <w:rPr>
          <w:lang w:val="en-US"/>
        </w:rPr>
        <w:t xml:space="preserve">h after the start of treatment. </w:t>
      </w:r>
      <w:r w:rsidRPr="005B7EAE">
        <w:rPr>
          <w:lang w:val="en-US"/>
        </w:rPr>
        <w:t>A narrative describing the patient’s medical history and clinical course while on Study B1931022 is available.</w:t>
      </w:r>
    </w:p>
    <w:p w14:paraId="7F3AEA8F" w14:textId="73084F38" w:rsidR="00603BFA" w:rsidRDefault="00603BFA" w:rsidP="00603BFA">
      <w:pPr>
        <w:pStyle w:val="Heading6"/>
        <w:rPr>
          <w:lang w:val="en-US" w:eastAsia="ja-JP"/>
        </w:rPr>
      </w:pPr>
      <w:r>
        <w:rPr>
          <w:lang w:val="en-US" w:eastAsia="ja-JP"/>
        </w:rPr>
        <w:t xml:space="preserve">Clinical </w:t>
      </w:r>
      <w:r w:rsidR="00902D57">
        <w:rPr>
          <w:lang w:val="en-US" w:eastAsia="ja-JP"/>
        </w:rPr>
        <w:t>e</w:t>
      </w:r>
      <w:r>
        <w:rPr>
          <w:lang w:val="en-US" w:eastAsia="ja-JP"/>
        </w:rPr>
        <w:t xml:space="preserve">valuator’s </w:t>
      </w:r>
      <w:r w:rsidR="00902D57">
        <w:rPr>
          <w:lang w:val="en-US" w:eastAsia="ja-JP"/>
        </w:rPr>
        <w:t>c</w:t>
      </w:r>
      <w:r>
        <w:rPr>
          <w:lang w:val="en-US" w:eastAsia="ja-JP"/>
        </w:rPr>
        <w:t>omment</w:t>
      </w:r>
    </w:p>
    <w:p w14:paraId="435F8C8A" w14:textId="77777777" w:rsidR="00F63D2A" w:rsidRPr="00244AAD" w:rsidRDefault="00F63D2A" w:rsidP="00BB3E2B">
      <w:pPr>
        <w:rPr>
          <w:lang w:val="en-US"/>
        </w:rPr>
      </w:pPr>
      <w:r w:rsidRPr="00244AAD">
        <w:rPr>
          <w:lang w:val="en-US"/>
        </w:rPr>
        <w:t>The sponsor’s response is satisfactory. The outcome for this patient was poor with the provided data suggesting worsening of pre-existing liver disease pr</w:t>
      </w:r>
      <w:r>
        <w:rPr>
          <w:lang w:val="en-US"/>
        </w:rPr>
        <w:t>ior to death due to pneumonia.</w:t>
      </w:r>
    </w:p>
    <w:p w14:paraId="439F6EC3" w14:textId="7E429CF5" w:rsidR="00605AD4" w:rsidRPr="00605AD4" w:rsidRDefault="00605AD4" w:rsidP="00546154">
      <w:pPr>
        <w:pStyle w:val="Heading3"/>
        <w:rPr>
          <w:rFonts w:eastAsia="Cambria"/>
        </w:rPr>
      </w:pPr>
      <w:bookmarkStart w:id="129" w:name="_Toc16505608"/>
      <w:r w:rsidRPr="00605AD4">
        <w:rPr>
          <w:rFonts w:eastAsia="Cambria"/>
        </w:rPr>
        <w:t xml:space="preserve">Second </w:t>
      </w:r>
      <w:r w:rsidR="00F56DAD" w:rsidRPr="00605AD4">
        <w:rPr>
          <w:rFonts w:eastAsia="Cambria"/>
        </w:rPr>
        <w:t>round benefit-risk assessment</w:t>
      </w:r>
      <w:bookmarkEnd w:id="129"/>
    </w:p>
    <w:p w14:paraId="56690681" w14:textId="77777777" w:rsidR="00F63D2A" w:rsidRDefault="00F63D2A" w:rsidP="00F63D2A">
      <w:pPr>
        <w:pStyle w:val="Heading4"/>
      </w:pPr>
      <w:bookmarkStart w:id="130" w:name="_Toc272414709"/>
      <w:bookmarkStart w:id="131" w:name="_Toc290888575"/>
      <w:bookmarkStart w:id="132" w:name="_Toc416353792"/>
      <w:bookmarkStart w:id="133" w:name="_Toc421005334"/>
      <w:bookmarkStart w:id="134" w:name="_Toc432079207"/>
      <w:bookmarkStart w:id="135" w:name="_Toc432080780"/>
      <w:bookmarkStart w:id="136" w:name="_Toc503178032"/>
      <w:r w:rsidRPr="00500C5C">
        <w:t>Second round assessment of benefits</w:t>
      </w:r>
      <w:bookmarkEnd w:id="130"/>
      <w:bookmarkEnd w:id="131"/>
      <w:bookmarkEnd w:id="132"/>
      <w:bookmarkEnd w:id="133"/>
      <w:bookmarkEnd w:id="134"/>
      <w:bookmarkEnd w:id="135"/>
      <w:bookmarkEnd w:id="136"/>
    </w:p>
    <w:p w14:paraId="162B70A3" w14:textId="77777777" w:rsidR="00503681" w:rsidRDefault="00F63D2A" w:rsidP="00BB3E2B">
      <w:pPr>
        <w:rPr>
          <w:rFonts w:eastAsia="MS Mincho"/>
          <w:color w:val="000000"/>
          <w:lang w:val="en-US" w:eastAsia="ja-JP"/>
        </w:rPr>
      </w:pPr>
      <w:r w:rsidRPr="00EC62FD">
        <w:rPr>
          <w:lang w:eastAsia="ja-JP"/>
        </w:rPr>
        <w:t xml:space="preserve">After considering the responses to the clinical questions provided in the sponsor’s </w:t>
      </w:r>
      <w:r w:rsidR="00BB3E2B" w:rsidRPr="00BB3E2B">
        <w:rPr>
          <w:lang w:eastAsia="ja-JP"/>
        </w:rPr>
        <w:t>r</w:t>
      </w:r>
      <w:r w:rsidRPr="00BB3E2B">
        <w:rPr>
          <w:lang w:eastAsia="ja-JP"/>
        </w:rPr>
        <w:t>esponse, the</w:t>
      </w:r>
      <w:r w:rsidRPr="00EC62FD">
        <w:rPr>
          <w:lang w:eastAsia="ja-JP"/>
        </w:rPr>
        <w:t xml:space="preserve"> benefits of inotuzumab ozogamicin for </w:t>
      </w:r>
      <w:r w:rsidRPr="00EC62FD">
        <w:rPr>
          <w:rFonts w:eastAsia="MS Mincho"/>
          <w:color w:val="000000"/>
          <w:lang w:val="en-US" w:eastAsia="ja-JP"/>
        </w:rPr>
        <w:t xml:space="preserve">the treatment of adults with relapsed or refractory </w:t>
      </w:r>
      <w:r w:rsidR="005C4508">
        <w:rPr>
          <w:rFonts w:eastAsia="MS Mincho"/>
          <w:color w:val="000000"/>
          <w:lang w:val="en-US" w:eastAsia="ja-JP"/>
        </w:rPr>
        <w:t>CD22 positive</w:t>
      </w:r>
      <w:r w:rsidRPr="00EC62FD">
        <w:rPr>
          <w:rFonts w:eastAsia="MS Mincho"/>
          <w:color w:val="000000"/>
          <w:lang w:val="en-US" w:eastAsia="ja-JP"/>
        </w:rPr>
        <w:t xml:space="preserve"> </w:t>
      </w:r>
      <w:r w:rsidR="006779D9">
        <w:rPr>
          <w:rFonts w:eastAsia="MS Mincho"/>
          <w:color w:val="000000"/>
          <w:lang w:val="en-US" w:eastAsia="ja-JP"/>
        </w:rPr>
        <w:t>B cell</w:t>
      </w:r>
      <w:r w:rsidRPr="00EC62FD">
        <w:rPr>
          <w:rFonts w:eastAsia="MS Mincho"/>
          <w:color w:val="000000"/>
          <w:lang w:val="en-US" w:eastAsia="ja-JP"/>
        </w:rPr>
        <w:t xml:space="preserve"> precursor acute lymphoblastic leukaemia (ALL) are unchanged from those identified in </w:t>
      </w:r>
      <w:r w:rsidR="00BB3E2B">
        <w:rPr>
          <w:rFonts w:eastAsia="MS Mincho"/>
          <w:color w:val="000000"/>
          <w:lang w:val="en-US" w:eastAsia="ja-JP"/>
        </w:rPr>
        <w:t>the first round assessment of benefits</w:t>
      </w:r>
      <w:r w:rsidR="00503681">
        <w:rPr>
          <w:rFonts w:eastAsia="MS Mincho"/>
          <w:color w:val="000000"/>
          <w:lang w:val="en-US" w:eastAsia="ja-JP"/>
        </w:rPr>
        <w:t>.</w:t>
      </w:r>
    </w:p>
    <w:p w14:paraId="1B8CD4AA" w14:textId="77777777" w:rsidR="00F63D2A" w:rsidRDefault="00F63D2A" w:rsidP="00F63D2A">
      <w:pPr>
        <w:pStyle w:val="Heading4"/>
      </w:pPr>
      <w:bookmarkStart w:id="137" w:name="_Toc503178033"/>
      <w:bookmarkStart w:id="138" w:name="_Toc272414711"/>
      <w:bookmarkStart w:id="139" w:name="_Toc290888577"/>
      <w:bookmarkStart w:id="140" w:name="_Toc416353794"/>
      <w:bookmarkStart w:id="141" w:name="_Toc421005336"/>
      <w:bookmarkStart w:id="142" w:name="_Toc432079209"/>
      <w:bookmarkStart w:id="143" w:name="_Toc432080782"/>
      <w:r w:rsidRPr="00545B14">
        <w:t xml:space="preserve">Second round assessment of </w:t>
      </w:r>
      <w:r>
        <w:t>risks</w:t>
      </w:r>
      <w:bookmarkEnd w:id="137"/>
      <w:r w:rsidRPr="00545B14">
        <w:t xml:space="preserve"> </w:t>
      </w:r>
      <w:bookmarkEnd w:id="138"/>
      <w:bookmarkEnd w:id="139"/>
      <w:bookmarkEnd w:id="140"/>
      <w:bookmarkEnd w:id="141"/>
      <w:bookmarkEnd w:id="142"/>
      <w:bookmarkEnd w:id="143"/>
    </w:p>
    <w:p w14:paraId="04C7411F" w14:textId="77777777" w:rsidR="00503681" w:rsidRDefault="00F63D2A" w:rsidP="00BB3E2B">
      <w:pPr>
        <w:rPr>
          <w:rFonts w:eastAsia="MS Mincho" w:cs="Calibri"/>
          <w:color w:val="000000"/>
          <w:lang w:val="en-US" w:eastAsia="ja-JP"/>
        </w:rPr>
      </w:pPr>
      <w:r w:rsidRPr="00EC62FD">
        <w:rPr>
          <w:lang w:eastAsia="ja-JP"/>
        </w:rPr>
        <w:t>After considering the responses to the clinical questions</w:t>
      </w:r>
      <w:r>
        <w:rPr>
          <w:lang w:eastAsia="ja-JP"/>
        </w:rPr>
        <w:t xml:space="preserve"> provided in the sponsor’s </w:t>
      </w:r>
      <w:r w:rsidR="00BB3E2B" w:rsidRPr="00BB3E2B">
        <w:rPr>
          <w:lang w:eastAsia="ja-JP"/>
        </w:rPr>
        <w:t>r</w:t>
      </w:r>
      <w:r w:rsidRPr="00BB3E2B">
        <w:rPr>
          <w:lang w:eastAsia="ja-JP"/>
        </w:rPr>
        <w:t>esponse,</w:t>
      </w:r>
      <w:r w:rsidRPr="00EC62FD">
        <w:rPr>
          <w:lang w:eastAsia="ja-JP"/>
        </w:rPr>
        <w:t xml:space="preserve"> the risks of inotuzumab ozogamicin for the treatment of </w:t>
      </w:r>
      <w:r w:rsidRPr="00EC62FD">
        <w:rPr>
          <w:rFonts w:eastAsia="MS Mincho"/>
          <w:color w:val="000000"/>
          <w:lang w:val="en-US" w:eastAsia="ja-JP"/>
        </w:rPr>
        <w:t xml:space="preserve">adults with relapsed or refractory </w:t>
      </w:r>
      <w:r w:rsidR="005C4508">
        <w:rPr>
          <w:rFonts w:eastAsia="MS Mincho"/>
          <w:color w:val="000000"/>
          <w:lang w:val="en-US" w:eastAsia="ja-JP"/>
        </w:rPr>
        <w:t>CD22 positive</w:t>
      </w:r>
      <w:r w:rsidRPr="00EC62FD">
        <w:rPr>
          <w:rFonts w:eastAsia="MS Mincho"/>
          <w:color w:val="000000"/>
          <w:lang w:val="en-US" w:eastAsia="ja-JP"/>
        </w:rPr>
        <w:t xml:space="preserve"> </w:t>
      </w:r>
      <w:r w:rsidR="006779D9">
        <w:rPr>
          <w:rFonts w:eastAsia="MS Mincho"/>
          <w:color w:val="000000"/>
          <w:lang w:val="en-US" w:eastAsia="ja-JP"/>
        </w:rPr>
        <w:t>B cell</w:t>
      </w:r>
      <w:r w:rsidRPr="00EC62FD">
        <w:rPr>
          <w:rFonts w:eastAsia="MS Mincho"/>
          <w:color w:val="000000"/>
          <w:lang w:val="en-US" w:eastAsia="ja-JP"/>
        </w:rPr>
        <w:t xml:space="preserve"> precursor acute lymphoblastic leukaemia (ALL) are largely unchanged from those identified in </w:t>
      </w:r>
      <w:r w:rsidR="00BB3E2B">
        <w:rPr>
          <w:rFonts w:eastAsia="MS Mincho"/>
          <w:color w:val="000000"/>
          <w:lang w:val="en-US" w:eastAsia="ja-JP"/>
        </w:rPr>
        <w:t>the first round assessment of risks</w:t>
      </w:r>
      <w:r w:rsidRPr="00EC62FD">
        <w:rPr>
          <w:rFonts w:eastAsia="MS Mincho"/>
          <w:color w:val="000000"/>
          <w:lang w:val="en-US" w:eastAsia="ja-JP"/>
        </w:rPr>
        <w:t>.</w:t>
      </w:r>
      <w:r w:rsidRPr="00EC62FD">
        <w:rPr>
          <w:rFonts w:eastAsia="MS Mincho" w:cs="Calibri"/>
          <w:color w:val="000000"/>
          <w:lang w:val="en-US" w:eastAsia="ja-JP"/>
        </w:rPr>
        <w:t xml:space="preserve"> However, the amended proposed contraindications now allow treatment of patients with a history o</w:t>
      </w:r>
      <w:r>
        <w:rPr>
          <w:rFonts w:eastAsia="MS Mincho" w:cs="Calibri"/>
          <w:color w:val="000000"/>
          <w:lang w:val="en-US" w:eastAsia="ja-JP"/>
        </w:rPr>
        <w:t xml:space="preserve">f </w:t>
      </w:r>
      <w:r w:rsidRPr="00EC62FD">
        <w:rPr>
          <w:rFonts w:eastAsia="MS Mincho" w:cs="Calibri"/>
          <w:color w:val="000000"/>
          <w:lang w:val="en-US" w:eastAsia="ja-JP"/>
        </w:rPr>
        <w:t>less severe VOD/SOS or less serious ongoing hepatic disease to be considered, while excluding treatment of higher-risk patients with a history of severe VOD/SOS, ongoing VOD/S</w:t>
      </w:r>
      <w:r>
        <w:rPr>
          <w:rFonts w:eastAsia="MS Mincho" w:cs="Calibri"/>
          <w:color w:val="000000"/>
          <w:lang w:val="en-US" w:eastAsia="ja-JP"/>
        </w:rPr>
        <w:t xml:space="preserve">OS </w:t>
      </w:r>
      <w:r w:rsidRPr="00EC62FD">
        <w:rPr>
          <w:rFonts w:eastAsia="MS Mincho" w:cs="Calibri"/>
          <w:color w:val="000000"/>
          <w:lang w:val="en-US" w:eastAsia="ja-JP"/>
        </w:rPr>
        <w:t>or serious ongoing hepatic disease</w:t>
      </w:r>
      <w:r w:rsidR="00503681">
        <w:rPr>
          <w:rFonts w:eastAsia="MS Mincho" w:cs="Calibri"/>
          <w:color w:val="000000"/>
          <w:lang w:val="en-US" w:eastAsia="ja-JP"/>
        </w:rPr>
        <w:t>.</w:t>
      </w:r>
    </w:p>
    <w:p w14:paraId="6B1A010D" w14:textId="77777777" w:rsidR="00F63D2A" w:rsidRPr="00EC62FD" w:rsidRDefault="00F63D2A" w:rsidP="00F63D2A">
      <w:pPr>
        <w:pStyle w:val="Heading4"/>
        <w:rPr>
          <w:lang w:val="en-US"/>
        </w:rPr>
      </w:pPr>
      <w:bookmarkStart w:id="144" w:name="_Toc503178034"/>
      <w:r>
        <w:rPr>
          <w:lang w:val="en-US"/>
        </w:rPr>
        <w:lastRenderedPageBreak/>
        <w:t>Second round assessment of benefit-risk balance</w:t>
      </w:r>
      <w:bookmarkEnd w:id="144"/>
    </w:p>
    <w:p w14:paraId="5FA731CD" w14:textId="66E65CC7" w:rsidR="00503681" w:rsidRDefault="00F63D2A" w:rsidP="00BB3E2B">
      <w:pPr>
        <w:rPr>
          <w:lang w:val="en-US" w:eastAsia="ja-JP"/>
        </w:rPr>
      </w:pPr>
      <w:r>
        <w:rPr>
          <w:lang w:eastAsia="ja-JP"/>
        </w:rPr>
        <w:t xml:space="preserve">The benefit-risk balance </w:t>
      </w:r>
      <w:r w:rsidRPr="00EC62FD">
        <w:rPr>
          <w:lang w:eastAsia="ja-JP"/>
        </w:rPr>
        <w:t xml:space="preserve">of inotuzumab ozogamicin for the treatment of </w:t>
      </w:r>
      <w:r w:rsidRPr="00EC62FD">
        <w:rPr>
          <w:lang w:val="en-US" w:eastAsia="ja-JP"/>
        </w:rPr>
        <w:t xml:space="preserve">adults with relapsed or refractory </w:t>
      </w:r>
      <w:r w:rsidR="005C4508">
        <w:rPr>
          <w:lang w:val="en-US" w:eastAsia="ja-JP"/>
        </w:rPr>
        <w:t>CD22 positive</w:t>
      </w:r>
      <w:r w:rsidRPr="00EC62FD">
        <w:rPr>
          <w:lang w:val="en-US" w:eastAsia="ja-JP"/>
        </w:rPr>
        <w:t xml:space="preserve"> </w:t>
      </w:r>
      <w:r w:rsidR="006779D9">
        <w:rPr>
          <w:lang w:val="en-US" w:eastAsia="ja-JP"/>
        </w:rPr>
        <w:t>B cell</w:t>
      </w:r>
      <w:r w:rsidRPr="00EC62FD">
        <w:rPr>
          <w:lang w:val="en-US" w:eastAsia="ja-JP"/>
        </w:rPr>
        <w:t xml:space="preserve"> precursor acute lymphoblastic leukaemia (ALL)</w:t>
      </w:r>
      <w:r>
        <w:rPr>
          <w:lang w:val="en-US" w:eastAsia="ja-JP"/>
        </w:rPr>
        <w:t xml:space="preserve"> is </w:t>
      </w:r>
      <w:r w:rsidR="00BB3E2B">
        <w:rPr>
          <w:lang w:val="en-US" w:eastAsia="ja-JP"/>
        </w:rPr>
        <w:t>favo</w:t>
      </w:r>
      <w:r w:rsidR="00902D57">
        <w:rPr>
          <w:lang w:val="en-US" w:eastAsia="ja-JP"/>
        </w:rPr>
        <w:t>u</w:t>
      </w:r>
      <w:r w:rsidR="00BB3E2B">
        <w:rPr>
          <w:lang w:val="en-US" w:eastAsia="ja-JP"/>
        </w:rPr>
        <w:t>rable</w:t>
      </w:r>
      <w:r w:rsidR="00503681">
        <w:rPr>
          <w:lang w:val="en-US" w:eastAsia="ja-JP"/>
        </w:rPr>
        <w:t>.</w:t>
      </w:r>
    </w:p>
    <w:p w14:paraId="2C2E7CD6" w14:textId="77777777" w:rsidR="00F63D2A" w:rsidRDefault="00F63D2A" w:rsidP="00F63D2A">
      <w:pPr>
        <w:pStyle w:val="Heading4"/>
      </w:pPr>
      <w:bookmarkStart w:id="145" w:name="_Toc503178035"/>
      <w:r>
        <w:t>Second round recommendation regarding authorisation</w:t>
      </w:r>
      <w:bookmarkEnd w:id="145"/>
    </w:p>
    <w:p w14:paraId="0E77DEC9" w14:textId="77777777" w:rsidR="00503681" w:rsidRDefault="00F63D2A" w:rsidP="00BB3E2B">
      <w:pPr>
        <w:rPr>
          <w:lang w:val="en-US" w:eastAsia="ja-JP"/>
        </w:rPr>
      </w:pPr>
      <w:r>
        <w:rPr>
          <w:lang w:eastAsia="ja-JP"/>
        </w:rPr>
        <w:t xml:space="preserve">It is recommended that </w:t>
      </w:r>
      <w:r w:rsidRPr="00EC62FD">
        <w:rPr>
          <w:lang w:eastAsia="ja-JP"/>
        </w:rPr>
        <w:t>inotuzumab ozogamicin</w:t>
      </w:r>
      <w:r>
        <w:rPr>
          <w:lang w:eastAsia="ja-JP"/>
        </w:rPr>
        <w:t xml:space="preserve"> (</w:t>
      </w:r>
      <w:r w:rsidR="006779D9">
        <w:rPr>
          <w:lang w:eastAsia="ja-JP"/>
        </w:rPr>
        <w:t>Besponsa</w:t>
      </w:r>
      <w:r>
        <w:rPr>
          <w:lang w:eastAsia="ja-JP"/>
        </w:rPr>
        <w:t xml:space="preserve">) be </w:t>
      </w:r>
      <w:r w:rsidRPr="00BB3E2B">
        <w:rPr>
          <w:lang w:eastAsia="ja-JP"/>
        </w:rPr>
        <w:t xml:space="preserve">approved </w:t>
      </w:r>
      <w:r w:rsidRPr="00EC62FD">
        <w:rPr>
          <w:lang w:eastAsia="ja-JP"/>
        </w:rPr>
        <w:t xml:space="preserve">for the treatment of </w:t>
      </w:r>
      <w:r w:rsidRPr="00EC62FD">
        <w:rPr>
          <w:lang w:val="en-US" w:eastAsia="ja-JP"/>
        </w:rPr>
        <w:t xml:space="preserve">adults with relapsed or refractory </w:t>
      </w:r>
      <w:r w:rsidR="005C4508">
        <w:rPr>
          <w:lang w:val="en-US" w:eastAsia="ja-JP"/>
        </w:rPr>
        <w:t>CD22 positive</w:t>
      </w:r>
      <w:r w:rsidRPr="00EC62FD">
        <w:rPr>
          <w:lang w:val="en-US" w:eastAsia="ja-JP"/>
        </w:rPr>
        <w:t xml:space="preserve"> </w:t>
      </w:r>
      <w:r w:rsidR="006779D9">
        <w:rPr>
          <w:lang w:val="en-US" w:eastAsia="ja-JP"/>
        </w:rPr>
        <w:t>B cell</w:t>
      </w:r>
      <w:r w:rsidRPr="00EC62FD">
        <w:rPr>
          <w:lang w:val="en-US" w:eastAsia="ja-JP"/>
        </w:rPr>
        <w:t xml:space="preserve"> precursor acute lymphoblastic leukaemia (ALL)</w:t>
      </w:r>
      <w:r w:rsidR="00503681">
        <w:rPr>
          <w:lang w:val="en-US" w:eastAsia="ja-JP"/>
        </w:rPr>
        <w:t>.</w:t>
      </w:r>
    </w:p>
    <w:p w14:paraId="27AA6B9C" w14:textId="77777777" w:rsidR="008E7846" w:rsidRPr="00E41208" w:rsidRDefault="008E7846" w:rsidP="00546154">
      <w:pPr>
        <w:pStyle w:val="Heading2"/>
      </w:pPr>
      <w:bookmarkStart w:id="146" w:name="_Toc16505609"/>
      <w:r w:rsidRPr="00E41208">
        <w:t>V</w:t>
      </w:r>
      <w:r w:rsidR="00500337">
        <w:t>I</w:t>
      </w:r>
      <w:r w:rsidRPr="00E41208">
        <w:t xml:space="preserve">. Pharmacovigilance </w:t>
      </w:r>
      <w:r>
        <w:t>f</w:t>
      </w:r>
      <w:r w:rsidRPr="00E41208">
        <w:t>indings</w:t>
      </w:r>
      <w:bookmarkEnd w:id="120"/>
      <w:bookmarkEnd w:id="121"/>
      <w:bookmarkEnd w:id="146"/>
    </w:p>
    <w:p w14:paraId="4FEF080D" w14:textId="77777777" w:rsidR="008E7846" w:rsidRPr="00BB3E2B" w:rsidRDefault="00386150" w:rsidP="00BB3E2B">
      <w:pPr>
        <w:pStyle w:val="Heading3"/>
      </w:pPr>
      <w:bookmarkStart w:id="147" w:name="_Toc247691526"/>
      <w:bookmarkStart w:id="148" w:name="_Toc314842509"/>
      <w:bookmarkStart w:id="149" w:name="_Toc16505610"/>
      <w:r w:rsidRPr="00BB3E2B">
        <w:t>Risk m</w:t>
      </w:r>
      <w:r w:rsidR="008E7846" w:rsidRPr="00BB3E2B">
        <w:t xml:space="preserve">anagement </w:t>
      </w:r>
      <w:r w:rsidRPr="00BB3E2B">
        <w:t>p</w:t>
      </w:r>
      <w:r w:rsidR="008E7846" w:rsidRPr="00BB3E2B">
        <w:t>lan</w:t>
      </w:r>
      <w:bookmarkEnd w:id="147"/>
      <w:bookmarkEnd w:id="148"/>
      <w:bookmarkEnd w:id="149"/>
    </w:p>
    <w:p w14:paraId="2014C666" w14:textId="77777777" w:rsidR="00456765" w:rsidRDefault="00456765" w:rsidP="00456765">
      <w:pPr>
        <w:pStyle w:val="Heading4"/>
        <w:rPr>
          <w:lang w:eastAsia="en-AU"/>
        </w:rPr>
      </w:pPr>
      <w:bookmarkStart w:id="150" w:name="_Toc247691527"/>
      <w:bookmarkStart w:id="151" w:name="_Toc314842510"/>
      <w:r>
        <w:rPr>
          <w:lang w:eastAsia="en-AU"/>
        </w:rPr>
        <w:t>Summary of RMP evaluation</w:t>
      </w:r>
      <w:r>
        <w:rPr>
          <w:rStyle w:val="FootnoteReference"/>
          <w:lang w:eastAsia="en-AU"/>
        </w:rPr>
        <w:footnoteReference w:id="45"/>
      </w:r>
    </w:p>
    <w:p w14:paraId="580BEB34" w14:textId="77777777" w:rsidR="00082C72" w:rsidRPr="004A4E12" w:rsidRDefault="00BB3E2B" w:rsidP="00082C72">
      <w:pPr>
        <w:pStyle w:val="ListBullet"/>
      </w:pPr>
      <w:r>
        <w:t>The sponsor</w:t>
      </w:r>
      <w:r w:rsidR="00082C72" w:rsidRPr="00D867FD">
        <w:t xml:space="preserve"> has submitted EU-RMP version 1.3 (dated 8 April 2017; </w:t>
      </w:r>
      <w:r>
        <w:t>data lock point (</w:t>
      </w:r>
      <w:r w:rsidR="00082C72" w:rsidRPr="00D867FD">
        <w:t>DLP</w:t>
      </w:r>
      <w:r>
        <w:t>)</w:t>
      </w:r>
      <w:r w:rsidR="00082C72" w:rsidRPr="00D867FD">
        <w:t xml:space="preserve"> 26 April 2016) and ASA version 1.0 (dated 18 April 2017) in support of this application</w:t>
      </w:r>
      <w:r w:rsidR="00082C72" w:rsidRPr="004A4E12">
        <w:t>. In its response</w:t>
      </w:r>
      <w:r>
        <w:t xml:space="preserve"> to questions</w:t>
      </w:r>
      <w:r w:rsidR="00082C72" w:rsidRPr="004A4E12">
        <w:t xml:space="preserve">, the </w:t>
      </w:r>
      <w:r w:rsidR="00F769DD">
        <w:t>sponsor</w:t>
      </w:r>
      <w:r w:rsidR="00082C72" w:rsidRPr="004A4E12">
        <w:t xml:space="preserve"> has submitted EU-RMP version 1.5 (dated 26 April 2017; DLP 26 April 2016) and ASA version 1.1 (dated 14 December 2017).</w:t>
      </w:r>
    </w:p>
    <w:p w14:paraId="5C4B13EA" w14:textId="77777777" w:rsidR="00456765" w:rsidRPr="00F769DD" w:rsidRDefault="00082C72" w:rsidP="00F769DD">
      <w:pPr>
        <w:pStyle w:val="ListBullet"/>
      </w:pPr>
      <w:r w:rsidRPr="00F769DD">
        <w:t>The proposed Summary of Safety Concerns and their associated risk monitoring and mitigation strategies are summarised below.</w:t>
      </w:r>
    </w:p>
    <w:p w14:paraId="4747D2AC" w14:textId="77777777" w:rsidR="00BB3E2B" w:rsidRDefault="00CC30C8" w:rsidP="00BB3E2B">
      <w:pPr>
        <w:pStyle w:val="TableTitle"/>
        <w:rPr>
          <w:lang w:eastAsia="en-AU"/>
        </w:rPr>
      </w:pPr>
      <w:r>
        <w:t>Table 14</w:t>
      </w:r>
      <w:r w:rsidR="00BB3E2B">
        <w:t xml:space="preserve">: </w:t>
      </w:r>
      <w:r w:rsidR="00BB3E2B" w:rsidRPr="00493326">
        <w:t>Summary of Safety Concerns and their associated risk monitoring and mitigation strategies</w:t>
      </w:r>
    </w:p>
    <w:tbl>
      <w:tblPr>
        <w:tblStyle w:val="TableTGAblue"/>
        <w:tblW w:w="8655" w:type="dxa"/>
        <w:tblLayout w:type="fixed"/>
        <w:tblLook w:val="04A0" w:firstRow="1" w:lastRow="0" w:firstColumn="1" w:lastColumn="0" w:noHBand="0" w:noVBand="1"/>
      </w:tblPr>
      <w:tblGrid>
        <w:gridCol w:w="1291"/>
        <w:gridCol w:w="3365"/>
        <w:gridCol w:w="828"/>
        <w:gridCol w:w="1103"/>
        <w:gridCol w:w="827"/>
        <w:gridCol w:w="1241"/>
      </w:tblGrid>
      <w:tr w:rsidR="00082C72" w:rsidRPr="004F1C07" w14:paraId="7FEE30EA" w14:textId="77777777" w:rsidTr="00BB3E2B">
        <w:trPr>
          <w:cnfStyle w:val="100000000000" w:firstRow="1" w:lastRow="0" w:firstColumn="0" w:lastColumn="0" w:oddVBand="0" w:evenVBand="0" w:oddHBand="0" w:evenHBand="0" w:firstRowFirstColumn="0" w:firstRowLastColumn="0" w:lastRowFirstColumn="0" w:lastRowLastColumn="0"/>
          <w:trHeight w:val="130"/>
        </w:trPr>
        <w:tc>
          <w:tcPr>
            <w:tcW w:w="4656" w:type="dxa"/>
            <w:gridSpan w:val="2"/>
            <w:vMerge w:val="restart"/>
          </w:tcPr>
          <w:p w14:paraId="2969E215" w14:textId="77777777" w:rsidR="00082C72" w:rsidRPr="004F1C07" w:rsidRDefault="00082C72" w:rsidP="00082C72">
            <w:pPr>
              <w:pStyle w:val="Tabletext"/>
              <w:ind w:left="0" w:right="0"/>
              <w:rPr>
                <w:b w:val="0"/>
              </w:rPr>
            </w:pPr>
            <w:r w:rsidRPr="00BB3E2B">
              <w:rPr>
                <w:sz w:val="20"/>
              </w:rPr>
              <w:t>Summary of safety concerns</w:t>
            </w:r>
          </w:p>
        </w:tc>
        <w:tc>
          <w:tcPr>
            <w:tcW w:w="1931" w:type="dxa"/>
            <w:gridSpan w:val="2"/>
          </w:tcPr>
          <w:p w14:paraId="5E13120C" w14:textId="77777777" w:rsidR="00082C72" w:rsidRPr="0011726C" w:rsidRDefault="00082C72" w:rsidP="00082C72">
            <w:pPr>
              <w:pStyle w:val="Tabletext"/>
              <w:ind w:left="0" w:right="0"/>
              <w:rPr>
                <w:b w:val="0"/>
                <w:sz w:val="18"/>
              </w:rPr>
            </w:pPr>
            <w:r w:rsidRPr="0011726C">
              <w:rPr>
                <w:sz w:val="18"/>
              </w:rPr>
              <w:t>Pharmacovigilance</w:t>
            </w:r>
          </w:p>
        </w:tc>
        <w:tc>
          <w:tcPr>
            <w:tcW w:w="2068" w:type="dxa"/>
            <w:gridSpan w:val="2"/>
          </w:tcPr>
          <w:p w14:paraId="1CA84F12" w14:textId="77777777" w:rsidR="00082C72" w:rsidRPr="0011726C" w:rsidRDefault="00082C72" w:rsidP="00082C72">
            <w:pPr>
              <w:pStyle w:val="Tabletext"/>
              <w:ind w:left="0" w:right="0"/>
              <w:rPr>
                <w:b w:val="0"/>
                <w:sz w:val="18"/>
              </w:rPr>
            </w:pPr>
            <w:r w:rsidRPr="0011726C">
              <w:rPr>
                <w:sz w:val="18"/>
              </w:rPr>
              <w:t>Risk Minimisation</w:t>
            </w:r>
          </w:p>
        </w:tc>
      </w:tr>
      <w:tr w:rsidR="00082C72" w:rsidRPr="004F1C07" w14:paraId="3643527B" w14:textId="77777777" w:rsidTr="00BB3E2B">
        <w:trPr>
          <w:trHeight w:val="148"/>
        </w:trPr>
        <w:tc>
          <w:tcPr>
            <w:tcW w:w="4656" w:type="dxa"/>
            <w:gridSpan w:val="2"/>
            <w:vMerge/>
          </w:tcPr>
          <w:p w14:paraId="6FD776DE" w14:textId="77777777" w:rsidR="00082C72" w:rsidRPr="004F1C07" w:rsidRDefault="00082C72" w:rsidP="00082C72">
            <w:pPr>
              <w:pStyle w:val="Tabletext"/>
              <w:ind w:left="0" w:right="0"/>
              <w:rPr>
                <w:b/>
              </w:rPr>
            </w:pPr>
          </w:p>
        </w:tc>
        <w:tc>
          <w:tcPr>
            <w:tcW w:w="828" w:type="dxa"/>
          </w:tcPr>
          <w:p w14:paraId="37F81836" w14:textId="77777777" w:rsidR="00082C72" w:rsidRPr="0011726C" w:rsidRDefault="00082C72" w:rsidP="00082C72">
            <w:pPr>
              <w:pStyle w:val="Tabletext"/>
              <w:ind w:left="0" w:right="0"/>
              <w:rPr>
                <w:sz w:val="18"/>
              </w:rPr>
            </w:pPr>
            <w:r w:rsidRPr="0011726C">
              <w:rPr>
                <w:sz w:val="18"/>
              </w:rPr>
              <w:t>Routine</w:t>
            </w:r>
          </w:p>
        </w:tc>
        <w:tc>
          <w:tcPr>
            <w:tcW w:w="1103" w:type="dxa"/>
          </w:tcPr>
          <w:p w14:paraId="43C5A94E" w14:textId="77777777" w:rsidR="00082C72" w:rsidRPr="0011726C" w:rsidRDefault="00082C72" w:rsidP="00082C72">
            <w:pPr>
              <w:pStyle w:val="Tabletext"/>
              <w:ind w:left="0" w:right="0"/>
              <w:rPr>
                <w:sz w:val="18"/>
              </w:rPr>
            </w:pPr>
            <w:r w:rsidRPr="0011726C">
              <w:rPr>
                <w:sz w:val="18"/>
              </w:rPr>
              <w:t>Additional</w:t>
            </w:r>
          </w:p>
        </w:tc>
        <w:tc>
          <w:tcPr>
            <w:tcW w:w="827" w:type="dxa"/>
          </w:tcPr>
          <w:p w14:paraId="10FCFF70" w14:textId="77777777" w:rsidR="00082C72" w:rsidRPr="0011726C" w:rsidRDefault="00082C72" w:rsidP="00082C72">
            <w:pPr>
              <w:pStyle w:val="Tabletext"/>
              <w:ind w:left="0" w:right="0"/>
              <w:rPr>
                <w:sz w:val="18"/>
              </w:rPr>
            </w:pPr>
            <w:r w:rsidRPr="0011726C">
              <w:rPr>
                <w:sz w:val="18"/>
              </w:rPr>
              <w:t>Routine</w:t>
            </w:r>
          </w:p>
        </w:tc>
        <w:tc>
          <w:tcPr>
            <w:tcW w:w="1241" w:type="dxa"/>
          </w:tcPr>
          <w:p w14:paraId="54E026F4" w14:textId="77777777" w:rsidR="00082C72" w:rsidRPr="0011726C" w:rsidRDefault="00082C72" w:rsidP="00082C72">
            <w:pPr>
              <w:pStyle w:val="Tabletext"/>
              <w:ind w:left="0" w:right="0"/>
              <w:rPr>
                <w:sz w:val="18"/>
              </w:rPr>
            </w:pPr>
            <w:r w:rsidRPr="0011726C">
              <w:rPr>
                <w:sz w:val="18"/>
              </w:rPr>
              <w:t>Additional</w:t>
            </w:r>
          </w:p>
        </w:tc>
      </w:tr>
      <w:tr w:rsidR="00082C72" w:rsidRPr="004F1C07" w14:paraId="3AA128D0" w14:textId="77777777" w:rsidTr="00BB3E2B">
        <w:trPr>
          <w:trHeight w:val="136"/>
        </w:trPr>
        <w:tc>
          <w:tcPr>
            <w:tcW w:w="1291" w:type="dxa"/>
            <w:vMerge w:val="restart"/>
          </w:tcPr>
          <w:p w14:paraId="4FC00B7B" w14:textId="77777777" w:rsidR="00082C72" w:rsidRPr="00680101" w:rsidRDefault="00082C72" w:rsidP="00082C72">
            <w:pPr>
              <w:pStyle w:val="Tabletext"/>
              <w:ind w:left="0" w:right="0"/>
              <w:rPr>
                <w:b/>
              </w:rPr>
            </w:pPr>
            <w:r w:rsidRPr="00680101">
              <w:rPr>
                <w:b/>
              </w:rPr>
              <w:t>Important identified risks</w:t>
            </w:r>
          </w:p>
        </w:tc>
        <w:tc>
          <w:tcPr>
            <w:tcW w:w="3365" w:type="dxa"/>
          </w:tcPr>
          <w:p w14:paraId="15853C83" w14:textId="77777777" w:rsidR="00082C72" w:rsidRPr="007A2791" w:rsidRDefault="00082C72" w:rsidP="00082C72">
            <w:pPr>
              <w:pStyle w:val="Summaryofsafetyconcerns"/>
              <w:keepNext/>
              <w:keepLines/>
              <w:ind w:left="0" w:right="0"/>
              <w:rPr>
                <w:b w:val="0"/>
              </w:rPr>
            </w:pPr>
            <w:r>
              <w:rPr>
                <w:b w:val="0"/>
              </w:rPr>
              <w:t xml:space="preserve">Grade </w:t>
            </w:r>
            <w:r w:rsidR="00503681">
              <w:rPr>
                <w:b w:val="0"/>
              </w:rPr>
              <w:t xml:space="preserve">≥ </w:t>
            </w:r>
            <w:r w:rsidRPr="007A2791">
              <w:rPr>
                <w:b w:val="0"/>
              </w:rPr>
              <w:t>3 and/or serious hepatotoxicity, including all VOD/SOS</w:t>
            </w:r>
          </w:p>
        </w:tc>
        <w:tc>
          <w:tcPr>
            <w:tcW w:w="828" w:type="dxa"/>
          </w:tcPr>
          <w:p w14:paraId="336F245D" w14:textId="77777777" w:rsidR="00082C72" w:rsidRPr="00E7481D" w:rsidRDefault="00082C72" w:rsidP="00082C72">
            <w:pPr>
              <w:pStyle w:val="Tabletext"/>
              <w:ind w:left="0" w:right="0"/>
              <w:jc w:val="center"/>
            </w:pPr>
            <w:r w:rsidRPr="00E7481D">
              <w:sym w:font="Wingdings" w:char="F0FC"/>
            </w:r>
          </w:p>
        </w:tc>
        <w:tc>
          <w:tcPr>
            <w:tcW w:w="1103" w:type="dxa"/>
          </w:tcPr>
          <w:p w14:paraId="49D2D528" w14:textId="77777777" w:rsidR="00082C72" w:rsidRPr="00E7481D" w:rsidRDefault="00082C72" w:rsidP="00082C72">
            <w:pPr>
              <w:pStyle w:val="Tabletext"/>
              <w:ind w:left="0" w:right="0"/>
              <w:jc w:val="center"/>
            </w:pPr>
            <w:r w:rsidRPr="00E7481D">
              <w:t>–</w:t>
            </w:r>
          </w:p>
        </w:tc>
        <w:tc>
          <w:tcPr>
            <w:tcW w:w="827" w:type="dxa"/>
          </w:tcPr>
          <w:p w14:paraId="38484369" w14:textId="77777777" w:rsidR="00082C72" w:rsidRPr="00E7481D" w:rsidRDefault="00082C72" w:rsidP="00082C72">
            <w:pPr>
              <w:pStyle w:val="Tabletext"/>
              <w:ind w:left="0" w:right="0"/>
              <w:jc w:val="center"/>
            </w:pPr>
            <w:r w:rsidRPr="00E7481D">
              <w:sym w:font="Wingdings" w:char="F0FC"/>
            </w:r>
          </w:p>
        </w:tc>
        <w:tc>
          <w:tcPr>
            <w:tcW w:w="1241" w:type="dxa"/>
          </w:tcPr>
          <w:p w14:paraId="474EF1DB" w14:textId="77777777" w:rsidR="00082C72" w:rsidRPr="00E7481D" w:rsidRDefault="00082C72" w:rsidP="00082C72">
            <w:pPr>
              <w:pStyle w:val="Tabletext"/>
              <w:ind w:left="0" w:right="0"/>
              <w:jc w:val="center"/>
            </w:pPr>
            <w:r w:rsidRPr="00E7481D">
              <w:t>–</w:t>
            </w:r>
          </w:p>
        </w:tc>
      </w:tr>
      <w:tr w:rsidR="00082C72" w:rsidRPr="00603BFA" w14:paraId="75D4C7D7" w14:textId="77777777" w:rsidTr="00BB3E2B">
        <w:trPr>
          <w:trHeight w:val="185"/>
        </w:trPr>
        <w:tc>
          <w:tcPr>
            <w:tcW w:w="1291" w:type="dxa"/>
            <w:vMerge/>
          </w:tcPr>
          <w:p w14:paraId="53A78DA0" w14:textId="77777777" w:rsidR="00082C72" w:rsidRPr="00680101" w:rsidRDefault="00082C72" w:rsidP="00082C72">
            <w:pPr>
              <w:pStyle w:val="Tabletext"/>
              <w:ind w:left="0" w:right="0"/>
              <w:rPr>
                <w:b/>
              </w:rPr>
            </w:pPr>
          </w:p>
        </w:tc>
        <w:tc>
          <w:tcPr>
            <w:tcW w:w="3365" w:type="dxa"/>
          </w:tcPr>
          <w:p w14:paraId="5DF119B3" w14:textId="77777777" w:rsidR="00082C72" w:rsidRPr="009B3582" w:rsidRDefault="00082C72" w:rsidP="00082C72">
            <w:pPr>
              <w:pStyle w:val="Summaryofsafetyconcerns"/>
              <w:keepNext/>
              <w:keepLines/>
              <w:ind w:left="0" w:right="0"/>
              <w:rPr>
                <w:b w:val="0"/>
              </w:rPr>
            </w:pPr>
            <w:r w:rsidRPr="00603BFA">
              <w:rPr>
                <w:b w:val="0"/>
              </w:rPr>
              <w:t>Myelosuppression/</w:t>
            </w:r>
            <w:proofErr w:type="spellStart"/>
            <w:r w:rsidRPr="00603BFA">
              <w:rPr>
                <w:b w:val="0"/>
              </w:rPr>
              <w:t>cytopenia</w:t>
            </w:r>
            <w:proofErr w:type="spellEnd"/>
          </w:p>
        </w:tc>
        <w:tc>
          <w:tcPr>
            <w:tcW w:w="828" w:type="dxa"/>
          </w:tcPr>
          <w:p w14:paraId="0573DB6C" w14:textId="77777777" w:rsidR="00082C72" w:rsidRPr="009B3582" w:rsidRDefault="00082C72" w:rsidP="00082C72">
            <w:pPr>
              <w:pStyle w:val="Tabletext"/>
              <w:ind w:left="0" w:right="0"/>
              <w:jc w:val="center"/>
            </w:pPr>
            <w:r w:rsidRPr="00603BFA">
              <w:sym w:font="Wingdings" w:char="F0FC"/>
            </w:r>
          </w:p>
        </w:tc>
        <w:tc>
          <w:tcPr>
            <w:tcW w:w="1103" w:type="dxa"/>
          </w:tcPr>
          <w:p w14:paraId="48B56738" w14:textId="77777777" w:rsidR="00082C72" w:rsidRPr="009B3582" w:rsidRDefault="00082C72" w:rsidP="00082C72">
            <w:pPr>
              <w:pStyle w:val="Tabletext"/>
              <w:ind w:left="0" w:right="0"/>
              <w:jc w:val="center"/>
            </w:pPr>
            <w:r w:rsidRPr="00603BFA">
              <w:t>–</w:t>
            </w:r>
          </w:p>
        </w:tc>
        <w:tc>
          <w:tcPr>
            <w:tcW w:w="827" w:type="dxa"/>
          </w:tcPr>
          <w:p w14:paraId="7245B6E4" w14:textId="77777777" w:rsidR="00082C72" w:rsidRPr="009B3582" w:rsidRDefault="00082C72" w:rsidP="00082C72">
            <w:pPr>
              <w:pStyle w:val="Tabletext"/>
              <w:ind w:left="0" w:right="0"/>
              <w:jc w:val="center"/>
            </w:pPr>
            <w:r w:rsidRPr="00603BFA">
              <w:sym w:font="Wingdings" w:char="F0FC"/>
            </w:r>
          </w:p>
        </w:tc>
        <w:tc>
          <w:tcPr>
            <w:tcW w:w="1241" w:type="dxa"/>
          </w:tcPr>
          <w:p w14:paraId="77864A14" w14:textId="77777777" w:rsidR="00082C72" w:rsidRPr="009B3582" w:rsidRDefault="00082C72" w:rsidP="00082C72">
            <w:pPr>
              <w:pStyle w:val="Tabletext"/>
              <w:ind w:left="0" w:right="0"/>
              <w:jc w:val="center"/>
            </w:pPr>
            <w:r w:rsidRPr="00603BFA">
              <w:t>–</w:t>
            </w:r>
          </w:p>
        </w:tc>
      </w:tr>
      <w:tr w:rsidR="00082C72" w:rsidRPr="004F1C07" w14:paraId="2D258AFB" w14:textId="77777777" w:rsidTr="00BB3E2B">
        <w:trPr>
          <w:trHeight w:val="157"/>
        </w:trPr>
        <w:tc>
          <w:tcPr>
            <w:tcW w:w="1291" w:type="dxa"/>
            <w:vMerge w:val="restart"/>
          </w:tcPr>
          <w:p w14:paraId="7F037691" w14:textId="77777777" w:rsidR="00082C72" w:rsidRPr="00680101" w:rsidRDefault="00082C72" w:rsidP="00082C72">
            <w:pPr>
              <w:pStyle w:val="Tabletext"/>
              <w:ind w:left="0" w:right="0"/>
              <w:rPr>
                <w:b/>
              </w:rPr>
            </w:pPr>
            <w:r w:rsidRPr="00680101">
              <w:rPr>
                <w:b/>
              </w:rPr>
              <w:t>Important potential risks</w:t>
            </w:r>
          </w:p>
        </w:tc>
        <w:tc>
          <w:tcPr>
            <w:tcW w:w="3365" w:type="dxa"/>
          </w:tcPr>
          <w:p w14:paraId="42E8956E" w14:textId="77777777" w:rsidR="00082C72" w:rsidRPr="00A679FF" w:rsidRDefault="00082C72" w:rsidP="00082C72">
            <w:pPr>
              <w:pStyle w:val="Summaryofsafetyconcerns"/>
              <w:keepNext/>
              <w:keepLines/>
              <w:ind w:left="0" w:right="0"/>
              <w:rPr>
                <w:b w:val="0"/>
              </w:rPr>
            </w:pPr>
            <w:r>
              <w:rPr>
                <w:b w:val="0"/>
              </w:rPr>
              <w:t>Interstitial lung disease</w:t>
            </w:r>
          </w:p>
        </w:tc>
        <w:tc>
          <w:tcPr>
            <w:tcW w:w="828" w:type="dxa"/>
          </w:tcPr>
          <w:p w14:paraId="6FB9876E" w14:textId="77777777" w:rsidR="00082C72" w:rsidRPr="00E7481D" w:rsidRDefault="00082C72" w:rsidP="00082C72">
            <w:pPr>
              <w:pStyle w:val="Tabletext"/>
              <w:ind w:left="0" w:right="0"/>
              <w:jc w:val="center"/>
            </w:pPr>
            <w:r w:rsidRPr="00E7481D">
              <w:sym w:font="Wingdings" w:char="F0FC"/>
            </w:r>
          </w:p>
        </w:tc>
        <w:tc>
          <w:tcPr>
            <w:tcW w:w="1103" w:type="dxa"/>
          </w:tcPr>
          <w:p w14:paraId="3B8D8B6F" w14:textId="77777777" w:rsidR="00082C72" w:rsidRPr="00E7481D" w:rsidRDefault="00082C72" w:rsidP="00082C72">
            <w:pPr>
              <w:pStyle w:val="Tabletext"/>
              <w:ind w:left="0" w:right="0"/>
              <w:jc w:val="center"/>
            </w:pPr>
            <w:r w:rsidRPr="00E7481D">
              <w:t>–</w:t>
            </w:r>
          </w:p>
        </w:tc>
        <w:tc>
          <w:tcPr>
            <w:tcW w:w="827" w:type="dxa"/>
          </w:tcPr>
          <w:p w14:paraId="402B008F" w14:textId="77777777" w:rsidR="00082C72" w:rsidRPr="00E7481D" w:rsidRDefault="00082C72" w:rsidP="00082C72">
            <w:pPr>
              <w:pStyle w:val="Tabletext"/>
              <w:ind w:left="0" w:right="0"/>
              <w:jc w:val="center"/>
            </w:pPr>
            <w:r w:rsidRPr="00E7481D">
              <w:t>–</w:t>
            </w:r>
          </w:p>
        </w:tc>
        <w:tc>
          <w:tcPr>
            <w:tcW w:w="1241" w:type="dxa"/>
          </w:tcPr>
          <w:p w14:paraId="4CC1429E" w14:textId="77777777" w:rsidR="00082C72" w:rsidRPr="00E7481D" w:rsidRDefault="00082C72" w:rsidP="00082C72">
            <w:pPr>
              <w:pStyle w:val="Tabletext"/>
              <w:ind w:left="0" w:right="0"/>
              <w:jc w:val="center"/>
            </w:pPr>
            <w:r w:rsidRPr="00E7481D">
              <w:t>–</w:t>
            </w:r>
          </w:p>
        </w:tc>
      </w:tr>
      <w:tr w:rsidR="00082C72" w:rsidRPr="004F1C07" w14:paraId="225B6A6A" w14:textId="77777777" w:rsidTr="00BB3E2B">
        <w:trPr>
          <w:trHeight w:val="138"/>
        </w:trPr>
        <w:tc>
          <w:tcPr>
            <w:tcW w:w="1291" w:type="dxa"/>
            <w:vMerge/>
          </w:tcPr>
          <w:p w14:paraId="14518206" w14:textId="77777777" w:rsidR="00082C72" w:rsidRPr="00680101" w:rsidRDefault="00082C72" w:rsidP="00082C72">
            <w:pPr>
              <w:pStyle w:val="Tabletext"/>
              <w:ind w:left="0" w:right="0"/>
              <w:rPr>
                <w:b/>
              </w:rPr>
            </w:pPr>
          </w:p>
        </w:tc>
        <w:tc>
          <w:tcPr>
            <w:tcW w:w="3365" w:type="dxa"/>
          </w:tcPr>
          <w:p w14:paraId="15F5D48F" w14:textId="77777777" w:rsidR="00082C72" w:rsidRPr="00A679FF" w:rsidRDefault="00082C72" w:rsidP="00082C72">
            <w:pPr>
              <w:pStyle w:val="Summaryofsafetyconcerns"/>
              <w:keepNext/>
              <w:keepLines/>
              <w:ind w:left="0" w:right="0"/>
              <w:rPr>
                <w:b w:val="0"/>
              </w:rPr>
            </w:pPr>
            <w:r w:rsidRPr="00A679FF">
              <w:rPr>
                <w:b w:val="0"/>
              </w:rPr>
              <w:t>Infla</w:t>
            </w:r>
            <w:r>
              <w:rPr>
                <w:b w:val="0"/>
              </w:rPr>
              <w:t>mmatory gastrointestinal events</w:t>
            </w:r>
          </w:p>
        </w:tc>
        <w:tc>
          <w:tcPr>
            <w:tcW w:w="828" w:type="dxa"/>
          </w:tcPr>
          <w:p w14:paraId="12E82427" w14:textId="77777777" w:rsidR="00082C72" w:rsidRPr="00E7481D" w:rsidRDefault="00082C72" w:rsidP="00082C72">
            <w:pPr>
              <w:pStyle w:val="Tabletext"/>
              <w:ind w:left="0" w:right="0"/>
              <w:jc w:val="center"/>
            </w:pPr>
            <w:r w:rsidRPr="00E7481D">
              <w:sym w:font="Wingdings" w:char="F0FC"/>
            </w:r>
          </w:p>
        </w:tc>
        <w:tc>
          <w:tcPr>
            <w:tcW w:w="1103" w:type="dxa"/>
          </w:tcPr>
          <w:p w14:paraId="6EBFBA77" w14:textId="77777777" w:rsidR="00082C72" w:rsidRPr="00E7481D" w:rsidRDefault="00082C72" w:rsidP="00082C72">
            <w:pPr>
              <w:pStyle w:val="Tabletext"/>
              <w:ind w:left="0" w:right="0"/>
              <w:jc w:val="center"/>
            </w:pPr>
            <w:r w:rsidRPr="00E7481D">
              <w:t>–</w:t>
            </w:r>
          </w:p>
        </w:tc>
        <w:tc>
          <w:tcPr>
            <w:tcW w:w="827" w:type="dxa"/>
          </w:tcPr>
          <w:p w14:paraId="4C616050" w14:textId="77777777" w:rsidR="00082C72" w:rsidRPr="00E7481D" w:rsidRDefault="00082C72" w:rsidP="00082C72">
            <w:pPr>
              <w:pStyle w:val="Tabletext"/>
              <w:ind w:left="0" w:right="0"/>
              <w:jc w:val="center"/>
            </w:pPr>
            <w:r w:rsidRPr="00E7481D">
              <w:t>–</w:t>
            </w:r>
          </w:p>
        </w:tc>
        <w:tc>
          <w:tcPr>
            <w:tcW w:w="1241" w:type="dxa"/>
          </w:tcPr>
          <w:p w14:paraId="4EB8CB48" w14:textId="77777777" w:rsidR="00082C72" w:rsidRPr="00E7481D" w:rsidRDefault="00082C72" w:rsidP="00082C72">
            <w:pPr>
              <w:pStyle w:val="Tabletext"/>
              <w:ind w:left="0" w:right="0"/>
              <w:jc w:val="center"/>
            </w:pPr>
            <w:r w:rsidRPr="00E7481D">
              <w:t>–</w:t>
            </w:r>
          </w:p>
        </w:tc>
      </w:tr>
      <w:tr w:rsidR="00082C72" w:rsidRPr="004F1C07" w14:paraId="3C8BDCB6" w14:textId="77777777" w:rsidTr="00BB3E2B">
        <w:trPr>
          <w:trHeight w:val="138"/>
        </w:trPr>
        <w:tc>
          <w:tcPr>
            <w:tcW w:w="1291" w:type="dxa"/>
            <w:vMerge/>
          </w:tcPr>
          <w:p w14:paraId="280E3582" w14:textId="77777777" w:rsidR="00082C72" w:rsidRPr="00680101" w:rsidRDefault="00082C72" w:rsidP="00082C72">
            <w:pPr>
              <w:pStyle w:val="Tabletext"/>
              <w:ind w:left="0" w:right="0"/>
              <w:rPr>
                <w:b/>
              </w:rPr>
            </w:pPr>
          </w:p>
        </w:tc>
        <w:tc>
          <w:tcPr>
            <w:tcW w:w="3365" w:type="dxa"/>
          </w:tcPr>
          <w:p w14:paraId="44277D44" w14:textId="77777777" w:rsidR="00082C72" w:rsidRPr="00A679FF" w:rsidRDefault="00082C72" w:rsidP="00082C72">
            <w:pPr>
              <w:pStyle w:val="Summaryofsafetyconcerns"/>
              <w:keepNext/>
              <w:keepLines/>
              <w:ind w:left="0" w:right="0"/>
              <w:rPr>
                <w:b w:val="0"/>
              </w:rPr>
            </w:pPr>
            <w:r>
              <w:rPr>
                <w:b w:val="0"/>
              </w:rPr>
              <w:t>Pancreatitis</w:t>
            </w:r>
          </w:p>
        </w:tc>
        <w:tc>
          <w:tcPr>
            <w:tcW w:w="828" w:type="dxa"/>
          </w:tcPr>
          <w:p w14:paraId="39FD66A8" w14:textId="77777777" w:rsidR="00082C72" w:rsidRPr="00E7481D" w:rsidRDefault="00082C72" w:rsidP="00082C72">
            <w:pPr>
              <w:pStyle w:val="Tabletext"/>
              <w:ind w:left="0" w:right="0"/>
              <w:jc w:val="center"/>
            </w:pPr>
            <w:r w:rsidRPr="00E7481D">
              <w:sym w:font="Wingdings" w:char="F0FC"/>
            </w:r>
          </w:p>
        </w:tc>
        <w:tc>
          <w:tcPr>
            <w:tcW w:w="1103" w:type="dxa"/>
          </w:tcPr>
          <w:p w14:paraId="49580369" w14:textId="77777777" w:rsidR="00082C72" w:rsidRPr="00E7481D" w:rsidRDefault="00082C72" w:rsidP="00082C72">
            <w:pPr>
              <w:pStyle w:val="Tabletext"/>
              <w:ind w:left="0" w:right="0"/>
              <w:jc w:val="center"/>
            </w:pPr>
            <w:r w:rsidRPr="00E7481D">
              <w:t>–</w:t>
            </w:r>
          </w:p>
        </w:tc>
        <w:tc>
          <w:tcPr>
            <w:tcW w:w="827" w:type="dxa"/>
          </w:tcPr>
          <w:p w14:paraId="5087BED1" w14:textId="77777777" w:rsidR="00082C72" w:rsidRPr="00E7481D" w:rsidRDefault="00082C72" w:rsidP="00082C72">
            <w:pPr>
              <w:pStyle w:val="Tabletext"/>
              <w:ind w:left="0" w:right="0"/>
              <w:jc w:val="center"/>
            </w:pPr>
            <w:r w:rsidRPr="00E7481D">
              <w:t>–</w:t>
            </w:r>
          </w:p>
        </w:tc>
        <w:tc>
          <w:tcPr>
            <w:tcW w:w="1241" w:type="dxa"/>
          </w:tcPr>
          <w:p w14:paraId="02B03271" w14:textId="77777777" w:rsidR="00082C72" w:rsidRPr="00E7481D" w:rsidRDefault="00082C72" w:rsidP="00082C72">
            <w:pPr>
              <w:pStyle w:val="Tabletext"/>
              <w:ind w:left="0" w:right="0"/>
              <w:jc w:val="center"/>
            </w:pPr>
            <w:r w:rsidRPr="00E7481D">
              <w:t>–</w:t>
            </w:r>
          </w:p>
        </w:tc>
      </w:tr>
      <w:tr w:rsidR="00082C72" w:rsidRPr="004F1C07" w14:paraId="5C6E94ED" w14:textId="77777777" w:rsidTr="00BB3E2B">
        <w:trPr>
          <w:trHeight w:val="138"/>
        </w:trPr>
        <w:tc>
          <w:tcPr>
            <w:tcW w:w="1291" w:type="dxa"/>
            <w:vMerge/>
          </w:tcPr>
          <w:p w14:paraId="5C9F0CC8" w14:textId="77777777" w:rsidR="00082C72" w:rsidRPr="00680101" w:rsidRDefault="00082C72" w:rsidP="00082C72">
            <w:pPr>
              <w:pStyle w:val="Tabletext"/>
              <w:ind w:left="0" w:right="0"/>
              <w:rPr>
                <w:b/>
              </w:rPr>
            </w:pPr>
          </w:p>
        </w:tc>
        <w:tc>
          <w:tcPr>
            <w:tcW w:w="3365" w:type="dxa"/>
          </w:tcPr>
          <w:p w14:paraId="5CBA3D41" w14:textId="77777777" w:rsidR="00082C72" w:rsidRPr="00A679FF" w:rsidRDefault="00082C72" w:rsidP="00082C72">
            <w:pPr>
              <w:pStyle w:val="Summaryofsafetyconcerns"/>
              <w:keepNext/>
              <w:keepLines/>
              <w:ind w:left="0" w:right="0"/>
              <w:rPr>
                <w:b w:val="0"/>
              </w:rPr>
            </w:pPr>
            <w:r>
              <w:rPr>
                <w:b w:val="0"/>
              </w:rPr>
              <w:t>Second primary malignancy</w:t>
            </w:r>
          </w:p>
        </w:tc>
        <w:tc>
          <w:tcPr>
            <w:tcW w:w="828" w:type="dxa"/>
          </w:tcPr>
          <w:p w14:paraId="6FCCD654" w14:textId="77777777" w:rsidR="00082C72" w:rsidRPr="00E7481D" w:rsidRDefault="00082C72" w:rsidP="00082C72">
            <w:pPr>
              <w:pStyle w:val="Tabletext"/>
              <w:ind w:left="0" w:right="0"/>
              <w:jc w:val="center"/>
            </w:pPr>
            <w:r w:rsidRPr="00E7481D">
              <w:sym w:font="Wingdings" w:char="F0FC"/>
            </w:r>
          </w:p>
        </w:tc>
        <w:tc>
          <w:tcPr>
            <w:tcW w:w="1103" w:type="dxa"/>
          </w:tcPr>
          <w:p w14:paraId="20474E0D" w14:textId="77777777" w:rsidR="00082C72" w:rsidRPr="00E7481D" w:rsidRDefault="00082C72" w:rsidP="00082C72">
            <w:pPr>
              <w:pStyle w:val="Tabletext"/>
              <w:ind w:left="0" w:right="0"/>
              <w:jc w:val="center"/>
            </w:pPr>
            <w:r w:rsidRPr="00E7481D">
              <w:t>–</w:t>
            </w:r>
          </w:p>
        </w:tc>
        <w:tc>
          <w:tcPr>
            <w:tcW w:w="827" w:type="dxa"/>
          </w:tcPr>
          <w:p w14:paraId="6A8A142C" w14:textId="77777777" w:rsidR="00082C72" w:rsidRPr="00E7481D" w:rsidRDefault="00082C72" w:rsidP="00082C72">
            <w:pPr>
              <w:pStyle w:val="Tabletext"/>
              <w:ind w:left="0" w:right="0"/>
              <w:jc w:val="center"/>
            </w:pPr>
            <w:r w:rsidRPr="00E7481D">
              <w:t>–</w:t>
            </w:r>
          </w:p>
        </w:tc>
        <w:tc>
          <w:tcPr>
            <w:tcW w:w="1241" w:type="dxa"/>
          </w:tcPr>
          <w:p w14:paraId="4E34D8D0" w14:textId="77777777" w:rsidR="00082C72" w:rsidRPr="00E7481D" w:rsidRDefault="00082C72" w:rsidP="00082C72">
            <w:pPr>
              <w:pStyle w:val="Tabletext"/>
              <w:ind w:left="0" w:right="0"/>
              <w:jc w:val="center"/>
            </w:pPr>
            <w:r w:rsidRPr="00E7481D">
              <w:t>–</w:t>
            </w:r>
          </w:p>
        </w:tc>
      </w:tr>
      <w:tr w:rsidR="00082C72" w:rsidRPr="004F1C07" w14:paraId="4B6D59B6" w14:textId="77777777" w:rsidTr="00BB3E2B">
        <w:trPr>
          <w:trHeight w:val="138"/>
        </w:trPr>
        <w:tc>
          <w:tcPr>
            <w:tcW w:w="1291" w:type="dxa"/>
            <w:vMerge/>
          </w:tcPr>
          <w:p w14:paraId="1954417C" w14:textId="77777777" w:rsidR="00082C72" w:rsidRPr="00680101" w:rsidRDefault="00082C72" w:rsidP="00082C72">
            <w:pPr>
              <w:pStyle w:val="Tabletext"/>
              <w:ind w:left="0" w:right="0"/>
              <w:rPr>
                <w:b/>
              </w:rPr>
            </w:pPr>
          </w:p>
        </w:tc>
        <w:tc>
          <w:tcPr>
            <w:tcW w:w="3365" w:type="dxa"/>
          </w:tcPr>
          <w:p w14:paraId="5060EF6A" w14:textId="77777777" w:rsidR="00082C72" w:rsidRPr="00A679FF" w:rsidRDefault="00082C72" w:rsidP="00082C72">
            <w:pPr>
              <w:pStyle w:val="Summaryofsafetyconcerns"/>
              <w:keepNext/>
              <w:keepLines/>
              <w:ind w:left="0" w:right="0"/>
              <w:rPr>
                <w:b w:val="0"/>
              </w:rPr>
            </w:pPr>
            <w:r w:rsidRPr="00A679FF">
              <w:rPr>
                <w:b w:val="0"/>
              </w:rPr>
              <w:t>Reproductive and developmental</w:t>
            </w:r>
            <w:r>
              <w:rPr>
                <w:b w:val="0"/>
              </w:rPr>
              <w:t xml:space="preserve"> toxicity (post exposure during </w:t>
            </w:r>
            <w:r w:rsidRPr="00A679FF">
              <w:rPr>
                <w:b w:val="0"/>
              </w:rPr>
              <w:t>preg</w:t>
            </w:r>
            <w:r>
              <w:rPr>
                <w:b w:val="0"/>
              </w:rPr>
              <w:t>nancy and while breast feeding)</w:t>
            </w:r>
          </w:p>
        </w:tc>
        <w:tc>
          <w:tcPr>
            <w:tcW w:w="828" w:type="dxa"/>
          </w:tcPr>
          <w:p w14:paraId="31CD8648" w14:textId="77777777" w:rsidR="00082C72" w:rsidRPr="00E7481D" w:rsidRDefault="00082C72" w:rsidP="00082C72">
            <w:pPr>
              <w:pStyle w:val="Tabletext"/>
              <w:ind w:left="0" w:right="0"/>
              <w:jc w:val="center"/>
            </w:pPr>
            <w:r w:rsidRPr="00E7481D">
              <w:sym w:font="Wingdings" w:char="F0FC"/>
            </w:r>
          </w:p>
        </w:tc>
        <w:tc>
          <w:tcPr>
            <w:tcW w:w="1103" w:type="dxa"/>
          </w:tcPr>
          <w:p w14:paraId="34A54AA7" w14:textId="77777777" w:rsidR="00082C72" w:rsidRPr="00E7481D" w:rsidRDefault="00082C72" w:rsidP="00082C72">
            <w:pPr>
              <w:pStyle w:val="Tabletext"/>
              <w:ind w:left="0" w:right="0"/>
              <w:jc w:val="center"/>
            </w:pPr>
            <w:r w:rsidRPr="00E7481D">
              <w:t>–</w:t>
            </w:r>
          </w:p>
        </w:tc>
        <w:tc>
          <w:tcPr>
            <w:tcW w:w="827" w:type="dxa"/>
          </w:tcPr>
          <w:p w14:paraId="442DC1FC" w14:textId="77777777" w:rsidR="00082C72" w:rsidRPr="00E7481D" w:rsidRDefault="00082C72" w:rsidP="00082C72">
            <w:pPr>
              <w:pStyle w:val="Tabletext"/>
              <w:ind w:left="0" w:right="0"/>
              <w:jc w:val="center"/>
            </w:pPr>
            <w:r w:rsidRPr="00E7481D">
              <w:sym w:font="Wingdings" w:char="F0FC"/>
            </w:r>
          </w:p>
        </w:tc>
        <w:tc>
          <w:tcPr>
            <w:tcW w:w="1241" w:type="dxa"/>
          </w:tcPr>
          <w:p w14:paraId="2A77A7CE" w14:textId="77777777" w:rsidR="00082C72" w:rsidRPr="00E7481D" w:rsidRDefault="00082C72" w:rsidP="00082C72">
            <w:pPr>
              <w:pStyle w:val="Tabletext"/>
              <w:ind w:left="0" w:right="0"/>
              <w:jc w:val="center"/>
            </w:pPr>
            <w:r w:rsidRPr="00E7481D">
              <w:t>–</w:t>
            </w:r>
          </w:p>
        </w:tc>
      </w:tr>
      <w:tr w:rsidR="00082C72" w:rsidRPr="004F1C07" w14:paraId="5806E6D3" w14:textId="77777777" w:rsidTr="00BB3E2B">
        <w:trPr>
          <w:trHeight w:val="158"/>
        </w:trPr>
        <w:tc>
          <w:tcPr>
            <w:tcW w:w="1291" w:type="dxa"/>
            <w:vMerge/>
          </w:tcPr>
          <w:p w14:paraId="3D1766B8" w14:textId="77777777" w:rsidR="00082C72" w:rsidRPr="00680101" w:rsidRDefault="00082C72" w:rsidP="00082C72">
            <w:pPr>
              <w:pStyle w:val="Tabletext"/>
              <w:ind w:left="0" w:right="0"/>
              <w:rPr>
                <w:b/>
              </w:rPr>
            </w:pPr>
          </w:p>
        </w:tc>
        <w:tc>
          <w:tcPr>
            <w:tcW w:w="3365" w:type="dxa"/>
          </w:tcPr>
          <w:p w14:paraId="45CC853F" w14:textId="77777777" w:rsidR="00082C72" w:rsidRPr="00A679FF" w:rsidRDefault="00082C72" w:rsidP="00082C72">
            <w:pPr>
              <w:pStyle w:val="Summaryofsafetyconcerns"/>
              <w:keepNext/>
              <w:keepLines/>
              <w:ind w:left="0" w:right="0"/>
              <w:rPr>
                <w:b w:val="0"/>
              </w:rPr>
            </w:pPr>
            <w:r w:rsidRPr="00A679FF">
              <w:rPr>
                <w:b w:val="0"/>
              </w:rPr>
              <w:t>Neuro</w:t>
            </w:r>
            <w:r>
              <w:rPr>
                <w:b w:val="0"/>
              </w:rPr>
              <w:t>toxicity</w:t>
            </w:r>
          </w:p>
        </w:tc>
        <w:tc>
          <w:tcPr>
            <w:tcW w:w="828" w:type="dxa"/>
          </w:tcPr>
          <w:p w14:paraId="5220AB03" w14:textId="77777777" w:rsidR="00082C72" w:rsidRPr="00E7481D" w:rsidRDefault="00082C72" w:rsidP="00082C72">
            <w:pPr>
              <w:pStyle w:val="Tabletext"/>
              <w:ind w:left="0" w:right="0"/>
              <w:jc w:val="center"/>
            </w:pPr>
            <w:r w:rsidRPr="00E7481D">
              <w:sym w:font="Wingdings" w:char="F0FC"/>
            </w:r>
          </w:p>
        </w:tc>
        <w:tc>
          <w:tcPr>
            <w:tcW w:w="1103" w:type="dxa"/>
          </w:tcPr>
          <w:p w14:paraId="4A4D65DC" w14:textId="77777777" w:rsidR="00082C72" w:rsidRPr="00E7481D" w:rsidRDefault="00082C72" w:rsidP="00082C72">
            <w:pPr>
              <w:pStyle w:val="Tabletext"/>
              <w:ind w:left="0" w:right="0"/>
              <w:jc w:val="center"/>
            </w:pPr>
            <w:r w:rsidRPr="00E7481D">
              <w:t>–</w:t>
            </w:r>
          </w:p>
        </w:tc>
        <w:tc>
          <w:tcPr>
            <w:tcW w:w="827" w:type="dxa"/>
          </w:tcPr>
          <w:p w14:paraId="1649859C" w14:textId="77777777" w:rsidR="00082C72" w:rsidRPr="00E7481D" w:rsidRDefault="00082C72" w:rsidP="00082C72">
            <w:pPr>
              <w:pStyle w:val="Tabletext"/>
              <w:ind w:left="0" w:right="0"/>
              <w:jc w:val="center"/>
            </w:pPr>
            <w:r w:rsidRPr="00E7481D">
              <w:t>–</w:t>
            </w:r>
          </w:p>
        </w:tc>
        <w:tc>
          <w:tcPr>
            <w:tcW w:w="1241" w:type="dxa"/>
          </w:tcPr>
          <w:p w14:paraId="1D977F9A" w14:textId="77777777" w:rsidR="00082C72" w:rsidRPr="00E7481D" w:rsidRDefault="00082C72" w:rsidP="00082C72">
            <w:pPr>
              <w:pStyle w:val="Tabletext"/>
              <w:ind w:left="0" w:right="0"/>
              <w:jc w:val="center"/>
            </w:pPr>
            <w:r w:rsidRPr="00E7481D">
              <w:t>–</w:t>
            </w:r>
          </w:p>
        </w:tc>
      </w:tr>
      <w:tr w:rsidR="00082C72" w:rsidRPr="004F1C07" w14:paraId="23E84FF5" w14:textId="77777777" w:rsidTr="00BB3E2B">
        <w:trPr>
          <w:trHeight w:val="111"/>
        </w:trPr>
        <w:tc>
          <w:tcPr>
            <w:tcW w:w="1291" w:type="dxa"/>
            <w:vMerge/>
          </w:tcPr>
          <w:p w14:paraId="1BD2091E" w14:textId="77777777" w:rsidR="00082C72" w:rsidRPr="00680101" w:rsidRDefault="00082C72" w:rsidP="00082C72">
            <w:pPr>
              <w:pStyle w:val="Tabletext"/>
              <w:ind w:left="0" w:right="0"/>
              <w:rPr>
                <w:b/>
              </w:rPr>
            </w:pPr>
          </w:p>
        </w:tc>
        <w:tc>
          <w:tcPr>
            <w:tcW w:w="3365" w:type="dxa"/>
          </w:tcPr>
          <w:p w14:paraId="63B47CEB" w14:textId="77777777" w:rsidR="00082C72" w:rsidRPr="00A679FF" w:rsidRDefault="00082C72" w:rsidP="00082C72">
            <w:pPr>
              <w:pStyle w:val="Summaryofsafetyconcerns"/>
              <w:keepNext/>
              <w:keepLines/>
              <w:ind w:left="0" w:right="0"/>
              <w:rPr>
                <w:b w:val="0"/>
              </w:rPr>
            </w:pPr>
            <w:r w:rsidRPr="00A679FF">
              <w:rPr>
                <w:b w:val="0"/>
              </w:rPr>
              <w:t>Nephrotoxicity</w:t>
            </w:r>
          </w:p>
        </w:tc>
        <w:tc>
          <w:tcPr>
            <w:tcW w:w="828" w:type="dxa"/>
          </w:tcPr>
          <w:p w14:paraId="1E2925FB" w14:textId="77777777" w:rsidR="00082C72" w:rsidRPr="00E7481D" w:rsidRDefault="00082C72" w:rsidP="00082C72">
            <w:pPr>
              <w:pStyle w:val="Tabletext"/>
              <w:ind w:left="0" w:right="0"/>
              <w:jc w:val="center"/>
            </w:pPr>
            <w:r w:rsidRPr="00E7481D">
              <w:sym w:font="Wingdings" w:char="F0FC"/>
            </w:r>
          </w:p>
        </w:tc>
        <w:tc>
          <w:tcPr>
            <w:tcW w:w="1103" w:type="dxa"/>
          </w:tcPr>
          <w:p w14:paraId="2BA2C329" w14:textId="77777777" w:rsidR="00082C72" w:rsidRPr="00E7481D" w:rsidRDefault="00082C72" w:rsidP="00082C72">
            <w:pPr>
              <w:pStyle w:val="Tabletext"/>
              <w:ind w:left="0" w:right="0"/>
              <w:jc w:val="center"/>
            </w:pPr>
            <w:r w:rsidRPr="00E7481D">
              <w:t>–</w:t>
            </w:r>
          </w:p>
        </w:tc>
        <w:tc>
          <w:tcPr>
            <w:tcW w:w="827" w:type="dxa"/>
          </w:tcPr>
          <w:p w14:paraId="1E25BF7B" w14:textId="77777777" w:rsidR="00082C72" w:rsidRPr="00E7481D" w:rsidRDefault="00082C72" w:rsidP="00082C72">
            <w:pPr>
              <w:pStyle w:val="Tabletext"/>
              <w:ind w:left="0" w:right="0"/>
              <w:jc w:val="center"/>
            </w:pPr>
            <w:r w:rsidRPr="00E7481D">
              <w:t>–</w:t>
            </w:r>
          </w:p>
        </w:tc>
        <w:tc>
          <w:tcPr>
            <w:tcW w:w="1241" w:type="dxa"/>
          </w:tcPr>
          <w:p w14:paraId="292FA561" w14:textId="77777777" w:rsidR="00082C72" w:rsidRPr="00E7481D" w:rsidRDefault="00082C72" w:rsidP="00082C72">
            <w:pPr>
              <w:pStyle w:val="Tabletext"/>
              <w:ind w:left="0" w:right="0"/>
              <w:jc w:val="center"/>
            </w:pPr>
            <w:r w:rsidRPr="00E7481D">
              <w:t>–</w:t>
            </w:r>
          </w:p>
        </w:tc>
      </w:tr>
      <w:tr w:rsidR="00082C72" w:rsidRPr="004F1C07" w14:paraId="1EDF687B" w14:textId="77777777" w:rsidTr="00BB3E2B">
        <w:trPr>
          <w:trHeight w:val="176"/>
        </w:trPr>
        <w:tc>
          <w:tcPr>
            <w:tcW w:w="1291" w:type="dxa"/>
            <w:vMerge w:val="restart"/>
          </w:tcPr>
          <w:p w14:paraId="22503C0D" w14:textId="77777777" w:rsidR="00082C72" w:rsidRPr="00680101" w:rsidRDefault="00082C72" w:rsidP="00082C72">
            <w:pPr>
              <w:pStyle w:val="Tabletext"/>
              <w:ind w:left="0" w:right="0"/>
              <w:rPr>
                <w:b/>
              </w:rPr>
            </w:pPr>
            <w:r w:rsidRPr="00680101">
              <w:rPr>
                <w:b/>
              </w:rPr>
              <w:t>Missing information</w:t>
            </w:r>
          </w:p>
        </w:tc>
        <w:tc>
          <w:tcPr>
            <w:tcW w:w="3365" w:type="dxa"/>
          </w:tcPr>
          <w:p w14:paraId="7B1C9496" w14:textId="77777777" w:rsidR="00082C72" w:rsidRPr="00A679FF" w:rsidRDefault="00082C72" w:rsidP="00082C72">
            <w:pPr>
              <w:pStyle w:val="Summaryofsafetyconcerns"/>
              <w:keepNext/>
              <w:keepLines/>
              <w:ind w:left="0" w:right="0"/>
              <w:rPr>
                <w:b w:val="0"/>
              </w:rPr>
            </w:pPr>
            <w:r w:rsidRPr="001949CB">
              <w:rPr>
                <w:b w:val="0"/>
              </w:rPr>
              <w:t>Use in patients with modera</w:t>
            </w:r>
            <w:r>
              <w:rPr>
                <w:b w:val="0"/>
              </w:rPr>
              <w:t>te or severe hepatic impairment</w:t>
            </w:r>
          </w:p>
        </w:tc>
        <w:tc>
          <w:tcPr>
            <w:tcW w:w="828" w:type="dxa"/>
          </w:tcPr>
          <w:p w14:paraId="127D44D7" w14:textId="77777777" w:rsidR="00082C72" w:rsidRPr="00E7481D" w:rsidRDefault="00082C72" w:rsidP="00082C72">
            <w:pPr>
              <w:pStyle w:val="Tabletext"/>
              <w:ind w:left="0" w:right="0"/>
              <w:jc w:val="center"/>
            </w:pPr>
            <w:r w:rsidRPr="00E7481D">
              <w:sym w:font="Wingdings" w:char="F0FC"/>
            </w:r>
          </w:p>
        </w:tc>
        <w:tc>
          <w:tcPr>
            <w:tcW w:w="1103" w:type="dxa"/>
          </w:tcPr>
          <w:p w14:paraId="6AC6B9CE" w14:textId="77777777" w:rsidR="00082C72" w:rsidRPr="00E7481D" w:rsidRDefault="00082C72" w:rsidP="00082C72">
            <w:pPr>
              <w:pStyle w:val="Tabletext"/>
              <w:ind w:left="0" w:right="0"/>
              <w:jc w:val="center"/>
            </w:pPr>
            <w:r w:rsidRPr="00E7481D">
              <w:t>–</w:t>
            </w:r>
          </w:p>
        </w:tc>
        <w:tc>
          <w:tcPr>
            <w:tcW w:w="827" w:type="dxa"/>
          </w:tcPr>
          <w:p w14:paraId="64D2FB89" w14:textId="77777777" w:rsidR="00082C72" w:rsidRPr="00E7481D" w:rsidRDefault="00082C72" w:rsidP="00082C72">
            <w:pPr>
              <w:pStyle w:val="Tabletext"/>
              <w:ind w:left="0" w:right="0"/>
              <w:jc w:val="center"/>
            </w:pPr>
            <w:r w:rsidRPr="00E7481D">
              <w:sym w:font="Wingdings" w:char="F0FC"/>
            </w:r>
          </w:p>
        </w:tc>
        <w:tc>
          <w:tcPr>
            <w:tcW w:w="1241" w:type="dxa"/>
          </w:tcPr>
          <w:p w14:paraId="0D089F99" w14:textId="77777777" w:rsidR="00082C72" w:rsidRPr="00E7481D" w:rsidRDefault="00082C72" w:rsidP="00082C72">
            <w:pPr>
              <w:pStyle w:val="Tabletext"/>
              <w:ind w:left="0" w:right="0"/>
              <w:jc w:val="center"/>
            </w:pPr>
            <w:r w:rsidRPr="00E7481D">
              <w:t>–</w:t>
            </w:r>
          </w:p>
        </w:tc>
      </w:tr>
      <w:tr w:rsidR="00082C72" w:rsidRPr="004F1C07" w14:paraId="0D40DE1B" w14:textId="77777777" w:rsidTr="00BB3E2B">
        <w:trPr>
          <w:trHeight w:val="102"/>
        </w:trPr>
        <w:tc>
          <w:tcPr>
            <w:tcW w:w="1291" w:type="dxa"/>
            <w:vMerge/>
          </w:tcPr>
          <w:p w14:paraId="7BB7FD7D" w14:textId="77777777" w:rsidR="00082C72" w:rsidRPr="004F1C07" w:rsidRDefault="00082C72" w:rsidP="00082C72">
            <w:pPr>
              <w:pStyle w:val="Tabletext"/>
              <w:ind w:left="0" w:right="0"/>
            </w:pPr>
          </w:p>
        </w:tc>
        <w:tc>
          <w:tcPr>
            <w:tcW w:w="3365" w:type="dxa"/>
          </w:tcPr>
          <w:p w14:paraId="5C849733" w14:textId="77777777" w:rsidR="00082C72" w:rsidRPr="00A679FF" w:rsidRDefault="00082C72" w:rsidP="00082C72">
            <w:pPr>
              <w:pStyle w:val="Summaryofsafetyconcerns"/>
              <w:keepNext/>
              <w:keepLines/>
              <w:ind w:left="0" w:right="0"/>
              <w:rPr>
                <w:b w:val="0"/>
              </w:rPr>
            </w:pPr>
            <w:r w:rsidRPr="001949CB">
              <w:rPr>
                <w:b w:val="0"/>
              </w:rPr>
              <w:t>Use in patients with severe renal im</w:t>
            </w:r>
            <w:r>
              <w:rPr>
                <w:b w:val="0"/>
              </w:rPr>
              <w:t>pairment</w:t>
            </w:r>
          </w:p>
        </w:tc>
        <w:tc>
          <w:tcPr>
            <w:tcW w:w="828" w:type="dxa"/>
          </w:tcPr>
          <w:p w14:paraId="65A963DB" w14:textId="77777777" w:rsidR="00082C72" w:rsidRPr="00E7481D" w:rsidRDefault="00082C72" w:rsidP="00082C72">
            <w:pPr>
              <w:pStyle w:val="Tabletext"/>
              <w:ind w:left="0" w:right="0"/>
              <w:jc w:val="center"/>
            </w:pPr>
            <w:r w:rsidRPr="00E7481D">
              <w:sym w:font="Wingdings" w:char="F0FC"/>
            </w:r>
          </w:p>
        </w:tc>
        <w:tc>
          <w:tcPr>
            <w:tcW w:w="1103" w:type="dxa"/>
          </w:tcPr>
          <w:p w14:paraId="2E68AAB7" w14:textId="77777777" w:rsidR="00082C72" w:rsidRPr="00E7481D" w:rsidRDefault="00082C72" w:rsidP="00082C72">
            <w:pPr>
              <w:pStyle w:val="Tabletext"/>
              <w:ind w:left="0" w:right="0"/>
              <w:jc w:val="center"/>
            </w:pPr>
            <w:r w:rsidRPr="00E7481D">
              <w:t>–</w:t>
            </w:r>
          </w:p>
        </w:tc>
        <w:tc>
          <w:tcPr>
            <w:tcW w:w="827" w:type="dxa"/>
          </w:tcPr>
          <w:p w14:paraId="006A0660" w14:textId="77777777" w:rsidR="00082C72" w:rsidRPr="00E7481D" w:rsidRDefault="00082C72" w:rsidP="00082C72">
            <w:pPr>
              <w:pStyle w:val="Tabletext"/>
              <w:ind w:left="0" w:right="0"/>
              <w:jc w:val="center"/>
            </w:pPr>
            <w:r w:rsidRPr="00E7481D">
              <w:sym w:font="Wingdings" w:char="F0FC"/>
            </w:r>
          </w:p>
        </w:tc>
        <w:tc>
          <w:tcPr>
            <w:tcW w:w="1241" w:type="dxa"/>
          </w:tcPr>
          <w:p w14:paraId="7E8346D2" w14:textId="77777777" w:rsidR="00082C72" w:rsidRPr="00E7481D" w:rsidRDefault="00082C72" w:rsidP="00082C72">
            <w:pPr>
              <w:pStyle w:val="Tabletext"/>
              <w:ind w:left="0" w:right="0"/>
              <w:jc w:val="center"/>
            </w:pPr>
            <w:r w:rsidRPr="00E7481D">
              <w:t>–</w:t>
            </w:r>
          </w:p>
        </w:tc>
      </w:tr>
      <w:tr w:rsidR="00082C72" w:rsidRPr="004F1C07" w14:paraId="5850DE78" w14:textId="77777777" w:rsidTr="00BB3E2B">
        <w:trPr>
          <w:trHeight w:val="138"/>
        </w:trPr>
        <w:tc>
          <w:tcPr>
            <w:tcW w:w="1291" w:type="dxa"/>
            <w:vMerge/>
          </w:tcPr>
          <w:p w14:paraId="0C955E65" w14:textId="77777777" w:rsidR="00082C72" w:rsidRPr="004F1C07" w:rsidRDefault="00082C72" w:rsidP="00082C72">
            <w:pPr>
              <w:pStyle w:val="Tabletext"/>
              <w:ind w:left="0" w:right="0"/>
            </w:pPr>
          </w:p>
        </w:tc>
        <w:tc>
          <w:tcPr>
            <w:tcW w:w="3365" w:type="dxa"/>
          </w:tcPr>
          <w:p w14:paraId="5952FF17" w14:textId="77777777" w:rsidR="00082C72" w:rsidRPr="0045325D" w:rsidRDefault="00082C72" w:rsidP="00082C72">
            <w:pPr>
              <w:pStyle w:val="Summaryofsafetyconcerns"/>
              <w:keepNext/>
              <w:keepLines/>
              <w:ind w:left="0" w:right="0"/>
              <w:rPr>
                <w:b w:val="0"/>
              </w:rPr>
            </w:pPr>
            <w:r w:rsidRPr="001949CB">
              <w:rPr>
                <w:b w:val="0"/>
              </w:rPr>
              <w:t>Use in Hispanic and Black patients</w:t>
            </w:r>
            <w:r>
              <w:rPr>
                <w:b w:val="0"/>
              </w:rPr>
              <w:t>/</w:t>
            </w:r>
            <w:r>
              <w:t xml:space="preserve"> </w:t>
            </w:r>
            <w:r w:rsidRPr="0045325D">
              <w:rPr>
                <w:b w:val="0"/>
              </w:rPr>
              <w:t>Use in</w:t>
            </w:r>
          </w:p>
          <w:p w14:paraId="6010EA3F" w14:textId="77777777" w:rsidR="00082C72" w:rsidRPr="00A679FF" w:rsidRDefault="00082C72" w:rsidP="00082C72">
            <w:pPr>
              <w:pStyle w:val="Summaryofsafetyconcerns"/>
              <w:keepNext/>
              <w:keepLines/>
              <w:ind w:left="0" w:right="0"/>
              <w:rPr>
                <w:b w:val="0"/>
              </w:rPr>
            </w:pPr>
            <w:r>
              <w:rPr>
                <w:b w:val="0"/>
              </w:rPr>
              <w:t xml:space="preserve">Aboriginal or Torres Strait </w:t>
            </w:r>
            <w:r w:rsidRPr="0045325D">
              <w:rPr>
                <w:b w:val="0"/>
              </w:rPr>
              <w:t>Islander</w:t>
            </w:r>
            <w:r>
              <w:rPr>
                <w:b w:val="0"/>
              </w:rPr>
              <w:t>^</w:t>
            </w:r>
          </w:p>
        </w:tc>
        <w:tc>
          <w:tcPr>
            <w:tcW w:w="828" w:type="dxa"/>
          </w:tcPr>
          <w:p w14:paraId="03F76B60" w14:textId="77777777" w:rsidR="00082C72" w:rsidRPr="00E7481D" w:rsidRDefault="00082C72" w:rsidP="00082C72">
            <w:pPr>
              <w:pStyle w:val="Tabletext"/>
              <w:ind w:left="0" w:right="0"/>
              <w:jc w:val="center"/>
            </w:pPr>
            <w:r w:rsidRPr="00E7481D">
              <w:sym w:font="Wingdings" w:char="F0FC"/>
            </w:r>
          </w:p>
        </w:tc>
        <w:tc>
          <w:tcPr>
            <w:tcW w:w="1103" w:type="dxa"/>
          </w:tcPr>
          <w:p w14:paraId="45DEF859" w14:textId="77777777" w:rsidR="00082C72" w:rsidRPr="00E7481D" w:rsidRDefault="00082C72" w:rsidP="00082C72">
            <w:pPr>
              <w:pStyle w:val="Tabletext"/>
              <w:ind w:left="0" w:right="0"/>
              <w:jc w:val="center"/>
            </w:pPr>
            <w:r w:rsidRPr="00E7481D">
              <w:t>–</w:t>
            </w:r>
          </w:p>
        </w:tc>
        <w:tc>
          <w:tcPr>
            <w:tcW w:w="827" w:type="dxa"/>
          </w:tcPr>
          <w:p w14:paraId="15EA4A32" w14:textId="77777777" w:rsidR="00082C72" w:rsidRPr="00E7481D" w:rsidRDefault="00082C72" w:rsidP="00082C72">
            <w:pPr>
              <w:pStyle w:val="Tabletext"/>
              <w:ind w:left="0" w:right="0"/>
              <w:jc w:val="center"/>
            </w:pPr>
            <w:r w:rsidRPr="00E7481D">
              <w:sym w:font="Wingdings" w:char="F0FC"/>
            </w:r>
            <w:r>
              <w:t>**</w:t>
            </w:r>
          </w:p>
        </w:tc>
        <w:tc>
          <w:tcPr>
            <w:tcW w:w="1241" w:type="dxa"/>
          </w:tcPr>
          <w:p w14:paraId="582D2E2A" w14:textId="77777777" w:rsidR="00082C72" w:rsidRPr="00E7481D" w:rsidRDefault="00082C72" w:rsidP="00082C72">
            <w:pPr>
              <w:pStyle w:val="Tabletext"/>
              <w:ind w:left="0" w:right="0"/>
              <w:jc w:val="center"/>
            </w:pPr>
            <w:r w:rsidRPr="00E7481D">
              <w:t>–</w:t>
            </w:r>
          </w:p>
        </w:tc>
      </w:tr>
    </w:tbl>
    <w:p w14:paraId="317379EF" w14:textId="77777777" w:rsidR="00082C72" w:rsidRPr="00082C72" w:rsidRDefault="00F769DD" w:rsidP="00BB3E2B">
      <w:pPr>
        <w:pStyle w:val="TableDescription"/>
      </w:pPr>
      <w:r>
        <w:t>**</w:t>
      </w:r>
      <w:r w:rsidR="00082C72" w:rsidRPr="004602B1">
        <w:t>The</w:t>
      </w:r>
      <w:r w:rsidR="00082C72">
        <w:t xml:space="preserve"> wording in the draft PI states the following</w:t>
      </w:r>
      <w:r w:rsidR="00082C72" w:rsidRPr="004602B1">
        <w:t xml:space="preserve">: </w:t>
      </w:r>
      <w:r w:rsidR="00503681">
        <w:t>‘</w:t>
      </w:r>
      <w:r w:rsidR="00082C72" w:rsidRPr="004602B1">
        <w:t>Based on a population pharmacokinetic analysis, age, race, and gender did not significantly affect inotuzumab ozogamicin disposition</w:t>
      </w:r>
      <w:r w:rsidR="00082C72">
        <w:t>.</w:t>
      </w:r>
      <w:r w:rsidR="00503681">
        <w:t>’</w:t>
      </w:r>
      <w:r w:rsidR="00082C72" w:rsidRPr="004602B1">
        <w:t xml:space="preserve"> This </w:t>
      </w:r>
      <w:r w:rsidR="00082C72">
        <w:t xml:space="preserve">wording </w:t>
      </w:r>
      <w:r w:rsidR="00082C72" w:rsidRPr="004602B1">
        <w:t xml:space="preserve">is identical to the wording in the </w:t>
      </w:r>
      <w:proofErr w:type="spellStart"/>
      <w:r w:rsidR="00082C72" w:rsidRPr="004602B1">
        <w:t>SmPC</w:t>
      </w:r>
      <w:proofErr w:type="spellEnd"/>
      <w:r w:rsidR="00082C72" w:rsidRPr="004602B1">
        <w:t>.</w:t>
      </w:r>
      <w:r w:rsidR="00082C72">
        <w:t xml:space="preserve"> ^ ASA only (Use in Aboriginal or Torres Strait Islander)</w:t>
      </w:r>
    </w:p>
    <w:p w14:paraId="3619A595" w14:textId="77777777" w:rsidR="00503681" w:rsidRDefault="00082C72" w:rsidP="00F769DD">
      <w:pPr>
        <w:pStyle w:val="ListBullet"/>
      </w:pPr>
      <w:r w:rsidRPr="00EC35FC">
        <w:rPr>
          <w:shd w:val="clear" w:color="auto" w:fill="FFFFFF" w:themeFill="background1"/>
        </w:rPr>
        <w:t>There are no additional pharmacovigilance or risk minimisation activities, which is acceptable as this time</w:t>
      </w:r>
      <w:r w:rsidR="00503681">
        <w:t>.</w:t>
      </w:r>
    </w:p>
    <w:p w14:paraId="10F22437" w14:textId="77777777" w:rsidR="00082C72" w:rsidRPr="004A4E12" w:rsidRDefault="00082C72" w:rsidP="00F769DD">
      <w:pPr>
        <w:pStyle w:val="ListBullet"/>
      </w:pPr>
      <w:r w:rsidRPr="004A4E12">
        <w:t>However, inotuzumab ozogamicin should be included in the black triangle scheme for additional monitoring, similar to the EU.</w:t>
      </w:r>
    </w:p>
    <w:p w14:paraId="346418B7" w14:textId="77777777" w:rsidR="00456765" w:rsidRDefault="00456765" w:rsidP="00456765">
      <w:pPr>
        <w:pStyle w:val="Heading4"/>
      </w:pPr>
      <w:bookmarkStart w:id="152" w:name="_Toc477354123"/>
      <w:r>
        <w:t>New and outstanding recommendations from second round evaluation</w:t>
      </w:r>
      <w:bookmarkEnd w:id="152"/>
    </w:p>
    <w:p w14:paraId="7F14E9EF" w14:textId="77777777" w:rsidR="00082C72" w:rsidRPr="00370894" w:rsidRDefault="00082C72" w:rsidP="00082C72">
      <w:r>
        <w:t>New recommendation:</w:t>
      </w:r>
    </w:p>
    <w:p w14:paraId="605F84A3" w14:textId="7FDDD28A" w:rsidR="00082C72" w:rsidRDefault="00082C72" w:rsidP="00082C72">
      <w:pPr>
        <w:pStyle w:val="ListBullet"/>
      </w:pPr>
      <w:bookmarkStart w:id="153" w:name="_Ref496791866"/>
      <w:bookmarkStart w:id="154" w:name="_Ref453313834"/>
      <w:r w:rsidRPr="002741ED">
        <w:t>As</w:t>
      </w:r>
      <w:r>
        <w:t xml:space="preserve"> </w:t>
      </w:r>
      <w:r w:rsidRPr="00F769DD">
        <w:t>Besponsa</w:t>
      </w:r>
      <w:r w:rsidRPr="005F74F9">
        <w:rPr>
          <w:smallCaps/>
        </w:rPr>
        <w:t xml:space="preserve"> </w:t>
      </w:r>
      <w:r w:rsidRPr="00C35DA1">
        <w:t>is</w:t>
      </w:r>
      <w:r>
        <w:t xml:space="preserve"> a new biological entity, it will </w:t>
      </w:r>
      <w:r w:rsidRPr="005F74F9">
        <w:t xml:space="preserve">be included in the black triangle scheme </w:t>
      </w:r>
      <w:r>
        <w:t xml:space="preserve">in Australia. Therefore, the PI and CMI should include the </w:t>
      </w:r>
      <w:r w:rsidRPr="005F74F9">
        <w:t xml:space="preserve">black triangle symbol and </w:t>
      </w:r>
      <w:r>
        <w:t xml:space="preserve">accompanying </w:t>
      </w:r>
      <w:r w:rsidRPr="005F74F9">
        <w:t xml:space="preserve">text </w:t>
      </w:r>
      <w:r>
        <w:t>in line with TGA advice</w:t>
      </w:r>
      <w:r w:rsidR="00545E81">
        <w:t>.</w:t>
      </w:r>
      <w:r>
        <w:rPr>
          <w:rStyle w:val="FootnoteReference"/>
        </w:rPr>
        <w:footnoteReference w:id="46"/>
      </w:r>
      <w:bookmarkEnd w:id="153"/>
      <w:r w:rsidRPr="005F74F9">
        <w:t xml:space="preserve"> </w:t>
      </w:r>
      <w:bookmarkEnd w:id="154"/>
      <w:r>
        <w:t xml:space="preserve">See </w:t>
      </w:r>
      <w:r w:rsidR="00F769DD">
        <w:t xml:space="preserve">conditions of registration </w:t>
      </w:r>
      <w:r>
        <w:t>below.</w:t>
      </w:r>
    </w:p>
    <w:p w14:paraId="4B704325" w14:textId="75976C5C" w:rsidR="00082C72" w:rsidRDefault="00082C72" w:rsidP="00082C72">
      <w:pPr>
        <w:pStyle w:val="ListBullet"/>
      </w:pPr>
      <w:r>
        <w:t>The sponsor should note the proposed wording for the condition of registration relating to</w:t>
      </w:r>
      <w:r w:rsidR="00545E81">
        <w:t xml:space="preserve"> the post-safety update report</w:t>
      </w:r>
      <w:r>
        <w:t xml:space="preserve"> </w:t>
      </w:r>
      <w:r w:rsidR="00545E81">
        <w:t>(</w:t>
      </w:r>
      <w:r>
        <w:t>PSUR</w:t>
      </w:r>
      <w:r w:rsidR="00545E81">
        <w:t>)</w:t>
      </w:r>
      <w:r>
        <w:t xml:space="preserve"> submission, which requires PSURs to be provided in line with the EU reporting schedule.</w:t>
      </w:r>
    </w:p>
    <w:p w14:paraId="2CCCCBCB" w14:textId="77777777" w:rsidR="00257265" w:rsidRPr="00257265" w:rsidRDefault="00257265" w:rsidP="00257265">
      <w:r w:rsidRPr="00257265">
        <w:t xml:space="preserve">The Delegate may wish to consider if there should be information included in the draft PI regarding the </w:t>
      </w:r>
      <w:r w:rsidR="00F769DD" w:rsidRPr="00257265">
        <w:t>following important potential risks</w:t>
      </w:r>
    </w:p>
    <w:p w14:paraId="47B2ED0F" w14:textId="77777777" w:rsidR="00257265" w:rsidRDefault="00257265" w:rsidP="009B3582">
      <w:pPr>
        <w:pStyle w:val="ListBullet"/>
      </w:pPr>
      <w:r>
        <w:t>Interstitial lung disease</w:t>
      </w:r>
    </w:p>
    <w:p w14:paraId="363D28C6" w14:textId="77777777" w:rsidR="00257265" w:rsidRDefault="00257265" w:rsidP="009B3582">
      <w:pPr>
        <w:pStyle w:val="ListBullet"/>
      </w:pPr>
      <w:r>
        <w:t>Inflammatory gastrointestinal events</w:t>
      </w:r>
    </w:p>
    <w:p w14:paraId="635202FA" w14:textId="77777777" w:rsidR="00257265" w:rsidRDefault="00257265" w:rsidP="009B3582">
      <w:pPr>
        <w:pStyle w:val="ListBullet"/>
      </w:pPr>
      <w:r>
        <w:t>Pancreatitis</w:t>
      </w:r>
    </w:p>
    <w:p w14:paraId="5C4922DC" w14:textId="77777777" w:rsidR="00257265" w:rsidRDefault="00257265" w:rsidP="009B3582">
      <w:pPr>
        <w:pStyle w:val="ListBullet"/>
      </w:pPr>
      <w:r>
        <w:t>Second primary malignancy</w:t>
      </w:r>
    </w:p>
    <w:p w14:paraId="7CCB3D4A" w14:textId="77777777" w:rsidR="00257265" w:rsidRDefault="00257265" w:rsidP="009B3582">
      <w:pPr>
        <w:pStyle w:val="ListBullet"/>
      </w:pPr>
      <w:r>
        <w:t>Reproductive and developmental toxicity (post exposure during pregnancy and while breast feeding)</w:t>
      </w:r>
    </w:p>
    <w:p w14:paraId="1BFB4B41" w14:textId="77777777" w:rsidR="00257265" w:rsidRDefault="00257265" w:rsidP="009B3582">
      <w:pPr>
        <w:pStyle w:val="ListBullet"/>
      </w:pPr>
      <w:r>
        <w:t>Neurotoxicity</w:t>
      </w:r>
    </w:p>
    <w:p w14:paraId="1282AA66" w14:textId="77777777" w:rsidR="00257265" w:rsidRPr="003B24B5" w:rsidRDefault="00257265" w:rsidP="009B3582">
      <w:pPr>
        <w:pStyle w:val="ListBullet"/>
      </w:pPr>
      <w:r>
        <w:t>Nephrotoxicity.</w:t>
      </w:r>
    </w:p>
    <w:p w14:paraId="39CFBDDB" w14:textId="77777777" w:rsidR="00456765" w:rsidRPr="00F769DD" w:rsidRDefault="00456765" w:rsidP="00F769DD">
      <w:pPr>
        <w:pStyle w:val="Heading4"/>
      </w:pPr>
      <w:bookmarkStart w:id="155" w:name="_Toc477354124"/>
      <w:r w:rsidRPr="00F769DD">
        <w:lastRenderedPageBreak/>
        <w:t>Proposed wording for conditions of registration</w:t>
      </w:r>
      <w:bookmarkEnd w:id="155"/>
    </w:p>
    <w:p w14:paraId="71B35A3D" w14:textId="77777777" w:rsidR="00503681" w:rsidRDefault="0086663B" w:rsidP="00F769DD">
      <w:r w:rsidRPr="008621EE">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503681">
        <w:t>.</w:t>
      </w:r>
    </w:p>
    <w:p w14:paraId="0899D4A5" w14:textId="77777777" w:rsidR="0086663B" w:rsidRPr="008621EE" w:rsidRDefault="00F769DD" w:rsidP="00F769DD">
      <w:r>
        <w:t>The suggested wording is:</w:t>
      </w:r>
    </w:p>
    <w:p w14:paraId="107F626F" w14:textId="77777777" w:rsidR="0086663B" w:rsidRPr="009B3582" w:rsidRDefault="0086663B" w:rsidP="00F769DD">
      <w:pPr>
        <w:ind w:left="720"/>
      </w:pPr>
      <w:r w:rsidRPr="009B3582">
        <w:t>The Besponsa EU-Risk Management Plan (RMP) (version 1.5, dated 26 April 2017, data lock point 26 April 2016), with Australian Specific Annex (version 1.1, dated 14 December 2017), included with submission PM-2017-01455-1-4, and any subsequent revisions, as agreed with the TGA will be implemented in Australia.</w:t>
      </w:r>
    </w:p>
    <w:p w14:paraId="01F0016A" w14:textId="77777777" w:rsidR="0086663B" w:rsidRPr="008621EE" w:rsidRDefault="0086663B" w:rsidP="00F769DD">
      <w:r w:rsidRPr="008621EE">
        <w:t>The following wording is recommended for the PSUR requirement:</w:t>
      </w:r>
    </w:p>
    <w:p w14:paraId="6F72DEC0" w14:textId="77777777" w:rsidR="00503681" w:rsidRPr="009B3582" w:rsidRDefault="0086663B" w:rsidP="00F769DD">
      <w:pPr>
        <w:ind w:left="720"/>
      </w:pPr>
      <w:r w:rsidRPr="009B3582">
        <w:t>An obligatory component of risk management plans is routine pharmacovigilance. Routine pharmacovigilance includes the submission of Periodic Safety Update Reports (PSURs)</w:t>
      </w:r>
      <w:r w:rsidR="00503681" w:rsidRPr="009B3582">
        <w:t>.</w:t>
      </w:r>
    </w:p>
    <w:p w14:paraId="24D86224" w14:textId="77777777" w:rsidR="00503681" w:rsidRPr="009B3582" w:rsidRDefault="0086663B" w:rsidP="00F769DD">
      <w:pPr>
        <w:ind w:left="720"/>
      </w:pPr>
      <w:r w:rsidRPr="009B3582">
        <w:t>Reports are to be provided in line with the current published list of EU reference dates and frequency of submission of PSURs until the period covered by such reports is not less than three years from the date of this approval letter</w:t>
      </w:r>
      <w:r w:rsidR="00503681" w:rsidRPr="009B3582">
        <w:t>.</w:t>
      </w:r>
    </w:p>
    <w:p w14:paraId="1C39C956" w14:textId="77777777" w:rsidR="0086663B" w:rsidRPr="009B3582" w:rsidRDefault="0086663B" w:rsidP="00F769DD">
      <w:pPr>
        <w:ind w:left="720"/>
      </w:pPr>
      <w:r w:rsidRPr="009B358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FED9BF1" w14:textId="77777777" w:rsidR="0086663B" w:rsidRPr="00F769DD" w:rsidRDefault="0086663B" w:rsidP="00F769DD">
      <w:r w:rsidRPr="00FC5C45">
        <w:t xml:space="preserve">As </w:t>
      </w:r>
      <w:r w:rsidRPr="00FC5C45">
        <w:rPr>
          <w:smallCaps/>
        </w:rPr>
        <w:t>B</w:t>
      </w:r>
      <w:r w:rsidRPr="00F769DD">
        <w:t>esponsa</w:t>
      </w:r>
      <w:r w:rsidRPr="00FC5C45">
        <w:t xml:space="preserve"> is a new biological entity it should be included in the Black Triangle Scheme as a condition of registration. The following wording is recommended for the condition of registration:</w:t>
      </w:r>
    </w:p>
    <w:p w14:paraId="09845322" w14:textId="77777777" w:rsidR="00257265" w:rsidRPr="009B3582" w:rsidRDefault="00503681" w:rsidP="00160FA8">
      <w:pPr>
        <w:ind w:left="720"/>
      </w:pPr>
      <w:r w:rsidRPr="009B3582">
        <w:t>‘</w:t>
      </w:r>
      <w:proofErr w:type="spellStart"/>
      <w:r w:rsidR="00257265" w:rsidRPr="009B3582">
        <w:t>Besponsa</w:t>
      </w:r>
      <w:proofErr w:type="spellEnd"/>
      <w:r w:rsidR="00257265" w:rsidRPr="009B3582">
        <w:t xml:space="preserve"> (</w:t>
      </w:r>
      <w:proofErr w:type="spellStart"/>
      <w:r w:rsidR="00257265" w:rsidRPr="009B3582">
        <w:t>Inotuzomab</w:t>
      </w:r>
      <w:proofErr w:type="spellEnd"/>
      <w:r w:rsidR="00257265" w:rsidRPr="009B3582">
        <w:t xml:space="preserve"> </w:t>
      </w:r>
      <w:proofErr w:type="spellStart"/>
      <w:r w:rsidR="00257265" w:rsidRPr="009B3582">
        <w:t>ozogamicin</w:t>
      </w:r>
      <w:proofErr w:type="spellEnd"/>
      <w:r w:rsidR="00257265" w:rsidRPr="009B3582">
        <w:t>) is to be included in the Black Triangle Scheme. The PI and CMI for Besponsa must include the black triangle symbol and mandatory accompanying text for five years, which starts from the date that the sponsor notifies the TGA of supply of the product.</w:t>
      </w:r>
    </w:p>
    <w:p w14:paraId="3475E617" w14:textId="77777777" w:rsidR="008E7846" w:rsidRPr="00792A32" w:rsidRDefault="008E7846" w:rsidP="008E7846">
      <w:pPr>
        <w:pStyle w:val="Heading2"/>
      </w:pPr>
      <w:bookmarkStart w:id="156" w:name="_Toc16505611"/>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2"/>
      <w:bookmarkEnd w:id="150"/>
      <w:bookmarkEnd w:id="151"/>
      <w:bookmarkEnd w:id="156"/>
    </w:p>
    <w:p w14:paraId="2A08D6AD" w14:textId="332EF42B" w:rsidR="008E7846" w:rsidRDefault="008E7846" w:rsidP="008E7846">
      <w:bookmarkStart w:id="157" w:name="_Toc247691528"/>
      <w:r>
        <w:t xml:space="preserve">The submission was summarised in the following </w:t>
      </w:r>
      <w:r w:rsidRPr="00EF5C48">
        <w:t xml:space="preserve">Delegate’s </w:t>
      </w:r>
      <w:r>
        <w:t>overview</w:t>
      </w:r>
      <w:r w:rsidRPr="00EF5C48">
        <w:t xml:space="preserve"> and recommendation</w:t>
      </w:r>
      <w:r>
        <w:t>s</w:t>
      </w:r>
      <w:r w:rsidR="00545E81">
        <w:t>.</w:t>
      </w:r>
    </w:p>
    <w:p w14:paraId="302067EA" w14:textId="77777777" w:rsidR="00F769DD" w:rsidRDefault="00F769DD" w:rsidP="00F769DD">
      <w:pPr>
        <w:pStyle w:val="Heading3"/>
      </w:pPr>
      <w:bookmarkStart w:id="158" w:name="_Toc16505612"/>
      <w:r>
        <w:t>Introduction</w:t>
      </w:r>
      <w:bookmarkEnd w:id="158"/>
    </w:p>
    <w:p w14:paraId="663F5745" w14:textId="77777777" w:rsidR="004C4372" w:rsidRPr="00AA53F4" w:rsidRDefault="004C4372" w:rsidP="004C4372">
      <w:pPr>
        <w:pStyle w:val="Heading4"/>
      </w:pPr>
      <w:r w:rsidRPr="00AA53F4">
        <w:t>Background on condition being treated</w:t>
      </w:r>
    </w:p>
    <w:p w14:paraId="2703D50C" w14:textId="42587C4D" w:rsidR="004C4372" w:rsidRPr="00AA53F4" w:rsidRDefault="004C4372" w:rsidP="004C4372">
      <w:pPr>
        <w:rPr>
          <w:lang w:val="en-US"/>
        </w:rPr>
      </w:pPr>
      <w:r w:rsidRPr="00AA53F4">
        <w:rPr>
          <w:lang w:val="en-US"/>
        </w:rPr>
        <w:t>The following information is taken from Freedman et al</w:t>
      </w:r>
      <w:r w:rsidR="00545E81">
        <w:rPr>
          <w:lang w:val="en-US"/>
        </w:rPr>
        <w:t>.,</w:t>
      </w:r>
      <w:r w:rsidRPr="00AA53F4">
        <w:rPr>
          <w:lang w:val="en-US"/>
        </w:rPr>
        <w:t xml:space="preserve"> 2017</w:t>
      </w:r>
      <w:r w:rsidRPr="00AA53F4">
        <w:rPr>
          <w:rStyle w:val="FootnoteReference"/>
          <w:rFonts w:asciiTheme="minorHAnsi" w:hAnsiTheme="minorHAnsi" w:cs="‡˚ø◊w‚"/>
          <w:color w:val="000000"/>
          <w:lang w:val="en-US"/>
        </w:rPr>
        <w:footnoteReference w:id="47"/>
      </w:r>
      <w:r w:rsidRPr="00AA53F4">
        <w:rPr>
          <w:lang w:val="en-US"/>
        </w:rPr>
        <w:t>.</w:t>
      </w:r>
    </w:p>
    <w:p w14:paraId="5911052D" w14:textId="77777777" w:rsidR="004C4372" w:rsidRPr="00AA53F4" w:rsidRDefault="004C4372" w:rsidP="004C4372">
      <w:pPr>
        <w:rPr>
          <w:lang w:val="en-US"/>
        </w:rPr>
      </w:pPr>
      <w:r w:rsidRPr="00AA53F4">
        <w:rPr>
          <w:lang w:val="en-US"/>
        </w:rPr>
        <w:t>In the World Health Organization classification system for hematologic malignancies, the lymphoblastic neoplasms, which may present as leukemia and/or lymphoma, are divided into two general categories based upon lineage:</w:t>
      </w:r>
    </w:p>
    <w:p w14:paraId="7D0064B0" w14:textId="77777777" w:rsidR="004C4372" w:rsidRPr="00AA53F4" w:rsidRDefault="004C4372" w:rsidP="004C4372">
      <w:pPr>
        <w:pStyle w:val="ListBullet"/>
        <w:rPr>
          <w:lang w:val="en-US"/>
        </w:rPr>
      </w:pPr>
      <w:r w:rsidRPr="00AA53F4">
        <w:rPr>
          <w:rFonts w:hint="eastAsia"/>
          <w:lang w:val="en-US"/>
        </w:rPr>
        <w:lastRenderedPageBreak/>
        <w:t>Precursor B cell lymphoblastic leukemia/lymphoma, also called precursor B cell acute lymphoblastic leukemia (precursor B cell ALL)</w:t>
      </w:r>
      <w:r w:rsidRPr="00AA53F4">
        <w:rPr>
          <w:lang w:val="en-US"/>
        </w:rPr>
        <w:t>.</w:t>
      </w:r>
    </w:p>
    <w:p w14:paraId="1323AFDF" w14:textId="6EE6B18A" w:rsidR="004C4372" w:rsidRPr="00AA53F4" w:rsidRDefault="004C4372" w:rsidP="009B3582">
      <w:pPr>
        <w:pStyle w:val="ListBullet2"/>
        <w:numPr>
          <w:ilvl w:val="0"/>
          <w:numId w:val="0"/>
        </w:numPr>
        <w:ind w:left="1080"/>
        <w:rPr>
          <w:lang w:val="en-US"/>
        </w:rPr>
      </w:pPr>
      <w:proofErr w:type="gramStart"/>
      <w:r w:rsidRPr="00AA53F4">
        <w:rPr>
          <w:lang w:val="en-US"/>
        </w:rPr>
        <w:t>is</w:t>
      </w:r>
      <w:proofErr w:type="gramEnd"/>
      <w:r w:rsidRPr="00AA53F4">
        <w:rPr>
          <w:lang w:val="en-US"/>
        </w:rPr>
        <w:t xml:space="preserve"> postulated to arise from precursor B cells at varying stages of differentiation.</w:t>
      </w:r>
      <w:r w:rsidRPr="00AA53F4">
        <w:t xml:space="preserve"> </w:t>
      </w:r>
      <w:r w:rsidRPr="00AA53F4">
        <w:rPr>
          <w:lang w:val="en-US"/>
        </w:rPr>
        <w:t>Uncertainty remains regarding the precise identity of these cells.</w:t>
      </w:r>
    </w:p>
    <w:p w14:paraId="5B1EC245" w14:textId="77777777" w:rsidR="004C4372" w:rsidRPr="00AA53F4" w:rsidRDefault="004C4372" w:rsidP="004C4372">
      <w:pPr>
        <w:pStyle w:val="ListBullet"/>
        <w:rPr>
          <w:lang w:val="en-US"/>
        </w:rPr>
      </w:pPr>
      <w:r w:rsidRPr="00AA53F4">
        <w:rPr>
          <w:rFonts w:hint="eastAsia"/>
          <w:lang w:val="en-US"/>
        </w:rPr>
        <w:t>Precursor T cell lymphoblastic leukemia/lymphoma (precursor T-LBL), also called precursor T cell acute lymphoblastic leukemia (precursor T cell ALL)</w:t>
      </w:r>
      <w:r w:rsidRPr="00AA53F4">
        <w:rPr>
          <w:lang w:val="en-US"/>
        </w:rPr>
        <w:t>.</w:t>
      </w:r>
    </w:p>
    <w:p w14:paraId="460FBD1D" w14:textId="77777777" w:rsidR="004C4372" w:rsidRPr="00AA53F4" w:rsidRDefault="004C4372" w:rsidP="004C4372">
      <w:pPr>
        <w:rPr>
          <w:lang w:val="en-US"/>
        </w:rPr>
      </w:pPr>
      <w:r w:rsidRPr="00AA53F4">
        <w:rPr>
          <w:lang w:val="en-US"/>
        </w:rPr>
        <w:t>This is largely done because the prognosis and treatment differ between neoplasms of B and T cell lineage. These can be further divided into either lymphoblastic lymphoma or lymphoblastic leukemia:</w:t>
      </w:r>
    </w:p>
    <w:p w14:paraId="64D6D886" w14:textId="77777777" w:rsidR="004C4372" w:rsidRPr="00AA53F4" w:rsidRDefault="004C4372" w:rsidP="004C4372">
      <w:pPr>
        <w:pStyle w:val="ListBullet"/>
        <w:rPr>
          <w:lang w:val="en-US"/>
        </w:rPr>
      </w:pPr>
      <w:r w:rsidRPr="00AA53F4">
        <w:rPr>
          <w:rFonts w:hint="eastAsia"/>
          <w:lang w:val="en-US"/>
        </w:rPr>
        <w:t>Clinically, a case is defined as lymphoma (LBL) if there is a mass lesion in the mediastinum or elsewhere and &lt;</w:t>
      </w:r>
      <w:r w:rsidR="00F769DD">
        <w:rPr>
          <w:lang w:val="en-US"/>
        </w:rPr>
        <w:t xml:space="preserve"> </w:t>
      </w:r>
      <w:r w:rsidRPr="00AA53F4">
        <w:rPr>
          <w:rFonts w:hint="eastAsia"/>
          <w:lang w:val="en-US"/>
        </w:rPr>
        <w:t>25 percent blasts in the bone marrow.</w:t>
      </w:r>
    </w:p>
    <w:p w14:paraId="213D8877" w14:textId="77777777" w:rsidR="004C4372" w:rsidRPr="00AA53F4" w:rsidRDefault="004C4372" w:rsidP="004C4372">
      <w:pPr>
        <w:pStyle w:val="ListBullet"/>
        <w:rPr>
          <w:lang w:val="en-US"/>
        </w:rPr>
      </w:pPr>
      <w:r w:rsidRPr="00AA53F4">
        <w:rPr>
          <w:rFonts w:hint="eastAsia"/>
          <w:lang w:val="en-US"/>
        </w:rPr>
        <w:t xml:space="preserve">It is classified as leukemia (ALL) if there are </w:t>
      </w:r>
      <w:r w:rsidR="000F385B">
        <w:rPr>
          <w:rFonts w:hint="eastAsia"/>
          <w:lang w:val="en-US"/>
        </w:rPr>
        <w:t xml:space="preserve">&gt; </w:t>
      </w:r>
      <w:r w:rsidRPr="00AA53F4">
        <w:rPr>
          <w:rFonts w:hint="eastAsia"/>
          <w:lang w:val="en-US"/>
        </w:rPr>
        <w:t>25 percent bone marrow blasts, with or without a mass lesion.</w:t>
      </w:r>
    </w:p>
    <w:p w14:paraId="50A8F367" w14:textId="77777777" w:rsidR="00503681" w:rsidRDefault="004C4372" w:rsidP="00F769DD">
      <w:pPr>
        <w:rPr>
          <w:lang w:val="en-US"/>
        </w:rPr>
      </w:pPr>
      <w:r w:rsidRPr="00AA53F4">
        <w:rPr>
          <w:lang w:val="en-US"/>
        </w:rPr>
        <w:t>Within each lineage group, there is significant biological and clinical overlap between neoplasms diagnosed as LBL and ALL. Although some patients present with predominantly lymphomatous involvement (</w:t>
      </w:r>
      <w:r w:rsidR="00F769DD">
        <w:rPr>
          <w:lang w:val="en-US"/>
        </w:rPr>
        <w:t>for example</w:t>
      </w:r>
      <w:r w:rsidRPr="00AA53F4">
        <w:rPr>
          <w:lang w:val="en-US"/>
        </w:rPr>
        <w:t>, a mediastinal mass or another defined lesion), most have or later develop marrow involvement. Similarly, patients who present with leukemia may have or may develop extramedullary tumors. Accordingly, lymphoblastic lymphoma and acute lymphoblastic leukemia should be considered the same disease with different clinical presentations</w:t>
      </w:r>
      <w:r w:rsidR="00503681">
        <w:rPr>
          <w:lang w:val="en-US"/>
        </w:rPr>
        <w:t>.</w:t>
      </w:r>
    </w:p>
    <w:p w14:paraId="7C8E9CC4" w14:textId="77777777" w:rsidR="004C4372" w:rsidRPr="00AA53F4" w:rsidRDefault="004C4372" w:rsidP="004C4372">
      <w:pPr>
        <w:pStyle w:val="Heading4"/>
        <w:rPr>
          <w:lang w:val="en-US"/>
        </w:rPr>
      </w:pPr>
      <w:r w:rsidRPr="00AA53F4">
        <w:rPr>
          <w:lang w:val="en-US"/>
        </w:rPr>
        <w:t>Current treatment landscape</w:t>
      </w:r>
    </w:p>
    <w:p w14:paraId="0621100E" w14:textId="45F0EB7F" w:rsidR="004C4372" w:rsidRPr="00AA53F4" w:rsidRDefault="004C4372" w:rsidP="00F769DD">
      <w:pPr>
        <w:rPr>
          <w:lang w:val="en-US"/>
        </w:rPr>
      </w:pPr>
      <w:r w:rsidRPr="00AA53F4">
        <w:rPr>
          <w:lang w:val="en-US"/>
        </w:rPr>
        <w:t xml:space="preserve">Treatment of relapsed or refractory ALL is still a major clinical challenge and there is no universally accepted treatment protocol for these patients. The European Society for Medical </w:t>
      </w:r>
      <w:r w:rsidRPr="001612AD">
        <w:rPr>
          <w:lang w:val="en-US"/>
        </w:rPr>
        <w:t>Oncology (ESMO) guidelines (2016)</w:t>
      </w:r>
      <w:r w:rsidR="00545E81">
        <w:rPr>
          <w:lang w:val="en-US"/>
        </w:rPr>
        <w:t>;</w:t>
      </w:r>
      <w:r w:rsidR="001612AD" w:rsidRPr="001612AD">
        <w:rPr>
          <w:vertAlign w:val="superscript"/>
          <w:lang w:val="en-US"/>
        </w:rPr>
        <w:fldChar w:fldCharType="begin"/>
      </w:r>
      <w:r w:rsidR="001612AD" w:rsidRPr="001612AD">
        <w:rPr>
          <w:vertAlign w:val="superscript"/>
          <w:lang w:val="en-US"/>
        </w:rPr>
        <w:instrText xml:space="preserve"> NOTEREF _Ref536533358 \h  \* MERGEFORMAT </w:instrText>
      </w:r>
      <w:r w:rsidR="001612AD" w:rsidRPr="001612AD">
        <w:rPr>
          <w:vertAlign w:val="superscript"/>
          <w:lang w:val="en-US"/>
        </w:rPr>
      </w:r>
      <w:r w:rsidR="001612AD" w:rsidRPr="001612AD">
        <w:rPr>
          <w:vertAlign w:val="superscript"/>
          <w:lang w:val="en-US"/>
        </w:rPr>
        <w:fldChar w:fldCharType="separate"/>
      </w:r>
      <w:r w:rsidR="00DF720C">
        <w:rPr>
          <w:vertAlign w:val="superscript"/>
          <w:lang w:val="en-US"/>
        </w:rPr>
        <w:t>1</w:t>
      </w:r>
      <w:r w:rsidR="001612AD" w:rsidRPr="001612AD">
        <w:rPr>
          <w:vertAlign w:val="superscript"/>
          <w:lang w:val="en-US"/>
        </w:rPr>
        <w:fldChar w:fldCharType="end"/>
      </w:r>
      <w:r w:rsidRPr="001612AD">
        <w:rPr>
          <w:lang w:val="en-US"/>
        </w:rPr>
        <w:t xml:space="preserve"> for the treatment</w:t>
      </w:r>
      <w:r w:rsidRPr="00AA53F4">
        <w:rPr>
          <w:lang w:val="en-US"/>
        </w:rPr>
        <w:t xml:space="preserve"> of relapsed or refractory leukaemia in adults</w:t>
      </w:r>
      <w:r w:rsidR="006779D9">
        <w:rPr>
          <w:lang w:val="en-US"/>
        </w:rPr>
        <w:t xml:space="preserve"> </w:t>
      </w:r>
      <w:r w:rsidRPr="00AA53F4">
        <w:rPr>
          <w:lang w:val="en-US"/>
        </w:rPr>
        <w:t xml:space="preserve">recommends that clinical evaluation should take into account disease specific factors (BCP-ALL, T-ALL, </w:t>
      </w:r>
      <w:r w:rsidRPr="00F769DD">
        <w:rPr>
          <w:lang w:val="en-US"/>
        </w:rPr>
        <w:t>ABL1</w:t>
      </w:r>
      <w:r w:rsidRPr="00AA53F4">
        <w:rPr>
          <w:i/>
          <w:lang w:val="en-US"/>
        </w:rPr>
        <w:t xml:space="preserve"> </w:t>
      </w:r>
      <w:r w:rsidRPr="00AA53F4">
        <w:rPr>
          <w:lang w:val="en-US"/>
        </w:rPr>
        <w:t>status), patient factors (age, performance status, organ function, and presence of extramedullary disease, in particular CNS disease), previous therapy (with particular reference to prior allograft, anthracycline dose) and specific toxicities of prior treatment which might guide therapeutic selection (</w:t>
      </w:r>
      <w:r w:rsidR="001D0208">
        <w:rPr>
          <w:lang w:val="en-US"/>
        </w:rPr>
        <w:t>for example</w:t>
      </w:r>
      <w:r w:rsidRPr="00AA53F4">
        <w:rPr>
          <w:lang w:val="en-US"/>
        </w:rPr>
        <w:t xml:space="preserve">, osteonecrosis, </w:t>
      </w:r>
      <w:proofErr w:type="spellStart"/>
      <w:r w:rsidRPr="00AA53F4">
        <w:rPr>
          <w:lang w:val="en-US"/>
        </w:rPr>
        <w:t>vinca</w:t>
      </w:r>
      <w:proofErr w:type="spellEnd"/>
      <w:r w:rsidRPr="00AA53F4">
        <w:rPr>
          <w:lang w:val="en-US"/>
        </w:rPr>
        <w:t xml:space="preserve"> alkaloid neuropathy, and specific infectious complications such as fungal infections)</w:t>
      </w:r>
      <w:r w:rsidR="00F769DD">
        <w:rPr>
          <w:lang w:val="en-US"/>
        </w:rPr>
        <w:t>.</w:t>
      </w:r>
      <w:r w:rsidR="001612AD" w:rsidRPr="001612AD">
        <w:rPr>
          <w:rStyle w:val="FootnoteReference"/>
          <w:lang w:val="en-US"/>
        </w:rPr>
        <w:fldChar w:fldCharType="begin"/>
      </w:r>
      <w:r w:rsidR="001612AD" w:rsidRPr="001612AD">
        <w:rPr>
          <w:vertAlign w:val="superscript"/>
          <w:lang w:val="en-US"/>
        </w:rPr>
        <w:instrText xml:space="preserve"> NOTEREF _Ref536533407 \h </w:instrText>
      </w:r>
      <w:r w:rsidR="001612AD" w:rsidRPr="001612AD">
        <w:rPr>
          <w:rStyle w:val="FootnoteReference"/>
          <w:lang w:val="en-US"/>
        </w:rPr>
        <w:instrText xml:space="preserve"> \* MERGEFORMAT </w:instrText>
      </w:r>
      <w:r w:rsidR="001612AD" w:rsidRPr="001612AD">
        <w:rPr>
          <w:rStyle w:val="FootnoteReference"/>
          <w:lang w:val="en-US"/>
        </w:rPr>
      </w:r>
      <w:r w:rsidR="001612AD" w:rsidRPr="001612AD">
        <w:rPr>
          <w:rStyle w:val="FootnoteReference"/>
          <w:lang w:val="en-US"/>
        </w:rPr>
        <w:fldChar w:fldCharType="separate"/>
      </w:r>
      <w:r w:rsidR="00DF720C">
        <w:rPr>
          <w:vertAlign w:val="superscript"/>
          <w:lang w:val="en-US"/>
        </w:rPr>
        <w:t>28</w:t>
      </w:r>
      <w:r w:rsidR="001612AD" w:rsidRPr="001612AD">
        <w:rPr>
          <w:rStyle w:val="FootnoteReference"/>
          <w:lang w:val="en-US"/>
        </w:rPr>
        <w:fldChar w:fldCharType="end"/>
      </w:r>
    </w:p>
    <w:p w14:paraId="3D719E83" w14:textId="77777777" w:rsidR="00503681" w:rsidRDefault="004C4372" w:rsidP="00F769DD">
      <w:pPr>
        <w:rPr>
          <w:lang w:val="en-US"/>
        </w:rPr>
      </w:pPr>
      <w:r w:rsidRPr="00AA53F4">
        <w:rPr>
          <w:lang w:val="en-US"/>
        </w:rPr>
        <w:t>The ESMO guidelines (2016) indicate that allogeneic SCT is the only known curative option for patients with ALL and that treatment of the disease with a curative aim involves achievement of CR followed by allogeneic SCT. The guidelines refer to published data from four large trials indicating that the rate of second CR in patient with relapsed disease was 44% to 45%, and that the median OS in these patients was 4.5 to 8.4 months. The guidelines refer to published data showing that following long duration of first CR (</w:t>
      </w:r>
      <w:r w:rsidR="001612AD">
        <w:rPr>
          <w:lang w:val="en-US"/>
        </w:rPr>
        <w:t>&gt; 2 </w:t>
      </w:r>
      <w:r w:rsidRPr="00AA53F4">
        <w:rPr>
          <w:lang w:val="en-US"/>
        </w:rPr>
        <w:t>years) re-induction with a standard induction regimen (such as used for original treatment) may be used for patients who have relapsed. The guidelines comment that short first CR or primary refractory disease is a very high risk situation, and consideration should immediately be given to the availability of trials with novel agents to which the disease might be non-resistant</w:t>
      </w:r>
      <w:r w:rsidR="00503681">
        <w:rPr>
          <w:lang w:val="en-US"/>
        </w:rPr>
        <w:t>.</w:t>
      </w:r>
    </w:p>
    <w:p w14:paraId="4ADACE9F" w14:textId="77777777" w:rsidR="004C4372" w:rsidRPr="00F769DD" w:rsidRDefault="004C4372" w:rsidP="00F769DD">
      <w:pPr>
        <w:pStyle w:val="Heading4"/>
      </w:pPr>
      <w:r w:rsidRPr="00F769DD">
        <w:t>Australian incidence data</w:t>
      </w:r>
    </w:p>
    <w:p w14:paraId="47358B18" w14:textId="77777777" w:rsidR="004C4372" w:rsidRPr="004C4372" w:rsidRDefault="004C4372" w:rsidP="004C4372">
      <w:pPr>
        <w:rPr>
          <w:lang w:val="en-US"/>
        </w:rPr>
      </w:pPr>
      <w:r w:rsidRPr="00AA53F4">
        <w:rPr>
          <w:lang w:val="en-US"/>
        </w:rPr>
        <w:t>The most recent Australian specific data from the Australian I</w:t>
      </w:r>
      <w:r w:rsidR="001612AD">
        <w:rPr>
          <w:lang w:val="en-US"/>
        </w:rPr>
        <w:t>nstitute of Health and Welfare</w:t>
      </w:r>
      <w:r w:rsidRPr="00AA53F4">
        <w:rPr>
          <w:lang w:val="en-US"/>
        </w:rPr>
        <w:t xml:space="preserve"> indicates that in 2013 there were 348 cases of ALL diagnosed in Australia with an age standardised incidence rate of 1.5/100,000 persons, with the risk being greater in </w:t>
      </w:r>
      <w:r w:rsidRPr="00AA53F4">
        <w:rPr>
          <w:lang w:val="en-US"/>
        </w:rPr>
        <w:lastRenderedPageBreak/>
        <w:t xml:space="preserve">males than in females (1.6/100,000 </w:t>
      </w:r>
      <w:r w:rsidR="001D0208">
        <w:rPr>
          <w:lang w:val="en-US"/>
        </w:rPr>
        <w:t xml:space="preserve">versus </w:t>
      </w:r>
      <w:r w:rsidRPr="00AA53F4">
        <w:rPr>
          <w:lang w:val="en-US"/>
        </w:rPr>
        <w:t>1.4/100,000, respectively).</w:t>
      </w:r>
      <w:r w:rsidR="001612AD">
        <w:rPr>
          <w:rStyle w:val="FootnoteReference"/>
          <w:lang w:val="en-US"/>
        </w:rPr>
        <w:footnoteReference w:id="48"/>
      </w:r>
      <w:r w:rsidRPr="00AA53F4">
        <w:rPr>
          <w:lang w:val="en-US"/>
        </w:rPr>
        <w:t xml:space="preserve"> The highest incidence rate was in children aged 0 to 4 years (6.8/100,000). In patients aged </w:t>
      </w:r>
      <w:r w:rsidR="000F385B">
        <w:rPr>
          <w:lang w:val="en-US"/>
        </w:rPr>
        <w:t xml:space="preserve">&gt; </w:t>
      </w:r>
      <w:r w:rsidRPr="00AA53F4">
        <w:rPr>
          <w:lang w:val="en-US"/>
        </w:rPr>
        <w:t>20 years, the incidence rate was</w:t>
      </w:r>
      <w:r w:rsidR="006779D9">
        <w:rPr>
          <w:lang w:val="en-US"/>
        </w:rPr>
        <w:t xml:space="preserve"> </w:t>
      </w:r>
      <w:r w:rsidRPr="00AA53F4">
        <w:rPr>
          <w:lang w:val="en-US"/>
        </w:rPr>
        <w:t xml:space="preserve">higher in patients aged </w:t>
      </w:r>
      <w:r w:rsidR="00503681">
        <w:rPr>
          <w:lang w:val="en-US"/>
        </w:rPr>
        <w:t xml:space="preserve">≥ </w:t>
      </w:r>
      <w:r w:rsidRPr="00AA53F4">
        <w:rPr>
          <w:lang w:val="en-US"/>
        </w:rPr>
        <w:t xml:space="preserve">65 years than in patients aged &lt; 65 years. In patients aged </w:t>
      </w:r>
      <w:r w:rsidR="00503681">
        <w:rPr>
          <w:lang w:val="en-US"/>
        </w:rPr>
        <w:t xml:space="preserve">≥ </w:t>
      </w:r>
      <w:r w:rsidRPr="00AA53F4">
        <w:rPr>
          <w:lang w:val="en-US"/>
        </w:rPr>
        <w:t xml:space="preserve">65 years categorised by age group, the incidence rates per 100,000 persons were 1.4 for patients aged </w:t>
      </w:r>
      <w:r w:rsidR="00F769DD">
        <w:rPr>
          <w:lang w:val="en-US"/>
        </w:rPr>
        <w:t>65 to 69</w:t>
      </w:r>
      <w:r w:rsidRPr="00AA53F4">
        <w:rPr>
          <w:lang w:val="en-US"/>
        </w:rPr>
        <w:t xml:space="preserve"> </w:t>
      </w:r>
      <w:r w:rsidR="00F769DD">
        <w:rPr>
          <w:lang w:val="en-US"/>
        </w:rPr>
        <w:t xml:space="preserve">years, 1.1 for patients aged 70 to </w:t>
      </w:r>
      <w:r w:rsidRPr="00AA53F4">
        <w:rPr>
          <w:lang w:val="en-US"/>
        </w:rPr>
        <w:t xml:space="preserve">74 </w:t>
      </w:r>
      <w:r w:rsidR="00F769DD">
        <w:rPr>
          <w:lang w:val="en-US"/>
        </w:rPr>
        <w:t xml:space="preserve">years, 1.5 for patients aged 75 to </w:t>
      </w:r>
      <w:r w:rsidRPr="00AA53F4">
        <w:rPr>
          <w:lang w:val="en-US"/>
        </w:rPr>
        <w:t xml:space="preserve">79 </w:t>
      </w:r>
      <w:r w:rsidR="00F769DD">
        <w:rPr>
          <w:lang w:val="en-US"/>
        </w:rPr>
        <w:t xml:space="preserve">years, 2.7 for patients aged 80 to </w:t>
      </w:r>
      <w:r w:rsidRPr="00AA53F4">
        <w:rPr>
          <w:lang w:val="en-US"/>
        </w:rPr>
        <w:t xml:space="preserve">84 years and 1.0 for patients aged 85+. In patients aged </w:t>
      </w:r>
      <w:r w:rsidR="00503681">
        <w:rPr>
          <w:lang w:val="en-US"/>
        </w:rPr>
        <w:t xml:space="preserve">≥ </w:t>
      </w:r>
      <w:r w:rsidRPr="00AA53F4">
        <w:rPr>
          <w:lang w:val="en-US"/>
        </w:rPr>
        <w:t xml:space="preserve">20 years to &lt; 65 year, the highest age specific incidence rate was in patients aged </w:t>
      </w:r>
      <w:r w:rsidR="001D0208">
        <w:rPr>
          <w:lang w:val="en-US"/>
        </w:rPr>
        <w:t>50 to 54</w:t>
      </w:r>
      <w:r w:rsidRPr="00AA53F4">
        <w:rPr>
          <w:lang w:val="en-US"/>
        </w:rPr>
        <w:t xml:space="preserve"> years (0.9/100,000 persons). In 2014, the crude mortality rate for ALL was 0.4/100,000 persons, with the highest rates being in patients aged </w:t>
      </w:r>
      <w:r w:rsidR="00503681">
        <w:rPr>
          <w:lang w:val="en-US"/>
        </w:rPr>
        <w:t xml:space="preserve">≥ </w:t>
      </w:r>
      <w:r w:rsidRPr="00AA53F4">
        <w:rPr>
          <w:lang w:val="en-US"/>
        </w:rPr>
        <w:t>55 years (0.5 to 1.8 per 100,000 persons). The mortality rates for both males and females declined in parallel from about 1980 to 2014. There were no Australian data based on the subtypes of ALL in the AIHW report.</w:t>
      </w:r>
    </w:p>
    <w:p w14:paraId="6C25EFAF" w14:textId="77777777" w:rsidR="004C4372" w:rsidRPr="00AA53F4" w:rsidRDefault="004C4372" w:rsidP="004C4372">
      <w:pPr>
        <w:pStyle w:val="Heading4"/>
        <w:rPr>
          <w:lang w:val="en-US"/>
        </w:rPr>
      </w:pPr>
      <w:r w:rsidRPr="00AA53F4">
        <w:rPr>
          <w:lang w:val="en-US"/>
        </w:rPr>
        <w:t>Inotuzumab ozogamicin</w:t>
      </w:r>
    </w:p>
    <w:p w14:paraId="0668EFDC" w14:textId="77777777" w:rsidR="004C4372" w:rsidRPr="00AA53F4" w:rsidRDefault="00F769DD" w:rsidP="004C4372">
      <w:r>
        <w:t xml:space="preserve">Inotuzumab ozogamicin is a CD22 targeted antibody </w:t>
      </w:r>
      <w:r w:rsidR="004C4372" w:rsidRPr="00AA53F4">
        <w:t>drug conjugate (ADC). The antibody, inotuzumab, is a humanised immunoglobulin G, subtype 4 (IgG4), which specifically recognises human CD22. The small molecule, N-acetyl (N-Ac)-γ-</w:t>
      </w:r>
      <w:proofErr w:type="spellStart"/>
      <w:r w:rsidR="004C4372" w:rsidRPr="00AA53F4">
        <w:t>calicheamicin</w:t>
      </w:r>
      <w:proofErr w:type="spellEnd"/>
      <w:r w:rsidR="004C4372" w:rsidRPr="00AA53F4">
        <w:t xml:space="preserve"> </w:t>
      </w:r>
      <w:proofErr w:type="spellStart"/>
      <w:r w:rsidR="004C4372" w:rsidRPr="00AA53F4">
        <w:t>dimethylhydrazide</w:t>
      </w:r>
      <w:proofErr w:type="spellEnd"/>
      <w:r w:rsidR="004C4372" w:rsidRPr="00AA53F4">
        <w:t xml:space="preserve"> (DMH), is a cytotoxic semisynthetic natural product that the sponsor states is significantly more potent than conventional cytotoxic chemotherapeutic agents. N-Ac-γ-calicheamicin DMH is covalently attached to the antibody via an acid-cleavable linker.</w:t>
      </w:r>
    </w:p>
    <w:p w14:paraId="02C671F7" w14:textId="0F5F6A18" w:rsidR="004C4372" w:rsidRPr="00F769DD" w:rsidRDefault="004C4372" w:rsidP="00F769DD">
      <w:pPr>
        <w:pStyle w:val="Heading4"/>
      </w:pPr>
      <w:r w:rsidRPr="00F769DD">
        <w:t xml:space="preserve">Australian </w:t>
      </w:r>
      <w:r w:rsidR="00F56DAD" w:rsidRPr="00F769DD">
        <w:t>regulatory status</w:t>
      </w:r>
    </w:p>
    <w:p w14:paraId="120EB633" w14:textId="77777777" w:rsidR="004C4372" w:rsidRPr="00F769DD" w:rsidRDefault="004C4372" w:rsidP="004C4372">
      <w:r w:rsidRPr="00AA53F4">
        <w:t xml:space="preserve">This is the first Australian application to </w:t>
      </w:r>
      <w:r w:rsidR="00F769DD">
        <w:t>register inotuzumab ozogamicin.</w:t>
      </w:r>
    </w:p>
    <w:p w14:paraId="59706F1C" w14:textId="77777777" w:rsidR="004C4372" w:rsidRPr="00AA53F4" w:rsidRDefault="004C4372" w:rsidP="004C4372">
      <w:pPr>
        <w:rPr>
          <w:rFonts w:asciiTheme="minorHAnsi" w:hAnsiTheme="minorHAnsi"/>
        </w:rPr>
      </w:pPr>
      <w:r w:rsidRPr="00AA53F4">
        <w:rPr>
          <w:rFonts w:asciiTheme="minorHAnsi" w:hAnsiTheme="minorHAnsi"/>
        </w:rPr>
        <w:t>Inotuzumab ozogamicin (</w:t>
      </w:r>
      <w:r w:rsidR="006779D9">
        <w:rPr>
          <w:rFonts w:asciiTheme="minorHAnsi" w:hAnsiTheme="minorHAnsi"/>
        </w:rPr>
        <w:t>Besponsa</w:t>
      </w:r>
      <w:r w:rsidRPr="00AA53F4">
        <w:rPr>
          <w:rFonts w:asciiTheme="minorHAnsi" w:hAnsiTheme="minorHAnsi"/>
        </w:rPr>
        <w:t xml:space="preserve">) was designated as an orphan drug by the Therapeutic Goods Administration (TGA), Delegate of the Secretary, on 9 January 2017. The indication was for the treatment of </w:t>
      </w:r>
      <w:r w:rsidR="006779D9">
        <w:rPr>
          <w:rFonts w:asciiTheme="minorHAnsi" w:hAnsiTheme="minorHAnsi"/>
        </w:rPr>
        <w:t>B cell</w:t>
      </w:r>
      <w:r w:rsidRPr="00AA53F4">
        <w:rPr>
          <w:rFonts w:asciiTheme="minorHAnsi" w:hAnsiTheme="minorHAnsi"/>
        </w:rPr>
        <w:t xml:space="preserve"> acute lymphoblastic leukaemia (ALL).</w:t>
      </w:r>
    </w:p>
    <w:p w14:paraId="496378F0" w14:textId="76D86A49" w:rsidR="004C4372" w:rsidRPr="00F769DD" w:rsidRDefault="00F769DD" w:rsidP="00F769DD">
      <w:pPr>
        <w:pStyle w:val="Heading4"/>
      </w:pPr>
      <w:r w:rsidRPr="00F769DD">
        <w:t xml:space="preserve">Overseas </w:t>
      </w:r>
      <w:r w:rsidR="00F56DAD" w:rsidRPr="00F769DD">
        <w:t>regulatory status</w:t>
      </w:r>
    </w:p>
    <w:p w14:paraId="08235B05" w14:textId="432F4358" w:rsidR="004C4372" w:rsidRPr="00AA53F4" w:rsidRDefault="004C4372" w:rsidP="004C4372">
      <w:r w:rsidRPr="00AA53F4">
        <w:t>At the time of writing this overview, Inotuzumab ozogamicin (Besponsa) was approved in the following overseas jurisdictions:</w:t>
      </w:r>
    </w:p>
    <w:p w14:paraId="4F677B66" w14:textId="77777777" w:rsidR="004C4372" w:rsidRPr="00AA53F4" w:rsidRDefault="004C4372" w:rsidP="004C4372">
      <w:pPr>
        <w:pStyle w:val="ListBullet"/>
      </w:pPr>
      <w:r w:rsidRPr="00AA53F4">
        <w:t>Europe, European Medicine Agency, approved 29 June 2017:</w:t>
      </w:r>
    </w:p>
    <w:p w14:paraId="4FF5D4D1" w14:textId="77777777" w:rsidR="004C4372" w:rsidRPr="00590138" w:rsidRDefault="00503681" w:rsidP="004C4372">
      <w:pPr>
        <w:pStyle w:val="ListBullet2"/>
        <w:rPr>
          <w:i/>
        </w:rPr>
      </w:pPr>
      <w:r>
        <w:rPr>
          <w:i/>
        </w:rPr>
        <w:t>‘</w:t>
      </w:r>
      <w:r w:rsidR="006779D9">
        <w:rPr>
          <w:i/>
        </w:rPr>
        <w:t>Besponsa</w:t>
      </w:r>
      <w:r w:rsidR="004C4372" w:rsidRPr="004C4372">
        <w:rPr>
          <w:i/>
        </w:rPr>
        <w:t xml:space="preserve"> is indicated as monotherapy for the treatment of adults with relapsed or refractory </w:t>
      </w:r>
      <w:r w:rsidR="005C4508">
        <w:rPr>
          <w:i/>
        </w:rPr>
        <w:t>CD22 positive</w:t>
      </w:r>
      <w:r w:rsidR="004C4372" w:rsidRPr="004C4372">
        <w:rPr>
          <w:i/>
        </w:rPr>
        <w:t xml:space="preserve"> B cell precursor acute lymphoblastic leukaemia (ALL). Adult patients with Philadelphia chromosome positive (</w:t>
      </w:r>
      <w:proofErr w:type="spellStart"/>
      <w:r w:rsidR="004C4372" w:rsidRPr="004C4372">
        <w:rPr>
          <w:i/>
        </w:rPr>
        <w:t>Ph</w:t>
      </w:r>
      <w:proofErr w:type="spellEnd"/>
      <w:r w:rsidR="004C4372" w:rsidRPr="004C4372">
        <w:rPr>
          <w:i/>
        </w:rPr>
        <w:t xml:space="preserve">+) relapsed or refractory B cell </w:t>
      </w:r>
      <w:r w:rsidR="004C4372" w:rsidRPr="00590138">
        <w:rPr>
          <w:i/>
        </w:rPr>
        <w:t>precursor ALL should have failed treatment with at least 1 tyrosine kinase inhibitor (TKI)</w:t>
      </w:r>
      <w:r w:rsidRPr="00590138">
        <w:rPr>
          <w:i/>
        </w:rPr>
        <w:t>’</w:t>
      </w:r>
      <w:r w:rsidR="004C4372" w:rsidRPr="00590138">
        <w:rPr>
          <w:i/>
        </w:rPr>
        <w:t>.</w:t>
      </w:r>
    </w:p>
    <w:p w14:paraId="24F22AD2" w14:textId="77777777" w:rsidR="004C4372" w:rsidRPr="00590138" w:rsidRDefault="004C4372" w:rsidP="004C4372">
      <w:pPr>
        <w:pStyle w:val="ListBullet"/>
      </w:pPr>
      <w:r w:rsidRPr="00590138">
        <w:t>United States of America, Food and Drug Administration (FDA), approved 17</w:t>
      </w:r>
      <w:r w:rsidR="00F769DD" w:rsidRPr="00590138">
        <w:t xml:space="preserve"> </w:t>
      </w:r>
      <w:r w:rsidRPr="00590138">
        <w:t>August 2017:</w:t>
      </w:r>
    </w:p>
    <w:p w14:paraId="6020F455" w14:textId="3AB1CB39" w:rsidR="000E1569" w:rsidRPr="00590138" w:rsidRDefault="00503681" w:rsidP="00DB0C51">
      <w:pPr>
        <w:pStyle w:val="ListBullet2"/>
      </w:pPr>
      <w:r w:rsidRPr="00590138">
        <w:rPr>
          <w:i/>
        </w:rPr>
        <w:t>‘</w:t>
      </w:r>
      <w:r w:rsidR="006779D9" w:rsidRPr="00590138">
        <w:rPr>
          <w:i/>
        </w:rPr>
        <w:t>Besponsa</w:t>
      </w:r>
      <w:r w:rsidR="004C4372" w:rsidRPr="00590138">
        <w:rPr>
          <w:i/>
        </w:rPr>
        <w:t xml:space="preserve"> is indicated for the treatment of adults with relapsed or refractory </w:t>
      </w:r>
      <w:r w:rsidR="006779D9" w:rsidRPr="00590138">
        <w:rPr>
          <w:i/>
        </w:rPr>
        <w:t>B cell</w:t>
      </w:r>
      <w:r w:rsidR="004C4372" w:rsidRPr="00590138">
        <w:rPr>
          <w:i/>
        </w:rPr>
        <w:t xml:space="preserve"> precursor acute lymphoblastic </w:t>
      </w:r>
      <w:proofErr w:type="spellStart"/>
      <w:r w:rsidR="004C4372" w:rsidRPr="00590138">
        <w:rPr>
          <w:i/>
        </w:rPr>
        <w:t>leukemia</w:t>
      </w:r>
      <w:proofErr w:type="spellEnd"/>
      <w:r w:rsidR="004C4372" w:rsidRPr="00590138">
        <w:rPr>
          <w:i/>
        </w:rPr>
        <w:t xml:space="preserve"> (ALL)</w:t>
      </w:r>
      <w:r w:rsidRPr="00590138">
        <w:rPr>
          <w:i/>
        </w:rPr>
        <w:t>’</w:t>
      </w:r>
      <w:r w:rsidR="004C4372" w:rsidRPr="00590138">
        <w:rPr>
          <w:i/>
        </w:rPr>
        <w:t>.</w:t>
      </w:r>
    </w:p>
    <w:p w14:paraId="6B4A4668" w14:textId="77777777" w:rsidR="004C4372" w:rsidRDefault="004C4372" w:rsidP="00F769DD">
      <w:r w:rsidRPr="00AA53F4">
        <w:t xml:space="preserve">The </w:t>
      </w:r>
      <w:r w:rsidR="00F769DD">
        <w:t>sponsor</w:t>
      </w:r>
      <w:r w:rsidRPr="00AA53F4">
        <w:t xml:space="preserve"> states that applications have been submitted to Canada, Switzerland, Singapore and New Zealand. On searching at the date of writing this overview, it was not clear if approvals have been granted in these jurisdictions.</w:t>
      </w:r>
    </w:p>
    <w:p w14:paraId="7CCEED9A" w14:textId="77777777" w:rsidR="008E7846" w:rsidRDefault="008E7846" w:rsidP="008E7846">
      <w:pPr>
        <w:pStyle w:val="Heading3"/>
      </w:pPr>
      <w:bookmarkStart w:id="159" w:name="_Toc314842511"/>
      <w:bookmarkStart w:id="160" w:name="_Toc16505613"/>
      <w:r>
        <w:lastRenderedPageBreak/>
        <w:t>Quality</w:t>
      </w:r>
      <w:bookmarkEnd w:id="157"/>
      <w:bookmarkEnd w:id="159"/>
      <w:bookmarkEnd w:id="160"/>
    </w:p>
    <w:p w14:paraId="297E2B93" w14:textId="77777777" w:rsidR="004C4372" w:rsidRPr="004C4372" w:rsidRDefault="004C4372" w:rsidP="004C4372">
      <w:r w:rsidRPr="00AA53F4">
        <w:t xml:space="preserve">There were no objections </w:t>
      </w:r>
      <w:r>
        <w:t xml:space="preserve">from the </w:t>
      </w:r>
      <w:r w:rsidR="00F769DD">
        <w:t>quality</w:t>
      </w:r>
      <w:r>
        <w:t xml:space="preserve"> evaluators</w:t>
      </w:r>
      <w:r w:rsidRPr="00AA53F4">
        <w:t xml:space="preserve"> to the approval of </w:t>
      </w:r>
      <w:r w:rsidR="006779D9">
        <w:t>Besponsa</w:t>
      </w:r>
      <w:r w:rsidRPr="00AA53F4">
        <w:t xml:space="preserve"> inotuzumab ozogamicin 1 mg powder for injection vial. Good Manufacturing Practice (GMP) clearance was confirmed by the TGA Manufacturing Quality Branch</w:t>
      </w:r>
      <w:r>
        <w:t xml:space="preserve"> on the 23</w:t>
      </w:r>
      <w:r w:rsidR="00F769DD">
        <w:t xml:space="preserve"> February </w:t>
      </w:r>
      <w:r w:rsidRPr="00AA53F4">
        <w:t>2018.</w:t>
      </w:r>
    </w:p>
    <w:p w14:paraId="685A7F57" w14:textId="46873221" w:rsidR="004C4372" w:rsidRPr="00AA53F4" w:rsidRDefault="004C4372" w:rsidP="004C4372">
      <w:r w:rsidRPr="00AA53F4">
        <w:t>The following recommendations regarding shelf life</w:t>
      </w:r>
      <w:r w:rsidR="00545E81">
        <w:t xml:space="preserve"> of the drug product</w:t>
      </w:r>
      <w:r w:rsidRPr="00AA53F4">
        <w:t xml:space="preserve"> were agreed:</w:t>
      </w:r>
    </w:p>
    <w:p w14:paraId="716C2B77" w14:textId="2335F87E" w:rsidR="00545E81" w:rsidRPr="00AA53F4" w:rsidRDefault="00F769DD" w:rsidP="00545E81">
      <w:pPr>
        <w:pStyle w:val="ListBullet"/>
      </w:pPr>
      <w:r w:rsidRPr="00545E81">
        <w:t>24 months when stored at 2°C to</w:t>
      </w:r>
      <w:r w:rsidR="004C4372" w:rsidRPr="00545E81">
        <w:t xml:space="preserve"> 8°C. Protect from </w:t>
      </w:r>
      <w:proofErr w:type="spellStart"/>
      <w:r w:rsidR="004C4372" w:rsidRPr="00545E81">
        <w:t>light</w:t>
      </w:r>
      <w:r w:rsidR="00545E81" w:rsidRPr="00EA311F">
        <w:t>.</w:t>
      </w:r>
      <w:r w:rsidR="004C4372" w:rsidRPr="00AA53F4">
        <w:t>Use</w:t>
      </w:r>
      <w:proofErr w:type="spellEnd"/>
      <w:r w:rsidR="004C4372" w:rsidRPr="00AA53F4">
        <w:t xml:space="preserve"> reconstituted solution immediately</w:t>
      </w:r>
      <w:r>
        <w:t xml:space="preserve"> or after being refrigerated (2 to </w:t>
      </w:r>
      <w:r w:rsidR="004C4372" w:rsidRPr="00AA53F4">
        <w:t>8°C) for up to 4 hours. Protect from light. Do not freeze</w:t>
      </w:r>
      <w:r w:rsidR="00545E81">
        <w:t>.</w:t>
      </w:r>
    </w:p>
    <w:p w14:paraId="6308BAC2" w14:textId="77777777" w:rsidR="004C4372" w:rsidRPr="00AA53F4" w:rsidRDefault="004C4372" w:rsidP="00545E81">
      <w:pPr>
        <w:pStyle w:val="ListBullet"/>
      </w:pPr>
      <w:r w:rsidRPr="00AA53F4">
        <w:t>No temperature excursion during shipping is permitted.</w:t>
      </w:r>
    </w:p>
    <w:p w14:paraId="60F17D6A" w14:textId="77777777" w:rsidR="004C4372" w:rsidRPr="00AA53F4" w:rsidRDefault="004C4372" w:rsidP="004C4372">
      <w:r w:rsidRPr="00AA53F4">
        <w:t>The following conditions of registration were proposed:</w:t>
      </w:r>
    </w:p>
    <w:p w14:paraId="2B653CA7" w14:textId="77777777" w:rsidR="004C4372" w:rsidRPr="00AA53F4" w:rsidRDefault="004C4372" w:rsidP="00F769DD">
      <w:pPr>
        <w:pStyle w:val="Numberbullet0"/>
        <w:numPr>
          <w:ilvl w:val="0"/>
          <w:numId w:val="20"/>
        </w:numPr>
      </w:pPr>
      <w:r w:rsidRPr="00AA53F4">
        <w:t>Condition(s) of registration resulting from primary evaluation</w:t>
      </w:r>
    </w:p>
    <w:p w14:paraId="65D490C8" w14:textId="77777777" w:rsidR="004C4372" w:rsidRPr="00603BFA" w:rsidRDefault="004C4372" w:rsidP="009B3582">
      <w:pPr>
        <w:ind w:left="567"/>
      </w:pPr>
      <w:r w:rsidRPr="00603BFA">
        <w:t>Should reprocessing (</w:t>
      </w:r>
      <w:r w:rsidR="00503681" w:rsidRPr="00603BFA">
        <w:t>that is</w:t>
      </w:r>
      <w:r w:rsidRPr="00603BFA">
        <w:t xml:space="preserve"> VRF and final filtration) be required in the future, the sponsor must submit a Category 3 application on at least one batch of the drug product manufactured at full scale prior to implementation.</w:t>
      </w:r>
    </w:p>
    <w:p w14:paraId="26C338C0" w14:textId="77777777" w:rsidR="004C4372" w:rsidRPr="00AA53F4" w:rsidRDefault="004C4372" w:rsidP="004C4372">
      <w:pPr>
        <w:pStyle w:val="Numberbullet0"/>
      </w:pPr>
      <w:r w:rsidRPr="00AA53F4">
        <w:t>Batch release testing &amp; compliance with Certified Product Details (CPD)</w:t>
      </w:r>
    </w:p>
    <w:p w14:paraId="2A64ED67" w14:textId="77777777" w:rsidR="004C4372" w:rsidRPr="00AA53F4" w:rsidRDefault="004C4372" w:rsidP="009B3582">
      <w:pPr>
        <w:ind w:left="567"/>
      </w:pPr>
      <w:r w:rsidRPr="00AA53F4">
        <w:t xml:space="preserve">It is a condition of registration that all batches of </w:t>
      </w:r>
      <w:r w:rsidR="006779D9">
        <w:t>Besponsa</w:t>
      </w:r>
      <w:r w:rsidRPr="00AA53F4">
        <w:t xml:space="preserve"> inotuzumab ozogamicin imported into/manufactured in Australia must comply with the product details and specifications approved during evaluation and detailed in the Certified Product Details (CPD).</w:t>
      </w:r>
    </w:p>
    <w:p w14:paraId="7CF43F1D" w14:textId="77777777" w:rsidR="00730F8A" w:rsidRDefault="004C4372" w:rsidP="009B3582">
      <w:pPr>
        <w:ind w:left="567"/>
      </w:pPr>
      <w:r w:rsidRPr="00AA53F4">
        <w:t xml:space="preserve">It is a condition of registration that each batch of </w:t>
      </w:r>
      <w:r w:rsidR="006779D9">
        <w:t>Besponsa</w:t>
      </w:r>
      <w:r w:rsidRPr="00AA53F4">
        <w:t xml:space="preserve"> inotuzumab ozogamicin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w:t>
      </w:r>
    </w:p>
    <w:p w14:paraId="41262C4D" w14:textId="77777777" w:rsidR="008E7846" w:rsidRDefault="008E7846" w:rsidP="008E7846">
      <w:pPr>
        <w:pStyle w:val="Heading3"/>
      </w:pPr>
      <w:bookmarkStart w:id="161" w:name="_Toc314842512"/>
      <w:bookmarkStart w:id="162" w:name="_Toc16505614"/>
      <w:r>
        <w:t>Nonclinical</w:t>
      </w:r>
      <w:bookmarkEnd w:id="161"/>
      <w:bookmarkEnd w:id="162"/>
    </w:p>
    <w:p w14:paraId="707E6E0C" w14:textId="77777777" w:rsidR="004C4372" w:rsidRPr="004C4372" w:rsidRDefault="004C4372">
      <w:r w:rsidRPr="00FC7899">
        <w:t xml:space="preserve">There were no objections to approval of </w:t>
      </w:r>
      <w:r w:rsidRPr="00AA53F4">
        <w:t>inotuzumab ozogamicin (</w:t>
      </w:r>
      <w:r w:rsidR="006779D9">
        <w:t>Besponsa</w:t>
      </w:r>
      <w:r w:rsidRPr="00AA53F4">
        <w:t xml:space="preserve">) from the </w:t>
      </w:r>
      <w:r w:rsidR="00F769DD">
        <w:t>nonclinical</w:t>
      </w:r>
      <w:r w:rsidRPr="00AA53F4">
        <w:t xml:space="preserve"> evaluators. The report concludes that the nonclinical pharmacology and toxicology data are adequate to support the approval of inotuzumab ozogamicin for the proposed indication.</w:t>
      </w:r>
    </w:p>
    <w:p w14:paraId="3D50A7AA" w14:textId="77777777" w:rsidR="004C4372" w:rsidRPr="00AA53F4" w:rsidRDefault="004C4372" w:rsidP="004C4372">
      <w:r w:rsidRPr="00AA53F4">
        <w:t xml:space="preserve">The </w:t>
      </w:r>
      <w:r w:rsidR="00F769DD">
        <w:t>nonclinical</w:t>
      </w:r>
      <w:r w:rsidRPr="00AA53F4">
        <w:t xml:space="preserve"> evaluator notes the following:</w:t>
      </w:r>
    </w:p>
    <w:p w14:paraId="5A3CEE69" w14:textId="77777777" w:rsidR="00503681" w:rsidRDefault="004C4372" w:rsidP="004C4372">
      <w:pPr>
        <w:pStyle w:val="ListBullet"/>
      </w:pPr>
      <w:r w:rsidRPr="00AA53F4">
        <w:rPr>
          <w:kern w:val="2"/>
        </w:rPr>
        <w:t xml:space="preserve">There were no major deficiencies in </w:t>
      </w:r>
      <w:r w:rsidR="00F769DD">
        <w:rPr>
          <w:kern w:val="2"/>
        </w:rPr>
        <w:t>the nonclinical module</w:t>
      </w:r>
      <w:r w:rsidRPr="00AA53F4">
        <w:rPr>
          <w:kern w:val="2"/>
        </w:rPr>
        <w:t xml:space="preserve">. However, owing to a lack of cross-species </w:t>
      </w:r>
      <w:r w:rsidRPr="004C4372">
        <w:t>specificity, the nonclinical species are only able to provide information on non-target mediated effects of the ADC</w:t>
      </w:r>
      <w:r w:rsidR="00503681">
        <w:t>.</w:t>
      </w:r>
    </w:p>
    <w:p w14:paraId="6E932130" w14:textId="77777777" w:rsidR="004C4372" w:rsidRPr="00AA53F4" w:rsidRDefault="004C4372" w:rsidP="004C4372">
      <w:pPr>
        <w:pStyle w:val="ListBullet"/>
        <w:rPr>
          <w:kern w:val="2"/>
        </w:rPr>
      </w:pPr>
      <w:r w:rsidRPr="00AA53F4">
        <w:rPr>
          <w:kern w:val="2"/>
        </w:rPr>
        <w:t xml:space="preserve">The primary pharmacology studies provide evidence supporting the proposed mechanism of action and potential efficacy in the treatment of human </w:t>
      </w:r>
      <w:r w:rsidR="006779D9">
        <w:rPr>
          <w:kern w:val="2"/>
        </w:rPr>
        <w:t>B cell</w:t>
      </w:r>
      <w:r w:rsidRPr="00AA53F4">
        <w:rPr>
          <w:kern w:val="2"/>
        </w:rPr>
        <w:t xml:space="preserve"> malignancies.</w:t>
      </w:r>
    </w:p>
    <w:p w14:paraId="1D6D0F9F" w14:textId="77777777" w:rsidR="00503681" w:rsidRDefault="004C4372" w:rsidP="004C4372">
      <w:pPr>
        <w:pStyle w:val="ListBullet"/>
      </w:pPr>
      <w:r w:rsidRPr="00AA53F4">
        <w:rPr>
          <w:kern w:val="2"/>
        </w:rPr>
        <w:t>No clinically relevant hazards were identified in the safety pharmacology studies.</w:t>
      </w:r>
      <w:r w:rsidRPr="00AA53F4">
        <w:t xml:space="preserve"> In tissue cross-reactivity studies inotuzumab unexpectedly stained the stromal fibres in the dermis of the skin, mammary gland, and uterine cervix of humans. The clinical significance of this is uncertain, but it may indicate the potential for additional off target toxicity in these tissues</w:t>
      </w:r>
      <w:r w:rsidR="00503681">
        <w:t>.</w:t>
      </w:r>
    </w:p>
    <w:p w14:paraId="7BFD10DD" w14:textId="77777777" w:rsidR="004C4372" w:rsidRPr="00AA53F4" w:rsidRDefault="004C4372" w:rsidP="004C4372">
      <w:pPr>
        <w:pStyle w:val="ListBullet"/>
      </w:pPr>
      <w:r w:rsidRPr="00AA53F4">
        <w:t xml:space="preserve">Important toxicities included hepatic endothelial injury (likely to represent early stages of hepatic VOD), hepatic neoplasia and pre-neoplasia, thrombocytopenia (secondary to hepatic endothelial toxicity), </w:t>
      </w:r>
      <w:r w:rsidRPr="00AA53F4">
        <w:rPr>
          <w:rFonts w:eastAsiaTheme="minorHAnsi"/>
        </w:rPr>
        <w:t xml:space="preserve">irreversible peripheral and central axonal </w:t>
      </w:r>
      <w:r w:rsidRPr="00AA53F4">
        <w:rPr>
          <w:rFonts w:eastAsiaTheme="minorHAnsi"/>
        </w:rPr>
        <w:lastRenderedPageBreak/>
        <w:t>degeneration and toxicity to</w:t>
      </w:r>
      <w:r w:rsidRPr="00AA53F4">
        <w:t xml:space="preserve"> </w:t>
      </w:r>
      <w:proofErr w:type="spellStart"/>
      <w:r w:rsidRPr="00AA53F4">
        <w:rPr>
          <w:kern w:val="2"/>
        </w:rPr>
        <w:t>haematolymphopoietic</w:t>
      </w:r>
      <w:proofErr w:type="spellEnd"/>
      <w:r w:rsidRPr="00AA53F4">
        <w:t>, male and female reproductive and renal tissues. These effects are all considered to be of clinical significance.</w:t>
      </w:r>
    </w:p>
    <w:p w14:paraId="367CE0C7" w14:textId="77777777" w:rsidR="004C4372" w:rsidRPr="00AA53F4" w:rsidRDefault="004C4372" w:rsidP="004C4372">
      <w:pPr>
        <w:pStyle w:val="ListBullet"/>
        <w:rPr>
          <w:kern w:val="2"/>
        </w:rPr>
      </w:pPr>
      <w:r w:rsidRPr="00AA53F4">
        <w:rPr>
          <w:kern w:val="2"/>
        </w:rPr>
        <w:t>Inotuzumab ozogamicin and</w:t>
      </w:r>
      <w:r w:rsidR="00834914">
        <w:rPr>
          <w:kern w:val="2"/>
        </w:rPr>
        <w:t>/or</w:t>
      </w:r>
      <w:r w:rsidRPr="00AA53F4">
        <w:rPr>
          <w:kern w:val="2"/>
        </w:rPr>
        <w:t xml:space="preserve"> its DNA-reactive cytotoxic component are mutagenic and clastogenic, and may pose a carcinogenic hazard.</w:t>
      </w:r>
    </w:p>
    <w:p w14:paraId="6FC7FABF" w14:textId="77777777" w:rsidR="00503681" w:rsidRDefault="004C4372" w:rsidP="004C4372">
      <w:pPr>
        <w:pStyle w:val="ListBullet"/>
        <w:rPr>
          <w:kern w:val="2"/>
        </w:rPr>
      </w:pPr>
      <w:r w:rsidRPr="00AA53F4">
        <w:rPr>
          <w:kern w:val="2"/>
        </w:rPr>
        <w:t>Inotuzumab ozo</w:t>
      </w:r>
      <w:r w:rsidR="00F769DD">
        <w:rPr>
          <w:kern w:val="2"/>
        </w:rPr>
        <w:t>gamicin is stated as pregnancy C</w:t>
      </w:r>
      <w:r w:rsidRPr="00AA53F4">
        <w:rPr>
          <w:kern w:val="2"/>
        </w:rPr>
        <w:t>ategory D</w:t>
      </w:r>
      <w:r w:rsidR="00503681">
        <w:rPr>
          <w:kern w:val="2"/>
        </w:rPr>
        <w:t>.</w:t>
      </w:r>
    </w:p>
    <w:p w14:paraId="65EB6406" w14:textId="77777777" w:rsidR="004C4372" w:rsidRPr="004C4372" w:rsidRDefault="004C4372" w:rsidP="004C4372">
      <w:r w:rsidRPr="004C4372">
        <w:t xml:space="preserve">The </w:t>
      </w:r>
      <w:r w:rsidR="00F769DD">
        <w:t xml:space="preserve">nonclinical </w:t>
      </w:r>
      <w:r w:rsidRPr="004C4372">
        <w:t xml:space="preserve">report contained a number of recommended PI changes which were accepted or justified through the </w:t>
      </w:r>
      <w:r w:rsidR="00F769DD">
        <w:t>sponsor</w:t>
      </w:r>
      <w:r w:rsidRPr="004C4372">
        <w:t xml:space="preserve">’s </w:t>
      </w:r>
      <w:r w:rsidR="00F769DD">
        <w:t>r</w:t>
      </w:r>
      <w:r w:rsidRPr="004C4372">
        <w:t>esponse and PI amendments.</w:t>
      </w:r>
    </w:p>
    <w:p w14:paraId="12693717" w14:textId="77777777" w:rsidR="008E7846" w:rsidRDefault="008E7846" w:rsidP="008E7846">
      <w:pPr>
        <w:pStyle w:val="Heading3"/>
      </w:pPr>
      <w:bookmarkStart w:id="163" w:name="_Toc247691530"/>
      <w:bookmarkStart w:id="164" w:name="_Toc314842513"/>
      <w:bookmarkStart w:id="165" w:name="_Toc16505615"/>
      <w:r>
        <w:t>Clinical</w:t>
      </w:r>
      <w:bookmarkEnd w:id="163"/>
      <w:bookmarkEnd w:id="164"/>
      <w:bookmarkEnd w:id="165"/>
    </w:p>
    <w:p w14:paraId="697318F6" w14:textId="2E6F392D" w:rsidR="004C4372" w:rsidRPr="004C4372" w:rsidRDefault="004C4372" w:rsidP="004C4372">
      <w:bookmarkStart w:id="166" w:name="_Toc314842514"/>
      <w:r w:rsidRPr="004C4372">
        <w:t>The clinical dossier included 11 clini</w:t>
      </w:r>
      <w:r w:rsidR="00F769DD">
        <w:t>cal trials including a pivotal Phase III</w:t>
      </w:r>
      <w:r w:rsidRPr="004C4372">
        <w:t xml:space="preserve"> study in patients with ALL (</w:t>
      </w:r>
      <w:r w:rsidR="00503681">
        <w:t>Study</w:t>
      </w:r>
      <w:r w:rsidR="00F769DD">
        <w:t xml:space="preserve"> B1931022), 1 supportive P</w:t>
      </w:r>
      <w:r w:rsidRPr="004C4372">
        <w:t>hase</w:t>
      </w:r>
      <w:r w:rsidR="007C2763">
        <w:t xml:space="preserve"> </w:t>
      </w:r>
      <w:r w:rsidR="00F769DD">
        <w:t>I/II</w:t>
      </w:r>
      <w:r w:rsidRPr="004C4372">
        <w:t xml:space="preserve"> study in patients with ALL (</w:t>
      </w:r>
      <w:r w:rsidR="00F769DD">
        <w:t>Study </w:t>
      </w:r>
      <w:r w:rsidRPr="004C4372">
        <w:t>B1931010) and 9 studies in patients with on-Hodgkin’s lymphoma (NHL). In addition to this, the following was provided:</w:t>
      </w:r>
    </w:p>
    <w:p w14:paraId="7F918AA0" w14:textId="77777777" w:rsidR="004C4372" w:rsidRPr="004C4372" w:rsidRDefault="004C4372" w:rsidP="004C4372">
      <w:pPr>
        <w:pStyle w:val="ListBullet"/>
      </w:pPr>
      <w:r w:rsidRPr="004C4372">
        <w:t>1 population pharmacokinetic (</w:t>
      </w:r>
      <w:proofErr w:type="spellStart"/>
      <w:r w:rsidRPr="004C4372">
        <w:t>popPK</w:t>
      </w:r>
      <w:proofErr w:type="spellEnd"/>
      <w:r w:rsidRPr="004C4372">
        <w:t>) report for ALL and NHL and a supplement to this report.</w:t>
      </w:r>
    </w:p>
    <w:p w14:paraId="0D802699" w14:textId="77777777" w:rsidR="00503681" w:rsidRDefault="004C4372" w:rsidP="004C4372">
      <w:pPr>
        <w:pStyle w:val="ListBullet"/>
      </w:pPr>
      <w:r w:rsidRPr="004C4372">
        <w:t xml:space="preserve">6 PD and PK/D studies providing concentration </w:t>
      </w:r>
      <w:proofErr w:type="spellStart"/>
      <w:r w:rsidRPr="004C4372">
        <w:t>QTc</w:t>
      </w:r>
      <w:proofErr w:type="spellEnd"/>
      <w:r w:rsidRPr="004C4372">
        <w:t xml:space="preserve"> analysis in patients with NHL, PK/PD analyses of QT intervals in patients with ALL and NHL, PK/PD analyses of the effects of exposure on safety and efficacy, and </w:t>
      </w:r>
      <w:proofErr w:type="spellStart"/>
      <w:r w:rsidRPr="004C4372">
        <w:t>popPK</w:t>
      </w:r>
      <w:proofErr w:type="spellEnd"/>
      <w:r w:rsidRPr="004C4372">
        <w:t xml:space="preserve"> exposure-response efficacy modelling (OS and PFS) in patients with ALL</w:t>
      </w:r>
      <w:r w:rsidR="00503681">
        <w:t>.</w:t>
      </w:r>
    </w:p>
    <w:p w14:paraId="08556279" w14:textId="77777777" w:rsidR="00503681" w:rsidRDefault="004C4372" w:rsidP="004C4372">
      <w:pPr>
        <w:pStyle w:val="ListBullet"/>
      </w:pPr>
      <w:r w:rsidRPr="004C4372">
        <w:t>Safety data from investigator initiated studies (IIR)</w:t>
      </w:r>
      <w:r w:rsidR="00503681">
        <w:t>.</w:t>
      </w:r>
    </w:p>
    <w:p w14:paraId="4EAF79D9" w14:textId="77777777" w:rsidR="00503681" w:rsidRDefault="004C4372" w:rsidP="004C4372">
      <w:pPr>
        <w:pStyle w:val="ListBullet"/>
      </w:pPr>
      <w:r w:rsidRPr="004C4372">
        <w:t>Safety data from compassionate use (CU) programs</w:t>
      </w:r>
      <w:r w:rsidR="00503681">
        <w:t>.</w:t>
      </w:r>
    </w:p>
    <w:p w14:paraId="3CE25505" w14:textId="77777777" w:rsidR="00503681" w:rsidRDefault="004C4372" w:rsidP="004C4372">
      <w:pPr>
        <w:pStyle w:val="ListBullet"/>
      </w:pPr>
      <w:r w:rsidRPr="004C4372">
        <w:t xml:space="preserve">Integrated summary of clinical efficacy, cluster terms for analysis of safety, summary of clinical safety, </w:t>
      </w:r>
      <w:r w:rsidR="00503681">
        <w:t>Day 120</w:t>
      </w:r>
      <w:r w:rsidRPr="004C4372">
        <w:t xml:space="preserve"> safety update appendices 1 and 2</w:t>
      </w:r>
      <w:r w:rsidR="00503681">
        <w:t>.</w:t>
      </w:r>
    </w:p>
    <w:p w14:paraId="51E47CD4" w14:textId="77777777" w:rsidR="004C4372" w:rsidRPr="004C4372" w:rsidRDefault="004C4372" w:rsidP="004C4372">
      <w:pPr>
        <w:pStyle w:val="ListBullet"/>
      </w:pPr>
      <w:r w:rsidRPr="004C4372">
        <w:t xml:space="preserve">Of note, the data for the pivotal </w:t>
      </w:r>
      <w:r w:rsidR="001D0208">
        <w:t>Phase III</w:t>
      </w:r>
      <w:r w:rsidRPr="004C4372">
        <w:t xml:space="preserve"> study included an original Clinical Study Report (CSR), a supplementary CSR (</w:t>
      </w:r>
      <w:proofErr w:type="spellStart"/>
      <w:r w:rsidRPr="004C4372">
        <w:t>sCSR</w:t>
      </w:r>
      <w:proofErr w:type="spellEnd"/>
      <w:r w:rsidRPr="004C4372">
        <w:t xml:space="preserve">), a </w:t>
      </w:r>
      <w:r w:rsidR="00503681">
        <w:t>Day 120</w:t>
      </w:r>
      <w:r w:rsidRPr="004C4372">
        <w:t xml:space="preserve"> Safety Update, and an updated overall survival analysis with data as of the last subject last visit (LSLV) of 4 January 2017.</w:t>
      </w:r>
    </w:p>
    <w:p w14:paraId="4595ACF4" w14:textId="77777777" w:rsidR="004C4372" w:rsidRPr="00AA53F4" w:rsidRDefault="004C4372" w:rsidP="00F769DD">
      <w:r w:rsidRPr="00AA53F4">
        <w:t xml:space="preserve">Of note, </w:t>
      </w:r>
      <w:r w:rsidR="00503681">
        <w:t>Single agent</w:t>
      </w:r>
      <w:r w:rsidRPr="00AA53F4">
        <w:t xml:space="preserve"> inotuzumab ozogamicin was administered in both studies in patients with ALL and three studies in patients with NHL. Inotuzumab ozogamicin was administered in combination with other agents in the remaining studies in patients with NHL. This included combination with rituximab (5 studies) and rituximab with chemotherapy (2 studies).</w:t>
      </w:r>
    </w:p>
    <w:p w14:paraId="1A18E19D" w14:textId="77777777" w:rsidR="004C4372" w:rsidRPr="00AA53F4" w:rsidRDefault="004C4372" w:rsidP="00F769DD">
      <w:pPr>
        <w:pStyle w:val="Heading4"/>
      </w:pPr>
      <w:r w:rsidRPr="00AA53F4">
        <w:t>Formulation</w:t>
      </w:r>
    </w:p>
    <w:p w14:paraId="4793F6C3" w14:textId="688AB44A" w:rsidR="004C4372" w:rsidRPr="00AA53F4" w:rsidRDefault="004C4372" w:rsidP="004C4372">
      <w:r w:rsidRPr="00AA53F4">
        <w:rPr>
          <w:rFonts w:cs="‡'FCø◊«·"/>
          <w:color w:val="000000"/>
          <w:lang w:val="en-US"/>
        </w:rPr>
        <w:t xml:space="preserve">The analytical comparability study was stated to include product quality </w:t>
      </w:r>
      <w:proofErr w:type="gramStart"/>
      <w:r w:rsidR="00D553E1" w:rsidRPr="00AA53F4">
        <w:rPr>
          <w:rFonts w:cs="‡Ôø◊ÁÏ"/>
          <w:color w:val="000000"/>
          <w:lang w:val="en-US"/>
        </w:rPr>
        <w:t>In</w:t>
      </w:r>
      <w:proofErr w:type="gramEnd"/>
      <w:r w:rsidR="00D553E1" w:rsidRPr="00AA53F4">
        <w:rPr>
          <w:rFonts w:cs="‡Ôø◊ÁÏ"/>
          <w:color w:val="000000"/>
          <w:lang w:val="en-US"/>
        </w:rPr>
        <w:t xml:space="preserve"> the clinical studies in patients with ALL and NHL, vial strengths of 1, 3, and 4 mg/vial were used. The most commonly used strength was 4 mg/vial </w:t>
      </w:r>
      <w:r w:rsidR="00D553E1" w:rsidRPr="00AA53F4">
        <w:t>rather than the 1 mg/vial dosage strength intended for commercial use.</w:t>
      </w:r>
      <w:r w:rsidR="00D553E1" w:rsidRPr="00AA53F4">
        <w:rPr>
          <w:rFonts w:cs="‡Ôø◊ÁÏ"/>
          <w:color w:val="000000"/>
          <w:lang w:val="en-US"/>
        </w:rPr>
        <w:t xml:space="preserve"> No clinical bioequivalence studies were submitted comparing the three vial strengths used in the clinical program. However, such studies are not required as all strengths are administered by the IV route and, therefore, by definition are each 100% bioavailable. </w:t>
      </w:r>
      <w:r w:rsidR="00D553E1" w:rsidRPr="00AA53F4">
        <w:rPr>
          <w:rFonts w:cs="‡'FCø◊«·"/>
          <w:lang w:val="en-US"/>
        </w:rPr>
        <w:t xml:space="preserve">The sponsor reports that </w:t>
      </w:r>
      <w:r w:rsidR="00D553E1" w:rsidRPr="00AA53F4">
        <w:rPr>
          <w:rFonts w:cs="‡'FCø◊«·"/>
          <w:color w:val="000000"/>
          <w:lang w:val="en-US"/>
        </w:rPr>
        <w:t xml:space="preserve">an analytical study investigating comparability between the 1 mg/vial in a 20 mL vial and the 4 mg/vial in a 20 mL vial was </w:t>
      </w:r>
      <w:proofErr w:type="spellStart"/>
      <w:r w:rsidR="00D553E1" w:rsidRPr="00AA53F4">
        <w:rPr>
          <w:rFonts w:cs="‡'FCø◊«·"/>
          <w:color w:val="000000"/>
          <w:lang w:val="en-US"/>
        </w:rPr>
        <w:t>completed</w:t>
      </w:r>
      <w:r w:rsidRPr="00AA53F4">
        <w:rPr>
          <w:rFonts w:cs="‡'FCø◊«·"/>
          <w:color w:val="000000"/>
          <w:lang w:val="en-US"/>
        </w:rPr>
        <w:t>testing</w:t>
      </w:r>
      <w:proofErr w:type="spellEnd"/>
      <w:r w:rsidRPr="00AA53F4">
        <w:rPr>
          <w:rFonts w:cs="‡'FCø◊«·"/>
          <w:color w:val="000000"/>
          <w:lang w:val="en-US"/>
        </w:rPr>
        <w:t xml:space="preserve"> and</w:t>
      </w:r>
      <w:r w:rsidRPr="00AA53F4">
        <w:rPr>
          <w:rFonts w:cs="‡'FCø◊«·"/>
          <w:lang w:val="en-US"/>
        </w:rPr>
        <w:t xml:space="preserve"> </w:t>
      </w:r>
      <w:r w:rsidRPr="00AA53F4">
        <w:rPr>
          <w:rFonts w:cs="‡'FCø◊«·"/>
          <w:color w:val="000000"/>
          <w:lang w:val="en-US"/>
        </w:rPr>
        <w:t xml:space="preserve">additional </w:t>
      </w:r>
      <w:proofErr w:type="spellStart"/>
      <w:r w:rsidRPr="00AA53F4">
        <w:rPr>
          <w:rFonts w:cs="‡'FCø◊«·"/>
          <w:color w:val="000000"/>
          <w:lang w:val="en-US"/>
        </w:rPr>
        <w:t>characterisation</w:t>
      </w:r>
      <w:proofErr w:type="spellEnd"/>
      <w:r w:rsidRPr="00AA53F4">
        <w:rPr>
          <w:rFonts w:cs="‡'FCø◊«·"/>
          <w:color w:val="000000"/>
          <w:lang w:val="en-US"/>
        </w:rPr>
        <w:t xml:space="preserve"> tests to provide an assessment of the physicochemical properties and impurity profiles of the two vials. In addition to historical data comparison of product quality tests, inotuzumab ozogamicin batches were analysed side by side to directly compare the 1 mg/vial and 4 mg/vial dosage strengths. The sponsor reports that, overall, the results indicated that the 1 mg/vial and 4 mg/vial </w:t>
      </w:r>
      <w:r w:rsidRPr="00AA53F4">
        <w:rPr>
          <w:rFonts w:cs="‡'FCø◊«·"/>
          <w:color w:val="000000"/>
          <w:lang w:val="en-US"/>
        </w:rPr>
        <w:lastRenderedPageBreak/>
        <w:t>inotuzumab ozogamicin materials were comparable in structure (including primary structure, post-translational modifications, primary conjugation sites, and higher-order structure), biological activity, and purity. There were no objections raised by the non-clinical evaluators regarding this conclusion of comparability.</w:t>
      </w:r>
    </w:p>
    <w:p w14:paraId="126E6F8F" w14:textId="77777777" w:rsidR="00992F35" w:rsidRPr="00F769DD" w:rsidRDefault="00992F35" w:rsidP="00F769DD">
      <w:pPr>
        <w:pStyle w:val="Heading4"/>
      </w:pPr>
      <w:r w:rsidRPr="00F769DD">
        <w:t>Pharmacokinetics (PK)</w:t>
      </w:r>
    </w:p>
    <w:p w14:paraId="31BA76D3" w14:textId="77777777" w:rsidR="00992F35" w:rsidRPr="00AA53F4" w:rsidRDefault="00992F35" w:rsidP="00992F35">
      <w:r w:rsidRPr="00AA53F4">
        <w:t xml:space="preserve">The PK information for inotuzumab ozogamicin is derived from patients with </w:t>
      </w:r>
      <w:r w:rsidRPr="00AA53F4">
        <w:rPr>
          <w:rFonts w:cs="‡Ôø◊ÁÏ"/>
          <w:lang w:val="en-US"/>
        </w:rPr>
        <w:t>relapsed or refractory ALL (2 studies) or NHL (9 studies)</w:t>
      </w:r>
      <w:r w:rsidRPr="00AA53F4">
        <w:t>.</w:t>
      </w:r>
      <w:r w:rsidR="006779D9">
        <w:t xml:space="preserve"> </w:t>
      </w:r>
      <w:r w:rsidRPr="00AA53F4">
        <w:t xml:space="preserve">In </w:t>
      </w:r>
      <w:r w:rsidR="00F769DD">
        <w:t>addition to PK data from the 11 </w:t>
      </w:r>
      <w:r w:rsidRPr="00AA53F4">
        <w:t xml:space="preserve">individual clinical studies, pooled PK data were also available from an initial </w:t>
      </w:r>
      <w:proofErr w:type="spellStart"/>
      <w:r w:rsidRPr="00AA53F4">
        <w:t>popPK</w:t>
      </w:r>
      <w:proofErr w:type="spellEnd"/>
      <w:r w:rsidRPr="00AA53F4">
        <w:t xml:space="preserve"> analysis in 736 patients (ALL (n</w:t>
      </w:r>
      <w:r w:rsidR="0014606A">
        <w:t xml:space="preserve"> = </w:t>
      </w:r>
      <w:r w:rsidRPr="00AA53F4">
        <w:t>205), 2 studies; NHL (n</w:t>
      </w:r>
      <w:r w:rsidR="0014606A">
        <w:t xml:space="preserve"> = </w:t>
      </w:r>
      <w:r w:rsidRPr="00AA53F4">
        <w:t>531), 9 studies),</w:t>
      </w:r>
      <w:r>
        <w:t xml:space="preserve"> with 7911 PK observations for </w:t>
      </w:r>
      <w:r w:rsidRPr="00AA53F4">
        <w:t xml:space="preserve">inotuzumab ozogamicin and a supplemental </w:t>
      </w:r>
      <w:proofErr w:type="spellStart"/>
      <w:r w:rsidRPr="00AA53F4">
        <w:t>popPK</w:t>
      </w:r>
      <w:proofErr w:type="spellEnd"/>
      <w:r w:rsidRPr="00AA53F4">
        <w:t xml:space="preserve"> analysis including 29 additional patients with ALL. There were no PK data in healthy subjects. This is considered to be acceptable given that calicheamicin is a cytotoxic agent reported to cause DNA double strand-breaks.</w:t>
      </w:r>
    </w:p>
    <w:p w14:paraId="596D4721" w14:textId="77777777" w:rsidR="00992F35" w:rsidRPr="00992F35" w:rsidRDefault="00F769DD" w:rsidP="00992F35">
      <w:r>
        <w:t>A</w:t>
      </w:r>
      <w:r w:rsidR="00992F35" w:rsidRPr="00992F35">
        <w:t xml:space="preserve"> full evaluation and summary of the pharm</w:t>
      </w:r>
      <w:r>
        <w:t>ac</w:t>
      </w:r>
      <w:r w:rsidR="00992F35" w:rsidRPr="00992F35">
        <w:t xml:space="preserve">okinetic data, </w:t>
      </w:r>
      <w:r>
        <w:t>was provided in the</w:t>
      </w:r>
      <w:r w:rsidR="00992F35" w:rsidRPr="00992F35">
        <w:t xml:space="preserve"> clinical evaluation report. Key findings include the following:</w:t>
      </w:r>
    </w:p>
    <w:p w14:paraId="504EABF5" w14:textId="77777777" w:rsidR="00992F35" w:rsidRPr="00AA53F4" w:rsidRDefault="00992F35" w:rsidP="008A74BD">
      <w:pPr>
        <w:pStyle w:val="ListParagraph"/>
        <w:numPr>
          <w:ilvl w:val="0"/>
          <w:numId w:val="8"/>
        </w:numPr>
        <w:spacing w:before="0" w:after="0" w:line="240" w:lineRule="auto"/>
        <w:outlineLvl w:val="3"/>
        <w:rPr>
          <w:rFonts w:eastAsia="Cambria" w:cs="‡Ôø◊ÁÏ"/>
          <w:szCs w:val="22"/>
          <w:lang w:val="en-US" w:eastAsia="en-US"/>
        </w:rPr>
      </w:pPr>
      <w:r w:rsidRPr="00AA53F4">
        <w:rPr>
          <w:rFonts w:eastAsia="Cambria" w:cs="‡Ôø◊ÁÏ"/>
          <w:szCs w:val="22"/>
          <w:lang w:val="en-US" w:eastAsia="en-US"/>
        </w:rPr>
        <w:t>The PK parameters across the individual ALL and NHL studies showed moderate to high inter-individual and inter-subject variability (CER page 52).</w:t>
      </w:r>
    </w:p>
    <w:p w14:paraId="7527B037" w14:textId="77777777" w:rsidR="00992F35" w:rsidRPr="00AA53F4" w:rsidRDefault="00992F35" w:rsidP="00992F35">
      <w:pPr>
        <w:pStyle w:val="ListBullet2"/>
        <w:rPr>
          <w:lang w:val="en-US"/>
        </w:rPr>
      </w:pPr>
      <w:r w:rsidRPr="00AA53F4">
        <w:rPr>
          <w:lang w:val="en-US"/>
        </w:rPr>
        <w:t xml:space="preserve">The pooled data for the two ALL studies showed that inter-individual variability for </w:t>
      </w:r>
      <w:proofErr w:type="spellStart"/>
      <w:r w:rsidR="00F769DD" w:rsidRPr="00AA53F4">
        <w:rPr>
          <w:lang w:val="en-US"/>
        </w:rPr>
        <w:t>C</w:t>
      </w:r>
      <w:r w:rsidR="00F769DD" w:rsidRPr="00F769DD">
        <w:rPr>
          <w:vertAlign w:val="subscript"/>
          <w:lang w:val="en-US"/>
        </w:rPr>
        <w:t>max</w:t>
      </w:r>
      <w:proofErr w:type="spellEnd"/>
      <w:r w:rsidRPr="00AA53F4">
        <w:rPr>
          <w:lang w:val="en-US"/>
        </w:rPr>
        <w:t xml:space="preserve"> was greater following </w:t>
      </w:r>
      <w:r w:rsidR="00503681">
        <w:rPr>
          <w:lang w:val="en-US"/>
        </w:rPr>
        <w:t>single dose</w:t>
      </w:r>
      <w:r w:rsidRPr="00AA53F4">
        <w:rPr>
          <w:lang w:val="en-US"/>
        </w:rPr>
        <w:t xml:space="preserve"> (CV</w:t>
      </w:r>
      <w:r w:rsidR="0014606A">
        <w:rPr>
          <w:lang w:val="en-US"/>
        </w:rPr>
        <w:t xml:space="preserve"> = </w:t>
      </w:r>
      <w:r w:rsidRPr="00AA53F4">
        <w:rPr>
          <w:lang w:val="en-US"/>
        </w:rPr>
        <w:t>172%) compared to mu</w:t>
      </w:r>
      <w:r w:rsidR="00F769DD">
        <w:rPr>
          <w:lang w:val="en-US"/>
        </w:rPr>
        <w:t xml:space="preserve">ltiple </w:t>
      </w:r>
      <w:r w:rsidRPr="00AA53F4">
        <w:rPr>
          <w:lang w:val="en-US"/>
        </w:rPr>
        <w:t>dose (CV</w:t>
      </w:r>
      <w:r w:rsidR="0014606A">
        <w:rPr>
          <w:lang w:val="en-US"/>
        </w:rPr>
        <w:t xml:space="preserve"> = </w:t>
      </w:r>
      <w:r w:rsidRPr="00AA53F4">
        <w:rPr>
          <w:lang w:val="en-US"/>
        </w:rPr>
        <w:t>113%). Inter-subject variability (</w:t>
      </w:r>
      <w:proofErr w:type="gramStart"/>
      <w:r w:rsidRPr="00AA53F4">
        <w:rPr>
          <w:lang w:val="en-US"/>
        </w:rPr>
        <w:t>CV%</w:t>
      </w:r>
      <w:proofErr w:type="gramEnd"/>
      <w:r w:rsidRPr="00AA53F4">
        <w:rPr>
          <w:lang w:val="en-US"/>
        </w:rPr>
        <w:t xml:space="preserve">) </w:t>
      </w:r>
      <w:r w:rsidRPr="00AA53F4">
        <w:t xml:space="preserve">for </w:t>
      </w:r>
      <w:proofErr w:type="spellStart"/>
      <w:r w:rsidRPr="00AA53F4">
        <w:t>C</w:t>
      </w:r>
      <w:r w:rsidRPr="00AA53F4">
        <w:rPr>
          <w:vertAlign w:val="subscript"/>
        </w:rPr>
        <w:t>trough</w:t>
      </w:r>
      <w:proofErr w:type="spellEnd"/>
      <w:r w:rsidR="006779D9">
        <w:t xml:space="preserve"> </w:t>
      </w:r>
      <w:r w:rsidRPr="00AA53F4">
        <w:t xml:space="preserve">was 157% </w:t>
      </w:r>
      <w:r w:rsidR="00503681">
        <w:t>(single dose)</w:t>
      </w:r>
      <w:r w:rsidRPr="00AA53F4">
        <w:t xml:space="preserve"> </w:t>
      </w:r>
      <w:r w:rsidR="001D0208">
        <w:t xml:space="preserve">versus </w:t>
      </w:r>
      <w:r w:rsidRPr="00AA53F4">
        <w:t xml:space="preserve">101% </w:t>
      </w:r>
      <w:r w:rsidR="00503681">
        <w:t>(</w:t>
      </w:r>
      <w:r w:rsidRPr="00AA53F4">
        <w:t>multiple dose</w:t>
      </w:r>
      <w:r w:rsidR="00503681">
        <w:t>)</w:t>
      </w:r>
      <w:r w:rsidRPr="00AA53F4">
        <w:t>).</w:t>
      </w:r>
    </w:p>
    <w:p w14:paraId="0EA0227F" w14:textId="77777777" w:rsidR="00992F35" w:rsidRPr="00AA53F4" w:rsidRDefault="00992F35" w:rsidP="00992F35">
      <w:pPr>
        <w:pStyle w:val="ListBullet"/>
        <w:rPr>
          <w:b/>
        </w:rPr>
      </w:pPr>
      <w:r w:rsidRPr="00AA53F4">
        <w:t xml:space="preserve">In patients with ALL, investigation of the pharmacokinetics of the cytotoxic moiety of the ADC </w:t>
      </w:r>
      <w:r w:rsidRPr="00AA53F4">
        <w:rPr>
          <w:i/>
        </w:rPr>
        <w:t>in vivo</w:t>
      </w:r>
      <w:r w:rsidRPr="00AA53F4">
        <w:t xml:space="preserve"> was limited as the levels of unconjugated </w:t>
      </w:r>
      <w:proofErr w:type="spellStart"/>
      <w:r w:rsidRPr="00AA53F4">
        <w:t>calichaemicin</w:t>
      </w:r>
      <w:proofErr w:type="spellEnd"/>
      <w:r w:rsidRPr="00AA53F4">
        <w:t xml:space="preserve"> generally fell below the limit of quantitation for most samples. However, data was available from patients with relapsed or refractory NHL.</w:t>
      </w:r>
    </w:p>
    <w:p w14:paraId="305826FF" w14:textId="77777777" w:rsidR="00992F35" w:rsidRPr="00AA53F4" w:rsidRDefault="00992F35" w:rsidP="00992F35">
      <w:pPr>
        <w:pStyle w:val="ListBullet"/>
      </w:pPr>
      <w:r w:rsidRPr="00AA53F4">
        <w:rPr>
          <w:rFonts w:cstheme="majorHAnsi"/>
          <w:color w:val="000000"/>
          <w:lang w:val="en-US"/>
        </w:rPr>
        <w:t>T</w:t>
      </w:r>
      <w:r w:rsidR="00F769DD">
        <w:rPr>
          <w:rFonts w:cstheme="majorHAnsi"/>
          <w:color w:val="000000"/>
          <w:lang w:val="en-US"/>
        </w:rPr>
        <w:t>here were no single or multiple</w:t>
      </w:r>
      <w:r w:rsidRPr="00AA53F4">
        <w:rPr>
          <w:rFonts w:cstheme="majorHAnsi"/>
          <w:color w:val="000000"/>
          <w:lang w:val="en-US"/>
        </w:rPr>
        <w:t xml:space="preserve"> dose proportionality assessments in patients with ALL:</w:t>
      </w:r>
    </w:p>
    <w:p w14:paraId="40DCDBB4" w14:textId="77777777" w:rsidR="00992F35" w:rsidRPr="00AA53F4" w:rsidRDefault="00992F35" w:rsidP="00992F35">
      <w:pPr>
        <w:pStyle w:val="ListBullet2"/>
      </w:pPr>
      <w:r w:rsidRPr="00AA53F4">
        <w:rPr>
          <w:lang w:val="en-US"/>
        </w:rPr>
        <w:t xml:space="preserve">Based on data from NHL studies, </w:t>
      </w:r>
      <w:r w:rsidRPr="009B3582">
        <w:rPr>
          <w:lang w:val="en-US"/>
        </w:rPr>
        <w:t>post hoc</w:t>
      </w:r>
      <w:r w:rsidRPr="00AA53F4">
        <w:rPr>
          <w:lang w:val="en-US"/>
        </w:rPr>
        <w:t xml:space="preserve"> power models were applied to test dose proportionality for each component of inotuzumab ozogamicin.</w:t>
      </w:r>
    </w:p>
    <w:p w14:paraId="73E564C6" w14:textId="77777777" w:rsidR="00992F35" w:rsidRPr="00AA53F4" w:rsidRDefault="00992F35" w:rsidP="00992F35">
      <w:pPr>
        <w:pStyle w:val="ListBullet2"/>
      </w:pPr>
      <w:r w:rsidRPr="00AA53F4">
        <w:rPr>
          <w:lang w:val="en-US"/>
        </w:rPr>
        <w:t xml:space="preserve">Using </w:t>
      </w:r>
      <w:proofErr w:type="spellStart"/>
      <w:r w:rsidR="00F769DD" w:rsidRPr="00AA53F4">
        <w:rPr>
          <w:lang w:val="en-US"/>
        </w:rPr>
        <w:t>C</w:t>
      </w:r>
      <w:r w:rsidR="00F769DD" w:rsidRPr="00F769DD">
        <w:rPr>
          <w:vertAlign w:val="subscript"/>
          <w:lang w:val="en-US"/>
        </w:rPr>
        <w:t>max</w:t>
      </w:r>
      <w:proofErr w:type="spellEnd"/>
      <w:r w:rsidRPr="00AA53F4">
        <w:rPr>
          <w:lang w:val="en-US"/>
        </w:rPr>
        <w:t xml:space="preserve"> and </w:t>
      </w:r>
      <w:proofErr w:type="spellStart"/>
      <w:r w:rsidR="00F769DD" w:rsidRPr="00AA53F4">
        <w:rPr>
          <w:lang w:val="en-US"/>
        </w:rPr>
        <w:t>AUC</w:t>
      </w:r>
      <w:r w:rsidR="00F769DD" w:rsidRPr="00F769DD">
        <w:rPr>
          <w:vertAlign w:val="subscript"/>
          <w:lang w:val="en-US"/>
        </w:rPr>
        <w:t>inf</w:t>
      </w:r>
      <w:proofErr w:type="spellEnd"/>
      <w:r w:rsidRPr="00AA53F4">
        <w:rPr>
          <w:lang w:val="en-US"/>
        </w:rPr>
        <w:t xml:space="preserve"> data from single doses of inotuzumab ozogamicin administered in two NHL studies, the increase in </w:t>
      </w:r>
      <w:proofErr w:type="spellStart"/>
      <w:r w:rsidR="00F769DD" w:rsidRPr="00AA53F4">
        <w:rPr>
          <w:lang w:val="en-US"/>
        </w:rPr>
        <w:t>C</w:t>
      </w:r>
      <w:r w:rsidR="00F769DD" w:rsidRPr="00F769DD">
        <w:rPr>
          <w:vertAlign w:val="subscript"/>
          <w:lang w:val="en-US"/>
        </w:rPr>
        <w:t>max</w:t>
      </w:r>
      <w:proofErr w:type="spellEnd"/>
      <w:r w:rsidRPr="00AA53F4">
        <w:rPr>
          <w:lang w:val="en-US"/>
        </w:rPr>
        <w:t xml:space="preserve"> appeared to be less than dose proportional for inotuzumab ozogamicin, total calicheamicin and total antibody with increasing dose within the </w:t>
      </w:r>
      <w:r w:rsidR="00503681">
        <w:rPr>
          <w:lang w:val="en-US"/>
        </w:rPr>
        <w:t>single dose</w:t>
      </w:r>
      <w:r w:rsidRPr="00AA53F4">
        <w:rPr>
          <w:lang w:val="en-US"/>
        </w:rPr>
        <w:t xml:space="preserve"> range of 0.4 to 2.4 mg/</w:t>
      </w:r>
      <w:r w:rsidR="00F769DD" w:rsidRPr="00AA53F4">
        <w:rPr>
          <w:lang w:val="en-US"/>
        </w:rPr>
        <w:t>m</w:t>
      </w:r>
      <w:r w:rsidR="00F769DD" w:rsidRPr="00F769DD">
        <w:rPr>
          <w:vertAlign w:val="superscript"/>
          <w:lang w:val="en-US"/>
        </w:rPr>
        <w:t>2</w:t>
      </w:r>
      <w:r w:rsidRPr="00AA53F4">
        <w:rPr>
          <w:lang w:val="en-US"/>
        </w:rPr>
        <w:t xml:space="preserve">. The increase in </w:t>
      </w:r>
      <w:proofErr w:type="spellStart"/>
      <w:r w:rsidR="00F769DD" w:rsidRPr="00AA53F4">
        <w:rPr>
          <w:lang w:val="en-US"/>
        </w:rPr>
        <w:t>AUC</w:t>
      </w:r>
      <w:r w:rsidR="00F769DD" w:rsidRPr="00F769DD">
        <w:rPr>
          <w:vertAlign w:val="subscript"/>
          <w:lang w:val="en-US"/>
        </w:rPr>
        <w:t>inf</w:t>
      </w:r>
      <w:proofErr w:type="spellEnd"/>
      <w:r w:rsidRPr="00AA53F4">
        <w:rPr>
          <w:lang w:val="en-US"/>
        </w:rPr>
        <w:t xml:space="preserve"> appeared to more than dose proportional for total calicheamicin and total antibody over the </w:t>
      </w:r>
      <w:r w:rsidR="00503681">
        <w:rPr>
          <w:lang w:val="en-US"/>
        </w:rPr>
        <w:t>single dose</w:t>
      </w:r>
      <w:r w:rsidR="00F769DD">
        <w:rPr>
          <w:lang w:val="en-US"/>
        </w:rPr>
        <w:t>,</w:t>
      </w:r>
      <w:r w:rsidRPr="00AA53F4">
        <w:rPr>
          <w:lang w:val="en-US"/>
        </w:rPr>
        <w:t xml:space="preserve"> dose range of 0.4 to 2.4 mg/</w:t>
      </w:r>
      <w:r w:rsidR="00F769DD" w:rsidRPr="00AA53F4">
        <w:rPr>
          <w:lang w:val="en-US"/>
        </w:rPr>
        <w:t>m</w:t>
      </w:r>
      <w:r w:rsidR="00F769DD" w:rsidRPr="00F769DD">
        <w:rPr>
          <w:vertAlign w:val="superscript"/>
          <w:lang w:val="en-US"/>
        </w:rPr>
        <w:t>2</w:t>
      </w:r>
      <w:r w:rsidRPr="00AA53F4">
        <w:rPr>
          <w:lang w:val="en-US"/>
        </w:rPr>
        <w:t xml:space="preserve">, while dose ranging data for </w:t>
      </w:r>
      <w:proofErr w:type="spellStart"/>
      <w:r w:rsidR="00F769DD" w:rsidRPr="00AA53F4">
        <w:rPr>
          <w:lang w:val="en-US"/>
        </w:rPr>
        <w:t>AUC</w:t>
      </w:r>
      <w:r w:rsidR="00F769DD" w:rsidRPr="00F769DD">
        <w:rPr>
          <w:vertAlign w:val="subscript"/>
          <w:lang w:val="en-US"/>
        </w:rPr>
        <w:t>inf</w:t>
      </w:r>
      <w:proofErr w:type="spellEnd"/>
      <w:r w:rsidRPr="00AA53F4">
        <w:rPr>
          <w:lang w:val="en-US"/>
        </w:rPr>
        <w:t xml:space="preserve"> were not available for inotuzumab ozogamicin.</w:t>
      </w:r>
    </w:p>
    <w:p w14:paraId="4257FEB5" w14:textId="77777777" w:rsidR="00992F35" w:rsidRPr="00AA53F4" w:rsidRDefault="00992F35" w:rsidP="00992F35">
      <w:pPr>
        <w:pStyle w:val="ListBullet2"/>
      </w:pPr>
      <w:r w:rsidRPr="00AA53F4">
        <w:rPr>
          <w:lang w:val="en-US"/>
        </w:rPr>
        <w:t xml:space="preserve">Using </w:t>
      </w:r>
      <w:proofErr w:type="spellStart"/>
      <w:r w:rsidR="00F769DD" w:rsidRPr="00AA53F4">
        <w:rPr>
          <w:lang w:val="en-US"/>
        </w:rPr>
        <w:t>C</w:t>
      </w:r>
      <w:r w:rsidR="00F769DD" w:rsidRPr="00F769DD">
        <w:rPr>
          <w:vertAlign w:val="subscript"/>
          <w:lang w:val="en-US"/>
        </w:rPr>
        <w:t>max</w:t>
      </w:r>
      <w:proofErr w:type="spellEnd"/>
      <w:r w:rsidRPr="00AA53F4">
        <w:rPr>
          <w:lang w:val="en-US"/>
        </w:rPr>
        <w:t xml:space="preserve"> and </w:t>
      </w:r>
      <w:proofErr w:type="spellStart"/>
      <w:r w:rsidR="00F769DD" w:rsidRPr="00AA53F4">
        <w:rPr>
          <w:lang w:val="en-US"/>
        </w:rPr>
        <w:t>AUC</w:t>
      </w:r>
      <w:r w:rsidR="00F769DD" w:rsidRPr="00F769DD">
        <w:rPr>
          <w:vertAlign w:val="subscript"/>
          <w:lang w:val="en-US"/>
        </w:rPr>
        <w:t>tau</w:t>
      </w:r>
      <w:proofErr w:type="spellEnd"/>
      <w:r w:rsidRPr="00AA53F4">
        <w:rPr>
          <w:lang w:val="en-US"/>
        </w:rPr>
        <w:t xml:space="preserve"> from multiple dosing data in one NHL study, the increase in </w:t>
      </w:r>
      <w:proofErr w:type="spellStart"/>
      <w:r w:rsidR="00F769DD" w:rsidRPr="00AA53F4">
        <w:rPr>
          <w:lang w:val="en-US"/>
        </w:rPr>
        <w:t>C</w:t>
      </w:r>
      <w:r w:rsidR="00F769DD" w:rsidRPr="00F769DD">
        <w:rPr>
          <w:vertAlign w:val="subscript"/>
          <w:lang w:val="en-US"/>
        </w:rPr>
        <w:t>max</w:t>
      </w:r>
      <w:proofErr w:type="spellEnd"/>
      <w:r w:rsidRPr="00AA53F4">
        <w:rPr>
          <w:lang w:val="en-US"/>
        </w:rPr>
        <w:t xml:space="preserve"> appeared to be less than dose proportional for inotuzumab ozogamicin and total antibody, but appeared dose proportional for total calicheamicin within the dose range of 0.4 to 2.4 mg/</w:t>
      </w:r>
      <w:r w:rsidR="00F769DD" w:rsidRPr="00AA53F4">
        <w:rPr>
          <w:lang w:val="en-US"/>
        </w:rPr>
        <w:t>m</w:t>
      </w:r>
      <w:r w:rsidR="00F769DD" w:rsidRPr="00F769DD">
        <w:rPr>
          <w:vertAlign w:val="superscript"/>
          <w:lang w:val="en-US"/>
        </w:rPr>
        <w:t>2</w:t>
      </w:r>
      <w:r w:rsidRPr="00AA53F4">
        <w:rPr>
          <w:lang w:val="en-US"/>
        </w:rPr>
        <w:t xml:space="preserve"> </w:t>
      </w:r>
      <w:r w:rsidR="00503681">
        <w:rPr>
          <w:lang w:val="en-US"/>
        </w:rPr>
        <w:t>Q3W</w:t>
      </w:r>
      <w:r w:rsidRPr="00AA53F4">
        <w:rPr>
          <w:lang w:val="en-US"/>
        </w:rPr>
        <w:t>.</w:t>
      </w:r>
      <w:r w:rsidR="006779D9">
        <w:rPr>
          <w:lang w:val="en-US"/>
        </w:rPr>
        <w:t xml:space="preserve"> </w:t>
      </w:r>
      <w:r w:rsidRPr="00AA53F4">
        <w:rPr>
          <w:lang w:val="en-US"/>
        </w:rPr>
        <w:t xml:space="preserve">The increase in </w:t>
      </w:r>
      <w:proofErr w:type="spellStart"/>
      <w:r w:rsidR="00F769DD" w:rsidRPr="00AA53F4">
        <w:rPr>
          <w:lang w:val="en-US"/>
        </w:rPr>
        <w:t>AUC</w:t>
      </w:r>
      <w:r w:rsidR="00F769DD" w:rsidRPr="00F769DD">
        <w:rPr>
          <w:vertAlign w:val="subscript"/>
          <w:lang w:val="en-US"/>
        </w:rPr>
        <w:t>tau</w:t>
      </w:r>
      <w:proofErr w:type="spellEnd"/>
      <w:r w:rsidRPr="00AA53F4">
        <w:rPr>
          <w:lang w:val="en-US"/>
        </w:rPr>
        <w:t xml:space="preserve"> appeared to be greater than dose proportional for total antibody, but appeared to be dose proportional for total calicheamicin within the dose range of 0.4 to 2.4 mg/</w:t>
      </w:r>
      <w:r w:rsidR="00F769DD" w:rsidRPr="00AA53F4">
        <w:rPr>
          <w:lang w:val="en-US"/>
        </w:rPr>
        <w:t>m</w:t>
      </w:r>
      <w:r w:rsidR="00F769DD" w:rsidRPr="00F769DD">
        <w:rPr>
          <w:vertAlign w:val="superscript"/>
          <w:lang w:val="en-US"/>
        </w:rPr>
        <w:t>2</w:t>
      </w:r>
      <w:r w:rsidRPr="00AA53F4">
        <w:rPr>
          <w:lang w:val="en-US"/>
        </w:rPr>
        <w:t xml:space="preserve"> </w:t>
      </w:r>
      <w:r w:rsidR="00503681">
        <w:rPr>
          <w:lang w:val="en-US"/>
        </w:rPr>
        <w:t>Q3W</w:t>
      </w:r>
      <w:r w:rsidRPr="00AA53F4">
        <w:rPr>
          <w:lang w:val="en-US"/>
        </w:rPr>
        <w:t>.</w:t>
      </w:r>
    </w:p>
    <w:p w14:paraId="44D34C7B" w14:textId="77777777" w:rsidR="00992F35" w:rsidRPr="00AA53F4" w:rsidRDefault="00992F35" w:rsidP="00992F35">
      <w:pPr>
        <w:pStyle w:val="ListBullet"/>
        <w:rPr>
          <w:lang w:val="en-US"/>
        </w:rPr>
      </w:pPr>
      <w:r w:rsidRPr="00AA53F4">
        <w:rPr>
          <w:lang w:val="en-US"/>
        </w:rPr>
        <w:t xml:space="preserve">Steady-state exposure to </w:t>
      </w:r>
      <w:r w:rsidRPr="00AA53F4">
        <w:rPr>
          <w:color w:val="000000"/>
          <w:lang w:val="en-US"/>
        </w:rPr>
        <w:t xml:space="preserve">inotuzumab ozogamicin </w:t>
      </w:r>
      <w:r w:rsidRPr="00AA53F4">
        <w:rPr>
          <w:lang w:val="en-US"/>
        </w:rPr>
        <w:t xml:space="preserve">was achieved by Cycle 4 in patients with relapsed or refractory ALL. In </w:t>
      </w:r>
      <w:r w:rsidR="00503681">
        <w:rPr>
          <w:lang w:val="en-US"/>
        </w:rPr>
        <w:t>Study</w:t>
      </w:r>
      <w:r w:rsidRPr="00AA53F4">
        <w:rPr>
          <w:lang w:val="en-US"/>
        </w:rPr>
        <w:t xml:space="preserve"> B1931022, the mean (SD) observed at the end of the 1 hour infusion (</w:t>
      </w:r>
      <w:proofErr w:type="spellStart"/>
      <w:r w:rsidR="00F769DD" w:rsidRPr="00AA53F4">
        <w:rPr>
          <w:lang w:val="en-US"/>
        </w:rPr>
        <w:t>C</w:t>
      </w:r>
      <w:r w:rsidR="00F769DD" w:rsidRPr="00F769DD">
        <w:rPr>
          <w:vertAlign w:val="subscript"/>
          <w:lang w:val="en-US"/>
        </w:rPr>
        <w:t>max</w:t>
      </w:r>
      <w:proofErr w:type="spellEnd"/>
      <w:r w:rsidRPr="00AA53F4">
        <w:rPr>
          <w:lang w:val="en-US"/>
        </w:rPr>
        <w:t>) on Cycle 4 Day 1 was 308 (362) ng/mL, and pre-dose serum concentration (</w:t>
      </w:r>
      <w:proofErr w:type="spellStart"/>
      <w:r w:rsidRPr="00AA53F4">
        <w:rPr>
          <w:lang w:val="en-US"/>
        </w:rPr>
        <w:t>C</w:t>
      </w:r>
      <w:r w:rsidRPr="00AA53F4">
        <w:rPr>
          <w:vertAlign w:val="subscript"/>
          <w:lang w:val="en-US"/>
        </w:rPr>
        <w:t>trough</w:t>
      </w:r>
      <w:proofErr w:type="spellEnd"/>
      <w:r w:rsidRPr="00AA53F4">
        <w:rPr>
          <w:lang w:val="en-US"/>
        </w:rPr>
        <w:t xml:space="preserve">) was 57.9 (29.8) ng/mL on Cycle 4 Day 1. The inter-subject variability for the </w:t>
      </w:r>
      <w:proofErr w:type="spellStart"/>
      <w:r w:rsidR="00F769DD" w:rsidRPr="00AA53F4">
        <w:rPr>
          <w:lang w:val="en-US"/>
        </w:rPr>
        <w:t>C</w:t>
      </w:r>
      <w:r w:rsidR="00F769DD" w:rsidRPr="00F769DD">
        <w:rPr>
          <w:vertAlign w:val="subscript"/>
          <w:lang w:val="en-US"/>
        </w:rPr>
        <w:t>max</w:t>
      </w:r>
      <w:proofErr w:type="spellEnd"/>
      <w:r w:rsidR="006779D9">
        <w:rPr>
          <w:vertAlign w:val="subscript"/>
          <w:lang w:val="en-US"/>
        </w:rPr>
        <w:t xml:space="preserve"> </w:t>
      </w:r>
      <w:r w:rsidRPr="00AA53F4">
        <w:rPr>
          <w:lang w:val="en-US"/>
        </w:rPr>
        <w:t xml:space="preserve">was still high at steady state (Cycle 4, Day 1), with mean </w:t>
      </w:r>
      <w:r w:rsidRPr="00AA53F4">
        <w:rPr>
          <w:lang w:val="en-US"/>
        </w:rPr>
        <w:lastRenderedPageBreak/>
        <w:t xml:space="preserve">CV% of 118%. The mean (SD) simulated </w:t>
      </w:r>
      <w:proofErr w:type="spellStart"/>
      <w:r w:rsidR="00F769DD" w:rsidRPr="00AA53F4">
        <w:rPr>
          <w:lang w:val="en-US"/>
        </w:rPr>
        <w:t>AUC</w:t>
      </w:r>
      <w:r w:rsidR="00F769DD" w:rsidRPr="00F769DD">
        <w:rPr>
          <w:vertAlign w:val="subscript"/>
          <w:lang w:val="en-US"/>
        </w:rPr>
        <w:t>tau</w:t>
      </w:r>
      <w:proofErr w:type="spellEnd"/>
      <w:r w:rsidR="006779D9">
        <w:rPr>
          <w:lang w:val="en-US"/>
        </w:rPr>
        <w:t xml:space="preserve"> </w:t>
      </w:r>
      <w:r w:rsidRPr="00AA53F4">
        <w:rPr>
          <w:lang w:val="en-US"/>
        </w:rPr>
        <w:t xml:space="preserve">at steady state in Cycle 4 Day 1 was 29,500 (9430) </w:t>
      </w:r>
      <w:proofErr w:type="spellStart"/>
      <w:r w:rsidRPr="00AA53F4">
        <w:rPr>
          <w:lang w:val="en-US"/>
        </w:rPr>
        <w:t>ng·h</w:t>
      </w:r>
      <w:proofErr w:type="spellEnd"/>
      <w:r w:rsidRPr="00AA53F4">
        <w:rPr>
          <w:lang w:val="en-US"/>
        </w:rPr>
        <w:t xml:space="preserve">/mL, based on data from the supplemental </w:t>
      </w:r>
      <w:proofErr w:type="spellStart"/>
      <w:r w:rsidRPr="00AA53F4">
        <w:rPr>
          <w:lang w:val="en-US"/>
        </w:rPr>
        <w:t>popPK</w:t>
      </w:r>
      <w:proofErr w:type="spellEnd"/>
      <w:r w:rsidRPr="00AA53F4">
        <w:rPr>
          <w:lang w:val="en-US"/>
        </w:rPr>
        <w:t xml:space="preserve"> analysis for the two ALL </w:t>
      </w:r>
      <w:r w:rsidR="00617F88">
        <w:rPr>
          <w:lang w:val="en-US"/>
        </w:rPr>
        <w:t>Studies</w:t>
      </w:r>
      <w:r w:rsidRPr="00AA53F4">
        <w:rPr>
          <w:lang w:val="en-US"/>
        </w:rPr>
        <w:t xml:space="preserve"> B1931022 and B1931010.</w:t>
      </w:r>
    </w:p>
    <w:p w14:paraId="7929E5A5" w14:textId="77777777" w:rsidR="00992F35" w:rsidRPr="00AA53F4" w:rsidRDefault="00992F35" w:rsidP="00992F35">
      <w:pPr>
        <w:pStyle w:val="ListBullet"/>
        <w:rPr>
          <w:lang w:val="en-US"/>
        </w:rPr>
      </w:pPr>
      <w:r w:rsidRPr="00AA53F4">
        <w:rPr>
          <w:lang w:val="en-US"/>
        </w:rPr>
        <w:t>Unconjugated calicheamicin was highly bound to plasma proteins in humans (97.2%), with the geometric mean plasma unbound fraction (</w:t>
      </w:r>
      <w:proofErr w:type="spellStart"/>
      <w:r w:rsidRPr="00AA53F4">
        <w:rPr>
          <w:lang w:val="en-US"/>
        </w:rPr>
        <w:t>fu</w:t>
      </w:r>
      <w:proofErr w:type="spellEnd"/>
      <w:r w:rsidRPr="00AA53F4">
        <w:rPr>
          <w:lang w:val="en-US"/>
        </w:rPr>
        <w:t>) being 0.0279. Unconjugated calicheamicin demonstrated limited distribution into red blood cell, with a blood-to-plasma partition ratio of 0.71.</w:t>
      </w:r>
      <w:r w:rsidR="006779D9">
        <w:rPr>
          <w:lang w:val="en-US"/>
        </w:rPr>
        <w:t xml:space="preserve"> </w:t>
      </w:r>
      <w:r w:rsidRPr="00AA53F4">
        <w:rPr>
          <w:lang w:val="en-US"/>
        </w:rPr>
        <w:t>There was no assessment of protein binding for inotuzumab ozogamicin as such assessments are not applicable to therapeutic proteins.</w:t>
      </w:r>
    </w:p>
    <w:p w14:paraId="575BD869" w14:textId="77777777" w:rsidR="00503681" w:rsidRDefault="00992F35" w:rsidP="00992F35">
      <w:pPr>
        <w:pStyle w:val="ListBullet"/>
        <w:rPr>
          <w:color w:val="000000"/>
          <w:lang w:val="en-US"/>
        </w:rPr>
      </w:pPr>
      <w:r w:rsidRPr="00AA53F4">
        <w:rPr>
          <w:rFonts w:cs="‡?Ùø◊∑È"/>
          <w:color w:val="000000"/>
          <w:lang w:val="en-US"/>
        </w:rPr>
        <w:t>The primary metabolic pathway for inotuzumab ozogamicin was hydrolysis (at the</w:t>
      </w:r>
      <w:r w:rsidRPr="00AA53F4">
        <w:rPr>
          <w:rFonts w:cs="‡oˆø◊gÁ"/>
          <w:lang w:val="en-US"/>
        </w:rPr>
        <w:t xml:space="preserve"> </w:t>
      </w:r>
      <w:proofErr w:type="spellStart"/>
      <w:r w:rsidRPr="00AA53F4">
        <w:rPr>
          <w:rFonts w:cs="‡?Ùø◊∑È"/>
          <w:color w:val="000000"/>
          <w:lang w:val="en-US"/>
        </w:rPr>
        <w:t>hydrazone</w:t>
      </w:r>
      <w:proofErr w:type="spellEnd"/>
      <w:r w:rsidRPr="00AA53F4">
        <w:rPr>
          <w:rFonts w:cs="‡?Ùø◊∑È"/>
          <w:color w:val="000000"/>
          <w:lang w:val="en-US"/>
        </w:rPr>
        <w:t xml:space="preserve"> moiety) to release N-Ac-γ-calicheamicin DMH (</w:t>
      </w:r>
      <w:r w:rsidR="00503681">
        <w:rPr>
          <w:rFonts w:cs="‡?Ùø◊∑È"/>
          <w:color w:val="000000"/>
          <w:lang w:val="en-US"/>
        </w:rPr>
        <w:t>that is</w:t>
      </w:r>
      <w:r w:rsidRPr="00AA53F4">
        <w:rPr>
          <w:rFonts w:cs="‡?Ùø◊∑È"/>
          <w:color w:val="000000"/>
          <w:lang w:val="en-US"/>
        </w:rPr>
        <w:t xml:space="preserve">, unconjugated calicheamicin). </w:t>
      </w:r>
      <w:r w:rsidRPr="00AA53F4">
        <w:rPr>
          <w:rFonts w:cs="‡o˝ø◊g‡"/>
          <w:lang w:val="en-US"/>
        </w:rPr>
        <w:t xml:space="preserve">The primary metabolic pathway for unconjugated calicheamicin was via non-enzymatic reduction (at the disulfide moiety), with hydrolysis (at the hydrazide moiety), oxidation, and adduction (with pyruvic acid) being minor metabolic pathways. There were no metabolic studies of the </w:t>
      </w:r>
      <w:r w:rsidRPr="00AA53F4">
        <w:rPr>
          <w:color w:val="000000"/>
          <w:lang w:val="en-US"/>
        </w:rPr>
        <w:t>inotuzumab monoclonal antibody component of the drug, with clearance of monoclonal antibodies being primarily by catabolism with the resulting amino acids being recycled into other proteins</w:t>
      </w:r>
      <w:r w:rsidR="00503681">
        <w:rPr>
          <w:color w:val="000000"/>
          <w:lang w:val="en-US"/>
        </w:rPr>
        <w:t>.</w:t>
      </w:r>
    </w:p>
    <w:p w14:paraId="798A1C84" w14:textId="77777777" w:rsidR="00503681" w:rsidRDefault="00992F35" w:rsidP="00992F35">
      <w:pPr>
        <w:pStyle w:val="ListBullet"/>
        <w:rPr>
          <w:rFonts w:cs="Calibri"/>
          <w:bCs/>
        </w:rPr>
      </w:pPr>
      <w:r w:rsidRPr="00AA53F4">
        <w:rPr>
          <w:rFonts w:cs="Calibri"/>
          <w:bCs/>
        </w:rPr>
        <w:t>In patients with relapsed or refractory ALL, anti-drug antibodies (ADAs) at any time (pre- and post-dose) were observed in 7 of 236 patients (3.0%), including 1 (0.4%) patient who exhibited positive ADAs de novo following treatment with inotuzumab ozogamicin.</w:t>
      </w:r>
      <w:r w:rsidR="006779D9">
        <w:rPr>
          <w:rFonts w:cs="Calibri"/>
          <w:bCs/>
        </w:rPr>
        <w:t xml:space="preserve"> </w:t>
      </w:r>
      <w:r w:rsidRPr="00AA53F4">
        <w:rPr>
          <w:rFonts w:cs="Calibri"/>
          <w:bCs/>
        </w:rPr>
        <w:t>None of the 7 patients with ADAs tested positive for neutralising antibodies using a cell based assay</w:t>
      </w:r>
      <w:r w:rsidR="00503681">
        <w:rPr>
          <w:rFonts w:cs="Calibri"/>
          <w:bCs/>
        </w:rPr>
        <w:t>.</w:t>
      </w:r>
    </w:p>
    <w:p w14:paraId="4274F521" w14:textId="77777777" w:rsidR="00992F35" w:rsidRPr="00AA53F4" w:rsidRDefault="00992F35" w:rsidP="00992F35">
      <w:pPr>
        <w:pStyle w:val="ListBullet2"/>
      </w:pPr>
      <w:r w:rsidRPr="00AA53F4">
        <w:t>In patients with relapsed or refractory NHL, ADAs at any time (pre- and post-dose) were observed in 27 of 630 patients (4.29%), with no patients demonstrating only a positive post-dose ADA response. There were no data on neutralising antibodies in patients with NHL because the analytical method was not available at the time these studies were conducted.</w:t>
      </w:r>
    </w:p>
    <w:p w14:paraId="1BECD286" w14:textId="77777777" w:rsidR="00992F35" w:rsidRPr="00AA53F4" w:rsidRDefault="00992F35" w:rsidP="00992F35">
      <w:pPr>
        <w:pStyle w:val="ListBullet2"/>
      </w:pPr>
      <w:r w:rsidRPr="00AA53F4">
        <w:t xml:space="preserve">In patients with ALL, a post-hoc analysis showed that ADA status had no significant impact on the clearance of inotuzumab ozogamicin. No assessment of the impact of ADA status on efficacy was undertaken due to the limited number of ADA positive patients. An assessment of the effect on all-causality AEs in the 7 ADA positive ALL patients from </w:t>
      </w:r>
      <w:r w:rsidR="00503681">
        <w:t>Study</w:t>
      </w:r>
      <w:r w:rsidRPr="00AA53F4">
        <w:t xml:space="preserve"> B1931022 was undertaken. However, the number of ADA positive patients is too small to draw clinically meaningful conclusions relating to the impact on safety of ADAs</w:t>
      </w:r>
    </w:p>
    <w:p w14:paraId="675528DB" w14:textId="77777777" w:rsidR="00992F35" w:rsidRPr="00AA53F4" w:rsidRDefault="00992F35" w:rsidP="00992F35">
      <w:pPr>
        <w:pStyle w:val="Heading4"/>
      </w:pPr>
      <w:r w:rsidRPr="00AA53F4">
        <w:t>Population PK data (</w:t>
      </w:r>
      <w:proofErr w:type="spellStart"/>
      <w:r w:rsidRPr="00AA53F4">
        <w:t>popPK</w:t>
      </w:r>
      <w:proofErr w:type="spellEnd"/>
      <w:r w:rsidRPr="00AA53F4">
        <w:t>)</w:t>
      </w:r>
    </w:p>
    <w:p w14:paraId="490D5304" w14:textId="77777777" w:rsidR="00992F35" w:rsidRPr="00AA53F4" w:rsidRDefault="00992F35" w:rsidP="00992F35">
      <w:pPr>
        <w:rPr>
          <w:lang w:val="en-US"/>
        </w:rPr>
      </w:pPr>
      <w:r w:rsidRPr="00AA53F4">
        <w:rPr>
          <w:lang w:val="en-US"/>
        </w:rPr>
        <w:t xml:space="preserve">The clinical evaluator considered that the pharmacokinetics of inotuzumab ozogamicin were well characterised using a 2-compartment model with both linear clearance (time-independent) and time-dependent clearance in the </w:t>
      </w:r>
      <w:proofErr w:type="spellStart"/>
      <w:r w:rsidRPr="00AA53F4">
        <w:rPr>
          <w:lang w:val="en-US"/>
        </w:rPr>
        <w:t>popPK</w:t>
      </w:r>
      <w:proofErr w:type="spellEnd"/>
      <w:r w:rsidRPr="00AA53F4">
        <w:rPr>
          <w:lang w:val="en-US"/>
        </w:rPr>
        <w:t xml:space="preserve"> analysis. Of note:</w:t>
      </w:r>
    </w:p>
    <w:p w14:paraId="1F36AB27" w14:textId="77777777" w:rsidR="00992F35" w:rsidRPr="00AA53F4" w:rsidRDefault="00992F35" w:rsidP="00992F35">
      <w:pPr>
        <w:pStyle w:val="ListBullet"/>
        <w:rPr>
          <w:rFonts w:cs="‡Ôø◊ÁÏ"/>
          <w:lang w:val="en-US"/>
        </w:rPr>
      </w:pPr>
      <w:r w:rsidRPr="00AA53F4">
        <w:rPr>
          <w:lang w:val="en-US"/>
        </w:rPr>
        <w:t xml:space="preserve">Based on the </w:t>
      </w:r>
      <w:proofErr w:type="spellStart"/>
      <w:r w:rsidRPr="00AA53F4">
        <w:rPr>
          <w:lang w:val="en-US"/>
        </w:rPr>
        <w:t>popPK</w:t>
      </w:r>
      <w:proofErr w:type="spellEnd"/>
      <w:r w:rsidRPr="00AA53F4">
        <w:rPr>
          <w:lang w:val="en-US"/>
        </w:rPr>
        <w:t xml:space="preserve"> analysis, the total volume of distribution of </w:t>
      </w:r>
      <w:r w:rsidRPr="00AA53F4">
        <w:rPr>
          <w:rFonts w:cs="‡Ôø◊ÁÏ"/>
          <w:lang w:val="en-US"/>
        </w:rPr>
        <w:t>inotuzumab ozogamicin</w:t>
      </w:r>
      <w:r w:rsidR="006779D9">
        <w:rPr>
          <w:rFonts w:cs="‡Ôø◊ÁÏ"/>
          <w:lang w:val="en-US"/>
        </w:rPr>
        <w:t xml:space="preserve"> </w:t>
      </w:r>
      <w:r w:rsidRPr="00AA53F4">
        <w:rPr>
          <w:lang w:val="en-US"/>
        </w:rPr>
        <w:t xml:space="preserve">was approximately 12 L. This result indicates that </w:t>
      </w:r>
      <w:r w:rsidRPr="00AA53F4">
        <w:t>inotuzumab ozogamicin is not significantly distributed to the extravascular tissues.</w:t>
      </w:r>
    </w:p>
    <w:p w14:paraId="0F50C3D3" w14:textId="1405EA77" w:rsidR="00992F35" w:rsidRPr="00AA53F4" w:rsidRDefault="00992F35" w:rsidP="00992F35">
      <w:pPr>
        <w:pStyle w:val="ListBullet"/>
        <w:rPr>
          <w:rFonts w:cs="‡Ôø◊ÁÏ"/>
          <w:lang w:val="en-US"/>
        </w:rPr>
      </w:pPr>
      <w:r w:rsidRPr="00AA53F4">
        <w:rPr>
          <w:rFonts w:cs="‡Ôø◊ÁÏ"/>
          <w:lang w:val="en-US"/>
        </w:rPr>
        <w:t xml:space="preserve">The data demonstrated that the </w:t>
      </w:r>
      <w:proofErr w:type="spellStart"/>
      <w:r w:rsidR="007C2763">
        <w:rPr>
          <w:rFonts w:cs="‡Ôø◊ÁÏ"/>
          <w:lang w:val="en-US"/>
        </w:rPr>
        <w:t>t</w:t>
      </w:r>
      <w:r w:rsidRPr="00AA53F4">
        <w:rPr>
          <w:rFonts w:cs="‡Ôø◊ÁÏ"/>
          <w:lang w:val="en-US"/>
        </w:rPr>
        <w:t>imedependent</w:t>
      </w:r>
      <w:proofErr w:type="spellEnd"/>
      <w:r w:rsidRPr="00AA53F4">
        <w:rPr>
          <w:rFonts w:cs="‡Ôø◊ÁÏ"/>
          <w:lang w:val="en-US"/>
        </w:rPr>
        <w:t xml:space="preserve"> clearance predominates at the start of treatment, but its contribution to total clearance declines over time. At steady state (approximately Cycle 4), linear clearance predominates. Time-dependent clearance results in increased exposure being observed over the first 3 to 4 treatment cycles</w:t>
      </w:r>
      <w:r w:rsidR="006779D9">
        <w:rPr>
          <w:rFonts w:cs="‡Ôø◊ÁÏ"/>
          <w:lang w:val="en-US"/>
        </w:rPr>
        <w:t xml:space="preserve"> </w:t>
      </w:r>
      <w:r w:rsidRPr="00AA53F4">
        <w:rPr>
          <w:rFonts w:cs="‡Ôø◊ÁÏ"/>
          <w:lang w:val="en-US"/>
        </w:rPr>
        <w:t>(</w:t>
      </w:r>
      <w:r w:rsidR="00503681">
        <w:rPr>
          <w:rFonts w:cs="‡Ôø◊ÁÏ"/>
          <w:lang w:val="en-US"/>
        </w:rPr>
        <w:t>that is</w:t>
      </w:r>
      <w:r w:rsidRPr="00AA53F4">
        <w:rPr>
          <w:rFonts w:cs="‡Ôø◊ÁÏ"/>
          <w:lang w:val="en-US"/>
        </w:rPr>
        <w:t>, clearance decreases with time), with steady state exposure being achieved after 3 to 4 cycles (</w:t>
      </w:r>
      <w:r w:rsidR="00503681">
        <w:rPr>
          <w:rFonts w:cs="‡Ôø◊ÁÏ"/>
          <w:lang w:val="en-US"/>
        </w:rPr>
        <w:t>that is</w:t>
      </w:r>
      <w:r w:rsidRPr="00AA53F4">
        <w:rPr>
          <w:rFonts w:cs="‡Ôø◊ÁÏ"/>
          <w:lang w:val="en-US"/>
        </w:rPr>
        <w:t>, clearance becomes linear). The time</w:t>
      </w:r>
      <w:r w:rsidR="00603BFA">
        <w:rPr>
          <w:rFonts w:cs="‡Ôø◊ÁÏ"/>
          <w:lang w:val="en-US"/>
        </w:rPr>
        <w:t xml:space="preserve"> </w:t>
      </w:r>
      <w:r w:rsidRPr="00AA53F4">
        <w:rPr>
          <w:rFonts w:cs="‡Ôø◊ÁÏ"/>
          <w:lang w:val="en-US"/>
        </w:rPr>
        <w:t>dependent component of clearance for inotuzumab ozogamicin is consistent with target</w:t>
      </w:r>
      <w:r w:rsidR="00603BFA">
        <w:rPr>
          <w:rFonts w:cs="‡Ôø◊ÁÏ"/>
          <w:lang w:val="en-US"/>
        </w:rPr>
        <w:t xml:space="preserve"> </w:t>
      </w:r>
      <w:r w:rsidRPr="00AA53F4">
        <w:rPr>
          <w:rFonts w:cs="‡Ôø◊ÁÏ"/>
          <w:lang w:val="en-US"/>
        </w:rPr>
        <w:t xml:space="preserve">mediated drug </w:t>
      </w:r>
      <w:r w:rsidRPr="00AA53F4">
        <w:rPr>
          <w:rFonts w:cs="‡Ôø◊ÁÏ"/>
          <w:lang w:val="en-US"/>
        </w:rPr>
        <w:lastRenderedPageBreak/>
        <w:t>disposition, with clearance decreasing and exposure increasing as the available receptors become saturated over the first 3 to 4 treatment cycles.</w:t>
      </w:r>
    </w:p>
    <w:p w14:paraId="28752229" w14:textId="77777777" w:rsidR="00992F35" w:rsidRPr="00AA53F4" w:rsidRDefault="00992F35" w:rsidP="00992F35">
      <w:pPr>
        <w:pStyle w:val="ListBullet"/>
        <w:rPr>
          <w:lang w:val="en-US"/>
        </w:rPr>
      </w:pPr>
      <w:r w:rsidRPr="00AA53F4">
        <w:rPr>
          <w:lang w:val="en-US"/>
        </w:rPr>
        <w:t>After the first dose of 0.8 mg/</w:t>
      </w:r>
      <w:r w:rsidR="00F769DD" w:rsidRPr="00AA53F4">
        <w:rPr>
          <w:lang w:val="en-US"/>
        </w:rPr>
        <w:t>m</w:t>
      </w:r>
      <w:r w:rsidR="00F769DD" w:rsidRPr="00F769DD">
        <w:rPr>
          <w:vertAlign w:val="superscript"/>
          <w:lang w:val="en-US"/>
        </w:rPr>
        <w:t>2</w:t>
      </w:r>
      <w:r w:rsidRPr="00AA53F4">
        <w:rPr>
          <w:lang w:val="en-US"/>
        </w:rPr>
        <w:t xml:space="preserve"> on Day 1 in patients (n</w:t>
      </w:r>
      <w:r w:rsidR="0014606A">
        <w:rPr>
          <w:lang w:val="en-US"/>
        </w:rPr>
        <w:t xml:space="preserve"> = </w:t>
      </w:r>
      <w:r w:rsidRPr="00AA53F4">
        <w:rPr>
          <w:lang w:val="en-US"/>
        </w:rPr>
        <w:t>128) with relapsed or refractory ALL (</w:t>
      </w:r>
      <w:r w:rsidR="00503681">
        <w:rPr>
          <w:lang w:val="en-US"/>
        </w:rPr>
        <w:t>Study</w:t>
      </w:r>
      <w:r w:rsidRPr="00AA53F4">
        <w:rPr>
          <w:lang w:val="en-US"/>
        </w:rPr>
        <w:t xml:space="preserve"> B1931022), mean (SD) inotuzumab ozogamicin</w:t>
      </w:r>
      <w:r w:rsidR="006779D9">
        <w:rPr>
          <w:lang w:val="en-US"/>
        </w:rPr>
        <w:t xml:space="preserve"> </w:t>
      </w:r>
      <w:r w:rsidRPr="00AA53F4">
        <w:rPr>
          <w:lang w:val="en-US"/>
        </w:rPr>
        <w:t>concentration at the end of the 1 hour infusion (</w:t>
      </w:r>
      <w:proofErr w:type="spellStart"/>
      <w:r w:rsidR="00F769DD" w:rsidRPr="00AA53F4">
        <w:rPr>
          <w:lang w:val="en-US"/>
        </w:rPr>
        <w:t>C</w:t>
      </w:r>
      <w:r w:rsidR="00F769DD" w:rsidRPr="00F769DD">
        <w:rPr>
          <w:vertAlign w:val="subscript"/>
          <w:lang w:val="en-US"/>
        </w:rPr>
        <w:t>max</w:t>
      </w:r>
      <w:proofErr w:type="spellEnd"/>
      <w:r w:rsidRPr="00AA53F4">
        <w:rPr>
          <w:lang w:val="en-US"/>
        </w:rPr>
        <w:t>) was 211 (232) ng/</w:t>
      </w:r>
      <w:proofErr w:type="spellStart"/>
      <w:r w:rsidRPr="00AA53F4">
        <w:rPr>
          <w:lang w:val="en-US"/>
        </w:rPr>
        <w:t>mL.</w:t>
      </w:r>
      <w:proofErr w:type="spellEnd"/>
      <w:r w:rsidRPr="00AA53F4">
        <w:rPr>
          <w:lang w:val="en-US"/>
        </w:rPr>
        <w:t xml:space="preserve"> The inter-subject variability for the </w:t>
      </w:r>
      <w:proofErr w:type="spellStart"/>
      <w:r w:rsidR="00F769DD" w:rsidRPr="00AA53F4">
        <w:rPr>
          <w:lang w:val="en-US"/>
        </w:rPr>
        <w:t>C</w:t>
      </w:r>
      <w:r w:rsidR="00F769DD" w:rsidRPr="00F769DD">
        <w:rPr>
          <w:vertAlign w:val="subscript"/>
          <w:lang w:val="en-US"/>
        </w:rPr>
        <w:t>max</w:t>
      </w:r>
      <w:proofErr w:type="spellEnd"/>
      <w:r w:rsidRPr="00AA53F4">
        <w:rPr>
          <w:lang w:val="en-US"/>
        </w:rPr>
        <w:t xml:space="preserve"> was high following the first dose, with a mean CV of 110%. The mean (SD) simulated area under the concentration-time curve within the first dosing interval of 7 days (</w:t>
      </w:r>
      <w:proofErr w:type="spellStart"/>
      <w:r w:rsidR="00F769DD" w:rsidRPr="00AA53F4">
        <w:rPr>
          <w:lang w:val="en-US"/>
        </w:rPr>
        <w:t>AUC</w:t>
      </w:r>
      <w:r w:rsidR="00F769DD" w:rsidRPr="00F769DD">
        <w:rPr>
          <w:vertAlign w:val="subscript"/>
          <w:lang w:val="en-US"/>
        </w:rPr>
        <w:t>tau</w:t>
      </w:r>
      <w:proofErr w:type="spellEnd"/>
      <w:r w:rsidRPr="00AA53F4">
        <w:rPr>
          <w:lang w:val="en-US"/>
        </w:rPr>
        <w:t xml:space="preserve">) for </w:t>
      </w:r>
      <w:proofErr w:type="spellStart"/>
      <w:r w:rsidRPr="00AA53F4">
        <w:rPr>
          <w:lang w:val="en-US"/>
        </w:rPr>
        <w:t>inotuzumab</w:t>
      </w:r>
      <w:proofErr w:type="spellEnd"/>
      <w:r w:rsidRPr="00AA53F4">
        <w:rPr>
          <w:lang w:val="en-US"/>
        </w:rPr>
        <w:t xml:space="preserve"> </w:t>
      </w:r>
      <w:proofErr w:type="spellStart"/>
      <w:r w:rsidRPr="00AA53F4">
        <w:rPr>
          <w:lang w:val="en-US"/>
        </w:rPr>
        <w:t>ozogamicin</w:t>
      </w:r>
      <w:proofErr w:type="spellEnd"/>
      <w:r w:rsidRPr="00AA53F4">
        <w:rPr>
          <w:lang w:val="en-US"/>
        </w:rPr>
        <w:t xml:space="preserve"> following the first 0.8 mg/</w:t>
      </w:r>
      <w:r w:rsidR="00F769DD" w:rsidRPr="00AA53F4">
        <w:rPr>
          <w:lang w:val="en-US"/>
        </w:rPr>
        <w:t>m</w:t>
      </w:r>
      <w:r w:rsidR="00F769DD" w:rsidRPr="00F769DD">
        <w:rPr>
          <w:vertAlign w:val="superscript"/>
          <w:lang w:val="en-US"/>
        </w:rPr>
        <w:t>2</w:t>
      </w:r>
      <w:r w:rsidRPr="00AA53F4">
        <w:rPr>
          <w:lang w:val="en-US"/>
        </w:rPr>
        <w:t xml:space="preserve"> dose was 4330 (2140) </w:t>
      </w:r>
      <w:proofErr w:type="spellStart"/>
      <w:r w:rsidRPr="00AA53F4">
        <w:rPr>
          <w:lang w:val="en-US"/>
        </w:rPr>
        <w:t>ng·h</w:t>
      </w:r>
      <w:proofErr w:type="spellEnd"/>
      <w:r w:rsidRPr="00AA53F4">
        <w:rPr>
          <w:lang w:val="en-US"/>
        </w:rPr>
        <w:t xml:space="preserve">/mL, based on data from the supplemental </w:t>
      </w:r>
      <w:proofErr w:type="spellStart"/>
      <w:r w:rsidRPr="00AA53F4">
        <w:rPr>
          <w:lang w:val="en-US"/>
        </w:rPr>
        <w:t>popPK</w:t>
      </w:r>
      <w:proofErr w:type="spellEnd"/>
      <w:r w:rsidRPr="00AA53F4">
        <w:rPr>
          <w:lang w:val="en-US"/>
        </w:rPr>
        <w:t xml:space="preserve"> analysis for the two ALL </w:t>
      </w:r>
      <w:r w:rsidR="00617F88">
        <w:rPr>
          <w:lang w:val="en-US"/>
        </w:rPr>
        <w:t>Studies</w:t>
      </w:r>
      <w:r w:rsidRPr="00AA53F4">
        <w:rPr>
          <w:lang w:val="en-US"/>
        </w:rPr>
        <w:t xml:space="preserve"> B1931022 and B1931010.</w:t>
      </w:r>
    </w:p>
    <w:p w14:paraId="30AC54B0" w14:textId="42008204" w:rsidR="00992F35" w:rsidRPr="00AA53F4" w:rsidRDefault="00992F35" w:rsidP="00992F35">
      <w:pPr>
        <w:pStyle w:val="ListBullet"/>
        <w:rPr>
          <w:rFonts w:asciiTheme="minorHAnsi" w:hAnsiTheme="minorHAnsi" w:cs="Calibri"/>
          <w:bCs/>
        </w:rPr>
      </w:pPr>
      <w:r w:rsidRPr="00AA53F4">
        <w:rPr>
          <w:rFonts w:asciiTheme="minorHAnsi" w:hAnsiTheme="minorHAnsi" w:cs="Calibri"/>
          <w:bCs/>
        </w:rPr>
        <w:t>The accumulation ratio (total AUC at cycle 4/total AUC at cycle 1) for inotuzumab ozogamicin in patients with relapsed or refractory ALL at the proposed dose was estimated to be 5.30 (90% CI: 5.12, 5.47) (data from the su</w:t>
      </w:r>
      <w:r w:rsidR="00F769DD">
        <w:rPr>
          <w:rFonts w:asciiTheme="minorHAnsi" w:hAnsiTheme="minorHAnsi" w:cs="Calibri"/>
          <w:bCs/>
        </w:rPr>
        <w:t xml:space="preserve">pplemental </w:t>
      </w:r>
      <w:proofErr w:type="spellStart"/>
      <w:r w:rsidR="00F769DD">
        <w:rPr>
          <w:rFonts w:asciiTheme="minorHAnsi" w:hAnsiTheme="minorHAnsi" w:cs="Calibri"/>
          <w:bCs/>
        </w:rPr>
        <w:t>popPK</w:t>
      </w:r>
      <w:proofErr w:type="spellEnd"/>
      <w:r w:rsidR="00F769DD">
        <w:rPr>
          <w:rFonts w:asciiTheme="minorHAnsi" w:hAnsiTheme="minorHAnsi" w:cs="Calibri"/>
          <w:bCs/>
        </w:rPr>
        <w:t xml:space="preserve"> analysis</w:t>
      </w:r>
      <w:r w:rsidRPr="00AA53F4">
        <w:rPr>
          <w:rFonts w:asciiTheme="minorHAnsi" w:hAnsiTheme="minorHAnsi" w:cs="Calibri"/>
          <w:bCs/>
        </w:rPr>
        <w:t>). The clearance of inotuzumab ozogamicin at steady state was 0.0333 L/h and the terminal half-life (t</w:t>
      </w:r>
      <w:r w:rsidR="007C2763" w:rsidRPr="009B3582">
        <w:rPr>
          <w:rFonts w:asciiTheme="minorHAnsi" w:hAnsiTheme="minorHAnsi" w:cs="Calibri"/>
          <w:bCs/>
          <w:vertAlign w:val="subscript"/>
        </w:rPr>
        <w:t>1/2</w:t>
      </w:r>
      <w:r w:rsidRPr="00AA53F4">
        <w:rPr>
          <w:rFonts w:asciiTheme="minorHAnsi" w:hAnsiTheme="minorHAnsi" w:cs="Calibri"/>
          <w:bCs/>
        </w:rPr>
        <w:t>) was 12.3 days.</w:t>
      </w:r>
    </w:p>
    <w:p w14:paraId="5E39BCF3" w14:textId="77777777" w:rsidR="00503681" w:rsidRDefault="00992F35" w:rsidP="00992F35">
      <w:pPr>
        <w:pStyle w:val="ListBullet"/>
      </w:pPr>
      <w:r w:rsidRPr="00AA53F4">
        <w:rPr>
          <w:rFonts w:asciiTheme="minorHAnsi" w:hAnsiTheme="minorHAnsi" w:cs="Calibri"/>
          <w:bCs/>
        </w:rPr>
        <w:t xml:space="preserve">There were no dedicated clinical studies investigating the PK of inotuzumab ozogamicin in special groups. However, the </w:t>
      </w:r>
      <w:proofErr w:type="spellStart"/>
      <w:r w:rsidRPr="00AA53F4">
        <w:rPr>
          <w:rFonts w:asciiTheme="minorHAnsi" w:hAnsiTheme="minorHAnsi" w:cs="Calibri"/>
          <w:bCs/>
        </w:rPr>
        <w:t>popPK</w:t>
      </w:r>
      <w:proofErr w:type="spellEnd"/>
      <w:r w:rsidRPr="00AA53F4">
        <w:rPr>
          <w:rFonts w:asciiTheme="minorHAnsi" w:hAnsiTheme="minorHAnsi" w:cs="Calibri"/>
          <w:bCs/>
        </w:rPr>
        <w:t xml:space="preserve"> analysis investigated the effects of a </w:t>
      </w:r>
      <w:r w:rsidRPr="00992F35">
        <w:t>large number of pre-specified covariates on the PK of inotuzumab ozogamicin</w:t>
      </w:r>
      <w:r w:rsidR="00503681">
        <w:t>.</w:t>
      </w:r>
    </w:p>
    <w:p w14:paraId="6812AE63" w14:textId="77777777" w:rsidR="00992F35" w:rsidRPr="00AA53F4" w:rsidRDefault="00992F35" w:rsidP="00992F35">
      <w:pPr>
        <w:pStyle w:val="ListBullet2"/>
      </w:pPr>
      <w:r w:rsidRPr="00AA53F4">
        <w:t>The only clinically significant covariate on the PK of patients with ALL was baseline body surface area. The proposed dosage regimen of inotuzumab ozogamicin for the treatment of patients with ALL is based on individual patient BSA, which will account for the impact of BSA on the PK of the drug.</w:t>
      </w:r>
    </w:p>
    <w:p w14:paraId="2FB8EC53" w14:textId="5D28019D" w:rsidR="00992F35" w:rsidRPr="00AA53F4" w:rsidRDefault="00992F35" w:rsidP="00992F35">
      <w:pPr>
        <w:pStyle w:val="ListBullet2"/>
      </w:pPr>
      <w:r w:rsidRPr="00AA53F4">
        <w:rPr>
          <w:rFonts w:cs="‡?Ùø◊∑È"/>
          <w:color w:val="000000"/>
          <w:lang w:val="en-US"/>
        </w:rPr>
        <w:t xml:space="preserve">Based on the supplemental </w:t>
      </w:r>
      <w:proofErr w:type="spellStart"/>
      <w:r w:rsidRPr="00AA53F4">
        <w:rPr>
          <w:rFonts w:cs="‡?Ùø◊∑È"/>
          <w:color w:val="000000"/>
          <w:lang w:val="en-US"/>
        </w:rPr>
        <w:t>popPK</w:t>
      </w:r>
      <w:proofErr w:type="spellEnd"/>
      <w:r w:rsidRPr="00AA53F4">
        <w:rPr>
          <w:rFonts w:cs="‡?Ùø◊∑È"/>
          <w:color w:val="000000"/>
          <w:lang w:val="en-US"/>
        </w:rPr>
        <w:t xml:space="preserve"> analysis, the covariates of age, gender, racial group, </w:t>
      </w:r>
      <w:r w:rsidR="00DF4D88">
        <w:rPr>
          <w:rFonts w:cs="‡?Ùø◊∑È"/>
          <w:color w:val="000000"/>
          <w:lang w:val="en-US"/>
        </w:rPr>
        <w:t xml:space="preserve">mild </w:t>
      </w:r>
      <w:r w:rsidRPr="00AA53F4">
        <w:rPr>
          <w:rFonts w:cs="‡?Ùø◊∑È"/>
          <w:color w:val="000000"/>
          <w:lang w:val="en-US"/>
        </w:rPr>
        <w:t>hepatic impairment</w:t>
      </w:r>
      <w:proofErr w:type="gramStart"/>
      <w:r w:rsidRPr="00AA53F4">
        <w:rPr>
          <w:rFonts w:cs="‡?Ùø◊∑È"/>
          <w:color w:val="000000"/>
          <w:lang w:val="en-US"/>
        </w:rPr>
        <w:t>,</w:t>
      </w:r>
      <w:proofErr w:type="gramEnd"/>
      <w:r w:rsidR="009511B8" w:rsidRPr="00160FA8">
        <w:rPr>
          <w:rFonts w:cs="‡?Ùø◊∑È"/>
          <w:color w:val="000000"/>
          <w:vertAlign w:val="superscript"/>
          <w:lang w:val="en-US"/>
        </w:rPr>
        <w:fldChar w:fldCharType="begin"/>
      </w:r>
      <w:r w:rsidR="009511B8" w:rsidRPr="00160FA8">
        <w:rPr>
          <w:rFonts w:cs="‡?Ùø◊∑È"/>
          <w:color w:val="000000"/>
          <w:vertAlign w:val="superscript"/>
          <w:lang w:val="en-US"/>
        </w:rPr>
        <w:instrText xml:space="preserve"> NOTEREF _Ref11660565 \h </w:instrText>
      </w:r>
      <w:r w:rsidR="009511B8">
        <w:rPr>
          <w:rFonts w:cs="‡?Ùø◊∑È"/>
          <w:color w:val="000000"/>
          <w:vertAlign w:val="superscript"/>
          <w:lang w:val="en-US"/>
        </w:rPr>
        <w:instrText xml:space="preserve"> \* MERGEFORMAT </w:instrText>
      </w:r>
      <w:r w:rsidR="009511B8" w:rsidRPr="00160FA8">
        <w:rPr>
          <w:rFonts w:cs="‡?Ùø◊∑È"/>
          <w:color w:val="000000"/>
          <w:vertAlign w:val="superscript"/>
          <w:lang w:val="en-US"/>
        </w:rPr>
      </w:r>
      <w:r w:rsidR="009511B8" w:rsidRPr="00160FA8">
        <w:rPr>
          <w:rFonts w:cs="‡?Ùø◊∑È"/>
          <w:color w:val="000000"/>
          <w:vertAlign w:val="superscript"/>
          <w:lang w:val="en-US"/>
        </w:rPr>
        <w:fldChar w:fldCharType="separate"/>
      </w:r>
      <w:r w:rsidR="009511B8" w:rsidRPr="00160FA8">
        <w:rPr>
          <w:rFonts w:cs="‡?Ùø◊∑È"/>
          <w:color w:val="000000"/>
          <w:vertAlign w:val="superscript"/>
          <w:lang w:val="en-US"/>
        </w:rPr>
        <w:t>29</w:t>
      </w:r>
      <w:r w:rsidR="009511B8" w:rsidRPr="00160FA8">
        <w:rPr>
          <w:rFonts w:cs="‡?Ùø◊∑È"/>
          <w:color w:val="000000"/>
          <w:vertAlign w:val="superscript"/>
          <w:lang w:val="en-US"/>
        </w:rPr>
        <w:fldChar w:fldCharType="end"/>
      </w:r>
      <w:r w:rsidRPr="00AA53F4">
        <w:rPr>
          <w:rFonts w:cs="‡?Ùø◊∑È"/>
          <w:color w:val="000000"/>
          <w:lang w:val="en-US"/>
        </w:rPr>
        <w:t xml:space="preserve"> and renal impairment had no significant effects on the PK of inotuzumab ozogamicin in patients with ALL. However, the data for moderate hepatic impairment </w:t>
      </w:r>
      <w:r w:rsidR="009511B8" w:rsidRPr="00AA53F4">
        <w:rPr>
          <w:rFonts w:cs="‡?Ùø◊∑È"/>
          <w:color w:val="000000"/>
          <w:lang w:val="en-US"/>
        </w:rPr>
        <w:t>w</w:t>
      </w:r>
      <w:r w:rsidR="009511B8">
        <w:rPr>
          <w:rFonts w:cs="‡?Ùø◊∑È"/>
          <w:color w:val="000000"/>
          <w:lang w:val="en-US"/>
        </w:rPr>
        <w:t>as</w:t>
      </w:r>
      <w:r w:rsidR="009511B8" w:rsidRPr="00AA53F4">
        <w:rPr>
          <w:rFonts w:cs="‡?Ùø◊∑È"/>
          <w:color w:val="000000"/>
          <w:lang w:val="en-US"/>
        </w:rPr>
        <w:t xml:space="preserve"> </w:t>
      </w:r>
      <w:r w:rsidRPr="00AA53F4">
        <w:rPr>
          <w:rFonts w:cs="‡?Ùø◊∑È"/>
          <w:color w:val="000000"/>
          <w:lang w:val="en-US"/>
        </w:rPr>
        <w:t xml:space="preserve">based on </w:t>
      </w:r>
      <w:r w:rsidR="009511B8">
        <w:rPr>
          <w:rFonts w:cs="‡?Ùø◊∑È"/>
          <w:color w:val="000000"/>
          <w:lang w:val="en-US"/>
        </w:rPr>
        <w:t>1</w:t>
      </w:r>
      <w:r w:rsidR="009511B8" w:rsidRPr="00AA53F4">
        <w:rPr>
          <w:rFonts w:cs="‡?Ùø◊∑È"/>
          <w:color w:val="000000"/>
          <w:lang w:val="en-US"/>
        </w:rPr>
        <w:t xml:space="preserve"> </w:t>
      </w:r>
      <w:r w:rsidRPr="00AA53F4">
        <w:rPr>
          <w:rFonts w:cs="‡?Ùø◊∑È"/>
          <w:color w:val="000000"/>
          <w:lang w:val="en-US"/>
        </w:rPr>
        <w:t xml:space="preserve">patient only and there were no data for patients with severe hepatic impairment, while there were only limited data for patients with renal impairment as most patients had normal renal function (78.6% </w:t>
      </w:r>
      <w:r w:rsidR="00503681">
        <w:rPr>
          <w:rFonts w:cs="‡?Ùø◊∑È"/>
          <w:color w:val="000000"/>
          <w:lang w:val="en-US"/>
        </w:rPr>
        <w:t>(</w:t>
      </w:r>
      <w:r w:rsidRPr="00AA53F4">
        <w:rPr>
          <w:rFonts w:cs="‡?Ùø◊∑È"/>
          <w:color w:val="000000"/>
          <w:lang w:val="en-US"/>
        </w:rPr>
        <w:t>184/234</w:t>
      </w:r>
      <w:r w:rsidR="00503681">
        <w:rPr>
          <w:rFonts w:cs="‡?Ùø◊∑È"/>
          <w:color w:val="000000"/>
          <w:lang w:val="en-US"/>
        </w:rPr>
        <w:t>)</w:t>
      </w:r>
      <w:r w:rsidRPr="00AA53F4">
        <w:rPr>
          <w:rFonts w:cs="‡?Ùø◊∑È"/>
          <w:color w:val="000000"/>
          <w:lang w:val="en-US"/>
        </w:rPr>
        <w:t>).</w:t>
      </w:r>
    </w:p>
    <w:p w14:paraId="644EF641" w14:textId="77777777" w:rsidR="00992F35" w:rsidRPr="00AA53F4" w:rsidRDefault="00992F35" w:rsidP="00992F35">
      <w:pPr>
        <w:pStyle w:val="ListBullet"/>
      </w:pPr>
      <w:r w:rsidRPr="00AA53F4">
        <w:t>There were no dedicated clinical DDI studies investigating the PK of co-administration of inotuzumab ozogamicin and other medicines.</w:t>
      </w:r>
    </w:p>
    <w:p w14:paraId="444A0E1B" w14:textId="77777777" w:rsidR="00992F35" w:rsidRPr="00AA53F4" w:rsidRDefault="00992F35" w:rsidP="00992F35">
      <w:pPr>
        <w:pStyle w:val="ListBullet2"/>
      </w:pPr>
      <w:r w:rsidRPr="00AA53F4">
        <w:t xml:space="preserve">Data from the </w:t>
      </w:r>
      <w:proofErr w:type="spellStart"/>
      <w:r w:rsidRPr="00AA53F4">
        <w:t>popPK</w:t>
      </w:r>
      <w:proofErr w:type="spellEnd"/>
      <w:r w:rsidRPr="00AA53F4">
        <w:t xml:space="preserve"> analysis and a number of </w:t>
      </w:r>
      <w:r w:rsidRPr="00AA53F4">
        <w:rPr>
          <w:i/>
        </w:rPr>
        <w:t>in vitro</w:t>
      </w:r>
      <w:r w:rsidRPr="00AA53F4">
        <w:t xml:space="preserve"> human biomaterial studies indicates that there is not likely to be clinically relevant effects on the PK of inotuzumab ozogamicin from: salvage line and prior radiotherapy; concomitant administration of hydroxyurea, granulocyte-</w:t>
      </w:r>
      <w:r w:rsidR="00F769DD">
        <w:t>colony stimulating factors or P</w:t>
      </w:r>
      <w:r w:rsidR="00F769DD">
        <w:noBreakHyphen/>
      </w:r>
      <w:r w:rsidRPr="00AA53F4">
        <w:t>glycoprotein inhibitors; drugs that are substrates for CYP enzymes, UGT enzymes, and transporters.</w:t>
      </w:r>
    </w:p>
    <w:p w14:paraId="680BEA43" w14:textId="77777777" w:rsidR="00992F35" w:rsidRPr="00992F35" w:rsidRDefault="00992F35" w:rsidP="00992F35">
      <w:pPr>
        <w:pStyle w:val="ListBullet"/>
      </w:pPr>
      <w:r w:rsidRPr="00AA53F4">
        <w:t>Based on a population pharmacokinetic analysis in 765 patients, body surface area was found to significantly affect inotuzumab ozogamicin disposition. However the clinical evaluator resolved that the proposed dosage regimen is based on individual patient BSA, which will account for the impact of BSA on the PK of the drug.</w:t>
      </w:r>
    </w:p>
    <w:p w14:paraId="2C26FEFB" w14:textId="77777777" w:rsidR="00992F35" w:rsidRPr="00AA53F4" w:rsidRDefault="00992F35" w:rsidP="00992F35">
      <w:r w:rsidRPr="00AA53F4">
        <w:t>Overall, the clinical evaluator concludes that the pharmacokinetics of inotuzumab ozogamicin have been reasonable well characterised in the data provided.</w:t>
      </w:r>
    </w:p>
    <w:p w14:paraId="6F10B993" w14:textId="77777777" w:rsidR="00992F35" w:rsidRPr="00AA53F4" w:rsidRDefault="00992F35" w:rsidP="00992F35">
      <w:pPr>
        <w:pStyle w:val="Heading4"/>
      </w:pPr>
      <w:r w:rsidRPr="00AA53F4">
        <w:t>Pharmacodynamics (PD)</w:t>
      </w:r>
    </w:p>
    <w:p w14:paraId="6FAC26CC" w14:textId="77777777" w:rsidR="00992F35" w:rsidRPr="00AA53F4" w:rsidRDefault="00992F35" w:rsidP="00992F35">
      <w:r w:rsidRPr="00AA53F4">
        <w:t xml:space="preserve">A total of six studies provided PK/PD information. </w:t>
      </w:r>
      <w:r w:rsidR="00F769DD">
        <w:t>T</w:t>
      </w:r>
      <w:r w:rsidRPr="00AA53F4">
        <w:t xml:space="preserve">he full evaluation details </w:t>
      </w:r>
      <w:r w:rsidR="00F769DD">
        <w:t>were prese</w:t>
      </w:r>
      <w:r w:rsidR="000A4125">
        <w:t>n</w:t>
      </w:r>
      <w:r w:rsidR="00F769DD">
        <w:t>t</w:t>
      </w:r>
      <w:r w:rsidR="000A4125">
        <w:t xml:space="preserve">ed in the clinical evaluation report. Key findings of the exposure </w:t>
      </w:r>
      <w:r w:rsidRPr="00AA53F4">
        <w:t>response data include the following:</w:t>
      </w:r>
    </w:p>
    <w:p w14:paraId="3A595D9D" w14:textId="77777777" w:rsidR="00992F35" w:rsidRPr="00AA53F4" w:rsidRDefault="00992F35" w:rsidP="00992F35">
      <w:pPr>
        <w:pStyle w:val="ListBullet"/>
      </w:pPr>
      <w:r w:rsidRPr="00AA53F4">
        <w:lastRenderedPageBreak/>
        <w:t xml:space="preserve">Exposure based on the </w:t>
      </w:r>
      <w:proofErr w:type="spellStart"/>
      <w:r w:rsidR="000A4125" w:rsidRPr="00AA53F4">
        <w:t>C</w:t>
      </w:r>
      <w:r w:rsidR="000A4125" w:rsidRPr="000A4125">
        <w:rPr>
          <w:vertAlign w:val="subscript"/>
        </w:rPr>
        <w:t>avg</w:t>
      </w:r>
      <w:proofErr w:type="spellEnd"/>
      <w:r w:rsidRPr="00AA53F4">
        <w:t xml:space="preserve"> of </w:t>
      </w:r>
      <w:proofErr w:type="spellStart"/>
      <w:r w:rsidRPr="00AA53F4">
        <w:t>inotuzumab</w:t>
      </w:r>
      <w:proofErr w:type="spellEnd"/>
      <w:r w:rsidRPr="00AA53F4">
        <w:t xml:space="preserve"> </w:t>
      </w:r>
      <w:proofErr w:type="spellStart"/>
      <w:r w:rsidRPr="00AA53F4">
        <w:t>ozogamicin</w:t>
      </w:r>
      <w:proofErr w:type="spellEnd"/>
      <w:r w:rsidRPr="00AA53F4">
        <w:t xml:space="preserve"> and the percentage of leukaemic blasts that were </w:t>
      </w:r>
      <w:r w:rsidR="005C4508">
        <w:t>CD22 positive</w:t>
      </w:r>
      <w:r w:rsidRPr="00AA53F4">
        <w:t xml:space="preserve"> at baseline were found to be statistically significant predictors of CR/</w:t>
      </w:r>
      <w:proofErr w:type="spellStart"/>
      <w:r w:rsidRPr="00AA53F4">
        <w:t>CRi</w:t>
      </w:r>
      <w:proofErr w:type="spellEnd"/>
      <w:r w:rsidRPr="00AA53F4">
        <w:t xml:space="preserve"> at a significance level of 0.05 </w:t>
      </w:r>
      <w:r w:rsidR="00503681">
        <w:t>(</w:t>
      </w:r>
      <w:r w:rsidR="000A4125">
        <w:t>Study</w:t>
      </w:r>
      <w:r w:rsidR="000A4125" w:rsidRPr="00AA53F4">
        <w:t xml:space="preserve"> </w:t>
      </w:r>
      <w:r w:rsidRPr="00AA53F4">
        <w:t>PMAR-EQDD-B193a-DP4-205-Supplement</w:t>
      </w:r>
      <w:r w:rsidR="00503681">
        <w:t>)</w:t>
      </w:r>
      <w:r w:rsidRPr="00AA53F4">
        <w:t xml:space="preserve">. For the same </w:t>
      </w:r>
      <w:proofErr w:type="spellStart"/>
      <w:r w:rsidR="000A4125" w:rsidRPr="00AA53F4">
        <w:t>C</w:t>
      </w:r>
      <w:r w:rsidR="000A4125" w:rsidRPr="000A4125">
        <w:rPr>
          <w:vertAlign w:val="subscript"/>
        </w:rPr>
        <w:t>avg</w:t>
      </w:r>
      <w:proofErr w:type="spellEnd"/>
      <w:r w:rsidRPr="00AA53F4">
        <w:t xml:space="preserve"> value, the predicted probability of a response was greater in patients with </w:t>
      </w:r>
      <w:r w:rsidR="00503681">
        <w:t xml:space="preserve">≥ </w:t>
      </w:r>
      <w:r w:rsidRPr="00AA53F4">
        <w:t xml:space="preserve">90% of </w:t>
      </w:r>
      <w:r w:rsidR="005C4508">
        <w:t>CD22 positive</w:t>
      </w:r>
      <w:r w:rsidRPr="00AA53F4">
        <w:t xml:space="preserve"> leukaemic blasts at baseline compared to patients with &lt; 90% of </w:t>
      </w:r>
      <w:r w:rsidR="005C4508">
        <w:t>CD22 positive</w:t>
      </w:r>
      <w:r w:rsidRPr="00AA53F4">
        <w:t xml:space="preserve"> leukaemic blasts at baseline. Of note, the proposed indication in Australia now specifies </w:t>
      </w:r>
      <w:r w:rsidR="005C4508">
        <w:t>CD22 positive</w:t>
      </w:r>
      <w:r w:rsidRPr="00AA53F4">
        <w:t xml:space="preserve"> disease.</w:t>
      </w:r>
    </w:p>
    <w:p w14:paraId="11693378" w14:textId="77777777" w:rsidR="00992F35" w:rsidRPr="00AA53F4" w:rsidRDefault="00992F35" w:rsidP="00992F35">
      <w:pPr>
        <w:pStyle w:val="ListBullet"/>
      </w:pPr>
      <w:r w:rsidRPr="00AA53F4">
        <w:t xml:space="preserve">In the OS and PFS analyses, with and without censoring for post-study HSCT, </w:t>
      </w:r>
      <w:proofErr w:type="spellStart"/>
      <w:r w:rsidRPr="00AA53F4">
        <w:t>inotuzumab</w:t>
      </w:r>
      <w:proofErr w:type="spellEnd"/>
      <w:r w:rsidRPr="00AA53F4">
        <w:t xml:space="preserve"> </w:t>
      </w:r>
      <w:proofErr w:type="spellStart"/>
      <w:r w:rsidRPr="00AA53F4">
        <w:t>ozogamicin</w:t>
      </w:r>
      <w:proofErr w:type="spellEnd"/>
      <w:r w:rsidRPr="00AA53F4">
        <w:t xml:space="preserve"> </w:t>
      </w:r>
      <w:proofErr w:type="spellStart"/>
      <w:r w:rsidR="000A4125" w:rsidRPr="00AA53F4">
        <w:t>C</w:t>
      </w:r>
      <w:r w:rsidR="000A4125" w:rsidRPr="000A4125">
        <w:rPr>
          <w:vertAlign w:val="subscript"/>
        </w:rPr>
        <w:t>avg</w:t>
      </w:r>
      <w:proofErr w:type="spellEnd"/>
      <w:r w:rsidRPr="00AA53F4">
        <w:t xml:space="preserve"> was a statistically significant predictor of both OS and PFS affecting the base hazard of both efficacy endpoints (</w:t>
      </w:r>
      <w:r w:rsidR="00503681">
        <w:t>that is</w:t>
      </w:r>
      <w:r w:rsidRPr="00AA53F4">
        <w:t xml:space="preserve">, higher </w:t>
      </w:r>
      <w:proofErr w:type="spellStart"/>
      <w:r w:rsidR="000A4125" w:rsidRPr="00AA53F4">
        <w:t>C</w:t>
      </w:r>
      <w:r w:rsidR="000A4125" w:rsidRPr="000A4125">
        <w:rPr>
          <w:vertAlign w:val="subscript"/>
        </w:rPr>
        <w:t>avg</w:t>
      </w:r>
      <w:proofErr w:type="spellEnd"/>
      <w:r w:rsidRPr="00AA53F4">
        <w:t xml:space="preserve"> increased the probability of both OS and PFS ) </w:t>
      </w:r>
      <w:r w:rsidR="00503681">
        <w:t>(</w:t>
      </w:r>
      <w:r w:rsidR="000A4125">
        <w:t>Study</w:t>
      </w:r>
      <w:r w:rsidR="000A4125" w:rsidRPr="00AA53F4">
        <w:t xml:space="preserve"> </w:t>
      </w:r>
      <w:r w:rsidRPr="00AA53F4">
        <w:t>PMAR-EQDD-B193a-Regulatory Response-628</w:t>
      </w:r>
      <w:r w:rsidR="00503681">
        <w:t>)</w:t>
      </w:r>
      <w:r w:rsidRPr="00AA53F4">
        <w:t>. However, when CR/</w:t>
      </w:r>
      <w:proofErr w:type="spellStart"/>
      <w:r w:rsidRPr="00AA53F4">
        <w:t>CRi</w:t>
      </w:r>
      <w:proofErr w:type="spellEnd"/>
      <w:r w:rsidRPr="00AA53F4">
        <w:t xml:space="preserve"> and MRD were tested as potential prognostic factors affecting OS and PFS, along with the other pre-specified prognostic factors, inotuzumab </w:t>
      </w:r>
      <w:proofErr w:type="spellStart"/>
      <w:r w:rsidRPr="00AA53F4">
        <w:t>ozogamicin</w:t>
      </w:r>
      <w:proofErr w:type="spellEnd"/>
      <w:r w:rsidRPr="00AA53F4">
        <w:t xml:space="preserve"> exposure (</w:t>
      </w:r>
      <w:proofErr w:type="spellStart"/>
      <w:r w:rsidR="000A4125" w:rsidRPr="00AA53F4">
        <w:t>C</w:t>
      </w:r>
      <w:r w:rsidR="000A4125" w:rsidRPr="000A4125">
        <w:rPr>
          <w:vertAlign w:val="subscript"/>
        </w:rPr>
        <w:t>avg</w:t>
      </w:r>
      <w:proofErr w:type="spellEnd"/>
      <w:r w:rsidRPr="00AA53F4">
        <w:t xml:space="preserve">) was no longer a statistically significant predictor of either OS or PFS survival. The supplemental </w:t>
      </w:r>
      <w:proofErr w:type="spellStart"/>
      <w:r w:rsidRPr="00AA53F4">
        <w:t>popPK</w:t>
      </w:r>
      <w:proofErr w:type="spellEnd"/>
      <w:r w:rsidRPr="00AA53F4">
        <w:t xml:space="preserve"> analysis identified </w:t>
      </w:r>
      <w:proofErr w:type="spellStart"/>
      <w:r w:rsidR="000A4125" w:rsidRPr="00AA53F4">
        <w:t>C</w:t>
      </w:r>
      <w:r w:rsidR="000A4125" w:rsidRPr="000A4125">
        <w:rPr>
          <w:vertAlign w:val="subscript"/>
        </w:rPr>
        <w:t>avg</w:t>
      </w:r>
      <w:proofErr w:type="spellEnd"/>
      <w:r w:rsidRPr="00AA53F4">
        <w:t xml:space="preserve"> as statistically significant predictor of CR/</w:t>
      </w:r>
      <w:proofErr w:type="spellStart"/>
      <w:r w:rsidRPr="00AA53F4">
        <w:t>CRi</w:t>
      </w:r>
      <w:proofErr w:type="spellEnd"/>
      <w:r w:rsidRPr="00AA53F4">
        <w:t xml:space="preserve"> and MRD and therefore this exposure metric correlated with these variables.</w:t>
      </w:r>
    </w:p>
    <w:p w14:paraId="0BE8377F" w14:textId="77777777" w:rsidR="00992F35" w:rsidRPr="00AA53F4" w:rsidRDefault="00992F35" w:rsidP="00992F35">
      <w:pPr>
        <w:pStyle w:val="ListBullet"/>
      </w:pPr>
      <w:r w:rsidRPr="00AA53F4">
        <w:rPr>
          <w:lang w:val="en-US"/>
        </w:rPr>
        <w:t>Limited data on unconjugated calicheamicin levels in patients with ALL</w:t>
      </w:r>
      <w:r w:rsidR="006779D9">
        <w:rPr>
          <w:lang w:val="en-US"/>
        </w:rPr>
        <w:t xml:space="preserve"> </w:t>
      </w:r>
      <w:r w:rsidRPr="00AA53F4">
        <w:rPr>
          <w:lang w:val="en-US"/>
        </w:rPr>
        <w:t xml:space="preserve">indicate that this exposure metric is not a significant predictor of </w:t>
      </w:r>
      <w:r w:rsidRPr="00AA53F4">
        <w:rPr>
          <w:rFonts w:cs="‡ﬂÛø◊ÁÈ"/>
          <w:lang w:val="en-US"/>
        </w:rPr>
        <w:t>efficacy (CR/</w:t>
      </w:r>
      <w:proofErr w:type="spellStart"/>
      <w:r w:rsidRPr="00AA53F4">
        <w:rPr>
          <w:rFonts w:cs="‡ﬂÛø◊ÁÈ"/>
          <w:lang w:val="en-US"/>
        </w:rPr>
        <w:t>CRi</w:t>
      </w:r>
      <w:proofErr w:type="spellEnd"/>
      <w:r w:rsidRPr="00AA53F4">
        <w:rPr>
          <w:rFonts w:cs="‡ﬂÛø◊ÁÈ"/>
          <w:lang w:val="en-US"/>
        </w:rPr>
        <w:t xml:space="preserve"> and MRD).</w:t>
      </w:r>
    </w:p>
    <w:p w14:paraId="66A5BFC0" w14:textId="77777777" w:rsidR="00992F35" w:rsidRPr="00AA53F4" w:rsidRDefault="00992F35" w:rsidP="00992F35">
      <w:pPr>
        <w:pStyle w:val="ListBullet"/>
      </w:pPr>
      <w:r w:rsidRPr="00AA53F4">
        <w:t xml:space="preserve">There was no </w:t>
      </w:r>
      <w:r w:rsidR="00503681">
        <w:t>‘</w:t>
      </w:r>
      <w:r w:rsidRPr="00AA53F4">
        <w:t>thorough QT/</w:t>
      </w:r>
      <w:proofErr w:type="spellStart"/>
      <w:r w:rsidRPr="00AA53F4">
        <w:t>QTc</w:t>
      </w:r>
      <w:proofErr w:type="spellEnd"/>
      <w:r w:rsidR="00503681">
        <w:t>’</w:t>
      </w:r>
      <w:r w:rsidRPr="00AA53F4">
        <w:t xml:space="preserve"> study in healthy volunteers meeting the relevant TGA adopted EU guidelines for non-arrhythmic drugs</w:t>
      </w:r>
      <w:r w:rsidR="000A4125">
        <w:t>.</w:t>
      </w:r>
      <w:r w:rsidR="000A4125" w:rsidRPr="000A4125">
        <w:rPr>
          <w:vertAlign w:val="superscript"/>
        </w:rPr>
        <w:fldChar w:fldCharType="begin"/>
      </w:r>
      <w:r w:rsidR="000A4125" w:rsidRPr="000A4125">
        <w:rPr>
          <w:vertAlign w:val="superscript"/>
        </w:rPr>
        <w:instrText xml:space="preserve"> NOTEREF _Ref536110845 \h </w:instrText>
      </w:r>
      <w:r w:rsidR="000A4125">
        <w:rPr>
          <w:vertAlign w:val="superscript"/>
        </w:rPr>
        <w:instrText xml:space="preserve"> \* MERGEFORMAT </w:instrText>
      </w:r>
      <w:r w:rsidR="000A4125" w:rsidRPr="000A4125">
        <w:rPr>
          <w:vertAlign w:val="superscript"/>
        </w:rPr>
      </w:r>
      <w:r w:rsidR="000A4125" w:rsidRPr="000A4125">
        <w:rPr>
          <w:vertAlign w:val="superscript"/>
        </w:rPr>
        <w:fldChar w:fldCharType="separate"/>
      </w:r>
      <w:r w:rsidR="00DF720C">
        <w:rPr>
          <w:vertAlign w:val="superscript"/>
        </w:rPr>
        <w:t>29</w:t>
      </w:r>
      <w:r w:rsidR="000A4125" w:rsidRPr="000A4125">
        <w:rPr>
          <w:vertAlign w:val="superscript"/>
        </w:rPr>
        <w:fldChar w:fldCharType="end"/>
      </w:r>
      <w:r w:rsidRPr="00AA53F4">
        <w:t xml:space="preserve"> However, such a study in healthy volunteers could not be justified given that calicheamicin is a cytotoxic agent. The submitted data included a PK/PD analysis, which showed that inotuzumab ozogamicin is unlikely to be associated with clinically significant increases in </w:t>
      </w:r>
      <w:proofErr w:type="spellStart"/>
      <w:r w:rsidRPr="00AA53F4">
        <w:t>QTc</w:t>
      </w:r>
      <w:proofErr w:type="spellEnd"/>
      <w:r w:rsidRPr="00AA53F4">
        <w:t xml:space="preserve"> prolongation in patients with ALL. </w:t>
      </w:r>
      <w:r w:rsidRPr="00AA53F4">
        <w:rPr>
          <w:rFonts w:cs="‡ﬂıø◊ÁÁ"/>
          <w:lang w:val="en-US"/>
        </w:rPr>
        <w:t xml:space="preserve">In addition, unconjugated calicheamicin exposure in patients with ALL is unlikely to have a significant effect on </w:t>
      </w:r>
      <w:proofErr w:type="spellStart"/>
      <w:r w:rsidRPr="00AA53F4">
        <w:rPr>
          <w:rFonts w:cs="‡ﬂıø◊ÁÁ"/>
          <w:lang w:val="en-US"/>
        </w:rPr>
        <w:t>QTc</w:t>
      </w:r>
      <w:proofErr w:type="spellEnd"/>
      <w:r w:rsidRPr="00AA53F4">
        <w:rPr>
          <w:rFonts w:cs="‡ﬂıø◊ÁÁ"/>
          <w:lang w:val="en-US"/>
        </w:rPr>
        <w:t xml:space="preserve"> prolongation.</w:t>
      </w:r>
    </w:p>
    <w:p w14:paraId="7FBA26ED" w14:textId="62D2C8A9" w:rsidR="00992F35" w:rsidRPr="00AA53F4" w:rsidRDefault="00992F35" w:rsidP="00992F35">
      <w:pPr>
        <w:pStyle w:val="ListBullet"/>
      </w:pPr>
      <w:r w:rsidRPr="00AA53F4">
        <w:t xml:space="preserve">A statistically significant predictor of VOD/SOS was determined in the exposure response analysis. </w:t>
      </w:r>
      <w:r w:rsidRPr="00AA53F4">
        <w:rPr>
          <w:lang w:val="en-US"/>
        </w:rPr>
        <w:t>Increasing cumulative AUC after period 1 (cAUCP1) was associated with an increased risk of VOD/SOS (HEAB</w:t>
      </w:r>
      <w:r w:rsidR="00D2491E">
        <w:rPr>
          <w:lang w:val="en-US"/>
        </w:rPr>
        <w:t xml:space="preserve"> </w:t>
      </w:r>
      <w:r w:rsidRPr="00AA53F4">
        <w:rPr>
          <w:lang w:val="en-US"/>
        </w:rPr>
        <w:t>assessed), and the risk was significantly greater in patients who received a HSCT during the study compared to patients who did not received a HSCT during the study.</w:t>
      </w:r>
    </w:p>
    <w:p w14:paraId="23744DCE" w14:textId="77777777" w:rsidR="00992F35" w:rsidRPr="00AA53F4" w:rsidRDefault="00992F35" w:rsidP="00992F35">
      <w:pPr>
        <w:pStyle w:val="ListBullet"/>
      </w:pPr>
      <w:r w:rsidRPr="00AA53F4">
        <w:t>In an exploratory central tendency analysis in patients with ALL (</w:t>
      </w:r>
      <w:r w:rsidR="00503681">
        <w:t>Study</w:t>
      </w:r>
      <w:r w:rsidRPr="00AA53F4">
        <w:t xml:space="preserve"> B1931022) mean maximum </w:t>
      </w:r>
      <w:proofErr w:type="spellStart"/>
      <w:r w:rsidRPr="00AA53F4">
        <w:t>QTcF</w:t>
      </w:r>
      <w:proofErr w:type="spellEnd"/>
      <w:r w:rsidRPr="00AA53F4">
        <w:t xml:space="preserve"> changes from baseline were 16.5 </w:t>
      </w:r>
      <w:proofErr w:type="spellStart"/>
      <w:r w:rsidR="00617F88">
        <w:t>ms</w:t>
      </w:r>
      <w:proofErr w:type="spellEnd"/>
      <w:r w:rsidRPr="00AA53F4">
        <w:t xml:space="preserve"> (90% CI: 14.3, 18.7) in the inotuzumab ozogamicin arm and 10.8 </w:t>
      </w:r>
      <w:proofErr w:type="spellStart"/>
      <w:r w:rsidR="00617F88">
        <w:t>ms</w:t>
      </w:r>
      <w:proofErr w:type="spellEnd"/>
      <w:r w:rsidRPr="00AA53F4">
        <w:t xml:space="preserve"> (90% CI: 8.0, 13.6) in the control arm. The central tendency analysis of </w:t>
      </w:r>
      <w:proofErr w:type="spellStart"/>
      <w:r w:rsidRPr="00AA53F4">
        <w:t>QTcF</w:t>
      </w:r>
      <w:proofErr w:type="spellEnd"/>
      <w:r w:rsidRPr="00AA53F4">
        <w:t xml:space="preserve"> change from baseline for all data points demonstrated that t</w:t>
      </w:r>
      <w:r w:rsidR="000A4125">
        <w:t xml:space="preserve">he highest upper bound of the 2 sided 90% CI for </w:t>
      </w:r>
      <w:proofErr w:type="spellStart"/>
      <w:r w:rsidR="000A4125">
        <w:t>QTcF</w:t>
      </w:r>
      <w:proofErr w:type="spellEnd"/>
      <w:r w:rsidR="000A4125">
        <w:t xml:space="preserve"> was 21.1 </w:t>
      </w:r>
      <w:proofErr w:type="spellStart"/>
      <w:r w:rsidR="00617F88">
        <w:t>ms</w:t>
      </w:r>
      <w:proofErr w:type="spellEnd"/>
      <w:r w:rsidRPr="00AA53F4">
        <w:t xml:space="preserve"> (observed at Cycle 4/Day 1/1 hour) in the inotuzumab ozogamicin arm and 21.2 </w:t>
      </w:r>
      <w:proofErr w:type="spellStart"/>
      <w:r w:rsidR="00617F88">
        <w:t>ms</w:t>
      </w:r>
      <w:proofErr w:type="spellEnd"/>
      <w:r w:rsidRPr="00AA53F4">
        <w:t xml:space="preserve"> (observed at Cycle 2/Day 1/1 hour) in the control arm. The reason for the prolonged </w:t>
      </w:r>
      <w:proofErr w:type="spellStart"/>
      <w:r w:rsidRPr="00AA53F4">
        <w:t>QTcF</w:t>
      </w:r>
      <w:proofErr w:type="spellEnd"/>
      <w:r w:rsidRPr="00AA53F4">
        <w:t xml:space="preserve"> observed in </w:t>
      </w:r>
      <w:r w:rsidR="00503681">
        <w:t>Study</w:t>
      </w:r>
      <w:r w:rsidRPr="00AA53F4">
        <w:t xml:space="preserve"> B1931022 in both treatment arms is unknown.</w:t>
      </w:r>
    </w:p>
    <w:p w14:paraId="3FD9AD7B" w14:textId="77777777" w:rsidR="00992F35" w:rsidRPr="00AA53F4" w:rsidRDefault="00992F35" w:rsidP="00992F35">
      <w:pPr>
        <w:pStyle w:val="ListBullet2"/>
      </w:pPr>
      <w:r w:rsidRPr="00AA53F4">
        <w:t>Although the sponsor stated that the finding might partly be due to the fact that patients in the study received many concomitant medications and many patients were reported to have electro</w:t>
      </w:r>
      <w:r w:rsidR="000A4125">
        <w:t>lyte disturbances, the sponsor</w:t>
      </w:r>
      <w:r w:rsidRPr="00AA53F4">
        <w:t xml:space="preserve"> acknowledged: </w:t>
      </w:r>
      <w:r w:rsidR="00503681">
        <w:t>‘</w:t>
      </w:r>
      <w:r w:rsidRPr="00AA53F4">
        <w:rPr>
          <w:i/>
        </w:rPr>
        <w:t>that it is not easily possible to estimate the impact that these factors may have had in prolonging QT in both arms</w:t>
      </w:r>
      <w:r w:rsidR="00503681">
        <w:t>’</w:t>
      </w:r>
      <w:r w:rsidRPr="00AA53F4">
        <w:t xml:space="preserve"> of </w:t>
      </w:r>
      <w:r w:rsidR="00503681">
        <w:t>Study</w:t>
      </w:r>
      <w:r w:rsidRPr="00AA53F4">
        <w:t xml:space="preserve"> B1931022. In summary, it is considered that the reason for </w:t>
      </w:r>
      <w:proofErr w:type="spellStart"/>
      <w:r w:rsidRPr="00AA53F4">
        <w:t>QTcF</w:t>
      </w:r>
      <w:proofErr w:type="spellEnd"/>
      <w:r w:rsidRPr="00AA53F4">
        <w:t xml:space="preserve"> prolongation observed in both treatment arms in </w:t>
      </w:r>
      <w:r w:rsidR="00503681">
        <w:t>Study</w:t>
      </w:r>
      <w:r w:rsidR="000A4125">
        <w:t> </w:t>
      </w:r>
      <w:r w:rsidRPr="00AA53F4">
        <w:t>B1931022 is unknown.</w:t>
      </w:r>
    </w:p>
    <w:p w14:paraId="1CE112C4" w14:textId="77777777" w:rsidR="00992F35" w:rsidRPr="00AA53F4" w:rsidRDefault="00992F35" w:rsidP="00992F35">
      <w:pPr>
        <w:pStyle w:val="ListBullet2"/>
      </w:pPr>
      <w:r w:rsidRPr="00AA53F4">
        <w:t xml:space="preserve">A precaution regarding QT Interval Prolongation has been included in the Australian PI for </w:t>
      </w:r>
      <w:r w:rsidR="006779D9">
        <w:t>Besponsa</w:t>
      </w:r>
      <w:r w:rsidRPr="00AA53F4">
        <w:t>.</w:t>
      </w:r>
    </w:p>
    <w:p w14:paraId="01999CD5" w14:textId="77777777" w:rsidR="00EA3B37" w:rsidRPr="00AA53F4" w:rsidRDefault="00EA3B37" w:rsidP="00EA3B37">
      <w:pPr>
        <w:pStyle w:val="Heading4"/>
      </w:pPr>
      <w:r w:rsidRPr="00AA53F4">
        <w:lastRenderedPageBreak/>
        <w:t>Efficacy</w:t>
      </w:r>
    </w:p>
    <w:p w14:paraId="7D22509F" w14:textId="77777777" w:rsidR="00EA3B37" w:rsidRPr="00AA53F4" w:rsidRDefault="00EA3B37" w:rsidP="00EA3B37">
      <w:r w:rsidRPr="00AA53F4">
        <w:t xml:space="preserve">Two </w:t>
      </w:r>
      <w:r w:rsidR="00E86989">
        <w:t>open label</w:t>
      </w:r>
      <w:r w:rsidRPr="00AA53F4">
        <w:t xml:space="preserve"> studies provided evaluable efficacy data for the proposed indication in patients with relapsed or refractory ALL, including one pivotal </w:t>
      </w:r>
      <w:r w:rsidR="001D0208">
        <w:t>Phase III</w:t>
      </w:r>
      <w:r w:rsidRPr="00AA53F4">
        <w:t xml:space="preserve"> </w:t>
      </w:r>
      <w:r w:rsidR="00503681">
        <w:t>Study</w:t>
      </w:r>
      <w:r w:rsidR="000A4125">
        <w:t xml:space="preserve"> B1931022</w:t>
      </w:r>
      <w:r w:rsidRPr="00AA53F4">
        <w:t xml:space="preserve"> and one supportive </w:t>
      </w:r>
      <w:proofErr w:type="gramStart"/>
      <w:r w:rsidR="001D0208">
        <w:t>Phase</w:t>
      </w:r>
      <w:proofErr w:type="gramEnd"/>
      <w:r w:rsidR="001D0208">
        <w:t xml:space="preserve"> I/II</w:t>
      </w:r>
      <w:r w:rsidRPr="00AA53F4">
        <w:t xml:space="preserve"> </w:t>
      </w:r>
      <w:r w:rsidR="00503681">
        <w:t>Study</w:t>
      </w:r>
      <w:r w:rsidR="000A4125">
        <w:t xml:space="preserve"> B1931010</w:t>
      </w:r>
      <w:r w:rsidRPr="00AA53F4">
        <w:t xml:space="preserve">. </w:t>
      </w:r>
      <w:r w:rsidR="000A4125">
        <w:t>A</w:t>
      </w:r>
      <w:r w:rsidRPr="00AA53F4">
        <w:t xml:space="preserve"> full evaluation of each </w:t>
      </w:r>
      <w:proofErr w:type="gramStart"/>
      <w:r w:rsidRPr="00AA53F4">
        <w:t>study,</w:t>
      </w:r>
      <w:proofErr w:type="gramEnd"/>
      <w:r w:rsidRPr="00AA53F4">
        <w:t xml:space="preserve"> </w:t>
      </w:r>
      <w:r w:rsidR="000A4125">
        <w:t xml:space="preserve">was provided in the </w:t>
      </w:r>
      <w:r w:rsidR="000A4125" w:rsidRPr="00AA53F4">
        <w:t>clinical evaluation report</w:t>
      </w:r>
      <w:r w:rsidRPr="00AA53F4">
        <w:t xml:space="preserve">. The evaluator concluded that the totality of the efficacy data supports approval of inotuzumab ozogamicin for the treatment of relapse and refractory </w:t>
      </w:r>
      <w:r w:rsidR="005C4508">
        <w:t>CD22 positive</w:t>
      </w:r>
      <w:r w:rsidRPr="00AA53F4">
        <w:t xml:space="preserve"> ALL in adults.</w:t>
      </w:r>
    </w:p>
    <w:p w14:paraId="287BDB46" w14:textId="77777777" w:rsidR="00EA3B37" w:rsidRPr="00AA53F4" w:rsidRDefault="00EA3B37" w:rsidP="00EA3B37">
      <w:pPr>
        <w:pStyle w:val="Heading5"/>
      </w:pPr>
      <w:r w:rsidRPr="00AA53F4">
        <w:t>Study B1931022</w:t>
      </w:r>
    </w:p>
    <w:p w14:paraId="3297E705" w14:textId="77777777" w:rsidR="00EA3B37" w:rsidRPr="00AA53F4" w:rsidRDefault="00EA3B37" w:rsidP="00EA3B37">
      <w:r w:rsidRPr="00AA53F4">
        <w:t xml:space="preserve">The pivotal </w:t>
      </w:r>
      <w:r w:rsidR="001D0208">
        <w:t>Phase III</w:t>
      </w:r>
      <w:r w:rsidRPr="00AA53F4">
        <w:t xml:space="preserve"> </w:t>
      </w:r>
      <w:r w:rsidR="00503681">
        <w:t>Study</w:t>
      </w:r>
      <w:r w:rsidR="000A4125">
        <w:t xml:space="preserve"> B1931022</w:t>
      </w:r>
      <w:r w:rsidRPr="00AA53F4">
        <w:t xml:space="preserve"> was a randomised controlled study in 326 adult patients with relapsed or refractory </w:t>
      </w:r>
      <w:r w:rsidR="005C4508">
        <w:t>CD22 positive</w:t>
      </w:r>
      <w:r w:rsidRPr="00AA53F4">
        <w:t xml:space="preserve"> ALL. The study randomised patients 1:1 to </w:t>
      </w:r>
      <w:r w:rsidR="00E86989">
        <w:t>open label</w:t>
      </w:r>
      <w:r w:rsidRPr="00AA53F4">
        <w:t xml:space="preserve"> treatment with either inotuzumab ozogamicin (n</w:t>
      </w:r>
      <w:r w:rsidR="0014606A">
        <w:t xml:space="preserve"> = </w:t>
      </w:r>
      <w:r w:rsidRPr="00AA53F4">
        <w:t>164) or investigator’s choice (n</w:t>
      </w:r>
      <w:r w:rsidR="0014606A">
        <w:t xml:space="preserve"> = </w:t>
      </w:r>
      <w:r w:rsidRPr="00AA53F4">
        <w:t>162) of one of three pre-defined treatment regimens. These were FLAG (n</w:t>
      </w:r>
      <w:r w:rsidR="000A4125">
        <w:t> = </w:t>
      </w:r>
      <w:r w:rsidRPr="00AA53F4">
        <w:t xml:space="preserve">102), </w:t>
      </w:r>
      <w:proofErr w:type="spellStart"/>
      <w:r w:rsidRPr="00AA53F4">
        <w:t>Mxn</w:t>
      </w:r>
      <w:proofErr w:type="spellEnd"/>
      <w:r w:rsidRPr="00AA53F4">
        <w:t>/Ara-c (n</w:t>
      </w:r>
      <w:r w:rsidR="0014606A">
        <w:t xml:space="preserve"> = </w:t>
      </w:r>
      <w:r w:rsidRPr="00AA53F4">
        <w:t>38), or HIDAC (n</w:t>
      </w:r>
      <w:r w:rsidR="0014606A">
        <w:t xml:space="preserve"> = </w:t>
      </w:r>
      <w:r w:rsidRPr="00AA53F4">
        <w:t>22).</w:t>
      </w:r>
      <w:r w:rsidR="006779D9">
        <w:t xml:space="preserve"> </w:t>
      </w:r>
      <w:r w:rsidRPr="00AA53F4">
        <w:t xml:space="preserve">Balanced against the known lack of a single standard of care in this setting and considering the </w:t>
      </w:r>
      <w:r w:rsidR="00F769DD">
        <w:t>sponsor</w:t>
      </w:r>
      <w:r w:rsidRPr="00AA53F4">
        <w:t xml:space="preserve"> justification on the issue of compatibility of these regimens to standard treatment in Australia (</w:t>
      </w:r>
      <w:r w:rsidR="000A4125">
        <w:t xml:space="preserve">provided in the sponsors </w:t>
      </w:r>
      <w:r w:rsidRPr="00AA53F4">
        <w:t>response to questions), it is reasonable to consider that the results of this study are applicable to Australian patients.</w:t>
      </w:r>
    </w:p>
    <w:p w14:paraId="08867573" w14:textId="77777777" w:rsidR="00EA3B37" w:rsidRPr="00AA53F4" w:rsidRDefault="00EA3B37" w:rsidP="00EA3B37">
      <w:r w:rsidRPr="00AA53F4">
        <w:t>The dosage regimen inotuzumab ozogamicin used in the study reflects that proposed in this submission. This consisted of 1.8 mg/</w:t>
      </w:r>
      <w:r w:rsidR="00F769DD" w:rsidRPr="00AA53F4">
        <w:rPr>
          <w:lang w:val="en-US"/>
        </w:rPr>
        <w:t>m</w:t>
      </w:r>
      <w:r w:rsidR="00F769DD" w:rsidRPr="00F769DD">
        <w:rPr>
          <w:vertAlign w:val="superscript"/>
          <w:lang w:val="en-US"/>
        </w:rPr>
        <w:t>2</w:t>
      </w:r>
      <w:r w:rsidR="000A4125">
        <w:t xml:space="preserve"> in C</w:t>
      </w:r>
      <w:r w:rsidRPr="00AA53F4">
        <w:t xml:space="preserve">ycle </w:t>
      </w:r>
      <w:r w:rsidR="000A4125">
        <w:t>1 administered at a dose of 0.8 </w:t>
      </w:r>
      <w:r w:rsidRPr="00AA53F4">
        <w:t>mg/</w:t>
      </w:r>
      <w:r w:rsidR="00F769DD" w:rsidRPr="00AA53F4">
        <w:rPr>
          <w:lang w:val="en-US"/>
        </w:rPr>
        <w:t>m</w:t>
      </w:r>
      <w:r w:rsidR="00F769DD" w:rsidRPr="00F769DD">
        <w:rPr>
          <w:vertAlign w:val="superscript"/>
          <w:lang w:val="en-US"/>
        </w:rPr>
        <w:t>2</w:t>
      </w:r>
      <w:r w:rsidRPr="00AA53F4">
        <w:t xml:space="preserve">/cycle on </w:t>
      </w:r>
      <w:r w:rsidR="00AF6A3A">
        <w:t>Day</w:t>
      </w:r>
      <w:r w:rsidRPr="00AA53F4">
        <w:t xml:space="preserve"> 1 and 0.5 mg/</w:t>
      </w:r>
      <w:r w:rsidR="00F769DD" w:rsidRPr="00AA53F4">
        <w:rPr>
          <w:lang w:val="en-US"/>
        </w:rPr>
        <w:t>m</w:t>
      </w:r>
      <w:r w:rsidR="00F769DD" w:rsidRPr="00F769DD">
        <w:rPr>
          <w:vertAlign w:val="superscript"/>
          <w:lang w:val="en-US"/>
        </w:rPr>
        <w:t>2</w:t>
      </w:r>
      <w:r w:rsidRPr="00AA53F4">
        <w:rPr>
          <w:vertAlign w:val="superscript"/>
        </w:rPr>
        <w:t xml:space="preserve"> </w:t>
      </w:r>
      <w:r w:rsidRPr="00AA53F4">
        <w:t xml:space="preserve">on </w:t>
      </w:r>
      <w:r w:rsidR="00AF6A3A">
        <w:t>Day</w:t>
      </w:r>
      <w:r w:rsidRPr="00AA53F4">
        <w:t>s 8 and 15 for 21 days, with cycle lengthening to 28 days for patients who achieved a response and/or to allow recovery from toxicity, and subsequent dose reduction in responders to 1.5 mg/</w:t>
      </w:r>
      <w:r w:rsidR="00F769DD" w:rsidRPr="00AA53F4">
        <w:rPr>
          <w:lang w:val="en-US"/>
        </w:rPr>
        <w:t>m</w:t>
      </w:r>
      <w:r w:rsidR="00F769DD" w:rsidRPr="00F769DD">
        <w:rPr>
          <w:vertAlign w:val="superscript"/>
          <w:lang w:val="en-US"/>
        </w:rPr>
        <w:t>2</w:t>
      </w:r>
      <w:r w:rsidRPr="00AA53F4">
        <w:t>/cycle at a dose of 0.5 mg/</w:t>
      </w:r>
      <w:r w:rsidR="00F769DD" w:rsidRPr="00AA53F4">
        <w:rPr>
          <w:lang w:val="en-US"/>
        </w:rPr>
        <w:t>m</w:t>
      </w:r>
      <w:r w:rsidR="00F769DD" w:rsidRPr="00F769DD">
        <w:rPr>
          <w:vertAlign w:val="superscript"/>
          <w:lang w:val="en-US"/>
        </w:rPr>
        <w:t>2</w:t>
      </w:r>
      <w:r w:rsidRPr="00AA53F4">
        <w:t xml:space="preserve"> on </w:t>
      </w:r>
      <w:r w:rsidR="00AF6A3A">
        <w:t>Day</w:t>
      </w:r>
      <w:r w:rsidRPr="00AA53F4">
        <w:t>s 1, 8 and 15).</w:t>
      </w:r>
    </w:p>
    <w:p w14:paraId="29546CF5" w14:textId="5930DC98" w:rsidR="00503681" w:rsidRDefault="00EA3B37" w:rsidP="00EA3B37">
      <w:r w:rsidRPr="00AA53F4">
        <w:t xml:space="preserve">The study included 49 (15.0%) patients who were </w:t>
      </w:r>
      <w:proofErr w:type="spellStart"/>
      <w:r w:rsidRPr="00AA53F4">
        <w:t>Ph</w:t>
      </w:r>
      <w:proofErr w:type="spellEnd"/>
      <w:r w:rsidRPr="00AA53F4">
        <w:t xml:space="preserve">+, comprising 22 (13.4%) patients in the inotuzumab arm and 27 (16.7%) patients in the control arm. </w:t>
      </w:r>
      <w:proofErr w:type="spellStart"/>
      <w:r w:rsidRPr="00AA53F4">
        <w:t>Ph</w:t>
      </w:r>
      <w:proofErr w:type="spellEnd"/>
      <w:r w:rsidRPr="00AA53F4">
        <w:t xml:space="preserve">+ patients were required to have failed treatment with at least one </w:t>
      </w:r>
      <w:r w:rsidR="007C2763" w:rsidRPr="00160FA8">
        <w:t>second</w:t>
      </w:r>
      <w:r w:rsidRPr="00AA53F4">
        <w:t xml:space="preserve"> or </w:t>
      </w:r>
      <w:r w:rsidR="007C2763">
        <w:t xml:space="preserve">third </w:t>
      </w:r>
      <w:r w:rsidRPr="00AA53F4">
        <w:t xml:space="preserve">generation TKI and standard multi-agent induction chemotherapy (inclusion criterion number 2). However, 3 </w:t>
      </w:r>
      <w:proofErr w:type="spellStart"/>
      <w:r w:rsidRPr="00AA53F4">
        <w:t>Ph</w:t>
      </w:r>
      <w:proofErr w:type="spellEnd"/>
      <w:r w:rsidRPr="00AA53F4">
        <w:t xml:space="preserve">+ patients in the inotuzumab ozogamicin arm and 1 </w:t>
      </w:r>
      <w:proofErr w:type="spellStart"/>
      <w:r w:rsidRPr="00AA53F4">
        <w:t>Ph</w:t>
      </w:r>
      <w:proofErr w:type="spellEnd"/>
      <w:r w:rsidRPr="00AA53F4">
        <w:t xml:space="preserve">+ patient in the control arm had not received prior treatment with </w:t>
      </w:r>
      <w:r w:rsidR="007C2763">
        <w:t>second</w:t>
      </w:r>
      <w:r w:rsidRPr="00AA53F4">
        <w:t xml:space="preserve"> </w:t>
      </w:r>
      <w:r w:rsidRPr="007C2763">
        <w:t>o</w:t>
      </w:r>
      <w:r w:rsidR="007C2763">
        <w:t>r third</w:t>
      </w:r>
      <w:r w:rsidRPr="00AA53F4">
        <w:t xml:space="preserve"> generation TKIs due to protocol violation</w:t>
      </w:r>
      <w:r w:rsidR="00503681">
        <w:t>.</w:t>
      </w:r>
    </w:p>
    <w:p w14:paraId="26E4C4FA" w14:textId="3BC31BCF" w:rsidR="00EA3B37" w:rsidRPr="00AA53F4" w:rsidRDefault="00EA3B37" w:rsidP="00EA3B37">
      <w:r w:rsidRPr="00AA53F4">
        <w:t xml:space="preserve">The study population appears younger than the corresponding Australian patient population with ALL (mean age of total ITT population 46years with 16% aged </w:t>
      </w:r>
      <w:r w:rsidR="000A4125" w:rsidRPr="000A4125">
        <w:t>≥</w:t>
      </w:r>
      <w:r w:rsidR="000A4125">
        <w:t> 65 years).</w:t>
      </w:r>
      <w:r w:rsidRPr="00AA53F4">
        <w:t xml:space="preserve"> Subgroup analyses of the primary efficacy endpoints (CR/</w:t>
      </w:r>
      <w:proofErr w:type="spellStart"/>
      <w:r w:rsidRPr="00AA53F4">
        <w:t>CRi</w:t>
      </w:r>
      <w:proofErr w:type="spellEnd"/>
      <w:r w:rsidRPr="00AA53F4">
        <w:t xml:space="preserve">; OS) were undertaken in patients aged &lt; 55 years and </w:t>
      </w:r>
      <w:r w:rsidR="00503681">
        <w:t xml:space="preserve">≥ </w:t>
      </w:r>
      <w:r w:rsidRPr="00AA53F4">
        <w:t xml:space="preserve">55 years, and no marked difference in outcome was observed between the two age groups. There was no efficacy analysis in patients aged &lt; 65 years compared to patients aged </w:t>
      </w:r>
      <w:r w:rsidR="00503681">
        <w:t xml:space="preserve">≥ </w:t>
      </w:r>
      <w:r w:rsidRPr="00AA53F4">
        <w:t>65 years. Overall, the median duration of treatment in the inotuzumab ozogamicin arm was 8.9 weeks (range 0.1 to 26.4) (median number of cycles</w:t>
      </w:r>
      <w:r w:rsidR="0014606A">
        <w:t xml:space="preserve"> </w:t>
      </w:r>
      <w:r w:rsidR="00950079">
        <w:t xml:space="preserve">started </w:t>
      </w:r>
      <w:r w:rsidR="0014606A">
        <w:t xml:space="preserve">= </w:t>
      </w:r>
      <w:r w:rsidRPr="00AA53F4">
        <w:t>3) compared to 0.9</w:t>
      </w:r>
      <w:r w:rsidR="00615666">
        <w:t xml:space="preserve"> </w:t>
      </w:r>
      <w:r w:rsidRPr="00AA53F4">
        <w:t>weeks (range 0.4 to 15.1) (median number of cycles</w:t>
      </w:r>
      <w:r w:rsidR="0014606A">
        <w:t xml:space="preserve"> </w:t>
      </w:r>
      <w:r w:rsidR="00950079">
        <w:t xml:space="preserve">started </w:t>
      </w:r>
      <w:r w:rsidR="0014606A">
        <w:t xml:space="preserve">= </w:t>
      </w:r>
      <w:r w:rsidRPr="00AA53F4">
        <w:t>1) in the control arm (</w:t>
      </w:r>
      <w:r w:rsidR="000A4125">
        <w:t>Study</w:t>
      </w:r>
      <w:r w:rsidR="000A4125" w:rsidRPr="00AA53F4">
        <w:t xml:space="preserve"> </w:t>
      </w:r>
      <w:r w:rsidRPr="00AA53F4">
        <w:t>B1931022). The reasons for treatment discontinuation are discussed below.</w:t>
      </w:r>
    </w:p>
    <w:p w14:paraId="316579B9" w14:textId="77777777" w:rsidR="00EA3B37" w:rsidRPr="00AA53F4" w:rsidRDefault="00EA3B37" w:rsidP="00EA3B37">
      <w:pPr>
        <w:spacing w:before="0" w:after="0" w:line="240" w:lineRule="auto"/>
        <w:outlineLvl w:val="3"/>
      </w:pPr>
      <w:r w:rsidRPr="00AA53F4">
        <w:t>The two primary efficacy endpoints were CR/</w:t>
      </w:r>
      <w:proofErr w:type="spellStart"/>
      <w:r w:rsidRPr="00AA53F4">
        <w:t>CRi</w:t>
      </w:r>
      <w:proofErr w:type="spellEnd"/>
      <w:r w:rsidRPr="00AA53F4">
        <w:t xml:space="preserve"> (per EAC) and OS, with a number of secondary endpoints (</w:t>
      </w:r>
      <w:r w:rsidR="00503681">
        <w:t>that is</w:t>
      </w:r>
      <w:r w:rsidRPr="00AA53F4">
        <w:t xml:space="preserve">, PFS, </w:t>
      </w:r>
      <w:proofErr w:type="spellStart"/>
      <w:r w:rsidRPr="00AA53F4">
        <w:t>DoR</w:t>
      </w:r>
      <w:proofErr w:type="spellEnd"/>
      <w:r w:rsidRPr="00AA53F4">
        <w:t xml:space="preserve"> in patients achieving CR/</w:t>
      </w:r>
      <w:proofErr w:type="spellStart"/>
      <w:r w:rsidRPr="00AA53F4">
        <w:t>CRi</w:t>
      </w:r>
      <w:proofErr w:type="spellEnd"/>
      <w:r w:rsidRPr="00AA53F4">
        <w:t>, MRD-negativity in patients achieving CR/</w:t>
      </w:r>
      <w:proofErr w:type="spellStart"/>
      <w:r w:rsidRPr="00AA53F4">
        <w:t>CRi</w:t>
      </w:r>
      <w:proofErr w:type="spellEnd"/>
      <w:r w:rsidRPr="00AA53F4">
        <w:t>, follow-up HSCT rate, PROs). Key efficacy results include:</w:t>
      </w:r>
    </w:p>
    <w:p w14:paraId="1CFB6BF3" w14:textId="77777777" w:rsidR="00503681" w:rsidRDefault="00EA3B37" w:rsidP="00EA3B37">
      <w:pPr>
        <w:pStyle w:val="ListBullet"/>
      </w:pPr>
      <w:r w:rsidRPr="00AA53F4">
        <w:t>The primary analysis of the CR/</w:t>
      </w:r>
      <w:proofErr w:type="spellStart"/>
      <w:r w:rsidRPr="00AA53F4">
        <w:t>CRi</w:t>
      </w:r>
      <w:proofErr w:type="spellEnd"/>
      <w:r w:rsidRPr="00AA53F4">
        <w:t xml:space="preserve"> (per EAC) was undertaken in the first 218 patients included in the ITT population at the </w:t>
      </w:r>
      <w:r w:rsidR="00E86989">
        <w:t>cut-off</w:t>
      </w:r>
      <w:r w:rsidRPr="00AA53F4">
        <w:t xml:space="preserve"> date of 2 October 2014 (ITT218). In this analysis, the CR/</w:t>
      </w:r>
      <w:proofErr w:type="spellStart"/>
      <w:r w:rsidRPr="00AA53F4">
        <w:t>CRi</w:t>
      </w:r>
      <w:proofErr w:type="spellEnd"/>
      <w:r w:rsidRPr="00AA53F4">
        <w:t xml:space="preserve"> was significantly greater in the inotuzumab ozogamicin arm compared to the control arm (80.7% </w:t>
      </w:r>
      <w:r w:rsidR="001D0208">
        <w:t xml:space="preserve">versus </w:t>
      </w:r>
      <w:r w:rsidRPr="00AA53F4">
        <w:t>29.4%, p &lt; 0.0001, 1-sided Chi-square test). The pre-specified sensitivity analyses for the CR/</w:t>
      </w:r>
      <w:proofErr w:type="spellStart"/>
      <w:r w:rsidRPr="00AA53F4">
        <w:t>CRi</w:t>
      </w:r>
      <w:proofErr w:type="spellEnd"/>
      <w:r w:rsidRPr="00AA53F4">
        <w:t xml:space="preserve"> (EAC) were consistent with the primary analysis</w:t>
      </w:r>
      <w:r w:rsidR="00503681">
        <w:t>.</w:t>
      </w:r>
    </w:p>
    <w:p w14:paraId="74691687" w14:textId="77777777" w:rsidR="00EA3B37" w:rsidRPr="00AA53F4" w:rsidRDefault="00EA3B37" w:rsidP="00EA3B37">
      <w:pPr>
        <w:pStyle w:val="ListBullet"/>
      </w:pPr>
      <w:r w:rsidRPr="00AA53F4">
        <w:lastRenderedPageBreak/>
        <w:t>The result for the updated CR/</w:t>
      </w:r>
      <w:proofErr w:type="spellStart"/>
      <w:r w:rsidRPr="00AA53F4">
        <w:t>CRi</w:t>
      </w:r>
      <w:proofErr w:type="spellEnd"/>
      <w:r w:rsidRPr="00AA53F4">
        <w:t xml:space="preserve"> (per investigator) analysis in the ITT population (n</w:t>
      </w:r>
      <w:r w:rsidR="0014606A">
        <w:t xml:space="preserve"> = </w:t>
      </w:r>
      <w:r w:rsidRPr="00AA53F4">
        <w:t xml:space="preserve">326) at the </w:t>
      </w:r>
      <w:r w:rsidR="00E86989">
        <w:t>cut-off</w:t>
      </w:r>
      <w:r w:rsidRPr="00AA53F4">
        <w:t xml:space="preserve"> date of 8 March 2016 was consistent with the CR/</w:t>
      </w:r>
      <w:proofErr w:type="spellStart"/>
      <w:r w:rsidRPr="00AA53F4">
        <w:t>CRi</w:t>
      </w:r>
      <w:proofErr w:type="spellEnd"/>
      <w:r w:rsidRPr="00AA53F4">
        <w:t xml:space="preserve"> for the primary efficacy analysis. In t</w:t>
      </w:r>
      <w:r>
        <w:t xml:space="preserve">he updated ITT population, the </w:t>
      </w:r>
      <w:r w:rsidRPr="00AA53F4">
        <w:t>CR/</w:t>
      </w:r>
      <w:proofErr w:type="spellStart"/>
      <w:r w:rsidRPr="00AA53F4">
        <w:t>CRi</w:t>
      </w:r>
      <w:proofErr w:type="spellEnd"/>
      <w:r w:rsidRPr="00AA53F4">
        <w:t xml:space="preserve"> (per investigator) was 73.2%, in the inotuzumab ozogamicin compared to 30.9% in the control arm (</w:t>
      </w:r>
      <w:r w:rsidR="000A4125">
        <w:t>p &lt; </w:t>
      </w:r>
      <w:r w:rsidR="001348F0">
        <w:t>0</w:t>
      </w:r>
      <w:r w:rsidRPr="00AA53F4">
        <w:t>.</w:t>
      </w:r>
      <w:r w:rsidR="000A4125">
        <w:t xml:space="preserve">0001, 1 </w:t>
      </w:r>
      <w:r w:rsidRPr="00AA53F4">
        <w:t>sided Chi-square test). In the ITT population, nearly all patients in the inotuzumab arm with a CR/</w:t>
      </w:r>
      <w:proofErr w:type="spellStart"/>
      <w:r w:rsidRPr="00AA53F4">
        <w:t>CRi</w:t>
      </w:r>
      <w:proofErr w:type="spellEnd"/>
      <w:r w:rsidRPr="00AA53F4">
        <w:t xml:space="preserve"> achieved remission within the first two treatment cycles (70.8%, Cycle 1 and 25.8%, Cycle 2), and no patients achieved remission after the third cycle.</w:t>
      </w:r>
    </w:p>
    <w:p w14:paraId="7E921D4B" w14:textId="428BA26A" w:rsidR="00503681" w:rsidRDefault="00EA3B37" w:rsidP="00EA3B37">
      <w:pPr>
        <w:pStyle w:val="ListBullet"/>
      </w:pPr>
      <w:r w:rsidRPr="00AA53F4">
        <w:t>The primary analysis of OS was undertaken in the ITT when 252 deaths had occurred (122 deaths, 74.4%, inotuzumab ozogamicin; 130 deaths, 80.2%, control). The primary</w:t>
      </w:r>
      <w:r w:rsidR="00D2491E">
        <w:t> </w:t>
      </w:r>
      <w:r w:rsidRPr="00AA53F4">
        <w:t xml:space="preserve">OS analysis demonstrated a small survival benefit in favour of the inotuzumab ozogamicin arm compared to the control arm. However, the difference between the two treatment arms was not statistically significant based on the pre-specified stratified analysis: </w:t>
      </w:r>
      <w:r w:rsidR="00503681">
        <w:t>that is</w:t>
      </w:r>
      <w:r w:rsidRPr="00AA53F4">
        <w:t>, HR</w:t>
      </w:r>
      <w:r w:rsidR="0014606A">
        <w:t xml:space="preserve"> = </w:t>
      </w:r>
      <w:r w:rsidRPr="00AA53F4">
        <w:t>0.770 (97.5%: 0.578, 1.026); p</w:t>
      </w:r>
      <w:r w:rsidR="0014606A">
        <w:t xml:space="preserve"> = </w:t>
      </w:r>
      <w:r w:rsidR="000A4125">
        <w:t>0.0203 stratified log</w:t>
      </w:r>
      <w:r w:rsidR="000A4125">
        <w:noBreakHyphen/>
      </w:r>
      <w:r w:rsidRPr="00AA53F4">
        <w:t>rank test, 1-sided. In this analysis, the p-value o</w:t>
      </w:r>
      <w:r w:rsidR="000A4125">
        <w:t>f 0.0203 was greater than the p</w:t>
      </w:r>
      <w:r w:rsidR="000A4125">
        <w:noBreakHyphen/>
      </w:r>
      <w:r w:rsidRPr="00AA53F4">
        <w:t>value boundary for significance of 0.0104, adjusted for alpha-spending in the interim analysis. The absolute difference in the median OS was 1 month in favour of inotuzumab ozogamicin compared to control (7.7 month</w:t>
      </w:r>
      <w:r>
        <w:t xml:space="preserve">s </w:t>
      </w:r>
      <w:r w:rsidR="001D0208">
        <w:t xml:space="preserve">versus </w:t>
      </w:r>
      <w:r>
        <w:t>6.7 months, respectively)</w:t>
      </w:r>
      <w:r w:rsidRPr="00AA53F4">
        <w:t>.</w:t>
      </w:r>
      <w:r w:rsidR="006779D9">
        <w:t xml:space="preserve"> </w:t>
      </w:r>
      <w:r w:rsidRPr="00AA53F4">
        <w:t xml:space="preserve">The updated results for the OS analysis in the ITT population based on data at a </w:t>
      </w:r>
      <w:r w:rsidR="00E86989">
        <w:t>cut-off</w:t>
      </w:r>
      <w:r w:rsidRPr="00AA53F4">
        <w:t xml:space="preserve"> date of 4 January 2017 (LSLV) were consistent with the analysis undertaken at a cut-off date of 8 March 2016</w:t>
      </w:r>
      <w:r w:rsidR="00503681">
        <w:t>.</w:t>
      </w:r>
    </w:p>
    <w:p w14:paraId="467AC7F2" w14:textId="77777777" w:rsidR="00EA3B37" w:rsidRPr="00AA53F4" w:rsidRDefault="00EA3B37" w:rsidP="00EA3B37">
      <w:pPr>
        <w:pStyle w:val="ListBullet2"/>
        <w:rPr>
          <w:lang w:val="en-US"/>
        </w:rPr>
      </w:pPr>
      <w:r w:rsidRPr="00AA53F4">
        <w:rPr>
          <w:lang w:val="en-US"/>
        </w:rPr>
        <w:t>The sponsor considered that the assumption of proportional hazards (PH) for the two arms had not been satisfied making the calculated HR unreliable.</w:t>
      </w:r>
    </w:p>
    <w:p w14:paraId="6F5578EF" w14:textId="77777777" w:rsidR="00503681" w:rsidRDefault="00EA3B37" w:rsidP="00EA3B37">
      <w:pPr>
        <w:pStyle w:val="ListBullet2"/>
        <w:rPr>
          <w:lang w:val="en-US"/>
        </w:rPr>
      </w:pPr>
      <w:r w:rsidRPr="00AA53F4">
        <w:rPr>
          <w:lang w:val="en-US"/>
        </w:rPr>
        <w:t xml:space="preserve">The </w:t>
      </w:r>
      <w:r w:rsidR="00F769DD">
        <w:rPr>
          <w:lang w:val="en-US"/>
        </w:rPr>
        <w:t>sponsor</w:t>
      </w:r>
      <w:r w:rsidRPr="00AA53F4">
        <w:rPr>
          <w:lang w:val="en-US"/>
        </w:rPr>
        <w:t xml:space="preserve"> also provided exploratory </w:t>
      </w:r>
      <w:r w:rsidRPr="009B3582">
        <w:rPr>
          <w:lang w:val="en-US"/>
        </w:rPr>
        <w:t>post hoc</w:t>
      </w:r>
      <w:r w:rsidRPr="00AA53F4">
        <w:rPr>
          <w:lang w:val="en-US"/>
        </w:rPr>
        <w:t xml:space="preserve"> analyses of OS undertaken using restricted mean survival time (RMST) and competing risk analyses. These analyses showed a greater treatment effect for survival in patients in inotuzumab ozogamicin compared to patients in the control arm compared to the primary analysis of OS. Other exploratory </w:t>
      </w:r>
      <w:r w:rsidRPr="009B3582">
        <w:rPr>
          <w:lang w:val="en-US"/>
        </w:rPr>
        <w:t>post hoc</w:t>
      </w:r>
      <w:r w:rsidRPr="00AA53F4">
        <w:rPr>
          <w:lang w:val="en-US"/>
        </w:rPr>
        <w:t xml:space="preserve"> analyses of OS included OS censored at HSCT date and OS censored for subsequent therapies. The results for these analyses of OS were consistent with the primary analysis of OS</w:t>
      </w:r>
      <w:r w:rsidR="00503681">
        <w:rPr>
          <w:lang w:val="en-US"/>
        </w:rPr>
        <w:t>.</w:t>
      </w:r>
    </w:p>
    <w:p w14:paraId="3D0D69DA" w14:textId="77777777" w:rsidR="00503681" w:rsidRDefault="00EA3B37" w:rsidP="00EA3B37">
      <w:pPr>
        <w:pStyle w:val="ListBullet"/>
        <w:rPr>
          <w:rFonts w:cs="Times"/>
          <w:lang w:val="en-US"/>
        </w:rPr>
      </w:pPr>
      <w:r w:rsidRPr="00AA53F4">
        <w:t xml:space="preserve">The key secondary efficacy endpoint is considered to be PFS, as this is the only secondary efficacy endpoint for which significance testing was specifically defined in the SAP. The SAP specified that if </w:t>
      </w:r>
      <w:r w:rsidRPr="00AA53F4">
        <w:rPr>
          <w:rFonts w:cs="Times"/>
          <w:lang w:val="en-US"/>
        </w:rPr>
        <w:t>either the CR/</w:t>
      </w:r>
      <w:proofErr w:type="spellStart"/>
      <w:r w:rsidRPr="00AA53F4">
        <w:rPr>
          <w:rFonts w:cs="Times"/>
          <w:lang w:val="en-US"/>
        </w:rPr>
        <w:t>CRi</w:t>
      </w:r>
      <w:proofErr w:type="spellEnd"/>
      <w:r w:rsidRPr="00AA53F4">
        <w:rPr>
          <w:rFonts w:cs="Times"/>
          <w:lang w:val="en-US"/>
        </w:rPr>
        <w:t xml:space="preserve"> or OS comparison was significant, then PFS between the two </w:t>
      </w:r>
      <w:proofErr w:type="gramStart"/>
      <w:r w:rsidRPr="00AA53F4">
        <w:rPr>
          <w:rFonts w:cs="Times"/>
          <w:lang w:val="en-US"/>
        </w:rPr>
        <w:t>treatment</w:t>
      </w:r>
      <w:proofErr w:type="gramEnd"/>
      <w:r w:rsidRPr="00AA53F4">
        <w:rPr>
          <w:rFonts w:cs="Times"/>
          <w:lang w:val="en-US"/>
        </w:rPr>
        <w:t xml:space="preserve"> arms was to be compared using a stratified log-rank test with significance level of 0.05.</w:t>
      </w:r>
      <w:r w:rsidR="006779D9">
        <w:rPr>
          <w:rFonts w:cs="Times"/>
          <w:lang w:val="en-US"/>
        </w:rPr>
        <w:t xml:space="preserve"> </w:t>
      </w:r>
      <w:r w:rsidRPr="00AA53F4">
        <w:rPr>
          <w:rFonts w:cs="Times"/>
          <w:lang w:val="en-US"/>
        </w:rPr>
        <w:t xml:space="preserve">In the ITT population (updated data), the estimated HR for the PFS (inotuzumab ozogamicin </w:t>
      </w:r>
      <w:r w:rsidR="001D0208">
        <w:rPr>
          <w:rFonts w:cs="Times"/>
          <w:lang w:val="en-US"/>
        </w:rPr>
        <w:t xml:space="preserve">versus </w:t>
      </w:r>
      <w:r w:rsidR="000A4125">
        <w:rPr>
          <w:rFonts w:cs="Times"/>
          <w:lang w:val="en-US"/>
        </w:rPr>
        <w:t>the control arm) was 0.452 </w:t>
      </w:r>
      <w:r w:rsidRPr="00AA53F4">
        <w:rPr>
          <w:rFonts w:cs="Times"/>
          <w:lang w:val="en-US"/>
        </w:rPr>
        <w:t>(97.5% CI: 0.336, 0.609; 1-sided p &lt;</w:t>
      </w:r>
      <w:r w:rsidR="000A4125">
        <w:rPr>
          <w:rFonts w:cs="Times"/>
          <w:lang w:val="en-US"/>
        </w:rPr>
        <w:t xml:space="preserve"> </w:t>
      </w:r>
      <w:r w:rsidRPr="00AA53F4">
        <w:rPr>
          <w:rFonts w:cs="Times"/>
          <w:lang w:val="en-US"/>
        </w:rPr>
        <w:t xml:space="preserve">0.0001) based on the stratified analysis, and the median PFS was 3.2 months longer in the inotuzumab arm than in the control arm (5.0 </w:t>
      </w:r>
      <w:r w:rsidR="001D0208">
        <w:rPr>
          <w:rFonts w:cs="Times"/>
          <w:lang w:val="en-US"/>
        </w:rPr>
        <w:t xml:space="preserve">versus </w:t>
      </w:r>
      <w:r w:rsidRPr="00AA53F4">
        <w:rPr>
          <w:rFonts w:cs="Times"/>
          <w:lang w:val="en-US"/>
        </w:rPr>
        <w:t>1.8 months, respectively). The results for the PFS are considered to be clinically meaningful. It should be noted that the pre-specified definition of PFS in this study differed from the standard definition of this endpoint, as it included starting new induction therapy or post-therapy HSCT without achieving CR/</w:t>
      </w:r>
      <w:proofErr w:type="spellStart"/>
      <w:r w:rsidRPr="00AA53F4">
        <w:rPr>
          <w:rFonts w:cs="Times"/>
          <w:lang w:val="en-US"/>
        </w:rPr>
        <w:t>CRi</w:t>
      </w:r>
      <w:proofErr w:type="spellEnd"/>
      <w:r w:rsidRPr="00AA53F4">
        <w:rPr>
          <w:rFonts w:cs="Times"/>
          <w:lang w:val="en-US"/>
        </w:rPr>
        <w:t xml:space="preserve"> in addition to death or disease progression</w:t>
      </w:r>
      <w:r w:rsidR="00503681">
        <w:rPr>
          <w:rFonts w:cs="Times"/>
          <w:lang w:val="en-US"/>
        </w:rPr>
        <w:t>.</w:t>
      </w:r>
    </w:p>
    <w:p w14:paraId="46A2A1F1" w14:textId="01E28544" w:rsidR="00EA3B37" w:rsidRPr="00AA53F4" w:rsidRDefault="00EA3B37" w:rsidP="00EA3B37">
      <w:pPr>
        <w:pStyle w:val="ListBullet"/>
        <w:rPr>
          <w:rFonts w:cs="Times"/>
          <w:lang w:val="en-US"/>
        </w:rPr>
      </w:pPr>
      <w:r w:rsidRPr="00AA53F4">
        <w:rPr>
          <w:rFonts w:cs="Times"/>
          <w:lang w:val="en-US"/>
        </w:rPr>
        <w:t>In patients achieving CR/</w:t>
      </w:r>
      <w:proofErr w:type="spellStart"/>
      <w:r w:rsidR="002406E7" w:rsidRPr="00AA53F4">
        <w:rPr>
          <w:rFonts w:cs="Times"/>
          <w:lang w:val="en-US"/>
        </w:rPr>
        <w:t>C</w:t>
      </w:r>
      <w:r w:rsidR="002406E7">
        <w:rPr>
          <w:rFonts w:cs="Times"/>
          <w:lang w:val="en-US"/>
        </w:rPr>
        <w:t>R</w:t>
      </w:r>
      <w:r w:rsidR="002406E7" w:rsidRPr="00AA53F4">
        <w:rPr>
          <w:rFonts w:cs="Times"/>
          <w:lang w:val="en-US"/>
        </w:rPr>
        <w:t>i</w:t>
      </w:r>
      <w:proofErr w:type="spellEnd"/>
      <w:r w:rsidR="002406E7" w:rsidRPr="00AA53F4">
        <w:rPr>
          <w:rFonts w:cs="Times"/>
          <w:lang w:val="en-US"/>
        </w:rPr>
        <w:t xml:space="preserve"> </w:t>
      </w:r>
      <w:r w:rsidRPr="00AA53F4">
        <w:rPr>
          <w:rFonts w:cs="Times"/>
          <w:lang w:val="en-US"/>
        </w:rPr>
        <w:t>in the updated ITT population (n</w:t>
      </w:r>
      <w:r w:rsidR="0014606A">
        <w:rPr>
          <w:rFonts w:cs="Times"/>
          <w:lang w:val="en-US"/>
        </w:rPr>
        <w:t xml:space="preserve"> = </w:t>
      </w:r>
      <w:r w:rsidRPr="00AA53F4">
        <w:rPr>
          <w:rFonts w:cs="Times"/>
          <w:lang w:val="en-US"/>
        </w:rPr>
        <w:t xml:space="preserve">326), the percentage of patients MRD negative was greater in the inotuzumab ozogamicin arm than in the control arm, and the difference between the two arms was statistically significant (nominal). Overall, 92/120 (76.7%) achieved MRD-negativity in the inotuzumab ozogamicin arm and 19/50 (38.0%) patients achieved MRD-negativity in the control arm (1-sided </w:t>
      </w:r>
      <w:r w:rsidR="001348F0">
        <w:rPr>
          <w:rFonts w:cs="Times"/>
          <w:lang w:val="en-US"/>
        </w:rPr>
        <w:t>p &lt; 0</w:t>
      </w:r>
      <w:r w:rsidRPr="00AA53F4">
        <w:rPr>
          <w:rFonts w:cs="Times"/>
          <w:lang w:val="en-US"/>
        </w:rPr>
        <w:t>.0001; Chi-square test), for a rate difference of 38.7%.</w:t>
      </w:r>
    </w:p>
    <w:p w14:paraId="682B7AE8" w14:textId="77777777" w:rsidR="00EA3B37" w:rsidRPr="00AA53F4" w:rsidRDefault="00EA3B37" w:rsidP="00EA3B37">
      <w:pPr>
        <w:pStyle w:val="ListBullet2"/>
        <w:rPr>
          <w:lang w:val="en-US"/>
        </w:rPr>
      </w:pPr>
      <w:r w:rsidRPr="00AA53F4">
        <w:rPr>
          <w:lang w:val="en-US"/>
        </w:rPr>
        <w:t>Of note, in patients with a CR, a total of 89.1% achieved MRD negative status (95% CI 77.8 to 95.9) compared to 46.2% in the control arm (95% CI 26.6 to 66.6).</w:t>
      </w:r>
    </w:p>
    <w:p w14:paraId="671706BF" w14:textId="783CFCC4" w:rsidR="00EA3B37" w:rsidRPr="00AA53F4" w:rsidRDefault="00EA3B37" w:rsidP="00EA3B37">
      <w:pPr>
        <w:pStyle w:val="ListBullet"/>
        <w:rPr>
          <w:rFonts w:asciiTheme="minorHAnsi" w:hAnsiTheme="minorHAnsi"/>
          <w:lang w:val="en-US"/>
        </w:rPr>
      </w:pPr>
      <w:r w:rsidRPr="00AA53F4">
        <w:lastRenderedPageBreak/>
        <w:t>In the ITT population</w:t>
      </w:r>
      <w:r w:rsidR="000A4125">
        <w:rPr>
          <w:lang w:val="en-US"/>
        </w:rPr>
        <w:t xml:space="preserve">, there was an approximately 4 </w:t>
      </w:r>
      <w:r w:rsidRPr="00AA53F4">
        <w:rPr>
          <w:lang w:val="en-US"/>
        </w:rPr>
        <w:t>fold increase in the percentage of patients in the inotuzumab ozogamicin arm proceeding to follow-up HSCT directly after achieving CR/</w:t>
      </w:r>
      <w:proofErr w:type="spellStart"/>
      <w:r w:rsidRPr="00AA53F4">
        <w:rPr>
          <w:lang w:val="en-US"/>
        </w:rPr>
        <w:t>CRi</w:t>
      </w:r>
      <w:proofErr w:type="spellEnd"/>
      <w:r w:rsidRPr="00AA53F4">
        <w:rPr>
          <w:lang w:val="en-US"/>
        </w:rPr>
        <w:t xml:space="preserve"> (per investigator) without intervening induction or salvage therapy compared to patients in the control arm (39.6% </w:t>
      </w:r>
      <w:r w:rsidR="001D0208">
        <w:rPr>
          <w:lang w:val="en-US"/>
        </w:rPr>
        <w:t xml:space="preserve">versus </w:t>
      </w:r>
      <w:r w:rsidRPr="00AA53F4">
        <w:rPr>
          <w:lang w:val="en-US"/>
        </w:rPr>
        <w:t>9.9%). Of the patients in the ITT population who proceeded to follow-up HSCT</w:t>
      </w:r>
      <w:r w:rsidR="00FC41C7">
        <w:rPr>
          <w:rStyle w:val="FootnoteReference"/>
          <w:lang w:val="en-US"/>
        </w:rPr>
        <w:footnoteReference w:id="49"/>
      </w:r>
      <w:r w:rsidRPr="00AA53F4">
        <w:rPr>
          <w:lang w:val="en-US"/>
        </w:rPr>
        <w:t xml:space="preserve">, the post-transplant mortality rate was similar in the inotuzumab ozogamicin arm compared to control (59.7% </w:t>
      </w:r>
      <w:r w:rsidR="001D0208">
        <w:rPr>
          <w:lang w:val="en-US"/>
        </w:rPr>
        <w:t xml:space="preserve">versus </w:t>
      </w:r>
      <w:r w:rsidRPr="00AA53F4">
        <w:rPr>
          <w:lang w:val="en-US"/>
        </w:rPr>
        <w:t xml:space="preserve">57.6%), but the post-transplant, non-relapse mortality rate was greater in the inotuzumab ozogamicin arm than in the control arm (39.0% </w:t>
      </w:r>
      <w:r w:rsidR="001D0208">
        <w:rPr>
          <w:lang w:val="en-US"/>
        </w:rPr>
        <w:t xml:space="preserve">versus </w:t>
      </w:r>
      <w:r w:rsidRPr="00AA53F4">
        <w:rPr>
          <w:lang w:val="en-US"/>
        </w:rPr>
        <w:t>27.3%, respectively). The higher post-transplant, non-relapse mortality in the inotuzumab ozogamicin arm compared to the control arm was largely due to infection and VOD/SOD. Furthermore, both the 100 day post-transplant mortality rate and the 100 day post-transplant, non-relapse mortality rate were higher in the inotuzumab ozogamicin arm than in the control arm.</w:t>
      </w:r>
    </w:p>
    <w:p w14:paraId="796ABFE0" w14:textId="77777777" w:rsidR="00EA3B37" w:rsidRDefault="00EA3B37" w:rsidP="00EA3B37">
      <w:pPr>
        <w:pStyle w:val="ListBullet2"/>
        <w:rPr>
          <w:lang w:val="en-US"/>
        </w:rPr>
      </w:pPr>
      <w:r w:rsidRPr="00AA53F4">
        <w:rPr>
          <w:lang w:val="en-US"/>
        </w:rPr>
        <w:t>In the D</w:t>
      </w:r>
      <w:r w:rsidR="000A4125">
        <w:rPr>
          <w:lang w:val="en-US"/>
        </w:rPr>
        <w:t xml:space="preserve">ay </w:t>
      </w:r>
      <w:r w:rsidRPr="00AA53F4">
        <w:rPr>
          <w:lang w:val="en-US"/>
        </w:rPr>
        <w:t xml:space="preserve">120 Safety </w:t>
      </w:r>
      <w:r w:rsidRPr="00CC30C8">
        <w:rPr>
          <w:lang w:val="en-US"/>
        </w:rPr>
        <w:t>Update (</w:t>
      </w:r>
      <w:r w:rsidR="00CC30C8" w:rsidRPr="00CC30C8">
        <w:rPr>
          <w:lang w:val="en-US"/>
        </w:rPr>
        <w:t>T</w:t>
      </w:r>
      <w:r w:rsidRPr="00CC30C8">
        <w:rPr>
          <w:lang w:val="en-US"/>
        </w:rPr>
        <w:t xml:space="preserve">able </w:t>
      </w:r>
      <w:r w:rsidR="00CC30C8" w:rsidRPr="00CC30C8">
        <w:rPr>
          <w:lang w:val="en-US"/>
        </w:rPr>
        <w:t>15</w:t>
      </w:r>
      <w:r w:rsidRPr="00CC30C8">
        <w:rPr>
          <w:lang w:val="en-US"/>
        </w:rPr>
        <w:t>) non-relapse</w:t>
      </w:r>
      <w:r w:rsidRPr="00AA53F4">
        <w:rPr>
          <w:lang w:val="en-US"/>
        </w:rPr>
        <w:t xml:space="preserve"> post-transplant mortality in patients who proceeded to HSCT was 40.5% </w:t>
      </w:r>
      <w:r w:rsidR="00503681">
        <w:rPr>
          <w:lang w:val="en-US"/>
        </w:rPr>
        <w:t>(</w:t>
      </w:r>
      <w:r w:rsidRPr="00AA53F4">
        <w:rPr>
          <w:lang w:val="en-US"/>
        </w:rPr>
        <w:t>32/79</w:t>
      </w:r>
      <w:r w:rsidR="00503681">
        <w:rPr>
          <w:lang w:val="en-US"/>
        </w:rPr>
        <w:t>)</w:t>
      </w:r>
      <w:r w:rsidRPr="00AA53F4">
        <w:rPr>
          <w:lang w:val="en-US"/>
        </w:rPr>
        <w:t xml:space="preserve"> in patients in the inotuzumab ozogamicin arm compared to 22.9% </w:t>
      </w:r>
      <w:r w:rsidR="00503681">
        <w:rPr>
          <w:lang w:val="en-US"/>
        </w:rPr>
        <w:t>(</w:t>
      </w:r>
      <w:r w:rsidRPr="00AA53F4">
        <w:rPr>
          <w:lang w:val="en-US"/>
        </w:rPr>
        <w:t>8/35</w:t>
      </w:r>
      <w:r w:rsidR="00503681">
        <w:rPr>
          <w:lang w:val="en-US"/>
        </w:rPr>
        <w:t>)</w:t>
      </w:r>
      <w:r w:rsidRPr="00AA53F4">
        <w:rPr>
          <w:lang w:val="en-US"/>
        </w:rPr>
        <w:t xml:space="preserve"> in the control arm. The most common reasons for post-transplant non-relapse deaths in the inotuzumab arm (</w:t>
      </w:r>
      <w:r w:rsidR="001D0208">
        <w:rPr>
          <w:lang w:val="en-US"/>
        </w:rPr>
        <w:t xml:space="preserve">versus </w:t>
      </w:r>
      <w:r w:rsidRPr="00AA53F4">
        <w:rPr>
          <w:lang w:val="en-US"/>
        </w:rPr>
        <w:t xml:space="preserve">control, respectively) were infection (21.6% </w:t>
      </w:r>
      <w:r w:rsidR="00503681">
        <w:rPr>
          <w:lang w:val="en-US"/>
        </w:rPr>
        <w:t>(</w:t>
      </w:r>
      <w:r w:rsidRPr="00AA53F4">
        <w:rPr>
          <w:lang w:val="en-US"/>
        </w:rPr>
        <w:t>11/79</w:t>
      </w:r>
      <w:r w:rsidR="00503681">
        <w:rPr>
          <w:lang w:val="en-US"/>
        </w:rPr>
        <w:t>)</w:t>
      </w:r>
      <w:r w:rsidRPr="00AA53F4">
        <w:rPr>
          <w:lang w:val="en-US"/>
        </w:rPr>
        <w:t xml:space="preserve"> </w:t>
      </w:r>
      <w:r w:rsidR="001D0208">
        <w:rPr>
          <w:lang w:val="en-US"/>
        </w:rPr>
        <w:t xml:space="preserve">versus </w:t>
      </w:r>
      <w:r w:rsidRPr="00AA53F4">
        <w:rPr>
          <w:lang w:val="en-US"/>
        </w:rPr>
        <w:t xml:space="preserve">17.4% </w:t>
      </w:r>
      <w:r w:rsidR="00503681">
        <w:rPr>
          <w:lang w:val="en-US"/>
        </w:rPr>
        <w:t>(</w:t>
      </w:r>
      <w:r w:rsidRPr="00AA53F4">
        <w:rPr>
          <w:lang w:val="en-US"/>
        </w:rPr>
        <w:t>4/35</w:t>
      </w:r>
      <w:r w:rsidR="00503681">
        <w:rPr>
          <w:lang w:val="en-US"/>
        </w:rPr>
        <w:t>)</w:t>
      </w:r>
      <w:r w:rsidRPr="00AA53F4">
        <w:rPr>
          <w:lang w:val="en-US"/>
        </w:rPr>
        <w:t xml:space="preserve">), and VOD (9.8% </w:t>
      </w:r>
      <w:r w:rsidR="00503681">
        <w:rPr>
          <w:lang w:val="en-US"/>
        </w:rPr>
        <w:t>(</w:t>
      </w:r>
      <w:r w:rsidRPr="00AA53F4">
        <w:rPr>
          <w:lang w:val="en-US"/>
        </w:rPr>
        <w:t>5/79</w:t>
      </w:r>
      <w:r w:rsidR="00503681">
        <w:rPr>
          <w:lang w:val="en-US"/>
        </w:rPr>
        <w:t>)</w:t>
      </w:r>
      <w:r w:rsidRPr="00AA53F4">
        <w:rPr>
          <w:lang w:val="en-US"/>
        </w:rPr>
        <w:t xml:space="preserve"> </w:t>
      </w:r>
      <w:r w:rsidR="001D0208">
        <w:rPr>
          <w:lang w:val="en-US"/>
        </w:rPr>
        <w:t xml:space="preserve">versus </w:t>
      </w:r>
      <w:r w:rsidRPr="00AA53F4">
        <w:rPr>
          <w:lang w:val="en-US"/>
        </w:rPr>
        <w:t xml:space="preserve">0% </w:t>
      </w:r>
      <w:r w:rsidR="00503681">
        <w:rPr>
          <w:lang w:val="en-US"/>
        </w:rPr>
        <w:t>(</w:t>
      </w:r>
      <w:r w:rsidRPr="00AA53F4">
        <w:rPr>
          <w:lang w:val="en-US"/>
        </w:rPr>
        <w:t>0/35</w:t>
      </w:r>
      <w:r w:rsidR="00503681">
        <w:rPr>
          <w:lang w:val="en-US"/>
        </w:rPr>
        <w:t>)</w:t>
      </w:r>
      <w:r w:rsidRPr="00AA53F4">
        <w:rPr>
          <w:lang w:val="en-US"/>
        </w:rPr>
        <w:t>).</w:t>
      </w:r>
    </w:p>
    <w:p w14:paraId="0F4FE332" w14:textId="35328A69" w:rsidR="00F901AA" w:rsidRDefault="00F901AA" w:rsidP="00F901AA">
      <w:pPr>
        <w:pStyle w:val="TableTitle"/>
      </w:pPr>
      <w:r w:rsidRPr="00F901AA">
        <w:lastRenderedPageBreak/>
        <w:t xml:space="preserve">Table </w:t>
      </w:r>
      <w:r w:rsidR="00CC30C8">
        <w:t>15:</w:t>
      </w:r>
      <w:r w:rsidRPr="00F901AA">
        <w:t xml:space="preserve"> Summary </w:t>
      </w:r>
      <w:r w:rsidR="00843728" w:rsidRPr="00F901AA">
        <w:t>of post-transplant survival for patients with follow</w:t>
      </w:r>
      <w:r w:rsidRPr="00F901AA">
        <w:t>-up SCT</w:t>
      </w:r>
      <w:r w:rsidR="00843728">
        <w:t>;</w:t>
      </w:r>
      <w:r w:rsidRPr="00F901AA">
        <w:t xml:space="preserve"> ITT</w:t>
      </w:r>
      <w:r w:rsidR="00843728">
        <w:t> </w:t>
      </w:r>
      <w:r w:rsidRPr="00F901AA">
        <w:t>Population</w:t>
      </w:r>
    </w:p>
    <w:p w14:paraId="06CBC185" w14:textId="77777777" w:rsidR="00F901AA" w:rsidRPr="00F901AA" w:rsidRDefault="00F901AA" w:rsidP="00F901AA">
      <w:r w:rsidRPr="00F901AA">
        <w:rPr>
          <w:noProof/>
          <w:lang w:eastAsia="en-AU"/>
        </w:rPr>
        <w:drawing>
          <wp:inline distT="0" distB="0" distL="0" distR="0" wp14:anchorId="55597425" wp14:editId="57000986">
            <wp:extent cx="5382260" cy="8229600"/>
            <wp:effectExtent l="0" t="0" r="8890" b="0"/>
            <wp:docPr id="24" name="Picture 24" descr="Table 15: Summary of Post-transplant Survival for Patients with Follow-up SC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Lst>
                    </a:blip>
                    <a:stretch>
                      <a:fillRect/>
                    </a:stretch>
                  </pic:blipFill>
                  <pic:spPr>
                    <a:xfrm>
                      <a:off x="0" y="0"/>
                      <a:ext cx="5382260" cy="8229600"/>
                    </a:xfrm>
                    <a:prstGeom prst="rect">
                      <a:avLst/>
                    </a:prstGeom>
                  </pic:spPr>
                </pic:pic>
              </a:graphicData>
            </a:graphic>
          </wp:inline>
        </w:drawing>
      </w:r>
    </w:p>
    <w:p w14:paraId="51CBC250" w14:textId="77777777" w:rsidR="00EA3B37" w:rsidRDefault="00EA3B37" w:rsidP="00EA3B37">
      <w:pPr>
        <w:pStyle w:val="ListBullet"/>
        <w:rPr>
          <w:lang w:val="en-US"/>
        </w:rPr>
      </w:pPr>
      <w:r w:rsidRPr="00AA53F4">
        <w:rPr>
          <w:lang w:val="en-US"/>
        </w:rPr>
        <w:lastRenderedPageBreak/>
        <w:t xml:space="preserve">In the safety population (data </w:t>
      </w:r>
      <w:r w:rsidR="00E86989">
        <w:rPr>
          <w:lang w:val="en-US"/>
        </w:rPr>
        <w:t>cut-off</w:t>
      </w:r>
      <w:r w:rsidR="000A4125">
        <w:rPr>
          <w:lang w:val="en-US"/>
        </w:rPr>
        <w:t xml:space="preserve"> date of </w:t>
      </w:r>
      <w:r w:rsidRPr="00AA53F4">
        <w:rPr>
          <w:lang w:val="en-US"/>
        </w:rPr>
        <w:t xml:space="preserve">2 October 2014), of 259 patients who received study therapy, 116/139 patients permanently discontinued treatment in the inotuzumab ozogamicin arm and 107/120 patients permanently discontinued treatment in the control arm. The most common reasons for treatment discontinuation in the inotuzumab ozogamicin arm included </w:t>
      </w:r>
      <w:r w:rsidR="00503681">
        <w:rPr>
          <w:lang w:val="en-US"/>
        </w:rPr>
        <w:t>‘</w:t>
      </w:r>
      <w:r w:rsidRPr="00AA53F4">
        <w:rPr>
          <w:lang w:val="en-US"/>
        </w:rPr>
        <w:t>complete response</w:t>
      </w:r>
      <w:r w:rsidR="00503681">
        <w:rPr>
          <w:lang w:val="en-US"/>
        </w:rPr>
        <w:t>’</w:t>
      </w:r>
      <w:r w:rsidRPr="00AA53F4">
        <w:rPr>
          <w:lang w:val="en-US"/>
        </w:rPr>
        <w:t xml:space="preserve"> (34.5%), AEs (15.1%), objective progression or relapse (10.8%) and resistant disease (10.1%). The most common reasons for discontinuation from study treatment in the control arm included resistant disease (40.0%), </w:t>
      </w:r>
      <w:r w:rsidR="00503681">
        <w:rPr>
          <w:lang w:val="en-US"/>
        </w:rPr>
        <w:t>‘</w:t>
      </w:r>
      <w:r w:rsidRPr="00AA53F4">
        <w:rPr>
          <w:lang w:val="en-US"/>
        </w:rPr>
        <w:t>complete response</w:t>
      </w:r>
      <w:r w:rsidR="00503681">
        <w:rPr>
          <w:lang w:val="en-US"/>
        </w:rPr>
        <w:t>’</w:t>
      </w:r>
      <w:r w:rsidRPr="00AA53F4">
        <w:rPr>
          <w:lang w:val="en-US"/>
        </w:rPr>
        <w:t xml:space="preserve"> (15.0%) and objective progression or relapse (10.8%) (Study B1931022). As of the 8 March 2016 </w:t>
      </w:r>
      <w:r w:rsidR="00E86989">
        <w:rPr>
          <w:lang w:val="en-US"/>
        </w:rPr>
        <w:t>cut-off</w:t>
      </w:r>
      <w:r w:rsidRPr="00AA53F4">
        <w:rPr>
          <w:lang w:val="en-US"/>
        </w:rPr>
        <w:t xml:space="preserve"> for the supplementary analysis (</w:t>
      </w:r>
      <w:proofErr w:type="spellStart"/>
      <w:r w:rsidRPr="00AA53F4">
        <w:rPr>
          <w:lang w:val="en-US"/>
        </w:rPr>
        <w:t>sCSR</w:t>
      </w:r>
      <w:proofErr w:type="spellEnd"/>
      <w:r w:rsidRPr="00AA53F4">
        <w:rPr>
          <w:lang w:val="en-US"/>
        </w:rPr>
        <w:t>) A total of 125 (76.2%) patients in the inotuzumab ozogamicin arm had permanently discontinued the study compared to 147 (90.7%) patients in the control arm, with the number of ongoing patients being 39 (23.8%) and 15 (9.3%), respectively</w:t>
      </w:r>
      <w:r w:rsidR="000A4125">
        <w:rPr>
          <w:lang w:val="en-US"/>
        </w:rPr>
        <w:t>.</w:t>
      </w:r>
    </w:p>
    <w:p w14:paraId="10EA5D58" w14:textId="77777777" w:rsidR="00EA3B37" w:rsidRPr="007E448B" w:rsidRDefault="00EA3B37" w:rsidP="00EA3B37">
      <w:pPr>
        <w:pStyle w:val="ListBullet"/>
        <w:rPr>
          <w:lang w:val="en-US"/>
        </w:rPr>
      </w:pPr>
      <w:r>
        <w:rPr>
          <w:lang w:val="en-US"/>
        </w:rPr>
        <w:t>F</w:t>
      </w:r>
      <w:r w:rsidRPr="00C5639E">
        <w:rPr>
          <w:lang w:val="en-US"/>
        </w:rPr>
        <w:t>or patients in the inotuzumab ozogamicin arm who achieved CR/</w:t>
      </w:r>
      <w:proofErr w:type="spellStart"/>
      <w:r w:rsidRPr="00C5639E">
        <w:rPr>
          <w:lang w:val="en-US"/>
        </w:rPr>
        <w:t>CRi</w:t>
      </w:r>
      <w:proofErr w:type="spellEnd"/>
      <w:r w:rsidRPr="00C5639E">
        <w:rPr>
          <w:lang w:val="en-US"/>
        </w:rPr>
        <w:t xml:space="preserve"> and did no</w:t>
      </w:r>
      <w:r>
        <w:rPr>
          <w:lang w:val="en-US"/>
        </w:rPr>
        <w:t xml:space="preserve">t undergo follow-up HSCT, </w:t>
      </w:r>
      <w:r w:rsidRPr="006B6410">
        <w:rPr>
          <w:lang w:val="en-US"/>
        </w:rPr>
        <w:t xml:space="preserve">responders who received a maximum of 4 to 6 cycles had numerically higher median </w:t>
      </w:r>
      <w:proofErr w:type="spellStart"/>
      <w:r w:rsidRPr="006B6410">
        <w:rPr>
          <w:lang w:val="en-US"/>
        </w:rPr>
        <w:t>DoR</w:t>
      </w:r>
      <w:proofErr w:type="spellEnd"/>
      <w:r w:rsidRPr="006B6410">
        <w:rPr>
          <w:lang w:val="en-US"/>
        </w:rPr>
        <w:t xml:space="preserve"> and OS compared to responders who received a maximum of 1 to 3 cycles (median </w:t>
      </w:r>
      <w:proofErr w:type="spellStart"/>
      <w:r w:rsidRPr="006B6410">
        <w:rPr>
          <w:lang w:val="en-US"/>
        </w:rPr>
        <w:t>DoR</w:t>
      </w:r>
      <w:proofErr w:type="spellEnd"/>
      <w:r w:rsidRPr="006B6410">
        <w:rPr>
          <w:lang w:val="en-US"/>
        </w:rPr>
        <w:t xml:space="preserve"> of 4.2 and 2.5 months, respectively, and median OS of 8.0 and 5.3 months, respectively)</w:t>
      </w:r>
      <w:r>
        <w:rPr>
          <w:lang w:val="en-US"/>
        </w:rPr>
        <w:t xml:space="preserve"> (note, not statistically significant)</w:t>
      </w:r>
      <w:r w:rsidRPr="006B6410">
        <w:rPr>
          <w:lang w:val="en-US"/>
        </w:rPr>
        <w:t xml:space="preserve">. </w:t>
      </w:r>
      <w:r w:rsidR="000A4125">
        <w:rPr>
          <w:lang w:val="en-US"/>
        </w:rPr>
        <w:t>Five</w:t>
      </w:r>
      <w:r w:rsidRPr="00707385">
        <w:rPr>
          <w:lang w:val="en-US"/>
        </w:rPr>
        <w:t xml:space="preserve"> responders who did not proceed to HSCT after inotuzumab ozogamicin treatment were still alive at 18 months. Of these 5 patie</w:t>
      </w:r>
      <w:r w:rsidR="000A4125">
        <w:rPr>
          <w:lang w:val="en-US"/>
        </w:rPr>
        <w:t>nts, 2 patients had received 3 c</w:t>
      </w:r>
      <w:r w:rsidRPr="00707385">
        <w:rPr>
          <w:lang w:val="en-US"/>
        </w:rPr>
        <w:t xml:space="preserve">ycles and had </w:t>
      </w:r>
      <w:proofErr w:type="spellStart"/>
      <w:r w:rsidRPr="00707385">
        <w:rPr>
          <w:lang w:val="en-US"/>
        </w:rPr>
        <w:t>DoR</w:t>
      </w:r>
      <w:proofErr w:type="spellEnd"/>
      <w:r w:rsidRPr="00707385">
        <w:rPr>
          <w:lang w:val="en-US"/>
        </w:rPr>
        <w:t xml:space="preserve"> of 57 and 128 days, 2 patients had received 4 cycles and had </w:t>
      </w:r>
      <w:proofErr w:type="spellStart"/>
      <w:r w:rsidRPr="00707385">
        <w:rPr>
          <w:lang w:val="en-US"/>
        </w:rPr>
        <w:t>DoR</w:t>
      </w:r>
      <w:proofErr w:type="spellEnd"/>
      <w:r w:rsidRPr="00707385">
        <w:rPr>
          <w:lang w:val="en-US"/>
        </w:rPr>
        <w:t xml:space="preserve"> of 332 and 488 days, and 1 patient had received 6 cycles and had </w:t>
      </w:r>
      <w:proofErr w:type="spellStart"/>
      <w:r w:rsidRPr="00707385">
        <w:rPr>
          <w:lang w:val="en-US"/>
        </w:rPr>
        <w:t>DoR</w:t>
      </w:r>
      <w:proofErr w:type="spellEnd"/>
      <w:r w:rsidRPr="00707385">
        <w:rPr>
          <w:lang w:val="en-US"/>
        </w:rPr>
        <w:t xml:space="preserve"> of 317 days</w:t>
      </w:r>
      <w:r>
        <w:rPr>
          <w:lang w:val="en-US"/>
        </w:rPr>
        <w:t xml:space="preserve"> (</w:t>
      </w:r>
      <w:r w:rsidR="00F769DD">
        <w:rPr>
          <w:lang w:val="en-US"/>
        </w:rPr>
        <w:t>sponsor</w:t>
      </w:r>
      <w:r>
        <w:rPr>
          <w:lang w:val="en-US"/>
        </w:rPr>
        <w:t xml:space="preserve">’s </w:t>
      </w:r>
      <w:r w:rsidR="000A4125">
        <w:rPr>
          <w:lang w:val="en-US"/>
        </w:rPr>
        <w:t>response to clinical questions</w:t>
      </w:r>
      <w:r>
        <w:rPr>
          <w:lang w:val="en-US"/>
        </w:rPr>
        <w:t>)</w:t>
      </w:r>
      <w:r w:rsidRPr="00707385">
        <w:rPr>
          <w:lang w:val="en-US"/>
        </w:rPr>
        <w:t>.</w:t>
      </w:r>
    </w:p>
    <w:p w14:paraId="0A0BAA20" w14:textId="77777777" w:rsidR="00EA3B37" w:rsidRPr="00AA53F4" w:rsidRDefault="00EA3B37" w:rsidP="00EA3B37">
      <w:r w:rsidRPr="00AA53F4">
        <w:t>Overall, the results for the study population are considered to be applicable to Australian patients with relapsed or refractory ALL who might be eligible for treatment with inotuzumab ozogamicin. The implications of these results are addressed in the discussion section below.</w:t>
      </w:r>
    </w:p>
    <w:p w14:paraId="7C8A4717" w14:textId="77777777" w:rsidR="00EA3B37" w:rsidRPr="00AA53F4" w:rsidRDefault="00EA3B37" w:rsidP="00EA3B37">
      <w:pPr>
        <w:pStyle w:val="Heading5"/>
      </w:pPr>
      <w:r w:rsidRPr="00AA53F4">
        <w:t>Study B1931010</w:t>
      </w:r>
    </w:p>
    <w:p w14:paraId="5FD649C5" w14:textId="16CC84B0" w:rsidR="00503681" w:rsidRDefault="006644FB" w:rsidP="00EA3B37">
      <w:r>
        <w:t xml:space="preserve">The supportive single </w:t>
      </w:r>
      <w:r w:rsidR="00EA3B37" w:rsidRPr="00AA53F4">
        <w:t xml:space="preserve">arm </w:t>
      </w:r>
      <w:r w:rsidR="001D0208">
        <w:t>Phase I/II</w:t>
      </w:r>
      <w:r w:rsidR="00EA3B37" w:rsidRPr="00AA53F4">
        <w:t xml:space="preserve"> </w:t>
      </w:r>
      <w:r w:rsidR="00503681">
        <w:t>Study</w:t>
      </w:r>
      <w:r w:rsidR="00EA3B37" w:rsidRPr="00AA53F4">
        <w:t xml:space="preserve"> (B1931010) included a total 72 adult patients with a diagnosis of </w:t>
      </w:r>
      <w:r w:rsidR="005C4508">
        <w:t>CD22 positive</w:t>
      </w:r>
      <w:r w:rsidR="00EA3B37" w:rsidRPr="00AA53F4">
        <w:t xml:space="preserve"> ALL (</w:t>
      </w:r>
      <w:r w:rsidR="00503681">
        <w:t>that is</w:t>
      </w:r>
      <w:r w:rsidR="00EA3B37" w:rsidRPr="00AA53F4">
        <w:t xml:space="preserve">, </w:t>
      </w:r>
      <w:r w:rsidR="00503681">
        <w:t xml:space="preserve">≥ </w:t>
      </w:r>
      <w:r w:rsidR="00EA3B37" w:rsidRPr="00AA53F4">
        <w:t xml:space="preserve">20% blasts </w:t>
      </w:r>
      <w:r w:rsidR="005C4508">
        <w:t>CD22 positive</w:t>
      </w:r>
      <w:r w:rsidR="00EA3B37" w:rsidRPr="00AA53F4">
        <w:t xml:space="preserve"> based on local immuno</w:t>
      </w:r>
      <w:r w:rsidR="000A4125">
        <w:t>-</w:t>
      </w:r>
      <w:r w:rsidR="00EA3B37" w:rsidRPr="00AA53F4">
        <w:t>phenotyping and histopathology) who had refractory disease (defined as disease progression or no response while receiving their most recent prior anticancer therapy) or relapsed disease (defined as response to their most recent prior anticancer therapy with subsequent relapse) and</w:t>
      </w:r>
      <w:r w:rsidR="00DA1C10">
        <w:t>, for</w:t>
      </w:r>
      <w:r w:rsidR="007C2763">
        <w:t xml:space="preserve"> the</w:t>
      </w:r>
      <w:r w:rsidR="00DA1C10">
        <w:t xml:space="preserve"> Phase II portion, </w:t>
      </w:r>
      <w:r w:rsidR="00EA3B37" w:rsidRPr="00AA53F4">
        <w:t xml:space="preserve">were due to receive Salvage </w:t>
      </w:r>
      <w:r w:rsidR="00F769DD">
        <w:t>≥</w:t>
      </w:r>
      <w:r w:rsidR="000F385B" w:rsidRPr="00F769DD">
        <w:t xml:space="preserve"> </w:t>
      </w:r>
      <w:r w:rsidR="00EA3B37" w:rsidRPr="00AA53F4">
        <w:t xml:space="preserve">2 therapy. The inclusion criteria also included patients with lymphoblastic lymphoma with bone marrow involvement with </w:t>
      </w:r>
      <w:r w:rsidR="00503681">
        <w:t xml:space="preserve">≥ </w:t>
      </w:r>
      <w:r w:rsidR="00EA3B37" w:rsidRPr="00AA53F4">
        <w:t xml:space="preserve">5% </w:t>
      </w:r>
      <w:proofErr w:type="spellStart"/>
      <w:r w:rsidR="00EA3B37" w:rsidRPr="00AA53F4">
        <w:t>lymphoblasts</w:t>
      </w:r>
      <w:proofErr w:type="spellEnd"/>
      <w:r w:rsidR="00EA3B37" w:rsidRPr="00AA53F4">
        <w:t xml:space="preserve">, and </w:t>
      </w:r>
      <w:proofErr w:type="spellStart"/>
      <w:r w:rsidR="00EA3B37" w:rsidRPr="00AA53F4">
        <w:t>Ph</w:t>
      </w:r>
      <w:proofErr w:type="spellEnd"/>
      <w:r w:rsidR="00EA3B37" w:rsidRPr="00AA53F4">
        <w:t>+ ALL patients who had failed standard treatment with at least 1 TKI</w:t>
      </w:r>
      <w:r w:rsidR="00503681">
        <w:t>.</w:t>
      </w:r>
    </w:p>
    <w:p w14:paraId="3AD8F3B1" w14:textId="576CAAE1" w:rsidR="00503681" w:rsidRDefault="00EA3B37" w:rsidP="00EA3B37">
      <w:r w:rsidRPr="00AA53F4">
        <w:t xml:space="preserve">Phase 1 of the study included 37 patients and consisted of two parts, firstly a </w:t>
      </w:r>
      <w:r w:rsidR="00E86989">
        <w:t>dose finding</w:t>
      </w:r>
      <w:r w:rsidRPr="00AA53F4">
        <w:t xml:space="preserve"> part designed to select the Phase </w:t>
      </w:r>
      <w:r w:rsidR="007C2763">
        <w:t>II</w:t>
      </w:r>
      <w:r w:rsidRPr="00AA53F4">
        <w:t xml:space="preserve"> dose and a dose-expansion aimed at further evaluating the efficacy and safety of the Phase </w:t>
      </w:r>
      <w:r w:rsidR="007C2763">
        <w:t>II</w:t>
      </w:r>
      <w:r w:rsidRPr="00AA53F4">
        <w:t xml:space="preserve"> dose. Phase </w:t>
      </w:r>
      <w:r w:rsidR="007C2763">
        <w:t>II</w:t>
      </w:r>
      <w:r w:rsidRPr="00AA53F4">
        <w:t xml:space="preserve"> of the study included 35</w:t>
      </w:r>
      <w:r w:rsidR="007C2763">
        <w:t> </w:t>
      </w:r>
      <w:r w:rsidRPr="00AA53F4">
        <w:t xml:space="preserve">patients and was designed to evaluate the efficacy of the Phase </w:t>
      </w:r>
      <w:r w:rsidR="007C2763">
        <w:t>II</w:t>
      </w:r>
      <w:r w:rsidRPr="00AA53F4">
        <w:t xml:space="preserve"> dose of inotuzumab ozogamicin as measured by the </w:t>
      </w:r>
      <w:proofErr w:type="spellStart"/>
      <w:r w:rsidRPr="00AA53F4">
        <w:t>haematologic</w:t>
      </w:r>
      <w:proofErr w:type="spellEnd"/>
      <w:r w:rsidRPr="00AA53F4">
        <w:t xml:space="preserve"> remission rate (CR/</w:t>
      </w:r>
      <w:proofErr w:type="spellStart"/>
      <w:r w:rsidRPr="00AA53F4">
        <w:t>CRi</w:t>
      </w:r>
      <w:proofErr w:type="spellEnd"/>
      <w:r w:rsidRPr="00AA53F4">
        <w:t>) in patients in second or later salvage setting</w:t>
      </w:r>
      <w:r w:rsidR="00503681">
        <w:t>.</w:t>
      </w:r>
    </w:p>
    <w:p w14:paraId="3009A112" w14:textId="7EE4549F" w:rsidR="00EA3B37" w:rsidRPr="00EA3B37" w:rsidRDefault="00EA3B37" w:rsidP="00EA3B37">
      <w:r w:rsidRPr="00AA53F4">
        <w:t>Patients in Phase 2 were treated with inotuzumab ozogamicin 1.8 mg/</w:t>
      </w:r>
      <w:r w:rsidR="00F769DD" w:rsidRPr="00AA53F4">
        <w:rPr>
          <w:lang w:val="en-US"/>
        </w:rPr>
        <w:t>m</w:t>
      </w:r>
      <w:r w:rsidR="00F769DD" w:rsidRPr="00F769DD">
        <w:rPr>
          <w:vertAlign w:val="superscript"/>
          <w:lang w:val="en-US"/>
        </w:rPr>
        <w:t>2</w:t>
      </w:r>
      <w:r w:rsidRPr="00AA53F4">
        <w:t xml:space="preserve">/cycle </w:t>
      </w:r>
      <w:r w:rsidRPr="00AA53F4">
        <w:rPr>
          <w:rFonts w:eastAsiaTheme="minorHAnsi" w:cs="TimesNewRoman"/>
        </w:rPr>
        <w:t>administered at a dose of 0.8 mg/</w:t>
      </w:r>
      <w:r w:rsidR="00F769DD" w:rsidRPr="00AA53F4">
        <w:rPr>
          <w:lang w:val="en-US"/>
        </w:rPr>
        <w:t>m</w:t>
      </w:r>
      <w:r w:rsidR="00F769DD" w:rsidRPr="00F769DD">
        <w:rPr>
          <w:vertAlign w:val="superscript"/>
          <w:lang w:val="en-US"/>
        </w:rPr>
        <w:t>2</w:t>
      </w:r>
      <w:r w:rsidRPr="00AA53F4">
        <w:rPr>
          <w:rFonts w:eastAsiaTheme="minorHAnsi" w:cs="TimesNewRoman"/>
        </w:rPr>
        <w:t xml:space="preserve"> on Day 1 and 0.5 mg/</w:t>
      </w:r>
      <w:r w:rsidR="00F769DD" w:rsidRPr="00AA53F4">
        <w:rPr>
          <w:lang w:val="en-US"/>
        </w:rPr>
        <w:t>m</w:t>
      </w:r>
      <w:r w:rsidR="00F769DD" w:rsidRPr="00F769DD">
        <w:rPr>
          <w:vertAlign w:val="superscript"/>
          <w:lang w:val="en-US"/>
        </w:rPr>
        <w:t>2</w:t>
      </w:r>
      <w:r w:rsidRPr="00AA53F4">
        <w:rPr>
          <w:rFonts w:eastAsiaTheme="minorHAnsi" w:cs="TimesNewRoman"/>
        </w:rPr>
        <w:t xml:space="preserve"> on Days 8 and 15 of a </w:t>
      </w:r>
      <w:r w:rsidR="00503681">
        <w:rPr>
          <w:rFonts w:eastAsiaTheme="minorHAnsi" w:cs="TimesNewRoman"/>
        </w:rPr>
        <w:t>28 day</w:t>
      </w:r>
      <w:r w:rsidRPr="00AA53F4">
        <w:rPr>
          <w:rFonts w:eastAsiaTheme="minorHAnsi" w:cs="TimesNewRoman"/>
        </w:rPr>
        <w:t xml:space="preserve"> cycle with a dose reduction upon achieving CR/Cri. The majority of patients (85.8%) had an </w:t>
      </w:r>
      <w:r w:rsidR="00BF79CA">
        <w:t>Eastern Cooperative Oncology Group</w:t>
      </w:r>
      <w:r w:rsidR="00BF79CA" w:rsidRPr="00AA53F4">
        <w:rPr>
          <w:rFonts w:eastAsiaTheme="minorHAnsi" w:cs="TimesNewRoman"/>
        </w:rPr>
        <w:t xml:space="preserve"> </w:t>
      </w:r>
      <w:r w:rsidR="00BF79CA">
        <w:rPr>
          <w:rFonts w:eastAsiaTheme="minorHAnsi" w:cs="TimesNewRoman"/>
        </w:rPr>
        <w:t>(</w:t>
      </w:r>
      <w:r w:rsidRPr="00AA53F4">
        <w:rPr>
          <w:rFonts w:eastAsiaTheme="minorHAnsi" w:cs="TimesNewRoman"/>
        </w:rPr>
        <w:t>ECOG</w:t>
      </w:r>
      <w:r w:rsidR="00BF79CA">
        <w:rPr>
          <w:rFonts w:eastAsiaTheme="minorHAnsi" w:cs="TimesNewRoman"/>
        </w:rPr>
        <w:t>)</w:t>
      </w:r>
      <w:r w:rsidRPr="00AA53F4">
        <w:rPr>
          <w:rFonts w:eastAsiaTheme="minorHAnsi" w:cs="TimesNewRoman"/>
        </w:rPr>
        <w:t xml:space="preserve"> status of 1 or 2, with 2 patients included with ECOG status of 3 (</w:t>
      </w:r>
      <w:r w:rsidR="00475D35">
        <w:rPr>
          <w:rFonts w:eastAsiaTheme="minorHAnsi" w:cs="TimesNewRoman"/>
        </w:rPr>
        <w:t>5.7</w:t>
      </w:r>
      <w:r w:rsidRPr="00AA53F4">
        <w:rPr>
          <w:rFonts w:eastAsiaTheme="minorHAnsi" w:cs="TimesNewRoman"/>
        </w:rPr>
        <w:t>%). The salvage status of the patients were 1 (n</w:t>
      </w:r>
      <w:r w:rsidR="0014606A">
        <w:rPr>
          <w:rFonts w:eastAsiaTheme="minorHAnsi" w:cs="TimesNewRoman"/>
        </w:rPr>
        <w:t xml:space="preserve"> = </w:t>
      </w:r>
      <w:r w:rsidRPr="00AA53F4">
        <w:rPr>
          <w:rFonts w:eastAsiaTheme="minorHAnsi" w:cs="TimesNewRoman"/>
        </w:rPr>
        <w:t>2, 5.7%), 2 (n</w:t>
      </w:r>
      <w:r w:rsidR="0014606A">
        <w:rPr>
          <w:rFonts w:eastAsiaTheme="minorHAnsi" w:cs="TimesNewRoman"/>
        </w:rPr>
        <w:t xml:space="preserve"> = </w:t>
      </w:r>
      <w:r w:rsidRPr="00AA53F4">
        <w:rPr>
          <w:rFonts w:eastAsiaTheme="minorHAnsi" w:cs="TimesNewRoman"/>
        </w:rPr>
        <w:t>16, 45.7%), 3 (n</w:t>
      </w:r>
      <w:r w:rsidR="0014606A">
        <w:rPr>
          <w:rFonts w:eastAsiaTheme="minorHAnsi" w:cs="TimesNewRoman"/>
        </w:rPr>
        <w:t xml:space="preserve"> = </w:t>
      </w:r>
      <w:r w:rsidRPr="00AA53F4">
        <w:rPr>
          <w:rFonts w:eastAsiaTheme="minorHAnsi" w:cs="TimesNewRoman"/>
        </w:rPr>
        <w:t>11,</w:t>
      </w:r>
      <w:r w:rsidR="006644FB">
        <w:rPr>
          <w:rFonts w:eastAsiaTheme="minorHAnsi" w:cs="TimesNewRoman"/>
        </w:rPr>
        <w:t xml:space="preserve"> 31.4%), 4 </w:t>
      </w:r>
      <w:r w:rsidRPr="00AA53F4">
        <w:rPr>
          <w:rFonts w:eastAsiaTheme="minorHAnsi" w:cs="TimesNewRoman"/>
        </w:rPr>
        <w:t>(n</w:t>
      </w:r>
      <w:r w:rsidR="0014606A">
        <w:rPr>
          <w:rFonts w:eastAsiaTheme="minorHAnsi" w:cs="TimesNewRoman"/>
        </w:rPr>
        <w:t xml:space="preserve"> = </w:t>
      </w:r>
      <w:r w:rsidRPr="00AA53F4">
        <w:rPr>
          <w:rFonts w:eastAsiaTheme="minorHAnsi" w:cs="TimesNewRoman"/>
        </w:rPr>
        <w:t>2, 5.7%), 5 (n</w:t>
      </w:r>
      <w:r w:rsidR="0014606A">
        <w:rPr>
          <w:rFonts w:eastAsiaTheme="minorHAnsi" w:cs="TimesNewRoman"/>
        </w:rPr>
        <w:t xml:space="preserve"> = </w:t>
      </w:r>
      <w:r w:rsidRPr="00AA53F4">
        <w:rPr>
          <w:rFonts w:eastAsiaTheme="minorHAnsi" w:cs="TimesNewRoman"/>
        </w:rPr>
        <w:t xml:space="preserve">1, 2.9%), and </w:t>
      </w:r>
      <w:r w:rsidR="000F385B">
        <w:rPr>
          <w:rFonts w:eastAsiaTheme="minorHAnsi" w:cs="TimesNewRoman"/>
        </w:rPr>
        <w:t xml:space="preserve">&gt; </w:t>
      </w:r>
      <w:r w:rsidRPr="00AA53F4">
        <w:rPr>
          <w:rFonts w:eastAsiaTheme="minorHAnsi" w:cs="TimesNewRoman"/>
        </w:rPr>
        <w:t>5 (n</w:t>
      </w:r>
      <w:r w:rsidR="0014606A">
        <w:rPr>
          <w:rFonts w:eastAsiaTheme="minorHAnsi" w:cs="TimesNewRoman"/>
        </w:rPr>
        <w:t xml:space="preserve"> = </w:t>
      </w:r>
      <w:r w:rsidRPr="00AA53F4">
        <w:rPr>
          <w:rFonts w:eastAsiaTheme="minorHAnsi" w:cs="TimesNewRoman"/>
        </w:rPr>
        <w:t>3, 8.6%). Pri</w:t>
      </w:r>
      <w:r w:rsidR="006644FB">
        <w:rPr>
          <w:rFonts w:eastAsiaTheme="minorHAnsi" w:cs="TimesNewRoman"/>
        </w:rPr>
        <w:t>or HSCT had been received by 15 </w:t>
      </w:r>
      <w:r w:rsidRPr="00AA53F4">
        <w:rPr>
          <w:rFonts w:eastAsiaTheme="minorHAnsi" w:cs="TimesNewRoman"/>
        </w:rPr>
        <w:t xml:space="preserve">(42.9%) patients in the cohort and a total of 9 </w:t>
      </w:r>
      <w:proofErr w:type="spellStart"/>
      <w:r w:rsidRPr="00AA53F4">
        <w:rPr>
          <w:rFonts w:eastAsiaTheme="minorHAnsi" w:cs="TimesNewRoman"/>
        </w:rPr>
        <w:t>Ph</w:t>
      </w:r>
      <w:proofErr w:type="spellEnd"/>
      <w:r w:rsidRPr="00AA53F4">
        <w:rPr>
          <w:rFonts w:eastAsiaTheme="minorHAnsi" w:cs="TimesNewRoman"/>
        </w:rPr>
        <w:t xml:space="preserve">+ patients were included (25.7%). The clinical evaluator identified that the cohort was relatively </w:t>
      </w:r>
      <w:r w:rsidRPr="00AA53F4">
        <w:rPr>
          <w:rFonts w:eastAsiaTheme="minorHAnsi" w:cs="TimesNewRoman"/>
        </w:rPr>
        <w:lastRenderedPageBreak/>
        <w:t>young,</w:t>
      </w:r>
      <w:r w:rsidR="006644FB">
        <w:rPr>
          <w:rFonts w:eastAsiaTheme="minorHAnsi" w:cs="TimesNewRoman"/>
        </w:rPr>
        <w:t xml:space="preserve"> with a median age of 34 </w:t>
      </w:r>
      <w:r w:rsidRPr="00AA53F4">
        <w:rPr>
          <w:rFonts w:eastAsiaTheme="minorHAnsi" w:cs="TimesNewRoman"/>
        </w:rPr>
        <w:t xml:space="preserve">years (range: 20, 79) and only 4 (11.4%) patients were aged </w:t>
      </w:r>
      <w:r w:rsidR="00503681">
        <w:rPr>
          <w:rFonts w:eastAsiaTheme="minorHAnsi" w:cs="TimesNewRoman"/>
        </w:rPr>
        <w:t xml:space="preserve">≥ </w:t>
      </w:r>
      <w:r w:rsidRPr="00AA53F4">
        <w:rPr>
          <w:rFonts w:eastAsiaTheme="minorHAnsi" w:cs="TimesNewRoman"/>
        </w:rPr>
        <w:t>65 years.</w:t>
      </w:r>
    </w:p>
    <w:p w14:paraId="7C750C39" w14:textId="50143A8C" w:rsidR="00EA3B37" w:rsidRPr="00AA53F4" w:rsidRDefault="00EA3B37" w:rsidP="00EA3B37">
      <w:pPr>
        <w:rPr>
          <w:rFonts w:cs="Times"/>
          <w:lang w:val="en-US"/>
        </w:rPr>
      </w:pPr>
      <w:r w:rsidRPr="00AA53F4">
        <w:rPr>
          <w:rFonts w:cs="Times"/>
          <w:lang w:val="en-US"/>
        </w:rPr>
        <w:t>The CR/</w:t>
      </w:r>
      <w:proofErr w:type="spellStart"/>
      <w:r w:rsidRPr="00AA53F4">
        <w:rPr>
          <w:rFonts w:cs="Times"/>
          <w:lang w:val="en-US"/>
        </w:rPr>
        <w:t>CRi</w:t>
      </w:r>
      <w:proofErr w:type="spellEnd"/>
      <w:r w:rsidRPr="00AA53F4">
        <w:rPr>
          <w:rFonts w:cs="Times"/>
          <w:lang w:val="en-US"/>
        </w:rPr>
        <w:t xml:space="preserve"> response rate per investigator assessment (primary efficacy endpoint) in the Phase </w:t>
      </w:r>
      <w:r w:rsidR="007C2763">
        <w:rPr>
          <w:rFonts w:cs="Times"/>
          <w:lang w:val="en-US"/>
        </w:rPr>
        <w:t>II</w:t>
      </w:r>
      <w:r w:rsidRPr="00AA53F4">
        <w:rPr>
          <w:rFonts w:cs="Times"/>
          <w:lang w:val="en-US"/>
        </w:rPr>
        <w:t xml:space="preserve"> (1.8 mg/</w:t>
      </w:r>
      <w:r w:rsidR="00F769DD" w:rsidRPr="00AA53F4">
        <w:rPr>
          <w:lang w:val="en-US"/>
        </w:rPr>
        <w:t>m</w:t>
      </w:r>
      <w:r w:rsidR="00F769DD" w:rsidRPr="00F769DD">
        <w:rPr>
          <w:vertAlign w:val="superscript"/>
          <w:lang w:val="en-US"/>
        </w:rPr>
        <w:t>2</w:t>
      </w:r>
      <w:r w:rsidRPr="00AA53F4">
        <w:rPr>
          <w:rFonts w:cs="Times"/>
          <w:lang w:val="en-US"/>
        </w:rPr>
        <w:t>) cohort was 68.6% (24/35). This result met the pre-specified criteria for statistically significance, as the null hypothesis of ≤ 20% at the -1-sided 0.5</w:t>
      </w:r>
      <w:r w:rsidR="007C2763">
        <w:rPr>
          <w:rFonts w:cs="Times"/>
          <w:lang w:val="en-US"/>
        </w:rPr>
        <w:t> </w:t>
      </w:r>
      <w:proofErr w:type="gramStart"/>
      <w:r w:rsidRPr="00AA53F4">
        <w:rPr>
          <w:rFonts w:cs="Times"/>
          <w:lang w:val="en-US"/>
        </w:rPr>
        <w:t>level</w:t>
      </w:r>
      <w:proofErr w:type="gramEnd"/>
      <w:r w:rsidRPr="00AA53F4">
        <w:rPr>
          <w:rFonts w:cs="Times"/>
          <w:lang w:val="en-US"/>
        </w:rPr>
        <w:t xml:space="preserve"> was rejected. Of note, this result was lower than the CR/</w:t>
      </w:r>
      <w:proofErr w:type="spellStart"/>
      <w:r w:rsidRPr="00AA53F4">
        <w:rPr>
          <w:rFonts w:cs="Times"/>
          <w:lang w:val="en-US"/>
        </w:rPr>
        <w:t>CRi</w:t>
      </w:r>
      <w:proofErr w:type="spellEnd"/>
      <w:r w:rsidRPr="00AA53F4">
        <w:rPr>
          <w:rFonts w:cs="Times"/>
          <w:lang w:val="en-US"/>
        </w:rPr>
        <w:t xml:space="preserve"> response rate per investigator assessment in the ITT population in the pivotal </w:t>
      </w:r>
      <w:r w:rsidR="001D0208">
        <w:rPr>
          <w:rFonts w:cs="Times"/>
          <w:lang w:val="en-US"/>
        </w:rPr>
        <w:t>Phase III</w:t>
      </w:r>
      <w:r w:rsidRPr="00AA53F4">
        <w:rPr>
          <w:rFonts w:cs="Times"/>
          <w:lang w:val="en-US"/>
        </w:rPr>
        <w:t xml:space="preserve"> </w:t>
      </w:r>
      <w:r w:rsidR="00503681">
        <w:rPr>
          <w:rFonts w:cs="Times"/>
          <w:lang w:val="en-US"/>
        </w:rPr>
        <w:t>Study</w:t>
      </w:r>
      <w:r w:rsidRPr="00AA53F4">
        <w:rPr>
          <w:rFonts w:cs="Times"/>
          <w:lang w:val="en-US"/>
        </w:rPr>
        <w:t xml:space="preserve"> (B1931022) in the inotuzumab ozogamicin arm (1.8 mg/</w:t>
      </w:r>
      <w:r w:rsidR="00F769DD" w:rsidRPr="00AA53F4">
        <w:rPr>
          <w:lang w:val="en-US"/>
        </w:rPr>
        <w:t>m</w:t>
      </w:r>
      <w:r w:rsidR="00F769DD" w:rsidRPr="00F769DD">
        <w:rPr>
          <w:vertAlign w:val="superscript"/>
          <w:lang w:val="en-US"/>
        </w:rPr>
        <w:t>2</w:t>
      </w:r>
      <w:r w:rsidR="00475D35">
        <w:rPr>
          <w:lang w:val="en-US"/>
        </w:rPr>
        <w:t>/cycle</w:t>
      </w:r>
      <w:r w:rsidRPr="00AA53F4">
        <w:rPr>
          <w:rFonts w:cs="Times"/>
          <w:lang w:val="en-US"/>
        </w:rPr>
        <w:t>) but higher than in the control arm (</w:t>
      </w:r>
      <w:r w:rsidR="00503681">
        <w:rPr>
          <w:rFonts w:cs="Times"/>
          <w:lang w:val="en-US"/>
        </w:rPr>
        <w:t>that is</w:t>
      </w:r>
      <w:r w:rsidRPr="00AA53F4">
        <w:rPr>
          <w:rFonts w:cs="Times"/>
          <w:lang w:val="en-US"/>
        </w:rPr>
        <w:t xml:space="preserve">, 73.2% </w:t>
      </w:r>
      <w:r w:rsidR="00503681">
        <w:rPr>
          <w:rFonts w:cs="Times"/>
          <w:lang w:val="en-US"/>
        </w:rPr>
        <w:t>(</w:t>
      </w:r>
      <w:r w:rsidRPr="00AA53F4">
        <w:rPr>
          <w:rFonts w:cs="Times"/>
          <w:lang w:val="en-US"/>
        </w:rPr>
        <w:t>120/</w:t>
      </w:r>
      <w:r w:rsidR="00475D35">
        <w:rPr>
          <w:rFonts w:cs="Times"/>
          <w:lang w:val="en-US"/>
        </w:rPr>
        <w:t>1</w:t>
      </w:r>
      <w:r w:rsidRPr="00AA53F4">
        <w:rPr>
          <w:rFonts w:cs="Times"/>
          <w:lang w:val="en-US"/>
        </w:rPr>
        <w:t>64</w:t>
      </w:r>
      <w:r w:rsidR="00503681">
        <w:rPr>
          <w:rFonts w:cs="Times"/>
          <w:lang w:val="en-US"/>
        </w:rPr>
        <w:t>)</w:t>
      </w:r>
      <w:r w:rsidRPr="00AA53F4">
        <w:rPr>
          <w:rFonts w:cs="Times"/>
          <w:lang w:val="en-US"/>
        </w:rPr>
        <w:t xml:space="preserve"> and 30.9% </w:t>
      </w:r>
      <w:r w:rsidR="00503681">
        <w:rPr>
          <w:rFonts w:cs="Times"/>
          <w:lang w:val="en-US"/>
        </w:rPr>
        <w:t>(</w:t>
      </w:r>
      <w:r w:rsidRPr="00AA53F4">
        <w:rPr>
          <w:rFonts w:cs="Times"/>
          <w:lang w:val="en-US"/>
        </w:rPr>
        <w:t>50/162</w:t>
      </w:r>
      <w:r w:rsidR="00503681">
        <w:rPr>
          <w:rFonts w:cs="Times"/>
          <w:lang w:val="en-US"/>
        </w:rPr>
        <w:t>)</w:t>
      </w:r>
      <w:r w:rsidRPr="00AA53F4">
        <w:rPr>
          <w:rFonts w:cs="Times"/>
          <w:lang w:val="en-US"/>
        </w:rPr>
        <w:t>, respectively).</w:t>
      </w:r>
    </w:p>
    <w:p w14:paraId="3162DAFF" w14:textId="5C4DADB6" w:rsidR="00EA3B37" w:rsidRPr="00AA53F4" w:rsidRDefault="00EA3B37" w:rsidP="00EA3B37">
      <w:pPr>
        <w:rPr>
          <w:rFonts w:cs="Times"/>
          <w:lang w:val="en-US"/>
        </w:rPr>
      </w:pPr>
      <w:r w:rsidRPr="00AA53F4">
        <w:rPr>
          <w:rFonts w:cs="Times"/>
          <w:lang w:val="en-US"/>
        </w:rPr>
        <w:t>The results for the key secondary efficacy endpoints for phase 2 (treated with 1.8 mg/</w:t>
      </w:r>
      <w:r w:rsidR="00F769DD" w:rsidRPr="00AA53F4">
        <w:rPr>
          <w:lang w:val="en-US"/>
        </w:rPr>
        <w:t>m</w:t>
      </w:r>
      <w:r w:rsidR="00F769DD" w:rsidRPr="00F769DD">
        <w:rPr>
          <w:vertAlign w:val="superscript"/>
          <w:lang w:val="en-US"/>
        </w:rPr>
        <w:t>2</w:t>
      </w:r>
      <w:r w:rsidRPr="00AA53F4">
        <w:rPr>
          <w:rFonts w:cs="Times"/>
          <w:lang w:val="en-US"/>
        </w:rPr>
        <w:t>) included: median duration of response of 3.8months (95% CI 2.2, 5.8); median PFS 3.7 months (95% CI 2.6, 4.7); post-treatment HSCT rate of 22.</w:t>
      </w:r>
      <w:r>
        <w:rPr>
          <w:rFonts w:cs="Times"/>
          <w:lang w:val="en-US"/>
        </w:rPr>
        <w:t>9%; MRD negativity in 18 of the</w:t>
      </w:r>
      <w:r w:rsidRPr="00AA53F4">
        <w:rPr>
          <w:rFonts w:cs="Times"/>
          <w:lang w:val="en-US"/>
        </w:rPr>
        <w:t xml:space="preserve"> 24 patients who achieved CR/Cri (75%); OS</w:t>
      </w:r>
      <w:r w:rsidR="00DF720C">
        <w:rPr>
          <w:rFonts w:cs="Times"/>
          <w:lang w:val="en-US"/>
        </w:rPr>
        <w:t>;</w:t>
      </w:r>
      <w:r w:rsidRPr="00AA53F4">
        <w:rPr>
          <w:rFonts w:cs="Times"/>
          <w:lang w:val="en-US"/>
        </w:rPr>
        <w:t xml:space="preserve"> 82.9% </w:t>
      </w:r>
      <w:r w:rsidR="00475D35">
        <w:rPr>
          <w:rFonts w:cs="Times"/>
          <w:lang w:val="en-US"/>
        </w:rPr>
        <w:t xml:space="preserve">patients died, </w:t>
      </w:r>
      <w:r w:rsidRPr="00AA53F4">
        <w:rPr>
          <w:rFonts w:cs="Times"/>
          <w:lang w:val="en-US"/>
        </w:rPr>
        <w:t>and Median OS of 6.4 months (95% CI 4.5, 7.9).</w:t>
      </w:r>
    </w:p>
    <w:p w14:paraId="38783EE1" w14:textId="77777777" w:rsidR="00EA3B37" w:rsidRPr="00AA53F4" w:rsidRDefault="00EA3B37" w:rsidP="00EA3B37">
      <w:pPr>
        <w:pStyle w:val="Heading4"/>
      </w:pPr>
      <w:r w:rsidRPr="00AA53F4">
        <w:t>Safety</w:t>
      </w:r>
    </w:p>
    <w:p w14:paraId="78111A32" w14:textId="77777777" w:rsidR="00EA3B37" w:rsidRPr="00AA53F4" w:rsidRDefault="00EA3B37" w:rsidP="00EA3B37">
      <w:r w:rsidRPr="00AA53F4">
        <w:t xml:space="preserve">The safety data included a Summary of Clinical Safety (SCS) which included a safety analysis of 1207 patients across the 11 clinical studies, in addition to 323 patients from </w:t>
      </w:r>
      <w:r w:rsidR="00E86989">
        <w:t>investigator initiated</w:t>
      </w:r>
      <w:r w:rsidRPr="00AA53F4">
        <w:t xml:space="preserve"> research (IIR) studies and 257 patients from compassionate use (CU) programs. A </w:t>
      </w:r>
      <w:r w:rsidR="00503681">
        <w:t>Day 120</w:t>
      </w:r>
      <w:r w:rsidRPr="00AA53F4">
        <w:t xml:space="preserve"> Safety Update (SU) was also available at the time of evaluation. This report provided updated safety information as of the data </w:t>
      </w:r>
      <w:r w:rsidR="00E86989">
        <w:t>cut-off</w:t>
      </w:r>
      <w:r w:rsidRPr="00AA53F4">
        <w:t xml:space="preserve"> date of 01 September 2016</w:t>
      </w:r>
      <w:r w:rsidR="00503681">
        <w:t>.</w:t>
      </w:r>
    </w:p>
    <w:p w14:paraId="4326F5E9" w14:textId="77777777" w:rsidR="00EA3B37" w:rsidRPr="00AA53F4" w:rsidRDefault="00EA3B37" w:rsidP="00EA3B37">
      <w:pPr>
        <w:rPr>
          <w:b/>
        </w:rPr>
      </w:pPr>
      <w:r w:rsidRPr="00AA53F4">
        <w:t xml:space="preserve">A total of 1207 patients were treated in the 11 clinical studies (Phases </w:t>
      </w:r>
      <w:r w:rsidR="006644FB">
        <w:t>I</w:t>
      </w:r>
      <w:r w:rsidRPr="00AA53F4">
        <w:t xml:space="preserve"> to </w:t>
      </w:r>
      <w:r w:rsidR="006644FB">
        <w:t>III</w:t>
      </w:r>
      <w:r w:rsidRPr="00AA53F4">
        <w:t xml:space="preserve">), including 880 (72.9%) patients who received at least 1 dose of inotuzumab ozogamicin, 323 (26.8%) patients who received a comparator drug or drug regimen, and 4 (0.3%) patients who received only rituximab. </w:t>
      </w:r>
      <w:r w:rsidRPr="00AA53F4">
        <w:rPr>
          <w:rFonts w:eastAsiaTheme="minorHAnsi" w:cs="TimesNewRoman"/>
        </w:rPr>
        <w:t>The pooled ALL data included 212 patients initially treated with inotuzumab ozogamicin 1.8 mg/</w:t>
      </w:r>
      <w:r w:rsidR="00F769DD" w:rsidRPr="00AA53F4">
        <w:rPr>
          <w:lang w:val="en-US"/>
        </w:rPr>
        <w:t>m</w:t>
      </w:r>
      <w:r w:rsidR="00F769DD" w:rsidRPr="00F769DD">
        <w:rPr>
          <w:vertAlign w:val="superscript"/>
          <w:lang w:val="en-US"/>
        </w:rPr>
        <w:t>2</w:t>
      </w:r>
      <w:r w:rsidRPr="00AA53F4">
        <w:rPr>
          <w:rFonts w:eastAsiaTheme="minorHAnsi" w:cs="TimesNewRoman"/>
        </w:rPr>
        <w:t xml:space="preserve">/cycle, comprising 164 patients from the pivotal </w:t>
      </w:r>
      <w:r w:rsidR="00503681">
        <w:rPr>
          <w:rFonts w:eastAsiaTheme="minorHAnsi" w:cs="TimesNewRoman"/>
        </w:rPr>
        <w:t>Study</w:t>
      </w:r>
      <w:r w:rsidR="006644FB">
        <w:rPr>
          <w:rFonts w:eastAsiaTheme="minorHAnsi" w:cs="TimesNewRoman"/>
        </w:rPr>
        <w:t xml:space="preserve"> B1931022</w:t>
      </w:r>
      <w:r w:rsidRPr="00AA53F4">
        <w:rPr>
          <w:rFonts w:eastAsiaTheme="minorHAnsi" w:cs="TimesNewRoman"/>
        </w:rPr>
        <w:t xml:space="preserve"> and 48 patients from the supportive </w:t>
      </w:r>
      <w:r w:rsidR="00503681">
        <w:rPr>
          <w:rFonts w:eastAsiaTheme="minorHAnsi" w:cs="TimesNewRoman"/>
        </w:rPr>
        <w:t>Study</w:t>
      </w:r>
      <w:r w:rsidR="006644FB">
        <w:rPr>
          <w:rFonts w:eastAsiaTheme="minorHAnsi" w:cs="TimesNewRoman"/>
        </w:rPr>
        <w:t xml:space="preserve"> B1931010</w:t>
      </w:r>
      <w:r w:rsidRPr="00AA53F4">
        <w:rPr>
          <w:rFonts w:eastAsiaTheme="minorHAnsi" w:cs="TimesNewRoman"/>
        </w:rPr>
        <w:t>.</w:t>
      </w:r>
    </w:p>
    <w:p w14:paraId="48B4CE53" w14:textId="77777777" w:rsidR="00EA3B37" w:rsidRPr="00AA53F4" w:rsidRDefault="00EA3B37" w:rsidP="00EA3B37">
      <w:pPr>
        <w:rPr>
          <w:rFonts w:eastAsiaTheme="minorHAnsi" w:cs="TimesNewRoman"/>
        </w:rPr>
      </w:pPr>
      <w:r w:rsidRPr="00AA53F4">
        <w:t xml:space="preserve">The clinical evaluator emphasised the safety data from the pivotal </w:t>
      </w:r>
      <w:r w:rsidR="00503681">
        <w:t>Study</w:t>
      </w:r>
      <w:r w:rsidRPr="00AA53F4">
        <w:t xml:space="preserve"> B1931022 which included </w:t>
      </w:r>
      <w:r w:rsidRPr="00AA53F4">
        <w:rPr>
          <w:lang w:val="en-US"/>
        </w:rPr>
        <w:t>164 patients treated with inotuzumab ozogamicin at the dose proposed for registration and 143 patients were treated with a control regimen</w:t>
      </w:r>
      <w:r w:rsidRPr="00AA53F4">
        <w:t xml:space="preserve">. The clinical evaluator concluded that </w:t>
      </w:r>
      <w:r w:rsidRPr="00AA53F4">
        <w:rPr>
          <w:rFonts w:eastAsiaTheme="minorHAnsi" w:cs="TimesNewRoman"/>
        </w:rPr>
        <w:t>the safety data for inotuzumab ozogamicin from the pivotal study is consistent with the safety data for this drug from all other safety datasets (</w:t>
      </w:r>
      <w:r w:rsidR="00503681">
        <w:rPr>
          <w:rFonts w:eastAsiaTheme="minorHAnsi" w:cs="TimesNewRoman"/>
        </w:rPr>
        <w:t>that is</w:t>
      </w:r>
      <w:r w:rsidRPr="00AA53F4">
        <w:rPr>
          <w:rFonts w:eastAsiaTheme="minorHAnsi" w:cs="TimesNewRoman"/>
        </w:rPr>
        <w:t xml:space="preserve">, ALL </w:t>
      </w:r>
      <w:r w:rsidR="00503681">
        <w:rPr>
          <w:rFonts w:eastAsiaTheme="minorHAnsi" w:cs="TimesNewRoman"/>
        </w:rPr>
        <w:t>Study</w:t>
      </w:r>
      <w:r w:rsidRPr="00AA53F4">
        <w:rPr>
          <w:rFonts w:eastAsiaTheme="minorHAnsi" w:cs="TimesNewRoman"/>
        </w:rPr>
        <w:t xml:space="preserve"> B1931010; 9 Pfizer NHL studies; IIR studies; CU program).</w:t>
      </w:r>
    </w:p>
    <w:p w14:paraId="5B5C2875" w14:textId="77777777" w:rsidR="00EA3B37" w:rsidRPr="00AA53F4" w:rsidRDefault="00EA3B37" w:rsidP="00EA3B37">
      <w:pPr>
        <w:rPr>
          <w:rFonts w:eastAsiaTheme="minorHAnsi" w:cs="TimesNewRoman"/>
        </w:rPr>
      </w:pPr>
      <w:r w:rsidRPr="00AA53F4">
        <w:rPr>
          <w:rFonts w:eastAsiaTheme="minorHAnsi" w:cs="TimesNewRoman"/>
        </w:rPr>
        <w:t xml:space="preserve">In study the pivotal </w:t>
      </w:r>
      <w:r w:rsidR="00503681">
        <w:rPr>
          <w:rFonts w:eastAsiaTheme="minorHAnsi" w:cs="TimesNewRoman"/>
        </w:rPr>
        <w:t>Study</w:t>
      </w:r>
      <w:r w:rsidRPr="00AA53F4">
        <w:rPr>
          <w:rFonts w:eastAsiaTheme="minorHAnsi" w:cs="TimesNewRoman"/>
        </w:rPr>
        <w:t xml:space="preserve"> B1931022, it is important to consider that adverse event (AE) frequencies were not adjusted for the longer duration of treatment in the inotuzumab ozogamicin arm. The median duration of treatment in the inotuzumab ozogamicin arm was 10-fold longer than in the control arm (8.9 weeks </w:t>
      </w:r>
      <w:r w:rsidR="001D0208">
        <w:rPr>
          <w:rFonts w:eastAsiaTheme="minorHAnsi" w:cs="TimesNewRoman"/>
        </w:rPr>
        <w:t xml:space="preserve">versus </w:t>
      </w:r>
      <w:r w:rsidRPr="00AA53F4">
        <w:rPr>
          <w:rFonts w:eastAsiaTheme="minorHAnsi" w:cs="TimesNewRoman"/>
        </w:rPr>
        <w:t>0.9 weeks, respectively). In total, patients randomised to the inotuzumab ozogamicin arm received 464 cycles of therapy compared to 176 cycles for patients randomised to the control arm (2.6 x more cycles for inotuzumab ozogamicin compared to control).</w:t>
      </w:r>
      <w:r w:rsidR="006779D9">
        <w:rPr>
          <w:rFonts w:eastAsiaTheme="minorHAnsi" w:cs="TimesNewRoman"/>
        </w:rPr>
        <w:t xml:space="preserve"> </w:t>
      </w:r>
      <w:r w:rsidRPr="00AA53F4">
        <w:rPr>
          <w:rFonts w:eastAsiaTheme="minorHAnsi" w:cs="TimesNewRoman"/>
        </w:rPr>
        <w:t xml:space="preserve">The maximum allowed number of cycles per protocol was 6 cycles of inotuzumab ozogamicin or 4 cycles of control. A total of 127 (77.4%) patients in the inotuzumab ozogamicin arm started </w:t>
      </w:r>
      <w:r w:rsidR="000F385B">
        <w:rPr>
          <w:rFonts w:eastAsiaTheme="minorHAnsi" w:cs="TimesNewRoman"/>
        </w:rPr>
        <w:t xml:space="preserve">&gt; </w:t>
      </w:r>
      <w:r w:rsidRPr="00AA53F4">
        <w:rPr>
          <w:rFonts w:eastAsiaTheme="minorHAnsi" w:cs="TimesNewRoman"/>
        </w:rPr>
        <w:t xml:space="preserve">1 cycle, 15 (9.1%) patients started at least 6 cycles, and 10 (6.1%) patients completed 6 cycles. A full safety evaluation </w:t>
      </w:r>
      <w:r w:rsidR="006644FB">
        <w:rPr>
          <w:rFonts w:eastAsiaTheme="minorHAnsi" w:cs="TimesNewRoman"/>
        </w:rPr>
        <w:t xml:space="preserve">was provided in the </w:t>
      </w:r>
      <w:r w:rsidRPr="00AA53F4">
        <w:rPr>
          <w:rFonts w:eastAsiaTheme="minorHAnsi" w:cs="TimesNewRoman"/>
        </w:rPr>
        <w:t>CER. Key safety findings include:</w:t>
      </w:r>
    </w:p>
    <w:p w14:paraId="7988F654" w14:textId="77777777" w:rsidR="00503681" w:rsidRDefault="00EA3B37" w:rsidP="00EA3B37">
      <w:pPr>
        <w:pStyle w:val="ListBullet"/>
      </w:pPr>
      <w:r w:rsidRPr="00AA53F4">
        <w:t xml:space="preserve">Similar proportions of patients in the inotuzumab ozogamicin and control arms experienced Treatment Emergent Adverse Events (TEAEs, all causality, all grades, </w:t>
      </w:r>
      <w:r w:rsidR="00503681">
        <w:t>Day 120</w:t>
      </w:r>
      <w:r w:rsidRPr="00AA53F4">
        <w:t xml:space="preserve"> SU), </w:t>
      </w:r>
      <w:r w:rsidR="0014606A">
        <w:t>treatment related</w:t>
      </w:r>
      <w:r w:rsidRPr="00AA53F4">
        <w:t xml:space="preserve"> TAEs, Serious Adverse Events (SAE’s all causality, 120-Day SU) and rate of overall post-transplant mortality</w:t>
      </w:r>
      <w:r w:rsidR="00503681">
        <w:t>.</w:t>
      </w:r>
    </w:p>
    <w:p w14:paraId="165EEEF4" w14:textId="77777777" w:rsidR="00EA3B37" w:rsidRPr="00AA53F4" w:rsidRDefault="00EA3B37" w:rsidP="00EA3B37">
      <w:pPr>
        <w:pStyle w:val="ListBullet"/>
      </w:pPr>
      <w:r w:rsidRPr="00AA53F4">
        <w:lastRenderedPageBreak/>
        <w:t xml:space="preserve">TEAEs maximum </w:t>
      </w:r>
      <w:r w:rsidR="00617F88">
        <w:t>Grade</w:t>
      </w:r>
      <w:r w:rsidRPr="00AA53F4">
        <w:t xml:space="preserve"> 3 or 4 events (</w:t>
      </w:r>
      <w:r w:rsidR="00503681">
        <w:t>Day 120</w:t>
      </w:r>
      <w:r w:rsidRPr="00AA53F4">
        <w:t xml:space="preserve"> SU) occurred less frequently in the inotuzumab ozogamicin arm than in the control arm (75.0% </w:t>
      </w:r>
      <w:r w:rsidR="00503681">
        <w:t>(</w:t>
      </w:r>
      <w:r w:rsidRPr="00AA53F4">
        <w:t>123/164</w:t>
      </w:r>
      <w:r w:rsidR="00503681">
        <w:t>)</w:t>
      </w:r>
      <w:r w:rsidRPr="00AA53F4">
        <w:t xml:space="preserve"> </w:t>
      </w:r>
      <w:r w:rsidR="001D0208">
        <w:t xml:space="preserve">versus </w:t>
      </w:r>
      <w:r w:rsidRPr="00AA53F4">
        <w:t xml:space="preserve">85.3% </w:t>
      </w:r>
      <w:r w:rsidR="00503681">
        <w:t>(</w:t>
      </w:r>
      <w:r w:rsidRPr="00AA53F4">
        <w:t>122/143</w:t>
      </w:r>
      <w:r w:rsidR="00503681">
        <w:t>)</w:t>
      </w:r>
      <w:r w:rsidRPr="00AA53F4">
        <w:t xml:space="preserve">, respectively), as did </w:t>
      </w:r>
      <w:r w:rsidR="0014606A">
        <w:t>treatment related</w:t>
      </w:r>
      <w:r w:rsidRPr="00AA53F4">
        <w:t xml:space="preserve"> TEAEs maximum </w:t>
      </w:r>
      <w:r w:rsidR="00617F88">
        <w:t>Grade</w:t>
      </w:r>
      <w:r w:rsidRPr="00AA53F4">
        <w:t xml:space="preserve"> 3 or 4 events (SCS) (69.5% </w:t>
      </w:r>
      <w:r w:rsidR="00503681">
        <w:t>(</w:t>
      </w:r>
      <w:r w:rsidRPr="00AA53F4">
        <w:t>114/164</w:t>
      </w:r>
      <w:r w:rsidR="00503681">
        <w:t>)</w:t>
      </w:r>
      <w:r w:rsidRPr="00AA53F4">
        <w:t xml:space="preserve"> </w:t>
      </w:r>
      <w:r w:rsidR="001D0208">
        <w:t xml:space="preserve">versus </w:t>
      </w:r>
      <w:r w:rsidRPr="00AA53F4">
        <w:t xml:space="preserve">79.0% </w:t>
      </w:r>
      <w:r w:rsidR="00503681">
        <w:t>(</w:t>
      </w:r>
      <w:r w:rsidRPr="00AA53F4">
        <w:t>113/143</w:t>
      </w:r>
      <w:r w:rsidR="00503681">
        <w:t>)</w:t>
      </w:r>
      <w:r w:rsidRPr="00AA53F4">
        <w:t>, respectively).</w:t>
      </w:r>
    </w:p>
    <w:p w14:paraId="5301B29F" w14:textId="77777777" w:rsidR="00503681" w:rsidRDefault="00EA3B37" w:rsidP="00EA3B37">
      <w:pPr>
        <w:pStyle w:val="ListBullet"/>
      </w:pPr>
      <w:r w:rsidRPr="00AA53F4">
        <w:t xml:space="preserve">Grade 5 AEs (all causality, </w:t>
      </w:r>
      <w:r w:rsidR="006644FB" w:rsidRPr="00AA53F4">
        <w:t xml:space="preserve">Day </w:t>
      </w:r>
      <w:r w:rsidR="006644FB">
        <w:t>120</w:t>
      </w:r>
      <w:r w:rsidRPr="00AA53F4">
        <w:t xml:space="preserve"> SU) were reported more frequently in the inotuzumab ozogamicin arm than in the control arm (15.9%, n</w:t>
      </w:r>
      <w:r w:rsidR="0014606A">
        <w:t xml:space="preserve"> = </w:t>
      </w:r>
      <w:r w:rsidRPr="00AA53F4">
        <w:t xml:space="preserve">26 </w:t>
      </w:r>
      <w:r w:rsidR="001D0208">
        <w:t xml:space="preserve">versus </w:t>
      </w:r>
      <w:r w:rsidRPr="00AA53F4">
        <w:t>11.2%, n</w:t>
      </w:r>
      <w:r w:rsidR="006644FB">
        <w:t> = </w:t>
      </w:r>
      <w:r w:rsidRPr="00AA53F4">
        <w:t xml:space="preserve">16, respectively), as were </w:t>
      </w:r>
      <w:r w:rsidR="0014606A">
        <w:t>treatment related</w:t>
      </w:r>
      <w:r w:rsidRPr="00AA53F4">
        <w:t xml:space="preserve"> </w:t>
      </w:r>
      <w:r w:rsidR="00617F88">
        <w:t>Grade</w:t>
      </w:r>
      <w:r w:rsidRPr="00AA53F4">
        <w:t xml:space="preserve"> 5 AEs (SCS) (5.5%, n</w:t>
      </w:r>
      <w:r w:rsidR="0014606A">
        <w:t xml:space="preserve"> = </w:t>
      </w:r>
      <w:r w:rsidRPr="00AA53F4">
        <w:t xml:space="preserve">9 </w:t>
      </w:r>
      <w:r w:rsidR="001D0208">
        <w:t xml:space="preserve">versus </w:t>
      </w:r>
      <w:r w:rsidRPr="00AA53F4">
        <w:t>2.1%, n</w:t>
      </w:r>
      <w:r w:rsidR="0014606A">
        <w:t xml:space="preserve"> = </w:t>
      </w:r>
      <w:r w:rsidRPr="00AA53F4">
        <w:t>3, respectively)</w:t>
      </w:r>
      <w:r w:rsidR="00503681">
        <w:t>.</w:t>
      </w:r>
    </w:p>
    <w:p w14:paraId="032E6F82" w14:textId="77777777" w:rsidR="00503681" w:rsidRDefault="00EA3B37" w:rsidP="00EA3B37">
      <w:pPr>
        <w:pStyle w:val="ListBullet2"/>
      </w:pPr>
      <w:r w:rsidRPr="00AA53F4">
        <w:t xml:space="preserve">Of particular note, in the 9 patients in the inotuzumab arm who died, 5 cases were due VOD/SOS (all after HSCT) compared to no cases of VOD/SOS leading to death in the control arm. Other </w:t>
      </w:r>
      <w:r w:rsidR="0014606A">
        <w:t>treatment related</w:t>
      </w:r>
      <w:r w:rsidRPr="00AA53F4">
        <w:t xml:space="preserve"> </w:t>
      </w:r>
      <w:r w:rsidR="00617F88">
        <w:t>Grade</w:t>
      </w:r>
      <w:r w:rsidRPr="00AA53F4">
        <w:t xml:space="preserve"> 5 AEs in the inotuzumab ozogamicin arm were 1 each of ARDS, intestinal ischaemia, multi-organ failure, pneumonia, and septic shock, while </w:t>
      </w:r>
      <w:r w:rsidR="0014606A">
        <w:t>treatment related</w:t>
      </w:r>
      <w:r w:rsidRPr="00AA53F4">
        <w:t xml:space="preserve"> </w:t>
      </w:r>
      <w:r w:rsidR="00617F88">
        <w:t>Grade</w:t>
      </w:r>
      <w:r w:rsidRPr="00AA53F4">
        <w:t xml:space="preserve"> 5 AEs in the control arm were 1 each for multi-organ failure, haemorrhage intracranial, lung infection and respiratory failure</w:t>
      </w:r>
      <w:r w:rsidR="00503681">
        <w:t>.</w:t>
      </w:r>
    </w:p>
    <w:p w14:paraId="2778775D" w14:textId="77777777" w:rsidR="00503681" w:rsidRDefault="00EA3B37" w:rsidP="00EA3B37">
      <w:pPr>
        <w:pStyle w:val="ListBullet"/>
      </w:pPr>
      <w:r w:rsidRPr="00AA53F4">
        <w:t xml:space="preserve"> All deaths (</w:t>
      </w:r>
      <w:r w:rsidR="006644FB">
        <w:t>Day 120</w:t>
      </w:r>
      <w:r w:rsidRPr="00AA53F4">
        <w:t xml:space="preserve"> SU), which included all deaths during treatment and in the follow-up period, were reported less frequently in the inotuzumab ozogamicin arm than in the control arm (76.8% </w:t>
      </w:r>
      <w:r w:rsidR="00503681">
        <w:t>(</w:t>
      </w:r>
      <w:r w:rsidRPr="00AA53F4">
        <w:t>126/164</w:t>
      </w:r>
      <w:r w:rsidR="00503681">
        <w:t>)</w:t>
      </w:r>
      <w:r w:rsidRPr="00AA53F4">
        <w:t xml:space="preserve"> </w:t>
      </w:r>
      <w:r w:rsidR="001D0208">
        <w:t xml:space="preserve">versus </w:t>
      </w:r>
      <w:r w:rsidRPr="00AA53F4">
        <w:t xml:space="preserve">87.4% </w:t>
      </w:r>
      <w:r w:rsidR="00503681">
        <w:t>(</w:t>
      </w:r>
      <w:r w:rsidRPr="00AA53F4">
        <w:t>125/143</w:t>
      </w:r>
      <w:r w:rsidR="00503681">
        <w:t>)</w:t>
      </w:r>
      <w:r w:rsidRPr="00AA53F4">
        <w:t>, respectively)</w:t>
      </w:r>
      <w:r w:rsidR="00503681">
        <w:t>.</w:t>
      </w:r>
    </w:p>
    <w:p w14:paraId="5387F9E9" w14:textId="77777777" w:rsidR="00EA3B37" w:rsidRPr="00AA53F4" w:rsidRDefault="00EA3B37" w:rsidP="00EA3B37">
      <w:pPr>
        <w:pStyle w:val="ListBullet2"/>
      </w:pPr>
      <w:r w:rsidRPr="00AA53F4">
        <w:t>Of note, all deaths due to infection were reported more frequently in the inotuzumab ozogamicin arm than in the control arm (14.6%, n</w:t>
      </w:r>
      <w:r w:rsidR="0014606A">
        <w:t xml:space="preserve"> = </w:t>
      </w:r>
      <w:r w:rsidRPr="00AA53F4">
        <w:t xml:space="preserve">24 </w:t>
      </w:r>
      <w:r w:rsidR="001D0208">
        <w:t xml:space="preserve">versus </w:t>
      </w:r>
      <w:r w:rsidRPr="00AA53F4">
        <w:t>9.1%, n</w:t>
      </w:r>
      <w:r w:rsidR="006644FB">
        <w:t> </w:t>
      </w:r>
      <w:r w:rsidR="0014606A">
        <w:t xml:space="preserve">= </w:t>
      </w:r>
      <w:r w:rsidRPr="00AA53F4">
        <w:t>13, respectively).</w:t>
      </w:r>
    </w:p>
    <w:p w14:paraId="228B494C" w14:textId="77777777" w:rsidR="00EA3B37" w:rsidRPr="00AA53F4" w:rsidRDefault="00EA3B37" w:rsidP="00EA3B37">
      <w:pPr>
        <w:pStyle w:val="ListBullet"/>
        <w:rPr>
          <w:rFonts w:asciiTheme="minorHAnsi" w:eastAsiaTheme="minorHAnsi" w:hAnsiTheme="minorHAnsi"/>
        </w:rPr>
      </w:pPr>
      <w:r w:rsidRPr="00AA53F4">
        <w:t>Post-transplantation deaths were also assessed in patients who underwent HSCT in the inotuzumab ozogamicin arm (n</w:t>
      </w:r>
      <w:r w:rsidR="0014606A">
        <w:t xml:space="preserve"> = </w:t>
      </w:r>
      <w:r w:rsidRPr="00AA53F4">
        <w:t>79) and the control arm (n</w:t>
      </w:r>
      <w:r w:rsidR="0014606A">
        <w:t xml:space="preserve"> = </w:t>
      </w:r>
      <w:r w:rsidRPr="00AA53F4">
        <w:t xml:space="preserve">35). Overall post-transplant mortality was similar in the inotuzumab ozogamicin and control arms (64.6% </w:t>
      </w:r>
      <w:r w:rsidR="00503681">
        <w:t>(</w:t>
      </w:r>
      <w:r w:rsidRPr="00AA53F4">
        <w:t>51/79</w:t>
      </w:r>
      <w:r w:rsidR="00503681">
        <w:t>)</w:t>
      </w:r>
      <w:r w:rsidRPr="00AA53F4">
        <w:t xml:space="preserve"> </w:t>
      </w:r>
      <w:r w:rsidR="001D0208">
        <w:t xml:space="preserve">versus </w:t>
      </w:r>
      <w:r w:rsidRPr="00AA53F4">
        <w:t xml:space="preserve">65.7% </w:t>
      </w:r>
      <w:r w:rsidR="00503681">
        <w:t>(</w:t>
      </w:r>
      <w:r w:rsidRPr="00AA53F4">
        <w:t>23/35</w:t>
      </w:r>
      <w:r w:rsidR="00503681">
        <w:t>)</w:t>
      </w:r>
      <w:r w:rsidRPr="00AA53F4">
        <w:t>, respectively).</w:t>
      </w:r>
    </w:p>
    <w:p w14:paraId="5487A06E" w14:textId="77777777" w:rsidR="00EA3B37" w:rsidRPr="00AA53F4" w:rsidRDefault="00EA3B37" w:rsidP="00EA3B37">
      <w:pPr>
        <w:pStyle w:val="ListBullet2"/>
        <w:rPr>
          <w:rFonts w:asciiTheme="minorHAnsi" w:eastAsiaTheme="minorHAnsi" w:hAnsiTheme="minorHAnsi"/>
        </w:rPr>
      </w:pPr>
      <w:r w:rsidRPr="00AA53F4">
        <w:t xml:space="preserve">However, post-transplant non-relapse deaths were reported more frequently in patients in the inotuzumab ozogamicin arm than in the control arm (40.5% </w:t>
      </w:r>
      <w:r w:rsidR="00503681">
        <w:t>(</w:t>
      </w:r>
      <w:r w:rsidRPr="00AA53F4">
        <w:t>32/79</w:t>
      </w:r>
      <w:r w:rsidR="00503681">
        <w:t>)</w:t>
      </w:r>
      <w:r w:rsidRPr="00AA53F4">
        <w:t xml:space="preserve"> </w:t>
      </w:r>
      <w:r w:rsidR="001D0208">
        <w:t xml:space="preserve">versus </w:t>
      </w:r>
      <w:r w:rsidRPr="00AA53F4">
        <w:t xml:space="preserve">22.9% </w:t>
      </w:r>
      <w:r w:rsidR="00503681">
        <w:t>(</w:t>
      </w:r>
      <w:r w:rsidRPr="00AA53F4">
        <w:t>8/35</w:t>
      </w:r>
      <w:r w:rsidR="00503681">
        <w:t>)</w:t>
      </w:r>
      <w:r w:rsidRPr="00AA53F4">
        <w:t>). The most common reasons for post-transplant non-relapse deaths in the inotuzumab arm (</w:t>
      </w:r>
      <w:r w:rsidR="001D0208">
        <w:t xml:space="preserve">versus </w:t>
      </w:r>
      <w:r w:rsidRPr="00AA53F4">
        <w:t>control, respectively) were infecti</w:t>
      </w:r>
      <w:r>
        <w:t xml:space="preserve">on (21.6% </w:t>
      </w:r>
      <w:r w:rsidR="00503681">
        <w:t>(</w:t>
      </w:r>
      <w:r>
        <w:t>11/51</w:t>
      </w:r>
      <w:r w:rsidR="00503681">
        <w:t>)</w:t>
      </w:r>
      <w:r>
        <w:t xml:space="preserve"> </w:t>
      </w:r>
      <w:r w:rsidR="001D0208">
        <w:t xml:space="preserve">versus </w:t>
      </w:r>
      <w:r>
        <w:t xml:space="preserve">17.4% </w:t>
      </w:r>
      <w:r w:rsidR="00503681">
        <w:t>(</w:t>
      </w:r>
      <w:r>
        <w:t>4/23</w:t>
      </w:r>
      <w:r w:rsidR="00503681">
        <w:t>)</w:t>
      </w:r>
      <w:r w:rsidRPr="00AA53F4">
        <w:t xml:space="preserve">) and VOD (9.8% </w:t>
      </w:r>
      <w:r w:rsidR="00503681">
        <w:t>(</w:t>
      </w:r>
      <w:r w:rsidRPr="00AA53F4">
        <w:t>5/51</w:t>
      </w:r>
      <w:r w:rsidR="00503681">
        <w:t>)</w:t>
      </w:r>
      <w:r w:rsidRPr="00AA53F4">
        <w:t xml:space="preserve"> </w:t>
      </w:r>
      <w:r w:rsidR="001D0208">
        <w:t xml:space="preserve">versus </w:t>
      </w:r>
      <w:r>
        <w:t xml:space="preserve">0% </w:t>
      </w:r>
      <w:r w:rsidR="00503681">
        <w:t>(</w:t>
      </w:r>
      <w:r>
        <w:t>0/23</w:t>
      </w:r>
      <w:r w:rsidR="00503681">
        <w:t>)</w:t>
      </w:r>
      <w:r w:rsidRPr="00AA53F4">
        <w:t>).</w:t>
      </w:r>
    </w:p>
    <w:p w14:paraId="72228229" w14:textId="77777777" w:rsidR="00503681" w:rsidRDefault="00EA3B37" w:rsidP="00EA3B37">
      <w:pPr>
        <w:pStyle w:val="ListBullet"/>
      </w:pPr>
      <w:r w:rsidRPr="00AA53F4">
        <w:t xml:space="preserve">AEs (all causality, 120-Day SU), leading to permanent treatment discontinuation were reported more frequently in the inotuzumab ozogamicin arm than in the control arm (18.9% </w:t>
      </w:r>
      <w:r w:rsidR="00503681">
        <w:t>(</w:t>
      </w:r>
      <w:r w:rsidRPr="00AA53F4">
        <w:t>31/164</w:t>
      </w:r>
      <w:r w:rsidR="00503681">
        <w:t>)</w:t>
      </w:r>
      <w:r w:rsidRPr="00AA53F4">
        <w:t xml:space="preserve"> </w:t>
      </w:r>
      <w:r w:rsidR="001D0208">
        <w:t xml:space="preserve">versus </w:t>
      </w:r>
      <w:r w:rsidRPr="00AA53F4">
        <w:t xml:space="preserve">7.7% </w:t>
      </w:r>
      <w:r w:rsidR="00503681">
        <w:t>(</w:t>
      </w:r>
      <w:r w:rsidRPr="00AA53F4">
        <w:t>11/143</w:t>
      </w:r>
      <w:r w:rsidR="00503681">
        <w:t>)</w:t>
      </w:r>
      <w:r w:rsidRPr="00AA53F4">
        <w:t xml:space="preserve">, respectively). AEs leading to permanent treatment discontinuation reported in </w:t>
      </w:r>
      <w:r w:rsidR="00503681">
        <w:t xml:space="preserve">≥ </w:t>
      </w:r>
      <w:r w:rsidRPr="00AA53F4">
        <w:t>2 patients in the ozogamicin arm were 5</w:t>
      </w:r>
      <w:r w:rsidR="006644FB">
        <w:t> </w:t>
      </w:r>
      <w:r w:rsidRPr="00AA53F4">
        <w:t>(3.0%) patients with pneumonia, 3 (0.18%) patients each with hyperbilirubinaemia and thrombocytopenia, and 2 (1.2%) patients each with sepsis, VOD, ALT increased, and GGT increased</w:t>
      </w:r>
      <w:r w:rsidR="00503681">
        <w:t>.</w:t>
      </w:r>
    </w:p>
    <w:p w14:paraId="30E855CF" w14:textId="77777777" w:rsidR="00EA3B37" w:rsidRPr="00AA53F4" w:rsidRDefault="00EA3B37" w:rsidP="00EA3B37">
      <w:pPr>
        <w:pStyle w:val="ListBullet"/>
        <w:rPr>
          <w:rFonts w:asciiTheme="minorHAnsi" w:eastAsiaTheme="minorHAnsi" w:hAnsiTheme="minorHAnsi"/>
        </w:rPr>
      </w:pPr>
      <w:r w:rsidRPr="00AA53F4">
        <w:t xml:space="preserve">AEs (all causality, </w:t>
      </w:r>
      <w:r w:rsidR="006644FB" w:rsidRPr="00AA53F4">
        <w:t xml:space="preserve">Day </w:t>
      </w:r>
      <w:r w:rsidR="006644FB">
        <w:t>120</w:t>
      </w:r>
      <w:r w:rsidRPr="00AA53F4">
        <w:t xml:space="preserve"> SU) resulting in temporary treatment delays were reported more frequently in the inotuzumab ozogamicin arm than in the control arm (43.9% </w:t>
      </w:r>
      <w:r w:rsidR="00503681">
        <w:t>(</w:t>
      </w:r>
      <w:r w:rsidRPr="00AA53F4">
        <w:t>72/164</w:t>
      </w:r>
      <w:r w:rsidR="00503681">
        <w:t>)</w:t>
      </w:r>
      <w:r w:rsidRPr="00AA53F4">
        <w:t xml:space="preserve"> </w:t>
      </w:r>
      <w:r w:rsidR="001D0208">
        <w:t xml:space="preserve">versus </w:t>
      </w:r>
      <w:r w:rsidRPr="00AA53F4">
        <w:t xml:space="preserve">11.9% </w:t>
      </w:r>
      <w:r w:rsidR="00503681">
        <w:t>(</w:t>
      </w:r>
      <w:r w:rsidRPr="00AA53F4">
        <w:t>17/143</w:t>
      </w:r>
      <w:r w:rsidR="00503681">
        <w:t>)</w:t>
      </w:r>
      <w:r w:rsidRPr="00AA53F4">
        <w:t>, respectively).</w:t>
      </w:r>
      <w:r w:rsidR="006779D9">
        <w:t xml:space="preserve"> </w:t>
      </w:r>
      <w:r w:rsidRPr="00AA53F4">
        <w:t xml:space="preserve">AEs (all causality, </w:t>
      </w:r>
      <w:r w:rsidR="006644FB" w:rsidRPr="00AA53F4">
        <w:t xml:space="preserve">Day </w:t>
      </w:r>
      <w:r w:rsidR="006644FB">
        <w:t xml:space="preserve">120 </w:t>
      </w:r>
      <w:r w:rsidRPr="00AA53F4">
        <w:t>SU) resulting in dose reduction were reported in a small number of patients in both the inotuzumab ozogamicin and control arms (n</w:t>
      </w:r>
      <w:r w:rsidR="0014606A">
        <w:t xml:space="preserve"> = </w:t>
      </w:r>
      <w:r w:rsidRPr="00AA53F4">
        <w:t xml:space="preserve">5, 3.0% </w:t>
      </w:r>
      <w:r w:rsidR="001D0208">
        <w:t xml:space="preserve">versus </w:t>
      </w:r>
      <w:r w:rsidRPr="00AA53F4">
        <w:t>n</w:t>
      </w:r>
      <w:r w:rsidR="0014606A">
        <w:t xml:space="preserve"> = </w:t>
      </w:r>
      <w:r w:rsidRPr="00AA53F4">
        <w:t>3, 2.1%, respectively).</w:t>
      </w:r>
    </w:p>
    <w:p w14:paraId="5C30A3DD" w14:textId="77777777" w:rsidR="00EA3B37" w:rsidRPr="00AA53F4" w:rsidRDefault="00EA3B37" w:rsidP="00EA3B37">
      <w:pPr>
        <w:pStyle w:val="ListBullet"/>
        <w:rPr>
          <w:rFonts w:asciiTheme="minorHAnsi" w:eastAsiaTheme="minorHAnsi" w:hAnsiTheme="minorHAnsi"/>
        </w:rPr>
      </w:pPr>
      <w:r w:rsidRPr="00AA53F4">
        <w:t xml:space="preserve">The clinical evaluator reported </w:t>
      </w:r>
      <w:r w:rsidRPr="00AA53F4">
        <w:rPr>
          <w:rFonts w:asciiTheme="minorHAnsi" w:eastAsiaTheme="minorHAnsi" w:hAnsiTheme="minorHAnsi"/>
        </w:rPr>
        <w:t>the following matters arising from the assessment of adverse events of special interest in the inotuzumab ozogamicin arm:</w:t>
      </w:r>
    </w:p>
    <w:p w14:paraId="510B41EE" w14:textId="77777777" w:rsidR="00EA3B37" w:rsidRPr="00AA53F4" w:rsidRDefault="00EA3B37" w:rsidP="00EA3B37">
      <w:pPr>
        <w:pStyle w:val="ListBullet2"/>
      </w:pPr>
      <w:r w:rsidRPr="00AA53F4">
        <w:t>increased risk of hepatotoxicity, including severe, life-threatening and fatal VOD/SOS:</w:t>
      </w:r>
    </w:p>
    <w:p w14:paraId="37ED2FD6" w14:textId="77777777" w:rsidR="00EA3B37" w:rsidRPr="00AA53F4" w:rsidRDefault="00EA3B37" w:rsidP="00EA3B37">
      <w:pPr>
        <w:pStyle w:val="ListBullet3"/>
      </w:pPr>
      <w:r w:rsidRPr="00AA53F4">
        <w:lastRenderedPageBreak/>
        <w:t>Hepatotoxicity adverse events were reported across the pooled ALL studies at a rate of 50.9% (108/212) in the inotuzumab ozogamicin arm compared to 43.3% (49/143) in the control arm.</w:t>
      </w:r>
    </w:p>
    <w:p w14:paraId="2150FF8F" w14:textId="77777777" w:rsidR="00EA3B37" w:rsidRPr="00AA53F4" w:rsidRDefault="00EA3B37" w:rsidP="00EA3B37">
      <w:pPr>
        <w:pStyle w:val="ListBullet3"/>
      </w:pPr>
      <w:r w:rsidRPr="00AA53F4">
        <w:t>Overall, of the 880 patients exposed to inotuzumab ozogamicin in ALL or NHL studies, 34/880 (3.9%) hepatic VOD (total) SAEs were reported following treatment with inotuzumab ozogamicin, including 13.4% (22/164) in the pivotal study, 12.3% (26/212) in the pooled ALL studies.</w:t>
      </w:r>
    </w:p>
    <w:p w14:paraId="3B68CA1F" w14:textId="77777777" w:rsidR="00EA3B37" w:rsidRPr="00AA53F4" w:rsidRDefault="00EA3B37" w:rsidP="00EA3B37">
      <w:pPr>
        <w:pStyle w:val="ListBullet3"/>
      </w:pPr>
      <w:r w:rsidRPr="00AA53F4">
        <w:t>In the pivotal study, the frequency of VOD (total) in patients with pre-study HSCT versus no pre-study HSCT was 24.1% and 11.1%, respectively.</w:t>
      </w:r>
    </w:p>
    <w:p w14:paraId="3E1ED171" w14:textId="77777777" w:rsidR="00EA3B37" w:rsidRPr="00AA53F4" w:rsidRDefault="00EA3B37" w:rsidP="00EA3B37">
      <w:pPr>
        <w:pStyle w:val="ListBullet3"/>
      </w:pPr>
      <w:r w:rsidRPr="00AA53F4">
        <w:t xml:space="preserve">Based on the 77 patients </w:t>
      </w:r>
      <w:r>
        <w:t>who underwent HSCT</w:t>
      </w:r>
      <w:r w:rsidRPr="00AA53F4">
        <w:t xml:space="preserve"> in the</w:t>
      </w:r>
      <w:r>
        <w:t xml:space="preserve"> </w:t>
      </w:r>
      <w:r w:rsidRPr="00AA53F4">
        <w:t>inotuzumab ozog</w:t>
      </w:r>
      <w:r>
        <w:t>amicin arm of the pivotal study</w:t>
      </w:r>
      <w:r w:rsidRPr="00AA53F4">
        <w:t xml:space="preserve">, the risk of developing VOD/VOS post-HSCT was 50% (3/6) in patients aged </w:t>
      </w:r>
      <w:r w:rsidR="00503681">
        <w:t xml:space="preserve">≥ </w:t>
      </w:r>
      <w:r w:rsidRPr="00AA53F4">
        <w:t>65 years and 19.7% (14/71) in patients aged &lt; 65 years.</w:t>
      </w:r>
    </w:p>
    <w:p w14:paraId="3F55AF26" w14:textId="77777777" w:rsidR="00EA3B37" w:rsidRPr="00AA53F4" w:rsidRDefault="006644FB" w:rsidP="00EA3B37">
      <w:pPr>
        <w:pStyle w:val="ListBullet2"/>
      </w:pPr>
      <w:proofErr w:type="gramStart"/>
      <w:r>
        <w:t>severe</w:t>
      </w:r>
      <w:proofErr w:type="gramEnd"/>
      <w:r>
        <w:t xml:space="preserve">, life </w:t>
      </w:r>
      <w:r w:rsidR="00EA3B37" w:rsidRPr="00AA53F4">
        <w:t>threatening myelosuppression/</w:t>
      </w:r>
      <w:proofErr w:type="spellStart"/>
      <w:r w:rsidR="00EA3B37" w:rsidRPr="00AA53F4">
        <w:t>cytopenia</w:t>
      </w:r>
      <w:proofErr w:type="spellEnd"/>
      <w:r w:rsidR="00EA3B37" w:rsidRPr="00AA53F4">
        <w:t>.</w:t>
      </w:r>
    </w:p>
    <w:p w14:paraId="552D0923" w14:textId="77777777" w:rsidR="00EA3B37" w:rsidRPr="00AA53F4" w:rsidRDefault="00EA3B37" w:rsidP="00EA3B37">
      <w:pPr>
        <w:pStyle w:val="ListBullet2"/>
      </w:pPr>
      <w:proofErr w:type="gramStart"/>
      <w:r w:rsidRPr="00AA53F4">
        <w:t>serious</w:t>
      </w:r>
      <w:proofErr w:type="gramEnd"/>
      <w:r w:rsidRPr="00AA53F4">
        <w:t xml:space="preserve"> infections were very common</w:t>
      </w:r>
      <w:r w:rsidR="006644FB">
        <w:t xml:space="preserve">ly reported, and some were life </w:t>
      </w:r>
      <w:r w:rsidRPr="00AA53F4">
        <w:t>threatening or fatal.</w:t>
      </w:r>
    </w:p>
    <w:p w14:paraId="3BC476BB" w14:textId="77777777" w:rsidR="00EA3B37" w:rsidRPr="00AA53F4" w:rsidRDefault="00EA3B37" w:rsidP="00EA3B37">
      <w:pPr>
        <w:pStyle w:val="ListBullet2"/>
      </w:pPr>
      <w:proofErr w:type="gramStart"/>
      <w:r w:rsidRPr="00AA53F4">
        <w:t>infusion</w:t>
      </w:r>
      <w:proofErr w:type="gramEnd"/>
      <w:r w:rsidRPr="00AA53F4">
        <w:t xml:space="preserve"> related-reactions, including hypersensitivity, were reported very commonly.</w:t>
      </w:r>
    </w:p>
    <w:p w14:paraId="7B0BB6CD" w14:textId="77777777" w:rsidR="00503681" w:rsidRDefault="00EA3B37" w:rsidP="00EA3B37">
      <w:pPr>
        <w:pStyle w:val="ListBullet2"/>
      </w:pPr>
      <w:proofErr w:type="gramStart"/>
      <w:r w:rsidRPr="00AA53F4">
        <w:t>pancreatic</w:t>
      </w:r>
      <w:proofErr w:type="gramEnd"/>
      <w:r w:rsidRPr="00AA53F4">
        <w:t xml:space="preserve"> related adverse events including increased serum amylase and lipase</w:t>
      </w:r>
      <w:r w:rsidR="00503681">
        <w:t>.</w:t>
      </w:r>
    </w:p>
    <w:p w14:paraId="0B70D2A2" w14:textId="2B0DF3DD" w:rsidR="00992F35" w:rsidRPr="00EA3B37" w:rsidRDefault="00EA3B37" w:rsidP="004C4372">
      <w:pPr>
        <w:rPr>
          <w:lang w:val="en-US"/>
        </w:rPr>
      </w:pPr>
      <w:r w:rsidRPr="00AA53F4">
        <w:rPr>
          <w:lang w:val="en-US"/>
        </w:rPr>
        <w:t xml:space="preserve">Overall, the clinical evaluator considered that the submitted data for inotuzumab ozogamicin have adequately established the safety of the drug for the treatment of the proposed indication. A black box warning and precautions have been included in the Australian PI which </w:t>
      </w:r>
      <w:r w:rsidR="00D2491E" w:rsidRPr="00AA53F4">
        <w:rPr>
          <w:lang w:val="en-US"/>
        </w:rPr>
        <w:t>includes</w:t>
      </w:r>
      <w:r w:rsidRPr="00AA53F4">
        <w:rPr>
          <w:lang w:val="en-US"/>
        </w:rPr>
        <w:t xml:space="preserve"> the risks of hepatot</w:t>
      </w:r>
      <w:r w:rsidR="006644FB">
        <w:rPr>
          <w:lang w:val="en-US"/>
        </w:rPr>
        <w:t xml:space="preserve">oxicity, including severe, life </w:t>
      </w:r>
      <w:r w:rsidRPr="00AA53F4">
        <w:rPr>
          <w:lang w:val="en-US"/>
        </w:rPr>
        <w:t xml:space="preserve">threatening and fatal VOD/SOS and </w:t>
      </w:r>
      <w:r w:rsidRPr="00AA53F4">
        <w:rPr>
          <w:rFonts w:hint="eastAsia"/>
          <w:lang w:val="en-US"/>
        </w:rPr>
        <w:t>increased risk of post</w:t>
      </w:r>
      <w:r w:rsidRPr="00AA53F4">
        <w:rPr>
          <w:lang w:val="en-US"/>
        </w:rPr>
        <w:t>-</w:t>
      </w:r>
      <w:r w:rsidR="006644FB" w:rsidRPr="00AA53F4">
        <w:rPr>
          <w:lang w:val="en-US"/>
        </w:rPr>
        <w:t>hematopoietic</w:t>
      </w:r>
      <w:r w:rsidRPr="00AA53F4">
        <w:rPr>
          <w:rFonts w:hint="eastAsia"/>
          <w:lang w:val="en-US"/>
        </w:rPr>
        <w:t xml:space="preserve"> stem cell transplant (HSCT)</w:t>
      </w:r>
      <w:r w:rsidRPr="00AA53F4">
        <w:rPr>
          <w:lang w:val="en-US"/>
        </w:rPr>
        <w:t xml:space="preserve"> </w:t>
      </w:r>
      <w:r w:rsidRPr="00AA53F4">
        <w:rPr>
          <w:rFonts w:hint="eastAsia"/>
          <w:lang w:val="en-US"/>
        </w:rPr>
        <w:t>no</w:t>
      </w:r>
      <w:r w:rsidRPr="00AA53F4">
        <w:rPr>
          <w:lang w:val="en-US"/>
        </w:rPr>
        <w:t>n-</w:t>
      </w:r>
      <w:r w:rsidRPr="00AA53F4">
        <w:rPr>
          <w:rFonts w:hint="eastAsia"/>
          <w:lang w:val="en-US"/>
        </w:rPr>
        <w:t>relapse mortality</w:t>
      </w:r>
      <w:r w:rsidRPr="00AA53F4">
        <w:rPr>
          <w:lang w:val="en-US"/>
        </w:rPr>
        <w:t>.</w:t>
      </w:r>
    </w:p>
    <w:p w14:paraId="024D4395" w14:textId="77777777" w:rsidR="007B6132" w:rsidRPr="006644FB" w:rsidRDefault="007B6132" w:rsidP="006644FB">
      <w:pPr>
        <w:pStyle w:val="Heading4"/>
      </w:pPr>
      <w:r w:rsidRPr="006644FB">
        <w:t>Clin</w:t>
      </w:r>
      <w:r w:rsidR="006644FB" w:rsidRPr="006644FB">
        <w:t>ical evaluator’s recommendation</w:t>
      </w:r>
    </w:p>
    <w:p w14:paraId="69265D7B" w14:textId="77777777" w:rsidR="004C4372" w:rsidRPr="004C4372" w:rsidRDefault="004C4372" w:rsidP="004C4372">
      <w:r w:rsidRPr="004C4372">
        <w:t>The clinical evaluator recommended that inotuzumab ozogamicin (</w:t>
      </w:r>
      <w:r w:rsidR="006779D9">
        <w:t>Besponsa</w:t>
      </w:r>
      <w:r w:rsidRPr="004C4372">
        <w:t xml:space="preserve">) be approved for the treatment of adults with relapsed or refractory </w:t>
      </w:r>
      <w:r w:rsidR="005C4508">
        <w:t>CD22 positive</w:t>
      </w:r>
      <w:r w:rsidRPr="004C4372">
        <w:t xml:space="preserve"> </w:t>
      </w:r>
      <w:r w:rsidR="006779D9">
        <w:t>B cell</w:t>
      </w:r>
      <w:r w:rsidRPr="004C4372">
        <w:t xml:space="preserve"> precursor acute</w:t>
      </w:r>
      <w:r w:rsidR="00EA3B37">
        <w:t xml:space="preserve"> lymphoblastic leukaemia (ALL).</w:t>
      </w:r>
    </w:p>
    <w:p w14:paraId="7FDD13EB" w14:textId="77777777" w:rsidR="00456765" w:rsidRPr="00456765" w:rsidRDefault="004C4372" w:rsidP="00456765">
      <w:r w:rsidRPr="004C4372">
        <w:t xml:space="preserve">A total of four outstanding PI issues were identified in the </w:t>
      </w:r>
      <w:r w:rsidR="006644FB">
        <w:t>second round</w:t>
      </w:r>
      <w:r w:rsidRPr="004C4372">
        <w:t xml:space="preserve"> clinical report. These have been satisfactorily addressed by the </w:t>
      </w:r>
      <w:r w:rsidR="00F769DD">
        <w:t>sponsor</w:t>
      </w:r>
      <w:r w:rsidR="00EA3B37">
        <w:t>.</w:t>
      </w:r>
    </w:p>
    <w:p w14:paraId="5F522637" w14:textId="77777777" w:rsidR="008E7846" w:rsidRDefault="00386150" w:rsidP="007B6132">
      <w:pPr>
        <w:pStyle w:val="Heading3"/>
        <w:rPr>
          <w:lang w:eastAsia="en-AU"/>
        </w:rPr>
      </w:pPr>
      <w:bookmarkStart w:id="167" w:name="_Toc16505616"/>
      <w:r>
        <w:rPr>
          <w:lang w:eastAsia="en-AU"/>
        </w:rPr>
        <w:t>Risk m</w:t>
      </w:r>
      <w:r w:rsidR="008E7846">
        <w:rPr>
          <w:lang w:eastAsia="en-AU"/>
        </w:rPr>
        <w:t xml:space="preserve">anagement </w:t>
      </w:r>
      <w:r>
        <w:rPr>
          <w:lang w:eastAsia="en-AU"/>
        </w:rPr>
        <w:t>p</w:t>
      </w:r>
      <w:r w:rsidR="008E7846">
        <w:rPr>
          <w:lang w:eastAsia="en-AU"/>
        </w:rPr>
        <w:t>lan</w:t>
      </w:r>
      <w:bookmarkEnd w:id="166"/>
      <w:bookmarkEnd w:id="167"/>
    </w:p>
    <w:p w14:paraId="6D90F1F5" w14:textId="77777777" w:rsidR="00EA3B37" w:rsidRPr="00EA3B37" w:rsidRDefault="00EA3B37" w:rsidP="00EA3B37">
      <w:r w:rsidRPr="00AA53F4">
        <w:t>There were no objections to approval of the application for inotuzumab ozogamicin from the RMP evaluator</w:t>
      </w:r>
      <w:r>
        <w:t>s</w:t>
      </w:r>
      <w:r w:rsidRPr="00AA53F4">
        <w:t>.</w:t>
      </w:r>
    </w:p>
    <w:p w14:paraId="6C9F2602" w14:textId="51512978" w:rsidR="00EA3B37" w:rsidRPr="00AA53F4" w:rsidRDefault="00EA3B37" w:rsidP="00EA3B37">
      <w:r w:rsidRPr="00AA53F4">
        <w:t xml:space="preserve">In the </w:t>
      </w:r>
      <w:r w:rsidR="007C2763">
        <w:t>second round</w:t>
      </w:r>
      <w:r w:rsidRPr="00AA53F4">
        <w:t xml:space="preserve"> RMP report, the evaluator requested the </w:t>
      </w:r>
      <w:r w:rsidR="006644FB">
        <w:t>Delegate</w:t>
      </w:r>
      <w:r w:rsidRPr="00AA53F4">
        <w:t xml:space="preserve"> to consider if the</w:t>
      </w:r>
      <w:r w:rsidR="006779D9">
        <w:t xml:space="preserve"> </w:t>
      </w:r>
      <w:r w:rsidRPr="006644FB">
        <w:t>important potential risks</w:t>
      </w:r>
      <w:r w:rsidRPr="00AA53F4">
        <w:t xml:space="preserve"> of </w:t>
      </w:r>
      <w:r w:rsidR="00503681">
        <w:t>‘</w:t>
      </w:r>
      <w:r w:rsidRPr="00AA53F4">
        <w:t>interstitial lung disease</w:t>
      </w:r>
      <w:r w:rsidR="00503681">
        <w:t>’</w:t>
      </w:r>
      <w:r w:rsidRPr="00AA53F4">
        <w:t xml:space="preserve">, </w:t>
      </w:r>
      <w:r w:rsidR="00503681">
        <w:t>‘</w:t>
      </w:r>
      <w:r w:rsidRPr="00AA53F4">
        <w:t>inflammatory gastrointestinal events</w:t>
      </w:r>
      <w:r w:rsidR="00503681">
        <w:t>’</w:t>
      </w:r>
      <w:r w:rsidRPr="00AA53F4">
        <w:t xml:space="preserve">, </w:t>
      </w:r>
      <w:r w:rsidR="00503681">
        <w:t>‘</w:t>
      </w:r>
      <w:r w:rsidRPr="00AA53F4">
        <w:t>pancreatitis</w:t>
      </w:r>
      <w:r w:rsidR="00503681">
        <w:t>’</w:t>
      </w:r>
      <w:r w:rsidRPr="00AA53F4">
        <w:t xml:space="preserve">, </w:t>
      </w:r>
      <w:r w:rsidR="00503681">
        <w:t>‘</w:t>
      </w:r>
      <w:r w:rsidRPr="00AA53F4">
        <w:t>second primary malignancy</w:t>
      </w:r>
      <w:r w:rsidR="00503681">
        <w:t>’</w:t>
      </w:r>
      <w:r w:rsidRPr="00AA53F4">
        <w:t xml:space="preserve">, </w:t>
      </w:r>
      <w:r w:rsidR="00503681">
        <w:t>‘</w:t>
      </w:r>
      <w:r w:rsidRPr="00AA53F4">
        <w:t>reproductive and developmental toxicity (post exposure during pregnancy and while breast feeding)</w:t>
      </w:r>
      <w:r w:rsidR="00503681">
        <w:t>’</w:t>
      </w:r>
      <w:r w:rsidRPr="00AA53F4">
        <w:t xml:space="preserve">; </w:t>
      </w:r>
      <w:r w:rsidR="00503681">
        <w:t>‘</w:t>
      </w:r>
      <w:r w:rsidRPr="00AA53F4">
        <w:t>neurotoxicity</w:t>
      </w:r>
      <w:r w:rsidR="00503681">
        <w:t>’</w:t>
      </w:r>
      <w:r w:rsidRPr="00AA53F4">
        <w:t xml:space="preserve"> and </w:t>
      </w:r>
      <w:r w:rsidR="00503681">
        <w:t>‘</w:t>
      </w:r>
      <w:r w:rsidRPr="00AA53F4">
        <w:t>nephrotoxicity</w:t>
      </w:r>
      <w:r w:rsidR="00503681">
        <w:t>’</w:t>
      </w:r>
      <w:r w:rsidRPr="00AA53F4">
        <w:t xml:space="preserve"> should be included in the PI. These risk are listed by the </w:t>
      </w:r>
      <w:r w:rsidR="00F769DD">
        <w:t>sponsor</w:t>
      </w:r>
      <w:r w:rsidRPr="00AA53F4">
        <w:t xml:space="preserve"> as important potential risks in the table of ongoing safety concerns in the EU-RMP Version1.5, dated 26 April 2017, data lock point 26 April 2016. </w:t>
      </w:r>
      <w:r w:rsidR="006644FB">
        <w:t>The Delegate</w:t>
      </w:r>
      <w:r w:rsidRPr="00AA53F4">
        <w:t xml:space="preserve"> agree</w:t>
      </w:r>
      <w:r w:rsidR="006644FB">
        <w:t>s</w:t>
      </w:r>
      <w:r w:rsidRPr="00AA53F4">
        <w:t xml:space="preserve"> with the </w:t>
      </w:r>
      <w:r w:rsidR="00F769DD">
        <w:t>sponsor</w:t>
      </w:r>
      <w:r w:rsidRPr="00AA53F4">
        <w:t xml:space="preserve"> that these risks should be included as important potential risks in the RMP and reported on within the PSUR. The clinical evaluator also agreed with this and did not suggest inclusion in the PI at this stage. In reconciling this request, </w:t>
      </w:r>
      <w:r w:rsidR="006644FB">
        <w:t>the Delegate has</w:t>
      </w:r>
      <w:r w:rsidRPr="00AA53F4">
        <w:t xml:space="preserve"> considered the following:</w:t>
      </w:r>
    </w:p>
    <w:p w14:paraId="30820B0C" w14:textId="77777777" w:rsidR="00EA3B37" w:rsidRPr="00AA53F4" w:rsidRDefault="006644FB" w:rsidP="00EA3B37">
      <w:pPr>
        <w:pStyle w:val="ListBullet"/>
      </w:pPr>
      <w:proofErr w:type="gramStart"/>
      <w:r>
        <w:lastRenderedPageBreak/>
        <w:t>the</w:t>
      </w:r>
      <w:proofErr w:type="gramEnd"/>
      <w:r>
        <w:t xml:space="preserve"> Delegate</w:t>
      </w:r>
      <w:r w:rsidR="00EA3B37" w:rsidRPr="00AA53F4">
        <w:t xml:space="preserve"> consider</w:t>
      </w:r>
      <w:r>
        <w:t>s</w:t>
      </w:r>
      <w:r w:rsidR="00EA3B37" w:rsidRPr="00AA53F4">
        <w:t xml:space="preserve"> the definition of an important potential risk to mean risks that are not refuted by clinical data or which are of unknown significance. There are clear mechanistic explanations for these potential risks with the use of inotuzumab ozogamicin, as discussed in detail by the </w:t>
      </w:r>
      <w:r w:rsidR="00F769DD">
        <w:t>sponsor</w:t>
      </w:r>
      <w:r w:rsidR="00EA3B37" w:rsidRPr="00AA53F4">
        <w:t xml:space="preserve"> in the EU-RMP Version 1.5.</w:t>
      </w:r>
    </w:p>
    <w:p w14:paraId="07EE89A1" w14:textId="243ED274" w:rsidR="00EA3B37" w:rsidRPr="00AA53F4" w:rsidRDefault="00EA3B37" w:rsidP="00EA3B37">
      <w:pPr>
        <w:pStyle w:val="ListBullet"/>
      </w:pPr>
      <w:r w:rsidRPr="00AA53F4">
        <w:t xml:space="preserve">These risks have been considered by the </w:t>
      </w:r>
      <w:r w:rsidR="00F769DD">
        <w:t>sponsor</w:t>
      </w:r>
      <w:r w:rsidRPr="00AA53F4">
        <w:t xml:space="preserve"> as </w:t>
      </w:r>
      <w:r w:rsidR="00503681">
        <w:t>‘</w:t>
      </w:r>
      <w:r w:rsidR="00C76F1D" w:rsidRPr="00160FA8">
        <w:rPr>
          <w:i/>
        </w:rPr>
        <w:t>adverse events of special interest’</w:t>
      </w:r>
      <w:r w:rsidRPr="00AA53F4">
        <w:t xml:space="preserve"> (</w:t>
      </w:r>
      <w:proofErr w:type="spellStart"/>
      <w:r w:rsidRPr="00AA53F4">
        <w:t>AEoSI</w:t>
      </w:r>
      <w:proofErr w:type="spellEnd"/>
      <w:r w:rsidRPr="00AA53F4">
        <w:t>) in analysing the study from the data in patients with ALL and NHL provided in the dossier. This is appropriate.</w:t>
      </w:r>
    </w:p>
    <w:p w14:paraId="652296CA" w14:textId="0866256A" w:rsidR="00EA3B37" w:rsidRPr="00AA53F4" w:rsidRDefault="00EA3B37" w:rsidP="00EA3B37">
      <w:pPr>
        <w:pStyle w:val="ListBullet"/>
      </w:pPr>
      <w:r w:rsidRPr="00AA53F4">
        <w:t xml:space="preserve">The </w:t>
      </w:r>
      <w:r w:rsidR="006644FB">
        <w:t xml:space="preserve">RMP </w:t>
      </w:r>
      <w:r w:rsidRPr="00AA53F4">
        <w:t xml:space="preserve">evaluator notes that the important identified risk of reproductive and developmental toxicity is discussed in the proposed PI under </w:t>
      </w:r>
      <w:r w:rsidR="00C76F1D" w:rsidRPr="00160FA8">
        <w:rPr>
          <w:i/>
        </w:rPr>
        <w:t>Precautions</w:t>
      </w:r>
      <w:r w:rsidRPr="00AA53F4">
        <w:t>. This information has been r</w:t>
      </w:r>
      <w:r w:rsidR="006644FB">
        <w:t>eviewed and modified by the non</w:t>
      </w:r>
      <w:r w:rsidRPr="00AA53F4">
        <w:t>clinical evaluator.</w:t>
      </w:r>
    </w:p>
    <w:p w14:paraId="7AFFB126" w14:textId="77777777" w:rsidR="00EA3B37" w:rsidRPr="00AA53F4" w:rsidRDefault="00EA3B37" w:rsidP="00EA3B37">
      <w:pPr>
        <w:pStyle w:val="ListBullet"/>
      </w:pPr>
      <w:r w:rsidRPr="00AA53F4">
        <w:t xml:space="preserve">Interstitial lung disease (ILD): In the pooled data from ALL studies discussed in the Summary of Clinical Safety, there were no AE’s of ILD. The </w:t>
      </w:r>
      <w:r w:rsidR="00F769DD">
        <w:t>sponsor</w:t>
      </w:r>
      <w:r w:rsidRPr="00AA53F4">
        <w:t xml:space="preserve"> noted that 1 patient in the inotuzumab ozoga</w:t>
      </w:r>
      <w:r>
        <w:t xml:space="preserve">micin arm was reported to have </w:t>
      </w:r>
      <w:r w:rsidR="00617F88">
        <w:t>Grade</w:t>
      </w:r>
      <w:r w:rsidRPr="00AA53F4">
        <w:t xml:space="preserve"> 1 </w:t>
      </w:r>
      <w:proofErr w:type="spellStart"/>
      <w:r w:rsidRPr="00AA53F4">
        <w:t>obliterative</w:t>
      </w:r>
      <w:proofErr w:type="spellEnd"/>
      <w:r w:rsidRPr="00AA53F4">
        <w:t xml:space="preserve"> bronchiolitis and pneumonitis and 1 patient in the control arm reported to have </w:t>
      </w:r>
      <w:r w:rsidR="00617F88">
        <w:t>Grade</w:t>
      </w:r>
      <w:r w:rsidR="006644FB">
        <w:t> </w:t>
      </w:r>
      <w:r w:rsidRPr="00AA53F4">
        <w:t xml:space="preserve">2 bronchiolitis. In the pooled </w:t>
      </w:r>
      <w:r w:rsidR="00E86989">
        <w:t>single agent</w:t>
      </w:r>
      <w:r w:rsidRPr="00AA53F4">
        <w:t xml:space="preserve"> NHL studies, ILD AE’s were reporte</w:t>
      </w:r>
      <w:r>
        <w:t xml:space="preserve">d in 4 patients (2.3%). This included </w:t>
      </w:r>
      <w:r w:rsidR="00617F88">
        <w:t>Grade</w:t>
      </w:r>
      <w:r>
        <w:t xml:space="preserve"> 1 pneumonitis (n</w:t>
      </w:r>
      <w:r w:rsidR="0014606A">
        <w:t xml:space="preserve"> = </w:t>
      </w:r>
      <w:r>
        <w:t xml:space="preserve">2), </w:t>
      </w:r>
      <w:r w:rsidR="00617F88">
        <w:t>Grade</w:t>
      </w:r>
      <w:r>
        <w:t xml:space="preserve"> 2 lung infiltration (n</w:t>
      </w:r>
      <w:r w:rsidR="0014606A">
        <w:t xml:space="preserve"> = </w:t>
      </w:r>
      <w:r>
        <w:t xml:space="preserve">1), and </w:t>
      </w:r>
      <w:r w:rsidR="00617F88">
        <w:t>Grade</w:t>
      </w:r>
      <w:r w:rsidRPr="00AA53F4">
        <w:t xml:space="preserve"> 4 </w:t>
      </w:r>
      <w:proofErr w:type="spellStart"/>
      <w:r>
        <w:t>a</w:t>
      </w:r>
      <w:r w:rsidRPr="00AA53F4">
        <w:t>lveolitis</w:t>
      </w:r>
      <w:proofErr w:type="spellEnd"/>
      <w:r w:rsidRPr="00AA53F4">
        <w:t xml:space="preserve"> (n</w:t>
      </w:r>
      <w:r w:rsidR="0014606A">
        <w:t xml:space="preserve"> = </w:t>
      </w:r>
      <w:r w:rsidRPr="00AA53F4">
        <w:t xml:space="preserve">1)). Although ILD is clinically significant, there is insufficient data at this stage to allow for quantification of this risk for patients with relapsed or refractory ALL. </w:t>
      </w:r>
      <w:r w:rsidR="006644FB">
        <w:t>The Delegate</w:t>
      </w:r>
      <w:r w:rsidRPr="00AA53F4">
        <w:t xml:space="preserve"> agree</w:t>
      </w:r>
      <w:r w:rsidR="006644FB">
        <w:t>s</w:t>
      </w:r>
      <w:r w:rsidRPr="00AA53F4">
        <w:t xml:space="preserve"> with the </w:t>
      </w:r>
      <w:r w:rsidR="00F769DD">
        <w:t>sponsor</w:t>
      </w:r>
      <w:r w:rsidRPr="00AA53F4">
        <w:t xml:space="preserve"> that ongoing monitoring through the PSUR is appropriate at this stage.it is appropriate at this stage to ensure ongoing monitoring in the PSUR.</w:t>
      </w:r>
    </w:p>
    <w:p w14:paraId="3E3C02FB" w14:textId="77777777" w:rsidR="00EA3B37" w:rsidRDefault="00EA3B37" w:rsidP="00EA3B37">
      <w:pPr>
        <w:pStyle w:val="ListBullet"/>
      </w:pPr>
      <w:r w:rsidRPr="00AA53F4">
        <w:t xml:space="preserve">Pancreatitis: In the pooled data from ALL studies discussed in the Summary of Clinical Safety, pancreatitis AEs were reported in 21/212 (9.9%) of pooled ALL patients, which included 18/164 (11.0%) patients from Study </w:t>
      </w:r>
      <w:r w:rsidRPr="00CC30C8">
        <w:t xml:space="preserve">1022 (Table </w:t>
      </w:r>
      <w:r w:rsidR="00CC30C8" w:rsidRPr="00CC30C8">
        <w:t>16</w:t>
      </w:r>
      <w:r w:rsidRPr="00CC30C8">
        <w:t>). In the</w:t>
      </w:r>
      <w:r>
        <w:t xml:space="preserve"> pooled ALL studies, </w:t>
      </w:r>
      <w:r w:rsidR="00617F88">
        <w:t>Grade</w:t>
      </w:r>
      <w:r w:rsidRPr="00AA53F4">
        <w:t xml:space="preserve"> </w:t>
      </w:r>
      <w:r w:rsidR="006644FB">
        <w:t>≥</w:t>
      </w:r>
      <w:r w:rsidR="000F385B" w:rsidRPr="006644FB">
        <w:t xml:space="preserve"> </w:t>
      </w:r>
      <w:r w:rsidRPr="00AA53F4">
        <w:t>3 pancreatitis</w:t>
      </w:r>
      <w:r>
        <w:t xml:space="preserve"> AEs included: l</w:t>
      </w:r>
      <w:r w:rsidRPr="00AA53F4">
        <w:t xml:space="preserve">ipase </w:t>
      </w:r>
      <w:r>
        <w:t xml:space="preserve">increased (8 </w:t>
      </w:r>
      <w:r w:rsidR="00503681">
        <w:t>(</w:t>
      </w:r>
      <w:r>
        <w:t>3.8%</w:t>
      </w:r>
      <w:r w:rsidR="00503681">
        <w:t>)</w:t>
      </w:r>
      <w:r>
        <w:t xml:space="preserve"> patients); a</w:t>
      </w:r>
      <w:r w:rsidRPr="00AA53F4">
        <w:t xml:space="preserve">mylase </w:t>
      </w:r>
      <w:r>
        <w:t xml:space="preserve">increased (4 </w:t>
      </w:r>
      <w:r w:rsidR="00503681">
        <w:t>(</w:t>
      </w:r>
      <w:r>
        <w:t>1.9%</w:t>
      </w:r>
      <w:r w:rsidR="00503681">
        <w:t>)</w:t>
      </w:r>
      <w:r>
        <w:t xml:space="preserve"> patients); p</w:t>
      </w:r>
      <w:r w:rsidRPr="00AA53F4">
        <w:t>ancreatitis</w:t>
      </w:r>
      <w:r>
        <w:t xml:space="preserve"> (2 </w:t>
      </w:r>
      <w:r w:rsidR="00503681">
        <w:t>(</w:t>
      </w:r>
      <w:r>
        <w:t>0.9%</w:t>
      </w:r>
      <w:r w:rsidR="00503681">
        <w:t>)</w:t>
      </w:r>
      <w:r>
        <w:t xml:space="preserve"> patients: </w:t>
      </w:r>
      <w:r w:rsidR="00617F88">
        <w:t>Grade</w:t>
      </w:r>
      <w:r>
        <w:t xml:space="preserve"> 3) and p</w:t>
      </w:r>
      <w:r w:rsidRPr="00AA53F4">
        <w:t>ancreatitis acute (1</w:t>
      </w:r>
      <w:r>
        <w:t xml:space="preserve"> </w:t>
      </w:r>
      <w:r w:rsidR="00503681">
        <w:t>(</w:t>
      </w:r>
      <w:r>
        <w:t xml:space="preserve">0.5%; </w:t>
      </w:r>
      <w:r w:rsidR="00617F88">
        <w:t>Grade</w:t>
      </w:r>
      <w:r>
        <w:t xml:space="preserve"> 3</w:t>
      </w:r>
      <w:r w:rsidR="00503681">
        <w:t>)</w:t>
      </w:r>
      <w:r>
        <w:t xml:space="preserve"> patients). No </w:t>
      </w:r>
      <w:r w:rsidR="00617F88">
        <w:t>Grade</w:t>
      </w:r>
      <w:r w:rsidRPr="00AA53F4">
        <w:t xml:space="preserve"> 5 pancreatitis AEs </w:t>
      </w:r>
      <w:proofErr w:type="gramStart"/>
      <w:r w:rsidRPr="00AA53F4">
        <w:t>were</w:t>
      </w:r>
      <w:proofErr w:type="gramEnd"/>
      <w:r w:rsidRPr="00AA53F4">
        <w:t xml:space="preserve"> reported. The adverse events of lipase increased and amylase increased are included in the draft Australian PI for inotuzumab ozogamicin. </w:t>
      </w:r>
      <w:r w:rsidR="006644FB">
        <w:t>The Delegate</w:t>
      </w:r>
      <w:r w:rsidRPr="00AA53F4">
        <w:t xml:space="preserve"> agree</w:t>
      </w:r>
      <w:r w:rsidR="006644FB">
        <w:t>s</w:t>
      </w:r>
      <w:r w:rsidRPr="00AA53F4">
        <w:t xml:space="preserve"> with the </w:t>
      </w:r>
      <w:r w:rsidR="00F769DD">
        <w:t>sponsor</w:t>
      </w:r>
      <w:r w:rsidRPr="00AA53F4">
        <w:t xml:space="preserve"> that ongoing monitoring of the rates of pancreatitis through the PSUR is appropriate at this stage.</w:t>
      </w:r>
    </w:p>
    <w:p w14:paraId="1F4B1A8C" w14:textId="1C3D5DAC" w:rsidR="00F901AA" w:rsidRDefault="00F901AA" w:rsidP="0030065C">
      <w:pPr>
        <w:pStyle w:val="TableTitle"/>
      </w:pPr>
      <w:r w:rsidRPr="00CC30C8">
        <w:t xml:space="preserve">Table </w:t>
      </w:r>
      <w:r w:rsidR="00CC30C8" w:rsidRPr="00CC30C8">
        <w:t>1</w:t>
      </w:r>
      <w:r w:rsidR="00CC30C8">
        <w:t>6:</w:t>
      </w:r>
      <w:r w:rsidRPr="0030065C">
        <w:t xml:space="preserve"> </w:t>
      </w:r>
      <w:r w:rsidR="0030065C" w:rsidRPr="0030065C">
        <w:t xml:space="preserve">Inotuzumab </w:t>
      </w:r>
      <w:r w:rsidR="00843728">
        <w:t>o</w:t>
      </w:r>
      <w:r w:rsidR="00843728" w:rsidRPr="0030065C">
        <w:t xml:space="preserve">zogamicin </w:t>
      </w:r>
      <w:r w:rsidR="0030065C" w:rsidRPr="0030065C">
        <w:t xml:space="preserve">Pooled Studies B1931010 </w:t>
      </w:r>
      <w:r w:rsidR="00C76F1D">
        <w:t>and</w:t>
      </w:r>
      <w:r w:rsidR="0030065C" w:rsidRPr="0030065C">
        <w:t xml:space="preserve"> B1931022</w:t>
      </w:r>
      <w:r w:rsidR="00843728">
        <w:t>;</w:t>
      </w:r>
      <w:r w:rsidR="0030065C">
        <w:t xml:space="preserve"> </w:t>
      </w:r>
      <w:r w:rsidR="00843728" w:rsidRPr="0030065C">
        <w:t xml:space="preserve">summary of treatment-emergent clustered pancreatitis events </w:t>
      </w:r>
      <w:r w:rsidRPr="0030065C">
        <w:t xml:space="preserve">by </w:t>
      </w:r>
      <w:proofErr w:type="spellStart"/>
      <w:r w:rsidRPr="0030065C">
        <w:t>MedDRA</w:t>
      </w:r>
      <w:proofErr w:type="spellEnd"/>
      <w:r w:rsidRPr="0030065C">
        <w:t xml:space="preserve"> </w:t>
      </w:r>
      <w:r w:rsidR="00843728" w:rsidRPr="0030065C">
        <w:t>preferred t</w:t>
      </w:r>
      <w:r w:rsidRPr="0030065C">
        <w:t>erm (</w:t>
      </w:r>
      <w:r w:rsidR="00843728" w:rsidRPr="0030065C">
        <w:t>decreasing frequency order</w:t>
      </w:r>
      <w:r w:rsidR="0030065C" w:rsidRPr="0030065C">
        <w:t xml:space="preserve">) and </w:t>
      </w:r>
      <w:r w:rsidR="00843728">
        <w:t>m</w:t>
      </w:r>
      <w:r w:rsidR="00843728" w:rsidRPr="0030065C">
        <w:t xml:space="preserve">aximum </w:t>
      </w:r>
      <w:r w:rsidR="0030065C" w:rsidRPr="0030065C">
        <w:t xml:space="preserve">CTCAE </w:t>
      </w:r>
      <w:r w:rsidRPr="0030065C">
        <w:t>Grade (All Causalities)</w:t>
      </w:r>
      <w:r w:rsidR="00843728">
        <w:t>;</w:t>
      </w:r>
      <w:r w:rsidRPr="0030065C">
        <w:t xml:space="preserve"> Safety</w:t>
      </w:r>
      <w:r w:rsidR="00843728">
        <w:t> </w:t>
      </w:r>
      <w:r w:rsidRPr="0030065C">
        <w:t>Population</w:t>
      </w:r>
    </w:p>
    <w:p w14:paraId="1F462BA7" w14:textId="77777777" w:rsidR="0030065C" w:rsidRPr="0030065C" w:rsidRDefault="0030065C" w:rsidP="0030065C">
      <w:r>
        <w:rPr>
          <w:noProof/>
          <w:lang w:eastAsia="en-AU"/>
        </w:rPr>
        <w:drawing>
          <wp:inline distT="0" distB="0" distL="0" distR="0" wp14:anchorId="44A76C35" wp14:editId="65EF1806">
            <wp:extent cx="5400040" cy="1267509"/>
            <wp:effectExtent l="0" t="0" r="0" b="8890"/>
            <wp:docPr id="25" name="Picture 25" descr="Table 16: Inotuzumab Ozogamicin Pooled Studies B1931010 + B1931022 Summary of Treatment-Emergent Clustered Pancreatitis Events by MedDRA Preferred Term (Decreasing Frequency Order) and Maximum CTCAE Grade (All Causalitie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267509"/>
                    </a:xfrm>
                    <a:prstGeom prst="rect">
                      <a:avLst/>
                    </a:prstGeom>
                  </pic:spPr>
                </pic:pic>
              </a:graphicData>
            </a:graphic>
          </wp:inline>
        </w:drawing>
      </w:r>
    </w:p>
    <w:p w14:paraId="62056162" w14:textId="77777777" w:rsidR="00EA3B37" w:rsidRPr="00AA53F4" w:rsidRDefault="00EA3B37" w:rsidP="00EA3B37">
      <w:pPr>
        <w:pStyle w:val="ListBullet"/>
      </w:pPr>
      <w:r w:rsidRPr="00AA53F4">
        <w:t xml:space="preserve">Secondary primary malignancy: In the pooled data from ALL studies discussed in the Summary of Clinical Safety, one case of AML was reported after 3 cycles of inotuzumab ozogamicin in the setting of ALL remission in a patient receiving Salvage </w:t>
      </w:r>
      <w:r w:rsidR="000F385B">
        <w:t xml:space="preserve">&gt; </w:t>
      </w:r>
      <w:r w:rsidRPr="00AA53F4">
        <w:t>5 therapy. The patient was heavily pre-treated with chemotherapy for 7 years from i</w:t>
      </w:r>
      <w:r w:rsidR="006644FB">
        <w:t>nitial diagnosis; however, the i</w:t>
      </w:r>
      <w:r w:rsidRPr="00AA53F4">
        <w:t xml:space="preserve">nvestigator’s causal attribution to inotuzumab ozogamicin could not be excluded. No cases were reported in the pooled </w:t>
      </w:r>
      <w:r w:rsidR="00E86989">
        <w:t>single agent</w:t>
      </w:r>
      <w:r w:rsidRPr="00AA53F4">
        <w:t xml:space="preserve"> NHL studies. Therefore, there is insufficient data at this stage to allow for quantification of this risk. </w:t>
      </w:r>
      <w:r w:rsidR="006644FB">
        <w:lastRenderedPageBreak/>
        <w:t>The Delegate</w:t>
      </w:r>
      <w:r w:rsidRPr="00AA53F4">
        <w:t xml:space="preserve"> agree</w:t>
      </w:r>
      <w:r w:rsidR="006644FB">
        <w:t>s</w:t>
      </w:r>
      <w:r w:rsidRPr="00AA53F4">
        <w:t xml:space="preserve"> with the </w:t>
      </w:r>
      <w:r w:rsidR="00F769DD">
        <w:t>sponsor</w:t>
      </w:r>
      <w:r w:rsidRPr="00AA53F4">
        <w:t xml:space="preserve"> that ongoing monitoring through the PSUR is appropriate at this stage.</w:t>
      </w:r>
    </w:p>
    <w:p w14:paraId="0375E3E4" w14:textId="77777777" w:rsidR="00EA3B37" w:rsidRPr="00AA53F4" w:rsidRDefault="00EA3B37" w:rsidP="00EA3B37">
      <w:pPr>
        <w:pStyle w:val="ListBullet"/>
      </w:pPr>
      <w:r w:rsidRPr="00AA53F4">
        <w:t>Inflammatory gastrointestinal events:</w:t>
      </w:r>
    </w:p>
    <w:p w14:paraId="5CB45BE5" w14:textId="77777777" w:rsidR="00EA3B37" w:rsidRDefault="00EA3B37" w:rsidP="00EA3B37">
      <w:pPr>
        <w:pStyle w:val="ListBullet2"/>
      </w:pPr>
      <w:r w:rsidRPr="00AA53F4">
        <w:t xml:space="preserve">Inflammatory gastrointestinal adverse events were reported in 34/212 (16.0%) patients receiving inotuzumab ozogamicin, which included 28/164 (17.1%) patients from the pivotal study. There was one case of </w:t>
      </w:r>
      <w:r w:rsidR="00503681">
        <w:t>‘</w:t>
      </w:r>
      <w:r>
        <w:t>c</w:t>
      </w:r>
      <w:r w:rsidRPr="00AA53F4">
        <w:t>olitis ischaemic</w:t>
      </w:r>
      <w:r w:rsidR="00503681">
        <w:t>’</w:t>
      </w:r>
      <w:r w:rsidRPr="00AA53F4">
        <w:t xml:space="preserve"> </w:t>
      </w:r>
      <w:r w:rsidR="00617F88">
        <w:t>Grade</w:t>
      </w:r>
      <w:r w:rsidRPr="00AA53F4">
        <w:t xml:space="preserve"> 5 reported in the pivotal study. Overall, in the pooled </w:t>
      </w:r>
      <w:r w:rsidR="00E86989">
        <w:t>single agent</w:t>
      </w:r>
      <w:r w:rsidRPr="00AA53F4">
        <w:t xml:space="preserve"> NHL Studies, Inflammatory gastrointestinal adverse events were reported in 3/173 (1.7%) patients receiving inotuzumab ozogamicin, including Gastritis (n</w:t>
      </w:r>
      <w:r w:rsidR="0014606A">
        <w:t xml:space="preserve"> = </w:t>
      </w:r>
      <w:r w:rsidRPr="00AA53F4">
        <w:t>2) and oesophagitis (n</w:t>
      </w:r>
      <w:r w:rsidR="0014606A">
        <w:t xml:space="preserve"> = </w:t>
      </w:r>
      <w:r w:rsidRPr="00AA53F4">
        <w:t>1</w:t>
      </w:r>
      <w:r w:rsidRPr="00CC30C8">
        <w:t xml:space="preserve">) </w:t>
      </w:r>
      <w:r w:rsidR="00CC30C8" w:rsidRPr="00CC30C8">
        <w:t>(</w:t>
      </w:r>
      <w:r w:rsidRPr="00CC30C8">
        <w:t xml:space="preserve">Table </w:t>
      </w:r>
      <w:r w:rsidR="00CC30C8" w:rsidRPr="00CC30C8">
        <w:t>17</w:t>
      </w:r>
      <w:r>
        <w:t xml:space="preserve">). No </w:t>
      </w:r>
      <w:r w:rsidR="00617F88">
        <w:t>Grade</w:t>
      </w:r>
      <w:r w:rsidR="006644FB">
        <w:t xml:space="preserve"> 3, 4, or 5 i</w:t>
      </w:r>
      <w:r w:rsidRPr="00AA53F4">
        <w:t xml:space="preserve">nflammatory gastrointestinal adverse events were reported. The </w:t>
      </w:r>
      <w:r w:rsidR="00F769DD">
        <w:t>sponsor</w:t>
      </w:r>
      <w:r w:rsidRPr="00AA53F4">
        <w:t xml:space="preserve"> states </w:t>
      </w:r>
      <w:r w:rsidR="006644FB">
        <w:t>in</w:t>
      </w:r>
      <w:r w:rsidRPr="00AA53F4">
        <w:t xml:space="preserve"> the inotuzumab ozogamicin Risk Management Plan (dated April 2017) that </w:t>
      </w:r>
      <w:r w:rsidR="00503681">
        <w:t>‘</w:t>
      </w:r>
      <w:r w:rsidRPr="00AA53F4">
        <w:t>…</w:t>
      </w:r>
      <w:r w:rsidRPr="00AA53F4">
        <w:rPr>
          <w:i/>
        </w:rPr>
        <w:t>there is currently not enough evidence to know whether inotuzumab ozogamicin treatment could cause inflammation and ulceration of the mucous membranes lining the digestive tract in some patients</w:t>
      </w:r>
      <w:r w:rsidR="00503681">
        <w:t>’</w:t>
      </w:r>
      <w:r w:rsidRPr="00AA53F4">
        <w:t>.</w:t>
      </w:r>
    </w:p>
    <w:p w14:paraId="0E3657A1" w14:textId="5E307E13" w:rsidR="001336C3" w:rsidRDefault="001336C3" w:rsidP="001336C3">
      <w:pPr>
        <w:pStyle w:val="TableTitle"/>
      </w:pPr>
      <w:r>
        <w:t xml:space="preserve">Table </w:t>
      </w:r>
      <w:r w:rsidR="00CC30C8">
        <w:t>17:</w:t>
      </w:r>
      <w:r w:rsidRPr="001336C3">
        <w:t xml:space="preserve"> </w:t>
      </w:r>
      <w:r>
        <w:t xml:space="preserve">Inotuzumab </w:t>
      </w:r>
      <w:r w:rsidR="00843728">
        <w:t>ozogamicin single agent</w:t>
      </w:r>
      <w:r>
        <w:t xml:space="preserve"> </w:t>
      </w:r>
      <w:r w:rsidR="00C76F1D">
        <w:t>p</w:t>
      </w:r>
      <w:r>
        <w:t xml:space="preserve">ooled Studies B1931002 </w:t>
      </w:r>
      <w:r w:rsidR="00C76F1D">
        <w:t>and</w:t>
      </w:r>
      <w:r>
        <w:t xml:space="preserve"> B1931007 + B1931016</w:t>
      </w:r>
      <w:r w:rsidR="00843728">
        <w:t>;</w:t>
      </w:r>
      <w:r>
        <w:t xml:space="preserve"> </w:t>
      </w:r>
      <w:r w:rsidR="00843728">
        <w:t>summary of treatment emergent clustered inflammatory gastrointestinal adverse even</w:t>
      </w:r>
      <w:r>
        <w:t xml:space="preserve">ts by </w:t>
      </w:r>
      <w:proofErr w:type="spellStart"/>
      <w:r>
        <w:t>MedDRA</w:t>
      </w:r>
      <w:proofErr w:type="spellEnd"/>
      <w:r>
        <w:t xml:space="preserve"> </w:t>
      </w:r>
      <w:r w:rsidR="00843728">
        <w:t>preferred t</w:t>
      </w:r>
      <w:r>
        <w:t>erm (</w:t>
      </w:r>
      <w:r w:rsidR="00843728">
        <w:t>decreasing frequency order</w:t>
      </w:r>
      <w:r>
        <w:t xml:space="preserve">) and </w:t>
      </w:r>
      <w:r w:rsidR="00843728">
        <w:t xml:space="preserve">maximum </w:t>
      </w:r>
      <w:r>
        <w:t>CTCAE Grade (All Causalities)</w:t>
      </w:r>
      <w:r w:rsidR="00D2491E">
        <w:t>;</w:t>
      </w:r>
      <w:r>
        <w:t xml:space="preserve"> (Safety Population)</w:t>
      </w:r>
    </w:p>
    <w:p w14:paraId="55CC837E" w14:textId="77777777" w:rsidR="001336C3" w:rsidRPr="001336C3" w:rsidRDefault="001336C3" w:rsidP="001336C3">
      <w:r>
        <w:rPr>
          <w:noProof/>
          <w:lang w:eastAsia="en-AU"/>
        </w:rPr>
        <w:drawing>
          <wp:inline distT="0" distB="0" distL="0" distR="0" wp14:anchorId="2079982A" wp14:editId="73CF5201">
            <wp:extent cx="5400040" cy="1018854"/>
            <wp:effectExtent l="0" t="0" r="0" b="0"/>
            <wp:docPr id="26" name="Picture 26" descr="Table 17: Inotuzumab Ozogamicin Single Agent Pooled Studies B1931002 + B1931007 + B1931016 Summary of Treatment-Emergent Clustered Inflammatory Gastrointestinal Adverse Events by MedDRA Preferred Term (Decreasing Frequency Order) and Maximum CTCAE Grade (All Causalitie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1018854"/>
                    </a:xfrm>
                    <a:prstGeom prst="rect">
                      <a:avLst/>
                    </a:prstGeom>
                  </pic:spPr>
                </pic:pic>
              </a:graphicData>
            </a:graphic>
          </wp:inline>
        </w:drawing>
      </w:r>
    </w:p>
    <w:p w14:paraId="21DD67F8" w14:textId="77777777" w:rsidR="00EA3B37" w:rsidRPr="00EA3B37" w:rsidRDefault="00EA3B37" w:rsidP="00EA3B37">
      <w:pPr>
        <w:pStyle w:val="ListBullet"/>
      </w:pPr>
      <w:r w:rsidRPr="00EA3B37">
        <w:t>Neurotoxicity:</w:t>
      </w:r>
    </w:p>
    <w:p w14:paraId="45EA5DD9" w14:textId="77777777" w:rsidR="008E7846" w:rsidRDefault="00EA3B37" w:rsidP="00EA3B37">
      <w:pPr>
        <w:pStyle w:val="ListBullet2"/>
      </w:pPr>
      <w:r w:rsidRPr="00AA53F4">
        <w:t xml:space="preserve">In the pivotal study neurotoxicity adverse events were reported in 17 (10.4%) patients in the inotuzumab ozogamicin arm and 10 (7.0%) patients in the control </w:t>
      </w:r>
      <w:r w:rsidRPr="00CC30C8">
        <w:t xml:space="preserve">arm (Table </w:t>
      </w:r>
      <w:r w:rsidR="00CC30C8" w:rsidRPr="00CC30C8">
        <w:t>18</w:t>
      </w:r>
      <w:r w:rsidRPr="00CC30C8">
        <w:t>).</w:t>
      </w:r>
      <w:r w:rsidRPr="00AA53F4">
        <w:t xml:space="preserve"> The only AE reported with frequency </w:t>
      </w:r>
      <w:r w:rsidR="00503681">
        <w:t xml:space="preserve">≥ </w:t>
      </w:r>
      <w:r w:rsidRPr="00AA53F4">
        <w:t xml:space="preserve">2% in the inotuzumab ozogamicin arm compared with the control arm was </w:t>
      </w:r>
      <w:r w:rsidR="00503681">
        <w:t>‘</w:t>
      </w:r>
      <w:r w:rsidRPr="00AA53F4">
        <w:t>Neuropathy peripheral</w:t>
      </w:r>
      <w:r w:rsidR="00503681">
        <w:t>’</w:t>
      </w:r>
      <w:r w:rsidRPr="00AA53F4">
        <w:t xml:space="preserve"> (6 </w:t>
      </w:r>
      <w:r w:rsidR="00503681">
        <w:t>(</w:t>
      </w:r>
      <w:r w:rsidRPr="00AA53F4">
        <w:t>3.7%</w:t>
      </w:r>
      <w:r w:rsidR="00503681">
        <w:t>)</w:t>
      </w:r>
      <w:r w:rsidRPr="00AA53F4">
        <w:t xml:space="preserve"> </w:t>
      </w:r>
      <w:r w:rsidR="001D0208">
        <w:t xml:space="preserve">versus </w:t>
      </w:r>
      <w:r w:rsidRPr="00AA53F4">
        <w:t>2</w:t>
      </w:r>
      <w:r>
        <w:t xml:space="preserve"> </w:t>
      </w:r>
      <w:r w:rsidR="00503681">
        <w:t>(</w:t>
      </w:r>
      <w:r>
        <w:t>1.4%</w:t>
      </w:r>
      <w:r w:rsidR="00503681">
        <w:t>)</w:t>
      </w:r>
      <w:r>
        <w:t xml:space="preserve"> patients). There were a total of 2 events of g</w:t>
      </w:r>
      <w:r w:rsidRPr="00AA53F4">
        <w:t xml:space="preserve">ait disturbance </w:t>
      </w:r>
      <w:r>
        <w:t xml:space="preserve">(1.2%, </w:t>
      </w:r>
      <w:r w:rsidR="00617F88">
        <w:t>Grade</w:t>
      </w:r>
      <w:r>
        <w:t xml:space="preserve"> 1 and </w:t>
      </w:r>
      <w:r w:rsidR="00617F88">
        <w:t>Grade</w:t>
      </w:r>
      <w:r>
        <w:t xml:space="preserve"> 3)</w:t>
      </w:r>
      <w:r w:rsidRPr="00AA53F4">
        <w:t xml:space="preserve"> in the inotuzumab ozogamicin arm compared with 1 (0.7%</w:t>
      </w:r>
      <w:r>
        <w:t xml:space="preserve">, </w:t>
      </w:r>
      <w:r w:rsidR="00617F88">
        <w:t>Grade</w:t>
      </w:r>
      <w:r>
        <w:t xml:space="preserve"> 1</w:t>
      </w:r>
      <w:r w:rsidRPr="00AA53F4">
        <w:t xml:space="preserve">) event in the control arm. No </w:t>
      </w:r>
      <w:r>
        <w:t xml:space="preserve">other </w:t>
      </w:r>
      <w:r w:rsidR="00617F88">
        <w:t>Grade</w:t>
      </w:r>
      <w:r>
        <w:t xml:space="preserve"> 3, </w:t>
      </w:r>
      <w:r w:rsidRPr="00AA53F4">
        <w:t>4, or 5 events or permanent treatment discontinuations due to AEs were reported in the inotuzumab ozogamicin arm.</w:t>
      </w:r>
    </w:p>
    <w:p w14:paraId="4B1F35FB" w14:textId="5474D6A5" w:rsidR="001336C3" w:rsidRDefault="001336C3" w:rsidP="001336C3">
      <w:pPr>
        <w:pStyle w:val="TableTitle"/>
      </w:pPr>
      <w:r w:rsidRPr="001336C3">
        <w:lastRenderedPageBreak/>
        <w:t xml:space="preserve">Table </w:t>
      </w:r>
      <w:r w:rsidR="00CC30C8">
        <w:t>18:</w:t>
      </w:r>
      <w:r w:rsidRPr="001336C3">
        <w:t xml:space="preserve"> Summary of </w:t>
      </w:r>
      <w:r w:rsidR="00843728" w:rsidRPr="001336C3">
        <w:t>treatment</w:t>
      </w:r>
      <w:r w:rsidR="00843728">
        <w:t xml:space="preserve"> </w:t>
      </w:r>
      <w:r w:rsidR="00843728" w:rsidRPr="001336C3">
        <w:t xml:space="preserve">emergent clustered neurotoxicity adverse events </w:t>
      </w:r>
      <w:r w:rsidRPr="001336C3">
        <w:t xml:space="preserve">by </w:t>
      </w:r>
      <w:proofErr w:type="spellStart"/>
      <w:r w:rsidRPr="001336C3">
        <w:t>MedDRA</w:t>
      </w:r>
      <w:proofErr w:type="spellEnd"/>
      <w:r w:rsidRPr="001336C3">
        <w:t xml:space="preserve"> </w:t>
      </w:r>
      <w:r w:rsidR="00843728" w:rsidRPr="001336C3">
        <w:t>preferred t</w:t>
      </w:r>
      <w:r w:rsidRPr="001336C3">
        <w:t>erm (</w:t>
      </w:r>
      <w:r w:rsidR="00843728" w:rsidRPr="001336C3">
        <w:t xml:space="preserve">decreasing frequency order) and maximum </w:t>
      </w:r>
      <w:r w:rsidRPr="001336C3">
        <w:t xml:space="preserve">CTCAE </w:t>
      </w:r>
      <w:r w:rsidR="00843728">
        <w:t>g</w:t>
      </w:r>
      <w:r w:rsidR="00843728" w:rsidRPr="001336C3">
        <w:t xml:space="preserve">rade </w:t>
      </w:r>
      <w:r w:rsidRPr="001336C3">
        <w:t>(</w:t>
      </w:r>
      <w:r w:rsidR="00843728" w:rsidRPr="001336C3">
        <w:t>all causalities</w:t>
      </w:r>
      <w:r w:rsidRPr="001336C3">
        <w:t>)</w:t>
      </w:r>
      <w:r w:rsidR="00843728">
        <w:t xml:space="preserve">; </w:t>
      </w:r>
      <w:r w:rsidRPr="001336C3">
        <w:t>Safety Population</w:t>
      </w:r>
    </w:p>
    <w:p w14:paraId="0D71B00A" w14:textId="215B67D0" w:rsidR="001336C3" w:rsidRPr="001336C3" w:rsidRDefault="00472D7B" w:rsidP="001336C3">
      <w:r w:rsidRPr="00CC30C8">
        <w:rPr>
          <w:noProof/>
          <w:lang w:eastAsia="en-AU"/>
        </w:rPr>
        <w:drawing>
          <wp:inline distT="0" distB="0" distL="0" distR="0" wp14:anchorId="7389ECE4" wp14:editId="0D51E2D6">
            <wp:extent cx="5400040" cy="4987537"/>
            <wp:effectExtent l="0" t="0" r="0" b="3810"/>
            <wp:docPr id="32" name="Picture 32" descr="Table 18: Summary of Treatment-Emergent Clustered Neurotoxicity Adverse Events by MedDRA Preferred Term (Decreasing Frequency Order) and Maximum CTCAE Grade (All Causalitie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4987537"/>
                    </a:xfrm>
                    <a:prstGeom prst="rect">
                      <a:avLst/>
                    </a:prstGeom>
                  </pic:spPr>
                </pic:pic>
              </a:graphicData>
            </a:graphic>
          </wp:inline>
        </w:drawing>
      </w:r>
    </w:p>
    <w:p w14:paraId="5D7B38B0" w14:textId="77777777" w:rsidR="00EA3B37" w:rsidRPr="00EA3B37" w:rsidRDefault="006644FB" w:rsidP="00EA3B37">
      <w:pPr>
        <w:pStyle w:val="ListBullet"/>
      </w:pPr>
      <w:r w:rsidRPr="00EA3B37">
        <w:t>Nephrotoxicity</w:t>
      </w:r>
      <w:r w:rsidR="00EA3B37" w:rsidRPr="00EA3B37">
        <w:t>:</w:t>
      </w:r>
    </w:p>
    <w:p w14:paraId="5B3A9599" w14:textId="77777777" w:rsidR="00503681" w:rsidRPr="00CC30C8" w:rsidRDefault="00EA3B37" w:rsidP="00EA3B37">
      <w:pPr>
        <w:pStyle w:val="ListBullet2"/>
      </w:pPr>
      <w:r w:rsidRPr="00EA3B37">
        <w:t xml:space="preserve">Nephrotoxicity adverse events were reported in 9/212 (4.2%) pooled ALL patients, which included 8/164 (4.9%) patients from the pivotal </w:t>
      </w:r>
      <w:r w:rsidRPr="00CC30C8">
        <w:t xml:space="preserve">study (Table </w:t>
      </w:r>
      <w:r w:rsidR="00CC30C8" w:rsidRPr="00CC30C8">
        <w:t>19</w:t>
      </w:r>
      <w:r w:rsidRPr="00CC30C8">
        <w:t xml:space="preserve">, </w:t>
      </w:r>
      <w:r w:rsidR="00CC30C8" w:rsidRPr="00CC30C8">
        <w:t xml:space="preserve">and </w:t>
      </w:r>
      <w:r w:rsidRPr="00CC30C8">
        <w:t xml:space="preserve">Table </w:t>
      </w:r>
      <w:r w:rsidR="00CC30C8" w:rsidRPr="00CC30C8">
        <w:t>20</w:t>
      </w:r>
      <w:r w:rsidRPr="00CC30C8">
        <w:t>). T</w:t>
      </w:r>
      <w:r w:rsidRPr="00EA3B37">
        <w:t xml:space="preserve">he laboratory abnormality </w:t>
      </w:r>
      <w:r w:rsidR="00503681">
        <w:t>‘</w:t>
      </w:r>
      <w:r w:rsidRPr="00EA3B37">
        <w:t>creatinine increased</w:t>
      </w:r>
      <w:r w:rsidR="00503681">
        <w:t>’</w:t>
      </w:r>
      <w:r w:rsidRPr="00EA3B37">
        <w:t xml:space="preserve"> was observed in 22/212 (10.4%) patients (13 </w:t>
      </w:r>
      <w:r w:rsidR="00617F88">
        <w:t>Grade</w:t>
      </w:r>
      <w:r w:rsidRPr="00EA3B37">
        <w:t xml:space="preserve"> 1 events, 9 </w:t>
      </w:r>
      <w:r w:rsidR="00617F88">
        <w:t>Grade</w:t>
      </w:r>
      <w:r w:rsidRPr="00EA3B37">
        <w:t xml:space="preserve"> 2 events</w:t>
      </w:r>
      <w:r w:rsidRPr="00CC30C8">
        <w:t xml:space="preserve">) (Table </w:t>
      </w:r>
      <w:r w:rsidR="00CC30C8" w:rsidRPr="00CC30C8">
        <w:t>21</w:t>
      </w:r>
      <w:r w:rsidRPr="00CC30C8">
        <w:t>)</w:t>
      </w:r>
      <w:r w:rsidR="00503681" w:rsidRPr="00CC30C8">
        <w:t>.</w:t>
      </w:r>
    </w:p>
    <w:p w14:paraId="7189EA5E" w14:textId="525678A8" w:rsidR="00D32A29" w:rsidRDefault="00D32A29" w:rsidP="00D32A29">
      <w:pPr>
        <w:pStyle w:val="TableTitle"/>
      </w:pPr>
      <w:r w:rsidRPr="00CC30C8">
        <w:t xml:space="preserve">Table </w:t>
      </w:r>
      <w:r w:rsidR="00CC30C8" w:rsidRPr="00CC30C8">
        <w:t>19:</w:t>
      </w:r>
      <w:r w:rsidRPr="00CC30C8">
        <w:t xml:space="preserve"> Inotuzumab</w:t>
      </w:r>
      <w:r w:rsidRPr="00D32A29">
        <w:t xml:space="preserve"> </w:t>
      </w:r>
      <w:r w:rsidR="00843728">
        <w:t>o</w:t>
      </w:r>
      <w:r w:rsidR="00843728" w:rsidRPr="00D32A29">
        <w:t xml:space="preserve">zogamicin </w:t>
      </w:r>
      <w:r w:rsidR="00C76F1D">
        <w:t>p</w:t>
      </w:r>
      <w:r w:rsidRPr="00D32A29">
        <w:t xml:space="preserve">ooled Studies B1931010 </w:t>
      </w:r>
      <w:r w:rsidR="00C76F1D">
        <w:t>and</w:t>
      </w:r>
      <w:r w:rsidRPr="00D32A29">
        <w:t xml:space="preserve"> B1931022</w:t>
      </w:r>
      <w:r w:rsidR="00843728">
        <w:t>;</w:t>
      </w:r>
      <w:r>
        <w:t xml:space="preserve"> </w:t>
      </w:r>
      <w:r w:rsidR="00843728" w:rsidRPr="00D32A29">
        <w:t>summary of treatment</w:t>
      </w:r>
      <w:r w:rsidR="00843728">
        <w:t xml:space="preserve"> </w:t>
      </w:r>
      <w:r w:rsidR="00843728" w:rsidRPr="00D32A29">
        <w:t xml:space="preserve">emergent clustered nephrotoxicity events </w:t>
      </w:r>
      <w:r w:rsidRPr="00D32A29">
        <w:t xml:space="preserve">by </w:t>
      </w:r>
      <w:proofErr w:type="spellStart"/>
      <w:r w:rsidRPr="00D32A29">
        <w:t>MedDRA</w:t>
      </w:r>
      <w:proofErr w:type="spellEnd"/>
      <w:r w:rsidRPr="00D32A29">
        <w:t xml:space="preserve"> </w:t>
      </w:r>
      <w:r w:rsidR="00843728" w:rsidRPr="00D32A29">
        <w:t>preferred t</w:t>
      </w:r>
      <w:r w:rsidRPr="00D32A29">
        <w:t>e</w:t>
      </w:r>
      <w:r>
        <w:t>rm (</w:t>
      </w:r>
      <w:r w:rsidR="00843728">
        <w:t xml:space="preserve">decreasing frequency order) </w:t>
      </w:r>
      <w:r w:rsidR="00843728" w:rsidRPr="00D32A29">
        <w:t xml:space="preserve">and maximum </w:t>
      </w:r>
      <w:r w:rsidRPr="00D32A29">
        <w:t>CTCAE Grade (</w:t>
      </w:r>
      <w:r w:rsidR="00843728" w:rsidRPr="00D32A29">
        <w:t>all causalities</w:t>
      </w:r>
      <w:r w:rsidRPr="00D32A29">
        <w:t>)</w:t>
      </w:r>
      <w:r w:rsidR="00D2491E">
        <w:t>;</w:t>
      </w:r>
      <w:r w:rsidRPr="00D32A29">
        <w:t xml:space="preserve"> Safety Population</w:t>
      </w:r>
    </w:p>
    <w:p w14:paraId="52F1058B" w14:textId="77777777" w:rsidR="00D32A29" w:rsidRPr="00D32A29" w:rsidRDefault="00D32A29" w:rsidP="00D32A29">
      <w:r>
        <w:rPr>
          <w:noProof/>
          <w:lang w:eastAsia="en-AU"/>
        </w:rPr>
        <w:drawing>
          <wp:inline distT="0" distB="0" distL="0" distR="0" wp14:anchorId="1977F6E6" wp14:editId="2A479026">
            <wp:extent cx="5400040" cy="1231740"/>
            <wp:effectExtent l="0" t="0" r="0" b="6985"/>
            <wp:docPr id="33" name="Picture 33" descr="Table 19: Inotuzumab Ozogamicin Pooled Studies B1931010 + B1931022 Summary of Treatment-Emergent Clustered Nephrotoxicity Events by MedDRA Preferred Term (Decreasing Frequency Order) and Maximum CTCAE Grade (All Causalitie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231740"/>
                    </a:xfrm>
                    <a:prstGeom prst="rect">
                      <a:avLst/>
                    </a:prstGeom>
                  </pic:spPr>
                </pic:pic>
              </a:graphicData>
            </a:graphic>
          </wp:inline>
        </w:drawing>
      </w:r>
    </w:p>
    <w:p w14:paraId="036E86D5" w14:textId="0B360A05" w:rsidR="00472D7B" w:rsidRDefault="00D32A29" w:rsidP="00D32A29">
      <w:pPr>
        <w:pStyle w:val="TableTitle"/>
      </w:pPr>
      <w:r w:rsidRPr="00CC30C8">
        <w:lastRenderedPageBreak/>
        <w:t xml:space="preserve">Table </w:t>
      </w:r>
      <w:r w:rsidR="00CC30C8" w:rsidRPr="00CC30C8">
        <w:t>20:</w:t>
      </w:r>
      <w:r w:rsidRPr="00CC30C8">
        <w:t xml:space="preserve"> Inotuzumab</w:t>
      </w:r>
      <w:r w:rsidRPr="00D32A29">
        <w:t xml:space="preserve"> </w:t>
      </w:r>
      <w:r w:rsidR="00843728">
        <w:t>o</w:t>
      </w:r>
      <w:r w:rsidR="00843728" w:rsidRPr="00D32A29">
        <w:t xml:space="preserve">zogamicin </w:t>
      </w:r>
      <w:r w:rsidR="00200CE5">
        <w:t>Study</w:t>
      </w:r>
      <w:r w:rsidR="00200CE5" w:rsidRPr="00D32A29">
        <w:t xml:space="preserve"> </w:t>
      </w:r>
      <w:r w:rsidRPr="00D32A29">
        <w:t>B1931022</w:t>
      </w:r>
      <w:r w:rsidR="00843728">
        <w:t>;</w:t>
      </w:r>
      <w:r>
        <w:t xml:space="preserve"> </w:t>
      </w:r>
      <w:r w:rsidR="00843728" w:rsidRPr="00D32A29">
        <w:t xml:space="preserve">summary of treatment-emergent clustered nephrotoxicity adverse events </w:t>
      </w:r>
      <w:r w:rsidRPr="00D32A29">
        <w:t xml:space="preserve">by </w:t>
      </w:r>
      <w:proofErr w:type="spellStart"/>
      <w:r w:rsidRPr="00D32A29">
        <w:t>MedDRA</w:t>
      </w:r>
      <w:proofErr w:type="spellEnd"/>
      <w:r w:rsidRPr="00D32A29">
        <w:t xml:space="preserve"> </w:t>
      </w:r>
      <w:r w:rsidR="00843728" w:rsidRPr="00D32A29">
        <w:t>preferred term (</w:t>
      </w:r>
      <w:r w:rsidR="00843728">
        <w:t xml:space="preserve">decreasing frequency order) and </w:t>
      </w:r>
      <w:r w:rsidR="00843728" w:rsidRPr="00D32A29">
        <w:t xml:space="preserve">maximum </w:t>
      </w:r>
      <w:r w:rsidRPr="00D32A29">
        <w:t>CTCAE Grade (</w:t>
      </w:r>
      <w:r w:rsidR="00843728" w:rsidRPr="00D32A29">
        <w:t>all causalities</w:t>
      </w:r>
      <w:r w:rsidRPr="00D32A29">
        <w:t>)</w:t>
      </w:r>
      <w:r w:rsidR="00D2491E">
        <w:t xml:space="preserve">; </w:t>
      </w:r>
      <w:r w:rsidRPr="00D32A29">
        <w:t>Safety Population</w:t>
      </w:r>
    </w:p>
    <w:p w14:paraId="42374AFB" w14:textId="77777777" w:rsidR="00D32A29" w:rsidRDefault="00D32A29" w:rsidP="00D32A29">
      <w:r w:rsidRPr="00D32A29">
        <w:rPr>
          <w:noProof/>
          <w:lang w:eastAsia="en-AU"/>
        </w:rPr>
        <w:drawing>
          <wp:inline distT="0" distB="0" distL="0" distR="0" wp14:anchorId="1671DD4C" wp14:editId="294357C5">
            <wp:extent cx="5400040" cy="4580226"/>
            <wp:effectExtent l="0" t="0" r="0" b="0"/>
            <wp:docPr id="38" name="Picture 38" descr="Table 20: Inotuzumab Ozogamicin Protocol B1931022 Summary of Treatment-Emergent Clustered Nephrotoxicity Adverse Events by MedDRA Preferred Term (Decreasing Frequency Order) and Maximum CTCAE Grade (All Causalitie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4580226"/>
                    </a:xfrm>
                    <a:prstGeom prst="rect">
                      <a:avLst/>
                    </a:prstGeom>
                  </pic:spPr>
                </pic:pic>
              </a:graphicData>
            </a:graphic>
          </wp:inline>
        </w:drawing>
      </w:r>
    </w:p>
    <w:p w14:paraId="5E446276" w14:textId="310A4FF4" w:rsidR="00D32A29" w:rsidRDefault="00D32A29" w:rsidP="008E5D34">
      <w:pPr>
        <w:pStyle w:val="TableTitle"/>
      </w:pPr>
      <w:r w:rsidRPr="00CC30C8">
        <w:t xml:space="preserve">Table </w:t>
      </w:r>
      <w:r w:rsidR="00CC30C8" w:rsidRPr="00CC30C8">
        <w:t>21:</w:t>
      </w:r>
      <w:r w:rsidR="008E5D34" w:rsidRPr="00CC30C8">
        <w:t xml:space="preserve"> Inotuzumab </w:t>
      </w:r>
      <w:r w:rsidR="00843728">
        <w:t>o</w:t>
      </w:r>
      <w:r w:rsidR="00843728" w:rsidRPr="00CC30C8">
        <w:t xml:space="preserve">zogamicin </w:t>
      </w:r>
      <w:r w:rsidR="00200CE5">
        <w:t>p</w:t>
      </w:r>
      <w:r w:rsidR="008E5D34" w:rsidRPr="00CC30C8">
        <w:t>ooled Studies B1931010 + B1931022</w:t>
      </w:r>
      <w:r w:rsidR="00843728">
        <w:t>;</w:t>
      </w:r>
      <w:r w:rsidR="008E5D34" w:rsidRPr="00CC30C8">
        <w:t xml:space="preserve"> </w:t>
      </w:r>
      <w:r w:rsidR="00843728" w:rsidRPr="00CC30C8">
        <w:t>summary</w:t>
      </w:r>
      <w:r w:rsidR="00843728" w:rsidRPr="008E5D34">
        <w:t xml:space="preserve"> results of labs by maximum </w:t>
      </w:r>
      <w:r w:rsidR="008E5D34" w:rsidRPr="008E5D34">
        <w:t>CTCAE Grade (</w:t>
      </w:r>
      <w:r w:rsidR="00843728" w:rsidRPr="008E5D34">
        <w:t>chemistries, all cycles</w:t>
      </w:r>
      <w:r w:rsidR="008E5D34" w:rsidRPr="008E5D34">
        <w:t>)</w:t>
      </w:r>
      <w:r w:rsidR="00D2491E">
        <w:t xml:space="preserve">; </w:t>
      </w:r>
      <w:r w:rsidR="008E5D34" w:rsidRPr="008E5D34">
        <w:t>Safety Population</w:t>
      </w:r>
    </w:p>
    <w:p w14:paraId="00823C90" w14:textId="77777777" w:rsidR="008E5D34" w:rsidRPr="008E5D34" w:rsidRDefault="008E5D34" w:rsidP="008E5D34">
      <w:r>
        <w:rPr>
          <w:noProof/>
          <w:lang w:eastAsia="en-AU"/>
        </w:rPr>
        <w:drawing>
          <wp:inline distT="0" distB="0" distL="0" distR="0" wp14:anchorId="178AEC06" wp14:editId="478D5249">
            <wp:extent cx="5400040" cy="2982137"/>
            <wp:effectExtent l="0" t="0" r="0" b="8890"/>
            <wp:docPr id="39" name="Picture 39" descr="Table 21: Inotuzumab Ozogamicin Pooled Studies B1931010 + B1931022 Summary Results of Labs by Maximum CTCAE Grade (Chemistries, All Cycle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982137"/>
                    </a:xfrm>
                    <a:prstGeom prst="rect">
                      <a:avLst/>
                    </a:prstGeom>
                  </pic:spPr>
                </pic:pic>
              </a:graphicData>
            </a:graphic>
          </wp:inline>
        </w:drawing>
      </w:r>
    </w:p>
    <w:p w14:paraId="1F59FED0" w14:textId="77777777" w:rsidR="00EA3B37" w:rsidRPr="00AA53F4" w:rsidRDefault="00EA3B37" w:rsidP="00EA3B37">
      <w:pPr>
        <w:pStyle w:val="Heading5"/>
      </w:pPr>
      <w:r w:rsidRPr="00AA53F4">
        <w:lastRenderedPageBreak/>
        <w:t>Recommended condition/s of registration</w:t>
      </w:r>
    </w:p>
    <w:p w14:paraId="5A912244" w14:textId="77777777" w:rsidR="00EA3B37" w:rsidRPr="00AA53F4" w:rsidRDefault="00EA3B37" w:rsidP="00C23C32">
      <w:r w:rsidRPr="00AA53F4">
        <w:t>The RMP evaluator recommended the following conditions of registration:</w:t>
      </w:r>
    </w:p>
    <w:p w14:paraId="0CDC7298" w14:textId="77777777" w:rsidR="00EA3B37" w:rsidRPr="00AA53F4" w:rsidRDefault="00EA3B37" w:rsidP="00C23C32">
      <w:pPr>
        <w:pStyle w:val="ListBullet"/>
      </w:pPr>
      <w:r w:rsidRPr="006644FB">
        <w:t xml:space="preserve">The </w:t>
      </w:r>
      <w:r w:rsidR="006779D9" w:rsidRPr="006644FB">
        <w:t>Besponsa</w:t>
      </w:r>
      <w:r w:rsidRPr="00AA53F4">
        <w:rPr>
          <w:smallCaps/>
        </w:rPr>
        <w:t xml:space="preserve"> </w:t>
      </w:r>
      <w:r w:rsidRPr="00AA53F4">
        <w:t>EU-Risk Management Plan (RMP) (version 1.5, dated 26 April 2017, data lock point 26 April 2016), with Australian Specific Annex (version 1.1, dated 14 December 2017), included with submission PM-2017-01455-1-4, and any subsequent revisions, as agreed with the TGA will be implemented in Australia.</w:t>
      </w:r>
    </w:p>
    <w:p w14:paraId="0024F1F6" w14:textId="77777777" w:rsidR="00EA3B37" w:rsidRPr="00AA53F4" w:rsidRDefault="00EA3B37" w:rsidP="00C23C32">
      <w:pPr>
        <w:pStyle w:val="ListBullet"/>
      </w:pPr>
      <w:r w:rsidRPr="00AA53F4">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 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4631B72" w14:textId="73AA13F6" w:rsidR="00EA3B37" w:rsidRDefault="006779D9" w:rsidP="008E7846">
      <w:pPr>
        <w:pStyle w:val="ListBullet"/>
      </w:pPr>
      <w:r>
        <w:t>Besponsa</w:t>
      </w:r>
      <w:r w:rsidR="00EA3B37" w:rsidRPr="00AA53F4">
        <w:t xml:space="preserve"> (</w:t>
      </w:r>
      <w:r w:rsidR="00200CE5">
        <w:t>i</w:t>
      </w:r>
      <w:r w:rsidR="00EA3B37" w:rsidRPr="00AA53F4">
        <w:t xml:space="preserve">notuzumab ozogamicin) is to be included in the Black Triangle Scheme. The PI and CMI for </w:t>
      </w:r>
      <w:r>
        <w:t>Besponsa</w:t>
      </w:r>
      <w:r w:rsidR="00EA3B37" w:rsidRPr="00AA53F4">
        <w:t xml:space="preserve"> must include the black triangle symbol and mandatory accompanying text for five years, which starts from the date that the sponsor notifies the TGA of supply of the product.</w:t>
      </w:r>
    </w:p>
    <w:p w14:paraId="0920BD49" w14:textId="77777777" w:rsidR="008E7846" w:rsidRDefault="00AA0ED0" w:rsidP="008E7846">
      <w:pPr>
        <w:pStyle w:val="Heading3"/>
      </w:pPr>
      <w:bookmarkStart w:id="168" w:name="_Toc247691531"/>
      <w:bookmarkStart w:id="169" w:name="_Toc314842515"/>
      <w:bookmarkStart w:id="170" w:name="_Toc196046505"/>
      <w:bookmarkStart w:id="171" w:name="_Toc196046949"/>
      <w:bookmarkStart w:id="172" w:name="_Toc16505617"/>
      <w:r>
        <w:t>Risk-benefit a</w:t>
      </w:r>
      <w:r w:rsidR="008E7846">
        <w:t>nalysis</w:t>
      </w:r>
      <w:bookmarkEnd w:id="168"/>
      <w:bookmarkEnd w:id="169"/>
      <w:bookmarkEnd w:id="172"/>
    </w:p>
    <w:p w14:paraId="480A455A" w14:textId="77777777" w:rsidR="00D23139" w:rsidRPr="00C23C32" w:rsidRDefault="006644FB" w:rsidP="00C23C32">
      <w:pPr>
        <w:pStyle w:val="Heading4"/>
      </w:pPr>
      <w:r>
        <w:t>Delegate’s considerations</w:t>
      </w:r>
    </w:p>
    <w:p w14:paraId="4D137180" w14:textId="5ECCB9C7" w:rsidR="00C23C32" w:rsidRPr="005529C3" w:rsidRDefault="00C23C32" w:rsidP="00C23C32">
      <w:r w:rsidRPr="005529C3">
        <w:t xml:space="preserve">The pivotal evidence of efficacy of inotuzumab ozogamicin is based on the results of a randomised, </w:t>
      </w:r>
      <w:r w:rsidR="00E86989">
        <w:t>open label</w:t>
      </w:r>
      <w:r w:rsidR="006644FB">
        <w:t>, controlled P</w:t>
      </w:r>
      <w:r w:rsidRPr="005529C3">
        <w:t xml:space="preserve">hase </w:t>
      </w:r>
      <w:r w:rsidR="006644FB">
        <w:t>III</w:t>
      </w:r>
      <w:r w:rsidRPr="005529C3">
        <w:t xml:space="preserve"> study in 326 adult patients with relapsed or refractory </w:t>
      </w:r>
      <w:r w:rsidR="005C4508">
        <w:t>CD22 positive</w:t>
      </w:r>
      <w:r w:rsidRPr="005529C3">
        <w:t xml:space="preserve"> ALL. This study compared inotuzumab ozogamicin to investigator’s choice of chemotherapy. In the analysis of the primary endpoint of complete response or complete response with incomplete haematological recovery (Cr/</w:t>
      </w:r>
      <w:proofErr w:type="spellStart"/>
      <w:r w:rsidR="004875A2" w:rsidRPr="005529C3">
        <w:t>C</w:t>
      </w:r>
      <w:r w:rsidR="004875A2">
        <w:t>R</w:t>
      </w:r>
      <w:r w:rsidR="004875A2" w:rsidRPr="005529C3">
        <w:t>i</w:t>
      </w:r>
      <w:proofErr w:type="spellEnd"/>
      <w:r w:rsidRPr="005529C3">
        <w:t xml:space="preserve">) </w:t>
      </w:r>
      <w:r w:rsidR="004875A2">
        <w:t xml:space="preserve">per EAC </w:t>
      </w:r>
      <w:r w:rsidRPr="005529C3">
        <w:t xml:space="preserve">in the first 218 patients enrolled who received </w:t>
      </w:r>
      <w:proofErr w:type="spellStart"/>
      <w:r w:rsidRPr="005529C3">
        <w:t>inotuzumab</w:t>
      </w:r>
      <w:proofErr w:type="spellEnd"/>
      <w:r w:rsidRPr="005529C3">
        <w:t xml:space="preserve"> </w:t>
      </w:r>
      <w:proofErr w:type="spellStart"/>
      <w:r w:rsidRPr="005529C3">
        <w:t>ozogamicin</w:t>
      </w:r>
      <w:proofErr w:type="spellEnd"/>
      <w:r w:rsidRPr="005529C3">
        <w:t>, the CR/</w:t>
      </w:r>
      <w:proofErr w:type="spellStart"/>
      <w:r w:rsidRPr="005529C3">
        <w:t>CRi</w:t>
      </w:r>
      <w:proofErr w:type="spellEnd"/>
      <w:r w:rsidRPr="005529C3">
        <w:t xml:space="preserve"> was significantly greater in the inotuzumab ozogamicin arm compared to the control arm (80.7% </w:t>
      </w:r>
      <w:r w:rsidR="001D0208">
        <w:t xml:space="preserve">versus </w:t>
      </w:r>
      <w:r w:rsidRPr="005529C3">
        <w:t>29.4%, p &lt; 0.0001). The pre-specified sensitivity analyses for the CR/</w:t>
      </w:r>
      <w:proofErr w:type="spellStart"/>
      <w:r w:rsidRPr="005529C3">
        <w:t>CRi</w:t>
      </w:r>
      <w:proofErr w:type="spellEnd"/>
      <w:r w:rsidRPr="005529C3">
        <w:t xml:space="preserve"> (EAC) were consistent with the primary analysis. Further data updates were also consistent with this trend.</w:t>
      </w:r>
      <w:r w:rsidR="006779D9">
        <w:t xml:space="preserve"> </w:t>
      </w:r>
      <w:r w:rsidRPr="005529C3">
        <w:t>In the updated ITT population dated 8 March 2016, the CR/</w:t>
      </w:r>
      <w:proofErr w:type="spellStart"/>
      <w:r w:rsidRPr="005529C3">
        <w:t>CRi</w:t>
      </w:r>
      <w:proofErr w:type="spellEnd"/>
      <w:r w:rsidRPr="005529C3">
        <w:t xml:space="preserve"> (per investigator) was 73.2%, in the inotuzumab ozogamicin compared to 30.9% in the control arm (</w:t>
      </w:r>
      <w:r w:rsidR="001348F0">
        <w:t>p &lt; 0</w:t>
      </w:r>
      <w:r w:rsidRPr="005529C3">
        <w:t>.0001, 1-sided Chi-square test). In the ITT population, nearly all patients in the inotuzumab arm with a CR/</w:t>
      </w:r>
      <w:proofErr w:type="spellStart"/>
      <w:r w:rsidRPr="005529C3">
        <w:t>CRi</w:t>
      </w:r>
      <w:proofErr w:type="spellEnd"/>
      <w:r w:rsidRPr="005529C3">
        <w:t xml:space="preserve"> achieved remission within the first two treatment cycles (70.8%, Cycle 1 and 25.8%, Cycle 2), and no patients achieved remission after the third cycle.</w:t>
      </w:r>
    </w:p>
    <w:p w14:paraId="7DF6133D" w14:textId="77777777" w:rsidR="00503681" w:rsidRDefault="00C23C32" w:rsidP="006644FB">
      <w:r w:rsidRPr="005529C3">
        <w:t>The increased CR/</w:t>
      </w:r>
      <w:proofErr w:type="spellStart"/>
      <w:r w:rsidRPr="005529C3">
        <w:t>CRi</w:t>
      </w:r>
      <w:proofErr w:type="spellEnd"/>
      <w:r w:rsidRPr="005529C3">
        <w:t xml:space="preserve"> in the </w:t>
      </w:r>
      <w:proofErr w:type="spellStart"/>
      <w:r w:rsidRPr="005529C3">
        <w:t>inotuzumab</w:t>
      </w:r>
      <w:proofErr w:type="spellEnd"/>
      <w:r w:rsidRPr="005529C3">
        <w:t xml:space="preserve"> ozogamicin arm compared to the control arm is of clinical significance as it provides a greater opportunity for patients treated with inotuzumab ozogamicin to proceed to potentially curative HSCT. In the ITT populatio</w:t>
      </w:r>
      <w:r w:rsidR="006644FB">
        <w:t xml:space="preserve">n, there was an approximately 4 </w:t>
      </w:r>
      <w:r w:rsidRPr="005529C3">
        <w:t>fold increase in the percentage of patients in the inotuzumab ozogamicin arm proceeding to follow-up HSCT directly after achieving CR/</w:t>
      </w:r>
      <w:proofErr w:type="spellStart"/>
      <w:r w:rsidRPr="005529C3">
        <w:t>CRi</w:t>
      </w:r>
      <w:proofErr w:type="spellEnd"/>
      <w:r w:rsidRPr="005529C3">
        <w:t xml:space="preserve"> (per investigator) without intervening induction or salvage therapy compared to p</w:t>
      </w:r>
      <w:r>
        <w:t>atients in the control arm (39.6</w:t>
      </w:r>
      <w:r w:rsidRPr="005529C3">
        <w:t xml:space="preserve">% </w:t>
      </w:r>
      <w:r w:rsidR="001D0208">
        <w:t xml:space="preserve">versus </w:t>
      </w:r>
      <w:r w:rsidRPr="005529C3">
        <w:t>9.9%). However, this finding did not translate into a statistically significant overall survival benefit in patients in the inotuzumab arm compared to the control arm. Although the primary OS analysis demonstrated a small survival benefit in favour of the inotuzumab ozogamicin arm compared to the control arm,</w:t>
      </w:r>
      <w:r w:rsidR="006779D9">
        <w:t xml:space="preserve"> </w:t>
      </w:r>
      <w:r w:rsidRPr="005529C3">
        <w:lastRenderedPageBreak/>
        <w:t>the difference between the two treatment arms was not statistically significant based on the pre-specified stratified analysis (HR</w:t>
      </w:r>
      <w:r w:rsidR="0014606A">
        <w:t xml:space="preserve"> = </w:t>
      </w:r>
      <w:r w:rsidRPr="005529C3">
        <w:t>0.770 (97.5%: 0.578, 1.026); p</w:t>
      </w:r>
      <w:r w:rsidR="0014606A">
        <w:t xml:space="preserve"> = </w:t>
      </w:r>
      <w:r w:rsidRPr="005529C3">
        <w:t xml:space="preserve">0.0203, boundary for significance was 0.0104. The updated results for the OS analysis in the ITT population (data at a </w:t>
      </w:r>
      <w:r w:rsidR="00E86989">
        <w:t>cut-off</w:t>
      </w:r>
      <w:r w:rsidRPr="005529C3">
        <w:t xml:space="preserve"> date of 4 January 2017 LSLV) were consistent with the analysis undertaken at a cut-off date of 8 March 2016. Of importance, the post-HSCT non-relapse mortality rate was higher in the inotuzumab ozogamicin arm than in the control arm (primarily due to higher rates of VOD/SOD and </w:t>
      </w:r>
      <w:r w:rsidR="006644FB">
        <w:t xml:space="preserve">infection), as was both the 100 </w:t>
      </w:r>
      <w:r w:rsidRPr="005529C3">
        <w:t xml:space="preserve">day and </w:t>
      </w:r>
      <w:r w:rsidR="007C09CF">
        <w:t xml:space="preserve">12 month </w:t>
      </w:r>
      <w:r w:rsidRPr="005529C3">
        <w:t>mortality rates for post-HSCT mortality and non-relapse post-HSCT mortality. This risk has been included in a black box warning in the proposed Australian PI</w:t>
      </w:r>
      <w:r w:rsidR="00503681">
        <w:t>.</w:t>
      </w:r>
    </w:p>
    <w:p w14:paraId="644CFFE6" w14:textId="77777777" w:rsidR="00503681" w:rsidRDefault="00C23C32" w:rsidP="00C23C32">
      <w:r w:rsidRPr="005529C3">
        <w:t xml:space="preserve">Secondary endpoints of the pivotal study did demonstrate clinically meaningful results. The median PFS in the inotuzumab arm was 3.2 months longer than in the control arm (5.0 </w:t>
      </w:r>
      <w:r w:rsidR="001D0208">
        <w:t xml:space="preserve">versus </w:t>
      </w:r>
      <w:r w:rsidRPr="005529C3">
        <w:t>1.8 months, respectively) with estimated HR of 0.452 (97.5% CI: 0.336, 0.609; 1-sided p &lt;</w:t>
      </w:r>
      <w:r w:rsidR="006644FB">
        <w:t xml:space="preserve"> </w:t>
      </w:r>
      <w:r w:rsidRPr="005529C3">
        <w:t xml:space="preserve">0.0001). Other pre-specified endpoints in this study which support treatment with inotuzumab ozogamicin compared to control (based on updated data at a </w:t>
      </w:r>
      <w:r w:rsidR="00E86989">
        <w:t>cut-off</w:t>
      </w:r>
      <w:r w:rsidR="006644FB">
        <w:t xml:space="preserve"> of 8 </w:t>
      </w:r>
      <w:r w:rsidRPr="005529C3">
        <w:t>March 2016) include: Duration of remission in patients with CR/</w:t>
      </w:r>
      <w:proofErr w:type="spellStart"/>
      <w:r w:rsidRPr="005529C3">
        <w:t>CRi</w:t>
      </w:r>
      <w:proofErr w:type="spellEnd"/>
      <w:r w:rsidRPr="005529C3">
        <w:t xml:space="preserve"> (per investigator) (ITT218) of 5.4 months (95% CI: 4.2, 8.0) in the in</w:t>
      </w:r>
      <w:r w:rsidR="006644FB">
        <w:t>otuzumab ozogamicin arm and 3.5 </w:t>
      </w:r>
      <w:r w:rsidRPr="005529C3">
        <w:t>months (95% CI: 2.9, 6.6) in the control arm. Other notable statistically significant results include the percentage of patients with CR/</w:t>
      </w:r>
      <w:proofErr w:type="spellStart"/>
      <w:r w:rsidRPr="005529C3">
        <w:t>CRi</w:t>
      </w:r>
      <w:proofErr w:type="spellEnd"/>
      <w:r w:rsidRPr="005529C3">
        <w:t>, (</w:t>
      </w:r>
      <w:r w:rsidR="006644FB">
        <w:t>per investigator) achieving MRD </w:t>
      </w:r>
      <w:r w:rsidRPr="005529C3">
        <w:t xml:space="preserve">negativity. This was </w:t>
      </w:r>
      <w:r>
        <w:t>markedly</w:t>
      </w:r>
      <w:r w:rsidRPr="005529C3">
        <w:t xml:space="preserve"> greater in the inotuzumab ozogamicin arm (76.7%) than in the control arm </w:t>
      </w:r>
      <w:r w:rsidRPr="005529C3">
        <w:rPr>
          <w:rFonts w:cs="Times"/>
          <w:lang w:val="en-US"/>
        </w:rPr>
        <w:t>(38.0%)</w:t>
      </w:r>
      <w:r w:rsidRPr="005529C3">
        <w:t>. The follow-up HSCT rate prior to the start of another induction therapy regardless of CR/</w:t>
      </w:r>
      <w:proofErr w:type="spellStart"/>
      <w:r w:rsidRPr="005529C3">
        <w:t>CRi</w:t>
      </w:r>
      <w:proofErr w:type="spellEnd"/>
      <w:r w:rsidRPr="005529C3">
        <w:t xml:space="preserve"> status was also higher in the inotuzumab ozogamicin arm (43.3%) than in the control arm (11.1%)</w:t>
      </w:r>
      <w:r w:rsidR="00503681">
        <w:t>.</w:t>
      </w:r>
    </w:p>
    <w:p w14:paraId="7901F464" w14:textId="6D0FFD1F" w:rsidR="00C23C32" w:rsidRDefault="00C23C32" w:rsidP="00C23C32">
      <w:r w:rsidRPr="00543D7C">
        <w:t xml:space="preserve">For patients </w:t>
      </w:r>
      <w:r w:rsidRPr="00CD08C6">
        <w:t>who achieved CR/</w:t>
      </w:r>
      <w:proofErr w:type="spellStart"/>
      <w:r w:rsidRPr="00CD08C6">
        <w:t>CRi</w:t>
      </w:r>
      <w:proofErr w:type="spellEnd"/>
      <w:r w:rsidRPr="00CD08C6">
        <w:t xml:space="preserve"> and</w:t>
      </w:r>
      <w:r>
        <w:t xml:space="preserve"> did not undergo follow-up HSCT, a numerically higher </w:t>
      </w:r>
      <w:r w:rsidRPr="00543D7C">
        <w:t>median duration of response and the median overall survival</w:t>
      </w:r>
      <w:r>
        <w:t xml:space="preserve"> were demonstrated</w:t>
      </w:r>
      <w:r w:rsidRPr="00CD08C6">
        <w:t xml:space="preserve"> </w:t>
      </w:r>
      <w:r w:rsidRPr="00543D7C">
        <w:t>in patients treated for 4 to 6 cyc</w:t>
      </w:r>
      <w:r>
        <w:t xml:space="preserve">les compared with 1 to 3 cycles, although this was not statistically significant. </w:t>
      </w:r>
      <w:r w:rsidRPr="00543D7C">
        <w:t xml:space="preserve">The safety data showed that all-causality </w:t>
      </w:r>
      <w:r w:rsidR="00617F88">
        <w:t>Grade</w:t>
      </w:r>
      <w:r w:rsidRPr="00543D7C">
        <w:t xml:space="preserve"> </w:t>
      </w:r>
      <w:r w:rsidR="00503681">
        <w:t xml:space="preserve">≥ </w:t>
      </w:r>
      <w:r w:rsidRPr="00543D7C">
        <w:t xml:space="preserve">3 TEAEs (any) increased with increasing number of cycles. However, </w:t>
      </w:r>
      <w:r>
        <w:t xml:space="preserve">as noted by the clinical evaluator, </w:t>
      </w:r>
      <w:r w:rsidRPr="00543D7C">
        <w:t>this result should be interpreted having regard to the decreasing number of patients exposed to treatment with increasing number of cycles.</w:t>
      </w:r>
      <w:r>
        <w:t xml:space="preserve"> In </w:t>
      </w:r>
      <w:r w:rsidR="006644FB">
        <w:t>the Delegate’s</w:t>
      </w:r>
      <w:r>
        <w:t xml:space="preserve"> opinion, the </w:t>
      </w:r>
      <w:r w:rsidR="006644FB">
        <w:t>PI</w:t>
      </w:r>
      <w:r>
        <w:t xml:space="preserve"> document contains appropriate information regarding treatment of this group, stating: </w:t>
      </w:r>
      <w:r w:rsidR="00503681">
        <w:t>‘</w:t>
      </w:r>
      <w:r w:rsidRPr="00615666">
        <w:rPr>
          <w:i/>
        </w:rPr>
        <w:t xml:space="preserve">For patients not proceeding to HSCT, a maximum of 6 cycles may be administered. Patients who do not achieve a CR or </w:t>
      </w:r>
      <w:proofErr w:type="spellStart"/>
      <w:r w:rsidRPr="00615666">
        <w:rPr>
          <w:i/>
        </w:rPr>
        <w:t>CRi</w:t>
      </w:r>
      <w:proofErr w:type="spellEnd"/>
      <w:r w:rsidRPr="00615666">
        <w:rPr>
          <w:i/>
        </w:rPr>
        <w:t xml:space="preserve"> within 3 cycles should discontinue treatment.</w:t>
      </w:r>
      <w:r w:rsidR="00503681" w:rsidRPr="00615666">
        <w:t>’</w:t>
      </w:r>
    </w:p>
    <w:p w14:paraId="5B09985D" w14:textId="3CAAB309" w:rsidR="00C23C32" w:rsidRPr="005529C3" w:rsidRDefault="00C23C32" w:rsidP="00C23C32">
      <w:r w:rsidRPr="005529C3">
        <w:t>In the pivotal study, the median duration of treatment in the i</w:t>
      </w:r>
      <w:r w:rsidR="006644FB">
        <w:t xml:space="preserve">notuzumab ozogamicin arm was 10 </w:t>
      </w:r>
      <w:r w:rsidRPr="005529C3">
        <w:t xml:space="preserve">fold longer than in the control arm (8.9 weeks </w:t>
      </w:r>
      <w:r w:rsidR="001D0208">
        <w:t xml:space="preserve">versus </w:t>
      </w:r>
      <w:r w:rsidRPr="005529C3">
        <w:t xml:space="preserve">0.9 weeks, respectively). The median duration for FLAG 0.9 was weeks (range 0.4 to 15.1), median duration for </w:t>
      </w:r>
      <w:proofErr w:type="spellStart"/>
      <w:r w:rsidRPr="005529C3">
        <w:t>Mxn</w:t>
      </w:r>
      <w:proofErr w:type="spellEnd"/>
      <w:r w:rsidRPr="005529C3">
        <w:t>/Ara-c was 1.1 weeks (range 0.4</w:t>
      </w:r>
      <w:r w:rsidR="00200CE5">
        <w:t xml:space="preserve"> to </w:t>
      </w:r>
      <w:r w:rsidRPr="005529C3">
        <w:t>8.6) and median duration HIDAC was 1.0 weeks (range 0.6 to 9.7) (</w:t>
      </w:r>
      <w:r w:rsidR="006644FB">
        <w:t>Study</w:t>
      </w:r>
      <w:r w:rsidR="006644FB" w:rsidRPr="005529C3">
        <w:t xml:space="preserve"> </w:t>
      </w:r>
      <w:r w:rsidR="006644FB">
        <w:t>B1931002</w:t>
      </w:r>
      <w:r w:rsidRPr="005529C3">
        <w:t xml:space="preserve">). The most common reason for treatment discontinuation in the inotuzumab ozogamicin arm was </w:t>
      </w:r>
      <w:r w:rsidR="00503681">
        <w:t>‘</w:t>
      </w:r>
      <w:r w:rsidRPr="005529C3">
        <w:t>complete response</w:t>
      </w:r>
      <w:r w:rsidR="00503681">
        <w:t>’</w:t>
      </w:r>
      <w:r w:rsidRPr="005529C3">
        <w:t xml:space="preserve"> (34.5%) compared to </w:t>
      </w:r>
      <w:r w:rsidR="00503681">
        <w:t>‘</w:t>
      </w:r>
      <w:r w:rsidRPr="005529C3">
        <w:t>resistant disease</w:t>
      </w:r>
      <w:r w:rsidR="00503681">
        <w:t>’</w:t>
      </w:r>
      <w:r w:rsidRPr="005529C3">
        <w:t xml:space="preserve"> (40.0%) in the control arm. It is not clear if the treatment duration of 0.9 weeks for the chemotherapy treatments chosen is an expected outcome, however this is important to consid</w:t>
      </w:r>
      <w:r>
        <w:t>er this context when interpreting</w:t>
      </w:r>
      <w:r w:rsidRPr="005529C3">
        <w:t xml:space="preserve"> of the results from the pivotal study. The </w:t>
      </w:r>
      <w:r w:rsidR="00200CE5" w:rsidRPr="005529C3">
        <w:t>A</w:t>
      </w:r>
      <w:r w:rsidR="00200CE5">
        <w:t xml:space="preserve">dvisory </w:t>
      </w:r>
      <w:r w:rsidRPr="005529C3">
        <w:t>Committee on Medicines (ACM) has been asked to provide specific comment on this issue.</w:t>
      </w:r>
    </w:p>
    <w:p w14:paraId="1A270154" w14:textId="7BA33CE1" w:rsidR="00C23C32" w:rsidRPr="005529C3" w:rsidRDefault="00C23C32" w:rsidP="00C23C32">
      <w:pPr>
        <w:rPr>
          <w:rFonts w:cs="TimesNewRoman"/>
          <w:color w:val="000000"/>
        </w:rPr>
      </w:pPr>
      <w:r w:rsidRPr="005529C3">
        <w:t>Patient reported outcomes for global health status/</w:t>
      </w:r>
      <w:r w:rsidR="00200CE5">
        <w:t>quality of life</w:t>
      </w:r>
      <w:r w:rsidRPr="005529C3">
        <w:t xml:space="preserve">, functioning, and symptoms were generally in favour of patients in the inotuzumab ozogamicin arm compared to patients in the control arm. Overall conclusions regarding superior tolerability compared to standard of care cannot be clearly made based on this data alone. Of note, </w:t>
      </w:r>
      <w:r w:rsidRPr="005529C3">
        <w:rPr>
          <w:rFonts w:cs="TimesNewRoman"/>
          <w:color w:val="000000"/>
        </w:rPr>
        <w:t xml:space="preserve">adverse events resulting in temporary treatment delays were reported notably more frequently in the inotuzumab ozogamicin arm than in the control arm (43.9% </w:t>
      </w:r>
      <w:r w:rsidR="001D0208">
        <w:rPr>
          <w:rFonts w:cs="TimesNewRoman"/>
          <w:color w:val="000000"/>
        </w:rPr>
        <w:t xml:space="preserve">versus </w:t>
      </w:r>
      <w:r w:rsidRPr="005529C3">
        <w:rPr>
          <w:rFonts w:cs="TimesNewRoman"/>
          <w:color w:val="000000"/>
        </w:rPr>
        <w:t>11.9% respectively).</w:t>
      </w:r>
      <w:r w:rsidRPr="005529C3">
        <w:t xml:space="preserve"> </w:t>
      </w:r>
      <w:r w:rsidRPr="005529C3">
        <w:rPr>
          <w:rFonts w:cs="TimesNewRoman"/>
          <w:color w:val="000000"/>
        </w:rPr>
        <w:t xml:space="preserve">Since multiple reasons may have contributed to the decision to </w:t>
      </w:r>
      <w:r w:rsidRPr="005529C3">
        <w:rPr>
          <w:rFonts w:cs="TimesNewRoman"/>
          <w:color w:val="000000"/>
        </w:rPr>
        <w:lastRenderedPageBreak/>
        <w:t xml:space="preserve">permanently discontinue study therapy, this is less direct in the current setting as a potential indicator of </w:t>
      </w:r>
      <w:r>
        <w:rPr>
          <w:rFonts w:cs="TimesNewRoman"/>
          <w:color w:val="000000"/>
        </w:rPr>
        <w:t>patient</w:t>
      </w:r>
      <w:r w:rsidRPr="005529C3">
        <w:rPr>
          <w:rFonts w:cs="TimesNewRoman"/>
          <w:color w:val="000000"/>
        </w:rPr>
        <w:t xml:space="preserve"> tolerability.</w:t>
      </w:r>
    </w:p>
    <w:p w14:paraId="656AA950" w14:textId="77777777" w:rsidR="00503681" w:rsidRDefault="00C23C32" w:rsidP="00C23C32">
      <w:r w:rsidRPr="005529C3">
        <w:t xml:space="preserve">The safety data for inotuzumab ozogamicin is based on a total of 880 patients with relapsed or refractory </w:t>
      </w:r>
      <w:r w:rsidR="006779D9">
        <w:t>B cell</w:t>
      </w:r>
      <w:r w:rsidRPr="005529C3">
        <w:t xml:space="preserve"> ALL from the clinical studies, in addition of 323 patients exposed through IIR studies and 257 patients from compassionate use programmes. Common adverse events (</w:t>
      </w:r>
      <w:r w:rsidR="00503681">
        <w:t xml:space="preserve">≥ </w:t>
      </w:r>
      <w:r w:rsidRPr="005529C3">
        <w:t>20% in the pivotal study) included thrombocytopenia, neutropenia</w:t>
      </w:r>
      <w:r>
        <w:t>,</w:t>
      </w:r>
      <w:r w:rsidRPr="005529C3">
        <w:t xml:space="preserve"> infection, anaemia, leukopenia, fatigue, haemorrhage, pyrexia, nausea, headache, febrile neutropenia, increased transaminases, abdominal pain, hyperbilirubinemia, and increased gamma-</w:t>
      </w:r>
      <w:proofErr w:type="spellStart"/>
      <w:r w:rsidRPr="005529C3">
        <w:t>glutamyltransferase</w:t>
      </w:r>
      <w:proofErr w:type="spellEnd"/>
      <w:r w:rsidR="00503681">
        <w:t>.</w:t>
      </w:r>
    </w:p>
    <w:p w14:paraId="47EE4BF0" w14:textId="77777777" w:rsidR="00C23C32" w:rsidRPr="005529C3" w:rsidRDefault="00C23C32" w:rsidP="00C23C32">
      <w:r w:rsidRPr="005529C3">
        <w:t>Key findings identified in the safety profile for inotuzumab ozogamicin include the rate of VOD/SOS. In the pivotal study, VOD was reported at a significantly increased rate compared to the control arm. This risk was most pronounced in patients who underwent subsequent HSCT (22.8% of pa</w:t>
      </w:r>
      <w:r w:rsidR="006644FB">
        <w:t xml:space="preserve">tients). VOD/SOS was reported 2 </w:t>
      </w:r>
      <w:r w:rsidRPr="005529C3">
        <w:t xml:space="preserve">fold more frequently in patients with a prior history of liver disease and/or hepatitis than in patients without such a history. Increased frequency of VOD/SOS was also associated with patients who received a HSCT conditioning regimen containing 2 alkylating agents, patients aged </w:t>
      </w:r>
      <w:r w:rsidR="006644FB">
        <w:t>≥</w:t>
      </w:r>
      <w:r w:rsidR="000F385B" w:rsidRPr="006644FB">
        <w:t xml:space="preserve"> </w:t>
      </w:r>
      <w:r w:rsidRPr="005529C3">
        <w:t xml:space="preserve">65 years and patients with a serum bilirubin </w:t>
      </w:r>
      <w:r w:rsidR="006644FB">
        <w:t xml:space="preserve">≥ </w:t>
      </w:r>
      <w:r w:rsidRPr="005529C3">
        <w:t>ULN prior to HSCT. Of note, VOD was noted amongst the most common reasons for post-transplant non-relapse deaths in the inotuzumab arm.</w:t>
      </w:r>
    </w:p>
    <w:p w14:paraId="1BE402EB" w14:textId="77777777" w:rsidR="00C23C32" w:rsidRPr="005529C3" w:rsidRDefault="00C23C32" w:rsidP="00C23C32">
      <w:r w:rsidRPr="005529C3">
        <w:t xml:space="preserve">Although the risks of VOD/SOS and post-transplant non-relapse mortality are clinically significant, this must be balanced against the evidence supporting use of inotuzumab ozogamicin in this heavily pre-treated population with poor prognosis. It is reasonable to consider that the risks of VOD/SOS and post-transplant non-relapse mortality can be adequately considered by clinicians as part of an individual patient risk/benefit assessment. The </w:t>
      </w:r>
      <w:r w:rsidR="00F769DD">
        <w:t>sponsor</w:t>
      </w:r>
      <w:r w:rsidRPr="005529C3">
        <w:t xml:space="preserve"> has agreed to include a black box warning regarding the risk of hepatotoxicity, including fatal and life-threatening hepatic </w:t>
      </w:r>
      <w:proofErr w:type="spellStart"/>
      <w:r w:rsidRPr="005529C3">
        <w:t>venooclusive</w:t>
      </w:r>
      <w:proofErr w:type="spellEnd"/>
      <w:r w:rsidRPr="005529C3">
        <w:t xml:space="preserve"> disease.</w:t>
      </w:r>
      <w:r w:rsidR="006779D9">
        <w:t xml:space="preserve"> </w:t>
      </w:r>
      <w:r w:rsidRPr="005529C3">
        <w:t>Furthermore, additional contraindications regarding prior VOD/SOS and serious ongoing hepatic disease have been included in the proposed Australian PI.</w:t>
      </w:r>
    </w:p>
    <w:p w14:paraId="1550A4DA" w14:textId="77777777" w:rsidR="00C23C32" w:rsidRPr="005529C3" w:rsidRDefault="00C23C32" w:rsidP="00C23C32">
      <w:pPr>
        <w:pStyle w:val="Heading5"/>
      </w:pPr>
      <w:r w:rsidRPr="005529C3">
        <w:t>Proposed indication</w:t>
      </w:r>
    </w:p>
    <w:p w14:paraId="51D0EA81" w14:textId="77777777" w:rsidR="006644FB" w:rsidRDefault="00C23C32" w:rsidP="00C23C32">
      <w:r w:rsidRPr="005529C3">
        <w:t xml:space="preserve">The wording of the indication recommended by the </w:t>
      </w:r>
      <w:r w:rsidR="006644FB" w:rsidRPr="005529C3">
        <w:t xml:space="preserve">clinical evaluator </w:t>
      </w:r>
      <w:r w:rsidR="006644FB">
        <w:t>is as follows:</w:t>
      </w:r>
    </w:p>
    <w:p w14:paraId="56C13040" w14:textId="77777777" w:rsidR="006644FB" w:rsidRDefault="00503681" w:rsidP="006644FB">
      <w:pPr>
        <w:ind w:left="720"/>
      </w:pPr>
      <w:r>
        <w:t>‘</w:t>
      </w:r>
      <w:r w:rsidR="006779D9">
        <w:rPr>
          <w:i/>
        </w:rPr>
        <w:t>Besponsa</w:t>
      </w:r>
      <w:r w:rsidR="00C23C32" w:rsidRPr="005529C3">
        <w:rPr>
          <w:i/>
        </w:rPr>
        <w:t xml:space="preserve"> is indicated for the treatment of adults with relapsed or refractory CD22‐positive </w:t>
      </w:r>
      <w:r w:rsidR="006779D9">
        <w:rPr>
          <w:i/>
        </w:rPr>
        <w:t>B cell</w:t>
      </w:r>
      <w:r w:rsidR="00C23C32" w:rsidRPr="005529C3">
        <w:rPr>
          <w:i/>
        </w:rPr>
        <w:t xml:space="preserve"> precursor acute lymphoblastic leukaemia (ALL)</w:t>
      </w:r>
      <w:r>
        <w:t>’</w:t>
      </w:r>
      <w:r w:rsidR="006644FB">
        <w:t>.</w:t>
      </w:r>
    </w:p>
    <w:p w14:paraId="591E32DB" w14:textId="202B39B3" w:rsidR="001030A8" w:rsidRPr="005529C3" w:rsidRDefault="00C23C32" w:rsidP="00C23C32">
      <w:r w:rsidRPr="005529C3">
        <w:t xml:space="preserve">This wording is in line with the approved indication in the United States, however the European Medicines Agency approved the additional phrase </w:t>
      </w:r>
      <w:r w:rsidR="00503681">
        <w:t>‘</w:t>
      </w:r>
      <w:r w:rsidRPr="005529C3">
        <w:rPr>
          <w:i/>
        </w:rPr>
        <w:t>Adult patients with Philadelphia chromosome positive (</w:t>
      </w:r>
      <w:proofErr w:type="spellStart"/>
      <w:r w:rsidRPr="005529C3">
        <w:rPr>
          <w:i/>
        </w:rPr>
        <w:t>Ph</w:t>
      </w:r>
      <w:proofErr w:type="spellEnd"/>
      <w:r w:rsidRPr="005529C3">
        <w:rPr>
          <w:i/>
        </w:rPr>
        <w:t>+) relapsed or refractory B cell precursor ALL should have failed treatment with at least 1 tyrosine kinase inhibitor (TKI)</w:t>
      </w:r>
      <w:r w:rsidRPr="005529C3">
        <w:t>.</w:t>
      </w:r>
      <w:r w:rsidR="00503681">
        <w:t>’</w:t>
      </w:r>
    </w:p>
    <w:p w14:paraId="7691EDE5" w14:textId="77777777" w:rsidR="006644FB" w:rsidRDefault="00C23C32" w:rsidP="00C23C32">
      <w:r w:rsidRPr="005529C3">
        <w:t xml:space="preserve">Both the pivotal efficacy </w:t>
      </w:r>
      <w:r w:rsidR="00503681">
        <w:t>Study</w:t>
      </w:r>
      <w:r w:rsidR="006644FB">
        <w:t xml:space="preserve"> B1931022</w:t>
      </w:r>
      <w:r w:rsidRPr="005529C3">
        <w:t xml:space="preserve"> and supportive efficacy </w:t>
      </w:r>
      <w:r w:rsidR="00503681">
        <w:t>Study</w:t>
      </w:r>
      <w:r w:rsidR="006644FB">
        <w:t xml:space="preserve"> B1931010</w:t>
      </w:r>
      <w:r w:rsidRPr="005529C3">
        <w:t xml:space="preserve"> included adult patients with Philadelphia chromosome positive (</w:t>
      </w:r>
      <w:proofErr w:type="spellStart"/>
      <w:r w:rsidRPr="005529C3">
        <w:t>Ph</w:t>
      </w:r>
      <w:proofErr w:type="spellEnd"/>
      <w:r w:rsidRPr="005529C3">
        <w:t xml:space="preserve">+) relapsed or refractory B cell precursor ALL who had failed treatment with at least 1 tyrosine kinase inhibitor (TKI). A total of 4 </w:t>
      </w:r>
      <w:proofErr w:type="spellStart"/>
      <w:r w:rsidRPr="005529C3">
        <w:t>Ph</w:t>
      </w:r>
      <w:proofErr w:type="spellEnd"/>
      <w:r w:rsidRPr="005529C3">
        <w:t xml:space="preserve">+ patients in the pivotal study did not meet </w:t>
      </w:r>
      <w:proofErr w:type="gramStart"/>
      <w:r w:rsidRPr="005529C3">
        <w:t>this inclusion criteria</w:t>
      </w:r>
      <w:proofErr w:type="gramEnd"/>
      <w:r w:rsidRPr="005529C3">
        <w:t xml:space="preserve"> (3 in the inotuzumab ozogamicin arm and in the control arm). Therefore including the phrase </w:t>
      </w:r>
      <w:r w:rsidR="00503681">
        <w:t>‘</w:t>
      </w:r>
      <w:r w:rsidRPr="005529C3">
        <w:rPr>
          <w:i/>
        </w:rPr>
        <w:t>Adult patients with Philadelphia chromosome positive (</w:t>
      </w:r>
      <w:proofErr w:type="spellStart"/>
      <w:r w:rsidRPr="005529C3">
        <w:rPr>
          <w:i/>
        </w:rPr>
        <w:t>Ph</w:t>
      </w:r>
      <w:proofErr w:type="spellEnd"/>
      <w:r w:rsidRPr="005529C3">
        <w:rPr>
          <w:i/>
        </w:rPr>
        <w:t>+) relapsed or refractory B cell precursor ALL should have failed treatment with at least 1 tyrosine kinase inhibitor (TKI)</w:t>
      </w:r>
      <w:r w:rsidR="00503681">
        <w:rPr>
          <w:i/>
        </w:rPr>
        <w:t>’</w:t>
      </w:r>
      <w:r w:rsidRPr="005529C3">
        <w:rPr>
          <w:i/>
        </w:rPr>
        <w:t xml:space="preserve"> </w:t>
      </w:r>
      <w:r w:rsidRPr="005529C3">
        <w:t xml:space="preserve">directly reflects the efficacy data currently available. However, it must be noted that a number of uncertainties remain regarding the optimum treatment recommendations for patients with </w:t>
      </w:r>
      <w:proofErr w:type="spellStart"/>
      <w:r w:rsidRPr="005529C3">
        <w:t>Ph</w:t>
      </w:r>
      <w:proofErr w:type="spellEnd"/>
      <w:r w:rsidRPr="005529C3">
        <w:t>+ ALL. As discussed by Larson et al 2017</w:t>
      </w:r>
      <w:r w:rsidRPr="005529C3">
        <w:rPr>
          <w:rStyle w:val="FootnoteReference"/>
          <w:rFonts w:asciiTheme="minorHAnsi" w:hAnsiTheme="minorHAnsi"/>
        </w:rPr>
        <w:footnoteReference w:id="50"/>
      </w:r>
      <w:r w:rsidR="006779D9">
        <w:t xml:space="preserve"> </w:t>
      </w:r>
      <w:r w:rsidRPr="005529C3">
        <w:t>tyrosine kinase inhibitor</w:t>
      </w:r>
      <w:r>
        <w:t>s (</w:t>
      </w:r>
      <w:r w:rsidRPr="005529C3">
        <w:t>TKI’s</w:t>
      </w:r>
      <w:r>
        <w:t>)</w:t>
      </w:r>
      <w:r w:rsidRPr="005529C3">
        <w:t xml:space="preserve"> should be considered alongside first line therapy, however many questions remain, including the preferred </w:t>
      </w:r>
      <w:r>
        <w:t xml:space="preserve">TKI </w:t>
      </w:r>
      <w:r w:rsidRPr="005529C3">
        <w:t xml:space="preserve">to combine with chemotherapy, the optimal </w:t>
      </w:r>
      <w:r w:rsidRPr="005529C3">
        <w:lastRenderedPageBreak/>
        <w:t xml:space="preserve">scheduling of this TKI with chemotherapy, and the role for hematopoietic cell transplantation after remission is achieved. </w:t>
      </w:r>
      <w:r>
        <w:t>Furthermore, i</w:t>
      </w:r>
      <w:r w:rsidRPr="005529C3">
        <w:t xml:space="preserve">t is also not possible to accurately determine how treatment with inotuzumab ozogamicin in patients with relapsed or refractory </w:t>
      </w:r>
      <w:proofErr w:type="spellStart"/>
      <w:r w:rsidRPr="005529C3">
        <w:t>Ph</w:t>
      </w:r>
      <w:proofErr w:type="spellEnd"/>
      <w:r w:rsidRPr="005529C3">
        <w:t xml:space="preserve">+ ALL who </w:t>
      </w:r>
      <w:proofErr w:type="gramStart"/>
      <w:r w:rsidRPr="005529C3">
        <w:t>have</w:t>
      </w:r>
      <w:proofErr w:type="gramEnd"/>
      <w:r w:rsidRPr="005529C3">
        <w:t xml:space="preserve"> </w:t>
      </w:r>
      <w:r w:rsidRPr="005529C3">
        <w:rPr>
          <w:i/>
        </w:rPr>
        <w:t>not</w:t>
      </w:r>
      <w:r w:rsidRPr="005529C3">
        <w:t xml:space="preserve"> failed at least 1 TKI compares to current treatment options available to this group, or if there is any risk of disadvantage. Although this is uncertain, it is clear that treatment options in this group must be considered in the context of the induvial patient scenario. Therefore it is </w:t>
      </w:r>
      <w:r w:rsidR="006644FB">
        <w:t>the Delegate’s</w:t>
      </w:r>
      <w:r w:rsidRPr="005529C3">
        <w:t xml:space="preserve"> opinion that the indication for inotuzumab ozogamicin in Australia state:</w:t>
      </w:r>
    </w:p>
    <w:p w14:paraId="57607170" w14:textId="77777777" w:rsidR="006644FB" w:rsidRDefault="00503681" w:rsidP="006644FB">
      <w:pPr>
        <w:ind w:left="720"/>
      </w:pPr>
      <w:r>
        <w:t>‘</w:t>
      </w:r>
      <w:r w:rsidR="006779D9">
        <w:rPr>
          <w:i/>
        </w:rPr>
        <w:t>Besponsa</w:t>
      </w:r>
      <w:r w:rsidR="00C23C32" w:rsidRPr="005529C3">
        <w:rPr>
          <w:i/>
        </w:rPr>
        <w:t xml:space="preserve"> is indicated for the treatment of adults with relapsed or refractory CD22‐positive </w:t>
      </w:r>
      <w:r w:rsidR="006779D9">
        <w:rPr>
          <w:i/>
        </w:rPr>
        <w:t>B cell</w:t>
      </w:r>
      <w:r w:rsidR="00C23C32" w:rsidRPr="005529C3">
        <w:rPr>
          <w:i/>
        </w:rPr>
        <w:t xml:space="preserve"> precursor acute lymphoblastic leukaemia (ALL)</w:t>
      </w:r>
      <w:r>
        <w:rPr>
          <w:i/>
        </w:rPr>
        <w:t>’</w:t>
      </w:r>
      <w:r w:rsidR="006644FB">
        <w:t>.</w:t>
      </w:r>
    </w:p>
    <w:p w14:paraId="29ECAA49" w14:textId="41F526E3" w:rsidR="00C23C32" w:rsidRDefault="00C23C32" w:rsidP="00C23C32">
      <w:r w:rsidRPr="005529C3">
        <w:t xml:space="preserve">However, </w:t>
      </w:r>
      <w:r w:rsidR="006644FB">
        <w:t>the Delegate</w:t>
      </w:r>
      <w:r w:rsidRPr="005529C3">
        <w:t xml:space="preserve"> would appreciate ACM opinion on this issue.</w:t>
      </w:r>
    </w:p>
    <w:p w14:paraId="774D68C4" w14:textId="77777777" w:rsidR="00C23C32" w:rsidRDefault="00C23C32" w:rsidP="00C23C32">
      <w:r w:rsidRPr="005529C3">
        <w:t xml:space="preserve">Overall in </w:t>
      </w:r>
      <w:r w:rsidR="006644FB">
        <w:t>the Delegate’s</w:t>
      </w:r>
      <w:r w:rsidRPr="005529C3">
        <w:t xml:space="preserve"> opinion, the data presented support </w:t>
      </w:r>
      <w:r>
        <w:t>a</w:t>
      </w:r>
      <w:r w:rsidRPr="005529C3">
        <w:t xml:space="preserve"> favourable risk-benefit balance of inotuzumab ozogamicin for the treatment of </w:t>
      </w:r>
      <w:r>
        <w:t xml:space="preserve">adult </w:t>
      </w:r>
      <w:r w:rsidRPr="005529C3">
        <w:t xml:space="preserve">patients with relapsed or refractory </w:t>
      </w:r>
      <w:r w:rsidRPr="008B1099">
        <w:rPr>
          <w:rFonts w:hint="eastAsia"/>
        </w:rPr>
        <w:t>CD22</w:t>
      </w:r>
      <w:r w:rsidR="006644FB">
        <w:t xml:space="preserve"> </w:t>
      </w:r>
      <w:r w:rsidRPr="008B1099">
        <w:rPr>
          <w:rFonts w:hint="eastAsia"/>
        </w:rPr>
        <w:t xml:space="preserve">positive </w:t>
      </w:r>
      <w:r w:rsidR="006779D9">
        <w:rPr>
          <w:rFonts w:hint="eastAsia"/>
        </w:rPr>
        <w:t>B cell</w:t>
      </w:r>
      <w:r w:rsidRPr="008B1099">
        <w:rPr>
          <w:rFonts w:hint="eastAsia"/>
        </w:rPr>
        <w:t xml:space="preserve"> precursor acute lymphoblastic leukaemia (ALL)</w:t>
      </w:r>
      <w:r>
        <w:t>.</w:t>
      </w:r>
    </w:p>
    <w:p w14:paraId="6FB91485" w14:textId="77777777" w:rsidR="00C23C32" w:rsidRDefault="00C23C32" w:rsidP="00C23C32">
      <w:pPr>
        <w:pStyle w:val="Heading4"/>
      </w:pPr>
      <w:r>
        <w:t>Questions for sponsor</w:t>
      </w:r>
    </w:p>
    <w:p w14:paraId="2A55331F" w14:textId="77777777" w:rsidR="00C23C32" w:rsidRDefault="00C23C32" w:rsidP="008A74BD">
      <w:pPr>
        <w:pStyle w:val="Numberbullet0"/>
        <w:numPr>
          <w:ilvl w:val="0"/>
          <w:numId w:val="9"/>
        </w:numPr>
      </w:pPr>
      <w:r w:rsidRPr="00AA53F4">
        <w:t xml:space="preserve">Please provide an update of the overseas regulatory status for </w:t>
      </w:r>
      <w:r w:rsidR="006779D9">
        <w:t>Besponsa</w:t>
      </w:r>
      <w:r w:rsidRPr="00AA53F4">
        <w:t>, including any further approvals, withdrawals, rejections or delays.</w:t>
      </w:r>
    </w:p>
    <w:p w14:paraId="2196E908" w14:textId="77777777" w:rsidR="00C23C32" w:rsidRPr="00C23C32" w:rsidRDefault="00C23C32" w:rsidP="008A74BD">
      <w:pPr>
        <w:pStyle w:val="Numberbullet0"/>
        <w:numPr>
          <w:ilvl w:val="0"/>
          <w:numId w:val="9"/>
        </w:numPr>
        <w:spacing w:before="0" w:line="240" w:lineRule="auto"/>
        <w:rPr>
          <w:rFonts w:asciiTheme="minorHAnsi" w:hAnsiTheme="minorHAnsi"/>
        </w:rPr>
      </w:pPr>
      <w:r w:rsidRPr="00C23C32">
        <w:rPr>
          <w:rFonts w:asciiTheme="minorHAnsi" w:hAnsiTheme="minorHAnsi"/>
        </w:rPr>
        <w:t>Please provide a comment regarding the shorter duration of treatment in the control arm of this study. Is this an expected treatment duration for the clinical setting and treatment types chosen?</w:t>
      </w:r>
    </w:p>
    <w:p w14:paraId="3576974C" w14:textId="7740C3C0" w:rsidR="00C23C32" w:rsidRPr="00C23C32" w:rsidRDefault="00C23C32" w:rsidP="008A74BD">
      <w:pPr>
        <w:pStyle w:val="Numberbullet0"/>
        <w:numPr>
          <w:ilvl w:val="0"/>
          <w:numId w:val="9"/>
        </w:numPr>
      </w:pPr>
      <w:r w:rsidRPr="00AA53F4">
        <w:rPr>
          <w:rFonts w:asciiTheme="minorHAnsi" w:hAnsiTheme="minorHAnsi"/>
        </w:rPr>
        <w:t xml:space="preserve">Given the increased rate of Inflammatory gastrointestinal adverse events in the pooled ALL data compared to the pooled NHL studies, in addition to the rate of reporting above 10%, please include this under the </w:t>
      </w:r>
      <w:r w:rsidR="00200CE5" w:rsidRPr="00160FA8">
        <w:rPr>
          <w:rFonts w:asciiTheme="minorHAnsi" w:hAnsiTheme="minorHAnsi"/>
          <w:i/>
        </w:rPr>
        <w:t>Adverse Events</w:t>
      </w:r>
      <w:r w:rsidR="00200CE5" w:rsidRPr="00AA53F4">
        <w:rPr>
          <w:rFonts w:asciiTheme="minorHAnsi" w:hAnsiTheme="minorHAnsi"/>
        </w:rPr>
        <w:t xml:space="preserve"> </w:t>
      </w:r>
      <w:r w:rsidRPr="00AA53F4">
        <w:rPr>
          <w:rFonts w:asciiTheme="minorHAnsi" w:hAnsiTheme="minorHAnsi"/>
        </w:rPr>
        <w:t>section of the PI or provide a compelling justification for exclusion</w:t>
      </w:r>
    </w:p>
    <w:p w14:paraId="21970BB6" w14:textId="74E1B584" w:rsidR="00C23C32" w:rsidRPr="00C23C32" w:rsidRDefault="00C23C32" w:rsidP="008A74BD">
      <w:pPr>
        <w:pStyle w:val="Numberbullet0"/>
        <w:numPr>
          <w:ilvl w:val="0"/>
          <w:numId w:val="9"/>
        </w:numPr>
      </w:pPr>
      <w:r w:rsidRPr="00AA53F4">
        <w:rPr>
          <w:rFonts w:asciiTheme="minorHAnsi" w:hAnsiTheme="minorHAnsi"/>
        </w:rPr>
        <w:t xml:space="preserve">In light of the above data, </w:t>
      </w:r>
      <w:r>
        <w:rPr>
          <w:rFonts w:asciiTheme="minorHAnsi" w:hAnsiTheme="minorHAnsi"/>
        </w:rPr>
        <w:t>(</w:t>
      </w:r>
      <w:r w:rsidR="00200CE5">
        <w:rPr>
          <w:rFonts w:asciiTheme="minorHAnsi" w:hAnsiTheme="minorHAnsi"/>
        </w:rPr>
        <w:t>n</w:t>
      </w:r>
      <w:r w:rsidRPr="00AA53F4">
        <w:rPr>
          <w:rFonts w:asciiTheme="minorHAnsi" w:hAnsiTheme="minorHAnsi"/>
        </w:rPr>
        <w:t>eurotoxicity</w:t>
      </w:r>
      <w:r>
        <w:rPr>
          <w:rFonts w:asciiTheme="minorHAnsi" w:hAnsiTheme="minorHAnsi"/>
        </w:rPr>
        <w:t>)</w:t>
      </w:r>
      <w:r w:rsidR="00D2491E">
        <w:rPr>
          <w:rFonts w:asciiTheme="minorHAnsi" w:hAnsiTheme="minorHAnsi"/>
        </w:rPr>
        <w:t xml:space="preserve"> </w:t>
      </w:r>
      <w:r w:rsidRPr="00AA53F4">
        <w:rPr>
          <w:rFonts w:asciiTheme="minorHAnsi" w:hAnsiTheme="minorHAnsi"/>
        </w:rPr>
        <w:t xml:space="preserve">please include </w:t>
      </w:r>
      <w:r w:rsidR="00503681">
        <w:rPr>
          <w:rFonts w:asciiTheme="minorHAnsi" w:hAnsiTheme="minorHAnsi"/>
        </w:rPr>
        <w:t>‘</w:t>
      </w:r>
      <w:r w:rsidRPr="00160FA8">
        <w:rPr>
          <w:rFonts w:asciiTheme="minorHAnsi" w:hAnsiTheme="minorHAnsi"/>
          <w:i/>
        </w:rPr>
        <w:t>peripheral neuropathy</w:t>
      </w:r>
      <w:r w:rsidR="00503681">
        <w:rPr>
          <w:rFonts w:asciiTheme="minorHAnsi" w:hAnsiTheme="minorHAnsi"/>
        </w:rPr>
        <w:t>’</w:t>
      </w:r>
      <w:r w:rsidRPr="00AA53F4">
        <w:rPr>
          <w:rFonts w:asciiTheme="minorHAnsi" w:hAnsiTheme="minorHAnsi"/>
        </w:rPr>
        <w:t xml:space="preserve"> under the </w:t>
      </w:r>
      <w:r w:rsidR="00200CE5" w:rsidRPr="00160FA8">
        <w:rPr>
          <w:rFonts w:asciiTheme="minorHAnsi" w:hAnsiTheme="minorHAnsi"/>
          <w:i/>
        </w:rPr>
        <w:t>Adverse Events</w:t>
      </w:r>
      <w:r w:rsidR="00200CE5" w:rsidRPr="00AA53F4">
        <w:rPr>
          <w:rFonts w:asciiTheme="minorHAnsi" w:hAnsiTheme="minorHAnsi"/>
        </w:rPr>
        <w:t xml:space="preserve"> </w:t>
      </w:r>
      <w:r w:rsidRPr="00AA53F4">
        <w:rPr>
          <w:rFonts w:asciiTheme="minorHAnsi" w:hAnsiTheme="minorHAnsi"/>
        </w:rPr>
        <w:t>section of the PI or provide a compelling justification for exclusion.</w:t>
      </w:r>
    </w:p>
    <w:p w14:paraId="3AA91B6F" w14:textId="11FD8E1B" w:rsidR="00C23C32" w:rsidRPr="00C23C32" w:rsidRDefault="00C23C32" w:rsidP="008A74BD">
      <w:pPr>
        <w:pStyle w:val="Numberbullet0"/>
        <w:numPr>
          <w:ilvl w:val="0"/>
          <w:numId w:val="9"/>
        </w:numPr>
      </w:pPr>
      <w:r w:rsidRPr="00AA53F4">
        <w:rPr>
          <w:rFonts w:asciiTheme="minorHAnsi" w:hAnsiTheme="minorHAnsi"/>
        </w:rPr>
        <w:t xml:space="preserve">In light of the above data, </w:t>
      </w:r>
      <w:r>
        <w:rPr>
          <w:rFonts w:asciiTheme="minorHAnsi" w:hAnsiTheme="minorHAnsi"/>
        </w:rPr>
        <w:t>(</w:t>
      </w:r>
      <w:r w:rsidR="00200CE5">
        <w:rPr>
          <w:rFonts w:asciiTheme="minorHAnsi" w:hAnsiTheme="minorHAnsi"/>
        </w:rPr>
        <w:t>n</w:t>
      </w:r>
      <w:r w:rsidR="006644FB" w:rsidRPr="00AA53F4">
        <w:rPr>
          <w:rFonts w:asciiTheme="minorHAnsi" w:hAnsiTheme="minorHAnsi"/>
        </w:rPr>
        <w:t>ephrotoxicity</w:t>
      </w:r>
      <w:r>
        <w:rPr>
          <w:rFonts w:asciiTheme="minorHAnsi" w:hAnsiTheme="minorHAnsi"/>
        </w:rPr>
        <w:t>)</w:t>
      </w:r>
      <w:r w:rsidRPr="00AA53F4">
        <w:rPr>
          <w:rFonts w:asciiTheme="minorHAnsi" w:hAnsiTheme="minorHAnsi"/>
        </w:rPr>
        <w:t xml:space="preserve"> please include </w:t>
      </w:r>
      <w:r w:rsidR="00503681">
        <w:rPr>
          <w:rFonts w:asciiTheme="minorHAnsi" w:hAnsiTheme="minorHAnsi"/>
        </w:rPr>
        <w:t>‘</w:t>
      </w:r>
      <w:r w:rsidRPr="00160FA8">
        <w:rPr>
          <w:rFonts w:asciiTheme="minorHAnsi" w:hAnsiTheme="minorHAnsi"/>
          <w:i/>
        </w:rPr>
        <w:t>creatinine increased</w:t>
      </w:r>
      <w:r w:rsidR="00503681" w:rsidRPr="00160FA8">
        <w:rPr>
          <w:rFonts w:asciiTheme="minorHAnsi" w:hAnsiTheme="minorHAnsi"/>
          <w:i/>
        </w:rPr>
        <w:t>’</w:t>
      </w:r>
      <w:r w:rsidRPr="00AA53F4">
        <w:rPr>
          <w:rFonts w:asciiTheme="minorHAnsi" w:hAnsiTheme="minorHAnsi"/>
        </w:rPr>
        <w:t xml:space="preserve"> under the </w:t>
      </w:r>
      <w:r w:rsidR="00200CE5" w:rsidRPr="00160FA8">
        <w:rPr>
          <w:rFonts w:asciiTheme="minorHAnsi" w:hAnsiTheme="minorHAnsi"/>
          <w:i/>
        </w:rPr>
        <w:t>Adverse Events</w:t>
      </w:r>
      <w:r w:rsidR="00200CE5" w:rsidRPr="00AA53F4">
        <w:rPr>
          <w:rFonts w:asciiTheme="minorHAnsi" w:hAnsiTheme="minorHAnsi"/>
        </w:rPr>
        <w:t xml:space="preserve"> </w:t>
      </w:r>
      <w:r w:rsidRPr="00AA53F4">
        <w:rPr>
          <w:rFonts w:asciiTheme="minorHAnsi" w:hAnsiTheme="minorHAnsi"/>
        </w:rPr>
        <w:t>section of the PI or provide a compelling justification for exclusion.</w:t>
      </w:r>
    </w:p>
    <w:p w14:paraId="048E54C2" w14:textId="77777777" w:rsidR="00C23C32" w:rsidRDefault="00C23C32" w:rsidP="00D23139">
      <w:pPr>
        <w:pStyle w:val="Heading4"/>
      </w:pPr>
      <w:r>
        <w:t>Conclusion</w:t>
      </w:r>
    </w:p>
    <w:p w14:paraId="63564B60" w14:textId="77777777" w:rsidR="00C23C32" w:rsidRPr="005C702B" w:rsidRDefault="006644FB" w:rsidP="00C23C32">
      <w:r>
        <w:t xml:space="preserve">Inotuzumab ozogamicin is a CD22 </w:t>
      </w:r>
      <w:r w:rsidR="00C23C32" w:rsidRPr="005C702B">
        <w:t>targeted antibody-drug conjugate (ADC). I</w:t>
      </w:r>
      <w:r w:rsidR="00C23C32">
        <w:t xml:space="preserve">n the pivotal efficacy study, an </w:t>
      </w:r>
      <w:r w:rsidR="00C23C32" w:rsidRPr="005C702B">
        <w:t xml:space="preserve">increased </w:t>
      </w:r>
      <w:r w:rsidR="00C23C32">
        <w:t xml:space="preserve">rate of </w:t>
      </w:r>
      <w:r w:rsidR="00C23C32" w:rsidRPr="005C702B">
        <w:t>CR/</w:t>
      </w:r>
      <w:proofErr w:type="spellStart"/>
      <w:r w:rsidR="00C23C32" w:rsidRPr="005C702B">
        <w:t>CRi</w:t>
      </w:r>
      <w:proofErr w:type="spellEnd"/>
      <w:r w:rsidR="00C23C32" w:rsidRPr="005C702B">
        <w:t xml:space="preserve"> was demonstrated in the inotuzumab ozogamicin arm compared to the control arm. This is of clinical significance as it provides a greater opportunity for patients treated with inotuzumab ozogamicin t</w:t>
      </w:r>
      <w:r w:rsidR="00C23C32">
        <w:t>o proceed to potentially curative</w:t>
      </w:r>
      <w:r w:rsidR="00C23C32" w:rsidRPr="005C702B">
        <w:t xml:space="preserve"> HSCT. In the ITT populatio</w:t>
      </w:r>
      <w:r>
        <w:t xml:space="preserve">n, there was an approximately 4 </w:t>
      </w:r>
      <w:r w:rsidR="00C23C32" w:rsidRPr="005C702B">
        <w:t>fold increase in the percentage of patients in the inotuzumab ozogamicin arm proceeding to follow-up HSCT directly after achieving CR/</w:t>
      </w:r>
      <w:proofErr w:type="spellStart"/>
      <w:r w:rsidR="00C23C32" w:rsidRPr="005C702B">
        <w:t>CRi</w:t>
      </w:r>
      <w:proofErr w:type="spellEnd"/>
      <w:r w:rsidR="00C23C32" w:rsidRPr="005C702B">
        <w:t xml:space="preserve"> (per investigator) without intervening induction or salvage therapy compared to patients in the control arm. However, this finding did not translate into a statistically significant overall survival benefit in patients in the inotuzumab arm compared to the control arm.</w:t>
      </w:r>
    </w:p>
    <w:p w14:paraId="009684DC" w14:textId="77777777" w:rsidR="00503681" w:rsidRDefault="00C23C32" w:rsidP="00C23C32">
      <w:r w:rsidRPr="005C702B">
        <w:t>The post-HSCT non-relapse mortality rate was higher in the inotuzumab ozogamicin arm than in the control arm. This was primarily due to higher rates of VOD/SOS and infection. In the pivotal study, the risk of VOD/SOS was most pronounced in patients who underwent subseque</w:t>
      </w:r>
      <w:r w:rsidR="006644FB">
        <w:t xml:space="preserve">nt HSCT. VOD/SOS was reported 2 </w:t>
      </w:r>
      <w:r w:rsidRPr="005C702B">
        <w:t xml:space="preserve">fold more frequently in patients with a prior history of liver disease and/or hepatitis than in patients without such a history. Increased frequency of VOD/SOS was also associated with patients who received a HSCT conditioning regimen containing 2 alkylating agents, patients aged </w:t>
      </w:r>
      <w:r w:rsidR="000F385B">
        <w:t xml:space="preserve">&gt; </w:t>
      </w:r>
      <w:r w:rsidRPr="005C702B">
        <w:t xml:space="preserve">65 years and patients with a serum bilirubin </w:t>
      </w:r>
      <w:r w:rsidR="000F385B">
        <w:t xml:space="preserve">&gt; </w:t>
      </w:r>
      <w:r w:rsidRPr="005C702B">
        <w:t>ULN prior to HSCT</w:t>
      </w:r>
      <w:r w:rsidR="00503681">
        <w:t>.</w:t>
      </w:r>
    </w:p>
    <w:p w14:paraId="29739D60" w14:textId="77777777" w:rsidR="00C23C32" w:rsidRPr="00C23C32" w:rsidRDefault="00C23C32" w:rsidP="00C23C32">
      <w:r w:rsidRPr="005C702B">
        <w:lastRenderedPageBreak/>
        <w:t>A black box warning has been added to the Australian PI regarding the risks of hepatotoxicity, including fatal and life threatening hepatic venoocclusive disease and the increased risk of post-haematopoietic stem cell transplant (HSCT) non-relapse mortality.</w:t>
      </w:r>
    </w:p>
    <w:p w14:paraId="53694138" w14:textId="77777777" w:rsidR="00D23139" w:rsidRDefault="00D23139" w:rsidP="00D23139">
      <w:pPr>
        <w:pStyle w:val="Heading4"/>
      </w:pPr>
      <w:r w:rsidRPr="00D23139">
        <w:t>Proposed action</w:t>
      </w:r>
    </w:p>
    <w:p w14:paraId="07F7E26B" w14:textId="77777777" w:rsidR="00456765" w:rsidRPr="00C23C32" w:rsidRDefault="00C23C32" w:rsidP="00C23C32">
      <w:r w:rsidRPr="00C23C32">
        <w:t xml:space="preserve">Subject to the advice of the ACM, </w:t>
      </w:r>
      <w:r w:rsidR="006644FB">
        <w:t>the Delegate had</w:t>
      </w:r>
      <w:r w:rsidRPr="00C23C32">
        <w:t xml:space="preserve"> no reason to say, at this time, that the application for Inotuzumab ozogamicin should not be approved for registration.</w:t>
      </w:r>
    </w:p>
    <w:p w14:paraId="4BB5CF3A" w14:textId="77777777" w:rsidR="00D23139" w:rsidRDefault="00A22D57" w:rsidP="00D23139">
      <w:pPr>
        <w:pStyle w:val="Heading4"/>
      </w:pPr>
      <w:r>
        <w:t>Request for AC</w:t>
      </w:r>
      <w:r w:rsidR="00D23139" w:rsidRPr="00D23139">
        <w:t>M advice</w:t>
      </w:r>
    </w:p>
    <w:p w14:paraId="18DBD24B" w14:textId="77777777" w:rsidR="00C23C32" w:rsidRPr="00C23C32" w:rsidRDefault="00C23C32" w:rsidP="00C23C32">
      <w:r w:rsidRPr="00C23C32">
        <w:t>The committee is requested to provide advice on the following specific issues:</w:t>
      </w:r>
    </w:p>
    <w:p w14:paraId="441F4224" w14:textId="77777777" w:rsidR="00C23C32" w:rsidRPr="00C23C32" w:rsidRDefault="00C23C32" w:rsidP="008A74BD">
      <w:pPr>
        <w:pStyle w:val="Numberbullet0"/>
        <w:numPr>
          <w:ilvl w:val="0"/>
          <w:numId w:val="10"/>
        </w:numPr>
      </w:pPr>
      <w:r w:rsidRPr="00C23C32">
        <w:t xml:space="preserve">Can the committee comment on the acceptability of the proposed wording of indication in Australia. Of note, both efficacy studies included patients with </w:t>
      </w:r>
      <w:proofErr w:type="spellStart"/>
      <w:r w:rsidRPr="00C23C32">
        <w:t>Ph</w:t>
      </w:r>
      <w:proofErr w:type="spellEnd"/>
      <w:r w:rsidRPr="00C23C32">
        <w:t>+ ALL who had failed at least 1 TKI (see discussion section of overview).</w:t>
      </w:r>
    </w:p>
    <w:p w14:paraId="7E393012" w14:textId="47414CBE" w:rsidR="00C23C32" w:rsidRPr="00C23C32" w:rsidRDefault="00C23C32" w:rsidP="008A74BD">
      <w:pPr>
        <w:pStyle w:val="Numberbullet0"/>
        <w:numPr>
          <w:ilvl w:val="0"/>
          <w:numId w:val="10"/>
        </w:numPr>
      </w:pPr>
      <w:r w:rsidRPr="00C23C32">
        <w:t>In the pivotal study, the median duration of treatment in the control arm was 0.9</w:t>
      </w:r>
      <w:r w:rsidR="00200CE5">
        <w:t> </w:t>
      </w:r>
      <w:r w:rsidRPr="00C23C32">
        <w:t>weeks. Is this an expected treatment duration in the context of the treatments chosen and this clinical setting?</w:t>
      </w:r>
    </w:p>
    <w:p w14:paraId="72F6304D" w14:textId="2F29F1F0" w:rsidR="00C23C32" w:rsidRPr="00C23C32" w:rsidRDefault="00C23C32" w:rsidP="008A74BD">
      <w:pPr>
        <w:pStyle w:val="Numberbullet0"/>
        <w:numPr>
          <w:ilvl w:val="0"/>
          <w:numId w:val="10"/>
        </w:numPr>
      </w:pPr>
      <w:r w:rsidRPr="00C23C32">
        <w:t xml:space="preserve">Is the committee satisfied that the proposed PI adequately captures the safety profile of </w:t>
      </w:r>
      <w:r w:rsidR="00200CE5">
        <w:t>i</w:t>
      </w:r>
      <w:r w:rsidRPr="00C23C32">
        <w:t>notuzumab ozogamicin?</w:t>
      </w:r>
    </w:p>
    <w:p w14:paraId="69A7ED49" w14:textId="77777777" w:rsidR="00456765" w:rsidRPr="00C23C32" w:rsidRDefault="00C23C32" w:rsidP="00C23C32">
      <w:r w:rsidRPr="00C23C32">
        <w:t>The committee is also requested to provide advice on any other issues that it thinks may be relevant to a decision on whether or not to approve this application.</w:t>
      </w:r>
    </w:p>
    <w:p w14:paraId="6A46F856" w14:textId="77777777" w:rsidR="00D23139" w:rsidRDefault="00456765" w:rsidP="00D23139">
      <w:pPr>
        <w:pStyle w:val="Heading4"/>
      </w:pPr>
      <w:r>
        <w:t xml:space="preserve">Response from </w:t>
      </w:r>
      <w:r w:rsidR="00F769DD">
        <w:t>sponsor</w:t>
      </w:r>
    </w:p>
    <w:p w14:paraId="3FB1EDE2" w14:textId="77777777" w:rsidR="001C7254" w:rsidRPr="001C7254" w:rsidRDefault="001C7254" w:rsidP="001C7254">
      <w:pPr>
        <w:pStyle w:val="Heading5"/>
      </w:pPr>
      <w:r w:rsidRPr="001C7254">
        <w:t>Introduction</w:t>
      </w:r>
    </w:p>
    <w:p w14:paraId="27FFCD7F" w14:textId="773340A7" w:rsidR="001C7254" w:rsidRPr="001C7254" w:rsidRDefault="001C7254" w:rsidP="001C7254">
      <w:r w:rsidRPr="001C7254">
        <w:t>Inotuzumab ozogamicin was granted orphan drug desig</w:t>
      </w:r>
      <w:r>
        <w:t xml:space="preserve">nation by the Therapeutic Goods </w:t>
      </w:r>
      <w:r w:rsidRPr="001C7254">
        <w:t>Administration (TGA) on 9 January 2017 for the trea</w:t>
      </w:r>
      <w:r>
        <w:t xml:space="preserve">tment of </w:t>
      </w:r>
      <w:r w:rsidR="006779D9">
        <w:t>B cell</w:t>
      </w:r>
      <w:r>
        <w:t xml:space="preserve"> precursor acute </w:t>
      </w:r>
      <w:r w:rsidRPr="001C7254">
        <w:t>lymphoblastic leukaemia (ALL). The present application subm</w:t>
      </w:r>
      <w:r>
        <w:t xml:space="preserve">itted by </w:t>
      </w:r>
      <w:r w:rsidR="00D2491E">
        <w:t>the sponsor</w:t>
      </w:r>
      <w:r>
        <w:t xml:space="preserve"> seeks </w:t>
      </w:r>
      <w:r w:rsidRPr="001C7254">
        <w:t>registration of inotuzumab ozogamicin for the following indication:</w:t>
      </w:r>
    </w:p>
    <w:p w14:paraId="1B7B452D" w14:textId="77777777" w:rsidR="001C7254" w:rsidRPr="001C7254" w:rsidRDefault="006779D9" w:rsidP="001C7254">
      <w:pPr>
        <w:ind w:left="720"/>
        <w:rPr>
          <w:i/>
        </w:rPr>
      </w:pPr>
      <w:r>
        <w:rPr>
          <w:i/>
        </w:rPr>
        <w:t>Besponsa</w:t>
      </w:r>
      <w:r w:rsidR="001C7254" w:rsidRPr="001C7254">
        <w:rPr>
          <w:i/>
        </w:rPr>
        <w:t xml:space="preserve"> is indicated for the treatment of adults w</w:t>
      </w:r>
      <w:r w:rsidR="00795F3A">
        <w:rPr>
          <w:i/>
        </w:rPr>
        <w:t>ith relapsed or refractory CD22</w:t>
      </w:r>
      <w:r w:rsidR="00795F3A">
        <w:rPr>
          <w:i/>
        </w:rPr>
        <w:noBreakHyphen/>
      </w:r>
      <w:r w:rsidR="001C7254" w:rsidRPr="001C7254">
        <w:rPr>
          <w:i/>
        </w:rPr>
        <w:t>positive B</w:t>
      </w:r>
      <w:r w:rsidR="00795F3A">
        <w:rPr>
          <w:i/>
        </w:rPr>
        <w:t xml:space="preserve"> </w:t>
      </w:r>
      <w:r w:rsidR="001C7254" w:rsidRPr="001C7254">
        <w:rPr>
          <w:i/>
        </w:rPr>
        <w:t>cell precursor acute lymphoblastic leukaemia (ALL).</w:t>
      </w:r>
    </w:p>
    <w:p w14:paraId="63198020" w14:textId="77777777" w:rsidR="001C7254" w:rsidRPr="001C7254" w:rsidRDefault="00795F3A" w:rsidP="001C7254">
      <w:r>
        <w:t xml:space="preserve">The sponsor </w:t>
      </w:r>
      <w:r w:rsidR="001C7254" w:rsidRPr="001C7254">
        <w:t>agrees with the Delegate</w:t>
      </w:r>
      <w:r>
        <w:t>’</w:t>
      </w:r>
      <w:r w:rsidR="001C7254" w:rsidRPr="001C7254">
        <w:t>s preliminary assessment th</w:t>
      </w:r>
      <w:r w:rsidR="001C7254">
        <w:t xml:space="preserve">at the data presented support a </w:t>
      </w:r>
      <w:r w:rsidR="001C7254" w:rsidRPr="001C7254">
        <w:t xml:space="preserve">favourable risk-benefit balance of inotuzumab ozogamicin for </w:t>
      </w:r>
      <w:r w:rsidR="001C7254">
        <w:t xml:space="preserve">the treatment of adult patients </w:t>
      </w:r>
      <w:r w:rsidR="001C7254" w:rsidRPr="001C7254">
        <w:t xml:space="preserve">with relapsed or refractory CD22‐positive </w:t>
      </w:r>
      <w:r w:rsidR="006779D9">
        <w:t>B cell</w:t>
      </w:r>
      <w:r w:rsidR="001C7254" w:rsidRPr="001C7254">
        <w:t xml:space="preserve"> precursor ALL. </w:t>
      </w:r>
      <w:r w:rsidR="001C7254">
        <w:t xml:space="preserve">There were no objections to the </w:t>
      </w:r>
      <w:r w:rsidR="001C7254" w:rsidRPr="001C7254">
        <w:t xml:space="preserve">approval of </w:t>
      </w:r>
      <w:r w:rsidR="006779D9">
        <w:t>Besponsa</w:t>
      </w:r>
      <w:r w:rsidR="001C7254" w:rsidRPr="001C7254">
        <w:t xml:space="preserve"> raised by the </w:t>
      </w:r>
      <w:r>
        <w:t xml:space="preserve">quality </w:t>
      </w:r>
      <w:r w:rsidRPr="001C7254">
        <w:t>e</w:t>
      </w:r>
      <w:r w:rsidR="001C7254" w:rsidRPr="001C7254">
        <w:t xml:space="preserve">valuators, </w:t>
      </w:r>
      <w:r w:rsidR="001C7254">
        <w:t xml:space="preserve">the </w:t>
      </w:r>
      <w:r>
        <w:t>nonclinical e</w:t>
      </w:r>
      <w:r w:rsidR="001C7254">
        <w:t xml:space="preserve">valuators, or the </w:t>
      </w:r>
      <w:r w:rsidR="001C7254" w:rsidRPr="001C7254">
        <w:t xml:space="preserve">RMP </w:t>
      </w:r>
      <w:r>
        <w:t>e</w:t>
      </w:r>
      <w:r w:rsidR="001C7254" w:rsidRPr="001C7254">
        <w:t>valuator</w:t>
      </w:r>
      <w:r>
        <w:t>s</w:t>
      </w:r>
      <w:r w:rsidR="001C7254" w:rsidRPr="001C7254">
        <w:t xml:space="preserve"> throughout the evaluation phase, and the </w:t>
      </w:r>
      <w:r w:rsidRPr="001C7254">
        <w:t>clin</w:t>
      </w:r>
      <w:r>
        <w:t>ical evaluato</w:t>
      </w:r>
      <w:r w:rsidR="001C7254">
        <w:t xml:space="preserve">r recommended that </w:t>
      </w:r>
      <w:r w:rsidR="006779D9">
        <w:t>Besponsa</w:t>
      </w:r>
      <w:r w:rsidR="001C7254" w:rsidRPr="001C7254">
        <w:t xml:space="preserve"> be approved for the above indication.</w:t>
      </w:r>
    </w:p>
    <w:p w14:paraId="64552EFA" w14:textId="044436EA" w:rsidR="001C7254" w:rsidRPr="001C7254" w:rsidRDefault="001C7254" w:rsidP="001C7254">
      <w:r w:rsidRPr="001C7254">
        <w:t>The Delegate has sought advice from the advisory commit</w:t>
      </w:r>
      <w:r>
        <w:t xml:space="preserve">tee on medicines (ACM) on three </w:t>
      </w:r>
      <w:r w:rsidRPr="001C7254">
        <w:t>specific issues in the Delegate’s Over</w:t>
      </w:r>
      <w:r w:rsidR="00795F3A">
        <w:t>view;</w:t>
      </w:r>
      <w:r w:rsidRPr="001C7254">
        <w:t xml:space="preserve"> Request for ACM’s Advice </w:t>
      </w:r>
      <w:r>
        <w:t xml:space="preserve">which are shown below. </w:t>
      </w:r>
      <w:r w:rsidRPr="001C7254">
        <w:t xml:space="preserve">In this pre-ACM response, </w:t>
      </w:r>
      <w:r w:rsidR="00843728">
        <w:t>the sponsor</w:t>
      </w:r>
      <w:r w:rsidR="00843728" w:rsidRPr="001C7254">
        <w:t xml:space="preserve"> </w:t>
      </w:r>
      <w:r w:rsidRPr="001C7254">
        <w:t>has provided comments addr</w:t>
      </w:r>
      <w:r>
        <w:t xml:space="preserve">essing each of these issues. In </w:t>
      </w:r>
      <w:r w:rsidRPr="001C7254">
        <w:t>addition, the questions raised within the body of the Delegate</w:t>
      </w:r>
      <w:r>
        <w:t>’</w:t>
      </w:r>
      <w:r w:rsidRPr="001C7254">
        <w:t>s o</w:t>
      </w:r>
      <w:r>
        <w:t xml:space="preserve">verview directed to the </w:t>
      </w:r>
      <w:r w:rsidR="00F769DD">
        <w:t>sponsor</w:t>
      </w:r>
      <w:r>
        <w:t xml:space="preserve"> </w:t>
      </w:r>
      <w:r w:rsidRPr="001C7254">
        <w:t>have been addressed.</w:t>
      </w:r>
    </w:p>
    <w:p w14:paraId="32F8277B" w14:textId="77777777" w:rsidR="001C7254" w:rsidRPr="001C7254" w:rsidRDefault="001C7254" w:rsidP="001C7254">
      <w:r w:rsidRPr="001C7254">
        <w:t>The matters being addressed are indicated in bold italic type.</w:t>
      </w:r>
    </w:p>
    <w:p w14:paraId="750F5A6B" w14:textId="77777777" w:rsidR="001C7254" w:rsidRPr="001C7254" w:rsidRDefault="001C7254" w:rsidP="001C7254">
      <w:pPr>
        <w:pStyle w:val="Heading5"/>
        <w:rPr>
          <w:rFonts w:eastAsiaTheme="minorHAnsi"/>
        </w:rPr>
      </w:pPr>
      <w:r w:rsidRPr="001C7254">
        <w:t>Advice sought</w:t>
      </w:r>
    </w:p>
    <w:p w14:paraId="690CB8AC" w14:textId="77777777" w:rsidR="001C7254" w:rsidRPr="001C7254" w:rsidRDefault="001C7254" w:rsidP="001C7254">
      <w:r w:rsidRPr="001C7254">
        <w:t>The committee is requested to provide advice on the following specific issues.</w:t>
      </w:r>
    </w:p>
    <w:p w14:paraId="28159DCA" w14:textId="77777777" w:rsidR="001C7254" w:rsidRPr="001C7254" w:rsidRDefault="001C7254" w:rsidP="008A74BD">
      <w:pPr>
        <w:pStyle w:val="Numberbullet0"/>
        <w:numPr>
          <w:ilvl w:val="0"/>
          <w:numId w:val="11"/>
        </w:numPr>
        <w:rPr>
          <w:b/>
          <w:i/>
        </w:rPr>
      </w:pPr>
      <w:r w:rsidRPr="001C7254">
        <w:rPr>
          <w:b/>
          <w:i/>
        </w:rPr>
        <w:t xml:space="preserve">Can the committee comment on the acceptability of the proposed wording of indication in Australia. Of note, both efficacy studies included patients with </w:t>
      </w:r>
      <w:proofErr w:type="spellStart"/>
      <w:r w:rsidRPr="001C7254">
        <w:rPr>
          <w:b/>
          <w:i/>
        </w:rPr>
        <w:t>Ph</w:t>
      </w:r>
      <w:proofErr w:type="spellEnd"/>
      <w:r w:rsidRPr="001C7254">
        <w:rPr>
          <w:b/>
          <w:i/>
        </w:rPr>
        <w:t>+ ALL who had failed at least 1 TKI (see discussion section of overview).</w:t>
      </w:r>
    </w:p>
    <w:p w14:paraId="60531929" w14:textId="77777777" w:rsidR="001C7254" w:rsidRPr="001C7254" w:rsidRDefault="00795F3A" w:rsidP="001C7254">
      <w:r>
        <w:lastRenderedPageBreak/>
        <w:t>The sponsor</w:t>
      </w:r>
      <w:r w:rsidR="001C7254" w:rsidRPr="001C7254">
        <w:t xml:space="preserve"> agrees with the Delegate</w:t>
      </w:r>
      <w:r>
        <w:t>’</w:t>
      </w:r>
      <w:r w:rsidR="001C7254" w:rsidRPr="001C7254">
        <w:t>s opinion that the indication word</w:t>
      </w:r>
      <w:r w:rsidR="001C7254">
        <w:t xml:space="preserve">ing should be identical to that </w:t>
      </w:r>
      <w:r w:rsidR="001C7254" w:rsidRPr="001C7254">
        <w:t xml:space="preserve">recommended by the </w:t>
      </w:r>
      <w:r w:rsidRPr="001C7254">
        <w:t xml:space="preserve">clinical evaluator </w:t>
      </w:r>
      <w:r w:rsidR="001C7254" w:rsidRPr="001C7254">
        <w:t xml:space="preserve">and accepted by the </w:t>
      </w:r>
      <w:r w:rsidR="00F769DD">
        <w:t>sponsor</w:t>
      </w:r>
      <w:r w:rsidR="001C7254">
        <w:t xml:space="preserve"> in response to the </w:t>
      </w:r>
      <w:r>
        <w:t>first round</w:t>
      </w:r>
      <w:r w:rsidR="001C7254">
        <w:t xml:space="preserve"> </w:t>
      </w:r>
      <w:r w:rsidRPr="001C7254">
        <w:t>clinical evaluation report</w:t>
      </w:r>
      <w:r w:rsidR="001C7254" w:rsidRPr="001C7254">
        <w:t>, as follows:</w:t>
      </w:r>
    </w:p>
    <w:p w14:paraId="6EF91E5F" w14:textId="77777777" w:rsidR="001C7254" w:rsidRPr="001C7254" w:rsidRDefault="006779D9" w:rsidP="001C7254">
      <w:pPr>
        <w:ind w:left="720"/>
        <w:rPr>
          <w:i/>
        </w:rPr>
      </w:pPr>
      <w:r>
        <w:rPr>
          <w:i/>
        </w:rPr>
        <w:t>Besponsa</w:t>
      </w:r>
      <w:r w:rsidR="001C7254" w:rsidRPr="001C7254">
        <w:rPr>
          <w:i/>
        </w:rPr>
        <w:t xml:space="preserve"> is indicated for the treatment of adults w</w:t>
      </w:r>
      <w:r w:rsidR="00795F3A">
        <w:rPr>
          <w:i/>
        </w:rPr>
        <w:t>ith relapsed or refractory CD22</w:t>
      </w:r>
      <w:r w:rsidR="00795F3A">
        <w:rPr>
          <w:i/>
        </w:rPr>
        <w:noBreakHyphen/>
      </w:r>
      <w:r w:rsidR="001C7254" w:rsidRPr="001C7254">
        <w:rPr>
          <w:i/>
        </w:rPr>
        <w:t>positive B</w:t>
      </w:r>
      <w:r w:rsidR="00795F3A">
        <w:rPr>
          <w:i/>
        </w:rPr>
        <w:t xml:space="preserve"> </w:t>
      </w:r>
      <w:r w:rsidR="001C7254" w:rsidRPr="001C7254">
        <w:rPr>
          <w:i/>
        </w:rPr>
        <w:t>cell precursor acute lymphoblastic leukaemia (ALL).</w:t>
      </w:r>
    </w:p>
    <w:p w14:paraId="660F129A" w14:textId="77777777" w:rsidR="001C7254" w:rsidRPr="001C7254" w:rsidRDefault="001C7254" w:rsidP="001C7254">
      <w:r w:rsidRPr="001C7254">
        <w:t xml:space="preserve">With the exception of </w:t>
      </w:r>
      <w:r>
        <w:t>‘</w:t>
      </w:r>
      <w:r w:rsidR="005C4508">
        <w:t>CD22 positive</w:t>
      </w:r>
      <w:r>
        <w:t>’</w:t>
      </w:r>
      <w:r w:rsidRPr="001C7254">
        <w:t xml:space="preserve"> which was not required by the Uni</w:t>
      </w:r>
      <w:r>
        <w:t xml:space="preserve">ted States (US) Food </w:t>
      </w:r>
      <w:r w:rsidRPr="001C7254">
        <w:t>and Drug Administration (FDA), this indication wording is iden</w:t>
      </w:r>
      <w:r>
        <w:t xml:space="preserve">tical with that included in the </w:t>
      </w:r>
      <w:r w:rsidRPr="001C7254">
        <w:t>United States Prescribing Information (USPI).</w:t>
      </w:r>
    </w:p>
    <w:p w14:paraId="6B4993F4" w14:textId="77777777" w:rsidR="001C7254" w:rsidRPr="001C7254" w:rsidRDefault="001C7254" w:rsidP="001C7254">
      <w:r w:rsidRPr="001C7254">
        <w:t xml:space="preserve">In Study B1931022, the protocol inclusion criteria stipulated </w:t>
      </w:r>
      <w:r>
        <w:t xml:space="preserve">that patients with Philadelphia </w:t>
      </w:r>
      <w:r w:rsidRPr="001C7254">
        <w:t>chromosome positive (</w:t>
      </w:r>
      <w:proofErr w:type="spellStart"/>
      <w:r w:rsidRPr="001C7254">
        <w:t>Ph</w:t>
      </w:r>
      <w:proofErr w:type="spellEnd"/>
      <w:r w:rsidRPr="001C7254">
        <w:t xml:space="preserve">+) relapsed or refractory </w:t>
      </w:r>
      <w:r w:rsidR="006779D9">
        <w:t>B cell</w:t>
      </w:r>
      <w:r w:rsidRPr="001C7254">
        <w:t xml:space="preserve"> p</w:t>
      </w:r>
      <w:r>
        <w:t xml:space="preserve">recursor ALL should have failed </w:t>
      </w:r>
      <w:r w:rsidRPr="001C7254">
        <w:t>treatment with at least 1 tyrosine kinase inhibitor (TKI).</w:t>
      </w:r>
    </w:p>
    <w:p w14:paraId="00BDFB12" w14:textId="47FB663B" w:rsidR="001C7254" w:rsidRPr="001C7254" w:rsidRDefault="001C7254" w:rsidP="001C7254">
      <w:r w:rsidRPr="001C7254">
        <w:t xml:space="preserve">The </w:t>
      </w:r>
      <w:r w:rsidR="00F769DD">
        <w:t>sponsor</w:t>
      </w:r>
      <w:r w:rsidRPr="001C7254">
        <w:t xml:space="preserve"> acknowledges that this is indicative of the patient population likely to be treated in</w:t>
      </w:r>
      <w:r>
        <w:t xml:space="preserve"> </w:t>
      </w:r>
      <w:r w:rsidRPr="001C7254">
        <w:t xml:space="preserve">Australia as first-line standard of care for adult patients with </w:t>
      </w:r>
      <w:proofErr w:type="spellStart"/>
      <w:r w:rsidRPr="001C7254">
        <w:t>Ph</w:t>
      </w:r>
      <w:proofErr w:type="spellEnd"/>
      <w:r w:rsidRPr="001C7254">
        <w:t xml:space="preserve">+ </w:t>
      </w:r>
      <w:r w:rsidR="006779D9">
        <w:t>B cell</w:t>
      </w:r>
      <w:r>
        <w:t xml:space="preserve"> precursor ALL includes </w:t>
      </w:r>
      <w:r w:rsidRPr="001C7254">
        <w:t>the use of TKIs (normally in combination with chemotherapy</w:t>
      </w:r>
      <w:r>
        <w:t xml:space="preserve">). Therefore, in the indication </w:t>
      </w:r>
      <w:r w:rsidRPr="001C7254">
        <w:t xml:space="preserve">statement in the PI, </w:t>
      </w:r>
      <w:r w:rsidR="00843728">
        <w:t>the sponsor</w:t>
      </w:r>
      <w:r w:rsidR="00843728" w:rsidRPr="001C7254">
        <w:t xml:space="preserve"> </w:t>
      </w:r>
      <w:r w:rsidRPr="001C7254">
        <w:t xml:space="preserve">does not consider it necessary to specify that </w:t>
      </w:r>
      <w:proofErr w:type="spellStart"/>
      <w:r w:rsidRPr="001C7254">
        <w:t>Ph</w:t>
      </w:r>
      <w:proofErr w:type="spellEnd"/>
      <w:r w:rsidRPr="001C7254">
        <w:t xml:space="preserve">+ </w:t>
      </w:r>
      <w:r>
        <w:t xml:space="preserve">patients should have </w:t>
      </w:r>
      <w:r w:rsidRPr="001C7254">
        <w:t xml:space="preserve">failed treatment with at least </w:t>
      </w:r>
      <w:r w:rsidR="00795F3A">
        <w:t>one</w:t>
      </w:r>
      <w:r w:rsidRPr="001C7254">
        <w:t xml:space="preserve"> TKI.</w:t>
      </w:r>
    </w:p>
    <w:p w14:paraId="135585BC" w14:textId="77777777" w:rsidR="001C7254" w:rsidRPr="001C7254" w:rsidRDefault="00795F3A" w:rsidP="001C7254">
      <w:r>
        <w:t>The sponsor</w:t>
      </w:r>
      <w:r w:rsidR="001C7254" w:rsidRPr="001C7254">
        <w:t xml:space="preserve"> agrees with the Delegate that in the relapsed or refractory setting, all patients with </w:t>
      </w:r>
      <w:proofErr w:type="spellStart"/>
      <w:r w:rsidR="001C7254" w:rsidRPr="001C7254">
        <w:t>Ph</w:t>
      </w:r>
      <w:proofErr w:type="spellEnd"/>
      <w:r w:rsidR="001C7254" w:rsidRPr="001C7254">
        <w:t xml:space="preserve">+ </w:t>
      </w:r>
      <w:proofErr w:type="spellStart"/>
      <w:r w:rsidR="001C7254">
        <w:t>Bcell</w:t>
      </w:r>
      <w:proofErr w:type="spellEnd"/>
      <w:r w:rsidR="001C7254">
        <w:t xml:space="preserve"> </w:t>
      </w:r>
      <w:r w:rsidR="001C7254" w:rsidRPr="001C7254">
        <w:t xml:space="preserve">precursor </w:t>
      </w:r>
      <w:r>
        <w:t xml:space="preserve">ALL should be treated on a case by </w:t>
      </w:r>
      <w:r w:rsidR="001C7254" w:rsidRPr="001C7254">
        <w:t>case basis</w:t>
      </w:r>
      <w:r w:rsidR="001C7254">
        <w:t xml:space="preserve"> with treatment options being </w:t>
      </w:r>
      <w:r w:rsidR="001C7254" w:rsidRPr="001C7254">
        <w:t>considered in the context of the individual patient scenario; in an</w:t>
      </w:r>
      <w:r w:rsidR="001C7254">
        <w:t xml:space="preserve">y given patient, the absence of </w:t>
      </w:r>
      <w:r w:rsidR="001C7254" w:rsidRPr="001C7254">
        <w:t>previously failed treatment with at least 1 TKI should not</w:t>
      </w:r>
      <w:r w:rsidR="001C7254">
        <w:t xml:space="preserve"> preclude use of </w:t>
      </w:r>
      <w:r w:rsidR="006779D9">
        <w:t>Besponsa</w:t>
      </w:r>
      <w:r w:rsidR="001C7254">
        <w:t xml:space="preserve"> as an </w:t>
      </w:r>
      <w:r w:rsidR="001C7254" w:rsidRPr="001C7254">
        <w:t>available treatment option.</w:t>
      </w:r>
    </w:p>
    <w:p w14:paraId="52F82682" w14:textId="77777777" w:rsidR="001C7254" w:rsidRPr="001C7254" w:rsidRDefault="001C7254" w:rsidP="001C7254">
      <w:pPr>
        <w:pStyle w:val="Numberbullet0"/>
        <w:rPr>
          <w:b/>
          <w:i/>
        </w:rPr>
      </w:pPr>
      <w:r w:rsidRPr="001C7254">
        <w:rPr>
          <w:b/>
          <w:i/>
        </w:rPr>
        <w:t>In the pivotal study, the median duration of treat</w:t>
      </w:r>
      <w:r w:rsidR="00795F3A">
        <w:rPr>
          <w:b/>
          <w:i/>
        </w:rPr>
        <w:t>ment in the control arm was 0.9 </w:t>
      </w:r>
      <w:r w:rsidRPr="001C7254">
        <w:rPr>
          <w:b/>
          <w:i/>
        </w:rPr>
        <w:t>weeks. Is this an expected treatment duration in the context of the treatments chosen and this clinical setting?</w:t>
      </w:r>
    </w:p>
    <w:p w14:paraId="14EA2AD3" w14:textId="77777777" w:rsidR="001C7254" w:rsidRPr="001C7254" w:rsidRDefault="001C7254" w:rsidP="001C7254">
      <w:r w:rsidRPr="001C7254">
        <w:t xml:space="preserve">The </w:t>
      </w:r>
      <w:r w:rsidR="006644FB">
        <w:t>Delegate</w:t>
      </w:r>
      <w:r w:rsidRPr="001C7254">
        <w:t xml:space="preserve"> also raised the following related question to the </w:t>
      </w:r>
      <w:r w:rsidR="00F769DD">
        <w:t>sponsor</w:t>
      </w:r>
      <w:r w:rsidRPr="001C7254">
        <w:t>:</w:t>
      </w:r>
    </w:p>
    <w:p w14:paraId="7679977F" w14:textId="77777777" w:rsidR="001C7254" w:rsidRPr="00160FA8" w:rsidRDefault="001C7254" w:rsidP="00795F3A">
      <w:pPr>
        <w:ind w:left="720"/>
        <w:rPr>
          <w:i/>
        </w:rPr>
      </w:pPr>
      <w:r w:rsidRPr="00160FA8">
        <w:rPr>
          <w:i/>
        </w:rPr>
        <w:t>Please provide a comment regarding the shorter duration of treatment in the control arm of this study. Is this an expected treatment duration for the clinical setting and treatment types chosen?</w:t>
      </w:r>
    </w:p>
    <w:p w14:paraId="31B5E1D7" w14:textId="77777777" w:rsidR="001C7254" w:rsidRPr="001C7254" w:rsidRDefault="001C7254" w:rsidP="001C7254">
      <w:r w:rsidRPr="001C7254">
        <w:t>The treatment duration for the control arm chemotherapy u</w:t>
      </w:r>
      <w:r w:rsidR="00795F3A">
        <w:t>sed in the pivotal study, Study </w:t>
      </w:r>
      <w:r w:rsidRPr="001C7254">
        <w:t>B1931022, was as expected for patients with relapsed or refrac</w:t>
      </w:r>
      <w:r>
        <w:t xml:space="preserve">tory </w:t>
      </w:r>
      <w:r w:rsidR="006779D9">
        <w:t>B cell</w:t>
      </w:r>
      <w:r>
        <w:t xml:space="preserve"> ALL in the clinical </w:t>
      </w:r>
      <w:r w:rsidRPr="001C7254">
        <w:t>setting. The shorter duration of treatment in the control</w:t>
      </w:r>
      <w:r>
        <w:t xml:space="preserve"> arm compared to the inotuzumab </w:t>
      </w:r>
      <w:r w:rsidRPr="001C7254">
        <w:t>ozogamicin arm reflects the fact that more patients were discontin</w:t>
      </w:r>
      <w:r>
        <w:t xml:space="preserve">uing early due to the lack of a </w:t>
      </w:r>
      <w:r w:rsidRPr="001C7254">
        <w:t>clinical benefit in the control arm.</w:t>
      </w:r>
    </w:p>
    <w:p w14:paraId="29A5D4F1" w14:textId="77777777" w:rsidR="001C7254" w:rsidRPr="001C7254" w:rsidRDefault="001C7254" w:rsidP="001C7254">
      <w:r w:rsidRPr="001C7254">
        <w:t>The main goal of therapy for patients with relapsed or refr</w:t>
      </w:r>
      <w:r>
        <w:t xml:space="preserve">actory </w:t>
      </w:r>
      <w:r w:rsidR="006779D9">
        <w:t>B cell</w:t>
      </w:r>
      <w:r>
        <w:t xml:space="preserve"> ALL is to achieve </w:t>
      </w:r>
      <w:r w:rsidRPr="001C7254">
        <w:t xml:space="preserve">complete remission/complete remission with incomplete </w:t>
      </w:r>
      <w:proofErr w:type="spellStart"/>
      <w:r w:rsidRPr="001C7254">
        <w:t>haematologic</w:t>
      </w:r>
      <w:proofErr w:type="spellEnd"/>
      <w:r w:rsidRPr="001C7254">
        <w:t xml:space="preserve"> rec</w:t>
      </w:r>
      <w:r>
        <w:t>overy (CR/</w:t>
      </w:r>
      <w:proofErr w:type="spellStart"/>
      <w:r>
        <w:t>CRi</w:t>
      </w:r>
      <w:proofErr w:type="spellEnd"/>
      <w:r>
        <w:t xml:space="preserve">) and </w:t>
      </w:r>
      <w:r w:rsidRPr="001C7254">
        <w:t xml:space="preserve">proceed to a potentially curative </w:t>
      </w:r>
      <w:r w:rsidR="00795F3A" w:rsidRPr="001C7254">
        <w:t>haematopoietic</w:t>
      </w:r>
      <w:r w:rsidRPr="001C7254">
        <w:t xml:space="preserve"> stem cell </w:t>
      </w:r>
      <w:r>
        <w:t xml:space="preserve">transplant (HSCT) as quickly as </w:t>
      </w:r>
      <w:r w:rsidRPr="001C7254">
        <w:t>possible.</w:t>
      </w:r>
    </w:p>
    <w:p w14:paraId="59E6E13D" w14:textId="77777777" w:rsidR="001F5892" w:rsidRPr="001F5892" w:rsidRDefault="001F5892" w:rsidP="001F5892">
      <w:r w:rsidRPr="001F5892">
        <w:t xml:space="preserve">The most commonly used regimen in Study B1931022 was </w:t>
      </w:r>
      <w:proofErr w:type="spellStart"/>
      <w:r w:rsidRPr="001F5892">
        <w:t>fludarabine</w:t>
      </w:r>
      <w:proofErr w:type="spellEnd"/>
      <w:r w:rsidRPr="001F5892">
        <w:t xml:space="preserve"> </w:t>
      </w:r>
      <w:r w:rsidR="00795F3A">
        <w:t>+</w:t>
      </w:r>
      <w:r w:rsidRPr="001F5892">
        <w:t xml:space="preserve"> </w:t>
      </w:r>
      <w:proofErr w:type="spellStart"/>
      <w:r w:rsidRPr="001F5892">
        <w:t>cytarabine</w:t>
      </w:r>
      <w:proofErr w:type="spellEnd"/>
      <w:r w:rsidRPr="001F5892">
        <w:t xml:space="preserve"> </w:t>
      </w:r>
      <w:r w:rsidR="00795F3A">
        <w:t xml:space="preserve">+ </w:t>
      </w:r>
      <w:r w:rsidRPr="001F5892">
        <w:t>granulocyte-colony stimulating factor (FLAG); this regimen is administered every day for</w:t>
      </w:r>
      <w:r>
        <w:t xml:space="preserve"> </w:t>
      </w:r>
      <w:r w:rsidR="00795F3A">
        <w:t xml:space="preserve">approximately 5 to </w:t>
      </w:r>
      <w:r w:rsidRPr="001F5892">
        <w:t>6 days per cycle. Patients who have progressive</w:t>
      </w:r>
      <w:r>
        <w:t xml:space="preserve"> disease after 1 cycle would be </w:t>
      </w:r>
      <w:r w:rsidRPr="001F5892">
        <w:t>expected to stop treatment and receive an alternative therapy.</w:t>
      </w:r>
      <w:r>
        <w:t xml:space="preserve"> Patients who achieve remission </w:t>
      </w:r>
      <w:r w:rsidR="00795F3A">
        <w:t xml:space="preserve">after 1 to </w:t>
      </w:r>
      <w:r w:rsidRPr="001F5892">
        <w:t>2 cycles would be expected to proceed to potentially curative HSCT.</w:t>
      </w:r>
    </w:p>
    <w:p w14:paraId="095BCA23" w14:textId="77777777" w:rsidR="001F5892" w:rsidRPr="001F5892" w:rsidRDefault="001F5892" w:rsidP="001F5892">
      <w:r w:rsidRPr="001F5892">
        <w:t xml:space="preserve">Although </w:t>
      </w:r>
      <w:r w:rsidR="00795F3A">
        <w:t xml:space="preserve">in Study B1931022, the protocol </w:t>
      </w:r>
      <w:r w:rsidRPr="001F5892">
        <w:t>stipulated duration of</w:t>
      </w:r>
      <w:r>
        <w:t xml:space="preserve"> study treatment in the control </w:t>
      </w:r>
      <w:r w:rsidRPr="001F5892">
        <w:t xml:space="preserve">arm was up to 4 cycles of FLAG or </w:t>
      </w:r>
      <w:proofErr w:type="spellStart"/>
      <w:r w:rsidRPr="001F5892">
        <w:t>mitoxantrone</w:t>
      </w:r>
      <w:proofErr w:type="spellEnd"/>
      <w:r w:rsidRPr="001F5892">
        <w:t xml:space="preserve"> </w:t>
      </w:r>
      <w:r w:rsidR="00795F3A">
        <w:t>+</w:t>
      </w:r>
      <w:r w:rsidRPr="001F5892">
        <w:t xml:space="preserve"> </w:t>
      </w:r>
      <w:proofErr w:type="spellStart"/>
      <w:r w:rsidRPr="001F5892">
        <w:t>cytarabine</w:t>
      </w:r>
      <w:proofErr w:type="spellEnd"/>
      <w:r w:rsidRPr="001F5892">
        <w:t xml:space="preserve"> (</w:t>
      </w:r>
      <w:r>
        <w:t xml:space="preserve">MXN/Ara-C) or up to 2 cycles of </w:t>
      </w:r>
      <w:r w:rsidR="00795F3A">
        <w:t xml:space="preserve">high </w:t>
      </w:r>
      <w:r w:rsidRPr="001F5892">
        <w:t>dose cytarabine (HIDAC), patients responding to chemoth</w:t>
      </w:r>
      <w:r>
        <w:t xml:space="preserve">erapy were expected to achieve </w:t>
      </w:r>
      <w:r w:rsidR="00795F3A">
        <w:t xml:space="preserve">remission within 1 to </w:t>
      </w:r>
      <w:r w:rsidRPr="001F5892">
        <w:t xml:space="preserve">2 cycles of treatment and patients not </w:t>
      </w:r>
      <w:r>
        <w:t xml:space="preserve">responding to chemotherapy were </w:t>
      </w:r>
      <w:r w:rsidRPr="001F5892">
        <w:t>expected to proceed to alternative therapy.</w:t>
      </w:r>
    </w:p>
    <w:p w14:paraId="2166668D" w14:textId="77777777" w:rsidR="001C7254" w:rsidRDefault="001F5892" w:rsidP="001F5892">
      <w:r w:rsidRPr="001F5892">
        <w:lastRenderedPageBreak/>
        <w:t>In Study B1931022, the median duration of treatment was 8.9</w:t>
      </w:r>
      <w:r>
        <w:t xml:space="preserve"> weeks (median number of cycles </w:t>
      </w:r>
      <w:r w:rsidRPr="001F5892">
        <w:t>started</w:t>
      </w:r>
      <w:r w:rsidR="0014606A">
        <w:t xml:space="preserve"> = </w:t>
      </w:r>
      <w:r w:rsidRPr="001F5892">
        <w:t>3; range 0.1 to 26.4 weeks) for patients who receive</w:t>
      </w:r>
      <w:r>
        <w:t xml:space="preserve">d inotuzumab ozogamicin and 0.9 </w:t>
      </w:r>
      <w:r w:rsidRPr="001F5892">
        <w:t>weeks (median number of cycles started</w:t>
      </w:r>
      <w:r w:rsidR="0014606A">
        <w:t xml:space="preserve"> = </w:t>
      </w:r>
      <w:r w:rsidRPr="001F5892">
        <w:t>1, range 0.1 to 15.6 w</w:t>
      </w:r>
      <w:r>
        <w:t xml:space="preserve">eeks) for patients who received </w:t>
      </w:r>
      <w:r w:rsidRPr="001F5892">
        <w:t xml:space="preserve">control arm therapy (Module 5, Section 5.3.5.1, Study B1931022 </w:t>
      </w:r>
      <w:proofErr w:type="spellStart"/>
      <w:r w:rsidRPr="001F5892">
        <w:t>sCSR</w:t>
      </w:r>
      <w:proofErr w:type="spellEnd"/>
      <w:r w:rsidRPr="001F5892">
        <w:t xml:space="preserve"> </w:t>
      </w:r>
      <w:r w:rsidR="00503681">
        <w:t>(</w:t>
      </w:r>
      <w:r w:rsidRPr="001F5892">
        <w:t>08</w:t>
      </w:r>
      <w:r>
        <w:t xml:space="preserve"> March 2016 </w:t>
      </w:r>
      <w:r w:rsidR="00E86989">
        <w:t>cut</w:t>
      </w:r>
      <w:r w:rsidR="00E86989" w:rsidRPr="00CC30C8">
        <w:t>-off</w:t>
      </w:r>
      <w:r w:rsidR="00503681" w:rsidRPr="00CC30C8">
        <w:t>)</w:t>
      </w:r>
      <w:r w:rsidRPr="00CC30C8">
        <w:t xml:space="preserve">, Table </w:t>
      </w:r>
      <w:r w:rsidR="00CC30C8" w:rsidRPr="00CC30C8">
        <w:t>22</w:t>
      </w:r>
      <w:r w:rsidRPr="00CC30C8">
        <w:t>).</w:t>
      </w:r>
    </w:p>
    <w:p w14:paraId="7078EDC9" w14:textId="4422B229" w:rsidR="008E5D34" w:rsidRDefault="008E5D34" w:rsidP="008E5D34">
      <w:pPr>
        <w:pStyle w:val="TableTitle"/>
      </w:pPr>
      <w:r w:rsidRPr="008E5D34">
        <w:t xml:space="preserve">Table </w:t>
      </w:r>
      <w:r w:rsidR="00CC30C8">
        <w:t>22:</w:t>
      </w:r>
      <w:r w:rsidRPr="008E5D34">
        <w:t xml:space="preserve"> Inotuzumab </w:t>
      </w:r>
      <w:r w:rsidR="00843728">
        <w:t>o</w:t>
      </w:r>
      <w:r w:rsidR="00843728" w:rsidRPr="008E5D34">
        <w:t xml:space="preserve">zogamicin </w:t>
      </w:r>
      <w:r w:rsidR="00200CE5">
        <w:t>Study</w:t>
      </w:r>
      <w:r w:rsidR="00200CE5" w:rsidRPr="008E5D34">
        <w:t xml:space="preserve"> </w:t>
      </w:r>
      <w:r w:rsidRPr="008E5D34">
        <w:t>B1931022</w:t>
      </w:r>
      <w:r w:rsidR="00843728">
        <w:t>;</w:t>
      </w:r>
      <w:r w:rsidRPr="008E5D34">
        <w:t xml:space="preserve"> </w:t>
      </w:r>
      <w:r w:rsidR="00843728" w:rsidRPr="008E5D34">
        <w:t>summary of subject evaluation groups</w:t>
      </w:r>
      <w:r w:rsidR="00843728">
        <w:t>;</w:t>
      </w:r>
      <w:r w:rsidRPr="008E5D34">
        <w:t xml:space="preserve"> ITT Population</w:t>
      </w:r>
    </w:p>
    <w:p w14:paraId="6A472B8F" w14:textId="77777777" w:rsidR="008E5D34" w:rsidRPr="008E5D34" w:rsidRDefault="008E5D34" w:rsidP="008E5D34">
      <w:r w:rsidRPr="008E5D34">
        <w:rPr>
          <w:noProof/>
          <w:lang w:eastAsia="en-AU"/>
        </w:rPr>
        <w:drawing>
          <wp:inline distT="0" distB="0" distL="0" distR="0" wp14:anchorId="139A8587" wp14:editId="2A0138B4">
            <wp:extent cx="5400040" cy="2162901"/>
            <wp:effectExtent l="0" t="0" r="0" b="8890"/>
            <wp:docPr id="42" name="Picture 42" descr="Table 22: Inotuzumab Ozogamicin Protocol B1931022 Summary of Subject Evaluation Group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2162901"/>
                    </a:xfrm>
                    <a:prstGeom prst="rect">
                      <a:avLst/>
                    </a:prstGeom>
                  </pic:spPr>
                </pic:pic>
              </a:graphicData>
            </a:graphic>
          </wp:inline>
        </w:drawing>
      </w:r>
    </w:p>
    <w:p w14:paraId="475EEA62" w14:textId="77777777" w:rsidR="001F5892" w:rsidRDefault="001F5892" w:rsidP="001F5892">
      <w:r w:rsidRPr="001F5892">
        <w:t>This shorter duration of treatment in the control arm reflects the fact that more patients were</w:t>
      </w:r>
      <w:r>
        <w:t xml:space="preserve"> </w:t>
      </w:r>
      <w:r w:rsidRPr="001F5892">
        <w:t>discontinuing early due to the lack of a clinical benefit compared to the inotuzumab ozogamicin</w:t>
      </w:r>
      <w:r>
        <w:t xml:space="preserve"> </w:t>
      </w:r>
      <w:r w:rsidRPr="001F5892">
        <w:t>arm, including achieving CR/</w:t>
      </w:r>
      <w:proofErr w:type="spellStart"/>
      <w:r w:rsidRPr="001F5892">
        <w:t>CRi</w:t>
      </w:r>
      <w:proofErr w:type="spellEnd"/>
      <w:r w:rsidRPr="001F5892">
        <w:t>. The CR/</w:t>
      </w:r>
      <w:proofErr w:type="spellStart"/>
      <w:r w:rsidRPr="001F5892">
        <w:t>CRi</w:t>
      </w:r>
      <w:proofErr w:type="spellEnd"/>
      <w:r w:rsidRPr="001F5892">
        <w:t xml:space="preserve"> rate (per Investigator</w:t>
      </w:r>
      <w:r w:rsidR="00795F3A">
        <w:t xml:space="preserve">’s assessment, as of the </w:t>
      </w:r>
      <w:r w:rsidRPr="001F5892">
        <w:t>8</w:t>
      </w:r>
      <w:r>
        <w:t xml:space="preserve"> </w:t>
      </w:r>
      <w:r w:rsidRPr="001F5892">
        <w:t xml:space="preserve">March 2016 data </w:t>
      </w:r>
      <w:r w:rsidR="00E86989">
        <w:t>cut-off</w:t>
      </w:r>
      <w:r w:rsidR="00795F3A">
        <w:t xml:space="preserve"> date) was 73.2% (95% CI: 65.7 to </w:t>
      </w:r>
      <w:r w:rsidRPr="001F5892">
        <w:t>79.8%) in the</w:t>
      </w:r>
      <w:r>
        <w:t xml:space="preserve"> inotuzumab ozogamicin </w:t>
      </w:r>
      <w:r w:rsidR="00795F3A">
        <w:t xml:space="preserve">arm and 30.9% (95% CI: 23.9 to </w:t>
      </w:r>
      <w:r w:rsidRPr="001F5892">
        <w:t>38.6%) in the control arm (rat</w:t>
      </w:r>
      <w:r>
        <w:t>e difference</w:t>
      </w:r>
      <w:r w:rsidR="0014606A">
        <w:t xml:space="preserve"> = </w:t>
      </w:r>
      <w:r>
        <w:t xml:space="preserve">42.3% </w:t>
      </w:r>
      <w:r w:rsidR="00503681">
        <w:t>(</w:t>
      </w:r>
      <w:r>
        <w:t xml:space="preserve">97.5% CI: </w:t>
      </w:r>
      <w:r w:rsidR="00795F3A">
        <w:t xml:space="preserve">31.1 to </w:t>
      </w:r>
      <w:r w:rsidRPr="001F5892">
        <w:t>53.5%</w:t>
      </w:r>
      <w:r w:rsidR="00503681">
        <w:t>)</w:t>
      </w:r>
      <w:r w:rsidR="00795F3A">
        <w:t>, Chi-square test 1-sided p</w:t>
      </w:r>
      <w:r w:rsidR="00795F3A">
        <w:noBreakHyphen/>
      </w:r>
      <w:r w:rsidRPr="001F5892">
        <w:t>value</w:t>
      </w:r>
      <w:r w:rsidR="00795F3A">
        <w:t> </w:t>
      </w:r>
      <w:r w:rsidRPr="001F5892">
        <w:t>&lt;</w:t>
      </w:r>
      <w:r w:rsidR="00795F3A">
        <w:t> </w:t>
      </w:r>
      <w:r w:rsidRPr="001F5892">
        <w:t>0.0001; M</w:t>
      </w:r>
      <w:r>
        <w:t xml:space="preserve">odule 5, Section 5.3.5.1, Study </w:t>
      </w:r>
      <w:r w:rsidRPr="001F5892">
        <w:t xml:space="preserve">B1931022 </w:t>
      </w:r>
      <w:proofErr w:type="spellStart"/>
      <w:r w:rsidRPr="001F5892">
        <w:t>sCSR</w:t>
      </w:r>
      <w:proofErr w:type="spellEnd"/>
      <w:r w:rsidRPr="001F5892">
        <w:t xml:space="preserve"> </w:t>
      </w:r>
      <w:r w:rsidR="00503681">
        <w:t>(</w:t>
      </w:r>
      <w:r w:rsidRPr="001F5892">
        <w:t xml:space="preserve">8 March 2016 </w:t>
      </w:r>
      <w:r w:rsidR="00E86989">
        <w:t>cut-off</w:t>
      </w:r>
      <w:r w:rsidR="00503681">
        <w:t>)</w:t>
      </w:r>
      <w:r w:rsidRPr="001F5892">
        <w:t xml:space="preserve">, Table </w:t>
      </w:r>
      <w:r w:rsidR="00EB71DE">
        <w:t>23</w:t>
      </w:r>
      <w:r w:rsidRPr="001F5892">
        <w:t>).</w:t>
      </w:r>
    </w:p>
    <w:p w14:paraId="1F529ED9" w14:textId="77DDEE14" w:rsidR="00CC30C8" w:rsidRDefault="00CC30C8" w:rsidP="00997EFC">
      <w:pPr>
        <w:pStyle w:val="TableTitle"/>
      </w:pPr>
      <w:r>
        <w:lastRenderedPageBreak/>
        <w:t xml:space="preserve">Table </w:t>
      </w:r>
      <w:r w:rsidR="00EB71DE">
        <w:t>23:</w:t>
      </w:r>
      <w:r w:rsidR="00997EFC" w:rsidRPr="00997EFC">
        <w:t xml:space="preserve"> </w:t>
      </w:r>
      <w:r w:rsidR="00997EFC">
        <w:t xml:space="preserve">Inotuzumab </w:t>
      </w:r>
      <w:r w:rsidR="00843728">
        <w:t xml:space="preserve">ozogamicin </w:t>
      </w:r>
      <w:r w:rsidR="00200CE5">
        <w:t xml:space="preserve">Study </w:t>
      </w:r>
      <w:r w:rsidR="00997EFC">
        <w:t>B1931022</w:t>
      </w:r>
      <w:r w:rsidR="00843728">
        <w:t>;</w:t>
      </w:r>
      <w:r w:rsidR="00997EFC">
        <w:t xml:space="preserve"> </w:t>
      </w:r>
      <w:r w:rsidR="00843728">
        <w:t>summary of best overall response by stratification factors per</w:t>
      </w:r>
      <w:r w:rsidR="00843728" w:rsidRPr="00A232E5">
        <w:t xml:space="preserve"> </w:t>
      </w:r>
      <w:r w:rsidR="00A232E5">
        <w:t>Interactive Voice Response System</w:t>
      </w:r>
      <w:r w:rsidR="00997EFC">
        <w:t xml:space="preserve"> </w:t>
      </w:r>
      <w:r w:rsidR="00A232E5">
        <w:t>(</w:t>
      </w:r>
      <w:r w:rsidR="00997EFC">
        <w:t>IVRS</w:t>
      </w:r>
      <w:r w:rsidR="00A232E5">
        <w:t>)</w:t>
      </w:r>
      <w:r w:rsidR="00997EFC">
        <w:t>, Investigator Assessment</w:t>
      </w:r>
      <w:r w:rsidR="00843728">
        <w:t>;</w:t>
      </w:r>
      <w:r w:rsidR="00997EFC">
        <w:t xml:space="preserve"> ITT Population</w:t>
      </w:r>
    </w:p>
    <w:p w14:paraId="3FA4BE3A" w14:textId="77777777" w:rsidR="00997EFC" w:rsidRDefault="00997EFC" w:rsidP="00997EFC">
      <w:r w:rsidRPr="00997EFC">
        <w:rPr>
          <w:noProof/>
          <w:lang w:eastAsia="en-AU"/>
        </w:rPr>
        <w:drawing>
          <wp:inline distT="0" distB="0" distL="0" distR="0" wp14:anchorId="0BE90EC3" wp14:editId="06E7F941">
            <wp:extent cx="5400040" cy="6158105"/>
            <wp:effectExtent l="0" t="0" r="0" b="0"/>
            <wp:docPr id="23" name="Picture 23" descr="Table 23: Inotuzumab Ozogamicin Protocol B1931022 Summary of Best Overall Response by Stratification Factors per IVRS, Investigator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6158105"/>
                    </a:xfrm>
                    <a:prstGeom prst="rect">
                      <a:avLst/>
                    </a:prstGeom>
                  </pic:spPr>
                </pic:pic>
              </a:graphicData>
            </a:graphic>
          </wp:inline>
        </w:drawing>
      </w:r>
    </w:p>
    <w:p w14:paraId="2E229748" w14:textId="0A0CD74D" w:rsidR="00997EFC" w:rsidRDefault="00997EFC" w:rsidP="00200CE5">
      <w:pPr>
        <w:pStyle w:val="TableTitle"/>
      </w:pPr>
      <w:r>
        <w:lastRenderedPageBreak/>
        <w:t xml:space="preserve">Table </w:t>
      </w:r>
      <w:r w:rsidR="00EB71DE">
        <w:t>23</w:t>
      </w:r>
      <w:r>
        <w:t xml:space="preserve"> </w:t>
      </w:r>
      <w:r w:rsidR="00EB71DE">
        <w:t>(</w:t>
      </w:r>
      <w:r>
        <w:t>continued</w:t>
      </w:r>
      <w:r w:rsidR="00EB71DE">
        <w:t>):</w:t>
      </w:r>
      <w:r w:rsidRPr="00997EFC">
        <w:t xml:space="preserve"> </w:t>
      </w:r>
      <w:r>
        <w:t xml:space="preserve">Inotuzumab </w:t>
      </w:r>
      <w:r w:rsidR="00843728">
        <w:t xml:space="preserve">ozogamicin </w:t>
      </w:r>
      <w:r w:rsidR="00200CE5">
        <w:t>Study </w:t>
      </w:r>
      <w:r>
        <w:t>B1931022</w:t>
      </w:r>
      <w:r w:rsidR="00843728">
        <w:t>;</w:t>
      </w:r>
      <w:r>
        <w:t xml:space="preserve"> </w:t>
      </w:r>
      <w:r w:rsidR="00843728">
        <w:t xml:space="preserve">summary of best overall response by stratification factors </w:t>
      </w:r>
      <w:r>
        <w:t>per IVRS, Investigator Assessment</w:t>
      </w:r>
      <w:r w:rsidR="00843728">
        <w:t>;</w:t>
      </w:r>
      <w:r>
        <w:t xml:space="preserve"> ITT Population</w:t>
      </w:r>
    </w:p>
    <w:p w14:paraId="00126154" w14:textId="77777777" w:rsidR="00997EFC" w:rsidRPr="00997EFC" w:rsidRDefault="00997EFC" w:rsidP="00EA311F">
      <w:pPr>
        <w:rPr>
          <w:noProof/>
          <w:lang w:eastAsia="en-AU"/>
        </w:rPr>
      </w:pPr>
      <w:r w:rsidRPr="00997EFC">
        <w:rPr>
          <w:noProof/>
          <w:lang w:eastAsia="en-AU"/>
        </w:rPr>
        <w:drawing>
          <wp:inline distT="0" distB="0" distL="0" distR="0" wp14:anchorId="0C51DEC0" wp14:editId="3BDB1EB4">
            <wp:extent cx="5400040" cy="6027081"/>
            <wp:effectExtent l="0" t="0" r="0" b="0"/>
            <wp:docPr id="27" name="Picture 27" descr="Table 23 (continued): Inotuzumab Ozogamicin Protocol B1931022 Summary of Best Overall Response by Stratification Factors per IVRS, Investigator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6027081"/>
                    </a:xfrm>
                    <a:prstGeom prst="rect">
                      <a:avLst/>
                    </a:prstGeom>
                  </pic:spPr>
                </pic:pic>
              </a:graphicData>
            </a:graphic>
          </wp:inline>
        </w:drawing>
      </w:r>
    </w:p>
    <w:p w14:paraId="5C2C8185" w14:textId="54A47B9F" w:rsidR="001F5892" w:rsidRDefault="001F5892">
      <w:r w:rsidRPr="001F5892">
        <w:t>In the control arm, 82/143 (57.3%) patients discon</w:t>
      </w:r>
      <w:r>
        <w:t xml:space="preserve">tinued treatment due to disease </w:t>
      </w:r>
      <w:r w:rsidRPr="001F5892">
        <w:t>progression/relapse or resistant disease (Module 5, Section 5</w:t>
      </w:r>
      <w:r>
        <w:t xml:space="preserve">.3.5.1, Study B1931022 </w:t>
      </w:r>
      <w:proofErr w:type="spellStart"/>
      <w:r>
        <w:t>sCSR</w:t>
      </w:r>
      <w:proofErr w:type="spellEnd"/>
      <w:r>
        <w:t xml:space="preserve"> </w:t>
      </w:r>
      <w:r w:rsidR="00795F3A">
        <w:t>(</w:t>
      </w:r>
      <w:r>
        <w:t xml:space="preserve">8 </w:t>
      </w:r>
      <w:r w:rsidRPr="001F5892">
        <w:t xml:space="preserve">March 2016 </w:t>
      </w:r>
      <w:r w:rsidR="00E86989">
        <w:t>cut-off</w:t>
      </w:r>
      <w:r w:rsidR="00503681" w:rsidRPr="00EB71DE">
        <w:t>)</w:t>
      </w:r>
      <w:r w:rsidRPr="00EB71DE">
        <w:t xml:space="preserve">, Table </w:t>
      </w:r>
      <w:r w:rsidR="00EB71DE" w:rsidRPr="00EB71DE">
        <w:t>24</w:t>
      </w:r>
      <w:r w:rsidRPr="00EB71DE">
        <w:t>). In contrast</w:t>
      </w:r>
      <w:r w:rsidRPr="001F5892">
        <w:t>, the most common reason for tr</w:t>
      </w:r>
      <w:r>
        <w:t xml:space="preserve">eatment </w:t>
      </w:r>
      <w:r w:rsidRPr="001F5892">
        <w:t xml:space="preserve">discontinuation in the inotuzumab ozogamicin arm was </w:t>
      </w:r>
      <w:r w:rsidR="00503681">
        <w:t>‘</w:t>
      </w:r>
      <w:r w:rsidRPr="001F5892">
        <w:t>complete response</w:t>
      </w:r>
      <w:r w:rsidR="00503681">
        <w:t>’</w:t>
      </w:r>
      <w:r>
        <w:t xml:space="preserve"> (39.0% versus </w:t>
      </w:r>
      <w:r w:rsidRPr="001F5892">
        <w:t>14.7% in the inotuzumab ozogamicin and control arms, respective</w:t>
      </w:r>
      <w:r>
        <w:t xml:space="preserve">ly) (Module 5, Section 5.3.5.1, </w:t>
      </w:r>
      <w:r w:rsidRPr="001F5892">
        <w:t xml:space="preserve">Study B1931022 </w:t>
      </w:r>
      <w:proofErr w:type="spellStart"/>
      <w:r w:rsidRPr="001F5892">
        <w:t>sCSR</w:t>
      </w:r>
      <w:proofErr w:type="spellEnd"/>
      <w:r w:rsidRPr="001F5892">
        <w:t xml:space="preserve"> </w:t>
      </w:r>
      <w:r w:rsidR="00503681">
        <w:t>(</w:t>
      </w:r>
      <w:r w:rsidRPr="001F5892">
        <w:t xml:space="preserve">8 March 2016 </w:t>
      </w:r>
      <w:r w:rsidR="00E86989">
        <w:t>cut-off</w:t>
      </w:r>
      <w:r w:rsidR="00843728">
        <w:t>);</w:t>
      </w:r>
      <w:r w:rsidRPr="00EB71DE">
        <w:t xml:space="preserve"> Table </w:t>
      </w:r>
      <w:r w:rsidR="00EB71DE" w:rsidRPr="00EB71DE">
        <w:t>24</w:t>
      </w:r>
      <w:r w:rsidRPr="00EB71DE">
        <w:t>).</w:t>
      </w:r>
    </w:p>
    <w:p w14:paraId="3271B963" w14:textId="053EB9A2" w:rsidR="008E5D34" w:rsidRDefault="008E5D34" w:rsidP="00DE3836">
      <w:pPr>
        <w:pStyle w:val="TableTitle"/>
      </w:pPr>
      <w:r w:rsidRPr="00DE3836">
        <w:lastRenderedPageBreak/>
        <w:t xml:space="preserve">Table </w:t>
      </w:r>
      <w:r w:rsidR="00EB71DE">
        <w:t xml:space="preserve">24: </w:t>
      </w:r>
      <w:r w:rsidRPr="00DE3836">
        <w:t xml:space="preserve">Inotuzumab </w:t>
      </w:r>
      <w:r w:rsidR="00843728">
        <w:t>o</w:t>
      </w:r>
      <w:r w:rsidR="00843728" w:rsidRPr="00DE3836">
        <w:t xml:space="preserve">zogamicin </w:t>
      </w:r>
      <w:r w:rsidR="00200CE5">
        <w:t xml:space="preserve">Study </w:t>
      </w:r>
      <w:r w:rsidRPr="00DE3836">
        <w:t>B1931022</w:t>
      </w:r>
      <w:r w:rsidR="00843728">
        <w:t>;</w:t>
      </w:r>
      <w:r w:rsidR="00DE3836">
        <w:t xml:space="preserve"> </w:t>
      </w:r>
      <w:r w:rsidR="00843728" w:rsidRPr="00DE3836">
        <w:t xml:space="preserve">summary of discontinuations from </w:t>
      </w:r>
      <w:r w:rsidRPr="00DE3836">
        <w:t>Treatment Phase</w:t>
      </w:r>
      <w:r w:rsidR="00843728">
        <w:t>;</w:t>
      </w:r>
      <w:r w:rsidRPr="00DE3836">
        <w:t xml:space="preserve"> Safety Population</w:t>
      </w:r>
    </w:p>
    <w:p w14:paraId="4FE1EBEC" w14:textId="77777777" w:rsidR="00DE3836" w:rsidRPr="00DE3836" w:rsidRDefault="00DE3836" w:rsidP="00DE3836">
      <w:r w:rsidRPr="00DE3836">
        <w:rPr>
          <w:noProof/>
          <w:lang w:eastAsia="en-AU"/>
        </w:rPr>
        <w:drawing>
          <wp:inline distT="0" distB="0" distL="0" distR="0" wp14:anchorId="6035A6A5" wp14:editId="0546FE2F">
            <wp:extent cx="5400040" cy="2179055"/>
            <wp:effectExtent l="0" t="0" r="0" b="0"/>
            <wp:docPr id="45" name="Picture 45" descr="Table 24: Inotuzumab Ozogamicin Protocol B1931022 Summary of Discontinuations from Treatment Phase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2179055"/>
                    </a:xfrm>
                    <a:prstGeom prst="rect">
                      <a:avLst/>
                    </a:prstGeom>
                  </pic:spPr>
                </pic:pic>
              </a:graphicData>
            </a:graphic>
          </wp:inline>
        </w:drawing>
      </w:r>
    </w:p>
    <w:p w14:paraId="29249839" w14:textId="5264285C" w:rsidR="001C7254" w:rsidRDefault="001F5892" w:rsidP="001F5892">
      <w:r w:rsidRPr="001F5892">
        <w:t>Patients in the control arm received more active post-study s</w:t>
      </w:r>
      <w:r w:rsidR="00795F3A">
        <w:t>ystemic therapies (84 </w:t>
      </w:r>
      <w:r w:rsidR="00503681">
        <w:t>(</w:t>
      </w:r>
      <w:r>
        <w:t>51.9%</w:t>
      </w:r>
      <w:r w:rsidR="00503681">
        <w:t>)</w:t>
      </w:r>
      <w:r>
        <w:t xml:space="preserve">), </w:t>
      </w:r>
      <w:r w:rsidRPr="001F5892">
        <w:t>including novel therapies (</w:t>
      </w:r>
      <w:r w:rsidR="001D0208">
        <w:t>for example</w:t>
      </w:r>
      <w:r w:rsidRPr="001F5892">
        <w:t>, blinatumomab, inotuzumab ozo</w:t>
      </w:r>
      <w:r>
        <w:t xml:space="preserve">gamicin, and TKIs than patients </w:t>
      </w:r>
      <w:r w:rsidRPr="001F5892">
        <w:t xml:space="preserve">in the inotuzumab ozogamicin arm (49 </w:t>
      </w:r>
      <w:r w:rsidR="00503681">
        <w:t>(</w:t>
      </w:r>
      <w:r w:rsidRPr="001F5892">
        <w:t>29.9%</w:t>
      </w:r>
      <w:r w:rsidR="00503681">
        <w:t>)</w:t>
      </w:r>
      <w:r w:rsidRPr="001F5892">
        <w:t>) due to the sig</w:t>
      </w:r>
      <w:r>
        <w:t>nificantly lower CR/</w:t>
      </w:r>
      <w:proofErr w:type="spellStart"/>
      <w:r>
        <w:t>CRi</w:t>
      </w:r>
      <w:proofErr w:type="spellEnd"/>
      <w:r>
        <w:t xml:space="preserve"> rate in </w:t>
      </w:r>
      <w:r w:rsidRPr="001F5892">
        <w:t>the control arm (Module 5, Section 5.3.5.1, Study</w:t>
      </w:r>
      <w:r w:rsidR="00200CE5">
        <w:t> </w:t>
      </w:r>
      <w:r w:rsidRPr="00EB71DE">
        <w:t xml:space="preserve">B1931022 </w:t>
      </w:r>
      <w:proofErr w:type="spellStart"/>
      <w:r w:rsidRPr="00EB71DE">
        <w:t>sCSR</w:t>
      </w:r>
      <w:proofErr w:type="spellEnd"/>
      <w:r w:rsidRPr="00EB71DE">
        <w:t xml:space="preserve">, Table </w:t>
      </w:r>
      <w:r w:rsidR="00EB71DE" w:rsidRPr="00EB71DE">
        <w:t>25</w:t>
      </w:r>
      <w:r w:rsidRPr="00EB71DE">
        <w:t>). Including</w:t>
      </w:r>
      <w:r>
        <w:t xml:space="preserve"> </w:t>
      </w:r>
      <w:r w:rsidRPr="001F5892">
        <w:t>all follow-up systemic ALL therapies (induction, conditioning, maintenan</w:t>
      </w:r>
      <w:r>
        <w:t xml:space="preserve">ce, intensification or </w:t>
      </w:r>
      <w:r w:rsidRPr="001F5892">
        <w:t>consolidation), blinatumomab was administered to 9 (5</w:t>
      </w:r>
      <w:r>
        <w:t xml:space="preserve">.5%) patients in the inotuzumab </w:t>
      </w:r>
      <w:r w:rsidRPr="001F5892">
        <w:t>ozogamicin arm and 20 (12.3%) patients in the control arm. TKI</w:t>
      </w:r>
      <w:r>
        <w:t xml:space="preserve">s were administered to 4 (2.4%) </w:t>
      </w:r>
      <w:r w:rsidRPr="001F5892">
        <w:t>patients in the inotuzumab ozogamicin arm and 16 (9.9%) patients in the control arm</w:t>
      </w:r>
      <w:r w:rsidR="00795F3A">
        <w:t>.</w:t>
      </w:r>
    </w:p>
    <w:p w14:paraId="7BF0943A" w14:textId="0D6FED22" w:rsidR="00DE3836" w:rsidRDefault="00DE3836" w:rsidP="00DE3836">
      <w:pPr>
        <w:pStyle w:val="TableTitle"/>
      </w:pPr>
      <w:r w:rsidRPr="00EB71DE">
        <w:lastRenderedPageBreak/>
        <w:t xml:space="preserve">Table </w:t>
      </w:r>
      <w:r w:rsidR="00EB71DE" w:rsidRPr="00EB71DE">
        <w:t>25:</w:t>
      </w:r>
      <w:r w:rsidRPr="00EB71DE">
        <w:t xml:space="preserve"> Inotuzumab</w:t>
      </w:r>
      <w:r w:rsidRPr="00DE3836">
        <w:t xml:space="preserve"> </w:t>
      </w:r>
      <w:r w:rsidR="00843728">
        <w:t>o</w:t>
      </w:r>
      <w:r w:rsidR="00843728" w:rsidRPr="00DE3836">
        <w:t xml:space="preserve">zogamicin </w:t>
      </w:r>
      <w:r w:rsidR="00200CE5">
        <w:t xml:space="preserve">Study </w:t>
      </w:r>
      <w:r w:rsidRPr="00DE3836">
        <w:t>B1931022</w:t>
      </w:r>
      <w:r w:rsidR="00843728">
        <w:t>;</w:t>
      </w:r>
      <w:r>
        <w:t xml:space="preserve"> </w:t>
      </w:r>
      <w:r w:rsidR="00843728">
        <w:t>F</w:t>
      </w:r>
      <w:r w:rsidR="00843728" w:rsidRPr="00DE3836">
        <w:t>ollow</w:t>
      </w:r>
      <w:r w:rsidRPr="00DE3836">
        <w:t xml:space="preserve">-up </w:t>
      </w:r>
      <w:r w:rsidR="00200CE5">
        <w:t>s</w:t>
      </w:r>
      <w:r w:rsidRPr="00DE3836">
        <w:t xml:space="preserve">ystemic </w:t>
      </w:r>
      <w:r w:rsidR="00200CE5">
        <w:t>t</w:t>
      </w:r>
      <w:r w:rsidRPr="00DE3836">
        <w:t>herapy (</w:t>
      </w:r>
      <w:r w:rsidR="00200CE5">
        <w:t>i</w:t>
      </w:r>
      <w:r w:rsidRPr="00DE3836">
        <w:t>nduction therapy)</w:t>
      </w:r>
      <w:r w:rsidR="00843728">
        <w:t>;</w:t>
      </w:r>
      <w:r w:rsidRPr="00DE3836">
        <w:t xml:space="preserve"> ITT Population</w:t>
      </w:r>
    </w:p>
    <w:p w14:paraId="577366E3" w14:textId="77777777" w:rsidR="00DE3836" w:rsidRPr="00DE3836" w:rsidRDefault="00DE3836" w:rsidP="00EB71DE">
      <w:r w:rsidRPr="00EB71DE">
        <w:rPr>
          <w:noProof/>
          <w:lang w:eastAsia="en-AU"/>
        </w:rPr>
        <w:drawing>
          <wp:inline distT="0" distB="0" distL="0" distR="0" wp14:anchorId="0F91F651" wp14:editId="6DA33F77">
            <wp:extent cx="5400040" cy="6522741"/>
            <wp:effectExtent l="0" t="0" r="0" b="0"/>
            <wp:docPr id="51" name="Picture 51" descr="Table 25: Inotuzumab Ozogamicin Protocol B1931022 Follow-up Systemic Therapy (Induction therapy)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6522741"/>
                    </a:xfrm>
                    <a:prstGeom prst="rect">
                      <a:avLst/>
                    </a:prstGeom>
                  </pic:spPr>
                </pic:pic>
              </a:graphicData>
            </a:graphic>
          </wp:inline>
        </w:drawing>
      </w:r>
    </w:p>
    <w:p w14:paraId="013EE903" w14:textId="77777777" w:rsidR="001F5892" w:rsidRPr="001F5892" w:rsidRDefault="001F5892" w:rsidP="001F5892">
      <w:pPr>
        <w:pStyle w:val="Numberbullet0"/>
        <w:rPr>
          <w:b/>
          <w:i/>
        </w:rPr>
      </w:pPr>
      <w:r w:rsidRPr="001F5892">
        <w:rPr>
          <w:b/>
          <w:i/>
        </w:rPr>
        <w:t>Is the committee satisfied that the proposed PI adequately captures the safety profile of inotuzumab ozogamicin?</w:t>
      </w:r>
    </w:p>
    <w:p w14:paraId="657DC3B2" w14:textId="77777777" w:rsidR="001F5892" w:rsidRPr="001F5892" w:rsidRDefault="00795F3A" w:rsidP="001F5892">
      <w:r>
        <w:t>The sponsor</w:t>
      </w:r>
      <w:r w:rsidR="001F5892" w:rsidRPr="001F5892">
        <w:t xml:space="preserve"> considers that the PI adequately captures the safety profile of inotuzumab ozogamicin.</w:t>
      </w:r>
    </w:p>
    <w:p w14:paraId="24C978EE" w14:textId="77777777" w:rsidR="001F5892" w:rsidRPr="001F5892" w:rsidRDefault="001F5892" w:rsidP="001F5892">
      <w:r w:rsidRPr="001F5892">
        <w:t>The most important safety issue associated with inotuzumab oz</w:t>
      </w:r>
      <w:r>
        <w:t xml:space="preserve">ogamicin is venoocclusive liver </w:t>
      </w:r>
      <w:r w:rsidRPr="001F5892">
        <w:t>disease/sinusoidal obstruction syndrome (VOD/SOS).</w:t>
      </w:r>
    </w:p>
    <w:p w14:paraId="60310BAA" w14:textId="77777777" w:rsidR="001F5892" w:rsidRPr="001F5892" w:rsidRDefault="001F5892" w:rsidP="001F5892">
      <w:r w:rsidRPr="001F5892">
        <w:t xml:space="preserve">In accordance with </w:t>
      </w:r>
      <w:r w:rsidR="00795F3A" w:rsidRPr="001F5892">
        <w:t>the clinical evaluator</w:t>
      </w:r>
      <w:r w:rsidR="00795F3A">
        <w:t>’</w:t>
      </w:r>
      <w:r w:rsidR="00795F3A" w:rsidRPr="001F5892">
        <w:t xml:space="preserve">s </w:t>
      </w:r>
      <w:r w:rsidRPr="001F5892">
        <w:t>request, in addition to the proposed informatio</w:t>
      </w:r>
      <w:r>
        <w:t xml:space="preserve">n in </w:t>
      </w:r>
      <w:r w:rsidRPr="001F5892">
        <w:t xml:space="preserve">the </w:t>
      </w:r>
      <w:r w:rsidR="00795F3A" w:rsidRPr="001F5892">
        <w:t>precautions</w:t>
      </w:r>
      <w:r w:rsidRPr="001F5892">
        <w:t xml:space="preserve"> section highlighting patients considered to</w:t>
      </w:r>
      <w:r>
        <w:t xml:space="preserve"> be at highest risk of VOD/SOS, </w:t>
      </w:r>
      <w:r w:rsidRPr="001F5892">
        <w:t>a boxed warning was added to the PI. The boxed warning highli</w:t>
      </w:r>
      <w:r>
        <w:t xml:space="preserve">ghts the risk of hepatotoxicity </w:t>
      </w:r>
      <w:r w:rsidR="00795F3A">
        <w:t xml:space="preserve">including fatal and life </w:t>
      </w:r>
      <w:r w:rsidRPr="001F5892">
        <w:t xml:space="preserve">threatening VOD and the higher rate of </w:t>
      </w:r>
      <w:r w:rsidRPr="001F5892">
        <w:lastRenderedPageBreak/>
        <w:t>pos</w:t>
      </w:r>
      <w:r w:rsidR="00795F3A">
        <w:t>t</w:t>
      </w:r>
      <w:r w:rsidR="00795F3A">
        <w:noBreakHyphen/>
      </w:r>
      <w:r>
        <w:t xml:space="preserve">HSCT non-relapse mortality </w:t>
      </w:r>
      <w:r w:rsidRPr="001F5892">
        <w:t xml:space="preserve">(primarily due to higher rates of mortality due to VOD/SOS </w:t>
      </w:r>
      <w:r>
        <w:t xml:space="preserve">and infections) observed in the </w:t>
      </w:r>
      <w:r w:rsidRPr="001F5892">
        <w:t>inotuzumab ozogamicin arm of the pivotal study.</w:t>
      </w:r>
    </w:p>
    <w:p w14:paraId="5499645B" w14:textId="77777777" w:rsidR="001F5892" w:rsidRPr="001F5892" w:rsidRDefault="001F5892" w:rsidP="001F5892">
      <w:r w:rsidRPr="001F5892">
        <w:t xml:space="preserve">In addition to the boxed warning, the </w:t>
      </w:r>
      <w:r w:rsidR="00F769DD">
        <w:t>sponsor</w:t>
      </w:r>
      <w:r w:rsidRPr="001F5892">
        <w:t xml:space="preserve"> agreed to include the following contraindications:</w:t>
      </w:r>
    </w:p>
    <w:p w14:paraId="1BABCA9B" w14:textId="77777777" w:rsidR="001F5892" w:rsidRPr="001F5892" w:rsidRDefault="001F5892" w:rsidP="001F5892">
      <w:pPr>
        <w:pStyle w:val="ListBullet"/>
      </w:pPr>
      <w:r w:rsidRPr="001F5892">
        <w:t>Patients who have experienced prior confirmed severe</w:t>
      </w:r>
      <w:r>
        <w:t xml:space="preserve"> or ongoing venoocclusive liver </w:t>
      </w:r>
      <w:r w:rsidRPr="001F5892">
        <w:t>disease/sinusoidal obstruction syndrome (VOD/SOS)</w:t>
      </w:r>
    </w:p>
    <w:p w14:paraId="28886417" w14:textId="77777777" w:rsidR="001F5892" w:rsidRPr="001F5892" w:rsidRDefault="001F5892" w:rsidP="001F5892">
      <w:pPr>
        <w:pStyle w:val="ListBullet"/>
      </w:pPr>
      <w:r w:rsidRPr="001F5892">
        <w:t>Patients with serious ongoing hepatic disease (</w:t>
      </w:r>
      <w:r w:rsidR="001D0208">
        <w:t>for example</w:t>
      </w:r>
      <w:r w:rsidRPr="001F5892">
        <w:t xml:space="preserve">, </w:t>
      </w:r>
      <w:r>
        <w:t xml:space="preserve">cirrhosis, nodular regenerative </w:t>
      </w:r>
      <w:r w:rsidRPr="001F5892">
        <w:t>hyperplasia, active hepatitis).</w:t>
      </w:r>
    </w:p>
    <w:p w14:paraId="1374A0A6" w14:textId="77777777" w:rsidR="001C7254" w:rsidRPr="001F5892" w:rsidRDefault="001F5892" w:rsidP="001F5892">
      <w:r w:rsidRPr="001F5892">
        <w:t>These contraindications align the PI with the approved</w:t>
      </w:r>
      <w:r>
        <w:t xml:space="preserve"> European Union (EU) Summary of </w:t>
      </w:r>
      <w:r w:rsidRPr="001F5892">
        <w:t>Product Characteristics (</w:t>
      </w:r>
      <w:proofErr w:type="spellStart"/>
      <w:r w:rsidRPr="001F5892">
        <w:t>SmPC</w:t>
      </w:r>
      <w:proofErr w:type="spellEnd"/>
      <w:r w:rsidRPr="001F5892">
        <w:t>).</w:t>
      </w:r>
    </w:p>
    <w:p w14:paraId="7C43AF0E" w14:textId="77777777" w:rsidR="001F5892" w:rsidRPr="001F5892" w:rsidRDefault="001F5892" w:rsidP="001F5892">
      <w:r w:rsidRPr="001F5892">
        <w:t xml:space="preserve">Overall, the </w:t>
      </w:r>
      <w:r w:rsidR="00F769DD">
        <w:t>sponsor</w:t>
      </w:r>
      <w:r w:rsidRPr="001F5892">
        <w:t xml:space="preserve"> considers that </w:t>
      </w:r>
      <w:r w:rsidR="00795F3A" w:rsidRPr="001F5892">
        <w:t>the boxed warning, contraindications, and</w:t>
      </w:r>
      <w:r w:rsidR="00795F3A">
        <w:t xml:space="preserve"> </w:t>
      </w:r>
      <w:r w:rsidR="00795F3A" w:rsidRPr="001F5892">
        <w:t xml:space="preserve">precautions sections </w:t>
      </w:r>
      <w:r w:rsidRPr="001F5892">
        <w:t>of the PI highlight the most importan</w:t>
      </w:r>
      <w:r>
        <w:t xml:space="preserve">t safety issues associated with </w:t>
      </w:r>
      <w:r w:rsidRPr="001F5892">
        <w:t>inotuzumab ozogamicin.</w:t>
      </w:r>
    </w:p>
    <w:p w14:paraId="4B9FB97A" w14:textId="77777777" w:rsidR="001F5892" w:rsidRPr="001F5892" w:rsidRDefault="001F5892" w:rsidP="001F5892">
      <w:r w:rsidRPr="001F5892">
        <w:t>Comments addressing the changes to the PI requested by the Del</w:t>
      </w:r>
      <w:r>
        <w:t xml:space="preserve">egate </w:t>
      </w:r>
      <w:r w:rsidR="00795F3A">
        <w:t>we</w:t>
      </w:r>
      <w:r>
        <w:t xml:space="preserve">re provided </w:t>
      </w:r>
      <w:r w:rsidR="00795F3A">
        <w:t>in the sponsor’s response.</w:t>
      </w:r>
    </w:p>
    <w:p w14:paraId="499B4DDE" w14:textId="1726849D" w:rsidR="001F5892" w:rsidRPr="001F5892" w:rsidRDefault="001F5892" w:rsidP="001F5892">
      <w:pPr>
        <w:pStyle w:val="Heading5"/>
        <w:rPr>
          <w:rFonts w:eastAsia="TimesNewRomanPSMT"/>
        </w:rPr>
      </w:pPr>
      <w:r w:rsidRPr="001F5892">
        <w:rPr>
          <w:rFonts w:eastAsia="TimesNewRomanPSMT"/>
        </w:rPr>
        <w:t xml:space="preserve">Foreign </w:t>
      </w:r>
      <w:r w:rsidR="00200CE5">
        <w:rPr>
          <w:rFonts w:eastAsia="TimesNewRomanPSMT"/>
        </w:rPr>
        <w:t>r</w:t>
      </w:r>
      <w:r w:rsidRPr="001F5892">
        <w:rPr>
          <w:rFonts w:eastAsia="TimesNewRomanPSMT"/>
        </w:rPr>
        <w:t xml:space="preserve">egulatory </w:t>
      </w:r>
      <w:r w:rsidR="00200CE5">
        <w:rPr>
          <w:rFonts w:eastAsia="TimesNewRomanPSMT"/>
        </w:rPr>
        <w:t>s</w:t>
      </w:r>
      <w:r w:rsidRPr="001F5892">
        <w:rPr>
          <w:rFonts w:eastAsia="TimesNewRomanPSMT"/>
        </w:rPr>
        <w:t>tatus</w:t>
      </w:r>
    </w:p>
    <w:p w14:paraId="6607219A" w14:textId="6D57BE3F" w:rsidR="001F5892" w:rsidRPr="001F5892" w:rsidRDefault="00843728" w:rsidP="001F5892">
      <w:r>
        <w:t>T</w:t>
      </w:r>
      <w:r w:rsidR="001F5892" w:rsidRPr="001F5892">
        <w:t xml:space="preserve">he Delegate also requested the </w:t>
      </w:r>
      <w:r w:rsidR="00F769DD">
        <w:t>sponsor</w:t>
      </w:r>
      <w:r w:rsidR="001F5892" w:rsidRPr="001F5892">
        <w:t xml:space="preserve"> provide an update of the</w:t>
      </w:r>
      <w:r w:rsidR="001F5892">
        <w:t xml:space="preserve"> </w:t>
      </w:r>
      <w:r w:rsidR="001F5892" w:rsidRPr="001F5892">
        <w:t xml:space="preserve">overseas regulatory status for </w:t>
      </w:r>
      <w:r w:rsidR="006779D9">
        <w:t>Besponsa</w:t>
      </w:r>
      <w:r w:rsidR="001F5892" w:rsidRPr="001F5892">
        <w:t xml:space="preserve">, including any </w:t>
      </w:r>
      <w:r w:rsidR="001F5892">
        <w:t xml:space="preserve">further approvals, withdrawals, </w:t>
      </w:r>
      <w:r w:rsidR="00795F3A">
        <w:t xml:space="preserve">rejections or delays, which </w:t>
      </w:r>
      <w:r w:rsidR="00DF720C">
        <w:t>were</w:t>
      </w:r>
      <w:r w:rsidR="00DF720C" w:rsidRPr="001F5892">
        <w:t xml:space="preserve"> </w:t>
      </w:r>
      <w:r w:rsidR="001F5892" w:rsidRPr="001F5892">
        <w:t xml:space="preserve">provided in </w:t>
      </w:r>
      <w:r w:rsidR="00795F3A">
        <w:t>the sponsor’s response</w:t>
      </w:r>
      <w:r w:rsidR="001F5892" w:rsidRPr="001F5892">
        <w:t>.</w:t>
      </w:r>
    </w:p>
    <w:p w14:paraId="3AA0F6A0" w14:textId="77777777" w:rsidR="001F5892" w:rsidRPr="001F5892" w:rsidRDefault="001F5892" w:rsidP="001F5892">
      <w:pPr>
        <w:pStyle w:val="Heading5"/>
        <w:rPr>
          <w:rFonts w:eastAsia="TimesNewRomanPSMT"/>
        </w:rPr>
      </w:pPr>
      <w:r w:rsidRPr="001F5892">
        <w:t>Conclusion</w:t>
      </w:r>
    </w:p>
    <w:p w14:paraId="4C221E42" w14:textId="77777777" w:rsidR="001F5892" w:rsidRPr="001F5892" w:rsidRDefault="001F5892" w:rsidP="001F5892">
      <w:r w:rsidRPr="001F5892">
        <w:t xml:space="preserve">Relapsed or refractory </w:t>
      </w:r>
      <w:r w:rsidR="006779D9">
        <w:t>B cell</w:t>
      </w:r>
      <w:r w:rsidRPr="001F5892">
        <w:t xml:space="preserve"> precursor ALL is a serious life </w:t>
      </w:r>
      <w:r>
        <w:t xml:space="preserve">threatening condition for which </w:t>
      </w:r>
      <w:r w:rsidRPr="001F5892">
        <w:t>limited effective therapeutic options are available with the only</w:t>
      </w:r>
      <w:r>
        <w:t xml:space="preserve"> potentially curative treatment </w:t>
      </w:r>
      <w:r w:rsidRPr="001F5892">
        <w:t>option being HSCT. As such, treatment of adult patients with</w:t>
      </w:r>
      <w:r>
        <w:t xml:space="preserve"> this condition remains a major </w:t>
      </w:r>
      <w:r w:rsidRPr="001F5892">
        <w:t>clinical challenge for Australian physicians.</w:t>
      </w:r>
    </w:p>
    <w:p w14:paraId="53EFA46A" w14:textId="77777777" w:rsidR="001C7254" w:rsidRPr="001F5892" w:rsidRDefault="00795F3A" w:rsidP="001F5892">
      <w:r>
        <w:t>The sponsor</w:t>
      </w:r>
      <w:r w:rsidR="001F5892" w:rsidRPr="001F5892">
        <w:t xml:space="preserve"> agrees with the Delegate</w:t>
      </w:r>
      <w:r>
        <w:t>’</w:t>
      </w:r>
      <w:r w:rsidR="001F5892" w:rsidRPr="001F5892">
        <w:t>s position that the data</w:t>
      </w:r>
      <w:r w:rsidR="001F5892">
        <w:t xml:space="preserve"> presented support a favourable </w:t>
      </w:r>
      <w:r w:rsidR="001F5892" w:rsidRPr="001F5892">
        <w:t>benefit/risk profile of inotuzumab ozogamicin for the treatment of adult patients</w:t>
      </w:r>
      <w:r w:rsidR="001F5892">
        <w:t xml:space="preserve"> with relapsed or </w:t>
      </w:r>
      <w:r w:rsidR="001F5892" w:rsidRPr="001F5892">
        <w:t xml:space="preserve">refractory CD22‐positive </w:t>
      </w:r>
      <w:r w:rsidR="006779D9">
        <w:t>B cell</w:t>
      </w:r>
      <w:r w:rsidR="001F5892" w:rsidRPr="001F5892">
        <w:t xml:space="preserve"> precursor ALL, and cons</w:t>
      </w:r>
      <w:r w:rsidR="001F5892">
        <w:t xml:space="preserve">iders </w:t>
      </w:r>
      <w:r w:rsidR="006779D9">
        <w:t>Besponsa</w:t>
      </w:r>
      <w:r w:rsidR="001F5892">
        <w:t xml:space="preserve"> to be a valuable </w:t>
      </w:r>
      <w:r w:rsidR="001F5892" w:rsidRPr="001F5892">
        <w:t>addition to the armamentarium available to physicians and patients.</w:t>
      </w:r>
    </w:p>
    <w:p w14:paraId="2B835991" w14:textId="77777777" w:rsidR="008E7846" w:rsidRDefault="008E7846" w:rsidP="008E7846">
      <w:pPr>
        <w:pStyle w:val="Heading4"/>
      </w:pPr>
      <w:r>
        <w:t>Advisory Committee Considerations</w:t>
      </w:r>
      <w:r w:rsidR="00456765">
        <w:rPr>
          <w:rStyle w:val="FootnoteReference"/>
        </w:rPr>
        <w:footnoteReference w:id="51"/>
      </w:r>
    </w:p>
    <w:p w14:paraId="1D7C384F" w14:textId="07FD5A45" w:rsidR="00B0512B" w:rsidRDefault="00456765">
      <w:r w:rsidRPr="00456765">
        <w:rPr>
          <w:bCs/>
        </w:rPr>
        <w:t xml:space="preserve">The Advisory Committee on Medicines (ACM), </w:t>
      </w:r>
      <w:r w:rsidR="00B0512B">
        <w:t xml:space="preserve">taking into account the submitted evidence of efficacy, safety and quality, agreed with the </w:t>
      </w:r>
      <w:r w:rsidR="006644FB">
        <w:t>Delegate</w:t>
      </w:r>
      <w:r w:rsidR="00B0512B">
        <w:t xml:space="preserve"> and considered </w:t>
      </w:r>
      <w:r w:rsidR="006779D9">
        <w:t>Besponsa</w:t>
      </w:r>
      <w:r w:rsidR="00B0512B">
        <w:t xml:space="preserve"> inotuzumab ozogamicin (rch) powder for injection to have an overall positive benefit-r</w:t>
      </w:r>
      <w:r w:rsidR="00795F3A">
        <w:t>isk profile for the indication;</w:t>
      </w:r>
    </w:p>
    <w:p w14:paraId="4188DE47" w14:textId="77777777" w:rsidR="00503681" w:rsidRDefault="006779D9" w:rsidP="00B0512B">
      <w:pPr>
        <w:ind w:left="720"/>
        <w:rPr>
          <w:i/>
          <w:iCs/>
        </w:rPr>
      </w:pPr>
      <w:r>
        <w:rPr>
          <w:i/>
          <w:iCs/>
        </w:rPr>
        <w:t>Besponsa</w:t>
      </w:r>
      <w:r w:rsidR="00B0512B">
        <w:rPr>
          <w:i/>
          <w:iCs/>
        </w:rPr>
        <w:t xml:space="preserve"> is indicated for the treatment of adults w</w:t>
      </w:r>
      <w:r w:rsidR="00795F3A">
        <w:rPr>
          <w:i/>
          <w:iCs/>
        </w:rPr>
        <w:t>ith relapsed or refractory CD22</w:t>
      </w:r>
      <w:r w:rsidR="00795F3A">
        <w:rPr>
          <w:i/>
          <w:iCs/>
        </w:rPr>
        <w:noBreakHyphen/>
      </w:r>
      <w:r w:rsidR="00B0512B">
        <w:rPr>
          <w:i/>
          <w:iCs/>
        </w:rPr>
        <w:t xml:space="preserve">positive </w:t>
      </w:r>
      <w:r>
        <w:rPr>
          <w:i/>
          <w:iCs/>
        </w:rPr>
        <w:t>B cell</w:t>
      </w:r>
      <w:r w:rsidR="00B0512B">
        <w:rPr>
          <w:i/>
          <w:iCs/>
        </w:rPr>
        <w:t xml:space="preserve"> precursor acute lymphoblastic leukaemia (ALL)</w:t>
      </w:r>
      <w:r w:rsidR="00503681">
        <w:rPr>
          <w:i/>
          <w:iCs/>
        </w:rPr>
        <w:t>.</w:t>
      </w:r>
    </w:p>
    <w:p w14:paraId="3AC430BF" w14:textId="1D7CCCA7" w:rsidR="00456765" w:rsidRDefault="00B0512B" w:rsidP="00B0512B">
      <w:r>
        <w:lastRenderedPageBreak/>
        <w:t xml:space="preserve">The dose and dosage form submitted for registration of </w:t>
      </w:r>
      <w:r w:rsidR="006779D9">
        <w:t>Besponsa</w:t>
      </w:r>
      <w:r w:rsidR="00795F3A">
        <w:t xml:space="preserve"> inotuzumab ozogamicin</w:t>
      </w:r>
      <w:r>
        <w:t xml:space="preserve"> is a powder for injection in a vial containing 1</w:t>
      </w:r>
      <w:r w:rsidR="00EA311F">
        <w:t xml:space="preserve"> </w:t>
      </w:r>
      <w:r>
        <w:t>mg which, after reconstitution with 4</w:t>
      </w:r>
      <w:r w:rsidR="00EA311F">
        <w:t xml:space="preserve"> </w:t>
      </w:r>
      <w:r>
        <w:t>mL of sterile water for injection, contains 0.25</w:t>
      </w:r>
      <w:r w:rsidR="00EA311F">
        <w:t xml:space="preserve"> </w:t>
      </w:r>
      <w:r>
        <w:t>mg inotuzumab ozogamicin in 1</w:t>
      </w:r>
      <w:r w:rsidR="00EA311F">
        <w:t xml:space="preserve"> </w:t>
      </w:r>
      <w:r>
        <w:t>m</w:t>
      </w:r>
      <w:r w:rsidR="00EA311F">
        <w:t>L</w:t>
      </w:r>
      <w:r>
        <w:t xml:space="preserve"> of solution.</w:t>
      </w:r>
    </w:p>
    <w:p w14:paraId="138ED8E5" w14:textId="57C3F65D" w:rsidR="00503681" w:rsidRDefault="00B0512B" w:rsidP="00B0512B">
      <w:r w:rsidRPr="00B0512B">
        <w:t>Subject to the adv</w:t>
      </w:r>
      <w:r w:rsidR="00795F3A">
        <w:t xml:space="preserve">ice of the ACM, </w:t>
      </w:r>
      <w:r w:rsidR="00EA311F">
        <w:t>t</w:t>
      </w:r>
      <w:r w:rsidR="00795F3A">
        <w:t>he Delegate had</w:t>
      </w:r>
      <w:r w:rsidRPr="00B0512B">
        <w:t xml:space="preserve"> no reason to say, at this time, that the application for Inotuzumab ozogamicin should not be approved for registration</w:t>
      </w:r>
      <w:r w:rsidR="00503681">
        <w:t>.</w:t>
      </w:r>
    </w:p>
    <w:p w14:paraId="6A2383EF" w14:textId="77777777" w:rsidR="00B0512B" w:rsidRPr="00B0512B" w:rsidRDefault="00B0512B" w:rsidP="00B0512B">
      <w:pPr>
        <w:pStyle w:val="Heading5"/>
      </w:pPr>
      <w:r w:rsidRPr="00B0512B">
        <w:t>Prop</w:t>
      </w:r>
      <w:r w:rsidR="00795F3A">
        <w:t>osed conditions of registration</w:t>
      </w:r>
    </w:p>
    <w:p w14:paraId="6F89513F" w14:textId="77777777" w:rsidR="00503681" w:rsidRDefault="00B0512B" w:rsidP="00B0512B">
      <w:r w:rsidRPr="00B0512B">
        <w:t xml:space="preserve">The ACM agreed with the </w:t>
      </w:r>
      <w:r w:rsidR="006644FB">
        <w:t>Delegate</w:t>
      </w:r>
      <w:r w:rsidRPr="00B0512B">
        <w:t xml:space="preserve"> on the proposed conditions of registration</w:t>
      </w:r>
      <w:r w:rsidR="00503681">
        <w:t>.</w:t>
      </w:r>
    </w:p>
    <w:p w14:paraId="01FECD89" w14:textId="2F494600" w:rsidR="00B0512B" w:rsidRPr="00B0512B" w:rsidRDefault="00B0512B" w:rsidP="00B0512B">
      <w:pPr>
        <w:pStyle w:val="Heading5"/>
      </w:pPr>
      <w:r w:rsidRPr="00B0512B">
        <w:t>Proposed Product Information (PI)/ Consumer Medici</w:t>
      </w:r>
      <w:r w:rsidR="00F56DAD">
        <w:t>ne Information (CMI) amendments</w:t>
      </w:r>
    </w:p>
    <w:p w14:paraId="271FA6C3" w14:textId="77777777" w:rsidR="00B0512B" w:rsidRDefault="00B0512B" w:rsidP="00B0512B">
      <w:r>
        <w:t xml:space="preserve">The ACM agreed with the </w:t>
      </w:r>
      <w:r w:rsidR="006644FB">
        <w:t>Delegate</w:t>
      </w:r>
      <w:r>
        <w:t xml:space="preserve"> to the proposed amendments to the PI and CMI.</w:t>
      </w:r>
    </w:p>
    <w:p w14:paraId="044D3DD8" w14:textId="34EA3C5E" w:rsidR="00B0512B" w:rsidRPr="00B0512B" w:rsidRDefault="00B0512B" w:rsidP="00B0512B">
      <w:pPr>
        <w:pStyle w:val="Heading5"/>
      </w:pPr>
      <w:r w:rsidRPr="00B0512B">
        <w:t xml:space="preserve">Specific </w:t>
      </w:r>
      <w:r w:rsidR="00F56DAD">
        <w:t>advice</w:t>
      </w:r>
    </w:p>
    <w:p w14:paraId="224A3806" w14:textId="77777777" w:rsidR="00B0512B" w:rsidRPr="00B0512B" w:rsidRDefault="00B0512B" w:rsidP="00B0512B">
      <w:r w:rsidRPr="00B0512B">
        <w:t xml:space="preserve">The ACM advised the following in response to the </w:t>
      </w:r>
      <w:r w:rsidR="006644FB">
        <w:t>Delegate</w:t>
      </w:r>
      <w:r w:rsidRPr="00B0512B">
        <w:t>’s specif</w:t>
      </w:r>
      <w:r w:rsidR="00795F3A">
        <w:t>ic questions on the submission:</w:t>
      </w:r>
    </w:p>
    <w:p w14:paraId="14540CA2" w14:textId="77777777" w:rsidR="00503681" w:rsidRDefault="00B0512B" w:rsidP="008A74BD">
      <w:pPr>
        <w:pStyle w:val="Numberbullet0"/>
        <w:numPr>
          <w:ilvl w:val="0"/>
          <w:numId w:val="12"/>
        </w:numPr>
        <w:rPr>
          <w:b/>
          <w:i/>
        </w:rPr>
      </w:pPr>
      <w:r w:rsidRPr="00B0512B">
        <w:rPr>
          <w:b/>
          <w:i/>
        </w:rPr>
        <w:t xml:space="preserve">Can the committee comment on the acceptability of the proposed wording of indication in Australia. Of note, both efficacy studies included patients with </w:t>
      </w:r>
      <w:proofErr w:type="spellStart"/>
      <w:r w:rsidRPr="00B0512B">
        <w:rPr>
          <w:b/>
          <w:i/>
        </w:rPr>
        <w:t>Ph</w:t>
      </w:r>
      <w:proofErr w:type="spellEnd"/>
      <w:r w:rsidRPr="00B0512B">
        <w:rPr>
          <w:b/>
          <w:i/>
        </w:rPr>
        <w:t>+ ALL who had failed at least 1 TKI (see discussion section of overview)</w:t>
      </w:r>
      <w:r w:rsidR="00503681">
        <w:rPr>
          <w:b/>
          <w:i/>
        </w:rPr>
        <w:t>.</w:t>
      </w:r>
    </w:p>
    <w:p w14:paraId="77755D25" w14:textId="77777777" w:rsidR="00B0512B" w:rsidRPr="00B0512B" w:rsidRDefault="00B0512B" w:rsidP="00B0512B">
      <w:r w:rsidRPr="00B0512B">
        <w:t xml:space="preserve">The committee agreed with the </w:t>
      </w:r>
      <w:r w:rsidR="006644FB">
        <w:t>Delegate</w:t>
      </w:r>
      <w:r w:rsidRPr="00B0512B">
        <w:t xml:space="preserve"> that the proposed wording for the indicat</w:t>
      </w:r>
      <w:r w:rsidR="00795F3A">
        <w:t>ion in Australia is acceptable:</w:t>
      </w:r>
    </w:p>
    <w:p w14:paraId="6C833A6B" w14:textId="77777777" w:rsidR="00B0512B" w:rsidRPr="00795F3A" w:rsidRDefault="00503681" w:rsidP="00795F3A">
      <w:pPr>
        <w:ind w:left="425"/>
        <w:rPr>
          <w:i/>
        </w:rPr>
      </w:pPr>
      <w:r w:rsidRPr="00795F3A">
        <w:rPr>
          <w:i/>
        </w:rPr>
        <w:t>‘</w:t>
      </w:r>
      <w:r w:rsidR="006779D9" w:rsidRPr="00795F3A">
        <w:rPr>
          <w:i/>
        </w:rPr>
        <w:t>Besponsa</w:t>
      </w:r>
      <w:r w:rsidR="00B0512B" w:rsidRPr="00795F3A">
        <w:rPr>
          <w:i/>
        </w:rPr>
        <w:t xml:space="preserve"> is indicated for the treatment of adults w</w:t>
      </w:r>
      <w:r w:rsidR="00795F3A">
        <w:rPr>
          <w:i/>
        </w:rPr>
        <w:t>ith relapsed or refractory CD22</w:t>
      </w:r>
      <w:r w:rsidR="00795F3A">
        <w:rPr>
          <w:i/>
        </w:rPr>
        <w:noBreakHyphen/>
      </w:r>
      <w:r w:rsidR="00B0512B" w:rsidRPr="00795F3A">
        <w:rPr>
          <w:i/>
        </w:rPr>
        <w:t xml:space="preserve">positive </w:t>
      </w:r>
      <w:r w:rsidR="006779D9" w:rsidRPr="00795F3A">
        <w:rPr>
          <w:i/>
        </w:rPr>
        <w:t>B cell</w:t>
      </w:r>
      <w:r w:rsidR="00B0512B" w:rsidRPr="00795F3A">
        <w:rPr>
          <w:i/>
        </w:rPr>
        <w:t xml:space="preserve"> precursor acute lymphoblastic leukaemia (ALL)</w:t>
      </w:r>
      <w:r w:rsidRPr="00795F3A">
        <w:rPr>
          <w:i/>
        </w:rPr>
        <w:t>’</w:t>
      </w:r>
      <w:r w:rsidR="00B0512B" w:rsidRPr="00795F3A">
        <w:rPr>
          <w:i/>
        </w:rPr>
        <w:t>.</w:t>
      </w:r>
    </w:p>
    <w:p w14:paraId="0164FCF5" w14:textId="13CF2382" w:rsidR="00B0512B" w:rsidRPr="00B0512B" w:rsidRDefault="00B0512B" w:rsidP="00B0512B">
      <w:pPr>
        <w:pStyle w:val="Numberbullet0"/>
        <w:rPr>
          <w:b/>
          <w:i/>
        </w:rPr>
      </w:pPr>
      <w:r w:rsidRPr="00B0512B">
        <w:rPr>
          <w:b/>
          <w:i/>
        </w:rPr>
        <w:t>In the pivotal study, the median duration of treat</w:t>
      </w:r>
      <w:r w:rsidR="00795F3A">
        <w:rPr>
          <w:b/>
          <w:i/>
        </w:rPr>
        <w:t>ment in the control arm was 0.9 </w:t>
      </w:r>
      <w:r w:rsidRPr="00B0512B">
        <w:rPr>
          <w:b/>
          <w:i/>
        </w:rPr>
        <w:t>weeks. Is this an expected treatment duration in the context of the treatments chosen and this clinical setting?</w:t>
      </w:r>
    </w:p>
    <w:p w14:paraId="1A48EDA4" w14:textId="77777777" w:rsidR="00B0512B" w:rsidRPr="00B0512B" w:rsidRDefault="00B0512B" w:rsidP="00B0512B">
      <w:r w:rsidRPr="00B0512B">
        <w:t xml:space="preserve">The ACM answered that, due to the nature of the disease being a rapidly progressive malignancy for patients, 0.9 weeks is </w:t>
      </w:r>
      <w:proofErr w:type="gramStart"/>
      <w:r w:rsidRPr="00B0512B">
        <w:t>an expected</w:t>
      </w:r>
      <w:proofErr w:type="gramEnd"/>
      <w:r w:rsidRPr="00B0512B">
        <w:t xml:space="preserve"> median treatment duration in the context of the treatments chosen and the clinical setting. Noting</w:t>
      </w:r>
      <w:r w:rsidR="00795F3A">
        <w:t>;</w:t>
      </w:r>
      <w:r w:rsidRPr="00B0512B">
        <w:t xml:space="preserve"> that the main reason for discontinuation was treatm</w:t>
      </w:r>
      <w:r>
        <w:t>ent failure on the control arm.</w:t>
      </w:r>
    </w:p>
    <w:p w14:paraId="7AD16D9D" w14:textId="77777777" w:rsidR="00B0512B" w:rsidRPr="00B0512B" w:rsidRDefault="00B0512B" w:rsidP="00B0512B">
      <w:pPr>
        <w:pStyle w:val="Numberbullet0"/>
        <w:rPr>
          <w:b/>
          <w:i/>
        </w:rPr>
      </w:pPr>
      <w:r w:rsidRPr="00B0512B">
        <w:rPr>
          <w:b/>
          <w:i/>
        </w:rPr>
        <w:t>Is the committee satisfied that the proposed PI adequately captures the safety pr</w:t>
      </w:r>
      <w:r w:rsidR="00795F3A">
        <w:rPr>
          <w:b/>
          <w:i/>
        </w:rPr>
        <w:t>ofile of Inotuzumab ozogamicin?</w:t>
      </w:r>
    </w:p>
    <w:p w14:paraId="4F671EDA" w14:textId="43B49B77" w:rsidR="00B0512B" w:rsidRPr="00B0512B" w:rsidRDefault="00B0512B" w:rsidP="00B0512B">
      <w:r w:rsidRPr="00B0512B">
        <w:t xml:space="preserve">Yes, the committee is satisfied that the proposed PI adequately captures the safety profile of Inotuzumab ozogamicin and in particular agreed with The Black Box warning proposed in the PI version: </w:t>
      </w:r>
      <w:r w:rsidR="006779D9">
        <w:t>Besponsa</w:t>
      </w:r>
      <w:r w:rsidRPr="00B0512B">
        <w:t xml:space="preserve"> draft PI 28 Mar</w:t>
      </w:r>
      <w:r w:rsidR="00843728">
        <w:t>ch</w:t>
      </w:r>
      <w:r w:rsidRPr="00B0512B">
        <w:t xml:space="preserve"> 2017 (Cat 1).</w:t>
      </w:r>
    </w:p>
    <w:p w14:paraId="42176856" w14:textId="77777777" w:rsidR="00B0512B" w:rsidRPr="00B0512B" w:rsidRDefault="00B0512B" w:rsidP="00B0512B">
      <w:r w:rsidRPr="00B0512B">
        <w:t>The ACM advised that implementation by the sponsor of the recommendations outlined above to the satisfaction of the TGA, in addition to the evidence of efficacy and safety provided would support the safe and effective use of this product.</w:t>
      </w:r>
    </w:p>
    <w:p w14:paraId="170A8E9A" w14:textId="77777777" w:rsidR="008E7846" w:rsidRPr="002E238E" w:rsidRDefault="008E7846" w:rsidP="008E7846">
      <w:pPr>
        <w:pStyle w:val="Heading3"/>
      </w:pPr>
      <w:bookmarkStart w:id="173" w:name="_Toc247691532"/>
      <w:bookmarkStart w:id="174" w:name="_Toc314842516"/>
      <w:bookmarkStart w:id="175" w:name="_Toc16505618"/>
      <w:bookmarkEnd w:id="123"/>
      <w:bookmarkEnd w:id="170"/>
      <w:bookmarkEnd w:id="171"/>
      <w:r>
        <w:t>Outcome</w:t>
      </w:r>
      <w:bookmarkEnd w:id="173"/>
      <w:bookmarkEnd w:id="174"/>
      <w:bookmarkEnd w:id="175"/>
    </w:p>
    <w:p w14:paraId="0B0D57E1" w14:textId="77777777" w:rsidR="00D23139" w:rsidRPr="00F51E04" w:rsidRDefault="00D23139" w:rsidP="00F51E04">
      <w:pPr>
        <w:autoSpaceDE w:val="0"/>
        <w:autoSpaceDN w:val="0"/>
        <w:adjustRightInd w:val="0"/>
        <w:spacing w:before="0" w:after="0" w:line="240" w:lineRule="auto"/>
        <w:rPr>
          <w:rFonts w:eastAsiaTheme="minorHAnsi" w:cs="Cambria"/>
        </w:rPr>
      </w:pPr>
      <w:bookmarkStart w:id="176" w:name="_Toc247691533"/>
      <w:bookmarkStart w:id="177" w:name="_Toc314842517"/>
      <w:r w:rsidRPr="00D23139">
        <w:t xml:space="preserve">Based on a review of quality, safety and efficacy, TGA approved the registration of </w:t>
      </w:r>
      <w:r w:rsidR="006779D9">
        <w:rPr>
          <w:rFonts w:eastAsiaTheme="minorHAnsi" w:cs="Cambria"/>
        </w:rPr>
        <w:t>Besponsa</w:t>
      </w:r>
      <w:r w:rsidR="00F51E04">
        <w:rPr>
          <w:rFonts w:eastAsiaTheme="minorHAnsi" w:cs="Cambria"/>
        </w:rPr>
        <w:t xml:space="preserve"> inotuzumab ozogamicin (rch) 1 mg powder for injection vial</w:t>
      </w:r>
      <w:r w:rsidR="00F51E04">
        <w:t xml:space="preserve"> </w:t>
      </w:r>
      <w:r w:rsidRPr="00D23139">
        <w:t>indicated for:</w:t>
      </w:r>
    </w:p>
    <w:p w14:paraId="19F1137B" w14:textId="77777777" w:rsidR="00D23139" w:rsidRPr="00795F3A" w:rsidRDefault="00503681" w:rsidP="00795F3A">
      <w:pPr>
        <w:ind w:left="720"/>
        <w:rPr>
          <w:i/>
        </w:rPr>
      </w:pPr>
      <w:r>
        <w:rPr>
          <w:i/>
        </w:rPr>
        <w:t>‘</w:t>
      </w:r>
      <w:r w:rsidR="006779D9">
        <w:rPr>
          <w:i/>
        </w:rPr>
        <w:t>Besponsa</w:t>
      </w:r>
      <w:r w:rsidR="00F51E04" w:rsidRPr="00F51E04">
        <w:rPr>
          <w:i/>
        </w:rPr>
        <w:t xml:space="preserve"> is indicated for the treatment of adults with relapsed or refractory </w:t>
      </w:r>
      <w:r w:rsidR="005C4508">
        <w:rPr>
          <w:i/>
        </w:rPr>
        <w:t>CD22 positive</w:t>
      </w:r>
      <w:r w:rsidR="00F51E04" w:rsidRPr="00F51E04">
        <w:rPr>
          <w:i/>
        </w:rPr>
        <w:t xml:space="preserve"> </w:t>
      </w:r>
      <w:r w:rsidR="006779D9">
        <w:rPr>
          <w:i/>
        </w:rPr>
        <w:t>B cell</w:t>
      </w:r>
      <w:r w:rsidR="00F51E04" w:rsidRPr="00F51E04">
        <w:rPr>
          <w:i/>
        </w:rPr>
        <w:t xml:space="preserve"> precursor acute lymphoblastic leukaemia (ALL).</w:t>
      </w:r>
      <w:r>
        <w:rPr>
          <w:i/>
        </w:rPr>
        <w:t>’</w:t>
      </w:r>
    </w:p>
    <w:p w14:paraId="508506C3" w14:textId="77777777" w:rsidR="00D23139" w:rsidRPr="00D23139" w:rsidRDefault="00D23139" w:rsidP="00D23139">
      <w:pPr>
        <w:pStyle w:val="Heading4"/>
      </w:pPr>
      <w:r w:rsidRPr="00D23139">
        <w:lastRenderedPageBreak/>
        <w:t>Specific conditions of registration applying to these goods</w:t>
      </w:r>
    </w:p>
    <w:p w14:paraId="1A613FB5" w14:textId="77777777" w:rsidR="00F51E04" w:rsidRPr="00F51E04" w:rsidRDefault="00F51E04" w:rsidP="00F51E04">
      <w:pPr>
        <w:pStyle w:val="ListBullet"/>
      </w:pPr>
      <w:r w:rsidRPr="00F51E04">
        <w:t>Should reprocessing (</w:t>
      </w:r>
      <w:r w:rsidR="00503681">
        <w:t>that is</w:t>
      </w:r>
      <w:r w:rsidR="00795F3A">
        <w:t xml:space="preserve"> VRF and final filtration)</w:t>
      </w:r>
      <w:r w:rsidRPr="00F51E04">
        <w:t xml:space="preserve"> </w:t>
      </w:r>
      <w:r>
        <w:t xml:space="preserve">be required in the future, the </w:t>
      </w:r>
      <w:r w:rsidRPr="00F51E04">
        <w:t>sponsor must submit a Category 3 application on</w:t>
      </w:r>
      <w:r>
        <w:t xml:space="preserve"> at least one batch of the drug </w:t>
      </w:r>
      <w:r w:rsidRPr="00F51E04">
        <w:t>product manufactured at full scale prior to implementation.</w:t>
      </w:r>
    </w:p>
    <w:p w14:paraId="1FD5C691" w14:textId="77777777" w:rsidR="00F51E04" w:rsidRDefault="00795F3A" w:rsidP="00F51E04">
      <w:pPr>
        <w:pStyle w:val="ListBullet"/>
      </w:pPr>
      <w:r>
        <w:t>Batch release testing and</w:t>
      </w:r>
      <w:r w:rsidR="00F51E04" w:rsidRPr="00F51E04">
        <w:t xml:space="preserve"> compliance with </w:t>
      </w:r>
      <w:r>
        <w:t>Certified Product Details (CPD)</w:t>
      </w:r>
    </w:p>
    <w:p w14:paraId="672F6AE9" w14:textId="77777777" w:rsidR="00F51E04" w:rsidRDefault="00F51E04" w:rsidP="00F51E04">
      <w:pPr>
        <w:pStyle w:val="ListBullet2"/>
      </w:pPr>
      <w:r>
        <w:t xml:space="preserve">It is a condition of registration that all batches of </w:t>
      </w:r>
      <w:r w:rsidR="006779D9">
        <w:t>Besponsa</w:t>
      </w:r>
      <w:r>
        <w:t xml:space="preserve"> inotuzumab ozogamicin imported into/manufactured in Australia must comply with the product details and specifications approved during evaluation and detailed in the Certified Product Details (CPD).</w:t>
      </w:r>
    </w:p>
    <w:p w14:paraId="21255C5D" w14:textId="77777777" w:rsidR="00F51E04" w:rsidRPr="00F51E04" w:rsidRDefault="00F51E04" w:rsidP="00F51E04">
      <w:pPr>
        <w:pStyle w:val="ListBullet2"/>
      </w:pPr>
      <w:r>
        <w:t xml:space="preserve">It is a condition of registration that each batch of </w:t>
      </w:r>
      <w:r w:rsidR="006779D9">
        <w:t>Besponsa</w:t>
      </w:r>
      <w:r>
        <w:t xml:space="preserve"> inotuzumab ozogamicin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w:t>
      </w:r>
    </w:p>
    <w:p w14:paraId="31552EF5" w14:textId="77777777" w:rsidR="00F51E04" w:rsidRPr="00F51E04" w:rsidRDefault="006779D9" w:rsidP="00F51E04">
      <w:pPr>
        <w:pStyle w:val="ListBullet"/>
      </w:pPr>
      <w:proofErr w:type="spellStart"/>
      <w:r>
        <w:t>Besponsa</w:t>
      </w:r>
      <w:proofErr w:type="spellEnd"/>
      <w:r w:rsidR="00F51E04">
        <w:t xml:space="preserve"> (</w:t>
      </w:r>
      <w:proofErr w:type="spellStart"/>
      <w:r w:rsidR="00F51E04">
        <w:t>inotuzomab</w:t>
      </w:r>
      <w:proofErr w:type="spellEnd"/>
      <w:r w:rsidR="00F51E04">
        <w:t xml:space="preserve"> </w:t>
      </w:r>
      <w:proofErr w:type="spellStart"/>
      <w:r w:rsidR="00F51E04">
        <w:t>ozogamicin</w:t>
      </w:r>
      <w:proofErr w:type="spellEnd"/>
      <w:r w:rsidR="00F51E04">
        <w:t xml:space="preserve">) is to be included in the Black Triangle Scheme. The PI and CMI for </w:t>
      </w:r>
      <w:r>
        <w:t>Besponsa</w:t>
      </w:r>
      <w:r w:rsidR="00F51E04">
        <w:t xml:space="preserve"> must include the black triangle symbol and mandatory accompanying text for five years, which starts from the date that the sponsor notifies the TGA of supply of the product.</w:t>
      </w:r>
    </w:p>
    <w:p w14:paraId="2BF7384F" w14:textId="77777777" w:rsidR="00F51E04" w:rsidRPr="00F51E04" w:rsidRDefault="00F51E04" w:rsidP="00F51E04">
      <w:pPr>
        <w:pStyle w:val="ListBullet"/>
      </w:pPr>
      <w:r>
        <w:t xml:space="preserve">The </w:t>
      </w:r>
      <w:r w:rsidR="006779D9">
        <w:t>Besponsa</w:t>
      </w:r>
      <w:r>
        <w:t xml:space="preserve"> EU-Risk Management Plan (RMP) (version 1.5, dated 26 April 2017, data lock point 26 April 2016), with Australian Specific Annex (version 1.1, dated 14 December 2017), included with submission PM-2017-01455-1-4, and any subsequent revisions, as agreed with the TGA will be implemented in Australia.</w:t>
      </w:r>
    </w:p>
    <w:p w14:paraId="4637F73B" w14:textId="77777777" w:rsidR="008E7846" w:rsidRDefault="00A80B5B" w:rsidP="00D23139">
      <w:pPr>
        <w:pStyle w:val="Heading2"/>
      </w:pPr>
      <w:bookmarkStart w:id="178" w:name="_Toc16505619"/>
      <w:proofErr w:type="gramStart"/>
      <w:r>
        <w:t>Attachment 1.</w:t>
      </w:r>
      <w:proofErr w:type="gramEnd"/>
      <w:r>
        <w:t xml:space="preserve"> </w:t>
      </w:r>
      <w:r w:rsidR="008E7846">
        <w:t xml:space="preserve">Product </w:t>
      </w:r>
      <w:r w:rsidR="00AA0ED0">
        <w:t>I</w:t>
      </w:r>
      <w:r w:rsidR="008E7846">
        <w:t>nformation</w:t>
      </w:r>
      <w:bookmarkEnd w:id="176"/>
      <w:bookmarkEnd w:id="177"/>
      <w:bookmarkEnd w:id="178"/>
    </w:p>
    <w:p w14:paraId="6C1465AD" w14:textId="77777777" w:rsidR="00C80137" w:rsidRDefault="006136D7" w:rsidP="00C80137">
      <w:pPr>
        <w:rPr>
          <w:color w:val="000000"/>
          <w:lang w:eastAsia="en-AU"/>
        </w:rPr>
      </w:pPr>
      <w:r w:rsidRPr="002B3624">
        <w:t xml:space="preserve">The </w:t>
      </w:r>
      <w:r>
        <w:t>PI</w:t>
      </w:r>
      <w:r w:rsidRPr="002B3624">
        <w:t xml:space="preserve"> for </w:t>
      </w:r>
      <w:proofErr w:type="spellStart"/>
      <w:r w:rsidR="00F51E04">
        <w:t>Beponsa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9" w:history="1">
        <w:r w:rsidR="007C6B9B" w:rsidRPr="007C6B9B">
          <w:rPr>
            <w:rStyle w:val="Hyperlink"/>
          </w:rPr>
          <w:t>https://www.tga.gov.au/product-information-pi</w:t>
        </w:r>
      </w:hyperlink>
      <w:proofErr w:type="gramStart"/>
      <w:r w:rsidR="000F385B">
        <w:t xml:space="preserve">&gt; </w:t>
      </w:r>
      <w:r w:rsidR="00F51E04">
        <w:t>.</w:t>
      </w:r>
      <w:proofErr w:type="gramEnd"/>
    </w:p>
    <w:p w14:paraId="658D967B" w14:textId="77777777" w:rsidR="00291957" w:rsidRDefault="00291957" w:rsidP="00291957">
      <w:pPr>
        <w:rPr>
          <w:lang w:eastAsia="ja-JP"/>
        </w:rPr>
      </w:pPr>
    </w:p>
    <w:p w14:paraId="03D2D79C" w14:textId="77777777"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593A927" w14:textId="77777777" w:rsidTr="00A05FA4">
        <w:trPr>
          <w:trHeight w:hRule="exact" w:val="704"/>
        </w:trPr>
        <w:tc>
          <w:tcPr>
            <w:tcW w:w="9175" w:type="dxa"/>
          </w:tcPr>
          <w:p w14:paraId="4AA636DD" w14:textId="77777777" w:rsidR="001C32CD" w:rsidRPr="00487162" w:rsidRDefault="001C32CD" w:rsidP="00A05FA4">
            <w:pPr>
              <w:pStyle w:val="TGASignoff"/>
            </w:pPr>
            <w:r w:rsidRPr="00487162">
              <w:lastRenderedPageBreak/>
              <w:t>Therapeutic Goods Administration</w:t>
            </w:r>
          </w:p>
        </w:tc>
      </w:tr>
      <w:tr w:rsidR="001C32CD" w:rsidRPr="004C239D" w14:paraId="56D14E6B" w14:textId="77777777" w:rsidTr="00A05FA4">
        <w:trPr>
          <w:trHeight w:val="1221"/>
        </w:trPr>
        <w:tc>
          <w:tcPr>
            <w:tcW w:w="9175" w:type="dxa"/>
            <w:tcMar>
              <w:top w:w="28" w:type="dxa"/>
            </w:tcMar>
          </w:tcPr>
          <w:p w14:paraId="6CCD3A72" w14:textId="77777777" w:rsidR="001C32CD" w:rsidRPr="00487162" w:rsidRDefault="001C32CD" w:rsidP="00A05FA4">
            <w:pPr>
              <w:pStyle w:val="Address"/>
            </w:pPr>
            <w:r w:rsidRPr="00487162">
              <w:t>PO Box 100 Woden ACT 2606 Australia</w:t>
            </w:r>
          </w:p>
          <w:p w14:paraId="18481C3B" w14:textId="77777777" w:rsidR="001C32CD" w:rsidRPr="00487162" w:rsidRDefault="001C32CD" w:rsidP="00A05FA4">
            <w:pPr>
              <w:pStyle w:val="Address"/>
            </w:pPr>
            <w:r w:rsidRPr="00487162">
              <w:t xml:space="preserve">Email: </w:t>
            </w:r>
            <w:hyperlink r:id="rId44" w:history="1">
              <w:r w:rsidRPr="004C239D">
                <w:rPr>
                  <w:rStyle w:val="Hyperlink"/>
                </w:rPr>
                <w:t>info@tga.gov.au</w:t>
              </w:r>
            </w:hyperlink>
            <w:r w:rsidR="006779D9">
              <w:t xml:space="preserve"> </w:t>
            </w:r>
            <w:r w:rsidRPr="00487162">
              <w:t>Phone: 1800 020 653</w:t>
            </w:r>
            <w:r w:rsidR="006779D9">
              <w:t xml:space="preserve"> </w:t>
            </w:r>
            <w:r w:rsidRPr="00487162">
              <w:t>Fax: 02 6232 8605</w:t>
            </w:r>
          </w:p>
          <w:p w14:paraId="216FBDCE" w14:textId="77777777" w:rsidR="001C32CD" w:rsidRPr="004C239D" w:rsidRDefault="00EF795A"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36BA3CC2"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78312F" w15:done="0"/>
  <w15:commentEx w15:paraId="1105053C" w15:done="0"/>
  <w15:commentEx w15:paraId="42E38549" w15:done="0"/>
  <w15:commentEx w15:paraId="4C824FA7" w15:done="0"/>
  <w15:commentEx w15:paraId="7EF15914" w15:done="0"/>
  <w15:commentEx w15:paraId="58D333C4" w15:done="0"/>
  <w15:commentEx w15:paraId="6E0C555B" w15:done="0"/>
  <w15:commentEx w15:paraId="70C4B6E1" w15:done="0"/>
  <w15:commentEx w15:paraId="3BACEBD5" w15:done="0"/>
  <w15:commentEx w15:paraId="71D6DE40" w15:done="0"/>
  <w15:commentEx w15:paraId="316D5940" w15:done="0"/>
  <w15:commentEx w15:paraId="114D5B40" w15:done="0"/>
  <w15:commentEx w15:paraId="21533A7E" w15:done="0"/>
  <w15:commentEx w15:paraId="62476489" w15:done="0"/>
  <w15:commentEx w15:paraId="0F60CC4A" w15:done="0"/>
  <w15:commentEx w15:paraId="20DDAA3E" w15:done="0"/>
  <w15:commentEx w15:paraId="5D10FA34" w15:done="0"/>
  <w15:commentEx w15:paraId="1B1D61F7" w15:done="0"/>
  <w15:commentEx w15:paraId="2C39FE33" w15:done="0"/>
  <w15:commentEx w15:paraId="54B38AE1" w15:done="0"/>
  <w15:commentEx w15:paraId="2A5E9410" w15:done="0"/>
  <w15:commentEx w15:paraId="719A85DB" w15:done="0"/>
  <w15:commentEx w15:paraId="54B5DE67" w15:done="0"/>
  <w15:commentEx w15:paraId="4E5766DE" w15:paraIdParent="54B5DE67" w15:done="0"/>
  <w15:commentEx w15:paraId="394441B6" w15:done="0"/>
  <w15:commentEx w15:paraId="11E537A3" w15:done="0"/>
  <w15:commentEx w15:paraId="6DBC5872" w15:done="0"/>
  <w15:commentEx w15:paraId="21E44A7C" w15:done="0"/>
  <w15:commentEx w15:paraId="5ACCB170" w15:done="0"/>
  <w15:commentEx w15:paraId="3D574067" w15:done="0"/>
  <w15:commentEx w15:paraId="00D2D15E" w15:done="0"/>
  <w15:commentEx w15:paraId="653D60C5" w15:done="0"/>
  <w15:commentEx w15:paraId="463B0E64" w15:paraIdParent="653D60C5" w15:done="0"/>
  <w15:commentEx w15:paraId="3677BC29" w15:done="0"/>
  <w15:commentEx w15:paraId="2AC227D8" w15:done="0"/>
  <w15:commentEx w15:paraId="280AF83B" w15:done="0"/>
  <w15:commentEx w15:paraId="07E25F2A" w15:done="0"/>
  <w15:commentEx w15:paraId="5B171202" w15:done="0"/>
  <w15:commentEx w15:paraId="3A36B516" w15:done="0"/>
  <w15:commentEx w15:paraId="04DB5A28" w15:done="0"/>
  <w15:commentEx w15:paraId="7D1618C2" w15:done="0"/>
  <w15:commentEx w15:paraId="78CA24F8" w15:done="0"/>
  <w15:commentEx w15:paraId="0D9EF72D" w15:done="0"/>
  <w15:commentEx w15:paraId="003A7857" w15:done="0"/>
  <w15:commentEx w15:paraId="23BE72DE" w15:done="0"/>
  <w15:commentEx w15:paraId="668E3235" w15:paraIdParent="23BE72DE" w15:done="0"/>
  <w15:commentEx w15:paraId="47FE2B22" w15:done="0"/>
  <w15:commentEx w15:paraId="1B7EE3AB" w15:done="0"/>
  <w15:commentEx w15:paraId="6D50788C" w15:done="0"/>
  <w15:commentEx w15:paraId="4D9E1FA1" w15:done="0"/>
  <w15:commentEx w15:paraId="4322838B" w15:done="0"/>
  <w15:commentEx w15:paraId="570854E8" w15:done="0"/>
  <w15:commentEx w15:paraId="6CF5944B" w15:done="0"/>
  <w15:commentEx w15:paraId="0CA8B229" w15:done="0"/>
  <w15:commentEx w15:paraId="64ABFDE5" w15:done="0"/>
  <w15:commentEx w15:paraId="1E124A76" w15:done="0"/>
  <w15:commentEx w15:paraId="519BE238" w15:paraIdParent="1E124A76" w15:done="0"/>
  <w15:commentEx w15:paraId="7DD3ACC8" w15:done="0"/>
  <w15:commentEx w15:paraId="7149EF1B" w15:done="0"/>
  <w15:commentEx w15:paraId="7F3B511A" w15:paraIdParent="7149EF1B" w15:done="0"/>
  <w15:commentEx w15:paraId="1401C539" w15:done="0"/>
  <w15:commentEx w15:paraId="40A9EEE9" w15:done="0"/>
  <w15:commentEx w15:paraId="346733D0" w15:paraIdParent="40A9EEE9" w15:done="0"/>
  <w15:commentEx w15:paraId="42D33708" w15:done="0"/>
  <w15:commentEx w15:paraId="049EBC15" w15:done="0"/>
  <w15:commentEx w15:paraId="1076E2EB" w15:done="0"/>
  <w15:commentEx w15:paraId="78102898" w15:done="0"/>
  <w15:commentEx w15:paraId="755AC2FA" w15:done="0"/>
  <w15:commentEx w15:paraId="020D0493" w15:done="0"/>
  <w15:commentEx w15:paraId="0617E79D" w15:done="0"/>
  <w15:commentEx w15:paraId="53088C32" w15:done="0"/>
  <w15:commentEx w15:paraId="63C92D4C" w15:done="0"/>
  <w15:commentEx w15:paraId="6A6403F4" w15:done="0"/>
  <w15:commentEx w15:paraId="116E5311" w15:done="0"/>
  <w15:commentEx w15:paraId="67FF5359" w15:done="0"/>
  <w15:commentEx w15:paraId="0768A6E6" w15:done="0"/>
  <w15:commentEx w15:paraId="3CE016B7" w15:done="0"/>
  <w15:commentEx w15:paraId="28180CE5" w15:done="0"/>
  <w15:commentEx w15:paraId="1427450C" w15:done="0"/>
  <w15:commentEx w15:paraId="5A0C3DFB" w15:done="0"/>
  <w15:commentEx w15:paraId="71D7E117" w15:done="0"/>
  <w15:commentEx w15:paraId="6E5DE08E" w15:done="0"/>
  <w15:commentEx w15:paraId="06F9C67D" w15:done="0"/>
  <w15:commentEx w15:paraId="6BA21A7B" w15:done="0"/>
  <w15:commentEx w15:paraId="4F5BEA11" w15:done="0"/>
  <w15:commentEx w15:paraId="37B2C8EA" w15:done="0"/>
  <w15:commentEx w15:paraId="7B7ABDC3" w15:done="0"/>
  <w15:commentEx w15:paraId="6359CC5C" w15:paraIdParent="7B7ABDC3" w15:done="0"/>
  <w15:commentEx w15:paraId="3787C758" w15:done="0"/>
  <w15:commentEx w15:paraId="339A0F02" w15:done="0"/>
  <w15:commentEx w15:paraId="7316D8E6" w15:done="0"/>
  <w15:commentEx w15:paraId="265E04D9" w15:done="0"/>
  <w15:commentEx w15:paraId="1FEE1190" w15:paraIdParent="265E04D9" w15:done="0"/>
  <w15:commentEx w15:paraId="7D8ADECA" w15:done="0"/>
  <w15:commentEx w15:paraId="5A852919" w15:done="0"/>
  <w15:commentEx w15:paraId="025A4C8E" w15:done="0"/>
  <w15:commentEx w15:paraId="187E7DB4" w15:done="0"/>
  <w15:commentEx w15:paraId="0BE6B5F5" w15:paraIdParent="187E7DB4" w15:done="0"/>
  <w15:commentEx w15:paraId="341B7DAF" w15:done="0"/>
  <w15:commentEx w15:paraId="3C5CACFE" w15:done="0"/>
  <w15:commentEx w15:paraId="262BEF09" w15:done="0"/>
  <w15:commentEx w15:paraId="0B41D68F" w15:done="0"/>
  <w15:commentEx w15:paraId="37AE0C36" w15:done="0"/>
  <w15:commentEx w15:paraId="1DFE95CA" w15:done="0"/>
  <w15:commentEx w15:paraId="6DD99BA2" w15:done="0"/>
  <w15:commentEx w15:paraId="0F950208" w15:done="0"/>
  <w15:commentEx w15:paraId="2FAEDE89" w15:done="0"/>
  <w15:commentEx w15:paraId="3876C84B" w15:done="0"/>
  <w15:commentEx w15:paraId="6B5EC021" w15:done="0"/>
  <w15:commentEx w15:paraId="4B1354C0" w15:done="0"/>
  <w15:commentEx w15:paraId="5FC25139" w15:done="0"/>
  <w15:commentEx w15:paraId="03FBFCB0" w15:done="0"/>
  <w15:commentEx w15:paraId="7D4715F3" w15:done="0"/>
  <w15:commentEx w15:paraId="016C2A2A" w15:done="0"/>
  <w15:commentEx w15:paraId="541E9D2C" w15:done="0"/>
  <w15:commentEx w15:paraId="37080B6F" w15:done="0"/>
  <w15:commentEx w15:paraId="1FC1086D" w15:done="0"/>
  <w15:commentEx w15:paraId="21D07345" w15:done="0"/>
  <w15:commentEx w15:paraId="6D3D026C" w15:done="0"/>
  <w15:commentEx w15:paraId="537566C5" w15:done="0"/>
  <w15:commentEx w15:paraId="3B5229AF" w15:done="0"/>
  <w15:commentEx w15:paraId="03B45002" w15:done="0"/>
  <w15:commentEx w15:paraId="6CAA54E0" w15:done="0"/>
  <w15:commentEx w15:paraId="49A8E7C5" w15:done="0"/>
  <w15:commentEx w15:paraId="57C32858" w15:done="0"/>
  <w15:commentEx w15:paraId="24C90BF0" w15:paraIdParent="57C32858" w15:done="0"/>
  <w15:commentEx w15:paraId="2A8CACB6" w15:done="0"/>
  <w15:commentEx w15:paraId="470EB8FA" w15:done="0"/>
  <w15:commentEx w15:paraId="77C95677" w15:done="0"/>
  <w15:commentEx w15:paraId="7058DCC7" w15:done="0"/>
  <w15:commentEx w15:paraId="1921EBB0" w15:done="0"/>
  <w15:commentEx w15:paraId="06AC898C" w15:done="0"/>
  <w15:commentEx w15:paraId="4FBCEA0C" w15:done="0"/>
  <w15:commentEx w15:paraId="1C2673FA" w15:paraIdParent="4FBCEA0C" w15:done="0"/>
  <w15:commentEx w15:paraId="23757208" w15:done="0"/>
  <w15:commentEx w15:paraId="10171C8B" w15:paraIdParent="23757208" w15:done="0"/>
  <w15:commentEx w15:paraId="380A0AB1" w15:done="0"/>
  <w15:commentEx w15:paraId="29EFF884" w15:done="0"/>
  <w15:commentEx w15:paraId="3A43291F" w15:done="0"/>
  <w15:commentEx w15:paraId="4162DA97" w15:done="0"/>
  <w15:commentEx w15:paraId="35514BC3" w15:done="0"/>
  <w15:commentEx w15:paraId="40442A96" w15:done="0"/>
  <w15:commentEx w15:paraId="0AD501F9" w15:done="0"/>
  <w15:commentEx w15:paraId="51224B03" w15:done="0"/>
  <w15:commentEx w15:paraId="4D4C9310" w15:paraIdParent="51224B03" w15:done="0"/>
  <w15:commentEx w15:paraId="3AD58168" w15:done="0"/>
  <w15:commentEx w15:paraId="6421F92F" w15:done="0"/>
  <w15:commentEx w15:paraId="34D7F066" w15:done="0"/>
  <w15:commentEx w15:paraId="6B73FD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78312F" w16cid:durableId="207D083B"/>
  <w16cid:commentId w16cid:paraId="1105053C" w16cid:durableId="20BB3267"/>
  <w16cid:commentId w16cid:paraId="42E38549" w16cid:durableId="207D083C"/>
  <w16cid:commentId w16cid:paraId="4C824FA7" w16cid:durableId="20BB3269"/>
  <w16cid:commentId w16cid:paraId="7EF15914" w16cid:durableId="20BB326A"/>
  <w16cid:commentId w16cid:paraId="58D333C4" w16cid:durableId="207D083D"/>
  <w16cid:commentId w16cid:paraId="6E0C555B" w16cid:durableId="20BB326C"/>
  <w16cid:commentId w16cid:paraId="70C4B6E1" w16cid:durableId="207D083E"/>
  <w16cid:commentId w16cid:paraId="3BACEBD5" w16cid:durableId="20BB326E"/>
  <w16cid:commentId w16cid:paraId="71D6DE40" w16cid:durableId="207D083F"/>
  <w16cid:commentId w16cid:paraId="316D5940" w16cid:durableId="20BB3270"/>
  <w16cid:commentId w16cid:paraId="114D5B40" w16cid:durableId="207D0840"/>
  <w16cid:commentId w16cid:paraId="21533A7E" w16cid:durableId="20BB3272"/>
  <w16cid:commentId w16cid:paraId="62476489" w16cid:durableId="207D0841"/>
  <w16cid:commentId w16cid:paraId="0F60CC4A" w16cid:durableId="20BB3274"/>
  <w16cid:commentId w16cid:paraId="20DDAA3E" w16cid:durableId="207D0842"/>
  <w16cid:commentId w16cid:paraId="5D10FA34" w16cid:durableId="207D0843"/>
  <w16cid:commentId w16cid:paraId="1B1D61F7" w16cid:durableId="207D0844"/>
  <w16cid:commentId w16cid:paraId="2C39FE33" w16cid:durableId="20BB3278"/>
  <w16cid:commentId w16cid:paraId="54B38AE1" w16cid:durableId="207D0845"/>
  <w16cid:commentId w16cid:paraId="2A5E9410" w16cid:durableId="207D0846"/>
  <w16cid:commentId w16cid:paraId="719A85DB" w16cid:durableId="207D0847"/>
  <w16cid:commentId w16cid:paraId="54B5DE67" w16cid:durableId="207D0848"/>
  <w16cid:commentId w16cid:paraId="4E5766DE" w16cid:durableId="2083BC00"/>
  <w16cid:commentId w16cid:paraId="394441B6" w16cid:durableId="207D0849"/>
  <w16cid:commentId w16cid:paraId="11E537A3" w16cid:durableId="207D084A"/>
  <w16cid:commentId w16cid:paraId="6DBC5872" w16cid:durableId="207D084B"/>
  <w16cid:commentId w16cid:paraId="21E44A7C" w16cid:durableId="207D084C"/>
  <w16cid:commentId w16cid:paraId="5ACCB170" w16cid:durableId="207D084D"/>
  <w16cid:commentId w16cid:paraId="3D574067" w16cid:durableId="207D084E"/>
  <w16cid:commentId w16cid:paraId="00D2D15E" w16cid:durableId="207D084F"/>
  <w16cid:commentId w16cid:paraId="653D60C5" w16cid:durableId="207D0850"/>
  <w16cid:commentId w16cid:paraId="463B0E64" w16cid:durableId="2083BC63"/>
  <w16cid:commentId w16cid:paraId="3677BC29" w16cid:durableId="20BB3287"/>
  <w16cid:commentId w16cid:paraId="2AC227D8" w16cid:durableId="207D0851"/>
  <w16cid:commentId w16cid:paraId="280AF83B" w16cid:durableId="207D0852"/>
  <w16cid:commentId w16cid:paraId="07E25F2A" w16cid:durableId="207D0853"/>
  <w16cid:commentId w16cid:paraId="5B171202" w16cid:durableId="207D0854"/>
  <w16cid:commentId w16cid:paraId="3A36B516" w16cid:durableId="2083BCE9"/>
  <w16cid:commentId w16cid:paraId="04DB5A28" w16cid:durableId="207D0855"/>
  <w16cid:commentId w16cid:paraId="7D1618C2" w16cid:durableId="207D0856"/>
  <w16cid:commentId w16cid:paraId="78CA24F8" w16cid:durableId="207D0857"/>
  <w16cid:commentId w16cid:paraId="0D9EF72D" w16cid:durableId="207D0858"/>
  <w16cid:commentId w16cid:paraId="003A7857" w16cid:durableId="207D0859"/>
  <w16cid:commentId w16cid:paraId="23BE72DE" w16cid:durableId="207D085A"/>
  <w16cid:commentId w16cid:paraId="668E3235" w16cid:durableId="2083BD18"/>
  <w16cid:commentId w16cid:paraId="47FE2B22" w16cid:durableId="207D085B"/>
  <w16cid:commentId w16cid:paraId="1B7EE3AB" w16cid:durableId="207D085C"/>
  <w16cid:commentId w16cid:paraId="6D50788C" w16cid:durableId="207D085D"/>
  <w16cid:commentId w16cid:paraId="4D9E1FA1" w16cid:durableId="207D085E"/>
  <w16cid:commentId w16cid:paraId="4322838B" w16cid:durableId="207D085F"/>
  <w16cid:commentId w16cid:paraId="570854E8" w16cid:durableId="207D0860"/>
  <w16cid:commentId w16cid:paraId="6CF5944B" w16cid:durableId="207D0861"/>
  <w16cid:commentId w16cid:paraId="0CA8B229" w16cid:durableId="207D0862"/>
  <w16cid:commentId w16cid:paraId="64ABFDE5" w16cid:durableId="207D0863"/>
  <w16cid:commentId w16cid:paraId="1E124A76" w16cid:durableId="207D0864"/>
  <w16cid:commentId w16cid:paraId="519BE238" w16cid:durableId="2083BD55"/>
  <w16cid:commentId w16cid:paraId="7DD3ACC8" w16cid:durableId="207D0865"/>
  <w16cid:commentId w16cid:paraId="7149EF1B" w16cid:durableId="207D0866"/>
  <w16cid:commentId w16cid:paraId="7F3B511A" w16cid:durableId="2083BD6D"/>
  <w16cid:commentId w16cid:paraId="1401C539" w16cid:durableId="207D0867"/>
  <w16cid:commentId w16cid:paraId="40A9EEE9" w16cid:durableId="207D0868"/>
  <w16cid:commentId w16cid:paraId="346733D0" w16cid:durableId="2083BD7C"/>
  <w16cid:commentId w16cid:paraId="42D33708" w16cid:durableId="207D0869"/>
  <w16cid:commentId w16cid:paraId="049EBC15" w16cid:durableId="207D086A"/>
  <w16cid:commentId w16cid:paraId="1076E2EB" w16cid:durableId="207D086B"/>
  <w16cid:commentId w16cid:paraId="78102898" w16cid:durableId="207D086C"/>
  <w16cid:commentId w16cid:paraId="755AC2FA" w16cid:durableId="207D086D"/>
  <w16cid:commentId w16cid:paraId="020D0493" w16cid:durableId="207D086E"/>
  <w16cid:commentId w16cid:paraId="0617E79D" w16cid:durableId="207D086F"/>
  <w16cid:commentId w16cid:paraId="53088C32" w16cid:durableId="207D0870"/>
  <w16cid:commentId w16cid:paraId="63C92D4C" w16cid:durableId="207D0871"/>
  <w16cid:commentId w16cid:paraId="6A6403F4" w16cid:durableId="207D0872"/>
  <w16cid:commentId w16cid:paraId="116E5311" w16cid:durableId="207D0873"/>
  <w16cid:commentId w16cid:paraId="67FF5359" w16cid:durableId="207D0874"/>
  <w16cid:commentId w16cid:paraId="0768A6E6" w16cid:durableId="207D0875"/>
  <w16cid:commentId w16cid:paraId="3CE016B7" w16cid:durableId="207D0876"/>
  <w16cid:commentId w16cid:paraId="28180CE5" w16cid:durableId="207D0877"/>
  <w16cid:commentId w16cid:paraId="1427450C" w16cid:durableId="207D0878"/>
  <w16cid:commentId w16cid:paraId="5A0C3DFB" w16cid:durableId="207D0879"/>
  <w16cid:commentId w16cid:paraId="71D7E117" w16cid:durableId="207D087A"/>
  <w16cid:commentId w16cid:paraId="6E5DE08E" w16cid:durableId="207D087B"/>
  <w16cid:commentId w16cid:paraId="06F9C67D" w16cid:durableId="207D087C"/>
  <w16cid:commentId w16cid:paraId="6BA21A7B" w16cid:durableId="207D087D"/>
  <w16cid:commentId w16cid:paraId="4F5BEA11" w16cid:durableId="207D087E"/>
  <w16cid:commentId w16cid:paraId="37B2C8EA" w16cid:durableId="207D087F"/>
  <w16cid:commentId w16cid:paraId="7B7ABDC3" w16cid:durableId="207D0880"/>
  <w16cid:commentId w16cid:paraId="6359CC5C" w16cid:durableId="2083BDC6"/>
  <w16cid:commentId w16cid:paraId="3787C758" w16cid:durableId="207D0881"/>
  <w16cid:commentId w16cid:paraId="339A0F02" w16cid:durableId="207D0882"/>
  <w16cid:commentId w16cid:paraId="7316D8E6" w16cid:durableId="207D0883"/>
  <w16cid:commentId w16cid:paraId="265E04D9" w16cid:durableId="207D0884"/>
  <w16cid:commentId w16cid:paraId="1FEE1190" w16cid:durableId="2083BDEC"/>
  <w16cid:commentId w16cid:paraId="7D8ADECA" w16cid:durableId="207D0885"/>
  <w16cid:commentId w16cid:paraId="5A852919" w16cid:durableId="207D0886"/>
  <w16cid:commentId w16cid:paraId="025A4C8E" w16cid:durableId="2083BEA5"/>
  <w16cid:commentId w16cid:paraId="187E7DB4" w16cid:durableId="207D0887"/>
  <w16cid:commentId w16cid:paraId="0BE6B5F5" w16cid:durableId="2083BEB8"/>
  <w16cid:commentId w16cid:paraId="341B7DAF" w16cid:durableId="20BB32C8"/>
  <w16cid:commentId w16cid:paraId="3C5CACFE" w16cid:durableId="207D0888"/>
  <w16cid:commentId w16cid:paraId="262BEF09" w16cid:durableId="207D0889"/>
  <w16cid:commentId w16cid:paraId="0B41D68F" w16cid:durableId="207D088A"/>
  <w16cid:commentId w16cid:paraId="37AE0C36" w16cid:durableId="207D088B"/>
  <w16cid:commentId w16cid:paraId="1DFE95CA" w16cid:durableId="207D088C"/>
  <w16cid:commentId w16cid:paraId="6DD99BA2" w16cid:durableId="207D088D"/>
  <w16cid:commentId w16cid:paraId="0F950208" w16cid:durableId="207D088E"/>
  <w16cid:commentId w16cid:paraId="2FAEDE89" w16cid:durableId="207D088F"/>
  <w16cid:commentId w16cid:paraId="3876C84B" w16cid:durableId="207D0890"/>
  <w16cid:commentId w16cid:paraId="6B5EC021" w16cid:durableId="207D0891"/>
  <w16cid:commentId w16cid:paraId="4B1354C0" w16cid:durableId="207D0892"/>
  <w16cid:commentId w16cid:paraId="5FC25139" w16cid:durableId="20BB32D4"/>
  <w16cid:commentId w16cid:paraId="03FBFCB0" w16cid:durableId="207D0893"/>
  <w16cid:commentId w16cid:paraId="7D4715F3" w16cid:durableId="207D0894"/>
  <w16cid:commentId w16cid:paraId="016C2A2A" w16cid:durableId="207D0895"/>
  <w16cid:commentId w16cid:paraId="541E9D2C" w16cid:durableId="207D0896"/>
  <w16cid:commentId w16cid:paraId="37080B6F" w16cid:durableId="207D0897"/>
  <w16cid:commentId w16cid:paraId="1FC1086D" w16cid:durableId="207D0898"/>
  <w16cid:commentId w16cid:paraId="21D07345" w16cid:durableId="207D0899"/>
  <w16cid:commentId w16cid:paraId="6D3D026C" w16cid:durableId="207D089A"/>
  <w16cid:commentId w16cid:paraId="537566C5" w16cid:durableId="207D089B"/>
  <w16cid:commentId w16cid:paraId="3B5229AF" w16cid:durableId="207D089C"/>
  <w16cid:commentId w16cid:paraId="03B45002" w16cid:durableId="207D089D"/>
  <w16cid:commentId w16cid:paraId="6CAA54E0" w16cid:durableId="207D089E"/>
  <w16cid:commentId w16cid:paraId="49A8E7C5" w16cid:durableId="207D089F"/>
  <w16cid:commentId w16cid:paraId="57C32858" w16cid:durableId="207D08A0"/>
  <w16cid:commentId w16cid:paraId="24C90BF0" w16cid:durableId="2083C0DA"/>
  <w16cid:commentId w16cid:paraId="2A8CACB6" w16cid:durableId="20BB32E4"/>
  <w16cid:commentId w16cid:paraId="470EB8FA" w16cid:durableId="207D08A1"/>
  <w16cid:commentId w16cid:paraId="77C95677" w16cid:durableId="207D08A2"/>
  <w16cid:commentId w16cid:paraId="7058DCC7" w16cid:durableId="207D08A3"/>
  <w16cid:commentId w16cid:paraId="1921EBB0" w16cid:durableId="207D08A4"/>
  <w16cid:commentId w16cid:paraId="06AC898C" w16cid:durableId="207D08A5"/>
  <w16cid:commentId w16cid:paraId="4FBCEA0C" w16cid:durableId="207D08A6"/>
  <w16cid:commentId w16cid:paraId="1C2673FA" w16cid:durableId="2083C13B"/>
  <w16cid:commentId w16cid:paraId="23757208" w16cid:durableId="20BB32EC"/>
  <w16cid:commentId w16cid:paraId="10171C8B" w16cid:durableId="20BB344D"/>
  <w16cid:commentId w16cid:paraId="380A0AB1" w16cid:durableId="207D08A7"/>
  <w16cid:commentId w16cid:paraId="29EFF884" w16cid:durableId="207D08A8"/>
  <w16cid:commentId w16cid:paraId="3A43291F" w16cid:durableId="207D08A9"/>
  <w16cid:commentId w16cid:paraId="4162DA97" w16cid:durableId="207D08AA"/>
  <w16cid:commentId w16cid:paraId="35514BC3" w16cid:durableId="207D08AB"/>
  <w16cid:commentId w16cid:paraId="40442A96" w16cid:durableId="207D08AC"/>
  <w16cid:commentId w16cid:paraId="0AD501F9" w16cid:durableId="207D08AD"/>
  <w16cid:commentId w16cid:paraId="51224B03" w16cid:durableId="207D08AE"/>
  <w16cid:commentId w16cid:paraId="4D4C9310" w16cid:durableId="2083C191"/>
  <w16cid:commentId w16cid:paraId="3AD58168" w16cid:durableId="207D08AF"/>
  <w16cid:commentId w16cid:paraId="6421F92F" w16cid:durableId="207D08B0"/>
  <w16cid:commentId w16cid:paraId="34D7F066" w16cid:durableId="207D08B1"/>
  <w16cid:commentId w16cid:paraId="6B73FDC7" w16cid:durableId="207D08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DB33B" w14:textId="77777777" w:rsidR="00EF795A" w:rsidRDefault="00EF795A" w:rsidP="00C40A36">
      <w:pPr>
        <w:spacing w:after="0"/>
      </w:pPr>
      <w:r>
        <w:separator/>
      </w:r>
    </w:p>
  </w:endnote>
  <w:endnote w:type="continuationSeparator" w:id="0">
    <w:p w14:paraId="7BB77E1E" w14:textId="77777777" w:rsidR="00EF795A" w:rsidRDefault="00EF795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ø◊w‚">
    <w:altName w:val="Cambria"/>
    <w:panose1 w:val="00000000000000000000"/>
    <w:charset w:val="4D"/>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83" w:usb1="08070000" w:usb2="00000010" w:usb3="00000000" w:csb0="00020009" w:csb1="00000000"/>
  </w:font>
  <w:font w:name="Verdana">
    <w:panose1 w:val="020B0604030504040204"/>
    <w:charset w:val="00"/>
    <w:family w:val="swiss"/>
    <w:pitch w:val="variable"/>
    <w:sig w:usb0="A10006FF" w:usb1="4000205B" w:usb2="00000010" w:usb3="00000000" w:csb0="0000019F" w:csb1="00000000"/>
  </w:font>
  <w:font w:name="‡'F2ø◊◊Î">
    <w:altName w:val="Cambria"/>
    <w:panose1 w:val="00000000000000000000"/>
    <w:charset w:val="4D"/>
    <w:family w:val="auto"/>
    <w:notTrueType/>
    <w:pitch w:val="default"/>
    <w:sig w:usb0="00000003" w:usb1="00000000" w:usb2="00000000" w:usb3="00000000" w:csb0="00000001" w:csb1="00000000"/>
  </w:font>
  <w:font w:name="‡Ôø◊ÁÏ">
    <w:altName w:val="Cambria"/>
    <w:panose1 w:val="00000000000000000000"/>
    <w:charset w:val="4D"/>
    <w:family w:val="auto"/>
    <w:notTrueType/>
    <w:pitch w:val="default"/>
    <w:sig w:usb0="00000003" w:usb1="00000000" w:usb2="00000000" w:usb3="00000000" w:csb0="00000001" w:csb1="00000000"/>
  </w:font>
  <w:font w:name="‡?Ùø◊∑È">
    <w:altName w:val="Times New Roman"/>
    <w:panose1 w:val="00000000000000000000"/>
    <w:charset w:val="4D"/>
    <w:family w:val="auto"/>
    <w:notTrueType/>
    <w:pitch w:val="default"/>
    <w:sig w:usb0="00000003" w:usb1="00000000" w:usb2="00000000" w:usb3="00000000" w:csb0="00000001" w:csb1="00000000"/>
  </w:font>
  <w:font w:name="‡'FCø◊«·">
    <w:altName w:val="Cambria"/>
    <w:panose1 w:val="00000000000000000000"/>
    <w:charset w:val="4D"/>
    <w:family w:val="auto"/>
    <w:notTrueType/>
    <w:pitch w:val="default"/>
    <w:sig w:usb0="00000003" w:usb1="00000000" w:usb2="00000000" w:usb3="00000000" w:csb0="00000001" w:csb1="00000000"/>
  </w:font>
  <w:font w:name="‡oÒø◊wÏ">
    <w:altName w:val="Cambria"/>
    <w:panose1 w:val="00000000000000000000"/>
    <w:charset w:val="4D"/>
    <w:family w:val="auto"/>
    <w:notTrueType/>
    <w:pitch w:val="default"/>
    <w:sig w:usb0="00000003" w:usb1="00000000" w:usb2="00000000" w:usb3="00000000" w:csb0="00000001" w:csb1="00000000"/>
  </w:font>
  <w:font w:name="‡o˝ø◊g‡">
    <w:altName w:val="Cambria"/>
    <w:panose1 w:val="00000000000000000000"/>
    <w:charset w:val="4D"/>
    <w:family w:val="auto"/>
    <w:notTrueType/>
    <w:pitch w:val="default"/>
    <w:sig w:usb0="00000003" w:usb1="00000000" w:usb2="00000000" w:usb3="00000000" w:csb0="00000001" w:csb1="00000000"/>
  </w:font>
  <w:font w:name="‡ﬂÛø◊ÁÈ">
    <w:altName w:val="Cambria"/>
    <w:panose1 w:val="00000000000000000000"/>
    <w:charset w:val="4D"/>
    <w:family w:val="auto"/>
    <w:notTrueType/>
    <w:pitch w:val="default"/>
    <w:sig w:usb0="00000003" w:usb1="00000000" w:usb2="00000000" w:usb3="00000000" w:csb0="00000001" w:csb1="00000000"/>
  </w:font>
  <w:font w:name="‡Oıø◊áË">
    <w:altName w:val="Cambria"/>
    <w:panose1 w:val="00000000000000000000"/>
    <w:charset w:val="4D"/>
    <w:family w:val="auto"/>
    <w:notTrueType/>
    <w:pitch w:val="default"/>
    <w:sig w:usb0="00000003" w:usb1="00000000" w:usb2="00000000" w:usb3="00000000" w:csb0="00000001" w:csb1="00000000"/>
  </w:font>
  <w:font w:name="‡ﬂıø◊ÁÁ">
    <w:altName w:val="Cambria"/>
    <w:panose1 w:val="00000000000000000000"/>
    <w:charset w:val="4D"/>
    <w:family w:val="auto"/>
    <w:notTrueType/>
    <w:pitch w:val="default"/>
    <w:sig w:usb0="00000003" w:usb1="00000000" w:usb2="00000000" w:usb3="00000000" w:csb0="00000001" w:csb1="00000000"/>
  </w:font>
  <w:font w:name="‡o˜ø◊áÊ">
    <w:altName w:val="Cambria"/>
    <w:panose1 w:val="00000000000000000000"/>
    <w:charset w:val="4D"/>
    <w:family w:val="auto"/>
    <w:notTrueType/>
    <w:pitch w:val="default"/>
    <w:sig w:usb0="00000003" w:usb1="00000000" w:usb2="00000000" w:usb3="00000000" w:csb0="00000001" w:csb1="00000000"/>
  </w:font>
  <w:font w:name="‡Ô˘ø◊ï'E4">
    <w:altName w:val="Cambria"/>
    <w:panose1 w:val="00000000000000000000"/>
    <w:charset w:val="4D"/>
    <w:family w:val="auto"/>
    <w:notTrueType/>
    <w:pitch w:val="default"/>
    <w:sig w:usb0="00000003" w:usb1="00000000" w:usb2="00000000" w:usb3="00000000" w:csb0="00000001" w:csb1="00000000"/>
  </w:font>
  <w:font w:name="‡œ˙ø◊˜‚">
    <w:altName w:val="Cambria"/>
    <w:panose1 w:val="00000000000000000000"/>
    <w:charset w:val="4D"/>
    <w:family w:val="auto"/>
    <w:notTrueType/>
    <w:pitch w:val="default"/>
    <w:sig w:usb0="00000003" w:usb1="00000000" w:usb2="00000000" w:usb3="00000000" w:csb0="00000001" w:csb1="00000000"/>
  </w:font>
  <w:font w:name="AdvPS41863F">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ˇÚø◊ÁÍ">
    <w:altName w:val="Cambria"/>
    <w:panose1 w:val="00000000000000000000"/>
    <w:charset w:val="4D"/>
    <w:family w:val="auto"/>
    <w:notTrueType/>
    <w:pitch w:val="default"/>
    <w:sig w:usb0="00000003" w:usb1="00000000" w:usb2="00000000" w:usb3="00000000" w:csb0="00000001" w:csb1="00000000"/>
  </w:font>
  <w:font w:name="–Ô˜øªñ„">
    <w:altName w:val="Cambria"/>
    <w:panose1 w:val="00000000000000000000"/>
    <w:charset w:val="4D"/>
    <w:family w:val="auto"/>
    <w:notTrueType/>
    <w:pitch w:val="default"/>
    <w:sig w:usb0="00000003" w:usb1="00000000" w:usb2="00000000" w:usb3="00000000" w:csb0="00000001" w:csb1="00000000"/>
  </w:font>
  <w:font w:name="‡oˆø◊gÁ">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F795A" w:rsidRPr="00487162" w14:paraId="174198DB" w14:textId="77777777" w:rsidTr="00DB750B">
      <w:trPr>
        <w:trHeight w:val="269"/>
      </w:trPr>
      <w:tc>
        <w:tcPr>
          <w:tcW w:w="7371" w:type="dxa"/>
          <w:tcMar>
            <w:top w:w="142" w:type="dxa"/>
            <w:bottom w:w="0" w:type="dxa"/>
          </w:tcMar>
        </w:tcPr>
        <w:p w14:paraId="58E9EE1D" w14:textId="6BEE77EE" w:rsidR="00EF795A" w:rsidRPr="00487162" w:rsidRDefault="00EF795A" w:rsidP="005D1CEA">
          <w:pPr>
            <w:pStyle w:val="Footer"/>
          </w:pPr>
          <w:r w:rsidRPr="00487162">
            <w:t>AusPA</w:t>
          </w:r>
          <w:r>
            <w:t xml:space="preserve">R </w:t>
          </w:r>
          <w:r w:rsidRPr="008D318C">
            <w:t xml:space="preserve">BESPONSA - Inotuzumab ozogamicin - Pfizer Australia Pty Limited - PM-2017-01455-1-4 (CEU6) </w:t>
          </w:r>
          <w:r>
            <w:t>FINAL 4 July 2019</w:t>
          </w:r>
        </w:p>
      </w:tc>
      <w:tc>
        <w:tcPr>
          <w:tcW w:w="1490" w:type="dxa"/>
          <w:tcMar>
            <w:top w:w="142" w:type="dxa"/>
            <w:bottom w:w="0" w:type="dxa"/>
          </w:tcMar>
        </w:tcPr>
        <w:p w14:paraId="2160BD0E" w14:textId="77777777" w:rsidR="00EF795A" w:rsidRPr="00487162" w:rsidRDefault="00EF795A" w:rsidP="00DB750B">
          <w:pPr>
            <w:pStyle w:val="Footer"/>
            <w:jc w:val="right"/>
          </w:pPr>
          <w:r w:rsidRPr="00487162">
            <w:t xml:space="preserve">Page </w:t>
          </w:r>
          <w:r>
            <w:fldChar w:fldCharType="begin"/>
          </w:r>
          <w:r>
            <w:instrText xml:space="preserve"> PAGE  \* Arabic </w:instrText>
          </w:r>
          <w:r>
            <w:fldChar w:fldCharType="separate"/>
          </w:r>
          <w:r w:rsidR="00F56DAD">
            <w:rPr>
              <w:noProof/>
            </w:rPr>
            <w:t>4</w:t>
          </w:r>
          <w:r>
            <w:fldChar w:fldCharType="end"/>
          </w:r>
          <w:r w:rsidRPr="00487162">
            <w:t xml:space="preserve"> of </w:t>
          </w:r>
          <w:fldSimple w:instr=" NUMPAGES  \* Arabic ">
            <w:r w:rsidR="00F56DAD">
              <w:rPr>
                <w:noProof/>
              </w:rPr>
              <w:t>115</w:t>
            </w:r>
          </w:fldSimple>
        </w:p>
      </w:tc>
    </w:tr>
  </w:tbl>
  <w:p w14:paraId="4A91CA12" w14:textId="77777777" w:rsidR="00EF795A" w:rsidRDefault="00EF795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F795A" w:rsidRPr="00487162" w14:paraId="3E750407" w14:textId="77777777" w:rsidTr="00E45619">
      <w:trPr>
        <w:trHeight w:val="269"/>
      </w:trPr>
      <w:tc>
        <w:tcPr>
          <w:tcW w:w="4519" w:type="dxa"/>
          <w:tcBorders>
            <w:top w:val="single" w:sz="4" w:space="0" w:color="auto"/>
          </w:tcBorders>
          <w:tcMar>
            <w:top w:w="142" w:type="dxa"/>
            <w:bottom w:w="0" w:type="dxa"/>
          </w:tcMar>
        </w:tcPr>
        <w:p w14:paraId="0EE36FC0" w14:textId="77777777" w:rsidR="00EF795A" w:rsidRPr="00487162" w:rsidRDefault="00EF795A" w:rsidP="00FE1DEE">
          <w:pPr>
            <w:pStyle w:val="Footer"/>
          </w:pPr>
          <w:r w:rsidRPr="00487162">
            <w:t>Document title, Part #, Section # - Section title</w:t>
          </w:r>
        </w:p>
        <w:p w14:paraId="4642D358" w14:textId="77777777" w:rsidR="00EF795A" w:rsidRPr="00487162" w:rsidRDefault="00EF795A" w:rsidP="00FE1DEE">
          <w:pPr>
            <w:pStyle w:val="Footer"/>
          </w:pPr>
          <w:r w:rsidRPr="00487162">
            <w:t>V1.0 October 2010</w:t>
          </w:r>
        </w:p>
      </w:tc>
      <w:tc>
        <w:tcPr>
          <w:tcW w:w="4342" w:type="dxa"/>
          <w:tcBorders>
            <w:top w:val="single" w:sz="4" w:space="0" w:color="auto"/>
          </w:tcBorders>
          <w:tcMar>
            <w:top w:w="142" w:type="dxa"/>
            <w:bottom w:w="0" w:type="dxa"/>
          </w:tcMar>
        </w:tcPr>
        <w:p w14:paraId="0CB2B276" w14:textId="4CCDFD64" w:rsidR="00EF795A" w:rsidRPr="00487162" w:rsidRDefault="00EF795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120</w:t>
            </w:r>
          </w:fldSimple>
        </w:p>
      </w:tc>
    </w:tr>
  </w:tbl>
  <w:p w14:paraId="2A284BFF" w14:textId="77777777" w:rsidR="00EF795A" w:rsidRDefault="00EF79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D5E4F" w14:textId="77777777" w:rsidR="00EF795A" w:rsidRPr="001C32CD" w:rsidRDefault="00EF795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F795A" w14:paraId="63547CB3" w14:textId="77777777" w:rsidTr="0010601F">
      <w:trPr>
        <w:trHeight w:val="108"/>
      </w:trPr>
      <w:tc>
        <w:tcPr>
          <w:tcW w:w="8875" w:type="dxa"/>
          <w:gridSpan w:val="2"/>
          <w:tcBorders>
            <w:bottom w:val="single" w:sz="4" w:space="0" w:color="auto"/>
          </w:tcBorders>
          <w:tcMar>
            <w:right w:w="284" w:type="dxa"/>
          </w:tcMar>
        </w:tcPr>
        <w:p w14:paraId="5F229269" w14:textId="77777777" w:rsidR="00EF795A" w:rsidRDefault="00EF795A" w:rsidP="006E08B3">
          <w:pPr>
            <w:pStyle w:val="Heading3"/>
          </w:pPr>
          <w:r>
            <w:t>Copyright</w:t>
          </w:r>
        </w:p>
        <w:p w14:paraId="4C57B304" w14:textId="77777777" w:rsidR="00EF795A" w:rsidRDefault="00EF795A" w:rsidP="006E08B3">
          <w:r>
            <w:rPr>
              <w:rFonts w:cs="Arial"/>
            </w:rPr>
            <w:t>©</w:t>
          </w:r>
          <w:r>
            <w:t xml:space="preserve"> Commonwealth of Australia [add year]</w:t>
          </w:r>
        </w:p>
        <w:p w14:paraId="5B7B775E" w14:textId="77777777" w:rsidR="00EF795A" w:rsidRDefault="00EF795A" w:rsidP="006E08B3"/>
        <w:p w14:paraId="2A9F45F7" w14:textId="77777777" w:rsidR="00EF795A" w:rsidRDefault="00EF795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B4BCF06" w14:textId="77777777" w:rsidR="00EF795A" w:rsidRDefault="00EF795A" w:rsidP="006E08B3"/>
        <w:p w14:paraId="6651FF28" w14:textId="77777777" w:rsidR="00EF795A" w:rsidRDefault="00EF795A" w:rsidP="006E08B3">
          <w:pPr>
            <w:pStyle w:val="Heading3"/>
          </w:pPr>
          <w:r>
            <w:t>Confidentiality</w:t>
          </w:r>
        </w:p>
        <w:p w14:paraId="72B68389" w14:textId="77777777" w:rsidR="00EF795A" w:rsidRDefault="00EF795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EE10F16" w14:textId="77777777" w:rsidR="00EF795A" w:rsidRDefault="00EF795A" w:rsidP="006E08B3"/>
        <w:p w14:paraId="7B0CA39E" w14:textId="77777777" w:rsidR="00EF795A" w:rsidRDefault="00EF795A" w:rsidP="006E08B3">
          <w:r>
            <w:t>For submission made by individuals, all personal details, other than your name, will be removed from your submission before it is published on the TGA’s Internet site.</w:t>
          </w:r>
        </w:p>
        <w:p w14:paraId="2EEDE26E" w14:textId="77777777" w:rsidR="00EF795A" w:rsidRDefault="00EF795A" w:rsidP="006E08B3"/>
        <w:p w14:paraId="77145D84" w14:textId="77777777" w:rsidR="00EF795A" w:rsidRDefault="00EF795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F795A" w14:paraId="2CD8DD06" w14:textId="77777777" w:rsidTr="0010601F">
      <w:trPr>
        <w:trHeight w:val="417"/>
      </w:trPr>
      <w:tc>
        <w:tcPr>
          <w:tcW w:w="4519" w:type="dxa"/>
          <w:tcBorders>
            <w:top w:val="single" w:sz="4" w:space="0" w:color="auto"/>
          </w:tcBorders>
          <w:tcMar>
            <w:top w:w="142" w:type="dxa"/>
            <w:bottom w:w="0" w:type="dxa"/>
          </w:tcMar>
        </w:tcPr>
        <w:p w14:paraId="3B40C0A9" w14:textId="77777777" w:rsidR="00EF795A" w:rsidRDefault="00EF795A" w:rsidP="006E08B3">
          <w:r>
            <w:t>Document title, Part #, Section # - Section title</w:t>
          </w:r>
        </w:p>
        <w:p w14:paraId="3E2BE0DF" w14:textId="77777777" w:rsidR="00EF795A" w:rsidRDefault="00EF795A" w:rsidP="006E08B3">
          <w:r>
            <w:t>V1.0 October 2010</w:t>
          </w:r>
        </w:p>
      </w:tc>
      <w:tc>
        <w:tcPr>
          <w:tcW w:w="4356" w:type="dxa"/>
          <w:tcBorders>
            <w:top w:val="single" w:sz="4" w:space="0" w:color="auto"/>
          </w:tcBorders>
          <w:tcMar>
            <w:top w:w="142" w:type="dxa"/>
            <w:bottom w:w="0" w:type="dxa"/>
          </w:tcMar>
        </w:tcPr>
        <w:p w14:paraId="345E9DCF" w14:textId="3972BDA4" w:rsidR="00EF795A" w:rsidRDefault="00EF795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120</w:t>
            </w:r>
          </w:fldSimple>
          <w:r>
            <w:t xml:space="preserve"> </w:t>
          </w:r>
        </w:p>
      </w:tc>
    </w:tr>
  </w:tbl>
  <w:p w14:paraId="16A40C52" w14:textId="77777777" w:rsidR="00EF795A" w:rsidRDefault="00EF79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64FFB" w14:textId="77777777" w:rsidR="00EF795A" w:rsidRDefault="00EF795A" w:rsidP="00C40A36">
      <w:pPr>
        <w:spacing w:after="0"/>
      </w:pPr>
      <w:r>
        <w:separator/>
      </w:r>
    </w:p>
  </w:footnote>
  <w:footnote w:type="continuationSeparator" w:id="0">
    <w:p w14:paraId="66D7C1ED" w14:textId="77777777" w:rsidR="00EF795A" w:rsidRDefault="00EF795A" w:rsidP="00C40A36">
      <w:pPr>
        <w:spacing w:after="0"/>
      </w:pPr>
      <w:r>
        <w:continuationSeparator/>
      </w:r>
    </w:p>
  </w:footnote>
  <w:footnote w:id="1">
    <w:p w14:paraId="0A5F2E70" w14:textId="08A07604" w:rsidR="00EF795A" w:rsidRPr="00A953B4" w:rsidRDefault="00EF795A">
      <w:pPr>
        <w:pStyle w:val="FootnoteText"/>
        <w:rPr>
          <w:lang w:val="en-US"/>
        </w:rPr>
      </w:pPr>
      <w:r>
        <w:rPr>
          <w:rStyle w:val="FootnoteReference"/>
        </w:rPr>
        <w:footnoteRef/>
      </w:r>
      <w:r>
        <w:t xml:space="preserve"> </w:t>
      </w:r>
      <w:r>
        <w:rPr>
          <w:rFonts w:asciiTheme="minorHAnsi" w:hAnsiTheme="minorHAnsi" w:cs="‡˚ø◊w‚"/>
          <w:color w:val="000000"/>
          <w:lang w:val="en-US"/>
        </w:rPr>
        <w:t>T</w:t>
      </w:r>
      <w:r w:rsidRPr="00D16AAD">
        <w:rPr>
          <w:rFonts w:asciiTheme="minorHAnsi" w:hAnsiTheme="minorHAnsi" w:cs="‡˚ø◊w‚"/>
          <w:color w:val="000000"/>
          <w:lang w:val="en-US"/>
        </w:rPr>
        <w:t xml:space="preserve">he </w:t>
      </w:r>
      <w:r>
        <w:t xml:space="preserve">European Society for </w:t>
      </w:r>
      <w:r w:rsidRPr="000E5B21">
        <w:t>Medical Oncology</w:t>
      </w:r>
      <w:r w:rsidRPr="000E5B21">
        <w:rPr>
          <w:rFonts w:asciiTheme="minorHAnsi" w:hAnsiTheme="minorHAnsi" w:cs="‡˚ø◊w‚"/>
          <w:color w:val="000000"/>
          <w:lang w:val="en-US"/>
        </w:rPr>
        <w:t xml:space="preserve"> (ESMO) guidelines (2016</w:t>
      </w:r>
      <w:r w:rsidRPr="00D16AAD">
        <w:rPr>
          <w:rFonts w:asciiTheme="minorHAnsi" w:hAnsiTheme="minorHAnsi" w:cs="‡˚ø◊w‚"/>
          <w:color w:val="000000"/>
          <w:lang w:val="en-US"/>
        </w:rPr>
        <w:t>)</w:t>
      </w:r>
      <w:r>
        <w:rPr>
          <w:rFonts w:asciiTheme="minorHAnsi" w:hAnsiTheme="minorHAnsi" w:cs="‡˚ø◊w‚"/>
          <w:color w:val="000000"/>
          <w:lang w:val="en-US"/>
        </w:rPr>
        <w:t xml:space="preserve"> at </w:t>
      </w:r>
      <w:r w:rsidRPr="008D611A">
        <w:rPr>
          <w:rFonts w:asciiTheme="minorHAnsi" w:hAnsiTheme="minorHAnsi" w:cs="‡˚ø◊w‚"/>
          <w:lang w:val="en-US"/>
        </w:rPr>
        <w:t>https://www.esmo.org/Guidelines</w:t>
      </w:r>
      <w:r>
        <w:rPr>
          <w:rFonts w:asciiTheme="minorHAnsi" w:hAnsiTheme="minorHAnsi" w:cs="‡˚ø◊w‚"/>
          <w:color w:val="000000"/>
          <w:lang w:val="en-US"/>
        </w:rPr>
        <w:t xml:space="preserve"> </w:t>
      </w:r>
    </w:p>
  </w:footnote>
  <w:footnote w:id="2">
    <w:p w14:paraId="008527AD" w14:textId="77777777" w:rsidR="00EF795A" w:rsidRPr="003C7FB4" w:rsidRDefault="00EF795A" w:rsidP="00C70C45">
      <w:pPr>
        <w:pStyle w:val="FootnoteText"/>
      </w:pPr>
      <w:r>
        <w:rPr>
          <w:rStyle w:val="FootnoteReference"/>
        </w:rPr>
        <w:footnoteRef/>
      </w:r>
      <w:r>
        <w:t xml:space="preserve"> </w:t>
      </w:r>
      <w:r w:rsidRPr="00B53529">
        <w:t>https://www.fda.gov/Drugs/InformationOnDrugs/ApprovedDrugs/ucm574518.htm</w:t>
      </w:r>
    </w:p>
  </w:footnote>
  <w:footnote w:id="3">
    <w:p w14:paraId="0F4FD90A" w14:textId="77777777" w:rsidR="00EF795A" w:rsidRPr="008D4D74" w:rsidRDefault="00EF795A" w:rsidP="00C70C45">
      <w:pPr>
        <w:pStyle w:val="FootnoteText"/>
        <w:rPr>
          <w:lang w:val="en-US"/>
        </w:rPr>
      </w:pPr>
      <w:r>
        <w:rPr>
          <w:rStyle w:val="FootnoteReference"/>
        </w:rPr>
        <w:footnoteRef/>
      </w:r>
      <w:r>
        <w:t xml:space="preserve"> </w:t>
      </w:r>
      <w:r w:rsidRPr="007254C8">
        <w:rPr>
          <w:lang w:val="en-US"/>
        </w:rPr>
        <w:t xml:space="preserve">Shor, B. et al (2015). </w:t>
      </w:r>
      <w:proofErr w:type="gramStart"/>
      <w:r w:rsidRPr="007254C8">
        <w:rPr>
          <w:lang w:val="en-US"/>
        </w:rPr>
        <w:t>Pre-clinical and clinical development of inotuzumab ozogamicin in haematological malignancies.</w:t>
      </w:r>
      <w:proofErr w:type="gramEnd"/>
      <w:r w:rsidRPr="007254C8">
        <w:rPr>
          <w:lang w:val="en-US"/>
        </w:rPr>
        <w:t xml:space="preserve"> </w:t>
      </w:r>
      <w:r w:rsidRPr="005C4508">
        <w:rPr>
          <w:i/>
          <w:lang w:val="en-US"/>
        </w:rPr>
        <w:t>Molecular Immunology</w:t>
      </w:r>
      <w:r w:rsidRPr="007254C8">
        <w:rPr>
          <w:lang w:val="en-US"/>
        </w:rPr>
        <w:t xml:space="preserve"> </w:t>
      </w:r>
      <w:r w:rsidRPr="005C4508">
        <w:rPr>
          <w:lang w:val="en-US"/>
        </w:rPr>
        <w:t>67</w:t>
      </w:r>
      <w:r w:rsidRPr="007254C8">
        <w:rPr>
          <w:b/>
          <w:lang w:val="en-US"/>
        </w:rPr>
        <w:t>:</w:t>
      </w:r>
      <w:r w:rsidRPr="007254C8">
        <w:rPr>
          <w:lang w:val="en-US"/>
        </w:rPr>
        <w:t xml:space="preserve"> 107-</w:t>
      </w:r>
      <w:r>
        <w:rPr>
          <w:lang w:val="en-US"/>
        </w:rPr>
        <w:t>1</w:t>
      </w:r>
      <w:r w:rsidRPr="007254C8">
        <w:rPr>
          <w:lang w:val="en-US"/>
        </w:rPr>
        <w:t>16.</w:t>
      </w:r>
    </w:p>
  </w:footnote>
  <w:footnote w:id="4">
    <w:p w14:paraId="0546092A" w14:textId="77777777" w:rsidR="00EF795A" w:rsidRPr="00D3097B" w:rsidRDefault="00EF795A" w:rsidP="00C70C45">
      <w:pPr>
        <w:pStyle w:val="FootnoteText"/>
        <w:rPr>
          <w:lang w:val="en-US"/>
        </w:rPr>
      </w:pPr>
      <w:r>
        <w:rPr>
          <w:rStyle w:val="FootnoteReference"/>
        </w:rPr>
        <w:footnoteRef/>
      </w:r>
      <w:r>
        <w:t xml:space="preserve"> </w:t>
      </w:r>
      <w:proofErr w:type="spellStart"/>
      <w:r w:rsidRPr="00160FA8">
        <w:t>Ellestad</w:t>
      </w:r>
      <w:proofErr w:type="spellEnd"/>
      <w:r w:rsidRPr="00160FA8">
        <w:t xml:space="preserve">, G. (2011). </w:t>
      </w:r>
      <w:proofErr w:type="gramStart"/>
      <w:r w:rsidRPr="00160FA8">
        <w:t>Structural and conformational features relevant to the anti-tumour activity of calicheamicin-ϒ.</w:t>
      </w:r>
      <w:proofErr w:type="gramEnd"/>
      <w:r w:rsidRPr="00160FA8">
        <w:t xml:space="preserve"> </w:t>
      </w:r>
      <w:r w:rsidRPr="00160FA8">
        <w:rPr>
          <w:i/>
        </w:rPr>
        <w:t>Chirality</w:t>
      </w:r>
      <w:r w:rsidRPr="00160FA8">
        <w:t xml:space="preserve"> 23: 660-671</w:t>
      </w:r>
    </w:p>
  </w:footnote>
  <w:footnote w:id="5">
    <w:p w14:paraId="6ADA3588" w14:textId="77777777" w:rsidR="00EF795A" w:rsidRPr="008D6338" w:rsidRDefault="00EF795A">
      <w:pPr>
        <w:pStyle w:val="FootnoteText"/>
        <w:rPr>
          <w:lang w:val="en-US"/>
        </w:rPr>
      </w:pPr>
      <w:r>
        <w:rPr>
          <w:rStyle w:val="FootnoteReference"/>
        </w:rPr>
        <w:footnoteRef/>
      </w:r>
      <w:r>
        <w:t xml:space="preserve"> </w:t>
      </w:r>
      <w:proofErr w:type="spellStart"/>
      <w:r>
        <w:rPr>
          <w:lang w:val="en-US"/>
        </w:rPr>
        <w:t>Dedon</w:t>
      </w:r>
      <w:proofErr w:type="spellEnd"/>
      <w:r>
        <w:rPr>
          <w:lang w:val="en-US"/>
        </w:rPr>
        <w:t xml:space="preserve">, P.C. (1996). Mechanisms of target selection by DNA-damaging chemicals: studies with </w:t>
      </w:r>
      <w:proofErr w:type="spellStart"/>
      <w:r>
        <w:rPr>
          <w:lang w:val="en-US"/>
        </w:rPr>
        <w:t>enediyne</w:t>
      </w:r>
      <w:proofErr w:type="spellEnd"/>
      <w:r>
        <w:rPr>
          <w:lang w:val="en-US"/>
        </w:rPr>
        <w:t xml:space="preserve"> anticancer drugs. </w:t>
      </w:r>
      <w:r>
        <w:rPr>
          <w:i/>
          <w:lang w:val="en-US"/>
        </w:rPr>
        <w:t>International Archives of Occupational and Environmental Health</w:t>
      </w:r>
      <w:r>
        <w:rPr>
          <w:lang w:val="en-US"/>
        </w:rPr>
        <w:t xml:space="preserve"> </w:t>
      </w:r>
      <w:r w:rsidRPr="005C4508">
        <w:rPr>
          <w:lang w:val="en-US"/>
        </w:rPr>
        <w:t>68</w:t>
      </w:r>
      <w:r>
        <w:rPr>
          <w:b/>
          <w:lang w:val="en-US"/>
        </w:rPr>
        <w:t>:</w:t>
      </w:r>
      <w:r>
        <w:rPr>
          <w:lang w:val="en-US"/>
        </w:rPr>
        <w:t xml:space="preserve"> 408-414.</w:t>
      </w:r>
    </w:p>
  </w:footnote>
  <w:footnote w:id="6">
    <w:p w14:paraId="50449D7A" w14:textId="77777777" w:rsidR="00EF795A" w:rsidRPr="005C4508" w:rsidRDefault="00EF795A" w:rsidP="005C4508">
      <w:pPr>
        <w:pStyle w:val="FootnoteText"/>
        <w:rPr>
          <w:rStyle w:val="FootnoteTextChar"/>
        </w:rPr>
      </w:pPr>
      <w:r>
        <w:rPr>
          <w:rStyle w:val="FootnoteReference"/>
        </w:rPr>
        <w:footnoteRef/>
      </w:r>
      <w:r>
        <w:t xml:space="preserve"> </w:t>
      </w:r>
      <w:r w:rsidRPr="005C4508">
        <w:rPr>
          <w:rStyle w:val="FootnoteTextChar"/>
        </w:rPr>
        <w:t xml:space="preserve">CHOP = cyclophosphamide 40 mg/kg IP, doxorubicin </w:t>
      </w:r>
      <w:proofErr w:type="spellStart"/>
      <w:r w:rsidRPr="005C4508">
        <w:rPr>
          <w:rStyle w:val="FootnoteTextChar"/>
        </w:rPr>
        <w:t>HCl</w:t>
      </w:r>
      <w:proofErr w:type="spellEnd"/>
      <w:r w:rsidRPr="005C4508">
        <w:rPr>
          <w:rStyle w:val="FootnoteTextChar"/>
        </w:rPr>
        <w:t xml:space="preserve"> 3.3 mg/kg IP, vincristine 0.5 mg/kg IP </w:t>
      </w:r>
      <w:r>
        <w:rPr>
          <w:rStyle w:val="FootnoteTextChar"/>
        </w:rPr>
        <w:t>and</w:t>
      </w:r>
      <w:r w:rsidRPr="005C4508">
        <w:rPr>
          <w:rStyle w:val="FootnoteTextChar"/>
        </w:rPr>
        <w:t xml:space="preserve"> prednisone 0.2 mg/kg PO; CVP = cyclophosphamide, vincristine, prednisone</w:t>
      </w:r>
    </w:p>
  </w:footnote>
  <w:footnote w:id="7">
    <w:p w14:paraId="735A2550" w14:textId="77777777" w:rsidR="00EF795A" w:rsidRPr="0041592A" w:rsidRDefault="00EF795A">
      <w:pPr>
        <w:pStyle w:val="FootnoteText"/>
        <w:rPr>
          <w:lang w:val="en-US"/>
        </w:rPr>
      </w:pPr>
      <w:r>
        <w:rPr>
          <w:rStyle w:val="FootnoteReference"/>
        </w:rPr>
        <w:footnoteRef/>
      </w:r>
      <w:r>
        <w:t xml:space="preserve"> </w:t>
      </w:r>
      <w:r>
        <w:rPr>
          <w:kern w:val="2"/>
        </w:rPr>
        <w:t xml:space="preserve">PR = pulse rate, QRS = </w:t>
      </w:r>
      <w:r>
        <w:t>Beginning of Q to the end of the S wave</w:t>
      </w:r>
      <w:r>
        <w:rPr>
          <w:kern w:val="2"/>
        </w:rPr>
        <w:t xml:space="preserve">, QT =  QT interval  or </w:t>
      </w:r>
      <w:proofErr w:type="spellStart"/>
      <w:r>
        <w:rPr>
          <w:kern w:val="2"/>
        </w:rPr>
        <w:t>QTc</w:t>
      </w:r>
      <w:proofErr w:type="spellEnd"/>
      <w:r>
        <w:rPr>
          <w:kern w:val="2"/>
        </w:rPr>
        <w:t xml:space="preserve"> = QT interval corrected for heart rate</w:t>
      </w:r>
    </w:p>
  </w:footnote>
  <w:footnote w:id="8">
    <w:p w14:paraId="64565FA7" w14:textId="77777777" w:rsidR="00EF795A" w:rsidRPr="00421D60" w:rsidRDefault="00EF795A" w:rsidP="00C70C45">
      <w:pPr>
        <w:pStyle w:val="FootnoteText"/>
        <w:rPr>
          <w:lang w:val="en-US"/>
        </w:rPr>
      </w:pPr>
      <w:r>
        <w:rPr>
          <w:rStyle w:val="FootnoteReference"/>
        </w:rPr>
        <w:footnoteRef/>
      </w:r>
      <w:r>
        <w:t xml:space="preserve"> Assuming a clinical </w:t>
      </w:r>
      <w:r w:rsidRPr="00831DDB">
        <w:t xml:space="preserve">mean </w:t>
      </w:r>
      <w:proofErr w:type="spellStart"/>
      <w:r>
        <w:t>C</w:t>
      </w:r>
      <w:r w:rsidRPr="00831DDB">
        <w:rPr>
          <w:vertAlign w:val="subscript"/>
        </w:rPr>
        <w:t>max</w:t>
      </w:r>
      <w:proofErr w:type="spellEnd"/>
      <w:r>
        <w:t xml:space="preserve"> value for </w:t>
      </w:r>
      <w:proofErr w:type="spellStart"/>
      <w:r>
        <w:t>inotuzumab</w:t>
      </w:r>
      <w:proofErr w:type="spellEnd"/>
      <w:r>
        <w:t xml:space="preserve"> ozogamicin of </w:t>
      </w:r>
      <w:r w:rsidRPr="00831DDB">
        <w:t>308 ng/mL</w:t>
      </w:r>
      <w:r>
        <w:t xml:space="preserve"> </w:t>
      </w:r>
      <w:r w:rsidRPr="00831DDB">
        <w:t>(B1931022 supplemental CSR [</w:t>
      </w:r>
      <w:proofErr w:type="spellStart"/>
      <w:r>
        <w:t>sCSR</w:t>
      </w:r>
      <w:proofErr w:type="spellEnd"/>
      <w:r>
        <w:t>], Table 14.4.3.1), a mean calicheamicin content of 73μg/mg of antibody (Module 2.6.2.1, p.7 footnote), and calicheamicin MW = 1779.76</w:t>
      </w:r>
    </w:p>
  </w:footnote>
  <w:footnote w:id="9">
    <w:p w14:paraId="60A07198" w14:textId="77777777" w:rsidR="00EF795A" w:rsidRDefault="00EF795A" w:rsidP="00C70C45">
      <w:pPr>
        <w:pStyle w:val="FootnoteText"/>
      </w:pPr>
      <w:r>
        <w:rPr>
          <w:rStyle w:val="FootnoteReference"/>
        </w:rPr>
        <w:footnoteRef/>
      </w:r>
      <w:r>
        <w:t xml:space="preserve"> </w:t>
      </w:r>
      <w:r w:rsidRPr="00DD5AF1">
        <w:t>The foll</w:t>
      </w:r>
      <w:r>
        <w:t xml:space="preserve">owing assumptions were made: (1) </w:t>
      </w:r>
      <w:r w:rsidRPr="00DD5AF1">
        <w:rPr>
          <w:i/>
        </w:rPr>
        <w:t>N</w:t>
      </w:r>
      <w:r w:rsidRPr="00DD5AF1">
        <w:t>-Ac-ϒ-calicheamicin DMH</w:t>
      </w:r>
      <w:r>
        <w:t xml:space="preserve"> </w:t>
      </w:r>
      <w:r w:rsidRPr="00DD5AF1">
        <w:t>molec</w:t>
      </w:r>
      <w:r>
        <w:t>ular weight, 1779.76; dose, 248 </w:t>
      </w:r>
      <w:proofErr w:type="spellStart"/>
      <w:r w:rsidRPr="00DD5AF1">
        <w:t>μg</w:t>
      </w:r>
      <w:proofErr w:type="spellEnd"/>
      <w:r w:rsidRPr="00DD5AF1">
        <w:t xml:space="preserve">; </w:t>
      </w:r>
      <w:proofErr w:type="spellStart"/>
      <w:r w:rsidRPr="00DD5AF1">
        <w:t>C</w:t>
      </w:r>
      <w:r w:rsidRPr="00DD5AF1">
        <w:rPr>
          <w:vertAlign w:val="subscript"/>
        </w:rPr>
        <w:t>max</w:t>
      </w:r>
      <w:proofErr w:type="spellEnd"/>
      <w:r w:rsidRPr="00DD5AF1">
        <w:rPr>
          <w:vertAlign w:val="subscript"/>
        </w:rPr>
        <w:t>,</w:t>
      </w:r>
      <w:r w:rsidRPr="00DD5AF1">
        <w:t xml:space="preserve"> 0.05 ng/mL (total); free fraction, 3%; </w:t>
      </w:r>
      <w:proofErr w:type="spellStart"/>
      <w:r w:rsidRPr="00DD5AF1">
        <w:t>k</w:t>
      </w:r>
      <w:r w:rsidRPr="00DD5AF1">
        <w:rPr>
          <w:vertAlign w:val="subscript"/>
        </w:rPr>
        <w:t>deg</w:t>
      </w:r>
      <w:proofErr w:type="spellEnd"/>
      <w:r w:rsidRPr="00DD5AF1">
        <w:t xml:space="preserve"> for CYP3A, 0.0005 min</w:t>
      </w:r>
      <w:r w:rsidRPr="00DD5AF1">
        <w:rPr>
          <w:vertAlign w:val="superscript"/>
        </w:rPr>
        <w:t>-1</w:t>
      </w:r>
      <w:r>
        <w:t>; (2)</w:t>
      </w:r>
      <w:r w:rsidRPr="00DD5AF1">
        <w:t>for systemic CYP,</w:t>
      </w:r>
      <w:r>
        <w:t xml:space="preserve"> </w:t>
      </w:r>
      <w:r w:rsidRPr="00DD5AF1">
        <w:t>renal uptake and efflux transporters, and hepatic efflux transporters (OAT1, OAT3, OCT2, MRP2, BCRP, P-glycoprotein, MATE1 and MATE2K): if the IC</w:t>
      </w:r>
      <w:r w:rsidRPr="00DD5AF1">
        <w:rPr>
          <w:vertAlign w:val="subscript"/>
        </w:rPr>
        <w:t>50</w:t>
      </w:r>
      <w:r>
        <w:t xml:space="preserve"> is ≤ 50 </w:t>
      </w:r>
      <w:r w:rsidRPr="00DD5AF1">
        <w:t xml:space="preserve">fold the unbound clinical </w:t>
      </w:r>
      <w:proofErr w:type="spellStart"/>
      <w:r w:rsidRPr="00DD5AF1">
        <w:t>C</w:t>
      </w:r>
      <w:r w:rsidRPr="00DD5AF1">
        <w:rPr>
          <w:vertAlign w:val="subscript"/>
        </w:rPr>
        <w:t>max</w:t>
      </w:r>
      <w:proofErr w:type="spellEnd"/>
      <w:r w:rsidRPr="00DD5AF1">
        <w:t xml:space="preserve">, an </w:t>
      </w:r>
      <w:r w:rsidRPr="00DD5AF1">
        <w:rPr>
          <w:i/>
        </w:rPr>
        <w:t>in vivo</w:t>
      </w:r>
      <w:r w:rsidRPr="00DD5AF1">
        <w:t xml:space="preserve"> inter</w:t>
      </w:r>
      <w:r>
        <w:t xml:space="preserve">action is considered possible; (3) </w:t>
      </w:r>
      <w:r w:rsidRPr="00DD5AF1">
        <w:t>for hepatic uptake transporters (OCT1, OATP1B1 and OATP1B3): if the IC</w:t>
      </w:r>
      <w:r w:rsidRPr="00DD5AF1">
        <w:rPr>
          <w:vertAlign w:val="subscript"/>
        </w:rPr>
        <w:t>50</w:t>
      </w:r>
      <w:r w:rsidRPr="00DD5AF1">
        <w:t xml:space="preserve"> is ≤</w:t>
      </w:r>
      <w:r>
        <w:t xml:space="preserve"> 25 </w:t>
      </w:r>
      <w:r w:rsidRPr="00DD5AF1">
        <w:t xml:space="preserve">fold the unbound hepatic inlet concentration, an </w:t>
      </w:r>
      <w:r w:rsidRPr="00DD5AF1">
        <w:rPr>
          <w:i/>
        </w:rPr>
        <w:t>in vivo</w:t>
      </w:r>
      <w:r w:rsidRPr="00DD5AF1">
        <w:t xml:space="preserve"> interaction is considered possible.</w:t>
      </w:r>
    </w:p>
  </w:footnote>
  <w:footnote w:id="10">
    <w:p w14:paraId="0632AB97" w14:textId="77777777" w:rsidR="00EF795A" w:rsidRPr="00590992" w:rsidRDefault="00EF795A" w:rsidP="0086046D">
      <w:pPr>
        <w:pStyle w:val="FootnoteText"/>
      </w:pPr>
      <w:r>
        <w:rPr>
          <w:rStyle w:val="FootnoteReference"/>
        </w:rPr>
        <w:footnoteRef/>
      </w:r>
      <w:r>
        <w:t xml:space="preserve"> </w:t>
      </w:r>
      <w:r w:rsidRPr="00B934B0">
        <w:rPr>
          <w:szCs w:val="19"/>
        </w:rPr>
        <w:t>ICH guideline M3(R2) on non-clinical safety studies for the conduct of human clinical trials and marketing authorisation for pharmace</w:t>
      </w:r>
      <w:r>
        <w:rPr>
          <w:szCs w:val="19"/>
        </w:rPr>
        <w:t>uticals (EMA/CPMP/ICH/286/1995)</w:t>
      </w:r>
    </w:p>
  </w:footnote>
  <w:footnote w:id="11">
    <w:p w14:paraId="60ED6B63" w14:textId="77777777" w:rsidR="00EF795A" w:rsidRPr="008D6338" w:rsidRDefault="00EF795A">
      <w:pPr>
        <w:pStyle w:val="FootnoteText"/>
        <w:rPr>
          <w:lang w:val="en-US"/>
        </w:rPr>
      </w:pPr>
      <w:r>
        <w:rPr>
          <w:rStyle w:val="FootnoteReference"/>
        </w:rPr>
        <w:footnoteRef/>
      </w:r>
      <w:r>
        <w:t xml:space="preserve"> </w:t>
      </w:r>
      <w:r w:rsidRPr="00B934B0">
        <w:rPr>
          <w:szCs w:val="19"/>
        </w:rPr>
        <w:t>ICH guideline M3 (R2) - questions and answers (EMA/CHMP/ICH/507008/2011)</w:t>
      </w:r>
    </w:p>
  </w:footnote>
  <w:footnote w:id="12">
    <w:p w14:paraId="0F3DA343" w14:textId="77777777" w:rsidR="00EF795A" w:rsidRPr="008D6338" w:rsidRDefault="00EF795A">
      <w:pPr>
        <w:pStyle w:val="FootnoteText"/>
        <w:rPr>
          <w:lang w:val="en-US"/>
        </w:rPr>
      </w:pPr>
      <w:r>
        <w:rPr>
          <w:rStyle w:val="FootnoteReference"/>
        </w:rPr>
        <w:footnoteRef/>
      </w:r>
      <w:r>
        <w:t xml:space="preserve"> </w:t>
      </w:r>
      <w:r w:rsidRPr="00B934B0">
        <w:rPr>
          <w:szCs w:val="19"/>
        </w:rPr>
        <w:t>ICH guideline S9 on nonclinical evaluation for anticancer pharmaceuticals (EMA/CHMP/ICH/646107/2008)</w:t>
      </w:r>
    </w:p>
  </w:footnote>
  <w:footnote w:id="13">
    <w:p w14:paraId="4AAD0334" w14:textId="77777777" w:rsidR="00EF795A" w:rsidRPr="008D6338" w:rsidRDefault="00EF795A">
      <w:pPr>
        <w:pStyle w:val="FootnoteText"/>
        <w:rPr>
          <w:lang w:val="en-US"/>
        </w:rPr>
      </w:pPr>
      <w:r>
        <w:rPr>
          <w:rStyle w:val="FootnoteReference"/>
        </w:rPr>
        <w:footnoteRef/>
      </w:r>
      <w:r>
        <w:t xml:space="preserve"> </w:t>
      </w:r>
      <w:r w:rsidRPr="00B934B0">
        <w:rPr>
          <w:szCs w:val="19"/>
        </w:rPr>
        <w:t>ICH guideline S6 (R1) – preclinical safety evaluation of biotechnology-derived pharmaceuticals (EMA/CHMP/ICH/731268/1998)</w:t>
      </w:r>
    </w:p>
  </w:footnote>
  <w:footnote w:id="14">
    <w:p w14:paraId="6A60AEC4" w14:textId="77777777" w:rsidR="00EF795A" w:rsidRPr="008D6338" w:rsidRDefault="00EF795A">
      <w:pPr>
        <w:pStyle w:val="FootnoteText"/>
        <w:rPr>
          <w:lang w:val="en-US"/>
        </w:rPr>
      </w:pPr>
      <w:r>
        <w:rPr>
          <w:rStyle w:val="FootnoteReference"/>
        </w:rPr>
        <w:footnoteRef/>
      </w:r>
      <w:r>
        <w:t xml:space="preserve"> </w:t>
      </w:r>
      <w:r w:rsidRPr="00B934B0">
        <w:rPr>
          <w:szCs w:val="19"/>
        </w:rPr>
        <w:t xml:space="preserve">ICH Topic S 4 Duration of Chronic Toxicity Testing in Animals (Rodent and Non Rodent Toxicity Testing; </w:t>
      </w:r>
      <w:r w:rsidRPr="00B934B0">
        <w:rPr>
          <w:rFonts w:eastAsiaTheme="minorHAnsi" w:cs="TimesNewRoman"/>
          <w:szCs w:val="19"/>
        </w:rPr>
        <w:t>CPMP/ICH/300/95</w:t>
      </w:r>
      <w:r w:rsidRPr="00B934B0">
        <w:rPr>
          <w:szCs w:val="19"/>
        </w:rPr>
        <w:t>);</w:t>
      </w:r>
    </w:p>
  </w:footnote>
  <w:footnote w:id="15">
    <w:p w14:paraId="1A1D7CFB" w14:textId="77777777" w:rsidR="00EF795A" w:rsidRPr="008D6338" w:rsidRDefault="00EF795A">
      <w:pPr>
        <w:pStyle w:val="FootnoteText"/>
        <w:rPr>
          <w:lang w:val="en-US"/>
        </w:rPr>
      </w:pPr>
      <w:r>
        <w:rPr>
          <w:rStyle w:val="FootnoteReference"/>
        </w:rPr>
        <w:footnoteRef/>
      </w:r>
      <w:r>
        <w:t xml:space="preserve"> </w:t>
      </w:r>
      <w:r w:rsidRPr="00B934B0">
        <w:rPr>
          <w:szCs w:val="19"/>
        </w:rPr>
        <w:t>Guideline on repeated dose toxicity (</w:t>
      </w:r>
      <w:r w:rsidRPr="00B934B0">
        <w:rPr>
          <w:rFonts w:eastAsiaTheme="minorHAnsi" w:cs="Verdana"/>
          <w:szCs w:val="19"/>
        </w:rPr>
        <w:t xml:space="preserve">CPMP/SWP/1042/99 Rev 1 </w:t>
      </w:r>
      <w:proofErr w:type="spellStart"/>
      <w:r w:rsidRPr="00B934B0">
        <w:rPr>
          <w:rFonts w:eastAsiaTheme="minorHAnsi" w:cs="Verdana"/>
          <w:szCs w:val="19"/>
        </w:rPr>
        <w:t>Corr</w:t>
      </w:r>
      <w:proofErr w:type="spellEnd"/>
      <w:r w:rsidRPr="00B934B0">
        <w:rPr>
          <w:rFonts w:eastAsiaTheme="minorHAnsi" w:cs="Verdana"/>
          <w:szCs w:val="19"/>
        </w:rPr>
        <w:t>*)</w:t>
      </w:r>
    </w:p>
  </w:footnote>
  <w:footnote w:id="16">
    <w:p w14:paraId="7850729C" w14:textId="77777777" w:rsidR="00EF795A" w:rsidRPr="000B4D7C" w:rsidRDefault="00EF795A" w:rsidP="0086046D">
      <w:pPr>
        <w:pStyle w:val="FootnoteText"/>
        <w:rPr>
          <w:lang w:val="en-US"/>
        </w:rPr>
      </w:pPr>
      <w:r>
        <w:rPr>
          <w:rStyle w:val="FootnoteReference"/>
        </w:rPr>
        <w:footnoteRef/>
      </w:r>
      <w:r>
        <w:t xml:space="preserve"> </w:t>
      </w:r>
      <w:proofErr w:type="gramStart"/>
      <w:r>
        <w:rPr>
          <w:lang w:val="en-US"/>
        </w:rPr>
        <w:t xml:space="preserve">Tack, D.K. </w:t>
      </w:r>
      <w:r>
        <w:rPr>
          <w:i/>
          <w:lang w:val="en-US"/>
        </w:rPr>
        <w:t>et al</w:t>
      </w:r>
      <w:r>
        <w:rPr>
          <w:lang w:val="en-US"/>
        </w:rPr>
        <w:t xml:space="preserve"> (2001).</w:t>
      </w:r>
      <w:proofErr w:type="gramEnd"/>
      <w:r>
        <w:rPr>
          <w:lang w:val="en-US"/>
        </w:rPr>
        <w:t xml:space="preserve"> </w:t>
      </w:r>
      <w:proofErr w:type="gramStart"/>
      <w:r>
        <w:rPr>
          <w:lang w:val="en-US"/>
        </w:rPr>
        <w:t xml:space="preserve">Development of hepatic </w:t>
      </w:r>
      <w:proofErr w:type="spellStart"/>
      <w:r>
        <w:rPr>
          <w:lang w:val="en-US"/>
        </w:rPr>
        <w:t>veno</w:t>
      </w:r>
      <w:proofErr w:type="spellEnd"/>
      <w:r>
        <w:rPr>
          <w:lang w:val="en-US"/>
        </w:rPr>
        <w:t xml:space="preserve">-occlusive disease after </w:t>
      </w:r>
      <w:proofErr w:type="spellStart"/>
      <w:r>
        <w:rPr>
          <w:lang w:val="en-US"/>
        </w:rPr>
        <w:t>Mylotarg</w:t>
      </w:r>
      <w:proofErr w:type="spellEnd"/>
      <w:r>
        <w:rPr>
          <w:lang w:val="en-US"/>
        </w:rPr>
        <w:t xml:space="preserve"> infusion for relapsed acute myeloid leukaemia.</w:t>
      </w:r>
      <w:proofErr w:type="gramEnd"/>
      <w:r>
        <w:rPr>
          <w:lang w:val="en-US"/>
        </w:rPr>
        <w:t xml:space="preserve"> </w:t>
      </w:r>
      <w:r>
        <w:rPr>
          <w:i/>
          <w:lang w:val="en-US"/>
        </w:rPr>
        <w:t xml:space="preserve">Bone Marrow Transplantation </w:t>
      </w:r>
      <w:r w:rsidRPr="00AF6A3A">
        <w:rPr>
          <w:lang w:val="en-US"/>
        </w:rPr>
        <w:t>28</w:t>
      </w:r>
      <w:r>
        <w:rPr>
          <w:b/>
          <w:lang w:val="en-US"/>
        </w:rPr>
        <w:t>:</w:t>
      </w:r>
      <w:r>
        <w:rPr>
          <w:lang w:val="en-US"/>
        </w:rPr>
        <w:t xml:space="preserve"> 895-897</w:t>
      </w:r>
    </w:p>
  </w:footnote>
  <w:footnote w:id="17">
    <w:p w14:paraId="4149CB2D" w14:textId="77777777" w:rsidR="00EF795A" w:rsidRPr="008177A2" w:rsidRDefault="00EF795A">
      <w:pPr>
        <w:pStyle w:val="FootnoteText"/>
        <w:rPr>
          <w:lang w:val="en-US"/>
        </w:rPr>
      </w:pPr>
      <w:r>
        <w:rPr>
          <w:rStyle w:val="FootnoteReference"/>
        </w:rPr>
        <w:footnoteRef/>
      </w:r>
      <w:r>
        <w:t xml:space="preserve"> </w:t>
      </w:r>
      <w:proofErr w:type="spellStart"/>
      <w:r w:rsidRPr="00B66419">
        <w:rPr>
          <w:lang w:val="en-US"/>
        </w:rPr>
        <w:t>McKoy</w:t>
      </w:r>
      <w:proofErr w:type="spellEnd"/>
      <w:r w:rsidRPr="00B66419">
        <w:rPr>
          <w:lang w:val="en-US"/>
        </w:rPr>
        <w:t xml:space="preserve">, J.M. et al (2007). </w:t>
      </w:r>
      <w:proofErr w:type="spellStart"/>
      <w:r w:rsidRPr="00B66419">
        <w:rPr>
          <w:lang w:val="en-US"/>
        </w:rPr>
        <w:t>Gemtuzumab</w:t>
      </w:r>
      <w:proofErr w:type="spellEnd"/>
      <w:r w:rsidRPr="00B66419">
        <w:rPr>
          <w:lang w:val="en-US"/>
        </w:rPr>
        <w:t xml:space="preserve"> </w:t>
      </w:r>
      <w:proofErr w:type="spellStart"/>
      <w:r w:rsidRPr="00B66419">
        <w:rPr>
          <w:lang w:val="en-US"/>
        </w:rPr>
        <w:t>ozogamicin</w:t>
      </w:r>
      <w:proofErr w:type="spellEnd"/>
      <w:r w:rsidRPr="00B66419">
        <w:rPr>
          <w:lang w:val="en-US"/>
        </w:rPr>
        <w:t>-associated sinusoidal obstructive syndrome (SOS): An overview from the research on adverse drug events and reports (RADAR) project</w:t>
      </w:r>
      <w:r w:rsidRPr="00AF6A3A">
        <w:rPr>
          <w:i/>
          <w:lang w:val="en-US"/>
        </w:rPr>
        <w:t>. Leukemia Research</w:t>
      </w:r>
      <w:r>
        <w:rPr>
          <w:lang w:val="en-US"/>
        </w:rPr>
        <w:t xml:space="preserve"> 31: 599-604</w:t>
      </w:r>
    </w:p>
  </w:footnote>
  <w:footnote w:id="18">
    <w:p w14:paraId="4704449B" w14:textId="77777777" w:rsidR="00EF795A" w:rsidRPr="008D2444" w:rsidRDefault="00EF795A" w:rsidP="0086046D">
      <w:pPr>
        <w:pStyle w:val="FootnoteText"/>
        <w:rPr>
          <w:lang w:val="en-US"/>
        </w:rPr>
      </w:pPr>
      <w:r>
        <w:rPr>
          <w:rStyle w:val="FootnoteReference"/>
        </w:rPr>
        <w:footnoteRef/>
      </w:r>
      <w:r>
        <w:t xml:space="preserve"> </w:t>
      </w:r>
      <w:proofErr w:type="gramStart"/>
      <w:r>
        <w:t xml:space="preserve">Narita, M. </w:t>
      </w:r>
      <w:r w:rsidRPr="00160FA8">
        <w:t>et al</w:t>
      </w:r>
      <w:r>
        <w:t xml:space="preserve"> (2012).</w:t>
      </w:r>
      <w:proofErr w:type="gramEnd"/>
      <w:r>
        <w:t xml:space="preserve"> Liver injury due to chemotherapy-induced sinusoidal obstruction syndrome is associated with sinusoidal </w:t>
      </w:r>
      <w:proofErr w:type="spellStart"/>
      <w:r>
        <w:t>capillarisation</w:t>
      </w:r>
      <w:proofErr w:type="spellEnd"/>
      <w:r>
        <w:t xml:space="preserve">. </w:t>
      </w:r>
      <w:r>
        <w:rPr>
          <w:i/>
        </w:rPr>
        <w:t>Annals of Surgical Oncology</w:t>
      </w:r>
      <w:r>
        <w:t xml:space="preserve"> </w:t>
      </w:r>
      <w:r w:rsidRPr="00AF6A3A">
        <w:t>19</w:t>
      </w:r>
      <w:r>
        <w:rPr>
          <w:b/>
        </w:rPr>
        <w:t>:</w:t>
      </w:r>
      <w:r>
        <w:t xml:space="preserve"> 2230-2337</w:t>
      </w:r>
    </w:p>
  </w:footnote>
  <w:footnote w:id="19">
    <w:p w14:paraId="09C8BE30" w14:textId="77777777" w:rsidR="00EF795A" w:rsidRPr="0075407A" w:rsidRDefault="00EF795A" w:rsidP="0086046D">
      <w:pPr>
        <w:pStyle w:val="FootnoteText"/>
        <w:rPr>
          <w:lang w:val="en-US"/>
        </w:rPr>
      </w:pPr>
      <w:r>
        <w:rPr>
          <w:rStyle w:val="FootnoteReference"/>
        </w:rPr>
        <w:footnoteRef/>
      </w:r>
      <w:r>
        <w:t xml:space="preserve">Thompson S.C. </w:t>
      </w:r>
      <w:r>
        <w:rPr>
          <w:i/>
        </w:rPr>
        <w:t xml:space="preserve">et al </w:t>
      </w:r>
      <w:r>
        <w:t xml:space="preserve">(1987). </w:t>
      </w:r>
      <w:proofErr w:type="gramStart"/>
      <w:r>
        <w:t>The effect of immunosuppressive agents on lymphocyte subsets in rat peripheral blood.</w:t>
      </w:r>
      <w:proofErr w:type="gramEnd"/>
      <w:r>
        <w:t xml:space="preserve"> </w:t>
      </w:r>
      <w:r>
        <w:rPr>
          <w:i/>
        </w:rPr>
        <w:t xml:space="preserve">International Journal of </w:t>
      </w:r>
      <w:proofErr w:type="spellStart"/>
      <w:r>
        <w:rPr>
          <w:i/>
        </w:rPr>
        <w:t>Immunopharmacology</w:t>
      </w:r>
      <w:proofErr w:type="spellEnd"/>
      <w:r>
        <w:t xml:space="preserve"> 9</w:t>
      </w:r>
      <w:r w:rsidRPr="00AF6A3A">
        <w:t>:</w:t>
      </w:r>
      <w:r>
        <w:t xml:space="preserve"> 747-759</w:t>
      </w:r>
    </w:p>
  </w:footnote>
  <w:footnote w:id="20">
    <w:p w14:paraId="7534DCAD" w14:textId="77777777" w:rsidR="00EF795A" w:rsidRPr="00AF6A3A" w:rsidRDefault="00EF795A" w:rsidP="0086046D">
      <w:pPr>
        <w:pStyle w:val="FootnoteText"/>
        <w:rPr>
          <w:lang w:val="en-US"/>
        </w:rPr>
      </w:pPr>
      <w:r>
        <w:rPr>
          <w:rStyle w:val="FootnoteReference"/>
        </w:rPr>
        <w:footnoteRef/>
      </w:r>
      <w:r>
        <w:t xml:space="preserve"> </w:t>
      </w:r>
      <w:proofErr w:type="gramStart"/>
      <w:r>
        <w:t xml:space="preserve">Moroni, M. </w:t>
      </w:r>
      <w:r w:rsidRPr="00160FA8">
        <w:t>et al</w:t>
      </w:r>
      <w:r>
        <w:t xml:space="preserve"> (2011).</w:t>
      </w:r>
      <w:proofErr w:type="gramEnd"/>
      <w:r>
        <w:t xml:space="preserve"> Haematological changes as prognostic indicators of survival: similarities between </w:t>
      </w:r>
      <w:proofErr w:type="spellStart"/>
      <w:r>
        <w:t>Göttingen</w:t>
      </w:r>
      <w:proofErr w:type="spellEnd"/>
      <w:r>
        <w:t xml:space="preserve"> </w:t>
      </w:r>
      <w:proofErr w:type="spellStart"/>
      <w:r>
        <w:t>minipigs</w:t>
      </w:r>
      <w:proofErr w:type="spellEnd"/>
      <w:r>
        <w:t xml:space="preserve">, humans and other large animal models. </w:t>
      </w:r>
      <w:proofErr w:type="spellStart"/>
      <w:r w:rsidRPr="005B43EB">
        <w:rPr>
          <w:i/>
        </w:rPr>
        <w:t>PLoS</w:t>
      </w:r>
      <w:proofErr w:type="spellEnd"/>
      <w:r w:rsidRPr="005B43EB">
        <w:rPr>
          <w:i/>
        </w:rPr>
        <w:t xml:space="preserve"> </w:t>
      </w:r>
      <w:r w:rsidRPr="00AF6A3A">
        <w:rPr>
          <w:i/>
        </w:rPr>
        <w:t>ONE</w:t>
      </w:r>
      <w:r w:rsidRPr="00AF6A3A">
        <w:t xml:space="preserve"> 6:</w:t>
      </w:r>
      <w:r w:rsidRPr="005B43EB">
        <w:t xml:space="preserve"> e25210. doi:10.1371/journal.pone.0025210</w:t>
      </w:r>
    </w:p>
  </w:footnote>
  <w:footnote w:id="21">
    <w:p w14:paraId="0802BD41" w14:textId="77777777" w:rsidR="00EF795A" w:rsidRPr="005B0E5E" w:rsidRDefault="00EF795A" w:rsidP="0086046D">
      <w:pPr>
        <w:pStyle w:val="FootnoteText"/>
        <w:rPr>
          <w:lang w:val="en-US"/>
        </w:rPr>
      </w:pPr>
      <w:r>
        <w:rPr>
          <w:rStyle w:val="FootnoteReference"/>
        </w:rPr>
        <w:footnoteRef/>
      </w:r>
      <w:r>
        <w:t xml:space="preserve"> Tajima, H</w:t>
      </w:r>
      <w:r w:rsidRPr="007A3382">
        <w:t xml:space="preserve">. </w:t>
      </w:r>
      <w:r w:rsidRPr="00160FA8">
        <w:t>et al</w:t>
      </w:r>
      <w:r>
        <w:t xml:space="preserve"> (2015). </w:t>
      </w:r>
      <w:proofErr w:type="spellStart"/>
      <w:r>
        <w:t>Oxaliplatin</w:t>
      </w:r>
      <w:proofErr w:type="spellEnd"/>
      <w:r>
        <w:t xml:space="preserve">-based chemotherapy induces </w:t>
      </w:r>
      <w:proofErr w:type="spellStart"/>
      <w:r>
        <w:t>extravasated</w:t>
      </w:r>
      <w:proofErr w:type="spellEnd"/>
      <w:r>
        <w:t xml:space="preserve"> platelet aggregation in the liver. </w:t>
      </w:r>
      <w:r>
        <w:rPr>
          <w:i/>
        </w:rPr>
        <w:t xml:space="preserve">Molecular and Clinical Oncology </w:t>
      </w:r>
      <w:r w:rsidRPr="00AF6A3A">
        <w:t>3</w:t>
      </w:r>
      <w:r>
        <w:rPr>
          <w:b/>
        </w:rPr>
        <w:t>:</w:t>
      </w:r>
      <w:r>
        <w:t xml:space="preserve"> 555-558.</w:t>
      </w:r>
    </w:p>
  </w:footnote>
  <w:footnote w:id="22">
    <w:p w14:paraId="6C23295F" w14:textId="77777777" w:rsidR="00EF795A" w:rsidRPr="00E541E4" w:rsidRDefault="00EF795A" w:rsidP="0086046D">
      <w:pPr>
        <w:pStyle w:val="FootnoteText"/>
        <w:rPr>
          <w:lang w:val="en-US"/>
        </w:rPr>
      </w:pPr>
      <w:r>
        <w:rPr>
          <w:rStyle w:val="FootnoteReference"/>
        </w:rPr>
        <w:footnoteRef/>
      </w:r>
      <w:r>
        <w:t xml:space="preserve"> </w:t>
      </w:r>
      <w:r>
        <w:rPr>
          <w:lang w:val="en-US"/>
        </w:rPr>
        <w:t xml:space="preserve">Foster, P.M.D. (1988). </w:t>
      </w:r>
      <w:proofErr w:type="gramStart"/>
      <w:r>
        <w:rPr>
          <w:lang w:val="en-US"/>
        </w:rPr>
        <w:t>Testicular</w:t>
      </w:r>
      <w:r w:rsidRPr="004E264E">
        <w:t xml:space="preserve"> Organisation</w:t>
      </w:r>
      <w:r>
        <w:rPr>
          <w:lang w:val="en-US"/>
        </w:rPr>
        <w:t xml:space="preserve"> and Biochemical Function.</w:t>
      </w:r>
      <w:proofErr w:type="gramEnd"/>
      <w:r>
        <w:rPr>
          <w:lang w:val="en-US"/>
        </w:rPr>
        <w:t xml:space="preserve"> </w:t>
      </w:r>
      <w:r>
        <w:rPr>
          <w:i/>
          <w:lang w:val="en-US"/>
        </w:rPr>
        <w:t xml:space="preserve">Physiology and Toxicology of Male Reproduction </w:t>
      </w:r>
      <w:r w:rsidRPr="00AF6A3A">
        <w:rPr>
          <w:lang w:val="en-US"/>
        </w:rPr>
        <w:t>Chapter 2</w:t>
      </w:r>
      <w:r>
        <w:rPr>
          <w:lang w:val="en-US"/>
        </w:rPr>
        <w:t>: 7-34. Ed. Lamb, J.C. &amp; Foster, P.M.D. Academic Press Inc.</w:t>
      </w:r>
    </w:p>
  </w:footnote>
  <w:footnote w:id="23">
    <w:p w14:paraId="1BF71BA6" w14:textId="77777777" w:rsidR="00EF795A" w:rsidRPr="008834E4" w:rsidRDefault="00EF795A" w:rsidP="0086046D">
      <w:pPr>
        <w:pStyle w:val="FootnoteText"/>
        <w:rPr>
          <w:lang w:val="en-US"/>
        </w:rPr>
      </w:pPr>
      <w:r>
        <w:rPr>
          <w:rStyle w:val="FootnoteReference"/>
        </w:rPr>
        <w:footnoteRef/>
      </w:r>
      <w:r>
        <w:t xml:space="preserve"> </w:t>
      </w:r>
      <w:proofErr w:type="gramStart"/>
      <w:r>
        <w:t xml:space="preserve">Kenyon, M. </w:t>
      </w:r>
      <w:r>
        <w:rPr>
          <w:i/>
        </w:rPr>
        <w:t>et al</w:t>
      </w:r>
      <w:r>
        <w:t xml:space="preserve"> (2007).</w:t>
      </w:r>
      <w:proofErr w:type="gramEnd"/>
      <w:r>
        <w:t xml:space="preserve"> </w:t>
      </w:r>
      <w:proofErr w:type="gramStart"/>
      <w:r>
        <w:t>An evaluation of the sensitivity of the Ames assay to discern low-level mutagenic impurities.</w:t>
      </w:r>
      <w:proofErr w:type="gramEnd"/>
      <w:r>
        <w:t xml:space="preserve"> </w:t>
      </w:r>
      <w:r>
        <w:rPr>
          <w:i/>
        </w:rPr>
        <w:t xml:space="preserve">Regulatory Toxicology and Pharmacology </w:t>
      </w:r>
      <w:r w:rsidRPr="008D611A">
        <w:t>48</w:t>
      </w:r>
      <w:r>
        <w:rPr>
          <w:b/>
        </w:rPr>
        <w:t>:</w:t>
      </w:r>
      <w:r>
        <w:t xml:space="preserve"> 75-86.</w:t>
      </w:r>
    </w:p>
  </w:footnote>
  <w:footnote w:id="24">
    <w:p w14:paraId="71EC65C6" w14:textId="77777777" w:rsidR="00EF795A" w:rsidRPr="00A67949" w:rsidRDefault="00EF795A" w:rsidP="0086046D">
      <w:pPr>
        <w:pStyle w:val="FootnoteText"/>
        <w:rPr>
          <w:lang w:val="en-US"/>
        </w:rPr>
      </w:pPr>
      <w:r>
        <w:rPr>
          <w:rStyle w:val="FootnoteReference"/>
        </w:rPr>
        <w:footnoteRef/>
      </w:r>
      <w:r>
        <w:t xml:space="preserve"> </w:t>
      </w:r>
      <w:r>
        <w:rPr>
          <w:lang w:val="en-US"/>
        </w:rPr>
        <w:t>EMA/CHMP/ICH/731268/1998; ICH guidelines S1 (Regulatory notice on changes to core guideline on rodent carcinogenicity testing of pharmaceuticals, EMA/CHMP/ICH/536328/2013 Rev.1)</w:t>
      </w:r>
    </w:p>
  </w:footnote>
  <w:footnote w:id="25">
    <w:p w14:paraId="15095F28" w14:textId="77777777" w:rsidR="00EF795A" w:rsidRPr="008177A2" w:rsidRDefault="00EF795A">
      <w:pPr>
        <w:pStyle w:val="FootnoteText"/>
        <w:rPr>
          <w:lang w:val="en-US"/>
        </w:rPr>
      </w:pPr>
      <w:r>
        <w:rPr>
          <w:rStyle w:val="FootnoteReference"/>
        </w:rPr>
        <w:footnoteRef/>
      </w:r>
      <w:r>
        <w:t xml:space="preserve"> </w:t>
      </w:r>
      <w:r>
        <w:rPr>
          <w:lang w:val="en-US"/>
        </w:rPr>
        <w:t>S1A (The need for carcinogenicity studies of pharmaceuticals, CPMP/ICH/140/95)</w:t>
      </w:r>
    </w:p>
  </w:footnote>
  <w:footnote w:id="26">
    <w:p w14:paraId="23944FAF" w14:textId="77777777" w:rsidR="00EF795A" w:rsidRPr="005930A4" w:rsidRDefault="00EF795A" w:rsidP="0086046D">
      <w:pPr>
        <w:pStyle w:val="FootnoteText"/>
        <w:rPr>
          <w:lang w:val="en-US"/>
        </w:rPr>
      </w:pPr>
      <w:r>
        <w:rPr>
          <w:rStyle w:val="FootnoteReference"/>
        </w:rPr>
        <w:footnoteRef/>
      </w:r>
      <w:r>
        <w:t xml:space="preserve"> EMA Guideline on Risk Assessment of Medicinal Products on Human Reproduction and Lactation: from Data to Labelling</w:t>
      </w:r>
      <w:r w:rsidRPr="005930A4">
        <w:t xml:space="preserve"> (EMEA/CHMP/203927/2005)</w:t>
      </w:r>
    </w:p>
  </w:footnote>
  <w:footnote w:id="27">
    <w:p w14:paraId="0BC1B15D" w14:textId="77777777" w:rsidR="00EF795A" w:rsidRPr="001D0208" w:rsidRDefault="00EF795A" w:rsidP="008177A2">
      <w:pPr>
        <w:pStyle w:val="FootnoteText"/>
        <w:rPr>
          <w:lang w:val="en-US"/>
        </w:rPr>
      </w:pPr>
      <w:r>
        <w:rPr>
          <w:rStyle w:val="FootnoteReference"/>
        </w:rPr>
        <w:footnoteRef/>
      </w:r>
      <w:r>
        <w:t xml:space="preserve"> </w:t>
      </w:r>
      <w:r w:rsidRPr="001D0208">
        <w:rPr>
          <w:rStyle w:val="FootnoteTextChar"/>
        </w:rPr>
        <w:t>Pregnancy Category D</w:t>
      </w:r>
      <w:r>
        <w:rPr>
          <w:rStyle w:val="FootnoteTextChar"/>
        </w:rPr>
        <w:t>:</w:t>
      </w:r>
      <w:r w:rsidRPr="001D0208">
        <w:rPr>
          <w:rStyle w:val="FootnoteTextChar"/>
        </w:rPr>
        <w:t xml:space="preserve"> Drugs which have </w:t>
      </w:r>
      <w:proofErr w:type="gramStart"/>
      <w:r w:rsidRPr="001D0208">
        <w:rPr>
          <w:rStyle w:val="FootnoteTextChar"/>
        </w:rPr>
        <w:t>caused,</w:t>
      </w:r>
      <w:proofErr w:type="gramEnd"/>
      <w:r w:rsidRPr="001D0208">
        <w:rPr>
          <w:rStyle w:val="FootnoteTextChar"/>
        </w:rP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8">
    <w:p w14:paraId="20BDE686" w14:textId="77777777" w:rsidR="00EF795A" w:rsidRPr="001D0208" w:rsidRDefault="00EF795A">
      <w:pPr>
        <w:pStyle w:val="FootnoteText"/>
        <w:rPr>
          <w:lang w:val="en-US"/>
        </w:rPr>
      </w:pPr>
      <w:r w:rsidRPr="008177A2">
        <w:rPr>
          <w:rStyle w:val="FootnoteReference"/>
        </w:rPr>
        <w:footnoteRef/>
      </w:r>
      <w:r w:rsidRPr="008177A2">
        <w:t xml:space="preserve"> </w:t>
      </w:r>
      <w:proofErr w:type="spellStart"/>
      <w:r w:rsidRPr="008177A2">
        <w:rPr>
          <w:lang w:val="en-US"/>
        </w:rPr>
        <w:t>Hoelzer</w:t>
      </w:r>
      <w:proofErr w:type="spellEnd"/>
      <w:r w:rsidRPr="008177A2">
        <w:rPr>
          <w:lang w:val="en-US"/>
        </w:rPr>
        <w:t xml:space="preserve"> D et al, 2016</w:t>
      </w:r>
      <w:r w:rsidRPr="008177A2">
        <w:rPr>
          <w:rFonts w:asciiTheme="minorHAnsi" w:eastAsiaTheme="minorHAnsi" w:hAnsiTheme="minorHAnsi" w:cs="Arial"/>
        </w:rPr>
        <w:t xml:space="preserve"> </w:t>
      </w:r>
      <w:proofErr w:type="gramStart"/>
      <w:r w:rsidRPr="008177A2">
        <w:rPr>
          <w:rFonts w:asciiTheme="minorHAnsi" w:eastAsiaTheme="minorHAnsi" w:hAnsiTheme="minorHAnsi" w:cs="Arial"/>
        </w:rPr>
        <w:t>Acute</w:t>
      </w:r>
      <w:proofErr w:type="gramEnd"/>
      <w:r w:rsidRPr="00CC60B0">
        <w:rPr>
          <w:rFonts w:asciiTheme="minorHAnsi" w:eastAsiaTheme="minorHAnsi" w:hAnsiTheme="minorHAnsi" w:cs="Arial"/>
        </w:rPr>
        <w:t xml:space="preserve"> lymphoblastic leukaemia in adult patients: ESMO clinical practice guidelines for diagnosis, treatment and follow-up. </w:t>
      </w:r>
      <w:r w:rsidRPr="008177A2">
        <w:rPr>
          <w:rFonts w:asciiTheme="minorHAnsi" w:eastAsiaTheme="minorHAnsi" w:hAnsiTheme="minorHAnsi" w:cs="Arial"/>
          <w:i/>
        </w:rPr>
        <w:t>Annals of Oncology</w:t>
      </w:r>
      <w:r w:rsidRPr="00CC60B0">
        <w:rPr>
          <w:rFonts w:asciiTheme="minorHAnsi" w:eastAsiaTheme="minorHAnsi" w:hAnsiTheme="minorHAnsi" w:cs="Arial"/>
        </w:rPr>
        <w:t xml:space="preserve"> 2016</w:t>
      </w:r>
      <w:r>
        <w:rPr>
          <w:rFonts w:asciiTheme="minorHAnsi" w:eastAsiaTheme="minorHAnsi" w:hAnsiTheme="minorHAnsi" w:cs="Arial"/>
        </w:rPr>
        <w:t>;</w:t>
      </w:r>
      <w:r w:rsidRPr="00CC60B0">
        <w:rPr>
          <w:rFonts w:asciiTheme="minorHAnsi" w:eastAsiaTheme="minorHAnsi" w:hAnsiTheme="minorHAnsi" w:cs="Arial"/>
        </w:rPr>
        <w:t xml:space="preserve"> 27 (Supplement 5)</w:t>
      </w:r>
      <w:r>
        <w:rPr>
          <w:rFonts w:asciiTheme="minorHAnsi" w:eastAsiaTheme="minorHAnsi" w:hAnsiTheme="minorHAnsi" w:cs="Arial"/>
        </w:rPr>
        <w:t>:69-</w:t>
      </w:r>
      <w:r w:rsidRPr="00CC60B0">
        <w:rPr>
          <w:rFonts w:asciiTheme="minorHAnsi" w:eastAsiaTheme="minorHAnsi" w:hAnsiTheme="minorHAnsi" w:cs="Arial"/>
        </w:rPr>
        <w:t>82.</w:t>
      </w:r>
    </w:p>
  </w:footnote>
  <w:footnote w:id="29">
    <w:p w14:paraId="77E68873" w14:textId="51882DCB" w:rsidR="00EF795A" w:rsidRPr="00160FA8" w:rsidRDefault="00EF795A">
      <w:pPr>
        <w:pStyle w:val="FootnoteText"/>
        <w:rPr>
          <w:lang w:val="en-US"/>
        </w:rPr>
      </w:pPr>
      <w:r>
        <w:rPr>
          <w:rStyle w:val="FootnoteReference"/>
        </w:rPr>
        <w:footnoteRef/>
      </w:r>
      <w:r>
        <w:t xml:space="preserve"> </w:t>
      </w:r>
      <w:r>
        <w:rPr>
          <w:lang w:val="en-US"/>
        </w:rPr>
        <w:t xml:space="preserve">Clarification: the data for patients with mild hepatic impairment (B2) was </w:t>
      </w:r>
      <w:proofErr w:type="spellStart"/>
      <w:r>
        <w:rPr>
          <w:lang w:val="en-US"/>
        </w:rPr>
        <w:t>badsed</w:t>
      </w:r>
      <w:proofErr w:type="spellEnd"/>
      <w:r>
        <w:rPr>
          <w:lang w:val="en-US"/>
        </w:rPr>
        <w:t xml:space="preserve"> on data from 8 patients.</w:t>
      </w:r>
    </w:p>
  </w:footnote>
  <w:footnote w:id="30">
    <w:p w14:paraId="30415CD3" w14:textId="77777777" w:rsidR="00EF795A" w:rsidRPr="00617F88" w:rsidRDefault="00EF795A">
      <w:pPr>
        <w:pStyle w:val="FootnoteText"/>
        <w:rPr>
          <w:lang w:val="en-US"/>
        </w:rPr>
      </w:pPr>
      <w:r>
        <w:rPr>
          <w:rStyle w:val="FootnoteReference"/>
        </w:rPr>
        <w:footnoteRef/>
      </w:r>
      <w:r>
        <w:t xml:space="preserve"> </w:t>
      </w:r>
      <w:proofErr w:type="gramStart"/>
      <w:r w:rsidRPr="000E66F5">
        <w:rPr>
          <w:lang w:val="en-US"/>
        </w:rPr>
        <w:t>CHMP/ICH/2/04</w:t>
      </w:r>
      <w:r>
        <w:rPr>
          <w:lang w:val="en-US"/>
        </w:rPr>
        <w:t xml:space="preserve">; </w:t>
      </w:r>
      <w:r>
        <w:t>Note for guidance on the clinical evaluation of QT/</w:t>
      </w:r>
      <w:proofErr w:type="spellStart"/>
      <w:r>
        <w:t>QTc</w:t>
      </w:r>
      <w:proofErr w:type="spellEnd"/>
      <w:r>
        <w:t xml:space="preserve"> interval prolongation and </w:t>
      </w:r>
      <w:proofErr w:type="spellStart"/>
      <w:r>
        <w:t>proarrhythmic</w:t>
      </w:r>
      <w:proofErr w:type="spellEnd"/>
      <w:r>
        <w:t xml:space="preserve"> potential for </w:t>
      </w:r>
      <w:proofErr w:type="spellStart"/>
      <w:r>
        <w:t>non antiarrhythmic</w:t>
      </w:r>
      <w:proofErr w:type="spellEnd"/>
      <w:r>
        <w:t xml:space="preserve"> drugs.</w:t>
      </w:r>
      <w:proofErr w:type="gramEnd"/>
    </w:p>
  </w:footnote>
  <w:footnote w:id="31">
    <w:p w14:paraId="5692E2B1" w14:textId="77777777" w:rsidR="00EF795A" w:rsidRPr="0041592A" w:rsidRDefault="00EF795A">
      <w:pPr>
        <w:pStyle w:val="FootnoteText"/>
        <w:rPr>
          <w:lang w:val="en-US"/>
        </w:rPr>
      </w:pPr>
      <w:r>
        <w:rPr>
          <w:rStyle w:val="FootnoteReference"/>
        </w:rPr>
        <w:footnoteRef/>
      </w:r>
      <w:r>
        <w:t xml:space="preserve"> </w:t>
      </w:r>
      <w:proofErr w:type="spellStart"/>
      <w:r>
        <w:t>QTcF</w:t>
      </w:r>
      <w:proofErr w:type="spellEnd"/>
      <w:r>
        <w:t xml:space="preserve"> = QT interval corrected for heart rate using </w:t>
      </w:r>
      <w:proofErr w:type="spellStart"/>
      <w:r>
        <w:t>Fridericia’s</w:t>
      </w:r>
      <w:proofErr w:type="spellEnd"/>
      <w:r>
        <w:t xml:space="preserve"> formula</w:t>
      </w:r>
    </w:p>
  </w:footnote>
  <w:footnote w:id="32">
    <w:p w14:paraId="5C0F8A8C" w14:textId="77777777" w:rsidR="00EF795A" w:rsidRPr="00E86989" w:rsidRDefault="00EF795A" w:rsidP="00617F88">
      <w:pPr>
        <w:pStyle w:val="FootnoteText"/>
      </w:pPr>
      <w:r>
        <w:rPr>
          <w:rStyle w:val="FootnoteReference"/>
        </w:rPr>
        <w:footnoteRef/>
      </w:r>
      <w:r>
        <w:t xml:space="preserve"> </w:t>
      </w:r>
      <w:proofErr w:type="spellStart"/>
      <w:r>
        <w:t>Kantarji</w:t>
      </w:r>
      <w:r w:rsidRPr="0006102A">
        <w:t>an</w:t>
      </w:r>
      <w:proofErr w:type="spellEnd"/>
      <w:r w:rsidRPr="0006102A">
        <w:t xml:space="preserve"> </w:t>
      </w:r>
      <w:r>
        <w:t xml:space="preserve">H </w:t>
      </w:r>
      <w:r w:rsidRPr="0006102A">
        <w:t>et al., 2013</w:t>
      </w:r>
      <w:r w:rsidRPr="00617F88">
        <w:t xml:space="preserve"> </w:t>
      </w:r>
      <w:r>
        <w:t xml:space="preserve">Results of Inotuzumab Ozogamicin, a CD22 Monoclonal Antibody, in Refractory and Relapsed Acute Lymphocytic </w:t>
      </w:r>
      <w:proofErr w:type="spellStart"/>
      <w:r w:rsidRPr="00E86989">
        <w:t>Leukemia</w:t>
      </w:r>
      <w:proofErr w:type="spellEnd"/>
      <w:r w:rsidRPr="00E86989">
        <w:t xml:space="preserve">. </w:t>
      </w:r>
      <w:r w:rsidRPr="00E86989">
        <w:rPr>
          <w:i/>
        </w:rPr>
        <w:t>Cancer</w:t>
      </w:r>
      <w:r w:rsidRPr="00E86989">
        <w:t xml:space="preserve"> 2013;119:2728-</w:t>
      </w:r>
      <w:r>
        <w:t>27</w:t>
      </w:r>
      <w:r w:rsidRPr="00E86989">
        <w:t>36</w:t>
      </w:r>
    </w:p>
  </w:footnote>
  <w:footnote w:id="33">
    <w:p w14:paraId="66B5B580" w14:textId="1B25B0C2" w:rsidR="00EF795A" w:rsidRPr="00160FA8" w:rsidRDefault="00EF795A">
      <w:pPr>
        <w:pStyle w:val="FootnoteText"/>
        <w:rPr>
          <w:lang w:val="en-US"/>
        </w:rPr>
      </w:pPr>
      <w:r>
        <w:rPr>
          <w:rStyle w:val="FootnoteReference"/>
        </w:rPr>
        <w:footnoteRef/>
      </w:r>
      <w:r>
        <w:t xml:space="preserve"> </w:t>
      </w:r>
      <w:r>
        <w:rPr>
          <w:lang w:val="en-US"/>
        </w:rPr>
        <w:t xml:space="preserve">Clarification: all deaths </w:t>
      </w:r>
      <w:r>
        <w:rPr>
          <w:rFonts w:cs="TimesNewRoman"/>
        </w:rPr>
        <w:t>including those occurring after follow-up HSCT</w:t>
      </w:r>
    </w:p>
  </w:footnote>
  <w:footnote w:id="34">
    <w:p w14:paraId="5B430C6D" w14:textId="77777777" w:rsidR="00EF795A" w:rsidRPr="00A232E5" w:rsidRDefault="00EF795A">
      <w:pPr>
        <w:pStyle w:val="FootnoteText"/>
        <w:rPr>
          <w:lang w:val="en-US"/>
        </w:rPr>
      </w:pPr>
      <w:r>
        <w:rPr>
          <w:rStyle w:val="FootnoteReference"/>
        </w:rPr>
        <w:footnoteRef/>
      </w:r>
      <w:r>
        <w:t xml:space="preserve"> ITT218 = ITT for the initial 218 patients randomized</w:t>
      </w:r>
    </w:p>
  </w:footnote>
  <w:footnote w:id="35">
    <w:p w14:paraId="36409D32" w14:textId="77777777" w:rsidR="00EF795A" w:rsidRPr="00BF79CA" w:rsidRDefault="00EF795A">
      <w:pPr>
        <w:pStyle w:val="FootnoteText"/>
        <w:rPr>
          <w:lang w:val="en-US"/>
        </w:rPr>
      </w:pPr>
      <w:r>
        <w:rPr>
          <w:rStyle w:val="FootnoteReference"/>
        </w:rPr>
        <w:footnoteRef/>
      </w:r>
      <w:r>
        <w:t xml:space="preserve"> EORTC QLQ-C30 = </w:t>
      </w:r>
      <w:r w:rsidRPr="00BF79CA">
        <w:t>European Organization for Research and Treatment of Cancer Quality of Life Questionnaire</w:t>
      </w:r>
    </w:p>
  </w:footnote>
  <w:footnote w:id="36">
    <w:p w14:paraId="67DB5AB5" w14:textId="77777777" w:rsidR="00EF795A" w:rsidRPr="000F385B" w:rsidRDefault="00EF795A" w:rsidP="000F385B">
      <w:pPr>
        <w:pStyle w:val="FootnoteText"/>
        <w:rPr>
          <w:lang w:val="en-US" w:eastAsia="ja-JP"/>
        </w:rPr>
      </w:pPr>
      <w:r>
        <w:rPr>
          <w:rStyle w:val="FootnoteReference"/>
        </w:rPr>
        <w:footnoteRef/>
      </w:r>
      <w:r>
        <w:t xml:space="preserve"> </w:t>
      </w:r>
      <w:proofErr w:type="spellStart"/>
      <w:r w:rsidRPr="00DD10E5">
        <w:rPr>
          <w:lang w:val="en-US" w:eastAsia="ja-JP"/>
        </w:rPr>
        <w:t>Kantarjian</w:t>
      </w:r>
      <w:proofErr w:type="spellEnd"/>
      <w:r w:rsidRPr="00DD10E5">
        <w:rPr>
          <w:lang w:val="en-US" w:eastAsia="ja-JP"/>
        </w:rPr>
        <w:t xml:space="preserve"> H et al, 2013</w:t>
      </w:r>
      <w:r>
        <w:rPr>
          <w:lang w:val="en-US" w:eastAsia="ja-JP"/>
        </w:rPr>
        <w:t xml:space="preserve">. </w:t>
      </w:r>
      <w:proofErr w:type="gramStart"/>
      <w:r w:rsidRPr="00DD10E5">
        <w:rPr>
          <w:lang w:val="en-US" w:eastAsia="ja-JP"/>
        </w:rPr>
        <w:t>Results of inotuzumab ozogamicin, a CD22 monoclonal antibody, in refractory and relapsed acute lymphocytic leukemia.</w:t>
      </w:r>
      <w:proofErr w:type="gramEnd"/>
      <w:r w:rsidRPr="00DD10E5">
        <w:rPr>
          <w:lang w:val="en-US" w:eastAsia="ja-JP"/>
        </w:rPr>
        <w:t xml:space="preserve"> </w:t>
      </w:r>
      <w:r w:rsidRPr="000F385B">
        <w:rPr>
          <w:i/>
          <w:lang w:val="en-US" w:eastAsia="ja-JP"/>
        </w:rPr>
        <w:t>Cancer</w:t>
      </w:r>
      <w:r>
        <w:rPr>
          <w:lang w:val="en-US" w:eastAsia="ja-JP"/>
        </w:rPr>
        <w:t xml:space="preserve"> 2013; 119</w:t>
      </w:r>
      <w:r w:rsidRPr="00DD10E5">
        <w:rPr>
          <w:lang w:val="en-US" w:eastAsia="ja-JP"/>
        </w:rPr>
        <w:t>:</w:t>
      </w:r>
      <w:r>
        <w:rPr>
          <w:lang w:val="en-US" w:eastAsia="ja-JP"/>
        </w:rPr>
        <w:t xml:space="preserve"> 2728-2736</w:t>
      </w:r>
    </w:p>
  </w:footnote>
  <w:footnote w:id="37">
    <w:p w14:paraId="6533BFE6" w14:textId="77777777" w:rsidR="00EF795A" w:rsidRPr="000F385B" w:rsidRDefault="00EF795A" w:rsidP="000F385B">
      <w:pPr>
        <w:pStyle w:val="FootnoteText"/>
        <w:rPr>
          <w:lang w:val="en-US"/>
        </w:rPr>
      </w:pPr>
      <w:r>
        <w:rPr>
          <w:rStyle w:val="FootnoteReference"/>
        </w:rPr>
        <w:footnoteRef/>
      </w:r>
      <w:r>
        <w:t xml:space="preserve"> </w:t>
      </w:r>
      <w:proofErr w:type="spellStart"/>
      <w:r>
        <w:rPr>
          <w:lang w:val="en-US" w:eastAsia="ja-JP"/>
        </w:rPr>
        <w:t>Rytting</w:t>
      </w:r>
      <w:proofErr w:type="spellEnd"/>
      <w:r>
        <w:rPr>
          <w:lang w:val="en-US" w:eastAsia="ja-JP"/>
        </w:rPr>
        <w:t xml:space="preserve"> M et al, 2014. </w:t>
      </w:r>
      <w:proofErr w:type="gramStart"/>
      <w:r w:rsidRPr="00DD10E5">
        <w:rPr>
          <w:lang w:val="en-US" w:eastAsia="ja-JP"/>
        </w:rPr>
        <w:t xml:space="preserve">Initial experience with CMC-544 (inotuzumab ozogamicin) in pediatric patients with relapsed </w:t>
      </w:r>
      <w:r>
        <w:rPr>
          <w:lang w:val="en-US" w:eastAsia="ja-JP"/>
        </w:rPr>
        <w:t>B cell</w:t>
      </w:r>
      <w:r w:rsidRPr="00DD10E5">
        <w:rPr>
          <w:lang w:val="en-US" w:eastAsia="ja-JP"/>
        </w:rPr>
        <w:t xml:space="preserve"> acute lymphoblastic leukemia.</w:t>
      </w:r>
      <w:proofErr w:type="gramEnd"/>
      <w:r w:rsidRPr="00DD10E5">
        <w:rPr>
          <w:lang w:val="en-US" w:eastAsia="ja-JP"/>
        </w:rPr>
        <w:t xml:space="preserve"> </w:t>
      </w:r>
      <w:proofErr w:type="spellStart"/>
      <w:r w:rsidRPr="000F385B">
        <w:rPr>
          <w:i/>
          <w:lang w:val="en-US" w:eastAsia="ja-JP"/>
        </w:rPr>
        <w:t>Pediatr</w:t>
      </w:r>
      <w:proofErr w:type="spellEnd"/>
      <w:r w:rsidRPr="000F385B">
        <w:rPr>
          <w:i/>
          <w:lang w:val="en-US" w:eastAsia="ja-JP"/>
        </w:rPr>
        <w:t xml:space="preserve"> Blood Cancer</w:t>
      </w:r>
      <w:r>
        <w:rPr>
          <w:lang w:val="en-US" w:eastAsia="ja-JP"/>
        </w:rPr>
        <w:t xml:space="preserve"> 2014; 61</w:t>
      </w:r>
      <w:r w:rsidRPr="00DD10E5">
        <w:rPr>
          <w:lang w:val="en-US" w:eastAsia="ja-JP"/>
        </w:rPr>
        <w:t>:</w:t>
      </w:r>
      <w:r>
        <w:rPr>
          <w:lang w:val="en-US" w:eastAsia="ja-JP"/>
        </w:rPr>
        <w:t xml:space="preserve"> 369-372</w:t>
      </w:r>
    </w:p>
  </w:footnote>
  <w:footnote w:id="38">
    <w:p w14:paraId="0D55B4D9" w14:textId="77777777" w:rsidR="00EF795A" w:rsidRPr="000F385B" w:rsidRDefault="00EF795A">
      <w:pPr>
        <w:pStyle w:val="FootnoteText"/>
        <w:rPr>
          <w:lang w:val="en-US"/>
        </w:rPr>
      </w:pPr>
      <w:r>
        <w:rPr>
          <w:rStyle w:val="FootnoteReference"/>
        </w:rPr>
        <w:footnoteRef/>
      </w:r>
      <w:r>
        <w:t xml:space="preserve"> </w:t>
      </w:r>
      <w:proofErr w:type="spellStart"/>
      <w:r w:rsidRPr="00DD10E5">
        <w:rPr>
          <w:lang w:val="en-US" w:eastAsia="ja-JP"/>
        </w:rPr>
        <w:t>Bhojwani</w:t>
      </w:r>
      <w:proofErr w:type="spellEnd"/>
      <w:r w:rsidRPr="00DD10E5">
        <w:rPr>
          <w:lang w:val="en-US" w:eastAsia="ja-JP"/>
        </w:rPr>
        <w:t xml:space="preserve"> D et al, 2017</w:t>
      </w:r>
      <w:r>
        <w:rPr>
          <w:lang w:val="en-US" w:eastAsia="ja-JP"/>
        </w:rPr>
        <w:t>.</w:t>
      </w:r>
      <w:r w:rsidRPr="000F385B">
        <w:rPr>
          <w:rFonts w:eastAsia="MS Mincho" w:cs="–Ô˜øªñ„"/>
          <w:lang w:val="en-US" w:eastAsia="ja-JP"/>
        </w:rPr>
        <w:t xml:space="preserve"> </w:t>
      </w:r>
      <w:proofErr w:type="gramStart"/>
      <w:r w:rsidRPr="00DD10E5">
        <w:rPr>
          <w:rFonts w:eastAsia="MS Mincho" w:cs="–Ô˜øªñ„"/>
          <w:lang w:val="en-US" w:eastAsia="ja-JP"/>
        </w:rPr>
        <w:t>Inotuzumab ozogamicin in pediatric patients with relapsed/refractory acute lymphoblastic leukemia (R/R ALL).</w:t>
      </w:r>
      <w:proofErr w:type="gramEnd"/>
      <w:r w:rsidRPr="00DD10E5">
        <w:rPr>
          <w:rFonts w:eastAsia="MS Mincho" w:cs="–Ô˜øªñ„"/>
          <w:lang w:val="en-US" w:eastAsia="ja-JP"/>
        </w:rPr>
        <w:t xml:space="preserve"> </w:t>
      </w:r>
      <w:r w:rsidRPr="000F385B">
        <w:rPr>
          <w:rFonts w:eastAsia="MS Mincho" w:cs="–Ô˜øªñ„"/>
          <w:i/>
          <w:lang w:val="en-US" w:eastAsia="ja-JP"/>
        </w:rPr>
        <w:t xml:space="preserve">J </w:t>
      </w:r>
      <w:proofErr w:type="spellStart"/>
      <w:r w:rsidRPr="000F385B">
        <w:rPr>
          <w:rFonts w:eastAsia="MS Mincho" w:cs="–Ô˜øªñ„"/>
          <w:i/>
          <w:lang w:val="en-US" w:eastAsia="ja-JP"/>
        </w:rPr>
        <w:t>Clin</w:t>
      </w:r>
      <w:proofErr w:type="spellEnd"/>
      <w:r w:rsidRPr="000F385B">
        <w:rPr>
          <w:rFonts w:eastAsia="MS Mincho" w:cs="–Ô˜øªñ„"/>
          <w:i/>
          <w:lang w:val="en-US" w:eastAsia="ja-JP"/>
        </w:rPr>
        <w:t xml:space="preserve"> </w:t>
      </w:r>
      <w:proofErr w:type="spellStart"/>
      <w:r w:rsidRPr="000F385B">
        <w:rPr>
          <w:rFonts w:eastAsia="MS Mincho" w:cs="–Ô˜øªñ„"/>
          <w:i/>
          <w:lang w:val="en-US" w:eastAsia="ja-JP"/>
        </w:rPr>
        <w:t>Oncol</w:t>
      </w:r>
      <w:proofErr w:type="spellEnd"/>
      <w:r>
        <w:rPr>
          <w:rFonts w:eastAsia="MS Mincho" w:cs="–Ô˜øªñ„"/>
          <w:lang w:val="en-US" w:eastAsia="ja-JP"/>
        </w:rPr>
        <w:t xml:space="preserve"> 2017; 35:10512</w:t>
      </w:r>
    </w:p>
  </w:footnote>
  <w:footnote w:id="39">
    <w:p w14:paraId="2C079797" w14:textId="77777777" w:rsidR="00EF795A" w:rsidRPr="000F385B" w:rsidRDefault="00EF795A">
      <w:pPr>
        <w:pStyle w:val="FootnoteText"/>
        <w:rPr>
          <w:lang w:val="en-US"/>
        </w:rPr>
      </w:pPr>
      <w:r>
        <w:rPr>
          <w:rStyle w:val="FootnoteReference"/>
        </w:rPr>
        <w:footnoteRef/>
      </w:r>
      <w:r>
        <w:t xml:space="preserve"> </w:t>
      </w:r>
      <w:r w:rsidRPr="00DD10E5">
        <w:rPr>
          <w:rFonts w:eastAsia="MS Mincho" w:cs="–Ô˜øªñ„"/>
          <w:lang w:val="en-US" w:eastAsia="ja-JP"/>
        </w:rPr>
        <w:t>Paediatric Investigational Plan (PIP) for inotuzumab ozogamicin: EMA PDCO opinion and decision: http://www.ema.europa.eu/ema/index.jsp?curl</w:t>
      </w:r>
      <w:r>
        <w:rPr>
          <w:rFonts w:eastAsia="MS Mincho" w:cs="–Ô˜øªñ„"/>
          <w:lang w:val="en-US" w:eastAsia="ja-JP"/>
        </w:rPr>
        <w:t xml:space="preserve"> = </w:t>
      </w:r>
      <w:r w:rsidRPr="00DD10E5">
        <w:rPr>
          <w:rFonts w:eastAsia="MS Mincho" w:cs="–Ô˜øªñ„"/>
          <w:lang w:val="en-US" w:eastAsia="ja-JP"/>
        </w:rPr>
        <w:t>pages/</w:t>
      </w:r>
    </w:p>
  </w:footnote>
  <w:footnote w:id="40">
    <w:p w14:paraId="3A4F3C85" w14:textId="77777777" w:rsidR="00EF795A" w:rsidRPr="000F385B" w:rsidRDefault="00EF795A">
      <w:pPr>
        <w:pStyle w:val="FootnoteText"/>
        <w:rPr>
          <w:lang w:val="en-US"/>
        </w:rPr>
      </w:pPr>
      <w:r>
        <w:rPr>
          <w:rStyle w:val="FootnoteReference"/>
        </w:rPr>
        <w:footnoteRef/>
      </w:r>
      <w:r>
        <w:t xml:space="preserve"> </w:t>
      </w:r>
      <w:proofErr w:type="spellStart"/>
      <w:r w:rsidRPr="000F385B">
        <w:t>Montillo</w:t>
      </w:r>
      <w:proofErr w:type="spellEnd"/>
      <w:r w:rsidRPr="000F385B">
        <w:t xml:space="preserve"> M, et al. Treatment of relapsed adult acute lymphoblastic </w:t>
      </w:r>
      <w:proofErr w:type="spellStart"/>
      <w:r w:rsidRPr="000F385B">
        <w:t>leukemia</w:t>
      </w:r>
      <w:proofErr w:type="spellEnd"/>
      <w:r w:rsidRPr="000F385B">
        <w:t xml:space="preserve"> with </w:t>
      </w:r>
      <w:proofErr w:type="spellStart"/>
      <w:r w:rsidRPr="000F385B">
        <w:t>fludarabine</w:t>
      </w:r>
      <w:proofErr w:type="spellEnd"/>
      <w:r w:rsidRPr="000F385B">
        <w:t xml:space="preserve"> and cytosine arabinoside followed by granulocyte colony-stimulating factor (FLAG-GCSF). </w:t>
      </w:r>
      <w:proofErr w:type="spellStart"/>
      <w:r w:rsidRPr="00764C9B">
        <w:rPr>
          <w:i/>
        </w:rPr>
        <w:t>Leuk</w:t>
      </w:r>
      <w:proofErr w:type="spellEnd"/>
      <w:r w:rsidRPr="00764C9B">
        <w:rPr>
          <w:i/>
        </w:rPr>
        <w:t xml:space="preserve"> Lymphoma</w:t>
      </w:r>
      <w:r w:rsidRPr="000F385B">
        <w:t xml:space="preserve"> 1997; 25: 579-583</w:t>
      </w:r>
    </w:p>
  </w:footnote>
  <w:footnote w:id="41">
    <w:p w14:paraId="0CD18ACB" w14:textId="77777777" w:rsidR="00EF795A" w:rsidRPr="000F385B" w:rsidRDefault="00EF795A">
      <w:pPr>
        <w:pStyle w:val="FootnoteText"/>
        <w:rPr>
          <w:lang w:val="en-US"/>
        </w:rPr>
      </w:pPr>
      <w:r>
        <w:rPr>
          <w:rStyle w:val="FootnoteReference"/>
        </w:rPr>
        <w:footnoteRef/>
      </w:r>
      <w:r>
        <w:t xml:space="preserve"> </w:t>
      </w:r>
      <w:proofErr w:type="spellStart"/>
      <w:proofErr w:type="gramStart"/>
      <w:r w:rsidRPr="000F385B">
        <w:t>Liso</w:t>
      </w:r>
      <w:proofErr w:type="spellEnd"/>
      <w:r w:rsidRPr="000F385B">
        <w:t xml:space="preserve"> V, et al. </w:t>
      </w:r>
      <w:proofErr w:type="spellStart"/>
      <w:r w:rsidRPr="000F385B">
        <w:t>Mitoxantrone</w:t>
      </w:r>
      <w:proofErr w:type="spellEnd"/>
      <w:r w:rsidRPr="000F385B">
        <w:t xml:space="preserve"> and continuous infusion of cytosine arabinoside in refractory and relapsed acute lymphoblastic </w:t>
      </w:r>
      <w:proofErr w:type="spellStart"/>
      <w:r w:rsidRPr="000F385B">
        <w:t>leukemia</w:t>
      </w:r>
      <w:proofErr w:type="spellEnd"/>
      <w:r w:rsidRPr="000F385B">
        <w:t>.</w:t>
      </w:r>
      <w:proofErr w:type="gramEnd"/>
      <w:r w:rsidRPr="000F385B">
        <w:t xml:space="preserve"> </w:t>
      </w:r>
      <w:proofErr w:type="spellStart"/>
      <w:proofErr w:type="gramStart"/>
      <w:r w:rsidRPr="00764C9B">
        <w:rPr>
          <w:i/>
        </w:rPr>
        <w:t>Acta</w:t>
      </w:r>
      <w:proofErr w:type="spellEnd"/>
      <w:r w:rsidRPr="00764C9B">
        <w:rPr>
          <w:i/>
        </w:rPr>
        <w:t xml:space="preserve"> </w:t>
      </w:r>
      <w:proofErr w:type="spellStart"/>
      <w:r w:rsidRPr="00764C9B">
        <w:rPr>
          <w:i/>
        </w:rPr>
        <w:t>Haematol</w:t>
      </w:r>
      <w:proofErr w:type="spellEnd"/>
      <w:r w:rsidRPr="000F385B">
        <w:t xml:space="preserve"> 1992;</w:t>
      </w:r>
      <w:r>
        <w:t xml:space="preserve"> 87</w:t>
      </w:r>
      <w:r w:rsidRPr="000F385B">
        <w:t>:</w:t>
      </w:r>
      <w:r>
        <w:t xml:space="preserve"> </w:t>
      </w:r>
      <w:r w:rsidRPr="000F385B">
        <w:t>54-</w:t>
      </w:r>
      <w:r>
        <w:t>5</w:t>
      </w:r>
      <w:r w:rsidRPr="000F385B">
        <w:t>7.</w:t>
      </w:r>
      <w:proofErr w:type="gramEnd"/>
    </w:p>
  </w:footnote>
  <w:footnote w:id="42">
    <w:p w14:paraId="5DC6445E" w14:textId="77777777" w:rsidR="00EF795A" w:rsidRPr="00764C9B" w:rsidRDefault="00EF795A" w:rsidP="00764C9B">
      <w:pPr>
        <w:pStyle w:val="FootnoteText"/>
      </w:pPr>
      <w:r w:rsidRPr="00764C9B">
        <w:rPr>
          <w:rStyle w:val="FootnoteReference"/>
        </w:rPr>
        <w:footnoteRef/>
      </w:r>
      <w:r w:rsidRPr="00764C9B">
        <w:t xml:space="preserve"> </w:t>
      </w:r>
      <w:proofErr w:type="spellStart"/>
      <w:r w:rsidRPr="00764C9B">
        <w:t>Herzig</w:t>
      </w:r>
      <w:proofErr w:type="spellEnd"/>
      <w:r w:rsidRPr="00764C9B">
        <w:t xml:space="preserve"> RH, et al. High-dose cytosine arabinoside therapy for refractory </w:t>
      </w:r>
      <w:proofErr w:type="spellStart"/>
      <w:r w:rsidRPr="00764C9B">
        <w:t>leukemia</w:t>
      </w:r>
      <w:proofErr w:type="spellEnd"/>
      <w:r w:rsidRPr="00764C9B">
        <w:t xml:space="preserve">. </w:t>
      </w:r>
      <w:r w:rsidRPr="00764C9B">
        <w:rPr>
          <w:i/>
        </w:rPr>
        <w:t xml:space="preserve">Blood </w:t>
      </w:r>
      <w:r>
        <w:t>1983; 62</w:t>
      </w:r>
      <w:r w:rsidRPr="00764C9B">
        <w:t>:</w:t>
      </w:r>
      <w:r>
        <w:t xml:space="preserve"> </w:t>
      </w:r>
      <w:r w:rsidRPr="00764C9B">
        <w:t>361-</w:t>
      </w:r>
      <w:r>
        <w:t>36</w:t>
      </w:r>
      <w:r w:rsidRPr="00764C9B">
        <w:t>9</w:t>
      </w:r>
    </w:p>
  </w:footnote>
  <w:footnote w:id="43">
    <w:p w14:paraId="1A39B3F3" w14:textId="77777777" w:rsidR="00EF795A" w:rsidRPr="00764C9B" w:rsidRDefault="00EF795A">
      <w:pPr>
        <w:pStyle w:val="FootnoteText"/>
        <w:rPr>
          <w:lang w:val="en-US"/>
        </w:rPr>
      </w:pPr>
      <w:r>
        <w:rPr>
          <w:rStyle w:val="FootnoteReference"/>
        </w:rPr>
        <w:footnoteRef/>
      </w:r>
      <w:r>
        <w:t xml:space="preserve"> </w:t>
      </w:r>
      <w:proofErr w:type="spellStart"/>
      <w:r w:rsidRPr="00764C9B">
        <w:t>Advani</w:t>
      </w:r>
      <w:proofErr w:type="spellEnd"/>
      <w:r w:rsidRPr="00764C9B">
        <w:t xml:space="preserve"> AS, et al. Response to high dose cytarabine (HIDAC) as first salvage for relapsed acute lymphocytic </w:t>
      </w:r>
      <w:proofErr w:type="spellStart"/>
      <w:r w:rsidRPr="00764C9B">
        <w:t>leukemia</w:t>
      </w:r>
      <w:proofErr w:type="spellEnd"/>
      <w:r w:rsidRPr="00764C9B">
        <w:t xml:space="preserve"> in patients receiving HIDAC as initial therapy</w:t>
      </w:r>
      <w:r w:rsidRPr="00764C9B">
        <w:rPr>
          <w:i/>
        </w:rPr>
        <w:t>. Blood</w:t>
      </w:r>
      <w:r w:rsidRPr="00764C9B">
        <w:t xml:space="preserve"> 2011;118:Abstr 2594</w:t>
      </w:r>
    </w:p>
  </w:footnote>
  <w:footnote w:id="44">
    <w:p w14:paraId="32B93709" w14:textId="77777777" w:rsidR="00EF795A" w:rsidRPr="00764C9B" w:rsidRDefault="00EF795A" w:rsidP="00764C9B">
      <w:pPr>
        <w:pStyle w:val="FootnoteText"/>
        <w:rPr>
          <w:lang w:val="en-US"/>
        </w:rPr>
      </w:pPr>
      <w:r>
        <w:rPr>
          <w:rStyle w:val="FootnoteReference"/>
        </w:rPr>
        <w:footnoteRef/>
      </w:r>
      <w:r>
        <w:t xml:space="preserve"> </w:t>
      </w:r>
      <w:proofErr w:type="spellStart"/>
      <w:r w:rsidRPr="00F51974">
        <w:rPr>
          <w:lang w:val="en-US" w:eastAsia="ja-JP"/>
        </w:rPr>
        <w:t>Specchia</w:t>
      </w:r>
      <w:proofErr w:type="spellEnd"/>
      <w:r w:rsidRPr="00F51974">
        <w:rPr>
          <w:lang w:val="en-US" w:eastAsia="ja-JP"/>
        </w:rPr>
        <w:t xml:space="preserve"> G, et al. FLAG-IDA in the treatment of refractory/relapsed adult acute lymphoblastic leukemia. </w:t>
      </w:r>
      <w:r w:rsidRPr="00764C9B">
        <w:rPr>
          <w:i/>
          <w:lang w:val="en-US" w:eastAsia="ja-JP"/>
        </w:rPr>
        <w:t xml:space="preserve">Ann </w:t>
      </w:r>
      <w:proofErr w:type="spellStart"/>
      <w:r w:rsidRPr="00764C9B">
        <w:rPr>
          <w:i/>
          <w:lang w:val="en-US" w:eastAsia="ja-JP"/>
        </w:rPr>
        <w:t>Hematol</w:t>
      </w:r>
      <w:proofErr w:type="spellEnd"/>
      <w:r w:rsidRPr="00764C9B">
        <w:rPr>
          <w:i/>
          <w:lang w:val="en-US" w:eastAsia="ja-JP"/>
        </w:rPr>
        <w:t xml:space="preserve"> </w:t>
      </w:r>
      <w:r w:rsidRPr="00F51974">
        <w:rPr>
          <w:lang w:val="en-US" w:eastAsia="ja-JP"/>
        </w:rPr>
        <w:t>2005;</w:t>
      </w:r>
      <w:r>
        <w:rPr>
          <w:lang w:val="en-US" w:eastAsia="ja-JP"/>
        </w:rPr>
        <w:t xml:space="preserve"> 84</w:t>
      </w:r>
      <w:r w:rsidRPr="00F51974">
        <w:rPr>
          <w:lang w:val="en-US" w:eastAsia="ja-JP"/>
        </w:rPr>
        <w:t>:</w:t>
      </w:r>
      <w:r>
        <w:rPr>
          <w:lang w:val="en-US" w:eastAsia="ja-JP"/>
        </w:rPr>
        <w:t xml:space="preserve"> </w:t>
      </w:r>
      <w:r w:rsidRPr="00F51974">
        <w:rPr>
          <w:lang w:val="en-US" w:eastAsia="ja-JP"/>
        </w:rPr>
        <w:t>792-</w:t>
      </w:r>
      <w:r>
        <w:rPr>
          <w:lang w:val="en-US" w:eastAsia="ja-JP"/>
        </w:rPr>
        <w:t>795</w:t>
      </w:r>
    </w:p>
  </w:footnote>
  <w:footnote w:id="45">
    <w:p w14:paraId="0681323C" w14:textId="77777777" w:rsidR="00EF795A" w:rsidRDefault="00EF795A"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570D2BC" w14:textId="77777777" w:rsidR="00EF795A" w:rsidRDefault="00EF795A" w:rsidP="00456765">
      <w:pPr>
        <w:pStyle w:val="FootnoteText"/>
      </w:pPr>
      <w:r w:rsidRPr="00F12492">
        <w:rPr>
          <w:i/>
        </w:rPr>
        <w:t>Routine pharmacovigilance</w:t>
      </w:r>
      <w:r>
        <w:t xml:space="preserve"> practices involve the following activities:</w:t>
      </w:r>
    </w:p>
    <w:p w14:paraId="74512CD8" w14:textId="77777777" w:rsidR="00EF795A" w:rsidRDefault="00EF795A" w:rsidP="008A74BD">
      <w:pPr>
        <w:pStyle w:val="FootnoteText"/>
        <w:numPr>
          <w:ilvl w:val="0"/>
          <w:numId w:val="6"/>
        </w:numPr>
      </w:pPr>
      <w:r>
        <w:t>All suspected adverse reactions that are reported to the personnel of the company are collected and collated in an accessible manner;</w:t>
      </w:r>
    </w:p>
    <w:p w14:paraId="69323D4C" w14:textId="77777777" w:rsidR="00EF795A" w:rsidRDefault="00EF795A" w:rsidP="008A74BD">
      <w:pPr>
        <w:pStyle w:val="FootnoteText"/>
        <w:numPr>
          <w:ilvl w:val="0"/>
          <w:numId w:val="6"/>
        </w:numPr>
      </w:pPr>
      <w:r>
        <w:t>Reporting to regulatory authorities;</w:t>
      </w:r>
    </w:p>
    <w:p w14:paraId="47667CED" w14:textId="77777777" w:rsidR="00EF795A" w:rsidRDefault="00EF795A" w:rsidP="008A74BD">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41D374A7" w14:textId="77777777" w:rsidR="00EF795A" w:rsidRDefault="00EF795A" w:rsidP="008A74BD">
      <w:pPr>
        <w:pStyle w:val="FootnoteText"/>
        <w:numPr>
          <w:ilvl w:val="0"/>
          <w:numId w:val="6"/>
        </w:numPr>
      </w:pPr>
      <w:r>
        <w:t>Submission of PSURs;</w:t>
      </w:r>
    </w:p>
    <w:p w14:paraId="682EFB5D" w14:textId="77777777" w:rsidR="00EF795A" w:rsidRPr="00F12492" w:rsidRDefault="00EF795A" w:rsidP="008A74BD">
      <w:pPr>
        <w:pStyle w:val="FootnoteText"/>
        <w:numPr>
          <w:ilvl w:val="0"/>
          <w:numId w:val="6"/>
        </w:numPr>
        <w:rPr>
          <w:lang w:val="en-US"/>
        </w:rPr>
      </w:pPr>
      <w:r>
        <w:t>Meeting other local regulatory agency requirements.</w:t>
      </w:r>
    </w:p>
  </w:footnote>
  <w:footnote w:id="46">
    <w:p w14:paraId="6D6E10AC" w14:textId="77777777" w:rsidR="00EF795A" w:rsidRDefault="00EF795A" w:rsidP="00082C72">
      <w:pPr>
        <w:pStyle w:val="FootnoteText"/>
      </w:pPr>
      <w:r>
        <w:rPr>
          <w:rStyle w:val="FootnoteReference"/>
        </w:rPr>
        <w:footnoteRef/>
      </w:r>
      <w:r>
        <w:t xml:space="preserve"> See </w:t>
      </w:r>
      <w:r w:rsidRPr="00722632">
        <w:t>www.tga.gov.au/black-triangle-scheme-information-sponsors</w:t>
      </w:r>
    </w:p>
  </w:footnote>
  <w:footnote w:id="47">
    <w:p w14:paraId="32829A49" w14:textId="77777777" w:rsidR="00EF795A" w:rsidRPr="00B228CE" w:rsidRDefault="00EF795A" w:rsidP="004C4372">
      <w:pPr>
        <w:pStyle w:val="FootnoteText"/>
        <w:rPr>
          <w:lang w:val="en-US"/>
        </w:rPr>
      </w:pPr>
      <w:r>
        <w:rPr>
          <w:rStyle w:val="FootnoteReference"/>
        </w:rPr>
        <w:footnoteRef/>
      </w:r>
      <w:r>
        <w:t xml:space="preserve"> </w:t>
      </w:r>
      <w:r>
        <w:rPr>
          <w:lang w:val="en-US"/>
        </w:rPr>
        <w:t xml:space="preserve">Freedman A, Aster J. Clinical manifestations, pathologic features, and diagnosis of precursor B cell acute lymphoblastic leukemia/lymphoma. </w:t>
      </w:r>
      <w:proofErr w:type="spellStart"/>
      <w:r>
        <w:rPr>
          <w:lang w:val="en-US"/>
        </w:rPr>
        <w:t>UpToDate</w:t>
      </w:r>
      <w:proofErr w:type="spellEnd"/>
      <w:r>
        <w:rPr>
          <w:lang w:val="en-US"/>
        </w:rPr>
        <w:t xml:space="preserve"> article, July 2017.</w:t>
      </w:r>
    </w:p>
  </w:footnote>
  <w:footnote w:id="48">
    <w:p w14:paraId="5765A97A" w14:textId="77777777" w:rsidR="00EF795A" w:rsidRPr="001612AD" w:rsidRDefault="00EF795A">
      <w:pPr>
        <w:pStyle w:val="FootnoteText"/>
        <w:rPr>
          <w:lang w:val="en-US"/>
        </w:rPr>
      </w:pPr>
      <w:r>
        <w:rPr>
          <w:rStyle w:val="FootnoteReference"/>
        </w:rPr>
        <w:footnoteRef/>
      </w:r>
      <w:r>
        <w:t xml:space="preserve"> </w:t>
      </w:r>
      <w:proofErr w:type="gramStart"/>
      <w:r w:rsidRPr="00CC60B0">
        <w:rPr>
          <w:rFonts w:asciiTheme="minorHAnsi" w:hAnsiTheme="minorHAnsi" w:cs="‡˚ø◊w‚"/>
          <w:lang w:val="en-US"/>
        </w:rPr>
        <w:t>AIHW, 2017.</w:t>
      </w:r>
      <w:proofErr w:type="gramEnd"/>
      <w:r w:rsidRPr="00CC60B0">
        <w:rPr>
          <w:rFonts w:asciiTheme="minorHAnsi" w:hAnsiTheme="minorHAnsi" w:cs="‡˚ø◊w‚"/>
          <w:lang w:val="en-US"/>
        </w:rPr>
        <w:t xml:space="preserve"> </w:t>
      </w:r>
      <w:proofErr w:type="gramStart"/>
      <w:r w:rsidRPr="00CC60B0">
        <w:rPr>
          <w:rFonts w:asciiTheme="minorHAnsi" w:eastAsia="Times New Roman" w:hAnsiTheme="minorHAnsi"/>
          <w:color w:val="000000"/>
        </w:rPr>
        <w:t>Australian Institute of Health and Welfare (AIHW) 2017.</w:t>
      </w:r>
      <w:proofErr w:type="gramEnd"/>
      <w:r w:rsidRPr="00CC60B0">
        <w:rPr>
          <w:rFonts w:asciiTheme="minorHAnsi" w:eastAsia="Times New Roman" w:hAnsiTheme="minorHAnsi"/>
          <w:color w:val="000000"/>
        </w:rPr>
        <w:t xml:space="preserve"> Australian Cancer Incidence and Mortality (ACIM) books: Acute lymphoblastic leukaemia (ALL). Canberra: AIHW. &lt;http://www.aihw.gov.au/acim-books&gt;.</w:t>
      </w:r>
    </w:p>
  </w:footnote>
  <w:footnote w:id="49">
    <w:p w14:paraId="0BB18A37" w14:textId="4827ECF5" w:rsidR="00EF795A" w:rsidRPr="00160FA8" w:rsidRDefault="00EF795A">
      <w:pPr>
        <w:pStyle w:val="FootnoteText"/>
        <w:rPr>
          <w:lang w:val="en-US"/>
        </w:rPr>
      </w:pPr>
      <w:r>
        <w:rPr>
          <w:rStyle w:val="FootnoteReference"/>
        </w:rPr>
        <w:footnoteRef/>
      </w:r>
      <w:r>
        <w:t xml:space="preserve">Clarification: the ITT population that proceeded to follow up HSCT was comprised of  </w:t>
      </w:r>
      <w:r>
        <w:rPr>
          <w:lang w:val="en-US"/>
        </w:rPr>
        <w:t xml:space="preserve">77 patients in </w:t>
      </w:r>
      <w:r w:rsidRPr="00AA53F4">
        <w:rPr>
          <w:lang w:val="en-US"/>
        </w:rPr>
        <w:t>the inotuzumab ozogamicin arm</w:t>
      </w:r>
      <w:r>
        <w:rPr>
          <w:lang w:val="en-US"/>
        </w:rPr>
        <w:t xml:space="preserve"> versus 33 .patients </w:t>
      </w:r>
      <w:r w:rsidRPr="00AA53F4">
        <w:rPr>
          <w:lang w:val="en-US"/>
        </w:rPr>
        <w:t>in the control arm</w:t>
      </w:r>
    </w:p>
  </w:footnote>
  <w:footnote w:id="50">
    <w:p w14:paraId="722387AE" w14:textId="77777777" w:rsidR="00EF795A" w:rsidRPr="003B149B" w:rsidRDefault="00EF795A" w:rsidP="00C23C32">
      <w:pPr>
        <w:pStyle w:val="FootnoteText"/>
        <w:rPr>
          <w:lang w:val="en-US"/>
        </w:rPr>
      </w:pPr>
      <w:r>
        <w:rPr>
          <w:rStyle w:val="FootnoteReference"/>
        </w:rPr>
        <w:footnoteRef/>
      </w:r>
      <w:r>
        <w:t xml:space="preserve"> </w:t>
      </w:r>
      <w:proofErr w:type="gramStart"/>
      <w:r>
        <w:rPr>
          <w:lang w:val="en-US"/>
        </w:rPr>
        <w:t xml:space="preserve">Larson, R. </w:t>
      </w:r>
      <w:r w:rsidRPr="003B149B">
        <w:rPr>
          <w:lang w:val="en-US"/>
        </w:rPr>
        <w:t>Induction therapy for Philadelphia chromosome negative acute lymphoblastic leukemia in adults</w:t>
      </w:r>
      <w:r>
        <w:rPr>
          <w:lang w:val="en-US"/>
        </w:rPr>
        <w:t>.</w:t>
      </w:r>
      <w:proofErr w:type="gramEnd"/>
      <w:r>
        <w:rPr>
          <w:lang w:val="en-US"/>
        </w:rPr>
        <w:t xml:space="preserve"> </w:t>
      </w:r>
      <w:proofErr w:type="spellStart"/>
      <w:proofErr w:type="gramStart"/>
      <w:r>
        <w:rPr>
          <w:lang w:val="en-US"/>
        </w:rPr>
        <w:t>UpToDate</w:t>
      </w:r>
      <w:proofErr w:type="spellEnd"/>
      <w:r>
        <w:rPr>
          <w:lang w:val="en-US"/>
        </w:rPr>
        <w:t xml:space="preserve"> article.</w:t>
      </w:r>
      <w:proofErr w:type="gramEnd"/>
      <w:r>
        <w:rPr>
          <w:lang w:val="en-US"/>
        </w:rPr>
        <w:t xml:space="preserve"> 12 January 2017.</w:t>
      </w:r>
    </w:p>
  </w:footnote>
  <w:footnote w:id="51">
    <w:p w14:paraId="581920A9" w14:textId="77777777" w:rsidR="00EF795A" w:rsidRDefault="00EF795A"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706D660" w14:textId="77777777" w:rsidR="00EF795A" w:rsidRPr="00456765" w:rsidRDefault="00EF795A"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C5BE6" w14:textId="77777777" w:rsidR="00EF795A" w:rsidRDefault="00EF795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496EB" w14:textId="77777777" w:rsidR="00EF795A" w:rsidRDefault="00EF795A">
    <w:pPr>
      <w:rPr>
        <w:noProof/>
        <w:lang w:eastAsia="en-AU"/>
      </w:rPr>
    </w:pPr>
    <w:r w:rsidRPr="00347824">
      <w:rPr>
        <w:noProof/>
        <w:lang w:eastAsia="en-AU"/>
      </w:rPr>
      <w:drawing>
        <wp:anchor distT="0" distB="0" distL="114300" distR="114300" simplePos="0" relativeHeight="251659264" behindDoc="1" locked="0" layoutInCell="1" allowOverlap="1" wp14:anchorId="2AAA199F" wp14:editId="5AA5B304">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EFE780F" w14:textId="77777777" w:rsidR="00EF795A" w:rsidRDefault="00EF795A" w:rsidP="00593AD1">
    <w:pPr>
      <w:pStyle w:val="HeaderNoLine"/>
    </w:pPr>
    <w:r>
      <w:rPr>
        <w:noProof/>
        <w:lang w:eastAsia="en-AU"/>
      </w:rPr>
      <w:drawing>
        <wp:inline distT="0" distB="0" distL="0" distR="0" wp14:anchorId="21D17A85" wp14:editId="7C560087">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A0C0E" w14:textId="77777777" w:rsidR="00EF795A" w:rsidRDefault="00EF79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1FEC3" w14:textId="77777777" w:rsidR="00EF795A" w:rsidRDefault="00EF795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CF4DD" w14:textId="77777777" w:rsidR="00EF795A" w:rsidRDefault="00EF795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C72CF" w14:textId="77777777" w:rsidR="00EF795A" w:rsidRDefault="00EF795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FFDB" w14:textId="77777777" w:rsidR="00EF795A" w:rsidRDefault="00EF795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0C6A7" w14:textId="77777777" w:rsidR="00EF795A" w:rsidRDefault="00EF795A" w:rsidP="006E08B3">
    <w:r>
      <w:t>Therapeutic Goods Administration</w:t>
    </w:r>
  </w:p>
  <w:p w14:paraId="58F1EBA7" w14:textId="77777777" w:rsidR="00EF795A" w:rsidRDefault="00EF795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F091E0"/>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68AEA24"/>
    <w:lvl w:ilvl="0">
      <w:start w:val="1"/>
      <w:numFmt w:val="bullet"/>
      <w:lvlText w:val=""/>
      <w:lvlJc w:val="left"/>
      <w:pPr>
        <w:tabs>
          <w:tab w:val="num" w:pos="360"/>
        </w:tabs>
        <w:ind w:left="360" w:hanging="360"/>
      </w:pPr>
      <w:rPr>
        <w:rFonts w:ascii="Symbol" w:hAnsi="Symbol" w:hint="default"/>
      </w:rPr>
    </w:lvl>
  </w:abstractNum>
  <w:abstractNum w:abstractNumId="2">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726814A"/>
    <w:styleLink w:val="ListBullets"/>
    <w:lvl w:ilvl="0">
      <w:start w:val="1"/>
      <w:numFmt w:val="bullet"/>
      <w:pStyle w:val="ListBullet"/>
      <w:lvlText w:val="•"/>
      <w:lvlJc w:val="left"/>
      <w:pPr>
        <w:ind w:left="360" w:hanging="360"/>
      </w:pPr>
      <w:rPr>
        <w:rFonts w:ascii="Arial" w:hAnsi="Arial" w:hint="default"/>
      </w:rPr>
    </w:lvl>
    <w:lvl w:ilvl="1">
      <w:start w:val="1"/>
      <w:numFmt w:val="bullet"/>
      <w:lvlText w:val=""/>
      <w:lvlJc w:val="left"/>
      <w:pPr>
        <w:ind w:left="928" w:hanging="360"/>
      </w:pPr>
      <w:rPr>
        <w:rFonts w:ascii="Symbol" w:hAnsi="Symbol" w:hint="default"/>
        <w:color w:val="auto"/>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A4457BB"/>
    <w:multiLevelType w:val="hybridMultilevel"/>
    <w:tmpl w:val="7A1A94E0"/>
    <w:lvl w:ilvl="0" w:tplc="489C0816">
      <w:start w:val="1"/>
      <w:numFmt w:val="bullet"/>
      <w:pStyle w:val="ListBullet2"/>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ADC0E22"/>
    <w:multiLevelType w:val="hybridMultilevel"/>
    <w:tmpl w:val="8604CC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C472025"/>
    <w:multiLevelType w:val="hybridMultilevel"/>
    <w:tmpl w:val="997CCBD0"/>
    <w:lvl w:ilvl="0" w:tplc="241807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05A7764"/>
    <w:multiLevelType w:val="hybridMultilevel"/>
    <w:tmpl w:val="3572DE98"/>
    <w:lvl w:ilvl="0" w:tplc="FC8E6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67746"/>
    <w:multiLevelType w:val="hybridMultilevel"/>
    <w:tmpl w:val="0D2473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6C734346"/>
    <w:multiLevelType w:val="hybridMultilevel"/>
    <w:tmpl w:val="0ED6A064"/>
    <w:lvl w:ilvl="0" w:tplc="BAB086E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E8C27BE"/>
    <w:multiLevelType w:val="hybridMultilevel"/>
    <w:tmpl w:val="44A019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2"/>
  </w:num>
  <w:num w:numId="7">
    <w:abstractNumId w:val="10"/>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3"/>
  </w:num>
  <w:num w:numId="15">
    <w:abstractNumId w:val="11"/>
  </w:num>
  <w:num w:numId="16">
    <w:abstractNumId w:val="7"/>
  </w:num>
  <w:num w:numId="17">
    <w:abstractNumId w:val="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979"/>
    <w:rsid w:val="00000E8D"/>
    <w:rsid w:val="00002031"/>
    <w:rsid w:val="00004734"/>
    <w:rsid w:val="000065BF"/>
    <w:rsid w:val="00006B22"/>
    <w:rsid w:val="00007ED8"/>
    <w:rsid w:val="0001276A"/>
    <w:rsid w:val="0001504A"/>
    <w:rsid w:val="0002254B"/>
    <w:rsid w:val="000246AE"/>
    <w:rsid w:val="00025C67"/>
    <w:rsid w:val="00032DD3"/>
    <w:rsid w:val="0003678E"/>
    <w:rsid w:val="00037F09"/>
    <w:rsid w:val="00044772"/>
    <w:rsid w:val="00050B4B"/>
    <w:rsid w:val="0005559E"/>
    <w:rsid w:val="00056912"/>
    <w:rsid w:val="000604D6"/>
    <w:rsid w:val="0006303D"/>
    <w:rsid w:val="000734D8"/>
    <w:rsid w:val="00074460"/>
    <w:rsid w:val="00077775"/>
    <w:rsid w:val="00082C72"/>
    <w:rsid w:val="00090471"/>
    <w:rsid w:val="00096AA7"/>
    <w:rsid w:val="000A094C"/>
    <w:rsid w:val="000A3AED"/>
    <w:rsid w:val="000A4125"/>
    <w:rsid w:val="000B3532"/>
    <w:rsid w:val="000B3920"/>
    <w:rsid w:val="000B3A75"/>
    <w:rsid w:val="000C00C2"/>
    <w:rsid w:val="000C2790"/>
    <w:rsid w:val="000C690F"/>
    <w:rsid w:val="000D10FE"/>
    <w:rsid w:val="000D1295"/>
    <w:rsid w:val="000D391B"/>
    <w:rsid w:val="000D3D6D"/>
    <w:rsid w:val="000D4FC7"/>
    <w:rsid w:val="000D519A"/>
    <w:rsid w:val="000D7A42"/>
    <w:rsid w:val="000E1569"/>
    <w:rsid w:val="000E5B21"/>
    <w:rsid w:val="000E6196"/>
    <w:rsid w:val="000E7D6F"/>
    <w:rsid w:val="000F385B"/>
    <w:rsid w:val="000F4869"/>
    <w:rsid w:val="000F5B42"/>
    <w:rsid w:val="000F6E6F"/>
    <w:rsid w:val="000F7D61"/>
    <w:rsid w:val="001030A8"/>
    <w:rsid w:val="0010601F"/>
    <w:rsid w:val="0010788A"/>
    <w:rsid w:val="00107A31"/>
    <w:rsid w:val="00110EA5"/>
    <w:rsid w:val="00112F56"/>
    <w:rsid w:val="00120245"/>
    <w:rsid w:val="00124ACD"/>
    <w:rsid w:val="00125318"/>
    <w:rsid w:val="0012591C"/>
    <w:rsid w:val="001305A2"/>
    <w:rsid w:val="00133238"/>
    <w:rsid w:val="001336C3"/>
    <w:rsid w:val="00133A1B"/>
    <w:rsid w:val="001348F0"/>
    <w:rsid w:val="001400FE"/>
    <w:rsid w:val="0014197B"/>
    <w:rsid w:val="001447CD"/>
    <w:rsid w:val="00145966"/>
    <w:rsid w:val="0014606A"/>
    <w:rsid w:val="001516B1"/>
    <w:rsid w:val="00154EBB"/>
    <w:rsid w:val="00156316"/>
    <w:rsid w:val="00157D39"/>
    <w:rsid w:val="00160FA8"/>
    <w:rsid w:val="00161181"/>
    <w:rsid w:val="001612AD"/>
    <w:rsid w:val="00162C11"/>
    <w:rsid w:val="00162D14"/>
    <w:rsid w:val="00163780"/>
    <w:rsid w:val="00165389"/>
    <w:rsid w:val="00175786"/>
    <w:rsid w:val="0017693F"/>
    <w:rsid w:val="0018110E"/>
    <w:rsid w:val="00181684"/>
    <w:rsid w:val="001843C6"/>
    <w:rsid w:val="001850E0"/>
    <w:rsid w:val="00186366"/>
    <w:rsid w:val="001863A5"/>
    <w:rsid w:val="001966F7"/>
    <w:rsid w:val="001A2158"/>
    <w:rsid w:val="001A22EF"/>
    <w:rsid w:val="001A2C8B"/>
    <w:rsid w:val="001A489E"/>
    <w:rsid w:val="001A525F"/>
    <w:rsid w:val="001A6D74"/>
    <w:rsid w:val="001B09F9"/>
    <w:rsid w:val="001B1CC0"/>
    <w:rsid w:val="001B40E2"/>
    <w:rsid w:val="001B5C90"/>
    <w:rsid w:val="001B6448"/>
    <w:rsid w:val="001C28A7"/>
    <w:rsid w:val="001C2947"/>
    <w:rsid w:val="001C32CD"/>
    <w:rsid w:val="001C6CF5"/>
    <w:rsid w:val="001C7254"/>
    <w:rsid w:val="001D009B"/>
    <w:rsid w:val="001D0208"/>
    <w:rsid w:val="001D2984"/>
    <w:rsid w:val="001D4755"/>
    <w:rsid w:val="001E07CF"/>
    <w:rsid w:val="001E5819"/>
    <w:rsid w:val="001E59F1"/>
    <w:rsid w:val="001E7720"/>
    <w:rsid w:val="001F0DE2"/>
    <w:rsid w:val="001F2CEE"/>
    <w:rsid w:val="001F49EB"/>
    <w:rsid w:val="001F5892"/>
    <w:rsid w:val="001F6CBA"/>
    <w:rsid w:val="00200CE5"/>
    <w:rsid w:val="00201D4E"/>
    <w:rsid w:val="002076C9"/>
    <w:rsid w:val="00207A5E"/>
    <w:rsid w:val="00220B8A"/>
    <w:rsid w:val="0022174E"/>
    <w:rsid w:val="002257F3"/>
    <w:rsid w:val="00233456"/>
    <w:rsid w:val="002339A5"/>
    <w:rsid w:val="002406E7"/>
    <w:rsid w:val="0024212E"/>
    <w:rsid w:val="002468EF"/>
    <w:rsid w:val="00257265"/>
    <w:rsid w:val="00257848"/>
    <w:rsid w:val="0026073B"/>
    <w:rsid w:val="00264844"/>
    <w:rsid w:val="0027084A"/>
    <w:rsid w:val="002754B3"/>
    <w:rsid w:val="002831C1"/>
    <w:rsid w:val="00286434"/>
    <w:rsid w:val="00286C59"/>
    <w:rsid w:val="00291957"/>
    <w:rsid w:val="002942D1"/>
    <w:rsid w:val="0029501A"/>
    <w:rsid w:val="002A13F4"/>
    <w:rsid w:val="002A3721"/>
    <w:rsid w:val="002B0493"/>
    <w:rsid w:val="002B1638"/>
    <w:rsid w:val="002B3624"/>
    <w:rsid w:val="002B4DE1"/>
    <w:rsid w:val="002C090F"/>
    <w:rsid w:val="002D0952"/>
    <w:rsid w:val="002D0F49"/>
    <w:rsid w:val="002E2B30"/>
    <w:rsid w:val="002E40B3"/>
    <w:rsid w:val="002E4C47"/>
    <w:rsid w:val="002E4C9A"/>
    <w:rsid w:val="002E7840"/>
    <w:rsid w:val="002F076F"/>
    <w:rsid w:val="002F11F8"/>
    <w:rsid w:val="002F1741"/>
    <w:rsid w:val="002F3F56"/>
    <w:rsid w:val="002F44B5"/>
    <w:rsid w:val="002F5122"/>
    <w:rsid w:val="003003FB"/>
    <w:rsid w:val="0030065C"/>
    <w:rsid w:val="00311AC0"/>
    <w:rsid w:val="0031422A"/>
    <w:rsid w:val="003176FC"/>
    <w:rsid w:val="0032583B"/>
    <w:rsid w:val="00327883"/>
    <w:rsid w:val="003308E5"/>
    <w:rsid w:val="00335504"/>
    <w:rsid w:val="00340C18"/>
    <w:rsid w:val="003442FD"/>
    <w:rsid w:val="00347824"/>
    <w:rsid w:val="00350567"/>
    <w:rsid w:val="003521E8"/>
    <w:rsid w:val="003544BF"/>
    <w:rsid w:val="0035683C"/>
    <w:rsid w:val="00370CE3"/>
    <w:rsid w:val="003728F3"/>
    <w:rsid w:val="003735BC"/>
    <w:rsid w:val="0037496E"/>
    <w:rsid w:val="0037579B"/>
    <w:rsid w:val="00383221"/>
    <w:rsid w:val="00386150"/>
    <w:rsid w:val="003863B8"/>
    <w:rsid w:val="00386566"/>
    <w:rsid w:val="003874CE"/>
    <w:rsid w:val="00390900"/>
    <w:rsid w:val="00392B3A"/>
    <w:rsid w:val="00395C6E"/>
    <w:rsid w:val="00395CBB"/>
    <w:rsid w:val="003A7F6C"/>
    <w:rsid w:val="003B4D60"/>
    <w:rsid w:val="003B7E39"/>
    <w:rsid w:val="003C2D74"/>
    <w:rsid w:val="003C57CD"/>
    <w:rsid w:val="003C58DC"/>
    <w:rsid w:val="003D1E62"/>
    <w:rsid w:val="003E03F3"/>
    <w:rsid w:val="003E0B99"/>
    <w:rsid w:val="003E0E20"/>
    <w:rsid w:val="003E2486"/>
    <w:rsid w:val="003E3208"/>
    <w:rsid w:val="003E493F"/>
    <w:rsid w:val="003F0B04"/>
    <w:rsid w:val="003F2C55"/>
    <w:rsid w:val="0040134E"/>
    <w:rsid w:val="0040320A"/>
    <w:rsid w:val="00404C55"/>
    <w:rsid w:val="0040513A"/>
    <w:rsid w:val="0040789F"/>
    <w:rsid w:val="00414B09"/>
    <w:rsid w:val="0041592A"/>
    <w:rsid w:val="0042126D"/>
    <w:rsid w:val="00421644"/>
    <w:rsid w:val="004236F0"/>
    <w:rsid w:val="004322C0"/>
    <w:rsid w:val="004334C7"/>
    <w:rsid w:val="00440A2D"/>
    <w:rsid w:val="00441C3F"/>
    <w:rsid w:val="0044261C"/>
    <w:rsid w:val="004564A7"/>
    <w:rsid w:val="00456765"/>
    <w:rsid w:val="004617BF"/>
    <w:rsid w:val="00463658"/>
    <w:rsid w:val="004637A0"/>
    <w:rsid w:val="004722CC"/>
    <w:rsid w:val="00472D7B"/>
    <w:rsid w:val="00475D35"/>
    <w:rsid w:val="004875A2"/>
    <w:rsid w:val="004903E4"/>
    <w:rsid w:val="004936E4"/>
    <w:rsid w:val="00494E60"/>
    <w:rsid w:val="00497487"/>
    <w:rsid w:val="004A6189"/>
    <w:rsid w:val="004A7390"/>
    <w:rsid w:val="004B6545"/>
    <w:rsid w:val="004B6A54"/>
    <w:rsid w:val="004B7B76"/>
    <w:rsid w:val="004C209D"/>
    <w:rsid w:val="004C239D"/>
    <w:rsid w:val="004C2DCA"/>
    <w:rsid w:val="004C4261"/>
    <w:rsid w:val="004C4372"/>
    <w:rsid w:val="004C61D2"/>
    <w:rsid w:val="004E2608"/>
    <w:rsid w:val="004F0C4A"/>
    <w:rsid w:val="004F0F38"/>
    <w:rsid w:val="004F47D6"/>
    <w:rsid w:val="004F6012"/>
    <w:rsid w:val="004F6D5F"/>
    <w:rsid w:val="00500337"/>
    <w:rsid w:val="00501921"/>
    <w:rsid w:val="00503681"/>
    <w:rsid w:val="00510CE0"/>
    <w:rsid w:val="0051318D"/>
    <w:rsid w:val="00526837"/>
    <w:rsid w:val="00530354"/>
    <w:rsid w:val="00534F11"/>
    <w:rsid w:val="0053625B"/>
    <w:rsid w:val="00537FF4"/>
    <w:rsid w:val="005434C6"/>
    <w:rsid w:val="00543B39"/>
    <w:rsid w:val="00545E81"/>
    <w:rsid w:val="00546154"/>
    <w:rsid w:val="00547732"/>
    <w:rsid w:val="00550096"/>
    <w:rsid w:val="00555280"/>
    <w:rsid w:val="00557FF9"/>
    <w:rsid w:val="00562327"/>
    <w:rsid w:val="005711CA"/>
    <w:rsid w:val="005711D5"/>
    <w:rsid w:val="00573150"/>
    <w:rsid w:val="00576378"/>
    <w:rsid w:val="00577130"/>
    <w:rsid w:val="00577945"/>
    <w:rsid w:val="00577E38"/>
    <w:rsid w:val="00585322"/>
    <w:rsid w:val="005857C6"/>
    <w:rsid w:val="00590138"/>
    <w:rsid w:val="00592F6E"/>
    <w:rsid w:val="00593AD1"/>
    <w:rsid w:val="0059673E"/>
    <w:rsid w:val="005A49AC"/>
    <w:rsid w:val="005A68B6"/>
    <w:rsid w:val="005B0E05"/>
    <w:rsid w:val="005B4F69"/>
    <w:rsid w:val="005C4508"/>
    <w:rsid w:val="005C4B92"/>
    <w:rsid w:val="005C5570"/>
    <w:rsid w:val="005C79A4"/>
    <w:rsid w:val="005D1CEA"/>
    <w:rsid w:val="005D5442"/>
    <w:rsid w:val="005E3F8D"/>
    <w:rsid w:val="005F5CD1"/>
    <w:rsid w:val="006000AF"/>
    <w:rsid w:val="00603972"/>
    <w:rsid w:val="00603BFA"/>
    <w:rsid w:val="00603F32"/>
    <w:rsid w:val="00605AD4"/>
    <w:rsid w:val="00606664"/>
    <w:rsid w:val="0060735C"/>
    <w:rsid w:val="006136D7"/>
    <w:rsid w:val="00615666"/>
    <w:rsid w:val="00617F88"/>
    <w:rsid w:val="006251E6"/>
    <w:rsid w:val="00625A6E"/>
    <w:rsid w:val="00630D85"/>
    <w:rsid w:val="00632398"/>
    <w:rsid w:val="00633035"/>
    <w:rsid w:val="00637155"/>
    <w:rsid w:val="00640FC3"/>
    <w:rsid w:val="00642020"/>
    <w:rsid w:val="0064216E"/>
    <w:rsid w:val="00643384"/>
    <w:rsid w:val="0065011A"/>
    <w:rsid w:val="0065337B"/>
    <w:rsid w:val="0065419D"/>
    <w:rsid w:val="006603BC"/>
    <w:rsid w:val="006604D8"/>
    <w:rsid w:val="006644FB"/>
    <w:rsid w:val="00664A5B"/>
    <w:rsid w:val="0066735C"/>
    <w:rsid w:val="006763D2"/>
    <w:rsid w:val="006779D9"/>
    <w:rsid w:val="00680C08"/>
    <w:rsid w:val="00687907"/>
    <w:rsid w:val="006916A0"/>
    <w:rsid w:val="006931B1"/>
    <w:rsid w:val="006A15C0"/>
    <w:rsid w:val="006A3171"/>
    <w:rsid w:val="006A3959"/>
    <w:rsid w:val="006C0BD9"/>
    <w:rsid w:val="006C3232"/>
    <w:rsid w:val="006C3E2A"/>
    <w:rsid w:val="006C642F"/>
    <w:rsid w:val="006C667E"/>
    <w:rsid w:val="006D03E5"/>
    <w:rsid w:val="006D5D3E"/>
    <w:rsid w:val="006D6A59"/>
    <w:rsid w:val="006E08B3"/>
    <w:rsid w:val="006E0B38"/>
    <w:rsid w:val="006E3A0B"/>
    <w:rsid w:val="006E72D7"/>
    <w:rsid w:val="006F012E"/>
    <w:rsid w:val="006F17AC"/>
    <w:rsid w:val="006F25B8"/>
    <w:rsid w:val="006F4AEA"/>
    <w:rsid w:val="006F4B4B"/>
    <w:rsid w:val="006F572E"/>
    <w:rsid w:val="00700F0D"/>
    <w:rsid w:val="00702E7C"/>
    <w:rsid w:val="007046D6"/>
    <w:rsid w:val="00705DB0"/>
    <w:rsid w:val="007166CE"/>
    <w:rsid w:val="00720CCE"/>
    <w:rsid w:val="00722B57"/>
    <w:rsid w:val="00730F8A"/>
    <w:rsid w:val="00731A6B"/>
    <w:rsid w:val="00735A8C"/>
    <w:rsid w:val="0074253D"/>
    <w:rsid w:val="00742769"/>
    <w:rsid w:val="0074335D"/>
    <w:rsid w:val="0074429B"/>
    <w:rsid w:val="007576A0"/>
    <w:rsid w:val="007615BC"/>
    <w:rsid w:val="00762F05"/>
    <w:rsid w:val="00763C38"/>
    <w:rsid w:val="00764C9B"/>
    <w:rsid w:val="007652FF"/>
    <w:rsid w:val="00767BD3"/>
    <w:rsid w:val="00770CAC"/>
    <w:rsid w:val="00770EF1"/>
    <w:rsid w:val="00772DA0"/>
    <w:rsid w:val="00773EF7"/>
    <w:rsid w:val="00774CDA"/>
    <w:rsid w:val="00774E1D"/>
    <w:rsid w:val="00775010"/>
    <w:rsid w:val="007765D8"/>
    <w:rsid w:val="0077675A"/>
    <w:rsid w:val="00777DBC"/>
    <w:rsid w:val="00780355"/>
    <w:rsid w:val="007819FD"/>
    <w:rsid w:val="00783A1B"/>
    <w:rsid w:val="00785717"/>
    <w:rsid w:val="00785721"/>
    <w:rsid w:val="00793A59"/>
    <w:rsid w:val="00795F3A"/>
    <w:rsid w:val="007A05BB"/>
    <w:rsid w:val="007A3382"/>
    <w:rsid w:val="007A46F5"/>
    <w:rsid w:val="007A55B5"/>
    <w:rsid w:val="007B6132"/>
    <w:rsid w:val="007B69E1"/>
    <w:rsid w:val="007B6E9F"/>
    <w:rsid w:val="007C09CF"/>
    <w:rsid w:val="007C1216"/>
    <w:rsid w:val="007C1AF7"/>
    <w:rsid w:val="007C2763"/>
    <w:rsid w:val="007C29C6"/>
    <w:rsid w:val="007C6B9B"/>
    <w:rsid w:val="007D2F87"/>
    <w:rsid w:val="007D6AD4"/>
    <w:rsid w:val="007F237B"/>
    <w:rsid w:val="007F616B"/>
    <w:rsid w:val="00803084"/>
    <w:rsid w:val="00804C92"/>
    <w:rsid w:val="00805D27"/>
    <w:rsid w:val="00806DCB"/>
    <w:rsid w:val="00811F72"/>
    <w:rsid w:val="008177A2"/>
    <w:rsid w:val="00821776"/>
    <w:rsid w:val="00831FE3"/>
    <w:rsid w:val="008321F5"/>
    <w:rsid w:val="00832369"/>
    <w:rsid w:val="00833962"/>
    <w:rsid w:val="00833A5B"/>
    <w:rsid w:val="00834660"/>
    <w:rsid w:val="00834914"/>
    <w:rsid w:val="00834F80"/>
    <w:rsid w:val="008365F2"/>
    <w:rsid w:val="00836BC2"/>
    <w:rsid w:val="0084089F"/>
    <w:rsid w:val="0084236C"/>
    <w:rsid w:val="00843728"/>
    <w:rsid w:val="0085156D"/>
    <w:rsid w:val="00852B28"/>
    <w:rsid w:val="0085641B"/>
    <w:rsid w:val="00857136"/>
    <w:rsid w:val="0086046D"/>
    <w:rsid w:val="0086409A"/>
    <w:rsid w:val="0086663B"/>
    <w:rsid w:val="0086679D"/>
    <w:rsid w:val="008711EF"/>
    <w:rsid w:val="00875A6B"/>
    <w:rsid w:val="00876EC5"/>
    <w:rsid w:val="00877BF4"/>
    <w:rsid w:val="00885B11"/>
    <w:rsid w:val="00886D15"/>
    <w:rsid w:val="00887DD8"/>
    <w:rsid w:val="00891BA9"/>
    <w:rsid w:val="00896018"/>
    <w:rsid w:val="008960DD"/>
    <w:rsid w:val="0089635C"/>
    <w:rsid w:val="008A2B9D"/>
    <w:rsid w:val="008A3D9F"/>
    <w:rsid w:val="008A5E0B"/>
    <w:rsid w:val="008A6D59"/>
    <w:rsid w:val="008A74BD"/>
    <w:rsid w:val="008B1CB2"/>
    <w:rsid w:val="008B4B03"/>
    <w:rsid w:val="008B596F"/>
    <w:rsid w:val="008B67FC"/>
    <w:rsid w:val="008C159F"/>
    <w:rsid w:val="008C1623"/>
    <w:rsid w:val="008C1850"/>
    <w:rsid w:val="008C1A53"/>
    <w:rsid w:val="008C51A9"/>
    <w:rsid w:val="008D318C"/>
    <w:rsid w:val="008D611A"/>
    <w:rsid w:val="008D6338"/>
    <w:rsid w:val="008D6B40"/>
    <w:rsid w:val="008E00A3"/>
    <w:rsid w:val="008E1A52"/>
    <w:rsid w:val="008E5D34"/>
    <w:rsid w:val="008E74BB"/>
    <w:rsid w:val="008E7846"/>
    <w:rsid w:val="008F02E5"/>
    <w:rsid w:val="008F1CCC"/>
    <w:rsid w:val="008F2967"/>
    <w:rsid w:val="008F6943"/>
    <w:rsid w:val="00902A21"/>
    <w:rsid w:val="00902D57"/>
    <w:rsid w:val="0091523F"/>
    <w:rsid w:val="00917942"/>
    <w:rsid w:val="009202CB"/>
    <w:rsid w:val="00920330"/>
    <w:rsid w:val="009219D7"/>
    <w:rsid w:val="00922D53"/>
    <w:rsid w:val="00923B70"/>
    <w:rsid w:val="00924482"/>
    <w:rsid w:val="00930237"/>
    <w:rsid w:val="00935CC2"/>
    <w:rsid w:val="00937C17"/>
    <w:rsid w:val="00940A89"/>
    <w:rsid w:val="00946EA5"/>
    <w:rsid w:val="00950079"/>
    <w:rsid w:val="009511B8"/>
    <w:rsid w:val="00963C08"/>
    <w:rsid w:val="009752A5"/>
    <w:rsid w:val="0098585A"/>
    <w:rsid w:val="00992F35"/>
    <w:rsid w:val="00997EFC"/>
    <w:rsid w:val="009A4CED"/>
    <w:rsid w:val="009A690D"/>
    <w:rsid w:val="009A743E"/>
    <w:rsid w:val="009B156B"/>
    <w:rsid w:val="009B1D12"/>
    <w:rsid w:val="009B3582"/>
    <w:rsid w:val="009B416B"/>
    <w:rsid w:val="009B6D1A"/>
    <w:rsid w:val="009C4BD5"/>
    <w:rsid w:val="009C511B"/>
    <w:rsid w:val="009C7CB6"/>
    <w:rsid w:val="009D7B77"/>
    <w:rsid w:val="009E0BB0"/>
    <w:rsid w:val="009E3D69"/>
    <w:rsid w:val="009E3FBB"/>
    <w:rsid w:val="009E62BA"/>
    <w:rsid w:val="009F7353"/>
    <w:rsid w:val="00A04F85"/>
    <w:rsid w:val="00A05A46"/>
    <w:rsid w:val="00A05FA4"/>
    <w:rsid w:val="00A102E4"/>
    <w:rsid w:val="00A11FFC"/>
    <w:rsid w:val="00A12C42"/>
    <w:rsid w:val="00A13E38"/>
    <w:rsid w:val="00A14DF7"/>
    <w:rsid w:val="00A22D57"/>
    <w:rsid w:val="00A232E5"/>
    <w:rsid w:val="00A303E6"/>
    <w:rsid w:val="00A31A78"/>
    <w:rsid w:val="00A3246D"/>
    <w:rsid w:val="00A36FA7"/>
    <w:rsid w:val="00A41567"/>
    <w:rsid w:val="00A44DDB"/>
    <w:rsid w:val="00A475B7"/>
    <w:rsid w:val="00A47AF7"/>
    <w:rsid w:val="00A47C3E"/>
    <w:rsid w:val="00A50226"/>
    <w:rsid w:val="00A532F2"/>
    <w:rsid w:val="00A60BAD"/>
    <w:rsid w:val="00A6566B"/>
    <w:rsid w:val="00A77F87"/>
    <w:rsid w:val="00A80B5B"/>
    <w:rsid w:val="00A84E36"/>
    <w:rsid w:val="00A90A16"/>
    <w:rsid w:val="00A953B4"/>
    <w:rsid w:val="00A964D1"/>
    <w:rsid w:val="00A96800"/>
    <w:rsid w:val="00AA0ED0"/>
    <w:rsid w:val="00AA6F96"/>
    <w:rsid w:val="00AC05AB"/>
    <w:rsid w:val="00AC2B40"/>
    <w:rsid w:val="00AC2BB2"/>
    <w:rsid w:val="00AC2C3C"/>
    <w:rsid w:val="00AC512D"/>
    <w:rsid w:val="00AC6DBC"/>
    <w:rsid w:val="00AD0083"/>
    <w:rsid w:val="00AD3935"/>
    <w:rsid w:val="00AE65EB"/>
    <w:rsid w:val="00AE67A7"/>
    <w:rsid w:val="00AF1D94"/>
    <w:rsid w:val="00AF3FF8"/>
    <w:rsid w:val="00AF60C5"/>
    <w:rsid w:val="00AF6A3A"/>
    <w:rsid w:val="00B009C6"/>
    <w:rsid w:val="00B01548"/>
    <w:rsid w:val="00B04BB8"/>
    <w:rsid w:val="00B0512B"/>
    <w:rsid w:val="00B13EBD"/>
    <w:rsid w:val="00B21D29"/>
    <w:rsid w:val="00B25034"/>
    <w:rsid w:val="00B2720A"/>
    <w:rsid w:val="00B2774D"/>
    <w:rsid w:val="00B2792E"/>
    <w:rsid w:val="00B33588"/>
    <w:rsid w:val="00B33863"/>
    <w:rsid w:val="00B371EC"/>
    <w:rsid w:val="00B37AB3"/>
    <w:rsid w:val="00B37D17"/>
    <w:rsid w:val="00B4175E"/>
    <w:rsid w:val="00B41C85"/>
    <w:rsid w:val="00B41D52"/>
    <w:rsid w:val="00B452CE"/>
    <w:rsid w:val="00B53529"/>
    <w:rsid w:val="00B54C25"/>
    <w:rsid w:val="00B60346"/>
    <w:rsid w:val="00B619BA"/>
    <w:rsid w:val="00B62809"/>
    <w:rsid w:val="00B76B91"/>
    <w:rsid w:val="00B77DD7"/>
    <w:rsid w:val="00B77EB1"/>
    <w:rsid w:val="00B77FEC"/>
    <w:rsid w:val="00B811C6"/>
    <w:rsid w:val="00B855B0"/>
    <w:rsid w:val="00B86C18"/>
    <w:rsid w:val="00B90448"/>
    <w:rsid w:val="00B92E08"/>
    <w:rsid w:val="00B94407"/>
    <w:rsid w:val="00BA1D56"/>
    <w:rsid w:val="00BA54BF"/>
    <w:rsid w:val="00BB3E2B"/>
    <w:rsid w:val="00BB4E0B"/>
    <w:rsid w:val="00BC5643"/>
    <w:rsid w:val="00BC5B46"/>
    <w:rsid w:val="00BC622A"/>
    <w:rsid w:val="00BC7A7E"/>
    <w:rsid w:val="00BD246E"/>
    <w:rsid w:val="00BD3525"/>
    <w:rsid w:val="00BD6130"/>
    <w:rsid w:val="00BE0A78"/>
    <w:rsid w:val="00BE1817"/>
    <w:rsid w:val="00BE6963"/>
    <w:rsid w:val="00BE79F0"/>
    <w:rsid w:val="00BF046D"/>
    <w:rsid w:val="00BF1190"/>
    <w:rsid w:val="00BF2F67"/>
    <w:rsid w:val="00BF3774"/>
    <w:rsid w:val="00BF517D"/>
    <w:rsid w:val="00BF5D04"/>
    <w:rsid w:val="00BF79CA"/>
    <w:rsid w:val="00C009AA"/>
    <w:rsid w:val="00C06E9F"/>
    <w:rsid w:val="00C1164D"/>
    <w:rsid w:val="00C16861"/>
    <w:rsid w:val="00C20945"/>
    <w:rsid w:val="00C20CA5"/>
    <w:rsid w:val="00C23C32"/>
    <w:rsid w:val="00C31DF7"/>
    <w:rsid w:val="00C346AB"/>
    <w:rsid w:val="00C404A6"/>
    <w:rsid w:val="00C40A36"/>
    <w:rsid w:val="00C44419"/>
    <w:rsid w:val="00C45E7B"/>
    <w:rsid w:val="00C471B1"/>
    <w:rsid w:val="00C5181E"/>
    <w:rsid w:val="00C6316B"/>
    <w:rsid w:val="00C634A9"/>
    <w:rsid w:val="00C64586"/>
    <w:rsid w:val="00C70421"/>
    <w:rsid w:val="00C70BF7"/>
    <w:rsid w:val="00C70C45"/>
    <w:rsid w:val="00C70D53"/>
    <w:rsid w:val="00C71CC8"/>
    <w:rsid w:val="00C73D0B"/>
    <w:rsid w:val="00C75739"/>
    <w:rsid w:val="00C76F1D"/>
    <w:rsid w:val="00C772FF"/>
    <w:rsid w:val="00C80137"/>
    <w:rsid w:val="00C801AF"/>
    <w:rsid w:val="00C80256"/>
    <w:rsid w:val="00C94CD4"/>
    <w:rsid w:val="00C9747E"/>
    <w:rsid w:val="00CA462C"/>
    <w:rsid w:val="00CB250C"/>
    <w:rsid w:val="00CB6BC0"/>
    <w:rsid w:val="00CC1B7C"/>
    <w:rsid w:val="00CC30C8"/>
    <w:rsid w:val="00CC727F"/>
    <w:rsid w:val="00CE593C"/>
    <w:rsid w:val="00CF15C3"/>
    <w:rsid w:val="00CF2B6F"/>
    <w:rsid w:val="00CF2F3E"/>
    <w:rsid w:val="00CF58B6"/>
    <w:rsid w:val="00D0062D"/>
    <w:rsid w:val="00D017ED"/>
    <w:rsid w:val="00D040D3"/>
    <w:rsid w:val="00D04C65"/>
    <w:rsid w:val="00D114F7"/>
    <w:rsid w:val="00D16265"/>
    <w:rsid w:val="00D1777E"/>
    <w:rsid w:val="00D201D2"/>
    <w:rsid w:val="00D224FE"/>
    <w:rsid w:val="00D23139"/>
    <w:rsid w:val="00D2491E"/>
    <w:rsid w:val="00D30994"/>
    <w:rsid w:val="00D31BCF"/>
    <w:rsid w:val="00D32A29"/>
    <w:rsid w:val="00D36D35"/>
    <w:rsid w:val="00D425BB"/>
    <w:rsid w:val="00D43D6A"/>
    <w:rsid w:val="00D43D6D"/>
    <w:rsid w:val="00D453FA"/>
    <w:rsid w:val="00D45E39"/>
    <w:rsid w:val="00D5285C"/>
    <w:rsid w:val="00D553E1"/>
    <w:rsid w:val="00D613B6"/>
    <w:rsid w:val="00D6493E"/>
    <w:rsid w:val="00D7195D"/>
    <w:rsid w:val="00D7301E"/>
    <w:rsid w:val="00D81D76"/>
    <w:rsid w:val="00D83AE1"/>
    <w:rsid w:val="00D84CC1"/>
    <w:rsid w:val="00D855D4"/>
    <w:rsid w:val="00D876BA"/>
    <w:rsid w:val="00D902C9"/>
    <w:rsid w:val="00D9091C"/>
    <w:rsid w:val="00D93466"/>
    <w:rsid w:val="00D974EF"/>
    <w:rsid w:val="00DA1124"/>
    <w:rsid w:val="00DA1C10"/>
    <w:rsid w:val="00DB06B8"/>
    <w:rsid w:val="00DB0C51"/>
    <w:rsid w:val="00DB30FF"/>
    <w:rsid w:val="00DB6124"/>
    <w:rsid w:val="00DB750B"/>
    <w:rsid w:val="00DB75B7"/>
    <w:rsid w:val="00DC62D7"/>
    <w:rsid w:val="00DC6E02"/>
    <w:rsid w:val="00DD28CD"/>
    <w:rsid w:val="00DD3A70"/>
    <w:rsid w:val="00DD628C"/>
    <w:rsid w:val="00DD6B23"/>
    <w:rsid w:val="00DE02AE"/>
    <w:rsid w:val="00DE3836"/>
    <w:rsid w:val="00DE39D1"/>
    <w:rsid w:val="00DF1D7F"/>
    <w:rsid w:val="00DF4BE4"/>
    <w:rsid w:val="00DF4D88"/>
    <w:rsid w:val="00DF4F19"/>
    <w:rsid w:val="00DF720C"/>
    <w:rsid w:val="00E02382"/>
    <w:rsid w:val="00E02FB4"/>
    <w:rsid w:val="00E13FC7"/>
    <w:rsid w:val="00E20571"/>
    <w:rsid w:val="00E22E99"/>
    <w:rsid w:val="00E235F7"/>
    <w:rsid w:val="00E23659"/>
    <w:rsid w:val="00E239D4"/>
    <w:rsid w:val="00E26130"/>
    <w:rsid w:val="00E32CDB"/>
    <w:rsid w:val="00E33935"/>
    <w:rsid w:val="00E404F2"/>
    <w:rsid w:val="00E40B22"/>
    <w:rsid w:val="00E40E8D"/>
    <w:rsid w:val="00E44ED1"/>
    <w:rsid w:val="00E45619"/>
    <w:rsid w:val="00E4588F"/>
    <w:rsid w:val="00E46DA3"/>
    <w:rsid w:val="00E51BB1"/>
    <w:rsid w:val="00E624A5"/>
    <w:rsid w:val="00E64BA4"/>
    <w:rsid w:val="00E661C1"/>
    <w:rsid w:val="00E70577"/>
    <w:rsid w:val="00E7344E"/>
    <w:rsid w:val="00E82665"/>
    <w:rsid w:val="00E85435"/>
    <w:rsid w:val="00E86989"/>
    <w:rsid w:val="00EA311F"/>
    <w:rsid w:val="00EA3B37"/>
    <w:rsid w:val="00EA5927"/>
    <w:rsid w:val="00EA6D3E"/>
    <w:rsid w:val="00EB0798"/>
    <w:rsid w:val="00EB40AD"/>
    <w:rsid w:val="00EB51B1"/>
    <w:rsid w:val="00EB586E"/>
    <w:rsid w:val="00EB5FC8"/>
    <w:rsid w:val="00EB71DE"/>
    <w:rsid w:val="00EC463D"/>
    <w:rsid w:val="00EC7A85"/>
    <w:rsid w:val="00ED2922"/>
    <w:rsid w:val="00ED3CAD"/>
    <w:rsid w:val="00ED5A41"/>
    <w:rsid w:val="00EE1DE8"/>
    <w:rsid w:val="00EE22BF"/>
    <w:rsid w:val="00EE27C2"/>
    <w:rsid w:val="00EE44E7"/>
    <w:rsid w:val="00EE79CB"/>
    <w:rsid w:val="00EF4BAD"/>
    <w:rsid w:val="00EF59DC"/>
    <w:rsid w:val="00EF795A"/>
    <w:rsid w:val="00F033EC"/>
    <w:rsid w:val="00F04F68"/>
    <w:rsid w:val="00F077E3"/>
    <w:rsid w:val="00F12670"/>
    <w:rsid w:val="00F14B27"/>
    <w:rsid w:val="00F2180B"/>
    <w:rsid w:val="00F30920"/>
    <w:rsid w:val="00F3148D"/>
    <w:rsid w:val="00F325C5"/>
    <w:rsid w:val="00F32FE0"/>
    <w:rsid w:val="00F35298"/>
    <w:rsid w:val="00F44F0D"/>
    <w:rsid w:val="00F47333"/>
    <w:rsid w:val="00F47E37"/>
    <w:rsid w:val="00F51E04"/>
    <w:rsid w:val="00F52AEE"/>
    <w:rsid w:val="00F53C07"/>
    <w:rsid w:val="00F54B65"/>
    <w:rsid w:val="00F56DAD"/>
    <w:rsid w:val="00F63D2A"/>
    <w:rsid w:val="00F640B6"/>
    <w:rsid w:val="00F6552B"/>
    <w:rsid w:val="00F66DF2"/>
    <w:rsid w:val="00F71F8B"/>
    <w:rsid w:val="00F72BCD"/>
    <w:rsid w:val="00F73BA9"/>
    <w:rsid w:val="00F73E30"/>
    <w:rsid w:val="00F769DD"/>
    <w:rsid w:val="00F80223"/>
    <w:rsid w:val="00F80A84"/>
    <w:rsid w:val="00F80E40"/>
    <w:rsid w:val="00F82E70"/>
    <w:rsid w:val="00F848D9"/>
    <w:rsid w:val="00F901AA"/>
    <w:rsid w:val="00FA03F5"/>
    <w:rsid w:val="00FA5069"/>
    <w:rsid w:val="00FA5B82"/>
    <w:rsid w:val="00FA639E"/>
    <w:rsid w:val="00FB4979"/>
    <w:rsid w:val="00FC017A"/>
    <w:rsid w:val="00FC1FCA"/>
    <w:rsid w:val="00FC25E4"/>
    <w:rsid w:val="00FC41C7"/>
    <w:rsid w:val="00FC4300"/>
    <w:rsid w:val="00FC4EF7"/>
    <w:rsid w:val="00FC7899"/>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79B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779D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F795A"/>
    <w:pPr>
      <w:numPr>
        <w:numId w:val="3"/>
      </w:numPr>
    </w:pPr>
  </w:style>
  <w:style w:type="paragraph" w:styleId="ListBullet2">
    <w:name w:val="List Bullet 2"/>
    <w:basedOn w:val="Normal"/>
    <w:uiPriority w:val="2"/>
    <w:qFormat/>
    <w:rsid w:val="00C06E9F"/>
    <w:pPr>
      <w:numPr>
        <w:numId w:val="23"/>
      </w:numPr>
      <w:ind w:left="714" w:hanging="357"/>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0"/>
      </w:numPr>
      <w:ind w:left="425" w:hanging="425"/>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C4372"/>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4C4372"/>
    <w:pPr>
      <w:numPr>
        <w:numId w:val="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EA3B3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A3B37"/>
    <w:rPr>
      <w:rFonts w:ascii="Cambria" w:eastAsia="Times New Roman" w:hAnsi="Cambria" w:cs="Times New Roman"/>
      <w:snapToGrid w:val="0"/>
      <w:kern w:val="16"/>
      <w:sz w:val="23"/>
      <w:szCs w:val="24"/>
    </w:rPr>
  </w:style>
  <w:style w:type="paragraph" w:customStyle="1" w:styleId="Default">
    <w:name w:val="Default"/>
    <w:rsid w:val="00B0512B"/>
    <w:pPr>
      <w:autoSpaceDE w:val="0"/>
      <w:autoSpaceDN w:val="0"/>
      <w:adjustRightInd w:val="0"/>
      <w:spacing w:after="0" w:line="240" w:lineRule="auto"/>
    </w:pPr>
    <w:rPr>
      <w:rFonts w:ascii="Cambria" w:hAnsi="Cambria" w:cs="Cambria"/>
      <w:color w:val="000000"/>
      <w:sz w:val="24"/>
      <w:szCs w:val="24"/>
    </w:rPr>
  </w:style>
  <w:style w:type="paragraph" w:customStyle="1" w:styleId="SectionHeading">
    <w:name w:val="Section Heading"/>
    <w:basedOn w:val="Normal"/>
    <w:next w:val="Normal"/>
    <w:link w:val="SectionHeadingCharChar"/>
    <w:rsid w:val="00C70C45"/>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C70C45"/>
    <w:rPr>
      <w:rFonts w:ascii="Cambria" w:eastAsia="Times New Roman" w:hAnsi="Cambria" w:cs="Times New Roman"/>
      <w:b/>
      <w:caps/>
      <w:snapToGrid w:val="0"/>
      <w:kern w:val="16"/>
      <w:sz w:val="24"/>
      <w:szCs w:val="24"/>
    </w:rPr>
  </w:style>
  <w:style w:type="paragraph" w:customStyle="1" w:styleId="AssessmentSection">
    <w:name w:val="Assessment Section"/>
    <w:basedOn w:val="Normal"/>
    <w:next w:val="Standard"/>
    <w:rsid w:val="00C70C45"/>
    <w:pPr>
      <w:keepNext/>
      <w:spacing w:before="0" w:after="110" w:line="252" w:lineRule="auto"/>
      <w:outlineLvl w:val="1"/>
    </w:pPr>
    <w:rPr>
      <w:rFonts w:eastAsia="Times New Roman"/>
      <w:b/>
      <w:snapToGrid w:val="0"/>
      <w:kern w:val="16"/>
      <w:szCs w:val="24"/>
    </w:rPr>
  </w:style>
  <w:style w:type="paragraph" w:customStyle="1" w:styleId="TableCaption">
    <w:name w:val="Table Caption"/>
    <w:basedOn w:val="Standard"/>
    <w:next w:val="Standard"/>
    <w:link w:val="TableCaptionChar"/>
    <w:rsid w:val="00C70C45"/>
    <w:pPr>
      <w:spacing w:before="60" w:after="440" w:line="215" w:lineRule="exact"/>
      <w:ind w:left="170"/>
    </w:pPr>
    <w:rPr>
      <w:sz w:val="18"/>
      <w:szCs w:val="19"/>
    </w:rPr>
  </w:style>
  <w:style w:type="paragraph" w:customStyle="1" w:styleId="WhiteSpace">
    <w:name w:val="White Space"/>
    <w:basedOn w:val="Standard"/>
    <w:next w:val="Standard"/>
    <w:link w:val="WhiteSpaceChar"/>
    <w:rsid w:val="00C70C45"/>
    <w:pPr>
      <w:spacing w:after="0"/>
    </w:pPr>
    <w:rPr>
      <w:sz w:val="16"/>
      <w:szCs w:val="16"/>
    </w:rPr>
  </w:style>
  <w:style w:type="paragraph" w:customStyle="1" w:styleId="AssessmentSubsection">
    <w:name w:val="Assessment Subsection"/>
    <w:basedOn w:val="Standard"/>
    <w:next w:val="Standard"/>
    <w:rsid w:val="00C70C45"/>
    <w:pPr>
      <w:keepNext/>
      <w:spacing w:after="110"/>
      <w:outlineLvl w:val="2"/>
    </w:pPr>
    <w:rPr>
      <w:b/>
      <w:i/>
      <w:sz w:val="22"/>
    </w:rPr>
  </w:style>
  <w:style w:type="character" w:customStyle="1" w:styleId="TableCaptionChar">
    <w:name w:val="Table Caption Char"/>
    <w:basedOn w:val="DefaultParagraphFont"/>
    <w:link w:val="TableCaption"/>
    <w:rsid w:val="00C70C45"/>
    <w:rPr>
      <w:rFonts w:ascii="Cambria" w:eastAsia="Times New Roman" w:hAnsi="Cambria" w:cs="Times New Roman"/>
      <w:snapToGrid w:val="0"/>
      <w:kern w:val="16"/>
      <w:sz w:val="18"/>
      <w:szCs w:val="19"/>
    </w:rPr>
  </w:style>
  <w:style w:type="character" w:customStyle="1" w:styleId="WhiteSpaceChar">
    <w:name w:val="White Space Char"/>
    <w:basedOn w:val="DefaultParagraphFont"/>
    <w:link w:val="WhiteSpace"/>
    <w:rsid w:val="00C70C45"/>
    <w:rPr>
      <w:rFonts w:ascii="Cambria" w:eastAsia="Times New Roman" w:hAnsi="Cambria" w:cs="Times New Roman"/>
      <w:snapToGrid w:val="0"/>
      <w:kern w:val="16"/>
      <w:sz w:val="16"/>
      <w:szCs w:val="16"/>
    </w:rPr>
  </w:style>
  <w:style w:type="character" w:customStyle="1" w:styleId="TableTitleChar">
    <w:name w:val="Table Title Char"/>
    <w:basedOn w:val="DefaultParagraphFont"/>
    <w:link w:val="TableTitle"/>
    <w:rsid w:val="00C70C45"/>
    <w:rPr>
      <w:rFonts w:ascii="Cambria" w:eastAsia="Cambria" w:hAnsi="Cambria" w:cs="Times New Roman"/>
      <w:b/>
    </w:rPr>
  </w:style>
  <w:style w:type="character" w:customStyle="1" w:styleId="TabletextChar">
    <w:name w:val="Table text Char"/>
    <w:basedOn w:val="DefaultParagraphFont"/>
    <w:link w:val="Tabletext"/>
    <w:rsid w:val="0086046D"/>
    <w:rPr>
      <w:rFonts w:ascii="Cambria" w:eastAsia="Cambria" w:hAnsi="Cambria" w:cs="Times New Roman"/>
      <w:sz w:val="19"/>
    </w:rPr>
  </w:style>
  <w:style w:type="paragraph" w:customStyle="1" w:styleId="TableHeader">
    <w:name w:val="Table Header"/>
    <w:basedOn w:val="Normal"/>
    <w:rsid w:val="0086046D"/>
    <w:pPr>
      <w:keepNext/>
      <w:keepLines/>
      <w:widowControl w:val="0"/>
      <w:spacing w:before="60" w:after="60" w:line="200" w:lineRule="exact"/>
      <w:jc w:val="center"/>
    </w:pPr>
    <w:rPr>
      <w:rFonts w:eastAsia="MS Mincho" w:cstheme="minorBidi"/>
      <w:b/>
      <w:kern w:val="2"/>
      <w:sz w:val="19"/>
      <w:szCs w:val="19"/>
    </w:rPr>
  </w:style>
  <w:style w:type="paragraph" w:customStyle="1" w:styleId="AssessmentSubsection2">
    <w:name w:val="Assessment Subsection 2"/>
    <w:basedOn w:val="AssessmentSubsection"/>
    <w:next w:val="Standard"/>
    <w:rsid w:val="0086046D"/>
    <w:pPr>
      <w:outlineLvl w:val="3"/>
    </w:pPr>
    <w:rPr>
      <w:b w:val="0"/>
    </w:rPr>
  </w:style>
  <w:style w:type="paragraph" w:customStyle="1" w:styleId="Tabletextleft">
    <w:name w:val="Table text (left)"/>
    <w:basedOn w:val="Tabletext"/>
    <w:rsid w:val="0086046D"/>
    <w:pPr>
      <w:spacing w:before="20" w:after="20" w:line="200" w:lineRule="atLeast"/>
      <w:ind w:left="57" w:right="57"/>
    </w:pPr>
    <w:rPr>
      <w:rFonts w:eastAsia="Times New Roman"/>
      <w:snapToGrid w:val="0"/>
      <w:kern w:val="16"/>
      <w:sz w:val="18"/>
      <w:szCs w:val="18"/>
    </w:rPr>
  </w:style>
  <w:style w:type="paragraph" w:styleId="NormalWeb">
    <w:name w:val="Normal (Web)"/>
    <w:basedOn w:val="Normal"/>
    <w:uiPriority w:val="99"/>
    <w:unhideWhenUsed/>
    <w:rsid w:val="00C71CC8"/>
    <w:pPr>
      <w:spacing w:before="100" w:beforeAutospacing="1" w:after="100" w:afterAutospacing="1" w:line="240" w:lineRule="auto"/>
    </w:pPr>
    <w:rPr>
      <w:rFonts w:ascii="Times" w:eastAsiaTheme="minorEastAsia" w:hAnsi="Times"/>
      <w:sz w:val="20"/>
      <w:szCs w:val="20"/>
    </w:rPr>
  </w:style>
  <w:style w:type="paragraph" w:customStyle="1" w:styleId="Bulletlist">
    <w:name w:val="Bullet list"/>
    <w:basedOn w:val="Normal"/>
    <w:link w:val="BulletlistChar"/>
    <w:qFormat/>
    <w:rsid w:val="00082C72"/>
    <w:pPr>
      <w:numPr>
        <w:numId w:val="13"/>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082C72"/>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082C7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82C72"/>
    <w:rPr>
      <w:rFonts w:ascii="Cambria" w:eastAsia="Times New Roman" w:hAnsi="Cambria" w:cs="Times New Roman"/>
      <w:b/>
      <w:snapToGrid w:val="0"/>
      <w:kern w:val="16"/>
      <w:sz w:val="20"/>
      <w:szCs w:val="24"/>
    </w:rPr>
  </w:style>
  <w:style w:type="paragraph" w:customStyle="1" w:styleId="Paragraph">
    <w:name w:val="Paragraph"/>
    <w:link w:val="ParagraphChar"/>
    <w:qFormat/>
    <w:rsid w:val="002E7840"/>
    <w:pPr>
      <w:spacing w:after="240" w:line="240" w:lineRule="auto"/>
    </w:pPr>
    <w:rPr>
      <w:rFonts w:ascii="Times New Roman" w:eastAsia="Times New Roman" w:hAnsi="Times New Roman" w:cs="Times New Roman"/>
      <w:sz w:val="24"/>
      <w:szCs w:val="24"/>
      <w:lang w:val="en-US"/>
    </w:rPr>
  </w:style>
  <w:style w:type="character" w:customStyle="1" w:styleId="ParagraphChar">
    <w:name w:val="Paragraph Char"/>
    <w:link w:val="Paragraph"/>
    <w:rsid w:val="002E7840"/>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779D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F795A"/>
    <w:pPr>
      <w:numPr>
        <w:numId w:val="3"/>
      </w:numPr>
    </w:pPr>
  </w:style>
  <w:style w:type="paragraph" w:styleId="ListBullet2">
    <w:name w:val="List Bullet 2"/>
    <w:basedOn w:val="Normal"/>
    <w:uiPriority w:val="2"/>
    <w:qFormat/>
    <w:rsid w:val="00C06E9F"/>
    <w:pPr>
      <w:numPr>
        <w:numId w:val="23"/>
      </w:numPr>
      <w:ind w:left="714" w:hanging="357"/>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0"/>
      </w:numPr>
      <w:ind w:left="425" w:hanging="425"/>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C4372"/>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4C4372"/>
    <w:pPr>
      <w:numPr>
        <w:numId w:val="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EA3B3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A3B37"/>
    <w:rPr>
      <w:rFonts w:ascii="Cambria" w:eastAsia="Times New Roman" w:hAnsi="Cambria" w:cs="Times New Roman"/>
      <w:snapToGrid w:val="0"/>
      <w:kern w:val="16"/>
      <w:sz w:val="23"/>
      <w:szCs w:val="24"/>
    </w:rPr>
  </w:style>
  <w:style w:type="paragraph" w:customStyle="1" w:styleId="Default">
    <w:name w:val="Default"/>
    <w:rsid w:val="00B0512B"/>
    <w:pPr>
      <w:autoSpaceDE w:val="0"/>
      <w:autoSpaceDN w:val="0"/>
      <w:adjustRightInd w:val="0"/>
      <w:spacing w:after="0" w:line="240" w:lineRule="auto"/>
    </w:pPr>
    <w:rPr>
      <w:rFonts w:ascii="Cambria" w:hAnsi="Cambria" w:cs="Cambria"/>
      <w:color w:val="000000"/>
      <w:sz w:val="24"/>
      <w:szCs w:val="24"/>
    </w:rPr>
  </w:style>
  <w:style w:type="paragraph" w:customStyle="1" w:styleId="SectionHeading">
    <w:name w:val="Section Heading"/>
    <w:basedOn w:val="Normal"/>
    <w:next w:val="Normal"/>
    <w:link w:val="SectionHeadingCharChar"/>
    <w:rsid w:val="00C70C45"/>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C70C45"/>
    <w:rPr>
      <w:rFonts w:ascii="Cambria" w:eastAsia="Times New Roman" w:hAnsi="Cambria" w:cs="Times New Roman"/>
      <w:b/>
      <w:caps/>
      <w:snapToGrid w:val="0"/>
      <w:kern w:val="16"/>
      <w:sz w:val="24"/>
      <w:szCs w:val="24"/>
    </w:rPr>
  </w:style>
  <w:style w:type="paragraph" w:customStyle="1" w:styleId="AssessmentSection">
    <w:name w:val="Assessment Section"/>
    <w:basedOn w:val="Normal"/>
    <w:next w:val="Standard"/>
    <w:rsid w:val="00C70C45"/>
    <w:pPr>
      <w:keepNext/>
      <w:spacing w:before="0" w:after="110" w:line="252" w:lineRule="auto"/>
      <w:outlineLvl w:val="1"/>
    </w:pPr>
    <w:rPr>
      <w:rFonts w:eastAsia="Times New Roman"/>
      <w:b/>
      <w:snapToGrid w:val="0"/>
      <w:kern w:val="16"/>
      <w:szCs w:val="24"/>
    </w:rPr>
  </w:style>
  <w:style w:type="paragraph" w:customStyle="1" w:styleId="TableCaption">
    <w:name w:val="Table Caption"/>
    <w:basedOn w:val="Standard"/>
    <w:next w:val="Standard"/>
    <w:link w:val="TableCaptionChar"/>
    <w:rsid w:val="00C70C45"/>
    <w:pPr>
      <w:spacing w:before="60" w:after="440" w:line="215" w:lineRule="exact"/>
      <w:ind w:left="170"/>
    </w:pPr>
    <w:rPr>
      <w:sz w:val="18"/>
      <w:szCs w:val="19"/>
    </w:rPr>
  </w:style>
  <w:style w:type="paragraph" w:customStyle="1" w:styleId="WhiteSpace">
    <w:name w:val="White Space"/>
    <w:basedOn w:val="Standard"/>
    <w:next w:val="Standard"/>
    <w:link w:val="WhiteSpaceChar"/>
    <w:rsid w:val="00C70C45"/>
    <w:pPr>
      <w:spacing w:after="0"/>
    </w:pPr>
    <w:rPr>
      <w:sz w:val="16"/>
      <w:szCs w:val="16"/>
    </w:rPr>
  </w:style>
  <w:style w:type="paragraph" w:customStyle="1" w:styleId="AssessmentSubsection">
    <w:name w:val="Assessment Subsection"/>
    <w:basedOn w:val="Standard"/>
    <w:next w:val="Standard"/>
    <w:rsid w:val="00C70C45"/>
    <w:pPr>
      <w:keepNext/>
      <w:spacing w:after="110"/>
      <w:outlineLvl w:val="2"/>
    </w:pPr>
    <w:rPr>
      <w:b/>
      <w:i/>
      <w:sz w:val="22"/>
    </w:rPr>
  </w:style>
  <w:style w:type="character" w:customStyle="1" w:styleId="TableCaptionChar">
    <w:name w:val="Table Caption Char"/>
    <w:basedOn w:val="DefaultParagraphFont"/>
    <w:link w:val="TableCaption"/>
    <w:rsid w:val="00C70C45"/>
    <w:rPr>
      <w:rFonts w:ascii="Cambria" w:eastAsia="Times New Roman" w:hAnsi="Cambria" w:cs="Times New Roman"/>
      <w:snapToGrid w:val="0"/>
      <w:kern w:val="16"/>
      <w:sz w:val="18"/>
      <w:szCs w:val="19"/>
    </w:rPr>
  </w:style>
  <w:style w:type="character" w:customStyle="1" w:styleId="WhiteSpaceChar">
    <w:name w:val="White Space Char"/>
    <w:basedOn w:val="DefaultParagraphFont"/>
    <w:link w:val="WhiteSpace"/>
    <w:rsid w:val="00C70C45"/>
    <w:rPr>
      <w:rFonts w:ascii="Cambria" w:eastAsia="Times New Roman" w:hAnsi="Cambria" w:cs="Times New Roman"/>
      <w:snapToGrid w:val="0"/>
      <w:kern w:val="16"/>
      <w:sz w:val="16"/>
      <w:szCs w:val="16"/>
    </w:rPr>
  </w:style>
  <w:style w:type="character" w:customStyle="1" w:styleId="TableTitleChar">
    <w:name w:val="Table Title Char"/>
    <w:basedOn w:val="DefaultParagraphFont"/>
    <w:link w:val="TableTitle"/>
    <w:rsid w:val="00C70C45"/>
    <w:rPr>
      <w:rFonts w:ascii="Cambria" w:eastAsia="Cambria" w:hAnsi="Cambria" w:cs="Times New Roman"/>
      <w:b/>
    </w:rPr>
  </w:style>
  <w:style w:type="character" w:customStyle="1" w:styleId="TabletextChar">
    <w:name w:val="Table text Char"/>
    <w:basedOn w:val="DefaultParagraphFont"/>
    <w:link w:val="Tabletext"/>
    <w:rsid w:val="0086046D"/>
    <w:rPr>
      <w:rFonts w:ascii="Cambria" w:eastAsia="Cambria" w:hAnsi="Cambria" w:cs="Times New Roman"/>
      <w:sz w:val="19"/>
    </w:rPr>
  </w:style>
  <w:style w:type="paragraph" w:customStyle="1" w:styleId="TableHeader">
    <w:name w:val="Table Header"/>
    <w:basedOn w:val="Normal"/>
    <w:rsid w:val="0086046D"/>
    <w:pPr>
      <w:keepNext/>
      <w:keepLines/>
      <w:widowControl w:val="0"/>
      <w:spacing w:before="60" w:after="60" w:line="200" w:lineRule="exact"/>
      <w:jc w:val="center"/>
    </w:pPr>
    <w:rPr>
      <w:rFonts w:eastAsia="MS Mincho" w:cstheme="minorBidi"/>
      <w:b/>
      <w:kern w:val="2"/>
      <w:sz w:val="19"/>
      <w:szCs w:val="19"/>
    </w:rPr>
  </w:style>
  <w:style w:type="paragraph" w:customStyle="1" w:styleId="AssessmentSubsection2">
    <w:name w:val="Assessment Subsection 2"/>
    <w:basedOn w:val="AssessmentSubsection"/>
    <w:next w:val="Standard"/>
    <w:rsid w:val="0086046D"/>
    <w:pPr>
      <w:outlineLvl w:val="3"/>
    </w:pPr>
    <w:rPr>
      <w:b w:val="0"/>
    </w:rPr>
  </w:style>
  <w:style w:type="paragraph" w:customStyle="1" w:styleId="Tabletextleft">
    <w:name w:val="Table text (left)"/>
    <w:basedOn w:val="Tabletext"/>
    <w:rsid w:val="0086046D"/>
    <w:pPr>
      <w:spacing w:before="20" w:after="20" w:line="200" w:lineRule="atLeast"/>
      <w:ind w:left="57" w:right="57"/>
    </w:pPr>
    <w:rPr>
      <w:rFonts w:eastAsia="Times New Roman"/>
      <w:snapToGrid w:val="0"/>
      <w:kern w:val="16"/>
      <w:sz w:val="18"/>
      <w:szCs w:val="18"/>
    </w:rPr>
  </w:style>
  <w:style w:type="paragraph" w:styleId="NormalWeb">
    <w:name w:val="Normal (Web)"/>
    <w:basedOn w:val="Normal"/>
    <w:uiPriority w:val="99"/>
    <w:unhideWhenUsed/>
    <w:rsid w:val="00C71CC8"/>
    <w:pPr>
      <w:spacing w:before="100" w:beforeAutospacing="1" w:after="100" w:afterAutospacing="1" w:line="240" w:lineRule="auto"/>
    </w:pPr>
    <w:rPr>
      <w:rFonts w:ascii="Times" w:eastAsiaTheme="minorEastAsia" w:hAnsi="Times"/>
      <w:sz w:val="20"/>
      <w:szCs w:val="20"/>
    </w:rPr>
  </w:style>
  <w:style w:type="paragraph" w:customStyle="1" w:styleId="Bulletlist">
    <w:name w:val="Bullet list"/>
    <w:basedOn w:val="Normal"/>
    <w:link w:val="BulletlistChar"/>
    <w:qFormat/>
    <w:rsid w:val="00082C72"/>
    <w:pPr>
      <w:numPr>
        <w:numId w:val="13"/>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082C72"/>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082C7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82C72"/>
    <w:rPr>
      <w:rFonts w:ascii="Cambria" w:eastAsia="Times New Roman" w:hAnsi="Cambria" w:cs="Times New Roman"/>
      <w:b/>
      <w:snapToGrid w:val="0"/>
      <w:kern w:val="16"/>
      <w:sz w:val="20"/>
      <w:szCs w:val="24"/>
    </w:rPr>
  </w:style>
  <w:style w:type="paragraph" w:customStyle="1" w:styleId="Paragraph">
    <w:name w:val="Paragraph"/>
    <w:link w:val="ParagraphChar"/>
    <w:qFormat/>
    <w:rsid w:val="002E7840"/>
    <w:pPr>
      <w:spacing w:after="240" w:line="240" w:lineRule="auto"/>
    </w:pPr>
    <w:rPr>
      <w:rFonts w:ascii="Times New Roman" w:eastAsia="Times New Roman" w:hAnsi="Times New Roman" w:cs="Times New Roman"/>
      <w:sz w:val="24"/>
      <w:szCs w:val="24"/>
      <w:lang w:val="en-US"/>
    </w:rPr>
  </w:style>
  <w:style w:type="character" w:customStyle="1" w:styleId="ParagraphChar">
    <w:name w:val="Paragraph Char"/>
    <w:link w:val="Paragraph"/>
    <w:rsid w:val="002E784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6896">
      <w:bodyDiv w:val="1"/>
      <w:marLeft w:val="0"/>
      <w:marRight w:val="0"/>
      <w:marTop w:val="0"/>
      <w:marBottom w:val="0"/>
      <w:divBdr>
        <w:top w:val="none" w:sz="0" w:space="0" w:color="auto"/>
        <w:left w:val="none" w:sz="0" w:space="0" w:color="auto"/>
        <w:bottom w:val="none" w:sz="0" w:space="0" w:color="auto"/>
        <w:right w:val="none" w:sz="0" w:space="0" w:color="auto"/>
      </w:divBdr>
    </w:div>
    <w:div w:id="76093743">
      <w:bodyDiv w:val="1"/>
      <w:marLeft w:val="0"/>
      <w:marRight w:val="0"/>
      <w:marTop w:val="0"/>
      <w:marBottom w:val="0"/>
      <w:divBdr>
        <w:top w:val="none" w:sz="0" w:space="0" w:color="auto"/>
        <w:left w:val="none" w:sz="0" w:space="0" w:color="auto"/>
        <w:bottom w:val="none" w:sz="0" w:space="0" w:color="auto"/>
        <w:right w:val="none" w:sz="0" w:space="0" w:color="auto"/>
      </w:divBdr>
    </w:div>
    <w:div w:id="103573934">
      <w:bodyDiv w:val="1"/>
      <w:marLeft w:val="0"/>
      <w:marRight w:val="0"/>
      <w:marTop w:val="0"/>
      <w:marBottom w:val="0"/>
      <w:divBdr>
        <w:top w:val="none" w:sz="0" w:space="0" w:color="auto"/>
        <w:left w:val="none" w:sz="0" w:space="0" w:color="auto"/>
        <w:bottom w:val="none" w:sz="0" w:space="0" w:color="auto"/>
        <w:right w:val="none" w:sz="0" w:space="0" w:color="auto"/>
      </w:divBdr>
    </w:div>
    <w:div w:id="337541834">
      <w:bodyDiv w:val="1"/>
      <w:marLeft w:val="0"/>
      <w:marRight w:val="0"/>
      <w:marTop w:val="0"/>
      <w:marBottom w:val="0"/>
      <w:divBdr>
        <w:top w:val="none" w:sz="0" w:space="0" w:color="auto"/>
        <w:left w:val="none" w:sz="0" w:space="0" w:color="auto"/>
        <w:bottom w:val="none" w:sz="0" w:space="0" w:color="auto"/>
        <w:right w:val="none" w:sz="0" w:space="0" w:color="auto"/>
      </w:divBdr>
    </w:div>
    <w:div w:id="458648488">
      <w:bodyDiv w:val="1"/>
      <w:marLeft w:val="0"/>
      <w:marRight w:val="0"/>
      <w:marTop w:val="0"/>
      <w:marBottom w:val="0"/>
      <w:divBdr>
        <w:top w:val="none" w:sz="0" w:space="0" w:color="auto"/>
        <w:left w:val="none" w:sz="0" w:space="0" w:color="auto"/>
        <w:bottom w:val="none" w:sz="0" w:space="0" w:color="auto"/>
        <w:right w:val="none" w:sz="0" w:space="0" w:color="auto"/>
      </w:divBdr>
    </w:div>
    <w:div w:id="468672602">
      <w:bodyDiv w:val="1"/>
      <w:marLeft w:val="0"/>
      <w:marRight w:val="0"/>
      <w:marTop w:val="0"/>
      <w:marBottom w:val="0"/>
      <w:divBdr>
        <w:top w:val="none" w:sz="0" w:space="0" w:color="auto"/>
        <w:left w:val="none" w:sz="0" w:space="0" w:color="auto"/>
        <w:bottom w:val="none" w:sz="0" w:space="0" w:color="auto"/>
        <w:right w:val="none" w:sz="0" w:space="0" w:color="auto"/>
      </w:divBdr>
    </w:div>
    <w:div w:id="538054411">
      <w:bodyDiv w:val="1"/>
      <w:marLeft w:val="0"/>
      <w:marRight w:val="0"/>
      <w:marTop w:val="0"/>
      <w:marBottom w:val="0"/>
      <w:divBdr>
        <w:top w:val="none" w:sz="0" w:space="0" w:color="auto"/>
        <w:left w:val="none" w:sz="0" w:space="0" w:color="auto"/>
        <w:bottom w:val="none" w:sz="0" w:space="0" w:color="auto"/>
        <w:right w:val="none" w:sz="0" w:space="0" w:color="auto"/>
      </w:divBdr>
    </w:div>
    <w:div w:id="538320220">
      <w:bodyDiv w:val="1"/>
      <w:marLeft w:val="0"/>
      <w:marRight w:val="0"/>
      <w:marTop w:val="0"/>
      <w:marBottom w:val="0"/>
      <w:divBdr>
        <w:top w:val="none" w:sz="0" w:space="0" w:color="auto"/>
        <w:left w:val="none" w:sz="0" w:space="0" w:color="auto"/>
        <w:bottom w:val="none" w:sz="0" w:space="0" w:color="auto"/>
        <w:right w:val="none" w:sz="0" w:space="0" w:color="auto"/>
      </w:divBdr>
    </w:div>
    <w:div w:id="574363504">
      <w:bodyDiv w:val="1"/>
      <w:marLeft w:val="0"/>
      <w:marRight w:val="0"/>
      <w:marTop w:val="0"/>
      <w:marBottom w:val="0"/>
      <w:divBdr>
        <w:top w:val="none" w:sz="0" w:space="0" w:color="auto"/>
        <w:left w:val="none" w:sz="0" w:space="0" w:color="auto"/>
        <w:bottom w:val="none" w:sz="0" w:space="0" w:color="auto"/>
        <w:right w:val="none" w:sz="0" w:space="0" w:color="auto"/>
      </w:divBdr>
    </w:div>
    <w:div w:id="906572096">
      <w:bodyDiv w:val="1"/>
      <w:marLeft w:val="0"/>
      <w:marRight w:val="0"/>
      <w:marTop w:val="0"/>
      <w:marBottom w:val="0"/>
      <w:divBdr>
        <w:top w:val="none" w:sz="0" w:space="0" w:color="auto"/>
        <w:left w:val="none" w:sz="0" w:space="0" w:color="auto"/>
        <w:bottom w:val="none" w:sz="0" w:space="0" w:color="auto"/>
        <w:right w:val="none" w:sz="0" w:space="0" w:color="auto"/>
      </w:divBdr>
    </w:div>
    <w:div w:id="913051321">
      <w:bodyDiv w:val="1"/>
      <w:marLeft w:val="0"/>
      <w:marRight w:val="0"/>
      <w:marTop w:val="0"/>
      <w:marBottom w:val="0"/>
      <w:divBdr>
        <w:top w:val="none" w:sz="0" w:space="0" w:color="auto"/>
        <w:left w:val="none" w:sz="0" w:space="0" w:color="auto"/>
        <w:bottom w:val="none" w:sz="0" w:space="0" w:color="auto"/>
        <w:right w:val="none" w:sz="0" w:space="0" w:color="auto"/>
      </w:divBdr>
    </w:div>
    <w:div w:id="1127317298">
      <w:bodyDiv w:val="1"/>
      <w:marLeft w:val="0"/>
      <w:marRight w:val="0"/>
      <w:marTop w:val="0"/>
      <w:marBottom w:val="0"/>
      <w:divBdr>
        <w:top w:val="none" w:sz="0" w:space="0" w:color="auto"/>
        <w:left w:val="none" w:sz="0" w:space="0" w:color="auto"/>
        <w:bottom w:val="none" w:sz="0" w:space="0" w:color="auto"/>
        <w:right w:val="none" w:sz="0" w:space="0" w:color="auto"/>
      </w:divBdr>
    </w:div>
    <w:div w:id="1136870926">
      <w:bodyDiv w:val="1"/>
      <w:marLeft w:val="0"/>
      <w:marRight w:val="0"/>
      <w:marTop w:val="0"/>
      <w:marBottom w:val="0"/>
      <w:divBdr>
        <w:top w:val="none" w:sz="0" w:space="0" w:color="auto"/>
        <w:left w:val="none" w:sz="0" w:space="0" w:color="auto"/>
        <w:bottom w:val="none" w:sz="0" w:space="0" w:color="auto"/>
        <w:right w:val="none" w:sz="0" w:space="0" w:color="auto"/>
      </w:divBdr>
    </w:div>
    <w:div w:id="1153646764">
      <w:bodyDiv w:val="1"/>
      <w:marLeft w:val="0"/>
      <w:marRight w:val="0"/>
      <w:marTop w:val="0"/>
      <w:marBottom w:val="0"/>
      <w:divBdr>
        <w:top w:val="none" w:sz="0" w:space="0" w:color="auto"/>
        <w:left w:val="none" w:sz="0" w:space="0" w:color="auto"/>
        <w:bottom w:val="none" w:sz="0" w:space="0" w:color="auto"/>
        <w:right w:val="none" w:sz="0" w:space="0" w:color="auto"/>
      </w:divBdr>
    </w:div>
    <w:div w:id="1163471733">
      <w:bodyDiv w:val="1"/>
      <w:marLeft w:val="0"/>
      <w:marRight w:val="0"/>
      <w:marTop w:val="0"/>
      <w:marBottom w:val="0"/>
      <w:divBdr>
        <w:top w:val="none" w:sz="0" w:space="0" w:color="auto"/>
        <w:left w:val="none" w:sz="0" w:space="0" w:color="auto"/>
        <w:bottom w:val="none" w:sz="0" w:space="0" w:color="auto"/>
        <w:right w:val="none" w:sz="0" w:space="0" w:color="auto"/>
      </w:divBdr>
    </w:div>
    <w:div w:id="1323465364">
      <w:bodyDiv w:val="1"/>
      <w:marLeft w:val="0"/>
      <w:marRight w:val="0"/>
      <w:marTop w:val="0"/>
      <w:marBottom w:val="0"/>
      <w:divBdr>
        <w:top w:val="none" w:sz="0" w:space="0" w:color="auto"/>
        <w:left w:val="none" w:sz="0" w:space="0" w:color="auto"/>
        <w:bottom w:val="none" w:sz="0" w:space="0" w:color="auto"/>
        <w:right w:val="none" w:sz="0" w:space="0" w:color="auto"/>
      </w:divBdr>
    </w:div>
    <w:div w:id="1366102100">
      <w:bodyDiv w:val="1"/>
      <w:marLeft w:val="0"/>
      <w:marRight w:val="0"/>
      <w:marTop w:val="0"/>
      <w:marBottom w:val="0"/>
      <w:divBdr>
        <w:top w:val="none" w:sz="0" w:space="0" w:color="auto"/>
        <w:left w:val="none" w:sz="0" w:space="0" w:color="auto"/>
        <w:bottom w:val="none" w:sz="0" w:space="0" w:color="auto"/>
        <w:right w:val="none" w:sz="0" w:space="0" w:color="auto"/>
      </w:divBdr>
    </w:div>
    <w:div w:id="1391882457">
      <w:bodyDiv w:val="1"/>
      <w:marLeft w:val="0"/>
      <w:marRight w:val="0"/>
      <w:marTop w:val="0"/>
      <w:marBottom w:val="0"/>
      <w:divBdr>
        <w:top w:val="none" w:sz="0" w:space="0" w:color="auto"/>
        <w:left w:val="none" w:sz="0" w:space="0" w:color="auto"/>
        <w:bottom w:val="none" w:sz="0" w:space="0" w:color="auto"/>
        <w:right w:val="none" w:sz="0" w:space="0" w:color="auto"/>
      </w:divBdr>
    </w:div>
    <w:div w:id="1569464003">
      <w:bodyDiv w:val="1"/>
      <w:marLeft w:val="0"/>
      <w:marRight w:val="0"/>
      <w:marTop w:val="0"/>
      <w:marBottom w:val="0"/>
      <w:divBdr>
        <w:top w:val="none" w:sz="0" w:space="0" w:color="auto"/>
        <w:left w:val="none" w:sz="0" w:space="0" w:color="auto"/>
        <w:bottom w:val="none" w:sz="0" w:space="0" w:color="auto"/>
        <w:right w:val="none" w:sz="0" w:space="0" w:color="auto"/>
      </w:divBdr>
    </w:div>
    <w:div w:id="1718621404">
      <w:bodyDiv w:val="1"/>
      <w:marLeft w:val="0"/>
      <w:marRight w:val="0"/>
      <w:marTop w:val="0"/>
      <w:marBottom w:val="0"/>
      <w:divBdr>
        <w:top w:val="none" w:sz="0" w:space="0" w:color="auto"/>
        <w:left w:val="none" w:sz="0" w:space="0" w:color="auto"/>
        <w:bottom w:val="none" w:sz="0" w:space="0" w:color="auto"/>
        <w:right w:val="none" w:sz="0" w:space="0" w:color="auto"/>
      </w:divBdr>
    </w:div>
    <w:div w:id="1759936341">
      <w:bodyDiv w:val="1"/>
      <w:marLeft w:val="0"/>
      <w:marRight w:val="0"/>
      <w:marTop w:val="0"/>
      <w:marBottom w:val="0"/>
      <w:divBdr>
        <w:top w:val="none" w:sz="0" w:space="0" w:color="auto"/>
        <w:left w:val="none" w:sz="0" w:space="0" w:color="auto"/>
        <w:bottom w:val="none" w:sz="0" w:space="0" w:color="auto"/>
        <w:right w:val="none" w:sz="0" w:space="0" w:color="auto"/>
      </w:divBdr>
    </w:div>
    <w:div w:id="1845514217">
      <w:bodyDiv w:val="1"/>
      <w:marLeft w:val="0"/>
      <w:marRight w:val="0"/>
      <w:marTop w:val="0"/>
      <w:marBottom w:val="0"/>
      <w:divBdr>
        <w:top w:val="none" w:sz="0" w:space="0" w:color="auto"/>
        <w:left w:val="none" w:sz="0" w:space="0" w:color="auto"/>
        <w:bottom w:val="none" w:sz="0" w:space="0" w:color="auto"/>
        <w:right w:val="none" w:sz="0" w:space="0" w:color="auto"/>
      </w:divBdr>
    </w:div>
    <w:div w:id="1951818341">
      <w:bodyDiv w:val="1"/>
      <w:marLeft w:val="0"/>
      <w:marRight w:val="0"/>
      <w:marTop w:val="0"/>
      <w:marBottom w:val="0"/>
      <w:divBdr>
        <w:top w:val="none" w:sz="0" w:space="0" w:color="auto"/>
        <w:left w:val="none" w:sz="0" w:space="0" w:color="auto"/>
        <w:bottom w:val="none" w:sz="0" w:space="0" w:color="auto"/>
        <w:right w:val="none" w:sz="0" w:space="0" w:color="auto"/>
      </w:divBdr>
    </w:div>
    <w:div w:id="210962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tga.gov.au/product-information-pi"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6.xml"/><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3.xml"/><Relationship Id="rId45" Type="http://schemas.openxmlformats.org/officeDocument/2006/relationships/hyperlink" Target="https://www.tga.gov.au" TargetMode="External"/><Relationship Id="rId58"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s://www.tga.gov.au/product-information-pi"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8.xml"/><Relationship Id="rId57" Type="http://schemas.microsoft.com/office/2011/relationships/commentsExtended" Target="commentsExtended.xml"/><Relationship Id="rId10" Type="http://schemas.openxmlformats.org/officeDocument/2006/relationships/hyperlink" Target="https://www.tga.gov.au"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microsoft.com/office/2007/relationships/hdphoto" Target="media/hdphoto1.wdp"/><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060\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S i m c y p D a t a   x m l n s = " h t t p : / / w w w . s i m c y p . c o m / " >  
     < P r o f i l e C h a r t s / >  
     < R e s u l t s T a b l e s / >  
     < S t a t i s t i c s C h a r t s / >  
     < R e g i o n a l F r a c t i o n C h a r t s / >  
     < I n p u t T a b l e s / >  
 < / S i m c y p 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FAB54-D813-48C9-96AA-1E16E2655B95}">
  <ds:schemaRefs>
    <ds:schemaRef ds:uri="http://www.simcyp.com/"/>
  </ds:schemaRefs>
</ds:datastoreItem>
</file>

<file path=customXml/itemProps2.xml><?xml version="1.0" encoding="utf-8"?>
<ds:datastoreItem xmlns:ds="http://schemas.openxmlformats.org/officeDocument/2006/customXml" ds:itemID="{509B642D-0775-42FC-A525-919E45A0E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22</TotalTime>
  <Pages>115</Pages>
  <Words>45583</Words>
  <Characters>259826</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Australian Public Assessment Report for Inotuzumab ozogamicin</vt:lpstr>
    </vt:vector>
  </TitlesOfParts>
  <Company>Department of Health Therapeutic Goods Administration</Company>
  <LinksUpToDate>false</LinksUpToDate>
  <CharactersWithSpaces>304800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Inotuzumab ozogamicin</dc:title>
  <dc:subject>prescription medicines</dc:subject>
  <dc:creator>Therapeutic Goods Administration</dc:creator>
  <cp:keywords>AusPARs</cp:keywords>
  <cp:lastModifiedBy>LACK, Janet</cp:lastModifiedBy>
  <cp:revision>3</cp:revision>
  <cp:lastPrinted>2019-05-01T03:57:00Z</cp:lastPrinted>
  <dcterms:created xsi:type="dcterms:W3CDTF">2019-08-12T02:10:00Z</dcterms:created>
  <dcterms:modified xsi:type="dcterms:W3CDTF">2019-08-12T02:32:00Z</dcterms:modified>
  <cp:category/>
</cp:coreProperties>
</file>