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0"/>
      </w:tblGrid>
      <w:tr w:rsidR="008E7846" w:rsidRPr="003442FE" w14:paraId="47F382BC" w14:textId="77777777" w:rsidTr="000F2921">
        <w:trPr>
          <w:trHeight w:val="1863"/>
        </w:trPr>
        <w:tc>
          <w:tcPr>
            <w:tcW w:w="3620" w:type="dxa"/>
            <w:tcBorders>
              <w:top w:val="nil"/>
              <w:left w:val="nil"/>
              <w:bottom w:val="nil"/>
              <w:right w:val="nil"/>
            </w:tcBorders>
          </w:tcPr>
          <w:p w14:paraId="22C3ADE9" w14:textId="05C381FE" w:rsidR="008E7846" w:rsidRPr="003442FE" w:rsidRDefault="000F2921" w:rsidP="0017078F">
            <w:pPr>
              <w:rPr>
                <w:rFonts w:ascii="Arial" w:hAnsi="Arial" w:cs="Arial"/>
                <w:b/>
                <w:color w:val="002C47"/>
                <w:sz w:val="36"/>
                <w:szCs w:val="36"/>
              </w:rPr>
            </w:pPr>
            <w:bookmarkStart w:id="0" w:name="_GoBack"/>
            <w:bookmarkEnd w:id="0"/>
            <w:r>
              <w:rPr>
                <w:rFonts w:ascii="Arial" w:hAnsi="Arial" w:cs="Arial"/>
                <w:b/>
                <w:color w:val="002C47"/>
                <w:sz w:val="36"/>
                <w:szCs w:val="36"/>
              </w:rPr>
              <w:t>November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3442FE" w14:paraId="52B21444" w14:textId="77777777" w:rsidTr="00E07F15">
        <w:trPr>
          <w:trHeight w:val="1548"/>
        </w:trPr>
        <w:tc>
          <w:tcPr>
            <w:tcW w:w="9079" w:type="dxa"/>
          </w:tcPr>
          <w:p w14:paraId="63EB3DE3" w14:textId="77777777" w:rsidR="0032583B" w:rsidRPr="003442FE" w:rsidRDefault="00E07F15" w:rsidP="00A964D1">
            <w:pPr>
              <w:pStyle w:val="Title"/>
              <w:rPr>
                <w:color w:val="FFFFFF" w:themeColor="background1"/>
              </w:rPr>
            </w:pPr>
            <w:r w:rsidRPr="003442FE">
              <w:rPr>
                <w:color w:val="FFFFFF" w:themeColor="background1"/>
              </w:rPr>
              <w:t>AusPAR Attachment 2</w:t>
            </w:r>
          </w:p>
        </w:tc>
      </w:tr>
      <w:tr w:rsidR="00E07F15" w:rsidRPr="003442FE" w14:paraId="31C86E34" w14:textId="77777777" w:rsidTr="00E07F15">
        <w:trPr>
          <w:trHeight w:val="868"/>
        </w:trPr>
        <w:tc>
          <w:tcPr>
            <w:tcW w:w="9079" w:type="dxa"/>
          </w:tcPr>
          <w:p w14:paraId="14C056A3" w14:textId="21703448" w:rsidR="00E07F15" w:rsidRPr="003442FE" w:rsidRDefault="00E07F15" w:rsidP="00E07F15">
            <w:pPr>
              <w:pStyle w:val="Title"/>
              <w:rPr>
                <w:color w:val="FFFFFF" w:themeColor="background1"/>
              </w:rPr>
            </w:pPr>
            <w:r w:rsidRPr="003442FE">
              <w:rPr>
                <w:color w:val="FFFFFF" w:themeColor="background1"/>
              </w:rPr>
              <w:t>Extract from the C</w:t>
            </w:r>
            <w:r w:rsidR="000F2921">
              <w:rPr>
                <w:color w:val="FFFFFF" w:themeColor="background1"/>
              </w:rPr>
              <w:t>linical Evaluation Report for influenza virus haemagglutinin (vaccine)</w:t>
            </w:r>
          </w:p>
        </w:tc>
      </w:tr>
      <w:tr w:rsidR="00E07F15" w:rsidRPr="003442FE" w14:paraId="200E3237" w14:textId="77777777" w:rsidTr="00E07F15">
        <w:tc>
          <w:tcPr>
            <w:tcW w:w="9079" w:type="dxa"/>
          </w:tcPr>
          <w:p w14:paraId="71388333" w14:textId="4136D064" w:rsidR="00E07F15" w:rsidRPr="003442FE" w:rsidRDefault="000F2921" w:rsidP="000F2921">
            <w:pPr>
              <w:pStyle w:val="Subtitle"/>
              <w:ind w:left="0"/>
              <w:rPr>
                <w:color w:val="FFFFFF" w:themeColor="background1"/>
              </w:rPr>
            </w:pPr>
            <w:r>
              <w:rPr>
                <w:color w:val="FFFFFF" w:themeColor="background1"/>
              </w:rPr>
              <w:t xml:space="preserve">Proprietary Product Name: </w:t>
            </w:r>
            <w:r w:rsidR="004D432A">
              <w:rPr>
                <w:color w:val="FFFFFF" w:themeColor="background1"/>
              </w:rPr>
              <w:t>Influvac</w:t>
            </w:r>
            <w:r>
              <w:rPr>
                <w:color w:val="FFFFFF" w:themeColor="background1"/>
              </w:rPr>
              <w:t xml:space="preserve"> Tetra</w:t>
            </w:r>
          </w:p>
        </w:tc>
      </w:tr>
      <w:tr w:rsidR="00E07F15" w:rsidRPr="003442FE" w14:paraId="05B0F996" w14:textId="77777777" w:rsidTr="00E07F15">
        <w:trPr>
          <w:trHeight w:val="486"/>
        </w:trPr>
        <w:tc>
          <w:tcPr>
            <w:tcW w:w="9079" w:type="dxa"/>
          </w:tcPr>
          <w:p w14:paraId="5BA93707" w14:textId="359FAF3A" w:rsidR="00E07F15" w:rsidRPr="003442FE" w:rsidRDefault="00E07F15" w:rsidP="00B500CF">
            <w:pPr>
              <w:pStyle w:val="Subtitle"/>
              <w:ind w:left="0"/>
              <w:rPr>
                <w:color w:val="FFFFFF" w:themeColor="background1"/>
              </w:rPr>
            </w:pPr>
            <w:r w:rsidRPr="003442FE">
              <w:rPr>
                <w:color w:val="FFFFFF" w:themeColor="background1"/>
              </w:rPr>
              <w:t xml:space="preserve">Sponsor: </w:t>
            </w:r>
            <w:r w:rsidR="00B500CF">
              <w:rPr>
                <w:color w:val="FFFFFF" w:themeColor="background1"/>
              </w:rPr>
              <w:t>Mylan Pharma Pty Ltd</w:t>
            </w:r>
          </w:p>
        </w:tc>
      </w:tr>
    </w:tbl>
    <w:p w14:paraId="7163B480" w14:textId="77777777" w:rsidR="008E7846" w:rsidRPr="003442FE" w:rsidRDefault="008E7846" w:rsidP="008E7846">
      <w:pPr>
        <w:pStyle w:val="NonTOCHeading2"/>
      </w:pPr>
      <w:r w:rsidRPr="003442FE">
        <w:br w:type="page"/>
      </w:r>
    </w:p>
    <w:p w14:paraId="19107782" w14:textId="77777777" w:rsidR="008E7846" w:rsidRPr="003442FE" w:rsidRDefault="008E7846" w:rsidP="008E7846">
      <w:pPr>
        <w:pStyle w:val="NonTOCHeading2"/>
      </w:pPr>
      <w:r w:rsidRPr="003442FE">
        <w:lastRenderedPageBreak/>
        <w:t>About the Therapeutic Goods Administration (TGA)</w:t>
      </w:r>
    </w:p>
    <w:p w14:paraId="27C56402" w14:textId="77777777" w:rsidR="008E7846" w:rsidRPr="003442FE" w:rsidRDefault="008E7846" w:rsidP="00DC2A7E">
      <w:pPr>
        <w:pStyle w:val="ListBullet"/>
        <w:numPr>
          <w:ilvl w:val="0"/>
          <w:numId w:val="1"/>
        </w:numPr>
        <w:ind w:left="357" w:hanging="357"/>
      </w:pPr>
      <w:r w:rsidRPr="003442FE">
        <w:t xml:space="preserve">The Therapeutic Goods Administration (TGA) is </w:t>
      </w:r>
      <w:r w:rsidR="00E624A5" w:rsidRPr="003442FE">
        <w:t xml:space="preserve">part </w:t>
      </w:r>
      <w:r w:rsidRPr="003442FE">
        <w:t>of the Australian Government Department of Health, and is responsible for regulating medicines and medical devices.</w:t>
      </w:r>
    </w:p>
    <w:p w14:paraId="5A9A79E4" w14:textId="77777777" w:rsidR="008E7846" w:rsidRPr="003442FE" w:rsidRDefault="00C811C0" w:rsidP="00DC2A7E">
      <w:pPr>
        <w:pStyle w:val="ListBullet"/>
        <w:numPr>
          <w:ilvl w:val="0"/>
          <w:numId w:val="1"/>
        </w:numPr>
        <w:ind w:left="357" w:hanging="357"/>
      </w:pPr>
      <w:r w:rsidRPr="003442FE">
        <w:t xml:space="preserve">The </w:t>
      </w:r>
      <w:r w:rsidR="008E7846" w:rsidRPr="003442FE">
        <w:t xml:space="preserve">TGA administers the </w:t>
      </w:r>
      <w:r w:rsidR="008E7846" w:rsidRPr="003442FE">
        <w:rPr>
          <w:i/>
        </w:rPr>
        <w:t>Therapeutic Goods Act 1989</w:t>
      </w:r>
      <w:r w:rsidR="008E7846" w:rsidRPr="003442FE">
        <w:t xml:space="preserve"> (the Act), applying a risk management approach designed to ensure therapeutic goods supplied in Australia meet acceptable standards of quality, safety and efficacy (performance), when necessary.</w:t>
      </w:r>
    </w:p>
    <w:p w14:paraId="7342FF82" w14:textId="77777777" w:rsidR="008E7846" w:rsidRPr="003442FE" w:rsidRDefault="008E7846" w:rsidP="00DC2A7E">
      <w:pPr>
        <w:pStyle w:val="ListBullet"/>
        <w:numPr>
          <w:ilvl w:val="0"/>
          <w:numId w:val="1"/>
        </w:numPr>
        <w:ind w:left="357" w:hanging="357"/>
      </w:pPr>
      <w:r w:rsidRPr="003442FE">
        <w:t>The work of the TGA is based on applying scientific and clinical expertise to decision-making, to ensure that the benefits to consumers outweigh any risks associated with the use of medicines and medical devices.</w:t>
      </w:r>
    </w:p>
    <w:p w14:paraId="6C511CB4" w14:textId="77777777" w:rsidR="008E7846" w:rsidRPr="003442FE" w:rsidRDefault="008E7846" w:rsidP="00DC2A7E">
      <w:pPr>
        <w:pStyle w:val="ListBullet"/>
        <w:numPr>
          <w:ilvl w:val="0"/>
          <w:numId w:val="1"/>
        </w:numPr>
        <w:ind w:left="357" w:hanging="357"/>
      </w:pPr>
      <w:r w:rsidRPr="003442FE">
        <w:t>The TGA relies on the public, healthcare professionals and industry to report problems with medicines or medical devices. TGA investigates reports received by it to determine any necessary regulatory action.</w:t>
      </w:r>
    </w:p>
    <w:p w14:paraId="7EC7169B" w14:textId="64140E5A" w:rsidR="008E7846" w:rsidRPr="003442FE" w:rsidRDefault="008E7846" w:rsidP="00DC2A7E">
      <w:pPr>
        <w:pStyle w:val="ListBullet"/>
        <w:numPr>
          <w:ilvl w:val="0"/>
          <w:numId w:val="1"/>
        </w:numPr>
        <w:ind w:left="357" w:hanging="357"/>
      </w:pPr>
      <w:r w:rsidRPr="003442FE">
        <w:t>To report a problem with a medicine or medical device, please see the information on the TGA website</w:t>
      </w:r>
      <w:r w:rsidR="00112F56" w:rsidRPr="003442FE">
        <w:t xml:space="preserve"> &lt;</w:t>
      </w:r>
      <w:hyperlink r:id="rId9" w:history="1">
        <w:r w:rsidR="00E979F4" w:rsidRPr="003442FE">
          <w:rPr>
            <w:rStyle w:val="Hyperlink"/>
          </w:rPr>
          <w:t>https://www.tga.gov.au</w:t>
        </w:r>
      </w:hyperlink>
      <w:r w:rsidR="00642E46">
        <w:t xml:space="preserve"> &gt;</w:t>
      </w:r>
      <w:r w:rsidRPr="003442FE">
        <w:t>.</w:t>
      </w:r>
    </w:p>
    <w:p w14:paraId="36BB23D5" w14:textId="77777777" w:rsidR="0017078F" w:rsidRPr="003442FE" w:rsidRDefault="0017078F" w:rsidP="0017078F">
      <w:pPr>
        <w:pStyle w:val="NonTOCHeading2"/>
      </w:pPr>
      <w:r w:rsidRPr="003442FE">
        <w:t>About the Extract from the Clinical Evaluation Report</w:t>
      </w:r>
    </w:p>
    <w:p w14:paraId="445A6F08" w14:textId="77777777" w:rsidR="0017078F" w:rsidRPr="003442FE" w:rsidRDefault="003D0A3B" w:rsidP="0017078F">
      <w:pPr>
        <w:pStyle w:val="ListBullet"/>
      </w:pPr>
      <w:r w:rsidRPr="003442FE">
        <w:t>This document provides a more detailed evaluation of the clinical findings, extracted from the Clinical Evaluation Report (CER) prepared by the TGA. This extract does not include sections from the CER regarding product documentation or post market activities.</w:t>
      </w:r>
    </w:p>
    <w:p w14:paraId="5C6258C7" w14:textId="430DEA78" w:rsidR="003D0A3B" w:rsidRPr="003442FE" w:rsidRDefault="003D0A3B" w:rsidP="003D0A3B">
      <w:pPr>
        <w:pStyle w:val="ListBullet"/>
      </w:pPr>
      <w:r w:rsidRPr="003442FE">
        <w:t xml:space="preserve">The words </w:t>
      </w:r>
      <w:r w:rsidR="00140CBD">
        <w:t>(</w:t>
      </w:r>
      <w:r w:rsidRPr="003442FE">
        <w:t>Information redacted</w:t>
      </w:r>
      <w:r w:rsidR="00140CBD">
        <w:t>)</w:t>
      </w:r>
      <w:r w:rsidRPr="003442FE">
        <w:t>, where they appear in this document, indicate that confidential information has been deleted.</w:t>
      </w:r>
    </w:p>
    <w:p w14:paraId="43F4A016" w14:textId="63BA081D" w:rsidR="0017078F" w:rsidRPr="003442FE" w:rsidRDefault="003D0A3B" w:rsidP="0017078F">
      <w:pPr>
        <w:pStyle w:val="ListBullet"/>
      </w:pPr>
      <w:r w:rsidRPr="003442FE">
        <w:t xml:space="preserve">For the most recent Product Information (PI), please refer to the TGA website </w:t>
      </w:r>
      <w:r w:rsidR="00B1425E" w:rsidRPr="003442FE">
        <w:t>&lt;</w:t>
      </w:r>
      <w:hyperlink r:id="rId10" w:history="1">
        <w:r w:rsidR="0010193C" w:rsidRPr="003442FE">
          <w:rPr>
            <w:rStyle w:val="Hyperlink"/>
          </w:rPr>
          <w:t>https://www.tga.gov.au/product-information-pi</w:t>
        </w:r>
      </w:hyperlink>
      <w:r w:rsidR="001B2B66">
        <w:t>&gt;</w:t>
      </w:r>
      <w:r w:rsidR="0017078F" w:rsidRPr="003442FE">
        <w:t>.</w:t>
      </w:r>
    </w:p>
    <w:p w14:paraId="1AAE4502" w14:textId="77777777" w:rsidR="00924482" w:rsidRPr="003442FE" w:rsidRDefault="00924482" w:rsidP="000E6573">
      <w:pPr>
        <w:pStyle w:val="LegalSubheading"/>
        <w:spacing w:before="3960"/>
      </w:pPr>
      <w:r w:rsidRPr="003442FE">
        <w:t>Copyright</w:t>
      </w:r>
    </w:p>
    <w:p w14:paraId="2A9A2F7A" w14:textId="221B38D4" w:rsidR="00924482" w:rsidRPr="003442FE" w:rsidRDefault="00924482" w:rsidP="00924482">
      <w:pPr>
        <w:pStyle w:val="LegalCopy"/>
      </w:pPr>
      <w:r w:rsidRPr="003442FE">
        <w:rPr>
          <w:rFonts w:cs="Arial"/>
        </w:rPr>
        <w:t>© Commonwealth of Australia 201</w:t>
      </w:r>
      <w:r w:rsidR="00B93E2D">
        <w:rPr>
          <w:rFonts w:cs="Arial"/>
        </w:rPr>
        <w:t>8</w:t>
      </w:r>
      <w:r w:rsidRPr="003442FE">
        <w:rPr>
          <w:rFonts w:cs="Arial"/>
        </w:rPr>
        <w:br/>
      </w:r>
      <w:proofErr w:type="gramStart"/>
      <w:r w:rsidRPr="003442FE">
        <w:rPr>
          <w:rFonts w:cs="Arial"/>
        </w:rPr>
        <w:t>This</w:t>
      </w:r>
      <w:proofErr w:type="gramEnd"/>
      <w:r w:rsidRPr="003442FE">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442FE">
        <w:rPr>
          <w:rFonts w:cs="Arial"/>
          <w:i/>
        </w:rPr>
        <w:t>Copyright Act 1968</w:t>
      </w:r>
      <w:r w:rsidRPr="003442F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3442FE">
          <w:rPr>
            <w:rStyle w:val="Hyperlink"/>
            <w:rFonts w:cs="Arial"/>
          </w:rPr>
          <w:t>tga.copyright@tga.gov.au</w:t>
        </w:r>
      </w:hyperlink>
      <w:r w:rsidR="00642E46">
        <w:rPr>
          <w:rFonts w:cs="Arial"/>
        </w:rPr>
        <w:t>&gt;</w:t>
      </w:r>
      <w:r w:rsidRPr="003442FE">
        <w:rPr>
          <w:rFonts w:cs="Arial"/>
        </w:rPr>
        <w:t>.</w:t>
      </w:r>
    </w:p>
    <w:p w14:paraId="781C1550" w14:textId="77777777" w:rsidR="00924482" w:rsidRPr="003442FE" w:rsidRDefault="00924482" w:rsidP="00924482">
      <w:pPr>
        <w:pStyle w:val="LegalCopy"/>
        <w:sectPr w:rsidR="00924482" w:rsidRPr="003442FE"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86A8E87" w14:textId="77777777" w:rsidR="0089635C" w:rsidRPr="003442FE" w:rsidRDefault="0089635C" w:rsidP="0010788A">
          <w:pPr>
            <w:pStyle w:val="Contents"/>
          </w:pPr>
          <w:r w:rsidRPr="003442FE">
            <w:t>Contents</w:t>
          </w:r>
        </w:p>
        <w:p w14:paraId="095DB1E1" w14:textId="77777777" w:rsidR="00B93E2D" w:rsidRDefault="004F4AF5">
          <w:pPr>
            <w:pStyle w:val="TOC2"/>
            <w:rPr>
              <w:rFonts w:asciiTheme="minorHAnsi" w:eastAsiaTheme="minorEastAsia" w:hAnsiTheme="minorHAnsi" w:cstheme="minorBidi"/>
              <w:b w:val="0"/>
              <w:noProof/>
              <w:sz w:val="22"/>
              <w:lang w:eastAsia="en-AU"/>
            </w:rPr>
          </w:pPr>
          <w:r w:rsidRPr="003442FE">
            <w:fldChar w:fldCharType="begin"/>
          </w:r>
          <w:r w:rsidR="0089635C" w:rsidRPr="003442FE">
            <w:instrText xml:space="preserve"> TOC \o "1-3" \h \z \u </w:instrText>
          </w:r>
          <w:r w:rsidRPr="003442FE">
            <w:fldChar w:fldCharType="separate"/>
          </w:r>
          <w:hyperlink w:anchor="_Toc524344774" w:history="1">
            <w:r w:rsidR="00B93E2D" w:rsidRPr="00E949DE">
              <w:rPr>
                <w:rStyle w:val="Hyperlink"/>
                <w:noProof/>
              </w:rPr>
              <w:t>List of common abbreviations</w:t>
            </w:r>
            <w:r w:rsidR="00B93E2D">
              <w:rPr>
                <w:noProof/>
                <w:webHidden/>
              </w:rPr>
              <w:tab/>
            </w:r>
            <w:r w:rsidR="00B93E2D">
              <w:rPr>
                <w:noProof/>
                <w:webHidden/>
              </w:rPr>
              <w:fldChar w:fldCharType="begin"/>
            </w:r>
            <w:r w:rsidR="00B93E2D">
              <w:rPr>
                <w:noProof/>
                <w:webHidden/>
              </w:rPr>
              <w:instrText xml:space="preserve"> PAGEREF _Toc524344774 \h </w:instrText>
            </w:r>
            <w:r w:rsidR="00B93E2D">
              <w:rPr>
                <w:noProof/>
                <w:webHidden/>
              </w:rPr>
            </w:r>
            <w:r w:rsidR="00B93E2D">
              <w:rPr>
                <w:noProof/>
                <w:webHidden/>
              </w:rPr>
              <w:fldChar w:fldCharType="separate"/>
            </w:r>
            <w:r w:rsidR="00B93E2D">
              <w:rPr>
                <w:noProof/>
                <w:webHidden/>
              </w:rPr>
              <w:t>5</w:t>
            </w:r>
            <w:r w:rsidR="00B93E2D">
              <w:rPr>
                <w:noProof/>
                <w:webHidden/>
              </w:rPr>
              <w:fldChar w:fldCharType="end"/>
            </w:r>
          </w:hyperlink>
        </w:p>
        <w:p w14:paraId="6A7DB7B0"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775" w:history="1">
            <w:r w:rsidR="00B93E2D" w:rsidRPr="00E949DE">
              <w:rPr>
                <w:rStyle w:val="Hyperlink"/>
                <w:noProof/>
                <w:lang w:eastAsia="en-AU"/>
              </w:rPr>
              <w:t>1.</w:t>
            </w:r>
            <w:r w:rsidR="00B93E2D">
              <w:rPr>
                <w:rFonts w:asciiTheme="minorHAnsi" w:eastAsiaTheme="minorEastAsia" w:hAnsiTheme="minorHAnsi" w:cstheme="minorBidi"/>
                <w:b w:val="0"/>
                <w:noProof/>
                <w:sz w:val="22"/>
                <w:lang w:eastAsia="en-AU"/>
              </w:rPr>
              <w:tab/>
            </w:r>
            <w:r w:rsidR="00B93E2D" w:rsidRPr="00E949DE">
              <w:rPr>
                <w:rStyle w:val="Hyperlink"/>
                <w:noProof/>
                <w:lang w:eastAsia="en-AU"/>
              </w:rPr>
              <w:t>Introduction</w:t>
            </w:r>
            <w:r w:rsidR="00B93E2D">
              <w:rPr>
                <w:noProof/>
                <w:webHidden/>
              </w:rPr>
              <w:tab/>
            </w:r>
            <w:r w:rsidR="00B93E2D">
              <w:rPr>
                <w:noProof/>
                <w:webHidden/>
              </w:rPr>
              <w:fldChar w:fldCharType="begin"/>
            </w:r>
            <w:r w:rsidR="00B93E2D">
              <w:rPr>
                <w:noProof/>
                <w:webHidden/>
              </w:rPr>
              <w:instrText xml:space="preserve"> PAGEREF _Toc524344775 \h </w:instrText>
            </w:r>
            <w:r w:rsidR="00B93E2D">
              <w:rPr>
                <w:noProof/>
                <w:webHidden/>
              </w:rPr>
            </w:r>
            <w:r w:rsidR="00B93E2D">
              <w:rPr>
                <w:noProof/>
                <w:webHidden/>
              </w:rPr>
              <w:fldChar w:fldCharType="separate"/>
            </w:r>
            <w:r w:rsidR="00B93E2D">
              <w:rPr>
                <w:noProof/>
                <w:webHidden/>
              </w:rPr>
              <w:t>8</w:t>
            </w:r>
            <w:r w:rsidR="00B93E2D">
              <w:rPr>
                <w:noProof/>
                <w:webHidden/>
              </w:rPr>
              <w:fldChar w:fldCharType="end"/>
            </w:r>
          </w:hyperlink>
        </w:p>
        <w:p w14:paraId="73FCC88E"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76" w:history="1">
            <w:r w:rsidR="00B93E2D" w:rsidRPr="00E949DE">
              <w:rPr>
                <w:rStyle w:val="Hyperlink"/>
                <w:noProof/>
              </w:rPr>
              <w:t>1.1.</w:t>
            </w:r>
            <w:r w:rsidR="00B93E2D">
              <w:rPr>
                <w:rFonts w:asciiTheme="minorHAnsi" w:eastAsiaTheme="minorEastAsia" w:hAnsiTheme="minorHAnsi" w:cstheme="minorBidi"/>
                <w:noProof/>
                <w:lang w:eastAsia="en-AU"/>
              </w:rPr>
              <w:tab/>
            </w:r>
            <w:r w:rsidR="00B93E2D" w:rsidRPr="00E949DE">
              <w:rPr>
                <w:rStyle w:val="Hyperlink"/>
                <w:noProof/>
              </w:rPr>
              <w:t>Drug class and therapeutic indication</w:t>
            </w:r>
            <w:r w:rsidR="00B93E2D">
              <w:rPr>
                <w:noProof/>
                <w:webHidden/>
              </w:rPr>
              <w:tab/>
            </w:r>
            <w:r w:rsidR="00B93E2D">
              <w:rPr>
                <w:noProof/>
                <w:webHidden/>
              </w:rPr>
              <w:fldChar w:fldCharType="begin"/>
            </w:r>
            <w:r w:rsidR="00B93E2D">
              <w:rPr>
                <w:noProof/>
                <w:webHidden/>
              </w:rPr>
              <w:instrText xml:space="preserve"> PAGEREF _Toc524344776 \h </w:instrText>
            </w:r>
            <w:r w:rsidR="00B93E2D">
              <w:rPr>
                <w:noProof/>
                <w:webHidden/>
              </w:rPr>
            </w:r>
            <w:r w:rsidR="00B93E2D">
              <w:rPr>
                <w:noProof/>
                <w:webHidden/>
              </w:rPr>
              <w:fldChar w:fldCharType="separate"/>
            </w:r>
            <w:r w:rsidR="00B93E2D">
              <w:rPr>
                <w:noProof/>
                <w:webHidden/>
              </w:rPr>
              <w:t>8</w:t>
            </w:r>
            <w:r w:rsidR="00B93E2D">
              <w:rPr>
                <w:noProof/>
                <w:webHidden/>
              </w:rPr>
              <w:fldChar w:fldCharType="end"/>
            </w:r>
          </w:hyperlink>
        </w:p>
        <w:p w14:paraId="43A6E5D3"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77" w:history="1">
            <w:r w:rsidR="00B93E2D" w:rsidRPr="00E949DE">
              <w:rPr>
                <w:rStyle w:val="Hyperlink"/>
                <w:noProof/>
              </w:rPr>
              <w:t>1.2.</w:t>
            </w:r>
            <w:r w:rsidR="00B93E2D">
              <w:rPr>
                <w:rFonts w:asciiTheme="minorHAnsi" w:eastAsiaTheme="minorEastAsia" w:hAnsiTheme="minorHAnsi" w:cstheme="minorBidi"/>
                <w:noProof/>
                <w:lang w:eastAsia="en-AU"/>
              </w:rPr>
              <w:tab/>
            </w:r>
            <w:r w:rsidR="00B93E2D" w:rsidRPr="00E949DE">
              <w:rPr>
                <w:rStyle w:val="Hyperlink"/>
                <w:noProof/>
              </w:rPr>
              <w:t>Dosage forms and strengths</w:t>
            </w:r>
            <w:r w:rsidR="00B93E2D">
              <w:rPr>
                <w:noProof/>
                <w:webHidden/>
              </w:rPr>
              <w:tab/>
            </w:r>
            <w:r w:rsidR="00B93E2D">
              <w:rPr>
                <w:noProof/>
                <w:webHidden/>
              </w:rPr>
              <w:fldChar w:fldCharType="begin"/>
            </w:r>
            <w:r w:rsidR="00B93E2D">
              <w:rPr>
                <w:noProof/>
                <w:webHidden/>
              </w:rPr>
              <w:instrText xml:space="preserve"> PAGEREF _Toc524344777 \h </w:instrText>
            </w:r>
            <w:r w:rsidR="00B93E2D">
              <w:rPr>
                <w:noProof/>
                <w:webHidden/>
              </w:rPr>
            </w:r>
            <w:r w:rsidR="00B93E2D">
              <w:rPr>
                <w:noProof/>
                <w:webHidden/>
              </w:rPr>
              <w:fldChar w:fldCharType="separate"/>
            </w:r>
            <w:r w:rsidR="00B93E2D">
              <w:rPr>
                <w:noProof/>
                <w:webHidden/>
              </w:rPr>
              <w:t>9</w:t>
            </w:r>
            <w:r w:rsidR="00B93E2D">
              <w:rPr>
                <w:noProof/>
                <w:webHidden/>
              </w:rPr>
              <w:fldChar w:fldCharType="end"/>
            </w:r>
          </w:hyperlink>
        </w:p>
        <w:p w14:paraId="74CB9B41"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78" w:history="1">
            <w:r w:rsidR="00B93E2D" w:rsidRPr="00E949DE">
              <w:rPr>
                <w:rStyle w:val="Hyperlink"/>
                <w:noProof/>
              </w:rPr>
              <w:t>1.3.</w:t>
            </w:r>
            <w:r w:rsidR="00B93E2D">
              <w:rPr>
                <w:rFonts w:asciiTheme="minorHAnsi" w:eastAsiaTheme="minorEastAsia" w:hAnsiTheme="minorHAnsi" w:cstheme="minorBidi"/>
                <w:noProof/>
                <w:lang w:eastAsia="en-AU"/>
              </w:rPr>
              <w:tab/>
            </w:r>
            <w:r w:rsidR="00B93E2D" w:rsidRPr="00E949DE">
              <w:rPr>
                <w:rStyle w:val="Hyperlink"/>
                <w:noProof/>
              </w:rPr>
              <w:t>Dosage and administration</w:t>
            </w:r>
            <w:r w:rsidR="00B93E2D">
              <w:rPr>
                <w:noProof/>
                <w:webHidden/>
              </w:rPr>
              <w:tab/>
            </w:r>
            <w:r w:rsidR="00B93E2D">
              <w:rPr>
                <w:noProof/>
                <w:webHidden/>
              </w:rPr>
              <w:fldChar w:fldCharType="begin"/>
            </w:r>
            <w:r w:rsidR="00B93E2D">
              <w:rPr>
                <w:noProof/>
                <w:webHidden/>
              </w:rPr>
              <w:instrText xml:space="preserve"> PAGEREF _Toc524344778 \h </w:instrText>
            </w:r>
            <w:r w:rsidR="00B93E2D">
              <w:rPr>
                <w:noProof/>
                <w:webHidden/>
              </w:rPr>
            </w:r>
            <w:r w:rsidR="00B93E2D">
              <w:rPr>
                <w:noProof/>
                <w:webHidden/>
              </w:rPr>
              <w:fldChar w:fldCharType="separate"/>
            </w:r>
            <w:r w:rsidR="00B93E2D">
              <w:rPr>
                <w:noProof/>
                <w:webHidden/>
              </w:rPr>
              <w:t>9</w:t>
            </w:r>
            <w:r w:rsidR="00B93E2D">
              <w:rPr>
                <w:noProof/>
                <w:webHidden/>
              </w:rPr>
              <w:fldChar w:fldCharType="end"/>
            </w:r>
          </w:hyperlink>
        </w:p>
        <w:p w14:paraId="420FF104"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779" w:history="1">
            <w:r w:rsidR="00B93E2D" w:rsidRPr="00E949DE">
              <w:rPr>
                <w:rStyle w:val="Hyperlink"/>
                <w:noProof/>
              </w:rPr>
              <w:t>2.</w:t>
            </w:r>
            <w:r w:rsidR="00B93E2D">
              <w:rPr>
                <w:rFonts w:asciiTheme="minorHAnsi" w:eastAsiaTheme="minorEastAsia" w:hAnsiTheme="minorHAnsi" w:cstheme="minorBidi"/>
                <w:b w:val="0"/>
                <w:noProof/>
                <w:sz w:val="22"/>
                <w:lang w:eastAsia="en-AU"/>
              </w:rPr>
              <w:tab/>
            </w:r>
            <w:r w:rsidR="00B93E2D" w:rsidRPr="00E949DE">
              <w:rPr>
                <w:rStyle w:val="Hyperlink"/>
                <w:noProof/>
              </w:rPr>
              <w:t>Clinical rationale</w:t>
            </w:r>
            <w:r w:rsidR="00B93E2D">
              <w:rPr>
                <w:noProof/>
                <w:webHidden/>
              </w:rPr>
              <w:tab/>
            </w:r>
            <w:r w:rsidR="00B93E2D">
              <w:rPr>
                <w:noProof/>
                <w:webHidden/>
              </w:rPr>
              <w:fldChar w:fldCharType="begin"/>
            </w:r>
            <w:r w:rsidR="00B93E2D">
              <w:rPr>
                <w:noProof/>
                <w:webHidden/>
              </w:rPr>
              <w:instrText xml:space="preserve"> PAGEREF _Toc524344779 \h </w:instrText>
            </w:r>
            <w:r w:rsidR="00B93E2D">
              <w:rPr>
                <w:noProof/>
                <w:webHidden/>
              </w:rPr>
            </w:r>
            <w:r w:rsidR="00B93E2D">
              <w:rPr>
                <w:noProof/>
                <w:webHidden/>
              </w:rPr>
              <w:fldChar w:fldCharType="separate"/>
            </w:r>
            <w:r w:rsidR="00B93E2D">
              <w:rPr>
                <w:noProof/>
                <w:webHidden/>
              </w:rPr>
              <w:t>9</w:t>
            </w:r>
            <w:r w:rsidR="00B93E2D">
              <w:rPr>
                <w:noProof/>
                <w:webHidden/>
              </w:rPr>
              <w:fldChar w:fldCharType="end"/>
            </w:r>
          </w:hyperlink>
        </w:p>
        <w:p w14:paraId="789E0F93"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80" w:history="1">
            <w:r w:rsidR="00B93E2D" w:rsidRPr="00E949DE">
              <w:rPr>
                <w:rStyle w:val="Hyperlink"/>
                <w:noProof/>
              </w:rPr>
              <w:t>2.1.</w:t>
            </w:r>
            <w:r w:rsidR="00B93E2D">
              <w:rPr>
                <w:rFonts w:asciiTheme="minorHAnsi" w:eastAsiaTheme="minorEastAsia" w:hAnsiTheme="minorHAnsi" w:cstheme="minorBidi"/>
                <w:noProof/>
                <w:lang w:eastAsia="en-AU"/>
              </w:rPr>
              <w:tab/>
            </w:r>
            <w:r w:rsidR="00B93E2D" w:rsidRPr="00E949DE">
              <w:rPr>
                <w:rStyle w:val="Hyperlink"/>
                <w:noProof/>
              </w:rPr>
              <w:t>Background</w:t>
            </w:r>
            <w:r w:rsidR="00B93E2D">
              <w:rPr>
                <w:noProof/>
                <w:webHidden/>
              </w:rPr>
              <w:tab/>
            </w:r>
            <w:r w:rsidR="00B93E2D">
              <w:rPr>
                <w:noProof/>
                <w:webHidden/>
              </w:rPr>
              <w:fldChar w:fldCharType="begin"/>
            </w:r>
            <w:r w:rsidR="00B93E2D">
              <w:rPr>
                <w:noProof/>
                <w:webHidden/>
              </w:rPr>
              <w:instrText xml:space="preserve"> PAGEREF _Toc524344780 \h </w:instrText>
            </w:r>
            <w:r w:rsidR="00B93E2D">
              <w:rPr>
                <w:noProof/>
                <w:webHidden/>
              </w:rPr>
            </w:r>
            <w:r w:rsidR="00B93E2D">
              <w:rPr>
                <w:noProof/>
                <w:webHidden/>
              </w:rPr>
              <w:fldChar w:fldCharType="separate"/>
            </w:r>
            <w:r w:rsidR="00B93E2D">
              <w:rPr>
                <w:noProof/>
                <w:webHidden/>
              </w:rPr>
              <w:t>9</w:t>
            </w:r>
            <w:r w:rsidR="00B93E2D">
              <w:rPr>
                <w:noProof/>
                <w:webHidden/>
              </w:rPr>
              <w:fldChar w:fldCharType="end"/>
            </w:r>
          </w:hyperlink>
        </w:p>
        <w:p w14:paraId="62C87489"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81" w:history="1">
            <w:r w:rsidR="00B93E2D" w:rsidRPr="00E949DE">
              <w:rPr>
                <w:rStyle w:val="Hyperlink"/>
                <w:noProof/>
              </w:rPr>
              <w:t>2.2.</w:t>
            </w:r>
            <w:r w:rsidR="00B93E2D">
              <w:rPr>
                <w:rFonts w:asciiTheme="minorHAnsi" w:eastAsiaTheme="minorEastAsia" w:hAnsiTheme="minorHAnsi" w:cstheme="minorBidi"/>
                <w:noProof/>
                <w:lang w:eastAsia="en-AU"/>
              </w:rPr>
              <w:tab/>
            </w:r>
            <w:r w:rsidR="00B93E2D" w:rsidRPr="00E949DE">
              <w:rPr>
                <w:rStyle w:val="Hyperlink"/>
                <w:noProof/>
              </w:rPr>
              <w:t>Clinical rationale</w:t>
            </w:r>
            <w:r w:rsidR="00B93E2D">
              <w:rPr>
                <w:noProof/>
                <w:webHidden/>
              </w:rPr>
              <w:tab/>
            </w:r>
            <w:r w:rsidR="00B93E2D">
              <w:rPr>
                <w:noProof/>
                <w:webHidden/>
              </w:rPr>
              <w:fldChar w:fldCharType="begin"/>
            </w:r>
            <w:r w:rsidR="00B93E2D">
              <w:rPr>
                <w:noProof/>
                <w:webHidden/>
              </w:rPr>
              <w:instrText xml:space="preserve"> PAGEREF _Toc524344781 \h </w:instrText>
            </w:r>
            <w:r w:rsidR="00B93E2D">
              <w:rPr>
                <w:noProof/>
                <w:webHidden/>
              </w:rPr>
            </w:r>
            <w:r w:rsidR="00B93E2D">
              <w:rPr>
                <w:noProof/>
                <w:webHidden/>
              </w:rPr>
              <w:fldChar w:fldCharType="separate"/>
            </w:r>
            <w:r w:rsidR="00B93E2D">
              <w:rPr>
                <w:noProof/>
                <w:webHidden/>
              </w:rPr>
              <w:t>10</w:t>
            </w:r>
            <w:r w:rsidR="00B93E2D">
              <w:rPr>
                <w:noProof/>
                <w:webHidden/>
              </w:rPr>
              <w:fldChar w:fldCharType="end"/>
            </w:r>
          </w:hyperlink>
        </w:p>
        <w:p w14:paraId="3F2B8875"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82" w:history="1">
            <w:r w:rsidR="00B93E2D" w:rsidRPr="00E949DE">
              <w:rPr>
                <w:rStyle w:val="Hyperlink"/>
                <w:noProof/>
              </w:rPr>
              <w:t>2.3.</w:t>
            </w:r>
            <w:r w:rsidR="00B93E2D">
              <w:rPr>
                <w:rFonts w:asciiTheme="minorHAnsi" w:eastAsiaTheme="minorEastAsia" w:hAnsiTheme="minorHAnsi" w:cstheme="minorBidi"/>
                <w:noProof/>
                <w:lang w:eastAsia="en-AU"/>
              </w:rPr>
              <w:tab/>
            </w:r>
            <w:r w:rsidR="00B93E2D" w:rsidRPr="00E949DE">
              <w:rPr>
                <w:rStyle w:val="Hyperlink"/>
                <w:noProof/>
              </w:rPr>
              <w:t>Evaluator’s commentary on the background information</w:t>
            </w:r>
            <w:r w:rsidR="00B93E2D">
              <w:rPr>
                <w:noProof/>
                <w:webHidden/>
              </w:rPr>
              <w:tab/>
            </w:r>
            <w:r w:rsidR="00B93E2D">
              <w:rPr>
                <w:noProof/>
                <w:webHidden/>
              </w:rPr>
              <w:fldChar w:fldCharType="begin"/>
            </w:r>
            <w:r w:rsidR="00B93E2D">
              <w:rPr>
                <w:noProof/>
                <w:webHidden/>
              </w:rPr>
              <w:instrText xml:space="preserve"> PAGEREF _Toc524344782 \h </w:instrText>
            </w:r>
            <w:r w:rsidR="00B93E2D">
              <w:rPr>
                <w:noProof/>
                <w:webHidden/>
              </w:rPr>
            </w:r>
            <w:r w:rsidR="00B93E2D">
              <w:rPr>
                <w:noProof/>
                <w:webHidden/>
              </w:rPr>
              <w:fldChar w:fldCharType="separate"/>
            </w:r>
            <w:r w:rsidR="00B93E2D">
              <w:rPr>
                <w:noProof/>
                <w:webHidden/>
              </w:rPr>
              <w:t>11</w:t>
            </w:r>
            <w:r w:rsidR="00B93E2D">
              <w:rPr>
                <w:noProof/>
                <w:webHidden/>
              </w:rPr>
              <w:fldChar w:fldCharType="end"/>
            </w:r>
          </w:hyperlink>
        </w:p>
        <w:p w14:paraId="041EBE6F"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783" w:history="1">
            <w:r w:rsidR="00B93E2D" w:rsidRPr="00E949DE">
              <w:rPr>
                <w:rStyle w:val="Hyperlink"/>
                <w:noProof/>
                <w:lang w:eastAsia="en-AU"/>
              </w:rPr>
              <w:t>3.</w:t>
            </w:r>
            <w:r w:rsidR="00B93E2D">
              <w:rPr>
                <w:rFonts w:asciiTheme="minorHAnsi" w:eastAsiaTheme="minorEastAsia" w:hAnsiTheme="minorHAnsi" w:cstheme="minorBidi"/>
                <w:b w:val="0"/>
                <w:noProof/>
                <w:sz w:val="22"/>
                <w:lang w:eastAsia="en-AU"/>
              </w:rPr>
              <w:tab/>
            </w:r>
            <w:r w:rsidR="00B93E2D" w:rsidRPr="00E949DE">
              <w:rPr>
                <w:rStyle w:val="Hyperlink"/>
                <w:noProof/>
                <w:lang w:eastAsia="en-AU"/>
              </w:rPr>
              <w:t>Contents of the clinical dossier</w:t>
            </w:r>
            <w:r w:rsidR="00B93E2D">
              <w:rPr>
                <w:noProof/>
                <w:webHidden/>
              </w:rPr>
              <w:tab/>
            </w:r>
            <w:r w:rsidR="00B93E2D">
              <w:rPr>
                <w:noProof/>
                <w:webHidden/>
              </w:rPr>
              <w:fldChar w:fldCharType="begin"/>
            </w:r>
            <w:r w:rsidR="00B93E2D">
              <w:rPr>
                <w:noProof/>
                <w:webHidden/>
              </w:rPr>
              <w:instrText xml:space="preserve"> PAGEREF _Toc524344783 \h </w:instrText>
            </w:r>
            <w:r w:rsidR="00B93E2D">
              <w:rPr>
                <w:noProof/>
                <w:webHidden/>
              </w:rPr>
            </w:r>
            <w:r w:rsidR="00B93E2D">
              <w:rPr>
                <w:noProof/>
                <w:webHidden/>
              </w:rPr>
              <w:fldChar w:fldCharType="separate"/>
            </w:r>
            <w:r w:rsidR="00B93E2D">
              <w:rPr>
                <w:noProof/>
                <w:webHidden/>
              </w:rPr>
              <w:t>11</w:t>
            </w:r>
            <w:r w:rsidR="00B93E2D">
              <w:rPr>
                <w:noProof/>
                <w:webHidden/>
              </w:rPr>
              <w:fldChar w:fldCharType="end"/>
            </w:r>
          </w:hyperlink>
        </w:p>
        <w:p w14:paraId="2A7C5834"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84" w:history="1">
            <w:r w:rsidR="00B93E2D" w:rsidRPr="00E949DE">
              <w:rPr>
                <w:rStyle w:val="Hyperlink"/>
                <w:noProof/>
              </w:rPr>
              <w:t>3.1.</w:t>
            </w:r>
            <w:r w:rsidR="00B93E2D">
              <w:rPr>
                <w:rFonts w:asciiTheme="minorHAnsi" w:eastAsiaTheme="minorEastAsia" w:hAnsiTheme="minorHAnsi" w:cstheme="minorBidi"/>
                <w:noProof/>
                <w:lang w:eastAsia="en-AU"/>
              </w:rPr>
              <w:tab/>
            </w:r>
            <w:r w:rsidR="00B93E2D" w:rsidRPr="00E949DE">
              <w:rPr>
                <w:rStyle w:val="Hyperlink"/>
                <w:noProof/>
              </w:rPr>
              <w:t>Scope of the clinical dossier</w:t>
            </w:r>
            <w:r w:rsidR="00B93E2D">
              <w:rPr>
                <w:noProof/>
                <w:webHidden/>
              </w:rPr>
              <w:tab/>
            </w:r>
            <w:r w:rsidR="00B93E2D">
              <w:rPr>
                <w:noProof/>
                <w:webHidden/>
              </w:rPr>
              <w:fldChar w:fldCharType="begin"/>
            </w:r>
            <w:r w:rsidR="00B93E2D">
              <w:rPr>
                <w:noProof/>
                <w:webHidden/>
              </w:rPr>
              <w:instrText xml:space="preserve"> PAGEREF _Toc524344784 \h </w:instrText>
            </w:r>
            <w:r w:rsidR="00B93E2D">
              <w:rPr>
                <w:noProof/>
                <w:webHidden/>
              </w:rPr>
            </w:r>
            <w:r w:rsidR="00B93E2D">
              <w:rPr>
                <w:noProof/>
                <w:webHidden/>
              </w:rPr>
              <w:fldChar w:fldCharType="separate"/>
            </w:r>
            <w:r w:rsidR="00B93E2D">
              <w:rPr>
                <w:noProof/>
                <w:webHidden/>
              </w:rPr>
              <w:t>11</w:t>
            </w:r>
            <w:r w:rsidR="00B93E2D">
              <w:rPr>
                <w:noProof/>
                <w:webHidden/>
              </w:rPr>
              <w:fldChar w:fldCharType="end"/>
            </w:r>
          </w:hyperlink>
        </w:p>
        <w:p w14:paraId="7F509F59"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85" w:history="1">
            <w:r w:rsidR="00B93E2D" w:rsidRPr="00E949DE">
              <w:rPr>
                <w:rStyle w:val="Hyperlink"/>
                <w:noProof/>
              </w:rPr>
              <w:t>3.2.</w:t>
            </w:r>
            <w:r w:rsidR="00B93E2D">
              <w:rPr>
                <w:rFonts w:asciiTheme="minorHAnsi" w:eastAsiaTheme="minorEastAsia" w:hAnsiTheme="minorHAnsi" w:cstheme="minorBidi"/>
                <w:noProof/>
                <w:lang w:eastAsia="en-AU"/>
              </w:rPr>
              <w:tab/>
            </w:r>
            <w:r w:rsidR="00B93E2D" w:rsidRPr="00E949DE">
              <w:rPr>
                <w:rStyle w:val="Hyperlink"/>
                <w:noProof/>
              </w:rPr>
              <w:t>Paediatric data</w:t>
            </w:r>
            <w:r w:rsidR="00B93E2D">
              <w:rPr>
                <w:noProof/>
                <w:webHidden/>
              </w:rPr>
              <w:tab/>
            </w:r>
            <w:r w:rsidR="00B93E2D">
              <w:rPr>
                <w:noProof/>
                <w:webHidden/>
              </w:rPr>
              <w:fldChar w:fldCharType="begin"/>
            </w:r>
            <w:r w:rsidR="00B93E2D">
              <w:rPr>
                <w:noProof/>
                <w:webHidden/>
              </w:rPr>
              <w:instrText xml:space="preserve"> PAGEREF _Toc524344785 \h </w:instrText>
            </w:r>
            <w:r w:rsidR="00B93E2D">
              <w:rPr>
                <w:noProof/>
                <w:webHidden/>
              </w:rPr>
            </w:r>
            <w:r w:rsidR="00B93E2D">
              <w:rPr>
                <w:noProof/>
                <w:webHidden/>
              </w:rPr>
              <w:fldChar w:fldCharType="separate"/>
            </w:r>
            <w:r w:rsidR="00B93E2D">
              <w:rPr>
                <w:noProof/>
                <w:webHidden/>
              </w:rPr>
              <w:t>11</w:t>
            </w:r>
            <w:r w:rsidR="00B93E2D">
              <w:rPr>
                <w:noProof/>
                <w:webHidden/>
              </w:rPr>
              <w:fldChar w:fldCharType="end"/>
            </w:r>
          </w:hyperlink>
        </w:p>
        <w:p w14:paraId="52FE1F14"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86" w:history="1">
            <w:r w:rsidR="00B93E2D" w:rsidRPr="00E949DE">
              <w:rPr>
                <w:rStyle w:val="Hyperlink"/>
                <w:noProof/>
              </w:rPr>
              <w:t>3.3.</w:t>
            </w:r>
            <w:r w:rsidR="00B93E2D">
              <w:rPr>
                <w:rFonts w:asciiTheme="minorHAnsi" w:eastAsiaTheme="minorEastAsia" w:hAnsiTheme="minorHAnsi" w:cstheme="minorBidi"/>
                <w:noProof/>
                <w:lang w:eastAsia="en-AU"/>
              </w:rPr>
              <w:tab/>
            </w:r>
            <w:r w:rsidR="00B93E2D" w:rsidRPr="00E949DE">
              <w:rPr>
                <w:rStyle w:val="Hyperlink"/>
                <w:noProof/>
              </w:rPr>
              <w:t>Good clinical practice</w:t>
            </w:r>
            <w:r w:rsidR="00B93E2D">
              <w:rPr>
                <w:noProof/>
                <w:webHidden/>
              </w:rPr>
              <w:tab/>
            </w:r>
            <w:r w:rsidR="00B93E2D">
              <w:rPr>
                <w:noProof/>
                <w:webHidden/>
              </w:rPr>
              <w:fldChar w:fldCharType="begin"/>
            </w:r>
            <w:r w:rsidR="00B93E2D">
              <w:rPr>
                <w:noProof/>
                <w:webHidden/>
              </w:rPr>
              <w:instrText xml:space="preserve"> PAGEREF _Toc524344786 \h </w:instrText>
            </w:r>
            <w:r w:rsidR="00B93E2D">
              <w:rPr>
                <w:noProof/>
                <w:webHidden/>
              </w:rPr>
            </w:r>
            <w:r w:rsidR="00B93E2D">
              <w:rPr>
                <w:noProof/>
                <w:webHidden/>
              </w:rPr>
              <w:fldChar w:fldCharType="separate"/>
            </w:r>
            <w:r w:rsidR="00B93E2D">
              <w:rPr>
                <w:noProof/>
                <w:webHidden/>
              </w:rPr>
              <w:t>11</w:t>
            </w:r>
            <w:r w:rsidR="00B93E2D">
              <w:rPr>
                <w:noProof/>
                <w:webHidden/>
              </w:rPr>
              <w:fldChar w:fldCharType="end"/>
            </w:r>
          </w:hyperlink>
        </w:p>
        <w:p w14:paraId="79FB24F1"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87" w:history="1">
            <w:r w:rsidR="00B93E2D" w:rsidRPr="00E949DE">
              <w:rPr>
                <w:rStyle w:val="Hyperlink"/>
                <w:noProof/>
              </w:rPr>
              <w:t>3.4.</w:t>
            </w:r>
            <w:r w:rsidR="00B93E2D">
              <w:rPr>
                <w:rFonts w:asciiTheme="minorHAnsi" w:eastAsiaTheme="minorEastAsia" w:hAnsiTheme="minorHAnsi" w:cstheme="minorBidi"/>
                <w:noProof/>
                <w:lang w:eastAsia="en-AU"/>
              </w:rPr>
              <w:tab/>
            </w:r>
            <w:r w:rsidR="00B93E2D" w:rsidRPr="00E949DE">
              <w:rPr>
                <w:rStyle w:val="Hyperlink"/>
                <w:noProof/>
              </w:rPr>
              <w:t>Evaluator’s commentary on the clinical dossier</w:t>
            </w:r>
            <w:r w:rsidR="00B93E2D">
              <w:rPr>
                <w:noProof/>
                <w:webHidden/>
              </w:rPr>
              <w:tab/>
            </w:r>
            <w:r w:rsidR="00B93E2D">
              <w:rPr>
                <w:noProof/>
                <w:webHidden/>
              </w:rPr>
              <w:fldChar w:fldCharType="begin"/>
            </w:r>
            <w:r w:rsidR="00B93E2D">
              <w:rPr>
                <w:noProof/>
                <w:webHidden/>
              </w:rPr>
              <w:instrText xml:space="preserve"> PAGEREF _Toc524344787 \h </w:instrText>
            </w:r>
            <w:r w:rsidR="00B93E2D">
              <w:rPr>
                <w:noProof/>
                <w:webHidden/>
              </w:rPr>
            </w:r>
            <w:r w:rsidR="00B93E2D">
              <w:rPr>
                <w:noProof/>
                <w:webHidden/>
              </w:rPr>
              <w:fldChar w:fldCharType="separate"/>
            </w:r>
            <w:r w:rsidR="00B93E2D">
              <w:rPr>
                <w:noProof/>
                <w:webHidden/>
              </w:rPr>
              <w:t>11</w:t>
            </w:r>
            <w:r w:rsidR="00B93E2D">
              <w:rPr>
                <w:noProof/>
                <w:webHidden/>
              </w:rPr>
              <w:fldChar w:fldCharType="end"/>
            </w:r>
          </w:hyperlink>
        </w:p>
        <w:p w14:paraId="32C53A39"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788" w:history="1">
            <w:r w:rsidR="00B93E2D" w:rsidRPr="00E949DE">
              <w:rPr>
                <w:rStyle w:val="Hyperlink"/>
                <w:noProof/>
              </w:rPr>
              <w:t>4.</w:t>
            </w:r>
            <w:r w:rsidR="00B93E2D">
              <w:rPr>
                <w:rFonts w:asciiTheme="minorHAnsi" w:eastAsiaTheme="minorEastAsia" w:hAnsiTheme="minorHAnsi" w:cstheme="minorBidi"/>
                <w:b w:val="0"/>
                <w:noProof/>
                <w:sz w:val="22"/>
                <w:lang w:eastAsia="en-AU"/>
              </w:rPr>
              <w:tab/>
            </w:r>
            <w:r w:rsidR="00B93E2D" w:rsidRPr="00E949DE">
              <w:rPr>
                <w:rStyle w:val="Hyperlink"/>
                <w:noProof/>
              </w:rPr>
              <w:t>Pharmacokinetics</w:t>
            </w:r>
            <w:r w:rsidR="00B93E2D">
              <w:rPr>
                <w:noProof/>
                <w:webHidden/>
              </w:rPr>
              <w:tab/>
            </w:r>
            <w:r w:rsidR="00B93E2D">
              <w:rPr>
                <w:noProof/>
                <w:webHidden/>
              </w:rPr>
              <w:fldChar w:fldCharType="begin"/>
            </w:r>
            <w:r w:rsidR="00B93E2D">
              <w:rPr>
                <w:noProof/>
                <w:webHidden/>
              </w:rPr>
              <w:instrText xml:space="preserve"> PAGEREF _Toc524344788 \h </w:instrText>
            </w:r>
            <w:r w:rsidR="00B93E2D">
              <w:rPr>
                <w:noProof/>
                <w:webHidden/>
              </w:rPr>
            </w:r>
            <w:r w:rsidR="00B93E2D">
              <w:rPr>
                <w:noProof/>
                <w:webHidden/>
              </w:rPr>
              <w:fldChar w:fldCharType="separate"/>
            </w:r>
            <w:r w:rsidR="00B93E2D">
              <w:rPr>
                <w:noProof/>
                <w:webHidden/>
              </w:rPr>
              <w:t>12</w:t>
            </w:r>
            <w:r w:rsidR="00B93E2D">
              <w:rPr>
                <w:noProof/>
                <w:webHidden/>
              </w:rPr>
              <w:fldChar w:fldCharType="end"/>
            </w:r>
          </w:hyperlink>
        </w:p>
        <w:p w14:paraId="53575C2C"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789" w:history="1">
            <w:r w:rsidR="00B93E2D" w:rsidRPr="00E949DE">
              <w:rPr>
                <w:rStyle w:val="Hyperlink"/>
                <w:noProof/>
              </w:rPr>
              <w:t>5.</w:t>
            </w:r>
            <w:r w:rsidR="00B93E2D">
              <w:rPr>
                <w:rFonts w:asciiTheme="minorHAnsi" w:eastAsiaTheme="minorEastAsia" w:hAnsiTheme="minorHAnsi" w:cstheme="minorBidi"/>
                <w:b w:val="0"/>
                <w:noProof/>
                <w:sz w:val="22"/>
                <w:lang w:eastAsia="en-AU"/>
              </w:rPr>
              <w:tab/>
            </w:r>
            <w:r w:rsidR="00B93E2D" w:rsidRPr="00E949DE">
              <w:rPr>
                <w:rStyle w:val="Hyperlink"/>
                <w:noProof/>
              </w:rPr>
              <w:t>Immunogenicity</w:t>
            </w:r>
            <w:r w:rsidR="00B93E2D">
              <w:rPr>
                <w:noProof/>
                <w:webHidden/>
              </w:rPr>
              <w:tab/>
            </w:r>
            <w:r w:rsidR="00B93E2D">
              <w:rPr>
                <w:noProof/>
                <w:webHidden/>
              </w:rPr>
              <w:fldChar w:fldCharType="begin"/>
            </w:r>
            <w:r w:rsidR="00B93E2D">
              <w:rPr>
                <w:noProof/>
                <w:webHidden/>
              </w:rPr>
              <w:instrText xml:space="preserve"> PAGEREF _Toc524344789 \h </w:instrText>
            </w:r>
            <w:r w:rsidR="00B93E2D">
              <w:rPr>
                <w:noProof/>
                <w:webHidden/>
              </w:rPr>
            </w:r>
            <w:r w:rsidR="00B93E2D">
              <w:rPr>
                <w:noProof/>
                <w:webHidden/>
              </w:rPr>
              <w:fldChar w:fldCharType="separate"/>
            </w:r>
            <w:r w:rsidR="00B93E2D">
              <w:rPr>
                <w:noProof/>
                <w:webHidden/>
              </w:rPr>
              <w:t>12</w:t>
            </w:r>
            <w:r w:rsidR="00B93E2D">
              <w:rPr>
                <w:noProof/>
                <w:webHidden/>
              </w:rPr>
              <w:fldChar w:fldCharType="end"/>
            </w:r>
          </w:hyperlink>
        </w:p>
        <w:p w14:paraId="5977D80D"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90" w:history="1">
            <w:r w:rsidR="00B93E2D" w:rsidRPr="00E949DE">
              <w:rPr>
                <w:rStyle w:val="Hyperlink"/>
                <w:noProof/>
              </w:rPr>
              <w:t>5.1.</w:t>
            </w:r>
            <w:r w:rsidR="00B93E2D">
              <w:rPr>
                <w:rFonts w:asciiTheme="minorHAnsi" w:eastAsiaTheme="minorEastAsia" w:hAnsiTheme="minorHAnsi" w:cstheme="minorBidi"/>
                <w:noProof/>
                <w:lang w:eastAsia="en-AU"/>
              </w:rPr>
              <w:tab/>
            </w:r>
            <w:r w:rsidR="00B93E2D" w:rsidRPr="00E949DE">
              <w:rPr>
                <w:rStyle w:val="Hyperlink"/>
                <w:noProof/>
              </w:rPr>
              <w:t>Evaluator’s overall conclusions on immunogenicity from the supportive studies</w:t>
            </w:r>
            <w:r w:rsidR="00B93E2D">
              <w:rPr>
                <w:noProof/>
                <w:webHidden/>
              </w:rPr>
              <w:tab/>
            </w:r>
            <w:r w:rsidR="00B93E2D">
              <w:rPr>
                <w:noProof/>
                <w:webHidden/>
              </w:rPr>
              <w:fldChar w:fldCharType="begin"/>
            </w:r>
            <w:r w:rsidR="00B93E2D">
              <w:rPr>
                <w:noProof/>
                <w:webHidden/>
              </w:rPr>
              <w:instrText xml:space="preserve"> PAGEREF _Toc524344790 \h </w:instrText>
            </w:r>
            <w:r w:rsidR="00B93E2D">
              <w:rPr>
                <w:noProof/>
                <w:webHidden/>
              </w:rPr>
            </w:r>
            <w:r w:rsidR="00B93E2D">
              <w:rPr>
                <w:noProof/>
                <w:webHidden/>
              </w:rPr>
              <w:fldChar w:fldCharType="separate"/>
            </w:r>
            <w:r w:rsidR="00B93E2D">
              <w:rPr>
                <w:noProof/>
                <w:webHidden/>
              </w:rPr>
              <w:t>12</w:t>
            </w:r>
            <w:r w:rsidR="00B93E2D">
              <w:rPr>
                <w:noProof/>
                <w:webHidden/>
              </w:rPr>
              <w:fldChar w:fldCharType="end"/>
            </w:r>
          </w:hyperlink>
        </w:p>
        <w:p w14:paraId="65A86348"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791" w:history="1">
            <w:r w:rsidR="00B93E2D" w:rsidRPr="00E949DE">
              <w:rPr>
                <w:rStyle w:val="Hyperlink"/>
                <w:noProof/>
              </w:rPr>
              <w:t>6.</w:t>
            </w:r>
            <w:r w:rsidR="00B93E2D">
              <w:rPr>
                <w:rFonts w:asciiTheme="minorHAnsi" w:eastAsiaTheme="minorEastAsia" w:hAnsiTheme="minorHAnsi" w:cstheme="minorBidi"/>
                <w:b w:val="0"/>
                <w:noProof/>
                <w:sz w:val="22"/>
                <w:lang w:eastAsia="en-AU"/>
              </w:rPr>
              <w:tab/>
            </w:r>
            <w:r w:rsidR="00B93E2D" w:rsidRPr="00E949DE">
              <w:rPr>
                <w:rStyle w:val="Hyperlink"/>
                <w:noProof/>
              </w:rPr>
              <w:t>Dosage selection for the pivotal studies</w:t>
            </w:r>
            <w:r w:rsidR="00B93E2D">
              <w:rPr>
                <w:noProof/>
                <w:webHidden/>
              </w:rPr>
              <w:tab/>
            </w:r>
            <w:r w:rsidR="00B93E2D">
              <w:rPr>
                <w:noProof/>
                <w:webHidden/>
              </w:rPr>
              <w:fldChar w:fldCharType="begin"/>
            </w:r>
            <w:r w:rsidR="00B93E2D">
              <w:rPr>
                <w:noProof/>
                <w:webHidden/>
              </w:rPr>
              <w:instrText xml:space="preserve"> PAGEREF _Toc524344791 \h </w:instrText>
            </w:r>
            <w:r w:rsidR="00B93E2D">
              <w:rPr>
                <w:noProof/>
                <w:webHidden/>
              </w:rPr>
            </w:r>
            <w:r w:rsidR="00B93E2D">
              <w:rPr>
                <w:noProof/>
                <w:webHidden/>
              </w:rPr>
              <w:fldChar w:fldCharType="separate"/>
            </w:r>
            <w:r w:rsidR="00B93E2D">
              <w:rPr>
                <w:noProof/>
                <w:webHidden/>
              </w:rPr>
              <w:t>12</w:t>
            </w:r>
            <w:r w:rsidR="00B93E2D">
              <w:rPr>
                <w:noProof/>
                <w:webHidden/>
              </w:rPr>
              <w:fldChar w:fldCharType="end"/>
            </w:r>
          </w:hyperlink>
        </w:p>
        <w:p w14:paraId="07F5A4F7"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792" w:history="1">
            <w:r w:rsidR="00B93E2D" w:rsidRPr="00E949DE">
              <w:rPr>
                <w:rStyle w:val="Hyperlink"/>
                <w:noProof/>
              </w:rPr>
              <w:t>7.</w:t>
            </w:r>
            <w:r w:rsidR="00B93E2D">
              <w:rPr>
                <w:rFonts w:asciiTheme="minorHAnsi" w:eastAsiaTheme="minorEastAsia" w:hAnsiTheme="minorHAnsi" w:cstheme="minorBidi"/>
                <w:b w:val="0"/>
                <w:noProof/>
                <w:sz w:val="22"/>
                <w:lang w:eastAsia="en-AU"/>
              </w:rPr>
              <w:tab/>
            </w:r>
            <w:r w:rsidR="00B93E2D" w:rsidRPr="00E949DE">
              <w:rPr>
                <w:rStyle w:val="Hyperlink"/>
                <w:noProof/>
              </w:rPr>
              <w:t>Clinical efficacy (immunogenicity)</w:t>
            </w:r>
            <w:r w:rsidR="00B93E2D">
              <w:rPr>
                <w:noProof/>
                <w:webHidden/>
              </w:rPr>
              <w:tab/>
            </w:r>
            <w:r w:rsidR="00B93E2D">
              <w:rPr>
                <w:noProof/>
                <w:webHidden/>
              </w:rPr>
              <w:fldChar w:fldCharType="begin"/>
            </w:r>
            <w:r w:rsidR="00B93E2D">
              <w:rPr>
                <w:noProof/>
                <w:webHidden/>
              </w:rPr>
              <w:instrText xml:space="preserve"> PAGEREF _Toc524344792 \h </w:instrText>
            </w:r>
            <w:r w:rsidR="00B93E2D">
              <w:rPr>
                <w:noProof/>
                <w:webHidden/>
              </w:rPr>
            </w:r>
            <w:r w:rsidR="00B93E2D">
              <w:rPr>
                <w:noProof/>
                <w:webHidden/>
              </w:rPr>
              <w:fldChar w:fldCharType="separate"/>
            </w:r>
            <w:r w:rsidR="00B93E2D">
              <w:rPr>
                <w:noProof/>
                <w:webHidden/>
              </w:rPr>
              <w:t>12</w:t>
            </w:r>
            <w:r w:rsidR="00B93E2D">
              <w:rPr>
                <w:noProof/>
                <w:webHidden/>
              </w:rPr>
              <w:fldChar w:fldCharType="end"/>
            </w:r>
          </w:hyperlink>
        </w:p>
        <w:p w14:paraId="75C6491B"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93" w:history="1">
            <w:r w:rsidR="00B93E2D" w:rsidRPr="00E949DE">
              <w:rPr>
                <w:rStyle w:val="Hyperlink"/>
                <w:noProof/>
              </w:rPr>
              <w:t>7.1.</w:t>
            </w:r>
            <w:r w:rsidR="00B93E2D">
              <w:rPr>
                <w:rFonts w:asciiTheme="minorHAnsi" w:eastAsiaTheme="minorEastAsia" w:hAnsiTheme="minorHAnsi" w:cstheme="minorBidi"/>
                <w:noProof/>
                <w:lang w:eastAsia="en-AU"/>
              </w:rPr>
              <w:tab/>
            </w:r>
            <w:r w:rsidR="00B93E2D" w:rsidRPr="00E949DE">
              <w:rPr>
                <w:rStyle w:val="Hyperlink"/>
                <w:noProof/>
              </w:rPr>
              <w:t>Studies providing evaluable efficacy data</w:t>
            </w:r>
            <w:r w:rsidR="00B93E2D">
              <w:rPr>
                <w:noProof/>
                <w:webHidden/>
              </w:rPr>
              <w:tab/>
            </w:r>
            <w:r w:rsidR="00B93E2D">
              <w:rPr>
                <w:noProof/>
                <w:webHidden/>
              </w:rPr>
              <w:fldChar w:fldCharType="begin"/>
            </w:r>
            <w:r w:rsidR="00B93E2D">
              <w:rPr>
                <w:noProof/>
                <w:webHidden/>
              </w:rPr>
              <w:instrText xml:space="preserve"> PAGEREF _Toc524344793 \h </w:instrText>
            </w:r>
            <w:r w:rsidR="00B93E2D">
              <w:rPr>
                <w:noProof/>
                <w:webHidden/>
              </w:rPr>
            </w:r>
            <w:r w:rsidR="00B93E2D">
              <w:rPr>
                <w:noProof/>
                <w:webHidden/>
              </w:rPr>
              <w:fldChar w:fldCharType="separate"/>
            </w:r>
            <w:r w:rsidR="00B93E2D">
              <w:rPr>
                <w:noProof/>
                <w:webHidden/>
              </w:rPr>
              <w:t>13</w:t>
            </w:r>
            <w:r w:rsidR="00B93E2D">
              <w:rPr>
                <w:noProof/>
                <w:webHidden/>
              </w:rPr>
              <w:fldChar w:fldCharType="end"/>
            </w:r>
          </w:hyperlink>
        </w:p>
        <w:p w14:paraId="52EF858C"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94" w:history="1">
            <w:r w:rsidR="00B93E2D" w:rsidRPr="00E949DE">
              <w:rPr>
                <w:rStyle w:val="Hyperlink"/>
                <w:noProof/>
              </w:rPr>
              <w:t>7.2.</w:t>
            </w:r>
            <w:r w:rsidR="00B93E2D">
              <w:rPr>
                <w:rFonts w:asciiTheme="minorHAnsi" w:eastAsiaTheme="minorEastAsia" w:hAnsiTheme="minorHAnsi" w:cstheme="minorBidi"/>
                <w:noProof/>
                <w:lang w:eastAsia="en-AU"/>
              </w:rPr>
              <w:tab/>
            </w:r>
            <w:r w:rsidR="00B93E2D" w:rsidRPr="00E949DE">
              <w:rPr>
                <w:rStyle w:val="Hyperlink"/>
                <w:noProof/>
              </w:rPr>
              <w:t>Pivotal or main efficacy studies</w:t>
            </w:r>
            <w:r w:rsidR="00B93E2D">
              <w:rPr>
                <w:noProof/>
                <w:webHidden/>
              </w:rPr>
              <w:tab/>
            </w:r>
            <w:r w:rsidR="00B93E2D">
              <w:rPr>
                <w:noProof/>
                <w:webHidden/>
              </w:rPr>
              <w:fldChar w:fldCharType="begin"/>
            </w:r>
            <w:r w:rsidR="00B93E2D">
              <w:rPr>
                <w:noProof/>
                <w:webHidden/>
              </w:rPr>
              <w:instrText xml:space="preserve"> PAGEREF _Toc524344794 \h </w:instrText>
            </w:r>
            <w:r w:rsidR="00B93E2D">
              <w:rPr>
                <w:noProof/>
                <w:webHidden/>
              </w:rPr>
            </w:r>
            <w:r w:rsidR="00B93E2D">
              <w:rPr>
                <w:noProof/>
                <w:webHidden/>
              </w:rPr>
              <w:fldChar w:fldCharType="separate"/>
            </w:r>
            <w:r w:rsidR="00B93E2D">
              <w:rPr>
                <w:noProof/>
                <w:webHidden/>
              </w:rPr>
              <w:t>13</w:t>
            </w:r>
            <w:r w:rsidR="00B93E2D">
              <w:rPr>
                <w:noProof/>
                <w:webHidden/>
              </w:rPr>
              <w:fldChar w:fldCharType="end"/>
            </w:r>
          </w:hyperlink>
        </w:p>
        <w:p w14:paraId="49E3258C"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95" w:history="1">
            <w:r w:rsidR="00B93E2D" w:rsidRPr="00E949DE">
              <w:rPr>
                <w:rStyle w:val="Hyperlink"/>
                <w:noProof/>
              </w:rPr>
              <w:t>7.3.</w:t>
            </w:r>
            <w:r w:rsidR="00B93E2D">
              <w:rPr>
                <w:rFonts w:asciiTheme="minorHAnsi" w:eastAsiaTheme="minorEastAsia" w:hAnsiTheme="minorHAnsi" w:cstheme="minorBidi"/>
                <w:noProof/>
                <w:lang w:eastAsia="en-AU"/>
              </w:rPr>
              <w:tab/>
            </w:r>
            <w:r w:rsidR="00B93E2D" w:rsidRPr="00E949DE">
              <w:rPr>
                <w:rStyle w:val="Hyperlink"/>
                <w:noProof/>
              </w:rPr>
              <w:t>Analyses performed across trials: pooled and meta analyses</w:t>
            </w:r>
            <w:r w:rsidR="00B93E2D">
              <w:rPr>
                <w:noProof/>
                <w:webHidden/>
              </w:rPr>
              <w:tab/>
            </w:r>
            <w:r w:rsidR="00B93E2D">
              <w:rPr>
                <w:noProof/>
                <w:webHidden/>
              </w:rPr>
              <w:fldChar w:fldCharType="begin"/>
            </w:r>
            <w:r w:rsidR="00B93E2D">
              <w:rPr>
                <w:noProof/>
                <w:webHidden/>
              </w:rPr>
              <w:instrText xml:space="preserve"> PAGEREF _Toc524344795 \h </w:instrText>
            </w:r>
            <w:r w:rsidR="00B93E2D">
              <w:rPr>
                <w:noProof/>
                <w:webHidden/>
              </w:rPr>
            </w:r>
            <w:r w:rsidR="00B93E2D">
              <w:rPr>
                <w:noProof/>
                <w:webHidden/>
              </w:rPr>
              <w:fldChar w:fldCharType="separate"/>
            </w:r>
            <w:r w:rsidR="00B93E2D">
              <w:rPr>
                <w:noProof/>
                <w:webHidden/>
              </w:rPr>
              <w:t>25</w:t>
            </w:r>
            <w:r w:rsidR="00B93E2D">
              <w:rPr>
                <w:noProof/>
                <w:webHidden/>
              </w:rPr>
              <w:fldChar w:fldCharType="end"/>
            </w:r>
          </w:hyperlink>
        </w:p>
        <w:p w14:paraId="2A2455F6"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96" w:history="1">
            <w:r w:rsidR="00B93E2D" w:rsidRPr="00E949DE">
              <w:rPr>
                <w:rStyle w:val="Hyperlink"/>
                <w:noProof/>
              </w:rPr>
              <w:t>7.4.</w:t>
            </w:r>
            <w:r w:rsidR="00B93E2D">
              <w:rPr>
                <w:rFonts w:asciiTheme="minorHAnsi" w:eastAsiaTheme="minorEastAsia" w:hAnsiTheme="minorHAnsi" w:cstheme="minorBidi"/>
                <w:noProof/>
                <w:lang w:eastAsia="en-AU"/>
              </w:rPr>
              <w:tab/>
            </w:r>
            <w:r w:rsidR="00B93E2D" w:rsidRPr="00E949DE">
              <w:rPr>
                <w:rStyle w:val="Hyperlink"/>
                <w:noProof/>
              </w:rPr>
              <w:t>Evaluator’s conclusions on clinical efficacy</w:t>
            </w:r>
            <w:r w:rsidR="00B93E2D">
              <w:rPr>
                <w:noProof/>
                <w:webHidden/>
              </w:rPr>
              <w:tab/>
            </w:r>
            <w:r w:rsidR="00B93E2D">
              <w:rPr>
                <w:noProof/>
                <w:webHidden/>
              </w:rPr>
              <w:fldChar w:fldCharType="begin"/>
            </w:r>
            <w:r w:rsidR="00B93E2D">
              <w:rPr>
                <w:noProof/>
                <w:webHidden/>
              </w:rPr>
              <w:instrText xml:space="preserve"> PAGEREF _Toc524344796 \h </w:instrText>
            </w:r>
            <w:r w:rsidR="00B93E2D">
              <w:rPr>
                <w:noProof/>
                <w:webHidden/>
              </w:rPr>
            </w:r>
            <w:r w:rsidR="00B93E2D">
              <w:rPr>
                <w:noProof/>
                <w:webHidden/>
              </w:rPr>
              <w:fldChar w:fldCharType="separate"/>
            </w:r>
            <w:r w:rsidR="00B93E2D">
              <w:rPr>
                <w:noProof/>
                <w:webHidden/>
              </w:rPr>
              <w:t>26</w:t>
            </w:r>
            <w:r w:rsidR="00B93E2D">
              <w:rPr>
                <w:noProof/>
                <w:webHidden/>
              </w:rPr>
              <w:fldChar w:fldCharType="end"/>
            </w:r>
          </w:hyperlink>
        </w:p>
        <w:p w14:paraId="4F0279A3"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797" w:history="1">
            <w:r w:rsidR="00B93E2D" w:rsidRPr="00E949DE">
              <w:rPr>
                <w:rStyle w:val="Hyperlink"/>
                <w:noProof/>
              </w:rPr>
              <w:t>8.</w:t>
            </w:r>
            <w:r w:rsidR="00B93E2D">
              <w:rPr>
                <w:rFonts w:asciiTheme="minorHAnsi" w:eastAsiaTheme="minorEastAsia" w:hAnsiTheme="minorHAnsi" w:cstheme="minorBidi"/>
                <w:b w:val="0"/>
                <w:noProof/>
                <w:sz w:val="22"/>
                <w:lang w:eastAsia="en-AU"/>
              </w:rPr>
              <w:tab/>
            </w:r>
            <w:r w:rsidR="00B93E2D" w:rsidRPr="00E949DE">
              <w:rPr>
                <w:rStyle w:val="Hyperlink"/>
                <w:noProof/>
              </w:rPr>
              <w:t>Clinical safety</w:t>
            </w:r>
            <w:r w:rsidR="00B93E2D">
              <w:rPr>
                <w:noProof/>
                <w:webHidden/>
              </w:rPr>
              <w:tab/>
            </w:r>
            <w:r w:rsidR="00B93E2D">
              <w:rPr>
                <w:noProof/>
                <w:webHidden/>
              </w:rPr>
              <w:fldChar w:fldCharType="begin"/>
            </w:r>
            <w:r w:rsidR="00B93E2D">
              <w:rPr>
                <w:noProof/>
                <w:webHidden/>
              </w:rPr>
              <w:instrText xml:space="preserve"> PAGEREF _Toc524344797 \h </w:instrText>
            </w:r>
            <w:r w:rsidR="00B93E2D">
              <w:rPr>
                <w:noProof/>
                <w:webHidden/>
              </w:rPr>
            </w:r>
            <w:r w:rsidR="00B93E2D">
              <w:rPr>
                <w:noProof/>
                <w:webHidden/>
              </w:rPr>
              <w:fldChar w:fldCharType="separate"/>
            </w:r>
            <w:r w:rsidR="00B93E2D">
              <w:rPr>
                <w:noProof/>
                <w:webHidden/>
              </w:rPr>
              <w:t>27</w:t>
            </w:r>
            <w:r w:rsidR="00B93E2D">
              <w:rPr>
                <w:noProof/>
                <w:webHidden/>
              </w:rPr>
              <w:fldChar w:fldCharType="end"/>
            </w:r>
          </w:hyperlink>
        </w:p>
        <w:p w14:paraId="2D012FB1"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98" w:history="1">
            <w:r w:rsidR="00B93E2D" w:rsidRPr="00E949DE">
              <w:rPr>
                <w:rStyle w:val="Hyperlink"/>
                <w:noProof/>
              </w:rPr>
              <w:t>8.1.</w:t>
            </w:r>
            <w:r w:rsidR="00B93E2D">
              <w:rPr>
                <w:rFonts w:asciiTheme="minorHAnsi" w:eastAsiaTheme="minorEastAsia" w:hAnsiTheme="minorHAnsi" w:cstheme="minorBidi"/>
                <w:noProof/>
                <w:lang w:eastAsia="en-AU"/>
              </w:rPr>
              <w:tab/>
            </w:r>
            <w:r w:rsidR="00B93E2D" w:rsidRPr="00E949DE">
              <w:rPr>
                <w:rStyle w:val="Hyperlink"/>
                <w:noProof/>
              </w:rPr>
              <w:t>Studies providing evaluable safety data</w:t>
            </w:r>
            <w:r w:rsidR="00B93E2D">
              <w:rPr>
                <w:noProof/>
                <w:webHidden/>
              </w:rPr>
              <w:tab/>
            </w:r>
            <w:r w:rsidR="00B93E2D">
              <w:rPr>
                <w:noProof/>
                <w:webHidden/>
              </w:rPr>
              <w:fldChar w:fldCharType="begin"/>
            </w:r>
            <w:r w:rsidR="00B93E2D">
              <w:rPr>
                <w:noProof/>
                <w:webHidden/>
              </w:rPr>
              <w:instrText xml:space="preserve"> PAGEREF _Toc524344798 \h </w:instrText>
            </w:r>
            <w:r w:rsidR="00B93E2D">
              <w:rPr>
                <w:noProof/>
                <w:webHidden/>
              </w:rPr>
            </w:r>
            <w:r w:rsidR="00B93E2D">
              <w:rPr>
                <w:noProof/>
                <w:webHidden/>
              </w:rPr>
              <w:fldChar w:fldCharType="separate"/>
            </w:r>
            <w:r w:rsidR="00B93E2D">
              <w:rPr>
                <w:noProof/>
                <w:webHidden/>
              </w:rPr>
              <w:t>28</w:t>
            </w:r>
            <w:r w:rsidR="00B93E2D">
              <w:rPr>
                <w:noProof/>
                <w:webHidden/>
              </w:rPr>
              <w:fldChar w:fldCharType="end"/>
            </w:r>
          </w:hyperlink>
        </w:p>
        <w:p w14:paraId="218F6C19"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799" w:history="1">
            <w:r w:rsidR="00B93E2D" w:rsidRPr="00E949DE">
              <w:rPr>
                <w:rStyle w:val="Hyperlink"/>
                <w:noProof/>
              </w:rPr>
              <w:t>8.2.</w:t>
            </w:r>
            <w:r w:rsidR="00B93E2D">
              <w:rPr>
                <w:rFonts w:asciiTheme="minorHAnsi" w:eastAsiaTheme="minorEastAsia" w:hAnsiTheme="minorHAnsi" w:cstheme="minorBidi"/>
                <w:noProof/>
                <w:lang w:eastAsia="en-AU"/>
              </w:rPr>
              <w:tab/>
            </w:r>
            <w:r w:rsidR="00B93E2D" w:rsidRPr="00E949DE">
              <w:rPr>
                <w:rStyle w:val="Hyperlink"/>
                <w:noProof/>
              </w:rPr>
              <w:t>Patient exposure</w:t>
            </w:r>
            <w:r w:rsidR="00B93E2D">
              <w:rPr>
                <w:noProof/>
                <w:webHidden/>
              </w:rPr>
              <w:tab/>
            </w:r>
            <w:r w:rsidR="00B93E2D">
              <w:rPr>
                <w:noProof/>
                <w:webHidden/>
              </w:rPr>
              <w:fldChar w:fldCharType="begin"/>
            </w:r>
            <w:r w:rsidR="00B93E2D">
              <w:rPr>
                <w:noProof/>
                <w:webHidden/>
              </w:rPr>
              <w:instrText xml:space="preserve"> PAGEREF _Toc524344799 \h </w:instrText>
            </w:r>
            <w:r w:rsidR="00B93E2D">
              <w:rPr>
                <w:noProof/>
                <w:webHidden/>
              </w:rPr>
            </w:r>
            <w:r w:rsidR="00B93E2D">
              <w:rPr>
                <w:noProof/>
                <w:webHidden/>
              </w:rPr>
              <w:fldChar w:fldCharType="separate"/>
            </w:r>
            <w:r w:rsidR="00B93E2D">
              <w:rPr>
                <w:noProof/>
                <w:webHidden/>
              </w:rPr>
              <w:t>28</w:t>
            </w:r>
            <w:r w:rsidR="00B93E2D">
              <w:rPr>
                <w:noProof/>
                <w:webHidden/>
              </w:rPr>
              <w:fldChar w:fldCharType="end"/>
            </w:r>
          </w:hyperlink>
        </w:p>
        <w:p w14:paraId="1632C9E9"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800" w:history="1">
            <w:r w:rsidR="00B93E2D" w:rsidRPr="00E949DE">
              <w:rPr>
                <w:rStyle w:val="Hyperlink"/>
                <w:noProof/>
              </w:rPr>
              <w:t>8.3.</w:t>
            </w:r>
            <w:r w:rsidR="00B93E2D">
              <w:rPr>
                <w:rFonts w:asciiTheme="minorHAnsi" w:eastAsiaTheme="minorEastAsia" w:hAnsiTheme="minorHAnsi" w:cstheme="minorBidi"/>
                <w:noProof/>
                <w:lang w:eastAsia="en-AU"/>
              </w:rPr>
              <w:tab/>
            </w:r>
            <w:r w:rsidR="00B93E2D" w:rsidRPr="00E949DE">
              <w:rPr>
                <w:rStyle w:val="Hyperlink"/>
                <w:noProof/>
              </w:rPr>
              <w:t>Adverse events</w:t>
            </w:r>
            <w:r w:rsidR="00B93E2D">
              <w:rPr>
                <w:noProof/>
                <w:webHidden/>
              </w:rPr>
              <w:tab/>
            </w:r>
            <w:r w:rsidR="00B93E2D">
              <w:rPr>
                <w:noProof/>
                <w:webHidden/>
              </w:rPr>
              <w:fldChar w:fldCharType="begin"/>
            </w:r>
            <w:r w:rsidR="00B93E2D">
              <w:rPr>
                <w:noProof/>
                <w:webHidden/>
              </w:rPr>
              <w:instrText xml:space="preserve"> PAGEREF _Toc524344800 \h </w:instrText>
            </w:r>
            <w:r w:rsidR="00B93E2D">
              <w:rPr>
                <w:noProof/>
                <w:webHidden/>
              </w:rPr>
            </w:r>
            <w:r w:rsidR="00B93E2D">
              <w:rPr>
                <w:noProof/>
                <w:webHidden/>
              </w:rPr>
              <w:fldChar w:fldCharType="separate"/>
            </w:r>
            <w:r w:rsidR="00B93E2D">
              <w:rPr>
                <w:noProof/>
                <w:webHidden/>
              </w:rPr>
              <w:t>28</w:t>
            </w:r>
            <w:r w:rsidR="00B93E2D">
              <w:rPr>
                <w:noProof/>
                <w:webHidden/>
              </w:rPr>
              <w:fldChar w:fldCharType="end"/>
            </w:r>
          </w:hyperlink>
        </w:p>
        <w:p w14:paraId="3578A66B"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801" w:history="1">
            <w:r w:rsidR="00B93E2D" w:rsidRPr="00E949DE">
              <w:rPr>
                <w:rStyle w:val="Hyperlink"/>
                <w:noProof/>
              </w:rPr>
              <w:t>8.4.</w:t>
            </w:r>
            <w:r w:rsidR="00B93E2D">
              <w:rPr>
                <w:rFonts w:asciiTheme="minorHAnsi" w:eastAsiaTheme="minorEastAsia" w:hAnsiTheme="minorHAnsi" w:cstheme="minorBidi"/>
                <w:noProof/>
                <w:lang w:eastAsia="en-AU"/>
              </w:rPr>
              <w:tab/>
            </w:r>
            <w:r w:rsidR="00B93E2D" w:rsidRPr="00E949DE">
              <w:rPr>
                <w:rStyle w:val="Hyperlink"/>
                <w:noProof/>
              </w:rPr>
              <w:t>Evaluation of issues in Study INFQ3001 with possible regulatory impact</w:t>
            </w:r>
            <w:r w:rsidR="00B93E2D">
              <w:rPr>
                <w:noProof/>
                <w:webHidden/>
              </w:rPr>
              <w:tab/>
            </w:r>
            <w:r w:rsidR="00B93E2D">
              <w:rPr>
                <w:noProof/>
                <w:webHidden/>
              </w:rPr>
              <w:fldChar w:fldCharType="begin"/>
            </w:r>
            <w:r w:rsidR="00B93E2D">
              <w:rPr>
                <w:noProof/>
                <w:webHidden/>
              </w:rPr>
              <w:instrText xml:space="preserve"> PAGEREF _Toc524344801 \h </w:instrText>
            </w:r>
            <w:r w:rsidR="00B93E2D">
              <w:rPr>
                <w:noProof/>
                <w:webHidden/>
              </w:rPr>
            </w:r>
            <w:r w:rsidR="00B93E2D">
              <w:rPr>
                <w:noProof/>
                <w:webHidden/>
              </w:rPr>
              <w:fldChar w:fldCharType="separate"/>
            </w:r>
            <w:r w:rsidR="00B93E2D">
              <w:rPr>
                <w:noProof/>
                <w:webHidden/>
              </w:rPr>
              <w:t>33</w:t>
            </w:r>
            <w:r w:rsidR="00B93E2D">
              <w:rPr>
                <w:noProof/>
                <w:webHidden/>
              </w:rPr>
              <w:fldChar w:fldCharType="end"/>
            </w:r>
          </w:hyperlink>
        </w:p>
        <w:p w14:paraId="7095283E"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802" w:history="1">
            <w:r w:rsidR="00B93E2D" w:rsidRPr="00E949DE">
              <w:rPr>
                <w:rStyle w:val="Hyperlink"/>
                <w:noProof/>
              </w:rPr>
              <w:t>8.5.</w:t>
            </w:r>
            <w:r w:rsidR="00B93E2D">
              <w:rPr>
                <w:rFonts w:asciiTheme="minorHAnsi" w:eastAsiaTheme="minorEastAsia" w:hAnsiTheme="minorHAnsi" w:cstheme="minorBidi"/>
                <w:noProof/>
                <w:lang w:eastAsia="en-AU"/>
              </w:rPr>
              <w:tab/>
            </w:r>
            <w:r w:rsidR="00B93E2D" w:rsidRPr="00E949DE">
              <w:rPr>
                <w:rStyle w:val="Hyperlink"/>
                <w:noProof/>
              </w:rPr>
              <w:t>Other safety issues</w:t>
            </w:r>
            <w:r w:rsidR="00B93E2D">
              <w:rPr>
                <w:noProof/>
                <w:webHidden/>
              </w:rPr>
              <w:tab/>
            </w:r>
            <w:r w:rsidR="00B93E2D">
              <w:rPr>
                <w:noProof/>
                <w:webHidden/>
              </w:rPr>
              <w:fldChar w:fldCharType="begin"/>
            </w:r>
            <w:r w:rsidR="00B93E2D">
              <w:rPr>
                <w:noProof/>
                <w:webHidden/>
              </w:rPr>
              <w:instrText xml:space="preserve"> PAGEREF _Toc524344802 \h </w:instrText>
            </w:r>
            <w:r w:rsidR="00B93E2D">
              <w:rPr>
                <w:noProof/>
                <w:webHidden/>
              </w:rPr>
            </w:r>
            <w:r w:rsidR="00B93E2D">
              <w:rPr>
                <w:noProof/>
                <w:webHidden/>
              </w:rPr>
              <w:fldChar w:fldCharType="separate"/>
            </w:r>
            <w:r w:rsidR="00B93E2D">
              <w:rPr>
                <w:noProof/>
                <w:webHidden/>
              </w:rPr>
              <w:t>34</w:t>
            </w:r>
            <w:r w:rsidR="00B93E2D">
              <w:rPr>
                <w:noProof/>
                <w:webHidden/>
              </w:rPr>
              <w:fldChar w:fldCharType="end"/>
            </w:r>
          </w:hyperlink>
        </w:p>
        <w:p w14:paraId="2535B668"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803" w:history="1">
            <w:r w:rsidR="00B93E2D" w:rsidRPr="00E949DE">
              <w:rPr>
                <w:rStyle w:val="Hyperlink"/>
                <w:noProof/>
              </w:rPr>
              <w:t>8.6.</w:t>
            </w:r>
            <w:r w:rsidR="00B93E2D">
              <w:rPr>
                <w:rFonts w:asciiTheme="minorHAnsi" w:eastAsiaTheme="minorEastAsia" w:hAnsiTheme="minorHAnsi" w:cstheme="minorBidi"/>
                <w:noProof/>
                <w:lang w:eastAsia="en-AU"/>
              </w:rPr>
              <w:tab/>
            </w:r>
            <w:r w:rsidR="00B93E2D" w:rsidRPr="00E949DE">
              <w:rPr>
                <w:rStyle w:val="Hyperlink"/>
                <w:noProof/>
              </w:rPr>
              <w:t>Post marketing experience</w:t>
            </w:r>
            <w:r w:rsidR="00B93E2D">
              <w:rPr>
                <w:noProof/>
                <w:webHidden/>
              </w:rPr>
              <w:tab/>
            </w:r>
            <w:r w:rsidR="00B93E2D">
              <w:rPr>
                <w:noProof/>
                <w:webHidden/>
              </w:rPr>
              <w:fldChar w:fldCharType="begin"/>
            </w:r>
            <w:r w:rsidR="00B93E2D">
              <w:rPr>
                <w:noProof/>
                <w:webHidden/>
              </w:rPr>
              <w:instrText xml:space="preserve"> PAGEREF _Toc524344803 \h </w:instrText>
            </w:r>
            <w:r w:rsidR="00B93E2D">
              <w:rPr>
                <w:noProof/>
                <w:webHidden/>
              </w:rPr>
            </w:r>
            <w:r w:rsidR="00B93E2D">
              <w:rPr>
                <w:noProof/>
                <w:webHidden/>
              </w:rPr>
              <w:fldChar w:fldCharType="separate"/>
            </w:r>
            <w:r w:rsidR="00B93E2D">
              <w:rPr>
                <w:noProof/>
                <w:webHidden/>
              </w:rPr>
              <w:t>34</w:t>
            </w:r>
            <w:r w:rsidR="00B93E2D">
              <w:rPr>
                <w:noProof/>
                <w:webHidden/>
              </w:rPr>
              <w:fldChar w:fldCharType="end"/>
            </w:r>
          </w:hyperlink>
        </w:p>
        <w:p w14:paraId="18A36C34"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804" w:history="1">
            <w:r w:rsidR="00B93E2D" w:rsidRPr="00E949DE">
              <w:rPr>
                <w:rStyle w:val="Hyperlink"/>
                <w:noProof/>
              </w:rPr>
              <w:t>8.7.</w:t>
            </w:r>
            <w:r w:rsidR="00B93E2D">
              <w:rPr>
                <w:rFonts w:asciiTheme="minorHAnsi" w:eastAsiaTheme="minorEastAsia" w:hAnsiTheme="minorHAnsi" w:cstheme="minorBidi"/>
                <w:noProof/>
                <w:lang w:eastAsia="en-AU"/>
              </w:rPr>
              <w:tab/>
            </w:r>
            <w:r w:rsidR="00B93E2D" w:rsidRPr="00E949DE">
              <w:rPr>
                <w:rStyle w:val="Hyperlink"/>
                <w:noProof/>
              </w:rPr>
              <w:t>Evaluator’s overall conclusions on clinical safety</w:t>
            </w:r>
            <w:r w:rsidR="00B93E2D">
              <w:rPr>
                <w:noProof/>
                <w:webHidden/>
              </w:rPr>
              <w:tab/>
            </w:r>
            <w:r w:rsidR="00B93E2D">
              <w:rPr>
                <w:noProof/>
                <w:webHidden/>
              </w:rPr>
              <w:fldChar w:fldCharType="begin"/>
            </w:r>
            <w:r w:rsidR="00B93E2D">
              <w:rPr>
                <w:noProof/>
                <w:webHidden/>
              </w:rPr>
              <w:instrText xml:space="preserve"> PAGEREF _Toc524344804 \h </w:instrText>
            </w:r>
            <w:r w:rsidR="00B93E2D">
              <w:rPr>
                <w:noProof/>
                <w:webHidden/>
              </w:rPr>
            </w:r>
            <w:r w:rsidR="00B93E2D">
              <w:rPr>
                <w:noProof/>
                <w:webHidden/>
              </w:rPr>
              <w:fldChar w:fldCharType="separate"/>
            </w:r>
            <w:r w:rsidR="00B93E2D">
              <w:rPr>
                <w:noProof/>
                <w:webHidden/>
              </w:rPr>
              <w:t>34</w:t>
            </w:r>
            <w:r w:rsidR="00B93E2D">
              <w:rPr>
                <w:noProof/>
                <w:webHidden/>
              </w:rPr>
              <w:fldChar w:fldCharType="end"/>
            </w:r>
          </w:hyperlink>
        </w:p>
        <w:p w14:paraId="507AD81D"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805" w:history="1">
            <w:r w:rsidR="00B93E2D" w:rsidRPr="00E949DE">
              <w:rPr>
                <w:rStyle w:val="Hyperlink"/>
                <w:noProof/>
              </w:rPr>
              <w:t>9.</w:t>
            </w:r>
            <w:r w:rsidR="00B93E2D">
              <w:rPr>
                <w:rFonts w:asciiTheme="minorHAnsi" w:eastAsiaTheme="minorEastAsia" w:hAnsiTheme="minorHAnsi" w:cstheme="minorBidi"/>
                <w:b w:val="0"/>
                <w:noProof/>
                <w:sz w:val="22"/>
                <w:lang w:eastAsia="en-AU"/>
              </w:rPr>
              <w:tab/>
            </w:r>
            <w:r w:rsidR="00B93E2D" w:rsidRPr="00E949DE">
              <w:rPr>
                <w:rStyle w:val="Hyperlink"/>
                <w:noProof/>
              </w:rPr>
              <w:t>First round benefit-risk assessment</w:t>
            </w:r>
            <w:r w:rsidR="00B93E2D">
              <w:rPr>
                <w:noProof/>
                <w:webHidden/>
              </w:rPr>
              <w:tab/>
            </w:r>
            <w:r w:rsidR="00B93E2D">
              <w:rPr>
                <w:noProof/>
                <w:webHidden/>
              </w:rPr>
              <w:fldChar w:fldCharType="begin"/>
            </w:r>
            <w:r w:rsidR="00B93E2D">
              <w:rPr>
                <w:noProof/>
                <w:webHidden/>
              </w:rPr>
              <w:instrText xml:space="preserve"> PAGEREF _Toc524344805 \h </w:instrText>
            </w:r>
            <w:r w:rsidR="00B93E2D">
              <w:rPr>
                <w:noProof/>
                <w:webHidden/>
              </w:rPr>
            </w:r>
            <w:r w:rsidR="00B93E2D">
              <w:rPr>
                <w:noProof/>
                <w:webHidden/>
              </w:rPr>
              <w:fldChar w:fldCharType="separate"/>
            </w:r>
            <w:r w:rsidR="00B93E2D">
              <w:rPr>
                <w:noProof/>
                <w:webHidden/>
              </w:rPr>
              <w:t>35</w:t>
            </w:r>
            <w:r w:rsidR="00B93E2D">
              <w:rPr>
                <w:noProof/>
                <w:webHidden/>
              </w:rPr>
              <w:fldChar w:fldCharType="end"/>
            </w:r>
          </w:hyperlink>
        </w:p>
        <w:p w14:paraId="13C1A67B"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806" w:history="1">
            <w:r w:rsidR="00B93E2D" w:rsidRPr="00E949DE">
              <w:rPr>
                <w:rStyle w:val="Hyperlink"/>
                <w:noProof/>
              </w:rPr>
              <w:t>9.1.</w:t>
            </w:r>
            <w:r w:rsidR="00B93E2D">
              <w:rPr>
                <w:rFonts w:asciiTheme="minorHAnsi" w:eastAsiaTheme="minorEastAsia" w:hAnsiTheme="minorHAnsi" w:cstheme="minorBidi"/>
                <w:noProof/>
                <w:lang w:eastAsia="en-AU"/>
              </w:rPr>
              <w:tab/>
            </w:r>
            <w:r w:rsidR="00B93E2D" w:rsidRPr="00E949DE">
              <w:rPr>
                <w:rStyle w:val="Hyperlink"/>
                <w:noProof/>
              </w:rPr>
              <w:t>First round assessment of benefits</w:t>
            </w:r>
            <w:r w:rsidR="00B93E2D">
              <w:rPr>
                <w:noProof/>
                <w:webHidden/>
              </w:rPr>
              <w:tab/>
            </w:r>
            <w:r w:rsidR="00B93E2D">
              <w:rPr>
                <w:noProof/>
                <w:webHidden/>
              </w:rPr>
              <w:fldChar w:fldCharType="begin"/>
            </w:r>
            <w:r w:rsidR="00B93E2D">
              <w:rPr>
                <w:noProof/>
                <w:webHidden/>
              </w:rPr>
              <w:instrText xml:space="preserve"> PAGEREF _Toc524344806 \h </w:instrText>
            </w:r>
            <w:r w:rsidR="00B93E2D">
              <w:rPr>
                <w:noProof/>
                <w:webHidden/>
              </w:rPr>
            </w:r>
            <w:r w:rsidR="00B93E2D">
              <w:rPr>
                <w:noProof/>
                <w:webHidden/>
              </w:rPr>
              <w:fldChar w:fldCharType="separate"/>
            </w:r>
            <w:r w:rsidR="00B93E2D">
              <w:rPr>
                <w:noProof/>
                <w:webHidden/>
              </w:rPr>
              <w:t>35</w:t>
            </w:r>
            <w:r w:rsidR="00B93E2D">
              <w:rPr>
                <w:noProof/>
                <w:webHidden/>
              </w:rPr>
              <w:fldChar w:fldCharType="end"/>
            </w:r>
          </w:hyperlink>
        </w:p>
        <w:p w14:paraId="071C7D47"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807" w:history="1">
            <w:r w:rsidR="00B93E2D" w:rsidRPr="00E949DE">
              <w:rPr>
                <w:rStyle w:val="Hyperlink"/>
                <w:noProof/>
              </w:rPr>
              <w:t>9.2.</w:t>
            </w:r>
            <w:r w:rsidR="00B93E2D">
              <w:rPr>
                <w:rFonts w:asciiTheme="minorHAnsi" w:eastAsiaTheme="minorEastAsia" w:hAnsiTheme="minorHAnsi" w:cstheme="minorBidi"/>
                <w:noProof/>
                <w:lang w:eastAsia="en-AU"/>
              </w:rPr>
              <w:tab/>
            </w:r>
            <w:r w:rsidR="00B93E2D" w:rsidRPr="00E949DE">
              <w:rPr>
                <w:rStyle w:val="Hyperlink"/>
                <w:noProof/>
              </w:rPr>
              <w:t>First round assessment of risks</w:t>
            </w:r>
            <w:r w:rsidR="00B93E2D">
              <w:rPr>
                <w:noProof/>
                <w:webHidden/>
              </w:rPr>
              <w:tab/>
            </w:r>
            <w:r w:rsidR="00B93E2D">
              <w:rPr>
                <w:noProof/>
                <w:webHidden/>
              </w:rPr>
              <w:fldChar w:fldCharType="begin"/>
            </w:r>
            <w:r w:rsidR="00B93E2D">
              <w:rPr>
                <w:noProof/>
                <w:webHidden/>
              </w:rPr>
              <w:instrText xml:space="preserve"> PAGEREF _Toc524344807 \h </w:instrText>
            </w:r>
            <w:r w:rsidR="00B93E2D">
              <w:rPr>
                <w:noProof/>
                <w:webHidden/>
              </w:rPr>
            </w:r>
            <w:r w:rsidR="00B93E2D">
              <w:rPr>
                <w:noProof/>
                <w:webHidden/>
              </w:rPr>
              <w:fldChar w:fldCharType="separate"/>
            </w:r>
            <w:r w:rsidR="00B93E2D">
              <w:rPr>
                <w:noProof/>
                <w:webHidden/>
              </w:rPr>
              <w:t>35</w:t>
            </w:r>
            <w:r w:rsidR="00B93E2D">
              <w:rPr>
                <w:noProof/>
                <w:webHidden/>
              </w:rPr>
              <w:fldChar w:fldCharType="end"/>
            </w:r>
          </w:hyperlink>
        </w:p>
        <w:p w14:paraId="6AFEAFEF" w14:textId="77777777" w:rsidR="00B93E2D" w:rsidRDefault="00D03F49">
          <w:pPr>
            <w:pStyle w:val="TOC3"/>
            <w:tabs>
              <w:tab w:val="left" w:pos="1575"/>
            </w:tabs>
            <w:rPr>
              <w:rFonts w:asciiTheme="minorHAnsi" w:eastAsiaTheme="minorEastAsia" w:hAnsiTheme="minorHAnsi" w:cstheme="minorBidi"/>
              <w:noProof/>
              <w:lang w:eastAsia="en-AU"/>
            </w:rPr>
          </w:pPr>
          <w:hyperlink w:anchor="_Toc524344808" w:history="1">
            <w:r w:rsidR="00B93E2D" w:rsidRPr="00E949DE">
              <w:rPr>
                <w:rStyle w:val="Hyperlink"/>
                <w:noProof/>
              </w:rPr>
              <w:t>9.3.</w:t>
            </w:r>
            <w:r w:rsidR="00B93E2D">
              <w:rPr>
                <w:rFonts w:asciiTheme="minorHAnsi" w:eastAsiaTheme="minorEastAsia" w:hAnsiTheme="minorHAnsi" w:cstheme="minorBidi"/>
                <w:noProof/>
                <w:lang w:eastAsia="en-AU"/>
              </w:rPr>
              <w:tab/>
            </w:r>
            <w:r w:rsidR="00B93E2D" w:rsidRPr="00E949DE">
              <w:rPr>
                <w:rStyle w:val="Hyperlink"/>
                <w:noProof/>
              </w:rPr>
              <w:t>First round assessment of benefit-risk balance</w:t>
            </w:r>
            <w:r w:rsidR="00B93E2D">
              <w:rPr>
                <w:noProof/>
                <w:webHidden/>
              </w:rPr>
              <w:tab/>
            </w:r>
            <w:r w:rsidR="00B93E2D">
              <w:rPr>
                <w:noProof/>
                <w:webHidden/>
              </w:rPr>
              <w:fldChar w:fldCharType="begin"/>
            </w:r>
            <w:r w:rsidR="00B93E2D">
              <w:rPr>
                <w:noProof/>
                <w:webHidden/>
              </w:rPr>
              <w:instrText xml:space="preserve"> PAGEREF _Toc524344808 \h </w:instrText>
            </w:r>
            <w:r w:rsidR="00B93E2D">
              <w:rPr>
                <w:noProof/>
                <w:webHidden/>
              </w:rPr>
            </w:r>
            <w:r w:rsidR="00B93E2D">
              <w:rPr>
                <w:noProof/>
                <w:webHidden/>
              </w:rPr>
              <w:fldChar w:fldCharType="separate"/>
            </w:r>
            <w:r w:rsidR="00B93E2D">
              <w:rPr>
                <w:noProof/>
                <w:webHidden/>
              </w:rPr>
              <w:t>36</w:t>
            </w:r>
            <w:r w:rsidR="00B93E2D">
              <w:rPr>
                <w:noProof/>
                <w:webHidden/>
              </w:rPr>
              <w:fldChar w:fldCharType="end"/>
            </w:r>
          </w:hyperlink>
        </w:p>
        <w:p w14:paraId="47B044EE"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809" w:history="1">
            <w:r w:rsidR="00B93E2D" w:rsidRPr="00E949DE">
              <w:rPr>
                <w:rStyle w:val="Hyperlink"/>
                <w:noProof/>
              </w:rPr>
              <w:t>10.</w:t>
            </w:r>
            <w:r w:rsidR="00B93E2D">
              <w:rPr>
                <w:rFonts w:asciiTheme="minorHAnsi" w:eastAsiaTheme="minorEastAsia" w:hAnsiTheme="minorHAnsi" w:cstheme="minorBidi"/>
                <w:b w:val="0"/>
                <w:noProof/>
                <w:sz w:val="22"/>
                <w:lang w:eastAsia="en-AU"/>
              </w:rPr>
              <w:tab/>
            </w:r>
            <w:r w:rsidR="00B93E2D" w:rsidRPr="00E949DE">
              <w:rPr>
                <w:rStyle w:val="Hyperlink"/>
                <w:noProof/>
              </w:rPr>
              <w:t>First round recommendation regarding authorisation</w:t>
            </w:r>
            <w:r w:rsidR="00B93E2D">
              <w:rPr>
                <w:noProof/>
                <w:webHidden/>
              </w:rPr>
              <w:tab/>
            </w:r>
            <w:r w:rsidR="00B93E2D">
              <w:rPr>
                <w:noProof/>
                <w:webHidden/>
              </w:rPr>
              <w:fldChar w:fldCharType="begin"/>
            </w:r>
            <w:r w:rsidR="00B93E2D">
              <w:rPr>
                <w:noProof/>
                <w:webHidden/>
              </w:rPr>
              <w:instrText xml:space="preserve"> PAGEREF _Toc524344809 \h </w:instrText>
            </w:r>
            <w:r w:rsidR="00B93E2D">
              <w:rPr>
                <w:noProof/>
                <w:webHidden/>
              </w:rPr>
            </w:r>
            <w:r w:rsidR="00B93E2D">
              <w:rPr>
                <w:noProof/>
                <w:webHidden/>
              </w:rPr>
              <w:fldChar w:fldCharType="separate"/>
            </w:r>
            <w:r w:rsidR="00B93E2D">
              <w:rPr>
                <w:noProof/>
                <w:webHidden/>
              </w:rPr>
              <w:t>36</w:t>
            </w:r>
            <w:r w:rsidR="00B93E2D">
              <w:rPr>
                <w:noProof/>
                <w:webHidden/>
              </w:rPr>
              <w:fldChar w:fldCharType="end"/>
            </w:r>
          </w:hyperlink>
        </w:p>
        <w:p w14:paraId="505147E2"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810" w:history="1">
            <w:r w:rsidR="00B93E2D" w:rsidRPr="00E949DE">
              <w:rPr>
                <w:rStyle w:val="Hyperlink"/>
                <w:noProof/>
              </w:rPr>
              <w:t>11.</w:t>
            </w:r>
            <w:r w:rsidR="00B93E2D">
              <w:rPr>
                <w:rFonts w:asciiTheme="minorHAnsi" w:eastAsiaTheme="minorEastAsia" w:hAnsiTheme="minorHAnsi" w:cstheme="minorBidi"/>
                <w:b w:val="0"/>
                <w:noProof/>
                <w:sz w:val="22"/>
                <w:lang w:eastAsia="en-AU"/>
              </w:rPr>
              <w:tab/>
            </w:r>
            <w:r w:rsidR="00B93E2D" w:rsidRPr="00E949DE">
              <w:rPr>
                <w:rStyle w:val="Hyperlink"/>
                <w:noProof/>
              </w:rPr>
              <w:t>Clinical questions</w:t>
            </w:r>
            <w:r w:rsidR="00B93E2D">
              <w:rPr>
                <w:noProof/>
                <w:webHidden/>
              </w:rPr>
              <w:tab/>
            </w:r>
            <w:r w:rsidR="00B93E2D">
              <w:rPr>
                <w:noProof/>
                <w:webHidden/>
              </w:rPr>
              <w:fldChar w:fldCharType="begin"/>
            </w:r>
            <w:r w:rsidR="00B93E2D">
              <w:rPr>
                <w:noProof/>
                <w:webHidden/>
              </w:rPr>
              <w:instrText xml:space="preserve"> PAGEREF _Toc524344810 \h </w:instrText>
            </w:r>
            <w:r w:rsidR="00B93E2D">
              <w:rPr>
                <w:noProof/>
                <w:webHidden/>
              </w:rPr>
            </w:r>
            <w:r w:rsidR="00B93E2D">
              <w:rPr>
                <w:noProof/>
                <w:webHidden/>
              </w:rPr>
              <w:fldChar w:fldCharType="separate"/>
            </w:r>
            <w:r w:rsidR="00B93E2D">
              <w:rPr>
                <w:noProof/>
                <w:webHidden/>
              </w:rPr>
              <w:t>36</w:t>
            </w:r>
            <w:r w:rsidR="00B93E2D">
              <w:rPr>
                <w:noProof/>
                <w:webHidden/>
              </w:rPr>
              <w:fldChar w:fldCharType="end"/>
            </w:r>
          </w:hyperlink>
        </w:p>
        <w:p w14:paraId="593F98BE"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811" w:history="1">
            <w:r w:rsidR="00B93E2D" w:rsidRPr="00E949DE">
              <w:rPr>
                <w:rStyle w:val="Hyperlink"/>
                <w:noProof/>
              </w:rPr>
              <w:t>12.</w:t>
            </w:r>
            <w:r w:rsidR="00B93E2D">
              <w:rPr>
                <w:rFonts w:asciiTheme="minorHAnsi" w:eastAsiaTheme="minorEastAsia" w:hAnsiTheme="minorHAnsi" w:cstheme="minorBidi"/>
                <w:b w:val="0"/>
                <w:noProof/>
                <w:sz w:val="22"/>
                <w:lang w:eastAsia="en-AU"/>
              </w:rPr>
              <w:tab/>
            </w:r>
            <w:r w:rsidR="00B93E2D" w:rsidRPr="00E949DE">
              <w:rPr>
                <w:rStyle w:val="Hyperlink"/>
                <w:noProof/>
              </w:rPr>
              <w:t>Second round benefit-risk assessment</w:t>
            </w:r>
            <w:r w:rsidR="00B93E2D">
              <w:rPr>
                <w:noProof/>
                <w:webHidden/>
              </w:rPr>
              <w:tab/>
            </w:r>
            <w:r w:rsidR="00B93E2D">
              <w:rPr>
                <w:noProof/>
                <w:webHidden/>
              </w:rPr>
              <w:fldChar w:fldCharType="begin"/>
            </w:r>
            <w:r w:rsidR="00B93E2D">
              <w:rPr>
                <w:noProof/>
                <w:webHidden/>
              </w:rPr>
              <w:instrText xml:space="preserve"> PAGEREF _Toc524344811 \h </w:instrText>
            </w:r>
            <w:r w:rsidR="00B93E2D">
              <w:rPr>
                <w:noProof/>
                <w:webHidden/>
              </w:rPr>
            </w:r>
            <w:r w:rsidR="00B93E2D">
              <w:rPr>
                <w:noProof/>
                <w:webHidden/>
              </w:rPr>
              <w:fldChar w:fldCharType="separate"/>
            </w:r>
            <w:r w:rsidR="00B93E2D">
              <w:rPr>
                <w:noProof/>
                <w:webHidden/>
              </w:rPr>
              <w:t>36</w:t>
            </w:r>
            <w:r w:rsidR="00B93E2D">
              <w:rPr>
                <w:noProof/>
                <w:webHidden/>
              </w:rPr>
              <w:fldChar w:fldCharType="end"/>
            </w:r>
          </w:hyperlink>
        </w:p>
        <w:p w14:paraId="77D3A396" w14:textId="77777777" w:rsidR="00B93E2D" w:rsidRDefault="00D03F49">
          <w:pPr>
            <w:pStyle w:val="TOC2"/>
            <w:tabs>
              <w:tab w:val="left" w:pos="1247"/>
            </w:tabs>
            <w:rPr>
              <w:rFonts w:asciiTheme="minorHAnsi" w:eastAsiaTheme="minorEastAsia" w:hAnsiTheme="minorHAnsi" w:cstheme="minorBidi"/>
              <w:b w:val="0"/>
              <w:noProof/>
              <w:sz w:val="22"/>
              <w:lang w:eastAsia="en-AU"/>
            </w:rPr>
          </w:pPr>
          <w:hyperlink w:anchor="_Toc524344812" w:history="1">
            <w:r w:rsidR="00B93E2D" w:rsidRPr="00E949DE">
              <w:rPr>
                <w:rStyle w:val="Hyperlink"/>
                <w:noProof/>
              </w:rPr>
              <w:t>13.</w:t>
            </w:r>
            <w:r w:rsidR="00B93E2D">
              <w:rPr>
                <w:rFonts w:asciiTheme="minorHAnsi" w:eastAsiaTheme="minorEastAsia" w:hAnsiTheme="minorHAnsi" w:cstheme="minorBidi"/>
                <w:b w:val="0"/>
                <w:noProof/>
                <w:sz w:val="22"/>
                <w:lang w:eastAsia="en-AU"/>
              </w:rPr>
              <w:tab/>
            </w:r>
            <w:r w:rsidR="00B93E2D" w:rsidRPr="00E949DE">
              <w:rPr>
                <w:rStyle w:val="Hyperlink"/>
                <w:noProof/>
              </w:rPr>
              <w:t>References</w:t>
            </w:r>
            <w:r w:rsidR="00B93E2D">
              <w:rPr>
                <w:noProof/>
                <w:webHidden/>
              </w:rPr>
              <w:tab/>
            </w:r>
            <w:r w:rsidR="00B93E2D">
              <w:rPr>
                <w:noProof/>
                <w:webHidden/>
              </w:rPr>
              <w:fldChar w:fldCharType="begin"/>
            </w:r>
            <w:r w:rsidR="00B93E2D">
              <w:rPr>
                <w:noProof/>
                <w:webHidden/>
              </w:rPr>
              <w:instrText xml:space="preserve"> PAGEREF _Toc524344812 \h </w:instrText>
            </w:r>
            <w:r w:rsidR="00B93E2D">
              <w:rPr>
                <w:noProof/>
                <w:webHidden/>
              </w:rPr>
            </w:r>
            <w:r w:rsidR="00B93E2D">
              <w:rPr>
                <w:noProof/>
                <w:webHidden/>
              </w:rPr>
              <w:fldChar w:fldCharType="separate"/>
            </w:r>
            <w:r w:rsidR="00B93E2D">
              <w:rPr>
                <w:noProof/>
                <w:webHidden/>
              </w:rPr>
              <w:t>36</w:t>
            </w:r>
            <w:r w:rsidR="00B93E2D">
              <w:rPr>
                <w:noProof/>
                <w:webHidden/>
              </w:rPr>
              <w:fldChar w:fldCharType="end"/>
            </w:r>
          </w:hyperlink>
        </w:p>
        <w:p w14:paraId="7F639A1C" w14:textId="71C9F9B4" w:rsidR="003A7F6C" w:rsidRPr="004D485E" w:rsidRDefault="004F4AF5" w:rsidP="004D485E">
          <w:pPr>
            <w:pStyle w:val="TOC2"/>
          </w:pPr>
          <w:r w:rsidRPr="003442FE">
            <w:fldChar w:fldCharType="end"/>
          </w:r>
        </w:p>
      </w:sdtContent>
    </w:sdt>
    <w:bookmarkStart w:id="3" w:name="_Toc314842482" w:displacedByCustomXml="prev"/>
    <w:p w14:paraId="6FEE383E" w14:textId="20F093D1" w:rsidR="004D485E" w:rsidRPr="004D485E" w:rsidRDefault="004D485E" w:rsidP="004D485E">
      <w:pPr>
        <w:spacing w:before="0" w:after="200" w:line="0" w:lineRule="auto"/>
      </w:pPr>
      <w:bookmarkStart w:id="4" w:name="_Toc351716269"/>
      <w:bookmarkStart w:id="5" w:name="_Toc351718881"/>
      <w:bookmarkStart w:id="6" w:name="_Toc355338616"/>
      <w:r>
        <w:br w:type="page"/>
      </w:r>
    </w:p>
    <w:p w14:paraId="2B1C2546" w14:textId="75EF4366" w:rsidR="00586F98" w:rsidRPr="003442FE" w:rsidRDefault="00586F98" w:rsidP="00586F98">
      <w:pPr>
        <w:pStyle w:val="Heading2"/>
        <w:numPr>
          <w:ilvl w:val="0"/>
          <w:numId w:val="0"/>
        </w:numPr>
      </w:pPr>
      <w:bookmarkStart w:id="7" w:name="_Toc524344774"/>
      <w:r w:rsidRPr="003442FE">
        <w:lastRenderedPageBreak/>
        <w:t xml:space="preserve">List of </w:t>
      </w:r>
      <w:r w:rsidR="00384912">
        <w:t xml:space="preserve">common </w:t>
      </w:r>
      <w:r w:rsidRPr="003442FE">
        <w:t>abbreviations</w:t>
      </w:r>
      <w:bookmarkEnd w:id="4"/>
      <w:bookmarkEnd w:id="5"/>
      <w:bookmarkEnd w:id="6"/>
      <w:bookmarkEnd w:id="7"/>
    </w:p>
    <w:tbl>
      <w:tblPr>
        <w:tblStyle w:val="TableTGAblue"/>
        <w:tblW w:w="0" w:type="auto"/>
        <w:tblLook w:val="04A0" w:firstRow="1" w:lastRow="0" w:firstColumn="1" w:lastColumn="0" w:noHBand="0" w:noVBand="1"/>
      </w:tblPr>
      <w:tblGrid>
        <w:gridCol w:w="1998"/>
        <w:gridCol w:w="6803"/>
      </w:tblGrid>
      <w:tr w:rsidR="00586F98" w:rsidRPr="003442FE" w14:paraId="3B1F1DF3" w14:textId="77777777" w:rsidTr="004D48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tcPr>
          <w:p w14:paraId="71CEC711" w14:textId="77777777" w:rsidR="00586F98" w:rsidRPr="003442FE" w:rsidRDefault="00586F98" w:rsidP="000A63AF">
            <w:r w:rsidRPr="003442FE">
              <w:t>Abbreviation</w:t>
            </w:r>
          </w:p>
        </w:tc>
        <w:tc>
          <w:tcPr>
            <w:tcW w:w="6803" w:type="dxa"/>
          </w:tcPr>
          <w:p w14:paraId="24B7D2CF" w14:textId="77777777" w:rsidR="00586F98" w:rsidRPr="003442FE" w:rsidRDefault="00586F98" w:rsidP="000A63AF">
            <w:pPr>
              <w:cnfStyle w:val="100000000000" w:firstRow="1" w:lastRow="0" w:firstColumn="0" w:lastColumn="0" w:oddVBand="0" w:evenVBand="0" w:oddHBand="0" w:evenHBand="0" w:firstRowFirstColumn="0" w:firstRowLastColumn="0" w:lastRowFirstColumn="0" w:lastRowLastColumn="0"/>
            </w:pPr>
            <w:r w:rsidRPr="003442FE">
              <w:t>Meaning</w:t>
            </w:r>
          </w:p>
        </w:tc>
      </w:tr>
      <w:tr w:rsidR="00AE289E" w:rsidRPr="003442FE" w14:paraId="666F847C"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31FF942" w14:textId="3670E38C" w:rsidR="00AE289E" w:rsidRPr="00AE289E" w:rsidRDefault="00AE289E" w:rsidP="00AE289E">
            <w:r w:rsidRPr="00AE289E">
              <w:t>AE</w:t>
            </w:r>
          </w:p>
        </w:tc>
        <w:tc>
          <w:tcPr>
            <w:tcW w:w="6803" w:type="dxa"/>
          </w:tcPr>
          <w:p w14:paraId="3CAA258E" w14:textId="475B54C9"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t>A</w:t>
            </w:r>
            <w:r w:rsidRPr="00AE289E">
              <w:t>dverse event</w:t>
            </w:r>
          </w:p>
        </w:tc>
      </w:tr>
      <w:tr w:rsidR="00AE289E" w:rsidRPr="003442FE" w14:paraId="3AF7F351"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6724FA03" w14:textId="51B6AAB9" w:rsidR="00AE289E" w:rsidRPr="00AE289E" w:rsidRDefault="00AE289E" w:rsidP="00AE289E">
            <w:r w:rsidRPr="00AE289E">
              <w:t>AESI</w:t>
            </w:r>
          </w:p>
        </w:tc>
        <w:tc>
          <w:tcPr>
            <w:tcW w:w="6803" w:type="dxa"/>
          </w:tcPr>
          <w:p w14:paraId="10983A0E" w14:textId="5C2355A5" w:rsidR="00AE289E" w:rsidRPr="00AE289E" w:rsidRDefault="00AE289E" w:rsidP="004D485E">
            <w:pPr>
              <w:cnfStyle w:val="000000000000" w:firstRow="0" w:lastRow="0" w:firstColumn="0" w:lastColumn="0" w:oddVBand="0" w:evenVBand="0" w:oddHBand="0" w:evenHBand="0" w:firstRowFirstColumn="0" w:firstRowLastColumn="0" w:lastRowFirstColumn="0" w:lastRowLastColumn="0"/>
            </w:pPr>
            <w:r>
              <w:t>A</w:t>
            </w:r>
            <w:r w:rsidRPr="00AE289E">
              <w:t>dverse event of special interest</w:t>
            </w:r>
          </w:p>
        </w:tc>
      </w:tr>
      <w:tr w:rsidR="00AE289E" w:rsidRPr="003442FE" w14:paraId="28CD2567"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6527DC94" w14:textId="6955495C" w:rsidR="00AE289E" w:rsidRPr="00AE289E" w:rsidRDefault="00AE289E" w:rsidP="00AE289E">
            <w:r w:rsidRPr="00AE289E">
              <w:t>ASA</w:t>
            </w:r>
          </w:p>
        </w:tc>
        <w:tc>
          <w:tcPr>
            <w:tcW w:w="6803" w:type="dxa"/>
          </w:tcPr>
          <w:p w14:paraId="4545FB79" w14:textId="07EC3993"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 xml:space="preserve">Australian-specific annex </w:t>
            </w:r>
          </w:p>
        </w:tc>
      </w:tr>
      <w:tr w:rsidR="00AE289E" w:rsidRPr="003442FE" w14:paraId="549F9299"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44BE2FC" w14:textId="0C696624" w:rsidR="00AE289E" w:rsidRPr="00AE289E" w:rsidRDefault="00AE289E" w:rsidP="00AE289E">
            <w:r w:rsidRPr="00AE289E">
              <w:t xml:space="preserve">CDC </w:t>
            </w:r>
          </w:p>
        </w:tc>
        <w:tc>
          <w:tcPr>
            <w:tcW w:w="6803" w:type="dxa"/>
          </w:tcPr>
          <w:p w14:paraId="7E4FC0AC" w14:textId="42802D39"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Centers of Disease Control and Prevention</w:t>
            </w:r>
          </w:p>
        </w:tc>
      </w:tr>
      <w:tr w:rsidR="00AE289E" w:rsidRPr="003442FE" w14:paraId="1C5D02AD"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A87010F" w14:textId="4A53BBBF" w:rsidR="00AE289E" w:rsidRPr="00AE289E" w:rsidRDefault="00AE289E" w:rsidP="00AE289E">
            <w:r w:rsidRPr="00AE289E">
              <w:t>CHMP (CPMP)</w:t>
            </w:r>
          </w:p>
        </w:tc>
        <w:tc>
          <w:tcPr>
            <w:tcW w:w="6803" w:type="dxa"/>
          </w:tcPr>
          <w:p w14:paraId="38407889" w14:textId="095678A4"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Committee for Medicinal Products for Human Use</w:t>
            </w:r>
          </w:p>
        </w:tc>
      </w:tr>
      <w:tr w:rsidR="00AE289E" w:rsidRPr="003442FE" w14:paraId="631B3A1B"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21A5E42F" w14:textId="555ECE6B" w:rsidR="00AE289E" w:rsidRPr="00AE289E" w:rsidRDefault="00AE289E" w:rsidP="00AE289E">
            <w:r w:rsidRPr="00AE289E">
              <w:t xml:space="preserve">CI </w:t>
            </w:r>
          </w:p>
        </w:tc>
        <w:tc>
          <w:tcPr>
            <w:tcW w:w="6803" w:type="dxa"/>
          </w:tcPr>
          <w:p w14:paraId="742FA6B4" w14:textId="3121CA78"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Confidence Interval</w:t>
            </w:r>
          </w:p>
        </w:tc>
      </w:tr>
      <w:tr w:rsidR="00AE289E" w:rsidRPr="003442FE" w14:paraId="063AA8F0"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48A66F6" w14:textId="78613123" w:rsidR="00AE289E" w:rsidRPr="00AE289E" w:rsidRDefault="00AE289E" w:rsidP="00AE289E">
            <w:r w:rsidRPr="00AE289E">
              <w:t>eCRF</w:t>
            </w:r>
          </w:p>
        </w:tc>
        <w:tc>
          <w:tcPr>
            <w:tcW w:w="6803" w:type="dxa"/>
          </w:tcPr>
          <w:p w14:paraId="5C9CCB93" w14:textId="7F45E6A9"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t>E</w:t>
            </w:r>
            <w:r w:rsidRPr="00AE289E">
              <w:t>lectronic Case Report Form</w:t>
            </w:r>
          </w:p>
        </w:tc>
      </w:tr>
      <w:tr w:rsidR="00AE289E" w:rsidRPr="003442FE" w14:paraId="25CA278D"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3C312455" w14:textId="77CC475B" w:rsidR="00AE289E" w:rsidRPr="00AE289E" w:rsidRDefault="00AE289E" w:rsidP="00AE289E">
            <w:r w:rsidRPr="00AE289E">
              <w:t>EU</w:t>
            </w:r>
          </w:p>
        </w:tc>
        <w:tc>
          <w:tcPr>
            <w:tcW w:w="6803" w:type="dxa"/>
          </w:tcPr>
          <w:p w14:paraId="444BAA1E" w14:textId="72DA7779"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European Union</w:t>
            </w:r>
          </w:p>
        </w:tc>
      </w:tr>
      <w:tr w:rsidR="00AE289E" w:rsidRPr="003442FE" w14:paraId="4ADE32FA"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11C3FBF8" w14:textId="42266241" w:rsidR="00AE289E" w:rsidRPr="00AE289E" w:rsidRDefault="00AE289E" w:rsidP="00AE289E">
            <w:r w:rsidRPr="00AE289E">
              <w:t>FAS</w:t>
            </w:r>
          </w:p>
        </w:tc>
        <w:tc>
          <w:tcPr>
            <w:tcW w:w="6803" w:type="dxa"/>
          </w:tcPr>
          <w:p w14:paraId="26A60A19" w14:textId="559436D9"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Full analysis sample</w:t>
            </w:r>
          </w:p>
        </w:tc>
      </w:tr>
      <w:tr w:rsidR="00AE289E" w:rsidRPr="003442FE" w14:paraId="5E6E1D68"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2D778CB8" w14:textId="3208F781" w:rsidR="00AE289E" w:rsidRPr="00AE289E" w:rsidRDefault="00AE289E" w:rsidP="00AE289E">
            <w:r w:rsidRPr="00AE289E">
              <w:t>FDA</w:t>
            </w:r>
          </w:p>
        </w:tc>
        <w:tc>
          <w:tcPr>
            <w:tcW w:w="6803" w:type="dxa"/>
          </w:tcPr>
          <w:p w14:paraId="5E5E3041" w14:textId="1D0BCD15"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Food and Drug Administration</w:t>
            </w:r>
          </w:p>
        </w:tc>
      </w:tr>
      <w:tr w:rsidR="00AE289E" w:rsidRPr="003442FE" w14:paraId="78949EFB"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7F19CC46" w14:textId="68C76176" w:rsidR="00AE289E" w:rsidRPr="00AE289E" w:rsidRDefault="00AE289E" w:rsidP="00AE289E">
            <w:r w:rsidRPr="00AE289E">
              <w:t>GBS</w:t>
            </w:r>
          </w:p>
        </w:tc>
        <w:tc>
          <w:tcPr>
            <w:tcW w:w="6803" w:type="dxa"/>
          </w:tcPr>
          <w:p w14:paraId="1BBE8F85" w14:textId="43F2ECF8"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Guillain Barré syndrome</w:t>
            </w:r>
          </w:p>
        </w:tc>
      </w:tr>
      <w:tr w:rsidR="00AE289E" w:rsidRPr="003442FE" w14:paraId="345B5E83"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2D3416F5" w14:textId="5979BEA8" w:rsidR="00AE289E" w:rsidRPr="00AE289E" w:rsidRDefault="00AE289E" w:rsidP="00AE289E">
            <w:r w:rsidRPr="00AE289E">
              <w:t>GCP</w:t>
            </w:r>
          </w:p>
        </w:tc>
        <w:tc>
          <w:tcPr>
            <w:tcW w:w="6803" w:type="dxa"/>
          </w:tcPr>
          <w:p w14:paraId="42619344" w14:textId="2E9427B2"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Good Clinical Practice</w:t>
            </w:r>
          </w:p>
        </w:tc>
      </w:tr>
      <w:tr w:rsidR="00AE289E" w:rsidRPr="003442FE" w14:paraId="1F6F8432"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208477D1" w14:textId="04C3AA64" w:rsidR="00AE289E" w:rsidRPr="00AE289E" w:rsidRDefault="00AE289E" w:rsidP="00AE289E">
            <w:r w:rsidRPr="00AE289E">
              <w:t>GMFIs</w:t>
            </w:r>
          </w:p>
        </w:tc>
        <w:tc>
          <w:tcPr>
            <w:tcW w:w="6803" w:type="dxa"/>
          </w:tcPr>
          <w:p w14:paraId="14F53E9B" w14:textId="616C5FD2"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 xml:space="preserve">Geometric Mean Fold Increases </w:t>
            </w:r>
          </w:p>
        </w:tc>
      </w:tr>
      <w:tr w:rsidR="00AE289E" w:rsidRPr="003442FE" w14:paraId="7BADDE77"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32C322EF" w14:textId="15A4DC8D" w:rsidR="00AE289E" w:rsidRPr="00AE289E" w:rsidRDefault="00AE289E" w:rsidP="00AE289E">
            <w:r w:rsidRPr="00AE289E">
              <w:t>GMR</w:t>
            </w:r>
          </w:p>
        </w:tc>
        <w:tc>
          <w:tcPr>
            <w:tcW w:w="6803" w:type="dxa"/>
          </w:tcPr>
          <w:p w14:paraId="031FF2AF" w14:textId="70ADB7DB"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Geometric mean ratio</w:t>
            </w:r>
          </w:p>
        </w:tc>
      </w:tr>
      <w:tr w:rsidR="00AE289E" w:rsidRPr="003442FE" w14:paraId="731FA606"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3641133A" w14:textId="537333F5" w:rsidR="00AE289E" w:rsidRPr="00AE289E" w:rsidRDefault="00AE289E" w:rsidP="00AE289E">
            <w:r w:rsidRPr="00AE289E">
              <w:t>GMTs</w:t>
            </w:r>
          </w:p>
        </w:tc>
        <w:tc>
          <w:tcPr>
            <w:tcW w:w="6803" w:type="dxa"/>
          </w:tcPr>
          <w:p w14:paraId="798B6146" w14:textId="059D3153"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Geometric Mean Titres</w:t>
            </w:r>
          </w:p>
        </w:tc>
      </w:tr>
      <w:tr w:rsidR="00AE289E" w:rsidRPr="003442FE" w14:paraId="785925E9"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02928E0" w14:textId="495F6FC8" w:rsidR="00AE289E" w:rsidRPr="00AE289E" w:rsidRDefault="00AE289E" w:rsidP="00AE289E">
            <w:r w:rsidRPr="00AE289E">
              <w:t>Gp</w:t>
            </w:r>
          </w:p>
        </w:tc>
        <w:tc>
          <w:tcPr>
            <w:tcW w:w="6803" w:type="dxa"/>
          </w:tcPr>
          <w:p w14:paraId="0611EA60" w14:textId="3073604B"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Group</w:t>
            </w:r>
          </w:p>
        </w:tc>
      </w:tr>
      <w:tr w:rsidR="00AE289E" w:rsidRPr="003442FE" w14:paraId="5084F656"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6A1699ED" w14:textId="5541F7D5" w:rsidR="00AE289E" w:rsidRPr="00AE289E" w:rsidRDefault="00AE289E" w:rsidP="00AE289E">
            <w:r w:rsidRPr="00AE289E">
              <w:t>HA</w:t>
            </w:r>
          </w:p>
        </w:tc>
        <w:tc>
          <w:tcPr>
            <w:tcW w:w="6803" w:type="dxa"/>
          </w:tcPr>
          <w:p w14:paraId="001C1602" w14:textId="5ECD975F"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Haemagglutinin</w:t>
            </w:r>
          </w:p>
        </w:tc>
      </w:tr>
      <w:tr w:rsidR="00AE289E" w:rsidRPr="003442FE" w14:paraId="1CDAD058"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665927F4" w14:textId="1034EE0F" w:rsidR="00AE289E" w:rsidRPr="00AE289E" w:rsidRDefault="00AE289E" w:rsidP="00AE289E">
            <w:r w:rsidRPr="00AE289E">
              <w:t>HAI or HI</w:t>
            </w:r>
          </w:p>
        </w:tc>
        <w:tc>
          <w:tcPr>
            <w:tcW w:w="6803" w:type="dxa"/>
          </w:tcPr>
          <w:p w14:paraId="055EB1E2" w14:textId="599D610E"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Haemagglutination Inhibition</w:t>
            </w:r>
          </w:p>
        </w:tc>
      </w:tr>
      <w:tr w:rsidR="00AE289E" w:rsidRPr="003442FE" w14:paraId="70230BCB"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5AFADF7" w14:textId="05A14B5A" w:rsidR="00AE289E" w:rsidRPr="00AE289E" w:rsidRDefault="00AE289E" w:rsidP="00AE289E">
            <w:r w:rsidRPr="00AE289E">
              <w:t>IB</w:t>
            </w:r>
          </w:p>
        </w:tc>
        <w:tc>
          <w:tcPr>
            <w:tcW w:w="6803" w:type="dxa"/>
          </w:tcPr>
          <w:p w14:paraId="4FB1B96B" w14:textId="17D47970"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Investigator Brochure</w:t>
            </w:r>
          </w:p>
        </w:tc>
      </w:tr>
      <w:tr w:rsidR="00AE289E" w:rsidRPr="003442FE" w14:paraId="52BF52A6"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7801F1C8" w14:textId="4D438AF0" w:rsidR="00AE289E" w:rsidRPr="00AE289E" w:rsidRDefault="00AE289E" w:rsidP="00AE289E">
            <w:r w:rsidRPr="00AE289E">
              <w:t>ICH</w:t>
            </w:r>
          </w:p>
        </w:tc>
        <w:tc>
          <w:tcPr>
            <w:tcW w:w="6803" w:type="dxa"/>
          </w:tcPr>
          <w:p w14:paraId="7DA58A80" w14:textId="37EEDCF9"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Inte</w:t>
            </w:r>
            <w:r>
              <w:t>rnational Conference on Harmoniz</w:t>
            </w:r>
            <w:r w:rsidRPr="00AE289E">
              <w:t>ation</w:t>
            </w:r>
          </w:p>
        </w:tc>
      </w:tr>
      <w:tr w:rsidR="00AE289E" w:rsidRPr="003442FE" w14:paraId="671C5E73"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2358FE48" w14:textId="3948B33D" w:rsidR="00AE289E" w:rsidRPr="00AE289E" w:rsidRDefault="00AE289E" w:rsidP="00AE289E">
            <w:r w:rsidRPr="00AE289E">
              <w:t xml:space="preserve">ILI </w:t>
            </w:r>
          </w:p>
        </w:tc>
        <w:tc>
          <w:tcPr>
            <w:tcW w:w="6803" w:type="dxa"/>
          </w:tcPr>
          <w:p w14:paraId="281FCD86" w14:textId="3511072C"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Influenza like Infection</w:t>
            </w:r>
          </w:p>
        </w:tc>
      </w:tr>
      <w:tr w:rsidR="00AE289E" w:rsidRPr="003442FE" w14:paraId="17C0B754"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0A2840AB" w14:textId="694CFEEB" w:rsidR="00AE289E" w:rsidRPr="00AE289E" w:rsidRDefault="00AE289E" w:rsidP="00AE289E">
            <w:r w:rsidRPr="00AE289E">
              <w:t xml:space="preserve">IM </w:t>
            </w:r>
          </w:p>
        </w:tc>
        <w:tc>
          <w:tcPr>
            <w:tcW w:w="6803" w:type="dxa"/>
          </w:tcPr>
          <w:p w14:paraId="454589B5" w14:textId="49DC78B4"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Intramuscular</w:t>
            </w:r>
          </w:p>
        </w:tc>
      </w:tr>
      <w:tr w:rsidR="00AE289E" w:rsidRPr="003442FE" w14:paraId="1B54ADCD"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93550E6" w14:textId="2A0F6A7B" w:rsidR="00AE289E" w:rsidRPr="00AE289E" w:rsidRDefault="00AE289E" w:rsidP="00AE289E">
            <w:r w:rsidRPr="00AE289E">
              <w:t>IRI</w:t>
            </w:r>
          </w:p>
        </w:tc>
        <w:tc>
          <w:tcPr>
            <w:tcW w:w="6803" w:type="dxa"/>
          </w:tcPr>
          <w:p w14:paraId="6D6D75FF" w14:textId="2C74C966"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Intercurrent respiratory infection</w:t>
            </w:r>
          </w:p>
        </w:tc>
      </w:tr>
      <w:tr w:rsidR="00AE289E" w:rsidRPr="003442FE" w14:paraId="0E0ABCD4"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CFE3985" w14:textId="175F2A4B" w:rsidR="00AE289E" w:rsidRPr="00AE289E" w:rsidRDefault="00AE289E" w:rsidP="00AE289E">
            <w:r w:rsidRPr="00AE289E">
              <w:t>ITT</w:t>
            </w:r>
          </w:p>
        </w:tc>
        <w:tc>
          <w:tcPr>
            <w:tcW w:w="6803" w:type="dxa"/>
          </w:tcPr>
          <w:p w14:paraId="1FF17B0F" w14:textId="38E649BA"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Intention to treat</w:t>
            </w:r>
          </w:p>
        </w:tc>
      </w:tr>
      <w:tr w:rsidR="00AE289E" w:rsidRPr="003442FE" w14:paraId="6F9BBCD3"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1D3F0606" w14:textId="75A72D2C" w:rsidR="00AE289E" w:rsidRPr="00AE289E" w:rsidRDefault="00AE289E" w:rsidP="00AE289E">
            <w:r w:rsidRPr="00AE289E">
              <w:lastRenderedPageBreak/>
              <w:t>IVV</w:t>
            </w:r>
          </w:p>
        </w:tc>
        <w:tc>
          <w:tcPr>
            <w:tcW w:w="6803" w:type="dxa"/>
          </w:tcPr>
          <w:p w14:paraId="15D6E1A9" w14:textId="297CF190"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influenza virus vaccine</w:t>
            </w:r>
          </w:p>
        </w:tc>
      </w:tr>
      <w:tr w:rsidR="00AE289E" w:rsidRPr="003442FE" w14:paraId="3F733CFD"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6405D3E5" w14:textId="394BEF77" w:rsidR="00AE289E" w:rsidRPr="00AE289E" w:rsidRDefault="00AE289E" w:rsidP="00AE289E">
            <w:r w:rsidRPr="00AE289E">
              <w:t xml:space="preserve">MAA </w:t>
            </w:r>
          </w:p>
        </w:tc>
        <w:tc>
          <w:tcPr>
            <w:tcW w:w="6803" w:type="dxa"/>
          </w:tcPr>
          <w:p w14:paraId="4E9EDC38" w14:textId="5D6D995E"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t>Marketing Authoris</w:t>
            </w:r>
            <w:r w:rsidRPr="00AE289E">
              <w:t>ation Application</w:t>
            </w:r>
          </w:p>
        </w:tc>
      </w:tr>
      <w:tr w:rsidR="00AE289E" w:rsidRPr="003442FE" w14:paraId="452A2008"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0F1696A" w14:textId="325556B5" w:rsidR="00AE289E" w:rsidRPr="00AE289E" w:rsidRDefault="00AE289E" w:rsidP="00AE289E">
            <w:r w:rsidRPr="00AE289E">
              <w:t xml:space="preserve">MedDRA </w:t>
            </w:r>
          </w:p>
        </w:tc>
        <w:tc>
          <w:tcPr>
            <w:tcW w:w="6803" w:type="dxa"/>
          </w:tcPr>
          <w:p w14:paraId="0865D1B1" w14:textId="2383BBBB"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Medical Dictionary for Regulatory Activities</w:t>
            </w:r>
          </w:p>
        </w:tc>
      </w:tr>
      <w:tr w:rsidR="00AE289E" w:rsidRPr="003442FE" w14:paraId="191115E1"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3AF977E" w14:textId="0C205215" w:rsidR="00AE289E" w:rsidRPr="00AE289E" w:rsidRDefault="00AE289E" w:rsidP="00AE289E">
            <w:r w:rsidRPr="00AE289E">
              <w:t>mL</w:t>
            </w:r>
          </w:p>
        </w:tc>
        <w:tc>
          <w:tcPr>
            <w:tcW w:w="6803" w:type="dxa"/>
          </w:tcPr>
          <w:p w14:paraId="4253848E" w14:textId="4EF9B65C"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Millilitre</w:t>
            </w:r>
          </w:p>
        </w:tc>
      </w:tr>
      <w:tr w:rsidR="00AE289E" w:rsidRPr="003442FE" w14:paraId="0D64685B"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04E0AFF3" w14:textId="3A0E049C" w:rsidR="00AE289E" w:rsidRPr="00AE289E" w:rsidRDefault="00AE289E" w:rsidP="00AE289E">
            <w:r w:rsidRPr="00AE289E">
              <w:t>NA</w:t>
            </w:r>
          </w:p>
        </w:tc>
        <w:tc>
          <w:tcPr>
            <w:tcW w:w="6803" w:type="dxa"/>
          </w:tcPr>
          <w:p w14:paraId="3ACAB3E7" w14:textId="529E94A5"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Neuraminidase</w:t>
            </w:r>
          </w:p>
        </w:tc>
      </w:tr>
      <w:tr w:rsidR="00AE289E" w:rsidRPr="003442FE" w14:paraId="6AE7A194"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3EF98C3" w14:textId="3FC40151" w:rsidR="00AE289E" w:rsidRPr="00AE289E" w:rsidRDefault="00AE289E" w:rsidP="00AE289E">
            <w:r w:rsidRPr="00AE289E">
              <w:t>NCIs</w:t>
            </w:r>
          </w:p>
        </w:tc>
        <w:tc>
          <w:tcPr>
            <w:tcW w:w="6803" w:type="dxa"/>
          </w:tcPr>
          <w:p w14:paraId="29C44DC1" w14:textId="5D735911"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 xml:space="preserve">New Chronic Illnesses </w:t>
            </w:r>
          </w:p>
        </w:tc>
      </w:tr>
      <w:tr w:rsidR="00AE289E" w:rsidRPr="003442FE" w14:paraId="6DFD19F9"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029869F" w14:textId="2D2CB672" w:rsidR="00AE289E" w:rsidRPr="00AE289E" w:rsidRDefault="00AE289E" w:rsidP="00AE289E">
            <w:r w:rsidRPr="00AE289E">
              <w:t>NH</w:t>
            </w:r>
          </w:p>
        </w:tc>
        <w:tc>
          <w:tcPr>
            <w:tcW w:w="6803" w:type="dxa"/>
          </w:tcPr>
          <w:p w14:paraId="141E6B0A" w14:textId="27600204"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Northern Hemisphere</w:t>
            </w:r>
          </w:p>
        </w:tc>
      </w:tr>
      <w:tr w:rsidR="00AE289E" w:rsidRPr="003442FE" w14:paraId="2A380A4F"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9A83B4F" w14:textId="293A1BB0" w:rsidR="00AE289E" w:rsidRPr="00AE289E" w:rsidRDefault="00AE289E" w:rsidP="00AE289E">
            <w:r w:rsidRPr="00AE289E">
              <w:t>NOCI</w:t>
            </w:r>
          </w:p>
        </w:tc>
        <w:tc>
          <w:tcPr>
            <w:tcW w:w="6803" w:type="dxa"/>
          </w:tcPr>
          <w:p w14:paraId="55F81B31" w14:textId="3544E64F"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new onset of chronic illness</w:t>
            </w:r>
          </w:p>
        </w:tc>
      </w:tr>
      <w:tr w:rsidR="00AE289E" w:rsidRPr="003442FE" w14:paraId="22ACB3C4"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A65C8F6" w14:textId="2F444775" w:rsidR="00AE289E" w:rsidRPr="00AE289E" w:rsidRDefault="00AE289E" w:rsidP="00AE289E">
            <w:r w:rsidRPr="00AE289E">
              <w:t xml:space="preserve">PI </w:t>
            </w:r>
          </w:p>
        </w:tc>
        <w:tc>
          <w:tcPr>
            <w:tcW w:w="6803" w:type="dxa"/>
          </w:tcPr>
          <w:p w14:paraId="3DDB5730" w14:textId="6976166A"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Prescribing Information</w:t>
            </w:r>
          </w:p>
        </w:tc>
      </w:tr>
      <w:tr w:rsidR="00AE289E" w:rsidRPr="003442FE" w14:paraId="34771F66"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17A1577D" w14:textId="7246C236" w:rsidR="00AE289E" w:rsidRPr="00AE289E" w:rsidRDefault="00AE289E" w:rsidP="00AE289E">
            <w:proofErr w:type="spellStart"/>
            <w:r w:rsidRPr="00AE289E">
              <w:t>Pop’n</w:t>
            </w:r>
            <w:proofErr w:type="spellEnd"/>
          </w:p>
        </w:tc>
        <w:tc>
          <w:tcPr>
            <w:tcW w:w="6803" w:type="dxa"/>
          </w:tcPr>
          <w:p w14:paraId="23A60E16" w14:textId="6D7436C5"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Population</w:t>
            </w:r>
          </w:p>
        </w:tc>
      </w:tr>
      <w:tr w:rsidR="00AE289E" w:rsidRPr="003442FE" w14:paraId="34B96142"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2C2DE9C6" w14:textId="47390059" w:rsidR="00AE289E" w:rsidRPr="00AE289E" w:rsidRDefault="00AE289E" w:rsidP="00AE289E">
            <w:r w:rsidRPr="00AE289E">
              <w:t>PP</w:t>
            </w:r>
          </w:p>
        </w:tc>
        <w:tc>
          <w:tcPr>
            <w:tcW w:w="6803" w:type="dxa"/>
          </w:tcPr>
          <w:p w14:paraId="786E261F" w14:textId="4B88FB94"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 xml:space="preserve">Per </w:t>
            </w:r>
            <w:r>
              <w:t>protocol</w:t>
            </w:r>
          </w:p>
        </w:tc>
      </w:tr>
      <w:tr w:rsidR="00AE289E" w:rsidRPr="003442FE" w14:paraId="56AA9BC7"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DA653A7" w14:textId="56EAFFFE" w:rsidR="00AE289E" w:rsidRPr="00AE289E" w:rsidRDefault="00AE289E" w:rsidP="00AE289E">
            <w:r w:rsidRPr="00AE289E">
              <w:t>PT</w:t>
            </w:r>
          </w:p>
        </w:tc>
        <w:tc>
          <w:tcPr>
            <w:tcW w:w="6803" w:type="dxa"/>
          </w:tcPr>
          <w:p w14:paraId="50E40542" w14:textId="106B96DB"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Preferred Term</w:t>
            </w:r>
          </w:p>
        </w:tc>
      </w:tr>
      <w:tr w:rsidR="00AE289E" w:rsidRPr="003442FE" w14:paraId="6A4FBF2D"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03EA80C4" w14:textId="0A871266" w:rsidR="00AE289E" w:rsidRPr="00AE289E" w:rsidRDefault="00AE289E" w:rsidP="00AE289E">
            <w:r w:rsidRPr="00AE289E">
              <w:t>QIV</w:t>
            </w:r>
          </w:p>
        </w:tc>
        <w:tc>
          <w:tcPr>
            <w:tcW w:w="6803" w:type="dxa"/>
          </w:tcPr>
          <w:p w14:paraId="565A893D" w14:textId="7AD9876D"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Quadrivalent inactivated Influenza Vaccine</w:t>
            </w:r>
          </w:p>
        </w:tc>
      </w:tr>
      <w:tr w:rsidR="00AE289E" w:rsidRPr="003442FE" w14:paraId="7A0827C6"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AE01042" w14:textId="062D5F88" w:rsidR="00AE289E" w:rsidRPr="00AE289E" w:rsidRDefault="00AE289E" w:rsidP="00AE289E">
            <w:r w:rsidRPr="00AE289E">
              <w:t>RMP</w:t>
            </w:r>
          </w:p>
        </w:tc>
        <w:tc>
          <w:tcPr>
            <w:tcW w:w="6803" w:type="dxa"/>
          </w:tcPr>
          <w:p w14:paraId="10DC99E2" w14:textId="15B68C7F"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Risk Management Plan</w:t>
            </w:r>
          </w:p>
        </w:tc>
      </w:tr>
      <w:tr w:rsidR="00AE289E" w:rsidRPr="003442FE" w14:paraId="2CD12AEE"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07405F7B" w14:textId="17389E6F" w:rsidR="00AE289E" w:rsidRPr="00AE289E" w:rsidRDefault="00AE289E" w:rsidP="00AE289E">
            <w:r w:rsidRPr="00AE289E">
              <w:t xml:space="preserve">SAE </w:t>
            </w:r>
          </w:p>
        </w:tc>
        <w:tc>
          <w:tcPr>
            <w:tcW w:w="6803" w:type="dxa"/>
          </w:tcPr>
          <w:p w14:paraId="4B9BA336" w14:textId="7222C7F0"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Serious Adverse Event</w:t>
            </w:r>
          </w:p>
        </w:tc>
      </w:tr>
      <w:tr w:rsidR="00AE289E" w:rsidRPr="003442FE" w14:paraId="5AF5C903"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F23C4BA" w14:textId="3B5D2432" w:rsidR="00AE289E" w:rsidRPr="00AE289E" w:rsidRDefault="00AE289E" w:rsidP="00AE289E">
            <w:r w:rsidRPr="00AE289E">
              <w:t xml:space="preserve">SCR </w:t>
            </w:r>
          </w:p>
        </w:tc>
        <w:tc>
          <w:tcPr>
            <w:tcW w:w="6803" w:type="dxa"/>
          </w:tcPr>
          <w:p w14:paraId="7A3EEC22" w14:textId="7F425C1D"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Seroconversion Rate</w:t>
            </w:r>
          </w:p>
        </w:tc>
      </w:tr>
      <w:tr w:rsidR="00AE289E" w:rsidRPr="003442FE" w14:paraId="1AAA9C65"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76717D09" w14:textId="2FD4CF74" w:rsidR="00AE289E" w:rsidRPr="00AE289E" w:rsidRDefault="00AE289E" w:rsidP="00AE289E">
            <w:r w:rsidRPr="00AE289E">
              <w:t xml:space="preserve">SCF </w:t>
            </w:r>
          </w:p>
        </w:tc>
        <w:tc>
          <w:tcPr>
            <w:tcW w:w="6803" w:type="dxa"/>
          </w:tcPr>
          <w:p w14:paraId="7AD6BA00" w14:textId="122765FE"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Seroconversion Factor</w:t>
            </w:r>
          </w:p>
        </w:tc>
      </w:tr>
      <w:tr w:rsidR="00AE289E" w:rsidRPr="003442FE" w14:paraId="60EFE1CA"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3D67BC15" w14:textId="0C807461" w:rsidR="00AE289E" w:rsidRPr="00AE289E" w:rsidRDefault="00AE289E" w:rsidP="00AE289E">
            <w:r w:rsidRPr="00AE289E">
              <w:t>SH</w:t>
            </w:r>
          </w:p>
        </w:tc>
        <w:tc>
          <w:tcPr>
            <w:tcW w:w="6803" w:type="dxa"/>
          </w:tcPr>
          <w:p w14:paraId="4FA75189" w14:textId="36FD5C12"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Southern Hemisphere</w:t>
            </w:r>
          </w:p>
        </w:tc>
      </w:tr>
      <w:tr w:rsidR="00AE289E" w:rsidRPr="003442FE" w14:paraId="15ACFD51"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7B2A58A0" w14:textId="30C1E62C" w:rsidR="00AE289E" w:rsidRPr="00AE289E" w:rsidRDefault="00AE289E" w:rsidP="00AE289E">
            <w:r w:rsidRPr="00AE289E">
              <w:t xml:space="preserve">SOC </w:t>
            </w:r>
          </w:p>
        </w:tc>
        <w:tc>
          <w:tcPr>
            <w:tcW w:w="6803" w:type="dxa"/>
          </w:tcPr>
          <w:p w14:paraId="2296FE78" w14:textId="19A7F257"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System Organ Class</w:t>
            </w:r>
          </w:p>
        </w:tc>
      </w:tr>
      <w:tr w:rsidR="00AE289E" w:rsidRPr="003442FE" w14:paraId="32A0CE61"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22A48B42" w14:textId="5B08AA9A" w:rsidR="00AE289E" w:rsidRPr="00AE289E" w:rsidRDefault="00AE289E" w:rsidP="00AE289E">
            <w:r w:rsidRPr="00AE289E">
              <w:t>SPR</w:t>
            </w:r>
          </w:p>
        </w:tc>
        <w:tc>
          <w:tcPr>
            <w:tcW w:w="6803" w:type="dxa"/>
          </w:tcPr>
          <w:p w14:paraId="1D7F2AFC" w14:textId="7685BC38"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Seroprotection Rate</w:t>
            </w:r>
          </w:p>
        </w:tc>
      </w:tr>
      <w:tr w:rsidR="00AE289E" w:rsidRPr="003442FE" w14:paraId="25F423E6"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7C4D281" w14:textId="0392AE3A" w:rsidR="00AE289E" w:rsidRPr="00AE289E" w:rsidRDefault="00AE289E" w:rsidP="00AE289E">
            <w:r w:rsidRPr="00AE289E">
              <w:t>SRH</w:t>
            </w:r>
          </w:p>
        </w:tc>
        <w:tc>
          <w:tcPr>
            <w:tcW w:w="6803" w:type="dxa"/>
          </w:tcPr>
          <w:p w14:paraId="34CC8AC3" w14:textId="2D32A08B"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Single radial haemolysis</w:t>
            </w:r>
          </w:p>
        </w:tc>
      </w:tr>
      <w:tr w:rsidR="00AE289E" w:rsidRPr="003442FE" w14:paraId="79E9F70B"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0DBE0595" w14:textId="0A45B430" w:rsidR="00AE289E" w:rsidRPr="00AE289E" w:rsidRDefault="00AE289E" w:rsidP="00AE289E">
            <w:r w:rsidRPr="00AE289E">
              <w:t>TEAE</w:t>
            </w:r>
          </w:p>
        </w:tc>
        <w:tc>
          <w:tcPr>
            <w:tcW w:w="6803" w:type="dxa"/>
          </w:tcPr>
          <w:p w14:paraId="4DE8E019" w14:textId="15FD2B9E" w:rsidR="00AE289E" w:rsidRPr="00AE289E" w:rsidRDefault="00722A1C" w:rsidP="00AE289E">
            <w:pPr>
              <w:cnfStyle w:val="000000000000" w:firstRow="0" w:lastRow="0" w:firstColumn="0" w:lastColumn="0" w:oddVBand="0" w:evenVBand="0" w:oddHBand="0" w:evenHBand="0" w:firstRowFirstColumn="0" w:firstRowLastColumn="0" w:lastRowFirstColumn="0" w:lastRowLastColumn="0"/>
            </w:pPr>
            <w:r>
              <w:t xml:space="preserve">Treatment </w:t>
            </w:r>
            <w:r w:rsidR="00AE289E" w:rsidRPr="00AE289E">
              <w:t xml:space="preserve">emergent adverse event </w:t>
            </w:r>
          </w:p>
        </w:tc>
      </w:tr>
      <w:tr w:rsidR="00AE289E" w:rsidRPr="003442FE" w14:paraId="1B7C7F09"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6A4A8302" w14:textId="3A24B08E" w:rsidR="00AE289E" w:rsidRPr="00AE289E" w:rsidRDefault="00AE289E" w:rsidP="00AE289E">
            <w:r w:rsidRPr="00AE289E">
              <w:t>TESAE</w:t>
            </w:r>
          </w:p>
        </w:tc>
        <w:tc>
          <w:tcPr>
            <w:tcW w:w="6803" w:type="dxa"/>
          </w:tcPr>
          <w:p w14:paraId="4790DD09" w14:textId="126242BD"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Treatment emergent serious adverse event</w:t>
            </w:r>
          </w:p>
        </w:tc>
      </w:tr>
      <w:tr w:rsidR="00AE289E" w:rsidRPr="003442FE" w14:paraId="395B9C47"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3C45C00E" w14:textId="15D0C122" w:rsidR="00AE289E" w:rsidRPr="00AE289E" w:rsidRDefault="00AE289E" w:rsidP="00AE289E">
            <w:r w:rsidRPr="00AE289E">
              <w:t>TGA</w:t>
            </w:r>
          </w:p>
        </w:tc>
        <w:tc>
          <w:tcPr>
            <w:tcW w:w="6803" w:type="dxa"/>
          </w:tcPr>
          <w:p w14:paraId="5AE5B4F2" w14:textId="048DEC47"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Therapeutic Goods Administration</w:t>
            </w:r>
          </w:p>
        </w:tc>
      </w:tr>
      <w:tr w:rsidR="00AE289E" w:rsidRPr="003442FE" w14:paraId="79F91560"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7FEF7425" w14:textId="53AE18BD" w:rsidR="00AE289E" w:rsidRPr="00AE289E" w:rsidRDefault="00AE289E" w:rsidP="00AE289E">
            <w:r w:rsidRPr="00AE289E">
              <w:t>TIV</w:t>
            </w:r>
          </w:p>
        </w:tc>
        <w:tc>
          <w:tcPr>
            <w:tcW w:w="6803" w:type="dxa"/>
          </w:tcPr>
          <w:p w14:paraId="2047B50A" w14:textId="58F7E64C"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Trivalent Inactivated Influenza Vaccine</w:t>
            </w:r>
          </w:p>
        </w:tc>
      </w:tr>
      <w:tr w:rsidR="00AE289E" w:rsidRPr="003442FE" w14:paraId="3B172DDE"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7234B9EA" w14:textId="394AD112" w:rsidR="00AE289E" w:rsidRPr="00AE289E" w:rsidRDefault="00AE289E" w:rsidP="00AE289E">
            <w:r w:rsidRPr="00AE289E">
              <w:lastRenderedPageBreak/>
              <w:t>TRAE</w:t>
            </w:r>
          </w:p>
        </w:tc>
        <w:tc>
          <w:tcPr>
            <w:tcW w:w="6803" w:type="dxa"/>
          </w:tcPr>
          <w:p w14:paraId="6BCD392C" w14:textId="14657E27"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Treatment related adverse event</w:t>
            </w:r>
          </w:p>
        </w:tc>
      </w:tr>
      <w:tr w:rsidR="00AE289E" w:rsidRPr="003442FE" w14:paraId="2857BB38"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1C2AB2AD" w14:textId="623036F7" w:rsidR="00AE289E" w:rsidRPr="00AE289E" w:rsidRDefault="00AE289E" w:rsidP="00AE289E">
            <w:r w:rsidRPr="00AE289E">
              <w:t>US</w:t>
            </w:r>
          </w:p>
        </w:tc>
        <w:tc>
          <w:tcPr>
            <w:tcW w:w="6803" w:type="dxa"/>
          </w:tcPr>
          <w:p w14:paraId="2D1561DA" w14:textId="6EB98C0D"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United States</w:t>
            </w:r>
          </w:p>
        </w:tc>
      </w:tr>
      <w:tr w:rsidR="00AE289E" w:rsidRPr="003442FE" w14:paraId="17DD6ADA"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5CC58B53" w14:textId="5F3EC542" w:rsidR="00AE289E" w:rsidRPr="00AE289E" w:rsidRDefault="00AE289E" w:rsidP="00AE289E">
            <w:r w:rsidRPr="00AE289E">
              <w:t>VE</w:t>
            </w:r>
          </w:p>
        </w:tc>
        <w:tc>
          <w:tcPr>
            <w:tcW w:w="6803" w:type="dxa"/>
          </w:tcPr>
          <w:p w14:paraId="217EC878" w14:textId="06225C9B"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Vaccine efficacy</w:t>
            </w:r>
          </w:p>
        </w:tc>
      </w:tr>
      <w:tr w:rsidR="00AE289E" w:rsidRPr="003442FE" w14:paraId="6AE7C7F7"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3C0EB47C" w14:textId="6F4761CD" w:rsidR="00AE289E" w:rsidRPr="00AE289E" w:rsidRDefault="00AE289E" w:rsidP="00AE289E">
            <w:r w:rsidRPr="00AE289E">
              <w:t>VN</w:t>
            </w:r>
          </w:p>
        </w:tc>
        <w:tc>
          <w:tcPr>
            <w:tcW w:w="6803" w:type="dxa"/>
          </w:tcPr>
          <w:p w14:paraId="1B2EBBD0" w14:textId="2E8A7D8F"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Virus neutralisation</w:t>
            </w:r>
          </w:p>
        </w:tc>
      </w:tr>
      <w:tr w:rsidR="00AE289E" w:rsidRPr="003442FE" w14:paraId="4102310B"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4C7913E" w14:textId="6388B310" w:rsidR="00AE289E" w:rsidRPr="00AE289E" w:rsidRDefault="00AE289E" w:rsidP="00AE289E">
            <w:r w:rsidRPr="00AE289E">
              <w:t>WHO</w:t>
            </w:r>
          </w:p>
        </w:tc>
        <w:tc>
          <w:tcPr>
            <w:tcW w:w="6803" w:type="dxa"/>
          </w:tcPr>
          <w:p w14:paraId="371BCFDD" w14:textId="23CA092B"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World Health Organization</w:t>
            </w:r>
          </w:p>
        </w:tc>
      </w:tr>
      <w:tr w:rsidR="00AE289E" w:rsidRPr="003442FE" w14:paraId="5575A05B" w14:textId="77777777" w:rsidTr="004D485E">
        <w:tc>
          <w:tcPr>
            <w:cnfStyle w:val="001000000000" w:firstRow="0" w:lastRow="0" w:firstColumn="1" w:lastColumn="0" w:oddVBand="0" w:evenVBand="0" w:oddHBand="0" w:evenHBand="0" w:firstRowFirstColumn="0" w:firstRowLastColumn="0" w:lastRowFirstColumn="0" w:lastRowLastColumn="0"/>
            <w:tcW w:w="1998" w:type="dxa"/>
          </w:tcPr>
          <w:p w14:paraId="4C7844C5" w14:textId="1C95A79D" w:rsidR="00AE289E" w:rsidRPr="00AE289E" w:rsidRDefault="00AE289E" w:rsidP="00AE289E">
            <w:r w:rsidRPr="00AE289E">
              <w:t>Yrs</w:t>
            </w:r>
          </w:p>
        </w:tc>
        <w:tc>
          <w:tcPr>
            <w:tcW w:w="6803" w:type="dxa"/>
          </w:tcPr>
          <w:p w14:paraId="3CF31B93" w14:textId="344C02BC" w:rsidR="00AE289E" w:rsidRPr="00AE289E" w:rsidRDefault="00AE289E" w:rsidP="00AE289E">
            <w:pPr>
              <w:cnfStyle w:val="000000000000" w:firstRow="0" w:lastRow="0" w:firstColumn="0" w:lastColumn="0" w:oddVBand="0" w:evenVBand="0" w:oddHBand="0" w:evenHBand="0" w:firstRowFirstColumn="0" w:firstRowLastColumn="0" w:lastRowFirstColumn="0" w:lastRowLastColumn="0"/>
            </w:pPr>
            <w:r w:rsidRPr="00AE289E">
              <w:t>Years</w:t>
            </w:r>
          </w:p>
        </w:tc>
      </w:tr>
    </w:tbl>
    <w:p w14:paraId="0B18A89C" w14:textId="77777777" w:rsidR="0094614A" w:rsidRDefault="0094614A" w:rsidP="0043797D">
      <w:pPr>
        <w:pStyle w:val="Heading2"/>
        <w:pageBreakBefore/>
        <w:rPr>
          <w:lang w:eastAsia="en-AU"/>
        </w:rPr>
      </w:pPr>
      <w:bookmarkStart w:id="8" w:name="_Toc524344775"/>
      <w:bookmarkStart w:id="9" w:name="_Toc351718900"/>
      <w:bookmarkStart w:id="10" w:name="_Toc355338635"/>
      <w:r w:rsidRPr="003442FE">
        <w:rPr>
          <w:lang w:eastAsia="en-AU"/>
        </w:rPr>
        <w:lastRenderedPageBreak/>
        <w:t>Introduction</w:t>
      </w:r>
      <w:bookmarkEnd w:id="8"/>
    </w:p>
    <w:p w14:paraId="4E69916F" w14:textId="4A121B96" w:rsidR="000F2921" w:rsidRPr="000F2921" w:rsidRDefault="00505F3B" w:rsidP="000F2921">
      <w:pPr>
        <w:rPr>
          <w:lang w:eastAsia="en-AU"/>
        </w:rPr>
      </w:pPr>
      <w:r>
        <w:rPr>
          <w:lang w:eastAsia="en-AU"/>
        </w:rPr>
        <w:t xml:space="preserve">This is a submission </w:t>
      </w:r>
      <w:r w:rsidR="00B500CF">
        <w:rPr>
          <w:lang w:eastAsia="en-AU"/>
        </w:rPr>
        <w:t xml:space="preserve">by the sponsor </w:t>
      </w:r>
      <w:r>
        <w:rPr>
          <w:lang w:eastAsia="en-AU"/>
        </w:rPr>
        <w:t>to register</w:t>
      </w:r>
      <w:r w:rsidR="000F2921" w:rsidRPr="000F2921">
        <w:rPr>
          <w:lang w:eastAsia="en-AU"/>
        </w:rPr>
        <w:t xml:space="preserve"> </w:t>
      </w:r>
      <w:r w:rsidR="004D432A">
        <w:rPr>
          <w:lang w:eastAsia="en-AU"/>
        </w:rPr>
        <w:t>Influvac</w:t>
      </w:r>
      <w:r>
        <w:rPr>
          <w:lang w:eastAsia="en-AU"/>
        </w:rPr>
        <w:t xml:space="preserve"> Tetra</w:t>
      </w:r>
      <w:r w:rsidR="00722A1C">
        <w:rPr>
          <w:lang w:eastAsia="en-AU"/>
        </w:rPr>
        <w:t xml:space="preserve"> for the prevention of i</w:t>
      </w:r>
      <w:r w:rsidR="000F2921" w:rsidRPr="000F2921">
        <w:rPr>
          <w:lang w:eastAsia="en-AU"/>
        </w:rPr>
        <w:t>nfluenza A and B in adults aged</w:t>
      </w:r>
      <w:r w:rsidR="001B2B66">
        <w:rPr>
          <w:lang w:eastAsia="en-AU"/>
        </w:rPr>
        <w:t xml:space="preserve"> ≥ </w:t>
      </w:r>
      <w:r w:rsidR="000F2921" w:rsidRPr="000F2921">
        <w:rPr>
          <w:lang w:eastAsia="en-AU"/>
        </w:rPr>
        <w:t xml:space="preserve">18 years. The suspension for injection includes </w:t>
      </w:r>
      <w:r>
        <w:rPr>
          <w:lang w:eastAsia="en-AU"/>
        </w:rPr>
        <w:t>4</w:t>
      </w:r>
      <w:r w:rsidR="000F2921" w:rsidRPr="000F2921">
        <w:rPr>
          <w:lang w:eastAsia="en-AU"/>
        </w:rPr>
        <w:t xml:space="preserve"> inactivated, split influenza virus strains (15/15/15/15</w:t>
      </w:r>
      <w:r>
        <w:rPr>
          <w:lang w:eastAsia="en-AU"/>
        </w:rPr>
        <w:t xml:space="preserve"> </w:t>
      </w:r>
      <w:r w:rsidR="00722A1C">
        <w:rPr>
          <w:lang w:eastAsia="en-AU"/>
        </w:rPr>
        <w:t>µg</w:t>
      </w:r>
      <w:r w:rsidR="000F2921" w:rsidRPr="000F2921">
        <w:rPr>
          <w:lang w:eastAsia="en-AU"/>
        </w:rPr>
        <w:t xml:space="preserve"> (total 60</w:t>
      </w:r>
      <w:r>
        <w:rPr>
          <w:lang w:eastAsia="en-AU"/>
        </w:rPr>
        <w:t xml:space="preserve"> </w:t>
      </w:r>
      <w:r w:rsidR="00722A1C">
        <w:rPr>
          <w:lang w:eastAsia="en-AU"/>
        </w:rPr>
        <w:t>µg</w:t>
      </w:r>
      <w:r w:rsidR="000F2921" w:rsidRPr="000F2921">
        <w:rPr>
          <w:lang w:eastAsia="en-AU"/>
        </w:rPr>
        <w:t xml:space="preserve">) </w:t>
      </w:r>
      <w:r>
        <w:rPr>
          <w:lang w:eastAsia="en-AU"/>
        </w:rPr>
        <w:t>per 0.5 mL), 2</w:t>
      </w:r>
      <w:r w:rsidR="000F2921" w:rsidRPr="000F2921">
        <w:rPr>
          <w:lang w:eastAsia="en-AU"/>
        </w:rPr>
        <w:t xml:space="preserve"> type A strain subtype</w:t>
      </w:r>
      <w:r>
        <w:rPr>
          <w:lang w:eastAsia="en-AU"/>
        </w:rPr>
        <w:t>s and 2</w:t>
      </w:r>
      <w:r w:rsidR="000F2921" w:rsidRPr="000F2921">
        <w:rPr>
          <w:lang w:eastAsia="en-AU"/>
        </w:rPr>
        <w:t xml:space="preserve"> type B strains from separate lineages as recommended by the Australian Influenza Vaccine Committee for that season. The </w:t>
      </w:r>
      <w:r w:rsidR="00722A1C">
        <w:rPr>
          <w:lang w:eastAsia="en-AU"/>
        </w:rPr>
        <w:t>submission</w:t>
      </w:r>
      <w:r w:rsidR="000F2921" w:rsidRPr="000F2921">
        <w:rPr>
          <w:lang w:eastAsia="en-AU"/>
        </w:rPr>
        <w:t xml:space="preserve"> includes </w:t>
      </w:r>
      <w:r>
        <w:rPr>
          <w:lang w:eastAsia="en-AU"/>
        </w:rPr>
        <w:t>1</w:t>
      </w:r>
      <w:r w:rsidR="000F2921" w:rsidRPr="000F2921">
        <w:rPr>
          <w:lang w:eastAsia="en-AU"/>
        </w:rPr>
        <w:t xml:space="preserve"> completed Phase III clinical study (</w:t>
      </w:r>
      <w:r w:rsidRPr="00505F3B">
        <w:rPr>
          <w:lang w:eastAsia="en-AU"/>
        </w:rPr>
        <w:t xml:space="preserve">Study </w:t>
      </w:r>
      <w:r w:rsidR="000F2921" w:rsidRPr="00505F3B">
        <w:rPr>
          <w:lang w:eastAsia="en-AU"/>
        </w:rPr>
        <w:t>INFQ3001</w:t>
      </w:r>
      <w:r>
        <w:rPr>
          <w:lang w:eastAsia="en-AU"/>
        </w:rPr>
        <w:t>) in adults in support of this a</w:t>
      </w:r>
      <w:r w:rsidR="000F2921" w:rsidRPr="000F2921">
        <w:rPr>
          <w:lang w:eastAsia="en-AU"/>
        </w:rPr>
        <w:t>pplication. The proposed indication is supported by and relies on the large trial database and post approval pharmacovigilance data of</w:t>
      </w:r>
      <w:r>
        <w:rPr>
          <w:lang w:eastAsia="en-AU"/>
        </w:rPr>
        <w:t xml:space="preserve"> the trivalent vaccine </w:t>
      </w:r>
      <w:r w:rsidR="004D432A">
        <w:rPr>
          <w:lang w:eastAsia="en-AU"/>
        </w:rPr>
        <w:t>Influvac</w:t>
      </w:r>
      <w:r w:rsidR="000F2921" w:rsidRPr="000F2921">
        <w:rPr>
          <w:lang w:eastAsia="en-AU"/>
        </w:rPr>
        <w:t xml:space="preserve"> trivalent vaccine which contains </w:t>
      </w:r>
      <w:r>
        <w:rPr>
          <w:lang w:eastAsia="en-AU"/>
        </w:rPr>
        <w:t>3</w:t>
      </w:r>
      <w:r w:rsidR="000F2921" w:rsidRPr="000F2921">
        <w:rPr>
          <w:lang w:eastAsia="en-AU"/>
        </w:rPr>
        <w:t xml:space="preserve"> viral strains (</w:t>
      </w:r>
      <w:r>
        <w:rPr>
          <w:lang w:eastAsia="en-AU"/>
        </w:rPr>
        <w:t>1</w:t>
      </w:r>
      <w:r w:rsidR="000F2921" w:rsidRPr="000F2921">
        <w:rPr>
          <w:lang w:eastAsia="en-AU"/>
        </w:rPr>
        <w:t xml:space="preserve"> influenza A/H1N1 strain, </w:t>
      </w:r>
      <w:r>
        <w:rPr>
          <w:lang w:eastAsia="en-AU"/>
        </w:rPr>
        <w:t>1</w:t>
      </w:r>
      <w:r w:rsidR="000F2921" w:rsidRPr="000F2921">
        <w:rPr>
          <w:lang w:eastAsia="en-AU"/>
        </w:rPr>
        <w:t xml:space="preserve"> influenza A/H3N2 strain, and </w:t>
      </w:r>
      <w:r>
        <w:rPr>
          <w:lang w:eastAsia="en-AU"/>
        </w:rPr>
        <w:t>1</w:t>
      </w:r>
      <w:r w:rsidR="000F2921" w:rsidRPr="000F2921">
        <w:rPr>
          <w:lang w:eastAsia="en-AU"/>
        </w:rPr>
        <w:t xml:space="preserve"> influenza B strain). The latter was first registered in Australia in January 2002</w:t>
      </w:r>
      <w:r>
        <w:rPr>
          <w:lang w:eastAsia="en-AU"/>
        </w:rPr>
        <w:t xml:space="preserve"> for adult use; </w:t>
      </w:r>
      <w:r w:rsidR="004D432A">
        <w:rPr>
          <w:lang w:eastAsia="en-AU"/>
        </w:rPr>
        <w:t>Influvac</w:t>
      </w:r>
      <w:r>
        <w:rPr>
          <w:lang w:eastAsia="en-AU"/>
        </w:rPr>
        <w:t xml:space="preserve"> Junior</w:t>
      </w:r>
      <w:r w:rsidRPr="000F2921">
        <w:rPr>
          <w:lang w:eastAsia="en-AU"/>
        </w:rPr>
        <w:t xml:space="preserve"> </w:t>
      </w:r>
      <w:r w:rsidR="000F2921" w:rsidRPr="000F2921">
        <w:rPr>
          <w:lang w:eastAsia="en-AU"/>
        </w:rPr>
        <w:t>was registered in July 2006. Since</w:t>
      </w:r>
      <w:r>
        <w:rPr>
          <w:lang w:eastAsia="en-AU"/>
        </w:rPr>
        <w:t xml:space="preserve"> 2005 the vaccine is thiomersal </w:t>
      </w:r>
      <w:r w:rsidR="000F2921" w:rsidRPr="000F2921">
        <w:rPr>
          <w:lang w:eastAsia="en-AU"/>
        </w:rPr>
        <w:t xml:space="preserve">free (preservative). In summary, the clinical development plan consists of </w:t>
      </w:r>
      <w:r>
        <w:rPr>
          <w:lang w:eastAsia="en-AU"/>
        </w:rPr>
        <w:t>3</w:t>
      </w:r>
      <w:r w:rsidR="000F2921" w:rsidRPr="000F2921">
        <w:rPr>
          <w:lang w:eastAsia="en-AU"/>
        </w:rPr>
        <w:t xml:space="preserve"> stud</w:t>
      </w:r>
      <w:r w:rsidR="00E219CC">
        <w:rPr>
          <w:lang w:eastAsia="en-AU"/>
        </w:rPr>
        <w:t>ies, with a planned number of 2</w:t>
      </w:r>
      <w:r w:rsidR="000F2921" w:rsidRPr="000F2921">
        <w:rPr>
          <w:lang w:eastAsia="en-AU"/>
        </w:rPr>
        <w:t>940 subjects to be exposed to the quadrival</w:t>
      </w:r>
      <w:r>
        <w:rPr>
          <w:lang w:eastAsia="en-AU"/>
        </w:rPr>
        <w:t xml:space="preserve">ent influenza vaccine, of whom approximately </w:t>
      </w:r>
      <w:r w:rsidR="00E219CC">
        <w:rPr>
          <w:lang w:eastAsia="en-AU"/>
        </w:rPr>
        <w:t>1</w:t>
      </w:r>
      <w:r w:rsidR="000F2921" w:rsidRPr="000F2921">
        <w:rPr>
          <w:lang w:eastAsia="en-AU"/>
        </w:rPr>
        <w:t>540 wil</w:t>
      </w:r>
      <w:r w:rsidR="00E219CC">
        <w:rPr>
          <w:lang w:eastAsia="en-AU"/>
        </w:rPr>
        <w:t>l be adults and approximately 1</w:t>
      </w:r>
      <w:r w:rsidR="000F2921" w:rsidRPr="000F2921">
        <w:rPr>
          <w:lang w:eastAsia="en-AU"/>
        </w:rPr>
        <w:t>400 will be children and adolescents. The paediatric development plan accounts for potential age related differences in immune response with respect to previous exposure to influenza (priming status) and therefore disting</w:t>
      </w:r>
      <w:r>
        <w:rPr>
          <w:lang w:eastAsia="en-AU"/>
        </w:rPr>
        <w:t xml:space="preserve">uishes between the age groups of 6 to </w:t>
      </w:r>
      <w:r w:rsidR="000F2921" w:rsidRPr="000F2921">
        <w:rPr>
          <w:lang w:eastAsia="en-AU"/>
        </w:rPr>
        <w:t>35 months (</w:t>
      </w:r>
      <w:r w:rsidR="00140CBD">
        <w:rPr>
          <w:lang w:eastAsia="en-AU"/>
        </w:rPr>
        <w:t>=</w:t>
      </w:r>
      <w:r w:rsidR="001B2B66">
        <w:rPr>
          <w:lang w:eastAsia="en-AU"/>
        </w:rPr>
        <w:t xml:space="preserve"> </w:t>
      </w:r>
      <w:r>
        <w:rPr>
          <w:lang w:eastAsia="en-AU"/>
        </w:rPr>
        <w:t xml:space="preserve">non-primed, or naïve), 3 to </w:t>
      </w:r>
      <w:r w:rsidR="000F2921" w:rsidRPr="000F2921">
        <w:rPr>
          <w:lang w:eastAsia="en-AU"/>
        </w:rPr>
        <w:t>8 years (</w:t>
      </w:r>
      <w:r w:rsidR="00140CBD">
        <w:rPr>
          <w:lang w:eastAsia="en-AU"/>
        </w:rPr>
        <w:t>=</w:t>
      </w:r>
      <w:r w:rsidR="001B2B66">
        <w:rPr>
          <w:lang w:eastAsia="en-AU"/>
        </w:rPr>
        <w:t xml:space="preserve"> </w:t>
      </w:r>
      <w:r w:rsidR="000F2921" w:rsidRPr="000F2921">
        <w:rPr>
          <w:lang w:eastAsia="en-AU"/>
        </w:rPr>
        <w:t>p</w:t>
      </w:r>
      <w:r>
        <w:rPr>
          <w:lang w:eastAsia="en-AU"/>
        </w:rPr>
        <w:t xml:space="preserve">rimed and naïve children) and 9 to </w:t>
      </w:r>
      <w:r w:rsidR="000F2921" w:rsidRPr="000F2921">
        <w:rPr>
          <w:lang w:eastAsia="en-AU"/>
        </w:rPr>
        <w:t xml:space="preserve">17 years (considered primed/non-naïve); a staggered approach over sequential seasons will be </w:t>
      </w:r>
      <w:r>
        <w:rPr>
          <w:lang w:eastAsia="en-AU"/>
        </w:rPr>
        <w:t>followed.</w:t>
      </w:r>
    </w:p>
    <w:p w14:paraId="42FD1F0C" w14:textId="7D0AADAB" w:rsidR="000F2921" w:rsidRPr="000F2921" w:rsidRDefault="00505F3B" w:rsidP="000F2921">
      <w:pPr>
        <w:rPr>
          <w:b/>
          <w:lang w:eastAsia="en-AU"/>
        </w:rPr>
      </w:pPr>
      <w:r w:rsidRPr="00505F3B">
        <w:rPr>
          <w:lang w:eastAsia="en-AU"/>
        </w:rPr>
        <w:t xml:space="preserve">Study </w:t>
      </w:r>
      <w:r w:rsidR="000F2921" w:rsidRPr="00505F3B">
        <w:rPr>
          <w:lang w:eastAsia="en-AU"/>
        </w:rPr>
        <w:t>INFQ3002</w:t>
      </w:r>
      <w:r>
        <w:rPr>
          <w:lang w:eastAsia="en-AU"/>
        </w:rPr>
        <w:t xml:space="preserve"> w</w:t>
      </w:r>
      <w:r w:rsidR="000F2921" w:rsidRPr="000F2921">
        <w:rPr>
          <w:lang w:eastAsia="en-AU"/>
        </w:rPr>
        <w:t>ill include 1200 children in stable health in the age range 3</w:t>
      </w:r>
      <w:r>
        <w:rPr>
          <w:lang w:eastAsia="en-AU"/>
        </w:rPr>
        <w:t xml:space="preserve"> to </w:t>
      </w:r>
      <w:r w:rsidR="000F2921" w:rsidRPr="000F2921">
        <w:rPr>
          <w:lang w:eastAsia="en-AU"/>
        </w:rPr>
        <w:t>17 years</w:t>
      </w:r>
      <w:r w:rsidR="000F2921" w:rsidRPr="000F2921">
        <w:rPr>
          <w:b/>
          <w:lang w:eastAsia="en-AU"/>
        </w:rPr>
        <w:t xml:space="preserve"> </w:t>
      </w:r>
      <w:r w:rsidR="000F2921" w:rsidRPr="000F2921">
        <w:rPr>
          <w:lang w:eastAsia="en-AU"/>
        </w:rPr>
        <w:t>with a randomisation ratio 2:1 for 3</w:t>
      </w:r>
      <w:r>
        <w:rPr>
          <w:lang w:eastAsia="en-AU"/>
        </w:rPr>
        <w:t xml:space="preserve"> to </w:t>
      </w:r>
      <w:r w:rsidR="000F2921" w:rsidRPr="000F2921">
        <w:rPr>
          <w:lang w:eastAsia="en-AU"/>
        </w:rPr>
        <w:t>8 years and 9</w:t>
      </w:r>
      <w:r>
        <w:rPr>
          <w:lang w:eastAsia="en-AU"/>
        </w:rPr>
        <w:t xml:space="preserve"> to </w:t>
      </w:r>
      <w:r w:rsidR="000F2921" w:rsidRPr="000F2921">
        <w:rPr>
          <w:lang w:eastAsia="en-AU"/>
        </w:rPr>
        <w:t>17 years, respectively. The treatment</w:t>
      </w:r>
      <w:r w:rsidR="000F2921" w:rsidRPr="000F2921">
        <w:rPr>
          <w:b/>
          <w:lang w:eastAsia="en-AU"/>
        </w:rPr>
        <w:t xml:space="preserve"> </w:t>
      </w:r>
      <w:r w:rsidR="000F2921" w:rsidRPr="000F2921">
        <w:rPr>
          <w:lang w:eastAsia="en-AU"/>
        </w:rPr>
        <w:t>groups will be quadrivalent influenza vaccine, triva</w:t>
      </w:r>
      <w:r>
        <w:rPr>
          <w:lang w:eastAsia="en-AU"/>
        </w:rPr>
        <w:t xml:space="preserve">lent influenza vaccine </w:t>
      </w:r>
      <w:r w:rsidR="004D432A">
        <w:rPr>
          <w:lang w:eastAsia="en-AU"/>
        </w:rPr>
        <w:t>Influvac</w:t>
      </w:r>
      <w:r w:rsidR="000F2921" w:rsidRPr="000F2921">
        <w:rPr>
          <w:b/>
          <w:lang w:eastAsia="en-AU"/>
        </w:rPr>
        <w:t xml:space="preserve"> </w:t>
      </w:r>
      <w:r w:rsidR="000F2921" w:rsidRPr="000F2921">
        <w:rPr>
          <w:lang w:eastAsia="en-AU"/>
        </w:rPr>
        <w:t>with the marketed lineage B strain and trivalent influenza vaccine with the alternative</w:t>
      </w:r>
      <w:r w:rsidR="000F2921" w:rsidRPr="000F2921">
        <w:rPr>
          <w:b/>
          <w:lang w:eastAsia="en-AU"/>
        </w:rPr>
        <w:t xml:space="preserve"> </w:t>
      </w:r>
      <w:r w:rsidR="000F2921" w:rsidRPr="000F2921">
        <w:rPr>
          <w:lang w:eastAsia="en-AU"/>
        </w:rPr>
        <w:t>lineage B strain to investigate the comparability of the immunogenicity with respect to</w:t>
      </w:r>
      <w:r w:rsidR="000F2921" w:rsidRPr="000F2921">
        <w:rPr>
          <w:b/>
          <w:lang w:eastAsia="en-AU"/>
        </w:rPr>
        <w:t xml:space="preserve"> </w:t>
      </w:r>
      <w:r w:rsidR="000F2921" w:rsidRPr="000F2921">
        <w:rPr>
          <w:lang w:eastAsia="en-AU"/>
        </w:rPr>
        <w:t xml:space="preserve">the common </w:t>
      </w:r>
      <w:r>
        <w:rPr>
          <w:lang w:eastAsia="en-AU"/>
        </w:rPr>
        <w:t>strains contained in the quadrivalent</w:t>
      </w:r>
      <w:r w:rsidR="000F2921" w:rsidRPr="000F2921">
        <w:rPr>
          <w:lang w:eastAsia="en-AU"/>
        </w:rPr>
        <w:t xml:space="preserve"> and trivalent vaccines and assess overall</w:t>
      </w:r>
      <w:r w:rsidR="000F2921" w:rsidRPr="000F2921">
        <w:rPr>
          <w:b/>
          <w:lang w:eastAsia="en-AU"/>
        </w:rPr>
        <w:t xml:space="preserve"> </w:t>
      </w:r>
      <w:r w:rsidR="000F2921" w:rsidRPr="000F2921">
        <w:rPr>
          <w:lang w:eastAsia="en-AU"/>
        </w:rPr>
        <w:t>safety. Approximately 400 children will be exposed to quadrivalent influenza vaccine, of which</w:t>
      </w:r>
      <w:r w:rsidR="000F2921" w:rsidRPr="000F2921">
        <w:rPr>
          <w:b/>
          <w:lang w:eastAsia="en-AU"/>
        </w:rPr>
        <w:t xml:space="preserve"> </w:t>
      </w:r>
      <w:r w:rsidR="000F2921" w:rsidRPr="000F2921">
        <w:rPr>
          <w:lang w:eastAsia="en-AU"/>
        </w:rPr>
        <w:t>approximately 270 will be aged</w:t>
      </w:r>
      <w:r w:rsidR="00E219CC">
        <w:rPr>
          <w:lang w:eastAsia="en-AU"/>
        </w:rPr>
        <w:t xml:space="preserve"> 3 to </w:t>
      </w:r>
      <w:r w:rsidR="000F2921" w:rsidRPr="000F2921">
        <w:rPr>
          <w:lang w:eastAsia="en-AU"/>
        </w:rPr>
        <w:t>8 years. The study is planned to start in the</w:t>
      </w:r>
      <w:r w:rsidR="000F2921" w:rsidRPr="000F2921">
        <w:rPr>
          <w:b/>
          <w:lang w:eastAsia="en-AU"/>
        </w:rPr>
        <w:t xml:space="preserve"> </w:t>
      </w:r>
      <w:r w:rsidR="000F2921" w:rsidRPr="000F2921">
        <w:rPr>
          <w:lang w:eastAsia="en-AU"/>
        </w:rPr>
        <w:t>2016/2</w:t>
      </w:r>
      <w:r w:rsidR="004D485E">
        <w:rPr>
          <w:lang w:eastAsia="en-AU"/>
        </w:rPr>
        <w:t>017 N</w:t>
      </w:r>
      <w:r w:rsidR="00E219CC">
        <w:rPr>
          <w:lang w:eastAsia="en-AU"/>
        </w:rPr>
        <w:t xml:space="preserve">orthern </w:t>
      </w:r>
      <w:r w:rsidR="004D485E">
        <w:rPr>
          <w:lang w:eastAsia="en-AU"/>
        </w:rPr>
        <w:t>H</w:t>
      </w:r>
      <w:r w:rsidR="00E219CC">
        <w:rPr>
          <w:lang w:eastAsia="en-AU"/>
        </w:rPr>
        <w:t xml:space="preserve">emisphere </w:t>
      </w:r>
      <w:r w:rsidR="004D485E">
        <w:rPr>
          <w:lang w:eastAsia="en-AU"/>
        </w:rPr>
        <w:t xml:space="preserve">(NH) </w:t>
      </w:r>
      <w:r w:rsidR="00E219CC">
        <w:rPr>
          <w:lang w:eastAsia="en-AU"/>
        </w:rPr>
        <w:t>season.</w:t>
      </w:r>
    </w:p>
    <w:p w14:paraId="039CF365" w14:textId="63FCBA45" w:rsidR="000F2921" w:rsidRPr="000F2921" w:rsidRDefault="00E219CC" w:rsidP="000F2921">
      <w:pPr>
        <w:rPr>
          <w:b/>
          <w:lang w:eastAsia="en-AU"/>
        </w:rPr>
      </w:pPr>
      <w:r w:rsidRPr="00E219CC">
        <w:rPr>
          <w:lang w:eastAsia="en-AU"/>
        </w:rPr>
        <w:t xml:space="preserve">Study </w:t>
      </w:r>
      <w:r w:rsidR="000F2921" w:rsidRPr="00E219CC">
        <w:rPr>
          <w:lang w:eastAsia="en-AU"/>
        </w:rPr>
        <w:t>INFQ3003</w:t>
      </w:r>
      <w:r w:rsidRPr="00E219CC">
        <w:rPr>
          <w:lang w:eastAsia="en-AU"/>
        </w:rPr>
        <w:t xml:space="preserve"> w</w:t>
      </w:r>
      <w:r w:rsidR="000F2921" w:rsidRPr="000F2921">
        <w:rPr>
          <w:lang w:eastAsia="en-AU"/>
        </w:rPr>
        <w:t xml:space="preserve">ill include </w:t>
      </w:r>
      <w:r>
        <w:rPr>
          <w:lang w:eastAsia="en-AU"/>
        </w:rPr>
        <w:t xml:space="preserve">approximately </w:t>
      </w:r>
      <w:r w:rsidR="000F2921" w:rsidRPr="000F2921">
        <w:rPr>
          <w:lang w:eastAsia="en-AU"/>
        </w:rPr>
        <w:t>2000 non-pri</w:t>
      </w:r>
      <w:r>
        <w:rPr>
          <w:lang w:eastAsia="en-AU"/>
        </w:rPr>
        <w:t xml:space="preserve">med children in the age group of 6 to </w:t>
      </w:r>
      <w:r w:rsidR="000F2921" w:rsidRPr="000F2921">
        <w:rPr>
          <w:lang w:eastAsia="en-AU"/>
        </w:rPr>
        <w:t>35 months to investigate the protective efficacy of quadrivalent</w:t>
      </w:r>
      <w:r w:rsidR="000F2921" w:rsidRPr="000F2921">
        <w:rPr>
          <w:b/>
          <w:lang w:eastAsia="en-AU"/>
        </w:rPr>
        <w:t xml:space="preserve"> </w:t>
      </w:r>
      <w:r w:rsidR="000F2921" w:rsidRPr="000F2921">
        <w:rPr>
          <w:lang w:eastAsia="en-AU"/>
        </w:rPr>
        <w:t xml:space="preserve">influenza vaccine </w:t>
      </w:r>
      <w:r>
        <w:rPr>
          <w:lang w:eastAsia="en-AU"/>
        </w:rPr>
        <w:t>versus</w:t>
      </w:r>
      <w:r w:rsidR="006D61B0">
        <w:rPr>
          <w:lang w:eastAsia="en-AU"/>
        </w:rPr>
        <w:t xml:space="preserve"> a non</w:t>
      </w:r>
      <w:r w:rsidR="006D61B0">
        <w:rPr>
          <w:lang w:eastAsia="en-AU"/>
        </w:rPr>
        <w:noBreakHyphen/>
      </w:r>
      <w:r w:rsidR="000F2921" w:rsidRPr="000F2921">
        <w:rPr>
          <w:lang w:eastAsia="en-AU"/>
        </w:rPr>
        <w:t>influenza vaccine. Equal stratification is</w:t>
      </w:r>
      <w:r>
        <w:rPr>
          <w:lang w:eastAsia="en-AU"/>
        </w:rPr>
        <w:t xml:space="preserve"> planned for </w:t>
      </w:r>
      <w:r w:rsidR="00957523">
        <w:rPr>
          <w:lang w:eastAsia="en-AU"/>
        </w:rPr>
        <w:t>4</w:t>
      </w:r>
      <w:r>
        <w:rPr>
          <w:lang w:eastAsia="en-AU"/>
        </w:rPr>
        <w:t xml:space="preserve"> age ranges (6 to 11 months; 12 to 18 months; 19 to </w:t>
      </w:r>
      <w:r w:rsidR="000F2921" w:rsidRPr="000F2921">
        <w:rPr>
          <w:lang w:eastAsia="en-AU"/>
        </w:rPr>
        <w:t xml:space="preserve">24 </w:t>
      </w:r>
      <w:r>
        <w:rPr>
          <w:lang w:eastAsia="en-AU"/>
        </w:rPr>
        <w:t xml:space="preserve">months and 25 to </w:t>
      </w:r>
      <w:r w:rsidR="000F2921" w:rsidRPr="000F2921">
        <w:rPr>
          <w:lang w:eastAsia="en-AU"/>
        </w:rPr>
        <w:t xml:space="preserve">35 months). Half of the 1000 children will be exposed to quadrivalent influenza vaccine. The study is planned to start in the subsequent next northern hemisphere season, but may comprise </w:t>
      </w:r>
      <w:r>
        <w:rPr>
          <w:lang w:eastAsia="en-AU"/>
        </w:rPr>
        <w:t>1</w:t>
      </w:r>
      <w:r w:rsidR="000F2921" w:rsidRPr="000F2921">
        <w:rPr>
          <w:lang w:eastAsia="en-AU"/>
        </w:rPr>
        <w:t xml:space="preserve"> or </w:t>
      </w:r>
      <w:r>
        <w:rPr>
          <w:lang w:eastAsia="en-AU"/>
        </w:rPr>
        <w:t>2</w:t>
      </w:r>
      <w:r w:rsidR="000F2921" w:rsidRPr="000F2921">
        <w:rPr>
          <w:lang w:eastAsia="en-AU"/>
        </w:rPr>
        <w:t xml:space="preserve"> seasons, depending on the outcome of an interim analysis at the end of the first season, with a planned enrolment of</w:t>
      </w:r>
      <w:r w:rsidR="000F2921" w:rsidRPr="000F2921">
        <w:rPr>
          <w:b/>
          <w:lang w:eastAsia="en-AU"/>
        </w:rPr>
        <w:t xml:space="preserve"> </w:t>
      </w:r>
      <w:r>
        <w:rPr>
          <w:lang w:eastAsia="en-AU"/>
        </w:rPr>
        <w:t>approximately 1000 subjects in each season.</w:t>
      </w:r>
    </w:p>
    <w:p w14:paraId="448F7433" w14:textId="20BF83F4" w:rsidR="000F2921" w:rsidRPr="000F2921" w:rsidRDefault="000F2921" w:rsidP="000F2921">
      <w:pPr>
        <w:rPr>
          <w:lang w:eastAsia="en-AU"/>
        </w:rPr>
      </w:pPr>
      <w:r w:rsidRPr="00E219CC">
        <w:rPr>
          <w:lang w:eastAsia="en-AU"/>
        </w:rPr>
        <w:t>Post-authorisation</w:t>
      </w:r>
      <w:r w:rsidR="00E219CC">
        <w:rPr>
          <w:lang w:eastAsia="en-AU"/>
        </w:rPr>
        <w:t>,</w:t>
      </w:r>
      <w:r w:rsidRPr="000F2921">
        <w:rPr>
          <w:lang w:eastAsia="en-AU"/>
        </w:rPr>
        <w:t xml:space="preserve"> a dedicated clinical trial is foreseen to assess the immunogenicity of</w:t>
      </w:r>
      <w:r w:rsidR="00E219CC">
        <w:rPr>
          <w:lang w:eastAsia="en-AU"/>
        </w:rPr>
        <w:t xml:space="preserve"> </w:t>
      </w:r>
      <w:r w:rsidRPr="000F2921">
        <w:rPr>
          <w:lang w:eastAsia="en-AU"/>
        </w:rPr>
        <w:t>quadrivalent influenza vaccine in children suffering from mild to severe immune</w:t>
      </w:r>
      <w:r w:rsidR="00E219CC">
        <w:rPr>
          <w:lang w:eastAsia="en-AU"/>
        </w:rPr>
        <w:t xml:space="preserve"> </w:t>
      </w:r>
      <w:r w:rsidRPr="000F2921">
        <w:rPr>
          <w:lang w:eastAsia="en-AU"/>
        </w:rPr>
        <w:t>deficiency with different severity levels of immune suppression.</w:t>
      </w:r>
    </w:p>
    <w:p w14:paraId="4C0929A2" w14:textId="77777777" w:rsidR="00425634" w:rsidRDefault="00425634" w:rsidP="00425634">
      <w:pPr>
        <w:pStyle w:val="Heading3"/>
        <w:rPr>
          <w:rFonts w:eastAsia="Cambria"/>
        </w:rPr>
      </w:pPr>
      <w:bookmarkStart w:id="11" w:name="_Toc272414596"/>
      <w:bookmarkStart w:id="12" w:name="_Toc290846218"/>
      <w:bookmarkStart w:id="13" w:name="_Toc457473392"/>
      <w:bookmarkStart w:id="14" w:name="_Toc524344776"/>
      <w:r w:rsidRPr="003442FE">
        <w:rPr>
          <w:rFonts w:eastAsia="Cambria"/>
        </w:rPr>
        <w:t>Drug class and therapeutic indication</w:t>
      </w:r>
      <w:bookmarkEnd w:id="11"/>
      <w:bookmarkEnd w:id="12"/>
      <w:bookmarkEnd w:id="13"/>
      <w:bookmarkEnd w:id="14"/>
    </w:p>
    <w:p w14:paraId="06D8A9B6" w14:textId="1859F25E" w:rsidR="00E219CC" w:rsidRPr="00E219CC" w:rsidRDefault="00E219CC" w:rsidP="00E219CC">
      <w:pPr>
        <w:rPr>
          <w:lang w:eastAsia="ja-JP"/>
        </w:rPr>
      </w:pPr>
      <w:r w:rsidRPr="00E219CC">
        <w:rPr>
          <w:lang w:eastAsia="ja-JP"/>
        </w:rPr>
        <w:t xml:space="preserve">This is an inactivated quadrivalent influenza vaccine containing influenza haemagglutinin antigens: Type </w:t>
      </w:r>
      <w:proofErr w:type="gramStart"/>
      <w:r w:rsidRPr="00E219CC">
        <w:rPr>
          <w:lang w:eastAsia="ja-JP"/>
        </w:rPr>
        <w:t>A</w:t>
      </w:r>
      <w:proofErr w:type="gramEnd"/>
      <w:r w:rsidRPr="00E219CC">
        <w:rPr>
          <w:lang w:eastAsia="ja-JP"/>
        </w:rPr>
        <w:t xml:space="preserve"> (H1N1)</w:t>
      </w:r>
      <w:r w:rsidR="00722A1C">
        <w:rPr>
          <w:lang w:eastAsia="ja-JP"/>
        </w:rPr>
        <w:t xml:space="preserve"> </w:t>
      </w:r>
      <w:r w:rsidRPr="00E219CC">
        <w:rPr>
          <w:lang w:eastAsia="ja-JP"/>
        </w:rPr>
        <w:t>like virus; Type A (H3N2)</w:t>
      </w:r>
      <w:r w:rsidR="00722A1C">
        <w:rPr>
          <w:lang w:eastAsia="ja-JP"/>
        </w:rPr>
        <w:t xml:space="preserve"> </w:t>
      </w:r>
      <w:r w:rsidRPr="00E219CC">
        <w:rPr>
          <w:lang w:eastAsia="ja-JP"/>
        </w:rPr>
        <w:t xml:space="preserve">like virus; Type B (Victoria lineage) and Type B (Yamagata lineage). The potency of the vaccine is expressed as the concentration of HA antigen, although neuraminidase antigen is also present. The target concentration is 15 </w:t>
      </w:r>
      <w:r w:rsidR="00722A1C">
        <w:rPr>
          <w:lang w:eastAsia="ja-JP"/>
        </w:rPr>
        <w:t>µg</w:t>
      </w:r>
      <w:r w:rsidRPr="00E219CC">
        <w:rPr>
          <w:lang w:eastAsia="ja-JP"/>
        </w:rPr>
        <w:t xml:space="preserve"> HA per strain.</w:t>
      </w:r>
    </w:p>
    <w:p w14:paraId="168F1833" w14:textId="77777777" w:rsidR="00FF7B45" w:rsidRDefault="00FF7B45" w:rsidP="00FF7B45">
      <w:pPr>
        <w:pStyle w:val="Heading3"/>
        <w:rPr>
          <w:rFonts w:eastAsia="Cambria"/>
        </w:rPr>
      </w:pPr>
      <w:bookmarkStart w:id="15" w:name="_Toc272414597"/>
      <w:bookmarkStart w:id="16" w:name="_Toc290846219"/>
      <w:bookmarkStart w:id="17" w:name="_Toc457473393"/>
      <w:bookmarkStart w:id="18" w:name="_Toc524344777"/>
      <w:r w:rsidRPr="003442FE">
        <w:rPr>
          <w:rFonts w:eastAsia="Cambria"/>
        </w:rPr>
        <w:lastRenderedPageBreak/>
        <w:t>Dosage forms and strengths</w:t>
      </w:r>
      <w:bookmarkEnd w:id="15"/>
      <w:bookmarkEnd w:id="16"/>
      <w:bookmarkEnd w:id="17"/>
      <w:bookmarkEnd w:id="18"/>
    </w:p>
    <w:p w14:paraId="57CA151A" w14:textId="61D802F0" w:rsidR="00E219CC" w:rsidRPr="00E219CC" w:rsidRDefault="004D432A" w:rsidP="00E219CC">
      <w:pPr>
        <w:rPr>
          <w:lang w:eastAsia="ja-JP"/>
        </w:rPr>
      </w:pPr>
      <w:r>
        <w:rPr>
          <w:lang w:eastAsia="ja-JP"/>
        </w:rPr>
        <w:t>Influvac</w:t>
      </w:r>
      <w:r w:rsidR="00E219CC">
        <w:rPr>
          <w:lang w:eastAsia="ja-JP"/>
        </w:rPr>
        <w:t xml:space="preserve"> Tetra</w:t>
      </w:r>
      <w:r w:rsidR="00E219CC" w:rsidRPr="00E219CC">
        <w:rPr>
          <w:lang w:eastAsia="ja-JP"/>
        </w:rPr>
        <w:t xml:space="preserve"> is a quadrivalent influenza vaccine (surface antigen, inactivated) consisting</w:t>
      </w:r>
      <w:r w:rsidR="00E219CC">
        <w:rPr>
          <w:lang w:eastAsia="ja-JP"/>
        </w:rPr>
        <w:t xml:space="preserve"> </w:t>
      </w:r>
      <w:r w:rsidR="00E219CC" w:rsidRPr="00E219CC">
        <w:rPr>
          <w:lang w:eastAsia="ja-JP"/>
        </w:rPr>
        <w:t>of a clear, aqueous suspension packed in pre-filled syringes each containing 0.5 mL. The vaccine</w:t>
      </w:r>
      <w:r w:rsidR="00E219CC">
        <w:rPr>
          <w:lang w:eastAsia="ja-JP"/>
        </w:rPr>
        <w:t xml:space="preserve"> </w:t>
      </w:r>
      <w:r w:rsidR="00E219CC" w:rsidRPr="00E219CC">
        <w:rPr>
          <w:lang w:eastAsia="ja-JP"/>
        </w:rPr>
        <w:t xml:space="preserve">contains predominantly HA of </w:t>
      </w:r>
      <w:r w:rsidR="00E219CC">
        <w:rPr>
          <w:lang w:eastAsia="ja-JP"/>
        </w:rPr>
        <w:t>4</w:t>
      </w:r>
      <w:r w:rsidR="00E219CC" w:rsidRPr="00E219CC">
        <w:rPr>
          <w:lang w:eastAsia="ja-JP"/>
        </w:rPr>
        <w:t xml:space="preserve"> strains (2 x ‘A’; 2 x ‘B’) of influenza virus in phosphate buffered saline, calcium and magnesium chloride buffers.</w:t>
      </w:r>
    </w:p>
    <w:p w14:paraId="7E9863F4" w14:textId="77777777" w:rsidR="00E219CC" w:rsidRPr="00E219CC" w:rsidRDefault="00E219CC" w:rsidP="00E219CC">
      <w:pPr>
        <w:pStyle w:val="Heading3"/>
        <w:rPr>
          <w:rFonts w:eastAsia="Cambria"/>
        </w:rPr>
      </w:pPr>
      <w:bookmarkStart w:id="19" w:name="_Toc470758050"/>
      <w:bookmarkStart w:id="20" w:name="_Toc524344778"/>
      <w:r w:rsidRPr="00E219CC">
        <w:rPr>
          <w:rFonts w:eastAsia="Cambria"/>
        </w:rPr>
        <w:t>Dosage and administration</w:t>
      </w:r>
      <w:bookmarkEnd w:id="19"/>
      <w:bookmarkEnd w:id="20"/>
    </w:p>
    <w:p w14:paraId="2EB1F67D" w14:textId="709C7A35" w:rsidR="00E219CC" w:rsidRPr="00E219CC" w:rsidRDefault="00E219CC" w:rsidP="00E219CC">
      <w:pPr>
        <w:rPr>
          <w:lang w:eastAsia="ja-JP"/>
        </w:rPr>
      </w:pPr>
      <w:r>
        <w:rPr>
          <w:lang w:eastAsia="ja-JP"/>
        </w:rPr>
        <w:t>A s</w:t>
      </w:r>
      <w:r w:rsidRPr="00E219CC">
        <w:rPr>
          <w:lang w:eastAsia="ja-JP"/>
        </w:rPr>
        <w:t>ingle 0.5</w:t>
      </w:r>
      <w:r w:rsidR="00722A1C">
        <w:rPr>
          <w:lang w:eastAsia="ja-JP"/>
        </w:rPr>
        <w:t xml:space="preserve"> </w:t>
      </w:r>
      <w:r w:rsidRPr="00E219CC">
        <w:rPr>
          <w:lang w:eastAsia="ja-JP"/>
        </w:rPr>
        <w:t>mL dose annually intramuscularly (IM), for the prevention of influenza caused by Influenza Virus, Types A and B in persons aged</w:t>
      </w:r>
      <w:r w:rsidR="001B2B66">
        <w:rPr>
          <w:lang w:eastAsia="ja-JP"/>
        </w:rPr>
        <w:t xml:space="preserve"> ≥ </w:t>
      </w:r>
      <w:r>
        <w:rPr>
          <w:lang w:eastAsia="ja-JP"/>
        </w:rPr>
        <w:t>18 years.</w:t>
      </w:r>
    </w:p>
    <w:p w14:paraId="0AA02908" w14:textId="77777777" w:rsidR="00586F98" w:rsidRPr="003442FE" w:rsidRDefault="00586F98" w:rsidP="006B4C50">
      <w:pPr>
        <w:pStyle w:val="Heading2"/>
      </w:pPr>
      <w:bookmarkStart w:id="21" w:name="_Toc524344779"/>
      <w:r w:rsidRPr="003442FE">
        <w:t>Clinical rationale</w:t>
      </w:r>
      <w:bookmarkEnd w:id="21"/>
    </w:p>
    <w:p w14:paraId="3D52DCD7" w14:textId="77777777" w:rsidR="00FF7B45" w:rsidRDefault="00FF7B45" w:rsidP="00FF7B45">
      <w:pPr>
        <w:pStyle w:val="Heading3"/>
        <w:rPr>
          <w:rFonts w:eastAsia="Cambria"/>
        </w:rPr>
      </w:pPr>
      <w:bookmarkStart w:id="22" w:name="_Toc457473397"/>
      <w:bookmarkStart w:id="23" w:name="_Toc524344780"/>
      <w:r w:rsidRPr="003442FE">
        <w:rPr>
          <w:rFonts w:eastAsia="Cambria"/>
        </w:rPr>
        <w:t>Background</w:t>
      </w:r>
      <w:bookmarkEnd w:id="22"/>
      <w:bookmarkEnd w:id="23"/>
    </w:p>
    <w:p w14:paraId="0E861575" w14:textId="48F1D530" w:rsidR="00E219CC" w:rsidRPr="00E219CC" w:rsidRDefault="00E219CC" w:rsidP="00E219CC">
      <w:pPr>
        <w:pStyle w:val="Heading4"/>
      </w:pPr>
      <w:r>
        <w:t>Information on the condition being treated</w:t>
      </w:r>
    </w:p>
    <w:p w14:paraId="4409D045" w14:textId="7182C35A" w:rsidR="00E219CC" w:rsidRPr="00E219CC" w:rsidRDefault="00E219CC" w:rsidP="00E219CC">
      <w:pPr>
        <w:rPr>
          <w:lang w:eastAsia="ja-JP"/>
        </w:rPr>
      </w:pPr>
      <w:r w:rsidRPr="00E219CC">
        <w:rPr>
          <w:lang w:eastAsia="ja-JP"/>
        </w:rPr>
        <w:t xml:space="preserve">Influenza, a respiratory orthomyxovirus, is a seasonal infectious disease that occurs in epidemics throughout the northern and southern hemisphere winter months, and leads to considerable morbidity and mortality globally in all age groups. In general, influenza resolves within </w:t>
      </w:r>
      <w:r w:rsidR="00957523">
        <w:rPr>
          <w:lang w:eastAsia="ja-JP"/>
        </w:rPr>
        <w:t>2</w:t>
      </w:r>
      <w:r w:rsidRPr="00E219CC">
        <w:rPr>
          <w:lang w:eastAsia="ja-JP"/>
        </w:rPr>
        <w:t xml:space="preserve"> to </w:t>
      </w:r>
      <w:r w:rsidR="00957523">
        <w:rPr>
          <w:lang w:eastAsia="ja-JP"/>
        </w:rPr>
        <w:t>7</w:t>
      </w:r>
      <w:r w:rsidRPr="00E219CC">
        <w:rPr>
          <w:lang w:eastAsia="ja-JP"/>
        </w:rPr>
        <w:t xml:space="preserve"> days, although symptoms of cough and malaise may be prolonged. However, for some population groups, notably the elderly and those with chronic diseases influenza can exacerbate underlying medical conditions and/or lead to secondary viral or bacterial pneumonia (Fiore; Rothberg). During influenza epidemics, there is an increased mortality risk among older adults (age</w:t>
      </w:r>
      <w:r w:rsidR="001B2B66">
        <w:rPr>
          <w:lang w:eastAsia="ja-JP"/>
        </w:rPr>
        <w:t xml:space="preserve"> &gt; </w:t>
      </w:r>
      <w:r w:rsidRPr="00E219CC">
        <w:rPr>
          <w:lang w:eastAsia="ja-JP"/>
        </w:rPr>
        <w:t>65 y</w:t>
      </w:r>
      <w:r w:rsidR="006D61B0">
        <w:rPr>
          <w:lang w:eastAsia="ja-JP"/>
        </w:rPr>
        <w:t>ea</w:t>
      </w:r>
      <w:r w:rsidRPr="00E219CC">
        <w:rPr>
          <w:lang w:eastAsia="ja-JP"/>
        </w:rPr>
        <w:t>rs), people with chronic diseases, and very young children (age 0 to 12 months), as well as an increase in morbidity and hospitalisation because of influenza-associated complications (Fiore; Monto).</w:t>
      </w:r>
    </w:p>
    <w:p w14:paraId="4787CD6B" w14:textId="76F9A0DA" w:rsidR="00E219CC" w:rsidRPr="00E219CC" w:rsidRDefault="00E219CC" w:rsidP="00E219CC">
      <w:pPr>
        <w:rPr>
          <w:lang w:eastAsia="ja-JP"/>
        </w:rPr>
      </w:pPr>
      <w:r w:rsidRPr="00E219CC">
        <w:rPr>
          <w:lang w:eastAsia="ja-JP"/>
        </w:rPr>
        <w:t xml:space="preserve">Influenza A and B cause most </w:t>
      </w:r>
      <w:r w:rsidR="00384912">
        <w:rPr>
          <w:lang w:eastAsia="ja-JP"/>
        </w:rPr>
        <w:t xml:space="preserve">of </w:t>
      </w:r>
      <w:r w:rsidRPr="00E219CC">
        <w:rPr>
          <w:lang w:eastAsia="ja-JP"/>
        </w:rPr>
        <w:t xml:space="preserve">human disease. Influenza </w:t>
      </w:r>
      <w:proofErr w:type="gramStart"/>
      <w:r w:rsidRPr="00E219CC">
        <w:rPr>
          <w:lang w:eastAsia="ja-JP"/>
        </w:rPr>
        <w:t>A</w:t>
      </w:r>
      <w:proofErr w:type="gramEnd"/>
      <w:r w:rsidRPr="00E219CC">
        <w:rPr>
          <w:lang w:eastAsia="ja-JP"/>
        </w:rPr>
        <w:t xml:space="preserve"> viruses are divided into subtypes based on </w:t>
      </w:r>
      <w:r w:rsidR="00957523">
        <w:rPr>
          <w:lang w:eastAsia="ja-JP"/>
        </w:rPr>
        <w:t>2</w:t>
      </w:r>
      <w:r w:rsidRPr="00E219CC">
        <w:rPr>
          <w:lang w:eastAsia="ja-JP"/>
        </w:rPr>
        <w:t xml:space="preserve"> viral external proteins, the haemagglutinin (</w:t>
      </w:r>
      <w:r>
        <w:rPr>
          <w:lang w:eastAsia="ja-JP"/>
        </w:rPr>
        <w:t>HA) and the neuraminidase (NA).</w:t>
      </w:r>
    </w:p>
    <w:p w14:paraId="3FE0605B" w14:textId="330CFB8D" w:rsidR="00E219CC" w:rsidRPr="00E219CC" w:rsidRDefault="00E219CC" w:rsidP="00E219CC">
      <w:pPr>
        <w:rPr>
          <w:lang w:eastAsia="ja-JP"/>
        </w:rPr>
      </w:pPr>
      <w:r w:rsidRPr="00E219CC">
        <w:rPr>
          <w:lang w:eastAsia="ja-JP"/>
        </w:rPr>
        <w:t xml:space="preserve">Of the influenza type </w:t>
      </w:r>
      <w:proofErr w:type="gramStart"/>
      <w:r w:rsidRPr="00E219CC">
        <w:rPr>
          <w:lang w:eastAsia="ja-JP"/>
        </w:rPr>
        <w:t>A</w:t>
      </w:r>
      <w:proofErr w:type="gramEnd"/>
      <w:r w:rsidRPr="00E219CC">
        <w:rPr>
          <w:lang w:eastAsia="ja-JP"/>
        </w:rPr>
        <w:t xml:space="preserve"> virus subtypes, the A/H3N2 and A/H1N1 subtypes are clinically the most important. Influenza type B viruses show extensive variation in antigenicity. Influenza B viruses are separated into </w:t>
      </w:r>
      <w:r w:rsidR="00957523">
        <w:rPr>
          <w:lang w:eastAsia="ja-JP"/>
        </w:rPr>
        <w:t>2</w:t>
      </w:r>
      <w:r w:rsidRPr="00E219CC">
        <w:rPr>
          <w:lang w:eastAsia="ja-JP"/>
        </w:rPr>
        <w:t xml:space="preserve"> distinct genetic lineages, Yamagata and Victoria. In terms of infection, influenza type </w:t>
      </w:r>
      <w:proofErr w:type="gramStart"/>
      <w:r w:rsidRPr="00E219CC">
        <w:rPr>
          <w:lang w:eastAsia="ja-JP"/>
        </w:rPr>
        <w:t>A</w:t>
      </w:r>
      <w:proofErr w:type="gramEnd"/>
      <w:r w:rsidRPr="00E219CC">
        <w:rPr>
          <w:lang w:eastAsia="ja-JP"/>
        </w:rPr>
        <w:t xml:space="preserve"> viruses have been isolated from several non-human species, including birds, horses, and swine, whereas influenza type B viruses almost exclusively affect humans.</w:t>
      </w:r>
    </w:p>
    <w:p w14:paraId="2FD46699" w14:textId="5EC6C138" w:rsidR="00E219CC" w:rsidRPr="00E219CC" w:rsidRDefault="00E219CC" w:rsidP="00E219CC">
      <w:pPr>
        <w:rPr>
          <w:lang w:eastAsia="ja-JP"/>
        </w:rPr>
      </w:pPr>
      <w:r w:rsidRPr="00E219CC">
        <w:rPr>
          <w:lang w:eastAsia="ja-JP"/>
        </w:rPr>
        <w:t>The influenza A or B surface glycoprotein HA is the key antigen involved in attachment of the</w:t>
      </w:r>
      <w:r>
        <w:rPr>
          <w:lang w:eastAsia="ja-JP"/>
        </w:rPr>
        <w:t xml:space="preserve"> </w:t>
      </w:r>
      <w:r w:rsidRPr="00E219CC">
        <w:rPr>
          <w:lang w:eastAsia="ja-JP"/>
        </w:rPr>
        <w:t>virus to receptors on respiratory epithelial cells, whereas the NA glycoprotein is involved in</w:t>
      </w:r>
      <w:r>
        <w:rPr>
          <w:lang w:eastAsia="ja-JP"/>
        </w:rPr>
        <w:t xml:space="preserve"> </w:t>
      </w:r>
      <w:r w:rsidRPr="00E219CC">
        <w:rPr>
          <w:lang w:eastAsia="ja-JP"/>
        </w:rPr>
        <w:t>release of the virus from the cell surface. During infection, the virus stimulates production of</w:t>
      </w:r>
      <w:r>
        <w:rPr>
          <w:lang w:eastAsia="ja-JP"/>
        </w:rPr>
        <w:t xml:space="preserve"> </w:t>
      </w:r>
      <w:r w:rsidRPr="00E219CC">
        <w:rPr>
          <w:lang w:eastAsia="ja-JP"/>
        </w:rPr>
        <w:t>antibodies in the serum (immunoglobulin G) and nasal secretions (immunoglobulin A) to these</w:t>
      </w:r>
      <w:r>
        <w:rPr>
          <w:lang w:eastAsia="ja-JP"/>
        </w:rPr>
        <w:t xml:space="preserve"> </w:t>
      </w:r>
      <w:r w:rsidRPr="00E219CC">
        <w:rPr>
          <w:lang w:eastAsia="ja-JP"/>
        </w:rPr>
        <w:t>surface glycoproteins. High levels of virus type-specific antibodies are associated with protection from disease due to infections with homologous and closely related influenza virus trains (Hay; Fiore). Novel influenza strains arise from antigenic drift due to point mutation and recombination events that occur during viral replication. These events result in the emergence of new strains of the influenza virus capable of causing epidemics, as pre-existing antibodies resulting from previous virus exposure or vaccination are generally not cross-protective (Hay</w:t>
      </w:r>
      <w:r>
        <w:rPr>
          <w:lang w:eastAsia="ja-JP"/>
        </w:rPr>
        <w:t>).</w:t>
      </w:r>
    </w:p>
    <w:p w14:paraId="0270BE92" w14:textId="619CD4B0" w:rsidR="00E219CC" w:rsidRPr="00E219CC" w:rsidRDefault="00E219CC" w:rsidP="00E219CC">
      <w:pPr>
        <w:rPr>
          <w:lang w:eastAsia="ja-JP"/>
        </w:rPr>
      </w:pPr>
      <w:r w:rsidRPr="00E219CC">
        <w:rPr>
          <w:lang w:eastAsia="ja-JP"/>
        </w:rPr>
        <w:t xml:space="preserve">Influenza type A is capable of major antigenic shifts </w:t>
      </w:r>
      <w:r w:rsidR="00722A1C">
        <w:rPr>
          <w:lang w:eastAsia="ja-JP"/>
        </w:rPr>
        <w:t>when a novel HA emerges from re</w:t>
      </w:r>
      <w:r w:rsidR="00722A1C">
        <w:rPr>
          <w:lang w:eastAsia="ja-JP"/>
        </w:rPr>
        <w:noBreakHyphen/>
      </w:r>
      <w:r w:rsidRPr="00E219CC">
        <w:rPr>
          <w:lang w:eastAsia="ja-JP"/>
        </w:rPr>
        <w:t>assortment with an animal influenza virus. Influenza B undergoes less rapid antigenic drift</w:t>
      </w:r>
      <w:r w:rsidR="00384912">
        <w:rPr>
          <w:lang w:eastAsia="ja-JP"/>
        </w:rPr>
        <w:t>,</w:t>
      </w:r>
      <w:r w:rsidRPr="00E219CC">
        <w:rPr>
          <w:lang w:eastAsia="ja-JP"/>
        </w:rPr>
        <w:t xml:space="preserve"> </w:t>
      </w:r>
      <w:r w:rsidR="00B14582">
        <w:rPr>
          <w:lang w:eastAsia="ja-JP"/>
        </w:rPr>
        <w:t xml:space="preserve">that is, </w:t>
      </w:r>
      <w:r w:rsidRPr="00E219CC">
        <w:rPr>
          <w:lang w:eastAsia="ja-JP"/>
        </w:rPr>
        <w:t xml:space="preserve">generally more stable, than influenza A. When a new subtype of influenza virus emerges, all individuals are susceptible to infection except those who have lived through earlier epidemics with a related virus subtype. Infection produces immunity to the specific virus; </w:t>
      </w:r>
      <w:r w:rsidRPr="00E219CC">
        <w:rPr>
          <w:lang w:eastAsia="ja-JP"/>
        </w:rPr>
        <w:lastRenderedPageBreak/>
        <w:t>however, the length and extent of immunity is dependent on the degree of antigenic shift, the number of previous infections, and the immune status of the individual (Beyer).</w:t>
      </w:r>
    </w:p>
    <w:p w14:paraId="74901FF5" w14:textId="45044736" w:rsidR="00E219CC" w:rsidRPr="00E219CC" w:rsidRDefault="00E219CC" w:rsidP="00E219CC">
      <w:pPr>
        <w:rPr>
          <w:lang w:eastAsia="ja-JP"/>
        </w:rPr>
      </w:pPr>
      <w:r w:rsidRPr="00E219CC">
        <w:rPr>
          <w:lang w:eastAsia="ja-JP"/>
        </w:rPr>
        <w:t>Influenza epidemics have been associated with the circulation of type A/H3N2, type A/H1N1,</w:t>
      </w:r>
      <w:r>
        <w:rPr>
          <w:lang w:eastAsia="ja-JP"/>
        </w:rPr>
        <w:t xml:space="preserve"> </w:t>
      </w:r>
      <w:r w:rsidRPr="00E219CC">
        <w:rPr>
          <w:lang w:eastAsia="ja-JP"/>
        </w:rPr>
        <w:t xml:space="preserve">and type B viruses, either individually or together. </w:t>
      </w:r>
      <w:r w:rsidR="00957523">
        <w:rPr>
          <w:lang w:eastAsia="ja-JP"/>
        </w:rPr>
        <w:t>2</w:t>
      </w:r>
      <w:r w:rsidRPr="00E219CC">
        <w:rPr>
          <w:lang w:eastAsia="ja-JP"/>
        </w:rPr>
        <w:t xml:space="preserve"> genetically distinct lineages of influenza</w:t>
      </w:r>
      <w:r>
        <w:rPr>
          <w:lang w:eastAsia="ja-JP"/>
        </w:rPr>
        <w:t xml:space="preserve"> </w:t>
      </w:r>
      <w:r w:rsidRPr="00E219CC">
        <w:rPr>
          <w:lang w:eastAsia="ja-JP"/>
        </w:rPr>
        <w:t>B viruses have co-circulated since 1985 (Rota). The burden of infection is largely on school age children, young adults, and the elderly (Belshe). In the US, B viruses account for 24% of positive specimens and 34% of reported paediatric influenza deaths (Ambrose), however the incidence can vary dramatically betw</w:t>
      </w:r>
      <w:r w:rsidR="00722A1C">
        <w:rPr>
          <w:lang w:eastAsia="ja-JP"/>
        </w:rPr>
        <w:t xml:space="preserve">een influenza seasons (range 1% to </w:t>
      </w:r>
      <w:r w:rsidRPr="00E219CC">
        <w:rPr>
          <w:lang w:eastAsia="ja-JP"/>
        </w:rPr>
        <w:t xml:space="preserve">60%) (www.euroflu.org). The burden of influenza B appears to be the highest for children and young adults with a relative high incidence as compared to the type A strains (Grant; Olson). Influenza B causes morbidity and mortality in all age groups, however in children it appears to be a disproportionate cause of influenza related hospitalizations and deaths compared to the type </w:t>
      </w:r>
      <w:proofErr w:type="gramStart"/>
      <w:r w:rsidRPr="00E219CC">
        <w:rPr>
          <w:lang w:eastAsia="ja-JP"/>
        </w:rPr>
        <w:t>A</w:t>
      </w:r>
      <w:proofErr w:type="gramEnd"/>
      <w:r w:rsidRPr="00E219CC">
        <w:rPr>
          <w:lang w:eastAsia="ja-JP"/>
        </w:rPr>
        <w:t xml:space="preserve"> strains (Thompson).</w:t>
      </w:r>
    </w:p>
    <w:p w14:paraId="44BA8EEC" w14:textId="659CC475" w:rsidR="00E219CC" w:rsidRDefault="00E219CC" w:rsidP="00E219CC">
      <w:pPr>
        <w:rPr>
          <w:lang w:eastAsia="ja-JP"/>
        </w:rPr>
      </w:pPr>
      <w:r w:rsidRPr="00E219CC">
        <w:rPr>
          <w:lang w:eastAsia="ja-JP"/>
        </w:rPr>
        <w:t>Currently, based on viral surveillance data, an influenza B virus representing one of these</w:t>
      </w:r>
      <w:r>
        <w:rPr>
          <w:lang w:eastAsia="ja-JP"/>
        </w:rPr>
        <w:t xml:space="preserve"> </w:t>
      </w:r>
      <w:r w:rsidR="00957523">
        <w:rPr>
          <w:lang w:eastAsia="ja-JP"/>
        </w:rPr>
        <w:t>2</w:t>
      </w:r>
      <w:r w:rsidR="00722A1C">
        <w:rPr>
          <w:lang w:eastAsia="ja-JP"/>
        </w:rPr>
        <w:t> </w:t>
      </w:r>
      <w:r w:rsidRPr="00E219CC">
        <w:rPr>
          <w:lang w:eastAsia="ja-JP"/>
        </w:rPr>
        <w:t>lineages is selected each year to be included in the annual vaccine. The cross protection against infection with one B lineage provided by immunisation with a vaccine derived from the other B lineage is uncertain, but expected to be low (Belshe). Predicting which lineage will predominate has been challenging, and in some seasons, there has been a mismatch between the lineage chosen for the vaccine and the predominant circulating influenza B virus lineage.</w:t>
      </w:r>
      <w:r w:rsidR="001B2B66">
        <w:rPr>
          <w:lang w:eastAsia="ja-JP"/>
        </w:rPr>
        <w:t xml:space="preserve"> </w:t>
      </w:r>
      <w:r w:rsidR="00722A1C">
        <w:rPr>
          <w:lang w:eastAsia="ja-JP"/>
        </w:rPr>
        <w:t xml:space="preserve">In Europe from 2003 to </w:t>
      </w:r>
      <w:r w:rsidRPr="00E219CC">
        <w:rPr>
          <w:lang w:eastAsia="ja-JP"/>
        </w:rPr>
        <w:t xml:space="preserve">2004 through 2010, the predominant lineage of a given season differed from that contained in the vaccine in </w:t>
      </w:r>
      <w:r w:rsidR="00957523">
        <w:rPr>
          <w:lang w:eastAsia="ja-JP"/>
        </w:rPr>
        <w:t>4</w:t>
      </w:r>
      <w:r w:rsidRPr="00E219CC">
        <w:rPr>
          <w:lang w:eastAsia="ja-JP"/>
        </w:rPr>
        <w:t xml:space="preserve"> out of </w:t>
      </w:r>
      <w:r w:rsidR="00957523">
        <w:rPr>
          <w:lang w:eastAsia="ja-JP"/>
        </w:rPr>
        <w:t>8</w:t>
      </w:r>
      <w:r w:rsidRPr="00E219CC">
        <w:rPr>
          <w:lang w:eastAsia="ja-JP"/>
        </w:rPr>
        <w:t xml:space="preserve"> seasons and </w:t>
      </w:r>
      <w:r w:rsidR="00722A1C">
        <w:rPr>
          <w:lang w:eastAsia="ja-JP"/>
        </w:rPr>
        <w:t>overall an estimated 58% of lab </w:t>
      </w:r>
      <w:r w:rsidRPr="00E219CC">
        <w:rPr>
          <w:lang w:eastAsia="ja-JP"/>
        </w:rPr>
        <w:t xml:space="preserve">confirmed influenza B samples were of the lineage not included in the vaccine (Ambrose). Based on the demonstrated burden of influenza B, the limited cross-protection between the </w:t>
      </w:r>
      <w:r w:rsidR="00957523">
        <w:rPr>
          <w:lang w:eastAsia="ja-JP"/>
        </w:rPr>
        <w:t>2</w:t>
      </w:r>
      <w:r w:rsidRPr="00E219CC">
        <w:rPr>
          <w:lang w:eastAsia="ja-JP"/>
        </w:rPr>
        <w:t xml:space="preserve"> influenza B lineages, and the inability to accurately predict which influenza B lineage will circulate, it may be expected that seasonal influenza vaccines will be improved by the inclusion of influenza B strains from </w:t>
      </w:r>
      <w:r w:rsidRPr="00722A1C">
        <w:rPr>
          <w:lang w:eastAsia="ja-JP"/>
        </w:rPr>
        <w:t>both lineages</w:t>
      </w:r>
      <w:r w:rsidRPr="00E219CC">
        <w:rPr>
          <w:lang w:eastAsia="ja-JP"/>
        </w:rPr>
        <w:t>. While a good antigenic match would still not be assured, this step would eliminate a mismatch in lineage between the vaccine strain and circulating strains.</w:t>
      </w:r>
    </w:p>
    <w:p w14:paraId="62C81129" w14:textId="77777777" w:rsidR="00E219CC" w:rsidRPr="00E219CC" w:rsidRDefault="00E219CC" w:rsidP="00E219CC">
      <w:pPr>
        <w:pStyle w:val="Heading4"/>
      </w:pPr>
      <w:bookmarkStart w:id="24" w:name="_Toc470758054"/>
      <w:r w:rsidRPr="00E219CC">
        <w:t>Current treatment options</w:t>
      </w:r>
      <w:bookmarkEnd w:id="24"/>
    </w:p>
    <w:p w14:paraId="01DBA7FC" w14:textId="7F3CE0DD" w:rsidR="00E219CC" w:rsidRPr="00E219CC" w:rsidRDefault="00E219CC" w:rsidP="00E219CC">
      <w:pPr>
        <w:rPr>
          <w:b/>
          <w:lang w:eastAsia="ja-JP"/>
        </w:rPr>
      </w:pPr>
      <w:r w:rsidRPr="00E219CC">
        <w:rPr>
          <w:lang w:eastAsia="ja-JP"/>
        </w:rPr>
        <w:t>According to the WHO vaccination is the most effective way to prevent influenza and its complications and is the key public health approach in most countries around the world, including Australia. Prevention of influenza illness is achieved by annual prophylactic immunisation, the exact composition of which changes according to what are predicted to be the predominant A and B strain(s) circulating in either the Northern or Southern Hemispheres for that influenza season.</w:t>
      </w:r>
    </w:p>
    <w:p w14:paraId="2EEF0224" w14:textId="77777777" w:rsidR="004846EE" w:rsidRDefault="004846EE" w:rsidP="004846EE">
      <w:pPr>
        <w:pStyle w:val="Heading3"/>
        <w:rPr>
          <w:rFonts w:eastAsia="Cambria"/>
        </w:rPr>
      </w:pPr>
      <w:bookmarkStart w:id="25" w:name="_Toc457473406"/>
      <w:bookmarkStart w:id="26" w:name="_Toc524344781"/>
      <w:r w:rsidRPr="004846EE">
        <w:rPr>
          <w:rFonts w:eastAsia="Cambria"/>
        </w:rPr>
        <w:t>Clinical rationale</w:t>
      </w:r>
      <w:bookmarkEnd w:id="25"/>
      <w:bookmarkEnd w:id="26"/>
    </w:p>
    <w:p w14:paraId="3BD39208" w14:textId="0A6E604C" w:rsidR="00415519" w:rsidRPr="00415519" w:rsidRDefault="00415519" w:rsidP="00415519">
      <w:pPr>
        <w:rPr>
          <w:lang w:eastAsia="ja-JP"/>
        </w:rPr>
      </w:pPr>
      <w:r w:rsidRPr="00415519">
        <w:rPr>
          <w:lang w:eastAsia="ja-JP"/>
        </w:rPr>
        <w:t>Each year in Australi</w:t>
      </w:r>
      <w:r w:rsidR="001B2B66">
        <w:rPr>
          <w:lang w:eastAsia="ja-JP"/>
        </w:rPr>
        <w:t xml:space="preserve">a, influenza infection affects somewhere between 5 to </w:t>
      </w:r>
      <w:r w:rsidRPr="00415519">
        <w:rPr>
          <w:lang w:eastAsia="ja-JP"/>
        </w:rPr>
        <w:t>10% of the general population</w:t>
      </w:r>
      <w:r w:rsidR="00976551">
        <w:rPr>
          <w:lang w:eastAsia="ja-JP"/>
        </w:rPr>
        <w:t xml:space="preserve"> </w:t>
      </w:r>
      <w:r w:rsidR="00976551" w:rsidRPr="00976551">
        <w:rPr>
          <w:lang w:eastAsia="ja-JP"/>
        </w:rPr>
        <w:t>and this can be</w:t>
      </w:r>
      <w:r w:rsidR="00976551">
        <w:rPr>
          <w:lang w:eastAsia="ja-JP"/>
        </w:rPr>
        <w:t xml:space="preserve"> </w:t>
      </w:r>
      <w:r w:rsidRPr="00415519">
        <w:rPr>
          <w:lang w:eastAsia="ja-JP"/>
        </w:rPr>
        <w:t>up to 20% in some years. Among Australian patients aged</w:t>
      </w:r>
      <w:r w:rsidR="001B2B66">
        <w:rPr>
          <w:lang w:eastAsia="ja-JP"/>
        </w:rPr>
        <w:t xml:space="preserve"> ≥ </w:t>
      </w:r>
      <w:r w:rsidRPr="00415519">
        <w:rPr>
          <w:lang w:eastAsia="ja-JP"/>
        </w:rPr>
        <w:t>50 years, influenza is annually associated with</w:t>
      </w:r>
      <w:r w:rsidR="001B2B66">
        <w:rPr>
          <w:lang w:eastAsia="ja-JP"/>
        </w:rPr>
        <w:t xml:space="preserve"> &gt; </w:t>
      </w:r>
      <w:r w:rsidRPr="00415519">
        <w:rPr>
          <w:lang w:eastAsia="ja-JP"/>
        </w:rPr>
        <w:t>3,000 deaths and</w:t>
      </w:r>
      <w:r w:rsidR="001B2B66">
        <w:rPr>
          <w:lang w:eastAsia="ja-JP"/>
        </w:rPr>
        <w:t xml:space="preserve"> &gt; 13,500 hospitalisations (</w:t>
      </w:r>
      <w:r w:rsidR="00B14582">
        <w:rPr>
          <w:lang w:eastAsia="ja-JP"/>
        </w:rPr>
        <w:t xml:space="preserve">data from the </w:t>
      </w:r>
      <w:r w:rsidRPr="00415519">
        <w:rPr>
          <w:lang w:eastAsia="ja-JP"/>
        </w:rPr>
        <w:t>immunise.health.gov.au</w:t>
      </w:r>
      <w:r w:rsidR="001B2B66">
        <w:rPr>
          <w:lang w:eastAsia="ja-JP"/>
        </w:rPr>
        <w:t xml:space="preserve"> website</w:t>
      </w:r>
      <w:r w:rsidRPr="00415519">
        <w:rPr>
          <w:lang w:eastAsia="ja-JP"/>
        </w:rPr>
        <w:t>). According to the WHO, vaccination is the most effective way to prevent influenza and its complications.</w:t>
      </w:r>
    </w:p>
    <w:p w14:paraId="35A9B58A" w14:textId="77777777" w:rsidR="001B2B66" w:rsidRDefault="00415519" w:rsidP="001B2B66">
      <w:pPr>
        <w:pStyle w:val="Heading4"/>
      </w:pPr>
      <w:r w:rsidRPr="00415519">
        <w:t>Switch from trivalent to quadrivalent vaccine</w:t>
      </w:r>
    </w:p>
    <w:p w14:paraId="3F8A6864" w14:textId="3C1CECBE" w:rsidR="00415519" w:rsidRPr="00415519" w:rsidRDefault="00415519" w:rsidP="00415519">
      <w:pPr>
        <w:rPr>
          <w:lang w:eastAsia="ja-JP"/>
        </w:rPr>
      </w:pPr>
      <w:r w:rsidRPr="00415519">
        <w:rPr>
          <w:lang w:eastAsia="ja-JP"/>
        </w:rPr>
        <w:t>The planned change from the trivalent to quadrivalent influenza vaccine is not</w:t>
      </w:r>
      <w:r w:rsidRPr="00415519">
        <w:rPr>
          <w:b/>
          <w:bCs/>
          <w:lang w:eastAsia="ja-JP"/>
        </w:rPr>
        <w:t xml:space="preserve"> </w:t>
      </w:r>
      <w:r w:rsidRPr="00415519">
        <w:rPr>
          <w:lang w:eastAsia="ja-JP"/>
        </w:rPr>
        <w:t>associated with major changes in the general production process, and therefore no change</w:t>
      </w:r>
      <w:r w:rsidRPr="00415519">
        <w:rPr>
          <w:b/>
          <w:bCs/>
          <w:lang w:eastAsia="ja-JP"/>
        </w:rPr>
        <w:t xml:space="preserve"> </w:t>
      </w:r>
      <w:r w:rsidRPr="00415519">
        <w:rPr>
          <w:lang w:eastAsia="ja-JP"/>
        </w:rPr>
        <w:t>in the safety profile is expected.</w:t>
      </w:r>
      <w:r w:rsidR="001B2B66">
        <w:rPr>
          <w:lang w:eastAsia="ja-JP"/>
        </w:rPr>
        <w:t xml:space="preserve"> </w:t>
      </w:r>
      <w:r w:rsidRPr="00415519">
        <w:rPr>
          <w:lang w:eastAsia="ja-JP"/>
        </w:rPr>
        <w:t>Extensive clinical experience gain</w:t>
      </w:r>
      <w:r w:rsidR="001B2B66">
        <w:rPr>
          <w:lang w:eastAsia="ja-JP"/>
        </w:rPr>
        <w:t xml:space="preserve">ed with </w:t>
      </w:r>
      <w:r w:rsidR="004D432A">
        <w:rPr>
          <w:lang w:eastAsia="ja-JP"/>
        </w:rPr>
        <w:t>Influvac</w:t>
      </w:r>
      <w:r w:rsidRPr="00415519">
        <w:rPr>
          <w:lang w:eastAsia="ja-JP"/>
        </w:rPr>
        <w:t xml:space="preserve"> (trivalent) for over</w:t>
      </w:r>
      <w:r w:rsidR="001B2B66">
        <w:rPr>
          <w:lang w:eastAsia="ja-JP"/>
        </w:rPr>
        <w:t xml:space="preserve"> ≥ </w:t>
      </w:r>
      <w:r w:rsidRPr="00415519">
        <w:rPr>
          <w:lang w:eastAsia="ja-JP"/>
        </w:rPr>
        <w:t>30 years is considered relevant for the development of the quadrivalent vaccine as the antigens of the influenza strains in both formulations are similar. In fact, both the Victoria and Yamagata B strain lineages, either one or the other, have be</w:t>
      </w:r>
      <w:r w:rsidR="001B2B66">
        <w:rPr>
          <w:lang w:eastAsia="ja-JP"/>
        </w:rPr>
        <w:t xml:space="preserve">en present in </w:t>
      </w:r>
      <w:r w:rsidR="00722A1C">
        <w:rPr>
          <w:lang w:eastAsia="ja-JP"/>
        </w:rPr>
        <w:t>former</w:t>
      </w:r>
      <w:r w:rsidR="001B2B66">
        <w:rPr>
          <w:lang w:eastAsia="ja-JP"/>
        </w:rPr>
        <w:t xml:space="preserve"> </w:t>
      </w:r>
      <w:r w:rsidR="004D432A">
        <w:rPr>
          <w:lang w:eastAsia="ja-JP"/>
        </w:rPr>
        <w:t>Influvac</w:t>
      </w:r>
      <w:r w:rsidRPr="00415519">
        <w:rPr>
          <w:lang w:eastAsia="ja-JP"/>
        </w:rPr>
        <w:t xml:space="preserve"> formulations and the immunogenicity and safety has been extensively studied in clinical studies. Fo</w:t>
      </w:r>
      <w:r w:rsidR="001B2B66">
        <w:rPr>
          <w:lang w:eastAsia="ja-JP"/>
        </w:rPr>
        <w:t xml:space="preserve">r the currently </w:t>
      </w:r>
      <w:r w:rsidR="001B2B66">
        <w:rPr>
          <w:lang w:eastAsia="ja-JP"/>
        </w:rPr>
        <w:lastRenderedPageBreak/>
        <w:t xml:space="preserve">used thiomersal </w:t>
      </w:r>
      <w:r w:rsidRPr="00415519">
        <w:rPr>
          <w:lang w:eastAsia="ja-JP"/>
        </w:rPr>
        <w:t>free trivalent formulation, the Yamagata</w:t>
      </w:r>
      <w:r w:rsidR="001B2B66">
        <w:rPr>
          <w:lang w:eastAsia="ja-JP"/>
        </w:rPr>
        <w:t xml:space="preserve"> </w:t>
      </w:r>
      <w:r w:rsidRPr="00415519">
        <w:rPr>
          <w:lang w:eastAsia="ja-JP"/>
        </w:rPr>
        <w:t xml:space="preserve">lineage has been contained in the vaccine for </w:t>
      </w:r>
      <w:r w:rsidR="00957523">
        <w:rPr>
          <w:lang w:eastAsia="ja-JP"/>
        </w:rPr>
        <w:t>5</w:t>
      </w:r>
      <w:r w:rsidRPr="00415519">
        <w:rPr>
          <w:lang w:eastAsia="ja-JP"/>
        </w:rPr>
        <w:t xml:space="preserve"> out of 10 seasons </w:t>
      </w:r>
      <w:r w:rsidR="001B2B66">
        <w:rPr>
          <w:lang w:eastAsia="ja-JP"/>
        </w:rPr>
        <w:t>versus</w:t>
      </w:r>
      <w:r w:rsidRPr="00415519">
        <w:rPr>
          <w:lang w:eastAsia="ja-JP"/>
        </w:rPr>
        <w:t xml:space="preserve"> </w:t>
      </w:r>
      <w:r w:rsidR="00957523">
        <w:rPr>
          <w:lang w:eastAsia="ja-JP"/>
        </w:rPr>
        <w:t>5</w:t>
      </w:r>
      <w:r w:rsidRPr="00415519">
        <w:rPr>
          <w:lang w:eastAsia="ja-JP"/>
        </w:rPr>
        <w:t xml:space="preserve"> seasons for the Victoria-lineage. The immunogenicity, safety and reactogenicity profiles were similar, therefore it is not expected that the combination of the </w:t>
      </w:r>
      <w:r w:rsidR="00957523">
        <w:rPr>
          <w:lang w:eastAsia="ja-JP"/>
        </w:rPr>
        <w:t>2</w:t>
      </w:r>
      <w:r w:rsidRPr="00415519">
        <w:rPr>
          <w:lang w:eastAsia="ja-JP"/>
        </w:rPr>
        <w:t xml:space="preserve"> B strain lineages in the quadrivalent vaccine will result in a different immunogenicity and safety profile compared to</w:t>
      </w:r>
      <w:r w:rsidRPr="00415519">
        <w:rPr>
          <w:b/>
          <w:bCs/>
          <w:lang w:eastAsia="ja-JP"/>
        </w:rPr>
        <w:t xml:space="preserve"> </w:t>
      </w:r>
      <w:r w:rsidR="004D432A">
        <w:rPr>
          <w:lang w:eastAsia="ja-JP"/>
        </w:rPr>
        <w:t>trivalent Influvac</w:t>
      </w:r>
      <w:r w:rsidRPr="00415519">
        <w:rPr>
          <w:lang w:eastAsia="ja-JP"/>
        </w:rPr>
        <w:t>. This view is strengthened by recent publications comparing the quadrivalent and trivalent formulations of other infl</w:t>
      </w:r>
      <w:r w:rsidR="004D432A">
        <w:rPr>
          <w:lang w:eastAsia="ja-JP"/>
        </w:rPr>
        <w:t>uenza vaccines (Greenburg 2013,</w:t>
      </w:r>
      <w:r w:rsidRPr="00415519">
        <w:rPr>
          <w:lang w:eastAsia="ja-JP"/>
        </w:rPr>
        <w:t xml:space="preserve"> 2014; Jain; Domachowske; Pepin; Langley). In these studies, reactogenicity and safety of the quadrivalent formulations was consistent with the established profiles of the corresponding trivalent formulations. In addition, the second B strain in the quadrivalent formulations did not impact immune responses elicited by the </w:t>
      </w:r>
      <w:r w:rsidR="00957523">
        <w:rPr>
          <w:lang w:eastAsia="ja-JP"/>
        </w:rPr>
        <w:t>3</w:t>
      </w:r>
      <w:r w:rsidRPr="00415519">
        <w:rPr>
          <w:lang w:eastAsia="ja-JP"/>
        </w:rPr>
        <w:t xml:space="preserve"> strains contained in the trivalent </w:t>
      </w:r>
      <w:r>
        <w:rPr>
          <w:lang w:eastAsia="ja-JP"/>
        </w:rPr>
        <w:t>formulations.</w:t>
      </w:r>
    </w:p>
    <w:p w14:paraId="52DF3C58" w14:textId="0233DDA2" w:rsidR="00415519" w:rsidRPr="00415519" w:rsidRDefault="00415519" w:rsidP="00415519">
      <w:pPr>
        <w:pStyle w:val="Heading3"/>
        <w:rPr>
          <w:rFonts w:eastAsia="Cambria"/>
        </w:rPr>
      </w:pPr>
      <w:bookmarkStart w:id="27" w:name="_Toc470758059"/>
      <w:bookmarkStart w:id="28" w:name="_Toc524344782"/>
      <w:r w:rsidRPr="00415519">
        <w:rPr>
          <w:rFonts w:eastAsia="Cambria"/>
        </w:rPr>
        <w:t>Evaluator’s commentary on the background information</w:t>
      </w:r>
      <w:bookmarkEnd w:id="27"/>
      <w:bookmarkEnd w:id="28"/>
    </w:p>
    <w:p w14:paraId="6EF54830" w14:textId="09336A44" w:rsidR="00415519" w:rsidRPr="00415519" w:rsidRDefault="00415519" w:rsidP="00415519">
      <w:pPr>
        <w:rPr>
          <w:lang w:eastAsia="ja-JP"/>
        </w:rPr>
      </w:pPr>
      <w:r w:rsidRPr="00415519">
        <w:rPr>
          <w:lang w:eastAsia="ja-JP"/>
        </w:rPr>
        <w:t>This background information provides the rationale for this product and aligns with other submissions for approved (in Australia) quadrivalent influenza vaccines</w:t>
      </w:r>
      <w:r w:rsidR="004D432A">
        <w:rPr>
          <w:lang w:eastAsia="ja-JP"/>
        </w:rPr>
        <w:t>;</w:t>
      </w:r>
      <w:r w:rsidR="001B2B66">
        <w:rPr>
          <w:lang w:eastAsia="ja-JP"/>
        </w:rPr>
        <w:t xml:space="preserve"> </w:t>
      </w:r>
      <w:r w:rsidR="004D432A">
        <w:rPr>
          <w:lang w:eastAsia="ja-JP"/>
        </w:rPr>
        <w:t>FluQuadri and Fluarix Tetra.</w:t>
      </w:r>
    </w:p>
    <w:p w14:paraId="71EAC3C2" w14:textId="77777777" w:rsidR="00586F98" w:rsidRDefault="00586F98" w:rsidP="00586F98">
      <w:pPr>
        <w:pStyle w:val="Heading2"/>
        <w:rPr>
          <w:lang w:eastAsia="en-AU"/>
        </w:rPr>
      </w:pPr>
      <w:bookmarkStart w:id="29" w:name="_Toc524344783"/>
      <w:r w:rsidRPr="003442FE">
        <w:rPr>
          <w:lang w:eastAsia="en-AU"/>
        </w:rPr>
        <w:t>Contents of the clinical dossier</w:t>
      </w:r>
      <w:bookmarkEnd w:id="9"/>
      <w:bookmarkEnd w:id="10"/>
      <w:bookmarkEnd w:id="29"/>
    </w:p>
    <w:p w14:paraId="5664CCAE" w14:textId="77777777" w:rsidR="00586F98" w:rsidRDefault="00586F98" w:rsidP="00586F98">
      <w:pPr>
        <w:pStyle w:val="Heading3"/>
      </w:pPr>
      <w:bookmarkStart w:id="30" w:name="_Toc524344784"/>
      <w:r w:rsidRPr="003442FE">
        <w:t>Scope of the clinical dossier</w:t>
      </w:r>
      <w:bookmarkEnd w:id="30"/>
    </w:p>
    <w:p w14:paraId="4B73A6A7" w14:textId="1E9D3036" w:rsidR="00415519" w:rsidRPr="00415519" w:rsidRDefault="00415519" w:rsidP="00415519">
      <w:pPr>
        <w:rPr>
          <w:lang w:eastAsia="ja-JP"/>
        </w:rPr>
      </w:pPr>
      <w:r w:rsidRPr="00415519">
        <w:rPr>
          <w:lang w:eastAsia="ja-JP"/>
        </w:rPr>
        <w:t>The submission contained the following clinical information:</w:t>
      </w:r>
    </w:p>
    <w:p w14:paraId="2ECD357A" w14:textId="6EEE0A21" w:rsidR="00415519" w:rsidRPr="004D432A" w:rsidRDefault="004D432A" w:rsidP="004D432A">
      <w:pPr>
        <w:pStyle w:val="ListBullet"/>
        <w:rPr>
          <w:lang w:eastAsia="ja-JP"/>
        </w:rPr>
      </w:pPr>
      <w:r w:rsidRPr="004D432A">
        <w:rPr>
          <w:lang w:eastAsia="ja-JP"/>
        </w:rPr>
        <w:t>A</w:t>
      </w:r>
      <w:r w:rsidR="00415519" w:rsidRPr="004D432A">
        <w:rPr>
          <w:lang w:eastAsia="ja-JP"/>
        </w:rPr>
        <w:t xml:space="preserve"> Clinical Overview, Summary of Clinical Efficacy, Summary of Clinical Safety;</w:t>
      </w:r>
    </w:p>
    <w:p w14:paraId="339DAD9A" w14:textId="1CE83005" w:rsidR="00415519" w:rsidRPr="00415519" w:rsidRDefault="00415519" w:rsidP="004D432A">
      <w:pPr>
        <w:pStyle w:val="ListBullet"/>
        <w:rPr>
          <w:lang w:eastAsia="ja-JP"/>
        </w:rPr>
      </w:pPr>
      <w:r w:rsidRPr="00415519">
        <w:rPr>
          <w:lang w:eastAsia="ja-JP"/>
        </w:rPr>
        <w:t xml:space="preserve">A </w:t>
      </w:r>
      <w:r w:rsidRPr="00415519">
        <w:rPr>
          <w:bCs/>
          <w:lang w:eastAsia="ja-JP"/>
        </w:rPr>
        <w:t>pi</w:t>
      </w:r>
      <w:r w:rsidR="00957523">
        <w:rPr>
          <w:bCs/>
          <w:lang w:eastAsia="ja-JP"/>
        </w:rPr>
        <w:t>votal Phase III</w:t>
      </w:r>
      <w:r w:rsidRPr="00415519">
        <w:rPr>
          <w:bCs/>
          <w:lang w:eastAsia="ja-JP"/>
        </w:rPr>
        <w:t xml:space="preserve"> randomised, multicentre, double blinded study to evalu</w:t>
      </w:r>
      <w:r w:rsidR="004D432A">
        <w:rPr>
          <w:bCs/>
          <w:lang w:eastAsia="ja-JP"/>
        </w:rPr>
        <w:t>ate the quadrivalent vaccine versus</w:t>
      </w:r>
      <w:r w:rsidRPr="00415519">
        <w:rPr>
          <w:bCs/>
          <w:lang w:eastAsia="ja-JP"/>
        </w:rPr>
        <w:t xml:space="preserve"> 2 TIVs each containing one of the </w:t>
      </w:r>
      <w:r w:rsidR="00140CBD">
        <w:rPr>
          <w:bCs/>
          <w:lang w:eastAsia="ja-JP"/>
        </w:rPr>
        <w:t>‘</w:t>
      </w:r>
      <w:r w:rsidRPr="00415519">
        <w:rPr>
          <w:bCs/>
          <w:lang w:eastAsia="ja-JP"/>
        </w:rPr>
        <w:t>B</w:t>
      </w:r>
      <w:r w:rsidR="00140CBD">
        <w:rPr>
          <w:bCs/>
          <w:lang w:eastAsia="ja-JP"/>
        </w:rPr>
        <w:t>’</w:t>
      </w:r>
      <w:r w:rsidR="004D432A">
        <w:rPr>
          <w:bCs/>
          <w:lang w:eastAsia="ja-JP"/>
        </w:rPr>
        <w:t xml:space="preserve"> strains contained in the QIV.</w:t>
      </w:r>
    </w:p>
    <w:p w14:paraId="740D1BEE" w14:textId="77777777" w:rsidR="00586F98" w:rsidRDefault="00586F98" w:rsidP="00586F98">
      <w:pPr>
        <w:pStyle w:val="Heading3"/>
      </w:pPr>
      <w:bookmarkStart w:id="31" w:name="_Toc524344785"/>
      <w:r w:rsidRPr="003442FE">
        <w:t>Paediatric data</w:t>
      </w:r>
      <w:bookmarkEnd w:id="31"/>
    </w:p>
    <w:p w14:paraId="3F442F75" w14:textId="1BAA5BF2" w:rsidR="00415519" w:rsidRPr="004D432A" w:rsidRDefault="00415519" w:rsidP="004D432A">
      <w:r w:rsidRPr="004D432A">
        <w:t>The submission does not include paediatric efficacy/safety data, although paediatric stud</w:t>
      </w:r>
      <w:r w:rsidR="00722A1C">
        <w:t xml:space="preserve">ies are ongoing and/or planned. </w:t>
      </w:r>
      <w:r w:rsidRPr="004D432A">
        <w:t>See Section 1</w:t>
      </w:r>
      <w:r w:rsidR="00722A1C">
        <w:t xml:space="preserve"> (</w:t>
      </w:r>
      <w:r w:rsidR="004D432A" w:rsidRPr="004D432A">
        <w:t xml:space="preserve">above) </w:t>
      </w:r>
      <w:r w:rsidRPr="004D432A">
        <w:t>for ongoing/planned studies.</w:t>
      </w:r>
    </w:p>
    <w:p w14:paraId="35F568CE" w14:textId="77777777" w:rsidR="00586F98" w:rsidRDefault="00586F98" w:rsidP="00586F98">
      <w:pPr>
        <w:pStyle w:val="Heading3"/>
      </w:pPr>
      <w:bookmarkStart w:id="32" w:name="_Toc524344786"/>
      <w:r w:rsidRPr="003442FE">
        <w:t>Good clinical practice</w:t>
      </w:r>
      <w:bookmarkEnd w:id="32"/>
    </w:p>
    <w:p w14:paraId="3120FC73" w14:textId="74350353" w:rsidR="00415519" w:rsidRDefault="00415519" w:rsidP="00415519">
      <w:pPr>
        <w:rPr>
          <w:lang w:eastAsia="ja-JP"/>
        </w:rPr>
      </w:pPr>
      <w:r w:rsidRPr="00415519">
        <w:rPr>
          <w:lang w:eastAsia="ja-JP"/>
        </w:rPr>
        <w:t xml:space="preserve">Approvals to undertake the clinical studies were obtained from appropriately constituted institutional ethics committees/independent research boards, in accordance with the relevant national guidelines and regulations applicable. The studies presented in this </w:t>
      </w:r>
      <w:r w:rsidR="004D432A">
        <w:rPr>
          <w:lang w:eastAsia="ja-JP"/>
        </w:rPr>
        <w:t>submission</w:t>
      </w:r>
      <w:r w:rsidRPr="00415519">
        <w:rPr>
          <w:lang w:eastAsia="ja-JP"/>
        </w:rPr>
        <w:t xml:space="preserve"> were conducted in accordance with GCP.</w:t>
      </w:r>
    </w:p>
    <w:p w14:paraId="7EF4650D" w14:textId="77777777" w:rsidR="00415519" w:rsidRPr="00415519" w:rsidRDefault="00415519" w:rsidP="00415519">
      <w:pPr>
        <w:pStyle w:val="Heading3"/>
      </w:pPr>
      <w:bookmarkStart w:id="33" w:name="_Toc470758063"/>
      <w:bookmarkStart w:id="34" w:name="_Toc524344787"/>
      <w:r w:rsidRPr="00415519">
        <w:t>Evaluator’s commentary on the clinical dossier</w:t>
      </w:r>
      <w:bookmarkEnd w:id="33"/>
      <w:bookmarkEnd w:id="34"/>
    </w:p>
    <w:p w14:paraId="0759112B" w14:textId="38DB25C3" w:rsidR="00415519" w:rsidRPr="00415519" w:rsidRDefault="00415519" w:rsidP="00415519">
      <w:pPr>
        <w:autoSpaceDE w:val="0"/>
        <w:autoSpaceDN w:val="0"/>
        <w:adjustRightInd w:val="0"/>
        <w:spacing w:before="0" w:after="0" w:line="240" w:lineRule="auto"/>
        <w:rPr>
          <w:rFonts w:asciiTheme="minorHAnsi" w:eastAsia="TimesNewRomanPSMT" w:hAnsiTheme="minorHAnsi" w:cs="TimesNewRomanPSMT"/>
        </w:rPr>
      </w:pPr>
      <w:r>
        <w:rPr>
          <w:rFonts w:asciiTheme="minorHAnsi" w:eastAsia="TimesNewRomanPSMT" w:hAnsiTheme="minorHAnsi" w:cs="TimesNewRomanPSMT"/>
        </w:rPr>
        <w:t>T</w:t>
      </w:r>
      <w:r w:rsidRPr="005B0AF4">
        <w:rPr>
          <w:rFonts w:asciiTheme="minorHAnsi" w:eastAsia="TimesNewRomanPSMT" w:hAnsiTheme="minorHAnsi" w:cs="TimesNewRomanPSMT"/>
        </w:rPr>
        <w:t>he main objectives of the quadrivalent clinical development</w:t>
      </w:r>
      <w:r>
        <w:rPr>
          <w:rFonts w:asciiTheme="minorHAnsi" w:eastAsia="TimesNewRomanPSMT" w:hAnsiTheme="minorHAnsi" w:cs="TimesNewRomanPSMT"/>
        </w:rPr>
        <w:t xml:space="preserve"> </w:t>
      </w:r>
      <w:r w:rsidRPr="005B0AF4">
        <w:rPr>
          <w:rFonts w:asciiTheme="minorHAnsi" w:eastAsia="TimesNewRomanPSMT" w:hAnsiTheme="minorHAnsi" w:cs="TimesNewRomanPSMT"/>
        </w:rPr>
        <w:t xml:space="preserve">program </w:t>
      </w:r>
      <w:r>
        <w:rPr>
          <w:rFonts w:asciiTheme="minorHAnsi" w:eastAsia="TimesNewRomanPSMT" w:hAnsiTheme="minorHAnsi" w:cs="TimesNewRomanPSMT"/>
        </w:rPr>
        <w:t>were</w:t>
      </w:r>
      <w:r w:rsidRPr="005B0AF4">
        <w:rPr>
          <w:rFonts w:asciiTheme="minorHAnsi" w:eastAsia="TimesNewRomanPSMT" w:hAnsiTheme="minorHAnsi" w:cs="TimesNewRomanPSMT"/>
        </w:rPr>
        <w:t xml:space="preserve"> to demonstrate that the candidate quadrivalent vaccine provides superior</w:t>
      </w:r>
      <w:r>
        <w:rPr>
          <w:rFonts w:asciiTheme="minorHAnsi" w:eastAsia="TimesNewRomanPSMT" w:hAnsiTheme="minorHAnsi" w:cs="TimesNewRomanPSMT"/>
        </w:rPr>
        <w:t xml:space="preserve"> </w:t>
      </w:r>
      <w:r w:rsidRPr="005B0AF4">
        <w:rPr>
          <w:rFonts w:asciiTheme="minorHAnsi" w:eastAsia="TimesNewRomanPSMT" w:hAnsiTheme="minorHAnsi" w:cs="TimesNewRomanPSMT"/>
        </w:rPr>
        <w:t xml:space="preserve">immunogenicity compared to </w:t>
      </w:r>
      <w:r w:rsidR="004D432A">
        <w:rPr>
          <w:rFonts w:asciiTheme="minorHAnsi" w:eastAsia="TimesNewRomanPSMT" w:hAnsiTheme="minorHAnsi" w:cs="TimesNewRomanPSMT"/>
        </w:rPr>
        <w:t>the marketed trivalent Influvac</w:t>
      </w:r>
      <w:r w:rsidRPr="005B0AF4">
        <w:rPr>
          <w:rFonts w:asciiTheme="minorHAnsi" w:eastAsia="TimesNewRomanPSMT" w:hAnsiTheme="minorHAnsi" w:cs="TimesNewRomanPSMT"/>
        </w:rPr>
        <w:t xml:space="preserve"> for the added B strain</w:t>
      </w:r>
      <w:r>
        <w:rPr>
          <w:rFonts w:asciiTheme="minorHAnsi" w:eastAsia="TimesNewRomanPSMT" w:hAnsiTheme="minorHAnsi" w:cs="TimesNewRomanPSMT"/>
        </w:rPr>
        <w:t xml:space="preserve"> without affecting </w:t>
      </w:r>
      <w:r w:rsidRPr="005B0AF4">
        <w:rPr>
          <w:rFonts w:asciiTheme="minorHAnsi" w:eastAsia="TimesNewRomanPSMT" w:hAnsiTheme="minorHAnsi" w:cs="TimesNewRomanPSMT"/>
        </w:rPr>
        <w:t>antibody response</w:t>
      </w:r>
      <w:r>
        <w:rPr>
          <w:rFonts w:asciiTheme="minorHAnsi" w:eastAsia="TimesNewRomanPSMT" w:hAnsiTheme="minorHAnsi" w:cs="TimesNewRomanPSMT"/>
        </w:rPr>
        <w:t>s</w:t>
      </w:r>
      <w:r w:rsidRPr="005B0AF4">
        <w:rPr>
          <w:rFonts w:asciiTheme="minorHAnsi" w:eastAsia="TimesNewRomanPSMT" w:hAnsiTheme="minorHAnsi" w:cs="TimesNewRomanPSMT"/>
        </w:rPr>
        <w:t xml:space="preserve"> to the other strains and without compromising the</w:t>
      </w:r>
      <w:r>
        <w:rPr>
          <w:rFonts w:asciiTheme="minorHAnsi" w:eastAsia="TimesNewRomanPSMT" w:hAnsiTheme="minorHAnsi" w:cs="TimesNewRomanPSMT"/>
        </w:rPr>
        <w:t xml:space="preserve"> </w:t>
      </w:r>
      <w:r w:rsidRPr="005B0AF4">
        <w:rPr>
          <w:rFonts w:asciiTheme="minorHAnsi" w:eastAsia="TimesNewRomanPSMT" w:hAnsiTheme="minorHAnsi" w:cs="TimesNewRomanPSMT"/>
        </w:rPr>
        <w:t>safety profile.</w:t>
      </w:r>
    </w:p>
    <w:p w14:paraId="22C27DAE" w14:textId="77777777" w:rsidR="00586F98" w:rsidRDefault="00586F98" w:rsidP="00586F98">
      <w:pPr>
        <w:pStyle w:val="Heading2"/>
      </w:pPr>
      <w:bookmarkStart w:id="35" w:name="_Toc355338639"/>
      <w:bookmarkStart w:id="36" w:name="_Toc524344788"/>
      <w:r w:rsidRPr="003442FE">
        <w:lastRenderedPageBreak/>
        <w:t>Pharmacokinetics</w:t>
      </w:r>
      <w:bookmarkEnd w:id="35"/>
      <w:bookmarkEnd w:id="36"/>
    </w:p>
    <w:p w14:paraId="25B56475" w14:textId="5F28DE78" w:rsidR="00415519" w:rsidRDefault="00415519" w:rsidP="00415519">
      <w:pPr>
        <w:rPr>
          <w:lang w:eastAsia="ja-JP"/>
        </w:rPr>
      </w:pPr>
      <w:r w:rsidRPr="00415519">
        <w:rPr>
          <w:lang w:eastAsia="ja-JP"/>
        </w:rPr>
        <w:t>With respect to the nature of the product, clinical pharmacology data have not been assessed. The subunit influenza vaccine, as all vaccines, induces antibodies, which consecutively are responsible for the desired effect of the intervention</w:t>
      </w:r>
      <w:r w:rsidR="004D432A">
        <w:rPr>
          <w:lang w:eastAsia="ja-JP"/>
        </w:rPr>
        <w:t>, that is,</w:t>
      </w:r>
      <w:r w:rsidRPr="00415519">
        <w:rPr>
          <w:lang w:eastAsia="ja-JP"/>
        </w:rPr>
        <w:t xml:space="preserve"> protection against an infectious disease (principle of active vaccination). The constituents of the vaccine itself are phagocytosed at the site of injection. Therefore, specific interaction or pharmacokinetic studies have not been carried out in man.</w:t>
      </w:r>
    </w:p>
    <w:p w14:paraId="6CD176CD" w14:textId="4268ADFE" w:rsidR="00415519" w:rsidRDefault="00415519" w:rsidP="00415519">
      <w:pPr>
        <w:pStyle w:val="Heading2"/>
      </w:pPr>
      <w:bookmarkStart w:id="37" w:name="_Toc524344789"/>
      <w:r>
        <w:t>Immunogenicity</w:t>
      </w:r>
      <w:bookmarkEnd w:id="37"/>
    </w:p>
    <w:p w14:paraId="44E7CFB3" w14:textId="602A6DC9" w:rsidR="00415519" w:rsidRPr="00415519" w:rsidRDefault="00415519" w:rsidP="00415519">
      <w:pPr>
        <w:rPr>
          <w:lang w:eastAsia="ja-JP"/>
        </w:rPr>
      </w:pPr>
      <w:r w:rsidRPr="00415519">
        <w:rPr>
          <w:lang w:eastAsia="ja-JP"/>
        </w:rPr>
        <w:t xml:space="preserve">Efficacy and safety data arising from the pivotal study </w:t>
      </w:r>
      <w:r w:rsidR="000F21B1">
        <w:rPr>
          <w:lang w:eastAsia="ja-JP"/>
        </w:rPr>
        <w:t>(Study</w:t>
      </w:r>
      <w:r w:rsidRPr="004D432A">
        <w:rPr>
          <w:lang w:eastAsia="ja-JP"/>
        </w:rPr>
        <w:t xml:space="preserve"> INFQ3001)</w:t>
      </w:r>
      <w:r w:rsidRPr="00415519">
        <w:rPr>
          <w:lang w:eastAsia="ja-JP"/>
        </w:rPr>
        <w:t xml:space="preserve"> is summarised in </w:t>
      </w:r>
      <w:r w:rsidR="004D432A" w:rsidRPr="004D432A">
        <w:rPr>
          <w:lang w:eastAsia="ja-JP"/>
        </w:rPr>
        <w:t>Sections 7 and 8</w:t>
      </w:r>
      <w:r w:rsidR="004D432A">
        <w:rPr>
          <w:b/>
          <w:lang w:eastAsia="ja-JP"/>
        </w:rPr>
        <w:t xml:space="preserve"> </w:t>
      </w:r>
      <w:r w:rsidRPr="00415519">
        <w:rPr>
          <w:lang w:eastAsia="ja-JP"/>
        </w:rPr>
        <w:t xml:space="preserve">respectively of this </w:t>
      </w:r>
      <w:r w:rsidR="000F21B1">
        <w:rPr>
          <w:lang w:eastAsia="ja-JP"/>
        </w:rPr>
        <w:t>document</w:t>
      </w:r>
      <w:r w:rsidRPr="00415519">
        <w:rPr>
          <w:lang w:eastAsia="ja-JP"/>
        </w:rPr>
        <w:t>. A number of supportive immunogenicity s</w:t>
      </w:r>
      <w:r w:rsidR="004D432A">
        <w:rPr>
          <w:lang w:eastAsia="ja-JP"/>
        </w:rPr>
        <w:t>tudies</w:t>
      </w:r>
      <w:r w:rsidRPr="00415519">
        <w:rPr>
          <w:lang w:eastAsia="ja-JP"/>
        </w:rPr>
        <w:t xml:space="preserve"> have previously been reviewed by the TGA, and can be considered supportive of this </w:t>
      </w:r>
      <w:r w:rsidR="004D432A">
        <w:rPr>
          <w:lang w:eastAsia="ja-JP"/>
        </w:rPr>
        <w:t>submission.</w:t>
      </w:r>
    </w:p>
    <w:p w14:paraId="0C17EB7C" w14:textId="2578BFB3" w:rsidR="00415519" w:rsidRPr="00415519" w:rsidRDefault="00415519" w:rsidP="00415519">
      <w:pPr>
        <w:pStyle w:val="Heading3"/>
        <w:rPr>
          <w:rFonts w:eastAsia="Cambria"/>
        </w:rPr>
      </w:pPr>
      <w:bookmarkStart w:id="38" w:name="_Toc290888496"/>
      <w:bookmarkStart w:id="39" w:name="_Toc416353693"/>
      <w:bookmarkStart w:id="40" w:name="_Toc421005260"/>
      <w:bookmarkStart w:id="41" w:name="_Toc432079142"/>
      <w:bookmarkStart w:id="42" w:name="_Toc432080715"/>
      <w:bookmarkStart w:id="43" w:name="_Toc470758066"/>
      <w:bookmarkStart w:id="44" w:name="_Toc524344790"/>
      <w:r w:rsidRPr="00415519">
        <w:rPr>
          <w:rFonts w:eastAsia="Cambria"/>
        </w:rPr>
        <w:t xml:space="preserve">Evaluator’s overall conclusions on </w:t>
      </w:r>
      <w:bookmarkEnd w:id="38"/>
      <w:bookmarkEnd w:id="39"/>
      <w:bookmarkEnd w:id="40"/>
      <w:bookmarkEnd w:id="41"/>
      <w:bookmarkEnd w:id="42"/>
      <w:r>
        <w:rPr>
          <w:rFonts w:eastAsia="Cambria"/>
        </w:rPr>
        <w:t>i</w:t>
      </w:r>
      <w:r w:rsidRPr="00415519">
        <w:rPr>
          <w:rFonts w:eastAsia="Cambria"/>
        </w:rPr>
        <w:t>mmunogenicity from the supportive studies</w:t>
      </w:r>
      <w:bookmarkEnd w:id="43"/>
      <w:bookmarkEnd w:id="44"/>
    </w:p>
    <w:p w14:paraId="758675F8" w14:textId="4620CFC4" w:rsidR="00415519" w:rsidRPr="00415519" w:rsidRDefault="004D432A" w:rsidP="00415519">
      <w:pPr>
        <w:rPr>
          <w:lang w:eastAsia="ja-JP"/>
        </w:rPr>
      </w:pPr>
      <w:r>
        <w:rPr>
          <w:lang w:eastAsia="ja-JP"/>
        </w:rPr>
        <w:t>None of the supportive immunogenicity</w:t>
      </w:r>
      <w:r w:rsidR="00415519" w:rsidRPr="00415519">
        <w:rPr>
          <w:lang w:eastAsia="ja-JP"/>
        </w:rPr>
        <w:t xml:space="preserve"> studies provide any data for a quadrivalent vaccine. All pertain to the immunogenicity and safety of trivalent vaccines containing 2 ‘A’ strains of influenza and 1 ‘B’ strain of influenza. Each vaccine contains 15</w:t>
      </w:r>
      <w:r w:rsidR="001B6F4D">
        <w:rPr>
          <w:lang w:eastAsia="ja-JP"/>
        </w:rPr>
        <w:t xml:space="preserve"> </w:t>
      </w:r>
      <w:r w:rsidR="00722A1C">
        <w:rPr>
          <w:lang w:eastAsia="ja-JP"/>
        </w:rPr>
        <w:t>µg</w:t>
      </w:r>
      <w:r w:rsidR="001B6F4D">
        <w:rPr>
          <w:lang w:eastAsia="ja-JP"/>
        </w:rPr>
        <w:t xml:space="preserve"> of HA per strain</w:t>
      </w:r>
      <w:r w:rsidR="00415519" w:rsidRPr="00415519">
        <w:rPr>
          <w:lang w:eastAsia="ja-JP"/>
        </w:rPr>
        <w:t>. These data are included because they show that the ‘B’ strain as a component of these trivalent vacci</w:t>
      </w:r>
      <w:r w:rsidR="00415519">
        <w:rPr>
          <w:lang w:eastAsia="ja-JP"/>
        </w:rPr>
        <w:t>nes were safe and immunogenic.</w:t>
      </w:r>
    </w:p>
    <w:p w14:paraId="5DE3502D" w14:textId="77777777" w:rsidR="00586F98" w:rsidRPr="003442FE" w:rsidRDefault="00C22678" w:rsidP="00586F98">
      <w:pPr>
        <w:pStyle w:val="Heading2"/>
      </w:pPr>
      <w:bookmarkStart w:id="45" w:name="_Toc524344791"/>
      <w:r w:rsidRPr="003442FE">
        <w:t>Dosage selection for the pivotal studies</w:t>
      </w:r>
      <w:bookmarkEnd w:id="45"/>
    </w:p>
    <w:p w14:paraId="7487ACE7" w14:textId="50883177" w:rsidR="00C22678" w:rsidRPr="003442FE" w:rsidRDefault="00415519" w:rsidP="00C22678">
      <w:pPr>
        <w:rPr>
          <w:lang w:eastAsia="ja-JP"/>
        </w:rPr>
      </w:pPr>
      <w:r w:rsidRPr="00415519">
        <w:rPr>
          <w:lang w:eastAsia="ja-JP"/>
        </w:rPr>
        <w:t xml:space="preserve">The dosage selection for the addition B strain immunogen in </w:t>
      </w:r>
      <w:r w:rsidR="004D432A">
        <w:rPr>
          <w:lang w:eastAsia="ja-JP"/>
        </w:rPr>
        <w:t>Influvac</w:t>
      </w:r>
      <w:r w:rsidR="001B6F4D">
        <w:rPr>
          <w:lang w:eastAsia="ja-JP"/>
        </w:rPr>
        <w:t xml:space="preserve"> Tetra</w:t>
      </w:r>
      <w:r w:rsidRPr="00415519">
        <w:rPr>
          <w:lang w:eastAsia="ja-JP"/>
        </w:rPr>
        <w:t xml:space="preserve"> was based up</w:t>
      </w:r>
      <w:r w:rsidR="001B6F4D">
        <w:rPr>
          <w:lang w:eastAsia="ja-JP"/>
        </w:rPr>
        <w:t xml:space="preserve">on the standard used in the TIV, that is, </w:t>
      </w:r>
      <w:r w:rsidRPr="00415519">
        <w:rPr>
          <w:lang w:eastAsia="ja-JP"/>
        </w:rPr>
        <w:t>15</w:t>
      </w:r>
      <w:r w:rsidR="00DC5A52">
        <w:rPr>
          <w:lang w:eastAsia="ja-JP"/>
        </w:rPr>
        <w:t xml:space="preserve"> </w:t>
      </w:r>
      <w:r w:rsidR="00722A1C">
        <w:rPr>
          <w:lang w:eastAsia="ja-JP"/>
        </w:rPr>
        <w:t>µg</w:t>
      </w:r>
      <w:r w:rsidRPr="00415519">
        <w:rPr>
          <w:lang w:eastAsia="ja-JP"/>
        </w:rPr>
        <w:t xml:space="preserve"> of HA per strain.</w:t>
      </w:r>
    </w:p>
    <w:p w14:paraId="140122F7" w14:textId="10E63211" w:rsidR="00C22678" w:rsidRDefault="00C22678" w:rsidP="00C22678">
      <w:pPr>
        <w:pStyle w:val="Heading2"/>
      </w:pPr>
      <w:bookmarkStart w:id="46" w:name="_Toc524344792"/>
      <w:r w:rsidRPr="003442FE">
        <w:t>Clinical efficacy</w:t>
      </w:r>
      <w:r w:rsidR="001C3C0C">
        <w:t xml:space="preserve"> (immunogenicity)</w:t>
      </w:r>
      <w:bookmarkEnd w:id="46"/>
    </w:p>
    <w:p w14:paraId="174F03C7" w14:textId="3F0DD24B" w:rsidR="001C3C0C" w:rsidRPr="001C3C0C" w:rsidRDefault="00DC5A52" w:rsidP="001C3C0C">
      <w:pPr>
        <w:rPr>
          <w:lang w:eastAsia="ja-JP"/>
        </w:rPr>
      </w:pPr>
      <w:r>
        <w:rPr>
          <w:lang w:eastAsia="ja-JP"/>
        </w:rPr>
        <w:t>The pivotal</w:t>
      </w:r>
      <w:r w:rsidR="001C3C0C" w:rsidRPr="001B6F4D">
        <w:rPr>
          <w:lang w:eastAsia="ja-JP"/>
        </w:rPr>
        <w:t xml:space="preserve"> Study INFQ3001is not an ‘efficacy’ study, instead the immunogenicity data derived is used as a surrogate</w:t>
      </w:r>
      <w:r w:rsidR="001C3C0C" w:rsidRPr="001C3C0C">
        <w:rPr>
          <w:lang w:eastAsia="ja-JP"/>
        </w:rPr>
        <w:t xml:space="preserve"> for clinical efficacy. This is a standard approach in influenza vaccine studies. The study was designed according to the Guideline on Clinical Evaluation of New Vaccines (EMEA/CHMP/VWP/164653/2005) and the scientific advice from an EU national competent authority for registration of QIV in the</w:t>
      </w:r>
      <w:r>
        <w:rPr>
          <w:lang w:eastAsia="ja-JP"/>
        </w:rPr>
        <w:t xml:space="preserve"> adult/elderly population. </w:t>
      </w:r>
      <w:r w:rsidR="00642E46">
        <w:rPr>
          <w:lang w:eastAsia="ja-JP"/>
        </w:rPr>
        <w:t>A</w:t>
      </w:r>
      <w:r>
        <w:rPr>
          <w:lang w:eastAsia="ja-JP"/>
        </w:rPr>
        <w:t>nti</w:t>
      </w:r>
      <w:r>
        <w:rPr>
          <w:lang w:eastAsia="ja-JP"/>
        </w:rPr>
        <w:noBreakHyphen/>
      </w:r>
      <w:proofErr w:type="spellStart"/>
      <w:r w:rsidR="001C3C0C" w:rsidRPr="001C3C0C">
        <w:rPr>
          <w:lang w:eastAsia="ja-JP"/>
        </w:rPr>
        <w:t>haemagglutinin</w:t>
      </w:r>
      <w:proofErr w:type="spellEnd"/>
      <w:r w:rsidR="001C3C0C" w:rsidRPr="001C3C0C">
        <w:rPr>
          <w:lang w:eastAsia="ja-JP"/>
        </w:rPr>
        <w:t xml:space="preserve"> (HA) antibody response is an established correlate of protection against</w:t>
      </w:r>
      <w:r w:rsidR="001C3C0C">
        <w:rPr>
          <w:lang w:eastAsia="ja-JP"/>
        </w:rPr>
        <w:t xml:space="preserve"> </w:t>
      </w:r>
      <w:r w:rsidR="001C3C0C" w:rsidRPr="001C3C0C">
        <w:rPr>
          <w:lang w:eastAsia="ja-JP"/>
        </w:rPr>
        <w:t>influenza in adults; therefore, HI titre was the primary outcome measure in this study. The study aimed to demonstrate the comparability of the immunogenicity of the shared strains</w:t>
      </w:r>
      <w:r w:rsidR="001C3C0C">
        <w:rPr>
          <w:lang w:eastAsia="ja-JP"/>
        </w:rPr>
        <w:t xml:space="preserve"> </w:t>
      </w:r>
      <w:r w:rsidR="001C3C0C" w:rsidRPr="001C3C0C">
        <w:rPr>
          <w:lang w:eastAsia="ja-JP"/>
        </w:rPr>
        <w:t>contained in both the QIV and TIV formulations. Therefore, the primary objective was to</w:t>
      </w:r>
      <w:r w:rsidR="001C3C0C">
        <w:rPr>
          <w:lang w:eastAsia="ja-JP"/>
        </w:rPr>
        <w:t xml:space="preserve"> </w:t>
      </w:r>
      <w:r w:rsidR="001C3C0C" w:rsidRPr="001C3C0C">
        <w:rPr>
          <w:lang w:eastAsia="ja-JP"/>
        </w:rPr>
        <w:t>demonstrate that the post</w:t>
      </w:r>
      <w:r>
        <w:rPr>
          <w:lang w:eastAsia="ja-JP"/>
        </w:rPr>
        <w:t>-</w:t>
      </w:r>
      <w:r w:rsidR="001C3C0C" w:rsidRPr="001C3C0C">
        <w:rPr>
          <w:lang w:eastAsia="ja-JP"/>
        </w:rPr>
        <w:t>vaccination HI antibody responses with QIV for each of the shared</w:t>
      </w:r>
      <w:r w:rsidR="001C3C0C">
        <w:rPr>
          <w:lang w:eastAsia="ja-JP"/>
        </w:rPr>
        <w:t xml:space="preserve"> </w:t>
      </w:r>
      <w:r w:rsidR="001C3C0C" w:rsidRPr="001C3C0C">
        <w:rPr>
          <w:lang w:eastAsia="ja-JP"/>
        </w:rPr>
        <w:t>strains were non</w:t>
      </w:r>
      <w:r w:rsidR="00715C80">
        <w:rPr>
          <w:lang w:eastAsia="ja-JP"/>
        </w:rPr>
        <w:t>-</w:t>
      </w:r>
      <w:r w:rsidR="001C3C0C" w:rsidRPr="001C3C0C">
        <w:rPr>
          <w:lang w:eastAsia="ja-JP"/>
        </w:rPr>
        <w:t>inferior to those with the TIVs. The non-inferiority margin was set at 1.5, which</w:t>
      </w:r>
      <w:r w:rsidR="001C3C0C">
        <w:rPr>
          <w:lang w:eastAsia="ja-JP"/>
        </w:rPr>
        <w:t xml:space="preserve"> </w:t>
      </w:r>
      <w:r w:rsidR="001C3C0C" w:rsidRPr="001C3C0C">
        <w:rPr>
          <w:lang w:eastAsia="ja-JP"/>
        </w:rPr>
        <w:t>was in agreement with the scientific advice obtained from an EU national competent authority</w:t>
      </w:r>
      <w:r w:rsidR="001C3C0C">
        <w:rPr>
          <w:lang w:eastAsia="ja-JP"/>
        </w:rPr>
        <w:t xml:space="preserve"> </w:t>
      </w:r>
      <w:r w:rsidR="001C3C0C" w:rsidRPr="001C3C0C">
        <w:rPr>
          <w:lang w:eastAsia="ja-JP"/>
        </w:rPr>
        <w:t>and was also in accordance with the margin recommended by FDA guidelines. As a secondary efficacy objective, the study aimed to demonstrate that the added B</w:t>
      </w:r>
      <w:r w:rsidR="00473C1F">
        <w:rPr>
          <w:lang w:eastAsia="ja-JP"/>
        </w:rPr>
        <w:t xml:space="preserve"> strain</w:t>
      </w:r>
      <w:r w:rsidR="001C3C0C" w:rsidRPr="001C3C0C">
        <w:rPr>
          <w:lang w:eastAsia="ja-JP"/>
        </w:rPr>
        <w:t xml:space="preserve"> in QIV provided an antibody response superior to that with the TIV for the alternate B</w:t>
      </w:r>
      <w:r w:rsidR="00473C1F">
        <w:rPr>
          <w:lang w:eastAsia="ja-JP"/>
        </w:rPr>
        <w:t xml:space="preserve"> strain</w:t>
      </w:r>
      <w:r w:rsidR="001C3C0C" w:rsidRPr="001C3C0C">
        <w:rPr>
          <w:lang w:eastAsia="ja-JP"/>
        </w:rPr>
        <w:t xml:space="preserve"> lineage. In addition, the immunogenicity of each of the strains in QIV and TIVs was further characterised by describing the derived serology parameters of seroconversion, and mean fold increase with respect to HI and VN antibody titres and by performing analyses in study population subsets </w:t>
      </w:r>
      <w:r w:rsidR="001C3C0C" w:rsidRPr="001C3C0C">
        <w:rPr>
          <w:lang w:eastAsia="ja-JP"/>
        </w:rPr>
        <w:lastRenderedPageBreak/>
        <w:t>according to age and pre-existing antibody status. Furthermore, CMI values were described for a subset of subjects.</w:t>
      </w:r>
    </w:p>
    <w:p w14:paraId="16CC98B4" w14:textId="08FFDFA6" w:rsidR="001C3C0C" w:rsidRPr="001C3C0C" w:rsidRDefault="001C3C0C" w:rsidP="001C3C0C">
      <w:r w:rsidRPr="00DC5A52">
        <w:t>Centra</w:t>
      </w:r>
      <w:r w:rsidR="00DC5A52">
        <w:t xml:space="preserve">l Lab performing the HI assays, </w:t>
      </w:r>
      <w:r w:rsidR="00DC5A52">
        <w:rPr>
          <w:lang w:eastAsia="ja-JP"/>
        </w:rPr>
        <w:t>i</w:t>
      </w:r>
      <w:r w:rsidRPr="001C3C0C">
        <w:rPr>
          <w:lang w:eastAsia="ja-JP"/>
        </w:rPr>
        <w:t>n accordance with t</w:t>
      </w:r>
      <w:r w:rsidR="00DF2CFC">
        <w:rPr>
          <w:lang w:eastAsia="ja-JP"/>
        </w:rPr>
        <w:t>he guidelines indicated by EMA:</w:t>
      </w:r>
    </w:p>
    <w:p w14:paraId="420AF7F9" w14:textId="1C26E281" w:rsidR="001C3C0C" w:rsidRPr="001C3C0C" w:rsidRDefault="001C3C0C" w:rsidP="001C3C0C">
      <w:pPr>
        <w:pStyle w:val="ListBullet"/>
        <w:rPr>
          <w:lang w:eastAsia="ja-JP"/>
        </w:rPr>
      </w:pPr>
      <w:r w:rsidRPr="001C3C0C">
        <w:rPr>
          <w:lang w:eastAsia="ja-JP"/>
        </w:rPr>
        <w:t>Any HI result &lt;</w:t>
      </w:r>
      <w:r w:rsidR="00DC5A52">
        <w:rPr>
          <w:lang w:eastAsia="ja-JP"/>
        </w:rPr>
        <w:t xml:space="preserve"> </w:t>
      </w:r>
      <w:r w:rsidRPr="001C3C0C">
        <w:rPr>
          <w:lang w:eastAsia="ja-JP"/>
        </w:rPr>
        <w:t>10 (</w:t>
      </w:r>
      <w:r w:rsidR="00140CBD">
        <w:rPr>
          <w:lang w:eastAsia="ja-JP"/>
        </w:rPr>
        <w:t>=</w:t>
      </w:r>
      <w:r w:rsidR="001B2B66">
        <w:rPr>
          <w:lang w:eastAsia="ja-JP"/>
        </w:rPr>
        <w:t xml:space="preserve"> </w:t>
      </w:r>
      <w:r w:rsidRPr="001C3C0C">
        <w:rPr>
          <w:lang w:eastAsia="ja-JP"/>
        </w:rPr>
        <w:t>undetectable) was expressed as 5;</w:t>
      </w:r>
    </w:p>
    <w:p w14:paraId="39D7E958" w14:textId="2595E689" w:rsidR="001C3C0C" w:rsidRPr="001C3C0C" w:rsidRDefault="001C3C0C" w:rsidP="001C3C0C">
      <w:pPr>
        <w:pStyle w:val="ListBullet"/>
        <w:rPr>
          <w:lang w:eastAsia="ja-JP"/>
        </w:rPr>
      </w:pPr>
      <w:r w:rsidRPr="001C3C0C">
        <w:rPr>
          <w:lang w:eastAsia="ja-JP"/>
        </w:rPr>
        <w:t>Sera which have a titre</w:t>
      </w:r>
      <w:r w:rsidR="001B2B66">
        <w:rPr>
          <w:lang w:eastAsia="ja-JP"/>
        </w:rPr>
        <w:t xml:space="preserve"> </w:t>
      </w:r>
      <w:r w:rsidR="00DC5A52">
        <w:rPr>
          <w:lang w:eastAsia="ja-JP"/>
        </w:rPr>
        <w:t>≥</w:t>
      </w:r>
      <w:r w:rsidR="00140CBD">
        <w:rPr>
          <w:lang w:eastAsia="ja-JP"/>
        </w:rPr>
        <w:t xml:space="preserve"> </w:t>
      </w:r>
      <w:r w:rsidRPr="001C3C0C">
        <w:rPr>
          <w:lang w:eastAsia="ja-JP"/>
        </w:rPr>
        <w:t>10 but &lt;</w:t>
      </w:r>
      <w:r>
        <w:rPr>
          <w:lang w:eastAsia="ja-JP"/>
        </w:rPr>
        <w:t xml:space="preserve"> </w:t>
      </w:r>
      <w:r w:rsidRPr="001C3C0C">
        <w:rPr>
          <w:lang w:eastAsia="ja-JP"/>
        </w:rPr>
        <w:t>40 are considered positive but not protective;</w:t>
      </w:r>
    </w:p>
    <w:p w14:paraId="2B1F9F4D" w14:textId="238C1CA6" w:rsidR="001C3C0C" w:rsidRPr="001C3C0C" w:rsidRDefault="001C3C0C" w:rsidP="001C3C0C">
      <w:pPr>
        <w:pStyle w:val="ListBullet"/>
        <w:rPr>
          <w:b/>
          <w:lang w:eastAsia="ja-JP"/>
        </w:rPr>
      </w:pPr>
      <w:r w:rsidRPr="001C3C0C">
        <w:rPr>
          <w:lang w:eastAsia="ja-JP"/>
        </w:rPr>
        <w:t>Sera with a titre</w:t>
      </w:r>
      <w:r w:rsidR="001B2B66">
        <w:rPr>
          <w:lang w:eastAsia="ja-JP"/>
        </w:rPr>
        <w:t xml:space="preserve"> </w:t>
      </w:r>
      <w:r w:rsidR="00DC5A52">
        <w:rPr>
          <w:lang w:eastAsia="ja-JP"/>
        </w:rPr>
        <w:t xml:space="preserve">≥ </w:t>
      </w:r>
      <w:r w:rsidRPr="001C3C0C">
        <w:rPr>
          <w:lang w:eastAsia="ja-JP"/>
        </w:rPr>
        <w:t>40 are considered positive and protective.</w:t>
      </w:r>
    </w:p>
    <w:p w14:paraId="24418625" w14:textId="77777777" w:rsidR="001C3C0C" w:rsidRPr="001C3C0C" w:rsidRDefault="001C3C0C" w:rsidP="001C3C0C">
      <w:pPr>
        <w:pStyle w:val="Heading3"/>
        <w:rPr>
          <w:rFonts w:eastAsia="Cambria"/>
        </w:rPr>
      </w:pPr>
      <w:bookmarkStart w:id="47" w:name="_Toc470758069"/>
      <w:bookmarkStart w:id="48" w:name="_Toc524344793"/>
      <w:bookmarkStart w:id="49" w:name="_Ref271037274"/>
      <w:bookmarkStart w:id="50" w:name="_Toc272414652"/>
      <w:bookmarkStart w:id="51" w:name="_Toc290888500"/>
      <w:bookmarkStart w:id="52" w:name="_Toc416353716"/>
      <w:bookmarkStart w:id="53" w:name="_Toc421005269"/>
      <w:bookmarkStart w:id="54" w:name="_Toc432079151"/>
      <w:bookmarkStart w:id="55" w:name="_Toc432080724"/>
      <w:r w:rsidRPr="001C3C0C">
        <w:rPr>
          <w:rFonts w:eastAsia="Cambria"/>
        </w:rPr>
        <w:t>Studies providing evaluable efficacy data</w:t>
      </w:r>
      <w:bookmarkEnd w:id="47"/>
      <w:bookmarkEnd w:id="48"/>
    </w:p>
    <w:p w14:paraId="00C40712" w14:textId="5133D536" w:rsidR="001C3C0C" w:rsidRPr="001C3C0C" w:rsidRDefault="001C3C0C" w:rsidP="001C3C0C">
      <w:pPr>
        <w:rPr>
          <w:lang w:eastAsia="ja-JP"/>
        </w:rPr>
      </w:pPr>
      <w:r w:rsidRPr="001C3C0C">
        <w:rPr>
          <w:lang w:eastAsia="ja-JP"/>
        </w:rPr>
        <w:t xml:space="preserve">See above, the pivotal </w:t>
      </w:r>
      <w:r w:rsidRPr="00DC5A52">
        <w:rPr>
          <w:lang w:eastAsia="ja-JP"/>
        </w:rPr>
        <w:t>Study INFQ3001</w:t>
      </w:r>
      <w:r w:rsidRPr="001C3C0C">
        <w:rPr>
          <w:lang w:eastAsia="ja-JP"/>
        </w:rPr>
        <w:t xml:space="preserve"> provide indirect evidence of ‘efficacy’ through serological responses to the vaccine which have been determined, over time, and from multiple sources to have clinical efficacy either in protecting against influenza acquisition or attenuating the course of the infection if infection is not completely prevented through vaccination.</w:t>
      </w:r>
    </w:p>
    <w:p w14:paraId="7B4FF7E8" w14:textId="77777777" w:rsidR="001C3C0C" w:rsidRPr="001C3C0C" w:rsidRDefault="001C3C0C" w:rsidP="001C3C0C">
      <w:pPr>
        <w:pStyle w:val="Heading3"/>
        <w:rPr>
          <w:rFonts w:eastAsia="Cambria"/>
        </w:rPr>
      </w:pPr>
      <w:bookmarkStart w:id="56" w:name="_Toc470758070"/>
      <w:bookmarkStart w:id="57" w:name="_Toc524344794"/>
      <w:r w:rsidRPr="001C3C0C">
        <w:rPr>
          <w:rFonts w:eastAsia="Cambria"/>
        </w:rPr>
        <w:t>Pivotal or main efficacy studies</w:t>
      </w:r>
      <w:bookmarkEnd w:id="49"/>
      <w:bookmarkEnd w:id="50"/>
      <w:bookmarkEnd w:id="51"/>
      <w:bookmarkEnd w:id="52"/>
      <w:bookmarkEnd w:id="53"/>
      <w:bookmarkEnd w:id="54"/>
      <w:bookmarkEnd w:id="55"/>
      <w:bookmarkEnd w:id="56"/>
      <w:bookmarkEnd w:id="57"/>
    </w:p>
    <w:p w14:paraId="7CEF15A2" w14:textId="77777777" w:rsidR="00DC5A52" w:rsidRDefault="001C3C0C" w:rsidP="001C3C0C">
      <w:pPr>
        <w:pStyle w:val="Heading4"/>
      </w:pPr>
      <w:bookmarkStart w:id="58" w:name="_Ref243301615"/>
      <w:bookmarkStart w:id="59" w:name="_Ref271040927"/>
      <w:bookmarkStart w:id="60" w:name="_Ref271040932"/>
      <w:bookmarkStart w:id="61" w:name="_Toc272414653"/>
      <w:bookmarkStart w:id="62" w:name="_Toc290888501"/>
      <w:bookmarkStart w:id="63" w:name="_Toc416353717"/>
      <w:r w:rsidRPr="001C3C0C">
        <w:t xml:space="preserve">Study </w:t>
      </w:r>
      <w:bookmarkEnd w:id="58"/>
      <w:bookmarkEnd w:id="59"/>
      <w:bookmarkEnd w:id="60"/>
      <w:bookmarkEnd w:id="61"/>
      <w:bookmarkEnd w:id="62"/>
      <w:bookmarkEnd w:id="63"/>
      <w:r w:rsidR="00DC5A52">
        <w:t>INFQ3001</w:t>
      </w:r>
    </w:p>
    <w:p w14:paraId="45E66C3A" w14:textId="2488701B" w:rsidR="001C3C0C" w:rsidRPr="001C3C0C" w:rsidRDefault="00DC5A52" w:rsidP="00DC5A52">
      <w:r>
        <w:t>This was ‘A Phase III</w:t>
      </w:r>
      <w:r w:rsidRPr="001C3C0C">
        <w:t xml:space="preserve">, randomised, </w:t>
      </w:r>
      <w:r>
        <w:t xml:space="preserve">double blind, active </w:t>
      </w:r>
      <w:r w:rsidRPr="001C3C0C">
        <w:t xml:space="preserve">controlled study in adults to assess the safety and immunogenicity of </w:t>
      </w:r>
      <w:r>
        <w:t xml:space="preserve">the </w:t>
      </w:r>
      <w:r w:rsidRPr="001C3C0C">
        <w:t>candidate quadrivalent</w:t>
      </w:r>
      <w:r>
        <w:t xml:space="preserve"> influenza vaccine and its non</w:t>
      </w:r>
      <w:r>
        <w:noBreakHyphen/>
      </w:r>
      <w:r w:rsidRPr="001C3C0C">
        <w:t>inferiority to trivalent influenza vaccine</w:t>
      </w:r>
      <w:r>
        <w:t>’.</w:t>
      </w:r>
    </w:p>
    <w:p w14:paraId="33D2D67F" w14:textId="77777777" w:rsidR="001C3C0C" w:rsidRPr="001C3C0C" w:rsidRDefault="001C3C0C" w:rsidP="001C3C0C">
      <w:pPr>
        <w:pStyle w:val="Heading5"/>
        <w:rPr>
          <w:rFonts w:eastAsia="Cambria"/>
          <w:lang w:eastAsia="ja-JP"/>
        </w:rPr>
      </w:pPr>
      <w:r w:rsidRPr="001C3C0C">
        <w:rPr>
          <w:rFonts w:eastAsia="Cambria"/>
          <w:lang w:eastAsia="ja-JP"/>
        </w:rPr>
        <w:t>Study design, objectives, locations and dates</w:t>
      </w:r>
    </w:p>
    <w:p w14:paraId="081D32D5" w14:textId="77777777" w:rsidR="001C3C0C" w:rsidRDefault="001C3C0C" w:rsidP="001C3C0C">
      <w:pPr>
        <w:pStyle w:val="Heading6"/>
        <w:rPr>
          <w:lang w:eastAsia="ja-JP"/>
        </w:rPr>
      </w:pPr>
      <w:r w:rsidRPr="001C3C0C">
        <w:rPr>
          <w:rFonts w:eastAsia="TimesNewRoman"/>
          <w:lang w:eastAsia="ja-JP"/>
        </w:rPr>
        <w:t>Study design</w:t>
      </w:r>
    </w:p>
    <w:p w14:paraId="3139C813" w14:textId="1D62EDA1" w:rsidR="001C3C0C" w:rsidRPr="001C3C0C" w:rsidRDefault="000E093B" w:rsidP="001C3C0C">
      <w:pPr>
        <w:rPr>
          <w:lang w:eastAsia="ja-JP"/>
        </w:rPr>
      </w:pPr>
      <w:r>
        <w:rPr>
          <w:lang w:eastAsia="ja-JP"/>
        </w:rPr>
        <w:t xml:space="preserve">A Phase </w:t>
      </w:r>
      <w:proofErr w:type="gramStart"/>
      <w:r>
        <w:rPr>
          <w:lang w:eastAsia="ja-JP"/>
        </w:rPr>
        <w:t>III,</w:t>
      </w:r>
      <w:proofErr w:type="gramEnd"/>
      <w:r>
        <w:rPr>
          <w:lang w:eastAsia="ja-JP"/>
        </w:rPr>
        <w:t xml:space="preserve"> randomised, double blind, active c</w:t>
      </w:r>
      <w:r w:rsidR="001C3C0C" w:rsidRPr="001C3C0C">
        <w:rPr>
          <w:lang w:eastAsia="ja-JP"/>
        </w:rPr>
        <w:t xml:space="preserve">ontrolled </w:t>
      </w:r>
      <w:r>
        <w:rPr>
          <w:lang w:eastAsia="ja-JP"/>
        </w:rPr>
        <w:t>s</w:t>
      </w:r>
      <w:r w:rsidR="001C3C0C" w:rsidRPr="001C3C0C">
        <w:rPr>
          <w:lang w:eastAsia="ja-JP"/>
        </w:rPr>
        <w:t xml:space="preserve">tudy in </w:t>
      </w:r>
      <w:r>
        <w:rPr>
          <w:lang w:eastAsia="ja-JP"/>
        </w:rPr>
        <w:t>a</w:t>
      </w:r>
      <w:r w:rsidR="001C3C0C" w:rsidRPr="001C3C0C">
        <w:rPr>
          <w:lang w:eastAsia="ja-JP"/>
        </w:rPr>
        <w:t xml:space="preserve">dults to </w:t>
      </w:r>
      <w:r>
        <w:rPr>
          <w:lang w:eastAsia="ja-JP"/>
        </w:rPr>
        <w:t>a</w:t>
      </w:r>
      <w:r w:rsidR="001C3C0C" w:rsidRPr="001C3C0C">
        <w:rPr>
          <w:lang w:eastAsia="ja-JP"/>
        </w:rPr>
        <w:t xml:space="preserve">ssess the </w:t>
      </w:r>
      <w:r>
        <w:rPr>
          <w:lang w:eastAsia="ja-JP"/>
        </w:rPr>
        <w:t>s</w:t>
      </w:r>
      <w:r w:rsidR="001C3C0C" w:rsidRPr="001C3C0C">
        <w:rPr>
          <w:lang w:eastAsia="ja-JP"/>
        </w:rPr>
        <w:t xml:space="preserve">afety and </w:t>
      </w:r>
      <w:r>
        <w:rPr>
          <w:lang w:eastAsia="ja-JP"/>
        </w:rPr>
        <w:t>i</w:t>
      </w:r>
      <w:r w:rsidR="001C3C0C" w:rsidRPr="001C3C0C">
        <w:rPr>
          <w:lang w:eastAsia="ja-JP"/>
        </w:rPr>
        <w:t xml:space="preserve">mmunogenicity of </w:t>
      </w:r>
      <w:r>
        <w:rPr>
          <w:lang w:eastAsia="ja-JP"/>
        </w:rPr>
        <w:t>the candidate quadrivalent influenza vaccine</w:t>
      </w:r>
      <w:r w:rsidR="001C3C0C" w:rsidRPr="001C3C0C">
        <w:rPr>
          <w:lang w:eastAsia="ja-JP"/>
        </w:rPr>
        <w:t xml:space="preserve"> (distributed by </w:t>
      </w:r>
      <w:r>
        <w:rPr>
          <w:lang w:eastAsia="ja-JP"/>
        </w:rPr>
        <w:t>the sponsor</w:t>
      </w:r>
      <w:r w:rsidR="001C3C0C" w:rsidRPr="001C3C0C">
        <w:rPr>
          <w:lang w:eastAsia="ja-JP"/>
        </w:rPr>
        <w:t xml:space="preserve"> trading </w:t>
      </w:r>
      <w:r>
        <w:rPr>
          <w:lang w:eastAsia="ja-JP"/>
        </w:rPr>
        <w:t>under a preferred business name</w:t>
      </w:r>
      <w:r w:rsidR="001C3C0C" w:rsidRPr="001C3C0C">
        <w:rPr>
          <w:lang w:eastAsia="ja-JP"/>
        </w:rPr>
        <w:t xml:space="preserve">) and its non-inferiority </w:t>
      </w:r>
      <w:r w:rsidRPr="001C3C0C">
        <w:rPr>
          <w:lang w:eastAsia="ja-JP"/>
        </w:rPr>
        <w:t>to trivalent influenza vaccine.</w:t>
      </w:r>
    </w:p>
    <w:p w14:paraId="10BD5054" w14:textId="6018496E" w:rsidR="001C3C0C" w:rsidRPr="001C3C0C" w:rsidRDefault="001C3C0C" w:rsidP="001C3C0C">
      <w:pPr>
        <w:pStyle w:val="Heading6"/>
        <w:rPr>
          <w:rFonts w:eastAsia="TimesNewRoman"/>
          <w:lang w:eastAsia="ja-JP"/>
        </w:rPr>
      </w:pPr>
      <w:r>
        <w:rPr>
          <w:lang w:eastAsia="ja-JP"/>
        </w:rPr>
        <w:t>Primary objective</w:t>
      </w:r>
    </w:p>
    <w:p w14:paraId="00EEE521" w14:textId="3F18D628" w:rsidR="001C3C0C" w:rsidRPr="001C3C0C" w:rsidRDefault="001C3C0C" w:rsidP="001C3C0C">
      <w:pPr>
        <w:rPr>
          <w:lang w:eastAsia="ja-JP"/>
        </w:rPr>
      </w:pPr>
      <w:r w:rsidRPr="001C3C0C">
        <w:rPr>
          <w:lang w:eastAsia="ja-JP"/>
        </w:rPr>
        <w:t>To demonstrate in subjects</w:t>
      </w:r>
      <w:r w:rsidR="001B2B66">
        <w:rPr>
          <w:lang w:eastAsia="ja-JP"/>
        </w:rPr>
        <w:t xml:space="preserve"> ≥ </w:t>
      </w:r>
      <w:r w:rsidRPr="001C3C0C">
        <w:rPr>
          <w:lang w:eastAsia="ja-JP"/>
        </w:rPr>
        <w:t>18 years of age the non-inferiority of QIV with respect to</w:t>
      </w:r>
      <w:r w:rsidR="00796F2C">
        <w:rPr>
          <w:lang w:eastAsia="ja-JP"/>
        </w:rPr>
        <w:t xml:space="preserve"> </w:t>
      </w:r>
      <w:r w:rsidR="000E093B">
        <w:rPr>
          <w:lang w:eastAsia="ja-JP"/>
        </w:rPr>
        <w:t>post</w:t>
      </w:r>
      <w:r w:rsidR="000E093B">
        <w:rPr>
          <w:lang w:eastAsia="ja-JP"/>
        </w:rPr>
        <w:noBreakHyphen/>
      </w:r>
      <w:r w:rsidRPr="001C3C0C">
        <w:rPr>
          <w:lang w:eastAsia="ja-JP"/>
        </w:rPr>
        <w:t>vaccination geometric mean h</w:t>
      </w:r>
      <w:r w:rsidR="000E093B">
        <w:rPr>
          <w:lang w:eastAsia="ja-JP"/>
        </w:rPr>
        <w:t>a</w:t>
      </w:r>
      <w:r w:rsidRPr="001C3C0C">
        <w:rPr>
          <w:lang w:eastAsia="ja-JP"/>
        </w:rPr>
        <w:t>emagglutinin inhibition (HI) antibody titres against</w:t>
      </w:r>
      <w:r w:rsidR="00796F2C">
        <w:rPr>
          <w:lang w:eastAsia="ja-JP"/>
        </w:rPr>
        <w:t xml:space="preserve"> t</w:t>
      </w:r>
      <w:r w:rsidRPr="001C3C0C">
        <w:rPr>
          <w:lang w:eastAsia="ja-JP"/>
        </w:rPr>
        <w:t>he shared strains compared with the trivalent influenza vaccines (TIV) with either the B strain of the Victoria (TIV</w:t>
      </w:r>
      <w:r w:rsidRPr="000E093B">
        <w:t>(Vic)</w:t>
      </w:r>
      <w:r w:rsidR="000E093B" w:rsidRPr="000E093B">
        <w:t xml:space="preserve">) </w:t>
      </w:r>
      <w:r w:rsidR="000E093B">
        <w:rPr>
          <w:lang w:eastAsia="ja-JP"/>
        </w:rPr>
        <w:t xml:space="preserve">or the B </w:t>
      </w:r>
      <w:r w:rsidRPr="001C3C0C">
        <w:rPr>
          <w:lang w:eastAsia="ja-JP"/>
        </w:rPr>
        <w:t>strain of the Yamagata lineage (TIV</w:t>
      </w:r>
      <w:r w:rsidRPr="000E093B">
        <w:rPr>
          <w:lang w:eastAsia="ja-JP"/>
        </w:rPr>
        <w:t>(Yam)).</w:t>
      </w:r>
    </w:p>
    <w:p w14:paraId="67D8E586" w14:textId="4BA5F1E8" w:rsidR="001C3C0C" w:rsidRPr="001C3C0C" w:rsidRDefault="001C3C0C" w:rsidP="00796F2C">
      <w:pPr>
        <w:pStyle w:val="Heading6"/>
        <w:rPr>
          <w:lang w:eastAsia="ja-JP"/>
        </w:rPr>
      </w:pPr>
      <w:r w:rsidRPr="001C3C0C">
        <w:rPr>
          <w:lang w:eastAsia="ja-JP"/>
        </w:rPr>
        <w:t>Secondary o</w:t>
      </w:r>
      <w:r>
        <w:rPr>
          <w:lang w:eastAsia="ja-JP"/>
        </w:rPr>
        <w:t>bjective</w:t>
      </w:r>
      <w:r w:rsidR="00796F2C">
        <w:rPr>
          <w:lang w:eastAsia="ja-JP"/>
        </w:rPr>
        <w:t>s</w:t>
      </w:r>
    </w:p>
    <w:p w14:paraId="607CFACB" w14:textId="14FA58FA" w:rsidR="001C3C0C" w:rsidRPr="001C3C0C" w:rsidRDefault="001C3C0C" w:rsidP="00796F2C">
      <w:pPr>
        <w:pStyle w:val="Numberbullet0"/>
        <w:rPr>
          <w:lang w:eastAsia="ja-JP"/>
        </w:rPr>
      </w:pPr>
      <w:r w:rsidRPr="001C3C0C">
        <w:rPr>
          <w:lang w:eastAsia="ja-JP"/>
        </w:rPr>
        <w:t>To demonstrate in subjects</w:t>
      </w:r>
      <w:r w:rsidR="001B2B66">
        <w:rPr>
          <w:lang w:eastAsia="ja-JP"/>
        </w:rPr>
        <w:t xml:space="preserve"> ≥ </w:t>
      </w:r>
      <w:r w:rsidRPr="001C3C0C">
        <w:rPr>
          <w:lang w:eastAsia="ja-JP"/>
        </w:rPr>
        <w:t>18 of age the superiority of QIV to TIV(Vic) and TIV(Yam)</w:t>
      </w:r>
      <w:r w:rsidR="00796F2C">
        <w:rPr>
          <w:lang w:eastAsia="ja-JP"/>
        </w:rPr>
        <w:t xml:space="preserve"> </w:t>
      </w:r>
      <w:r w:rsidRPr="001C3C0C">
        <w:rPr>
          <w:lang w:eastAsia="ja-JP"/>
        </w:rPr>
        <w:t>with respect to post-vaccination geometric mean HI antibody titres against the alternate lineage B</w:t>
      </w:r>
      <w:r w:rsidR="00473C1F">
        <w:rPr>
          <w:lang w:eastAsia="ja-JP"/>
        </w:rPr>
        <w:t xml:space="preserve"> strain</w:t>
      </w:r>
      <w:r w:rsidRPr="001C3C0C">
        <w:rPr>
          <w:lang w:eastAsia="ja-JP"/>
        </w:rPr>
        <w:t>;</w:t>
      </w:r>
    </w:p>
    <w:p w14:paraId="35AE28E5" w14:textId="49CEE88F" w:rsidR="001C3C0C" w:rsidRPr="001C3C0C" w:rsidRDefault="001C3C0C" w:rsidP="00796F2C">
      <w:pPr>
        <w:pStyle w:val="Numberbullet0"/>
        <w:rPr>
          <w:lang w:eastAsia="ja-JP"/>
        </w:rPr>
      </w:pPr>
      <w:r w:rsidRPr="001C3C0C">
        <w:rPr>
          <w:lang w:eastAsia="ja-JP"/>
        </w:rPr>
        <w:t>To describe the immunogenicity for HI and virus neutralisation (VN) antibody titres using the derived serology parameters seroconversion and geometric mean fold increase for each of the strains in QIV and TIV, in adults (</w:t>
      </w:r>
      <w:r w:rsidR="001B2B66">
        <w:rPr>
          <w:lang w:eastAsia="ja-JP"/>
        </w:rPr>
        <w:t xml:space="preserve">≥ </w:t>
      </w:r>
      <w:r w:rsidRPr="001C3C0C">
        <w:rPr>
          <w:lang w:eastAsia="ja-JP"/>
        </w:rPr>
        <w:t>18 to ≤</w:t>
      </w:r>
      <w:r w:rsidR="000E093B">
        <w:rPr>
          <w:lang w:eastAsia="ja-JP"/>
        </w:rPr>
        <w:t xml:space="preserve"> </w:t>
      </w:r>
      <w:r w:rsidRPr="001C3C0C">
        <w:rPr>
          <w:lang w:eastAsia="ja-JP"/>
        </w:rPr>
        <w:t>60 years of age) and elderly (</w:t>
      </w:r>
      <w:r w:rsidR="001B2B66">
        <w:rPr>
          <w:lang w:eastAsia="ja-JP"/>
        </w:rPr>
        <w:t xml:space="preserve">≥ </w:t>
      </w:r>
      <w:r w:rsidRPr="001C3C0C">
        <w:rPr>
          <w:lang w:eastAsia="ja-JP"/>
        </w:rPr>
        <w:t>61 years of age);</w:t>
      </w:r>
    </w:p>
    <w:p w14:paraId="7563A949" w14:textId="24B98161" w:rsidR="001C3C0C" w:rsidRPr="001C3C0C" w:rsidRDefault="001C3C0C" w:rsidP="00796F2C">
      <w:pPr>
        <w:pStyle w:val="Numberbullet0"/>
        <w:rPr>
          <w:lang w:eastAsia="ja-JP"/>
        </w:rPr>
      </w:pPr>
      <w:r w:rsidRPr="001C3C0C">
        <w:rPr>
          <w:lang w:eastAsia="ja-JP"/>
        </w:rPr>
        <w:t>To describe the immunogenicity for HI and VN antibody titres in study population subsets according to age and pre-existing antibody status for each of the strains in QIV and TIV.</w:t>
      </w:r>
    </w:p>
    <w:p w14:paraId="0B625C65" w14:textId="44D566A0" w:rsidR="001C3C0C" w:rsidRPr="001C3C0C" w:rsidRDefault="000E093B" w:rsidP="00796F2C">
      <w:pPr>
        <w:pStyle w:val="Numberbullet0"/>
        <w:rPr>
          <w:lang w:eastAsia="ja-JP"/>
        </w:rPr>
      </w:pPr>
      <w:r>
        <w:rPr>
          <w:lang w:eastAsia="ja-JP"/>
        </w:rPr>
        <w:t xml:space="preserve">To describe cell </w:t>
      </w:r>
      <w:r w:rsidR="001C3C0C" w:rsidRPr="001C3C0C">
        <w:rPr>
          <w:lang w:eastAsia="ja-JP"/>
        </w:rPr>
        <w:t>mediated immunity (CMI) values for a subset of subjects.</w:t>
      </w:r>
    </w:p>
    <w:p w14:paraId="6930A25E" w14:textId="77777777" w:rsidR="00796F2C" w:rsidRDefault="001C3C0C" w:rsidP="00796F2C">
      <w:pPr>
        <w:pStyle w:val="Heading6"/>
        <w:rPr>
          <w:lang w:eastAsia="ja-JP"/>
        </w:rPr>
      </w:pPr>
      <w:r w:rsidRPr="001C3C0C">
        <w:rPr>
          <w:lang w:eastAsia="ja-JP"/>
        </w:rPr>
        <w:t>Safety objectives</w:t>
      </w:r>
    </w:p>
    <w:p w14:paraId="577F405E" w14:textId="21417355" w:rsidR="001C3C0C" w:rsidRPr="001C3C0C" w:rsidRDefault="001C3C0C" w:rsidP="001C3C0C">
      <w:pPr>
        <w:rPr>
          <w:b/>
          <w:lang w:eastAsia="ja-JP"/>
        </w:rPr>
      </w:pPr>
      <w:r w:rsidRPr="001C3C0C">
        <w:rPr>
          <w:lang w:eastAsia="ja-JP"/>
        </w:rPr>
        <w:t>To compare the reactogenicity and the safety of QIV with that of the TIV treatment arms</w:t>
      </w:r>
      <w:r w:rsidR="00715C80" w:rsidRPr="00715C80">
        <w:rPr>
          <w:lang w:eastAsia="ja-JP"/>
        </w:rPr>
        <w:t xml:space="preserve"> </w:t>
      </w:r>
      <w:r w:rsidR="00715C80" w:rsidRPr="001C3C0C">
        <w:rPr>
          <w:lang w:eastAsia="ja-JP"/>
        </w:rPr>
        <w:t>in adults and elderly</w:t>
      </w:r>
      <w:r w:rsidRPr="001C3C0C">
        <w:rPr>
          <w:lang w:eastAsia="ja-JP"/>
        </w:rPr>
        <w:t>.</w:t>
      </w:r>
    </w:p>
    <w:p w14:paraId="22340B09" w14:textId="77777777" w:rsidR="00796F2C" w:rsidRDefault="001C3C0C" w:rsidP="00796F2C">
      <w:pPr>
        <w:pStyle w:val="Heading6"/>
        <w:rPr>
          <w:lang w:eastAsia="ja-JP"/>
        </w:rPr>
      </w:pPr>
      <w:r w:rsidRPr="001C3C0C">
        <w:rPr>
          <w:lang w:eastAsia="ja-JP"/>
        </w:rPr>
        <w:lastRenderedPageBreak/>
        <w:t>Locations</w:t>
      </w:r>
    </w:p>
    <w:p w14:paraId="47D54066" w14:textId="57ADECD9" w:rsidR="001C3C0C" w:rsidRPr="001C3C0C" w:rsidRDefault="001C3C0C" w:rsidP="001C3C0C">
      <w:pPr>
        <w:rPr>
          <w:lang w:eastAsia="ja-JP"/>
        </w:rPr>
      </w:pPr>
      <w:r w:rsidRPr="001C3C0C">
        <w:rPr>
          <w:lang w:eastAsia="ja-JP"/>
        </w:rPr>
        <w:t>n</w:t>
      </w:r>
      <w:r w:rsidR="00140CBD">
        <w:rPr>
          <w:lang w:eastAsia="ja-JP"/>
        </w:rPr>
        <w:t xml:space="preserve"> = </w:t>
      </w:r>
      <w:r w:rsidRPr="001C3C0C">
        <w:rPr>
          <w:lang w:eastAsia="ja-JP"/>
        </w:rPr>
        <w:t>20 sites (in Belgium, Germany, Hungary, Latvia and Lithuania)</w:t>
      </w:r>
    </w:p>
    <w:p w14:paraId="1875E254" w14:textId="77777777" w:rsidR="00796F2C" w:rsidRDefault="00796F2C" w:rsidP="00796F2C">
      <w:pPr>
        <w:pStyle w:val="Heading6"/>
        <w:rPr>
          <w:lang w:eastAsia="ja-JP"/>
        </w:rPr>
      </w:pPr>
      <w:r>
        <w:rPr>
          <w:lang w:eastAsia="ja-JP"/>
        </w:rPr>
        <w:t>Dates</w:t>
      </w:r>
    </w:p>
    <w:p w14:paraId="5B145242" w14:textId="66F24E35" w:rsidR="001C3C0C" w:rsidRPr="000E093B" w:rsidRDefault="000E093B" w:rsidP="000E093B">
      <w:r>
        <w:t>First s</w:t>
      </w:r>
      <w:r w:rsidR="001C3C0C" w:rsidRPr="000E093B">
        <w:t>ubject</w:t>
      </w:r>
      <w:r>
        <w:t>, first v</w:t>
      </w:r>
      <w:r w:rsidR="001C3C0C" w:rsidRPr="000E093B">
        <w:t xml:space="preserve">isit: 28 </w:t>
      </w:r>
      <w:r>
        <w:t xml:space="preserve">May 2015; </w:t>
      </w:r>
      <w:r w:rsidR="00715C80">
        <w:t>l</w:t>
      </w:r>
      <w:r>
        <w:t>ast subject last visit: 6 January</w:t>
      </w:r>
      <w:r w:rsidR="001C3C0C" w:rsidRPr="000E093B">
        <w:t xml:space="preserve"> 2016.</w:t>
      </w:r>
    </w:p>
    <w:p w14:paraId="631DD7AD" w14:textId="77777777" w:rsidR="00796F2C" w:rsidRDefault="00796F2C" w:rsidP="00796F2C">
      <w:pPr>
        <w:pStyle w:val="Heading6"/>
        <w:rPr>
          <w:lang w:eastAsia="ja-JP"/>
        </w:rPr>
      </w:pPr>
      <w:r>
        <w:rPr>
          <w:lang w:eastAsia="ja-JP"/>
        </w:rPr>
        <w:t>Protocols</w:t>
      </w:r>
    </w:p>
    <w:p w14:paraId="7F697C2A" w14:textId="77777777" w:rsidR="00580863" w:rsidRDefault="000E093B" w:rsidP="000E093B">
      <w:r>
        <w:t xml:space="preserve">Version 1 dated 11 </w:t>
      </w:r>
      <w:r w:rsidR="001C3C0C" w:rsidRPr="000E093B">
        <w:t>Nov</w:t>
      </w:r>
      <w:r>
        <w:t>ember 2014; Amendment 1: 28 April</w:t>
      </w:r>
      <w:r w:rsidR="001C3C0C" w:rsidRPr="000E093B">
        <w:t xml:space="preserve"> 2015, key changes:</w:t>
      </w:r>
    </w:p>
    <w:p w14:paraId="06A46FF4" w14:textId="1F0E373A" w:rsidR="001C3C0C" w:rsidRPr="001C3C0C" w:rsidRDefault="001C3C0C" w:rsidP="00EB47C7">
      <w:pPr>
        <w:pStyle w:val="ListBullet"/>
        <w:rPr>
          <w:lang w:eastAsia="ja-JP"/>
        </w:rPr>
      </w:pPr>
      <w:r w:rsidRPr="001C3C0C">
        <w:rPr>
          <w:lang w:eastAsia="ja-JP"/>
        </w:rPr>
        <w:t>Change 1: Russia excluded from participation. The study will be conducted solely in countries within Europe. Rationale: due to additional data requirements in Russia it was not feasible to obtain timely study approvals for conducting the</w:t>
      </w:r>
      <w:r w:rsidR="000E093B">
        <w:rPr>
          <w:lang w:eastAsia="ja-JP"/>
        </w:rPr>
        <w:t xml:space="preserve"> study including Russian sites;</w:t>
      </w:r>
    </w:p>
    <w:p w14:paraId="6D67850E" w14:textId="384EC9FE" w:rsidR="001C3C0C" w:rsidRPr="001C3C0C" w:rsidRDefault="001C3C0C" w:rsidP="00EB47C7">
      <w:pPr>
        <w:pStyle w:val="ListBullet"/>
        <w:rPr>
          <w:lang w:eastAsia="ja-JP"/>
        </w:rPr>
      </w:pPr>
      <w:r w:rsidRPr="001C3C0C">
        <w:rPr>
          <w:lang w:eastAsia="ja-JP"/>
        </w:rPr>
        <w:t>Change 2: Subjects who have been placed in an institution by regulatory or legal ordinance are to be excluded from study participation. Rationale: it was requested by a Central Ethics Committee to exclude subjects that are in an institution by regulatory or legal ordinance;</w:t>
      </w:r>
    </w:p>
    <w:p w14:paraId="3BD3A9DB" w14:textId="5C0FE5E0" w:rsidR="001C3C0C" w:rsidRPr="001C3C0C" w:rsidRDefault="001C3C0C" w:rsidP="00EB47C7">
      <w:pPr>
        <w:pStyle w:val="ListBullet"/>
        <w:rPr>
          <w:lang w:eastAsia="ja-JP"/>
        </w:rPr>
      </w:pPr>
      <w:r w:rsidRPr="001C3C0C">
        <w:rPr>
          <w:lang w:eastAsia="ja-JP"/>
        </w:rPr>
        <w:t>Change 3: acceptable methods of birth control should be in accordance with local</w:t>
      </w:r>
      <w:r w:rsidR="00EB47C7">
        <w:rPr>
          <w:lang w:eastAsia="ja-JP"/>
        </w:rPr>
        <w:t xml:space="preserve"> </w:t>
      </w:r>
      <w:r w:rsidRPr="001C3C0C">
        <w:rPr>
          <w:lang w:eastAsia="ja-JP"/>
        </w:rPr>
        <w:t>regulations and that more stringent criteria may apply. Rationale: acceptable methods of birth control have been defined in the protocol under exclusion criteria;</w:t>
      </w:r>
    </w:p>
    <w:p w14:paraId="4227FE31" w14:textId="14FBF7D5" w:rsidR="001C3C0C" w:rsidRPr="001C3C0C" w:rsidRDefault="001C3C0C" w:rsidP="00EB47C7">
      <w:pPr>
        <w:pStyle w:val="ListBullet"/>
        <w:rPr>
          <w:lang w:eastAsia="ja-JP"/>
        </w:rPr>
      </w:pPr>
      <w:r w:rsidRPr="001C3C0C">
        <w:rPr>
          <w:lang w:eastAsia="ja-JP"/>
        </w:rPr>
        <w:t>Change 4:</w:t>
      </w:r>
      <w:r w:rsidR="001B2B66">
        <w:rPr>
          <w:lang w:eastAsia="ja-JP"/>
        </w:rPr>
        <w:t xml:space="preserve"> </w:t>
      </w:r>
      <w:r w:rsidRPr="001C3C0C">
        <w:rPr>
          <w:lang w:eastAsia="ja-JP"/>
        </w:rPr>
        <w:t xml:space="preserve">Upon Competent Authority (CA) request the period of pregnancy reporting is extended beyond the immunisation phase. All pregnancy cases will be reported if they occur during the study, including the entire safety follow-up period. Rationale: Pregnancy is excluded per protocol during the first </w:t>
      </w:r>
      <w:r w:rsidR="00957523">
        <w:rPr>
          <w:lang w:eastAsia="ja-JP"/>
        </w:rPr>
        <w:t>3</w:t>
      </w:r>
      <w:r w:rsidRPr="001C3C0C">
        <w:rPr>
          <w:lang w:eastAsia="ja-JP"/>
        </w:rPr>
        <w:t xml:space="preserve"> weeks of the study to avoid any potential safety concern related to the vaccination. Any pregnancy occurring during the entire study duration including the safety follow-up period will be reported and followed on pregnancy evolution and outcome, </w:t>
      </w:r>
      <w:r w:rsidR="00E11D64">
        <w:rPr>
          <w:lang w:eastAsia="ja-JP"/>
        </w:rPr>
        <w:t>that is,</w:t>
      </w:r>
      <w:r w:rsidRPr="001C3C0C">
        <w:rPr>
          <w:lang w:eastAsia="ja-JP"/>
        </w:rPr>
        <w:t xml:space="preserve"> the health status of the newborn;</w:t>
      </w:r>
    </w:p>
    <w:p w14:paraId="134F6A28" w14:textId="3E4D543C" w:rsidR="001C3C0C" w:rsidRPr="001C3C0C" w:rsidRDefault="001C3C0C" w:rsidP="00EB47C7">
      <w:pPr>
        <w:pStyle w:val="ListBullet"/>
        <w:rPr>
          <w:lang w:eastAsia="ja-JP"/>
        </w:rPr>
      </w:pPr>
      <w:r w:rsidRPr="001C3C0C">
        <w:rPr>
          <w:lang w:eastAsia="ja-JP"/>
        </w:rPr>
        <w:t>Change 5: Specific reference is made to the safety reference information described in the Investigators’ Brochure (IB);</w:t>
      </w:r>
    </w:p>
    <w:p w14:paraId="18671C53" w14:textId="371942A4" w:rsidR="001C3C0C" w:rsidRPr="001C3C0C" w:rsidRDefault="001C3C0C" w:rsidP="001C3C0C">
      <w:pPr>
        <w:pStyle w:val="ListBullet"/>
        <w:rPr>
          <w:lang w:eastAsia="ja-JP"/>
        </w:rPr>
      </w:pPr>
      <w:r w:rsidRPr="001C3C0C">
        <w:rPr>
          <w:lang w:eastAsia="ja-JP"/>
        </w:rPr>
        <w:t>Change 6: Definition of seroconversion added to the statistical section of the protocol. Rationale: requested by a CA to add the definition of seroconversion to the protocol.</w:t>
      </w:r>
      <w:r w:rsidR="00EB47C7">
        <w:rPr>
          <w:lang w:eastAsia="ja-JP"/>
        </w:rPr>
        <w:t xml:space="preserve"> That is, t</w:t>
      </w:r>
      <w:r w:rsidRPr="001C3C0C">
        <w:rPr>
          <w:lang w:eastAsia="ja-JP"/>
        </w:rPr>
        <w:t xml:space="preserve">he following summary statistics will be presented, for each of the </w:t>
      </w:r>
      <w:r w:rsidR="00957523">
        <w:rPr>
          <w:lang w:eastAsia="ja-JP"/>
        </w:rPr>
        <w:t>4</w:t>
      </w:r>
      <w:r w:rsidRPr="001C3C0C">
        <w:rPr>
          <w:lang w:eastAsia="ja-JP"/>
        </w:rPr>
        <w:t xml:space="preserve"> strains and each of the </w:t>
      </w:r>
      <w:r w:rsidR="00957523">
        <w:rPr>
          <w:lang w:eastAsia="ja-JP"/>
        </w:rPr>
        <w:t>3</w:t>
      </w:r>
      <w:r w:rsidRPr="001C3C0C">
        <w:rPr>
          <w:lang w:eastAsia="ja-JP"/>
        </w:rPr>
        <w:t xml:space="preserve"> formulations: the pre and post vaccination geometric mean titres (GMTs) and the geometric mean fold increases for HI and VN; reverse cumulative distribution curves supplemented by tables presenting % of vaccinees with titres above cut-off on a logarithmic scale for HI and VN; seroconversion rates for HI and VN defined as becoming seropositive if seronegative at </w:t>
      </w:r>
      <w:r w:rsidR="004D485E" w:rsidRPr="001C3C0C">
        <w:rPr>
          <w:lang w:eastAsia="ja-JP"/>
        </w:rPr>
        <w:t>enrolment</w:t>
      </w:r>
      <w:r w:rsidRPr="001C3C0C">
        <w:rPr>
          <w:lang w:eastAsia="ja-JP"/>
        </w:rPr>
        <w:t xml:space="preserve">, or (at least) a </w:t>
      </w:r>
      <w:r w:rsidR="00957523">
        <w:rPr>
          <w:lang w:eastAsia="ja-JP"/>
        </w:rPr>
        <w:t>4</w:t>
      </w:r>
      <w:r w:rsidR="00EB47C7">
        <w:rPr>
          <w:lang w:eastAsia="ja-JP"/>
        </w:rPr>
        <w:t xml:space="preserve"> </w:t>
      </w:r>
      <w:r w:rsidRPr="001C3C0C">
        <w:rPr>
          <w:lang w:eastAsia="ja-JP"/>
        </w:rPr>
        <w:t xml:space="preserve">fold rise in titre if seropositive at </w:t>
      </w:r>
      <w:r w:rsidR="00EB47C7" w:rsidRPr="001C3C0C">
        <w:rPr>
          <w:lang w:eastAsia="ja-JP"/>
        </w:rPr>
        <w:t>enrolment</w:t>
      </w:r>
      <w:r w:rsidRPr="001C3C0C">
        <w:rPr>
          <w:lang w:eastAsia="ja-JP"/>
        </w:rPr>
        <w:t>.</w:t>
      </w:r>
    </w:p>
    <w:p w14:paraId="46B64D4E" w14:textId="77777777" w:rsidR="001C3C0C" w:rsidRPr="001C3C0C" w:rsidRDefault="001C3C0C" w:rsidP="001C3C0C">
      <w:pPr>
        <w:pStyle w:val="Heading5"/>
        <w:rPr>
          <w:rFonts w:eastAsia="Cambria"/>
          <w:lang w:eastAsia="ja-JP"/>
        </w:rPr>
      </w:pPr>
      <w:r w:rsidRPr="001C3C0C">
        <w:rPr>
          <w:rFonts w:eastAsia="Cambria"/>
          <w:lang w:eastAsia="ja-JP"/>
        </w:rPr>
        <w:t>Inclusion and exclusion criteria</w:t>
      </w:r>
    </w:p>
    <w:p w14:paraId="111653F4" w14:textId="4CA1A660" w:rsidR="00796F2C" w:rsidRDefault="001C3C0C" w:rsidP="00796F2C">
      <w:pPr>
        <w:pStyle w:val="Heading6"/>
        <w:rPr>
          <w:lang w:eastAsia="ja-JP"/>
        </w:rPr>
      </w:pPr>
      <w:r w:rsidRPr="001C3C0C">
        <w:rPr>
          <w:lang w:eastAsia="ja-JP"/>
        </w:rPr>
        <w:t xml:space="preserve">Inclusion </w:t>
      </w:r>
      <w:r w:rsidR="00EB47C7">
        <w:rPr>
          <w:lang w:eastAsia="ja-JP"/>
        </w:rPr>
        <w:t>c</w:t>
      </w:r>
      <w:r w:rsidRPr="001C3C0C">
        <w:rPr>
          <w:lang w:eastAsia="ja-JP"/>
        </w:rPr>
        <w:t>riteria</w:t>
      </w:r>
    </w:p>
    <w:p w14:paraId="5B5D20ED" w14:textId="09F207F6" w:rsidR="00EB47C7" w:rsidRDefault="001C3C0C" w:rsidP="00EB47C7">
      <w:pPr>
        <w:pStyle w:val="Numberbullet0"/>
        <w:numPr>
          <w:ilvl w:val="0"/>
          <w:numId w:val="28"/>
        </w:numPr>
        <w:rPr>
          <w:lang w:eastAsia="ja-JP"/>
        </w:rPr>
      </w:pPr>
      <w:r w:rsidRPr="001C3C0C">
        <w:rPr>
          <w:lang w:eastAsia="ja-JP"/>
        </w:rPr>
        <w:t xml:space="preserve">Gives informed consent and able to </w:t>
      </w:r>
      <w:r w:rsidR="00EB47C7">
        <w:rPr>
          <w:lang w:eastAsia="ja-JP"/>
        </w:rPr>
        <w:t>adhere to all study procedures;</w:t>
      </w:r>
    </w:p>
    <w:p w14:paraId="2EC3F9E1" w14:textId="77777777" w:rsidR="00EB47C7" w:rsidRDefault="001C3C0C" w:rsidP="00EB47C7">
      <w:pPr>
        <w:pStyle w:val="Numberbullet0"/>
        <w:numPr>
          <w:ilvl w:val="0"/>
          <w:numId w:val="28"/>
        </w:numPr>
        <w:rPr>
          <w:lang w:eastAsia="ja-JP"/>
        </w:rPr>
      </w:pPr>
      <w:r w:rsidRPr="001C3C0C">
        <w:rPr>
          <w:lang w:eastAsia="ja-JP"/>
        </w:rPr>
        <w:t>Men and women aged</w:t>
      </w:r>
      <w:r w:rsidR="001B2B66">
        <w:rPr>
          <w:lang w:eastAsia="ja-JP"/>
        </w:rPr>
        <w:t xml:space="preserve"> ≥ </w:t>
      </w:r>
      <w:r w:rsidRPr="001C3C0C">
        <w:rPr>
          <w:lang w:eastAsia="ja-JP"/>
        </w:rPr>
        <w:t>18 years of age a</w:t>
      </w:r>
      <w:r w:rsidR="00EB47C7">
        <w:rPr>
          <w:lang w:eastAsia="ja-JP"/>
        </w:rPr>
        <w:t>t the day of study vaccination;</w:t>
      </w:r>
    </w:p>
    <w:p w14:paraId="4C0F17ED" w14:textId="24373D6E" w:rsidR="00796F2C" w:rsidRDefault="001C3C0C" w:rsidP="00EB47C7">
      <w:pPr>
        <w:pStyle w:val="Numberbullet0"/>
        <w:numPr>
          <w:ilvl w:val="0"/>
          <w:numId w:val="28"/>
        </w:numPr>
        <w:rPr>
          <w:lang w:eastAsia="ja-JP"/>
        </w:rPr>
      </w:pPr>
      <w:r w:rsidRPr="001C3C0C">
        <w:rPr>
          <w:lang w:eastAsia="ja-JP"/>
        </w:rPr>
        <w:t>Being in good health as judged by medical history, physical examination and clinical</w:t>
      </w:r>
      <w:r w:rsidRPr="00EB47C7">
        <w:rPr>
          <w:b/>
          <w:bCs/>
          <w:lang w:eastAsia="ja-JP"/>
        </w:rPr>
        <w:t xml:space="preserve"> </w:t>
      </w:r>
      <w:r w:rsidR="00EB47C7">
        <w:rPr>
          <w:lang w:eastAsia="ja-JP"/>
        </w:rPr>
        <w:t>judgment of the i</w:t>
      </w:r>
      <w:r w:rsidR="00796F2C">
        <w:rPr>
          <w:lang w:eastAsia="ja-JP"/>
        </w:rPr>
        <w:t>nvestigator.</w:t>
      </w:r>
    </w:p>
    <w:p w14:paraId="493DAF38" w14:textId="40464FF9" w:rsidR="00796F2C" w:rsidRDefault="001C3C0C" w:rsidP="00796F2C">
      <w:pPr>
        <w:pStyle w:val="Heading6"/>
        <w:rPr>
          <w:lang w:eastAsia="ja-JP"/>
        </w:rPr>
      </w:pPr>
      <w:r w:rsidRPr="001C3C0C">
        <w:rPr>
          <w:lang w:eastAsia="ja-JP"/>
        </w:rPr>
        <w:t xml:space="preserve">Exclusion </w:t>
      </w:r>
      <w:r w:rsidR="00B93E2D">
        <w:rPr>
          <w:lang w:eastAsia="ja-JP"/>
        </w:rPr>
        <w:t>c</w:t>
      </w:r>
      <w:r w:rsidRPr="001C3C0C">
        <w:rPr>
          <w:lang w:eastAsia="ja-JP"/>
        </w:rPr>
        <w:t>riteria</w:t>
      </w:r>
    </w:p>
    <w:p w14:paraId="64E91E93" w14:textId="77777777" w:rsidR="00EB47C7" w:rsidRDefault="001C3C0C" w:rsidP="00EB47C7">
      <w:pPr>
        <w:pStyle w:val="Numberbullet0"/>
        <w:numPr>
          <w:ilvl w:val="0"/>
          <w:numId w:val="29"/>
        </w:numPr>
        <w:rPr>
          <w:lang w:eastAsia="ja-JP"/>
        </w:rPr>
      </w:pPr>
      <w:r w:rsidRPr="001C3C0C">
        <w:rPr>
          <w:lang w:eastAsia="ja-JP"/>
        </w:rPr>
        <w:t>History of allergy to egg, chicken proteins, or other vaccine co</w:t>
      </w:r>
      <w:r w:rsidR="00EB47C7">
        <w:rPr>
          <w:lang w:eastAsia="ja-JP"/>
        </w:rPr>
        <w:t>mponents;</w:t>
      </w:r>
    </w:p>
    <w:p w14:paraId="6BB6D776" w14:textId="77777777" w:rsidR="00EB47C7" w:rsidRDefault="001C3C0C" w:rsidP="00EB47C7">
      <w:pPr>
        <w:pStyle w:val="Numberbullet0"/>
        <w:numPr>
          <w:ilvl w:val="0"/>
          <w:numId w:val="29"/>
        </w:numPr>
        <w:rPr>
          <w:lang w:eastAsia="ja-JP"/>
        </w:rPr>
      </w:pPr>
      <w:r w:rsidRPr="001C3C0C">
        <w:rPr>
          <w:lang w:eastAsia="ja-JP"/>
        </w:rPr>
        <w:t>History of serious adverse reacti</w:t>
      </w:r>
      <w:r w:rsidR="00EB47C7">
        <w:rPr>
          <w:lang w:eastAsia="ja-JP"/>
        </w:rPr>
        <w:t>on to any influenza vaccine;</w:t>
      </w:r>
    </w:p>
    <w:p w14:paraId="507DC23C" w14:textId="77777777" w:rsidR="00EB47C7" w:rsidRDefault="001C3C0C" w:rsidP="00EB47C7">
      <w:pPr>
        <w:pStyle w:val="Numberbullet0"/>
        <w:numPr>
          <w:ilvl w:val="0"/>
          <w:numId w:val="29"/>
        </w:numPr>
        <w:rPr>
          <w:lang w:eastAsia="ja-JP"/>
        </w:rPr>
      </w:pPr>
      <w:r w:rsidRPr="001C3C0C">
        <w:rPr>
          <w:lang w:eastAsia="ja-JP"/>
        </w:rPr>
        <w:t>History</w:t>
      </w:r>
      <w:r w:rsidR="00EB47C7">
        <w:rPr>
          <w:lang w:eastAsia="ja-JP"/>
        </w:rPr>
        <w:t xml:space="preserve"> of Guillain-Barré syndrome;</w:t>
      </w:r>
    </w:p>
    <w:p w14:paraId="55C9F8A5" w14:textId="77777777" w:rsidR="00EB47C7" w:rsidRDefault="001C3C0C" w:rsidP="00EB47C7">
      <w:pPr>
        <w:pStyle w:val="Numberbullet0"/>
        <w:numPr>
          <w:ilvl w:val="0"/>
          <w:numId w:val="29"/>
        </w:numPr>
        <w:rPr>
          <w:lang w:eastAsia="ja-JP"/>
        </w:rPr>
      </w:pPr>
      <w:r w:rsidRPr="001C3C0C">
        <w:rPr>
          <w:lang w:eastAsia="ja-JP"/>
        </w:rPr>
        <w:lastRenderedPageBreak/>
        <w:t>Confirmed influenza infection or vaccination against influenza in the 6 months preceding</w:t>
      </w:r>
      <w:r w:rsidRPr="00EB47C7">
        <w:rPr>
          <w:b/>
          <w:bCs/>
          <w:lang w:eastAsia="ja-JP"/>
        </w:rPr>
        <w:t xml:space="preserve"> </w:t>
      </w:r>
      <w:r w:rsidR="00EB47C7">
        <w:rPr>
          <w:lang w:eastAsia="ja-JP"/>
        </w:rPr>
        <w:t>enrolment;</w:t>
      </w:r>
    </w:p>
    <w:p w14:paraId="08F376A8" w14:textId="77777777" w:rsidR="00EB47C7" w:rsidRDefault="001C3C0C" w:rsidP="00EB47C7">
      <w:pPr>
        <w:pStyle w:val="Numberbullet0"/>
        <w:numPr>
          <w:ilvl w:val="0"/>
          <w:numId w:val="29"/>
        </w:numPr>
        <w:rPr>
          <w:lang w:eastAsia="ja-JP"/>
        </w:rPr>
      </w:pPr>
      <w:r w:rsidRPr="001C3C0C">
        <w:rPr>
          <w:lang w:eastAsia="ja-JP"/>
        </w:rPr>
        <w:t>Receipt of any vaccine within the preceding 4 weeks prior to study vaccination or</w:t>
      </w:r>
      <w:r w:rsidRPr="00EB47C7">
        <w:rPr>
          <w:b/>
          <w:bCs/>
          <w:lang w:eastAsia="ja-JP"/>
        </w:rPr>
        <w:t xml:space="preserve"> </w:t>
      </w:r>
      <w:r w:rsidRPr="001C3C0C">
        <w:rPr>
          <w:lang w:eastAsia="ja-JP"/>
        </w:rPr>
        <w:t>planned vaccination during the study between Visit 1 (</w:t>
      </w:r>
      <w:r w:rsidR="00EB47C7">
        <w:rPr>
          <w:lang w:eastAsia="ja-JP"/>
        </w:rPr>
        <w:t>Day 1) and Visit 2 (Day 22);</w:t>
      </w:r>
    </w:p>
    <w:p w14:paraId="1D71AEBC" w14:textId="77777777" w:rsidR="00EB47C7" w:rsidRDefault="001C3C0C" w:rsidP="00EB47C7">
      <w:pPr>
        <w:pStyle w:val="Numberbullet0"/>
        <w:numPr>
          <w:ilvl w:val="0"/>
          <w:numId w:val="29"/>
        </w:numPr>
        <w:rPr>
          <w:lang w:eastAsia="ja-JP"/>
        </w:rPr>
      </w:pPr>
      <w:r w:rsidRPr="001C3C0C">
        <w:rPr>
          <w:lang w:eastAsia="ja-JP"/>
        </w:rPr>
        <w:t>Having fever (oral temperature of</w:t>
      </w:r>
      <w:r w:rsidR="001B2B66">
        <w:rPr>
          <w:lang w:eastAsia="ja-JP"/>
        </w:rPr>
        <w:t xml:space="preserve"> ≥ </w:t>
      </w:r>
      <w:r w:rsidRPr="001C3C0C">
        <w:rPr>
          <w:lang w:eastAsia="ja-JP"/>
        </w:rPr>
        <w:t>38.0 ºC ) and/or presenting with an acute disease or infection on the day of study</w:t>
      </w:r>
      <w:r w:rsidRPr="00EB47C7">
        <w:rPr>
          <w:b/>
          <w:bCs/>
          <w:lang w:eastAsia="ja-JP"/>
        </w:rPr>
        <w:t xml:space="preserve"> </w:t>
      </w:r>
      <w:r w:rsidR="00EB47C7">
        <w:rPr>
          <w:lang w:eastAsia="ja-JP"/>
        </w:rPr>
        <w:t>vaccination;</w:t>
      </w:r>
    </w:p>
    <w:p w14:paraId="424180A5" w14:textId="77777777" w:rsidR="00EB47C7" w:rsidRDefault="001C3C0C" w:rsidP="00EB47C7">
      <w:pPr>
        <w:pStyle w:val="Numberbullet0"/>
        <w:numPr>
          <w:ilvl w:val="0"/>
          <w:numId w:val="29"/>
        </w:numPr>
        <w:rPr>
          <w:lang w:eastAsia="ja-JP"/>
        </w:rPr>
      </w:pPr>
      <w:r w:rsidRPr="001C3C0C">
        <w:rPr>
          <w:lang w:eastAsia="ja-JP"/>
        </w:rPr>
        <w:t>Any known immunocompromising condition or immunosuppressive therapy within</w:t>
      </w:r>
      <w:r w:rsidRPr="00EB47C7">
        <w:rPr>
          <w:b/>
          <w:bCs/>
          <w:lang w:eastAsia="ja-JP"/>
        </w:rPr>
        <w:t xml:space="preserve"> </w:t>
      </w:r>
      <w:r w:rsidRPr="001C3C0C">
        <w:rPr>
          <w:lang w:eastAsia="ja-JP"/>
        </w:rPr>
        <w:t xml:space="preserve">6 months </w:t>
      </w:r>
      <w:r w:rsidR="00EB47C7">
        <w:rPr>
          <w:lang w:eastAsia="ja-JP"/>
        </w:rPr>
        <w:t>preceding study vaccination;</w:t>
      </w:r>
    </w:p>
    <w:p w14:paraId="1806AA56" w14:textId="77777777" w:rsidR="00EB47C7" w:rsidRDefault="001C3C0C" w:rsidP="00EB47C7">
      <w:pPr>
        <w:pStyle w:val="Numberbullet0"/>
        <w:numPr>
          <w:ilvl w:val="0"/>
          <w:numId w:val="29"/>
        </w:numPr>
        <w:rPr>
          <w:lang w:eastAsia="ja-JP"/>
        </w:rPr>
      </w:pPr>
      <w:r w:rsidRPr="001C3C0C">
        <w:rPr>
          <w:lang w:eastAsia="ja-JP"/>
        </w:rPr>
        <w:t xml:space="preserve">Using or having used immunomodulating agents during the </w:t>
      </w:r>
      <w:r w:rsidR="00957523">
        <w:rPr>
          <w:lang w:eastAsia="ja-JP"/>
        </w:rPr>
        <w:t>4</w:t>
      </w:r>
      <w:r w:rsidRPr="001C3C0C">
        <w:rPr>
          <w:lang w:eastAsia="ja-JP"/>
        </w:rPr>
        <w:t xml:space="preserve"> weeks prior to the study or p</w:t>
      </w:r>
      <w:r w:rsidR="00EB47C7">
        <w:rPr>
          <w:lang w:eastAsia="ja-JP"/>
        </w:rPr>
        <w:t>lanned use during the study;</w:t>
      </w:r>
    </w:p>
    <w:p w14:paraId="6B755880" w14:textId="2DA5D7B5" w:rsidR="00EB47C7" w:rsidRDefault="001C3C0C" w:rsidP="00EB47C7">
      <w:pPr>
        <w:pStyle w:val="Numberbullet0"/>
        <w:numPr>
          <w:ilvl w:val="0"/>
          <w:numId w:val="29"/>
        </w:numPr>
        <w:rPr>
          <w:lang w:eastAsia="ja-JP"/>
        </w:rPr>
      </w:pPr>
      <w:r w:rsidRPr="001C3C0C">
        <w:rPr>
          <w:lang w:eastAsia="ja-JP"/>
        </w:rPr>
        <w:t>Receipt of blood or blood products within the 3 months preceding</w:t>
      </w:r>
      <w:r w:rsidR="00EB47C7">
        <w:rPr>
          <w:lang w:eastAsia="ja-JP"/>
        </w:rPr>
        <w:t xml:space="preserve"> </w:t>
      </w:r>
      <w:r w:rsidR="004D485E">
        <w:rPr>
          <w:lang w:eastAsia="ja-JP"/>
        </w:rPr>
        <w:t>enrolment</w:t>
      </w:r>
      <w:r w:rsidR="00EB47C7">
        <w:rPr>
          <w:lang w:eastAsia="ja-JP"/>
        </w:rPr>
        <w:t>;</w:t>
      </w:r>
    </w:p>
    <w:p w14:paraId="35BB1AAA" w14:textId="77777777" w:rsidR="00EB47C7" w:rsidRDefault="001C3C0C" w:rsidP="00EB47C7">
      <w:pPr>
        <w:pStyle w:val="Numberbullet0"/>
        <w:numPr>
          <w:ilvl w:val="0"/>
          <w:numId w:val="29"/>
        </w:numPr>
        <w:rPr>
          <w:lang w:eastAsia="ja-JP"/>
        </w:rPr>
      </w:pPr>
      <w:r w:rsidRPr="001C3C0C">
        <w:rPr>
          <w:lang w:eastAsia="ja-JP"/>
        </w:rPr>
        <w:t xml:space="preserve">Participation in a placebo-controlled influenza vaccine clinical trial any time prior to entering this study if the </w:t>
      </w:r>
      <w:r w:rsidR="00EB47C7">
        <w:rPr>
          <w:lang w:eastAsia="ja-JP"/>
        </w:rPr>
        <w:t>treatment arm is not known;</w:t>
      </w:r>
    </w:p>
    <w:p w14:paraId="71D5C1C4" w14:textId="42FFBED4" w:rsidR="00EB47C7" w:rsidRDefault="001C3C0C" w:rsidP="00EB47C7">
      <w:pPr>
        <w:pStyle w:val="Numberbullet0"/>
        <w:numPr>
          <w:ilvl w:val="0"/>
          <w:numId w:val="29"/>
        </w:numPr>
        <w:rPr>
          <w:lang w:eastAsia="ja-JP"/>
        </w:rPr>
      </w:pPr>
      <w:r w:rsidRPr="001C3C0C">
        <w:rPr>
          <w:lang w:eastAsia="ja-JP"/>
        </w:rPr>
        <w:t>Any condit</w:t>
      </w:r>
      <w:r w:rsidR="00EB47C7">
        <w:rPr>
          <w:lang w:eastAsia="ja-JP"/>
        </w:rPr>
        <w:t>ion that in the opinion of the i</w:t>
      </w:r>
      <w:r w:rsidRPr="001C3C0C">
        <w:rPr>
          <w:lang w:eastAsia="ja-JP"/>
        </w:rPr>
        <w:t>nvestigator would pose a health risk to the subject if enrolled or could interfere with the evaluation of the study vaccine including (but not limited to) bleeding disorder, known immunodeficiency, seizure disorder, acute, severe or progressive hepatic, renal, neurologica</w:t>
      </w:r>
      <w:r w:rsidR="00EB47C7">
        <w:rPr>
          <w:lang w:eastAsia="ja-JP"/>
        </w:rPr>
        <w:t>l or neuromuscular disease;</w:t>
      </w:r>
    </w:p>
    <w:p w14:paraId="1BD64B2D" w14:textId="77777777" w:rsidR="00EB47C7" w:rsidRDefault="001C3C0C" w:rsidP="00EB47C7">
      <w:pPr>
        <w:pStyle w:val="Numberbullet0"/>
        <w:numPr>
          <w:ilvl w:val="0"/>
          <w:numId w:val="29"/>
        </w:numPr>
        <w:rPr>
          <w:lang w:eastAsia="ja-JP"/>
        </w:rPr>
      </w:pPr>
      <w:r w:rsidRPr="001C3C0C">
        <w:rPr>
          <w:lang w:eastAsia="ja-JP"/>
        </w:rPr>
        <w:t>Being a solid organ or bone marrow/stem</w:t>
      </w:r>
      <w:r w:rsidR="00EB47C7">
        <w:rPr>
          <w:lang w:eastAsia="ja-JP"/>
        </w:rPr>
        <w:t xml:space="preserve"> cell transplant recipient;</w:t>
      </w:r>
    </w:p>
    <w:p w14:paraId="3CC1B06F" w14:textId="77777777" w:rsidR="00EB47C7" w:rsidRDefault="001C3C0C" w:rsidP="00EB47C7">
      <w:pPr>
        <w:pStyle w:val="Numberbullet0"/>
        <w:numPr>
          <w:ilvl w:val="0"/>
          <w:numId w:val="29"/>
        </w:numPr>
        <w:rPr>
          <w:lang w:eastAsia="ja-JP"/>
        </w:rPr>
      </w:pPr>
      <w:r w:rsidRPr="001C3C0C">
        <w:rPr>
          <w:lang w:eastAsia="ja-JP"/>
        </w:rPr>
        <w:t>Use of cytotoxic drugs, anticancer chemotherapy or radiation therapy within 36 months before th</w:t>
      </w:r>
      <w:r w:rsidR="00EB47C7">
        <w:rPr>
          <w:lang w:eastAsia="ja-JP"/>
        </w:rPr>
        <w:t>e day of study vaccination;</w:t>
      </w:r>
    </w:p>
    <w:p w14:paraId="486CE13E" w14:textId="77777777" w:rsidR="00EB47C7" w:rsidRDefault="001C3C0C" w:rsidP="00EB47C7">
      <w:pPr>
        <w:pStyle w:val="Numberbullet0"/>
        <w:numPr>
          <w:ilvl w:val="0"/>
          <w:numId w:val="29"/>
        </w:numPr>
        <w:rPr>
          <w:lang w:eastAsia="ja-JP"/>
        </w:rPr>
      </w:pPr>
      <w:r w:rsidRPr="001C3C0C">
        <w:rPr>
          <w:lang w:eastAsia="ja-JP"/>
        </w:rPr>
        <w:t>Receipt of another investigational agent within 30 days prior to study vaccination, or planned use duri</w:t>
      </w:r>
      <w:r w:rsidR="00EB47C7">
        <w:rPr>
          <w:lang w:eastAsia="ja-JP"/>
        </w:rPr>
        <w:t>ng the entire study period;</w:t>
      </w:r>
    </w:p>
    <w:p w14:paraId="1592D550" w14:textId="77777777" w:rsidR="00EB47C7" w:rsidRDefault="001C3C0C" w:rsidP="00EB47C7">
      <w:pPr>
        <w:pStyle w:val="Numberbullet0"/>
        <w:numPr>
          <w:ilvl w:val="0"/>
          <w:numId w:val="29"/>
        </w:numPr>
        <w:rPr>
          <w:lang w:eastAsia="ja-JP"/>
        </w:rPr>
      </w:pPr>
      <w:r w:rsidRPr="001C3C0C">
        <w:rPr>
          <w:lang w:eastAsia="ja-JP"/>
        </w:rPr>
        <w:t>K</w:t>
      </w:r>
      <w:r w:rsidR="00EB47C7">
        <w:rPr>
          <w:lang w:eastAsia="ja-JP"/>
        </w:rPr>
        <w:t>nown drug or alcohol abuse;</w:t>
      </w:r>
    </w:p>
    <w:p w14:paraId="15E50A4C" w14:textId="77777777" w:rsidR="00EB47C7" w:rsidRDefault="001C3C0C" w:rsidP="00EB47C7">
      <w:pPr>
        <w:pStyle w:val="Numberbullet0"/>
        <w:numPr>
          <w:ilvl w:val="0"/>
          <w:numId w:val="29"/>
        </w:numPr>
        <w:rPr>
          <w:lang w:eastAsia="ja-JP"/>
        </w:rPr>
      </w:pPr>
      <w:r w:rsidRPr="001C3C0C">
        <w:rPr>
          <w:lang w:eastAsia="ja-JP"/>
        </w:rPr>
        <w:t>Planned surgery requiring a general anaesthetic, or surgery requiring inpatient hospitalisation for at least 24 hours duri</w:t>
      </w:r>
      <w:r w:rsidR="00EB47C7">
        <w:rPr>
          <w:lang w:eastAsia="ja-JP"/>
        </w:rPr>
        <w:t>ng the entire study period;</w:t>
      </w:r>
    </w:p>
    <w:p w14:paraId="0F92666C" w14:textId="7B4E5768" w:rsidR="00EB47C7" w:rsidRDefault="00EB47C7" w:rsidP="00EB47C7">
      <w:pPr>
        <w:pStyle w:val="Numberbullet0"/>
        <w:numPr>
          <w:ilvl w:val="0"/>
          <w:numId w:val="29"/>
        </w:numPr>
        <w:rPr>
          <w:lang w:eastAsia="ja-JP"/>
        </w:rPr>
      </w:pPr>
      <w:r>
        <w:rPr>
          <w:lang w:eastAsia="ja-JP"/>
        </w:rPr>
        <w:t>Being an employee of the sponsor/contract research organis</w:t>
      </w:r>
      <w:r w:rsidR="001C3C0C" w:rsidRPr="001C3C0C">
        <w:rPr>
          <w:lang w:eastAsia="ja-JP"/>
        </w:rPr>
        <w:t>ation conducting this study or personnel of th</w:t>
      </w:r>
      <w:r>
        <w:rPr>
          <w:lang w:eastAsia="ja-JP"/>
        </w:rPr>
        <w:t>e study site;</w:t>
      </w:r>
    </w:p>
    <w:p w14:paraId="1D2D730F" w14:textId="77777777" w:rsidR="00EB47C7" w:rsidRDefault="001C3C0C" w:rsidP="00EB47C7">
      <w:pPr>
        <w:pStyle w:val="Numberbullet0"/>
        <w:numPr>
          <w:ilvl w:val="0"/>
          <w:numId w:val="29"/>
        </w:numPr>
        <w:rPr>
          <w:lang w:eastAsia="ja-JP"/>
        </w:rPr>
      </w:pPr>
      <w:r w:rsidRPr="001C3C0C">
        <w:rPr>
          <w:lang w:eastAsia="ja-JP"/>
        </w:rPr>
        <w:t xml:space="preserve">Any other reason that, in the investigator’s opinion, prohibits the inclusion of </w:t>
      </w:r>
      <w:r w:rsidR="00EB47C7">
        <w:rPr>
          <w:lang w:eastAsia="ja-JP"/>
        </w:rPr>
        <w:t>the subject into the study;</w:t>
      </w:r>
    </w:p>
    <w:p w14:paraId="289D1268" w14:textId="77777777" w:rsidR="00EB47C7" w:rsidRDefault="001C3C0C" w:rsidP="00EB47C7">
      <w:pPr>
        <w:pStyle w:val="Numberbullet0"/>
        <w:numPr>
          <w:ilvl w:val="0"/>
          <w:numId w:val="29"/>
        </w:numPr>
        <w:rPr>
          <w:lang w:eastAsia="ja-JP"/>
        </w:rPr>
      </w:pPr>
      <w:r w:rsidRPr="001C3C0C">
        <w:rPr>
          <w:lang w:eastAsia="ja-JP"/>
        </w:rPr>
        <w:t>Exclusion criteria only for female subjects aged</w:t>
      </w:r>
      <w:r w:rsidR="001B2B66">
        <w:rPr>
          <w:lang w:eastAsia="ja-JP"/>
        </w:rPr>
        <w:t xml:space="preserve"> ≥ </w:t>
      </w:r>
      <w:r w:rsidRPr="001C3C0C">
        <w:rPr>
          <w:lang w:eastAsia="ja-JP"/>
        </w:rPr>
        <w:t>18 and ≤60 years and of childbearing potential: Being pregnant, breastfeeding or intending to become pregnant during the study per</w:t>
      </w:r>
      <w:r w:rsidR="00EB47C7">
        <w:rPr>
          <w:lang w:eastAsia="ja-JP"/>
        </w:rPr>
        <w:t>iod up to Visit 2 (Day 22);</w:t>
      </w:r>
    </w:p>
    <w:p w14:paraId="5AC0892B" w14:textId="3699CDB3" w:rsidR="001C3C0C" w:rsidRPr="001C3C0C" w:rsidRDefault="001C3C0C" w:rsidP="00EB47C7">
      <w:pPr>
        <w:pStyle w:val="Numberbullet0"/>
        <w:numPr>
          <w:ilvl w:val="0"/>
          <w:numId w:val="29"/>
        </w:numPr>
        <w:rPr>
          <w:lang w:eastAsia="ja-JP"/>
        </w:rPr>
      </w:pPr>
      <w:r w:rsidRPr="001C3C0C">
        <w:rPr>
          <w:lang w:eastAsia="ja-JP"/>
        </w:rPr>
        <w:t>Not using an acceptable method (as listed in the protocol) of birth control up to Visit 2 (</w:t>
      </w:r>
      <w:r w:rsidR="00EB47C7">
        <w:rPr>
          <w:lang w:eastAsia="ja-JP"/>
        </w:rPr>
        <w:t>Day 22).</w:t>
      </w:r>
    </w:p>
    <w:p w14:paraId="275B1CAD" w14:textId="77777777" w:rsidR="001C3C0C" w:rsidRPr="001C3C0C" w:rsidRDefault="001C3C0C" w:rsidP="001C3C0C">
      <w:pPr>
        <w:pStyle w:val="Heading5"/>
        <w:rPr>
          <w:rFonts w:eastAsia="Cambria"/>
          <w:lang w:eastAsia="ja-JP"/>
        </w:rPr>
      </w:pPr>
      <w:r w:rsidRPr="001C3C0C">
        <w:rPr>
          <w:rFonts w:eastAsia="Cambria"/>
          <w:lang w:eastAsia="ja-JP"/>
        </w:rPr>
        <w:t>Study treatments</w:t>
      </w:r>
    </w:p>
    <w:p w14:paraId="31A89676" w14:textId="713046FD" w:rsidR="00796F2C" w:rsidRDefault="001C3C0C" w:rsidP="00796F2C">
      <w:pPr>
        <w:pStyle w:val="Heading6"/>
        <w:rPr>
          <w:lang w:eastAsia="ja-JP"/>
        </w:rPr>
      </w:pPr>
      <w:r w:rsidRPr="001C3C0C">
        <w:rPr>
          <w:lang w:eastAsia="ja-JP"/>
        </w:rPr>
        <w:t xml:space="preserve">Test </w:t>
      </w:r>
      <w:r w:rsidR="00EB47C7" w:rsidRPr="001C3C0C">
        <w:rPr>
          <w:lang w:eastAsia="ja-JP"/>
        </w:rPr>
        <w:t>product, dose and mode of administration</w:t>
      </w:r>
    </w:p>
    <w:p w14:paraId="6D67DB75" w14:textId="19C5BCED" w:rsidR="001C3C0C" w:rsidRPr="001C3C0C" w:rsidRDefault="001C3C0C" w:rsidP="001C3C0C">
      <w:pPr>
        <w:rPr>
          <w:lang w:eastAsia="ja-JP"/>
        </w:rPr>
      </w:pPr>
      <w:r w:rsidRPr="001C3C0C">
        <w:rPr>
          <w:lang w:eastAsia="ja-JP"/>
        </w:rPr>
        <w:t>A single 0.5 mL dose of quadrivalent influenza subunit vaccine (with the strains recommended for the past influenza season NH2014/2015</w:t>
      </w:r>
      <w:r w:rsidR="00317BB9">
        <w:rPr>
          <w:lang w:eastAsia="ja-JP"/>
        </w:rPr>
        <w:t>) was given</w:t>
      </w:r>
      <w:r w:rsidRPr="001C3C0C">
        <w:rPr>
          <w:lang w:eastAsia="ja-JP"/>
        </w:rPr>
        <w:t>. The HA content of the QIV batch as follows:</w:t>
      </w:r>
    </w:p>
    <w:p w14:paraId="72A9CEF4" w14:textId="5695C4FA" w:rsidR="001C3C0C" w:rsidRPr="001C3C0C" w:rsidRDefault="001C3C0C" w:rsidP="00796F2C">
      <w:pPr>
        <w:pStyle w:val="ListBullet"/>
        <w:rPr>
          <w:lang w:eastAsia="ja-JP"/>
        </w:rPr>
      </w:pPr>
      <w:r w:rsidRPr="001C3C0C">
        <w:rPr>
          <w:lang w:eastAsia="ja-JP"/>
        </w:rPr>
        <w:t>A/California/7/2009 (H1N1)</w:t>
      </w:r>
      <w:r w:rsidR="00EB47C7">
        <w:rPr>
          <w:lang w:eastAsia="ja-JP"/>
        </w:rPr>
        <w:t xml:space="preserve"> pdm09 </w:t>
      </w:r>
      <w:r w:rsidRPr="001C3C0C">
        <w:rPr>
          <w:lang w:eastAsia="ja-JP"/>
        </w:rPr>
        <w:t xml:space="preserve">like strain (A/California/7/2009, X-181) (16.9 </w:t>
      </w:r>
      <w:r w:rsidR="00EB47C7">
        <w:rPr>
          <w:lang w:eastAsia="ja-JP"/>
        </w:rPr>
        <w:t>µ</w:t>
      </w:r>
      <w:r w:rsidRPr="001C3C0C">
        <w:rPr>
          <w:lang w:eastAsia="ja-JP"/>
        </w:rPr>
        <w:t>g</w:t>
      </w:r>
      <w:r w:rsidR="00796F2C">
        <w:rPr>
          <w:lang w:eastAsia="ja-JP"/>
        </w:rPr>
        <w:t xml:space="preserve"> </w:t>
      </w:r>
      <w:r w:rsidRPr="001C3C0C">
        <w:rPr>
          <w:lang w:eastAsia="ja-JP"/>
        </w:rPr>
        <w:t>HA/dose)</w:t>
      </w:r>
    </w:p>
    <w:p w14:paraId="77755A2D" w14:textId="11C99B03" w:rsidR="001C3C0C" w:rsidRPr="001C3C0C" w:rsidRDefault="00EB47C7" w:rsidP="00796F2C">
      <w:pPr>
        <w:pStyle w:val="ListBullet"/>
        <w:rPr>
          <w:lang w:eastAsia="ja-JP"/>
        </w:rPr>
      </w:pPr>
      <w:r>
        <w:rPr>
          <w:lang w:eastAsia="ja-JP"/>
        </w:rPr>
        <w:t xml:space="preserve">A/Texas/50/2012 (H3N2) </w:t>
      </w:r>
      <w:r w:rsidR="001C3C0C" w:rsidRPr="001C3C0C">
        <w:rPr>
          <w:lang w:eastAsia="ja-JP"/>
        </w:rPr>
        <w:t xml:space="preserve">like strain (A/Texas/50/2012, X-223A) (17.0 </w:t>
      </w:r>
      <w:r>
        <w:rPr>
          <w:lang w:eastAsia="ja-JP"/>
        </w:rPr>
        <w:t>µ</w:t>
      </w:r>
      <w:r w:rsidR="001C3C0C" w:rsidRPr="001C3C0C">
        <w:rPr>
          <w:lang w:eastAsia="ja-JP"/>
        </w:rPr>
        <w:t>g HA/dose)</w:t>
      </w:r>
    </w:p>
    <w:p w14:paraId="6C117425" w14:textId="55B753D0" w:rsidR="001C3C0C" w:rsidRPr="001C3C0C" w:rsidRDefault="00EB47C7" w:rsidP="00796F2C">
      <w:pPr>
        <w:pStyle w:val="ListBullet"/>
        <w:rPr>
          <w:lang w:eastAsia="ja-JP"/>
        </w:rPr>
      </w:pPr>
      <w:r>
        <w:rPr>
          <w:lang w:eastAsia="ja-JP"/>
        </w:rPr>
        <w:lastRenderedPageBreak/>
        <w:t xml:space="preserve">B/Massachusetts/2/2012 </w:t>
      </w:r>
      <w:r w:rsidR="001C3C0C" w:rsidRPr="001C3C0C">
        <w:rPr>
          <w:lang w:eastAsia="ja-JP"/>
        </w:rPr>
        <w:t xml:space="preserve">like strain (B/Massachusetts/2/2012, BX-51B) (15.3 </w:t>
      </w:r>
      <w:r>
        <w:rPr>
          <w:lang w:eastAsia="ja-JP"/>
        </w:rPr>
        <w:t>µ</w:t>
      </w:r>
      <w:r w:rsidR="001C3C0C" w:rsidRPr="001C3C0C">
        <w:rPr>
          <w:lang w:eastAsia="ja-JP"/>
        </w:rPr>
        <w:t>g HA/dose)</w:t>
      </w:r>
    </w:p>
    <w:p w14:paraId="7707BF46" w14:textId="1720254C" w:rsidR="001C3C0C" w:rsidRPr="00796F2C" w:rsidRDefault="001C3C0C" w:rsidP="001C3C0C">
      <w:pPr>
        <w:pStyle w:val="ListBullet"/>
        <w:rPr>
          <w:lang w:eastAsia="ja-JP"/>
        </w:rPr>
      </w:pPr>
      <w:r w:rsidRPr="001C3C0C">
        <w:rPr>
          <w:lang w:eastAsia="ja-JP"/>
        </w:rPr>
        <w:t xml:space="preserve">B/Brisbane/60/2008 (wild type) (17.3 </w:t>
      </w:r>
      <w:r w:rsidR="00EB47C7">
        <w:rPr>
          <w:lang w:eastAsia="ja-JP"/>
        </w:rPr>
        <w:t>µ</w:t>
      </w:r>
      <w:r w:rsidRPr="001C3C0C">
        <w:rPr>
          <w:lang w:eastAsia="ja-JP"/>
        </w:rPr>
        <w:t>g HA/dose)</w:t>
      </w:r>
    </w:p>
    <w:p w14:paraId="7F41E9EB" w14:textId="52274710" w:rsidR="001C3C0C" w:rsidRPr="001C3C0C" w:rsidRDefault="001C3C0C" w:rsidP="00796F2C">
      <w:pPr>
        <w:pStyle w:val="Heading6"/>
        <w:rPr>
          <w:lang w:eastAsia="ja-JP"/>
        </w:rPr>
      </w:pPr>
      <w:r w:rsidRPr="001C3C0C">
        <w:rPr>
          <w:lang w:eastAsia="ja-JP"/>
        </w:rPr>
        <w:t xml:space="preserve">Reference </w:t>
      </w:r>
      <w:r w:rsidR="001968BD" w:rsidRPr="001C3C0C">
        <w:rPr>
          <w:lang w:eastAsia="ja-JP"/>
        </w:rPr>
        <w:t xml:space="preserve">therapy, </w:t>
      </w:r>
      <w:r w:rsidR="001968BD">
        <w:rPr>
          <w:lang w:eastAsia="ja-JP"/>
        </w:rPr>
        <w:t>dose and mode of administration</w:t>
      </w:r>
    </w:p>
    <w:p w14:paraId="4338ECCE" w14:textId="6331227A" w:rsidR="001C3C0C" w:rsidRPr="001C3C0C" w:rsidRDefault="001C3C0C" w:rsidP="001C3C0C">
      <w:pPr>
        <w:rPr>
          <w:lang w:eastAsia="ja-JP"/>
        </w:rPr>
      </w:pPr>
      <w:r w:rsidRPr="001C3C0C">
        <w:rPr>
          <w:lang w:eastAsia="ja-JP"/>
        </w:rPr>
        <w:t xml:space="preserve">A single 0.5 mL dose of licensed </w:t>
      </w:r>
      <w:r w:rsidR="004D432A">
        <w:rPr>
          <w:lang w:eastAsia="ja-JP"/>
        </w:rPr>
        <w:t>Influvac</w:t>
      </w:r>
      <w:r w:rsidRPr="001C3C0C">
        <w:rPr>
          <w:lang w:eastAsia="ja-JP"/>
        </w:rPr>
        <w:t xml:space="preserve"> containing ap</w:t>
      </w:r>
      <w:r w:rsidR="00796F2C">
        <w:rPr>
          <w:lang w:eastAsia="ja-JP"/>
        </w:rPr>
        <w:t xml:space="preserve">proximately 15 </w:t>
      </w:r>
      <w:r w:rsidR="001968BD">
        <w:rPr>
          <w:lang w:eastAsia="ja-JP"/>
        </w:rPr>
        <w:t>µ</w:t>
      </w:r>
      <w:r w:rsidR="00796F2C">
        <w:rPr>
          <w:lang w:eastAsia="ja-JP"/>
        </w:rPr>
        <w:t xml:space="preserve">g of HA antigen </w:t>
      </w:r>
      <w:r w:rsidRPr="001C3C0C">
        <w:rPr>
          <w:lang w:eastAsia="ja-JP"/>
        </w:rPr>
        <w:t>per virus strain, or a single 0.5 mL dose of TIV containing the alternate B</w:t>
      </w:r>
      <w:r w:rsidR="00473C1F">
        <w:rPr>
          <w:lang w:eastAsia="ja-JP"/>
        </w:rPr>
        <w:t xml:space="preserve"> strain</w:t>
      </w:r>
      <w:r w:rsidRPr="001C3C0C">
        <w:rPr>
          <w:lang w:eastAsia="ja-JP"/>
        </w:rPr>
        <w:t xml:space="preserve"> (both</w:t>
      </w:r>
      <w:r w:rsidR="00796F2C">
        <w:rPr>
          <w:lang w:eastAsia="ja-JP"/>
        </w:rPr>
        <w:t xml:space="preserve"> </w:t>
      </w:r>
      <w:r w:rsidRPr="001C3C0C">
        <w:rPr>
          <w:lang w:eastAsia="ja-JP"/>
        </w:rPr>
        <w:t>vaccines with the strains recommended for the past influenza season NH2014/2015),</w:t>
      </w:r>
      <w:r w:rsidR="00796F2C">
        <w:rPr>
          <w:lang w:eastAsia="ja-JP"/>
        </w:rPr>
        <w:t xml:space="preserve"> </w:t>
      </w:r>
      <w:r w:rsidRPr="001C3C0C">
        <w:rPr>
          <w:lang w:eastAsia="ja-JP"/>
        </w:rPr>
        <w:t>administered by intramuscular injection in the deltoid muscle of the upper arm.</w:t>
      </w:r>
    </w:p>
    <w:p w14:paraId="79E172F3" w14:textId="77777777" w:rsidR="001C3C0C" w:rsidRPr="001968BD" w:rsidRDefault="001C3C0C" w:rsidP="001C3C0C">
      <w:pPr>
        <w:rPr>
          <w:lang w:eastAsia="ja-JP"/>
        </w:rPr>
      </w:pPr>
      <w:r w:rsidRPr="001C3C0C">
        <w:rPr>
          <w:lang w:eastAsia="ja-JP"/>
        </w:rPr>
        <w:t xml:space="preserve">The HA content of the </w:t>
      </w:r>
      <w:proofErr w:type="gramStart"/>
      <w:r w:rsidRPr="001968BD">
        <w:rPr>
          <w:lang w:eastAsia="ja-JP"/>
        </w:rPr>
        <w:t>TIV</w:t>
      </w:r>
      <w:r w:rsidRPr="001968BD">
        <w:rPr>
          <w:vertAlign w:val="subscript"/>
          <w:lang w:eastAsia="ja-JP"/>
        </w:rPr>
        <w:t>(</w:t>
      </w:r>
      <w:proofErr w:type="gramEnd"/>
      <w:r w:rsidRPr="001968BD">
        <w:rPr>
          <w:vertAlign w:val="subscript"/>
          <w:lang w:eastAsia="ja-JP"/>
        </w:rPr>
        <w:t>Vic)</w:t>
      </w:r>
      <w:r w:rsidRPr="001968BD">
        <w:rPr>
          <w:lang w:eastAsia="ja-JP"/>
        </w:rPr>
        <w:t xml:space="preserve"> batch was as follows:</w:t>
      </w:r>
    </w:p>
    <w:p w14:paraId="00BC5E4D" w14:textId="7688262D" w:rsidR="001C3C0C" w:rsidRPr="001968BD" w:rsidRDefault="001C3C0C" w:rsidP="00796F2C">
      <w:pPr>
        <w:pStyle w:val="ListBullet"/>
        <w:rPr>
          <w:lang w:eastAsia="ja-JP"/>
        </w:rPr>
      </w:pPr>
      <w:r w:rsidRPr="001968BD">
        <w:rPr>
          <w:lang w:eastAsia="ja-JP"/>
        </w:rPr>
        <w:t>A/California/7/200</w:t>
      </w:r>
      <w:r w:rsidR="001968BD" w:rsidRPr="001968BD">
        <w:rPr>
          <w:lang w:eastAsia="ja-JP"/>
        </w:rPr>
        <w:t xml:space="preserve">9 (H1N1) pdm09 </w:t>
      </w:r>
      <w:r w:rsidRPr="001968BD">
        <w:rPr>
          <w:lang w:eastAsia="ja-JP"/>
        </w:rPr>
        <w:t xml:space="preserve">like strain (A/California/7/2009, X-181) (16.7 </w:t>
      </w:r>
      <w:r w:rsidR="001968BD" w:rsidRPr="001968BD">
        <w:rPr>
          <w:lang w:eastAsia="ja-JP"/>
        </w:rPr>
        <w:t>µ</w:t>
      </w:r>
      <w:r w:rsidRPr="001968BD">
        <w:rPr>
          <w:lang w:eastAsia="ja-JP"/>
        </w:rPr>
        <w:t>g</w:t>
      </w:r>
      <w:r w:rsidR="00796F2C" w:rsidRPr="001968BD">
        <w:rPr>
          <w:lang w:eastAsia="ja-JP"/>
        </w:rPr>
        <w:t xml:space="preserve"> </w:t>
      </w:r>
      <w:r w:rsidRPr="001968BD">
        <w:rPr>
          <w:lang w:eastAsia="ja-JP"/>
        </w:rPr>
        <w:t>HA/dose)</w:t>
      </w:r>
    </w:p>
    <w:p w14:paraId="557A562F" w14:textId="407EBFE3" w:rsidR="001C3C0C" w:rsidRPr="001968BD" w:rsidRDefault="001968BD" w:rsidP="00796F2C">
      <w:pPr>
        <w:pStyle w:val="ListBullet"/>
        <w:rPr>
          <w:lang w:eastAsia="ja-JP"/>
        </w:rPr>
      </w:pPr>
      <w:r w:rsidRPr="001968BD">
        <w:rPr>
          <w:lang w:eastAsia="ja-JP"/>
        </w:rPr>
        <w:t xml:space="preserve">A/Texas/50/2012 (H3N2) </w:t>
      </w:r>
      <w:r w:rsidR="001C3C0C" w:rsidRPr="001968BD">
        <w:rPr>
          <w:lang w:eastAsia="ja-JP"/>
        </w:rPr>
        <w:t xml:space="preserve">like strain (A/Texas/50/2012, X-223A) (16.5 </w:t>
      </w:r>
      <w:r w:rsidRPr="001968BD">
        <w:rPr>
          <w:lang w:eastAsia="ja-JP"/>
        </w:rPr>
        <w:t>µ</w:t>
      </w:r>
      <w:r w:rsidR="001C3C0C" w:rsidRPr="001968BD">
        <w:rPr>
          <w:lang w:eastAsia="ja-JP"/>
        </w:rPr>
        <w:t>g HA/dose)</w:t>
      </w:r>
    </w:p>
    <w:p w14:paraId="01765DFD" w14:textId="27917F66" w:rsidR="001C3C0C" w:rsidRPr="001968BD" w:rsidRDefault="001C3C0C" w:rsidP="00796F2C">
      <w:pPr>
        <w:pStyle w:val="ListBullet"/>
        <w:rPr>
          <w:lang w:eastAsia="ja-JP"/>
        </w:rPr>
      </w:pPr>
      <w:r w:rsidRPr="001968BD">
        <w:rPr>
          <w:lang w:eastAsia="ja-JP"/>
        </w:rPr>
        <w:t>B/Brisbane/60/200</w:t>
      </w:r>
      <w:r w:rsidR="00796F2C" w:rsidRPr="001968BD">
        <w:rPr>
          <w:lang w:eastAsia="ja-JP"/>
        </w:rPr>
        <w:t xml:space="preserve">8 (wild type) (18.4 </w:t>
      </w:r>
      <w:r w:rsidR="001968BD" w:rsidRPr="001968BD">
        <w:rPr>
          <w:lang w:eastAsia="ja-JP"/>
        </w:rPr>
        <w:t>µ</w:t>
      </w:r>
      <w:r w:rsidR="00796F2C" w:rsidRPr="001968BD">
        <w:rPr>
          <w:lang w:eastAsia="ja-JP"/>
        </w:rPr>
        <w:t>g HA/dose)</w:t>
      </w:r>
    </w:p>
    <w:p w14:paraId="35005D2C" w14:textId="13D12B72" w:rsidR="001C3C0C" w:rsidRPr="001C3C0C" w:rsidRDefault="001C3C0C" w:rsidP="001C3C0C">
      <w:pPr>
        <w:rPr>
          <w:lang w:eastAsia="ja-JP"/>
        </w:rPr>
      </w:pPr>
      <w:r w:rsidRPr="001968BD">
        <w:rPr>
          <w:lang w:eastAsia="ja-JP"/>
        </w:rPr>
        <w:t xml:space="preserve">The HA content of the </w:t>
      </w:r>
      <w:proofErr w:type="gramStart"/>
      <w:r w:rsidRPr="001968BD">
        <w:rPr>
          <w:lang w:eastAsia="ja-JP"/>
        </w:rPr>
        <w:t>TIV</w:t>
      </w:r>
      <w:r w:rsidRPr="001968BD">
        <w:rPr>
          <w:vertAlign w:val="subscript"/>
          <w:lang w:eastAsia="ja-JP"/>
        </w:rPr>
        <w:t>(</w:t>
      </w:r>
      <w:proofErr w:type="gramEnd"/>
      <w:r w:rsidRPr="001968BD">
        <w:rPr>
          <w:vertAlign w:val="subscript"/>
          <w:lang w:eastAsia="ja-JP"/>
        </w:rPr>
        <w:t>Yam)(</w:t>
      </w:r>
      <w:r w:rsidRPr="001C3C0C">
        <w:rPr>
          <w:lang w:eastAsia="ja-JP"/>
        </w:rPr>
        <w:t xml:space="preserve"> </w:t>
      </w:r>
      <w:r w:rsidR="004D432A">
        <w:rPr>
          <w:lang w:eastAsia="ja-JP"/>
        </w:rPr>
        <w:t>Influvac</w:t>
      </w:r>
      <w:r w:rsidRPr="001C3C0C">
        <w:rPr>
          <w:lang w:eastAsia="ja-JP"/>
        </w:rPr>
        <w:t>) batch was as follows:</w:t>
      </w:r>
    </w:p>
    <w:p w14:paraId="15C4328F" w14:textId="6555A81D" w:rsidR="001C3C0C" w:rsidRPr="001C3C0C" w:rsidRDefault="001C3C0C" w:rsidP="00796F2C">
      <w:pPr>
        <w:pStyle w:val="ListBullet"/>
        <w:rPr>
          <w:lang w:eastAsia="ja-JP"/>
        </w:rPr>
      </w:pPr>
      <w:r w:rsidRPr="001C3C0C">
        <w:rPr>
          <w:lang w:eastAsia="ja-JP"/>
        </w:rPr>
        <w:t>A/California/7/2009 (H1N1)</w:t>
      </w:r>
      <w:r w:rsidR="001968BD">
        <w:rPr>
          <w:lang w:eastAsia="ja-JP"/>
        </w:rPr>
        <w:t xml:space="preserve"> pdm09 </w:t>
      </w:r>
      <w:r w:rsidRPr="001C3C0C">
        <w:rPr>
          <w:lang w:eastAsia="ja-JP"/>
        </w:rPr>
        <w:t xml:space="preserve">like strain (A/California/7/2009, X-181) (17.1 </w:t>
      </w:r>
      <w:r w:rsidR="001968BD">
        <w:rPr>
          <w:lang w:eastAsia="ja-JP"/>
        </w:rPr>
        <w:t>µ</w:t>
      </w:r>
      <w:r w:rsidRPr="001C3C0C">
        <w:rPr>
          <w:lang w:eastAsia="ja-JP"/>
        </w:rPr>
        <w:t>g</w:t>
      </w:r>
      <w:r w:rsidR="00796F2C">
        <w:rPr>
          <w:lang w:eastAsia="ja-JP"/>
        </w:rPr>
        <w:t xml:space="preserve"> </w:t>
      </w:r>
      <w:r w:rsidRPr="001C3C0C">
        <w:rPr>
          <w:lang w:eastAsia="ja-JP"/>
        </w:rPr>
        <w:t>HA/dose)</w:t>
      </w:r>
    </w:p>
    <w:p w14:paraId="22D446B5" w14:textId="5CB5BC94" w:rsidR="001C3C0C" w:rsidRPr="001C3C0C" w:rsidRDefault="001968BD" w:rsidP="00796F2C">
      <w:pPr>
        <w:pStyle w:val="ListBullet"/>
        <w:rPr>
          <w:lang w:eastAsia="ja-JP"/>
        </w:rPr>
      </w:pPr>
      <w:r>
        <w:rPr>
          <w:lang w:eastAsia="ja-JP"/>
        </w:rPr>
        <w:t xml:space="preserve">A/Texas/50/2012 (H3N2) </w:t>
      </w:r>
      <w:r w:rsidR="001C3C0C" w:rsidRPr="001C3C0C">
        <w:rPr>
          <w:lang w:eastAsia="ja-JP"/>
        </w:rPr>
        <w:t xml:space="preserve">like strain (A/Texas/50/2012, X-223A) (16.6 </w:t>
      </w:r>
      <w:r>
        <w:rPr>
          <w:lang w:eastAsia="ja-JP"/>
        </w:rPr>
        <w:t>µ</w:t>
      </w:r>
      <w:r w:rsidR="001C3C0C" w:rsidRPr="001C3C0C">
        <w:rPr>
          <w:lang w:eastAsia="ja-JP"/>
        </w:rPr>
        <w:t>g HA/dose)</w:t>
      </w:r>
    </w:p>
    <w:p w14:paraId="2E322F58" w14:textId="289B46A9" w:rsidR="001C3C0C" w:rsidRPr="001C3C0C" w:rsidRDefault="001968BD" w:rsidP="001C3C0C">
      <w:pPr>
        <w:pStyle w:val="ListBullet"/>
        <w:rPr>
          <w:lang w:eastAsia="ja-JP"/>
        </w:rPr>
      </w:pPr>
      <w:r>
        <w:rPr>
          <w:lang w:eastAsia="ja-JP"/>
        </w:rPr>
        <w:t xml:space="preserve">B/Massachusetts/2/2012 </w:t>
      </w:r>
      <w:r w:rsidR="001C3C0C" w:rsidRPr="001C3C0C">
        <w:rPr>
          <w:lang w:eastAsia="ja-JP"/>
        </w:rPr>
        <w:t xml:space="preserve">like strain (B/Massachusetts/2/2012, BX-51B) (14.9 </w:t>
      </w:r>
      <w:r>
        <w:rPr>
          <w:lang w:eastAsia="ja-JP"/>
        </w:rPr>
        <w:t>µ</w:t>
      </w:r>
      <w:r w:rsidR="001C3C0C" w:rsidRPr="001C3C0C">
        <w:rPr>
          <w:lang w:eastAsia="ja-JP"/>
        </w:rPr>
        <w:t>g HA/dose)</w:t>
      </w:r>
    </w:p>
    <w:p w14:paraId="3489BD71" w14:textId="25B89BAA" w:rsidR="001C3C0C" w:rsidRPr="001C3C0C" w:rsidRDefault="001C3C0C" w:rsidP="001C3C0C">
      <w:pPr>
        <w:rPr>
          <w:lang w:eastAsia="ja-JP"/>
        </w:rPr>
      </w:pPr>
      <w:r w:rsidRPr="001C3C0C">
        <w:rPr>
          <w:lang w:eastAsia="ja-JP"/>
        </w:rPr>
        <w:t>Above mentioned HA doses are according to the respe</w:t>
      </w:r>
      <w:r w:rsidR="00796F2C">
        <w:rPr>
          <w:lang w:eastAsia="ja-JP"/>
        </w:rPr>
        <w:t xml:space="preserve">ctive </w:t>
      </w:r>
      <w:r w:rsidR="001968BD">
        <w:rPr>
          <w:lang w:eastAsia="ja-JP"/>
        </w:rPr>
        <w:t>certificates of analysis.</w:t>
      </w:r>
    </w:p>
    <w:p w14:paraId="23355DD0" w14:textId="77777777" w:rsidR="001C3C0C" w:rsidRPr="001C3C0C" w:rsidRDefault="001C3C0C" w:rsidP="001C3C0C">
      <w:pPr>
        <w:pStyle w:val="Heading5"/>
        <w:rPr>
          <w:rFonts w:eastAsia="Cambria"/>
          <w:lang w:eastAsia="ja-JP"/>
        </w:rPr>
      </w:pPr>
      <w:r w:rsidRPr="001C3C0C">
        <w:rPr>
          <w:rFonts w:eastAsia="Cambria"/>
          <w:lang w:eastAsia="ja-JP"/>
        </w:rPr>
        <w:t>Efficacy variables and outcomes</w:t>
      </w:r>
    </w:p>
    <w:p w14:paraId="515CAC29" w14:textId="3E4B6867" w:rsidR="001C3C0C" w:rsidRPr="001968BD" w:rsidRDefault="001968BD" w:rsidP="001C3C0C">
      <w:pPr>
        <w:rPr>
          <w:lang w:eastAsia="ja-JP"/>
        </w:rPr>
      </w:pPr>
      <w:r w:rsidRPr="001968BD">
        <w:rPr>
          <w:lang w:eastAsia="ja-JP"/>
        </w:rPr>
        <w:t xml:space="preserve">Randomised, double blind, active </w:t>
      </w:r>
      <w:r w:rsidR="001C3C0C" w:rsidRPr="001968BD">
        <w:rPr>
          <w:lang w:eastAsia="ja-JP"/>
        </w:rPr>
        <w:t xml:space="preserve">controlled immunogenicity study in </w:t>
      </w:r>
      <w:r w:rsidR="00957523" w:rsidRPr="001968BD">
        <w:rPr>
          <w:lang w:eastAsia="ja-JP"/>
        </w:rPr>
        <w:t>2</w:t>
      </w:r>
      <w:r w:rsidR="001C3C0C" w:rsidRPr="001968BD">
        <w:rPr>
          <w:lang w:eastAsia="ja-JP"/>
        </w:rPr>
        <w:t xml:space="preserve"> age groups: adults and elderly. In both age groups, eligible participants will be randomly assigned to vaccination with QIV, </w:t>
      </w:r>
      <w:proofErr w:type="gramStart"/>
      <w:r w:rsidR="001C3C0C" w:rsidRPr="001968BD">
        <w:rPr>
          <w:lang w:eastAsia="ja-JP"/>
        </w:rPr>
        <w:t>TIV</w:t>
      </w:r>
      <w:r w:rsidR="001C3C0C" w:rsidRPr="001968BD">
        <w:rPr>
          <w:vertAlign w:val="subscript"/>
          <w:lang w:eastAsia="ja-JP"/>
        </w:rPr>
        <w:t>(</w:t>
      </w:r>
      <w:proofErr w:type="gramEnd"/>
      <w:r w:rsidR="001C3C0C" w:rsidRPr="001968BD">
        <w:rPr>
          <w:vertAlign w:val="subscript"/>
          <w:lang w:eastAsia="ja-JP"/>
        </w:rPr>
        <w:t xml:space="preserve">Vic) </w:t>
      </w:r>
      <w:r w:rsidR="001C3C0C" w:rsidRPr="001968BD">
        <w:rPr>
          <w:lang w:eastAsia="ja-JP"/>
        </w:rPr>
        <w:t>or TIV</w:t>
      </w:r>
      <w:r w:rsidR="001C3C0C" w:rsidRPr="001968BD">
        <w:rPr>
          <w:vertAlign w:val="subscript"/>
          <w:lang w:eastAsia="ja-JP"/>
        </w:rPr>
        <w:t>(Yam)</w:t>
      </w:r>
      <w:r w:rsidR="001C3C0C" w:rsidRPr="001968BD">
        <w:rPr>
          <w:lang w:eastAsia="ja-JP"/>
        </w:rPr>
        <w:t>, in a 7:1:1 ratio, respectively.</w:t>
      </w:r>
    </w:p>
    <w:p w14:paraId="6B457230" w14:textId="37CA2EC1" w:rsidR="001C3C0C" w:rsidRPr="001968BD" w:rsidRDefault="001C3C0C" w:rsidP="001C3C0C">
      <w:pPr>
        <w:rPr>
          <w:lang w:eastAsia="ja-JP"/>
        </w:rPr>
      </w:pPr>
      <w:r w:rsidRPr="001968BD">
        <w:rPr>
          <w:lang w:eastAsia="ja-JP"/>
        </w:rPr>
        <w:t>Screening performed at Visit 1, or alternatively maximally 2 weeks before: informed consent and review of medical history, inclusion and exclusion criteria, demographic data, concomitant medication, influenza and influenza vaccination</w:t>
      </w:r>
      <w:r w:rsidR="001968BD">
        <w:rPr>
          <w:lang w:eastAsia="ja-JP"/>
        </w:rPr>
        <w:t xml:space="preserve"> history; physical examination.</w:t>
      </w:r>
    </w:p>
    <w:p w14:paraId="623A9EB6" w14:textId="78AF2848" w:rsidR="001C3C0C" w:rsidRPr="001968BD" w:rsidRDefault="001C3C0C" w:rsidP="001C3C0C">
      <w:pPr>
        <w:rPr>
          <w:lang w:eastAsia="ja-JP"/>
        </w:rPr>
      </w:pPr>
      <w:r w:rsidRPr="001968BD">
        <w:rPr>
          <w:lang w:eastAsia="ja-JP"/>
        </w:rPr>
        <w:t xml:space="preserve">Visit 1 (Day 1): pregnancy test for females of childbearing potential; assessment of AEs and concomitant medications; blood sampling for baseline immunogenicity assessment. </w:t>
      </w:r>
      <w:r w:rsidR="00C30B57">
        <w:rPr>
          <w:lang w:eastAsia="ja-JP"/>
        </w:rPr>
        <w:t>Subjects were v</w:t>
      </w:r>
      <w:r w:rsidRPr="001968BD">
        <w:rPr>
          <w:lang w:eastAsia="ja-JP"/>
        </w:rPr>
        <w:t>accinated with the study vaccine IM in the deltoid muscle of the arm. Subjects observed for</w:t>
      </w:r>
      <w:r w:rsidR="001B2B66" w:rsidRPr="001968BD">
        <w:rPr>
          <w:lang w:eastAsia="ja-JP"/>
        </w:rPr>
        <w:t xml:space="preserve"> ≥ </w:t>
      </w:r>
      <w:r w:rsidRPr="001968BD">
        <w:rPr>
          <w:lang w:eastAsia="ja-JP"/>
        </w:rPr>
        <w:t xml:space="preserve">30 minutes to monitor for any immediate adverse reactions, and a daily diary, thermometer, and ruler provided for daily reporting of solicited local and systemic reactions and overall inconvenience occurring during the first </w:t>
      </w:r>
      <w:r w:rsidR="00957523" w:rsidRPr="001968BD">
        <w:rPr>
          <w:lang w:eastAsia="ja-JP"/>
        </w:rPr>
        <w:t>7</w:t>
      </w:r>
      <w:r w:rsidRPr="001968BD">
        <w:rPr>
          <w:lang w:eastAsia="ja-JP"/>
        </w:rPr>
        <w:t xml:space="preserve"> days</w:t>
      </w:r>
      <w:r w:rsidR="001968BD">
        <w:rPr>
          <w:lang w:eastAsia="ja-JP"/>
        </w:rPr>
        <w:t xml:space="preserve"> after vaccination.</w:t>
      </w:r>
    </w:p>
    <w:p w14:paraId="3763CA28" w14:textId="0525E3F4" w:rsidR="001C3C0C" w:rsidRPr="001968BD" w:rsidRDefault="001C3C0C" w:rsidP="001C3C0C">
      <w:pPr>
        <w:rPr>
          <w:lang w:eastAsia="ja-JP"/>
        </w:rPr>
      </w:pPr>
      <w:r w:rsidRPr="001968BD">
        <w:rPr>
          <w:lang w:eastAsia="ja-JP"/>
        </w:rPr>
        <w:t xml:space="preserve">Subjects </w:t>
      </w:r>
      <w:r w:rsidR="00CD0D6F">
        <w:rPr>
          <w:lang w:eastAsia="ja-JP"/>
        </w:rPr>
        <w:t xml:space="preserve">were </w:t>
      </w:r>
      <w:r w:rsidRPr="001968BD">
        <w:rPr>
          <w:lang w:eastAsia="ja-JP"/>
        </w:rPr>
        <w:t>instructed to report intercurrent respiratory infections immediately (</w:t>
      </w:r>
      <w:r w:rsidR="001968BD">
        <w:rPr>
          <w:lang w:eastAsia="ja-JP"/>
        </w:rPr>
        <w:t>that is,</w:t>
      </w:r>
      <w:r w:rsidRPr="001968BD">
        <w:rPr>
          <w:lang w:eastAsia="ja-JP"/>
        </w:rPr>
        <w:t xml:space="preserve"> occurrence of symptoms or signs likely to predict influenza infection) in the period following vaccination until Visit 2 (Day 22) by phone contact, at which an extra visit </w:t>
      </w:r>
      <w:r w:rsidR="00CD0D6F">
        <w:rPr>
          <w:lang w:eastAsia="ja-JP"/>
        </w:rPr>
        <w:t>was to</w:t>
      </w:r>
      <w:r w:rsidR="00CD0D6F" w:rsidRPr="001968BD">
        <w:rPr>
          <w:lang w:eastAsia="ja-JP"/>
        </w:rPr>
        <w:t xml:space="preserve"> </w:t>
      </w:r>
      <w:r w:rsidRPr="001968BD">
        <w:rPr>
          <w:lang w:eastAsia="ja-JP"/>
        </w:rPr>
        <w:t>be scheduled, preferably within 24 hours, but no later than 72 hours after the onset of symptoms. At these extra visits, a nasal and/or pharyngeal swab w</w:t>
      </w:r>
      <w:r w:rsidR="008D7755">
        <w:rPr>
          <w:lang w:eastAsia="ja-JP"/>
        </w:rPr>
        <w:t>as to</w:t>
      </w:r>
      <w:r w:rsidRPr="001968BD">
        <w:rPr>
          <w:lang w:eastAsia="ja-JP"/>
        </w:rPr>
        <w:t xml:space="preserve"> be collected for the di</w:t>
      </w:r>
      <w:r w:rsidR="001968BD">
        <w:rPr>
          <w:lang w:eastAsia="ja-JP"/>
        </w:rPr>
        <w:t>agnosis of influenza infection.</w:t>
      </w:r>
    </w:p>
    <w:p w14:paraId="0A4F3E45" w14:textId="19A6B19A" w:rsidR="001C3C0C" w:rsidRPr="001968BD" w:rsidRDefault="001C3C0C" w:rsidP="001C3C0C">
      <w:pPr>
        <w:rPr>
          <w:lang w:eastAsia="ja-JP"/>
        </w:rPr>
      </w:pPr>
      <w:r w:rsidRPr="001968BD">
        <w:rPr>
          <w:lang w:eastAsia="ja-JP"/>
        </w:rPr>
        <w:t>A telephone call occur</w:t>
      </w:r>
      <w:r w:rsidR="00CD0D6F">
        <w:rPr>
          <w:lang w:eastAsia="ja-JP"/>
        </w:rPr>
        <w:t>red</w:t>
      </w:r>
      <w:r w:rsidRPr="001968BD">
        <w:rPr>
          <w:lang w:eastAsia="ja-JP"/>
        </w:rPr>
        <w:t xml:space="preserve"> approximately </w:t>
      </w:r>
      <w:r w:rsidR="00957523" w:rsidRPr="001968BD">
        <w:rPr>
          <w:lang w:eastAsia="ja-JP"/>
        </w:rPr>
        <w:t>3</w:t>
      </w:r>
      <w:r w:rsidRPr="001968BD">
        <w:rPr>
          <w:lang w:eastAsia="ja-JP"/>
        </w:rPr>
        <w:t xml:space="preserve"> days after vaccination (Phone contact 1, Day 4) to ensure correct completion of the daily diary, </w:t>
      </w:r>
      <w:r w:rsidR="00317BB9">
        <w:rPr>
          <w:lang w:eastAsia="ja-JP"/>
        </w:rPr>
        <w:t xml:space="preserve">to </w:t>
      </w:r>
      <w:r w:rsidRPr="001968BD">
        <w:rPr>
          <w:lang w:eastAsia="ja-JP"/>
        </w:rPr>
        <w:t>assess unsolicited AEs, use of concomitant medication and remind the subject to report potential inter</w:t>
      </w:r>
      <w:r w:rsidR="001968BD">
        <w:rPr>
          <w:lang w:eastAsia="ja-JP"/>
        </w:rPr>
        <w:t>current respiratory infections.</w:t>
      </w:r>
    </w:p>
    <w:p w14:paraId="1D149976" w14:textId="2AF82FFF" w:rsidR="001C3C0C" w:rsidRPr="001968BD" w:rsidRDefault="001C3C0C" w:rsidP="001C3C0C">
      <w:pPr>
        <w:rPr>
          <w:lang w:eastAsia="ja-JP"/>
        </w:rPr>
      </w:pPr>
      <w:r w:rsidRPr="001968BD">
        <w:rPr>
          <w:lang w:eastAsia="ja-JP"/>
        </w:rPr>
        <w:t>Visit 2 (Day 22) occur</w:t>
      </w:r>
      <w:r w:rsidR="00CD0D6F">
        <w:rPr>
          <w:lang w:eastAsia="ja-JP"/>
        </w:rPr>
        <w:t>red</w:t>
      </w:r>
      <w:r w:rsidRPr="001968BD">
        <w:rPr>
          <w:lang w:eastAsia="ja-JP"/>
        </w:rPr>
        <w:t xml:space="preserve"> </w:t>
      </w:r>
      <w:r w:rsidR="00957523" w:rsidRPr="001968BD">
        <w:rPr>
          <w:lang w:eastAsia="ja-JP"/>
        </w:rPr>
        <w:t>3</w:t>
      </w:r>
      <w:r w:rsidRPr="001968BD">
        <w:rPr>
          <w:lang w:eastAsia="ja-JP"/>
        </w:rPr>
        <w:t xml:space="preserve"> weeks after vaccination and included collection of the daily diary, assessment of AEs, concomitant medication, a symptom-directed physical examination if AEs </w:t>
      </w:r>
      <w:r w:rsidRPr="001968BD">
        <w:rPr>
          <w:lang w:eastAsia="ja-JP"/>
        </w:rPr>
        <w:lastRenderedPageBreak/>
        <w:t>are present, pregnancy test for females of childbearing potential and blood collection for</w:t>
      </w:r>
      <w:r w:rsidR="001968BD">
        <w:rPr>
          <w:lang w:eastAsia="ja-JP"/>
        </w:rPr>
        <w:t xml:space="preserve"> immunogenicity assessments.</w:t>
      </w:r>
    </w:p>
    <w:p w14:paraId="3A5006C7" w14:textId="2206AA42" w:rsidR="001C3C0C" w:rsidRPr="001968BD" w:rsidRDefault="001C3C0C" w:rsidP="001C3C0C">
      <w:pPr>
        <w:rPr>
          <w:lang w:eastAsia="ja-JP"/>
        </w:rPr>
      </w:pPr>
      <w:r w:rsidRPr="001968BD">
        <w:rPr>
          <w:lang w:eastAsia="ja-JP"/>
        </w:rPr>
        <w:t xml:space="preserve">A final telephone call </w:t>
      </w:r>
      <w:r w:rsidR="00CD0D6F">
        <w:rPr>
          <w:lang w:eastAsia="ja-JP"/>
        </w:rPr>
        <w:t xml:space="preserve">occurred </w:t>
      </w:r>
      <w:r w:rsidRPr="001968BD">
        <w:rPr>
          <w:lang w:eastAsia="ja-JP"/>
        </w:rPr>
        <w:t>approximately 6 months after vaccination (Phone contact 2, Day 183) for recording any new SAEs and New Chronic Illnesses (NCIs) and any vaccinations received since Visit 2 (Day 22).</w:t>
      </w:r>
    </w:p>
    <w:p w14:paraId="18EF36BD" w14:textId="77777777" w:rsidR="00796F2C" w:rsidRDefault="001C3C0C" w:rsidP="00796F2C">
      <w:pPr>
        <w:pStyle w:val="Heading6"/>
        <w:rPr>
          <w:lang w:eastAsia="ja-JP"/>
        </w:rPr>
      </w:pPr>
      <w:r w:rsidRPr="001C3C0C">
        <w:rPr>
          <w:lang w:eastAsia="ja-JP"/>
        </w:rPr>
        <w:t>Primary endpoint(s)</w:t>
      </w:r>
    </w:p>
    <w:p w14:paraId="2B20E200" w14:textId="190AD523" w:rsidR="001C3C0C" w:rsidRPr="001C3C0C" w:rsidRDefault="001C3C0C" w:rsidP="001C3C0C">
      <w:pPr>
        <w:rPr>
          <w:lang w:eastAsia="ja-JP"/>
        </w:rPr>
      </w:pPr>
      <w:r w:rsidRPr="001C3C0C">
        <w:rPr>
          <w:lang w:eastAsia="ja-JP"/>
        </w:rPr>
        <w:t xml:space="preserve">Post-vaccination geometric mean HI antibody titres against the </w:t>
      </w:r>
      <w:r w:rsidR="00957523">
        <w:rPr>
          <w:lang w:eastAsia="ja-JP"/>
        </w:rPr>
        <w:t>2</w:t>
      </w:r>
      <w:r w:rsidR="001968BD">
        <w:rPr>
          <w:lang w:eastAsia="ja-JP"/>
        </w:rPr>
        <w:t xml:space="preserve"> </w:t>
      </w:r>
      <w:proofErr w:type="gramStart"/>
      <w:r w:rsidR="001968BD">
        <w:rPr>
          <w:lang w:eastAsia="ja-JP"/>
        </w:rPr>
        <w:t>A</w:t>
      </w:r>
      <w:proofErr w:type="gramEnd"/>
      <w:r w:rsidRPr="001C3C0C">
        <w:rPr>
          <w:lang w:eastAsia="ja-JP"/>
        </w:rPr>
        <w:t xml:space="preserve"> and the </w:t>
      </w:r>
      <w:r w:rsidR="00957523">
        <w:rPr>
          <w:lang w:eastAsia="ja-JP"/>
        </w:rPr>
        <w:t>2</w:t>
      </w:r>
      <w:r w:rsidR="001968BD">
        <w:rPr>
          <w:lang w:eastAsia="ja-JP"/>
        </w:rPr>
        <w:t xml:space="preserve"> B </w:t>
      </w:r>
      <w:r w:rsidRPr="001C3C0C">
        <w:rPr>
          <w:lang w:eastAsia="ja-JP"/>
        </w:rPr>
        <w:t>strains</w:t>
      </w:r>
    </w:p>
    <w:p w14:paraId="1E6C1A26" w14:textId="77777777" w:rsidR="00796F2C" w:rsidRDefault="001C3C0C" w:rsidP="00796F2C">
      <w:pPr>
        <w:pStyle w:val="Heading6"/>
        <w:rPr>
          <w:lang w:eastAsia="ja-JP"/>
        </w:rPr>
      </w:pPr>
      <w:r w:rsidRPr="001C3C0C">
        <w:rPr>
          <w:lang w:eastAsia="ja-JP"/>
        </w:rPr>
        <w:t>Secondary endpoint(s)</w:t>
      </w:r>
    </w:p>
    <w:p w14:paraId="278AEE72" w14:textId="73DCCE88" w:rsidR="001C3C0C" w:rsidRPr="001C3C0C" w:rsidRDefault="001C3C0C" w:rsidP="001C3C0C">
      <w:pPr>
        <w:rPr>
          <w:lang w:eastAsia="ja-JP"/>
        </w:rPr>
      </w:pPr>
      <w:r w:rsidRPr="001C3C0C">
        <w:rPr>
          <w:lang w:eastAsia="ja-JP"/>
        </w:rPr>
        <w:t xml:space="preserve">Pre-vaccination geometric mean HI titres against the </w:t>
      </w:r>
      <w:r w:rsidR="00957523">
        <w:rPr>
          <w:lang w:eastAsia="ja-JP"/>
        </w:rPr>
        <w:t>2</w:t>
      </w:r>
      <w:r w:rsidR="001968BD">
        <w:rPr>
          <w:lang w:eastAsia="ja-JP"/>
        </w:rPr>
        <w:t xml:space="preserve"> A</w:t>
      </w:r>
      <w:r w:rsidRPr="001C3C0C">
        <w:rPr>
          <w:lang w:eastAsia="ja-JP"/>
        </w:rPr>
        <w:t xml:space="preserve"> and the </w:t>
      </w:r>
      <w:r w:rsidR="00957523">
        <w:rPr>
          <w:lang w:eastAsia="ja-JP"/>
        </w:rPr>
        <w:t>2</w:t>
      </w:r>
      <w:r w:rsidR="001968BD">
        <w:rPr>
          <w:lang w:eastAsia="ja-JP"/>
        </w:rPr>
        <w:t xml:space="preserve"> B strains; pre- and post</w:t>
      </w:r>
      <w:r w:rsidR="001968BD">
        <w:rPr>
          <w:lang w:eastAsia="ja-JP"/>
        </w:rPr>
        <w:noBreakHyphen/>
      </w:r>
      <w:r w:rsidRPr="001C3C0C">
        <w:rPr>
          <w:lang w:eastAsia="ja-JP"/>
        </w:rPr>
        <w:t xml:space="preserve">vaccination geometric mean VN titres for a subset of subjects; </w:t>
      </w:r>
      <w:r w:rsidR="004D485E" w:rsidRPr="001C3C0C">
        <w:rPr>
          <w:lang w:eastAsia="ja-JP"/>
        </w:rPr>
        <w:t>seroconversion</w:t>
      </w:r>
      <w:r w:rsidRPr="001C3C0C">
        <w:rPr>
          <w:lang w:eastAsia="ja-JP"/>
        </w:rPr>
        <w:t xml:space="preserve"> rates and geometric mean fold increases for HI and VN. Pre- and post-vaccination cell-mediated immunity (CMI) values for a subset of subjects.</w:t>
      </w:r>
    </w:p>
    <w:p w14:paraId="2AED3F70" w14:textId="77777777" w:rsidR="00796F2C" w:rsidRDefault="001C3C0C" w:rsidP="00796F2C">
      <w:pPr>
        <w:pStyle w:val="Heading6"/>
        <w:rPr>
          <w:lang w:eastAsia="ja-JP"/>
        </w:rPr>
      </w:pPr>
      <w:r w:rsidRPr="001C3C0C">
        <w:rPr>
          <w:lang w:eastAsia="ja-JP"/>
        </w:rPr>
        <w:t>Safety information captured</w:t>
      </w:r>
    </w:p>
    <w:p w14:paraId="02D0B5BA" w14:textId="72A95AF9" w:rsidR="00317BB9" w:rsidRDefault="001C3C0C" w:rsidP="00D715C0">
      <w:pPr>
        <w:pStyle w:val="ListBullet"/>
        <w:rPr>
          <w:lang w:eastAsia="ja-JP"/>
        </w:rPr>
      </w:pPr>
      <w:r w:rsidRPr="001C3C0C">
        <w:rPr>
          <w:lang w:eastAsia="ja-JP"/>
        </w:rPr>
        <w:t>Unsolicited (</w:t>
      </w:r>
      <w:r w:rsidR="001968BD">
        <w:rPr>
          <w:lang w:eastAsia="ja-JP"/>
        </w:rPr>
        <w:t>that is,</w:t>
      </w:r>
      <w:r w:rsidRPr="001C3C0C">
        <w:rPr>
          <w:lang w:eastAsia="ja-JP"/>
        </w:rPr>
        <w:t xml:space="preserve"> spontaneously reported) AEs and SAEs followi</w:t>
      </w:r>
      <w:r w:rsidR="001968BD">
        <w:rPr>
          <w:lang w:eastAsia="ja-JP"/>
        </w:rPr>
        <w:t>ng vaccination between Visit </w:t>
      </w:r>
      <w:r w:rsidRPr="001C3C0C">
        <w:rPr>
          <w:lang w:eastAsia="ja-JP"/>
        </w:rPr>
        <w:t>1 (Day 1) and Visit 2 (Day 22). New SAEs and NCIs bet</w:t>
      </w:r>
      <w:r w:rsidR="001968BD">
        <w:rPr>
          <w:lang w:eastAsia="ja-JP"/>
        </w:rPr>
        <w:t>ween Visit 2 (Day 22) and Phone </w:t>
      </w:r>
      <w:r w:rsidRPr="001C3C0C">
        <w:rPr>
          <w:lang w:eastAsia="ja-JP"/>
        </w:rPr>
        <w:t>contact 2 (Day 183).</w:t>
      </w:r>
    </w:p>
    <w:p w14:paraId="53B2F254" w14:textId="6613F638" w:rsidR="00317BB9" w:rsidRDefault="001C3C0C" w:rsidP="00D715C0">
      <w:pPr>
        <w:pStyle w:val="ListBullet"/>
        <w:rPr>
          <w:lang w:eastAsia="ja-JP"/>
        </w:rPr>
      </w:pPr>
      <w:r w:rsidRPr="001C3C0C">
        <w:rPr>
          <w:lang w:eastAsia="ja-JP"/>
        </w:rPr>
        <w:t>Solicited injection site reactions (</w:t>
      </w:r>
      <w:r w:rsidR="001968BD">
        <w:rPr>
          <w:lang w:eastAsia="ja-JP"/>
        </w:rPr>
        <w:t xml:space="preserve">that is </w:t>
      </w:r>
      <w:r w:rsidRPr="001C3C0C">
        <w:rPr>
          <w:lang w:eastAsia="ja-JP"/>
        </w:rPr>
        <w:t>erythema, swelling, induration, vaccination site pain, ecchymosis) and systemic reactions (</w:t>
      </w:r>
      <w:r w:rsidR="001968BD">
        <w:rPr>
          <w:lang w:eastAsia="ja-JP"/>
        </w:rPr>
        <w:t xml:space="preserve">that is </w:t>
      </w:r>
      <w:r w:rsidRPr="001C3C0C">
        <w:rPr>
          <w:lang w:eastAsia="ja-JP"/>
        </w:rPr>
        <w:t>fever, headache, malaise, myalgia, arthralgia, fatigue, sweating, shivering), within 7 days following vaccination.</w:t>
      </w:r>
    </w:p>
    <w:p w14:paraId="17EA5A17" w14:textId="13075F14" w:rsidR="001C3C0C" w:rsidRPr="001C3C0C" w:rsidRDefault="001C3C0C" w:rsidP="00D715C0">
      <w:pPr>
        <w:pStyle w:val="ListBullet"/>
        <w:rPr>
          <w:lang w:eastAsia="ja-JP"/>
        </w:rPr>
      </w:pPr>
      <w:r w:rsidRPr="001C3C0C">
        <w:rPr>
          <w:lang w:eastAsia="ja-JP"/>
        </w:rPr>
        <w:t>Overall inconvenience after the vaccination assessed.</w:t>
      </w:r>
    </w:p>
    <w:p w14:paraId="148EF38F" w14:textId="77777777" w:rsidR="001C3C0C" w:rsidRPr="001C3C0C" w:rsidRDefault="001C3C0C" w:rsidP="001C3C0C">
      <w:pPr>
        <w:pStyle w:val="Heading5"/>
        <w:rPr>
          <w:rFonts w:eastAsia="Cambria"/>
          <w:lang w:eastAsia="ja-JP"/>
        </w:rPr>
      </w:pPr>
      <w:r w:rsidRPr="001C3C0C">
        <w:rPr>
          <w:rFonts w:eastAsia="Cambria"/>
          <w:lang w:eastAsia="ja-JP"/>
        </w:rPr>
        <w:t>Randomisation and blinding methods</w:t>
      </w:r>
    </w:p>
    <w:p w14:paraId="401DC165" w14:textId="77777777" w:rsidR="00796F2C" w:rsidRDefault="001C3C0C" w:rsidP="00796F2C">
      <w:pPr>
        <w:pStyle w:val="Heading6"/>
        <w:rPr>
          <w:lang w:eastAsia="ja-JP"/>
        </w:rPr>
      </w:pPr>
      <w:r w:rsidRPr="001C3C0C">
        <w:rPr>
          <w:lang w:eastAsia="ja-JP"/>
        </w:rPr>
        <w:t>Randomisation</w:t>
      </w:r>
    </w:p>
    <w:p w14:paraId="4B226833" w14:textId="0E561551" w:rsidR="001C3C0C" w:rsidRPr="001C3C0C" w:rsidRDefault="001C3C0C" w:rsidP="001C3C0C">
      <w:pPr>
        <w:rPr>
          <w:lang w:eastAsia="ja-JP"/>
        </w:rPr>
      </w:pPr>
      <w:r w:rsidRPr="001C3C0C">
        <w:rPr>
          <w:lang w:eastAsia="ja-JP"/>
        </w:rPr>
        <w:t xml:space="preserve">Subjects assigned to a treatment group by means of randomisation using a centralised electronic system (interactive voice/web response system; IXRS). Randomisation </w:t>
      </w:r>
      <w:r w:rsidR="00B64D90">
        <w:rPr>
          <w:lang w:eastAsia="ja-JP"/>
        </w:rPr>
        <w:t xml:space="preserve">was </w:t>
      </w:r>
      <w:r w:rsidRPr="001C3C0C">
        <w:rPr>
          <w:lang w:eastAsia="ja-JP"/>
        </w:rPr>
        <w:t>stratified by centre and a</w:t>
      </w:r>
      <w:r w:rsidR="001968BD">
        <w:rPr>
          <w:lang w:eastAsia="ja-JP"/>
        </w:rPr>
        <w:t xml:space="preserve">ge group. The IXRS assigned a 5 </w:t>
      </w:r>
      <w:r w:rsidRPr="001C3C0C">
        <w:rPr>
          <w:lang w:eastAsia="ja-JP"/>
        </w:rPr>
        <w:t>digit randomisation number to each subject according to a randomisation scheme. The medica</w:t>
      </w:r>
      <w:r w:rsidR="001968BD">
        <w:rPr>
          <w:lang w:eastAsia="ja-JP"/>
        </w:rPr>
        <w:t>tion w</w:t>
      </w:r>
      <w:r w:rsidR="00CD0D6F">
        <w:rPr>
          <w:lang w:eastAsia="ja-JP"/>
        </w:rPr>
        <w:t>as</w:t>
      </w:r>
      <w:r w:rsidR="001968BD">
        <w:rPr>
          <w:lang w:eastAsia="ja-JP"/>
        </w:rPr>
        <w:t xml:space="preserve"> identified using 6 </w:t>
      </w:r>
      <w:r w:rsidRPr="001C3C0C">
        <w:rPr>
          <w:lang w:eastAsia="ja-JP"/>
        </w:rPr>
        <w:t xml:space="preserve">digit kit randomisation </w:t>
      </w:r>
      <w:proofErr w:type="gramStart"/>
      <w:r w:rsidRPr="001C3C0C">
        <w:rPr>
          <w:lang w:eastAsia="ja-JP"/>
        </w:rPr>
        <w:t>number</w:t>
      </w:r>
      <w:proofErr w:type="gramEnd"/>
      <w:r w:rsidRPr="001C3C0C">
        <w:rPr>
          <w:lang w:eastAsia="ja-JP"/>
        </w:rPr>
        <w:t xml:space="preserve">. Randomisation scheme </w:t>
      </w:r>
      <w:r w:rsidR="00317BB9">
        <w:rPr>
          <w:lang w:eastAsia="ja-JP"/>
        </w:rPr>
        <w:t xml:space="preserve">was </w:t>
      </w:r>
      <w:r w:rsidRPr="001C3C0C">
        <w:rPr>
          <w:lang w:eastAsia="ja-JP"/>
        </w:rPr>
        <w:t xml:space="preserve">provided by </w:t>
      </w:r>
      <w:r w:rsidR="00317BB9">
        <w:rPr>
          <w:lang w:eastAsia="ja-JP"/>
        </w:rPr>
        <w:t xml:space="preserve">the sponsor’s </w:t>
      </w:r>
      <w:r w:rsidR="001968BD" w:rsidRPr="001968BD">
        <w:t>clinical supply management (drug product development</w:t>
      </w:r>
      <w:r w:rsidR="001968BD">
        <w:t xml:space="preserve"> department</w:t>
      </w:r>
      <w:r w:rsidR="001968BD" w:rsidRPr="001968BD">
        <w:t>)</w:t>
      </w:r>
      <w:r w:rsidR="001968BD">
        <w:rPr>
          <w:lang w:eastAsia="ja-JP"/>
        </w:rPr>
        <w:t>.</w:t>
      </w:r>
    </w:p>
    <w:p w14:paraId="40B5C4EF" w14:textId="77777777" w:rsidR="00796F2C" w:rsidRDefault="001C3C0C" w:rsidP="00796F2C">
      <w:pPr>
        <w:pStyle w:val="Heading6"/>
        <w:rPr>
          <w:lang w:eastAsia="ja-JP"/>
        </w:rPr>
      </w:pPr>
      <w:r w:rsidRPr="001C3C0C">
        <w:rPr>
          <w:lang w:eastAsia="ja-JP"/>
        </w:rPr>
        <w:t>Blinding</w:t>
      </w:r>
    </w:p>
    <w:p w14:paraId="02044FA9" w14:textId="5C05FC5C" w:rsidR="001C3C0C" w:rsidRPr="001C3C0C" w:rsidRDefault="001C3C0C" w:rsidP="001C3C0C">
      <w:pPr>
        <w:rPr>
          <w:lang w:eastAsia="ja-JP"/>
        </w:rPr>
      </w:pPr>
      <w:r w:rsidRPr="001C3C0C">
        <w:rPr>
          <w:lang w:eastAsia="ja-JP"/>
        </w:rPr>
        <w:t xml:space="preserve">Packaging and labelling </w:t>
      </w:r>
      <w:r w:rsidR="00317BB9">
        <w:rPr>
          <w:lang w:eastAsia="ja-JP"/>
        </w:rPr>
        <w:t xml:space="preserve">was </w:t>
      </w:r>
      <w:r w:rsidRPr="001C3C0C">
        <w:rPr>
          <w:lang w:eastAsia="ja-JP"/>
        </w:rPr>
        <w:t xml:space="preserve">controlled by </w:t>
      </w:r>
      <w:r w:rsidR="001968BD">
        <w:rPr>
          <w:lang w:eastAsia="ja-JP"/>
        </w:rPr>
        <w:t xml:space="preserve">the </w:t>
      </w:r>
      <w:r w:rsidR="00317BB9">
        <w:rPr>
          <w:lang w:eastAsia="ja-JP"/>
        </w:rPr>
        <w:t xml:space="preserve">sponsor’s </w:t>
      </w:r>
      <w:r w:rsidR="001968BD" w:rsidRPr="001C3C0C">
        <w:rPr>
          <w:lang w:eastAsia="ja-JP"/>
        </w:rPr>
        <w:t>clinical supply chain management (product development and support)</w:t>
      </w:r>
      <w:r w:rsidRPr="001C3C0C">
        <w:rPr>
          <w:lang w:eastAsia="ja-JP"/>
        </w:rPr>
        <w:t>. A</w:t>
      </w:r>
      <w:r w:rsidR="00DE3333">
        <w:rPr>
          <w:lang w:eastAsia="ja-JP"/>
        </w:rPr>
        <w:t xml:space="preserve"> sponsor-designated qualified p</w:t>
      </w:r>
      <w:r w:rsidRPr="001C3C0C">
        <w:rPr>
          <w:lang w:eastAsia="ja-JP"/>
        </w:rPr>
        <w:t xml:space="preserve">erson released all clinical supplies prior to shipment to investigational sites. A </w:t>
      </w:r>
      <w:r w:rsidR="00DE3333" w:rsidRPr="001C3C0C">
        <w:rPr>
          <w:lang w:eastAsia="ja-JP"/>
        </w:rPr>
        <w:t xml:space="preserve">certificate of compliance </w:t>
      </w:r>
      <w:r w:rsidRPr="001C3C0C">
        <w:rPr>
          <w:lang w:eastAsia="ja-JP"/>
        </w:rPr>
        <w:t xml:space="preserve">was issued stating the expiry date of the clinical supplies. Distribution of study vaccine was done by </w:t>
      </w:r>
      <w:r w:rsidR="00DE3333">
        <w:rPr>
          <w:lang w:eastAsia="ja-JP"/>
        </w:rPr>
        <w:t>a separate company.</w:t>
      </w:r>
      <w:r w:rsidRPr="001C3C0C">
        <w:rPr>
          <w:lang w:eastAsia="ja-JP"/>
        </w:rPr>
        <w:t xml:space="preserve"> Blinded and packaged medication was provided to the investigational site and dispensed to the subjects. All syringes were identical in appearance, and packaged in the proper proportion to assure desired dosages and maintenance of blinding.</w:t>
      </w:r>
    </w:p>
    <w:p w14:paraId="7A70C5C8" w14:textId="77777777" w:rsidR="001C3C0C" w:rsidRPr="001C3C0C" w:rsidDel="0081373E" w:rsidRDefault="001C3C0C" w:rsidP="001C3C0C">
      <w:pPr>
        <w:pStyle w:val="Heading5"/>
        <w:rPr>
          <w:rFonts w:eastAsia="Cambria"/>
          <w:lang w:eastAsia="ja-JP"/>
        </w:rPr>
      </w:pPr>
      <w:r w:rsidRPr="001C3C0C">
        <w:rPr>
          <w:rFonts w:eastAsia="Cambria"/>
          <w:lang w:eastAsia="ja-JP"/>
        </w:rPr>
        <w:t>Analysis populations</w:t>
      </w:r>
    </w:p>
    <w:p w14:paraId="53607D1F" w14:textId="10945A8D" w:rsidR="001C3C0C" w:rsidRPr="00DE3333" w:rsidRDefault="001C3C0C" w:rsidP="00DE3333">
      <w:r w:rsidRPr="00DE3333">
        <w:t>All subjects consented sample</w:t>
      </w:r>
      <w:r w:rsidR="001B2B66" w:rsidRPr="00DE3333">
        <w:t xml:space="preserve"> </w:t>
      </w:r>
      <w:r w:rsidR="00140CBD" w:rsidRPr="00DE3333">
        <w:t>=</w:t>
      </w:r>
      <w:r w:rsidR="001B2B66" w:rsidRPr="00DE3333">
        <w:t xml:space="preserve"> </w:t>
      </w:r>
      <w:r w:rsidRPr="00DE3333">
        <w:t>all subjects who gave their informed consent.</w:t>
      </w:r>
    </w:p>
    <w:p w14:paraId="37ACFB95" w14:textId="227E57EB" w:rsidR="001C3C0C" w:rsidRPr="00DE3333" w:rsidRDefault="001C3C0C" w:rsidP="00DE3333">
      <w:r w:rsidRPr="00DE3333">
        <w:t>All subjects vaccinated sample</w:t>
      </w:r>
      <w:r w:rsidR="001B2B66" w:rsidRPr="00DE3333">
        <w:t xml:space="preserve"> </w:t>
      </w:r>
      <w:r w:rsidR="00140CBD" w:rsidRPr="00DE3333">
        <w:t>=</w:t>
      </w:r>
      <w:r w:rsidR="001B2B66" w:rsidRPr="00DE3333">
        <w:t xml:space="preserve"> </w:t>
      </w:r>
      <w:r w:rsidRPr="00DE3333">
        <w:t>all subjects consented sample; and were vaccinated.</w:t>
      </w:r>
    </w:p>
    <w:p w14:paraId="023C5D7F" w14:textId="51A30138" w:rsidR="001C3C0C" w:rsidRPr="00DE3333" w:rsidRDefault="001C3C0C" w:rsidP="00DE3333">
      <w:r w:rsidRPr="00DE3333">
        <w:t>Safety sample</w:t>
      </w:r>
      <w:r w:rsidR="001B2B66" w:rsidRPr="00DE3333">
        <w:t xml:space="preserve"> </w:t>
      </w:r>
      <w:r w:rsidR="00140CBD" w:rsidRPr="00DE3333">
        <w:t>=</w:t>
      </w:r>
      <w:r w:rsidR="001B2B66" w:rsidRPr="00DE3333">
        <w:t xml:space="preserve"> </w:t>
      </w:r>
      <w:r w:rsidRPr="00DE3333">
        <w:t>the all subjects vaccinated sample; and</w:t>
      </w:r>
      <w:r w:rsidR="001B2B66" w:rsidRPr="00DE3333">
        <w:t xml:space="preserve"> ≥ </w:t>
      </w:r>
      <w:r w:rsidRPr="00DE3333">
        <w:t>1 post-vaccination safety observation.</w:t>
      </w:r>
    </w:p>
    <w:p w14:paraId="60DB86DC" w14:textId="5694DAFC" w:rsidR="001C3C0C" w:rsidRPr="00DE3333" w:rsidRDefault="001C3C0C" w:rsidP="00DE3333">
      <w:r w:rsidRPr="00DE3333">
        <w:t>Full analysis sample (FAS)</w:t>
      </w:r>
      <w:r w:rsidR="001B2B66" w:rsidRPr="00DE3333">
        <w:t xml:space="preserve"> </w:t>
      </w:r>
      <w:r w:rsidR="00140CBD" w:rsidRPr="00DE3333">
        <w:t>=</w:t>
      </w:r>
      <w:r w:rsidR="001B2B66" w:rsidRPr="00DE3333">
        <w:t xml:space="preserve"> </w:t>
      </w:r>
      <w:r w:rsidRPr="00DE3333">
        <w:t>all subjects in the safety sample; and</w:t>
      </w:r>
      <w:r w:rsidR="001B2B66" w:rsidRPr="00DE3333">
        <w:t xml:space="preserve"> ≥ </w:t>
      </w:r>
      <w:r w:rsidRPr="00DE3333">
        <w:t>1 post-vaccination efficacy observation.</w:t>
      </w:r>
    </w:p>
    <w:p w14:paraId="60D188D4" w14:textId="77777777" w:rsidR="001C3C0C" w:rsidRPr="00DE3333" w:rsidRDefault="001C3C0C" w:rsidP="00DE3333">
      <w:r w:rsidRPr="00DE3333">
        <w:t>Per-protocol sample defined through blind data review, and consists of all subjects who: are included in the FAS; and did not present any major protocol violation.</w:t>
      </w:r>
    </w:p>
    <w:p w14:paraId="617B14DD" w14:textId="77777777" w:rsidR="001C3C0C" w:rsidRPr="001C3C0C" w:rsidRDefault="001C3C0C" w:rsidP="001C3C0C">
      <w:pPr>
        <w:pStyle w:val="Heading5"/>
        <w:rPr>
          <w:rFonts w:eastAsia="Cambria"/>
          <w:lang w:eastAsia="ja-JP"/>
        </w:rPr>
      </w:pPr>
      <w:r w:rsidRPr="001C3C0C" w:rsidDel="0081373E">
        <w:rPr>
          <w:rFonts w:eastAsia="Cambria"/>
          <w:lang w:eastAsia="ja-JP"/>
        </w:rPr>
        <w:lastRenderedPageBreak/>
        <w:t>S</w:t>
      </w:r>
      <w:r w:rsidRPr="001C3C0C">
        <w:rPr>
          <w:rFonts w:eastAsia="Cambria"/>
          <w:lang w:eastAsia="ja-JP"/>
        </w:rPr>
        <w:t>ample size</w:t>
      </w:r>
    </w:p>
    <w:p w14:paraId="49DC590C" w14:textId="20727BD2" w:rsidR="001C3C0C" w:rsidRPr="00DE3333" w:rsidRDefault="00DE3333" w:rsidP="001C3C0C">
      <w:r>
        <w:rPr>
          <w:lang w:eastAsia="ja-JP"/>
        </w:rPr>
        <w:t xml:space="preserve">Randomised, double </w:t>
      </w:r>
      <w:r w:rsidR="001C3C0C" w:rsidRPr="001C3C0C">
        <w:rPr>
          <w:lang w:eastAsia="ja-JP"/>
        </w:rPr>
        <w:t>blind, active</w:t>
      </w:r>
      <w:r>
        <w:rPr>
          <w:lang w:eastAsia="ja-JP"/>
        </w:rPr>
        <w:t xml:space="preserve"> </w:t>
      </w:r>
      <w:r w:rsidR="001C3C0C" w:rsidRPr="001C3C0C">
        <w:rPr>
          <w:lang w:eastAsia="ja-JP"/>
        </w:rPr>
        <w:t>controlled immunogenicity study in adults, stratified 1:1 for age in a non-elderly (</w:t>
      </w:r>
      <w:r w:rsidR="001B2B66">
        <w:rPr>
          <w:lang w:eastAsia="ja-JP"/>
        </w:rPr>
        <w:t xml:space="preserve">≥ </w:t>
      </w:r>
      <w:r w:rsidR="001C3C0C" w:rsidRPr="001C3C0C">
        <w:rPr>
          <w:lang w:eastAsia="ja-JP"/>
        </w:rPr>
        <w:t>18 to ≤60years) and an elderly (</w:t>
      </w:r>
      <w:r w:rsidR="001B2B66">
        <w:rPr>
          <w:lang w:eastAsia="ja-JP"/>
        </w:rPr>
        <w:t xml:space="preserve">≥ </w:t>
      </w:r>
      <w:r w:rsidR="001C3C0C" w:rsidRPr="001C3C0C">
        <w:rPr>
          <w:lang w:eastAsia="ja-JP"/>
        </w:rPr>
        <w:t>61</w:t>
      </w:r>
      <w:r>
        <w:rPr>
          <w:lang w:eastAsia="ja-JP"/>
        </w:rPr>
        <w:t xml:space="preserve"> </w:t>
      </w:r>
      <w:r w:rsidR="001C3C0C" w:rsidRPr="001C3C0C">
        <w:rPr>
          <w:lang w:eastAsia="ja-JP"/>
        </w:rPr>
        <w:t xml:space="preserve">years) group. In both age groups, eligible participants randomly assigned to vaccination with QIV, </w:t>
      </w:r>
      <w:proofErr w:type="gramStart"/>
      <w:r w:rsidR="001C3C0C" w:rsidRPr="001C3C0C">
        <w:rPr>
          <w:lang w:eastAsia="ja-JP"/>
        </w:rPr>
        <w:t>TIV</w:t>
      </w:r>
      <w:r w:rsidR="001C3C0C" w:rsidRPr="001C3C0C">
        <w:rPr>
          <w:vertAlign w:val="subscript"/>
          <w:lang w:eastAsia="ja-JP"/>
        </w:rPr>
        <w:t>(</w:t>
      </w:r>
      <w:proofErr w:type="gramEnd"/>
      <w:r w:rsidR="001C3C0C" w:rsidRPr="001C3C0C">
        <w:rPr>
          <w:vertAlign w:val="subscript"/>
          <w:lang w:eastAsia="ja-JP"/>
        </w:rPr>
        <w:t>Vic)</w:t>
      </w:r>
      <w:r w:rsidR="001C3C0C" w:rsidRPr="001C3C0C">
        <w:rPr>
          <w:lang w:eastAsia="ja-JP"/>
        </w:rPr>
        <w:t xml:space="preserve"> or TIV</w:t>
      </w:r>
      <w:r w:rsidR="001C3C0C" w:rsidRPr="001C3C0C">
        <w:rPr>
          <w:vertAlign w:val="subscript"/>
          <w:lang w:eastAsia="ja-JP"/>
        </w:rPr>
        <w:t>(Yam)</w:t>
      </w:r>
      <w:r>
        <w:rPr>
          <w:lang w:eastAsia="ja-JP"/>
        </w:rPr>
        <w:t>, in a 7:1:1 </w:t>
      </w:r>
      <w:r w:rsidR="001C3C0C" w:rsidRPr="001C3C0C">
        <w:rPr>
          <w:lang w:eastAsia="ja-JP"/>
        </w:rPr>
        <w:t xml:space="preserve">ratio, respectively. The number of subjects to be allocated to treatment totals 1,980: 1,540 QIV: 220 </w:t>
      </w:r>
      <w:proofErr w:type="gramStart"/>
      <w:r w:rsidR="001C3C0C" w:rsidRPr="001C3C0C">
        <w:rPr>
          <w:lang w:eastAsia="ja-JP"/>
        </w:rPr>
        <w:t>TIV</w:t>
      </w:r>
      <w:r w:rsidR="001C3C0C" w:rsidRPr="001C3C0C">
        <w:rPr>
          <w:vertAlign w:val="subscript"/>
          <w:lang w:eastAsia="ja-JP"/>
        </w:rPr>
        <w:t>(</w:t>
      </w:r>
      <w:proofErr w:type="gramEnd"/>
      <w:r w:rsidR="001C3C0C" w:rsidRPr="001C3C0C">
        <w:rPr>
          <w:vertAlign w:val="subscript"/>
          <w:lang w:eastAsia="ja-JP"/>
        </w:rPr>
        <w:t>Vic)</w:t>
      </w:r>
      <w:r w:rsidR="001C3C0C" w:rsidRPr="001C3C0C">
        <w:rPr>
          <w:lang w:eastAsia="ja-JP"/>
        </w:rPr>
        <w:t>:220 TIV</w:t>
      </w:r>
      <w:r w:rsidR="001C3C0C" w:rsidRPr="001C3C0C">
        <w:rPr>
          <w:vertAlign w:val="subscript"/>
          <w:lang w:eastAsia="ja-JP"/>
        </w:rPr>
        <w:t>(Yam)</w:t>
      </w:r>
      <w:r w:rsidR="00B14582">
        <w:rPr>
          <w:lang w:eastAsia="ja-JP"/>
        </w:rPr>
        <w:t>. Numbers</w:t>
      </w:r>
      <w:r w:rsidR="001C3C0C" w:rsidRPr="001C3C0C">
        <w:rPr>
          <w:lang w:eastAsia="ja-JP"/>
        </w:rPr>
        <w:t xml:space="preserve"> of subjects to be screened was </w:t>
      </w:r>
      <w:r w:rsidR="00B14582">
        <w:rPr>
          <w:lang w:eastAsia="ja-JP"/>
        </w:rPr>
        <w:t xml:space="preserve">approximately </w:t>
      </w:r>
      <w:r w:rsidR="001C3C0C" w:rsidRPr="001C3C0C">
        <w:rPr>
          <w:lang w:eastAsia="ja-JP"/>
        </w:rPr>
        <w:t xml:space="preserve">2,080 allowing for </w:t>
      </w:r>
      <w:r w:rsidR="00B14582">
        <w:rPr>
          <w:lang w:eastAsia="ja-JP"/>
        </w:rPr>
        <w:t>an approximate 5</w:t>
      </w:r>
      <w:r w:rsidR="001C3C0C" w:rsidRPr="001C3C0C">
        <w:rPr>
          <w:lang w:eastAsia="ja-JP"/>
        </w:rPr>
        <w:t>% screen failure rate. The proposed sample size was based on the scientific advice obtained from an EU National Competent Authority to collect safety data for an adequate number of subjects vaccinated with QIV. Given this, a sample size of 1,540 subjects vaccinated with QIV and 2</w:t>
      </w:r>
      <w:r>
        <w:rPr>
          <w:lang w:eastAsia="ja-JP"/>
        </w:rPr>
        <w:t> </w:t>
      </w:r>
      <w:r w:rsidR="001C3C0C" w:rsidRPr="001C3C0C">
        <w:rPr>
          <w:lang w:eastAsia="ja-JP"/>
        </w:rPr>
        <w:t>x</w:t>
      </w:r>
      <w:r>
        <w:rPr>
          <w:lang w:eastAsia="ja-JP"/>
        </w:rPr>
        <w:t> 220 </w:t>
      </w:r>
      <w:r w:rsidR="001C3C0C" w:rsidRPr="001C3C0C">
        <w:rPr>
          <w:lang w:eastAsia="ja-JP"/>
        </w:rPr>
        <w:t>subjects vaccinated with TIV secures an overall statistical power of</w:t>
      </w:r>
      <w:r w:rsidR="001B2B66">
        <w:rPr>
          <w:lang w:eastAsia="ja-JP"/>
        </w:rPr>
        <w:t xml:space="preserve"> &gt; </w:t>
      </w:r>
      <w:r w:rsidR="001C3C0C" w:rsidRPr="001C3C0C">
        <w:rPr>
          <w:lang w:eastAsia="ja-JP"/>
        </w:rPr>
        <w:t xml:space="preserve">95% to demonstrate the </w:t>
      </w:r>
      <w:r w:rsidR="001C3C0C" w:rsidRPr="00DE3333">
        <w:t>non-inferiority of QIV to TIV with respect to the immunogenicity against the shared strains. The sample size provides further an overall statistical power of</w:t>
      </w:r>
      <w:r w:rsidR="001B2B66" w:rsidRPr="00DE3333">
        <w:t xml:space="preserve"> &gt; </w:t>
      </w:r>
      <w:r w:rsidR="001C3C0C" w:rsidRPr="00DE3333">
        <w:t xml:space="preserve">95% to demonstrate the superiority of QIV to TIV with respect to the induced immunogenicity </w:t>
      </w:r>
      <w:r>
        <w:t xml:space="preserve">against the alternate lineage B </w:t>
      </w:r>
      <w:r w:rsidR="001C3C0C" w:rsidRPr="00DE3333">
        <w:t>strain.</w:t>
      </w:r>
    </w:p>
    <w:p w14:paraId="2550F761" w14:textId="6CAF4403" w:rsidR="001C3C0C" w:rsidRPr="001C3C0C" w:rsidRDefault="00B14582" w:rsidP="00DE3333">
      <w:pPr>
        <w:pStyle w:val="Tabletitle"/>
        <w:rPr>
          <w:lang w:eastAsia="ja-JP"/>
        </w:rPr>
      </w:pPr>
      <w:r>
        <w:rPr>
          <w:lang w:eastAsia="ja-JP"/>
        </w:rPr>
        <w:t>Table 1</w:t>
      </w:r>
      <w:r w:rsidR="003333A9">
        <w:rPr>
          <w:lang w:eastAsia="ja-JP"/>
        </w:rPr>
        <w:t>:</w:t>
      </w:r>
      <w:r w:rsidR="00DE3333">
        <w:rPr>
          <w:lang w:eastAsia="ja-JP"/>
        </w:rPr>
        <w:t xml:space="preserve"> </w:t>
      </w:r>
      <w:r w:rsidR="001C3C0C" w:rsidRPr="001C3C0C">
        <w:rPr>
          <w:lang w:eastAsia="ja-JP"/>
        </w:rPr>
        <w:t xml:space="preserve">Sample size calculations in </w:t>
      </w:r>
      <w:r w:rsidR="00DE3333">
        <w:rPr>
          <w:lang w:eastAsia="ja-JP"/>
        </w:rPr>
        <w:t xml:space="preserve">Study </w:t>
      </w:r>
      <w:r w:rsidR="001C3C0C" w:rsidRPr="001C3C0C">
        <w:rPr>
          <w:lang w:eastAsia="ja-JP"/>
        </w:rPr>
        <w:t>INFQ3001</w:t>
      </w:r>
    </w:p>
    <w:p w14:paraId="2E2F0BCC" w14:textId="444A5845" w:rsidR="001C3C0C" w:rsidRPr="001C3C0C" w:rsidRDefault="00B93E2D" w:rsidP="001C3C0C">
      <w:pPr>
        <w:rPr>
          <w:lang w:eastAsia="ja-JP"/>
        </w:rPr>
      </w:pPr>
      <w:r w:rsidRPr="001C3C0C">
        <w:rPr>
          <w:lang w:eastAsia="ja-JP"/>
        </w:rPr>
        <w:object w:dxaOrig="6345" w:dyaOrig="1755" w14:anchorId="35B49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mple size calculations in Study INFQ3001" style="width:266.1pt;height:57.6pt" o:ole="">
            <v:imagedata r:id="rId15" o:title=""/>
          </v:shape>
          <o:OLEObject Type="Embed" ProgID="Acrobat.Document.DC" ShapeID="_x0000_i1025" DrawAspect="Content" ObjectID="_1598087288" r:id="rId16"/>
        </w:object>
      </w:r>
    </w:p>
    <w:p w14:paraId="5DE4567E" w14:textId="77777777" w:rsidR="001C3C0C" w:rsidRPr="001C3C0C" w:rsidRDefault="001C3C0C" w:rsidP="001C3C0C">
      <w:pPr>
        <w:pStyle w:val="Heading5"/>
        <w:rPr>
          <w:rFonts w:eastAsia="Cambria"/>
          <w:lang w:eastAsia="ja-JP"/>
        </w:rPr>
      </w:pPr>
      <w:r w:rsidRPr="001C3C0C">
        <w:rPr>
          <w:rFonts w:eastAsia="Cambria"/>
          <w:lang w:eastAsia="ja-JP"/>
        </w:rPr>
        <w:t>Statistical methods</w:t>
      </w:r>
    </w:p>
    <w:p w14:paraId="1C968F9B" w14:textId="77777777" w:rsidR="00796F2C" w:rsidRDefault="001C3C0C" w:rsidP="00796F2C">
      <w:pPr>
        <w:pStyle w:val="Heading6"/>
        <w:rPr>
          <w:lang w:eastAsia="ja-JP"/>
        </w:rPr>
      </w:pPr>
      <w:r w:rsidRPr="001C3C0C">
        <w:rPr>
          <w:lang w:eastAsia="ja-JP"/>
        </w:rPr>
        <w:t>Efficacy</w:t>
      </w:r>
    </w:p>
    <w:p w14:paraId="7E5CE07E" w14:textId="03552B24" w:rsidR="00DE3333" w:rsidRDefault="001C3C0C" w:rsidP="001C3C0C">
      <w:pPr>
        <w:rPr>
          <w:lang w:eastAsia="ja-JP"/>
        </w:rPr>
      </w:pPr>
      <w:proofErr w:type="gramStart"/>
      <w:r w:rsidRPr="001C3C0C">
        <w:rPr>
          <w:lang w:eastAsia="ja-JP"/>
        </w:rPr>
        <w:t xml:space="preserve">Analysed for </w:t>
      </w:r>
      <w:r w:rsidR="003333A9">
        <w:rPr>
          <w:lang w:eastAsia="ja-JP"/>
        </w:rPr>
        <w:t xml:space="preserve">the </w:t>
      </w:r>
      <w:r w:rsidRPr="001C3C0C">
        <w:rPr>
          <w:lang w:eastAsia="ja-JP"/>
        </w:rPr>
        <w:t xml:space="preserve">FAS and </w:t>
      </w:r>
      <w:r w:rsidR="003333A9">
        <w:rPr>
          <w:lang w:eastAsia="ja-JP"/>
        </w:rPr>
        <w:t xml:space="preserve">the </w:t>
      </w:r>
      <w:r w:rsidRPr="001C3C0C">
        <w:rPr>
          <w:lang w:eastAsia="ja-JP"/>
        </w:rPr>
        <w:t>PP samp</w:t>
      </w:r>
      <w:r w:rsidR="00DE3333">
        <w:rPr>
          <w:lang w:eastAsia="ja-JP"/>
        </w:rPr>
        <w:t>le</w:t>
      </w:r>
      <w:r w:rsidR="003333A9">
        <w:rPr>
          <w:lang w:eastAsia="ja-JP"/>
        </w:rPr>
        <w:t>s</w:t>
      </w:r>
      <w:r w:rsidR="00DE3333">
        <w:rPr>
          <w:lang w:eastAsia="ja-JP"/>
        </w:rPr>
        <w:t>.</w:t>
      </w:r>
      <w:proofErr w:type="gramEnd"/>
    </w:p>
    <w:p w14:paraId="2706C0CE" w14:textId="77777777" w:rsidR="00DE3333" w:rsidRDefault="001C3C0C" w:rsidP="00DE3333">
      <w:pPr>
        <w:pStyle w:val="Heading6"/>
        <w:rPr>
          <w:lang w:eastAsia="ja-JP"/>
        </w:rPr>
      </w:pPr>
      <w:r w:rsidRPr="001C3C0C">
        <w:rPr>
          <w:lang w:eastAsia="ja-JP"/>
        </w:rPr>
        <w:t>Primary efficacy</w:t>
      </w:r>
    </w:p>
    <w:p w14:paraId="1BD70142" w14:textId="02CEA5EF" w:rsidR="001C3C0C" w:rsidRPr="00DE3333" w:rsidRDefault="00DE3333" w:rsidP="001C3C0C">
      <w:pPr>
        <w:rPr>
          <w:lang w:eastAsia="ja-JP"/>
        </w:rPr>
      </w:pPr>
      <w:r>
        <w:rPr>
          <w:lang w:eastAsia="ja-JP"/>
        </w:rPr>
        <w:t>N</w:t>
      </w:r>
      <w:r w:rsidR="001C3C0C" w:rsidRPr="001C3C0C">
        <w:rPr>
          <w:lang w:eastAsia="ja-JP"/>
        </w:rPr>
        <w:t>on-inferiority of QIV to TIV with respect to the induced immunogenicity against the</w:t>
      </w:r>
      <w:r w:rsidR="001C3C0C" w:rsidRPr="001C3C0C">
        <w:rPr>
          <w:b/>
          <w:lang w:eastAsia="ja-JP"/>
        </w:rPr>
        <w:t xml:space="preserve"> </w:t>
      </w:r>
      <w:r w:rsidR="001C3C0C" w:rsidRPr="001C3C0C">
        <w:rPr>
          <w:lang w:eastAsia="ja-JP"/>
        </w:rPr>
        <w:t>shared strains will be tested by comparing the Day 22 geometric means of the HI titres against these strains between the QIV and ITVs.</w:t>
      </w:r>
      <w:r w:rsidR="001C3C0C" w:rsidRPr="001C3C0C">
        <w:rPr>
          <w:b/>
          <w:lang w:eastAsia="ja-JP"/>
        </w:rPr>
        <w:t xml:space="preserve"> </w:t>
      </w:r>
      <w:r w:rsidR="001C3C0C" w:rsidRPr="001C3C0C">
        <w:rPr>
          <w:lang w:eastAsia="ja-JP"/>
        </w:rPr>
        <w:t>For the A</w:t>
      </w:r>
      <w:r w:rsidR="003333A9">
        <w:rPr>
          <w:lang w:eastAsia="ja-JP"/>
        </w:rPr>
        <w:t xml:space="preserve"> </w:t>
      </w:r>
      <w:r w:rsidR="001C3C0C" w:rsidRPr="001C3C0C">
        <w:rPr>
          <w:lang w:eastAsia="ja-JP"/>
        </w:rPr>
        <w:t>(H1N1) and the A</w:t>
      </w:r>
      <w:r w:rsidR="003333A9">
        <w:rPr>
          <w:lang w:eastAsia="ja-JP"/>
        </w:rPr>
        <w:t xml:space="preserve"> </w:t>
      </w:r>
      <w:r w:rsidR="001C3C0C" w:rsidRPr="001C3C0C">
        <w:rPr>
          <w:lang w:eastAsia="ja-JP"/>
        </w:rPr>
        <w:t>(H3N2)</w:t>
      </w:r>
      <w:r w:rsidR="00473C1F">
        <w:rPr>
          <w:lang w:eastAsia="ja-JP"/>
        </w:rPr>
        <w:t xml:space="preserve"> strain</w:t>
      </w:r>
      <w:r w:rsidR="001C3C0C" w:rsidRPr="001C3C0C">
        <w:rPr>
          <w:lang w:eastAsia="ja-JP"/>
        </w:rPr>
        <w:t>s the HI antibody titre data of the subjects</w:t>
      </w:r>
      <w:r w:rsidR="001C3C0C" w:rsidRPr="001C3C0C">
        <w:rPr>
          <w:b/>
          <w:lang w:eastAsia="ja-JP"/>
        </w:rPr>
        <w:t xml:space="preserve"> </w:t>
      </w:r>
      <w:r w:rsidR="001C3C0C" w:rsidRPr="001C3C0C">
        <w:rPr>
          <w:lang w:eastAsia="ja-JP"/>
        </w:rPr>
        <w:t>vaccinated with a TIV will be pooled. Non-inferiority will be inspected by</w:t>
      </w:r>
      <w:r w:rsidR="001C3C0C" w:rsidRPr="001C3C0C">
        <w:rPr>
          <w:b/>
          <w:lang w:eastAsia="ja-JP"/>
        </w:rPr>
        <w:t xml:space="preserve"> </w:t>
      </w:r>
      <w:r w:rsidR="001C3C0C" w:rsidRPr="001C3C0C">
        <w:rPr>
          <w:lang w:eastAsia="ja-JP"/>
        </w:rPr>
        <w:t xml:space="preserve">calculating for each of the </w:t>
      </w:r>
      <w:r w:rsidR="00957523">
        <w:rPr>
          <w:lang w:eastAsia="ja-JP"/>
        </w:rPr>
        <w:t>2</w:t>
      </w:r>
      <w:r w:rsidR="001C3C0C" w:rsidRPr="001C3C0C">
        <w:rPr>
          <w:lang w:eastAsia="ja-JP"/>
        </w:rPr>
        <w:t xml:space="preserve"> A</w:t>
      </w:r>
      <w:r w:rsidR="00473C1F">
        <w:rPr>
          <w:lang w:eastAsia="ja-JP"/>
        </w:rPr>
        <w:t xml:space="preserve"> strain</w:t>
      </w:r>
      <w:r w:rsidR="001C3C0C" w:rsidRPr="001C3C0C">
        <w:rPr>
          <w:lang w:eastAsia="ja-JP"/>
        </w:rPr>
        <w:t xml:space="preserve">s and each of the </w:t>
      </w:r>
      <w:r w:rsidR="00957523">
        <w:rPr>
          <w:lang w:eastAsia="ja-JP"/>
        </w:rPr>
        <w:t>2</w:t>
      </w:r>
      <w:r>
        <w:rPr>
          <w:lang w:eastAsia="ja-JP"/>
        </w:rPr>
        <w:t xml:space="preserve"> B </w:t>
      </w:r>
      <w:r w:rsidR="001C3C0C" w:rsidRPr="001C3C0C">
        <w:rPr>
          <w:lang w:eastAsia="ja-JP"/>
        </w:rPr>
        <w:t xml:space="preserve">strains a </w:t>
      </w:r>
      <w:r w:rsidR="00957523">
        <w:rPr>
          <w:lang w:eastAsia="ja-JP"/>
        </w:rPr>
        <w:t>2</w:t>
      </w:r>
      <w:r>
        <w:rPr>
          <w:lang w:eastAsia="ja-JP"/>
        </w:rPr>
        <w:t xml:space="preserve"> </w:t>
      </w:r>
      <w:r w:rsidR="001C3C0C" w:rsidRPr="001C3C0C">
        <w:rPr>
          <w:lang w:eastAsia="ja-JP"/>
        </w:rPr>
        <w:t>sided 95%</w:t>
      </w:r>
      <w:r w:rsidR="001C3C0C" w:rsidRPr="001C3C0C">
        <w:rPr>
          <w:b/>
          <w:lang w:eastAsia="ja-JP"/>
        </w:rPr>
        <w:t xml:space="preserve"> </w:t>
      </w:r>
      <w:r w:rsidR="001C3C0C" w:rsidRPr="001C3C0C">
        <w:rPr>
          <w:lang w:eastAsia="ja-JP"/>
        </w:rPr>
        <w:t>CI for geometric mean ratios (</w:t>
      </w:r>
      <w:r>
        <w:rPr>
          <w:lang w:eastAsia="ja-JP"/>
        </w:rPr>
        <w:t>GMRs) for the contrast TIV versus</w:t>
      </w:r>
      <w:r w:rsidR="001C3C0C" w:rsidRPr="001C3C0C">
        <w:rPr>
          <w:lang w:eastAsia="ja-JP"/>
        </w:rPr>
        <w:t xml:space="preserve"> QIV, using an analysis of variance model for the log-transformed titres, with age group and centre as factors in the model. The non-inferiority margin has been set to 1.5 in agreement with scientific advice obtained from an EU National Competent Authority. Non-inferiority of QIV to TIV will be concluded if for all 4 strains the upper limit of the 95% CI falls below 1.5. For this analysis the </w:t>
      </w:r>
      <w:r w:rsidR="001C3C0C" w:rsidRPr="00270A69">
        <w:rPr>
          <w:lang w:eastAsia="ja-JP"/>
        </w:rPr>
        <w:t>P</w:t>
      </w:r>
      <w:r w:rsidR="001C3C0C" w:rsidRPr="00DE3333">
        <w:rPr>
          <w:lang w:eastAsia="ja-JP"/>
        </w:rPr>
        <w:t>P set will be the primary one.</w:t>
      </w:r>
    </w:p>
    <w:p w14:paraId="593F19D4" w14:textId="77777777" w:rsidR="00796F2C" w:rsidRPr="00DE3333" w:rsidRDefault="001C3C0C" w:rsidP="00796F2C">
      <w:pPr>
        <w:pStyle w:val="Heading6"/>
        <w:rPr>
          <w:lang w:eastAsia="ja-JP"/>
        </w:rPr>
      </w:pPr>
      <w:r w:rsidRPr="00DE3333">
        <w:rPr>
          <w:lang w:eastAsia="ja-JP"/>
        </w:rPr>
        <w:t>Secondary efficacy</w:t>
      </w:r>
    </w:p>
    <w:p w14:paraId="22580085" w14:textId="1AD12B31" w:rsidR="001C3C0C" w:rsidRPr="001C3C0C" w:rsidRDefault="001C3C0C" w:rsidP="001C3C0C">
      <w:pPr>
        <w:rPr>
          <w:b/>
          <w:lang w:eastAsia="ja-JP"/>
        </w:rPr>
      </w:pPr>
      <w:r w:rsidRPr="001C3C0C">
        <w:rPr>
          <w:lang w:eastAsia="ja-JP"/>
        </w:rPr>
        <w:t>The superiority of QIV to TIV with respect to the induced immunogenicity against the</w:t>
      </w:r>
      <w:r w:rsidRPr="001C3C0C">
        <w:rPr>
          <w:b/>
          <w:lang w:eastAsia="ja-JP"/>
        </w:rPr>
        <w:t xml:space="preserve"> </w:t>
      </w:r>
      <w:r w:rsidRPr="001C3C0C">
        <w:rPr>
          <w:lang w:eastAsia="ja-JP"/>
        </w:rPr>
        <w:t>alternate-lineage B strains will be tested by comparing the Day 22 geometric means of the</w:t>
      </w:r>
      <w:r w:rsidRPr="001C3C0C">
        <w:rPr>
          <w:b/>
          <w:lang w:eastAsia="ja-JP"/>
        </w:rPr>
        <w:t xml:space="preserve"> </w:t>
      </w:r>
      <w:r w:rsidRPr="001C3C0C">
        <w:rPr>
          <w:lang w:eastAsia="ja-JP"/>
        </w:rPr>
        <w:t xml:space="preserve">HI titres against the alternate-lineage B strains between the QIV and the </w:t>
      </w:r>
      <w:r w:rsidR="00957523">
        <w:rPr>
          <w:lang w:eastAsia="ja-JP"/>
        </w:rPr>
        <w:t>2</w:t>
      </w:r>
      <w:r w:rsidRPr="001C3C0C">
        <w:rPr>
          <w:lang w:eastAsia="ja-JP"/>
        </w:rPr>
        <w:t xml:space="preserve"> TIVs. Both comparisons will be done at the </w:t>
      </w:r>
      <w:r w:rsidR="00957523">
        <w:rPr>
          <w:lang w:eastAsia="ja-JP"/>
        </w:rPr>
        <w:t>2</w:t>
      </w:r>
      <w:r w:rsidR="003333A9">
        <w:rPr>
          <w:lang w:eastAsia="ja-JP"/>
        </w:rPr>
        <w:t>-</w:t>
      </w:r>
      <w:r w:rsidRPr="001C3C0C">
        <w:rPr>
          <w:lang w:eastAsia="ja-JP"/>
        </w:rPr>
        <w:t>sided significance</w:t>
      </w:r>
      <w:r w:rsidRPr="001C3C0C">
        <w:rPr>
          <w:b/>
          <w:lang w:eastAsia="ja-JP"/>
        </w:rPr>
        <w:t xml:space="preserve"> </w:t>
      </w:r>
      <w:r w:rsidRPr="001C3C0C">
        <w:rPr>
          <w:lang w:eastAsia="ja-JP"/>
        </w:rPr>
        <w:t xml:space="preserve">level 0.05. Summary statistics presented, for each of the </w:t>
      </w:r>
      <w:r w:rsidR="00957523">
        <w:rPr>
          <w:lang w:eastAsia="ja-JP"/>
        </w:rPr>
        <w:t>4</w:t>
      </w:r>
      <w:r w:rsidR="007E4B34">
        <w:rPr>
          <w:lang w:eastAsia="ja-JP"/>
        </w:rPr>
        <w:t> </w:t>
      </w:r>
      <w:r w:rsidRPr="001C3C0C">
        <w:rPr>
          <w:lang w:eastAsia="ja-JP"/>
        </w:rPr>
        <w:t xml:space="preserve">strains and each of the </w:t>
      </w:r>
      <w:r w:rsidR="00957523">
        <w:rPr>
          <w:lang w:eastAsia="ja-JP"/>
        </w:rPr>
        <w:t>3</w:t>
      </w:r>
      <w:r w:rsidRPr="001C3C0C">
        <w:rPr>
          <w:lang w:eastAsia="ja-JP"/>
        </w:rPr>
        <w:t xml:space="preserve"> formulations: the pre and post vaccination GMTs and the geometric mean fold increases for HI and VN; reverse cumulative distribution curves supplemented by tables presenting % of vaccinees with titres above cut-off on a log scale for HI and VN; seroconversion rates for HI and VN. In addition, analyses in s</w:t>
      </w:r>
      <w:r w:rsidR="00DE3333">
        <w:rPr>
          <w:lang w:eastAsia="ja-JP"/>
        </w:rPr>
        <w:t>ubsets according to age and pre</w:t>
      </w:r>
      <w:r w:rsidR="00DE3333">
        <w:rPr>
          <w:lang w:eastAsia="ja-JP"/>
        </w:rPr>
        <w:noBreakHyphen/>
      </w:r>
      <w:r w:rsidRPr="001C3C0C">
        <w:rPr>
          <w:lang w:eastAsia="ja-JP"/>
        </w:rPr>
        <w:t>existing antibody status pr</w:t>
      </w:r>
      <w:r w:rsidR="00DE3333">
        <w:rPr>
          <w:lang w:eastAsia="ja-JP"/>
        </w:rPr>
        <w:t>esented. CMI values summarised.</w:t>
      </w:r>
    </w:p>
    <w:p w14:paraId="5B2186BF" w14:textId="77777777" w:rsidR="00796F2C" w:rsidRDefault="001C3C0C" w:rsidP="00796F2C">
      <w:pPr>
        <w:pStyle w:val="Heading6"/>
        <w:rPr>
          <w:lang w:eastAsia="ja-JP"/>
        </w:rPr>
      </w:pPr>
      <w:r w:rsidRPr="001C3C0C">
        <w:rPr>
          <w:lang w:eastAsia="ja-JP"/>
        </w:rPr>
        <w:t>Safety</w:t>
      </w:r>
    </w:p>
    <w:p w14:paraId="2518A2FE" w14:textId="4AE24BE4" w:rsidR="001C3C0C" w:rsidRPr="001C3C0C" w:rsidRDefault="001C3C0C" w:rsidP="001C3C0C">
      <w:pPr>
        <w:rPr>
          <w:b/>
          <w:lang w:eastAsia="ja-JP"/>
        </w:rPr>
      </w:pPr>
      <w:r w:rsidRPr="001C3C0C">
        <w:rPr>
          <w:lang w:eastAsia="ja-JP"/>
        </w:rPr>
        <w:t>Safety data analysed for the safety set, constituted by all</w:t>
      </w:r>
      <w:r w:rsidRPr="001C3C0C">
        <w:rPr>
          <w:b/>
          <w:lang w:eastAsia="ja-JP"/>
        </w:rPr>
        <w:t xml:space="preserve"> </w:t>
      </w:r>
      <w:r w:rsidRPr="001C3C0C">
        <w:rPr>
          <w:lang w:eastAsia="ja-JP"/>
        </w:rPr>
        <w:t>vaccinated subjects. Safety data of the subjects vaccinated with a trivalent formulation</w:t>
      </w:r>
      <w:r w:rsidRPr="001C3C0C">
        <w:rPr>
          <w:b/>
          <w:lang w:eastAsia="ja-JP"/>
        </w:rPr>
        <w:t xml:space="preserve"> </w:t>
      </w:r>
      <w:r w:rsidRPr="001C3C0C">
        <w:rPr>
          <w:lang w:eastAsia="ja-JP"/>
        </w:rPr>
        <w:t xml:space="preserve">was pooled. All safety analyses </w:t>
      </w:r>
      <w:r w:rsidR="003333A9">
        <w:rPr>
          <w:lang w:eastAsia="ja-JP"/>
        </w:rPr>
        <w:t xml:space="preserve">were </w:t>
      </w:r>
      <w:r w:rsidRPr="001C3C0C">
        <w:rPr>
          <w:lang w:eastAsia="ja-JP"/>
        </w:rPr>
        <w:t xml:space="preserve">done by </w:t>
      </w:r>
      <w:r w:rsidRPr="001C3C0C">
        <w:rPr>
          <w:lang w:eastAsia="ja-JP"/>
        </w:rPr>
        <w:lastRenderedPageBreak/>
        <w:t xml:space="preserve">age group. Reporting rates of local and systemic reactions compared between the QIV and the TIV formulations by calculating </w:t>
      </w:r>
      <w:r w:rsidR="00957523">
        <w:rPr>
          <w:lang w:eastAsia="ja-JP"/>
        </w:rPr>
        <w:t>2</w:t>
      </w:r>
      <w:r w:rsidR="007E4B34">
        <w:rPr>
          <w:lang w:eastAsia="ja-JP"/>
        </w:rPr>
        <w:t xml:space="preserve"> </w:t>
      </w:r>
      <w:r w:rsidRPr="001C3C0C">
        <w:rPr>
          <w:lang w:eastAsia="ja-JP"/>
        </w:rPr>
        <w:t xml:space="preserve">sided 95% CI for the </w:t>
      </w:r>
      <w:r w:rsidR="007E4B34">
        <w:rPr>
          <w:lang w:eastAsia="ja-JP"/>
        </w:rPr>
        <w:t>relative risks (quadrivalent versus</w:t>
      </w:r>
      <w:r w:rsidRPr="001C3C0C">
        <w:rPr>
          <w:lang w:eastAsia="ja-JP"/>
        </w:rPr>
        <w:t xml:space="preserve"> trivalent). The same analysis repeated on the numbers of subjects with</w:t>
      </w:r>
      <w:r w:rsidR="001B2B66">
        <w:rPr>
          <w:lang w:eastAsia="ja-JP"/>
        </w:rPr>
        <w:t xml:space="preserve"> ≥ </w:t>
      </w:r>
      <w:r w:rsidRPr="001C3C0C">
        <w:rPr>
          <w:lang w:eastAsia="ja-JP"/>
        </w:rPr>
        <w:t>1 treatment emergent adverse event (TEAE), overall, and by MedDRA System Organ Class (SOC).</w:t>
      </w:r>
    </w:p>
    <w:p w14:paraId="3D31B859" w14:textId="17F1F1AD" w:rsidR="001C3C0C" w:rsidRPr="001C3C0C" w:rsidRDefault="001C3C0C" w:rsidP="001C3C0C">
      <w:pPr>
        <w:pStyle w:val="Heading5"/>
        <w:rPr>
          <w:rFonts w:eastAsia="Cambria"/>
          <w:color w:val="auto"/>
          <w:szCs w:val="22"/>
          <w:lang w:eastAsia="ja-JP"/>
        </w:rPr>
      </w:pPr>
      <w:r>
        <w:rPr>
          <w:lang w:eastAsia="ja-JP"/>
        </w:rPr>
        <w:t>Participant flow</w:t>
      </w:r>
    </w:p>
    <w:p w14:paraId="377A1283" w14:textId="6572B344" w:rsidR="001C3C0C" w:rsidRDefault="007E4B34" w:rsidP="007E4B34">
      <w:pPr>
        <w:pStyle w:val="FigureTitle"/>
        <w:rPr>
          <w:lang w:eastAsia="ja-JP"/>
        </w:rPr>
      </w:pPr>
      <w:r>
        <w:rPr>
          <w:lang w:eastAsia="ja-JP"/>
        </w:rPr>
        <w:t>Figure 1</w:t>
      </w:r>
      <w:r w:rsidR="003333A9">
        <w:rPr>
          <w:lang w:eastAsia="ja-JP"/>
        </w:rPr>
        <w:t>:</w:t>
      </w:r>
      <w:r>
        <w:rPr>
          <w:lang w:eastAsia="ja-JP"/>
        </w:rPr>
        <w:t xml:space="preserve"> Flowchart of subject disposition in Study I</w:t>
      </w:r>
      <w:r w:rsidR="001C3C0C" w:rsidRPr="001C3C0C">
        <w:rPr>
          <w:lang w:eastAsia="ja-JP"/>
        </w:rPr>
        <w:t>NFQ3001</w:t>
      </w:r>
    </w:p>
    <w:p w14:paraId="6124FFCF" w14:textId="3AACDF67" w:rsidR="001C3C0C" w:rsidRPr="001C3C0C" w:rsidRDefault="0039405B" w:rsidP="00B93E2D">
      <w:pPr>
        <w:rPr>
          <w:lang w:eastAsia="ja-JP"/>
        </w:rPr>
      </w:pPr>
      <w:r w:rsidRPr="0039405B">
        <w:rPr>
          <w:noProof/>
          <w:lang w:eastAsia="en-AU"/>
        </w:rPr>
        <w:drawing>
          <wp:inline distT="0" distB="0" distL="0" distR="0" wp14:anchorId="57227C8C" wp14:editId="0AD9F790">
            <wp:extent cx="5731510" cy="3193415"/>
            <wp:effectExtent l="0" t="0" r="2540" b="6985"/>
            <wp:docPr id="3" name="Picture 3" descr="2011 subjects consented, 1980 were allocated to vaccine, 31 were screening failures. 1538 recieved the QIV with 8 terminating prematurely. 211 received TIV(Vic), with 1 premature termination. 211 recieved TIV(Yam) with 1 premature 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93415"/>
                    </a:xfrm>
                    <a:prstGeom prst="rect">
                      <a:avLst/>
                    </a:prstGeom>
                  </pic:spPr>
                </pic:pic>
              </a:graphicData>
            </a:graphic>
          </wp:inline>
        </w:drawing>
      </w:r>
    </w:p>
    <w:p w14:paraId="63768855" w14:textId="7C5427F1" w:rsidR="001C3C0C" w:rsidRDefault="007E4B34" w:rsidP="001C3C0C">
      <w:pPr>
        <w:rPr>
          <w:b/>
          <w:lang w:eastAsia="ja-JP"/>
        </w:rPr>
      </w:pPr>
      <w:r>
        <w:rPr>
          <w:b/>
          <w:lang w:eastAsia="ja-JP"/>
        </w:rPr>
        <w:t>Figure 2</w:t>
      </w:r>
      <w:r w:rsidR="003333A9">
        <w:rPr>
          <w:b/>
          <w:lang w:eastAsia="ja-JP"/>
        </w:rPr>
        <w:t>:</w:t>
      </w:r>
      <w:r>
        <w:rPr>
          <w:b/>
          <w:lang w:eastAsia="ja-JP"/>
        </w:rPr>
        <w:t xml:space="preserve"> Flowchart of s</w:t>
      </w:r>
      <w:r w:rsidR="001C3C0C" w:rsidRPr="001C3C0C">
        <w:rPr>
          <w:b/>
          <w:lang w:eastAsia="ja-JP"/>
        </w:rPr>
        <w:t>ubject analysis populations in</w:t>
      </w:r>
      <w:r>
        <w:rPr>
          <w:b/>
          <w:lang w:eastAsia="ja-JP"/>
        </w:rPr>
        <w:t xml:space="preserve"> Study</w:t>
      </w:r>
      <w:r w:rsidR="001C3C0C" w:rsidRPr="001C3C0C">
        <w:rPr>
          <w:b/>
          <w:lang w:eastAsia="ja-JP"/>
        </w:rPr>
        <w:t xml:space="preserve"> INFQ3001</w:t>
      </w:r>
    </w:p>
    <w:p w14:paraId="55590071" w14:textId="2BC64C29" w:rsidR="001C3C0C" w:rsidRPr="008C4D59" w:rsidRDefault="0039405B" w:rsidP="001C3C0C">
      <w:pPr>
        <w:rPr>
          <w:b/>
          <w:lang w:eastAsia="ja-JP"/>
        </w:rPr>
      </w:pPr>
      <w:r w:rsidRPr="0039405B">
        <w:rPr>
          <w:b/>
          <w:noProof/>
          <w:lang w:eastAsia="en-AU"/>
        </w:rPr>
        <w:drawing>
          <wp:inline distT="0" distB="0" distL="0" distR="0" wp14:anchorId="23CD75F8" wp14:editId="7DAEC2FA">
            <wp:extent cx="5731510" cy="2851150"/>
            <wp:effectExtent l="0" t="0" r="2540" b="6350"/>
            <wp:docPr id="4" name="Picture 4" descr="1538 patients were randomised to the QIV. 1535 recieved the vaccine, and were considered the safety subject sample. 1533 were included in the Full analysis subject sample, with 1528 making up the per protocol subject sample. For the 2 TIV groups, subject sizes were similar, with 221 randomised, 221 patients recieving the vaccine, and 221 and 220 making up the safety subject set in the TIV B(Vic) and TIV B(Yam) groups respectively. Both TIV groups had 220 in the full analysis sets, with 217 and 219 in the per protocol Vic and Yam group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51150"/>
                    </a:xfrm>
                    <a:prstGeom prst="rect">
                      <a:avLst/>
                    </a:prstGeom>
                  </pic:spPr>
                </pic:pic>
              </a:graphicData>
            </a:graphic>
          </wp:inline>
        </w:drawing>
      </w:r>
    </w:p>
    <w:p w14:paraId="5272C78A" w14:textId="77777777" w:rsidR="001C3C0C" w:rsidRPr="001C3C0C" w:rsidRDefault="001C3C0C" w:rsidP="001C3C0C">
      <w:pPr>
        <w:pStyle w:val="Heading5"/>
        <w:rPr>
          <w:rFonts w:eastAsia="Cambria"/>
          <w:lang w:eastAsia="ja-JP"/>
        </w:rPr>
      </w:pPr>
      <w:r w:rsidRPr="001C3C0C">
        <w:rPr>
          <w:rFonts w:eastAsia="Cambria"/>
          <w:lang w:eastAsia="ja-JP"/>
        </w:rPr>
        <w:lastRenderedPageBreak/>
        <w:t>Major protocol violations/deviations</w:t>
      </w:r>
    </w:p>
    <w:p w14:paraId="7164964F" w14:textId="5EEE94B4" w:rsidR="008C4D59" w:rsidRDefault="007E4B34" w:rsidP="008C4D59">
      <w:pPr>
        <w:pStyle w:val="Tabletitle"/>
        <w:rPr>
          <w:lang w:eastAsia="ja-JP"/>
        </w:rPr>
      </w:pPr>
      <w:r>
        <w:rPr>
          <w:lang w:eastAsia="ja-JP"/>
        </w:rPr>
        <w:t xml:space="preserve">Table </w:t>
      </w:r>
      <w:r w:rsidR="005A2E9D">
        <w:rPr>
          <w:lang w:eastAsia="ja-JP"/>
        </w:rPr>
        <w:t>2:</w:t>
      </w:r>
      <w:r w:rsidR="001C3C0C" w:rsidRPr="001C3C0C">
        <w:rPr>
          <w:lang w:eastAsia="ja-JP"/>
        </w:rPr>
        <w:t xml:space="preserve"> Subjects with </w:t>
      </w:r>
      <w:r w:rsidRPr="001C3C0C">
        <w:rPr>
          <w:lang w:eastAsia="ja-JP"/>
        </w:rPr>
        <w:t xml:space="preserve">critical or major protocol deviations in </w:t>
      </w:r>
      <w:r>
        <w:rPr>
          <w:lang w:eastAsia="ja-JP"/>
        </w:rPr>
        <w:t xml:space="preserve">Study </w:t>
      </w:r>
      <w:r w:rsidRPr="001C3C0C">
        <w:rPr>
          <w:lang w:eastAsia="ja-JP"/>
        </w:rPr>
        <w:t>INFQ3001</w:t>
      </w:r>
    </w:p>
    <w:p w14:paraId="3C67852E" w14:textId="52F98AA6" w:rsidR="008C4D59" w:rsidRPr="008C4D59" w:rsidRDefault="008C4D59" w:rsidP="008C4D59">
      <w:pPr>
        <w:rPr>
          <w:lang w:eastAsia="ja-JP"/>
        </w:rPr>
      </w:pPr>
      <w:r w:rsidRPr="008C4D59">
        <w:rPr>
          <w:noProof/>
          <w:lang w:eastAsia="en-AU"/>
        </w:rPr>
        <w:drawing>
          <wp:inline distT="0" distB="0" distL="0" distR="0" wp14:anchorId="4A48D912" wp14:editId="6A0D557A">
            <wp:extent cx="5731510" cy="2120265"/>
            <wp:effectExtent l="0" t="0" r="2540" b="0"/>
            <wp:docPr id="5" name="Picture 5" descr="Subjects with critical or major protocol deviations in Study INFQ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120265"/>
                    </a:xfrm>
                    <a:prstGeom prst="rect">
                      <a:avLst/>
                    </a:prstGeom>
                  </pic:spPr>
                </pic:pic>
              </a:graphicData>
            </a:graphic>
          </wp:inline>
        </w:drawing>
      </w:r>
    </w:p>
    <w:p w14:paraId="27EBA468" w14:textId="67D6F597" w:rsidR="001C3C0C" w:rsidRPr="001C3C0C" w:rsidRDefault="001C3C0C" w:rsidP="001C3C0C">
      <w:pPr>
        <w:rPr>
          <w:lang w:eastAsia="ja-JP"/>
        </w:rPr>
      </w:pPr>
      <w:r w:rsidRPr="001C3C0C">
        <w:rPr>
          <w:lang w:eastAsia="ja-JP"/>
        </w:rPr>
        <w:t>The highest proportion of subjects with major protocol deviations was observed in the categories of possible intercurrent infection and withdrawal prior to vaccination (3 subjects each, 0.2%)</w:t>
      </w:r>
    </w:p>
    <w:p w14:paraId="160EE833" w14:textId="77777777" w:rsidR="001C3C0C" w:rsidRPr="001C3C0C" w:rsidRDefault="001C3C0C" w:rsidP="001C3C0C">
      <w:pPr>
        <w:pStyle w:val="Heading5"/>
        <w:rPr>
          <w:rFonts w:eastAsia="Cambria"/>
          <w:lang w:eastAsia="ja-JP"/>
        </w:rPr>
      </w:pPr>
      <w:r w:rsidRPr="001C3C0C">
        <w:rPr>
          <w:rFonts w:eastAsia="Cambria"/>
          <w:lang w:eastAsia="ja-JP"/>
        </w:rPr>
        <w:t>Baseline data</w:t>
      </w:r>
    </w:p>
    <w:p w14:paraId="54EEABC4" w14:textId="7C6C8D78" w:rsidR="001C3C0C" w:rsidRDefault="007E4B34" w:rsidP="007E4B34">
      <w:pPr>
        <w:pStyle w:val="Tabletitle"/>
        <w:rPr>
          <w:lang w:eastAsia="ja-JP"/>
        </w:rPr>
      </w:pPr>
      <w:r>
        <w:rPr>
          <w:lang w:eastAsia="ja-JP"/>
        </w:rPr>
        <w:t xml:space="preserve">Table </w:t>
      </w:r>
      <w:r w:rsidR="008C4D59">
        <w:rPr>
          <w:lang w:eastAsia="ja-JP"/>
        </w:rPr>
        <w:t>3</w:t>
      </w:r>
      <w:r w:rsidR="005A2E9D">
        <w:rPr>
          <w:lang w:eastAsia="ja-JP"/>
        </w:rPr>
        <w:t>:</w:t>
      </w:r>
      <w:r>
        <w:rPr>
          <w:lang w:eastAsia="ja-JP"/>
        </w:rPr>
        <w:t xml:space="preserve"> Demographics; All subjects r</w:t>
      </w:r>
      <w:r w:rsidR="001C3C0C" w:rsidRPr="001C3C0C">
        <w:rPr>
          <w:lang w:eastAsia="ja-JP"/>
        </w:rPr>
        <w:t>andomi</w:t>
      </w:r>
      <w:r>
        <w:rPr>
          <w:lang w:eastAsia="ja-JP"/>
        </w:rPr>
        <w:t>s</w:t>
      </w:r>
      <w:r w:rsidR="001C3C0C" w:rsidRPr="001C3C0C">
        <w:rPr>
          <w:lang w:eastAsia="ja-JP"/>
        </w:rPr>
        <w:t xml:space="preserve">ed </w:t>
      </w:r>
      <w:r>
        <w:rPr>
          <w:lang w:eastAsia="ja-JP"/>
        </w:rPr>
        <w:t>s</w:t>
      </w:r>
      <w:r w:rsidR="001C3C0C" w:rsidRPr="001C3C0C">
        <w:rPr>
          <w:lang w:eastAsia="ja-JP"/>
        </w:rPr>
        <w:t>ample in</w:t>
      </w:r>
      <w:r>
        <w:rPr>
          <w:lang w:eastAsia="ja-JP"/>
        </w:rPr>
        <w:t xml:space="preserve"> Study</w:t>
      </w:r>
      <w:r w:rsidR="001C3C0C" w:rsidRPr="001C3C0C">
        <w:rPr>
          <w:lang w:eastAsia="ja-JP"/>
        </w:rPr>
        <w:t xml:space="preserve"> INFQ3001</w:t>
      </w:r>
    </w:p>
    <w:p w14:paraId="634063BB" w14:textId="5FEA95FC" w:rsidR="001C3C0C" w:rsidRPr="001C3C0C" w:rsidRDefault="008C4D59" w:rsidP="001C3C0C">
      <w:pPr>
        <w:rPr>
          <w:lang w:eastAsia="ja-JP"/>
        </w:rPr>
      </w:pPr>
      <w:r w:rsidRPr="008C4D59">
        <w:rPr>
          <w:noProof/>
          <w:lang w:eastAsia="en-AU"/>
        </w:rPr>
        <w:drawing>
          <wp:inline distT="0" distB="0" distL="0" distR="0" wp14:anchorId="20141FDE" wp14:editId="20F0F0A8">
            <wp:extent cx="4217035" cy="3072559"/>
            <wp:effectExtent l="0" t="0" r="0" b="0"/>
            <wp:docPr id="6" name="Picture 6" descr="Demographics; All subjects randomised sample in Study INFQ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3304" cy="3077127"/>
                    </a:xfrm>
                    <a:prstGeom prst="rect">
                      <a:avLst/>
                    </a:prstGeom>
                  </pic:spPr>
                </pic:pic>
              </a:graphicData>
            </a:graphic>
          </wp:inline>
        </w:drawing>
      </w:r>
    </w:p>
    <w:p w14:paraId="383EDB7E" w14:textId="438D4C80" w:rsidR="001C3C0C" w:rsidRPr="001C3C0C" w:rsidRDefault="001C3C0C" w:rsidP="001C3C0C">
      <w:pPr>
        <w:rPr>
          <w:lang w:eastAsia="ja-JP"/>
        </w:rPr>
      </w:pPr>
      <w:r w:rsidRPr="001C3C0C">
        <w:rPr>
          <w:lang w:eastAsia="ja-JP"/>
        </w:rPr>
        <w:t xml:space="preserve">As shown </w:t>
      </w:r>
      <w:r w:rsidRPr="007E4B34">
        <w:rPr>
          <w:lang w:eastAsia="ja-JP"/>
        </w:rPr>
        <w:t xml:space="preserve">in Table </w:t>
      </w:r>
      <w:r w:rsidR="008C4D59">
        <w:rPr>
          <w:lang w:eastAsia="ja-JP"/>
        </w:rPr>
        <w:t>3</w:t>
      </w:r>
      <w:r w:rsidR="007E4B34" w:rsidRPr="007E4B34">
        <w:rPr>
          <w:lang w:eastAsia="ja-JP"/>
        </w:rPr>
        <w:t xml:space="preserve"> above</w:t>
      </w:r>
      <w:r w:rsidRPr="007E4B34">
        <w:rPr>
          <w:lang w:eastAsia="ja-JP"/>
        </w:rPr>
        <w:t>, the</w:t>
      </w:r>
      <w:r w:rsidRPr="001C3C0C">
        <w:rPr>
          <w:lang w:eastAsia="ja-JP"/>
        </w:rPr>
        <w:t xml:space="preserve"> majority of subjects were </w:t>
      </w:r>
      <w:r w:rsidR="003333A9">
        <w:rPr>
          <w:lang w:eastAsia="ja-JP"/>
        </w:rPr>
        <w:t>W</w:t>
      </w:r>
      <w:r w:rsidR="003333A9" w:rsidRPr="001C3C0C">
        <w:rPr>
          <w:lang w:eastAsia="ja-JP"/>
        </w:rPr>
        <w:t xml:space="preserve">hite </w:t>
      </w:r>
      <w:r w:rsidRPr="001C3C0C">
        <w:rPr>
          <w:lang w:eastAsia="ja-JP"/>
        </w:rPr>
        <w:t>(99.5%); 43.4% were male and 56.6% female. The mean (SD) age at screening was 55.7 (17.7) years. Adults had a mean age of 39 (SD</w:t>
      </w:r>
      <w:r w:rsidR="00140CBD">
        <w:rPr>
          <w:lang w:eastAsia="ja-JP"/>
        </w:rPr>
        <w:t xml:space="preserve"> = </w:t>
      </w:r>
      <w:r w:rsidRPr="001C3C0C">
        <w:rPr>
          <w:lang w:eastAsia="ja-JP"/>
        </w:rPr>
        <w:t>12.6) years and a median age of 39 years (range: 18 to 60 years). About half of the adults were male. Elderly adults had a mean age of 69 (SD</w:t>
      </w:r>
      <w:r w:rsidR="00140CBD">
        <w:rPr>
          <w:lang w:eastAsia="ja-JP"/>
        </w:rPr>
        <w:t xml:space="preserve"> = </w:t>
      </w:r>
      <w:r w:rsidRPr="001C3C0C">
        <w:rPr>
          <w:lang w:eastAsia="ja-JP"/>
        </w:rPr>
        <w:t xml:space="preserve">6.3) years and a median age of 68 years (range: 60 to 92 years). The proportion of adult and elderly subjects was similar in each vaccination group. In general, subject demographics were similar in all vaccination groups. The majority of subjects across vaccination groups had not previously received a vaccine against seasonal influenza (51.2% in the QIV group, 54.3% in the </w:t>
      </w:r>
      <w:proofErr w:type="gramStart"/>
      <w:r w:rsidRPr="001C3C0C">
        <w:rPr>
          <w:lang w:eastAsia="ja-JP"/>
        </w:rPr>
        <w:t>TIV</w:t>
      </w:r>
      <w:r w:rsidRPr="001C3C0C">
        <w:rPr>
          <w:vertAlign w:val="subscript"/>
          <w:lang w:eastAsia="ja-JP"/>
        </w:rPr>
        <w:t>(</w:t>
      </w:r>
      <w:proofErr w:type="gramEnd"/>
      <w:r w:rsidRPr="001C3C0C">
        <w:rPr>
          <w:vertAlign w:val="subscript"/>
          <w:lang w:eastAsia="ja-JP"/>
        </w:rPr>
        <w:t>Vic)</w:t>
      </w:r>
      <w:r w:rsidRPr="001C3C0C">
        <w:rPr>
          <w:lang w:eastAsia="ja-JP"/>
        </w:rPr>
        <w:t xml:space="preserve"> group, and 52.9% in the TIV</w:t>
      </w:r>
      <w:r w:rsidRPr="001C3C0C">
        <w:rPr>
          <w:vertAlign w:val="subscript"/>
          <w:lang w:eastAsia="ja-JP"/>
        </w:rPr>
        <w:t>(Yam)</w:t>
      </w:r>
      <w:r w:rsidRPr="001C3C0C">
        <w:rPr>
          <w:lang w:eastAsia="ja-JP"/>
        </w:rPr>
        <w:t xml:space="preserve"> group) and had not experienced an ILI since the start of the last season (99.2% in the QIV group, 99.5% in the TIV</w:t>
      </w:r>
      <w:r w:rsidRPr="001C3C0C">
        <w:rPr>
          <w:vertAlign w:val="subscript"/>
          <w:lang w:eastAsia="ja-JP"/>
        </w:rPr>
        <w:t>(Vic)</w:t>
      </w:r>
      <w:r w:rsidRPr="001C3C0C">
        <w:rPr>
          <w:lang w:eastAsia="ja-JP"/>
        </w:rPr>
        <w:t xml:space="preserve"> group, 99.1% in the TIV</w:t>
      </w:r>
      <w:r w:rsidRPr="001C3C0C">
        <w:rPr>
          <w:vertAlign w:val="subscript"/>
          <w:lang w:eastAsia="ja-JP"/>
        </w:rPr>
        <w:t>(Yam)</w:t>
      </w:r>
      <w:r w:rsidRPr="001C3C0C">
        <w:rPr>
          <w:lang w:eastAsia="ja-JP"/>
        </w:rPr>
        <w:t xml:space="preserve"> group). The proportion of subjects who had previously received a seasonal influenza vaccine was higher in elderly subjects (61.2% </w:t>
      </w:r>
      <w:r w:rsidRPr="001C3C0C">
        <w:rPr>
          <w:lang w:eastAsia="ja-JP"/>
        </w:rPr>
        <w:lastRenderedPageBreak/>
        <w:t xml:space="preserve">in the QIV group, 59.5% in the </w:t>
      </w:r>
      <w:proofErr w:type="gramStart"/>
      <w:r w:rsidRPr="001C3C0C">
        <w:rPr>
          <w:lang w:eastAsia="ja-JP"/>
        </w:rPr>
        <w:t>TIV</w:t>
      </w:r>
      <w:r w:rsidRPr="001C3C0C">
        <w:rPr>
          <w:vertAlign w:val="subscript"/>
          <w:lang w:eastAsia="ja-JP"/>
        </w:rPr>
        <w:t>(</w:t>
      </w:r>
      <w:proofErr w:type="gramEnd"/>
      <w:r w:rsidRPr="001C3C0C">
        <w:rPr>
          <w:vertAlign w:val="subscript"/>
          <w:lang w:eastAsia="ja-JP"/>
        </w:rPr>
        <w:t>Vic)</w:t>
      </w:r>
      <w:r w:rsidRPr="001C3C0C">
        <w:rPr>
          <w:lang w:eastAsia="ja-JP"/>
        </w:rPr>
        <w:t xml:space="preserve"> group, and 57.8% in the TIV</w:t>
      </w:r>
      <w:r w:rsidRPr="001C3C0C">
        <w:rPr>
          <w:vertAlign w:val="subscript"/>
          <w:lang w:eastAsia="ja-JP"/>
        </w:rPr>
        <w:t>(Yam)</w:t>
      </w:r>
      <w:r w:rsidRPr="001C3C0C">
        <w:rPr>
          <w:lang w:eastAsia="ja-JP"/>
        </w:rPr>
        <w:t xml:space="preserve"> group) than in adult subjects (36.4% in the QIV group, 31.8% in the TIV</w:t>
      </w:r>
      <w:r w:rsidRPr="001C3C0C">
        <w:rPr>
          <w:vertAlign w:val="subscript"/>
          <w:lang w:eastAsia="ja-JP"/>
        </w:rPr>
        <w:t>(Vic)</w:t>
      </w:r>
      <w:r w:rsidRPr="001C3C0C">
        <w:rPr>
          <w:lang w:eastAsia="ja-JP"/>
        </w:rPr>
        <w:t xml:space="preserve"> group, and 36.6% in the TIV</w:t>
      </w:r>
      <w:r w:rsidRPr="001C3C0C">
        <w:rPr>
          <w:vertAlign w:val="subscript"/>
          <w:lang w:eastAsia="ja-JP"/>
        </w:rPr>
        <w:t>(Yam)</w:t>
      </w:r>
      <w:r w:rsidR="00234352">
        <w:rPr>
          <w:lang w:eastAsia="ja-JP"/>
        </w:rPr>
        <w:t xml:space="preserve"> group).</w:t>
      </w:r>
    </w:p>
    <w:p w14:paraId="5E775374" w14:textId="77777777" w:rsidR="001C3C0C" w:rsidRPr="001C3C0C" w:rsidRDefault="001C3C0C" w:rsidP="001C3C0C">
      <w:pPr>
        <w:pStyle w:val="Heading5"/>
        <w:rPr>
          <w:rFonts w:eastAsia="Cambria"/>
          <w:lang w:eastAsia="ja-JP"/>
        </w:rPr>
      </w:pPr>
      <w:r w:rsidRPr="001C3C0C">
        <w:rPr>
          <w:rFonts w:eastAsia="Cambria"/>
          <w:lang w:eastAsia="ja-JP"/>
        </w:rPr>
        <w:t>Results for the primary efficacy outcome</w:t>
      </w:r>
    </w:p>
    <w:p w14:paraId="3EC278C7" w14:textId="1EBC9F65" w:rsidR="001C3C0C" w:rsidRPr="00BA0835" w:rsidRDefault="001C3C0C" w:rsidP="001C3C0C">
      <w:pPr>
        <w:rPr>
          <w:lang w:eastAsia="ja-JP"/>
        </w:rPr>
      </w:pPr>
      <w:r w:rsidRPr="001C3C0C">
        <w:rPr>
          <w:lang w:eastAsia="ja-JP"/>
        </w:rPr>
        <w:t xml:space="preserve">For all </w:t>
      </w:r>
      <w:r w:rsidR="00957523">
        <w:rPr>
          <w:lang w:eastAsia="ja-JP"/>
        </w:rPr>
        <w:t>4</w:t>
      </w:r>
      <w:r w:rsidRPr="001C3C0C">
        <w:rPr>
          <w:lang w:eastAsia="ja-JP"/>
        </w:rPr>
        <w:t xml:space="preserve"> strains the upper limit of the 95% CI for the HI geometric mean ratio (GMR; TIV</w:t>
      </w:r>
      <w:r w:rsidR="00BA0835">
        <w:rPr>
          <w:lang w:eastAsia="ja-JP"/>
        </w:rPr>
        <w:t xml:space="preserve"> </w:t>
      </w:r>
      <w:r w:rsidR="00234352">
        <w:rPr>
          <w:lang w:eastAsia="ja-JP"/>
        </w:rPr>
        <w:t>versus</w:t>
      </w:r>
      <w:r w:rsidRPr="001C3C0C">
        <w:rPr>
          <w:lang w:eastAsia="ja-JP"/>
        </w:rPr>
        <w:t xml:space="preserve"> QIV) fell below the predefined non</w:t>
      </w:r>
      <w:r w:rsidR="00234352">
        <w:rPr>
          <w:lang w:eastAsia="ja-JP"/>
        </w:rPr>
        <w:t>-</w:t>
      </w:r>
      <w:r w:rsidRPr="001C3C0C">
        <w:rPr>
          <w:lang w:eastAsia="ja-JP"/>
        </w:rPr>
        <w:t>inferiority margin of 1.5, meaning that the non</w:t>
      </w:r>
      <w:r w:rsidR="00234352">
        <w:rPr>
          <w:lang w:eastAsia="ja-JP"/>
        </w:rPr>
        <w:t>-</w:t>
      </w:r>
      <w:r w:rsidRPr="001C3C0C">
        <w:rPr>
          <w:lang w:eastAsia="ja-JP"/>
        </w:rPr>
        <w:t xml:space="preserve">inferiority of QIV to TIV was demonstrated </w:t>
      </w:r>
      <w:r w:rsidR="00234352">
        <w:rPr>
          <w:lang w:eastAsia="ja-JP"/>
        </w:rPr>
        <w:t xml:space="preserve">as shown in Table </w:t>
      </w:r>
      <w:r w:rsidR="003333A9">
        <w:rPr>
          <w:lang w:eastAsia="ja-JP"/>
        </w:rPr>
        <w:t>4</w:t>
      </w:r>
      <w:r w:rsidR="00234352">
        <w:rPr>
          <w:lang w:eastAsia="ja-JP"/>
        </w:rPr>
        <w:t>, below.</w:t>
      </w:r>
    </w:p>
    <w:p w14:paraId="45A0366C" w14:textId="18193251" w:rsidR="001C3C0C" w:rsidRDefault="00234352" w:rsidP="00234352">
      <w:pPr>
        <w:pStyle w:val="Tabletitle"/>
        <w:rPr>
          <w:lang w:eastAsia="ja-JP"/>
        </w:rPr>
      </w:pPr>
      <w:r>
        <w:rPr>
          <w:lang w:eastAsia="ja-JP"/>
        </w:rPr>
        <w:t xml:space="preserve">Table </w:t>
      </w:r>
      <w:r w:rsidR="008C4D59">
        <w:rPr>
          <w:lang w:eastAsia="ja-JP"/>
        </w:rPr>
        <w:t>4</w:t>
      </w:r>
      <w:r w:rsidR="005A2E9D">
        <w:rPr>
          <w:lang w:eastAsia="ja-JP"/>
        </w:rPr>
        <w:t>:</w:t>
      </w:r>
      <w:r w:rsidR="001C3C0C" w:rsidRPr="001C3C0C">
        <w:rPr>
          <w:lang w:eastAsia="ja-JP"/>
        </w:rPr>
        <w:t xml:space="preserve"> </w:t>
      </w:r>
      <w:r w:rsidR="004D485E" w:rsidRPr="001C3C0C">
        <w:rPr>
          <w:lang w:eastAsia="ja-JP"/>
        </w:rPr>
        <w:t>Non</w:t>
      </w:r>
      <w:r w:rsidR="004D485E">
        <w:rPr>
          <w:lang w:eastAsia="ja-JP"/>
        </w:rPr>
        <w:t>-</w:t>
      </w:r>
      <w:r w:rsidR="004D485E" w:rsidRPr="001C3C0C">
        <w:rPr>
          <w:lang w:eastAsia="ja-JP"/>
        </w:rPr>
        <w:t>inferiority</w:t>
      </w:r>
      <w:r w:rsidR="001C3C0C" w:rsidRPr="001C3C0C">
        <w:rPr>
          <w:lang w:eastAsia="ja-JP"/>
        </w:rPr>
        <w:t xml:space="preserve"> of QIV versus TIV against </w:t>
      </w:r>
      <w:r w:rsidRPr="001C3C0C">
        <w:rPr>
          <w:lang w:eastAsia="ja-JP"/>
        </w:rPr>
        <w:t>shared strains based on post</w:t>
      </w:r>
      <w:r>
        <w:rPr>
          <w:lang w:eastAsia="ja-JP"/>
        </w:rPr>
        <w:t>-vaccination geometric mean HI titres; PP</w:t>
      </w:r>
      <w:r w:rsidRPr="001C3C0C">
        <w:rPr>
          <w:lang w:eastAsia="ja-JP"/>
        </w:rPr>
        <w:t xml:space="preserve"> sample</w:t>
      </w:r>
    </w:p>
    <w:p w14:paraId="6FB84902" w14:textId="0F6D3429" w:rsidR="008C4D59" w:rsidRPr="008C4D59" w:rsidRDefault="008C4D59" w:rsidP="008C4D59">
      <w:pPr>
        <w:rPr>
          <w:lang w:eastAsia="ja-JP"/>
        </w:rPr>
      </w:pPr>
      <w:r w:rsidRPr="008C4D59">
        <w:rPr>
          <w:noProof/>
          <w:lang w:eastAsia="en-AU"/>
        </w:rPr>
        <w:drawing>
          <wp:inline distT="0" distB="0" distL="0" distR="0" wp14:anchorId="6B76B16E" wp14:editId="6DCDA0F7">
            <wp:extent cx="4915535" cy="2273149"/>
            <wp:effectExtent l="0" t="0" r="0" b="0"/>
            <wp:docPr id="7" name="Picture 7" descr="Table 4: Non-inferiority of QIV versus TIV against shared strains based on post-vaccination geometric mean HI titres; PP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3319" cy="2276749"/>
                    </a:xfrm>
                    <a:prstGeom prst="rect">
                      <a:avLst/>
                    </a:prstGeom>
                  </pic:spPr>
                </pic:pic>
              </a:graphicData>
            </a:graphic>
          </wp:inline>
        </w:drawing>
      </w:r>
    </w:p>
    <w:p w14:paraId="7DFF7393" w14:textId="31C8BCD9" w:rsidR="001C3C0C" w:rsidRPr="00234352" w:rsidRDefault="001C3C0C" w:rsidP="001C3C0C">
      <w:pPr>
        <w:rPr>
          <w:b/>
          <w:bCs/>
          <w:lang w:eastAsia="ja-JP"/>
        </w:rPr>
      </w:pPr>
      <w:r w:rsidRPr="001C3C0C">
        <w:rPr>
          <w:lang w:eastAsia="ja-JP"/>
        </w:rPr>
        <w:t>The primary efficacy analysis was repeated for the FAS and results were similar to the PP subject sample. The pre- and post</w:t>
      </w:r>
      <w:r w:rsidR="00234352">
        <w:rPr>
          <w:lang w:eastAsia="ja-JP"/>
        </w:rPr>
        <w:t>-</w:t>
      </w:r>
      <w:r w:rsidRPr="001C3C0C">
        <w:rPr>
          <w:lang w:eastAsia="ja-JP"/>
        </w:rPr>
        <w:t xml:space="preserve">vaccination GMTs for HI were analysed in the </w:t>
      </w:r>
      <w:r w:rsidR="00957523">
        <w:rPr>
          <w:lang w:eastAsia="ja-JP"/>
        </w:rPr>
        <w:t>2</w:t>
      </w:r>
      <w:r w:rsidRPr="001C3C0C">
        <w:rPr>
          <w:lang w:eastAsia="ja-JP"/>
        </w:rPr>
        <w:t xml:space="preserve"> age groups and results demonstrated the comparability of GMTs between QIV and TIV per age group</w:t>
      </w:r>
      <w:r w:rsidR="003333A9">
        <w:rPr>
          <w:lang w:eastAsia="ja-JP"/>
        </w:rPr>
        <w:t xml:space="preserve"> (Table 5)</w:t>
      </w:r>
      <w:r w:rsidRPr="001C3C0C">
        <w:rPr>
          <w:lang w:eastAsia="ja-JP"/>
        </w:rPr>
        <w:t>.</w:t>
      </w:r>
    </w:p>
    <w:p w14:paraId="3BF5BBE4" w14:textId="77777777" w:rsidR="00B93E2D" w:rsidRDefault="001C3C0C" w:rsidP="00B93E2D">
      <w:pPr>
        <w:pStyle w:val="Tabletitle"/>
        <w:rPr>
          <w:lang w:eastAsia="ja-JP"/>
        </w:rPr>
      </w:pPr>
      <w:r w:rsidRPr="001C3C0C">
        <w:rPr>
          <w:lang w:eastAsia="ja-JP"/>
        </w:rPr>
        <w:t xml:space="preserve">Table </w:t>
      </w:r>
      <w:r w:rsidR="005A2E9D">
        <w:rPr>
          <w:lang w:eastAsia="ja-JP"/>
        </w:rPr>
        <w:t>5</w:t>
      </w:r>
      <w:r w:rsidRPr="001C3C0C">
        <w:rPr>
          <w:lang w:eastAsia="ja-JP"/>
        </w:rPr>
        <w:t>: Geome</w:t>
      </w:r>
      <w:r w:rsidR="00234352">
        <w:rPr>
          <w:lang w:eastAsia="ja-JP"/>
        </w:rPr>
        <w:t xml:space="preserve">tric mean HI titres by strain; </w:t>
      </w:r>
      <w:r w:rsidRPr="001C3C0C">
        <w:rPr>
          <w:lang w:eastAsia="ja-JP"/>
        </w:rPr>
        <w:t>FAS</w:t>
      </w:r>
    </w:p>
    <w:p w14:paraId="4C01CB28" w14:textId="147B7053" w:rsidR="001C3C0C" w:rsidRPr="001C3C0C" w:rsidRDefault="00B93E2D" w:rsidP="00B93E2D">
      <w:pPr>
        <w:rPr>
          <w:lang w:eastAsia="ja-JP"/>
        </w:rPr>
      </w:pPr>
      <w:r w:rsidRPr="001C3C0C">
        <w:rPr>
          <w:lang w:eastAsia="ja-JP"/>
        </w:rPr>
        <w:object w:dxaOrig="10530" w:dyaOrig="2565" w14:anchorId="2F13CFB8">
          <v:shape id="_x0000_i1026" type="#_x0000_t75" alt="Table 7: Geometric mean HI titres by strain; FAS" style="width:468.3pt;height:93.9pt" o:ole="">
            <v:imagedata r:id="rId22" o:title=""/>
          </v:shape>
          <o:OLEObject Type="Embed" ProgID="Acrobat.Document.DC" ShapeID="_x0000_i1026" DrawAspect="Content" ObjectID="_1598087289" r:id="rId23"/>
        </w:object>
      </w:r>
    </w:p>
    <w:p w14:paraId="34C90C79" w14:textId="1EA806A6" w:rsidR="001C3C0C" w:rsidRPr="001C3C0C" w:rsidRDefault="001C3C0C" w:rsidP="003333A9">
      <w:pPr>
        <w:pStyle w:val="Heading5"/>
        <w:rPr>
          <w:rFonts w:eastAsia="Cambria"/>
          <w:lang w:eastAsia="ja-JP"/>
        </w:rPr>
      </w:pPr>
      <w:r w:rsidRPr="001C3C0C">
        <w:rPr>
          <w:rFonts w:eastAsia="Cambria"/>
          <w:lang w:eastAsia="ja-JP"/>
        </w:rPr>
        <w:t>Results for other efficacy outcomes</w:t>
      </w:r>
    </w:p>
    <w:p w14:paraId="07244ECC" w14:textId="16EF98E4" w:rsidR="009A2CB7" w:rsidRPr="00BA0835" w:rsidRDefault="009A2CB7" w:rsidP="009A2CB7">
      <w:pPr>
        <w:rPr>
          <w:lang w:eastAsia="ja-JP"/>
        </w:rPr>
      </w:pPr>
      <w:r>
        <w:rPr>
          <w:lang w:eastAsia="ja-JP"/>
        </w:rPr>
        <w:t xml:space="preserve">For both B </w:t>
      </w:r>
      <w:r w:rsidRPr="001C3C0C">
        <w:rPr>
          <w:lang w:eastAsia="ja-JP"/>
        </w:rPr>
        <w:t>strain lineages, the HI GMT of the TIV group was l</w:t>
      </w:r>
      <w:r>
        <w:rPr>
          <w:lang w:eastAsia="ja-JP"/>
        </w:rPr>
        <w:t>ess than half of the GMT in the QIV </w:t>
      </w:r>
      <w:r w:rsidRPr="001C3C0C">
        <w:rPr>
          <w:lang w:eastAsia="ja-JP"/>
        </w:rPr>
        <w:t xml:space="preserve">group: 64.1 </w:t>
      </w:r>
      <w:r>
        <w:rPr>
          <w:lang w:eastAsia="ja-JP"/>
        </w:rPr>
        <w:t xml:space="preserve">versus 153.1 (B Victoria lineage) and 47.2 versus 101.9 (B </w:t>
      </w:r>
      <w:r w:rsidRPr="001C3C0C">
        <w:rPr>
          <w:lang w:eastAsia="ja-JP"/>
        </w:rPr>
        <w:t>Yamagata lineage)</w:t>
      </w:r>
      <w:r>
        <w:rPr>
          <w:lang w:eastAsia="ja-JP"/>
        </w:rPr>
        <w:t xml:space="preserve"> (Table 6)</w:t>
      </w:r>
      <w:r w:rsidRPr="001C3C0C">
        <w:rPr>
          <w:lang w:eastAsia="ja-JP"/>
        </w:rPr>
        <w:t>. Both differences were statistically significant (P &lt;</w:t>
      </w:r>
      <w:r>
        <w:rPr>
          <w:lang w:eastAsia="ja-JP"/>
        </w:rPr>
        <w:t> </w:t>
      </w:r>
      <w:r w:rsidRPr="001C3C0C">
        <w:rPr>
          <w:lang w:eastAsia="ja-JP"/>
        </w:rPr>
        <w:t>0.0001, both comparisons). Thus, the HI</w:t>
      </w:r>
      <w:r>
        <w:rPr>
          <w:lang w:eastAsia="ja-JP"/>
        </w:rPr>
        <w:t xml:space="preserve"> </w:t>
      </w:r>
      <w:r w:rsidRPr="001C3C0C">
        <w:rPr>
          <w:lang w:eastAsia="ja-JP"/>
        </w:rPr>
        <w:t>antibody responses elicited by the B</w:t>
      </w:r>
      <w:r>
        <w:rPr>
          <w:lang w:eastAsia="ja-JP"/>
        </w:rPr>
        <w:t xml:space="preserve"> strain</w:t>
      </w:r>
      <w:r w:rsidRPr="001C3C0C">
        <w:rPr>
          <w:lang w:eastAsia="ja-JP"/>
        </w:rPr>
        <w:t xml:space="preserve"> antigens were </w:t>
      </w:r>
      <w:r w:rsidRPr="00967104">
        <w:rPr>
          <w:lang w:eastAsia="ja-JP"/>
        </w:rPr>
        <w:t>superior</w:t>
      </w:r>
      <w:r w:rsidRPr="001C3C0C">
        <w:rPr>
          <w:lang w:eastAsia="ja-JP"/>
        </w:rPr>
        <w:t xml:space="preserve"> to the antibody responses</w:t>
      </w:r>
      <w:r>
        <w:rPr>
          <w:lang w:eastAsia="ja-JP"/>
        </w:rPr>
        <w:t xml:space="preserve"> elicited by cross </w:t>
      </w:r>
      <w:r w:rsidRPr="001C3C0C">
        <w:rPr>
          <w:lang w:eastAsia="ja-JP"/>
        </w:rPr>
        <w:t>reactiv</w:t>
      </w:r>
      <w:r>
        <w:rPr>
          <w:lang w:eastAsia="ja-JP"/>
        </w:rPr>
        <w:t xml:space="preserve">ity antigens of the alternate B </w:t>
      </w:r>
      <w:r w:rsidRPr="001C3C0C">
        <w:rPr>
          <w:lang w:eastAsia="ja-JP"/>
        </w:rPr>
        <w:t>strain lineages. The secondary efficacy analysis was repeated for the PP subject sample and w</w:t>
      </w:r>
      <w:r>
        <w:rPr>
          <w:lang w:eastAsia="ja-JP"/>
        </w:rPr>
        <w:t>as</w:t>
      </w:r>
      <w:r w:rsidRPr="001C3C0C">
        <w:rPr>
          <w:lang w:eastAsia="ja-JP"/>
        </w:rPr>
        <w:t xml:space="preserve"> similar to the FAS.</w:t>
      </w:r>
    </w:p>
    <w:p w14:paraId="1FF05D31" w14:textId="30556DB8" w:rsidR="001C3C0C" w:rsidRDefault="009E21E2" w:rsidP="00967104">
      <w:pPr>
        <w:pStyle w:val="Tabletitle"/>
        <w:rPr>
          <w:lang w:eastAsia="ja-JP"/>
        </w:rPr>
      </w:pPr>
      <w:r>
        <w:rPr>
          <w:lang w:eastAsia="ja-JP"/>
        </w:rPr>
        <w:lastRenderedPageBreak/>
        <w:t xml:space="preserve">Table </w:t>
      </w:r>
      <w:r w:rsidR="005A2E9D">
        <w:rPr>
          <w:lang w:eastAsia="ja-JP"/>
        </w:rPr>
        <w:t>6:</w:t>
      </w:r>
      <w:r w:rsidR="001C3C0C" w:rsidRPr="001C3C0C">
        <w:rPr>
          <w:lang w:eastAsia="ja-JP"/>
        </w:rPr>
        <w:t xml:space="preserve"> </w:t>
      </w:r>
      <w:r w:rsidR="005F4072" w:rsidRPr="001C3C0C">
        <w:rPr>
          <w:lang w:eastAsia="ja-JP"/>
        </w:rPr>
        <w:t xml:space="preserve">Superiority of </w:t>
      </w:r>
      <w:r w:rsidR="005F4072">
        <w:rPr>
          <w:lang w:eastAsia="ja-JP"/>
        </w:rPr>
        <w:t>QIV</w:t>
      </w:r>
      <w:r w:rsidR="005F4072" w:rsidRPr="001C3C0C">
        <w:rPr>
          <w:lang w:eastAsia="ja-JP"/>
        </w:rPr>
        <w:t xml:space="preserve"> versus</w:t>
      </w:r>
      <w:r w:rsidR="005F4072">
        <w:rPr>
          <w:lang w:eastAsia="ja-JP"/>
        </w:rPr>
        <w:t xml:space="preserve"> TIV</w:t>
      </w:r>
      <w:r w:rsidR="005F4072" w:rsidRPr="001C3C0C">
        <w:rPr>
          <w:lang w:eastAsia="ja-JP"/>
        </w:rPr>
        <w:t xml:space="preserve"> </w:t>
      </w:r>
      <w:r w:rsidR="00967104">
        <w:rPr>
          <w:lang w:eastAsia="ja-JP"/>
        </w:rPr>
        <w:t xml:space="preserve">against the alternate lineage B </w:t>
      </w:r>
      <w:r w:rsidR="005F4072" w:rsidRPr="001C3C0C">
        <w:rPr>
          <w:lang w:eastAsia="ja-JP"/>
        </w:rPr>
        <w:t>strains based on the post</w:t>
      </w:r>
      <w:r w:rsidR="00967104">
        <w:rPr>
          <w:lang w:eastAsia="ja-JP"/>
        </w:rPr>
        <w:t>-</w:t>
      </w:r>
      <w:r w:rsidR="005F4072" w:rsidRPr="001C3C0C">
        <w:rPr>
          <w:lang w:eastAsia="ja-JP"/>
        </w:rPr>
        <w:t xml:space="preserve">vaccination geometric mean </w:t>
      </w:r>
      <w:r w:rsidR="00967104">
        <w:rPr>
          <w:lang w:eastAsia="ja-JP"/>
        </w:rPr>
        <w:t>HI titres; FAS</w:t>
      </w:r>
    </w:p>
    <w:p w14:paraId="6333F578" w14:textId="49E36251" w:rsidR="001C3C0C" w:rsidRPr="005A2E9D" w:rsidRDefault="005A2E9D" w:rsidP="001C3C0C">
      <w:pPr>
        <w:rPr>
          <w:lang w:eastAsia="ja-JP"/>
        </w:rPr>
      </w:pPr>
      <w:r w:rsidRPr="005A2E9D">
        <w:rPr>
          <w:noProof/>
          <w:lang w:eastAsia="en-AU"/>
        </w:rPr>
        <w:drawing>
          <wp:inline distT="0" distB="0" distL="0" distR="0" wp14:anchorId="517513E4" wp14:editId="300E258A">
            <wp:extent cx="5731510" cy="2067560"/>
            <wp:effectExtent l="0" t="0" r="2540" b="8890"/>
            <wp:docPr id="8" name="Picture 8" descr="Superiority of QIV versus TIV against the alternate lineage B strains based on the post-vaccination geometric mean HI titr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67560"/>
                    </a:xfrm>
                    <a:prstGeom prst="rect">
                      <a:avLst/>
                    </a:prstGeom>
                  </pic:spPr>
                </pic:pic>
              </a:graphicData>
            </a:graphic>
          </wp:inline>
        </w:drawing>
      </w:r>
    </w:p>
    <w:p w14:paraId="5227F79A" w14:textId="131ED975" w:rsidR="001C3C0C" w:rsidRPr="001C3C0C" w:rsidRDefault="001C3C0C" w:rsidP="00BA0835">
      <w:pPr>
        <w:pStyle w:val="Heading6"/>
        <w:rPr>
          <w:lang w:eastAsia="ja-JP"/>
        </w:rPr>
      </w:pPr>
      <w:r w:rsidRPr="001C3C0C">
        <w:rPr>
          <w:lang w:eastAsia="ja-JP"/>
        </w:rPr>
        <w:t xml:space="preserve">GMTs </w:t>
      </w:r>
      <w:r w:rsidR="00967104" w:rsidRPr="001C3C0C">
        <w:rPr>
          <w:lang w:eastAsia="ja-JP"/>
        </w:rPr>
        <w:t xml:space="preserve">by strain, </w:t>
      </w:r>
      <w:r w:rsidR="00967104" w:rsidRPr="00270A69">
        <w:rPr>
          <w:strike/>
          <w:lang w:eastAsia="ja-JP"/>
        </w:rPr>
        <w:t>centre, country</w:t>
      </w:r>
      <w:r w:rsidR="00967104" w:rsidRPr="001C3C0C">
        <w:rPr>
          <w:lang w:eastAsia="ja-JP"/>
        </w:rPr>
        <w:t>, and fold increase</w:t>
      </w:r>
    </w:p>
    <w:p w14:paraId="1B2FD584" w14:textId="4FCB941A" w:rsidR="001C3C0C" w:rsidRPr="001C3C0C" w:rsidRDefault="001C3C0C" w:rsidP="001C3C0C">
      <w:pPr>
        <w:rPr>
          <w:lang w:eastAsia="ja-JP"/>
        </w:rPr>
      </w:pPr>
      <w:r w:rsidRPr="001C3C0C">
        <w:rPr>
          <w:lang w:eastAsia="ja-JP"/>
        </w:rPr>
        <w:t xml:space="preserve">In all vaccination groups, the HI antibody responses declined with increasing age for all </w:t>
      </w:r>
      <w:r w:rsidR="00957523">
        <w:rPr>
          <w:lang w:eastAsia="ja-JP"/>
        </w:rPr>
        <w:t>4</w:t>
      </w:r>
      <w:r w:rsidRPr="001C3C0C">
        <w:rPr>
          <w:lang w:eastAsia="ja-JP"/>
        </w:rPr>
        <w:t xml:space="preserve"> strains. In both adult subjects and elderly subjects, GMTs increased in all vaccination groups for the FAS from Day 1 (pre</w:t>
      </w:r>
      <w:r w:rsidR="00C533C6">
        <w:rPr>
          <w:lang w:eastAsia="ja-JP"/>
        </w:rPr>
        <w:t>-</w:t>
      </w:r>
      <w:r w:rsidRPr="001C3C0C">
        <w:rPr>
          <w:lang w:eastAsia="ja-JP"/>
        </w:rPr>
        <w:t xml:space="preserve">vaccination) to the Day 22 visit after vaccination for all </w:t>
      </w:r>
      <w:r w:rsidR="00957523">
        <w:rPr>
          <w:lang w:eastAsia="ja-JP"/>
        </w:rPr>
        <w:t>4</w:t>
      </w:r>
      <w:r w:rsidRPr="001C3C0C">
        <w:rPr>
          <w:lang w:eastAsia="ja-JP"/>
        </w:rPr>
        <w:t xml:space="preserve"> strains. Both B</w:t>
      </w:r>
      <w:r w:rsidR="00473C1F">
        <w:rPr>
          <w:lang w:eastAsia="ja-JP"/>
        </w:rPr>
        <w:t xml:space="preserve"> strain</w:t>
      </w:r>
      <w:r w:rsidRPr="001C3C0C">
        <w:rPr>
          <w:lang w:eastAsia="ja-JP"/>
        </w:rPr>
        <w:t xml:space="preserve"> lineages induced limited cross-reactivity. In the </w:t>
      </w:r>
      <w:proofErr w:type="gramStart"/>
      <w:r w:rsidRPr="001C3C0C">
        <w:rPr>
          <w:lang w:eastAsia="ja-JP"/>
        </w:rPr>
        <w:t>TIV</w:t>
      </w:r>
      <w:r w:rsidRPr="001C3C0C">
        <w:rPr>
          <w:vertAlign w:val="subscript"/>
          <w:lang w:eastAsia="ja-JP"/>
        </w:rPr>
        <w:t>(</w:t>
      </w:r>
      <w:proofErr w:type="gramEnd"/>
      <w:r w:rsidRPr="001C3C0C">
        <w:rPr>
          <w:vertAlign w:val="subscript"/>
          <w:lang w:eastAsia="ja-JP"/>
        </w:rPr>
        <w:t>Yam)</w:t>
      </w:r>
      <w:r w:rsidRPr="001C3C0C">
        <w:rPr>
          <w:lang w:eastAsia="ja-JP"/>
        </w:rPr>
        <w:t xml:space="preserve"> group, the GMTs for HI against the B</w:t>
      </w:r>
      <w:r w:rsidR="00C533C6">
        <w:rPr>
          <w:lang w:eastAsia="ja-JP"/>
        </w:rPr>
        <w:t xml:space="preserve"> </w:t>
      </w:r>
      <w:r w:rsidRPr="001C3C0C">
        <w:rPr>
          <w:lang w:eastAsia="ja-JP"/>
        </w:rPr>
        <w:t>Victoria lineage increased from 17.7 to 85.1</w:t>
      </w:r>
      <w:r w:rsidR="00BA0835">
        <w:rPr>
          <w:lang w:eastAsia="ja-JP"/>
        </w:rPr>
        <w:t xml:space="preserve"> in the adult subjects and from </w:t>
      </w:r>
      <w:r w:rsidRPr="001C3C0C">
        <w:rPr>
          <w:lang w:eastAsia="ja-JP"/>
        </w:rPr>
        <w:t xml:space="preserve">21.4 to 48.0 in the elderly subjects whereas the GMTS for the B-Yamagata lineage increased from 15.8 to 184.7 in the adult subjects and from 17.0 to 106.6 in the elderly subjects. Similarly, in the </w:t>
      </w:r>
      <w:proofErr w:type="gramStart"/>
      <w:r w:rsidRPr="001C3C0C">
        <w:rPr>
          <w:lang w:eastAsia="ja-JP"/>
        </w:rPr>
        <w:t>TIV</w:t>
      </w:r>
      <w:r w:rsidRPr="001C3C0C">
        <w:rPr>
          <w:vertAlign w:val="subscript"/>
          <w:lang w:eastAsia="ja-JP"/>
        </w:rPr>
        <w:t>(</w:t>
      </w:r>
      <w:proofErr w:type="gramEnd"/>
      <w:r w:rsidRPr="001C3C0C">
        <w:rPr>
          <w:vertAlign w:val="subscript"/>
          <w:lang w:eastAsia="ja-JP"/>
        </w:rPr>
        <w:t>Vic)</w:t>
      </w:r>
      <w:r w:rsidRPr="001C3C0C">
        <w:rPr>
          <w:lang w:eastAsia="ja-JP"/>
        </w:rPr>
        <w:t xml:space="preserve"> group, the GMTs for HI against the B-Yamagata lineage increased from 26.3 to 81.7 in the adult subjects and from 13.3 to 27.3 in the elderly subjects whereas the GMTS for the B-Victoria lineage increased from 20.2 to 128.7 in the adult subjects and from 16.4 to 57.4 in the elderly subjects. In both adult subjects and elderly subjects, the GMFIs in HI titres were similar across vaccination groups for all </w:t>
      </w:r>
      <w:r w:rsidR="00957523">
        <w:rPr>
          <w:lang w:eastAsia="ja-JP"/>
        </w:rPr>
        <w:t>4</w:t>
      </w:r>
      <w:r w:rsidRPr="001C3C0C">
        <w:rPr>
          <w:lang w:eastAsia="ja-JP"/>
        </w:rPr>
        <w:t xml:space="preserve"> </w:t>
      </w:r>
      <w:r w:rsidR="00C533C6">
        <w:rPr>
          <w:lang w:eastAsia="ja-JP"/>
        </w:rPr>
        <w:t xml:space="preserve">strains. In the adult subjects (see Table </w:t>
      </w:r>
      <w:r w:rsidR="009A2CB7">
        <w:rPr>
          <w:lang w:eastAsia="ja-JP"/>
        </w:rPr>
        <w:t>7</w:t>
      </w:r>
      <w:r w:rsidR="00C533C6">
        <w:rPr>
          <w:lang w:eastAsia="ja-JP"/>
        </w:rPr>
        <w:t>, below</w:t>
      </w:r>
      <w:r w:rsidRPr="001C3C0C">
        <w:rPr>
          <w:lang w:eastAsia="ja-JP"/>
        </w:rPr>
        <w:t>), the Geometric Mean Fold Increases (GMFIs) varied between 6.3 and 11.4 in the QIV group and between 6.2 and 11.7 in the TIV groups (excluding alternate line</w:t>
      </w:r>
      <w:r w:rsidR="00C533C6">
        <w:rPr>
          <w:lang w:eastAsia="ja-JP"/>
        </w:rPr>
        <w:t xml:space="preserve">ages). In the elderly subjects (see Table </w:t>
      </w:r>
      <w:r w:rsidR="009A2CB7">
        <w:rPr>
          <w:lang w:eastAsia="ja-JP"/>
        </w:rPr>
        <w:t>8</w:t>
      </w:r>
      <w:r w:rsidR="00C533C6">
        <w:rPr>
          <w:lang w:eastAsia="ja-JP"/>
        </w:rPr>
        <w:t xml:space="preserve">, below) </w:t>
      </w:r>
      <w:r w:rsidRPr="001C3C0C">
        <w:rPr>
          <w:lang w:eastAsia="ja-JP"/>
        </w:rPr>
        <w:t>the GMFIs varied between 4.2 and 5.5 in the QIV group and between 2.1 and 6.9 in the TIV groups (excluding alternate lineages). The GMFI in HI titres was repeated for the PP subject sample and were similar to the FAS.</w:t>
      </w:r>
    </w:p>
    <w:p w14:paraId="151EF9F4" w14:textId="4DFFD80D" w:rsidR="001C3C0C" w:rsidRDefault="00C533C6" w:rsidP="00C533C6">
      <w:pPr>
        <w:pStyle w:val="Tabletitle"/>
        <w:rPr>
          <w:lang w:eastAsia="ja-JP"/>
        </w:rPr>
      </w:pPr>
      <w:r>
        <w:rPr>
          <w:lang w:eastAsia="ja-JP"/>
        </w:rPr>
        <w:t xml:space="preserve">Table </w:t>
      </w:r>
      <w:r w:rsidR="005A2E9D">
        <w:rPr>
          <w:lang w:eastAsia="ja-JP"/>
        </w:rPr>
        <w:t>7:</w:t>
      </w:r>
      <w:r>
        <w:rPr>
          <w:lang w:eastAsia="ja-JP"/>
        </w:rPr>
        <w:t xml:space="preserve"> GMFIs in HI Titres; </w:t>
      </w:r>
      <w:r w:rsidR="001C3C0C" w:rsidRPr="001C3C0C">
        <w:rPr>
          <w:lang w:eastAsia="ja-JP"/>
        </w:rPr>
        <w:t>FAS (Adults)</w:t>
      </w:r>
    </w:p>
    <w:p w14:paraId="6067C6AD" w14:textId="6A9EB46C" w:rsidR="001C3C0C" w:rsidRPr="005A2E9D" w:rsidRDefault="005A2E9D" w:rsidP="001C3C0C">
      <w:pPr>
        <w:rPr>
          <w:lang w:eastAsia="ja-JP"/>
        </w:rPr>
      </w:pPr>
      <w:r w:rsidRPr="005A2E9D">
        <w:rPr>
          <w:noProof/>
          <w:lang w:eastAsia="en-AU"/>
        </w:rPr>
        <w:drawing>
          <wp:inline distT="0" distB="0" distL="0" distR="0" wp14:anchorId="7EEEE836" wp14:editId="71936C84">
            <wp:extent cx="5731510" cy="1220470"/>
            <wp:effectExtent l="0" t="0" r="2540" b="0"/>
            <wp:docPr id="9" name="Picture 9" descr="Table 7: GMFIs in HI Titres; FAS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220470"/>
                    </a:xfrm>
                    <a:prstGeom prst="rect">
                      <a:avLst/>
                    </a:prstGeom>
                  </pic:spPr>
                </pic:pic>
              </a:graphicData>
            </a:graphic>
          </wp:inline>
        </w:drawing>
      </w:r>
    </w:p>
    <w:p w14:paraId="083DCE2B" w14:textId="73936B00" w:rsidR="001C3C0C" w:rsidRDefault="001C3C0C" w:rsidP="00C533C6">
      <w:pPr>
        <w:pStyle w:val="Tabletitle"/>
        <w:rPr>
          <w:lang w:eastAsia="ja-JP"/>
        </w:rPr>
      </w:pPr>
      <w:r w:rsidRPr="001C3C0C">
        <w:rPr>
          <w:lang w:eastAsia="ja-JP"/>
        </w:rPr>
        <w:t xml:space="preserve">Table </w:t>
      </w:r>
      <w:r w:rsidR="005A2E9D">
        <w:rPr>
          <w:lang w:eastAsia="ja-JP"/>
        </w:rPr>
        <w:t xml:space="preserve">8: </w:t>
      </w:r>
      <w:r w:rsidRPr="001C3C0C">
        <w:rPr>
          <w:lang w:eastAsia="ja-JP"/>
        </w:rPr>
        <w:t xml:space="preserve">Geometric </w:t>
      </w:r>
      <w:r w:rsidR="00C533C6">
        <w:rPr>
          <w:lang w:eastAsia="ja-JP"/>
        </w:rPr>
        <w:t>m</w:t>
      </w:r>
      <w:r w:rsidRPr="001C3C0C">
        <w:rPr>
          <w:lang w:eastAsia="ja-JP"/>
        </w:rPr>
        <w:t xml:space="preserve">ean </w:t>
      </w:r>
      <w:r w:rsidR="00C533C6">
        <w:rPr>
          <w:lang w:eastAsia="ja-JP"/>
        </w:rPr>
        <w:t>f</w:t>
      </w:r>
      <w:r w:rsidRPr="001C3C0C">
        <w:rPr>
          <w:lang w:eastAsia="ja-JP"/>
        </w:rPr>
        <w:t xml:space="preserve">old </w:t>
      </w:r>
      <w:r w:rsidR="00C533C6">
        <w:rPr>
          <w:lang w:eastAsia="ja-JP"/>
        </w:rPr>
        <w:t>i</w:t>
      </w:r>
      <w:r w:rsidRPr="001C3C0C">
        <w:rPr>
          <w:lang w:eastAsia="ja-JP"/>
        </w:rPr>
        <w:t xml:space="preserve">ncreases in HI </w:t>
      </w:r>
      <w:r w:rsidR="004D485E">
        <w:rPr>
          <w:lang w:eastAsia="ja-JP"/>
        </w:rPr>
        <w:t>t</w:t>
      </w:r>
      <w:r w:rsidR="004D485E" w:rsidRPr="001C3C0C">
        <w:rPr>
          <w:lang w:eastAsia="ja-JP"/>
        </w:rPr>
        <w:t>itres</w:t>
      </w:r>
      <w:r w:rsidR="004D485E">
        <w:rPr>
          <w:lang w:eastAsia="ja-JP"/>
        </w:rPr>
        <w:t xml:space="preserve">; </w:t>
      </w:r>
      <w:r w:rsidR="004D485E" w:rsidRPr="001C3C0C">
        <w:rPr>
          <w:lang w:eastAsia="ja-JP"/>
        </w:rPr>
        <w:t>FAS</w:t>
      </w:r>
      <w:r w:rsidRPr="001C3C0C">
        <w:rPr>
          <w:lang w:eastAsia="ja-JP"/>
        </w:rPr>
        <w:t xml:space="preserve"> (Elderly)</w:t>
      </w:r>
    </w:p>
    <w:p w14:paraId="1EE2FDB5" w14:textId="5C65CD4C" w:rsidR="00DC58B8" w:rsidRPr="00DC58B8" w:rsidRDefault="005A2E9D" w:rsidP="00DC58B8">
      <w:pPr>
        <w:rPr>
          <w:lang w:eastAsia="ja-JP"/>
        </w:rPr>
      </w:pPr>
      <w:r w:rsidRPr="005A2E9D">
        <w:rPr>
          <w:noProof/>
          <w:lang w:eastAsia="en-AU"/>
        </w:rPr>
        <w:drawing>
          <wp:inline distT="0" distB="0" distL="0" distR="0" wp14:anchorId="147ECC1D" wp14:editId="44FBCB31">
            <wp:extent cx="5731510" cy="1213485"/>
            <wp:effectExtent l="0" t="0" r="2540" b="5715"/>
            <wp:docPr id="10" name="Picture 10" descr="Table 8: Geometric mean fold increases in HI titres; FAS (Eld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213485"/>
                    </a:xfrm>
                    <a:prstGeom prst="rect">
                      <a:avLst/>
                    </a:prstGeom>
                  </pic:spPr>
                </pic:pic>
              </a:graphicData>
            </a:graphic>
          </wp:inline>
        </w:drawing>
      </w:r>
    </w:p>
    <w:p w14:paraId="461AE9A3" w14:textId="76DF17E4" w:rsidR="001C3C0C" w:rsidRPr="001C3C0C" w:rsidRDefault="001C3C0C" w:rsidP="00BA0835">
      <w:pPr>
        <w:pStyle w:val="Heading6"/>
        <w:rPr>
          <w:lang w:eastAsia="ja-JP"/>
        </w:rPr>
      </w:pPr>
      <w:r w:rsidRPr="001C3C0C">
        <w:rPr>
          <w:lang w:eastAsia="ja-JP"/>
        </w:rPr>
        <w:lastRenderedPageBreak/>
        <w:t xml:space="preserve">Seroconversion </w:t>
      </w:r>
      <w:r w:rsidR="00B93E2D" w:rsidRPr="001C3C0C">
        <w:rPr>
          <w:lang w:eastAsia="ja-JP"/>
        </w:rPr>
        <w:t xml:space="preserve">rate based </w:t>
      </w:r>
      <w:r w:rsidRPr="001C3C0C">
        <w:rPr>
          <w:lang w:eastAsia="ja-JP"/>
        </w:rPr>
        <w:t>on HI Titres</w:t>
      </w:r>
    </w:p>
    <w:p w14:paraId="42F5C7FA" w14:textId="4C10435B" w:rsidR="001C3C0C" w:rsidRPr="001C3C0C" w:rsidRDefault="001C3C0C" w:rsidP="001C3C0C">
      <w:pPr>
        <w:rPr>
          <w:lang w:eastAsia="ja-JP"/>
        </w:rPr>
      </w:pPr>
      <w:r w:rsidRPr="001C3C0C">
        <w:rPr>
          <w:lang w:eastAsia="ja-JP"/>
        </w:rPr>
        <w:t xml:space="preserve">Seroconversion (defined as becoming seropositive if seronegative at </w:t>
      </w:r>
      <w:r w:rsidR="004D485E" w:rsidRPr="001C3C0C">
        <w:rPr>
          <w:lang w:eastAsia="ja-JP"/>
        </w:rPr>
        <w:t>enrolment</w:t>
      </w:r>
      <w:r w:rsidRPr="001C3C0C">
        <w:rPr>
          <w:lang w:eastAsia="ja-JP"/>
        </w:rPr>
        <w:t xml:space="preserve"> or at least a</w:t>
      </w:r>
      <w:r w:rsidR="00BA0835">
        <w:rPr>
          <w:lang w:eastAsia="ja-JP"/>
        </w:rPr>
        <w:t xml:space="preserve"> </w:t>
      </w:r>
      <w:r w:rsidR="00957523">
        <w:rPr>
          <w:lang w:eastAsia="ja-JP"/>
        </w:rPr>
        <w:t>4</w:t>
      </w:r>
      <w:r w:rsidR="005A2E9D">
        <w:rPr>
          <w:lang w:eastAsia="ja-JP"/>
        </w:rPr>
        <w:t> </w:t>
      </w:r>
      <w:r w:rsidRPr="001C3C0C">
        <w:rPr>
          <w:lang w:eastAsia="ja-JP"/>
        </w:rPr>
        <w:t xml:space="preserve">fold increase in titres if seropositive at </w:t>
      </w:r>
      <w:r w:rsidR="004D485E" w:rsidRPr="001C3C0C">
        <w:rPr>
          <w:lang w:eastAsia="ja-JP"/>
        </w:rPr>
        <w:t>enrolment</w:t>
      </w:r>
      <w:r w:rsidRPr="001C3C0C">
        <w:rPr>
          <w:lang w:eastAsia="ja-JP"/>
        </w:rPr>
        <w:t xml:space="preserve">) rate is presented in </w:t>
      </w:r>
      <w:r w:rsidR="005A2E9D" w:rsidRPr="005A2E9D">
        <w:rPr>
          <w:lang w:eastAsia="ja-JP"/>
        </w:rPr>
        <w:t>Tables 9 and 10, below.</w:t>
      </w:r>
    </w:p>
    <w:p w14:paraId="6A05ABD7" w14:textId="209C68B9" w:rsidR="001C3C0C" w:rsidRPr="00DC58B8" w:rsidRDefault="00BA0835" w:rsidP="00DC58B8">
      <w:r w:rsidRPr="00DC58B8">
        <w:t>Adults:</w:t>
      </w:r>
    </w:p>
    <w:p w14:paraId="33A7E1F3" w14:textId="47A31FB8" w:rsidR="001C3C0C" w:rsidRPr="001C3C0C" w:rsidRDefault="001C3C0C" w:rsidP="00BA0835">
      <w:pPr>
        <w:pStyle w:val="ListBullet"/>
        <w:rPr>
          <w:lang w:eastAsia="ja-JP"/>
        </w:rPr>
      </w:pPr>
      <w:r w:rsidRPr="001C3C0C">
        <w:rPr>
          <w:lang w:eastAsia="ja-JP"/>
        </w:rPr>
        <w:t xml:space="preserve">For the </w:t>
      </w:r>
      <w:proofErr w:type="gramStart"/>
      <w:r w:rsidRPr="001C3C0C">
        <w:rPr>
          <w:lang w:eastAsia="ja-JP"/>
        </w:rPr>
        <w:t>A(</w:t>
      </w:r>
      <w:proofErr w:type="gramEnd"/>
      <w:r w:rsidRPr="001C3C0C">
        <w:rPr>
          <w:lang w:eastAsia="ja-JP"/>
        </w:rPr>
        <w:t>H3N2)</w:t>
      </w:r>
      <w:r w:rsidR="00473C1F">
        <w:rPr>
          <w:lang w:eastAsia="ja-JP"/>
        </w:rPr>
        <w:t xml:space="preserve"> strain</w:t>
      </w:r>
      <w:r w:rsidRPr="001C3C0C">
        <w:rPr>
          <w:lang w:eastAsia="ja-JP"/>
        </w:rPr>
        <w:t xml:space="preserve"> and A(H1N1)</w:t>
      </w:r>
      <w:r w:rsidR="00473C1F">
        <w:rPr>
          <w:lang w:eastAsia="ja-JP"/>
        </w:rPr>
        <w:t xml:space="preserve"> strain</w:t>
      </w:r>
      <w:r w:rsidRPr="001C3C0C">
        <w:rPr>
          <w:lang w:eastAsia="ja-JP"/>
        </w:rPr>
        <w:t>, seroc</w:t>
      </w:r>
      <w:r w:rsidR="00BA0835">
        <w:rPr>
          <w:lang w:eastAsia="ja-JP"/>
        </w:rPr>
        <w:t xml:space="preserve">onversion rates were comparable </w:t>
      </w:r>
      <w:r w:rsidRPr="001C3C0C">
        <w:rPr>
          <w:lang w:eastAsia="ja-JP"/>
        </w:rPr>
        <w:t>between vaccination groups (A</w:t>
      </w:r>
      <w:r w:rsidR="00140CBD">
        <w:rPr>
          <w:lang w:eastAsia="ja-JP"/>
        </w:rPr>
        <w:t>(</w:t>
      </w:r>
      <w:r w:rsidRPr="001C3C0C">
        <w:rPr>
          <w:lang w:eastAsia="ja-JP"/>
        </w:rPr>
        <w:t>H3N2</w:t>
      </w:r>
      <w:r w:rsidR="00140CBD">
        <w:rPr>
          <w:lang w:eastAsia="ja-JP"/>
        </w:rPr>
        <w:t>)</w:t>
      </w:r>
      <w:r w:rsidR="00473C1F">
        <w:rPr>
          <w:lang w:eastAsia="ja-JP"/>
        </w:rPr>
        <w:t xml:space="preserve"> strain</w:t>
      </w:r>
      <w:r w:rsidRPr="001C3C0C">
        <w:rPr>
          <w:lang w:eastAsia="ja-JP"/>
        </w:rPr>
        <w:t>: QIV (51.3%); pooled TIV (58.6%); A</w:t>
      </w:r>
      <w:r w:rsidR="00140CBD">
        <w:rPr>
          <w:lang w:eastAsia="ja-JP"/>
        </w:rPr>
        <w:t>(</w:t>
      </w:r>
      <w:r w:rsidRPr="001C3C0C">
        <w:rPr>
          <w:lang w:eastAsia="ja-JP"/>
        </w:rPr>
        <w:t>H1N1</w:t>
      </w:r>
      <w:r w:rsidR="00140CBD">
        <w:rPr>
          <w:lang w:eastAsia="ja-JP"/>
        </w:rPr>
        <w:t>)</w:t>
      </w:r>
      <w:r w:rsidR="00473C1F">
        <w:rPr>
          <w:lang w:eastAsia="ja-JP"/>
        </w:rPr>
        <w:t xml:space="preserve"> strain</w:t>
      </w:r>
      <w:r w:rsidRPr="001C3C0C">
        <w:rPr>
          <w:lang w:eastAsia="ja-JP"/>
        </w:rPr>
        <w:t>: QIV (59.4%); pooled TIV (65.1%);</w:t>
      </w:r>
    </w:p>
    <w:p w14:paraId="29E1FA3F" w14:textId="45872D3F" w:rsidR="001C3C0C" w:rsidRPr="001C3C0C" w:rsidRDefault="001C3C0C" w:rsidP="00BA0835">
      <w:pPr>
        <w:pStyle w:val="ListBullet"/>
        <w:rPr>
          <w:lang w:eastAsia="ja-JP"/>
        </w:rPr>
      </w:pPr>
      <w:r w:rsidRPr="001C3C0C">
        <w:rPr>
          <w:lang w:eastAsia="ja-JP"/>
        </w:rPr>
        <w:t>For the B</w:t>
      </w:r>
      <w:r w:rsidR="00473C1F">
        <w:rPr>
          <w:lang w:eastAsia="ja-JP"/>
        </w:rPr>
        <w:t xml:space="preserve"> strain</w:t>
      </w:r>
      <w:r w:rsidRPr="001C3C0C">
        <w:rPr>
          <w:lang w:eastAsia="ja-JP"/>
        </w:rPr>
        <w:t xml:space="preserve"> Victoria lineage, the seroconversion rates were comparable between QIV</w:t>
      </w:r>
      <w:r w:rsidR="00BA0835">
        <w:rPr>
          <w:lang w:eastAsia="ja-JP"/>
        </w:rPr>
        <w:t xml:space="preserve"> </w:t>
      </w:r>
      <w:r w:rsidRPr="001C3C0C">
        <w:rPr>
          <w:lang w:eastAsia="ja-JP"/>
        </w:rPr>
        <w:t xml:space="preserve">(70.2%) and </w:t>
      </w:r>
      <w:proofErr w:type="gramStart"/>
      <w:r w:rsidRPr="001C3C0C">
        <w:rPr>
          <w:lang w:eastAsia="ja-JP"/>
        </w:rPr>
        <w:t>TIV</w:t>
      </w:r>
      <w:r w:rsidRPr="001C3C0C">
        <w:rPr>
          <w:vertAlign w:val="subscript"/>
          <w:lang w:eastAsia="ja-JP"/>
        </w:rPr>
        <w:t>(</w:t>
      </w:r>
      <w:proofErr w:type="gramEnd"/>
      <w:r w:rsidRPr="001C3C0C">
        <w:rPr>
          <w:vertAlign w:val="subscript"/>
          <w:lang w:eastAsia="ja-JP"/>
        </w:rPr>
        <w:t>Vic)</w:t>
      </w:r>
      <w:r w:rsidRPr="001C3C0C">
        <w:rPr>
          <w:lang w:eastAsia="ja-JP"/>
        </w:rPr>
        <w:t xml:space="preserve"> (66.4%) groups. The seroconversion rate was lower in the TIV</w:t>
      </w:r>
      <w:r w:rsidRPr="001C3C0C">
        <w:rPr>
          <w:vertAlign w:val="subscript"/>
          <w:lang w:eastAsia="ja-JP"/>
        </w:rPr>
        <w:t>(Yam)</w:t>
      </w:r>
      <w:r w:rsidRPr="001C3C0C">
        <w:rPr>
          <w:lang w:eastAsia="ja-JP"/>
        </w:rPr>
        <w:t xml:space="preserve"> group (51.4%) due to the limited cross-reactivity;</w:t>
      </w:r>
    </w:p>
    <w:p w14:paraId="5D4A0A24" w14:textId="3A2E0A7F" w:rsidR="001C3C0C" w:rsidRPr="001C3C0C" w:rsidRDefault="001C3C0C" w:rsidP="00BA0835">
      <w:pPr>
        <w:pStyle w:val="ListBullet"/>
        <w:rPr>
          <w:lang w:eastAsia="ja-JP"/>
        </w:rPr>
      </w:pPr>
      <w:r w:rsidRPr="001C3C0C">
        <w:rPr>
          <w:lang w:eastAsia="ja-JP"/>
        </w:rPr>
        <w:t>For B</w:t>
      </w:r>
      <w:r w:rsidR="00473C1F">
        <w:rPr>
          <w:lang w:eastAsia="ja-JP"/>
        </w:rPr>
        <w:t xml:space="preserve"> strain</w:t>
      </w:r>
      <w:r w:rsidRPr="001C3C0C">
        <w:rPr>
          <w:lang w:eastAsia="ja-JP"/>
        </w:rPr>
        <w:t xml:space="preserve"> Yamagata lineage, the seroconversion rates were comparable between QIV (59.2%) and </w:t>
      </w:r>
      <w:proofErr w:type="gramStart"/>
      <w:r w:rsidRPr="001C3C0C">
        <w:rPr>
          <w:lang w:eastAsia="ja-JP"/>
        </w:rPr>
        <w:t>TIV</w:t>
      </w:r>
      <w:r w:rsidRPr="001C3C0C">
        <w:rPr>
          <w:vertAlign w:val="subscript"/>
          <w:lang w:eastAsia="ja-JP"/>
        </w:rPr>
        <w:t>(</w:t>
      </w:r>
      <w:proofErr w:type="gramEnd"/>
      <w:r w:rsidRPr="001C3C0C">
        <w:rPr>
          <w:vertAlign w:val="subscript"/>
          <w:lang w:eastAsia="ja-JP"/>
        </w:rPr>
        <w:t>Yam)</w:t>
      </w:r>
      <w:r w:rsidRPr="001C3C0C">
        <w:rPr>
          <w:lang w:eastAsia="ja-JP"/>
        </w:rPr>
        <w:t xml:space="preserve"> (58.7%) groups. The seroconversion rate was lower in the </w:t>
      </w:r>
      <w:proofErr w:type="gramStart"/>
      <w:r w:rsidRPr="001C3C0C">
        <w:rPr>
          <w:lang w:eastAsia="ja-JP"/>
        </w:rPr>
        <w:t>TIV</w:t>
      </w:r>
      <w:r w:rsidRPr="001C3C0C">
        <w:rPr>
          <w:vertAlign w:val="subscript"/>
          <w:lang w:eastAsia="ja-JP"/>
        </w:rPr>
        <w:t>(</w:t>
      </w:r>
      <w:proofErr w:type="gramEnd"/>
      <w:r w:rsidRPr="001C3C0C">
        <w:rPr>
          <w:vertAlign w:val="subscript"/>
          <w:lang w:eastAsia="ja-JP"/>
        </w:rPr>
        <w:t>Vic)</w:t>
      </w:r>
      <w:r w:rsidRPr="001C3C0C">
        <w:rPr>
          <w:lang w:eastAsia="ja-JP"/>
        </w:rPr>
        <w:t xml:space="preserve"> group (40.9%) due to the limited cross-reactivity.</w:t>
      </w:r>
    </w:p>
    <w:p w14:paraId="7C73FD50" w14:textId="77777777" w:rsidR="001C3C0C" w:rsidRPr="00DC58B8" w:rsidRDefault="001C3C0C" w:rsidP="00DC58B8">
      <w:r w:rsidRPr="001C3C0C">
        <w:rPr>
          <w:lang w:eastAsia="ja-JP"/>
        </w:rPr>
        <w:t>Elderly:</w:t>
      </w:r>
    </w:p>
    <w:p w14:paraId="42716906" w14:textId="13852BA9" w:rsidR="001C3C0C" w:rsidRPr="001C3C0C" w:rsidRDefault="001C3C0C" w:rsidP="00BA0835">
      <w:pPr>
        <w:pStyle w:val="ListBullet"/>
        <w:rPr>
          <w:lang w:eastAsia="ja-JP"/>
        </w:rPr>
      </w:pPr>
      <w:r w:rsidRPr="001C3C0C">
        <w:rPr>
          <w:lang w:eastAsia="ja-JP"/>
        </w:rPr>
        <w:t xml:space="preserve">For the </w:t>
      </w:r>
      <w:proofErr w:type="gramStart"/>
      <w:r w:rsidRPr="001C3C0C">
        <w:rPr>
          <w:lang w:eastAsia="ja-JP"/>
        </w:rPr>
        <w:t>A(</w:t>
      </w:r>
      <w:proofErr w:type="gramEnd"/>
      <w:r w:rsidRPr="001C3C0C">
        <w:rPr>
          <w:lang w:eastAsia="ja-JP"/>
        </w:rPr>
        <w:t>H3N2)</w:t>
      </w:r>
      <w:r w:rsidR="00473C1F">
        <w:rPr>
          <w:lang w:eastAsia="ja-JP"/>
        </w:rPr>
        <w:t xml:space="preserve"> strain</w:t>
      </w:r>
      <w:r w:rsidRPr="001C3C0C">
        <w:rPr>
          <w:lang w:eastAsia="ja-JP"/>
        </w:rPr>
        <w:t xml:space="preserve"> and A(H1N1)</w:t>
      </w:r>
      <w:r w:rsidR="00473C1F">
        <w:rPr>
          <w:lang w:eastAsia="ja-JP"/>
        </w:rPr>
        <w:t xml:space="preserve"> strain</w:t>
      </w:r>
      <w:r w:rsidRPr="001C3C0C">
        <w:rPr>
          <w:lang w:eastAsia="ja-JP"/>
        </w:rPr>
        <w:t>, the seroconversion rates were comparable</w:t>
      </w:r>
      <w:r w:rsidR="00BA0835">
        <w:rPr>
          <w:lang w:eastAsia="ja-JP"/>
        </w:rPr>
        <w:t xml:space="preserve"> </w:t>
      </w:r>
      <w:r w:rsidRPr="001C3C0C">
        <w:rPr>
          <w:lang w:eastAsia="ja-JP"/>
        </w:rPr>
        <w:t>between vaccination groups (A</w:t>
      </w:r>
      <w:r w:rsidR="00140CBD">
        <w:rPr>
          <w:lang w:eastAsia="ja-JP"/>
        </w:rPr>
        <w:t>(</w:t>
      </w:r>
      <w:r w:rsidRPr="001C3C0C">
        <w:rPr>
          <w:lang w:eastAsia="ja-JP"/>
        </w:rPr>
        <w:t>H3N2</w:t>
      </w:r>
      <w:r w:rsidR="00140CBD">
        <w:rPr>
          <w:lang w:eastAsia="ja-JP"/>
        </w:rPr>
        <w:t>)</w:t>
      </w:r>
      <w:r w:rsidR="00473C1F">
        <w:rPr>
          <w:lang w:eastAsia="ja-JP"/>
        </w:rPr>
        <w:t xml:space="preserve"> strain</w:t>
      </w:r>
      <w:r w:rsidRPr="001C3C0C">
        <w:rPr>
          <w:lang w:eastAsia="ja-JP"/>
        </w:rPr>
        <w:t>: QIV (39.3%); pooled TIV (44.0%); A</w:t>
      </w:r>
      <w:r w:rsidR="00140CBD">
        <w:rPr>
          <w:lang w:eastAsia="ja-JP"/>
        </w:rPr>
        <w:t>(</w:t>
      </w:r>
      <w:r w:rsidRPr="001C3C0C">
        <w:rPr>
          <w:lang w:eastAsia="ja-JP"/>
        </w:rPr>
        <w:t>H1N1</w:t>
      </w:r>
      <w:r w:rsidR="00140CBD">
        <w:rPr>
          <w:lang w:eastAsia="ja-JP"/>
        </w:rPr>
        <w:t>)</w:t>
      </w:r>
      <w:r w:rsidR="00473C1F">
        <w:rPr>
          <w:lang w:eastAsia="ja-JP"/>
        </w:rPr>
        <w:t xml:space="preserve"> strain</w:t>
      </w:r>
      <w:r w:rsidRPr="001C3C0C">
        <w:rPr>
          <w:lang w:eastAsia="ja-JP"/>
        </w:rPr>
        <w:t>: QIV, (50.3%); pooled TIV (57.4%);</w:t>
      </w:r>
    </w:p>
    <w:p w14:paraId="33B2BE4B" w14:textId="56FC4480" w:rsidR="001C3C0C" w:rsidRPr="001C3C0C" w:rsidRDefault="001C3C0C" w:rsidP="00BA0835">
      <w:pPr>
        <w:pStyle w:val="ListBullet"/>
        <w:rPr>
          <w:lang w:eastAsia="ja-JP"/>
        </w:rPr>
      </w:pPr>
      <w:r w:rsidRPr="001C3C0C">
        <w:rPr>
          <w:lang w:eastAsia="ja-JP"/>
        </w:rPr>
        <w:t>For the B</w:t>
      </w:r>
      <w:r w:rsidR="00473C1F">
        <w:rPr>
          <w:lang w:eastAsia="ja-JP"/>
        </w:rPr>
        <w:t xml:space="preserve"> strain</w:t>
      </w:r>
      <w:r w:rsidRPr="001C3C0C">
        <w:rPr>
          <w:lang w:eastAsia="ja-JP"/>
        </w:rPr>
        <w:t xml:space="preserve"> Victoria lineage, the seroconversion rates were comparable between QIV</w:t>
      </w:r>
      <w:r w:rsidR="00BA0835">
        <w:rPr>
          <w:lang w:eastAsia="ja-JP"/>
        </w:rPr>
        <w:t xml:space="preserve"> </w:t>
      </w:r>
      <w:r w:rsidRPr="001C3C0C">
        <w:rPr>
          <w:lang w:eastAsia="ja-JP"/>
        </w:rPr>
        <w:t xml:space="preserve">(53.6%) and </w:t>
      </w:r>
      <w:proofErr w:type="gramStart"/>
      <w:r w:rsidRPr="001C3C0C">
        <w:rPr>
          <w:lang w:eastAsia="ja-JP"/>
        </w:rPr>
        <w:t>TIV</w:t>
      </w:r>
      <w:r w:rsidRPr="001C3C0C">
        <w:rPr>
          <w:vertAlign w:val="subscript"/>
          <w:lang w:eastAsia="ja-JP"/>
        </w:rPr>
        <w:t>(</w:t>
      </w:r>
      <w:proofErr w:type="gramEnd"/>
      <w:r w:rsidRPr="001C3C0C">
        <w:rPr>
          <w:vertAlign w:val="subscript"/>
          <w:lang w:eastAsia="ja-JP"/>
        </w:rPr>
        <w:t>Vic)</w:t>
      </w:r>
      <w:r w:rsidRPr="001C3C0C">
        <w:rPr>
          <w:lang w:eastAsia="ja-JP"/>
        </w:rPr>
        <w:t xml:space="preserve"> (55.6%) groups. The seroconversion rate was lower in the TIV</w:t>
      </w:r>
      <w:r w:rsidRPr="001C3C0C">
        <w:rPr>
          <w:vertAlign w:val="subscript"/>
          <w:lang w:eastAsia="ja-JP"/>
        </w:rPr>
        <w:t>(Yam)</w:t>
      </w:r>
      <w:r w:rsidRPr="001C3C0C">
        <w:rPr>
          <w:lang w:eastAsia="ja-JP"/>
        </w:rPr>
        <w:t xml:space="preserve"> group 25.0% due to the limited cross-reactivity;</w:t>
      </w:r>
    </w:p>
    <w:p w14:paraId="52F56A85" w14:textId="7F48CF38" w:rsidR="001C3C0C" w:rsidRPr="001C3C0C" w:rsidRDefault="001C3C0C" w:rsidP="00BA0835">
      <w:pPr>
        <w:pStyle w:val="ListBullet"/>
        <w:rPr>
          <w:lang w:eastAsia="ja-JP"/>
        </w:rPr>
      </w:pPr>
      <w:r w:rsidRPr="001C3C0C">
        <w:rPr>
          <w:lang w:eastAsia="ja-JP"/>
        </w:rPr>
        <w:t>For the B</w:t>
      </w:r>
      <w:r w:rsidR="00473C1F">
        <w:rPr>
          <w:lang w:eastAsia="ja-JP"/>
        </w:rPr>
        <w:t xml:space="preserve"> strain</w:t>
      </w:r>
      <w:r w:rsidRPr="001C3C0C">
        <w:rPr>
          <w:lang w:eastAsia="ja-JP"/>
        </w:rPr>
        <w:t xml:space="preserve"> Yamagata lineage, the seroconversion rates were comparable between QIV</w:t>
      </w:r>
      <w:r w:rsidR="00BA0835">
        <w:rPr>
          <w:lang w:eastAsia="ja-JP"/>
        </w:rPr>
        <w:t xml:space="preserve"> </w:t>
      </w:r>
      <w:r w:rsidRPr="001C3C0C">
        <w:rPr>
          <w:lang w:eastAsia="ja-JP"/>
        </w:rPr>
        <w:t xml:space="preserve">(49.9%) and </w:t>
      </w:r>
      <w:proofErr w:type="gramStart"/>
      <w:r w:rsidRPr="001C3C0C">
        <w:rPr>
          <w:lang w:eastAsia="ja-JP"/>
        </w:rPr>
        <w:t>TIV</w:t>
      </w:r>
      <w:r w:rsidRPr="001C3C0C">
        <w:rPr>
          <w:vertAlign w:val="subscript"/>
          <w:lang w:eastAsia="ja-JP"/>
        </w:rPr>
        <w:t>(</w:t>
      </w:r>
      <w:proofErr w:type="gramEnd"/>
      <w:r w:rsidRPr="001C3C0C">
        <w:rPr>
          <w:vertAlign w:val="subscript"/>
          <w:lang w:eastAsia="ja-JP"/>
        </w:rPr>
        <w:t>Yam)</w:t>
      </w:r>
      <w:r w:rsidRPr="001C3C0C">
        <w:rPr>
          <w:lang w:eastAsia="ja-JP"/>
        </w:rPr>
        <w:t xml:space="preserve"> (46.2%) groups. The seroconversion rate was lower in the </w:t>
      </w:r>
      <w:proofErr w:type="gramStart"/>
      <w:r w:rsidRPr="001C3C0C">
        <w:rPr>
          <w:lang w:eastAsia="ja-JP"/>
        </w:rPr>
        <w:t>TIV</w:t>
      </w:r>
      <w:r w:rsidRPr="001C3C0C">
        <w:rPr>
          <w:vertAlign w:val="subscript"/>
          <w:lang w:eastAsia="ja-JP"/>
        </w:rPr>
        <w:t>(</w:t>
      </w:r>
      <w:proofErr w:type="gramEnd"/>
      <w:r w:rsidRPr="001C3C0C">
        <w:rPr>
          <w:vertAlign w:val="subscript"/>
          <w:lang w:eastAsia="ja-JP"/>
        </w:rPr>
        <w:t>Vic)</w:t>
      </w:r>
      <w:r w:rsidRPr="001C3C0C">
        <w:rPr>
          <w:lang w:eastAsia="ja-JP"/>
        </w:rPr>
        <w:t xml:space="preserve"> group (30.0%) due to the limited cross-reactivity.</w:t>
      </w:r>
    </w:p>
    <w:p w14:paraId="2C04559F" w14:textId="415D4816" w:rsidR="001C3C0C" w:rsidRDefault="00DC58B8" w:rsidP="0036603B">
      <w:pPr>
        <w:pStyle w:val="Tabletitle"/>
        <w:rPr>
          <w:lang w:eastAsia="ja-JP"/>
        </w:rPr>
      </w:pPr>
      <w:r>
        <w:rPr>
          <w:lang w:eastAsia="ja-JP"/>
        </w:rPr>
        <w:t xml:space="preserve">Table </w:t>
      </w:r>
      <w:r w:rsidR="005A2E9D">
        <w:rPr>
          <w:lang w:eastAsia="ja-JP"/>
        </w:rPr>
        <w:t>9:</w:t>
      </w:r>
      <w:r w:rsidR="001C3C0C" w:rsidRPr="001C3C0C">
        <w:rPr>
          <w:lang w:eastAsia="ja-JP"/>
        </w:rPr>
        <w:t xml:space="preserve"> Seroconversion </w:t>
      </w:r>
      <w:r w:rsidR="0036603B">
        <w:rPr>
          <w:lang w:eastAsia="ja-JP"/>
        </w:rPr>
        <w:t>r</w:t>
      </w:r>
      <w:r w:rsidR="001C3C0C" w:rsidRPr="001C3C0C">
        <w:rPr>
          <w:lang w:eastAsia="ja-JP"/>
        </w:rPr>
        <w:t xml:space="preserve">ates </w:t>
      </w:r>
      <w:r w:rsidR="0036603B">
        <w:rPr>
          <w:lang w:eastAsia="ja-JP"/>
        </w:rPr>
        <w:t>b</w:t>
      </w:r>
      <w:r w:rsidR="001C3C0C" w:rsidRPr="001C3C0C">
        <w:rPr>
          <w:lang w:eastAsia="ja-JP"/>
        </w:rPr>
        <w:t xml:space="preserve">ased on HI </w:t>
      </w:r>
      <w:r w:rsidR="0036603B">
        <w:rPr>
          <w:lang w:eastAsia="ja-JP"/>
        </w:rPr>
        <w:t xml:space="preserve">titres; </w:t>
      </w:r>
      <w:r w:rsidR="001C3C0C" w:rsidRPr="001C3C0C">
        <w:rPr>
          <w:lang w:eastAsia="ja-JP"/>
        </w:rPr>
        <w:t>FAS (Adults)</w:t>
      </w:r>
    </w:p>
    <w:p w14:paraId="26F4E475" w14:textId="0C07E3B3" w:rsidR="005A2E9D" w:rsidRPr="005A2E9D" w:rsidRDefault="005A2E9D" w:rsidP="005A2E9D">
      <w:pPr>
        <w:rPr>
          <w:lang w:eastAsia="ja-JP"/>
        </w:rPr>
      </w:pPr>
      <w:r w:rsidRPr="005A2E9D">
        <w:rPr>
          <w:noProof/>
          <w:lang w:eastAsia="en-AU"/>
        </w:rPr>
        <w:drawing>
          <wp:inline distT="0" distB="0" distL="0" distR="0" wp14:anchorId="25B6F078" wp14:editId="6317B959">
            <wp:extent cx="5731510" cy="1176020"/>
            <wp:effectExtent l="0" t="0" r="2540" b="5080"/>
            <wp:docPr id="11" name="Picture 11" descr="Seroconversion rates based on HI titres; FAS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176020"/>
                    </a:xfrm>
                    <a:prstGeom prst="rect">
                      <a:avLst/>
                    </a:prstGeom>
                  </pic:spPr>
                </pic:pic>
              </a:graphicData>
            </a:graphic>
          </wp:inline>
        </w:drawing>
      </w:r>
    </w:p>
    <w:p w14:paraId="3D557E6B" w14:textId="1D7F4EC9" w:rsidR="001C3C0C" w:rsidRDefault="005A2E9D" w:rsidP="0036603B">
      <w:pPr>
        <w:pStyle w:val="Tabletitle"/>
        <w:rPr>
          <w:lang w:eastAsia="ja-JP"/>
        </w:rPr>
      </w:pPr>
      <w:r>
        <w:rPr>
          <w:lang w:eastAsia="ja-JP"/>
        </w:rPr>
        <w:t>Table 10:</w:t>
      </w:r>
      <w:r w:rsidR="001C3C0C" w:rsidRPr="001C3C0C">
        <w:rPr>
          <w:lang w:eastAsia="ja-JP"/>
        </w:rPr>
        <w:t xml:space="preserve"> Seroconver</w:t>
      </w:r>
      <w:r>
        <w:rPr>
          <w:lang w:eastAsia="ja-JP"/>
        </w:rPr>
        <w:t xml:space="preserve">sion rates based on HI titres; </w:t>
      </w:r>
      <w:r w:rsidR="001C3C0C" w:rsidRPr="001C3C0C">
        <w:rPr>
          <w:lang w:eastAsia="ja-JP"/>
        </w:rPr>
        <w:t>FAS (Elderly)</w:t>
      </w:r>
    </w:p>
    <w:p w14:paraId="0E58AA37" w14:textId="6C8DE59F" w:rsidR="00BA0835" w:rsidRDefault="005A2E9D" w:rsidP="001C3C0C">
      <w:pPr>
        <w:rPr>
          <w:lang w:eastAsia="ja-JP"/>
        </w:rPr>
      </w:pPr>
      <w:r w:rsidRPr="005A2E9D">
        <w:rPr>
          <w:noProof/>
          <w:lang w:eastAsia="en-AU"/>
        </w:rPr>
        <w:drawing>
          <wp:inline distT="0" distB="0" distL="0" distR="0" wp14:anchorId="177F6E54" wp14:editId="607E3FAC">
            <wp:extent cx="5731510" cy="1148080"/>
            <wp:effectExtent l="0" t="0" r="2540" b="0"/>
            <wp:docPr id="12" name="Picture 12" descr="Seroconversion rates based on HI titres; FAS (Eld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148080"/>
                    </a:xfrm>
                    <a:prstGeom prst="rect">
                      <a:avLst/>
                    </a:prstGeom>
                  </pic:spPr>
                </pic:pic>
              </a:graphicData>
            </a:graphic>
          </wp:inline>
        </w:drawing>
      </w:r>
    </w:p>
    <w:p w14:paraId="13DF978E" w14:textId="42CA3533" w:rsidR="001C3C0C" w:rsidRPr="001C3C0C" w:rsidRDefault="001C3C0C" w:rsidP="00BA0835">
      <w:pPr>
        <w:pStyle w:val="Heading6"/>
        <w:rPr>
          <w:lang w:eastAsia="ja-JP"/>
        </w:rPr>
      </w:pPr>
      <w:r w:rsidRPr="001C3C0C">
        <w:rPr>
          <w:lang w:eastAsia="ja-JP"/>
        </w:rPr>
        <w:t xml:space="preserve">Geometric </w:t>
      </w:r>
      <w:r w:rsidR="0036603B" w:rsidRPr="001C3C0C">
        <w:rPr>
          <w:lang w:eastAsia="ja-JP"/>
        </w:rPr>
        <w:t>mean virus neutralisation titres</w:t>
      </w:r>
    </w:p>
    <w:p w14:paraId="58CBA8CF" w14:textId="7ED3CFDE" w:rsidR="001C3C0C" w:rsidRPr="001C3C0C" w:rsidRDefault="001C3C0C" w:rsidP="001C3C0C">
      <w:pPr>
        <w:rPr>
          <w:lang w:eastAsia="ja-JP"/>
        </w:rPr>
      </w:pPr>
      <w:r w:rsidRPr="001C3C0C">
        <w:rPr>
          <w:lang w:eastAsia="ja-JP"/>
        </w:rPr>
        <w:t>In both adult subjects and elderly subjects, the GMTs for VN increased in all vaccination</w:t>
      </w:r>
      <w:r w:rsidR="00BA0835">
        <w:rPr>
          <w:lang w:eastAsia="ja-JP"/>
        </w:rPr>
        <w:t xml:space="preserve"> groups </w:t>
      </w:r>
      <w:r w:rsidRPr="001C3C0C">
        <w:rPr>
          <w:lang w:eastAsia="ja-JP"/>
        </w:rPr>
        <w:t>from Day 1 (pre</w:t>
      </w:r>
      <w:r w:rsidR="0036603B">
        <w:rPr>
          <w:lang w:eastAsia="ja-JP"/>
        </w:rPr>
        <w:t>-</w:t>
      </w:r>
      <w:r w:rsidRPr="001C3C0C">
        <w:rPr>
          <w:lang w:eastAsia="ja-JP"/>
        </w:rPr>
        <w:t>vaccination) to the Day 22 visit (post</w:t>
      </w:r>
      <w:r w:rsidR="0036603B">
        <w:rPr>
          <w:lang w:eastAsia="ja-JP"/>
        </w:rPr>
        <w:t>-</w:t>
      </w:r>
      <w:r w:rsidRPr="001C3C0C">
        <w:rPr>
          <w:lang w:eastAsia="ja-JP"/>
        </w:rPr>
        <w:t xml:space="preserve">vaccination) for all </w:t>
      </w:r>
      <w:r w:rsidR="00957523">
        <w:rPr>
          <w:lang w:eastAsia="ja-JP"/>
        </w:rPr>
        <w:t>4</w:t>
      </w:r>
      <w:r w:rsidRPr="001C3C0C">
        <w:rPr>
          <w:lang w:eastAsia="ja-JP"/>
        </w:rPr>
        <w:t xml:space="preserve"> strains. The results for the PP subject sample were similar to the FAS.</w:t>
      </w:r>
    </w:p>
    <w:p w14:paraId="1817F8B9" w14:textId="7EEC5F78" w:rsidR="001C3C0C" w:rsidRPr="001C3C0C" w:rsidRDefault="001C3C0C" w:rsidP="00BA0835">
      <w:pPr>
        <w:pStyle w:val="Heading6"/>
        <w:rPr>
          <w:lang w:eastAsia="ja-JP"/>
        </w:rPr>
      </w:pPr>
      <w:r w:rsidRPr="001C3C0C">
        <w:rPr>
          <w:lang w:eastAsia="ja-JP"/>
        </w:rPr>
        <w:lastRenderedPageBreak/>
        <w:t xml:space="preserve">Geometric </w:t>
      </w:r>
      <w:r w:rsidR="0036603B" w:rsidRPr="001C3C0C">
        <w:rPr>
          <w:lang w:eastAsia="ja-JP"/>
        </w:rPr>
        <w:t>mean virus neutralisation titres by fold increase</w:t>
      </w:r>
    </w:p>
    <w:p w14:paraId="6AAD9DC8" w14:textId="61584C54" w:rsidR="001C3C0C" w:rsidRPr="001C3C0C" w:rsidRDefault="001C3C0C" w:rsidP="001C3C0C">
      <w:pPr>
        <w:rPr>
          <w:lang w:eastAsia="ja-JP"/>
        </w:rPr>
      </w:pPr>
      <w:r w:rsidRPr="001C3C0C">
        <w:rPr>
          <w:lang w:eastAsia="ja-JP"/>
        </w:rPr>
        <w:t>In both adult subjects and elderly subjects, the GMFI results for VN titres were in line with the HI titres, although the differences were less pronounced.</w:t>
      </w:r>
      <w:r w:rsidR="001B2B66">
        <w:rPr>
          <w:lang w:eastAsia="ja-JP"/>
        </w:rPr>
        <w:t xml:space="preserve"> </w:t>
      </w:r>
      <w:r w:rsidRPr="001C3C0C">
        <w:rPr>
          <w:lang w:eastAsia="ja-JP"/>
        </w:rPr>
        <w:t>The results for the PP subject sample were similar to the FA subject sample.</w:t>
      </w:r>
    </w:p>
    <w:p w14:paraId="218AF3ED" w14:textId="1601DB6D" w:rsidR="001C3C0C" w:rsidRPr="001C3C0C" w:rsidRDefault="001C3C0C" w:rsidP="00BA0835">
      <w:pPr>
        <w:pStyle w:val="Heading6"/>
        <w:rPr>
          <w:lang w:eastAsia="ja-JP"/>
        </w:rPr>
      </w:pPr>
      <w:r w:rsidRPr="001C3C0C">
        <w:rPr>
          <w:lang w:eastAsia="ja-JP"/>
        </w:rPr>
        <w:t xml:space="preserve">Seroconversion </w:t>
      </w:r>
      <w:r w:rsidR="0036603B" w:rsidRPr="001C3C0C">
        <w:rPr>
          <w:lang w:eastAsia="ja-JP"/>
        </w:rPr>
        <w:t>rate based on virus neutralisation titres</w:t>
      </w:r>
    </w:p>
    <w:p w14:paraId="0A39DF30" w14:textId="4CADAD2A" w:rsidR="001C3C0C" w:rsidRPr="001C3C0C" w:rsidRDefault="001C3C0C" w:rsidP="001C3C0C">
      <w:pPr>
        <w:rPr>
          <w:lang w:eastAsia="ja-JP"/>
        </w:rPr>
      </w:pPr>
      <w:r w:rsidRPr="001C3C0C">
        <w:rPr>
          <w:lang w:eastAsia="ja-JP"/>
        </w:rPr>
        <w:t>In both adult subjects and elderly subjects, the seroconversion r</w:t>
      </w:r>
      <w:r w:rsidR="00BA0835">
        <w:rPr>
          <w:lang w:eastAsia="ja-JP"/>
        </w:rPr>
        <w:t xml:space="preserve">ates based on VN titres were in </w:t>
      </w:r>
      <w:r w:rsidRPr="001C3C0C">
        <w:rPr>
          <w:lang w:eastAsia="ja-JP"/>
        </w:rPr>
        <w:t>line with the HI titres, although the differences were less pronounced. The seroconversion rate based on VN titres was repeated for the PP subject sample and results for the PP subject sample were similar to the FAS. The proportion of subjects with post</w:t>
      </w:r>
      <w:r w:rsidR="0036603B">
        <w:rPr>
          <w:lang w:eastAsia="ja-JP"/>
        </w:rPr>
        <w:t>-</w:t>
      </w:r>
      <w:r w:rsidRPr="001C3C0C">
        <w:rPr>
          <w:lang w:eastAsia="ja-JP"/>
        </w:rPr>
        <w:t>vaccination HI titres</w:t>
      </w:r>
      <w:r w:rsidR="001B2B66">
        <w:rPr>
          <w:lang w:eastAsia="ja-JP"/>
        </w:rPr>
        <w:t xml:space="preserve"> ≥ </w:t>
      </w:r>
      <w:r w:rsidRPr="001C3C0C">
        <w:rPr>
          <w:lang w:eastAsia="ja-JP"/>
        </w:rPr>
        <w:t xml:space="preserve">40 for all </w:t>
      </w:r>
      <w:r w:rsidR="00957523">
        <w:rPr>
          <w:lang w:eastAsia="ja-JP"/>
        </w:rPr>
        <w:t>4</w:t>
      </w:r>
      <w:r w:rsidRPr="001C3C0C">
        <w:rPr>
          <w:lang w:eastAsia="ja-JP"/>
        </w:rPr>
        <w:t xml:space="preserve"> strains across all vaccination groups in adult subjects and elderly subjects, respectively are presented in </w:t>
      </w:r>
      <w:r w:rsidRPr="0036603B">
        <w:rPr>
          <w:lang w:eastAsia="ja-JP"/>
        </w:rPr>
        <w:t>Tables 1</w:t>
      </w:r>
      <w:r w:rsidR="009A2CB7">
        <w:rPr>
          <w:lang w:eastAsia="ja-JP"/>
        </w:rPr>
        <w:t>1</w:t>
      </w:r>
      <w:r w:rsidRPr="0036603B">
        <w:rPr>
          <w:lang w:eastAsia="ja-JP"/>
        </w:rPr>
        <w:t xml:space="preserve"> and 1</w:t>
      </w:r>
      <w:r w:rsidR="009A2CB7">
        <w:rPr>
          <w:lang w:eastAsia="ja-JP"/>
        </w:rPr>
        <w:t>2</w:t>
      </w:r>
      <w:r w:rsidR="0036603B">
        <w:rPr>
          <w:lang w:eastAsia="ja-JP"/>
        </w:rPr>
        <w:t xml:space="preserve"> (shown below)</w:t>
      </w:r>
      <w:r w:rsidRPr="0036603B">
        <w:rPr>
          <w:lang w:eastAsia="ja-JP"/>
        </w:rPr>
        <w:t>.</w:t>
      </w:r>
      <w:r w:rsidRPr="001C3C0C">
        <w:rPr>
          <w:lang w:eastAsia="ja-JP"/>
        </w:rPr>
        <w:t xml:space="preserve"> The proportion of subjects with post</w:t>
      </w:r>
      <w:r w:rsidR="0036603B">
        <w:rPr>
          <w:lang w:eastAsia="ja-JP"/>
        </w:rPr>
        <w:t>-</w:t>
      </w:r>
      <w:r w:rsidRPr="001C3C0C">
        <w:rPr>
          <w:lang w:eastAsia="ja-JP"/>
        </w:rPr>
        <w:t>vaccination HI titres</w:t>
      </w:r>
      <w:r w:rsidR="001B2B66">
        <w:rPr>
          <w:lang w:eastAsia="ja-JP"/>
        </w:rPr>
        <w:t xml:space="preserve"> ≥ </w:t>
      </w:r>
      <w:r w:rsidRPr="001C3C0C">
        <w:rPr>
          <w:lang w:eastAsia="ja-JP"/>
        </w:rPr>
        <w:t>40 increased from Day 1 (pre</w:t>
      </w:r>
      <w:r w:rsidR="0036603B">
        <w:rPr>
          <w:lang w:eastAsia="ja-JP"/>
        </w:rPr>
        <w:t>-</w:t>
      </w:r>
      <w:r w:rsidRPr="001C3C0C">
        <w:rPr>
          <w:lang w:eastAsia="ja-JP"/>
        </w:rPr>
        <w:t>vaccination) to Day 22 (post</w:t>
      </w:r>
      <w:r w:rsidR="0036603B">
        <w:rPr>
          <w:lang w:eastAsia="ja-JP"/>
        </w:rPr>
        <w:t>-</w:t>
      </w:r>
      <w:r w:rsidRPr="001C3C0C">
        <w:rPr>
          <w:lang w:eastAsia="ja-JP"/>
        </w:rPr>
        <w:t xml:space="preserve">vaccination) for all </w:t>
      </w:r>
      <w:r w:rsidR="00957523">
        <w:rPr>
          <w:lang w:eastAsia="ja-JP"/>
        </w:rPr>
        <w:t>4</w:t>
      </w:r>
      <w:r w:rsidRPr="001C3C0C">
        <w:rPr>
          <w:lang w:eastAsia="ja-JP"/>
        </w:rPr>
        <w:t xml:space="preserve"> strains in both adult subjects and elderly subjects in all vaccination groups.</w:t>
      </w:r>
    </w:p>
    <w:p w14:paraId="3DA0F008" w14:textId="77777777" w:rsidR="00580863" w:rsidRDefault="001C3C0C" w:rsidP="001C3C0C">
      <w:pPr>
        <w:rPr>
          <w:lang w:eastAsia="ja-JP"/>
        </w:rPr>
      </w:pPr>
      <w:r w:rsidRPr="0036603B">
        <w:rPr>
          <w:lang w:eastAsia="ja-JP"/>
        </w:rPr>
        <w:t>For the A</w:t>
      </w:r>
      <w:r w:rsidR="009A2CB7">
        <w:rPr>
          <w:lang w:eastAsia="ja-JP"/>
        </w:rPr>
        <w:t xml:space="preserve"> </w:t>
      </w:r>
      <w:r w:rsidRPr="0036603B">
        <w:rPr>
          <w:lang w:eastAsia="ja-JP"/>
        </w:rPr>
        <w:t>(H3N2)</w:t>
      </w:r>
      <w:r w:rsidR="00473C1F">
        <w:rPr>
          <w:lang w:eastAsia="ja-JP"/>
        </w:rPr>
        <w:t xml:space="preserve"> strain</w:t>
      </w:r>
      <w:r w:rsidRPr="0036603B">
        <w:rPr>
          <w:lang w:eastAsia="ja-JP"/>
        </w:rPr>
        <w:t xml:space="preserve"> in adult subjects, the post</w:t>
      </w:r>
      <w:r w:rsidR="0036603B">
        <w:rPr>
          <w:lang w:eastAsia="ja-JP"/>
        </w:rPr>
        <w:t>-</w:t>
      </w:r>
      <w:r w:rsidRPr="0036603B">
        <w:rPr>
          <w:lang w:eastAsia="ja-JP"/>
        </w:rPr>
        <w:t>vaccination</w:t>
      </w:r>
      <w:r w:rsidR="00BA0835" w:rsidRPr="0036603B">
        <w:rPr>
          <w:lang w:eastAsia="ja-JP"/>
        </w:rPr>
        <w:t xml:space="preserve"> HI titres</w:t>
      </w:r>
      <w:r w:rsidR="001B2B66" w:rsidRPr="0036603B">
        <w:rPr>
          <w:lang w:eastAsia="ja-JP"/>
        </w:rPr>
        <w:t xml:space="preserve"> ≥ </w:t>
      </w:r>
      <w:r w:rsidR="00BA0835" w:rsidRPr="0036603B">
        <w:rPr>
          <w:lang w:eastAsia="ja-JP"/>
        </w:rPr>
        <w:t xml:space="preserve">40 were reported in </w:t>
      </w:r>
      <w:r w:rsidRPr="0036603B">
        <w:rPr>
          <w:lang w:eastAsia="ja-JP"/>
        </w:rPr>
        <w:t>97.8% in the QIV group compared to 95.9% in the pooled TIV group. In elderly subjects, the post</w:t>
      </w:r>
      <w:r w:rsidR="0036603B">
        <w:rPr>
          <w:lang w:eastAsia="ja-JP"/>
        </w:rPr>
        <w:t>-</w:t>
      </w:r>
      <w:r w:rsidRPr="0036603B">
        <w:rPr>
          <w:lang w:eastAsia="ja-JP"/>
        </w:rPr>
        <w:t>vaccination HI titres</w:t>
      </w:r>
      <w:r w:rsidR="001B2B66" w:rsidRPr="0036603B">
        <w:rPr>
          <w:lang w:eastAsia="ja-JP"/>
        </w:rPr>
        <w:t xml:space="preserve"> ≥ </w:t>
      </w:r>
      <w:r w:rsidRPr="0036603B">
        <w:rPr>
          <w:lang w:eastAsia="ja-JP"/>
        </w:rPr>
        <w:t>40 were reported in 95.7% in the QIV group compared to 96.3% in the pooled TIV group.</w:t>
      </w:r>
    </w:p>
    <w:p w14:paraId="464E02F3" w14:textId="77777777" w:rsidR="00580863" w:rsidRDefault="001C3C0C" w:rsidP="001C3C0C">
      <w:pPr>
        <w:rPr>
          <w:lang w:eastAsia="ja-JP"/>
        </w:rPr>
      </w:pPr>
      <w:r w:rsidRPr="0036603B">
        <w:rPr>
          <w:lang w:eastAsia="ja-JP"/>
        </w:rPr>
        <w:t>For the A</w:t>
      </w:r>
      <w:r w:rsidR="009A2CB7">
        <w:rPr>
          <w:lang w:eastAsia="ja-JP"/>
        </w:rPr>
        <w:t xml:space="preserve"> </w:t>
      </w:r>
      <w:r w:rsidRPr="0036603B">
        <w:rPr>
          <w:lang w:eastAsia="ja-JP"/>
        </w:rPr>
        <w:t>(H1N1)</w:t>
      </w:r>
      <w:r w:rsidR="00473C1F">
        <w:rPr>
          <w:lang w:eastAsia="ja-JP"/>
        </w:rPr>
        <w:t xml:space="preserve"> strain</w:t>
      </w:r>
      <w:r w:rsidRPr="0036603B">
        <w:rPr>
          <w:lang w:eastAsia="ja-JP"/>
        </w:rPr>
        <w:t xml:space="preserve"> in adult subjects, the post</w:t>
      </w:r>
      <w:r w:rsidR="0036603B">
        <w:rPr>
          <w:lang w:eastAsia="ja-JP"/>
        </w:rPr>
        <w:t>-</w:t>
      </w:r>
      <w:r w:rsidRPr="0036603B">
        <w:rPr>
          <w:lang w:eastAsia="ja-JP"/>
        </w:rPr>
        <w:t>vaccination</w:t>
      </w:r>
      <w:r w:rsidR="00BA0835" w:rsidRPr="0036603B">
        <w:rPr>
          <w:lang w:eastAsia="ja-JP"/>
        </w:rPr>
        <w:t xml:space="preserve"> HI titres</w:t>
      </w:r>
      <w:r w:rsidR="001B2B66" w:rsidRPr="0036603B">
        <w:rPr>
          <w:lang w:eastAsia="ja-JP"/>
        </w:rPr>
        <w:t xml:space="preserve"> ≥ </w:t>
      </w:r>
      <w:r w:rsidR="00BA0835" w:rsidRPr="0036603B">
        <w:rPr>
          <w:lang w:eastAsia="ja-JP"/>
        </w:rPr>
        <w:t xml:space="preserve">40 were reported in </w:t>
      </w:r>
      <w:r w:rsidRPr="0036603B">
        <w:rPr>
          <w:lang w:eastAsia="ja-JP"/>
        </w:rPr>
        <w:t>94.6% in the QIV group compared to 93.6% in the TIV group. In elderly subjects, the post</w:t>
      </w:r>
      <w:r w:rsidR="0036603B">
        <w:rPr>
          <w:lang w:eastAsia="ja-JP"/>
        </w:rPr>
        <w:t>-</w:t>
      </w:r>
      <w:r w:rsidRPr="0036603B">
        <w:rPr>
          <w:lang w:eastAsia="ja-JP"/>
        </w:rPr>
        <w:t>vaccination HI titres</w:t>
      </w:r>
      <w:r w:rsidR="001B2B66" w:rsidRPr="0036603B">
        <w:rPr>
          <w:lang w:eastAsia="ja-JP"/>
        </w:rPr>
        <w:t xml:space="preserve"> ≥ </w:t>
      </w:r>
      <w:r w:rsidRPr="0036603B">
        <w:rPr>
          <w:lang w:eastAsia="ja-JP"/>
        </w:rPr>
        <w:t>40 were reported in 85.3% in the QIV group compared to 88.9% in the pooled TIV group.</w:t>
      </w:r>
    </w:p>
    <w:p w14:paraId="7FDA4CAB" w14:textId="622526CA" w:rsidR="001C3C0C" w:rsidRPr="0036603B" w:rsidRDefault="001C3C0C" w:rsidP="001C3C0C">
      <w:pPr>
        <w:rPr>
          <w:lang w:eastAsia="ja-JP"/>
        </w:rPr>
      </w:pPr>
      <w:r w:rsidRPr="0036603B">
        <w:rPr>
          <w:lang w:eastAsia="ja-JP"/>
        </w:rPr>
        <w:t>For the B</w:t>
      </w:r>
      <w:r w:rsidR="00473C1F">
        <w:rPr>
          <w:lang w:eastAsia="ja-JP"/>
        </w:rPr>
        <w:t xml:space="preserve"> strain</w:t>
      </w:r>
      <w:r w:rsidRPr="0036603B">
        <w:rPr>
          <w:lang w:eastAsia="ja-JP"/>
        </w:rPr>
        <w:t xml:space="preserve"> Victoria lineage in adult subjects, pos</w:t>
      </w:r>
      <w:r w:rsidR="00BA0835" w:rsidRPr="0036603B">
        <w:rPr>
          <w:lang w:eastAsia="ja-JP"/>
        </w:rPr>
        <w:t>t</w:t>
      </w:r>
      <w:r w:rsidR="0036603B">
        <w:rPr>
          <w:lang w:eastAsia="ja-JP"/>
        </w:rPr>
        <w:t>-</w:t>
      </w:r>
      <w:r w:rsidR="00BA0835" w:rsidRPr="0036603B">
        <w:rPr>
          <w:lang w:eastAsia="ja-JP"/>
        </w:rPr>
        <w:t>vaccination HI titres</w:t>
      </w:r>
      <w:r w:rsidR="001B2B66" w:rsidRPr="0036603B">
        <w:rPr>
          <w:lang w:eastAsia="ja-JP"/>
        </w:rPr>
        <w:t xml:space="preserve"> ≥ </w:t>
      </w:r>
      <w:r w:rsidR="00BA0835" w:rsidRPr="0036603B">
        <w:rPr>
          <w:lang w:eastAsia="ja-JP"/>
        </w:rPr>
        <w:t xml:space="preserve">40 were </w:t>
      </w:r>
      <w:r w:rsidRPr="0036603B">
        <w:rPr>
          <w:lang w:eastAsia="ja-JP"/>
        </w:rPr>
        <w:t xml:space="preserve">reported in 92.8% in the QIV group compared to 89.1% in the </w:t>
      </w:r>
      <w:proofErr w:type="gramStart"/>
      <w:r w:rsidRPr="0036603B">
        <w:rPr>
          <w:lang w:eastAsia="ja-JP"/>
        </w:rPr>
        <w:t>TIV</w:t>
      </w:r>
      <w:r w:rsidRPr="0036603B">
        <w:rPr>
          <w:vertAlign w:val="subscript"/>
          <w:lang w:eastAsia="ja-JP"/>
        </w:rPr>
        <w:t>(</w:t>
      </w:r>
      <w:proofErr w:type="gramEnd"/>
      <w:r w:rsidRPr="0036603B">
        <w:rPr>
          <w:vertAlign w:val="subscript"/>
          <w:lang w:eastAsia="ja-JP"/>
        </w:rPr>
        <w:t>Vic)</w:t>
      </w:r>
      <w:r w:rsidRPr="0036603B">
        <w:rPr>
          <w:lang w:eastAsia="ja-JP"/>
        </w:rPr>
        <w:t xml:space="preserve"> group and 79.1% in the TIV</w:t>
      </w:r>
      <w:r w:rsidRPr="0036603B">
        <w:rPr>
          <w:vertAlign w:val="subscript"/>
          <w:lang w:eastAsia="ja-JP"/>
        </w:rPr>
        <w:t>(Yam)</w:t>
      </w:r>
      <w:r w:rsidRPr="0036603B">
        <w:rPr>
          <w:lang w:eastAsia="ja-JP"/>
        </w:rPr>
        <w:t xml:space="preserve"> group. In elderly subjects, the post</w:t>
      </w:r>
      <w:r w:rsidR="0036603B">
        <w:rPr>
          <w:lang w:eastAsia="ja-JP"/>
        </w:rPr>
        <w:t>-</w:t>
      </w:r>
      <w:r w:rsidRPr="0036603B">
        <w:rPr>
          <w:lang w:eastAsia="ja-JP"/>
        </w:rPr>
        <w:t>vaccination HI titres</w:t>
      </w:r>
      <w:r w:rsidR="001B2B66" w:rsidRPr="0036603B">
        <w:rPr>
          <w:lang w:eastAsia="ja-JP"/>
        </w:rPr>
        <w:t xml:space="preserve"> ≥ </w:t>
      </w:r>
      <w:r w:rsidRPr="0036603B">
        <w:rPr>
          <w:lang w:eastAsia="ja-JP"/>
        </w:rPr>
        <w:t xml:space="preserve">40 were reported in 80.8% in the QIV group compared to 81.5% in the </w:t>
      </w:r>
      <w:proofErr w:type="gramStart"/>
      <w:r w:rsidRPr="0036603B">
        <w:rPr>
          <w:lang w:eastAsia="ja-JP"/>
        </w:rPr>
        <w:t>TIV</w:t>
      </w:r>
      <w:r w:rsidRPr="0036603B">
        <w:rPr>
          <w:vertAlign w:val="subscript"/>
          <w:lang w:eastAsia="ja-JP"/>
        </w:rPr>
        <w:t>(</w:t>
      </w:r>
      <w:proofErr w:type="gramEnd"/>
      <w:r w:rsidRPr="0036603B">
        <w:rPr>
          <w:vertAlign w:val="subscript"/>
          <w:lang w:eastAsia="ja-JP"/>
        </w:rPr>
        <w:t>Vic)</w:t>
      </w:r>
      <w:r w:rsidRPr="0036603B">
        <w:rPr>
          <w:lang w:eastAsia="ja-JP"/>
        </w:rPr>
        <w:t xml:space="preserve"> group and 63.0% in the TIV</w:t>
      </w:r>
      <w:r w:rsidRPr="0036603B">
        <w:rPr>
          <w:vertAlign w:val="subscript"/>
          <w:lang w:eastAsia="ja-JP"/>
        </w:rPr>
        <w:t>(Yam)</w:t>
      </w:r>
      <w:r w:rsidRPr="0036603B">
        <w:rPr>
          <w:lang w:eastAsia="ja-JP"/>
        </w:rPr>
        <w:t xml:space="preserve"> group</w:t>
      </w:r>
    </w:p>
    <w:p w14:paraId="134B48DD" w14:textId="7881239B" w:rsidR="001C3C0C" w:rsidRPr="0036603B" w:rsidRDefault="001C3C0C" w:rsidP="001C3C0C">
      <w:pPr>
        <w:rPr>
          <w:lang w:eastAsia="ja-JP"/>
        </w:rPr>
      </w:pPr>
      <w:r w:rsidRPr="0036603B">
        <w:rPr>
          <w:lang w:eastAsia="ja-JP"/>
        </w:rPr>
        <w:t>For the B</w:t>
      </w:r>
      <w:r w:rsidR="00473C1F">
        <w:rPr>
          <w:lang w:eastAsia="ja-JP"/>
        </w:rPr>
        <w:t xml:space="preserve"> strain</w:t>
      </w:r>
      <w:r w:rsidRPr="0036603B">
        <w:rPr>
          <w:lang w:eastAsia="ja-JP"/>
        </w:rPr>
        <w:t xml:space="preserve"> Yamagata lineage in adult subjects, post</w:t>
      </w:r>
      <w:r w:rsidR="0036603B">
        <w:rPr>
          <w:lang w:eastAsia="ja-JP"/>
        </w:rPr>
        <w:t>-</w:t>
      </w:r>
      <w:r w:rsidR="00BA0835" w:rsidRPr="0036603B">
        <w:rPr>
          <w:lang w:eastAsia="ja-JP"/>
        </w:rPr>
        <w:t>vaccination HI titres</w:t>
      </w:r>
      <w:r w:rsidR="001B2B66" w:rsidRPr="0036603B">
        <w:rPr>
          <w:lang w:eastAsia="ja-JP"/>
        </w:rPr>
        <w:t xml:space="preserve"> ≥ </w:t>
      </w:r>
      <w:r w:rsidR="00BA0835" w:rsidRPr="0036603B">
        <w:rPr>
          <w:lang w:eastAsia="ja-JP"/>
        </w:rPr>
        <w:t xml:space="preserve">40 were </w:t>
      </w:r>
      <w:r w:rsidRPr="0036603B">
        <w:rPr>
          <w:lang w:eastAsia="ja-JP"/>
        </w:rPr>
        <w:t xml:space="preserve">reported in 91.6% in the QIV group compared to 78.2% in the </w:t>
      </w:r>
      <w:proofErr w:type="gramStart"/>
      <w:r w:rsidRPr="0036603B">
        <w:rPr>
          <w:lang w:eastAsia="ja-JP"/>
        </w:rPr>
        <w:t>TIV</w:t>
      </w:r>
      <w:r w:rsidRPr="0036603B">
        <w:rPr>
          <w:vertAlign w:val="subscript"/>
          <w:lang w:eastAsia="ja-JP"/>
        </w:rPr>
        <w:t>(</w:t>
      </w:r>
      <w:proofErr w:type="gramEnd"/>
      <w:r w:rsidRPr="0036603B">
        <w:rPr>
          <w:vertAlign w:val="subscript"/>
          <w:lang w:eastAsia="ja-JP"/>
        </w:rPr>
        <w:t>Vic)</w:t>
      </w:r>
      <w:r w:rsidRPr="0036603B">
        <w:rPr>
          <w:lang w:eastAsia="ja-JP"/>
        </w:rPr>
        <w:t xml:space="preserve"> group and 90.0% in the TIV</w:t>
      </w:r>
      <w:r w:rsidRPr="0036603B">
        <w:rPr>
          <w:vertAlign w:val="subscript"/>
          <w:lang w:eastAsia="ja-JP"/>
        </w:rPr>
        <w:t>(Yam)</w:t>
      </w:r>
      <w:r w:rsidRPr="0036603B">
        <w:rPr>
          <w:lang w:eastAsia="ja-JP"/>
        </w:rPr>
        <w:t xml:space="preserve"> group. In elderly subjects, the post</w:t>
      </w:r>
      <w:r w:rsidR="0036603B">
        <w:rPr>
          <w:lang w:eastAsia="ja-JP"/>
        </w:rPr>
        <w:t>-</w:t>
      </w:r>
      <w:r w:rsidRPr="0036603B">
        <w:rPr>
          <w:lang w:eastAsia="ja-JP"/>
        </w:rPr>
        <w:t>vaccination HI titres</w:t>
      </w:r>
      <w:r w:rsidR="001B2B66" w:rsidRPr="0036603B">
        <w:rPr>
          <w:lang w:eastAsia="ja-JP"/>
        </w:rPr>
        <w:t xml:space="preserve"> ≥ </w:t>
      </w:r>
      <w:r w:rsidRPr="0036603B">
        <w:rPr>
          <w:lang w:eastAsia="ja-JP"/>
        </w:rPr>
        <w:t xml:space="preserve">40 were reported in 73.3% in the QIV group compared to 51.8% in the </w:t>
      </w:r>
      <w:proofErr w:type="gramStart"/>
      <w:r w:rsidRPr="0036603B">
        <w:rPr>
          <w:lang w:eastAsia="ja-JP"/>
        </w:rPr>
        <w:t>TIV</w:t>
      </w:r>
      <w:r w:rsidRPr="0036603B">
        <w:rPr>
          <w:vertAlign w:val="subscript"/>
          <w:lang w:eastAsia="ja-JP"/>
        </w:rPr>
        <w:t>(</w:t>
      </w:r>
      <w:proofErr w:type="gramEnd"/>
      <w:r w:rsidRPr="0036603B">
        <w:rPr>
          <w:vertAlign w:val="subscript"/>
          <w:lang w:eastAsia="ja-JP"/>
        </w:rPr>
        <w:t>Vic)</w:t>
      </w:r>
      <w:r w:rsidRPr="0036603B">
        <w:rPr>
          <w:lang w:eastAsia="ja-JP"/>
        </w:rPr>
        <w:t xml:space="preserve"> group and 73.6% in the TIV</w:t>
      </w:r>
      <w:r w:rsidRPr="0036603B">
        <w:rPr>
          <w:vertAlign w:val="subscript"/>
          <w:lang w:eastAsia="ja-JP"/>
        </w:rPr>
        <w:t>(Yam)</w:t>
      </w:r>
      <w:r w:rsidRPr="0036603B">
        <w:rPr>
          <w:lang w:eastAsia="ja-JP"/>
        </w:rPr>
        <w:t xml:space="preserve"> group</w:t>
      </w:r>
      <w:r w:rsidR="00BA0835" w:rsidRPr="0036603B">
        <w:rPr>
          <w:lang w:eastAsia="ja-JP"/>
        </w:rPr>
        <w:t>.</w:t>
      </w:r>
    </w:p>
    <w:p w14:paraId="4A36FC75" w14:textId="150A41DC" w:rsidR="001C3C0C" w:rsidRDefault="005A2E9D" w:rsidP="0036603B">
      <w:pPr>
        <w:pStyle w:val="Tabletitle"/>
        <w:rPr>
          <w:lang w:eastAsia="ja-JP"/>
        </w:rPr>
      </w:pPr>
      <w:r>
        <w:rPr>
          <w:lang w:eastAsia="ja-JP"/>
        </w:rPr>
        <w:t>Table 11:</w:t>
      </w:r>
      <w:r w:rsidR="001C3C0C" w:rsidRPr="001C3C0C">
        <w:rPr>
          <w:lang w:eastAsia="ja-JP"/>
        </w:rPr>
        <w:t xml:space="preserve"> Proportion </w:t>
      </w:r>
      <w:r w:rsidR="0036603B" w:rsidRPr="001C3C0C">
        <w:rPr>
          <w:lang w:eastAsia="ja-JP"/>
        </w:rPr>
        <w:t xml:space="preserve">of </w:t>
      </w:r>
      <w:r w:rsidR="0036603B">
        <w:rPr>
          <w:lang w:eastAsia="ja-JP"/>
        </w:rPr>
        <w:t>subjects with post-vaccination HI</w:t>
      </w:r>
      <w:r w:rsidR="0036603B" w:rsidRPr="001C3C0C">
        <w:rPr>
          <w:lang w:eastAsia="ja-JP"/>
        </w:rPr>
        <w:t xml:space="preserve"> titres</w:t>
      </w:r>
      <w:r w:rsidR="0036603B">
        <w:rPr>
          <w:lang w:eastAsia="ja-JP"/>
        </w:rPr>
        <w:t xml:space="preserve"> ≥ 40; FAS</w:t>
      </w:r>
      <w:r w:rsidR="0036603B" w:rsidRPr="001C3C0C">
        <w:rPr>
          <w:lang w:eastAsia="ja-JP"/>
        </w:rPr>
        <w:t xml:space="preserve"> (adults)</w:t>
      </w:r>
    </w:p>
    <w:p w14:paraId="3A7FFADB" w14:textId="18FAF0C4" w:rsidR="001C3C0C" w:rsidRPr="001C3C0C" w:rsidRDefault="00E90C19" w:rsidP="001C3C0C">
      <w:pPr>
        <w:rPr>
          <w:lang w:eastAsia="ja-JP"/>
        </w:rPr>
      </w:pPr>
      <w:r w:rsidRPr="00E90C19">
        <w:rPr>
          <w:noProof/>
          <w:lang w:eastAsia="en-AU"/>
        </w:rPr>
        <w:drawing>
          <wp:inline distT="0" distB="0" distL="0" distR="0" wp14:anchorId="10FC665A" wp14:editId="1A156214">
            <wp:extent cx="5731510" cy="1166495"/>
            <wp:effectExtent l="0" t="0" r="2540" b="0"/>
            <wp:docPr id="13" name="Picture 13" descr="Proportion of subjects with post-vaccination HI titres ≥ 40; FAS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166495"/>
                    </a:xfrm>
                    <a:prstGeom prst="rect">
                      <a:avLst/>
                    </a:prstGeom>
                  </pic:spPr>
                </pic:pic>
              </a:graphicData>
            </a:graphic>
          </wp:inline>
        </w:drawing>
      </w:r>
    </w:p>
    <w:p w14:paraId="5AC7820B" w14:textId="571C8E5D" w:rsidR="001C3C0C" w:rsidRDefault="0036603B" w:rsidP="0036603B">
      <w:pPr>
        <w:pStyle w:val="Tabletitle"/>
        <w:rPr>
          <w:lang w:eastAsia="ja-JP"/>
        </w:rPr>
      </w:pPr>
      <w:r>
        <w:rPr>
          <w:lang w:eastAsia="ja-JP"/>
        </w:rPr>
        <w:t>Table 1</w:t>
      </w:r>
      <w:r w:rsidR="005A2E9D">
        <w:rPr>
          <w:lang w:eastAsia="ja-JP"/>
        </w:rPr>
        <w:t>2:</w:t>
      </w:r>
      <w:r w:rsidR="001C3C0C" w:rsidRPr="001C3C0C">
        <w:rPr>
          <w:lang w:eastAsia="ja-JP"/>
        </w:rPr>
        <w:t xml:space="preserve"> Proportion of </w:t>
      </w:r>
      <w:r w:rsidRPr="001C3C0C">
        <w:rPr>
          <w:lang w:eastAsia="ja-JP"/>
        </w:rPr>
        <w:t>subjects with post</w:t>
      </w:r>
      <w:r>
        <w:rPr>
          <w:lang w:eastAsia="ja-JP"/>
        </w:rPr>
        <w:t>-</w:t>
      </w:r>
      <w:r w:rsidRPr="001C3C0C">
        <w:rPr>
          <w:lang w:eastAsia="ja-JP"/>
        </w:rPr>
        <w:t xml:space="preserve">vaccination </w:t>
      </w:r>
      <w:r>
        <w:rPr>
          <w:lang w:eastAsia="ja-JP"/>
        </w:rPr>
        <w:t>HI t</w:t>
      </w:r>
      <w:r w:rsidR="001C3C0C" w:rsidRPr="001C3C0C">
        <w:rPr>
          <w:lang w:eastAsia="ja-JP"/>
        </w:rPr>
        <w:t>itres</w:t>
      </w:r>
      <w:r w:rsidR="001B2B66">
        <w:rPr>
          <w:lang w:eastAsia="ja-JP"/>
        </w:rPr>
        <w:t xml:space="preserve"> ≥ </w:t>
      </w:r>
      <w:r w:rsidR="001C3C0C" w:rsidRPr="001C3C0C">
        <w:rPr>
          <w:lang w:eastAsia="ja-JP"/>
        </w:rPr>
        <w:t>40</w:t>
      </w:r>
      <w:r>
        <w:rPr>
          <w:lang w:eastAsia="ja-JP"/>
        </w:rPr>
        <w:t>;</w:t>
      </w:r>
      <w:r w:rsidR="001C3C0C" w:rsidRPr="001C3C0C">
        <w:rPr>
          <w:lang w:eastAsia="ja-JP"/>
        </w:rPr>
        <w:t xml:space="preserve"> FAS (</w:t>
      </w:r>
      <w:r>
        <w:rPr>
          <w:lang w:eastAsia="ja-JP"/>
        </w:rPr>
        <w:t>el</w:t>
      </w:r>
      <w:r w:rsidR="001C3C0C" w:rsidRPr="001C3C0C">
        <w:rPr>
          <w:lang w:eastAsia="ja-JP"/>
        </w:rPr>
        <w:t>derly)</w:t>
      </w:r>
    </w:p>
    <w:p w14:paraId="32D4BBB6" w14:textId="6FC9D949" w:rsidR="001C3C0C" w:rsidRPr="001C3C0C" w:rsidRDefault="00E90C19" w:rsidP="001C3C0C">
      <w:pPr>
        <w:rPr>
          <w:lang w:eastAsia="ja-JP"/>
        </w:rPr>
      </w:pPr>
      <w:r w:rsidRPr="00E90C19">
        <w:rPr>
          <w:noProof/>
          <w:lang w:eastAsia="en-AU"/>
        </w:rPr>
        <w:drawing>
          <wp:inline distT="0" distB="0" distL="0" distR="0" wp14:anchorId="6A7C0A83" wp14:editId="2B3CCE22">
            <wp:extent cx="5731510" cy="1214755"/>
            <wp:effectExtent l="0" t="0" r="2540" b="4445"/>
            <wp:docPr id="14" name="Picture 14" descr="Proportion of subjects with post-vaccination HI titres ≥ 40; FAS (eld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214755"/>
                    </a:xfrm>
                    <a:prstGeom prst="rect">
                      <a:avLst/>
                    </a:prstGeom>
                  </pic:spPr>
                </pic:pic>
              </a:graphicData>
            </a:graphic>
          </wp:inline>
        </w:drawing>
      </w:r>
    </w:p>
    <w:p w14:paraId="2631F52F" w14:textId="77777777" w:rsidR="001C3C0C" w:rsidRPr="001C3C0C" w:rsidRDefault="001C3C0C" w:rsidP="001C3C0C">
      <w:pPr>
        <w:pStyle w:val="Heading5"/>
        <w:rPr>
          <w:rFonts w:eastAsia="Cambria"/>
          <w:lang w:eastAsia="ja-JP"/>
        </w:rPr>
      </w:pPr>
      <w:r w:rsidRPr="001C3C0C">
        <w:rPr>
          <w:rFonts w:eastAsia="Cambria"/>
          <w:lang w:eastAsia="ja-JP"/>
        </w:rPr>
        <w:lastRenderedPageBreak/>
        <w:t>Evaluator commentary</w:t>
      </w:r>
      <w:bookmarkStart w:id="64" w:name="_Toc241374312"/>
      <w:bookmarkStart w:id="65" w:name="_Toc272414656"/>
      <w:bookmarkStart w:id="66" w:name="_Toc290888507"/>
      <w:bookmarkStart w:id="67" w:name="_Toc416353723"/>
      <w:bookmarkStart w:id="68" w:name="_Toc421005271"/>
      <w:bookmarkStart w:id="69" w:name="_Toc432079153"/>
      <w:bookmarkStart w:id="70" w:name="_Toc432080726"/>
    </w:p>
    <w:p w14:paraId="0B59E1DA" w14:textId="66B2D028" w:rsidR="001C3C0C" w:rsidRPr="00BA0835" w:rsidRDefault="001C3C0C" w:rsidP="001C3C0C">
      <w:pPr>
        <w:rPr>
          <w:lang w:eastAsia="ja-JP"/>
        </w:rPr>
      </w:pPr>
      <w:r w:rsidRPr="001C3C0C">
        <w:rPr>
          <w:bCs/>
          <w:lang w:eastAsia="ja-JP"/>
        </w:rPr>
        <w:t>The study design was appropriate with adequate power for the primary and key secondary endpoints. Several endpoints exploring T</w:t>
      </w:r>
      <w:r w:rsidR="0036603B">
        <w:rPr>
          <w:bCs/>
          <w:lang w:eastAsia="ja-JP"/>
        </w:rPr>
        <w:t xml:space="preserve"> </w:t>
      </w:r>
      <w:r w:rsidRPr="001C3C0C">
        <w:rPr>
          <w:bCs/>
          <w:lang w:eastAsia="ja-JP"/>
        </w:rPr>
        <w:t xml:space="preserve">cell immune responses in a subset are exploratory and not discussed above. </w:t>
      </w:r>
      <w:r w:rsidRPr="001C3C0C">
        <w:rPr>
          <w:lang w:eastAsia="ja-JP"/>
        </w:rPr>
        <w:t>The study demonstrated in all age groups studied (adults and the elderly) first that the post-vaccination geometric mean HI titres of all influenza strains in QIV were non-inferior</w:t>
      </w:r>
      <w:r w:rsidRPr="001C3C0C">
        <w:rPr>
          <w:bCs/>
          <w:lang w:eastAsia="ja-JP"/>
        </w:rPr>
        <w:t xml:space="preserve"> </w:t>
      </w:r>
      <w:r w:rsidRPr="001C3C0C">
        <w:rPr>
          <w:lang w:eastAsia="ja-JP"/>
        </w:rPr>
        <w:t xml:space="preserve">to the shared strains contained in the TIV formulations and second, </w:t>
      </w:r>
      <w:r w:rsidRPr="001C3C0C">
        <w:rPr>
          <w:bCs/>
          <w:lang w:eastAsia="ja-JP"/>
        </w:rPr>
        <w:t xml:space="preserve">there were </w:t>
      </w:r>
      <w:r w:rsidRPr="001C3C0C">
        <w:rPr>
          <w:lang w:eastAsia="ja-JP"/>
        </w:rPr>
        <w:t xml:space="preserve">superior immune responses (as measured by post-vaccination geometric mean HI antibody titres) for </w:t>
      </w:r>
      <w:r w:rsidRPr="0036603B">
        <w:rPr>
          <w:lang w:eastAsia="ja-JP"/>
        </w:rPr>
        <w:t>each</w:t>
      </w:r>
      <w:r w:rsidRPr="001C3C0C">
        <w:rPr>
          <w:lang w:eastAsia="ja-JP"/>
        </w:rPr>
        <w:t xml:space="preserve"> of</w:t>
      </w:r>
      <w:r w:rsidRPr="001C3C0C">
        <w:rPr>
          <w:bCs/>
          <w:lang w:eastAsia="ja-JP"/>
        </w:rPr>
        <w:t xml:space="preserve"> </w:t>
      </w:r>
      <w:r w:rsidRPr="001C3C0C">
        <w:rPr>
          <w:lang w:eastAsia="ja-JP"/>
        </w:rPr>
        <w:t>the B</w:t>
      </w:r>
      <w:r w:rsidR="0036603B">
        <w:rPr>
          <w:lang w:eastAsia="ja-JP"/>
        </w:rPr>
        <w:t xml:space="preserve"> </w:t>
      </w:r>
      <w:r w:rsidRPr="001C3C0C">
        <w:rPr>
          <w:lang w:eastAsia="ja-JP"/>
        </w:rPr>
        <w:t>strain lineages in the QIV when compared to the TIVs with the alternate B</w:t>
      </w:r>
      <w:r w:rsidR="0036603B">
        <w:rPr>
          <w:lang w:eastAsia="ja-JP"/>
        </w:rPr>
        <w:t xml:space="preserve"> </w:t>
      </w:r>
      <w:r w:rsidRPr="001C3C0C">
        <w:rPr>
          <w:lang w:eastAsia="ja-JP"/>
        </w:rPr>
        <w:t>strain lineage. Geometric mean fold increases based on HI titres was</w:t>
      </w:r>
      <w:r w:rsidR="001B2B66">
        <w:rPr>
          <w:lang w:eastAsia="ja-JP"/>
        </w:rPr>
        <w:t xml:space="preserve"> &gt; </w:t>
      </w:r>
      <w:r w:rsidRPr="001C3C0C">
        <w:rPr>
          <w:lang w:eastAsia="ja-JP"/>
        </w:rPr>
        <w:t>6.3 in adult subjects and</w:t>
      </w:r>
      <w:r w:rsidR="001B2B66">
        <w:rPr>
          <w:bCs/>
          <w:lang w:eastAsia="ja-JP"/>
        </w:rPr>
        <w:t xml:space="preserve"> </w:t>
      </w:r>
      <w:r w:rsidR="001B2B66">
        <w:rPr>
          <w:lang w:eastAsia="ja-JP"/>
        </w:rPr>
        <w:t xml:space="preserve">&gt; </w:t>
      </w:r>
      <w:r w:rsidRPr="001C3C0C">
        <w:rPr>
          <w:lang w:eastAsia="ja-JP"/>
        </w:rPr>
        <w:t xml:space="preserve">4.2 in elderly subjects in the QIV group for all </w:t>
      </w:r>
      <w:r w:rsidR="00957523">
        <w:rPr>
          <w:lang w:eastAsia="ja-JP"/>
        </w:rPr>
        <w:t>4</w:t>
      </w:r>
      <w:r w:rsidRPr="001C3C0C">
        <w:rPr>
          <w:lang w:eastAsia="ja-JP"/>
        </w:rPr>
        <w:t xml:space="preserve"> strains. Seroconversion based on HI titres was found in</w:t>
      </w:r>
      <w:r w:rsidR="001B2B66">
        <w:rPr>
          <w:lang w:eastAsia="ja-JP"/>
        </w:rPr>
        <w:t xml:space="preserve"> &gt; </w:t>
      </w:r>
      <w:r w:rsidRPr="001C3C0C">
        <w:rPr>
          <w:lang w:eastAsia="ja-JP"/>
        </w:rPr>
        <w:t>51.0% of the adult subjects and</w:t>
      </w:r>
      <w:r w:rsidR="001B2B66">
        <w:rPr>
          <w:bCs/>
          <w:lang w:eastAsia="ja-JP"/>
        </w:rPr>
        <w:t xml:space="preserve"> &gt; </w:t>
      </w:r>
      <w:r w:rsidRPr="001C3C0C">
        <w:rPr>
          <w:lang w:eastAsia="ja-JP"/>
        </w:rPr>
        <w:t xml:space="preserve">39.0% of the elderly subjects in the QIV group for all </w:t>
      </w:r>
      <w:r w:rsidR="00957523">
        <w:rPr>
          <w:lang w:eastAsia="ja-JP"/>
        </w:rPr>
        <w:t>4</w:t>
      </w:r>
      <w:r w:rsidR="0036603B">
        <w:rPr>
          <w:lang w:eastAsia="ja-JP"/>
        </w:rPr>
        <w:t> </w:t>
      </w:r>
      <w:r w:rsidRPr="001C3C0C">
        <w:rPr>
          <w:lang w:eastAsia="ja-JP"/>
        </w:rPr>
        <w:t>strains. More than 91.0% of the adult subjects and</w:t>
      </w:r>
      <w:r w:rsidR="001B2B66">
        <w:rPr>
          <w:lang w:eastAsia="ja-JP"/>
        </w:rPr>
        <w:t xml:space="preserve"> &gt; </w:t>
      </w:r>
      <w:r w:rsidRPr="001C3C0C">
        <w:rPr>
          <w:lang w:eastAsia="ja-JP"/>
        </w:rPr>
        <w:t>73.0% of the elderly subjects in the QIV group had post-vaccination HI t</w:t>
      </w:r>
      <w:r w:rsidR="00BA0835">
        <w:rPr>
          <w:lang w:eastAsia="ja-JP"/>
        </w:rPr>
        <w:t>itres</w:t>
      </w:r>
      <w:r w:rsidR="001B2B66">
        <w:rPr>
          <w:lang w:eastAsia="ja-JP"/>
        </w:rPr>
        <w:t xml:space="preserve"> ≥ </w:t>
      </w:r>
      <w:r w:rsidR="00BA0835">
        <w:rPr>
          <w:lang w:eastAsia="ja-JP"/>
        </w:rPr>
        <w:t xml:space="preserve">40 for all </w:t>
      </w:r>
      <w:r w:rsidR="00957523">
        <w:rPr>
          <w:lang w:eastAsia="ja-JP"/>
        </w:rPr>
        <w:t>4</w:t>
      </w:r>
      <w:r w:rsidR="00BA0835">
        <w:rPr>
          <w:lang w:eastAsia="ja-JP"/>
        </w:rPr>
        <w:t xml:space="preserve"> strains.</w:t>
      </w:r>
    </w:p>
    <w:p w14:paraId="123A28A3" w14:textId="77777777" w:rsidR="001C3C0C" w:rsidRPr="001C3C0C" w:rsidRDefault="001C3C0C" w:rsidP="00BA0835">
      <w:pPr>
        <w:pStyle w:val="Heading3"/>
      </w:pPr>
      <w:bookmarkStart w:id="71" w:name="_Toc470758071"/>
      <w:bookmarkStart w:id="72" w:name="_Toc524344795"/>
      <w:r w:rsidRPr="001C3C0C">
        <w:t xml:space="preserve">Analyses performed across trials: pooled and </w:t>
      </w:r>
      <w:proofErr w:type="gramStart"/>
      <w:r w:rsidRPr="001C3C0C">
        <w:t>meta</w:t>
      </w:r>
      <w:proofErr w:type="gramEnd"/>
      <w:r w:rsidRPr="001C3C0C">
        <w:t xml:space="preserve"> analyses</w:t>
      </w:r>
      <w:bookmarkEnd w:id="64"/>
      <w:bookmarkEnd w:id="65"/>
      <w:bookmarkEnd w:id="66"/>
      <w:bookmarkEnd w:id="67"/>
      <w:bookmarkEnd w:id="68"/>
      <w:bookmarkEnd w:id="69"/>
      <w:bookmarkEnd w:id="70"/>
      <w:bookmarkEnd w:id="71"/>
      <w:bookmarkEnd w:id="72"/>
    </w:p>
    <w:p w14:paraId="5C35B0C8" w14:textId="01230F3A" w:rsidR="001C3C0C" w:rsidRPr="001C3C0C" w:rsidRDefault="001C3C0C" w:rsidP="001C3C0C">
      <w:pPr>
        <w:rPr>
          <w:lang w:eastAsia="ja-JP"/>
        </w:rPr>
      </w:pPr>
      <w:r w:rsidRPr="001C3C0C">
        <w:rPr>
          <w:lang w:eastAsia="ja-JP"/>
        </w:rPr>
        <w:t>Post</w:t>
      </w:r>
      <w:r w:rsidR="0036603B">
        <w:rPr>
          <w:lang w:eastAsia="ja-JP"/>
        </w:rPr>
        <w:t>-</w:t>
      </w:r>
      <w:r w:rsidRPr="001C3C0C">
        <w:rPr>
          <w:lang w:eastAsia="ja-JP"/>
        </w:rPr>
        <w:t>vaccination GMTs found in the QIV and TIV formulations in</w:t>
      </w:r>
      <w:r w:rsidR="0036603B" w:rsidRPr="0036603B">
        <w:rPr>
          <w:lang w:eastAsia="ja-JP"/>
        </w:rPr>
        <w:t xml:space="preserve"> Study</w:t>
      </w:r>
      <w:r w:rsidRPr="0036603B">
        <w:rPr>
          <w:lang w:eastAsia="ja-JP"/>
        </w:rPr>
        <w:t xml:space="preserve"> INFQ3001</w:t>
      </w:r>
      <w:r w:rsidRPr="001C3C0C">
        <w:rPr>
          <w:lang w:eastAsia="ja-JP"/>
        </w:rPr>
        <w:t xml:space="preserve"> against the TIV formulatio</w:t>
      </w:r>
      <w:r w:rsidR="00473C1F">
        <w:rPr>
          <w:lang w:eastAsia="ja-JP"/>
        </w:rPr>
        <w:t xml:space="preserve">n in the 16 supportive studies </w:t>
      </w:r>
      <w:r w:rsidRPr="001C3C0C">
        <w:rPr>
          <w:lang w:eastAsia="ja-JP"/>
        </w:rPr>
        <w:t xml:space="preserve">of </w:t>
      </w:r>
      <w:r w:rsidR="004D432A">
        <w:rPr>
          <w:lang w:eastAsia="ja-JP"/>
        </w:rPr>
        <w:t>Influvac</w:t>
      </w:r>
      <w:r w:rsidRPr="001C3C0C">
        <w:rPr>
          <w:lang w:eastAsia="ja-JP"/>
        </w:rPr>
        <w:t>, boxplots of the post</w:t>
      </w:r>
      <w:r w:rsidR="00EA2626">
        <w:rPr>
          <w:lang w:eastAsia="ja-JP"/>
        </w:rPr>
        <w:t>-</w:t>
      </w:r>
      <w:r w:rsidRPr="001C3C0C">
        <w:rPr>
          <w:lang w:eastAsia="ja-JP"/>
        </w:rPr>
        <w:t xml:space="preserve">vaccination geometric mean HI titres per strain are displayed in </w:t>
      </w:r>
      <w:r w:rsidRPr="00473C1F">
        <w:rPr>
          <w:lang w:eastAsia="ja-JP"/>
        </w:rPr>
        <w:t>Figures 3 and 4</w:t>
      </w:r>
      <w:r w:rsidR="001B2B66">
        <w:rPr>
          <w:lang w:eastAsia="ja-JP"/>
        </w:rPr>
        <w:t xml:space="preserve"> </w:t>
      </w:r>
      <w:r w:rsidR="00473C1F">
        <w:rPr>
          <w:lang w:eastAsia="ja-JP"/>
        </w:rPr>
        <w:t xml:space="preserve">(shown below) </w:t>
      </w:r>
      <w:r w:rsidRPr="001C3C0C">
        <w:rPr>
          <w:lang w:eastAsia="ja-JP"/>
        </w:rPr>
        <w:t xml:space="preserve">for the adults and elderly adults, respectively. In summary, the post-vaccination GMTs of the QIV and TIV formulations used in </w:t>
      </w:r>
      <w:r w:rsidR="00473C1F">
        <w:rPr>
          <w:lang w:eastAsia="ja-JP"/>
        </w:rPr>
        <w:t>S</w:t>
      </w:r>
      <w:r w:rsidRPr="001C3C0C">
        <w:rPr>
          <w:lang w:eastAsia="ja-JP"/>
        </w:rPr>
        <w:t>tudy INFQ3001 are within the expected range of the pooled post</w:t>
      </w:r>
      <w:r w:rsidR="00473C1F">
        <w:rPr>
          <w:lang w:eastAsia="ja-JP"/>
        </w:rPr>
        <w:noBreakHyphen/>
      </w:r>
      <w:r w:rsidRPr="001C3C0C">
        <w:rPr>
          <w:lang w:eastAsia="ja-JP"/>
        </w:rPr>
        <w:t xml:space="preserve">vaccination GMTs of the 16 TIV studies in the clinical study database of </w:t>
      </w:r>
      <w:r w:rsidR="004D432A">
        <w:rPr>
          <w:lang w:eastAsia="ja-JP"/>
        </w:rPr>
        <w:t>Influvac</w:t>
      </w:r>
      <w:r w:rsidRPr="001C3C0C">
        <w:rPr>
          <w:lang w:eastAsia="ja-JP"/>
        </w:rPr>
        <w:t>.</w:t>
      </w:r>
    </w:p>
    <w:p w14:paraId="12CBD202" w14:textId="77777777" w:rsidR="001C3C0C" w:rsidRPr="001C3C0C" w:rsidRDefault="001C3C0C" w:rsidP="00BA0835">
      <w:pPr>
        <w:pStyle w:val="Heading4"/>
      </w:pPr>
      <w:r w:rsidRPr="001C3C0C">
        <w:t>Adults</w:t>
      </w:r>
    </w:p>
    <w:p w14:paraId="30E47F01" w14:textId="77777777" w:rsidR="00BA0835" w:rsidRDefault="001C3C0C" w:rsidP="00BA0835">
      <w:pPr>
        <w:pStyle w:val="Heading5"/>
        <w:rPr>
          <w:lang w:eastAsia="ja-JP"/>
        </w:rPr>
      </w:pPr>
      <w:r w:rsidRPr="001C3C0C">
        <w:rPr>
          <w:lang w:eastAsia="ja-JP"/>
        </w:rPr>
        <w:t>Comparison of QIV in INFQ3001 against TIV supportive studies</w:t>
      </w:r>
    </w:p>
    <w:p w14:paraId="3044590A" w14:textId="71AEE79C" w:rsidR="001C3C0C" w:rsidRPr="001C3C0C" w:rsidRDefault="001C3C0C" w:rsidP="001C3C0C">
      <w:pPr>
        <w:rPr>
          <w:lang w:eastAsia="ja-JP"/>
        </w:rPr>
      </w:pPr>
      <w:r w:rsidRPr="001C3C0C">
        <w:rPr>
          <w:lang w:eastAsia="ja-JP"/>
        </w:rPr>
        <w:t>For the H3N2 strain, the post</w:t>
      </w:r>
      <w:r w:rsidR="00473C1F">
        <w:rPr>
          <w:lang w:eastAsia="ja-JP"/>
        </w:rPr>
        <w:t>-</w:t>
      </w:r>
      <w:r w:rsidRPr="001C3C0C">
        <w:rPr>
          <w:lang w:eastAsia="ja-JP"/>
        </w:rPr>
        <w:t xml:space="preserve">vaccination GMT for QIV in </w:t>
      </w:r>
      <w:r w:rsidR="00473C1F" w:rsidRPr="00473C1F">
        <w:rPr>
          <w:lang w:eastAsia="ja-JP"/>
        </w:rPr>
        <w:t xml:space="preserve">Study </w:t>
      </w:r>
      <w:r w:rsidRPr="00473C1F">
        <w:rPr>
          <w:lang w:eastAsia="ja-JP"/>
        </w:rPr>
        <w:t>INFQ3001</w:t>
      </w:r>
      <w:r w:rsidRPr="001C3C0C">
        <w:rPr>
          <w:lang w:eastAsia="ja-JP"/>
        </w:rPr>
        <w:t xml:space="preserve"> was 442.4, which is within the interquartile range o</w:t>
      </w:r>
      <w:r w:rsidR="00473C1F">
        <w:rPr>
          <w:lang w:eastAsia="ja-JP"/>
        </w:rPr>
        <w:t xml:space="preserve">f the pooled TIV studies (300.9 to </w:t>
      </w:r>
      <w:r w:rsidRPr="001C3C0C">
        <w:rPr>
          <w:lang w:eastAsia="ja-JP"/>
        </w:rPr>
        <w:t>545.0). For the H1N1 strain, the post</w:t>
      </w:r>
      <w:r w:rsidR="00473C1F">
        <w:rPr>
          <w:lang w:eastAsia="ja-JP"/>
        </w:rPr>
        <w:t>-</w:t>
      </w:r>
      <w:r w:rsidRPr="001C3C0C">
        <w:rPr>
          <w:lang w:eastAsia="ja-JP"/>
        </w:rPr>
        <w:t>vaccination GMT for QIV was 272.2, which also fell within the interquartile range o</w:t>
      </w:r>
      <w:r w:rsidR="00473C1F">
        <w:rPr>
          <w:lang w:eastAsia="ja-JP"/>
        </w:rPr>
        <w:t xml:space="preserve">f the pooled TIV studies (170.4 to </w:t>
      </w:r>
      <w:r w:rsidRPr="001C3C0C">
        <w:rPr>
          <w:lang w:eastAsia="ja-JP"/>
        </w:rPr>
        <w:t>538.2).</w:t>
      </w:r>
    </w:p>
    <w:p w14:paraId="475D56C3" w14:textId="25D741F9" w:rsidR="001C3C0C" w:rsidRPr="001C3C0C" w:rsidRDefault="001C3C0C" w:rsidP="001C3C0C">
      <w:pPr>
        <w:rPr>
          <w:lang w:eastAsia="ja-JP"/>
        </w:rPr>
      </w:pPr>
      <w:r w:rsidRPr="001C3C0C">
        <w:rPr>
          <w:lang w:eastAsia="ja-JP"/>
        </w:rPr>
        <w:t>For the B</w:t>
      </w:r>
      <w:r w:rsidR="00473C1F">
        <w:rPr>
          <w:lang w:eastAsia="ja-JP"/>
        </w:rPr>
        <w:t xml:space="preserve"> strain</w:t>
      </w:r>
      <w:r w:rsidRPr="001C3C0C">
        <w:rPr>
          <w:lang w:eastAsia="ja-JP"/>
        </w:rPr>
        <w:t xml:space="preserve"> Victoria lineage and Yamagata lineage, </w:t>
      </w:r>
      <w:r w:rsidR="00BA0835">
        <w:rPr>
          <w:lang w:eastAsia="ja-JP"/>
        </w:rPr>
        <w:t>the post</w:t>
      </w:r>
      <w:r w:rsidR="00473C1F">
        <w:rPr>
          <w:lang w:eastAsia="ja-JP"/>
        </w:rPr>
        <w:t>-</w:t>
      </w:r>
      <w:r w:rsidR="00BA0835">
        <w:rPr>
          <w:lang w:eastAsia="ja-JP"/>
        </w:rPr>
        <w:t xml:space="preserve">vaccination GMT for QIV </w:t>
      </w:r>
      <w:r w:rsidRPr="001C3C0C">
        <w:rPr>
          <w:lang w:eastAsia="ja-JP"/>
        </w:rPr>
        <w:t>was 214.0 and 162.5, respectively, which is within the interquartile range of the pooled TIV</w:t>
      </w:r>
      <w:r w:rsidR="00BA0835">
        <w:rPr>
          <w:lang w:eastAsia="ja-JP"/>
        </w:rPr>
        <w:t xml:space="preserve"> </w:t>
      </w:r>
      <w:r w:rsidRPr="001C3C0C">
        <w:rPr>
          <w:lang w:eastAsia="ja-JP"/>
        </w:rPr>
        <w:t>studies (108.8</w:t>
      </w:r>
      <w:r w:rsidR="00B500CF">
        <w:rPr>
          <w:lang w:eastAsia="ja-JP"/>
        </w:rPr>
        <w:t xml:space="preserve"> to </w:t>
      </w:r>
      <w:r w:rsidRPr="001C3C0C">
        <w:rPr>
          <w:lang w:eastAsia="ja-JP"/>
        </w:rPr>
        <w:t>246.9).</w:t>
      </w:r>
    </w:p>
    <w:p w14:paraId="62D66236" w14:textId="0D450DB5" w:rsidR="001C3C0C" w:rsidRPr="001C3C0C" w:rsidRDefault="001C3C0C" w:rsidP="00BA0835">
      <w:pPr>
        <w:pStyle w:val="Heading5"/>
        <w:rPr>
          <w:lang w:eastAsia="ja-JP"/>
        </w:rPr>
      </w:pPr>
      <w:r w:rsidRPr="001C3C0C">
        <w:rPr>
          <w:lang w:eastAsia="ja-JP"/>
        </w:rPr>
        <w:t xml:space="preserve">Comparison TIV in INFQ3001 </w:t>
      </w:r>
      <w:r w:rsidR="00BA0835">
        <w:rPr>
          <w:lang w:eastAsia="ja-JP"/>
        </w:rPr>
        <w:t>against TIV supportive studies</w:t>
      </w:r>
    </w:p>
    <w:p w14:paraId="0DD925E9" w14:textId="4855EDF1" w:rsidR="001C3C0C" w:rsidRPr="00BA0835" w:rsidRDefault="001C3C0C" w:rsidP="001C3C0C">
      <w:pPr>
        <w:rPr>
          <w:lang w:eastAsia="ja-JP"/>
        </w:rPr>
      </w:pPr>
      <w:r w:rsidRPr="001C3C0C">
        <w:rPr>
          <w:lang w:eastAsia="ja-JP"/>
        </w:rPr>
        <w:t>For the H3N2 strain, the post</w:t>
      </w:r>
      <w:r w:rsidR="00473C1F">
        <w:rPr>
          <w:lang w:eastAsia="ja-JP"/>
        </w:rPr>
        <w:t>-</w:t>
      </w:r>
      <w:r w:rsidRPr="001C3C0C">
        <w:rPr>
          <w:lang w:eastAsia="ja-JP"/>
        </w:rPr>
        <w:t>vaccination GMT for TIV in Study INFQ3001 was 473.5, which is within the interquartile range o</w:t>
      </w:r>
      <w:r w:rsidR="00473C1F">
        <w:rPr>
          <w:lang w:eastAsia="ja-JP"/>
        </w:rPr>
        <w:t xml:space="preserve">f the pooled TIV studies (300.9 to </w:t>
      </w:r>
      <w:r w:rsidRPr="001C3C0C">
        <w:rPr>
          <w:lang w:eastAsia="ja-JP"/>
        </w:rPr>
        <w:t>545.0). For the H1N1 strain, the post</w:t>
      </w:r>
      <w:r w:rsidR="00473C1F">
        <w:rPr>
          <w:lang w:eastAsia="ja-JP"/>
        </w:rPr>
        <w:t>-</w:t>
      </w:r>
      <w:r w:rsidRPr="001C3C0C">
        <w:rPr>
          <w:lang w:eastAsia="ja-JP"/>
        </w:rPr>
        <w:t>vaccination GMT for TIV was 310.1, which also fell within the interquartile range of the poole</w:t>
      </w:r>
      <w:r w:rsidR="00473C1F">
        <w:rPr>
          <w:lang w:eastAsia="ja-JP"/>
        </w:rPr>
        <w:t xml:space="preserve">d TIV studies (170.4 to 538.2). For the B </w:t>
      </w:r>
      <w:r w:rsidRPr="001C3C0C">
        <w:rPr>
          <w:lang w:eastAsia="ja-JP"/>
        </w:rPr>
        <w:t xml:space="preserve">strain Victoria lineage and Yamagata lineage, the GMT for TIV was 184.7 and 128.7, respectively, which is within the interquartile range of the pooled TIV </w:t>
      </w:r>
      <w:r w:rsidR="00473C1F">
        <w:rPr>
          <w:lang w:eastAsia="ja-JP"/>
        </w:rPr>
        <w:t xml:space="preserve">studies (108.8 to </w:t>
      </w:r>
      <w:r w:rsidR="00BA0835">
        <w:rPr>
          <w:lang w:eastAsia="ja-JP"/>
        </w:rPr>
        <w:t>246.9).</w:t>
      </w:r>
    </w:p>
    <w:p w14:paraId="5E900E72" w14:textId="3261B993" w:rsidR="001C3C0C" w:rsidRPr="001C3C0C" w:rsidRDefault="00473C1F" w:rsidP="00D715C0">
      <w:pPr>
        <w:pStyle w:val="FigureTitle"/>
        <w:rPr>
          <w:lang w:eastAsia="ja-JP"/>
        </w:rPr>
      </w:pPr>
      <w:r>
        <w:rPr>
          <w:lang w:eastAsia="ja-JP"/>
        </w:rPr>
        <w:lastRenderedPageBreak/>
        <w:t>Fi</w:t>
      </w:r>
      <w:r w:rsidR="00E90C19">
        <w:rPr>
          <w:lang w:eastAsia="ja-JP"/>
        </w:rPr>
        <w:t>gure 3:</w:t>
      </w:r>
      <w:r w:rsidR="001C3C0C" w:rsidRPr="001C3C0C">
        <w:rPr>
          <w:lang w:eastAsia="ja-JP"/>
        </w:rPr>
        <w:t xml:space="preserve"> Geometric mean HI titres; Adults</w:t>
      </w:r>
      <w:r>
        <w:rPr>
          <w:lang w:eastAsia="ja-JP"/>
        </w:rPr>
        <w:t>,</w:t>
      </w:r>
      <w:r w:rsidR="001C3C0C" w:rsidRPr="001C3C0C">
        <w:rPr>
          <w:lang w:eastAsia="ja-JP"/>
        </w:rPr>
        <w:t xml:space="preserve"> Clinical Study Database </w:t>
      </w:r>
      <w:r>
        <w:rPr>
          <w:lang w:eastAsia="ja-JP"/>
        </w:rPr>
        <w:t xml:space="preserve">for </w:t>
      </w:r>
      <w:r w:rsidR="004D432A">
        <w:rPr>
          <w:lang w:eastAsia="ja-JP"/>
        </w:rPr>
        <w:t>Influvac</w:t>
      </w:r>
    </w:p>
    <w:p w14:paraId="57870B19" w14:textId="1ADFA57A" w:rsidR="001C3C0C" w:rsidRPr="001C3C0C" w:rsidRDefault="00B93E2D" w:rsidP="001C3C0C">
      <w:pPr>
        <w:rPr>
          <w:b/>
          <w:i/>
          <w:iCs/>
          <w:lang w:eastAsia="ja-JP"/>
        </w:rPr>
      </w:pPr>
      <w:r w:rsidRPr="001C3C0C">
        <w:rPr>
          <w:b/>
          <w:i/>
          <w:iCs/>
          <w:lang w:eastAsia="ja-JP"/>
        </w:rPr>
        <w:object w:dxaOrig="7020" w:dyaOrig="5266" w14:anchorId="383301EB">
          <v:shape id="_x0000_i1027" type="#_x0000_t75" alt="Geometric mean HI titres; Adults, Clinical Study Database for Influvac" style="width:244.8pt;height:2in" o:ole="">
            <v:imagedata r:id="rId31" o:title=""/>
          </v:shape>
          <o:OLEObject Type="Embed" ProgID="Acrobat.Document.DC" ShapeID="_x0000_i1027" DrawAspect="Content" ObjectID="_1598087290" r:id="rId32"/>
        </w:object>
      </w:r>
    </w:p>
    <w:p w14:paraId="72C19632" w14:textId="7BD73302" w:rsidR="001C3C0C" w:rsidRPr="001C3C0C" w:rsidRDefault="00473C1F" w:rsidP="00BA0835">
      <w:pPr>
        <w:pStyle w:val="Heading4"/>
      </w:pPr>
      <w:r>
        <w:t>Elderly a</w:t>
      </w:r>
      <w:r w:rsidR="001C3C0C" w:rsidRPr="001C3C0C">
        <w:t>dults</w:t>
      </w:r>
    </w:p>
    <w:p w14:paraId="2D38A9BF" w14:textId="77777777" w:rsidR="00BA0835" w:rsidRDefault="001C3C0C" w:rsidP="00BA0835">
      <w:pPr>
        <w:pStyle w:val="Heading5"/>
        <w:rPr>
          <w:lang w:eastAsia="ja-JP"/>
        </w:rPr>
      </w:pPr>
      <w:r w:rsidRPr="001C3C0C">
        <w:rPr>
          <w:lang w:eastAsia="ja-JP"/>
        </w:rPr>
        <w:t>Comparison QIV in INFQ3001 against TIV supportive studies</w:t>
      </w:r>
    </w:p>
    <w:p w14:paraId="4E513E6A" w14:textId="6C8FA9A8" w:rsidR="001C3C0C" w:rsidRPr="00BA0835" w:rsidRDefault="001C3C0C" w:rsidP="001C3C0C">
      <w:pPr>
        <w:rPr>
          <w:b/>
          <w:lang w:eastAsia="ja-JP"/>
        </w:rPr>
      </w:pPr>
      <w:r w:rsidRPr="001C3C0C">
        <w:rPr>
          <w:lang w:eastAsia="ja-JP"/>
        </w:rPr>
        <w:t xml:space="preserve">For the H3N2 strain, the </w:t>
      </w:r>
      <w:r w:rsidR="00473C1F">
        <w:rPr>
          <w:lang w:eastAsia="ja-JP"/>
        </w:rPr>
        <w:t>post-vaccination</w:t>
      </w:r>
      <w:r w:rsidRPr="001C3C0C">
        <w:rPr>
          <w:lang w:eastAsia="ja-JP"/>
        </w:rPr>
        <w:t xml:space="preserve"> GMT for QIV in Study INFQ3001 was 348.5,</w:t>
      </w:r>
      <w:r w:rsidRPr="001C3C0C">
        <w:rPr>
          <w:b/>
          <w:lang w:eastAsia="ja-JP"/>
        </w:rPr>
        <w:t xml:space="preserve"> </w:t>
      </w:r>
      <w:r w:rsidRPr="001C3C0C">
        <w:rPr>
          <w:lang w:eastAsia="ja-JP"/>
        </w:rPr>
        <w:t>which is within the interquartile range o</w:t>
      </w:r>
      <w:r w:rsidR="00473C1F">
        <w:rPr>
          <w:lang w:eastAsia="ja-JP"/>
        </w:rPr>
        <w:t xml:space="preserve">f the pooled TIV studies (231.5 to </w:t>
      </w:r>
      <w:r w:rsidRPr="001C3C0C">
        <w:rPr>
          <w:lang w:eastAsia="ja-JP"/>
        </w:rPr>
        <w:t>402.5). For the</w:t>
      </w:r>
      <w:r w:rsidRPr="001C3C0C">
        <w:rPr>
          <w:b/>
          <w:lang w:eastAsia="ja-JP"/>
        </w:rPr>
        <w:t xml:space="preserve"> </w:t>
      </w:r>
      <w:r w:rsidRPr="001C3C0C">
        <w:rPr>
          <w:lang w:eastAsia="ja-JP"/>
        </w:rPr>
        <w:t xml:space="preserve">H1N1 strain, the </w:t>
      </w:r>
      <w:r w:rsidR="00473C1F">
        <w:rPr>
          <w:lang w:eastAsia="ja-JP"/>
        </w:rPr>
        <w:t>post-vaccination</w:t>
      </w:r>
      <w:r w:rsidRPr="001C3C0C">
        <w:rPr>
          <w:lang w:eastAsia="ja-JP"/>
        </w:rPr>
        <w:t xml:space="preserve"> GMT for QIV was 127.2, which also fell within the</w:t>
      </w:r>
      <w:r w:rsidRPr="001C3C0C">
        <w:rPr>
          <w:b/>
          <w:lang w:eastAsia="ja-JP"/>
        </w:rPr>
        <w:t xml:space="preserve"> </w:t>
      </w:r>
      <w:r w:rsidRPr="001C3C0C">
        <w:rPr>
          <w:lang w:eastAsia="ja-JP"/>
        </w:rPr>
        <w:t xml:space="preserve">interquartile range </w:t>
      </w:r>
      <w:r w:rsidR="00473C1F">
        <w:rPr>
          <w:lang w:eastAsia="ja-JP"/>
        </w:rPr>
        <w:t xml:space="preserve">of the pooled TIV studies (80.0 to </w:t>
      </w:r>
      <w:r w:rsidRPr="001C3C0C">
        <w:rPr>
          <w:lang w:eastAsia="ja-JP"/>
        </w:rPr>
        <w:t>233.6).</w:t>
      </w:r>
      <w:r w:rsidRPr="001C3C0C">
        <w:rPr>
          <w:b/>
          <w:lang w:eastAsia="ja-JP"/>
        </w:rPr>
        <w:t xml:space="preserve"> </w:t>
      </w:r>
      <w:r w:rsidRPr="001C3C0C">
        <w:rPr>
          <w:lang w:eastAsia="ja-JP"/>
        </w:rPr>
        <w:t>For the B</w:t>
      </w:r>
      <w:r w:rsidR="00473C1F">
        <w:rPr>
          <w:lang w:eastAsia="ja-JP"/>
        </w:rPr>
        <w:t xml:space="preserve"> strain</w:t>
      </w:r>
      <w:r w:rsidRPr="001C3C0C">
        <w:rPr>
          <w:lang w:eastAsia="ja-JP"/>
        </w:rPr>
        <w:t xml:space="preserve"> Victoria lineage and Yamagata lineage, the </w:t>
      </w:r>
      <w:r w:rsidR="00473C1F">
        <w:rPr>
          <w:lang w:eastAsia="ja-JP"/>
        </w:rPr>
        <w:t>post-vaccination</w:t>
      </w:r>
      <w:r w:rsidRPr="001C3C0C">
        <w:rPr>
          <w:lang w:eastAsia="ja-JP"/>
        </w:rPr>
        <w:t xml:space="preserve"> GMT for QIV</w:t>
      </w:r>
      <w:r w:rsidR="00BA0835">
        <w:rPr>
          <w:b/>
          <w:lang w:eastAsia="ja-JP"/>
        </w:rPr>
        <w:t xml:space="preserve"> </w:t>
      </w:r>
      <w:r w:rsidRPr="001C3C0C">
        <w:rPr>
          <w:lang w:eastAsia="ja-JP"/>
        </w:rPr>
        <w:t>was 109.4 and 63.7, respectively, which is within the interquartile range of the pooled TIV</w:t>
      </w:r>
      <w:r w:rsidR="00BA0835">
        <w:rPr>
          <w:b/>
          <w:lang w:eastAsia="ja-JP"/>
        </w:rPr>
        <w:t xml:space="preserve"> </w:t>
      </w:r>
      <w:r w:rsidR="00473C1F">
        <w:rPr>
          <w:lang w:eastAsia="ja-JP"/>
        </w:rPr>
        <w:t xml:space="preserve">studies (42.6 to </w:t>
      </w:r>
      <w:r w:rsidRPr="001C3C0C">
        <w:rPr>
          <w:lang w:eastAsia="ja-JP"/>
        </w:rPr>
        <w:t>182.9).</w:t>
      </w:r>
    </w:p>
    <w:p w14:paraId="1DD45AC7" w14:textId="0DC8AF78" w:rsidR="001C3C0C" w:rsidRPr="001C3C0C" w:rsidRDefault="001C3C0C" w:rsidP="00BA0835">
      <w:pPr>
        <w:pStyle w:val="Heading5"/>
        <w:rPr>
          <w:lang w:eastAsia="ja-JP"/>
        </w:rPr>
      </w:pPr>
      <w:r w:rsidRPr="001C3C0C">
        <w:rPr>
          <w:lang w:eastAsia="ja-JP"/>
        </w:rPr>
        <w:t>Comparison TIV in INFQ3001 against TIV supportive studies</w:t>
      </w:r>
    </w:p>
    <w:p w14:paraId="76AB37D7" w14:textId="37B8C40D" w:rsidR="001C3C0C" w:rsidRPr="001C3C0C" w:rsidRDefault="001C3C0C" w:rsidP="001C3C0C">
      <w:pPr>
        <w:rPr>
          <w:lang w:eastAsia="ja-JP"/>
        </w:rPr>
      </w:pPr>
      <w:r w:rsidRPr="001C3C0C">
        <w:rPr>
          <w:lang w:eastAsia="ja-JP"/>
        </w:rPr>
        <w:t xml:space="preserve">For the H3N2 strain, the </w:t>
      </w:r>
      <w:r w:rsidR="00473C1F">
        <w:rPr>
          <w:lang w:eastAsia="ja-JP"/>
        </w:rPr>
        <w:t>post-vaccination</w:t>
      </w:r>
      <w:r w:rsidRPr="001C3C0C">
        <w:rPr>
          <w:lang w:eastAsia="ja-JP"/>
        </w:rPr>
        <w:t xml:space="preserve"> GMT for TIV in Study INFQ3001 was 357.4, which is within the interquartile range o</w:t>
      </w:r>
      <w:r w:rsidR="00473C1F">
        <w:rPr>
          <w:lang w:eastAsia="ja-JP"/>
        </w:rPr>
        <w:t xml:space="preserve">f the pooled TIV studies (231.5 to </w:t>
      </w:r>
      <w:r w:rsidRPr="001C3C0C">
        <w:rPr>
          <w:lang w:eastAsia="ja-JP"/>
        </w:rPr>
        <w:t xml:space="preserve">402.5). For the H1N1 strain, the </w:t>
      </w:r>
      <w:r w:rsidR="00473C1F">
        <w:rPr>
          <w:lang w:eastAsia="ja-JP"/>
        </w:rPr>
        <w:t>post-vaccination</w:t>
      </w:r>
      <w:r w:rsidRPr="001C3C0C">
        <w:rPr>
          <w:lang w:eastAsia="ja-JP"/>
        </w:rPr>
        <w:t xml:space="preserve"> GMT for TIV was 157.7, which also fell within the interquartile range </w:t>
      </w:r>
      <w:r w:rsidR="00473C1F">
        <w:rPr>
          <w:lang w:eastAsia="ja-JP"/>
        </w:rPr>
        <w:t xml:space="preserve">of the pooled TIV studies (80.0 to </w:t>
      </w:r>
      <w:r w:rsidRPr="001C3C0C">
        <w:rPr>
          <w:lang w:eastAsia="ja-JP"/>
        </w:rPr>
        <w:t>233.6). For the B</w:t>
      </w:r>
      <w:r w:rsidR="00473C1F">
        <w:rPr>
          <w:lang w:eastAsia="ja-JP"/>
        </w:rPr>
        <w:t xml:space="preserve"> strain</w:t>
      </w:r>
      <w:r w:rsidRPr="001C3C0C">
        <w:rPr>
          <w:lang w:eastAsia="ja-JP"/>
        </w:rPr>
        <w:t xml:space="preserve"> Victoria lineage and Yamagata lineage, the </w:t>
      </w:r>
      <w:r w:rsidR="00473C1F">
        <w:rPr>
          <w:lang w:eastAsia="ja-JP"/>
        </w:rPr>
        <w:t>post-vaccination</w:t>
      </w:r>
      <w:r w:rsidRPr="001C3C0C">
        <w:rPr>
          <w:lang w:eastAsia="ja-JP"/>
        </w:rPr>
        <w:t xml:space="preserve"> GMT for TIV was 106.6 and 57.4, respectively, which is within the interquartile range </w:t>
      </w:r>
      <w:r w:rsidR="00473C1F">
        <w:rPr>
          <w:lang w:eastAsia="ja-JP"/>
        </w:rPr>
        <w:t xml:space="preserve">of the pooled TIV studies (42.6 to </w:t>
      </w:r>
      <w:r w:rsidRPr="001C3C0C">
        <w:rPr>
          <w:lang w:eastAsia="ja-JP"/>
        </w:rPr>
        <w:t>182.9).</w:t>
      </w:r>
    </w:p>
    <w:p w14:paraId="218A321C" w14:textId="5B8067D9" w:rsidR="001C3C0C" w:rsidRPr="001C3C0C" w:rsidRDefault="00E90C19" w:rsidP="00473C1F">
      <w:pPr>
        <w:pStyle w:val="FigureTitle"/>
        <w:rPr>
          <w:lang w:eastAsia="ja-JP"/>
        </w:rPr>
      </w:pPr>
      <w:r>
        <w:rPr>
          <w:lang w:eastAsia="ja-JP"/>
        </w:rPr>
        <w:t>Figure 4:</w:t>
      </w:r>
      <w:r w:rsidR="001C3C0C" w:rsidRPr="001C3C0C">
        <w:rPr>
          <w:lang w:eastAsia="ja-JP"/>
        </w:rPr>
        <w:t xml:space="preserve"> Geometric mean HI titres; Elderly adult</w:t>
      </w:r>
      <w:r w:rsidR="00473C1F">
        <w:rPr>
          <w:lang w:eastAsia="ja-JP"/>
        </w:rPr>
        <w:t xml:space="preserve">s, </w:t>
      </w:r>
      <w:r w:rsidR="001C3C0C" w:rsidRPr="001C3C0C">
        <w:rPr>
          <w:lang w:eastAsia="ja-JP"/>
        </w:rPr>
        <w:t>Clinical Study Database</w:t>
      </w:r>
      <w:r w:rsidR="00473C1F">
        <w:rPr>
          <w:lang w:eastAsia="ja-JP"/>
        </w:rPr>
        <w:t xml:space="preserve"> for</w:t>
      </w:r>
      <w:r w:rsidR="001C3C0C" w:rsidRPr="001C3C0C">
        <w:rPr>
          <w:lang w:eastAsia="ja-JP"/>
        </w:rPr>
        <w:t xml:space="preserve"> </w:t>
      </w:r>
      <w:r w:rsidR="004D432A">
        <w:rPr>
          <w:lang w:eastAsia="ja-JP"/>
        </w:rPr>
        <w:t>Influvac</w:t>
      </w:r>
    </w:p>
    <w:p w14:paraId="4DB13184" w14:textId="4C552823" w:rsidR="001C3C0C" w:rsidRPr="001C3C0C" w:rsidRDefault="00B93E2D" w:rsidP="001C3C0C">
      <w:pPr>
        <w:rPr>
          <w:b/>
          <w:lang w:eastAsia="ja-JP"/>
        </w:rPr>
      </w:pPr>
      <w:r w:rsidRPr="001C3C0C">
        <w:rPr>
          <w:b/>
          <w:lang w:eastAsia="ja-JP"/>
        </w:rPr>
        <w:object w:dxaOrig="7020" w:dyaOrig="5266" w14:anchorId="17DD6A3E">
          <v:shape id="_x0000_i1028" type="#_x0000_t75" alt=": Geometric mean HI titres; Elderly adults, Clinical Study Database for Influvac" style="width:230.4pt;height:158.4pt" o:ole="">
            <v:imagedata r:id="rId33" o:title=""/>
          </v:shape>
          <o:OLEObject Type="Embed" ProgID="Acrobat.Document.DC" ShapeID="_x0000_i1028" DrawAspect="Content" ObjectID="_1598087291" r:id="rId34"/>
        </w:object>
      </w:r>
    </w:p>
    <w:p w14:paraId="21C56A86" w14:textId="77777777" w:rsidR="001C3C0C" w:rsidRPr="001C3C0C" w:rsidRDefault="001C3C0C" w:rsidP="001C3C0C">
      <w:pPr>
        <w:pStyle w:val="Heading3"/>
        <w:rPr>
          <w:rFonts w:eastAsia="Cambria"/>
        </w:rPr>
      </w:pPr>
      <w:bookmarkStart w:id="73" w:name="_Ref271126605"/>
      <w:bookmarkStart w:id="74" w:name="_Toc272414657"/>
      <w:bookmarkStart w:id="75" w:name="_Toc290888508"/>
      <w:bookmarkStart w:id="76" w:name="_Toc416353724"/>
      <w:bookmarkStart w:id="77" w:name="_Toc421005272"/>
      <w:bookmarkStart w:id="78" w:name="_Toc432079154"/>
      <w:bookmarkStart w:id="79" w:name="_Toc432080727"/>
      <w:bookmarkStart w:id="80" w:name="_Toc470758072"/>
      <w:bookmarkStart w:id="81" w:name="_Toc524344796"/>
      <w:r w:rsidRPr="001C3C0C">
        <w:rPr>
          <w:rFonts w:eastAsia="Cambria"/>
        </w:rPr>
        <w:t>Evaluator’s conclusions on clinical efficacy</w:t>
      </w:r>
      <w:bookmarkEnd w:id="73"/>
      <w:bookmarkEnd w:id="74"/>
      <w:bookmarkEnd w:id="75"/>
      <w:bookmarkEnd w:id="76"/>
      <w:bookmarkEnd w:id="77"/>
      <w:bookmarkEnd w:id="78"/>
      <w:bookmarkEnd w:id="79"/>
      <w:bookmarkEnd w:id="80"/>
      <w:bookmarkEnd w:id="81"/>
    </w:p>
    <w:p w14:paraId="2D945ACA" w14:textId="23267B47" w:rsidR="001C3C0C" w:rsidRPr="001C3C0C" w:rsidRDefault="00473C1F" w:rsidP="001C3C0C">
      <w:pPr>
        <w:rPr>
          <w:lang w:eastAsia="ja-JP"/>
        </w:rPr>
      </w:pPr>
      <w:r w:rsidRPr="00473C1F">
        <w:rPr>
          <w:lang w:eastAsia="ja-JP"/>
        </w:rPr>
        <w:t xml:space="preserve">Study </w:t>
      </w:r>
      <w:r w:rsidR="001C3C0C" w:rsidRPr="00473C1F">
        <w:rPr>
          <w:lang w:eastAsia="ja-JP"/>
        </w:rPr>
        <w:t>INFQ3001</w:t>
      </w:r>
      <w:r w:rsidR="001C3C0C" w:rsidRPr="001C3C0C">
        <w:rPr>
          <w:b/>
          <w:lang w:eastAsia="ja-JP"/>
        </w:rPr>
        <w:t xml:space="preserve"> </w:t>
      </w:r>
      <w:r w:rsidR="001C3C0C" w:rsidRPr="001C3C0C">
        <w:rPr>
          <w:lang w:eastAsia="ja-JP"/>
        </w:rPr>
        <w:t xml:space="preserve">conducted entirely within the European Union, demonstrates the immunogenicity of </w:t>
      </w:r>
      <w:r w:rsidR="004D432A">
        <w:rPr>
          <w:lang w:eastAsia="ja-JP"/>
        </w:rPr>
        <w:t>Influvac</w:t>
      </w:r>
      <w:r w:rsidR="001C3C0C" w:rsidRPr="001C3C0C">
        <w:rPr>
          <w:lang w:eastAsia="ja-JP"/>
        </w:rPr>
        <w:t xml:space="preserve"> </w:t>
      </w:r>
      <w:r>
        <w:rPr>
          <w:lang w:eastAsia="ja-JP"/>
        </w:rPr>
        <w:t xml:space="preserve">Tetra in adults aged 18 to </w:t>
      </w:r>
      <w:r w:rsidR="001C3C0C" w:rsidRPr="001C3C0C">
        <w:rPr>
          <w:lang w:eastAsia="ja-JP"/>
        </w:rPr>
        <w:t>60 years and the elderly aged</w:t>
      </w:r>
      <w:r w:rsidR="001B2B66">
        <w:rPr>
          <w:lang w:eastAsia="ja-JP"/>
        </w:rPr>
        <w:t xml:space="preserve"> ≥ </w:t>
      </w:r>
      <w:r w:rsidR="001C3C0C" w:rsidRPr="001C3C0C">
        <w:rPr>
          <w:lang w:eastAsia="ja-JP"/>
        </w:rPr>
        <w:t>61 years against all 4 strains of influenza virus contained within the vaccine.</w:t>
      </w:r>
      <w:r w:rsidR="001B2B66">
        <w:rPr>
          <w:lang w:eastAsia="ja-JP"/>
        </w:rPr>
        <w:t xml:space="preserve"> </w:t>
      </w:r>
      <w:r w:rsidR="001C3C0C" w:rsidRPr="001C3C0C">
        <w:rPr>
          <w:lang w:eastAsia="ja-JP"/>
        </w:rPr>
        <w:t>Standard methodology to demonstrate immunogenicity was utilised. Importantly, the added B strain provides superior immunogenicity without affecting the antibody response to the other stra</w:t>
      </w:r>
      <w:r>
        <w:rPr>
          <w:lang w:eastAsia="ja-JP"/>
        </w:rPr>
        <w:t xml:space="preserve">ins and there is no safety cost (discussed in Section 8, below). </w:t>
      </w:r>
      <w:r w:rsidR="001C3C0C" w:rsidRPr="001C3C0C">
        <w:rPr>
          <w:lang w:eastAsia="ja-JP"/>
        </w:rPr>
        <w:t xml:space="preserve">Seroprotection rates for all 4 strains in the QIV were </w:t>
      </w:r>
      <w:r w:rsidR="001C3C0C" w:rsidRPr="001C3C0C">
        <w:rPr>
          <w:lang w:eastAsia="ja-JP"/>
        </w:rPr>
        <w:lastRenderedPageBreak/>
        <w:t>higher in adults compared to the elderly, but nevertheless high in both groups. Lower seroprotection in the elderly is a universal finding in immunogenicity studies for influenza vaccines (</w:t>
      </w:r>
      <w:r>
        <w:rPr>
          <w:lang w:eastAsia="ja-JP"/>
        </w:rPr>
        <w:t>that is,</w:t>
      </w:r>
      <w:r w:rsidR="001C3C0C" w:rsidRPr="001C3C0C">
        <w:rPr>
          <w:lang w:eastAsia="ja-JP"/>
        </w:rPr>
        <w:t xml:space="preserve"> not a unique finding for this vaccine) and the reviewer has no concerns about this finding in the pivotal</w:t>
      </w:r>
      <w:r w:rsidR="00DF2CFC">
        <w:rPr>
          <w:lang w:eastAsia="ja-JP"/>
        </w:rPr>
        <w:t xml:space="preserve"> study and the pooled analyses.</w:t>
      </w:r>
    </w:p>
    <w:p w14:paraId="4793A12F" w14:textId="77777777" w:rsidR="00C22678" w:rsidRPr="003442FE" w:rsidRDefault="00C22678" w:rsidP="00C22678">
      <w:pPr>
        <w:pStyle w:val="Heading2"/>
      </w:pPr>
      <w:bookmarkStart w:id="82" w:name="_Toc524344797"/>
      <w:r w:rsidRPr="003442FE">
        <w:t>Clinical safety</w:t>
      </w:r>
      <w:bookmarkEnd w:id="82"/>
    </w:p>
    <w:p w14:paraId="7611E72E" w14:textId="6D9A78FE" w:rsidR="004252A6" w:rsidRPr="004252A6" w:rsidRDefault="00406B85" w:rsidP="004252A6">
      <w:pPr>
        <w:rPr>
          <w:lang w:eastAsia="ja-JP"/>
        </w:rPr>
      </w:pPr>
      <w:r>
        <w:rPr>
          <w:lang w:eastAsia="ja-JP"/>
        </w:rPr>
        <w:t>There is one</w:t>
      </w:r>
      <w:r w:rsidR="004252A6" w:rsidRPr="004252A6">
        <w:rPr>
          <w:lang w:eastAsia="ja-JP"/>
        </w:rPr>
        <w:t xml:space="preserve"> key study, </w:t>
      </w:r>
      <w:r w:rsidR="0009289D" w:rsidRPr="0009289D">
        <w:rPr>
          <w:lang w:eastAsia="ja-JP"/>
        </w:rPr>
        <w:t xml:space="preserve">Study </w:t>
      </w:r>
      <w:r w:rsidR="004252A6" w:rsidRPr="0009289D">
        <w:rPr>
          <w:lang w:eastAsia="ja-JP"/>
        </w:rPr>
        <w:t>INFQ3001</w:t>
      </w:r>
      <w:r w:rsidR="00473C1F">
        <w:rPr>
          <w:lang w:eastAsia="ja-JP"/>
        </w:rPr>
        <w:t xml:space="preserve">, described in Section 7 (above) </w:t>
      </w:r>
      <w:r w:rsidR="0009289D">
        <w:rPr>
          <w:lang w:eastAsia="ja-JP"/>
        </w:rPr>
        <w:t xml:space="preserve">that </w:t>
      </w:r>
      <w:r w:rsidR="004252A6" w:rsidRPr="004252A6">
        <w:rPr>
          <w:lang w:eastAsia="ja-JP"/>
        </w:rPr>
        <w:t xml:space="preserve">provided evaluable safety data for the </w:t>
      </w:r>
      <w:r w:rsidR="004252A6" w:rsidRPr="0009289D">
        <w:rPr>
          <w:lang w:eastAsia="ja-JP"/>
        </w:rPr>
        <w:t>QIV.</w:t>
      </w:r>
      <w:r w:rsidR="004252A6" w:rsidRPr="004252A6">
        <w:rPr>
          <w:lang w:eastAsia="ja-JP"/>
        </w:rPr>
        <w:t xml:space="preserve"> The study aimed to demonstrate that the safety and reactogenicity of QIV is comparable to those of TIVs. The extensive safety data collected for </w:t>
      </w:r>
      <w:r w:rsidR="004D432A">
        <w:rPr>
          <w:lang w:eastAsia="ja-JP"/>
        </w:rPr>
        <w:t>Influvac</w:t>
      </w:r>
      <w:r w:rsidR="004252A6" w:rsidRPr="004252A6">
        <w:rPr>
          <w:lang w:eastAsia="ja-JP"/>
        </w:rPr>
        <w:t xml:space="preserve"> is considered supportive of QIV development, as the antigens of the influenza strains in QIV are similar to those from TIV formulations over the years (apart from the fact that QIV now combines </w:t>
      </w:r>
      <w:r w:rsidR="00957523">
        <w:rPr>
          <w:lang w:eastAsia="ja-JP"/>
        </w:rPr>
        <w:t>2</w:t>
      </w:r>
      <w:r>
        <w:rPr>
          <w:lang w:eastAsia="ja-JP"/>
        </w:rPr>
        <w:t> B</w:t>
      </w:r>
      <w:r w:rsidR="00473C1F">
        <w:rPr>
          <w:lang w:eastAsia="ja-JP"/>
        </w:rPr>
        <w:t xml:space="preserve"> strain</w:t>
      </w:r>
      <w:r w:rsidR="004252A6" w:rsidRPr="004252A6">
        <w:rPr>
          <w:lang w:eastAsia="ja-JP"/>
        </w:rPr>
        <w:t xml:space="preserve"> lineages in one formulation). </w:t>
      </w:r>
      <w:r w:rsidR="004D432A">
        <w:rPr>
          <w:lang w:eastAsia="ja-JP"/>
        </w:rPr>
        <w:t>Influvac</w:t>
      </w:r>
      <w:r w:rsidR="004252A6" w:rsidRPr="004252A6">
        <w:rPr>
          <w:lang w:eastAsia="ja-JP"/>
        </w:rPr>
        <w:t xml:space="preserve"> has shown a </w:t>
      </w:r>
      <w:r w:rsidR="0009289D" w:rsidRPr="004252A6">
        <w:rPr>
          <w:lang w:eastAsia="ja-JP"/>
        </w:rPr>
        <w:t>favourable</w:t>
      </w:r>
      <w:r w:rsidR="004252A6" w:rsidRPr="004252A6">
        <w:rPr>
          <w:lang w:eastAsia="ja-JP"/>
        </w:rPr>
        <w:t xml:space="preserve"> safety profile in both healthy and at-risk populations, and no unexpected safety signals that would warrant specific additional risk minimisation activities have been observed to date. Therefore, standard safety outcome parameters for influenza vaccine studies were used, </w:t>
      </w:r>
      <w:r>
        <w:rPr>
          <w:lang w:eastAsia="ja-JP"/>
        </w:rPr>
        <w:t>that is,</w:t>
      </w:r>
      <w:r w:rsidR="004252A6" w:rsidRPr="004252A6">
        <w:rPr>
          <w:lang w:eastAsia="ja-JP"/>
        </w:rPr>
        <w:t xml:space="preserve"> solicited local and systemic reactions (reactogenicity), overall inconvenience, and o</w:t>
      </w:r>
      <w:r>
        <w:rPr>
          <w:lang w:eastAsia="ja-JP"/>
        </w:rPr>
        <w:t xml:space="preserve">ther unsolicited AEs. For the 6 </w:t>
      </w:r>
      <w:r w:rsidR="004252A6" w:rsidRPr="004252A6">
        <w:rPr>
          <w:lang w:eastAsia="ja-JP"/>
        </w:rPr>
        <w:t>month safety follow up, only new SAEs and NCIs were reported.</w:t>
      </w:r>
    </w:p>
    <w:p w14:paraId="27DEBD8F" w14:textId="0F872277" w:rsidR="004252A6" w:rsidRPr="00406B85" w:rsidRDefault="004252A6" w:rsidP="00406B85">
      <w:r w:rsidRPr="00406B85">
        <w:t>Safety reporting</w:t>
      </w:r>
      <w:r w:rsidR="00436A76">
        <w:t xml:space="preserve"> parameters are defined as follows:</w:t>
      </w:r>
    </w:p>
    <w:p w14:paraId="3BBF7A2B" w14:textId="77777777" w:rsidR="00436A76" w:rsidRDefault="004252A6" w:rsidP="004252A6">
      <w:pPr>
        <w:pStyle w:val="ListBullet"/>
        <w:rPr>
          <w:i/>
          <w:iCs/>
          <w:lang w:eastAsia="ja-JP"/>
        </w:rPr>
      </w:pPr>
      <w:r w:rsidRPr="00436A76">
        <w:rPr>
          <w:bCs/>
          <w:i/>
          <w:lang w:eastAsia="ja-JP"/>
        </w:rPr>
        <w:t>AE:</w:t>
      </w:r>
      <w:r w:rsidRPr="004252A6">
        <w:rPr>
          <w:b/>
          <w:bCs/>
          <w:lang w:eastAsia="ja-JP"/>
        </w:rPr>
        <w:t xml:space="preserve"> </w:t>
      </w:r>
      <w:r w:rsidR="00436A76">
        <w:rPr>
          <w:lang w:eastAsia="ja-JP"/>
        </w:rPr>
        <w:t>A</w:t>
      </w:r>
      <w:r w:rsidRPr="004252A6">
        <w:rPr>
          <w:lang w:eastAsia="ja-JP"/>
        </w:rPr>
        <w:t>n AE is any untoward</w:t>
      </w:r>
      <w:r w:rsidRPr="004252A6">
        <w:rPr>
          <w:i/>
          <w:iCs/>
          <w:lang w:eastAsia="ja-JP"/>
        </w:rPr>
        <w:t xml:space="preserve"> </w:t>
      </w:r>
      <w:r w:rsidRPr="004252A6">
        <w:rPr>
          <w:lang w:eastAsia="ja-JP"/>
        </w:rPr>
        <w:t>medical occurrence in a patient or clinical investigation subject administered a</w:t>
      </w:r>
      <w:r w:rsidRPr="004252A6">
        <w:rPr>
          <w:i/>
          <w:iCs/>
          <w:lang w:eastAsia="ja-JP"/>
        </w:rPr>
        <w:t xml:space="preserve"> </w:t>
      </w:r>
      <w:r w:rsidRPr="004252A6">
        <w:rPr>
          <w:lang w:eastAsia="ja-JP"/>
        </w:rPr>
        <w:t>pharmaceutical product and which does not necessarily have a causal relationship with this</w:t>
      </w:r>
      <w:r w:rsidRPr="004252A6">
        <w:rPr>
          <w:i/>
          <w:iCs/>
          <w:lang w:eastAsia="ja-JP"/>
        </w:rPr>
        <w:t xml:space="preserve"> </w:t>
      </w:r>
      <w:r w:rsidRPr="004252A6">
        <w:rPr>
          <w:lang w:eastAsia="ja-JP"/>
        </w:rPr>
        <w:t>treatment. An AE can, therefore, be any unfavourable and unintended sign (including an</w:t>
      </w:r>
      <w:r w:rsidRPr="004252A6">
        <w:rPr>
          <w:i/>
          <w:iCs/>
          <w:lang w:eastAsia="ja-JP"/>
        </w:rPr>
        <w:t xml:space="preserve"> </w:t>
      </w:r>
      <w:r w:rsidRPr="004252A6">
        <w:rPr>
          <w:lang w:eastAsia="ja-JP"/>
        </w:rPr>
        <w:t>abnormal, clinically significant laboratory finding), symptom, or disease temporally</w:t>
      </w:r>
      <w:r w:rsidRPr="004252A6">
        <w:rPr>
          <w:i/>
          <w:iCs/>
          <w:lang w:eastAsia="ja-JP"/>
        </w:rPr>
        <w:t xml:space="preserve"> </w:t>
      </w:r>
      <w:r w:rsidRPr="004252A6">
        <w:rPr>
          <w:lang w:eastAsia="ja-JP"/>
        </w:rPr>
        <w:t>associated with the use of an investigational product, whether or not considered</w:t>
      </w:r>
      <w:r w:rsidRPr="004252A6">
        <w:rPr>
          <w:i/>
          <w:iCs/>
          <w:lang w:eastAsia="ja-JP"/>
        </w:rPr>
        <w:t xml:space="preserve"> </w:t>
      </w:r>
      <w:r w:rsidRPr="004252A6">
        <w:rPr>
          <w:lang w:eastAsia="ja-JP"/>
        </w:rPr>
        <w:t>related to the product.</w:t>
      </w:r>
      <w:r w:rsidR="00436A76">
        <w:rPr>
          <w:i/>
          <w:iCs/>
          <w:lang w:eastAsia="ja-JP"/>
        </w:rPr>
        <w:t xml:space="preserve"> The post </w:t>
      </w:r>
      <w:r w:rsidRPr="004252A6">
        <w:rPr>
          <w:i/>
          <w:iCs/>
          <w:lang w:eastAsia="ja-JP"/>
        </w:rPr>
        <w:t>therapy AE collection period is defined as the period up to Visit 2 (until Day 22 after study vaccination).</w:t>
      </w:r>
    </w:p>
    <w:p w14:paraId="703CCF1E" w14:textId="6F819C7B" w:rsidR="00436A76" w:rsidRPr="00436A76" w:rsidRDefault="004252A6" w:rsidP="004252A6">
      <w:pPr>
        <w:pStyle w:val="ListBullet"/>
        <w:rPr>
          <w:i/>
          <w:iCs/>
          <w:lang w:eastAsia="ja-JP"/>
        </w:rPr>
      </w:pPr>
      <w:r w:rsidRPr="00436A76">
        <w:rPr>
          <w:bCs/>
          <w:lang w:eastAsia="ja-JP"/>
        </w:rPr>
        <w:t xml:space="preserve">Solicited AEs and </w:t>
      </w:r>
      <w:r w:rsidRPr="00436A76">
        <w:rPr>
          <w:lang w:eastAsia="ja-JP"/>
        </w:rPr>
        <w:t xml:space="preserve">Unsolicited AEs </w:t>
      </w:r>
      <w:r w:rsidRPr="00436A76">
        <w:rPr>
          <w:bCs/>
          <w:lang w:eastAsia="ja-JP"/>
        </w:rPr>
        <w:t>(as defined in</w:t>
      </w:r>
      <w:r w:rsidR="0002549C">
        <w:rPr>
          <w:bCs/>
          <w:lang w:eastAsia="ja-JP"/>
        </w:rPr>
        <w:t xml:space="preserve"> Section 7</w:t>
      </w:r>
      <w:r w:rsidRPr="00436A76">
        <w:rPr>
          <w:bCs/>
          <w:lang w:eastAsia="ja-JP"/>
        </w:rPr>
        <w:t>) graded for severity as follows:</w:t>
      </w:r>
    </w:p>
    <w:p w14:paraId="475FA394" w14:textId="77777777" w:rsidR="00436A76" w:rsidRPr="00436A76" w:rsidRDefault="004252A6" w:rsidP="004252A6">
      <w:pPr>
        <w:pStyle w:val="ListBullet2"/>
        <w:rPr>
          <w:i/>
          <w:iCs/>
          <w:lang w:eastAsia="ja-JP"/>
        </w:rPr>
      </w:pPr>
      <w:r w:rsidRPr="004252A6">
        <w:rPr>
          <w:lang w:eastAsia="ja-JP"/>
        </w:rPr>
        <w:t>Mild: Symptoms are easily tolerated and do not interfere with normal, everyday activities;</w:t>
      </w:r>
    </w:p>
    <w:p w14:paraId="0E7A6481" w14:textId="77777777" w:rsidR="00436A76" w:rsidRPr="00436A76" w:rsidRDefault="004252A6" w:rsidP="004252A6">
      <w:pPr>
        <w:pStyle w:val="ListBullet2"/>
        <w:rPr>
          <w:i/>
          <w:iCs/>
          <w:lang w:eastAsia="ja-JP"/>
        </w:rPr>
      </w:pPr>
      <w:r w:rsidRPr="004252A6">
        <w:rPr>
          <w:lang w:eastAsia="ja-JP"/>
        </w:rPr>
        <w:t>Moderate: Discomfort enough to cause some interference with normal, everyday activities;</w:t>
      </w:r>
    </w:p>
    <w:p w14:paraId="5C061611" w14:textId="086E6675" w:rsidR="004252A6" w:rsidRPr="00436A76" w:rsidRDefault="004252A6" w:rsidP="004252A6">
      <w:pPr>
        <w:pStyle w:val="ListBullet2"/>
        <w:rPr>
          <w:i/>
          <w:iCs/>
          <w:lang w:eastAsia="ja-JP"/>
        </w:rPr>
      </w:pPr>
      <w:r w:rsidRPr="004252A6">
        <w:rPr>
          <w:lang w:eastAsia="ja-JP"/>
        </w:rPr>
        <w:t>Severe: Symptoms that prevent normal, everyday activities.</w:t>
      </w:r>
    </w:p>
    <w:p w14:paraId="708973BF" w14:textId="4A57AE05" w:rsidR="004252A6" w:rsidRPr="00436A76" w:rsidRDefault="004252A6" w:rsidP="00436A76">
      <w:pPr>
        <w:pStyle w:val="ListBullet"/>
        <w:rPr>
          <w:lang w:eastAsia="ja-JP"/>
        </w:rPr>
      </w:pPr>
      <w:r w:rsidRPr="00436A76">
        <w:rPr>
          <w:lang w:eastAsia="ja-JP"/>
        </w:rPr>
        <w:t>New Chronic illnesses (NCI): Collected fro</w:t>
      </w:r>
      <w:r w:rsidR="00436A76">
        <w:rPr>
          <w:lang w:eastAsia="ja-JP"/>
        </w:rPr>
        <w:t xml:space="preserve">m informed consent to study end, that is, </w:t>
      </w:r>
      <w:r w:rsidRPr="00436A76">
        <w:rPr>
          <w:lang w:eastAsia="ja-JP"/>
        </w:rPr>
        <w:t>Phone</w:t>
      </w:r>
      <w:r w:rsidR="00436A76">
        <w:rPr>
          <w:lang w:eastAsia="ja-JP"/>
        </w:rPr>
        <w:t xml:space="preserve"> Contact 2 (Day 183).</w:t>
      </w:r>
    </w:p>
    <w:p w14:paraId="642A63F7" w14:textId="606D8DF3" w:rsidR="004252A6" w:rsidRPr="00436A76" w:rsidRDefault="004252A6" w:rsidP="00436A76">
      <w:pPr>
        <w:pStyle w:val="ListBullet"/>
        <w:rPr>
          <w:lang w:eastAsia="ja-JP"/>
        </w:rPr>
      </w:pPr>
      <w:r w:rsidRPr="00436A76">
        <w:rPr>
          <w:lang w:eastAsia="ja-JP"/>
        </w:rPr>
        <w:t>SAE</w:t>
      </w:r>
      <w:r w:rsidR="00436A76">
        <w:rPr>
          <w:lang w:eastAsia="ja-JP"/>
        </w:rPr>
        <w:t>: U</w:t>
      </w:r>
      <w:r w:rsidRPr="00436A76">
        <w:rPr>
          <w:lang w:eastAsia="ja-JP"/>
        </w:rPr>
        <w:t>ntoward medical oc</w:t>
      </w:r>
      <w:r w:rsidR="00436A76">
        <w:rPr>
          <w:lang w:eastAsia="ja-JP"/>
        </w:rPr>
        <w:t>currence that results in death;</w:t>
      </w:r>
      <w:r w:rsidRPr="00436A76">
        <w:rPr>
          <w:lang w:eastAsia="ja-JP"/>
        </w:rPr>
        <w:t xml:space="preserve"> i</w:t>
      </w:r>
      <w:r w:rsidR="00436A76">
        <w:rPr>
          <w:lang w:eastAsia="ja-JP"/>
        </w:rPr>
        <w:t>s life-threatening; requires in </w:t>
      </w:r>
      <w:r w:rsidRPr="00436A76">
        <w:rPr>
          <w:lang w:eastAsia="ja-JP"/>
        </w:rPr>
        <w:t>patient hospitalisation or prolongation of existing hospitalisation; results in persistent or significant disability or incapacity; is a congenital anomaly or birth defect; is an important medical event; is the suspected transmission of an infectious agent via a medicinal product. Collected from signing informed consent to study end</w:t>
      </w:r>
      <w:r w:rsidR="00436A76">
        <w:rPr>
          <w:lang w:eastAsia="ja-JP"/>
        </w:rPr>
        <w:t>, that is, Phone contact 2 (Day 183).</w:t>
      </w:r>
    </w:p>
    <w:p w14:paraId="16B7FF82" w14:textId="77777777" w:rsidR="00436A76" w:rsidRDefault="00436A76" w:rsidP="00436A76">
      <w:pPr>
        <w:pStyle w:val="ListBullet"/>
        <w:rPr>
          <w:lang w:eastAsia="ja-JP"/>
        </w:rPr>
      </w:pPr>
      <w:r>
        <w:rPr>
          <w:lang w:eastAsia="ja-JP"/>
        </w:rPr>
        <w:t>Severity Of AE</w:t>
      </w:r>
      <w:r w:rsidRPr="00436A76">
        <w:rPr>
          <w:lang w:eastAsia="ja-JP"/>
        </w:rPr>
        <w:t>s</w:t>
      </w:r>
      <w:r>
        <w:rPr>
          <w:lang w:eastAsia="ja-JP"/>
        </w:rPr>
        <w:t>: A</w:t>
      </w:r>
      <w:r w:rsidR="004252A6" w:rsidRPr="00436A76">
        <w:rPr>
          <w:lang w:eastAsia="ja-JP"/>
        </w:rPr>
        <w:t>ssessed by th</w:t>
      </w:r>
      <w:r>
        <w:rPr>
          <w:lang w:eastAsia="ja-JP"/>
        </w:rPr>
        <w:t>e investigator as follows:</w:t>
      </w:r>
    </w:p>
    <w:p w14:paraId="1ED2C197" w14:textId="77777777" w:rsidR="00436A76" w:rsidRDefault="00436A76" w:rsidP="00436A76">
      <w:pPr>
        <w:pStyle w:val="ListBullet2"/>
        <w:rPr>
          <w:lang w:eastAsia="ja-JP"/>
        </w:rPr>
      </w:pPr>
      <w:r>
        <w:rPr>
          <w:lang w:eastAsia="ja-JP"/>
        </w:rPr>
        <w:t>Mild: U</w:t>
      </w:r>
      <w:r w:rsidR="004252A6" w:rsidRPr="00436A76">
        <w:rPr>
          <w:lang w:eastAsia="ja-JP"/>
        </w:rPr>
        <w:t xml:space="preserve">sually transient and do not interfere with </w:t>
      </w:r>
      <w:r>
        <w:rPr>
          <w:lang w:eastAsia="ja-JP"/>
        </w:rPr>
        <w:t>the subject’s daily activities;</w:t>
      </w:r>
    </w:p>
    <w:p w14:paraId="69BB3C01" w14:textId="77777777" w:rsidR="00436A76" w:rsidRDefault="00436A76" w:rsidP="00436A76">
      <w:pPr>
        <w:pStyle w:val="ListBullet2"/>
        <w:rPr>
          <w:lang w:eastAsia="ja-JP"/>
        </w:rPr>
      </w:pPr>
      <w:r>
        <w:rPr>
          <w:lang w:eastAsia="ja-JP"/>
        </w:rPr>
        <w:t>Moderate: L</w:t>
      </w:r>
      <w:r w:rsidR="004252A6" w:rsidRPr="00436A76">
        <w:rPr>
          <w:lang w:eastAsia="ja-JP"/>
        </w:rPr>
        <w:t>ow level of inconvenience or concern to the subject and may interfere</w:t>
      </w:r>
      <w:r>
        <w:rPr>
          <w:lang w:eastAsia="ja-JP"/>
        </w:rPr>
        <w:t xml:space="preserve"> with daily activities;</w:t>
      </w:r>
    </w:p>
    <w:p w14:paraId="4949E50E" w14:textId="02BBF5E2" w:rsidR="004252A6" w:rsidRPr="00436A76" w:rsidRDefault="00436A76" w:rsidP="00436A76">
      <w:pPr>
        <w:pStyle w:val="ListBullet2"/>
        <w:rPr>
          <w:lang w:eastAsia="ja-JP"/>
        </w:rPr>
      </w:pPr>
      <w:r>
        <w:rPr>
          <w:lang w:eastAsia="ja-JP"/>
        </w:rPr>
        <w:t>Severe: I</w:t>
      </w:r>
      <w:r w:rsidR="004252A6" w:rsidRPr="00436A76">
        <w:rPr>
          <w:lang w:eastAsia="ja-JP"/>
        </w:rPr>
        <w:t>nterrupt the subject’s usual daily activity.</w:t>
      </w:r>
    </w:p>
    <w:p w14:paraId="1A2D3D75" w14:textId="4895F6E2" w:rsidR="004252A6" w:rsidRPr="00436A76" w:rsidRDefault="00436A76" w:rsidP="00436A76">
      <w:pPr>
        <w:pStyle w:val="ListBullet"/>
        <w:rPr>
          <w:lang w:eastAsia="ja-JP"/>
        </w:rPr>
      </w:pPr>
      <w:r w:rsidRPr="00436A76">
        <w:rPr>
          <w:lang w:eastAsia="ja-JP"/>
        </w:rPr>
        <w:t>Causali</w:t>
      </w:r>
      <w:r>
        <w:rPr>
          <w:lang w:eastAsia="ja-JP"/>
        </w:rPr>
        <w:t xml:space="preserve">ty </w:t>
      </w:r>
      <w:r w:rsidR="00286A03">
        <w:rPr>
          <w:lang w:eastAsia="ja-JP"/>
        </w:rPr>
        <w:t>o</w:t>
      </w:r>
      <w:r>
        <w:rPr>
          <w:lang w:eastAsia="ja-JP"/>
        </w:rPr>
        <w:t>f AE</w:t>
      </w:r>
      <w:r w:rsidRPr="00436A76">
        <w:rPr>
          <w:lang w:eastAsia="ja-JP"/>
        </w:rPr>
        <w:t>s</w:t>
      </w:r>
      <w:r w:rsidR="0002549C">
        <w:rPr>
          <w:lang w:eastAsia="ja-JP"/>
        </w:rPr>
        <w:t>: Assessed by i</w:t>
      </w:r>
      <w:r w:rsidR="004252A6" w:rsidRPr="00436A76">
        <w:rPr>
          <w:lang w:eastAsia="ja-JP"/>
        </w:rPr>
        <w:t>nvestigator as unrelated, unlikely, possible</w:t>
      </w:r>
      <w:r w:rsidR="00C30B57">
        <w:rPr>
          <w:lang w:eastAsia="ja-JP"/>
        </w:rPr>
        <w:t xml:space="preserve"> or</w:t>
      </w:r>
      <w:r w:rsidR="004252A6" w:rsidRPr="00436A76">
        <w:rPr>
          <w:lang w:eastAsia="ja-JP"/>
        </w:rPr>
        <w:t xml:space="preserve"> probable.</w:t>
      </w:r>
    </w:p>
    <w:p w14:paraId="549B5F0F" w14:textId="77777777" w:rsidR="004252A6" w:rsidRPr="004252A6" w:rsidRDefault="004252A6" w:rsidP="008A52F0">
      <w:pPr>
        <w:pStyle w:val="Heading3"/>
      </w:pPr>
      <w:bookmarkStart w:id="83" w:name="_Toc272414659"/>
      <w:bookmarkStart w:id="84" w:name="_Toc290888510"/>
      <w:bookmarkStart w:id="85" w:name="_Toc416353726"/>
      <w:bookmarkStart w:id="86" w:name="_Toc421005274"/>
      <w:bookmarkStart w:id="87" w:name="_Toc432079156"/>
      <w:bookmarkStart w:id="88" w:name="_Toc432080729"/>
      <w:bookmarkStart w:id="89" w:name="_Toc470758074"/>
      <w:bookmarkStart w:id="90" w:name="_Toc524344798"/>
      <w:r w:rsidRPr="004252A6">
        <w:lastRenderedPageBreak/>
        <w:t>Studies providing evaluable safety data</w:t>
      </w:r>
      <w:bookmarkEnd w:id="83"/>
      <w:bookmarkEnd w:id="84"/>
      <w:bookmarkEnd w:id="85"/>
      <w:bookmarkEnd w:id="86"/>
      <w:bookmarkEnd w:id="87"/>
      <w:bookmarkEnd w:id="88"/>
      <w:bookmarkEnd w:id="89"/>
      <w:bookmarkEnd w:id="90"/>
    </w:p>
    <w:p w14:paraId="679AAD12" w14:textId="0E45DFF8" w:rsidR="004252A6" w:rsidRPr="004252A6" w:rsidRDefault="008A52F0" w:rsidP="004252A6">
      <w:pPr>
        <w:rPr>
          <w:lang w:eastAsia="ja-JP"/>
        </w:rPr>
      </w:pPr>
      <w:bookmarkStart w:id="91" w:name="_Toc421005275"/>
      <w:bookmarkStart w:id="92" w:name="_Toc432079157"/>
      <w:bookmarkStart w:id="93" w:name="_Toc432080730"/>
      <w:r>
        <w:rPr>
          <w:lang w:eastAsia="ja-JP"/>
        </w:rPr>
        <w:t xml:space="preserve">Study </w:t>
      </w:r>
      <w:r w:rsidR="004252A6" w:rsidRPr="008A52F0">
        <w:rPr>
          <w:lang w:eastAsia="ja-JP"/>
        </w:rPr>
        <w:t>INFQ3001,</w:t>
      </w:r>
      <w:r w:rsidR="004252A6" w:rsidRPr="004252A6">
        <w:rPr>
          <w:b/>
          <w:lang w:eastAsia="ja-JP"/>
        </w:rPr>
        <w:t xml:space="preserve"> </w:t>
      </w:r>
      <w:r w:rsidR="004252A6" w:rsidRPr="004252A6">
        <w:rPr>
          <w:lang w:eastAsia="ja-JP"/>
        </w:rPr>
        <w:t xml:space="preserve">described in </w:t>
      </w:r>
      <w:r w:rsidR="004252A6" w:rsidRPr="008A52F0">
        <w:rPr>
          <w:lang w:eastAsia="ja-JP"/>
        </w:rPr>
        <w:t xml:space="preserve">Section </w:t>
      </w:r>
      <w:r w:rsidRPr="008A52F0">
        <w:rPr>
          <w:lang w:eastAsia="ja-JP"/>
        </w:rPr>
        <w:t>7 (above)</w:t>
      </w:r>
      <w:r w:rsidR="004252A6" w:rsidRPr="004252A6">
        <w:rPr>
          <w:lang w:eastAsia="ja-JP"/>
        </w:rPr>
        <w:t xml:space="preserve"> collected safety data as a secondary outcome.</w:t>
      </w:r>
    </w:p>
    <w:p w14:paraId="33EE7796" w14:textId="77777777" w:rsidR="004252A6" w:rsidRPr="004252A6" w:rsidRDefault="004252A6" w:rsidP="008A52F0">
      <w:pPr>
        <w:pStyle w:val="Heading4"/>
      </w:pPr>
      <w:r w:rsidRPr="004252A6">
        <w:t>Pivotal studies that assessed safety as the sole primary outcome</w:t>
      </w:r>
      <w:bookmarkEnd w:id="91"/>
      <w:bookmarkEnd w:id="92"/>
      <w:bookmarkEnd w:id="93"/>
    </w:p>
    <w:p w14:paraId="5E6E8C7B" w14:textId="200F66C4" w:rsidR="004252A6" w:rsidRPr="004252A6" w:rsidRDefault="008A52F0" w:rsidP="004252A6">
      <w:pPr>
        <w:rPr>
          <w:lang w:eastAsia="ja-JP"/>
        </w:rPr>
      </w:pPr>
      <w:r>
        <w:rPr>
          <w:lang w:eastAsia="ja-JP"/>
        </w:rPr>
        <w:t>No studies.</w:t>
      </w:r>
    </w:p>
    <w:p w14:paraId="52104677" w14:textId="77777777" w:rsidR="004252A6" w:rsidRPr="004252A6" w:rsidRDefault="004252A6" w:rsidP="008A52F0">
      <w:pPr>
        <w:pStyle w:val="Heading5"/>
        <w:rPr>
          <w:lang w:eastAsia="ja-JP"/>
        </w:rPr>
      </w:pPr>
      <w:r w:rsidRPr="004252A6">
        <w:rPr>
          <w:lang w:eastAsia="ja-JP"/>
        </w:rPr>
        <w:t>Evaluator commentary</w:t>
      </w:r>
      <w:bookmarkStart w:id="94" w:name="_Toc241374318"/>
      <w:bookmarkStart w:id="95" w:name="_Ref271196630"/>
      <w:bookmarkStart w:id="96" w:name="_Toc272414662"/>
      <w:bookmarkStart w:id="97" w:name="_Toc290888526"/>
      <w:bookmarkStart w:id="98" w:name="_Toc416353742"/>
      <w:bookmarkStart w:id="99" w:name="_Toc421005285"/>
      <w:bookmarkStart w:id="100" w:name="_Toc432079162"/>
      <w:bookmarkStart w:id="101" w:name="_Toc432080735"/>
    </w:p>
    <w:p w14:paraId="300B888E" w14:textId="3C2D199D" w:rsidR="004252A6" w:rsidRPr="004252A6" w:rsidRDefault="008A52F0" w:rsidP="004252A6">
      <w:pPr>
        <w:rPr>
          <w:lang w:eastAsia="ja-JP"/>
        </w:rPr>
      </w:pPr>
      <w:r>
        <w:rPr>
          <w:lang w:eastAsia="ja-JP"/>
        </w:rPr>
        <w:t xml:space="preserve">Study </w:t>
      </w:r>
      <w:r w:rsidR="004252A6" w:rsidRPr="008A52F0">
        <w:rPr>
          <w:lang w:eastAsia="ja-JP"/>
        </w:rPr>
        <w:t xml:space="preserve">INFQ3001 </w:t>
      </w:r>
      <w:r w:rsidR="004252A6" w:rsidRPr="004252A6">
        <w:rPr>
          <w:lang w:eastAsia="ja-JP"/>
        </w:rPr>
        <w:t xml:space="preserve">was deemed a large enough study to assess the safety of the QIV compared to the TIVs in the study. The reason why this relatively small study is adequate is that QIV is not considered a completely new vaccine which would necessitate higher number of </w:t>
      </w:r>
      <w:r w:rsidRPr="004252A6">
        <w:rPr>
          <w:lang w:eastAsia="ja-JP"/>
        </w:rPr>
        <w:t>vaccines</w:t>
      </w:r>
      <w:r w:rsidR="004252A6" w:rsidRPr="004252A6">
        <w:rPr>
          <w:lang w:eastAsia="ja-JP"/>
        </w:rPr>
        <w:t xml:space="preserve"> in order to characterise safety. The extensive safety data collected with </w:t>
      </w:r>
      <w:r w:rsidR="0002549C" w:rsidRPr="0002549C">
        <w:rPr>
          <w:lang w:eastAsia="ja-JP"/>
        </w:rPr>
        <w:t xml:space="preserve">the </w:t>
      </w:r>
      <w:r w:rsidR="004252A6" w:rsidRPr="0002549C">
        <w:rPr>
          <w:lang w:eastAsia="ja-JP"/>
        </w:rPr>
        <w:t xml:space="preserve">TIV, </w:t>
      </w:r>
      <w:r w:rsidR="004D432A" w:rsidRPr="0002549C">
        <w:rPr>
          <w:lang w:eastAsia="ja-JP"/>
        </w:rPr>
        <w:t>Influvac</w:t>
      </w:r>
      <w:r w:rsidR="004252A6" w:rsidRPr="004252A6">
        <w:rPr>
          <w:lang w:eastAsia="ja-JP"/>
        </w:rPr>
        <w:t xml:space="preserve">, is considered supportive for the QIV development, since the production process for QIV and </w:t>
      </w:r>
      <w:r w:rsidR="004D432A">
        <w:rPr>
          <w:lang w:eastAsia="ja-JP"/>
        </w:rPr>
        <w:t>Influvac</w:t>
      </w:r>
      <w:r w:rsidR="004252A6" w:rsidRPr="004252A6">
        <w:rPr>
          <w:lang w:eastAsia="ja-JP"/>
        </w:rPr>
        <w:t xml:space="preserve"> are identical and importantly both B</w:t>
      </w:r>
      <w:r w:rsidR="00473C1F">
        <w:rPr>
          <w:lang w:eastAsia="ja-JP"/>
        </w:rPr>
        <w:t xml:space="preserve"> strain</w:t>
      </w:r>
      <w:r w:rsidR="004252A6" w:rsidRPr="004252A6">
        <w:rPr>
          <w:lang w:eastAsia="ja-JP"/>
        </w:rPr>
        <w:t xml:space="preserve"> lineages have been alternatingly present in the TIV formulation over many years, without safety concerns.</w:t>
      </w:r>
    </w:p>
    <w:p w14:paraId="45828E12" w14:textId="77777777" w:rsidR="004252A6" w:rsidRPr="004252A6" w:rsidRDefault="004252A6" w:rsidP="008A52F0">
      <w:pPr>
        <w:pStyle w:val="Heading3"/>
      </w:pPr>
      <w:bookmarkStart w:id="102" w:name="_Toc470758075"/>
      <w:bookmarkStart w:id="103" w:name="_Toc524344799"/>
      <w:r w:rsidRPr="004252A6">
        <w:t>Patient exposure</w:t>
      </w:r>
      <w:bookmarkEnd w:id="94"/>
      <w:bookmarkEnd w:id="95"/>
      <w:bookmarkEnd w:id="96"/>
      <w:bookmarkEnd w:id="97"/>
      <w:bookmarkEnd w:id="98"/>
      <w:bookmarkEnd w:id="99"/>
      <w:bookmarkEnd w:id="100"/>
      <w:bookmarkEnd w:id="101"/>
      <w:bookmarkEnd w:id="102"/>
      <w:bookmarkEnd w:id="103"/>
    </w:p>
    <w:p w14:paraId="3C912440" w14:textId="7CF34A3D" w:rsidR="004252A6" w:rsidRPr="004252A6" w:rsidRDefault="004252A6" w:rsidP="004252A6">
      <w:pPr>
        <w:rPr>
          <w:lang w:eastAsia="ja-JP"/>
        </w:rPr>
      </w:pPr>
      <w:r w:rsidRPr="004252A6">
        <w:rPr>
          <w:lang w:eastAsia="ja-JP"/>
        </w:rPr>
        <w:t xml:space="preserve">1535 adults received a single dose of the QIV (See </w:t>
      </w:r>
      <w:r w:rsidR="008A52F0">
        <w:rPr>
          <w:lang w:eastAsia="ja-JP"/>
        </w:rPr>
        <w:t>Section 7, above</w:t>
      </w:r>
      <w:r w:rsidRPr="004252A6">
        <w:rPr>
          <w:lang w:eastAsia="ja-JP"/>
        </w:rPr>
        <w:t xml:space="preserve">). Of the 990 vaccinated adult subjects, 768 received a single vaccination of QIV, and 222 subjects received a single vaccination of TIV on Day 1. Of the 986 vaccinated </w:t>
      </w:r>
      <w:r w:rsidRPr="008A52F0">
        <w:rPr>
          <w:lang w:eastAsia="ja-JP"/>
        </w:rPr>
        <w:t>elderly</w:t>
      </w:r>
      <w:r w:rsidRPr="004252A6">
        <w:rPr>
          <w:lang w:eastAsia="ja-JP"/>
        </w:rPr>
        <w:t xml:space="preserve"> adults, 767 received a single vaccination of QIV, and 219 subjects received a single vaccination of TIV on Day 1.</w:t>
      </w:r>
    </w:p>
    <w:p w14:paraId="1C458491" w14:textId="77777777" w:rsidR="004252A6" w:rsidRPr="004252A6" w:rsidRDefault="004252A6" w:rsidP="008A52F0">
      <w:pPr>
        <w:pStyle w:val="Heading3"/>
      </w:pPr>
      <w:bookmarkStart w:id="104" w:name="_Toc241374319"/>
      <w:bookmarkStart w:id="105" w:name="_Ref271044764"/>
      <w:bookmarkStart w:id="106" w:name="_Toc272414663"/>
      <w:bookmarkStart w:id="107" w:name="_Toc290888527"/>
      <w:bookmarkStart w:id="108" w:name="_Toc416353743"/>
      <w:bookmarkStart w:id="109" w:name="_Toc421005286"/>
      <w:bookmarkStart w:id="110" w:name="_Toc432079163"/>
      <w:bookmarkStart w:id="111" w:name="_Toc432080736"/>
      <w:bookmarkStart w:id="112" w:name="_Toc470758076"/>
      <w:bookmarkStart w:id="113" w:name="_Toc524344800"/>
      <w:r w:rsidRPr="004252A6">
        <w:t>Adverse events</w:t>
      </w:r>
      <w:bookmarkEnd w:id="104"/>
      <w:bookmarkEnd w:id="105"/>
      <w:bookmarkEnd w:id="106"/>
      <w:bookmarkEnd w:id="107"/>
      <w:bookmarkEnd w:id="108"/>
      <w:bookmarkEnd w:id="109"/>
      <w:bookmarkEnd w:id="110"/>
      <w:bookmarkEnd w:id="111"/>
      <w:bookmarkEnd w:id="112"/>
      <w:bookmarkEnd w:id="113"/>
    </w:p>
    <w:p w14:paraId="2F59F795" w14:textId="43F72451" w:rsidR="004252A6" w:rsidRPr="004252A6" w:rsidRDefault="004252A6" w:rsidP="004252A6">
      <w:pPr>
        <w:rPr>
          <w:lang w:eastAsia="ja-JP"/>
        </w:rPr>
      </w:pPr>
      <w:r w:rsidRPr="008A52F0">
        <w:rPr>
          <w:lang w:eastAsia="ja-JP"/>
        </w:rPr>
        <w:t>Integrated analyses</w:t>
      </w:r>
      <w:r w:rsidRPr="004252A6">
        <w:rPr>
          <w:lang w:eastAsia="ja-JP"/>
        </w:rPr>
        <w:t xml:space="preserve"> performed on the safety</w:t>
      </w:r>
      <w:r w:rsidR="008A52F0">
        <w:rPr>
          <w:lang w:eastAsia="ja-JP"/>
        </w:rPr>
        <w:t xml:space="preserve"> data of the current thiomersal </w:t>
      </w:r>
      <w:r w:rsidRPr="004252A6">
        <w:rPr>
          <w:lang w:eastAsia="ja-JP"/>
        </w:rPr>
        <w:t>free formulation of</w:t>
      </w:r>
      <w:r w:rsidR="008A52F0">
        <w:rPr>
          <w:lang w:eastAsia="ja-JP"/>
        </w:rPr>
        <w:t xml:space="preserve"> </w:t>
      </w:r>
      <w:r w:rsidR="0002549C" w:rsidRPr="00E90C19">
        <w:rPr>
          <w:lang w:eastAsia="ja-JP"/>
        </w:rPr>
        <w:t xml:space="preserve">the TIV, </w:t>
      </w:r>
      <w:r w:rsidR="0002549C">
        <w:rPr>
          <w:lang w:eastAsia="ja-JP"/>
        </w:rPr>
        <w:t xml:space="preserve">Influvac, </w:t>
      </w:r>
      <w:r w:rsidRPr="004252A6">
        <w:rPr>
          <w:lang w:eastAsia="ja-JP"/>
        </w:rPr>
        <w:t>was r</w:t>
      </w:r>
      <w:r w:rsidR="00B71692">
        <w:rPr>
          <w:lang w:eastAsia="ja-JP"/>
        </w:rPr>
        <w:t xml:space="preserve">estricted to healthy adults (18 to </w:t>
      </w:r>
      <w:r w:rsidRPr="004252A6">
        <w:rPr>
          <w:lang w:eastAsia="ja-JP"/>
        </w:rPr>
        <w:t>60 years of</w:t>
      </w:r>
      <w:r w:rsidR="008A52F0">
        <w:rPr>
          <w:lang w:eastAsia="ja-JP"/>
        </w:rPr>
        <w:t xml:space="preserve"> </w:t>
      </w:r>
      <w:r w:rsidRPr="004252A6">
        <w:rPr>
          <w:lang w:eastAsia="ja-JP"/>
        </w:rPr>
        <w:t>age) and elderly adults (</w:t>
      </w:r>
      <w:r w:rsidR="0002549C">
        <w:rPr>
          <w:lang w:eastAsia="ja-JP"/>
        </w:rPr>
        <w:t>≥ </w:t>
      </w:r>
      <w:r w:rsidRPr="004252A6">
        <w:rPr>
          <w:lang w:eastAsia="ja-JP"/>
        </w:rPr>
        <w:t xml:space="preserve">61 years of age) who received a single vaccination of the standard trivalent dose, </w:t>
      </w:r>
      <w:r w:rsidR="00B71692">
        <w:rPr>
          <w:lang w:eastAsia="ja-JP"/>
        </w:rPr>
        <w:t xml:space="preserve">that is, </w:t>
      </w:r>
      <w:r w:rsidR="0002549C">
        <w:rPr>
          <w:lang w:eastAsia="ja-JP"/>
        </w:rPr>
        <w:t>15 </w:t>
      </w:r>
      <w:r w:rsidR="00722A1C">
        <w:rPr>
          <w:lang w:eastAsia="ja-JP"/>
        </w:rPr>
        <w:t>µg</w:t>
      </w:r>
      <w:r w:rsidRPr="004252A6">
        <w:rPr>
          <w:lang w:eastAsia="ja-JP"/>
        </w:rPr>
        <w:t xml:space="preserve"> of an A</w:t>
      </w:r>
      <w:r w:rsidR="0002549C">
        <w:rPr>
          <w:lang w:eastAsia="ja-JP"/>
        </w:rPr>
        <w:t xml:space="preserve"> </w:t>
      </w:r>
      <w:r w:rsidRPr="004252A6">
        <w:rPr>
          <w:lang w:eastAsia="ja-JP"/>
        </w:rPr>
        <w:t xml:space="preserve">(H1N1) strain, 15 </w:t>
      </w:r>
      <w:r w:rsidR="00722A1C">
        <w:rPr>
          <w:lang w:eastAsia="ja-JP"/>
        </w:rPr>
        <w:t>µg</w:t>
      </w:r>
      <w:r w:rsidRPr="004252A6">
        <w:rPr>
          <w:lang w:eastAsia="ja-JP"/>
        </w:rPr>
        <w:t xml:space="preserve"> of an A</w:t>
      </w:r>
      <w:r w:rsidR="0002549C">
        <w:rPr>
          <w:lang w:eastAsia="ja-JP"/>
        </w:rPr>
        <w:t xml:space="preserve"> </w:t>
      </w:r>
      <w:r w:rsidRPr="004252A6">
        <w:rPr>
          <w:lang w:eastAsia="ja-JP"/>
        </w:rPr>
        <w:t xml:space="preserve">(H3N2) strain and 15 </w:t>
      </w:r>
      <w:r w:rsidR="00722A1C">
        <w:rPr>
          <w:lang w:eastAsia="ja-JP"/>
        </w:rPr>
        <w:t>µg</w:t>
      </w:r>
      <w:r w:rsidR="00B71692">
        <w:rPr>
          <w:lang w:eastAsia="ja-JP"/>
        </w:rPr>
        <w:t xml:space="preserve"> of a B</w:t>
      </w:r>
      <w:r w:rsidR="00473C1F">
        <w:rPr>
          <w:lang w:eastAsia="ja-JP"/>
        </w:rPr>
        <w:t xml:space="preserve"> strain</w:t>
      </w:r>
      <w:r w:rsidRPr="004252A6">
        <w:rPr>
          <w:lang w:eastAsia="ja-JP"/>
        </w:rPr>
        <w:t xml:space="preserve">, and for whom safety data are available. The list of solicited local and systemic reactions differs between studies. Some reactions were solicited in almost all studies; others were solicited in only few studies. In most of the studies, </w:t>
      </w:r>
      <w:r w:rsidR="00957523">
        <w:rPr>
          <w:lang w:eastAsia="ja-JP"/>
        </w:rPr>
        <w:t>9</w:t>
      </w:r>
      <w:r w:rsidRPr="004252A6">
        <w:rPr>
          <w:lang w:eastAsia="ja-JP"/>
        </w:rPr>
        <w:t xml:space="preserve"> local reactions (redness, swelling, itching, warmth, pain, tenderness, impairment of arm movement, induration and ecchymosis) and </w:t>
      </w:r>
      <w:r w:rsidR="00957523">
        <w:rPr>
          <w:lang w:eastAsia="ja-JP"/>
        </w:rPr>
        <w:t>6</w:t>
      </w:r>
      <w:r w:rsidRPr="004252A6">
        <w:rPr>
          <w:lang w:eastAsia="ja-JP"/>
        </w:rPr>
        <w:t xml:space="preserve"> systemic reactions (fever, increased sweating, headache, malaise, insomnia or fatigue, and shivering) were recorded daily by the subjects participating in the studies. Insomnia was included for all studies until 2007 and was replaced by fatigue from 2008 onwards. In the study performed in China (S</w:t>
      </w:r>
      <w:r w:rsidR="00B71692">
        <w:rPr>
          <w:lang w:eastAsia="ja-JP"/>
        </w:rPr>
        <w:t>tudy S</w:t>
      </w:r>
      <w:r w:rsidRPr="004252A6">
        <w:rPr>
          <w:lang w:eastAsia="ja-JP"/>
        </w:rPr>
        <w:t xml:space="preserve">201.3.121) rash was added to the local reactions and allergic reactions, cough, myalgia, malaise/fatigue, nausea/vomiting and diarrhoea were added to the systemic reactions as per Chinese regulatory requirements. In the </w:t>
      </w:r>
      <w:r w:rsidR="00957523" w:rsidRPr="00B71692">
        <w:rPr>
          <w:lang w:eastAsia="ja-JP"/>
        </w:rPr>
        <w:t>2</w:t>
      </w:r>
      <w:r w:rsidRPr="00B71692">
        <w:rPr>
          <w:lang w:eastAsia="ja-JP"/>
        </w:rPr>
        <w:t xml:space="preserve"> studies </w:t>
      </w:r>
      <w:r w:rsidR="00B71692">
        <w:rPr>
          <w:lang w:eastAsia="ja-JP"/>
        </w:rPr>
        <w:t xml:space="preserve">(Studies </w:t>
      </w:r>
      <w:r w:rsidRPr="00B71692">
        <w:rPr>
          <w:lang w:eastAsia="ja-JP"/>
        </w:rPr>
        <w:t>S203.2.009 and S203.3.013</w:t>
      </w:r>
      <w:r w:rsidR="00B71692">
        <w:rPr>
          <w:lang w:eastAsia="ja-JP"/>
        </w:rPr>
        <w:t>)</w:t>
      </w:r>
      <w:r w:rsidRPr="004252A6">
        <w:rPr>
          <w:lang w:eastAsia="ja-JP"/>
        </w:rPr>
        <w:t xml:space="preserve"> where </w:t>
      </w:r>
      <w:r w:rsidR="004D432A">
        <w:rPr>
          <w:lang w:eastAsia="ja-JP"/>
        </w:rPr>
        <w:t>Influvac</w:t>
      </w:r>
      <w:r w:rsidRPr="004252A6">
        <w:rPr>
          <w:lang w:eastAsia="ja-JP"/>
        </w:rPr>
        <w:t xml:space="preserve"> was used as a comparator, myalgia and</w:t>
      </w:r>
      <w:r w:rsidR="0009289D">
        <w:rPr>
          <w:lang w:eastAsia="ja-JP"/>
        </w:rPr>
        <w:t xml:space="preserve"> </w:t>
      </w:r>
      <w:r w:rsidRPr="004252A6">
        <w:rPr>
          <w:lang w:eastAsia="ja-JP"/>
        </w:rPr>
        <w:t>arthralgia were added to the systemic reactions.</w:t>
      </w:r>
    </w:p>
    <w:p w14:paraId="297BD171" w14:textId="77777777" w:rsidR="004252A6" w:rsidRPr="004252A6" w:rsidRDefault="004252A6" w:rsidP="00B71692">
      <w:pPr>
        <w:pStyle w:val="Heading4"/>
      </w:pPr>
      <w:bookmarkStart w:id="114" w:name="_Ref272317284"/>
      <w:bookmarkStart w:id="115" w:name="_Ref272333565"/>
      <w:bookmarkStart w:id="116" w:name="_Toc272414664"/>
      <w:bookmarkStart w:id="117" w:name="_Toc290888528"/>
      <w:bookmarkStart w:id="118" w:name="_Toc416353744"/>
      <w:bookmarkStart w:id="119" w:name="_Toc421005287"/>
      <w:bookmarkStart w:id="120" w:name="_Toc432079164"/>
      <w:bookmarkStart w:id="121" w:name="_Toc432080737"/>
      <w:r w:rsidRPr="004252A6">
        <w:t>All adverse events (irrespective of relationship to study treatment)</w:t>
      </w:r>
      <w:bookmarkEnd w:id="114"/>
      <w:bookmarkEnd w:id="115"/>
      <w:bookmarkEnd w:id="116"/>
      <w:bookmarkEnd w:id="117"/>
      <w:bookmarkEnd w:id="118"/>
      <w:bookmarkEnd w:id="119"/>
      <w:bookmarkEnd w:id="120"/>
      <w:bookmarkEnd w:id="121"/>
    </w:p>
    <w:p w14:paraId="49C7ADED" w14:textId="471F68DB" w:rsidR="004252A6" w:rsidRPr="00B71692" w:rsidRDefault="004252A6" w:rsidP="00B71692">
      <w:pPr>
        <w:pStyle w:val="Heading5"/>
        <w:rPr>
          <w:lang w:eastAsia="ja-JP"/>
        </w:rPr>
      </w:pPr>
      <w:r w:rsidRPr="004252A6">
        <w:rPr>
          <w:lang w:eastAsia="ja-JP"/>
        </w:rPr>
        <w:t>Integrated safety analyses</w:t>
      </w:r>
      <w:r w:rsidR="00B71692">
        <w:rPr>
          <w:lang w:eastAsia="ja-JP"/>
        </w:rPr>
        <w:t xml:space="preserve"> (</w:t>
      </w:r>
      <w:r w:rsidRPr="00B71692">
        <w:rPr>
          <w:lang w:eastAsia="ja-JP"/>
        </w:rPr>
        <w:t xml:space="preserve">Clinical Study Database </w:t>
      </w:r>
      <w:r w:rsidR="004D432A">
        <w:rPr>
          <w:lang w:eastAsia="ja-JP"/>
        </w:rPr>
        <w:t>Influvac</w:t>
      </w:r>
      <w:r w:rsidR="00B71692">
        <w:rPr>
          <w:lang w:eastAsia="ja-JP"/>
        </w:rPr>
        <w:t>)</w:t>
      </w:r>
    </w:p>
    <w:p w14:paraId="0C6828C7" w14:textId="09BE5CDE" w:rsidR="004252A6" w:rsidRDefault="00B71692" w:rsidP="004252A6">
      <w:pPr>
        <w:rPr>
          <w:lang w:eastAsia="ja-JP"/>
        </w:rPr>
      </w:pPr>
      <w:r>
        <w:rPr>
          <w:lang w:eastAsia="ja-JP"/>
        </w:rPr>
        <w:t>AEs were evaluated in 1473 adults and 1</w:t>
      </w:r>
      <w:r w:rsidR="004252A6" w:rsidRPr="004252A6">
        <w:rPr>
          <w:lang w:eastAsia="ja-JP"/>
        </w:rPr>
        <w:t>744 elderly adults up to Day 22 post-vaccination. During the first 3 weeks after vaccination, TEAEs were reported in 9.8% of the adults and 7.5% of the elderly adults. None of the subjects died up to Day 22 of the supportive TIV studies. The % of subjects with</w:t>
      </w:r>
      <w:r w:rsidR="001B2B66">
        <w:rPr>
          <w:lang w:eastAsia="ja-JP"/>
        </w:rPr>
        <w:t xml:space="preserve"> ≥ </w:t>
      </w:r>
      <w:r w:rsidR="004252A6" w:rsidRPr="004252A6">
        <w:rPr>
          <w:lang w:eastAsia="ja-JP"/>
        </w:rPr>
        <w:t>1 TEAE considered to have a reasonable possibility for a causal relationship with the study vaccine was 1.9% and 1.3%, respectively. TEAEs were</w:t>
      </w:r>
      <w:r>
        <w:rPr>
          <w:lang w:eastAsia="ja-JP"/>
        </w:rPr>
        <w:t xml:space="preserve"> reported most commonly in the ‘Infections and infestations’</w:t>
      </w:r>
      <w:r w:rsidR="004252A6" w:rsidRPr="004252A6">
        <w:rPr>
          <w:lang w:eastAsia="ja-JP"/>
        </w:rPr>
        <w:t xml:space="preserve">, 3.1% of the adult subjects 1.4% of the elderly subjects. Most frequently reported TEAEs were headache (1.4% of the adults and 0.3% of the elderly) and oropharyngeal pain (1.4% and 0.4%, respectively), followed by nasal congestion (1.0% and 0.1%, respectively), nasopharyngitis and URTI (both 0.7% and 0.2%, respectively). All other </w:t>
      </w:r>
      <w:r w:rsidR="004252A6" w:rsidRPr="004252A6">
        <w:rPr>
          <w:lang w:eastAsia="ja-JP"/>
        </w:rPr>
        <w:lastRenderedPageBreak/>
        <w:t xml:space="preserve">TEAEs reported by 0.5% of the subjects or less. </w:t>
      </w:r>
      <w:r w:rsidR="004252A6" w:rsidRPr="00B71692">
        <w:rPr>
          <w:lang w:eastAsia="ja-JP"/>
        </w:rPr>
        <w:t>TESAEs</w:t>
      </w:r>
      <w:r w:rsidR="004252A6" w:rsidRPr="004252A6">
        <w:rPr>
          <w:lang w:eastAsia="ja-JP"/>
        </w:rPr>
        <w:t xml:space="preserve"> wer</w:t>
      </w:r>
      <w:r>
        <w:rPr>
          <w:lang w:eastAsia="ja-JP"/>
        </w:rPr>
        <w:t>e reported by 3 adults (0.2%; 3 </w:t>
      </w:r>
      <w:r w:rsidR="004252A6" w:rsidRPr="004252A6">
        <w:rPr>
          <w:lang w:eastAsia="ja-JP"/>
        </w:rPr>
        <w:t>events) and 7 (0.4%; 7 events) elderly adults.</w:t>
      </w:r>
    </w:p>
    <w:p w14:paraId="09736D11" w14:textId="6E60A858" w:rsidR="00A57D74" w:rsidRPr="004252A6" w:rsidRDefault="00A57D74" w:rsidP="004252A6">
      <w:pPr>
        <w:pStyle w:val="Heading5"/>
        <w:numPr>
          <w:ilvl w:val="3"/>
          <w:numId w:val="27"/>
        </w:numPr>
        <w:rPr>
          <w:lang w:eastAsia="ja-JP"/>
        </w:rPr>
      </w:pPr>
      <w:r w:rsidRPr="00A57D74">
        <w:rPr>
          <w:lang w:eastAsia="ja-JP"/>
        </w:rPr>
        <w:t>Pivotal and/or main efficacy studies</w:t>
      </w:r>
      <w:r w:rsidR="00DC41D2">
        <w:rPr>
          <w:lang w:eastAsia="ja-JP"/>
        </w:rPr>
        <w:t xml:space="preserve"> (Study </w:t>
      </w:r>
      <w:r w:rsidR="00DC41D2" w:rsidRPr="00B71692">
        <w:rPr>
          <w:lang w:eastAsia="ja-JP"/>
        </w:rPr>
        <w:t>INFQ3001</w:t>
      </w:r>
      <w:r w:rsidR="00DC41D2">
        <w:rPr>
          <w:lang w:eastAsia="ja-JP"/>
        </w:rPr>
        <w:t>)</w:t>
      </w:r>
    </w:p>
    <w:p w14:paraId="474AB1FA" w14:textId="0D273002" w:rsidR="004252A6" w:rsidRPr="00B71692" w:rsidRDefault="004252A6" w:rsidP="00412A4F">
      <w:pPr>
        <w:pStyle w:val="Heading6"/>
        <w:rPr>
          <w:iCs/>
          <w:lang w:eastAsia="ja-JP"/>
        </w:rPr>
      </w:pPr>
      <w:bookmarkStart w:id="122" w:name="_Ref272333567"/>
      <w:bookmarkStart w:id="123" w:name="_Toc272414665"/>
      <w:bookmarkStart w:id="124" w:name="_Toc290888529"/>
      <w:bookmarkStart w:id="125" w:name="_Toc416353745"/>
      <w:bookmarkStart w:id="126" w:name="_Toc421005288"/>
      <w:bookmarkStart w:id="127" w:name="_Toc432079165"/>
      <w:bookmarkStart w:id="128" w:name="_Toc432080738"/>
      <w:r w:rsidRPr="00B71692">
        <w:rPr>
          <w:iCs/>
          <w:lang w:eastAsia="ja-JP"/>
        </w:rPr>
        <w:t>Adults</w:t>
      </w:r>
    </w:p>
    <w:p w14:paraId="20C4B7E6" w14:textId="0DB6F8BE" w:rsidR="004252A6" w:rsidRPr="004252A6" w:rsidRDefault="004252A6" w:rsidP="004252A6">
      <w:pPr>
        <w:rPr>
          <w:lang w:eastAsia="ja-JP"/>
        </w:rPr>
      </w:pPr>
      <w:r w:rsidRPr="004252A6">
        <w:rPr>
          <w:lang w:eastAsia="ja-JP"/>
        </w:rPr>
        <w:t>4.5% of subjects reported</w:t>
      </w:r>
      <w:r w:rsidR="001B2B66">
        <w:rPr>
          <w:lang w:eastAsia="ja-JP"/>
        </w:rPr>
        <w:t xml:space="preserve"> ≥ </w:t>
      </w:r>
      <w:r w:rsidRPr="004252A6">
        <w:rPr>
          <w:lang w:eastAsia="ja-JP"/>
        </w:rPr>
        <w:t>1 TEAE up to the Day 22 visit; 4.8% subjects in the QIV group and 3.6% subjects in the TIV group. No subject died or discontinued the study up to the Day 22 visit due to TEAEs. A total of 0.5% and 0.9% of the subjects in the QIV and TIV groups, respectively, had</w:t>
      </w:r>
      <w:r w:rsidR="001B2B66">
        <w:rPr>
          <w:lang w:eastAsia="ja-JP"/>
        </w:rPr>
        <w:t xml:space="preserve"> ≥ </w:t>
      </w:r>
      <w:r w:rsidRPr="004252A6">
        <w:rPr>
          <w:lang w:eastAsia="ja-JP"/>
        </w:rPr>
        <w:t xml:space="preserve">1 TEAE considered to have a reasonable possibility for a causal relationship with the study vaccine. </w:t>
      </w:r>
      <w:r w:rsidR="00957523">
        <w:rPr>
          <w:lang w:eastAsia="ja-JP"/>
        </w:rPr>
        <w:t>3</w:t>
      </w:r>
      <w:r w:rsidRPr="004252A6">
        <w:rPr>
          <w:lang w:eastAsia="ja-JP"/>
        </w:rPr>
        <w:t xml:space="preserve"> subjects (0.3%) in the QIV group reported TEAEs that were severe. However, the proportion of subjects with TEAEs was similar across vaccination groups. TEAEs were reported most frequently in</w:t>
      </w:r>
      <w:r w:rsidR="00B71692">
        <w:rPr>
          <w:lang w:eastAsia="ja-JP"/>
        </w:rPr>
        <w:t xml:space="preserve"> the SOC of ‘Infections and infestations’</w:t>
      </w:r>
      <w:r w:rsidRPr="004252A6">
        <w:rPr>
          <w:lang w:eastAsia="ja-JP"/>
        </w:rPr>
        <w:t xml:space="preserve"> (14 adult subjects </w:t>
      </w:r>
      <w:r w:rsidR="00140CBD">
        <w:rPr>
          <w:lang w:eastAsia="ja-JP"/>
        </w:rPr>
        <w:t>(</w:t>
      </w:r>
      <w:r w:rsidRPr="004252A6">
        <w:rPr>
          <w:lang w:eastAsia="ja-JP"/>
        </w:rPr>
        <w:t>1.8%</w:t>
      </w:r>
      <w:r w:rsidR="00140CBD">
        <w:rPr>
          <w:lang w:eastAsia="ja-JP"/>
        </w:rPr>
        <w:t>)</w:t>
      </w:r>
      <w:r w:rsidRPr="004252A6">
        <w:rPr>
          <w:lang w:eastAsia="ja-JP"/>
        </w:rPr>
        <w:t xml:space="preserve"> in the QIV group and 2 adult subjects </w:t>
      </w:r>
      <w:r w:rsidR="00140CBD">
        <w:rPr>
          <w:lang w:eastAsia="ja-JP"/>
        </w:rPr>
        <w:t>(</w:t>
      </w:r>
      <w:r w:rsidRPr="004252A6">
        <w:rPr>
          <w:lang w:eastAsia="ja-JP"/>
        </w:rPr>
        <w:t>0.9%</w:t>
      </w:r>
      <w:r w:rsidR="00140CBD">
        <w:rPr>
          <w:lang w:eastAsia="ja-JP"/>
        </w:rPr>
        <w:t>)</w:t>
      </w:r>
      <w:r w:rsidRPr="004252A6">
        <w:rPr>
          <w:lang w:eastAsia="ja-JP"/>
        </w:rPr>
        <w:t xml:space="preserve"> in the TIV group). No TEAE was reported in</w:t>
      </w:r>
      <w:r w:rsidR="001B2B66">
        <w:rPr>
          <w:lang w:eastAsia="ja-JP"/>
        </w:rPr>
        <w:t xml:space="preserve"> &gt; </w:t>
      </w:r>
      <w:r w:rsidRPr="004252A6">
        <w:rPr>
          <w:lang w:eastAsia="ja-JP"/>
        </w:rPr>
        <w:t>2 adult subjects for any PT in either vaccination group. No flagging occurred (</w:t>
      </w:r>
      <w:r w:rsidR="00140CBD">
        <w:rPr>
          <w:lang w:eastAsia="ja-JP"/>
        </w:rPr>
        <w:t>=</w:t>
      </w:r>
      <w:r w:rsidR="001B2B66">
        <w:rPr>
          <w:lang w:eastAsia="ja-JP"/>
        </w:rPr>
        <w:t xml:space="preserve"> </w:t>
      </w:r>
      <w:r w:rsidRPr="004252A6">
        <w:rPr>
          <w:lang w:eastAsia="ja-JP"/>
        </w:rPr>
        <w:t xml:space="preserve">1.0 not included in the CI for the rate ratio between the QIV and the TIV group). </w:t>
      </w:r>
      <w:r w:rsidR="00957523">
        <w:rPr>
          <w:lang w:eastAsia="ja-JP"/>
        </w:rPr>
        <w:t>2</w:t>
      </w:r>
      <w:r w:rsidRPr="004252A6">
        <w:rPr>
          <w:lang w:eastAsia="ja-JP"/>
        </w:rPr>
        <w:t xml:space="preserve"> adult subjects from the QIV group experienced one </w:t>
      </w:r>
      <w:r w:rsidRPr="00412A4F">
        <w:rPr>
          <w:lang w:eastAsia="ja-JP"/>
        </w:rPr>
        <w:t>TESAE</w:t>
      </w:r>
      <w:r w:rsidRPr="004252A6">
        <w:rPr>
          <w:lang w:eastAsia="ja-JP"/>
        </w:rPr>
        <w:t xml:space="preserve"> each (cartilage injury and hand fracture) up to the Day 22 visit.</w:t>
      </w:r>
    </w:p>
    <w:p w14:paraId="7B01887D" w14:textId="3701DB6A" w:rsidR="004252A6" w:rsidRPr="004252A6" w:rsidRDefault="004252A6" w:rsidP="004252A6">
      <w:pPr>
        <w:rPr>
          <w:lang w:eastAsia="ja-JP"/>
        </w:rPr>
      </w:pPr>
      <w:r w:rsidRPr="004252A6">
        <w:rPr>
          <w:lang w:eastAsia="ja-JP"/>
        </w:rPr>
        <w:t>Of the</w:t>
      </w:r>
      <w:r w:rsidR="00B71692">
        <w:rPr>
          <w:lang w:eastAsia="ja-JP"/>
        </w:rPr>
        <w:t xml:space="preserve"> TEAEs, the majority were mild.</w:t>
      </w:r>
    </w:p>
    <w:p w14:paraId="04DE14A1" w14:textId="10A94D27" w:rsidR="004252A6" w:rsidRPr="00412A4F" w:rsidRDefault="004252A6" w:rsidP="004252A6">
      <w:pPr>
        <w:rPr>
          <w:i/>
          <w:lang w:eastAsia="ja-JP"/>
        </w:rPr>
      </w:pPr>
      <w:r w:rsidRPr="00412A4F">
        <w:rPr>
          <w:i/>
          <w:lang w:eastAsia="ja-JP"/>
        </w:rPr>
        <w:t>QIV group</w:t>
      </w:r>
      <w:r w:rsidR="00412A4F">
        <w:rPr>
          <w:i/>
          <w:lang w:eastAsia="ja-JP"/>
        </w:rPr>
        <w:t xml:space="preserve">: </w:t>
      </w:r>
      <w:r w:rsidRPr="004252A6">
        <w:rPr>
          <w:lang w:eastAsia="ja-JP"/>
        </w:rPr>
        <w:t xml:space="preserve">TEAEs assessed as moderate in severity: animal bite, arthropod bite, wound, gastritis, intervertebral disc protrusion, arthralgia, myalgia, dizziness, and allergic conjunctivitis (reported in 1 subject </w:t>
      </w:r>
      <w:r w:rsidR="00140CBD">
        <w:rPr>
          <w:lang w:eastAsia="ja-JP"/>
        </w:rPr>
        <w:t>(</w:t>
      </w:r>
      <w:r w:rsidRPr="004252A6">
        <w:rPr>
          <w:lang w:eastAsia="ja-JP"/>
        </w:rPr>
        <w:t>0.1%</w:t>
      </w:r>
      <w:r w:rsidR="00140CBD">
        <w:rPr>
          <w:lang w:eastAsia="ja-JP"/>
        </w:rPr>
        <w:t>)</w:t>
      </w:r>
      <w:r w:rsidRPr="004252A6">
        <w:rPr>
          <w:lang w:eastAsia="ja-JP"/>
        </w:rPr>
        <w:t xml:space="preserve"> each). Arthralgia and myalgia were systemic reactions that occurred after Day 7 and hence were reported as TEAEs. TEAEs assessed as severe: hand fracture, cartilage injury, and gastritis (reported in 1 subject </w:t>
      </w:r>
      <w:r w:rsidR="00140CBD">
        <w:rPr>
          <w:lang w:eastAsia="ja-JP"/>
        </w:rPr>
        <w:t>(</w:t>
      </w:r>
      <w:r w:rsidRPr="004252A6">
        <w:rPr>
          <w:lang w:eastAsia="ja-JP"/>
        </w:rPr>
        <w:t>0.1%</w:t>
      </w:r>
      <w:r w:rsidR="00140CBD">
        <w:rPr>
          <w:lang w:eastAsia="ja-JP"/>
        </w:rPr>
        <w:t>)</w:t>
      </w:r>
      <w:r w:rsidRPr="004252A6">
        <w:rPr>
          <w:lang w:eastAsia="ja-JP"/>
        </w:rPr>
        <w:t xml:space="preserve"> each).</w:t>
      </w:r>
    </w:p>
    <w:p w14:paraId="24AC91E2" w14:textId="3789BCC5" w:rsidR="004252A6" w:rsidRPr="00DC41D2" w:rsidRDefault="004252A6" w:rsidP="004252A6">
      <w:pPr>
        <w:rPr>
          <w:i/>
          <w:lang w:eastAsia="ja-JP"/>
        </w:rPr>
      </w:pPr>
      <w:r w:rsidRPr="00412A4F">
        <w:rPr>
          <w:i/>
          <w:lang w:eastAsia="ja-JP"/>
        </w:rPr>
        <w:t>TIV group</w:t>
      </w:r>
      <w:r w:rsidR="00412A4F">
        <w:rPr>
          <w:i/>
          <w:lang w:eastAsia="ja-JP"/>
        </w:rPr>
        <w:t>:</w:t>
      </w:r>
      <w:r w:rsidR="00DC41D2">
        <w:rPr>
          <w:i/>
          <w:lang w:eastAsia="ja-JP"/>
        </w:rPr>
        <w:t xml:space="preserve"> </w:t>
      </w:r>
      <w:r w:rsidRPr="004252A6">
        <w:rPr>
          <w:lang w:eastAsia="ja-JP"/>
        </w:rPr>
        <w:t xml:space="preserve">TEAEs assessed as moderate in severity: cluster headache and ILI (reported in 1 subject </w:t>
      </w:r>
      <w:r w:rsidR="00140CBD">
        <w:rPr>
          <w:lang w:eastAsia="ja-JP"/>
        </w:rPr>
        <w:t>(</w:t>
      </w:r>
      <w:r w:rsidRPr="004252A6">
        <w:rPr>
          <w:lang w:eastAsia="ja-JP"/>
        </w:rPr>
        <w:t>0.5%</w:t>
      </w:r>
      <w:r w:rsidR="00140CBD">
        <w:rPr>
          <w:lang w:eastAsia="ja-JP"/>
        </w:rPr>
        <w:t>)</w:t>
      </w:r>
      <w:r w:rsidRPr="004252A6">
        <w:rPr>
          <w:lang w:eastAsia="ja-JP"/>
        </w:rPr>
        <w:t xml:space="preserve"> each). None of TEAEs assessed as severe by the Investigator in the TIV group.</w:t>
      </w:r>
    </w:p>
    <w:p w14:paraId="0B655702" w14:textId="33696FE7" w:rsidR="004252A6" w:rsidRPr="004252A6" w:rsidRDefault="00412A4F" w:rsidP="00412A4F">
      <w:pPr>
        <w:pStyle w:val="Heading6"/>
        <w:rPr>
          <w:lang w:eastAsia="ja-JP"/>
        </w:rPr>
      </w:pPr>
      <w:r>
        <w:rPr>
          <w:lang w:eastAsia="ja-JP"/>
        </w:rPr>
        <w:t>Elderly a</w:t>
      </w:r>
      <w:r w:rsidR="004252A6" w:rsidRPr="004252A6">
        <w:rPr>
          <w:lang w:eastAsia="ja-JP"/>
        </w:rPr>
        <w:t>dults</w:t>
      </w:r>
    </w:p>
    <w:p w14:paraId="5F353697" w14:textId="4F390D10" w:rsidR="004252A6" w:rsidRPr="004252A6" w:rsidRDefault="004252A6" w:rsidP="004252A6">
      <w:pPr>
        <w:rPr>
          <w:lang w:eastAsia="ja-JP"/>
        </w:rPr>
      </w:pPr>
      <w:r w:rsidRPr="004252A6">
        <w:rPr>
          <w:lang w:eastAsia="ja-JP"/>
        </w:rPr>
        <w:t>Overall, 3.5% of subjects reported</w:t>
      </w:r>
      <w:r w:rsidR="001B2B66">
        <w:rPr>
          <w:lang w:eastAsia="ja-JP"/>
        </w:rPr>
        <w:t xml:space="preserve"> ≥ </w:t>
      </w:r>
      <w:r w:rsidRPr="004252A6">
        <w:rPr>
          <w:lang w:eastAsia="ja-JP"/>
        </w:rPr>
        <w:t>1 TEAE up to the Day 22 visit; 3.8% subjects in the QIV group and 2.7% subjects in the TIV group. No subject died or discontinued up to the Day 22</w:t>
      </w:r>
      <w:r w:rsidR="00B71692">
        <w:rPr>
          <w:lang w:eastAsia="ja-JP"/>
        </w:rPr>
        <w:t xml:space="preserve"> </w:t>
      </w:r>
      <w:r w:rsidRPr="004252A6">
        <w:rPr>
          <w:lang w:eastAsia="ja-JP"/>
        </w:rPr>
        <w:t xml:space="preserve">visit due to TEAEs. </w:t>
      </w:r>
      <w:r w:rsidR="00957523">
        <w:rPr>
          <w:lang w:eastAsia="ja-JP"/>
        </w:rPr>
        <w:t>5</w:t>
      </w:r>
      <w:r w:rsidRPr="004252A6">
        <w:rPr>
          <w:lang w:eastAsia="ja-JP"/>
        </w:rPr>
        <w:t xml:space="preserve"> subjects (0.5%) reported 6 </w:t>
      </w:r>
      <w:r w:rsidRPr="00412A4F">
        <w:rPr>
          <w:lang w:eastAsia="ja-JP"/>
        </w:rPr>
        <w:t>TESAEs. A total</w:t>
      </w:r>
      <w:r w:rsidRPr="004252A6">
        <w:rPr>
          <w:lang w:eastAsia="ja-JP"/>
        </w:rPr>
        <w:t xml:space="preserve"> of 0.8% and 0.9% of subjects in the QIV and TIV groups, respectively, had</w:t>
      </w:r>
      <w:r w:rsidR="001B2B66">
        <w:rPr>
          <w:lang w:eastAsia="ja-JP"/>
        </w:rPr>
        <w:t xml:space="preserve"> ≥ </w:t>
      </w:r>
      <w:r w:rsidRPr="004252A6">
        <w:rPr>
          <w:lang w:eastAsia="ja-JP"/>
        </w:rPr>
        <w:t xml:space="preserve">one TEAE that was considered to have a reasonable possibility for a causal relationship with the study vaccine. Overall, 4 subjects (0.4%) reported 4 TEAEs that were severe in severity. However, the proportion of subjects with TEAEs was similar across vaccination groups. TEAEs were reported most commonly in the </w:t>
      </w:r>
      <w:r w:rsidR="00140CBD">
        <w:rPr>
          <w:lang w:eastAsia="ja-JP"/>
        </w:rPr>
        <w:t>‘</w:t>
      </w:r>
      <w:r w:rsidRPr="004252A6">
        <w:rPr>
          <w:lang w:eastAsia="ja-JP"/>
        </w:rPr>
        <w:t>Infections and infestations</w:t>
      </w:r>
      <w:r w:rsidR="00140CBD">
        <w:rPr>
          <w:lang w:eastAsia="ja-JP"/>
        </w:rPr>
        <w:t>’</w:t>
      </w:r>
      <w:r w:rsidRPr="004252A6">
        <w:rPr>
          <w:lang w:eastAsia="ja-JP"/>
        </w:rPr>
        <w:t xml:space="preserve"> SOC (11 subjects </w:t>
      </w:r>
      <w:r w:rsidR="00140CBD">
        <w:rPr>
          <w:lang w:eastAsia="ja-JP"/>
        </w:rPr>
        <w:t>(</w:t>
      </w:r>
      <w:r w:rsidRPr="004252A6">
        <w:rPr>
          <w:lang w:eastAsia="ja-JP"/>
        </w:rPr>
        <w:t>1.4%</w:t>
      </w:r>
      <w:r w:rsidR="00140CBD">
        <w:rPr>
          <w:lang w:eastAsia="ja-JP"/>
        </w:rPr>
        <w:t>)</w:t>
      </w:r>
      <w:r w:rsidRPr="004252A6">
        <w:rPr>
          <w:lang w:eastAsia="ja-JP"/>
        </w:rPr>
        <w:t xml:space="preserve"> in the QIV group and 2 elderly adults </w:t>
      </w:r>
      <w:r w:rsidR="00140CBD">
        <w:rPr>
          <w:lang w:eastAsia="ja-JP"/>
        </w:rPr>
        <w:t>(</w:t>
      </w:r>
      <w:r w:rsidRPr="004252A6">
        <w:rPr>
          <w:lang w:eastAsia="ja-JP"/>
        </w:rPr>
        <w:t>0.9%</w:t>
      </w:r>
      <w:r w:rsidR="00140CBD">
        <w:rPr>
          <w:lang w:eastAsia="ja-JP"/>
        </w:rPr>
        <w:t>)</w:t>
      </w:r>
      <w:r w:rsidRPr="004252A6">
        <w:rPr>
          <w:lang w:eastAsia="ja-JP"/>
        </w:rPr>
        <w:t xml:space="preserve"> in the TIV group). No TEAE was reported in</w:t>
      </w:r>
      <w:r w:rsidR="001B2B66">
        <w:rPr>
          <w:lang w:eastAsia="ja-JP"/>
        </w:rPr>
        <w:t xml:space="preserve"> &gt; </w:t>
      </w:r>
      <w:r w:rsidRPr="004252A6">
        <w:rPr>
          <w:lang w:eastAsia="ja-JP"/>
        </w:rPr>
        <w:t>2 elderly adults for any PT in either vaccination group. No flagging occurred in this age group.</w:t>
      </w:r>
    </w:p>
    <w:p w14:paraId="1B84307B" w14:textId="18EE3952" w:rsidR="004252A6" w:rsidRPr="004252A6" w:rsidRDefault="00957523" w:rsidP="004252A6">
      <w:pPr>
        <w:rPr>
          <w:lang w:eastAsia="ja-JP"/>
        </w:rPr>
      </w:pPr>
      <w:r>
        <w:rPr>
          <w:lang w:eastAsia="ja-JP"/>
        </w:rPr>
        <w:t>5</w:t>
      </w:r>
      <w:r w:rsidR="004252A6" w:rsidRPr="004252A6">
        <w:rPr>
          <w:lang w:eastAsia="ja-JP"/>
        </w:rPr>
        <w:t xml:space="preserve"> elderly adults experienced a total of 6 TESAEs up to the Day 22 visit. Of these, 4 TESAEs</w:t>
      </w:r>
      <w:r w:rsidR="00412A4F">
        <w:rPr>
          <w:lang w:eastAsia="ja-JP"/>
        </w:rPr>
        <w:t xml:space="preserve"> </w:t>
      </w:r>
      <w:r w:rsidR="004252A6" w:rsidRPr="004252A6">
        <w:rPr>
          <w:lang w:eastAsia="ja-JP"/>
        </w:rPr>
        <w:t>(abdominal wall abscess, atrial fibrillation, foot fracture, and rotator cuff syndrome) were</w:t>
      </w:r>
      <w:r w:rsidR="00412A4F">
        <w:rPr>
          <w:lang w:eastAsia="ja-JP"/>
        </w:rPr>
        <w:t xml:space="preserve"> </w:t>
      </w:r>
      <w:r w:rsidR="004252A6" w:rsidRPr="004252A6">
        <w:rPr>
          <w:lang w:eastAsia="ja-JP"/>
        </w:rPr>
        <w:t>reported in 1 elderly adult each from the QIV group and 2 TESAEs (sub-acute endocarditis and</w:t>
      </w:r>
      <w:r w:rsidR="00412A4F">
        <w:rPr>
          <w:lang w:eastAsia="ja-JP"/>
        </w:rPr>
        <w:t xml:space="preserve"> </w:t>
      </w:r>
      <w:r w:rsidR="004252A6" w:rsidRPr="004252A6">
        <w:rPr>
          <w:lang w:eastAsia="ja-JP"/>
        </w:rPr>
        <w:t>arterial embolism) were reported in 1 elderly adult from the TIV group. Of the TEAEs that were reported in elderly adults, the majority were mild in severity.</w:t>
      </w:r>
    </w:p>
    <w:p w14:paraId="3944A198" w14:textId="25F4E88E" w:rsidR="004252A6" w:rsidRPr="004252A6" w:rsidRDefault="00412A4F" w:rsidP="00412A4F">
      <w:pPr>
        <w:pStyle w:val="Heading6"/>
        <w:rPr>
          <w:lang w:eastAsia="ja-JP"/>
        </w:rPr>
      </w:pPr>
      <w:r>
        <w:rPr>
          <w:lang w:eastAsia="ja-JP"/>
        </w:rPr>
        <w:t>Moderate TEAEs</w:t>
      </w:r>
    </w:p>
    <w:p w14:paraId="18F825EE" w14:textId="16D7D641" w:rsidR="004252A6" w:rsidRPr="00412A4F" w:rsidRDefault="004252A6" w:rsidP="00412A4F">
      <w:pPr>
        <w:pStyle w:val="ListBullet"/>
        <w:rPr>
          <w:lang w:eastAsia="ja-JP"/>
        </w:rPr>
      </w:pPr>
      <w:r w:rsidRPr="00412A4F">
        <w:rPr>
          <w:lang w:eastAsia="ja-JP"/>
        </w:rPr>
        <w:t xml:space="preserve">QIV group: URTI, cystitis, bronchitis, back pain, dyspnoea, chronic pancreatitis, somnolence, atrial fibrillation, contusion, and hepatic cirrhosis (reported in 1 subject </w:t>
      </w:r>
      <w:r w:rsidR="00140CBD">
        <w:rPr>
          <w:lang w:eastAsia="ja-JP"/>
        </w:rPr>
        <w:t>(</w:t>
      </w:r>
      <w:r w:rsidRPr="00412A4F">
        <w:rPr>
          <w:lang w:eastAsia="ja-JP"/>
        </w:rPr>
        <w:t>0.1%</w:t>
      </w:r>
      <w:r w:rsidR="00140CBD">
        <w:rPr>
          <w:lang w:eastAsia="ja-JP"/>
        </w:rPr>
        <w:t>)</w:t>
      </w:r>
      <w:r w:rsidRPr="00412A4F">
        <w:rPr>
          <w:lang w:eastAsia="ja-JP"/>
        </w:rPr>
        <w:t xml:space="preserve"> each).</w:t>
      </w:r>
    </w:p>
    <w:p w14:paraId="02D3C98C" w14:textId="3858A3B4" w:rsidR="004252A6" w:rsidRPr="00412A4F" w:rsidRDefault="004252A6" w:rsidP="00412A4F">
      <w:pPr>
        <w:pStyle w:val="ListBullet"/>
        <w:rPr>
          <w:lang w:eastAsia="ja-JP"/>
        </w:rPr>
      </w:pPr>
      <w:r w:rsidRPr="00412A4F">
        <w:rPr>
          <w:lang w:eastAsia="ja-JP"/>
        </w:rPr>
        <w:t xml:space="preserve">TIV group: sub-acute endocarditis, spinal osteoarthritis, and aortic valve incompetence (reported in 1 subject </w:t>
      </w:r>
      <w:r w:rsidR="00140CBD">
        <w:rPr>
          <w:lang w:eastAsia="ja-JP"/>
        </w:rPr>
        <w:t>(</w:t>
      </w:r>
      <w:r w:rsidRPr="00412A4F">
        <w:rPr>
          <w:lang w:eastAsia="ja-JP"/>
        </w:rPr>
        <w:t>0.5%</w:t>
      </w:r>
      <w:r w:rsidR="00140CBD">
        <w:rPr>
          <w:lang w:eastAsia="ja-JP"/>
        </w:rPr>
        <w:t>)</w:t>
      </w:r>
      <w:r w:rsidRPr="00412A4F">
        <w:rPr>
          <w:lang w:eastAsia="ja-JP"/>
        </w:rPr>
        <w:t xml:space="preserve"> each).</w:t>
      </w:r>
    </w:p>
    <w:p w14:paraId="11E7A82D" w14:textId="37919F18" w:rsidR="004252A6" w:rsidRPr="004252A6" w:rsidRDefault="00412A4F" w:rsidP="00412A4F">
      <w:pPr>
        <w:pStyle w:val="Heading6"/>
        <w:rPr>
          <w:lang w:eastAsia="ja-JP"/>
        </w:rPr>
      </w:pPr>
      <w:r>
        <w:rPr>
          <w:lang w:eastAsia="ja-JP"/>
        </w:rPr>
        <w:t>Severe TEAEs</w:t>
      </w:r>
    </w:p>
    <w:p w14:paraId="7F2B6F2F" w14:textId="2A056B2E" w:rsidR="004252A6" w:rsidRPr="00412A4F" w:rsidRDefault="004252A6" w:rsidP="00412A4F">
      <w:pPr>
        <w:pStyle w:val="ListBullet"/>
        <w:rPr>
          <w:lang w:eastAsia="ja-JP"/>
        </w:rPr>
      </w:pPr>
      <w:r w:rsidRPr="00412A4F">
        <w:rPr>
          <w:lang w:eastAsia="ja-JP"/>
        </w:rPr>
        <w:t xml:space="preserve">QIV group: abdominal wall abscess, rotator cuff syndrome, and foot fracture (reported in 1 subject </w:t>
      </w:r>
      <w:r w:rsidR="00140CBD">
        <w:rPr>
          <w:lang w:eastAsia="ja-JP"/>
        </w:rPr>
        <w:t>(</w:t>
      </w:r>
      <w:r w:rsidRPr="00412A4F">
        <w:rPr>
          <w:lang w:eastAsia="ja-JP"/>
        </w:rPr>
        <w:t>0.1%</w:t>
      </w:r>
      <w:r w:rsidR="00140CBD">
        <w:rPr>
          <w:lang w:eastAsia="ja-JP"/>
        </w:rPr>
        <w:t>)</w:t>
      </w:r>
      <w:r w:rsidRPr="00412A4F">
        <w:rPr>
          <w:lang w:eastAsia="ja-JP"/>
        </w:rPr>
        <w:t xml:space="preserve"> each).</w:t>
      </w:r>
    </w:p>
    <w:p w14:paraId="40554EB1" w14:textId="309FD478" w:rsidR="004252A6" w:rsidRPr="00412A4F" w:rsidRDefault="004252A6" w:rsidP="00412A4F">
      <w:pPr>
        <w:pStyle w:val="ListBullet"/>
        <w:rPr>
          <w:lang w:eastAsia="ja-JP"/>
        </w:rPr>
      </w:pPr>
      <w:r w:rsidRPr="00412A4F">
        <w:rPr>
          <w:lang w:eastAsia="ja-JP"/>
        </w:rPr>
        <w:lastRenderedPageBreak/>
        <w:t xml:space="preserve">TIV group: arterial embolism (reported in 1 subject </w:t>
      </w:r>
      <w:r w:rsidR="00140CBD">
        <w:rPr>
          <w:lang w:eastAsia="ja-JP"/>
        </w:rPr>
        <w:t>(</w:t>
      </w:r>
      <w:r w:rsidRPr="00412A4F">
        <w:rPr>
          <w:lang w:eastAsia="ja-JP"/>
        </w:rPr>
        <w:t>0.5%</w:t>
      </w:r>
      <w:r w:rsidR="00140CBD">
        <w:rPr>
          <w:lang w:eastAsia="ja-JP"/>
        </w:rPr>
        <w:t>)</w:t>
      </w:r>
      <w:r w:rsidRPr="00412A4F">
        <w:rPr>
          <w:lang w:eastAsia="ja-JP"/>
        </w:rPr>
        <w:t>).</w:t>
      </w:r>
    </w:p>
    <w:p w14:paraId="23B8B671" w14:textId="77777777" w:rsidR="004252A6" w:rsidRPr="004252A6" w:rsidRDefault="004252A6" w:rsidP="00B71692">
      <w:pPr>
        <w:pStyle w:val="Heading4"/>
      </w:pPr>
      <w:r w:rsidRPr="004252A6">
        <w:t>Treatment related adverse events (adverse drug reactions)</w:t>
      </w:r>
      <w:bookmarkEnd w:id="122"/>
      <w:bookmarkEnd w:id="123"/>
      <w:bookmarkEnd w:id="124"/>
      <w:bookmarkEnd w:id="125"/>
      <w:bookmarkEnd w:id="126"/>
      <w:bookmarkEnd w:id="127"/>
      <w:bookmarkEnd w:id="128"/>
    </w:p>
    <w:p w14:paraId="1249CAB5" w14:textId="6320EF3B" w:rsidR="004252A6" w:rsidRPr="00412A4F" w:rsidRDefault="004252A6" w:rsidP="004252A6">
      <w:pPr>
        <w:pStyle w:val="Heading5"/>
        <w:rPr>
          <w:lang w:eastAsia="ja-JP"/>
        </w:rPr>
      </w:pPr>
      <w:r w:rsidRPr="004252A6">
        <w:rPr>
          <w:lang w:eastAsia="ja-JP"/>
        </w:rPr>
        <w:t>Integrated safety analyses</w:t>
      </w:r>
      <w:r w:rsidR="00412A4F">
        <w:rPr>
          <w:lang w:eastAsia="ja-JP"/>
        </w:rPr>
        <w:t xml:space="preserve"> (</w:t>
      </w:r>
      <w:r w:rsidRPr="00412A4F">
        <w:rPr>
          <w:lang w:eastAsia="ja-JP"/>
        </w:rPr>
        <w:t xml:space="preserve">Clinical Study Database </w:t>
      </w:r>
      <w:r w:rsidR="004D432A">
        <w:rPr>
          <w:lang w:eastAsia="ja-JP"/>
        </w:rPr>
        <w:t>Influvac</w:t>
      </w:r>
      <w:r w:rsidR="00412A4F">
        <w:rPr>
          <w:lang w:eastAsia="ja-JP"/>
        </w:rPr>
        <w:t>)</w:t>
      </w:r>
    </w:p>
    <w:p w14:paraId="33F22B1E" w14:textId="77777777" w:rsidR="004252A6" w:rsidRPr="004252A6" w:rsidRDefault="004252A6" w:rsidP="004252A6">
      <w:pPr>
        <w:rPr>
          <w:lang w:eastAsia="ja-JP"/>
        </w:rPr>
      </w:pPr>
      <w:r w:rsidRPr="004252A6">
        <w:rPr>
          <w:lang w:eastAsia="ja-JP"/>
        </w:rPr>
        <w:t xml:space="preserve">Treatment-related TESAEs were reported by 1.9% adults and 1.3% elderly adults. The most frequently </w:t>
      </w:r>
      <w:r w:rsidRPr="00412A4F">
        <w:rPr>
          <w:lang w:eastAsia="ja-JP"/>
        </w:rPr>
        <w:t>reported TRAEs are</w:t>
      </w:r>
      <w:r w:rsidRPr="004252A6">
        <w:rPr>
          <w:lang w:eastAsia="ja-JP"/>
        </w:rPr>
        <w:t xml:space="preserve"> nasal congestion (0.7% of the adults and 0.1% of the elderly) and oropharyngeal pain (0.6% and 0.1%, respectively), followed by cough (0.3% and 0.2%, respectively), nasopharyngitis (0.3% and 0.1%, respectively), pain and headache (both 0.2% in adults only). All other TRAEs were reported by 0.1% of the subjects.</w:t>
      </w:r>
    </w:p>
    <w:p w14:paraId="6C6CE9EE" w14:textId="753EBD82" w:rsidR="004252A6" w:rsidRPr="004252A6" w:rsidRDefault="004252A6" w:rsidP="00DC41D2">
      <w:pPr>
        <w:pStyle w:val="Heading5"/>
        <w:rPr>
          <w:lang w:eastAsia="ja-JP"/>
        </w:rPr>
      </w:pPr>
      <w:r w:rsidRPr="004252A6">
        <w:rPr>
          <w:lang w:eastAsia="ja-JP"/>
        </w:rPr>
        <w:t>Pivota</w:t>
      </w:r>
      <w:r w:rsidRPr="00412A4F">
        <w:rPr>
          <w:rFonts w:eastAsia="Cambria"/>
        </w:rPr>
        <w:t>l</w:t>
      </w:r>
      <w:r w:rsidRPr="004252A6">
        <w:rPr>
          <w:lang w:eastAsia="ja-JP"/>
        </w:rPr>
        <w:t xml:space="preserve"> and/or main efficacy studies</w:t>
      </w:r>
      <w:r w:rsidR="00DC41D2">
        <w:rPr>
          <w:lang w:eastAsia="ja-JP"/>
        </w:rPr>
        <w:t xml:space="preserve"> (</w:t>
      </w:r>
      <w:r w:rsidR="00DC41D2" w:rsidRPr="00412A4F">
        <w:rPr>
          <w:lang w:eastAsia="ja-JP"/>
        </w:rPr>
        <w:t>Study INFQ3001</w:t>
      </w:r>
      <w:r w:rsidR="00DC41D2">
        <w:rPr>
          <w:lang w:eastAsia="ja-JP"/>
        </w:rPr>
        <w:t>)</w:t>
      </w:r>
    </w:p>
    <w:p w14:paraId="29573F2E" w14:textId="1706437E" w:rsidR="004252A6" w:rsidRPr="00DC41D2" w:rsidRDefault="004252A6" w:rsidP="004252A6">
      <w:pPr>
        <w:rPr>
          <w:i/>
        </w:rPr>
      </w:pPr>
      <w:bookmarkStart w:id="129" w:name="_Toc241374320"/>
      <w:bookmarkStart w:id="130" w:name="_Ref272333507"/>
      <w:bookmarkStart w:id="131" w:name="_Toc272414666"/>
      <w:bookmarkStart w:id="132" w:name="_Toc290888530"/>
      <w:bookmarkStart w:id="133" w:name="_Toc416353746"/>
      <w:bookmarkStart w:id="134" w:name="_Toc421005289"/>
      <w:bookmarkStart w:id="135" w:name="_Toc432079166"/>
      <w:bookmarkStart w:id="136" w:name="_Toc432080739"/>
      <w:r w:rsidRPr="00DC41D2">
        <w:rPr>
          <w:i/>
        </w:rPr>
        <w:t>Adults</w:t>
      </w:r>
      <w:r w:rsidR="00DC41D2">
        <w:rPr>
          <w:i/>
        </w:rPr>
        <w:t xml:space="preserve">: </w:t>
      </w:r>
      <w:r w:rsidRPr="004252A6">
        <w:rPr>
          <w:lang w:eastAsia="ja-JP"/>
        </w:rPr>
        <w:t>Proportion with vaccine-related TEAEs was 0.6% across vaccination</w:t>
      </w:r>
      <w:r w:rsidRPr="004252A6">
        <w:rPr>
          <w:b/>
          <w:i/>
          <w:iCs/>
          <w:lang w:eastAsia="ja-JP"/>
        </w:rPr>
        <w:t xml:space="preserve"> </w:t>
      </w:r>
      <w:r w:rsidRPr="004252A6">
        <w:rPr>
          <w:lang w:eastAsia="ja-JP"/>
        </w:rPr>
        <w:t>groups; 4 subjects (0.5%) in the QIV group and 2 subjects (0.9%) in the TIV group. The PT asthenia was the only TEAE reported in</w:t>
      </w:r>
      <w:r w:rsidR="001B2B66">
        <w:rPr>
          <w:lang w:eastAsia="ja-JP"/>
        </w:rPr>
        <w:t xml:space="preserve"> &gt; </w:t>
      </w:r>
      <w:r w:rsidRPr="004252A6">
        <w:rPr>
          <w:lang w:eastAsia="ja-JP"/>
        </w:rPr>
        <w:t>1 subject (2 subjects (0.3%) in the QIV group.</w:t>
      </w:r>
    </w:p>
    <w:p w14:paraId="131F9AF6" w14:textId="56DE1B9C" w:rsidR="004252A6" w:rsidRPr="00DC41D2" w:rsidRDefault="004252A6" w:rsidP="004252A6">
      <w:pPr>
        <w:rPr>
          <w:i/>
          <w:lang w:eastAsia="ja-JP"/>
        </w:rPr>
      </w:pPr>
      <w:r w:rsidRPr="00DC41D2">
        <w:rPr>
          <w:i/>
          <w:lang w:eastAsia="ja-JP"/>
        </w:rPr>
        <w:t>Elderly</w:t>
      </w:r>
      <w:r w:rsidR="00412A4F" w:rsidRPr="00DC41D2">
        <w:rPr>
          <w:i/>
          <w:lang w:eastAsia="ja-JP"/>
        </w:rPr>
        <w:t xml:space="preserve"> adults</w:t>
      </w:r>
      <w:r w:rsidR="00DC41D2" w:rsidRPr="00DC41D2">
        <w:rPr>
          <w:i/>
          <w:lang w:eastAsia="ja-JP"/>
        </w:rPr>
        <w:t>:</w:t>
      </w:r>
      <w:r w:rsidR="00DC41D2">
        <w:rPr>
          <w:i/>
          <w:lang w:eastAsia="ja-JP"/>
        </w:rPr>
        <w:t xml:space="preserve"> </w:t>
      </w:r>
      <w:r w:rsidRPr="004252A6">
        <w:rPr>
          <w:lang w:eastAsia="ja-JP"/>
        </w:rPr>
        <w:t>Proportion with vaccine-related TEAEs was 0.8% across the</w:t>
      </w:r>
      <w:r w:rsidRPr="004252A6">
        <w:rPr>
          <w:b/>
          <w:i/>
          <w:iCs/>
          <w:lang w:eastAsia="ja-JP"/>
        </w:rPr>
        <w:t xml:space="preserve"> </w:t>
      </w:r>
      <w:r w:rsidRPr="004252A6">
        <w:rPr>
          <w:lang w:eastAsia="ja-JP"/>
        </w:rPr>
        <w:t>vaccination groups; 6 subjects (0.8%) in the QIV group and 2 subjects (0.9%) in the TIV group. None of the vaccine-related TEAEs were reported in</w:t>
      </w:r>
      <w:r w:rsidR="001B2B66">
        <w:rPr>
          <w:lang w:eastAsia="ja-JP"/>
        </w:rPr>
        <w:t xml:space="preserve"> &gt; </w:t>
      </w:r>
      <w:r w:rsidRPr="004252A6">
        <w:rPr>
          <w:lang w:eastAsia="ja-JP"/>
        </w:rPr>
        <w:t>1 subject for any PT in either</w:t>
      </w:r>
      <w:r w:rsidRPr="004252A6">
        <w:rPr>
          <w:b/>
          <w:i/>
          <w:iCs/>
          <w:lang w:eastAsia="ja-JP"/>
        </w:rPr>
        <w:t xml:space="preserve"> </w:t>
      </w:r>
      <w:r w:rsidRPr="004252A6">
        <w:rPr>
          <w:lang w:eastAsia="ja-JP"/>
        </w:rPr>
        <w:t>vaccination group</w:t>
      </w:r>
      <w:r w:rsidR="00412A4F">
        <w:rPr>
          <w:lang w:eastAsia="ja-JP"/>
        </w:rPr>
        <w:t>.</w:t>
      </w:r>
    </w:p>
    <w:p w14:paraId="14EE1735" w14:textId="2BD082A5" w:rsidR="004252A6" w:rsidRPr="00DC41D2" w:rsidRDefault="00DC41D2" w:rsidP="00DC41D2">
      <w:pPr>
        <w:pStyle w:val="Heading6"/>
      </w:pPr>
      <w:r w:rsidRPr="00DC41D2">
        <w:t>R</w:t>
      </w:r>
      <w:r w:rsidR="004252A6" w:rsidRPr="00DC41D2">
        <w:t>eactogenicity</w:t>
      </w:r>
      <w:r w:rsidRPr="00DC41D2">
        <w:t xml:space="preserve"> within 7 Days after vaccination: </w:t>
      </w:r>
      <w:r>
        <w:t>Local r</w:t>
      </w:r>
      <w:r w:rsidRPr="00DC41D2">
        <w:t>eactions</w:t>
      </w:r>
    </w:p>
    <w:p w14:paraId="0CFCF984" w14:textId="16CE557C" w:rsidR="004252A6" w:rsidRPr="004252A6" w:rsidRDefault="004252A6" w:rsidP="004252A6">
      <w:pPr>
        <w:rPr>
          <w:b/>
          <w:i/>
          <w:iCs/>
          <w:lang w:eastAsia="ja-JP"/>
        </w:rPr>
      </w:pPr>
      <w:r w:rsidRPr="00DC41D2">
        <w:rPr>
          <w:i/>
          <w:iCs/>
          <w:lang w:eastAsia="ja-JP"/>
        </w:rPr>
        <w:t>Adults:</w:t>
      </w:r>
      <w:r w:rsidRPr="004252A6">
        <w:rPr>
          <w:b/>
          <w:i/>
          <w:iCs/>
          <w:lang w:eastAsia="ja-JP"/>
        </w:rPr>
        <w:t xml:space="preserve"> </w:t>
      </w:r>
      <w:r w:rsidR="00DC41D2">
        <w:rPr>
          <w:lang w:eastAsia="ja-JP"/>
        </w:rPr>
        <w:t>R</w:t>
      </w:r>
      <w:r w:rsidRPr="004252A6">
        <w:rPr>
          <w:lang w:eastAsia="ja-JP"/>
        </w:rPr>
        <w:t>ates were generally low (&lt;</w:t>
      </w:r>
      <w:r w:rsidR="00DC41D2">
        <w:rPr>
          <w:lang w:eastAsia="ja-JP"/>
        </w:rPr>
        <w:t xml:space="preserve"> </w:t>
      </w:r>
      <w:r w:rsidRPr="004252A6">
        <w:rPr>
          <w:lang w:eastAsia="ja-JP"/>
        </w:rPr>
        <w:t>10%) except vaccination site pain in 24.9% in the QIV group and 18.5% in the TIV group. One subject</w:t>
      </w:r>
      <w:r w:rsidRPr="004252A6">
        <w:rPr>
          <w:b/>
          <w:i/>
          <w:iCs/>
          <w:lang w:eastAsia="ja-JP"/>
        </w:rPr>
        <w:t xml:space="preserve"> </w:t>
      </w:r>
      <w:r w:rsidRPr="004252A6">
        <w:rPr>
          <w:lang w:eastAsia="ja-JP"/>
        </w:rPr>
        <w:t xml:space="preserve">each in the QIV group had severe swelling and vaccination site pain. Except for vaccination site pain, reporting rates of all other local reactions were slightly </w:t>
      </w:r>
      <w:r w:rsidRPr="00DC41D2">
        <w:rPr>
          <w:lang w:eastAsia="ja-JP"/>
        </w:rPr>
        <w:t>lower</w:t>
      </w:r>
      <w:r w:rsidRPr="004252A6">
        <w:rPr>
          <w:lang w:eastAsia="ja-JP"/>
        </w:rPr>
        <w:t xml:space="preserve"> in the QIV group than in the TIV group. None of the differences reached statistical significance and were not flagged as a potential safety issue.</w:t>
      </w:r>
    </w:p>
    <w:p w14:paraId="03F710C7" w14:textId="04B22AF3" w:rsidR="004252A6" w:rsidRPr="004252A6" w:rsidRDefault="004252A6" w:rsidP="004252A6">
      <w:pPr>
        <w:rPr>
          <w:b/>
          <w:i/>
          <w:iCs/>
          <w:lang w:eastAsia="ja-JP"/>
        </w:rPr>
      </w:pPr>
      <w:r w:rsidRPr="00DC41D2">
        <w:rPr>
          <w:i/>
          <w:iCs/>
          <w:lang w:eastAsia="ja-JP"/>
        </w:rPr>
        <w:t>Elderly:</w:t>
      </w:r>
      <w:r w:rsidRPr="004252A6">
        <w:rPr>
          <w:b/>
          <w:i/>
          <w:iCs/>
          <w:lang w:eastAsia="ja-JP"/>
        </w:rPr>
        <w:t xml:space="preserve"> </w:t>
      </w:r>
      <w:r w:rsidRPr="004252A6">
        <w:rPr>
          <w:lang w:eastAsia="ja-JP"/>
        </w:rPr>
        <w:t>The percentage of elderly adults with local reactions within 7 days after vaccination was low (&lt;</w:t>
      </w:r>
      <w:r w:rsidR="00DC41D2">
        <w:rPr>
          <w:lang w:eastAsia="ja-JP"/>
        </w:rPr>
        <w:t xml:space="preserve"> </w:t>
      </w:r>
      <w:r w:rsidRPr="004252A6">
        <w:rPr>
          <w:lang w:eastAsia="ja-JP"/>
        </w:rPr>
        <w:t>5%) except for vaccination site pain that occurred in 7.6% in the QIV group and 5.9% in the TIV group. One subject in the QIV group had severe induration, 2 subjects in the TIV group had severe swelling, and 1 subject in the TIV group had severe induration. Although reporting rates were slightly higher in the QIV group in elderly adults, none of the differences reached statistical significance and were not flagged as a potential safety issue.</w:t>
      </w:r>
    </w:p>
    <w:p w14:paraId="3C7F7FBD" w14:textId="5FB71CD9" w:rsidR="004252A6" w:rsidRPr="00DC41D2" w:rsidRDefault="004252A6" w:rsidP="004252A6">
      <w:pPr>
        <w:rPr>
          <w:b/>
          <w:i/>
          <w:iCs/>
          <w:lang w:eastAsia="ja-JP"/>
        </w:rPr>
      </w:pPr>
      <w:r w:rsidRPr="004252A6">
        <w:rPr>
          <w:lang w:eastAsia="ja-JP"/>
        </w:rPr>
        <w:t>For both adult and elderly adults, most of the local reactions were mild or moderate in severity.</w:t>
      </w:r>
      <w:r w:rsidRPr="004252A6">
        <w:rPr>
          <w:b/>
          <w:i/>
          <w:iCs/>
          <w:lang w:eastAsia="ja-JP"/>
        </w:rPr>
        <w:t xml:space="preserve"> </w:t>
      </w:r>
      <w:r w:rsidRPr="004252A6">
        <w:rPr>
          <w:lang w:eastAsia="ja-JP"/>
        </w:rPr>
        <w:t>Overall, all local reaction symptoms lasted for 1 to 3 days for the majority of subjects in both</w:t>
      </w:r>
      <w:r w:rsidRPr="004252A6">
        <w:rPr>
          <w:b/>
          <w:i/>
          <w:iCs/>
          <w:lang w:eastAsia="ja-JP"/>
        </w:rPr>
        <w:t xml:space="preserve"> </w:t>
      </w:r>
      <w:r w:rsidRPr="004252A6">
        <w:rPr>
          <w:lang w:eastAsia="ja-JP"/>
        </w:rPr>
        <w:t>vaccination groups.</w:t>
      </w:r>
    </w:p>
    <w:p w14:paraId="025457E5" w14:textId="0A0CD26F" w:rsidR="004252A6" w:rsidRPr="00DC41D2" w:rsidRDefault="00DC41D2" w:rsidP="00DC41D2">
      <w:pPr>
        <w:pStyle w:val="Heading6"/>
        <w:rPr>
          <w:lang w:eastAsia="ja-JP"/>
        </w:rPr>
      </w:pPr>
      <w:r w:rsidRPr="00DC41D2">
        <w:rPr>
          <w:lang w:eastAsia="ja-JP"/>
        </w:rPr>
        <w:t>R</w:t>
      </w:r>
      <w:r w:rsidR="004252A6" w:rsidRPr="00DC41D2">
        <w:rPr>
          <w:lang w:eastAsia="ja-JP"/>
        </w:rPr>
        <w:t>eactogenicity</w:t>
      </w:r>
      <w:r w:rsidRPr="00DC41D2">
        <w:rPr>
          <w:lang w:eastAsia="ja-JP"/>
        </w:rPr>
        <w:t xml:space="preserve"> within 7 </w:t>
      </w:r>
      <w:r w:rsidR="00E90C19">
        <w:rPr>
          <w:lang w:eastAsia="ja-JP"/>
        </w:rPr>
        <w:t>d</w:t>
      </w:r>
      <w:r w:rsidRPr="00DC41D2">
        <w:rPr>
          <w:lang w:eastAsia="ja-JP"/>
        </w:rPr>
        <w:t xml:space="preserve">ays after vaccination: </w:t>
      </w:r>
      <w:r w:rsidR="004252A6" w:rsidRPr="004252A6">
        <w:rPr>
          <w:iCs/>
          <w:lang w:eastAsia="ja-JP"/>
        </w:rPr>
        <w:t xml:space="preserve">Systemic </w:t>
      </w:r>
      <w:r w:rsidR="00E90C19">
        <w:rPr>
          <w:iCs/>
          <w:lang w:eastAsia="ja-JP"/>
        </w:rPr>
        <w:t>r</w:t>
      </w:r>
      <w:r w:rsidR="004252A6" w:rsidRPr="004252A6">
        <w:rPr>
          <w:iCs/>
          <w:lang w:eastAsia="ja-JP"/>
        </w:rPr>
        <w:t>eactions</w:t>
      </w:r>
    </w:p>
    <w:p w14:paraId="1771D7EC" w14:textId="77777777" w:rsidR="00580863" w:rsidRDefault="004252A6" w:rsidP="004252A6">
      <w:pPr>
        <w:rPr>
          <w:lang w:eastAsia="ja-JP"/>
        </w:rPr>
      </w:pPr>
      <w:r w:rsidRPr="00DC41D2">
        <w:rPr>
          <w:i/>
          <w:lang w:eastAsia="ja-JP"/>
        </w:rPr>
        <w:t>Adults:</w:t>
      </w:r>
      <w:r w:rsidRPr="004252A6">
        <w:rPr>
          <w:lang w:eastAsia="ja-JP"/>
        </w:rPr>
        <w:t xml:space="preserve"> Headache and fatigue/tiredness were the most frequent systemic reactions within 7 days after vaccination in both vaccination groups. Headache reported by 12.4% of subjects in the QIV group and 13.1% in the TIV group. Fatigue/tiredness reported by 11.9% and 12.6% of subjects in the QIV and TIV groups, respectively. Most systemic reactions were mild or moderate. Severe reactions reported in ≤0.3% in the QIV group and ≤0.9% in the TIV group. Duration </w:t>
      </w:r>
      <w:r w:rsidR="00286A03">
        <w:rPr>
          <w:lang w:eastAsia="ja-JP"/>
        </w:rPr>
        <w:t xml:space="preserve">was </w:t>
      </w:r>
      <w:r w:rsidRPr="004252A6">
        <w:rPr>
          <w:lang w:eastAsia="ja-JP"/>
        </w:rPr>
        <w:t xml:space="preserve">1-3 days for the majority of subjects in both vaccination groups. Reporting rates and relative risks of systemic reactions </w:t>
      </w:r>
      <w:r w:rsidR="00286A03">
        <w:rPr>
          <w:lang w:eastAsia="ja-JP"/>
        </w:rPr>
        <w:t xml:space="preserve">were </w:t>
      </w:r>
      <w:r w:rsidRPr="004252A6">
        <w:rPr>
          <w:lang w:eastAsia="ja-JP"/>
        </w:rPr>
        <w:t>comparable between the QIV group and the TIV group.</w:t>
      </w:r>
    </w:p>
    <w:p w14:paraId="7806CC21" w14:textId="39D40FE0" w:rsidR="004252A6" w:rsidRPr="00FC1666" w:rsidRDefault="004252A6" w:rsidP="004252A6">
      <w:pPr>
        <w:rPr>
          <w:lang w:eastAsia="ja-JP"/>
        </w:rPr>
      </w:pPr>
      <w:r w:rsidRPr="00FC1666">
        <w:rPr>
          <w:i/>
          <w:lang w:eastAsia="ja-JP"/>
        </w:rPr>
        <w:t>Elderly:</w:t>
      </w:r>
      <w:r w:rsidRPr="00FC1666">
        <w:rPr>
          <w:lang w:eastAsia="ja-JP"/>
        </w:rPr>
        <w:t xml:space="preserve"> Headache and fatigue/tiredness were the most frequent systemic reactions within 7 days after vaccination in both vaccination groups. Headache reported by 8.1% in the QIV group and 7.3% in the TIV group. Fatigue/tiredness reported by 10.6% and 6.8% of subjects in the QIV and TIV groups, respectively. Most systemic reactions were mild or moderate. Severe reactions reported in ≤</w:t>
      </w:r>
      <w:r w:rsidR="0002549C">
        <w:rPr>
          <w:lang w:eastAsia="ja-JP"/>
        </w:rPr>
        <w:t xml:space="preserve"> </w:t>
      </w:r>
      <w:r w:rsidRPr="00FC1666">
        <w:rPr>
          <w:lang w:eastAsia="ja-JP"/>
        </w:rPr>
        <w:t>0.7% in the QIV group and ≤</w:t>
      </w:r>
      <w:r w:rsidR="0002549C">
        <w:rPr>
          <w:lang w:eastAsia="ja-JP"/>
        </w:rPr>
        <w:t xml:space="preserve"> </w:t>
      </w:r>
      <w:r w:rsidRPr="00FC1666">
        <w:rPr>
          <w:lang w:eastAsia="ja-JP"/>
        </w:rPr>
        <w:t>0.</w:t>
      </w:r>
      <w:r w:rsidR="0002549C">
        <w:rPr>
          <w:lang w:eastAsia="ja-JP"/>
        </w:rPr>
        <w:t xml:space="preserve">5% in the TIV group. Duration </w:t>
      </w:r>
      <w:r w:rsidR="005A54CD">
        <w:rPr>
          <w:lang w:eastAsia="ja-JP"/>
        </w:rPr>
        <w:t xml:space="preserve">was </w:t>
      </w:r>
      <w:r w:rsidR="0002549C">
        <w:rPr>
          <w:lang w:eastAsia="ja-JP"/>
        </w:rPr>
        <w:t xml:space="preserve">1 to </w:t>
      </w:r>
      <w:r w:rsidRPr="00FC1666">
        <w:rPr>
          <w:lang w:eastAsia="ja-JP"/>
        </w:rPr>
        <w:t xml:space="preserve">3 days for the majority of subjects in both vaccination groups. Differences in rates between QIV and TIV were relatively small, although only one reaction (arthralgia/joint pain, 5.8% </w:t>
      </w:r>
      <w:r w:rsidR="00140CBD">
        <w:rPr>
          <w:lang w:eastAsia="ja-JP"/>
        </w:rPr>
        <w:t>(</w:t>
      </w:r>
      <w:r w:rsidRPr="00FC1666">
        <w:rPr>
          <w:lang w:eastAsia="ja-JP"/>
        </w:rPr>
        <w:t>QIV</w:t>
      </w:r>
      <w:r w:rsidR="00140CBD">
        <w:rPr>
          <w:lang w:eastAsia="ja-JP"/>
        </w:rPr>
        <w:t>)</w:t>
      </w:r>
      <w:r w:rsidR="0002549C">
        <w:rPr>
          <w:lang w:eastAsia="ja-JP"/>
        </w:rPr>
        <w:t xml:space="preserve"> versus</w:t>
      </w:r>
      <w:r w:rsidRPr="00FC1666">
        <w:rPr>
          <w:lang w:eastAsia="ja-JP"/>
        </w:rPr>
        <w:t xml:space="preserve"> 2.3% </w:t>
      </w:r>
      <w:r w:rsidR="00140CBD">
        <w:rPr>
          <w:lang w:eastAsia="ja-JP"/>
        </w:rPr>
        <w:lastRenderedPageBreak/>
        <w:t>(</w:t>
      </w:r>
      <w:r w:rsidRPr="00FC1666">
        <w:rPr>
          <w:lang w:eastAsia="ja-JP"/>
        </w:rPr>
        <w:t>TIV</w:t>
      </w:r>
      <w:r w:rsidR="00140CBD">
        <w:rPr>
          <w:lang w:eastAsia="ja-JP"/>
        </w:rPr>
        <w:t>)</w:t>
      </w:r>
      <w:r w:rsidRPr="00FC1666">
        <w:rPr>
          <w:lang w:eastAsia="ja-JP"/>
        </w:rPr>
        <w:t>) reached statistical significance (</w:t>
      </w:r>
      <w:r w:rsidR="0002549C">
        <w:rPr>
          <w:lang w:eastAsia="ja-JP"/>
        </w:rPr>
        <w:t xml:space="preserve">see </w:t>
      </w:r>
      <w:r w:rsidRPr="00FC1666">
        <w:rPr>
          <w:lang w:eastAsia="ja-JP"/>
        </w:rPr>
        <w:t>Table 1</w:t>
      </w:r>
      <w:r w:rsidR="005A54CD">
        <w:rPr>
          <w:lang w:eastAsia="ja-JP"/>
        </w:rPr>
        <w:t>3</w:t>
      </w:r>
      <w:r w:rsidR="0002549C">
        <w:rPr>
          <w:lang w:eastAsia="ja-JP"/>
        </w:rPr>
        <w:t>, below</w:t>
      </w:r>
      <w:r w:rsidRPr="00FC1666">
        <w:rPr>
          <w:lang w:eastAsia="ja-JP"/>
        </w:rPr>
        <w:t>), thus was flagged as having a potentially higher reporting rate for elderly subjects in the QIV group.</w:t>
      </w:r>
    </w:p>
    <w:p w14:paraId="37D1F6D0" w14:textId="60A80D21" w:rsidR="004252A6" w:rsidRDefault="005A03A7" w:rsidP="005A03A7">
      <w:pPr>
        <w:pStyle w:val="Tabletitle"/>
        <w:rPr>
          <w:lang w:eastAsia="ja-JP"/>
        </w:rPr>
      </w:pPr>
      <w:r>
        <w:rPr>
          <w:lang w:eastAsia="ja-JP"/>
        </w:rPr>
        <w:t>Table 1</w:t>
      </w:r>
      <w:r w:rsidR="00E90C19">
        <w:rPr>
          <w:lang w:eastAsia="ja-JP"/>
        </w:rPr>
        <w:t>3:</w:t>
      </w:r>
      <w:r w:rsidR="004252A6" w:rsidRPr="004252A6">
        <w:rPr>
          <w:lang w:eastAsia="ja-JP"/>
        </w:rPr>
        <w:t xml:space="preserve"> </w:t>
      </w:r>
      <w:r>
        <w:rPr>
          <w:lang w:eastAsia="ja-JP"/>
        </w:rPr>
        <w:t xml:space="preserve">Study </w:t>
      </w:r>
      <w:r w:rsidR="004252A6" w:rsidRPr="004252A6">
        <w:rPr>
          <w:lang w:eastAsia="ja-JP"/>
        </w:rPr>
        <w:t xml:space="preserve">INFQ3001 </w:t>
      </w:r>
      <w:r>
        <w:rPr>
          <w:lang w:eastAsia="ja-JP"/>
        </w:rPr>
        <w:t>s</w:t>
      </w:r>
      <w:r w:rsidR="004252A6" w:rsidRPr="004252A6">
        <w:rPr>
          <w:lang w:eastAsia="ja-JP"/>
        </w:rPr>
        <w:t xml:space="preserve">ystemic </w:t>
      </w:r>
      <w:r>
        <w:rPr>
          <w:lang w:eastAsia="ja-JP"/>
        </w:rPr>
        <w:t>r</w:t>
      </w:r>
      <w:r w:rsidR="004252A6" w:rsidRPr="004252A6">
        <w:rPr>
          <w:lang w:eastAsia="ja-JP"/>
        </w:rPr>
        <w:t>eactions</w:t>
      </w:r>
      <w:r>
        <w:rPr>
          <w:lang w:eastAsia="ja-JP"/>
        </w:rPr>
        <w:t xml:space="preserve">, </w:t>
      </w:r>
      <w:r w:rsidRPr="004252A6">
        <w:rPr>
          <w:lang w:eastAsia="ja-JP"/>
        </w:rPr>
        <w:t>repo</w:t>
      </w:r>
      <w:r>
        <w:rPr>
          <w:lang w:eastAsia="ja-JP"/>
        </w:rPr>
        <w:t>rting rates and relative risks;</w:t>
      </w:r>
      <w:r w:rsidRPr="004252A6">
        <w:rPr>
          <w:lang w:eastAsia="ja-JP"/>
        </w:rPr>
        <w:t xml:space="preserve"> safety subject sample</w:t>
      </w:r>
      <w:r>
        <w:rPr>
          <w:lang w:eastAsia="ja-JP"/>
        </w:rPr>
        <w:t>,</w:t>
      </w:r>
      <w:r w:rsidRPr="004252A6">
        <w:rPr>
          <w:lang w:eastAsia="ja-JP"/>
        </w:rPr>
        <w:t xml:space="preserve"> elderly population</w:t>
      </w:r>
    </w:p>
    <w:p w14:paraId="0CF667E7" w14:textId="6A516DC3" w:rsidR="004252A6" w:rsidRPr="00E90C19" w:rsidRDefault="00E90C19" w:rsidP="004252A6">
      <w:pPr>
        <w:rPr>
          <w:lang w:eastAsia="ja-JP"/>
        </w:rPr>
      </w:pPr>
      <w:r w:rsidRPr="00E90C19">
        <w:rPr>
          <w:noProof/>
          <w:lang w:eastAsia="en-AU"/>
        </w:rPr>
        <w:drawing>
          <wp:inline distT="0" distB="0" distL="0" distR="0" wp14:anchorId="4CA97C59" wp14:editId="3B8A8AEB">
            <wp:extent cx="5731510" cy="1762125"/>
            <wp:effectExtent l="0" t="0" r="2540" b="9525"/>
            <wp:docPr id="15" name="Picture 15" descr="Study INFQ3001 systemic reactions, reporting rates and relative risks; safety subject sample, elderl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762125"/>
                    </a:xfrm>
                    <a:prstGeom prst="rect">
                      <a:avLst/>
                    </a:prstGeom>
                  </pic:spPr>
                </pic:pic>
              </a:graphicData>
            </a:graphic>
          </wp:inline>
        </w:drawing>
      </w:r>
    </w:p>
    <w:p w14:paraId="63FCB054" w14:textId="3E931361" w:rsidR="004252A6" w:rsidRPr="004252A6" w:rsidRDefault="004252A6" w:rsidP="00FC1666">
      <w:pPr>
        <w:pStyle w:val="Heading6"/>
        <w:rPr>
          <w:lang w:eastAsia="ja-JP"/>
        </w:rPr>
      </w:pPr>
      <w:r w:rsidRPr="004252A6">
        <w:rPr>
          <w:lang w:eastAsia="ja-JP"/>
        </w:rPr>
        <w:t xml:space="preserve">Clinical </w:t>
      </w:r>
      <w:r w:rsidR="00B93E2D" w:rsidRPr="004252A6">
        <w:rPr>
          <w:lang w:eastAsia="ja-JP"/>
        </w:rPr>
        <w:t xml:space="preserve">study database </w:t>
      </w:r>
      <w:proofErr w:type="spellStart"/>
      <w:r w:rsidR="00B93E2D">
        <w:rPr>
          <w:lang w:eastAsia="ja-JP"/>
        </w:rPr>
        <w:t>influvac</w:t>
      </w:r>
      <w:proofErr w:type="spellEnd"/>
    </w:p>
    <w:p w14:paraId="7005752F" w14:textId="53530B51" w:rsidR="004252A6" w:rsidRPr="00FC1666" w:rsidRDefault="004252A6" w:rsidP="004252A6">
      <w:pPr>
        <w:rPr>
          <w:i/>
          <w:iCs/>
          <w:lang w:eastAsia="ja-JP"/>
        </w:rPr>
      </w:pPr>
      <w:r w:rsidRPr="00FC1666">
        <w:rPr>
          <w:i/>
          <w:iCs/>
          <w:lang w:eastAsia="ja-JP"/>
        </w:rPr>
        <w:t>Local Reactions:</w:t>
      </w:r>
      <w:r w:rsidRPr="004252A6">
        <w:rPr>
          <w:b/>
          <w:i/>
          <w:iCs/>
          <w:lang w:eastAsia="ja-JP"/>
        </w:rPr>
        <w:t xml:space="preserve"> </w:t>
      </w:r>
      <w:r w:rsidRPr="004252A6">
        <w:rPr>
          <w:lang w:eastAsia="ja-JP"/>
        </w:rPr>
        <w:t xml:space="preserve">Most frequently reported reaction was vaccination site pain (13.4% of the adults and 3.8% of the </w:t>
      </w:r>
      <w:r w:rsidRPr="00FC1666">
        <w:rPr>
          <w:lang w:eastAsia="ja-JP"/>
        </w:rPr>
        <w:t>elderly). All other local</w:t>
      </w:r>
      <w:r w:rsidR="005A03A7">
        <w:rPr>
          <w:lang w:eastAsia="ja-JP"/>
        </w:rPr>
        <w:t xml:space="preserve"> reactions were reported by 3.2 to </w:t>
      </w:r>
      <w:r w:rsidRPr="00FC1666">
        <w:rPr>
          <w:lang w:eastAsia="ja-JP"/>
        </w:rPr>
        <w:t>6.1% of the adults and by 1.7-3.0% of the elderly adults. Most local reactions were mild, resolving within 3 days. Elderly adults reported fewer local reactions than the adults.</w:t>
      </w:r>
    </w:p>
    <w:p w14:paraId="1C6D70C8" w14:textId="07CE013C" w:rsidR="004252A6" w:rsidRPr="00FC1666" w:rsidRDefault="004252A6" w:rsidP="004252A6">
      <w:pPr>
        <w:rPr>
          <w:i/>
          <w:iCs/>
          <w:lang w:eastAsia="ja-JP"/>
        </w:rPr>
      </w:pPr>
      <w:r w:rsidRPr="00FC1666">
        <w:rPr>
          <w:i/>
          <w:iCs/>
          <w:lang w:eastAsia="ja-JP"/>
        </w:rPr>
        <w:t xml:space="preserve">Systemic Reactions: </w:t>
      </w:r>
      <w:r w:rsidRPr="00FC1666">
        <w:rPr>
          <w:lang w:eastAsia="ja-JP"/>
        </w:rPr>
        <w:t>Most frequently reported systemic reactions were fatigue (14.4% of the adults</w:t>
      </w:r>
      <w:r w:rsidRPr="00FC1666">
        <w:rPr>
          <w:i/>
          <w:iCs/>
          <w:lang w:eastAsia="ja-JP"/>
        </w:rPr>
        <w:t xml:space="preserve"> </w:t>
      </w:r>
      <w:r w:rsidRPr="00FC1666">
        <w:rPr>
          <w:lang w:eastAsia="ja-JP"/>
        </w:rPr>
        <w:t>and 9.1% of the elderly), and headache (12.0% and 7.4%, respectively). All other systemic reactions reported by 0.</w:t>
      </w:r>
      <w:r w:rsidR="005A03A7">
        <w:rPr>
          <w:lang w:eastAsia="ja-JP"/>
        </w:rPr>
        <w:t xml:space="preserve">5-8.9% of the adults and by 0.5% to </w:t>
      </w:r>
      <w:r w:rsidRPr="00FC1666">
        <w:rPr>
          <w:lang w:eastAsia="ja-JP"/>
        </w:rPr>
        <w:t xml:space="preserve">4.8% of the elderly. Most systemic reactions </w:t>
      </w:r>
      <w:r w:rsidR="005A54CD">
        <w:rPr>
          <w:lang w:eastAsia="ja-JP"/>
        </w:rPr>
        <w:t xml:space="preserve">were </w:t>
      </w:r>
      <w:r w:rsidRPr="00FC1666">
        <w:rPr>
          <w:lang w:eastAsia="ja-JP"/>
        </w:rPr>
        <w:t>mild, resolving within 3 days. Elderly adults reported fewer systemic reactions than the adults.</w:t>
      </w:r>
    </w:p>
    <w:p w14:paraId="2D8C60EE" w14:textId="77777777" w:rsidR="004252A6" w:rsidRPr="004252A6" w:rsidRDefault="004252A6" w:rsidP="00FC1666">
      <w:pPr>
        <w:pStyle w:val="Heading4"/>
      </w:pPr>
      <w:r w:rsidRPr="004252A6">
        <w:t>Deaths and other serious adverse events</w:t>
      </w:r>
      <w:bookmarkEnd w:id="129"/>
      <w:bookmarkEnd w:id="130"/>
      <w:bookmarkEnd w:id="131"/>
      <w:bookmarkEnd w:id="132"/>
      <w:bookmarkEnd w:id="133"/>
      <w:bookmarkEnd w:id="134"/>
      <w:bookmarkEnd w:id="135"/>
      <w:bookmarkEnd w:id="136"/>
    </w:p>
    <w:p w14:paraId="29BDB0A5" w14:textId="388574D3" w:rsidR="00FC1666" w:rsidRDefault="00FC1666" w:rsidP="00FC1666">
      <w:pPr>
        <w:pStyle w:val="Heading5"/>
        <w:rPr>
          <w:lang w:eastAsia="ja-JP"/>
        </w:rPr>
      </w:pPr>
      <w:bookmarkStart w:id="137" w:name="_Toc241374325"/>
      <w:bookmarkStart w:id="138" w:name="_Ref272333477"/>
      <w:bookmarkStart w:id="139" w:name="_Toc272414667"/>
      <w:bookmarkStart w:id="140" w:name="_Toc290888531"/>
      <w:bookmarkStart w:id="141" w:name="_Toc416353747"/>
      <w:bookmarkStart w:id="142" w:name="_Toc421005290"/>
      <w:bookmarkStart w:id="143" w:name="_Toc432079167"/>
      <w:bookmarkStart w:id="144" w:name="_Toc432080740"/>
      <w:r w:rsidRPr="004252A6">
        <w:rPr>
          <w:lang w:eastAsia="ja-JP"/>
        </w:rPr>
        <w:t>Deaths</w:t>
      </w:r>
    </w:p>
    <w:p w14:paraId="7D6F4DBE" w14:textId="25970F89" w:rsidR="004252A6" w:rsidRPr="004252A6" w:rsidRDefault="004252A6" w:rsidP="004252A6">
      <w:pPr>
        <w:rPr>
          <w:lang w:eastAsia="ja-JP"/>
        </w:rPr>
      </w:pPr>
      <w:r w:rsidRPr="004252A6">
        <w:rPr>
          <w:lang w:eastAsia="ja-JP"/>
        </w:rPr>
        <w:t xml:space="preserve">No deaths reported up to Day 22 post-vaccination in </w:t>
      </w:r>
      <w:r w:rsidR="00FC1666" w:rsidRPr="00FC1666">
        <w:rPr>
          <w:lang w:eastAsia="ja-JP"/>
        </w:rPr>
        <w:t xml:space="preserve">Study </w:t>
      </w:r>
      <w:r w:rsidRPr="00FC1666">
        <w:rPr>
          <w:lang w:eastAsia="ja-JP"/>
        </w:rPr>
        <w:t>INFQ3001</w:t>
      </w:r>
      <w:r w:rsidRPr="004252A6">
        <w:rPr>
          <w:lang w:eastAsia="ja-JP"/>
        </w:rPr>
        <w:t xml:space="preserve"> or in the 16 supportive clinical studies for TIV.</w:t>
      </w:r>
    </w:p>
    <w:p w14:paraId="520EBB3C" w14:textId="67979A0C" w:rsidR="00FC1666" w:rsidRPr="00FC1666" w:rsidRDefault="004252A6" w:rsidP="00FC1666">
      <w:pPr>
        <w:pStyle w:val="Heading6"/>
        <w:rPr>
          <w:lang w:eastAsia="ja-JP"/>
        </w:rPr>
      </w:pPr>
      <w:r w:rsidRPr="00FC1666">
        <w:rPr>
          <w:iCs/>
          <w:lang w:eastAsia="ja-JP"/>
        </w:rPr>
        <w:t xml:space="preserve">Deaths post </w:t>
      </w:r>
      <w:r w:rsidR="00B93E2D">
        <w:rPr>
          <w:iCs/>
          <w:lang w:eastAsia="ja-JP"/>
        </w:rPr>
        <w:t>d</w:t>
      </w:r>
      <w:r w:rsidRPr="00FC1666">
        <w:rPr>
          <w:iCs/>
          <w:lang w:eastAsia="ja-JP"/>
        </w:rPr>
        <w:t>ay 22</w:t>
      </w:r>
      <w:r w:rsidR="00FC1666" w:rsidRPr="00FC1666">
        <w:rPr>
          <w:iCs/>
          <w:lang w:eastAsia="ja-JP"/>
        </w:rPr>
        <w:t xml:space="preserve"> (</w:t>
      </w:r>
      <w:r w:rsidR="00FC1666" w:rsidRPr="00FC1666">
        <w:rPr>
          <w:lang w:eastAsia="ja-JP"/>
        </w:rPr>
        <w:t>Study INFQ3001)</w:t>
      </w:r>
    </w:p>
    <w:p w14:paraId="32067693" w14:textId="1A31CDE8" w:rsidR="004252A6" w:rsidRPr="004252A6" w:rsidRDefault="004252A6" w:rsidP="00FC1666">
      <w:pPr>
        <w:rPr>
          <w:b/>
          <w:lang w:eastAsia="ja-JP"/>
        </w:rPr>
      </w:pPr>
      <w:r w:rsidRPr="004252A6">
        <w:rPr>
          <w:lang w:eastAsia="ja-JP"/>
        </w:rPr>
        <w:t>Of the reported TESAEs (severe cardiac disorder), outcome was fatal (unrelated to study vaccine) for 1 adult subject in the QIV group. Of the reported TESAEs, outcome was fatal for 4 elderly adults in the QIV group: oesophageal carcinoma, pancreatic carcinoma, hepatic failure, and congestive cardiac failure. None of the TESAEs were considered related to study vaccine.</w:t>
      </w:r>
    </w:p>
    <w:p w14:paraId="7FD9E7D4" w14:textId="1C315C66" w:rsidR="00FC1666" w:rsidRDefault="004252A6" w:rsidP="00FC1666">
      <w:pPr>
        <w:pStyle w:val="Heading5"/>
        <w:rPr>
          <w:lang w:eastAsia="ja-JP"/>
        </w:rPr>
      </w:pPr>
      <w:r w:rsidRPr="004252A6">
        <w:rPr>
          <w:lang w:eastAsia="ja-JP"/>
        </w:rPr>
        <w:t>SAEs</w:t>
      </w:r>
      <w:r w:rsidR="00FC1666">
        <w:rPr>
          <w:lang w:eastAsia="ja-JP"/>
        </w:rPr>
        <w:t xml:space="preserve"> (</w:t>
      </w:r>
      <w:r w:rsidR="00FC1666" w:rsidRPr="00FC1666">
        <w:rPr>
          <w:lang w:eastAsia="ja-JP"/>
        </w:rPr>
        <w:t>Study INFQ3001</w:t>
      </w:r>
      <w:r w:rsidR="00FC1666">
        <w:rPr>
          <w:lang w:eastAsia="ja-JP"/>
        </w:rPr>
        <w:t>)</w:t>
      </w:r>
    </w:p>
    <w:p w14:paraId="3CFFA551" w14:textId="659FAD38" w:rsidR="004252A6" w:rsidRPr="004252A6" w:rsidRDefault="004252A6" w:rsidP="004252A6">
      <w:pPr>
        <w:rPr>
          <w:b/>
          <w:lang w:eastAsia="ja-JP"/>
        </w:rPr>
      </w:pPr>
      <w:r w:rsidRPr="004252A6">
        <w:rPr>
          <w:lang w:eastAsia="ja-JP"/>
        </w:rPr>
        <w:t xml:space="preserve">No pregnancies up to the Day 22 visit; 5 pregnancies between Day 22 to Month-6 post-vaccination. </w:t>
      </w:r>
      <w:r w:rsidR="00957523">
        <w:rPr>
          <w:lang w:eastAsia="ja-JP"/>
        </w:rPr>
        <w:t>2</w:t>
      </w:r>
      <w:r w:rsidRPr="004252A6">
        <w:rPr>
          <w:lang w:eastAsia="ja-JP"/>
        </w:rPr>
        <w:t xml:space="preserve"> subjects had spontaneous abortions; one subject had an elective termination; </w:t>
      </w:r>
      <w:r w:rsidR="00957523">
        <w:rPr>
          <w:lang w:eastAsia="ja-JP"/>
        </w:rPr>
        <w:t>2</w:t>
      </w:r>
      <w:r w:rsidRPr="004252A6">
        <w:rPr>
          <w:lang w:eastAsia="ja-JP"/>
        </w:rPr>
        <w:t xml:space="preserve"> subjects had full term pregnancies with normal outcomes. These events judged as unrelated to study vaccination.</w:t>
      </w:r>
    </w:p>
    <w:p w14:paraId="3675EBF1" w14:textId="49EC12D7" w:rsidR="004252A6" w:rsidRPr="004252A6" w:rsidRDefault="004252A6" w:rsidP="00FC1666">
      <w:pPr>
        <w:pStyle w:val="Heading6"/>
        <w:rPr>
          <w:lang w:eastAsia="ja-JP"/>
        </w:rPr>
      </w:pPr>
      <w:r w:rsidRPr="004252A6">
        <w:rPr>
          <w:lang w:eastAsia="ja-JP"/>
        </w:rPr>
        <w:t xml:space="preserve">SAEs up to the </w:t>
      </w:r>
      <w:r w:rsidR="00B93E2D">
        <w:rPr>
          <w:lang w:eastAsia="ja-JP"/>
        </w:rPr>
        <w:t>d</w:t>
      </w:r>
      <w:r w:rsidRPr="004252A6">
        <w:rPr>
          <w:lang w:eastAsia="ja-JP"/>
        </w:rPr>
        <w:t>ay 22 visit</w:t>
      </w:r>
    </w:p>
    <w:p w14:paraId="7E38E23D" w14:textId="77777777" w:rsidR="00580863" w:rsidRDefault="004252A6" w:rsidP="004252A6">
      <w:pPr>
        <w:rPr>
          <w:lang w:eastAsia="ja-JP"/>
        </w:rPr>
      </w:pPr>
      <w:r w:rsidRPr="00FC1666">
        <w:rPr>
          <w:i/>
          <w:lang w:eastAsia="ja-JP"/>
        </w:rPr>
        <w:t>Adults:</w:t>
      </w:r>
      <w:r w:rsidRPr="004252A6">
        <w:rPr>
          <w:lang w:eastAsia="ja-JP"/>
        </w:rPr>
        <w:t xml:space="preserve"> 2 in the QIV group experienced one TESAE each (cartilage injury and hand fracture) up to the Day 22 visit.</w:t>
      </w:r>
    </w:p>
    <w:p w14:paraId="678A01A7" w14:textId="05754085" w:rsidR="004252A6" w:rsidRPr="004252A6" w:rsidRDefault="004252A6" w:rsidP="004252A6">
      <w:pPr>
        <w:rPr>
          <w:lang w:eastAsia="ja-JP"/>
        </w:rPr>
      </w:pPr>
      <w:r w:rsidRPr="00FC1666">
        <w:rPr>
          <w:i/>
          <w:lang w:eastAsia="ja-JP"/>
        </w:rPr>
        <w:t>Elderly:</w:t>
      </w:r>
      <w:r w:rsidRPr="004252A6">
        <w:rPr>
          <w:lang w:eastAsia="ja-JP"/>
        </w:rPr>
        <w:t xml:space="preserve"> 5 experienced a total of 6 TESAEs up to the Day 22 visit. Of these, 4 TESAEs, </w:t>
      </w:r>
      <w:r w:rsidR="00E11D64">
        <w:rPr>
          <w:lang w:eastAsia="ja-JP"/>
        </w:rPr>
        <w:t>that is</w:t>
      </w:r>
      <w:r w:rsidRPr="004252A6">
        <w:rPr>
          <w:lang w:eastAsia="ja-JP"/>
        </w:rPr>
        <w:t>, abdominal wall abscess, atrial fibrillation, foot fracture, and rotator cuff syndrome, were reported in 1 subject each from the QIV group and 2 TESAE</w:t>
      </w:r>
      <w:r w:rsidR="005A54CD">
        <w:rPr>
          <w:lang w:eastAsia="ja-JP"/>
        </w:rPr>
        <w:t xml:space="preserve"> (</w:t>
      </w:r>
      <w:r w:rsidRPr="004252A6">
        <w:rPr>
          <w:lang w:eastAsia="ja-JP"/>
        </w:rPr>
        <w:t>sub-acute endocarditis and arterial embolism</w:t>
      </w:r>
      <w:r w:rsidR="005A54CD">
        <w:rPr>
          <w:lang w:eastAsia="ja-JP"/>
        </w:rPr>
        <w:t>)</w:t>
      </w:r>
      <w:r w:rsidRPr="004252A6">
        <w:rPr>
          <w:lang w:eastAsia="ja-JP"/>
        </w:rPr>
        <w:t xml:space="preserve"> were reported in 1 subject from the TIV group. Atrial fibrillation and subacute </w:t>
      </w:r>
      <w:r w:rsidRPr="004252A6">
        <w:rPr>
          <w:lang w:eastAsia="ja-JP"/>
        </w:rPr>
        <w:lastRenderedPageBreak/>
        <w:t>endocarditis were of moderate intensity, all others were severe. None considered study vaccine related.</w:t>
      </w:r>
    </w:p>
    <w:p w14:paraId="346E4CA5" w14:textId="6AE5D9AA" w:rsidR="004252A6" w:rsidRPr="004252A6" w:rsidRDefault="004252A6" w:rsidP="00FC1666">
      <w:pPr>
        <w:pStyle w:val="Heading6"/>
        <w:rPr>
          <w:lang w:eastAsia="ja-JP"/>
        </w:rPr>
      </w:pPr>
      <w:r w:rsidRPr="004252A6">
        <w:rPr>
          <w:lang w:eastAsia="ja-JP"/>
        </w:rPr>
        <w:t xml:space="preserve">SAE from the </w:t>
      </w:r>
      <w:r w:rsidR="00B93E2D">
        <w:rPr>
          <w:lang w:eastAsia="ja-JP"/>
        </w:rPr>
        <w:t>d</w:t>
      </w:r>
      <w:r w:rsidRPr="004252A6">
        <w:rPr>
          <w:lang w:eastAsia="ja-JP"/>
        </w:rPr>
        <w:t>ay 22 visit to study end</w:t>
      </w:r>
    </w:p>
    <w:p w14:paraId="067F1BC7" w14:textId="370CFA1E" w:rsidR="004252A6" w:rsidRPr="004252A6" w:rsidRDefault="004252A6" w:rsidP="004252A6">
      <w:pPr>
        <w:rPr>
          <w:lang w:eastAsia="ja-JP"/>
        </w:rPr>
      </w:pPr>
      <w:r w:rsidRPr="00FC1666">
        <w:rPr>
          <w:i/>
          <w:lang w:eastAsia="ja-JP"/>
        </w:rPr>
        <w:t>Adults:</w:t>
      </w:r>
      <w:r w:rsidRPr="004252A6">
        <w:rPr>
          <w:lang w:eastAsia="ja-JP"/>
        </w:rPr>
        <w:t xml:space="preserve"> </w:t>
      </w:r>
      <w:r w:rsidR="00FC1666">
        <w:rPr>
          <w:lang w:eastAsia="ja-JP"/>
        </w:rPr>
        <w:t>S</w:t>
      </w:r>
      <w:r w:rsidRPr="004252A6">
        <w:rPr>
          <w:lang w:eastAsia="ja-JP"/>
        </w:rPr>
        <w:t>imilar across the vaccination groups (1.3% and 1.8% in the QIV and TIV groups, respectively). No TESAEs reported in</w:t>
      </w:r>
      <w:r w:rsidR="001B2B66">
        <w:rPr>
          <w:lang w:eastAsia="ja-JP"/>
        </w:rPr>
        <w:t xml:space="preserve"> &gt; </w:t>
      </w:r>
      <w:r w:rsidRPr="004252A6">
        <w:rPr>
          <w:lang w:eastAsia="ja-JP"/>
        </w:rPr>
        <w:t>1 subject for any PT in either vaccination group, except hypertension that was reported in 2 subjects (0.3%) in the QIV group. All TESAEs considered not related or unlikely related to the study vaccine.</w:t>
      </w:r>
    </w:p>
    <w:p w14:paraId="55595FDB" w14:textId="5864F987" w:rsidR="004252A6" w:rsidRPr="004252A6" w:rsidRDefault="004252A6" w:rsidP="004252A6">
      <w:pPr>
        <w:rPr>
          <w:b/>
          <w:i/>
          <w:iCs/>
          <w:lang w:eastAsia="ja-JP"/>
        </w:rPr>
      </w:pPr>
      <w:r w:rsidRPr="00FC1666">
        <w:rPr>
          <w:i/>
          <w:lang w:eastAsia="ja-JP"/>
        </w:rPr>
        <w:t>Elderly:</w:t>
      </w:r>
      <w:r w:rsidRPr="004252A6">
        <w:rPr>
          <w:b/>
          <w:lang w:eastAsia="ja-JP"/>
        </w:rPr>
        <w:t xml:space="preserve"> </w:t>
      </w:r>
      <w:r w:rsidR="00FC1666">
        <w:rPr>
          <w:lang w:eastAsia="ja-JP"/>
        </w:rPr>
        <w:t>S</w:t>
      </w:r>
      <w:r w:rsidRPr="004252A6">
        <w:rPr>
          <w:lang w:eastAsia="ja-JP"/>
        </w:rPr>
        <w:t>imilar across the vaccination groups (3.9% and 4.1% in the QIV and TIV groups, respectively). No TESAEs reported in</w:t>
      </w:r>
      <w:r w:rsidR="001B2B66">
        <w:rPr>
          <w:lang w:eastAsia="ja-JP"/>
        </w:rPr>
        <w:t xml:space="preserve"> &gt; </w:t>
      </w:r>
      <w:r w:rsidRPr="004252A6">
        <w:rPr>
          <w:lang w:eastAsia="ja-JP"/>
        </w:rPr>
        <w:t>1 subject for any PT in either vaccination group, except cerebrovascular accident</w:t>
      </w:r>
      <w:r w:rsidRPr="004252A6">
        <w:rPr>
          <w:b/>
          <w:lang w:eastAsia="ja-JP"/>
        </w:rPr>
        <w:t xml:space="preserve"> </w:t>
      </w:r>
      <w:r w:rsidRPr="004252A6">
        <w:rPr>
          <w:lang w:eastAsia="ja-JP"/>
        </w:rPr>
        <w:t>reported in 2 subjects (0.3%) in the QIV group.</w:t>
      </w:r>
      <w:r w:rsidRPr="004252A6">
        <w:rPr>
          <w:b/>
          <w:lang w:eastAsia="ja-JP"/>
        </w:rPr>
        <w:t xml:space="preserve"> </w:t>
      </w:r>
      <w:r w:rsidRPr="004252A6">
        <w:rPr>
          <w:lang w:eastAsia="ja-JP"/>
        </w:rPr>
        <w:t>All TESAEs considered not related to the study vaccine</w:t>
      </w:r>
      <w:r w:rsidRPr="004252A6">
        <w:rPr>
          <w:b/>
          <w:i/>
          <w:iCs/>
          <w:lang w:eastAsia="ja-JP"/>
        </w:rPr>
        <w:t>.</w:t>
      </w:r>
    </w:p>
    <w:p w14:paraId="60BF4819" w14:textId="31EB51D1" w:rsidR="004252A6" w:rsidRPr="004252A6" w:rsidRDefault="004252A6" w:rsidP="00FC1666">
      <w:pPr>
        <w:pStyle w:val="Heading6"/>
        <w:rPr>
          <w:lang w:eastAsia="ja-JP"/>
        </w:rPr>
      </w:pPr>
      <w:r w:rsidRPr="00FC1666">
        <w:rPr>
          <w:iCs/>
          <w:lang w:eastAsia="ja-JP"/>
        </w:rPr>
        <w:t xml:space="preserve">NCI (collected </w:t>
      </w:r>
      <w:r w:rsidR="00B93E2D">
        <w:rPr>
          <w:lang w:eastAsia="ja-JP"/>
        </w:rPr>
        <w:t>d</w:t>
      </w:r>
      <w:r w:rsidRPr="00FC1666">
        <w:rPr>
          <w:lang w:eastAsia="ja-JP"/>
        </w:rPr>
        <w:t>ay 22 visit</w:t>
      </w:r>
      <w:r w:rsidRPr="004252A6">
        <w:rPr>
          <w:lang w:eastAsia="ja-JP"/>
        </w:rPr>
        <w:t xml:space="preserve"> up to the Month-6</w:t>
      </w:r>
      <w:r w:rsidRPr="004252A6">
        <w:rPr>
          <w:b/>
          <w:iCs/>
          <w:lang w:eastAsia="ja-JP"/>
        </w:rPr>
        <w:t xml:space="preserve"> </w:t>
      </w:r>
      <w:r w:rsidR="00FC1666">
        <w:rPr>
          <w:lang w:eastAsia="ja-JP"/>
        </w:rPr>
        <w:t>telephone call).</w:t>
      </w:r>
    </w:p>
    <w:p w14:paraId="253DC45F" w14:textId="1B4FBD5E" w:rsidR="004252A6" w:rsidRPr="004252A6" w:rsidRDefault="004252A6" w:rsidP="004252A6">
      <w:pPr>
        <w:rPr>
          <w:b/>
          <w:i/>
          <w:iCs/>
          <w:lang w:eastAsia="ja-JP"/>
        </w:rPr>
      </w:pPr>
      <w:r w:rsidRPr="00FC1666">
        <w:rPr>
          <w:i/>
          <w:lang w:eastAsia="ja-JP"/>
        </w:rPr>
        <w:t>Adults:</w:t>
      </w:r>
      <w:r w:rsidRPr="004252A6">
        <w:rPr>
          <w:lang w:eastAsia="ja-JP"/>
        </w:rPr>
        <w:t xml:space="preserve"> Similar across the groups (1.3% and 1.4% in the QIV and TIV groups, respectively). No NCIs reported in</w:t>
      </w:r>
      <w:r w:rsidR="001B2B66">
        <w:rPr>
          <w:lang w:eastAsia="ja-JP"/>
        </w:rPr>
        <w:t xml:space="preserve"> &gt; </w:t>
      </w:r>
      <w:r w:rsidRPr="004252A6">
        <w:rPr>
          <w:lang w:eastAsia="ja-JP"/>
        </w:rPr>
        <w:t>1 subject for any</w:t>
      </w:r>
      <w:r w:rsidRPr="004252A6">
        <w:rPr>
          <w:b/>
          <w:i/>
          <w:iCs/>
          <w:lang w:eastAsia="ja-JP"/>
        </w:rPr>
        <w:t xml:space="preserve"> </w:t>
      </w:r>
      <w:r w:rsidRPr="004252A6">
        <w:rPr>
          <w:lang w:eastAsia="ja-JP"/>
        </w:rPr>
        <w:t>PT in either vaccination group, except spinal osteoarthritis reported in 2 subjects (0.3%) in the QIV group.</w:t>
      </w:r>
    </w:p>
    <w:p w14:paraId="724C2F9A" w14:textId="77777777" w:rsidR="00580863" w:rsidRDefault="004252A6" w:rsidP="004252A6">
      <w:pPr>
        <w:rPr>
          <w:lang w:eastAsia="ja-JP"/>
        </w:rPr>
      </w:pPr>
      <w:r w:rsidRPr="00FC1666">
        <w:rPr>
          <w:i/>
          <w:lang w:eastAsia="ja-JP"/>
        </w:rPr>
        <w:t>Elderly:</w:t>
      </w:r>
      <w:r w:rsidRPr="004252A6">
        <w:rPr>
          <w:lang w:eastAsia="ja-JP"/>
        </w:rPr>
        <w:t xml:space="preserve"> Similar across the groups (4.0% and 2.3% in the QIV and TIV groups, respectively). No NCIs reported in</w:t>
      </w:r>
      <w:r w:rsidR="001B2B66">
        <w:rPr>
          <w:lang w:eastAsia="ja-JP"/>
        </w:rPr>
        <w:t xml:space="preserve"> &gt; </w:t>
      </w:r>
      <w:r w:rsidRPr="004252A6">
        <w:rPr>
          <w:lang w:eastAsia="ja-JP"/>
        </w:rPr>
        <w:t>1 subject for any PT in either vaccination group, except for the following illnesses in the QIV group: cataract reported in 5 subjects (0.7%); osteoarthritis reported in 3 subjects (0.4%); and gastroenteritis, atrial fibrillation, and hypothyroidism each reported in 2 subjects (0.3%). None of the NCIs considered related to the study vaccine.</w:t>
      </w:r>
    </w:p>
    <w:p w14:paraId="7954C989" w14:textId="589A1A9E" w:rsidR="004252A6" w:rsidRPr="004252A6" w:rsidRDefault="004252A6" w:rsidP="00FC1666">
      <w:pPr>
        <w:pStyle w:val="Heading5"/>
        <w:rPr>
          <w:lang w:eastAsia="ja-JP"/>
        </w:rPr>
      </w:pPr>
      <w:r w:rsidRPr="004252A6">
        <w:rPr>
          <w:lang w:eastAsia="ja-JP"/>
        </w:rPr>
        <w:t xml:space="preserve">Clinical </w:t>
      </w:r>
      <w:r w:rsidR="00B93E2D" w:rsidRPr="004252A6">
        <w:rPr>
          <w:lang w:eastAsia="ja-JP"/>
        </w:rPr>
        <w:t xml:space="preserve">study database </w:t>
      </w:r>
      <w:proofErr w:type="spellStart"/>
      <w:r w:rsidR="00B93E2D">
        <w:rPr>
          <w:lang w:eastAsia="ja-JP"/>
        </w:rPr>
        <w:t>influvac</w:t>
      </w:r>
      <w:proofErr w:type="spellEnd"/>
    </w:p>
    <w:p w14:paraId="44C47658" w14:textId="233F36C1" w:rsidR="004252A6" w:rsidRPr="004252A6" w:rsidRDefault="004252A6" w:rsidP="004252A6">
      <w:pPr>
        <w:rPr>
          <w:lang w:eastAsia="ja-JP"/>
        </w:rPr>
      </w:pPr>
      <w:r w:rsidRPr="00FC1666">
        <w:rPr>
          <w:i/>
          <w:lang w:eastAsia="ja-JP"/>
        </w:rPr>
        <w:t>Pregnancy:</w:t>
      </w:r>
      <w:r w:rsidRPr="004252A6">
        <w:rPr>
          <w:lang w:eastAsia="ja-JP"/>
        </w:rPr>
        <w:t xml:space="preserve"> </w:t>
      </w:r>
      <w:r w:rsidR="00957523">
        <w:rPr>
          <w:lang w:eastAsia="ja-JP"/>
        </w:rPr>
        <w:t>2</w:t>
      </w:r>
      <w:r w:rsidRPr="004252A6">
        <w:rPr>
          <w:lang w:eastAsia="ja-JP"/>
        </w:rPr>
        <w:t xml:space="preserve"> subjects became pregnant during the study: normal pregnancy outcome with live births. One subject vaccinated in the supportive TIV study S203.3.013 </w:t>
      </w:r>
      <w:r w:rsidR="001F1C06">
        <w:rPr>
          <w:lang w:eastAsia="ja-JP"/>
        </w:rPr>
        <w:t xml:space="preserve">(conducted in Australia) </w:t>
      </w:r>
      <w:r w:rsidRPr="004252A6">
        <w:rPr>
          <w:lang w:eastAsia="ja-JP"/>
        </w:rPr>
        <w:t>became pregnant between the Day 22 visit and Month 6 post-vaccination. She had a full term pregnancy with normal outcome.</w:t>
      </w:r>
    </w:p>
    <w:p w14:paraId="5E425EA4" w14:textId="77777777" w:rsidR="00580863" w:rsidRDefault="004252A6" w:rsidP="004252A6">
      <w:pPr>
        <w:rPr>
          <w:lang w:eastAsia="ja-JP"/>
        </w:rPr>
      </w:pPr>
      <w:r w:rsidRPr="00FC1666">
        <w:rPr>
          <w:i/>
          <w:lang w:eastAsia="ja-JP"/>
        </w:rPr>
        <w:t>Unsolicited AEs:</w:t>
      </w:r>
      <w:r w:rsidR="00FC1666">
        <w:rPr>
          <w:lang w:eastAsia="ja-JP"/>
        </w:rPr>
        <w:t xml:space="preserve"> i</w:t>
      </w:r>
      <w:r w:rsidRPr="004252A6">
        <w:rPr>
          <w:lang w:eastAsia="ja-JP"/>
        </w:rPr>
        <w:t>n those in whom these could be evaluated, 3 adults and 7 elderly adults reported 10 TESAEs in total in the study period up to 3 weeks after vaccination. All the reported TESAEs were considered not related to study vaccine.</w:t>
      </w:r>
    </w:p>
    <w:p w14:paraId="63F40644" w14:textId="6FCB1DC7" w:rsidR="004252A6" w:rsidRPr="004252A6" w:rsidRDefault="004252A6" w:rsidP="004252A6">
      <w:pPr>
        <w:rPr>
          <w:lang w:eastAsia="ja-JP"/>
        </w:rPr>
      </w:pPr>
      <w:r w:rsidRPr="00FC1666">
        <w:rPr>
          <w:i/>
          <w:lang w:eastAsia="ja-JP"/>
        </w:rPr>
        <w:t>Adults:</w:t>
      </w:r>
      <w:r w:rsidRPr="004252A6">
        <w:rPr>
          <w:lang w:eastAsia="ja-JP"/>
        </w:rPr>
        <w:t xml:space="preserve"> 3</w:t>
      </w:r>
      <w:r w:rsidR="00FC1666">
        <w:rPr>
          <w:lang w:eastAsia="ja-JP"/>
        </w:rPr>
        <w:t xml:space="preserve"> </w:t>
      </w:r>
      <w:r w:rsidRPr="004252A6">
        <w:rPr>
          <w:lang w:eastAsia="ja-JP"/>
        </w:rPr>
        <w:t xml:space="preserve">subjects experienced one TESAE each, </w:t>
      </w:r>
      <w:r w:rsidR="00E11D64">
        <w:rPr>
          <w:lang w:eastAsia="ja-JP"/>
        </w:rPr>
        <w:t>that is</w:t>
      </w:r>
      <w:r w:rsidRPr="004252A6">
        <w:rPr>
          <w:lang w:eastAsia="ja-JP"/>
        </w:rPr>
        <w:t>, type I diabetes mellitus, shoulder surgery, acute appendicitis, considered to be of mild, moderate and severe intensity, respectively.</w:t>
      </w:r>
    </w:p>
    <w:p w14:paraId="23A1511F" w14:textId="2C81EE5B" w:rsidR="004252A6" w:rsidRPr="004252A6" w:rsidRDefault="004252A6" w:rsidP="004252A6">
      <w:pPr>
        <w:rPr>
          <w:lang w:eastAsia="ja-JP"/>
        </w:rPr>
      </w:pPr>
      <w:r w:rsidRPr="00FC1666">
        <w:rPr>
          <w:i/>
          <w:lang w:eastAsia="ja-JP"/>
        </w:rPr>
        <w:t>Elderly:</w:t>
      </w:r>
      <w:r w:rsidRPr="004252A6">
        <w:rPr>
          <w:lang w:eastAsia="ja-JP"/>
        </w:rPr>
        <w:t xml:space="preserve"> </w:t>
      </w:r>
      <w:r w:rsidR="00957523">
        <w:rPr>
          <w:lang w:eastAsia="ja-JP"/>
        </w:rPr>
        <w:t>7</w:t>
      </w:r>
      <w:r w:rsidRPr="004252A6">
        <w:rPr>
          <w:lang w:eastAsia="ja-JP"/>
        </w:rPr>
        <w:t xml:space="preserve"> experienced the following TESAEs, </w:t>
      </w:r>
      <w:r w:rsidR="00E11D64">
        <w:rPr>
          <w:lang w:eastAsia="ja-JP"/>
        </w:rPr>
        <w:t>that is</w:t>
      </w:r>
      <w:r w:rsidRPr="004252A6">
        <w:rPr>
          <w:lang w:eastAsia="ja-JP"/>
        </w:rPr>
        <w:t xml:space="preserve">, pancreatic neoplasm, coronary artery disease, transient ischemic attack, </w:t>
      </w:r>
      <w:proofErr w:type="gramStart"/>
      <w:r w:rsidRPr="004252A6">
        <w:rPr>
          <w:lang w:eastAsia="ja-JP"/>
        </w:rPr>
        <w:t>adenocarcinoma</w:t>
      </w:r>
      <w:proofErr w:type="gramEnd"/>
      <w:r w:rsidRPr="004252A6">
        <w:rPr>
          <w:lang w:eastAsia="ja-JP"/>
        </w:rPr>
        <w:t xml:space="preserve"> of the prostate and urinary retention secondary to benign prostatic hyperplasia, radiculitis secondary to osteoarthritis, chest pain</w:t>
      </w:r>
      <w:r w:rsidR="005A54CD">
        <w:rPr>
          <w:lang w:eastAsia="ja-JP"/>
        </w:rPr>
        <w:t xml:space="preserve"> and</w:t>
      </w:r>
      <w:r w:rsidRPr="004252A6">
        <w:rPr>
          <w:lang w:eastAsia="ja-JP"/>
        </w:rPr>
        <w:t xml:space="preserve"> confusion. Radiculitis and chest pain </w:t>
      </w:r>
      <w:r w:rsidR="005A54CD">
        <w:rPr>
          <w:lang w:eastAsia="ja-JP"/>
        </w:rPr>
        <w:t xml:space="preserve">were </w:t>
      </w:r>
      <w:r w:rsidRPr="004252A6">
        <w:rPr>
          <w:lang w:eastAsia="ja-JP"/>
        </w:rPr>
        <w:t>considered to be moderate, all other TESAEs were severe.</w:t>
      </w:r>
    </w:p>
    <w:p w14:paraId="162F6443" w14:textId="77777777" w:rsidR="00290AA9" w:rsidRDefault="004252A6" w:rsidP="00290AA9">
      <w:pPr>
        <w:pStyle w:val="Heading5"/>
        <w:rPr>
          <w:lang w:eastAsia="ja-JP"/>
        </w:rPr>
      </w:pPr>
      <w:r w:rsidRPr="004252A6">
        <w:rPr>
          <w:lang w:eastAsia="ja-JP"/>
        </w:rPr>
        <w:t>Extended safety (SAE and NCI) follow-up (Day 22 up to 6 months post-vaccination)</w:t>
      </w:r>
    </w:p>
    <w:p w14:paraId="7EB1D3BF" w14:textId="078A930C" w:rsidR="004252A6" w:rsidRPr="004252A6" w:rsidRDefault="00290AA9" w:rsidP="004252A6">
      <w:pPr>
        <w:rPr>
          <w:lang w:eastAsia="ja-JP"/>
        </w:rPr>
      </w:pPr>
      <w:r>
        <w:rPr>
          <w:lang w:eastAsia="ja-JP"/>
        </w:rPr>
        <w:t xml:space="preserve">This was </w:t>
      </w:r>
      <w:r w:rsidR="004252A6" w:rsidRPr="004252A6">
        <w:rPr>
          <w:lang w:eastAsia="ja-JP"/>
        </w:rPr>
        <w:t xml:space="preserve">performed in </w:t>
      </w:r>
      <w:r w:rsidR="00957523">
        <w:rPr>
          <w:lang w:eastAsia="ja-JP"/>
        </w:rPr>
        <w:t>2</w:t>
      </w:r>
      <w:r w:rsidR="004252A6" w:rsidRPr="004252A6">
        <w:rPr>
          <w:lang w:eastAsia="ja-JP"/>
        </w:rPr>
        <w:t xml:space="preserve"> stud</w:t>
      </w:r>
      <w:r>
        <w:rPr>
          <w:lang w:eastAsia="ja-JP"/>
        </w:rPr>
        <w:t xml:space="preserve">ies (Studies </w:t>
      </w:r>
      <w:r w:rsidR="00FC1666">
        <w:rPr>
          <w:lang w:eastAsia="ja-JP"/>
        </w:rPr>
        <w:t>S203.2.009 and S203.3.013).</w:t>
      </w:r>
    </w:p>
    <w:p w14:paraId="54D7B0E5" w14:textId="6E9AD724" w:rsidR="004252A6" w:rsidRPr="004252A6" w:rsidRDefault="004252A6" w:rsidP="004252A6">
      <w:pPr>
        <w:rPr>
          <w:lang w:eastAsia="ja-JP"/>
        </w:rPr>
      </w:pPr>
      <w:r w:rsidRPr="00290AA9">
        <w:rPr>
          <w:i/>
          <w:iCs/>
          <w:lang w:eastAsia="ja-JP"/>
        </w:rPr>
        <w:t xml:space="preserve">Deaths: </w:t>
      </w:r>
      <w:r w:rsidR="00290AA9">
        <w:rPr>
          <w:lang w:eastAsia="ja-JP"/>
        </w:rPr>
        <w:t>O</w:t>
      </w:r>
      <w:r w:rsidRPr="00290AA9">
        <w:rPr>
          <w:lang w:eastAsia="ja-JP"/>
        </w:rPr>
        <w:t>utcome fatal (congestive cardiac failure in 1 subject and metastatic pancreatic</w:t>
      </w:r>
      <w:r w:rsidRPr="004252A6">
        <w:rPr>
          <w:lang w:eastAsia="ja-JP"/>
        </w:rPr>
        <w:t xml:space="preserve"> carcinoma and peritonitis in 1 subject) for 2 elderly adults during the period from Day</w:t>
      </w:r>
      <w:r w:rsidR="00290AA9">
        <w:rPr>
          <w:lang w:eastAsia="ja-JP"/>
        </w:rPr>
        <w:t xml:space="preserve"> </w:t>
      </w:r>
      <w:r w:rsidRPr="004252A6">
        <w:rPr>
          <w:lang w:eastAsia="ja-JP"/>
        </w:rPr>
        <w:t>22 up to 6 months post-vaccination. None considered vaccine-related.</w:t>
      </w:r>
    </w:p>
    <w:p w14:paraId="71AA3614" w14:textId="3D9EF57E" w:rsidR="004252A6" w:rsidRPr="00290AA9" w:rsidRDefault="004252A6" w:rsidP="00290AA9">
      <w:pPr>
        <w:rPr>
          <w:i/>
        </w:rPr>
      </w:pPr>
      <w:r w:rsidRPr="00290AA9">
        <w:rPr>
          <w:i/>
        </w:rPr>
        <w:t xml:space="preserve">Other </w:t>
      </w:r>
      <w:r w:rsidR="00290AA9" w:rsidRPr="00290AA9">
        <w:rPr>
          <w:i/>
        </w:rPr>
        <w:t>SAEs:</w:t>
      </w:r>
    </w:p>
    <w:p w14:paraId="29E984E5" w14:textId="79137A93" w:rsidR="004252A6" w:rsidRPr="004252A6" w:rsidRDefault="00290AA9" w:rsidP="00290AA9">
      <w:pPr>
        <w:pStyle w:val="ListBullet"/>
        <w:rPr>
          <w:lang w:eastAsia="ja-JP"/>
        </w:rPr>
      </w:pPr>
      <w:r>
        <w:rPr>
          <w:lang w:eastAsia="ja-JP"/>
        </w:rPr>
        <w:t xml:space="preserve">Study </w:t>
      </w:r>
      <w:r w:rsidR="004252A6" w:rsidRPr="004252A6">
        <w:rPr>
          <w:lang w:eastAsia="ja-JP"/>
        </w:rPr>
        <w:t>S203.2009 (</w:t>
      </w:r>
      <w:r>
        <w:rPr>
          <w:lang w:eastAsia="ja-JP"/>
        </w:rPr>
        <w:t xml:space="preserve">first </w:t>
      </w:r>
      <w:r w:rsidR="004252A6" w:rsidRPr="004252A6">
        <w:rPr>
          <w:lang w:eastAsia="ja-JP"/>
        </w:rPr>
        <w:t>year): The proportion of elderly adults reported with</w:t>
      </w:r>
      <w:r w:rsidR="001B2B66">
        <w:rPr>
          <w:lang w:eastAsia="ja-JP"/>
        </w:rPr>
        <w:t xml:space="preserve"> ≥ </w:t>
      </w:r>
      <w:r w:rsidR="004252A6" w:rsidRPr="004252A6">
        <w:rPr>
          <w:lang w:eastAsia="ja-JP"/>
        </w:rPr>
        <w:t>1 TESAE was 3.9%. The most commonly reported TESAE was angina pectoris (2 subjects). No other TESAEs were reported in more than one subject. None considered vaccine-related.</w:t>
      </w:r>
    </w:p>
    <w:p w14:paraId="492AB67A" w14:textId="18AE13CE" w:rsidR="004252A6" w:rsidRPr="004252A6" w:rsidRDefault="00290AA9" w:rsidP="00290AA9">
      <w:pPr>
        <w:pStyle w:val="ListBullet"/>
        <w:rPr>
          <w:lang w:eastAsia="ja-JP"/>
        </w:rPr>
      </w:pPr>
      <w:r>
        <w:rPr>
          <w:lang w:eastAsia="ja-JP"/>
        </w:rPr>
        <w:lastRenderedPageBreak/>
        <w:t xml:space="preserve">Study </w:t>
      </w:r>
      <w:r w:rsidR="004252A6" w:rsidRPr="004252A6">
        <w:rPr>
          <w:lang w:eastAsia="ja-JP"/>
        </w:rPr>
        <w:t>S203.2009 (</w:t>
      </w:r>
      <w:r>
        <w:rPr>
          <w:lang w:eastAsia="ja-JP"/>
        </w:rPr>
        <w:t xml:space="preserve">second </w:t>
      </w:r>
      <w:r w:rsidR="004252A6" w:rsidRPr="004252A6">
        <w:rPr>
          <w:lang w:eastAsia="ja-JP"/>
        </w:rPr>
        <w:t>year): The proportion of subjects reported with at least one TESAE from the</w:t>
      </w:r>
      <w:r>
        <w:rPr>
          <w:lang w:eastAsia="ja-JP"/>
        </w:rPr>
        <w:t xml:space="preserve"> Year 2 Day 22 </w:t>
      </w:r>
      <w:r w:rsidR="004252A6" w:rsidRPr="004252A6">
        <w:rPr>
          <w:lang w:eastAsia="ja-JP"/>
        </w:rPr>
        <w:t>Visit up to the Year 2 Month 6-telephone call of the study was 3.5%. No TESAEs</w:t>
      </w:r>
      <w:r>
        <w:rPr>
          <w:lang w:eastAsia="ja-JP"/>
        </w:rPr>
        <w:t xml:space="preserve"> </w:t>
      </w:r>
      <w:r w:rsidR="004252A6" w:rsidRPr="004252A6">
        <w:rPr>
          <w:lang w:eastAsia="ja-JP"/>
        </w:rPr>
        <w:t>were reported in more than one s</w:t>
      </w:r>
      <w:r>
        <w:rPr>
          <w:lang w:eastAsia="ja-JP"/>
        </w:rPr>
        <w:t xml:space="preserve">ubject. None considered vaccine </w:t>
      </w:r>
      <w:r w:rsidR="004252A6" w:rsidRPr="004252A6">
        <w:rPr>
          <w:lang w:eastAsia="ja-JP"/>
        </w:rPr>
        <w:t>related.</w:t>
      </w:r>
    </w:p>
    <w:p w14:paraId="06A74495" w14:textId="2B56D6D9" w:rsidR="004252A6" w:rsidRPr="00290AA9" w:rsidRDefault="004252A6" w:rsidP="004252A6">
      <w:pPr>
        <w:rPr>
          <w:i/>
          <w:iCs/>
          <w:lang w:eastAsia="ja-JP"/>
        </w:rPr>
      </w:pPr>
      <w:r w:rsidRPr="00290AA9">
        <w:rPr>
          <w:i/>
          <w:iCs/>
          <w:lang w:eastAsia="ja-JP"/>
        </w:rPr>
        <w:t>NCI</w:t>
      </w:r>
      <w:r w:rsidR="00290AA9">
        <w:rPr>
          <w:i/>
          <w:iCs/>
          <w:lang w:eastAsia="ja-JP"/>
        </w:rPr>
        <w:t>:</w:t>
      </w:r>
    </w:p>
    <w:p w14:paraId="59FECEEF" w14:textId="6E4FC9F5" w:rsidR="004252A6" w:rsidRPr="00290AA9" w:rsidRDefault="00290AA9" w:rsidP="00290AA9">
      <w:pPr>
        <w:pStyle w:val="ListBullet"/>
        <w:rPr>
          <w:lang w:eastAsia="ja-JP"/>
        </w:rPr>
      </w:pPr>
      <w:r w:rsidRPr="00290AA9">
        <w:rPr>
          <w:lang w:eastAsia="ja-JP"/>
        </w:rPr>
        <w:t xml:space="preserve">Study </w:t>
      </w:r>
      <w:r w:rsidR="004252A6" w:rsidRPr="00290AA9">
        <w:rPr>
          <w:lang w:eastAsia="ja-JP"/>
        </w:rPr>
        <w:t>S203.2009 (</w:t>
      </w:r>
      <w:r w:rsidRPr="00290AA9">
        <w:rPr>
          <w:lang w:eastAsia="ja-JP"/>
        </w:rPr>
        <w:t>first</w:t>
      </w:r>
      <w:r w:rsidR="004252A6" w:rsidRPr="00290AA9">
        <w:rPr>
          <w:lang w:eastAsia="ja-JP"/>
        </w:rPr>
        <w:t xml:space="preserve"> year): 9.2% subjects with at least one NCI reported. No NCI reported in</w:t>
      </w:r>
      <w:r w:rsidR="001B2B66">
        <w:rPr>
          <w:lang w:eastAsia="ja-JP"/>
        </w:rPr>
        <w:t xml:space="preserve"> ≥ </w:t>
      </w:r>
      <w:r w:rsidR="004252A6" w:rsidRPr="00290AA9">
        <w:rPr>
          <w:lang w:eastAsia="ja-JP"/>
        </w:rPr>
        <w:t xml:space="preserve">5%. The most common NCI was osteoarthritis (5 </w:t>
      </w:r>
      <w:r w:rsidR="00140CBD">
        <w:rPr>
          <w:lang w:eastAsia="ja-JP"/>
        </w:rPr>
        <w:t>(</w:t>
      </w:r>
      <w:r w:rsidR="004252A6" w:rsidRPr="00290AA9">
        <w:rPr>
          <w:lang w:eastAsia="ja-JP"/>
        </w:rPr>
        <w:t>2.4%</w:t>
      </w:r>
      <w:r w:rsidR="00140CBD">
        <w:rPr>
          <w:lang w:eastAsia="ja-JP"/>
        </w:rPr>
        <w:t>)</w:t>
      </w:r>
      <w:r w:rsidR="004252A6" w:rsidRPr="00290AA9">
        <w:rPr>
          <w:lang w:eastAsia="ja-JP"/>
        </w:rPr>
        <w:t xml:space="preserve"> subjects). None considered vaccine-related.</w:t>
      </w:r>
    </w:p>
    <w:p w14:paraId="1F55999E" w14:textId="6165AA4E" w:rsidR="004252A6" w:rsidRPr="00290AA9" w:rsidRDefault="00290AA9" w:rsidP="00290AA9">
      <w:pPr>
        <w:pStyle w:val="ListBullet"/>
        <w:rPr>
          <w:lang w:eastAsia="ja-JP"/>
        </w:rPr>
      </w:pPr>
      <w:r>
        <w:rPr>
          <w:lang w:eastAsia="ja-JP"/>
        </w:rPr>
        <w:t xml:space="preserve">Study </w:t>
      </w:r>
      <w:r w:rsidR="004252A6" w:rsidRPr="00290AA9">
        <w:rPr>
          <w:lang w:eastAsia="ja-JP"/>
        </w:rPr>
        <w:t>S203.2009 (</w:t>
      </w:r>
      <w:r w:rsidRPr="00290AA9">
        <w:rPr>
          <w:lang w:eastAsia="ja-JP"/>
        </w:rPr>
        <w:t xml:space="preserve">second </w:t>
      </w:r>
      <w:r w:rsidR="004252A6" w:rsidRPr="00290AA9">
        <w:rPr>
          <w:lang w:eastAsia="ja-JP"/>
        </w:rPr>
        <w:t>year): 7.0% subjects with</w:t>
      </w:r>
      <w:r w:rsidR="001B2B66">
        <w:rPr>
          <w:lang w:eastAsia="ja-JP"/>
        </w:rPr>
        <w:t xml:space="preserve"> ≥ </w:t>
      </w:r>
      <w:r w:rsidR="004252A6" w:rsidRPr="00290AA9">
        <w:rPr>
          <w:lang w:eastAsia="ja-JP"/>
        </w:rPr>
        <w:t>1 NCI reported. No NCI reported in</w:t>
      </w:r>
      <w:r w:rsidR="001B2B66">
        <w:rPr>
          <w:lang w:eastAsia="ja-JP"/>
        </w:rPr>
        <w:t xml:space="preserve"> ≥ </w:t>
      </w:r>
      <w:r w:rsidR="004252A6" w:rsidRPr="00290AA9">
        <w:rPr>
          <w:lang w:eastAsia="ja-JP"/>
        </w:rPr>
        <w:t xml:space="preserve">2%. Most common NCI was osteoarthritis (2 </w:t>
      </w:r>
      <w:r w:rsidR="00140CBD">
        <w:rPr>
          <w:lang w:eastAsia="ja-JP"/>
        </w:rPr>
        <w:t>(</w:t>
      </w:r>
      <w:r w:rsidR="004252A6" w:rsidRPr="00290AA9">
        <w:rPr>
          <w:lang w:eastAsia="ja-JP"/>
        </w:rPr>
        <w:t>1.4%</w:t>
      </w:r>
      <w:r w:rsidR="00140CBD">
        <w:rPr>
          <w:lang w:eastAsia="ja-JP"/>
        </w:rPr>
        <w:t>)</w:t>
      </w:r>
      <w:r w:rsidR="004252A6" w:rsidRPr="00290AA9">
        <w:rPr>
          <w:lang w:eastAsia="ja-JP"/>
        </w:rPr>
        <w:t xml:space="preserve"> subjects). None considered vaccine-related.</w:t>
      </w:r>
    </w:p>
    <w:p w14:paraId="31F3005E" w14:textId="77777777" w:rsidR="004252A6" w:rsidRPr="004252A6" w:rsidRDefault="004252A6" w:rsidP="00290AA9">
      <w:pPr>
        <w:pStyle w:val="Heading4"/>
      </w:pPr>
      <w:r w:rsidRPr="004252A6">
        <w:t>Discontinuations due to adverse events</w:t>
      </w:r>
      <w:bookmarkEnd w:id="137"/>
      <w:bookmarkEnd w:id="138"/>
      <w:bookmarkEnd w:id="139"/>
      <w:bookmarkEnd w:id="140"/>
      <w:bookmarkEnd w:id="141"/>
      <w:bookmarkEnd w:id="142"/>
      <w:bookmarkEnd w:id="143"/>
      <w:bookmarkEnd w:id="144"/>
    </w:p>
    <w:p w14:paraId="5261D1F1" w14:textId="77777777" w:rsidR="004252A6" w:rsidRPr="004252A6" w:rsidRDefault="004252A6" w:rsidP="00290AA9">
      <w:pPr>
        <w:pStyle w:val="Heading5"/>
        <w:rPr>
          <w:lang w:eastAsia="ja-JP"/>
        </w:rPr>
      </w:pPr>
      <w:r w:rsidRPr="004252A6">
        <w:rPr>
          <w:lang w:eastAsia="ja-JP"/>
        </w:rPr>
        <w:t>Integrated safety analyses</w:t>
      </w:r>
    </w:p>
    <w:p w14:paraId="0DBFE272" w14:textId="77777777" w:rsidR="004252A6" w:rsidRPr="004252A6" w:rsidRDefault="004252A6" w:rsidP="004252A6">
      <w:pPr>
        <w:rPr>
          <w:lang w:eastAsia="ja-JP"/>
        </w:rPr>
      </w:pPr>
      <w:r w:rsidRPr="004252A6">
        <w:rPr>
          <w:lang w:eastAsia="ja-JP"/>
        </w:rPr>
        <w:t>Overall, 0.7% prematurely withdrew from the studies, 10 (0.7%) adults and 13 (0.7%) elderly adults. Reasons reported: lost to follow-up (7 adults and 6 elderly adults), and AE (6 elderly adults with SAEs), withdrawal of consent (1 adult and 1 elderly adult), and lack of time (due to personal reasons, 2 adult subjects).</w:t>
      </w:r>
    </w:p>
    <w:p w14:paraId="73DE6D03" w14:textId="77777777" w:rsidR="00290AA9" w:rsidRDefault="004252A6" w:rsidP="004252A6">
      <w:pPr>
        <w:pStyle w:val="Heading5"/>
        <w:rPr>
          <w:lang w:eastAsia="ja-JP"/>
        </w:rPr>
      </w:pPr>
      <w:r w:rsidRPr="004252A6">
        <w:rPr>
          <w:lang w:eastAsia="ja-JP"/>
        </w:rPr>
        <w:t>Pivotal and/or main efficacy studies</w:t>
      </w:r>
      <w:bookmarkStart w:id="145" w:name="_Toc241374321"/>
      <w:bookmarkStart w:id="146" w:name="_Ref271044780"/>
      <w:bookmarkStart w:id="147" w:name="_Ref271196640"/>
      <w:bookmarkStart w:id="148" w:name="_Ref272333085"/>
      <w:bookmarkStart w:id="149" w:name="_Toc272414668"/>
      <w:bookmarkStart w:id="150" w:name="_Toc290888532"/>
      <w:bookmarkStart w:id="151" w:name="_Toc416353748"/>
      <w:bookmarkStart w:id="152" w:name="_Toc421005291"/>
      <w:bookmarkStart w:id="153" w:name="_Toc432079168"/>
      <w:bookmarkStart w:id="154" w:name="_Toc432080741"/>
      <w:r w:rsidR="00290AA9">
        <w:rPr>
          <w:lang w:eastAsia="ja-JP"/>
        </w:rPr>
        <w:t xml:space="preserve"> (Study INFQ3001)</w:t>
      </w:r>
    </w:p>
    <w:p w14:paraId="1E06AC49" w14:textId="0FA1E5A3" w:rsidR="004252A6" w:rsidRPr="004252A6" w:rsidRDefault="004252A6" w:rsidP="00290AA9">
      <w:pPr>
        <w:rPr>
          <w:lang w:eastAsia="ja-JP"/>
        </w:rPr>
      </w:pPr>
      <w:r w:rsidRPr="004252A6">
        <w:rPr>
          <w:lang w:eastAsia="ja-JP"/>
        </w:rPr>
        <w:t xml:space="preserve">Overall, 11 subjects (0.6%) prematurely withdrew from the study. The number of premature withdrawals was 8 subjects (0.5%) assigned to QIV, 1 subject (0.5%) to </w:t>
      </w:r>
      <w:proofErr w:type="gramStart"/>
      <w:r w:rsidRPr="004252A6">
        <w:rPr>
          <w:lang w:eastAsia="ja-JP"/>
        </w:rPr>
        <w:t>TIV</w:t>
      </w:r>
      <w:r w:rsidRPr="00290AA9">
        <w:rPr>
          <w:vertAlign w:val="subscript"/>
          <w:lang w:eastAsia="ja-JP"/>
        </w:rPr>
        <w:t>(</w:t>
      </w:r>
      <w:proofErr w:type="gramEnd"/>
      <w:r w:rsidRPr="00290AA9">
        <w:rPr>
          <w:vertAlign w:val="subscript"/>
          <w:lang w:eastAsia="ja-JP"/>
        </w:rPr>
        <w:t>Vic)</w:t>
      </w:r>
      <w:r w:rsidRPr="004252A6">
        <w:rPr>
          <w:lang w:eastAsia="ja-JP"/>
        </w:rPr>
        <w:t xml:space="preserve"> and 2 subjects (0.9%) to TIV</w:t>
      </w:r>
      <w:r w:rsidRPr="00290AA9">
        <w:rPr>
          <w:vertAlign w:val="subscript"/>
          <w:lang w:eastAsia="ja-JP"/>
        </w:rPr>
        <w:t>(Yam)</w:t>
      </w:r>
      <w:r w:rsidRPr="004252A6">
        <w:rPr>
          <w:lang w:eastAsia="ja-JP"/>
        </w:rPr>
        <w:t>. Reasons reported: withdrawal of consent (4 subjects), AE</w:t>
      </w:r>
      <w:r w:rsidR="005A54CD">
        <w:rPr>
          <w:lang w:eastAsia="ja-JP"/>
        </w:rPr>
        <w:t xml:space="preserve"> </w:t>
      </w:r>
      <w:r w:rsidRPr="004252A6">
        <w:rPr>
          <w:lang w:eastAsia="ja-JP"/>
        </w:rPr>
        <w:t>(3 subjects with fatal TEAEs, lost to follow-up (3 subjects) and administrative (1 subject). No subject reported a TEAE up to the Day 22 visit leading to study termination.</w:t>
      </w:r>
    </w:p>
    <w:p w14:paraId="010C20E6" w14:textId="6B5A34FC" w:rsidR="004252A6" w:rsidRPr="004252A6" w:rsidRDefault="004252A6" w:rsidP="00290AA9">
      <w:pPr>
        <w:pStyle w:val="Heading3"/>
      </w:pPr>
      <w:bookmarkStart w:id="155" w:name="_Toc470758077"/>
      <w:bookmarkStart w:id="156" w:name="_Toc524344801"/>
      <w:r w:rsidRPr="004252A6">
        <w:t xml:space="preserve">Evaluation of issues </w:t>
      </w:r>
      <w:bookmarkEnd w:id="145"/>
      <w:bookmarkEnd w:id="146"/>
      <w:bookmarkEnd w:id="147"/>
      <w:bookmarkEnd w:id="148"/>
      <w:bookmarkEnd w:id="149"/>
      <w:bookmarkEnd w:id="150"/>
      <w:bookmarkEnd w:id="151"/>
      <w:bookmarkEnd w:id="152"/>
      <w:r w:rsidRPr="004252A6">
        <w:t xml:space="preserve">in </w:t>
      </w:r>
      <w:r w:rsidR="00DF2CFC">
        <w:t xml:space="preserve">Study </w:t>
      </w:r>
      <w:r w:rsidRPr="004252A6">
        <w:t>INFQ3001 with possible regulatory impact</w:t>
      </w:r>
      <w:bookmarkEnd w:id="153"/>
      <w:bookmarkEnd w:id="154"/>
      <w:bookmarkEnd w:id="155"/>
      <w:bookmarkEnd w:id="156"/>
    </w:p>
    <w:p w14:paraId="4956C9C2" w14:textId="77777777" w:rsidR="004252A6" w:rsidRPr="004252A6" w:rsidRDefault="004252A6" w:rsidP="00290AA9">
      <w:pPr>
        <w:pStyle w:val="Heading4"/>
      </w:pPr>
      <w:bookmarkStart w:id="157" w:name="_Toc272414669"/>
      <w:bookmarkStart w:id="158" w:name="_Toc290888533"/>
      <w:bookmarkStart w:id="159" w:name="_Toc416353749"/>
      <w:bookmarkStart w:id="160" w:name="_Toc421005292"/>
      <w:bookmarkStart w:id="161" w:name="_Toc432079169"/>
      <w:bookmarkStart w:id="162" w:name="_Toc432080742"/>
      <w:r w:rsidRPr="004252A6">
        <w:t>Liver function</w:t>
      </w:r>
      <w:bookmarkEnd w:id="157"/>
      <w:bookmarkEnd w:id="158"/>
      <w:bookmarkEnd w:id="159"/>
      <w:bookmarkEnd w:id="160"/>
      <w:r w:rsidRPr="004252A6">
        <w:t xml:space="preserve"> and liver toxicity</w:t>
      </w:r>
      <w:bookmarkEnd w:id="161"/>
      <w:bookmarkEnd w:id="162"/>
    </w:p>
    <w:p w14:paraId="2186E5C8" w14:textId="77777777" w:rsidR="004252A6" w:rsidRPr="004252A6" w:rsidRDefault="004252A6" w:rsidP="004252A6">
      <w:pPr>
        <w:rPr>
          <w:lang w:eastAsia="ja-JP"/>
        </w:rPr>
      </w:pPr>
      <w:r w:rsidRPr="004252A6">
        <w:rPr>
          <w:lang w:eastAsia="ja-JP"/>
        </w:rPr>
        <w:t>Not assessed.</w:t>
      </w:r>
    </w:p>
    <w:p w14:paraId="4F29E17A" w14:textId="77777777" w:rsidR="004252A6" w:rsidRPr="004252A6" w:rsidRDefault="004252A6" w:rsidP="00290AA9">
      <w:pPr>
        <w:pStyle w:val="Heading4"/>
      </w:pPr>
      <w:bookmarkStart w:id="163" w:name="_Toc272414670"/>
      <w:bookmarkStart w:id="164" w:name="_Toc290888534"/>
      <w:bookmarkStart w:id="165" w:name="_Toc416353750"/>
      <w:bookmarkStart w:id="166" w:name="_Toc421005293"/>
      <w:bookmarkStart w:id="167" w:name="_Toc432079170"/>
      <w:bookmarkStart w:id="168" w:name="_Toc432080743"/>
      <w:r w:rsidRPr="004252A6">
        <w:t>Renal function</w:t>
      </w:r>
      <w:bookmarkEnd w:id="163"/>
      <w:bookmarkEnd w:id="164"/>
      <w:bookmarkEnd w:id="165"/>
      <w:bookmarkEnd w:id="166"/>
      <w:r w:rsidRPr="004252A6">
        <w:t xml:space="preserve"> and renal toxicity</w:t>
      </w:r>
      <w:bookmarkEnd w:id="167"/>
      <w:bookmarkEnd w:id="168"/>
    </w:p>
    <w:p w14:paraId="14BBEB87" w14:textId="77777777" w:rsidR="004252A6" w:rsidRPr="004252A6" w:rsidRDefault="004252A6" w:rsidP="004252A6">
      <w:pPr>
        <w:rPr>
          <w:lang w:eastAsia="ja-JP"/>
        </w:rPr>
      </w:pPr>
      <w:r w:rsidRPr="004252A6">
        <w:rPr>
          <w:lang w:eastAsia="ja-JP"/>
        </w:rPr>
        <w:t>Not assessed.</w:t>
      </w:r>
      <w:bookmarkStart w:id="169" w:name="_Toc272414671"/>
      <w:bookmarkStart w:id="170" w:name="_Toc290888535"/>
      <w:bookmarkStart w:id="171" w:name="_Toc416353751"/>
      <w:bookmarkStart w:id="172" w:name="_Toc421005294"/>
      <w:bookmarkStart w:id="173" w:name="_Toc432079171"/>
      <w:bookmarkStart w:id="174" w:name="_Toc432080744"/>
    </w:p>
    <w:p w14:paraId="0847443B" w14:textId="77777777" w:rsidR="004252A6" w:rsidRPr="004252A6" w:rsidRDefault="004252A6" w:rsidP="00290AA9">
      <w:pPr>
        <w:pStyle w:val="Heading4"/>
      </w:pPr>
      <w:r w:rsidRPr="004252A6">
        <w:t>Other clinical chemistry</w:t>
      </w:r>
      <w:bookmarkEnd w:id="169"/>
      <w:bookmarkEnd w:id="170"/>
      <w:bookmarkEnd w:id="171"/>
      <w:bookmarkEnd w:id="172"/>
      <w:bookmarkEnd w:id="173"/>
      <w:bookmarkEnd w:id="174"/>
    </w:p>
    <w:p w14:paraId="31114907" w14:textId="77777777" w:rsidR="004252A6" w:rsidRPr="004252A6" w:rsidRDefault="004252A6" w:rsidP="004252A6">
      <w:pPr>
        <w:rPr>
          <w:lang w:eastAsia="ja-JP"/>
        </w:rPr>
      </w:pPr>
      <w:bookmarkStart w:id="175" w:name="_Toc272414672"/>
      <w:bookmarkStart w:id="176" w:name="_Toc290888536"/>
      <w:bookmarkStart w:id="177" w:name="_Toc416353752"/>
      <w:bookmarkStart w:id="178" w:name="_Toc421005295"/>
      <w:bookmarkStart w:id="179" w:name="_Toc432079172"/>
      <w:bookmarkStart w:id="180" w:name="_Toc432080745"/>
      <w:r w:rsidRPr="004252A6">
        <w:rPr>
          <w:lang w:eastAsia="ja-JP"/>
        </w:rPr>
        <w:t>Not assessed.</w:t>
      </w:r>
    </w:p>
    <w:p w14:paraId="7F2B50DB" w14:textId="77777777" w:rsidR="004252A6" w:rsidRPr="004252A6" w:rsidRDefault="004252A6" w:rsidP="00290AA9">
      <w:pPr>
        <w:pStyle w:val="Heading4"/>
      </w:pPr>
      <w:r w:rsidRPr="004252A6">
        <w:t>Haematology</w:t>
      </w:r>
      <w:bookmarkEnd w:id="175"/>
      <w:bookmarkEnd w:id="176"/>
      <w:bookmarkEnd w:id="177"/>
      <w:bookmarkEnd w:id="178"/>
      <w:r w:rsidRPr="004252A6">
        <w:t xml:space="preserve"> and haematological toxicity</w:t>
      </w:r>
      <w:bookmarkEnd w:id="179"/>
      <w:bookmarkEnd w:id="180"/>
    </w:p>
    <w:p w14:paraId="3BC9CE0E" w14:textId="77777777" w:rsidR="004252A6" w:rsidRPr="004252A6" w:rsidRDefault="004252A6" w:rsidP="004252A6">
      <w:pPr>
        <w:rPr>
          <w:lang w:eastAsia="ja-JP"/>
        </w:rPr>
      </w:pPr>
      <w:bookmarkStart w:id="181" w:name="_Toc272414674"/>
      <w:bookmarkStart w:id="182" w:name="_Toc290888538"/>
      <w:bookmarkStart w:id="183" w:name="_Toc416353753"/>
      <w:bookmarkStart w:id="184" w:name="_Toc421005296"/>
      <w:bookmarkStart w:id="185" w:name="_Toc432079173"/>
      <w:bookmarkStart w:id="186" w:name="_Toc432080746"/>
      <w:r w:rsidRPr="004252A6">
        <w:rPr>
          <w:lang w:eastAsia="ja-JP"/>
        </w:rPr>
        <w:t>Not assessed.</w:t>
      </w:r>
      <w:bookmarkStart w:id="187" w:name="_Toc272414675"/>
      <w:bookmarkStart w:id="188" w:name="_Toc290888539"/>
      <w:bookmarkStart w:id="189" w:name="_Toc416353754"/>
      <w:bookmarkStart w:id="190" w:name="_Toc421005297"/>
      <w:bookmarkStart w:id="191" w:name="_Toc432079174"/>
      <w:bookmarkStart w:id="192" w:name="_Toc432080747"/>
      <w:bookmarkEnd w:id="181"/>
      <w:bookmarkEnd w:id="182"/>
      <w:bookmarkEnd w:id="183"/>
      <w:bookmarkEnd w:id="184"/>
      <w:bookmarkEnd w:id="185"/>
      <w:bookmarkEnd w:id="186"/>
    </w:p>
    <w:p w14:paraId="47F2C986" w14:textId="77777777" w:rsidR="004252A6" w:rsidRPr="004252A6" w:rsidRDefault="004252A6" w:rsidP="00290AA9">
      <w:pPr>
        <w:pStyle w:val="Heading4"/>
      </w:pPr>
      <w:r w:rsidRPr="004252A6">
        <w:t>Electrocardiograph</w:t>
      </w:r>
      <w:bookmarkEnd w:id="187"/>
      <w:bookmarkEnd w:id="188"/>
      <w:bookmarkEnd w:id="189"/>
      <w:bookmarkEnd w:id="190"/>
      <w:r w:rsidRPr="004252A6">
        <w:t xml:space="preserve"> findings and cardiovascular safety</w:t>
      </w:r>
      <w:bookmarkEnd w:id="191"/>
      <w:bookmarkEnd w:id="192"/>
    </w:p>
    <w:p w14:paraId="4829FCBC" w14:textId="77777777" w:rsidR="004252A6" w:rsidRPr="004252A6" w:rsidRDefault="004252A6" w:rsidP="004252A6">
      <w:pPr>
        <w:rPr>
          <w:lang w:eastAsia="ja-JP"/>
        </w:rPr>
      </w:pPr>
      <w:r w:rsidRPr="004252A6">
        <w:rPr>
          <w:lang w:eastAsia="ja-JP"/>
        </w:rPr>
        <w:t>Not applicable, not assessed.</w:t>
      </w:r>
      <w:bookmarkStart w:id="193" w:name="_Toc272414676"/>
      <w:bookmarkStart w:id="194" w:name="_Toc290888540"/>
      <w:bookmarkStart w:id="195" w:name="_Toc416353755"/>
      <w:bookmarkStart w:id="196" w:name="_Toc421005298"/>
      <w:bookmarkStart w:id="197" w:name="_Toc432079175"/>
      <w:bookmarkStart w:id="198" w:name="_Toc432080748"/>
    </w:p>
    <w:p w14:paraId="0DD19716" w14:textId="77777777" w:rsidR="004252A6" w:rsidRPr="004252A6" w:rsidRDefault="004252A6" w:rsidP="00290AA9">
      <w:pPr>
        <w:pStyle w:val="Heading4"/>
      </w:pPr>
      <w:r w:rsidRPr="004252A6">
        <w:t>Vital signs</w:t>
      </w:r>
      <w:bookmarkEnd w:id="193"/>
      <w:bookmarkEnd w:id="194"/>
      <w:bookmarkEnd w:id="195"/>
      <w:bookmarkEnd w:id="196"/>
      <w:r w:rsidRPr="004252A6">
        <w:t xml:space="preserve"> and clinical examination findings</w:t>
      </w:r>
      <w:bookmarkEnd w:id="197"/>
      <w:bookmarkEnd w:id="198"/>
    </w:p>
    <w:p w14:paraId="3C9DD1DA" w14:textId="6D6C3621" w:rsidR="004252A6" w:rsidRPr="004252A6" w:rsidRDefault="004252A6" w:rsidP="004252A6">
      <w:pPr>
        <w:rPr>
          <w:lang w:eastAsia="ja-JP"/>
        </w:rPr>
      </w:pPr>
      <w:bookmarkStart w:id="199" w:name="_Toc432079176"/>
      <w:bookmarkStart w:id="200" w:name="_Toc432080749"/>
      <w:r w:rsidRPr="004252A6">
        <w:rPr>
          <w:lang w:eastAsia="ja-JP"/>
        </w:rPr>
        <w:t>None revealed.</w:t>
      </w:r>
    </w:p>
    <w:p w14:paraId="0D886E24" w14:textId="77777777" w:rsidR="004252A6" w:rsidRPr="004252A6" w:rsidRDefault="004252A6" w:rsidP="00290AA9">
      <w:pPr>
        <w:pStyle w:val="Heading4"/>
      </w:pPr>
      <w:r w:rsidRPr="004252A6">
        <w:t>Immunogenicity and immunological events</w:t>
      </w:r>
      <w:bookmarkEnd w:id="199"/>
      <w:bookmarkEnd w:id="200"/>
    </w:p>
    <w:p w14:paraId="45F61BAB" w14:textId="32B55220" w:rsidR="004252A6" w:rsidRPr="00290AA9" w:rsidRDefault="004252A6" w:rsidP="00290AA9">
      <w:bookmarkStart w:id="201" w:name="_Toc432079177"/>
      <w:bookmarkStart w:id="202" w:name="_Toc432080750"/>
      <w:r w:rsidRPr="00290AA9">
        <w:t xml:space="preserve">None revealed in </w:t>
      </w:r>
      <w:r w:rsidR="00290AA9" w:rsidRPr="00290AA9">
        <w:t xml:space="preserve">Study </w:t>
      </w:r>
      <w:r w:rsidRPr="00290AA9">
        <w:t>INFQ3001. According to the current EU RMP; Version 3.0, DLP 29 F</w:t>
      </w:r>
      <w:r w:rsidR="00DF2CFC">
        <w:t>ebruary</w:t>
      </w:r>
      <w:r w:rsidRPr="00290AA9">
        <w:t xml:space="preserve"> 2016, hypersensitivity is characterised as the only important identified risk for the season</w:t>
      </w:r>
      <w:r w:rsidR="00290AA9">
        <w:t xml:space="preserve">al influenza vaccine </w:t>
      </w:r>
      <w:r w:rsidR="004D432A">
        <w:t>Influvac</w:t>
      </w:r>
      <w:r w:rsidR="00290AA9">
        <w:t>.</w:t>
      </w:r>
    </w:p>
    <w:p w14:paraId="0D9038A1" w14:textId="77777777" w:rsidR="004252A6" w:rsidRPr="004252A6" w:rsidRDefault="004252A6" w:rsidP="00290AA9">
      <w:pPr>
        <w:pStyle w:val="Heading4"/>
      </w:pPr>
      <w:r w:rsidRPr="004252A6">
        <w:lastRenderedPageBreak/>
        <w:t>Serious skin reactions</w:t>
      </w:r>
      <w:bookmarkEnd w:id="201"/>
      <w:bookmarkEnd w:id="202"/>
    </w:p>
    <w:p w14:paraId="578F47DB" w14:textId="1889C4FC" w:rsidR="004252A6" w:rsidRPr="004252A6" w:rsidRDefault="004252A6" w:rsidP="004252A6">
      <w:pPr>
        <w:rPr>
          <w:lang w:eastAsia="ja-JP"/>
        </w:rPr>
      </w:pPr>
      <w:bookmarkStart w:id="203" w:name="_Toc272414686"/>
      <w:bookmarkStart w:id="204" w:name="_Ref273005527"/>
      <w:bookmarkStart w:id="205" w:name="_Toc290888550"/>
      <w:bookmarkStart w:id="206" w:name="_Toc416353765"/>
      <w:bookmarkStart w:id="207" w:name="_Toc421005308"/>
      <w:bookmarkStart w:id="208" w:name="_Toc432079179"/>
      <w:bookmarkStart w:id="209" w:name="_Toc432080752"/>
      <w:proofErr w:type="gramStart"/>
      <w:r w:rsidRPr="004252A6">
        <w:rPr>
          <w:lang w:eastAsia="ja-JP"/>
        </w:rPr>
        <w:t>None seen.</w:t>
      </w:r>
      <w:proofErr w:type="gramEnd"/>
    </w:p>
    <w:p w14:paraId="2EC48C47" w14:textId="77777777" w:rsidR="004252A6" w:rsidRPr="004252A6" w:rsidRDefault="004252A6" w:rsidP="00290AA9">
      <w:pPr>
        <w:pStyle w:val="Heading3"/>
      </w:pPr>
      <w:bookmarkStart w:id="210" w:name="_Toc470758078"/>
      <w:bookmarkStart w:id="211" w:name="_Toc524344802"/>
      <w:r w:rsidRPr="004252A6">
        <w:t>Other safety issues</w:t>
      </w:r>
      <w:bookmarkEnd w:id="203"/>
      <w:bookmarkEnd w:id="204"/>
      <w:bookmarkEnd w:id="205"/>
      <w:bookmarkEnd w:id="206"/>
      <w:bookmarkEnd w:id="207"/>
      <w:bookmarkEnd w:id="208"/>
      <w:bookmarkEnd w:id="209"/>
      <w:bookmarkEnd w:id="210"/>
      <w:bookmarkEnd w:id="211"/>
    </w:p>
    <w:p w14:paraId="454652F7" w14:textId="77777777" w:rsidR="004252A6" w:rsidRPr="004252A6" w:rsidRDefault="004252A6" w:rsidP="00290AA9">
      <w:pPr>
        <w:pStyle w:val="Heading4"/>
      </w:pPr>
      <w:bookmarkStart w:id="212" w:name="_Toc241374322"/>
      <w:bookmarkStart w:id="213" w:name="_Ref272331212"/>
      <w:bookmarkStart w:id="214" w:name="_Toc272414687"/>
      <w:bookmarkStart w:id="215" w:name="_Toc290888551"/>
      <w:bookmarkStart w:id="216" w:name="_Toc416353766"/>
      <w:bookmarkStart w:id="217" w:name="_Toc421005309"/>
      <w:bookmarkStart w:id="218" w:name="_Toc432079180"/>
      <w:bookmarkStart w:id="219" w:name="_Toc432080753"/>
      <w:r w:rsidRPr="004252A6">
        <w:t>Safety in special populations</w:t>
      </w:r>
      <w:bookmarkEnd w:id="212"/>
      <w:bookmarkEnd w:id="213"/>
      <w:bookmarkEnd w:id="214"/>
      <w:bookmarkEnd w:id="215"/>
      <w:bookmarkEnd w:id="216"/>
      <w:bookmarkEnd w:id="217"/>
      <w:bookmarkEnd w:id="218"/>
      <w:bookmarkEnd w:id="219"/>
    </w:p>
    <w:p w14:paraId="35E99909" w14:textId="7856C83E" w:rsidR="004252A6" w:rsidRPr="004252A6" w:rsidRDefault="004252A6" w:rsidP="004252A6">
      <w:pPr>
        <w:rPr>
          <w:lang w:eastAsia="ja-JP"/>
        </w:rPr>
      </w:pPr>
      <w:bookmarkStart w:id="220" w:name="_Toc241374324"/>
      <w:bookmarkStart w:id="221" w:name="_Ref272331214"/>
      <w:bookmarkStart w:id="222" w:name="_Toc272414688"/>
      <w:bookmarkStart w:id="223" w:name="_Toc290888552"/>
      <w:bookmarkStart w:id="224" w:name="_Toc416353767"/>
      <w:bookmarkStart w:id="225" w:name="_Toc421005310"/>
      <w:bookmarkStart w:id="226" w:name="_Toc432079181"/>
      <w:bookmarkStart w:id="227" w:name="_Toc432080754"/>
      <w:r w:rsidRPr="004252A6">
        <w:rPr>
          <w:lang w:eastAsia="ja-JP"/>
        </w:rPr>
        <w:t>Not assessed.</w:t>
      </w:r>
    </w:p>
    <w:p w14:paraId="5DA0B6CC" w14:textId="77777777" w:rsidR="004252A6" w:rsidRPr="004252A6" w:rsidRDefault="004252A6" w:rsidP="00290AA9">
      <w:pPr>
        <w:pStyle w:val="Heading4"/>
      </w:pPr>
      <w:r w:rsidRPr="004252A6">
        <w:t>Safety related to drug-drug interactions and other interactions</w:t>
      </w:r>
      <w:bookmarkEnd w:id="220"/>
      <w:bookmarkEnd w:id="221"/>
      <w:bookmarkEnd w:id="222"/>
      <w:bookmarkEnd w:id="223"/>
      <w:bookmarkEnd w:id="224"/>
      <w:bookmarkEnd w:id="225"/>
      <w:bookmarkEnd w:id="226"/>
      <w:bookmarkEnd w:id="227"/>
    </w:p>
    <w:p w14:paraId="6428CA1D" w14:textId="344CE46A" w:rsidR="004252A6" w:rsidRPr="004252A6" w:rsidRDefault="004252A6" w:rsidP="004252A6">
      <w:pPr>
        <w:rPr>
          <w:lang w:eastAsia="ja-JP"/>
        </w:rPr>
      </w:pPr>
      <w:bookmarkStart w:id="228" w:name="_Toc241374326"/>
      <w:bookmarkStart w:id="229" w:name="_Ref272333048"/>
      <w:bookmarkStart w:id="230" w:name="_Toc272414679"/>
      <w:bookmarkStart w:id="231" w:name="_Toc290888543"/>
      <w:bookmarkStart w:id="232" w:name="_Toc416353758"/>
      <w:bookmarkStart w:id="233" w:name="_Toc421005301"/>
      <w:bookmarkStart w:id="234" w:name="_Toc432079182"/>
      <w:bookmarkStart w:id="235" w:name="_Toc432080755"/>
      <w:r w:rsidRPr="004252A6">
        <w:rPr>
          <w:lang w:eastAsia="ja-JP"/>
        </w:rPr>
        <w:t>Not assessed.</w:t>
      </w:r>
    </w:p>
    <w:p w14:paraId="0BDEA576" w14:textId="77777777" w:rsidR="004252A6" w:rsidRPr="004252A6" w:rsidRDefault="004252A6" w:rsidP="00290AA9">
      <w:pPr>
        <w:pStyle w:val="Heading3"/>
      </w:pPr>
      <w:bookmarkStart w:id="236" w:name="_Toc470758079"/>
      <w:bookmarkStart w:id="237" w:name="_Toc524344803"/>
      <w:r w:rsidRPr="004252A6">
        <w:t>Post marketing experience</w:t>
      </w:r>
      <w:bookmarkEnd w:id="228"/>
      <w:bookmarkEnd w:id="229"/>
      <w:bookmarkEnd w:id="230"/>
      <w:bookmarkEnd w:id="231"/>
      <w:bookmarkEnd w:id="232"/>
      <w:bookmarkEnd w:id="233"/>
      <w:bookmarkEnd w:id="234"/>
      <w:bookmarkEnd w:id="235"/>
      <w:bookmarkEnd w:id="236"/>
      <w:bookmarkEnd w:id="237"/>
    </w:p>
    <w:p w14:paraId="45783B52" w14:textId="5DE93633" w:rsidR="004252A6" w:rsidRPr="004252A6" w:rsidRDefault="004252A6" w:rsidP="004252A6">
      <w:pPr>
        <w:rPr>
          <w:lang w:eastAsia="ja-JP"/>
        </w:rPr>
      </w:pPr>
      <w:bookmarkStart w:id="238" w:name="_Toc241374328"/>
      <w:bookmarkStart w:id="239" w:name="_Toc272414691"/>
      <w:bookmarkStart w:id="240" w:name="_Toc290888555"/>
      <w:bookmarkStart w:id="241" w:name="_Toc416353770"/>
      <w:bookmarkStart w:id="242" w:name="_Toc421005312"/>
      <w:bookmarkStart w:id="243" w:name="_Toc432079183"/>
      <w:bookmarkStart w:id="244" w:name="_Toc432080756"/>
      <w:r w:rsidRPr="004252A6">
        <w:rPr>
          <w:lang w:eastAsia="ja-JP"/>
        </w:rPr>
        <w:t xml:space="preserve">Not applicable, this is a new drug </w:t>
      </w:r>
      <w:r w:rsidR="005A03A7">
        <w:rPr>
          <w:lang w:eastAsia="ja-JP"/>
        </w:rPr>
        <w:t>a</w:t>
      </w:r>
      <w:r w:rsidRPr="004252A6">
        <w:rPr>
          <w:lang w:eastAsia="ja-JP"/>
        </w:rPr>
        <w:t>pplica</w:t>
      </w:r>
      <w:r w:rsidR="005A03A7">
        <w:rPr>
          <w:lang w:eastAsia="ja-JP"/>
        </w:rPr>
        <w:t>tion. However, PSURs numbers</w:t>
      </w:r>
      <w:r w:rsidR="00C729CE">
        <w:rPr>
          <w:lang w:eastAsia="ja-JP"/>
        </w:rPr>
        <w:t xml:space="preserve"> 17 (1 May 2011 to 30 April </w:t>
      </w:r>
      <w:r w:rsidRPr="004252A6">
        <w:rPr>
          <w:lang w:eastAsia="ja-JP"/>
        </w:rPr>
        <w:t xml:space="preserve">2012) to </w:t>
      </w:r>
      <w:r w:rsidR="005A03A7">
        <w:rPr>
          <w:lang w:eastAsia="ja-JP"/>
        </w:rPr>
        <w:t>number</w:t>
      </w:r>
      <w:r w:rsidRPr="004252A6">
        <w:rPr>
          <w:lang w:eastAsia="ja-JP"/>
        </w:rPr>
        <w:t xml:space="preserve"> 24 (</w:t>
      </w:r>
      <w:r w:rsidR="005A03A7">
        <w:rPr>
          <w:lang w:eastAsia="ja-JP"/>
        </w:rPr>
        <w:t xml:space="preserve">1 September 2015 to 15 March </w:t>
      </w:r>
      <w:r w:rsidRPr="004252A6">
        <w:rPr>
          <w:lang w:eastAsia="ja-JP"/>
        </w:rPr>
        <w:t xml:space="preserve">2016) inclusive for the TIV were submitted with this </w:t>
      </w:r>
      <w:r w:rsidR="005A54CD">
        <w:rPr>
          <w:lang w:eastAsia="ja-JP"/>
        </w:rPr>
        <w:t>a</w:t>
      </w:r>
      <w:r w:rsidRPr="004252A6">
        <w:rPr>
          <w:lang w:eastAsia="ja-JP"/>
        </w:rPr>
        <w:t>pplication. The quadrivalent influenza vaccine described in th</w:t>
      </w:r>
      <w:r w:rsidR="005A54CD">
        <w:rPr>
          <w:lang w:eastAsia="ja-JP"/>
        </w:rPr>
        <w:t>e sponsor’s</w:t>
      </w:r>
      <w:r w:rsidRPr="004252A6">
        <w:rPr>
          <w:lang w:eastAsia="ja-JP"/>
        </w:rPr>
        <w:t xml:space="preserve"> Summary of Clinical Safety is currently not marketed, therefore only post-marketing safety data from the marketed thiomersal-free TIV was presented and is summarised as part of the integrated safety analysis data. Based on market data,</w:t>
      </w:r>
      <w:r w:rsidR="001B2B66">
        <w:rPr>
          <w:lang w:eastAsia="ja-JP"/>
        </w:rPr>
        <w:t xml:space="preserve"> &gt; </w:t>
      </w:r>
      <w:r w:rsidRPr="004252A6">
        <w:rPr>
          <w:lang w:eastAsia="ja-JP"/>
        </w:rPr>
        <w:t>350 million doses of the current thiomersal</w:t>
      </w:r>
      <w:r w:rsidR="005A03A7">
        <w:rPr>
          <w:lang w:eastAsia="ja-JP"/>
        </w:rPr>
        <w:t xml:space="preserve"> </w:t>
      </w:r>
      <w:r w:rsidRPr="004252A6">
        <w:rPr>
          <w:lang w:eastAsia="ja-JP"/>
        </w:rPr>
        <w:t>free formulation of the subunit influenza vaccine have been a</w:t>
      </w:r>
      <w:r w:rsidR="00290AA9">
        <w:rPr>
          <w:lang w:eastAsia="ja-JP"/>
        </w:rPr>
        <w:t xml:space="preserve">dministered between 2004 and 30 April </w:t>
      </w:r>
      <w:r w:rsidRPr="004252A6">
        <w:rPr>
          <w:lang w:eastAsia="ja-JP"/>
        </w:rPr>
        <w:t>2016. Considering the large number of patients vaccinated with influenza vaccine and the low number of AEs reported, the vaccine is regar</w:t>
      </w:r>
      <w:r w:rsidR="00290AA9">
        <w:rPr>
          <w:lang w:eastAsia="ja-JP"/>
        </w:rPr>
        <w:t>ded as safe and well tolerated.</w:t>
      </w:r>
    </w:p>
    <w:p w14:paraId="30888FC8" w14:textId="77777777" w:rsidR="004252A6" w:rsidRPr="004252A6" w:rsidRDefault="004252A6" w:rsidP="00290AA9">
      <w:pPr>
        <w:pStyle w:val="Heading3"/>
      </w:pPr>
      <w:bookmarkStart w:id="245" w:name="_Toc470758080"/>
      <w:bookmarkStart w:id="246" w:name="_Toc524344804"/>
      <w:r w:rsidRPr="004252A6">
        <w:t>Evaluator’s overall conclusions on clinical safety</w:t>
      </w:r>
      <w:bookmarkEnd w:id="238"/>
      <w:bookmarkEnd w:id="239"/>
      <w:bookmarkEnd w:id="240"/>
      <w:bookmarkEnd w:id="241"/>
      <w:bookmarkEnd w:id="242"/>
      <w:bookmarkEnd w:id="243"/>
      <w:bookmarkEnd w:id="244"/>
      <w:bookmarkEnd w:id="245"/>
      <w:bookmarkEnd w:id="246"/>
    </w:p>
    <w:p w14:paraId="0200C114" w14:textId="0C6BA7F0" w:rsidR="004252A6" w:rsidRPr="004252A6" w:rsidRDefault="004252A6" w:rsidP="004252A6">
      <w:pPr>
        <w:rPr>
          <w:lang w:eastAsia="ja-JP"/>
        </w:rPr>
      </w:pPr>
      <w:r w:rsidRPr="004252A6">
        <w:rPr>
          <w:lang w:eastAsia="ja-JP"/>
        </w:rPr>
        <w:t xml:space="preserve">In line with the scientific advice obtained from </w:t>
      </w:r>
      <w:proofErr w:type="gramStart"/>
      <w:r w:rsidRPr="004252A6">
        <w:rPr>
          <w:lang w:eastAsia="ja-JP"/>
        </w:rPr>
        <w:t>a</w:t>
      </w:r>
      <w:proofErr w:type="gramEnd"/>
      <w:r w:rsidRPr="004252A6">
        <w:rPr>
          <w:lang w:eastAsia="ja-JP"/>
        </w:rPr>
        <w:t xml:space="preserve"> </w:t>
      </w:r>
      <w:r w:rsidR="001F1C06">
        <w:rPr>
          <w:lang w:eastAsia="ja-JP"/>
        </w:rPr>
        <w:t xml:space="preserve">EU </w:t>
      </w:r>
      <w:r w:rsidRPr="004252A6">
        <w:rPr>
          <w:lang w:eastAsia="ja-JP"/>
        </w:rPr>
        <w:t xml:space="preserve">national authority, the exposure of </w:t>
      </w:r>
      <w:r w:rsidR="005A03A7">
        <w:rPr>
          <w:lang w:eastAsia="ja-JP"/>
        </w:rPr>
        <w:t>around </w:t>
      </w:r>
      <w:r w:rsidRPr="004252A6">
        <w:rPr>
          <w:lang w:eastAsia="ja-JP"/>
        </w:rPr>
        <w:t xml:space="preserve">1,500 adult subjects to QIV is deemed sufficient to demonstrate the safety of QIV. This exposure is lower than specified in the Note for Guidance on the </w:t>
      </w:r>
      <w:r w:rsidR="00140CBD">
        <w:rPr>
          <w:lang w:eastAsia="ja-JP"/>
        </w:rPr>
        <w:t>‘</w:t>
      </w:r>
      <w:r w:rsidRPr="004252A6">
        <w:rPr>
          <w:lang w:eastAsia="ja-JP"/>
        </w:rPr>
        <w:t>Clinical Evaluation o</w:t>
      </w:r>
      <w:r w:rsidR="00C729CE">
        <w:rPr>
          <w:lang w:eastAsia="ja-JP"/>
        </w:rPr>
        <w:t>f New Vaccines</w:t>
      </w:r>
      <w:r w:rsidR="00140CBD">
        <w:rPr>
          <w:lang w:eastAsia="ja-JP"/>
        </w:rPr>
        <w:t>’</w:t>
      </w:r>
      <w:r w:rsidR="00C729CE">
        <w:rPr>
          <w:lang w:eastAsia="ja-JP"/>
        </w:rPr>
        <w:t xml:space="preserve"> (EMEA/CHMP/VWP/</w:t>
      </w:r>
      <w:r w:rsidRPr="004252A6">
        <w:rPr>
          <w:lang w:eastAsia="ja-JP"/>
        </w:rPr>
        <w:t>164653/2005), which recommends at least 3,000 subjects. However, QIV is not considered a completely new vaccine which would necessitate higher number of vaccinees in order to characterise safety. The extensive safety data collec</w:t>
      </w:r>
      <w:r w:rsidR="00C729CE">
        <w:rPr>
          <w:lang w:eastAsia="ja-JP"/>
        </w:rPr>
        <w:t xml:space="preserve">ted with </w:t>
      </w:r>
      <w:r w:rsidR="00C02581">
        <w:rPr>
          <w:lang w:eastAsia="ja-JP"/>
        </w:rPr>
        <w:t xml:space="preserve">the related </w:t>
      </w:r>
      <w:r w:rsidR="00C729CE">
        <w:rPr>
          <w:lang w:eastAsia="ja-JP"/>
        </w:rPr>
        <w:t xml:space="preserve">TIV, </w:t>
      </w:r>
      <w:r w:rsidR="004D432A">
        <w:rPr>
          <w:lang w:eastAsia="ja-JP"/>
        </w:rPr>
        <w:t>Influvac</w:t>
      </w:r>
      <w:r w:rsidRPr="004252A6">
        <w:rPr>
          <w:lang w:eastAsia="ja-JP"/>
        </w:rPr>
        <w:t>, is considered supportive for the QIV development, since the producti</w:t>
      </w:r>
      <w:r w:rsidR="00C729CE">
        <w:rPr>
          <w:lang w:eastAsia="ja-JP"/>
        </w:rPr>
        <w:t xml:space="preserve">on process for QIV and </w:t>
      </w:r>
      <w:r w:rsidR="004D432A">
        <w:rPr>
          <w:lang w:eastAsia="ja-JP"/>
        </w:rPr>
        <w:t>Influvac</w:t>
      </w:r>
      <w:r w:rsidRPr="004252A6">
        <w:rPr>
          <w:lang w:eastAsia="ja-JP"/>
        </w:rPr>
        <w:t xml:space="preserve"> are identical (aside from QIV containing both B strain lineages). Moreover, both B</w:t>
      </w:r>
      <w:r w:rsidR="00473C1F">
        <w:rPr>
          <w:lang w:eastAsia="ja-JP"/>
        </w:rPr>
        <w:t xml:space="preserve"> strain</w:t>
      </w:r>
      <w:r w:rsidRPr="004252A6">
        <w:rPr>
          <w:lang w:eastAsia="ja-JP"/>
        </w:rPr>
        <w:t xml:space="preserve"> lineages have been alternatingly present in the </w:t>
      </w:r>
      <w:r w:rsidR="00C729CE">
        <w:rPr>
          <w:lang w:eastAsia="ja-JP"/>
        </w:rPr>
        <w:t>TIV formulation over the years.</w:t>
      </w:r>
    </w:p>
    <w:p w14:paraId="059B5807" w14:textId="09D62380" w:rsidR="00C22678" w:rsidRPr="003442FE" w:rsidRDefault="004252A6" w:rsidP="00C22678">
      <w:pPr>
        <w:rPr>
          <w:lang w:eastAsia="ja-JP"/>
        </w:rPr>
      </w:pPr>
      <w:r w:rsidRPr="004252A6">
        <w:rPr>
          <w:lang w:eastAsia="ja-JP"/>
        </w:rPr>
        <w:t>In</w:t>
      </w:r>
      <w:r w:rsidRPr="004252A6">
        <w:rPr>
          <w:b/>
          <w:lang w:eastAsia="ja-JP"/>
        </w:rPr>
        <w:t xml:space="preserve"> </w:t>
      </w:r>
      <w:r w:rsidR="00C729CE" w:rsidRPr="00C729CE">
        <w:rPr>
          <w:lang w:eastAsia="ja-JP"/>
        </w:rPr>
        <w:t xml:space="preserve">Study </w:t>
      </w:r>
      <w:r w:rsidRPr="00C729CE">
        <w:rPr>
          <w:lang w:eastAsia="ja-JP"/>
        </w:rPr>
        <w:t>INFQ3001,</w:t>
      </w:r>
      <w:r w:rsidRPr="004252A6">
        <w:rPr>
          <w:lang w:eastAsia="ja-JP"/>
        </w:rPr>
        <w:t xml:space="preserve"> the safety profile of QIV in adults and elderly adults is generally similar to that observed for the comparator TIV vaccines within the study and similar to the integrated safety analyses derived from the 16 supporting immunogenicity studies</w:t>
      </w:r>
      <w:r w:rsidR="00C729CE">
        <w:rPr>
          <w:lang w:eastAsia="ja-JP"/>
        </w:rPr>
        <w:t>.</w:t>
      </w:r>
      <w:r w:rsidRPr="004252A6">
        <w:rPr>
          <w:b/>
          <w:lang w:eastAsia="ja-JP"/>
        </w:rPr>
        <w:t xml:space="preserve"> </w:t>
      </w:r>
      <w:r w:rsidRPr="004252A6">
        <w:rPr>
          <w:lang w:eastAsia="ja-JP"/>
        </w:rPr>
        <w:t>There was no concerning safety signal revealed with respect to</w:t>
      </w:r>
      <w:r w:rsidRPr="004252A6">
        <w:rPr>
          <w:b/>
          <w:lang w:eastAsia="ja-JP"/>
        </w:rPr>
        <w:t xml:space="preserve"> </w:t>
      </w:r>
      <w:r w:rsidRPr="004252A6">
        <w:rPr>
          <w:lang w:eastAsia="ja-JP"/>
        </w:rPr>
        <w:t xml:space="preserve">solicited local and systemic reactogenicity, TRAEs or SAEs in either the adult or elderly populations studied. The reviewer notes the slightly increased recorded incidence of arthralgia/joint pain post vaccination in the elderly population receiving the QIV vaccine, but despite this, the rates were still low. Overall, </w:t>
      </w:r>
      <w:r w:rsidR="00C729CE">
        <w:rPr>
          <w:lang w:eastAsia="ja-JP"/>
        </w:rPr>
        <w:t xml:space="preserve">the clinical evaluator </w:t>
      </w:r>
      <w:r w:rsidRPr="004252A6">
        <w:rPr>
          <w:lang w:eastAsia="ja-JP"/>
        </w:rPr>
        <w:t>think</w:t>
      </w:r>
      <w:r w:rsidR="00C729CE">
        <w:rPr>
          <w:lang w:eastAsia="ja-JP"/>
        </w:rPr>
        <w:t>s</w:t>
      </w:r>
      <w:r w:rsidRPr="004252A6">
        <w:rPr>
          <w:lang w:eastAsia="ja-JP"/>
        </w:rPr>
        <w:t xml:space="preserve"> that QIV has a clinically acceptable safety and tolerability profile in adults</w:t>
      </w:r>
      <w:r w:rsidR="001B2B66">
        <w:rPr>
          <w:lang w:eastAsia="ja-JP"/>
        </w:rPr>
        <w:t xml:space="preserve"> </w:t>
      </w:r>
      <w:r w:rsidR="005A54CD">
        <w:rPr>
          <w:lang w:eastAsia="ja-JP"/>
        </w:rPr>
        <w:t xml:space="preserve">aged </w:t>
      </w:r>
      <w:r w:rsidR="001B2B66">
        <w:rPr>
          <w:lang w:eastAsia="ja-JP"/>
        </w:rPr>
        <w:t xml:space="preserve">≥ </w:t>
      </w:r>
      <w:r w:rsidRPr="004252A6">
        <w:rPr>
          <w:lang w:eastAsia="ja-JP"/>
        </w:rPr>
        <w:t xml:space="preserve">18 years at least in the relatively small number of patients enrolled in this study exposed </w:t>
      </w:r>
      <w:r w:rsidR="00C729CE">
        <w:rPr>
          <w:lang w:eastAsia="ja-JP"/>
        </w:rPr>
        <w:t xml:space="preserve">to single dose QIV. As </w:t>
      </w:r>
      <w:r w:rsidR="004D432A">
        <w:rPr>
          <w:lang w:eastAsia="ja-JP"/>
        </w:rPr>
        <w:t>Influvac</w:t>
      </w:r>
      <w:r w:rsidRPr="004252A6">
        <w:rPr>
          <w:lang w:eastAsia="ja-JP"/>
        </w:rPr>
        <w:t xml:space="preserve"> has been marketed for several decades, no additional risks, which might be based on known class effects or known pharmacologic properties, are expected to occur.</w:t>
      </w:r>
    </w:p>
    <w:p w14:paraId="338CB0C0" w14:textId="77777777" w:rsidR="00C22678" w:rsidRPr="003442FE" w:rsidRDefault="00C22678" w:rsidP="00C22678">
      <w:pPr>
        <w:pStyle w:val="Heading2"/>
      </w:pPr>
      <w:bookmarkStart w:id="247" w:name="_Toc524344805"/>
      <w:r w:rsidRPr="003442FE">
        <w:lastRenderedPageBreak/>
        <w:t>First round benefit-risk assessment</w:t>
      </w:r>
      <w:bookmarkEnd w:id="247"/>
    </w:p>
    <w:p w14:paraId="2BCC65DE" w14:textId="77777777" w:rsidR="00580863" w:rsidRDefault="003D7F9A" w:rsidP="00C02581">
      <w:pPr>
        <w:pStyle w:val="Heading3"/>
      </w:pPr>
      <w:bookmarkStart w:id="248" w:name="_Toc236802592"/>
      <w:bookmarkStart w:id="249" w:name="_Toc241374331"/>
      <w:bookmarkStart w:id="250" w:name="_Ref272160836"/>
      <w:bookmarkStart w:id="251" w:name="_Toc272414693"/>
      <w:bookmarkStart w:id="252" w:name="_Toc290888557"/>
      <w:bookmarkStart w:id="253" w:name="_Toc416353772"/>
      <w:bookmarkStart w:id="254" w:name="_Toc421005314"/>
      <w:bookmarkStart w:id="255" w:name="_Toc432079185"/>
      <w:bookmarkStart w:id="256" w:name="_Toc432080758"/>
      <w:bookmarkStart w:id="257" w:name="_Toc470758082"/>
      <w:bookmarkStart w:id="258" w:name="_Toc524344806"/>
      <w:r w:rsidRPr="003D7F9A">
        <w:t>First round assessment of benefits</w:t>
      </w:r>
      <w:bookmarkEnd w:id="248"/>
      <w:bookmarkEnd w:id="249"/>
      <w:bookmarkEnd w:id="250"/>
      <w:bookmarkEnd w:id="251"/>
      <w:bookmarkEnd w:id="252"/>
      <w:bookmarkEnd w:id="253"/>
      <w:bookmarkEnd w:id="254"/>
      <w:bookmarkEnd w:id="255"/>
      <w:bookmarkEnd w:id="256"/>
      <w:bookmarkEnd w:id="257"/>
      <w:bookmarkEnd w:id="258"/>
    </w:p>
    <w:p w14:paraId="25462590" w14:textId="3335A374" w:rsidR="003D7F9A" w:rsidRDefault="00E90C19" w:rsidP="00877799">
      <w:pPr>
        <w:pStyle w:val="Tabletitle"/>
        <w:rPr>
          <w:lang w:eastAsia="ja-JP"/>
        </w:rPr>
      </w:pPr>
      <w:r>
        <w:rPr>
          <w:lang w:eastAsia="ja-JP"/>
        </w:rPr>
        <w:t>Table 14:</w:t>
      </w:r>
      <w:r w:rsidR="00C02581">
        <w:rPr>
          <w:lang w:eastAsia="ja-JP"/>
        </w:rPr>
        <w:t xml:space="preserve"> First round assessment of benefits</w:t>
      </w:r>
    </w:p>
    <w:tbl>
      <w:tblPr>
        <w:tblStyle w:val="TableGrid"/>
        <w:tblW w:w="9180" w:type="dxa"/>
        <w:tblInd w:w="108" w:type="dxa"/>
        <w:tblLook w:val="04A0" w:firstRow="1" w:lastRow="0" w:firstColumn="1" w:lastColumn="0" w:noHBand="0" w:noVBand="1"/>
      </w:tblPr>
      <w:tblGrid>
        <w:gridCol w:w="4860"/>
        <w:gridCol w:w="4320"/>
      </w:tblGrid>
      <w:tr w:rsidR="004252A6" w:rsidRPr="00C37A1D" w14:paraId="4D284A0E" w14:textId="77777777" w:rsidTr="00877799">
        <w:trPr>
          <w:tblHeader/>
        </w:trPr>
        <w:tc>
          <w:tcPr>
            <w:tcW w:w="9180" w:type="dxa"/>
            <w:gridSpan w:val="2"/>
            <w:shd w:val="clear" w:color="auto" w:fill="006DA7" w:themeFill="accent3"/>
          </w:tcPr>
          <w:p w14:paraId="66D9D0B3" w14:textId="77777777" w:rsidR="004252A6" w:rsidRPr="0013182D" w:rsidRDefault="004252A6" w:rsidP="004252A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p>
        </w:tc>
      </w:tr>
      <w:tr w:rsidR="00877799" w:rsidRPr="00C37A1D" w14:paraId="1EF4FFA0" w14:textId="77777777" w:rsidTr="00877799">
        <w:trPr>
          <w:tblHeader/>
        </w:trPr>
        <w:tc>
          <w:tcPr>
            <w:tcW w:w="4860" w:type="dxa"/>
            <w:shd w:val="clear" w:color="auto" w:fill="00517D" w:themeFill="accent3" w:themeFillShade="BF"/>
          </w:tcPr>
          <w:p w14:paraId="1DADCB90" w14:textId="77777777" w:rsidR="004252A6" w:rsidRPr="0013182D" w:rsidRDefault="004252A6" w:rsidP="004252A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320" w:type="dxa"/>
            <w:shd w:val="clear" w:color="auto" w:fill="00517D" w:themeFill="accent3" w:themeFillShade="BF"/>
          </w:tcPr>
          <w:p w14:paraId="2F6709F0" w14:textId="77777777" w:rsidR="004252A6" w:rsidRPr="0013182D" w:rsidRDefault="004252A6" w:rsidP="004252A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877799" w:rsidRPr="00C37A1D" w14:paraId="7F4103DE" w14:textId="77777777" w:rsidTr="00877799">
        <w:tc>
          <w:tcPr>
            <w:tcW w:w="4860" w:type="dxa"/>
          </w:tcPr>
          <w:p w14:paraId="37FF62E2" w14:textId="28B6F95D" w:rsidR="004252A6" w:rsidRDefault="004D432A" w:rsidP="00877799">
            <w:pPr>
              <w:pStyle w:val="ListBullet"/>
            </w:pPr>
            <w:r>
              <w:rPr>
                <w:rFonts w:asciiTheme="minorHAnsi" w:hAnsiTheme="minorHAnsi"/>
              </w:rPr>
              <w:t>Influvac</w:t>
            </w:r>
            <w:r w:rsidR="004252A6" w:rsidRPr="00A66E6C">
              <w:rPr>
                <w:rFonts w:asciiTheme="minorHAnsi" w:hAnsiTheme="minorHAnsi"/>
              </w:rPr>
              <w:t xml:space="preserve"> </w:t>
            </w:r>
            <w:r w:rsidR="00877799">
              <w:rPr>
                <w:rFonts w:asciiTheme="minorHAnsi" w:hAnsiTheme="minorHAnsi"/>
              </w:rPr>
              <w:t xml:space="preserve">Tetra </w:t>
            </w:r>
            <w:r w:rsidR="004252A6">
              <w:t xml:space="preserve"> in the proposed usage</w:t>
            </w:r>
            <w:r w:rsidR="004252A6" w:rsidRPr="00A66E6C">
              <w:t xml:space="preserve"> provides better coverage of the influenza B strains than the TIV</w:t>
            </w:r>
            <w:r w:rsidR="004252A6">
              <w:t>;</w:t>
            </w:r>
          </w:p>
          <w:p w14:paraId="5B81560F" w14:textId="4261F984" w:rsidR="004252A6" w:rsidRDefault="004252A6" w:rsidP="00877799">
            <w:pPr>
              <w:pStyle w:val="ListBullet"/>
            </w:pPr>
            <w:r w:rsidRPr="00A66E6C">
              <w:t xml:space="preserve">QIV was immunogenic </w:t>
            </w:r>
            <w:r>
              <w:t>against all 4 strains it contains in both the adult and elderly populations;</w:t>
            </w:r>
          </w:p>
          <w:p w14:paraId="0BCF751D" w14:textId="43AE0675" w:rsidR="004252A6" w:rsidRDefault="004252A6" w:rsidP="00877799">
            <w:pPr>
              <w:pStyle w:val="ListBullet"/>
            </w:pPr>
            <w:r>
              <w:t xml:space="preserve">the </w:t>
            </w:r>
            <w:r w:rsidRPr="00A66E6C">
              <w:t xml:space="preserve">safety profile </w:t>
            </w:r>
            <w:r>
              <w:t xml:space="preserve">of this QIV is </w:t>
            </w:r>
            <w:r w:rsidRPr="00A66E6C">
              <w:t>similar to trivalent inactivated influenza vaccines in general, and to the specific TIV comparators used in the pivotal efficacy study</w:t>
            </w:r>
            <w:r>
              <w:t>;</w:t>
            </w:r>
          </w:p>
          <w:p w14:paraId="30CC9016" w14:textId="063A979D" w:rsidR="004252A6" w:rsidRPr="00A66E6C" w:rsidRDefault="004252A6" w:rsidP="00877799">
            <w:pPr>
              <w:pStyle w:val="ListBullet"/>
            </w:pPr>
            <w:proofErr w:type="gramStart"/>
            <w:r w:rsidRPr="00A66E6C">
              <w:t>the</w:t>
            </w:r>
            <w:proofErr w:type="gramEnd"/>
            <w:r w:rsidRPr="00A66E6C">
              <w:t xml:space="preserve"> inclusion of both B strains will overcome the problem of poor predictions of which B strain is likely to circulate, this has been problematic over the last few years and has led to misalignment of the B strain in the recommended TIV with </w:t>
            </w:r>
            <w:r>
              <w:t>the</w:t>
            </w:r>
            <w:r w:rsidRPr="00A66E6C">
              <w:t xml:space="preserve"> circulating </w:t>
            </w:r>
            <w:r>
              <w:t>B strain.</w:t>
            </w:r>
          </w:p>
        </w:tc>
        <w:tc>
          <w:tcPr>
            <w:tcW w:w="4320" w:type="dxa"/>
          </w:tcPr>
          <w:p w14:paraId="32C05876" w14:textId="1D676FD3" w:rsidR="004252A6" w:rsidRDefault="00877799" w:rsidP="00877799">
            <w:pPr>
              <w:pStyle w:val="ListBullet"/>
            </w:pPr>
            <w:r>
              <w:t>P</w:t>
            </w:r>
            <w:r w:rsidR="004252A6">
              <w:t>aucity of data for the QIV in younger adults;</w:t>
            </w:r>
          </w:p>
          <w:p w14:paraId="180E70C0" w14:textId="2439B22B" w:rsidR="004252A6" w:rsidRDefault="004252A6" w:rsidP="00877799">
            <w:pPr>
              <w:pStyle w:val="ListBullet"/>
            </w:pPr>
            <w:r>
              <w:t>paucity of data for the QIV in adults and the elderly of Black or Asian ethnicity;</w:t>
            </w:r>
          </w:p>
          <w:p w14:paraId="7D082CF8" w14:textId="5474DE28" w:rsidR="004252A6" w:rsidRDefault="004252A6" w:rsidP="00877799">
            <w:pPr>
              <w:pStyle w:val="ListBullet"/>
            </w:pPr>
            <w:r>
              <w:t>no data on immunogenicity or safety of repeat dosing with the QIV;</w:t>
            </w:r>
          </w:p>
          <w:p w14:paraId="3DB22147" w14:textId="227B89C3" w:rsidR="004252A6" w:rsidRDefault="004252A6" w:rsidP="00877799">
            <w:pPr>
              <w:pStyle w:val="ListBullet"/>
            </w:pPr>
            <w:r>
              <w:t>no data on immunogenicity or safety of repeat dosing with a QIV manufactured by a different company;</w:t>
            </w:r>
          </w:p>
          <w:p w14:paraId="75B36BF1" w14:textId="45939F37" w:rsidR="004252A6" w:rsidRPr="00A66E6C" w:rsidRDefault="004252A6" w:rsidP="00877799">
            <w:pPr>
              <w:pStyle w:val="ListBullet"/>
            </w:pPr>
            <w:proofErr w:type="gramStart"/>
            <w:r>
              <w:t>other</w:t>
            </w:r>
            <w:proofErr w:type="gramEnd"/>
            <w:r>
              <w:t xml:space="preserve"> QIV flu vaccines </w:t>
            </w:r>
            <w:r w:rsidR="001F1C06">
              <w:t xml:space="preserve">are </w:t>
            </w:r>
            <w:r>
              <w:t xml:space="preserve">available, so this QIV will not fill a ‘gap in the market’. </w:t>
            </w:r>
          </w:p>
        </w:tc>
      </w:tr>
    </w:tbl>
    <w:p w14:paraId="4BEE94C3" w14:textId="795E997A" w:rsidR="00E24417" w:rsidRPr="00E24417" w:rsidRDefault="00E24417" w:rsidP="00877799">
      <w:pPr>
        <w:pStyle w:val="Heading3"/>
      </w:pPr>
      <w:bookmarkStart w:id="259" w:name="_Toc236802596"/>
      <w:bookmarkStart w:id="260" w:name="_Toc241374334"/>
      <w:bookmarkStart w:id="261" w:name="_Ref272160964"/>
      <w:bookmarkStart w:id="262" w:name="_Toc272414694"/>
      <w:bookmarkStart w:id="263" w:name="_Toc290888558"/>
      <w:bookmarkStart w:id="264" w:name="_Toc416353773"/>
      <w:bookmarkStart w:id="265" w:name="_Toc421005315"/>
      <w:bookmarkStart w:id="266" w:name="_Toc432079186"/>
      <w:bookmarkStart w:id="267" w:name="_Toc432080759"/>
      <w:bookmarkStart w:id="268" w:name="_Toc470758083"/>
      <w:bookmarkStart w:id="269" w:name="_Toc524344807"/>
      <w:r w:rsidRPr="00E24417">
        <w:t>First round assessment of risks</w:t>
      </w:r>
      <w:bookmarkEnd w:id="259"/>
      <w:bookmarkEnd w:id="260"/>
      <w:bookmarkEnd w:id="261"/>
      <w:bookmarkEnd w:id="262"/>
      <w:bookmarkEnd w:id="263"/>
      <w:bookmarkEnd w:id="264"/>
      <w:bookmarkEnd w:id="265"/>
      <w:bookmarkEnd w:id="266"/>
      <w:bookmarkEnd w:id="267"/>
      <w:bookmarkEnd w:id="268"/>
      <w:bookmarkEnd w:id="269"/>
    </w:p>
    <w:p w14:paraId="1ACDEDAF" w14:textId="56D13E28" w:rsidR="00E24417" w:rsidRDefault="00E24417" w:rsidP="00E24417">
      <w:pPr>
        <w:rPr>
          <w:lang w:eastAsia="ja-JP"/>
        </w:rPr>
      </w:pPr>
      <w:r w:rsidRPr="00E24417">
        <w:rPr>
          <w:lang w:eastAsia="ja-JP"/>
        </w:rPr>
        <w:t xml:space="preserve">The risks of </w:t>
      </w:r>
      <w:r w:rsidR="004D432A">
        <w:rPr>
          <w:lang w:eastAsia="ja-JP"/>
        </w:rPr>
        <w:t>Influvac</w:t>
      </w:r>
      <w:r w:rsidR="00877799">
        <w:rPr>
          <w:lang w:eastAsia="ja-JP"/>
        </w:rPr>
        <w:t xml:space="preserve"> Tetra in the proposed usage are shown in Table </w:t>
      </w:r>
      <w:r w:rsidR="005A54CD">
        <w:rPr>
          <w:lang w:eastAsia="ja-JP"/>
        </w:rPr>
        <w:t>15</w:t>
      </w:r>
      <w:r w:rsidR="00877799">
        <w:rPr>
          <w:lang w:eastAsia="ja-JP"/>
        </w:rPr>
        <w:t>, below.</w:t>
      </w:r>
    </w:p>
    <w:p w14:paraId="5388F734" w14:textId="47A35B81" w:rsidR="00877799" w:rsidRPr="00E24417" w:rsidRDefault="00E90C19" w:rsidP="00877799">
      <w:pPr>
        <w:pStyle w:val="Tabletitle"/>
        <w:rPr>
          <w:lang w:eastAsia="ja-JP"/>
        </w:rPr>
      </w:pPr>
      <w:r>
        <w:rPr>
          <w:lang w:eastAsia="ja-JP"/>
        </w:rPr>
        <w:t>Table 15:</w:t>
      </w:r>
      <w:r w:rsidR="00877799">
        <w:rPr>
          <w:lang w:eastAsia="ja-JP"/>
        </w:rPr>
        <w:t xml:space="preserve"> First round assessment of risks</w:t>
      </w:r>
    </w:p>
    <w:tbl>
      <w:tblPr>
        <w:tblStyle w:val="TableGrid"/>
        <w:tblW w:w="0" w:type="auto"/>
        <w:tblInd w:w="108" w:type="dxa"/>
        <w:tblLook w:val="04A0" w:firstRow="1" w:lastRow="0" w:firstColumn="1" w:lastColumn="0" w:noHBand="0" w:noVBand="1"/>
      </w:tblPr>
      <w:tblGrid>
        <w:gridCol w:w="4395"/>
        <w:gridCol w:w="4394"/>
      </w:tblGrid>
      <w:tr w:rsidR="00E24417" w:rsidRPr="00E24417" w14:paraId="39D88B40" w14:textId="77777777" w:rsidTr="000E6573">
        <w:trPr>
          <w:tblHeader/>
        </w:trPr>
        <w:tc>
          <w:tcPr>
            <w:tcW w:w="4395" w:type="dxa"/>
            <w:shd w:val="clear" w:color="auto" w:fill="006DA7" w:themeFill="accent3"/>
          </w:tcPr>
          <w:p w14:paraId="69241B2D" w14:textId="77777777" w:rsidR="00E24417" w:rsidRPr="00B14582" w:rsidRDefault="00E24417" w:rsidP="00B14582">
            <w:pPr>
              <w:rPr>
                <w:b/>
                <w:color w:val="FFFFFF" w:themeColor="background1"/>
              </w:rPr>
            </w:pPr>
            <w:r w:rsidRPr="00B14582">
              <w:rPr>
                <w:b/>
                <w:color w:val="FFFFFF" w:themeColor="background1"/>
              </w:rPr>
              <w:t>Risks</w:t>
            </w:r>
          </w:p>
        </w:tc>
        <w:tc>
          <w:tcPr>
            <w:tcW w:w="4394" w:type="dxa"/>
            <w:shd w:val="clear" w:color="auto" w:fill="006DA7" w:themeFill="accent3"/>
          </w:tcPr>
          <w:p w14:paraId="29338DED" w14:textId="77777777" w:rsidR="00E24417" w:rsidRPr="00B14582" w:rsidRDefault="00E24417" w:rsidP="00B14582">
            <w:pPr>
              <w:rPr>
                <w:b/>
                <w:color w:val="FFFFFF" w:themeColor="background1"/>
              </w:rPr>
            </w:pPr>
            <w:r w:rsidRPr="00B14582">
              <w:rPr>
                <w:b/>
                <w:color w:val="FFFFFF" w:themeColor="background1"/>
              </w:rPr>
              <w:t>Strengths and Uncertainties</w:t>
            </w:r>
          </w:p>
        </w:tc>
      </w:tr>
      <w:tr w:rsidR="00E24417" w:rsidRPr="00E24417" w14:paraId="3F7028E7" w14:textId="77777777" w:rsidTr="000E6573">
        <w:tc>
          <w:tcPr>
            <w:tcW w:w="4395" w:type="dxa"/>
          </w:tcPr>
          <w:p w14:paraId="4362DB09" w14:textId="4DB1B8B3" w:rsidR="00E24417" w:rsidRDefault="00877799" w:rsidP="00877799">
            <w:pPr>
              <w:pStyle w:val="ListBullet"/>
              <w:rPr>
                <w:lang w:eastAsia="ja-JP"/>
              </w:rPr>
            </w:pPr>
            <w:r>
              <w:rPr>
                <w:lang w:eastAsia="ja-JP"/>
              </w:rPr>
              <w:t>T</w:t>
            </w:r>
            <w:r w:rsidR="00E24417" w:rsidRPr="00E24417">
              <w:rPr>
                <w:lang w:eastAsia="ja-JP"/>
              </w:rPr>
              <w:t>here is no data on the immunogenicity and safety profile in immunocompromised patients as such patients were specifically excluded from participation;</w:t>
            </w:r>
          </w:p>
          <w:p w14:paraId="35D56B5A" w14:textId="77777777" w:rsidR="00C3209E" w:rsidRPr="00E24417" w:rsidRDefault="00C3209E" w:rsidP="00D715C0">
            <w:pPr>
              <w:pStyle w:val="ListBullet"/>
              <w:numPr>
                <w:ilvl w:val="0"/>
                <w:numId w:val="0"/>
              </w:numPr>
              <w:ind w:left="360" w:hanging="360"/>
              <w:rPr>
                <w:lang w:eastAsia="ja-JP"/>
              </w:rPr>
            </w:pPr>
          </w:p>
          <w:p w14:paraId="4279B85E" w14:textId="344A797F" w:rsidR="00E24417" w:rsidRPr="00E24417" w:rsidRDefault="00C3209E" w:rsidP="00877799">
            <w:pPr>
              <w:pStyle w:val="ListBullet"/>
              <w:rPr>
                <w:lang w:eastAsia="ja-JP"/>
              </w:rPr>
            </w:pPr>
            <w:r>
              <w:rPr>
                <w:lang w:eastAsia="ja-JP"/>
              </w:rPr>
              <w:t>H</w:t>
            </w:r>
            <w:r w:rsidR="00E24417" w:rsidRPr="00E24417">
              <w:rPr>
                <w:lang w:eastAsia="ja-JP"/>
              </w:rPr>
              <w:t>ardly any data for the QIV</w:t>
            </w:r>
            <w:r w:rsidR="00877799">
              <w:rPr>
                <w:lang w:eastAsia="ja-JP"/>
              </w:rPr>
              <w:t xml:space="preserve"> in subjects of Asian ethnicity;</w:t>
            </w:r>
          </w:p>
          <w:p w14:paraId="52A2CEA8" w14:textId="3868F2FD" w:rsidR="00E24417" w:rsidRPr="00E24417" w:rsidRDefault="00877799" w:rsidP="00877799">
            <w:pPr>
              <w:pStyle w:val="ListBullet"/>
              <w:rPr>
                <w:lang w:eastAsia="ja-JP"/>
              </w:rPr>
            </w:pPr>
            <w:r>
              <w:rPr>
                <w:lang w:eastAsia="ja-JP"/>
              </w:rPr>
              <w:t>n</w:t>
            </w:r>
            <w:r w:rsidR="00E24417" w:rsidRPr="00E24417">
              <w:rPr>
                <w:lang w:eastAsia="ja-JP"/>
              </w:rPr>
              <w:t>il data for the QIV in Australian indigenous ethnicity</w:t>
            </w:r>
            <w:r>
              <w:rPr>
                <w:lang w:eastAsia="ja-JP"/>
              </w:rPr>
              <w:t>;</w:t>
            </w:r>
            <w:r w:rsidR="00E24417" w:rsidRPr="00E24417">
              <w:rPr>
                <w:lang w:eastAsia="ja-JP"/>
              </w:rPr>
              <w:t xml:space="preserve"> this is relevant to the Australian population</w:t>
            </w:r>
            <w:r>
              <w:rPr>
                <w:lang w:eastAsia="ja-JP"/>
              </w:rPr>
              <w:t>;</w:t>
            </w:r>
          </w:p>
          <w:p w14:paraId="4ADEDB12" w14:textId="56C225C2" w:rsidR="00E24417" w:rsidRPr="00E24417" w:rsidRDefault="00877799" w:rsidP="00877799">
            <w:pPr>
              <w:pStyle w:val="ListBullet"/>
              <w:rPr>
                <w:lang w:eastAsia="ja-JP"/>
              </w:rPr>
            </w:pPr>
            <w:proofErr w:type="gramStart"/>
            <w:r>
              <w:rPr>
                <w:lang w:eastAsia="ja-JP"/>
              </w:rPr>
              <w:t>n</w:t>
            </w:r>
            <w:r w:rsidR="00E24417" w:rsidRPr="00E24417">
              <w:rPr>
                <w:lang w:eastAsia="ja-JP"/>
              </w:rPr>
              <w:t>o</w:t>
            </w:r>
            <w:proofErr w:type="gramEnd"/>
            <w:r w:rsidR="00E24417" w:rsidRPr="00E24417">
              <w:rPr>
                <w:lang w:eastAsia="ja-JP"/>
              </w:rPr>
              <w:t xml:space="preserve"> data presented for the safety of QIV in lactating women, yet the product information states </w:t>
            </w:r>
            <w:r w:rsidR="004D432A">
              <w:rPr>
                <w:lang w:eastAsia="ja-JP"/>
              </w:rPr>
              <w:t>Influvac</w:t>
            </w:r>
            <w:r w:rsidR="00E24417" w:rsidRPr="00E24417">
              <w:rPr>
                <w:lang w:eastAsia="ja-JP"/>
              </w:rPr>
              <w:t xml:space="preserve"> </w:t>
            </w:r>
            <w:r>
              <w:rPr>
                <w:lang w:eastAsia="ja-JP"/>
              </w:rPr>
              <w:t>Tetra</w:t>
            </w:r>
            <w:r w:rsidR="00E24417" w:rsidRPr="00E24417">
              <w:rPr>
                <w:lang w:eastAsia="ja-JP"/>
              </w:rPr>
              <w:t xml:space="preserve"> can be used during lactation.</w:t>
            </w:r>
          </w:p>
        </w:tc>
        <w:tc>
          <w:tcPr>
            <w:tcW w:w="4394" w:type="dxa"/>
          </w:tcPr>
          <w:p w14:paraId="7860C014" w14:textId="77777777" w:rsidR="00580863" w:rsidRDefault="00877799" w:rsidP="00877799">
            <w:pPr>
              <w:pStyle w:val="ListBullet"/>
              <w:rPr>
                <w:lang w:eastAsia="ja-JP"/>
              </w:rPr>
            </w:pPr>
            <w:r>
              <w:rPr>
                <w:lang w:eastAsia="ja-JP"/>
              </w:rPr>
              <w:t>(Related to first bullet point, left)</w:t>
            </w:r>
            <w:r w:rsidR="00192EFF">
              <w:rPr>
                <w:lang w:eastAsia="ja-JP"/>
              </w:rPr>
              <w:t xml:space="preserve"> </w:t>
            </w:r>
            <w:r w:rsidR="00C3209E">
              <w:rPr>
                <w:lang w:eastAsia="ja-JP"/>
              </w:rPr>
              <w:t>Flagged</w:t>
            </w:r>
            <w:r w:rsidR="00E24417" w:rsidRPr="00E24417">
              <w:rPr>
                <w:lang w:eastAsia="ja-JP"/>
              </w:rPr>
              <w:t xml:space="preserve"> in the PI; as detailed in the RMP,</w:t>
            </w:r>
          </w:p>
          <w:p w14:paraId="478B91AB" w14:textId="5B6CCF7C" w:rsidR="00877799" w:rsidRDefault="00877799" w:rsidP="00877799">
            <w:pPr>
              <w:pStyle w:val="ListBullet"/>
              <w:numPr>
                <w:ilvl w:val="0"/>
                <w:numId w:val="0"/>
              </w:numPr>
              <w:ind w:left="360"/>
              <w:rPr>
                <w:lang w:eastAsia="ja-JP"/>
              </w:rPr>
            </w:pPr>
            <w:r>
              <w:rPr>
                <w:lang w:eastAsia="ja-JP"/>
              </w:rPr>
              <w:t>‘</w:t>
            </w:r>
            <w:r w:rsidR="00E24417" w:rsidRPr="00D715C0">
              <w:rPr>
                <w:i/>
                <w:lang w:eastAsia="ja-JP"/>
              </w:rPr>
              <w:t>Other routine measures including monitoring and reporting of post</w:t>
            </w:r>
            <w:r w:rsidRPr="00D715C0">
              <w:rPr>
                <w:i/>
                <w:lang w:eastAsia="ja-JP"/>
              </w:rPr>
              <w:t>-</w:t>
            </w:r>
            <w:r w:rsidR="00E24417" w:rsidRPr="00D715C0">
              <w:rPr>
                <w:i/>
                <w:lang w:eastAsia="ja-JP"/>
              </w:rPr>
              <w:t xml:space="preserve">marketing safety data and signal detection in the </w:t>
            </w:r>
            <w:r w:rsidR="004D485E" w:rsidRPr="00D715C0">
              <w:rPr>
                <w:i/>
                <w:lang w:eastAsia="ja-JP"/>
              </w:rPr>
              <w:t>immunocompromised</w:t>
            </w:r>
            <w:r w:rsidRPr="00D715C0">
              <w:rPr>
                <w:i/>
                <w:lang w:eastAsia="ja-JP"/>
              </w:rPr>
              <w:t>’</w:t>
            </w:r>
            <w:r w:rsidR="00E24417" w:rsidRPr="00E24417">
              <w:rPr>
                <w:lang w:eastAsia="ja-JP"/>
              </w:rPr>
              <w:t>.</w:t>
            </w:r>
          </w:p>
          <w:p w14:paraId="19BB3F18" w14:textId="62C13DF4" w:rsidR="00E24417" w:rsidRPr="00877799" w:rsidRDefault="00877799" w:rsidP="00877799">
            <w:pPr>
              <w:pStyle w:val="ListBullet"/>
              <w:rPr>
                <w:lang w:eastAsia="ja-JP"/>
              </w:rPr>
            </w:pPr>
            <w:r>
              <w:rPr>
                <w:lang w:eastAsia="ja-JP"/>
              </w:rPr>
              <w:t>(Related to bullet points 2 to 4</w:t>
            </w:r>
            <w:r w:rsidR="00C3209E">
              <w:rPr>
                <w:lang w:eastAsia="ja-JP"/>
              </w:rPr>
              <w:t xml:space="preserve"> left</w:t>
            </w:r>
            <w:r>
              <w:rPr>
                <w:lang w:eastAsia="ja-JP"/>
              </w:rPr>
              <w:t xml:space="preserve">), </w:t>
            </w:r>
            <w:r w:rsidR="00B14582">
              <w:rPr>
                <w:lang w:eastAsia="ja-JP"/>
              </w:rPr>
              <w:t>n</w:t>
            </w:r>
            <w:r w:rsidR="00E24417" w:rsidRPr="00E24417">
              <w:rPr>
                <w:lang w:eastAsia="ja-JP"/>
              </w:rPr>
              <w:t>o indication from the TIV data that immunogenicity and safety of the QIV will be any different in these different ethnicities or in lactating women.</w:t>
            </w:r>
            <w:r w:rsidR="001B2B66">
              <w:rPr>
                <w:lang w:eastAsia="ja-JP"/>
              </w:rPr>
              <w:t xml:space="preserve"> </w:t>
            </w:r>
            <w:r w:rsidR="00E24417" w:rsidRPr="00E24417">
              <w:rPr>
                <w:lang w:eastAsia="ja-JP"/>
              </w:rPr>
              <w:t xml:space="preserve">Although there is no data on immunogenicity and safety of this QIV in pregnancy or lactation, </w:t>
            </w:r>
            <w:r w:rsidR="00E24417" w:rsidRPr="00E24417">
              <w:rPr>
                <w:bCs/>
                <w:lang w:eastAsia="ja-JP"/>
              </w:rPr>
              <w:t xml:space="preserve">use in pregnant and breast-feeding women is not an identified Safety Concern in the EU-RMP. </w:t>
            </w:r>
            <w:r w:rsidR="00E24417" w:rsidRPr="00E24417">
              <w:rPr>
                <w:bCs/>
                <w:lang w:eastAsia="ja-JP"/>
              </w:rPr>
              <w:lastRenderedPageBreak/>
              <w:t>There is a clear plan for the collection of safety data in pregnancy and lactation, which will be reported as a summary data in the PSURs.</w:t>
            </w:r>
          </w:p>
        </w:tc>
      </w:tr>
    </w:tbl>
    <w:p w14:paraId="78F4C650" w14:textId="77777777" w:rsidR="00E24417" w:rsidRPr="00E24417" w:rsidRDefault="00E24417" w:rsidP="00A337FC">
      <w:pPr>
        <w:pStyle w:val="Heading3"/>
      </w:pPr>
      <w:bookmarkStart w:id="270" w:name="_Toc236802597"/>
      <w:bookmarkStart w:id="271" w:name="_Toc241374335"/>
      <w:bookmarkStart w:id="272" w:name="_Toc272414695"/>
      <w:bookmarkStart w:id="273" w:name="_Toc290888559"/>
      <w:bookmarkStart w:id="274" w:name="_Toc416353775"/>
      <w:bookmarkStart w:id="275" w:name="_Toc421005316"/>
      <w:bookmarkStart w:id="276" w:name="_Toc432079187"/>
      <w:bookmarkStart w:id="277" w:name="_Toc432080760"/>
      <w:bookmarkStart w:id="278" w:name="_Toc470758084"/>
      <w:bookmarkStart w:id="279" w:name="_Toc524344808"/>
      <w:r w:rsidRPr="00E24417">
        <w:lastRenderedPageBreak/>
        <w:t>First round assessment of benefit-risk</w:t>
      </w:r>
      <w:bookmarkEnd w:id="270"/>
      <w:bookmarkEnd w:id="271"/>
      <w:bookmarkEnd w:id="272"/>
      <w:bookmarkEnd w:id="273"/>
      <w:bookmarkEnd w:id="274"/>
      <w:bookmarkEnd w:id="275"/>
      <w:r w:rsidRPr="00E24417">
        <w:t xml:space="preserve"> balance</w:t>
      </w:r>
      <w:bookmarkEnd w:id="276"/>
      <w:bookmarkEnd w:id="277"/>
      <w:bookmarkEnd w:id="278"/>
      <w:bookmarkEnd w:id="279"/>
    </w:p>
    <w:p w14:paraId="6D516698" w14:textId="511CD2E6" w:rsidR="004252A6" w:rsidRPr="003442FE" w:rsidRDefault="00A337FC" w:rsidP="00C22678">
      <w:pPr>
        <w:rPr>
          <w:lang w:eastAsia="ja-JP"/>
        </w:rPr>
      </w:pPr>
      <w:r>
        <w:rPr>
          <w:lang w:eastAsia="ja-JP"/>
        </w:rPr>
        <w:t>The first round assessment of benefit-risk balance is f</w:t>
      </w:r>
      <w:r w:rsidR="00E24417" w:rsidRPr="00E24417">
        <w:rPr>
          <w:lang w:eastAsia="ja-JP"/>
        </w:rPr>
        <w:t>avourable.</w:t>
      </w:r>
    </w:p>
    <w:p w14:paraId="4F399A68" w14:textId="77777777" w:rsidR="00C22678" w:rsidRPr="003442FE" w:rsidRDefault="00C22678" w:rsidP="00C22678">
      <w:pPr>
        <w:pStyle w:val="Heading2"/>
      </w:pPr>
      <w:bookmarkStart w:id="280" w:name="_Toc524344809"/>
      <w:r w:rsidRPr="003442FE">
        <w:t>First round recommendation regarding authorisation</w:t>
      </w:r>
      <w:bookmarkEnd w:id="280"/>
    </w:p>
    <w:p w14:paraId="2745A308" w14:textId="1BA781ED" w:rsidR="00E24417" w:rsidRPr="003442FE" w:rsidRDefault="00A337FC" w:rsidP="00C22678">
      <w:pPr>
        <w:rPr>
          <w:lang w:eastAsia="ja-JP"/>
        </w:rPr>
      </w:pPr>
      <w:r>
        <w:rPr>
          <w:lang w:eastAsia="ja-JP"/>
        </w:rPr>
        <w:t>The clinical evaluator</w:t>
      </w:r>
      <w:r w:rsidR="00E24417" w:rsidRPr="00E24417">
        <w:rPr>
          <w:lang w:eastAsia="ja-JP"/>
        </w:rPr>
        <w:t xml:space="preserve"> recommend</w:t>
      </w:r>
      <w:r>
        <w:rPr>
          <w:lang w:eastAsia="ja-JP"/>
        </w:rPr>
        <w:t>s</w:t>
      </w:r>
      <w:r w:rsidR="00E24417" w:rsidRPr="00E24417">
        <w:rPr>
          <w:lang w:eastAsia="ja-JP"/>
        </w:rPr>
        <w:t xml:space="preserve"> authorisation.</w:t>
      </w:r>
    </w:p>
    <w:p w14:paraId="4C6EF2FD" w14:textId="77777777" w:rsidR="00C22678" w:rsidRDefault="00C22678" w:rsidP="00C22678">
      <w:pPr>
        <w:pStyle w:val="Heading2"/>
      </w:pPr>
      <w:bookmarkStart w:id="281" w:name="_Toc524344810"/>
      <w:r w:rsidRPr="003442FE">
        <w:t>Clinical questions</w:t>
      </w:r>
      <w:bookmarkEnd w:id="281"/>
    </w:p>
    <w:p w14:paraId="29A2CF02" w14:textId="65EC42A3" w:rsidR="00A337FC" w:rsidRPr="00A337FC" w:rsidRDefault="00A337FC" w:rsidP="00A337FC">
      <w:pPr>
        <w:rPr>
          <w:lang w:eastAsia="ja-JP"/>
        </w:rPr>
      </w:pPr>
      <w:r>
        <w:rPr>
          <w:lang w:eastAsia="ja-JP"/>
        </w:rPr>
        <w:t>The clinical evaluator had no questions for the sponsor.</w:t>
      </w:r>
    </w:p>
    <w:p w14:paraId="7149A050" w14:textId="77777777" w:rsidR="00C618F7" w:rsidRPr="003442FE" w:rsidRDefault="00C618F7" w:rsidP="00C618F7">
      <w:pPr>
        <w:pStyle w:val="Heading2"/>
      </w:pPr>
      <w:bookmarkStart w:id="282" w:name="_Toc524344811"/>
      <w:r w:rsidRPr="003442FE">
        <w:t>Second round benefit-risk assessment</w:t>
      </w:r>
      <w:bookmarkEnd w:id="282"/>
    </w:p>
    <w:p w14:paraId="309819AB" w14:textId="6ED8705F" w:rsidR="00C618F7" w:rsidRPr="003442FE" w:rsidRDefault="00A337FC" w:rsidP="00C618F7">
      <w:pPr>
        <w:rPr>
          <w:lang w:eastAsia="ja-JP"/>
        </w:rPr>
      </w:pPr>
      <w:r>
        <w:rPr>
          <w:lang w:eastAsia="ja-JP"/>
        </w:rPr>
        <w:t>Following the satisfactory assessment of the Influvac Tetra in the first round, the submission proceeded to Delegate’s overview. See the associated AusPAR for further details.</w:t>
      </w:r>
    </w:p>
    <w:p w14:paraId="3F064E16" w14:textId="77777777" w:rsidR="00C618F7" w:rsidRDefault="00C618F7" w:rsidP="00C618F7">
      <w:pPr>
        <w:pStyle w:val="Heading2"/>
      </w:pPr>
      <w:bookmarkStart w:id="283" w:name="_Toc524344812"/>
      <w:r w:rsidRPr="003442FE">
        <w:t>References</w:t>
      </w:r>
      <w:bookmarkEnd w:id="283"/>
    </w:p>
    <w:p w14:paraId="64C1FF66" w14:textId="5677C7BA" w:rsidR="00E24417" w:rsidRPr="00460E26" w:rsidRDefault="00E24417" w:rsidP="00460E26">
      <w:pPr>
        <w:pStyle w:val="Reference"/>
        <w:rPr>
          <w:sz w:val="21"/>
        </w:rPr>
      </w:pPr>
      <w:r w:rsidRPr="00460E26">
        <w:rPr>
          <w:sz w:val="21"/>
        </w:rPr>
        <w:t>Ambrose</w:t>
      </w:r>
      <w:r w:rsidR="00A337FC" w:rsidRPr="00460E26">
        <w:rPr>
          <w:sz w:val="21"/>
        </w:rPr>
        <w:t xml:space="preserve"> C, Levin M</w:t>
      </w:r>
      <w:r w:rsidRPr="00460E26">
        <w:rPr>
          <w:sz w:val="21"/>
        </w:rPr>
        <w:t xml:space="preserve">. </w:t>
      </w:r>
      <w:proofErr w:type="gramStart"/>
      <w:r w:rsidRPr="00460E26">
        <w:rPr>
          <w:sz w:val="21"/>
        </w:rPr>
        <w:t>The rationale for quadrivalent influenza vaccines.</w:t>
      </w:r>
      <w:proofErr w:type="gramEnd"/>
      <w:r w:rsidRPr="00460E26">
        <w:rPr>
          <w:sz w:val="21"/>
        </w:rPr>
        <w:t xml:space="preserve"> Hum Vaccin Immunother 2012 Jan; 8(1):81-8.</w:t>
      </w:r>
    </w:p>
    <w:p w14:paraId="016FE4EB" w14:textId="502018A2" w:rsidR="00E24417" w:rsidRPr="00460E26" w:rsidRDefault="00E24417" w:rsidP="00460E26">
      <w:pPr>
        <w:pStyle w:val="Reference"/>
        <w:rPr>
          <w:sz w:val="21"/>
        </w:rPr>
      </w:pPr>
      <w:r w:rsidRPr="00460E26">
        <w:rPr>
          <w:sz w:val="21"/>
        </w:rPr>
        <w:t>Belshe</w:t>
      </w:r>
      <w:r w:rsidR="00A337FC" w:rsidRPr="00460E26">
        <w:rPr>
          <w:sz w:val="21"/>
        </w:rPr>
        <w:t>, R</w:t>
      </w:r>
      <w:r w:rsidRPr="00460E26">
        <w:rPr>
          <w:sz w:val="21"/>
        </w:rPr>
        <w:t xml:space="preserve">. </w:t>
      </w:r>
      <w:proofErr w:type="gramStart"/>
      <w:r w:rsidRPr="00460E26">
        <w:rPr>
          <w:sz w:val="21"/>
        </w:rPr>
        <w:t>The need for quadrivalent vaccine against seasonal influenza.</w:t>
      </w:r>
      <w:proofErr w:type="gramEnd"/>
      <w:r w:rsidRPr="00460E26">
        <w:rPr>
          <w:sz w:val="21"/>
        </w:rPr>
        <w:t xml:space="preserve"> Vaccine 2010 Sep 7; 28 Suppl 4: D45-53.</w:t>
      </w:r>
    </w:p>
    <w:p w14:paraId="3CADBE53" w14:textId="046FE2B3" w:rsidR="00E24417" w:rsidRPr="00460E26" w:rsidRDefault="00E24417" w:rsidP="00460E26">
      <w:pPr>
        <w:pStyle w:val="Reference"/>
        <w:rPr>
          <w:sz w:val="21"/>
        </w:rPr>
      </w:pPr>
      <w:r w:rsidRPr="00460E26">
        <w:rPr>
          <w:sz w:val="21"/>
        </w:rPr>
        <w:t>Beyer</w:t>
      </w:r>
      <w:r w:rsidR="00A337FC" w:rsidRPr="00460E26">
        <w:rPr>
          <w:sz w:val="21"/>
        </w:rPr>
        <w:t xml:space="preserve"> W</w:t>
      </w:r>
      <w:r w:rsidRPr="00460E26">
        <w:rPr>
          <w:sz w:val="21"/>
        </w:rPr>
        <w:t>, et al. Protection against influenza after annually repeated vaccination: a meta-analysis of serologic and field studies. Arch Intern Med. 1999</w:t>
      </w:r>
      <w:proofErr w:type="gramStart"/>
      <w:r w:rsidRPr="00460E26">
        <w:rPr>
          <w:sz w:val="21"/>
        </w:rPr>
        <w:t>;159</w:t>
      </w:r>
      <w:proofErr w:type="gramEnd"/>
      <w:r w:rsidRPr="00460E26">
        <w:rPr>
          <w:sz w:val="21"/>
        </w:rPr>
        <w:t>(2):182-8.</w:t>
      </w:r>
    </w:p>
    <w:p w14:paraId="706B3D68" w14:textId="53589484" w:rsidR="00E24417" w:rsidRPr="00460E26" w:rsidRDefault="00E24417" w:rsidP="00460E26">
      <w:pPr>
        <w:pStyle w:val="Reference"/>
        <w:rPr>
          <w:sz w:val="21"/>
        </w:rPr>
      </w:pPr>
      <w:r w:rsidRPr="00460E26">
        <w:rPr>
          <w:sz w:val="21"/>
        </w:rPr>
        <w:t>Domachowske J, et al. A Randomized Trial of Candidate Inactivated Quadrivalent Influenza Vaccine versus Trivalent Influenza Vaccines in Children Aged 3-17 Years. J Infect Dis 2013</w:t>
      </w:r>
      <w:proofErr w:type="gramStart"/>
      <w:r w:rsidRPr="00460E26">
        <w:rPr>
          <w:sz w:val="21"/>
        </w:rPr>
        <w:t>;207</w:t>
      </w:r>
      <w:proofErr w:type="gramEnd"/>
      <w:r w:rsidRPr="00460E26">
        <w:rPr>
          <w:sz w:val="21"/>
        </w:rPr>
        <w:t>(12):1878-87.</w:t>
      </w:r>
    </w:p>
    <w:p w14:paraId="5D1FC07B" w14:textId="350B777A" w:rsidR="00E24417" w:rsidRPr="00460E26" w:rsidRDefault="00E24417" w:rsidP="00460E26">
      <w:pPr>
        <w:pStyle w:val="Reference"/>
        <w:rPr>
          <w:sz w:val="21"/>
        </w:rPr>
      </w:pPr>
      <w:r w:rsidRPr="00460E26">
        <w:rPr>
          <w:sz w:val="21"/>
        </w:rPr>
        <w:t>Fiore</w:t>
      </w:r>
      <w:r w:rsidR="00460E26" w:rsidRPr="00460E26">
        <w:rPr>
          <w:sz w:val="21"/>
        </w:rPr>
        <w:t xml:space="preserve"> A, </w:t>
      </w:r>
      <w:r w:rsidRPr="00460E26">
        <w:rPr>
          <w:sz w:val="21"/>
        </w:rPr>
        <w:t>et al. Prevention and control of seasonal influenza with vaccines: recommendations of the Advisory Committee on Immunization Practices (ACIP), 2009. MMWR Recomm Rep 2009 Jul 31</w:t>
      </w:r>
      <w:proofErr w:type="gramStart"/>
      <w:r w:rsidRPr="00460E26">
        <w:rPr>
          <w:sz w:val="21"/>
        </w:rPr>
        <w:t>;58</w:t>
      </w:r>
      <w:proofErr w:type="gramEnd"/>
      <w:r w:rsidRPr="00460E26">
        <w:rPr>
          <w:sz w:val="21"/>
        </w:rPr>
        <w:t>(RR-8):1-52.</w:t>
      </w:r>
    </w:p>
    <w:p w14:paraId="262818B6" w14:textId="13F34C01" w:rsidR="00E24417" w:rsidRPr="00460E26" w:rsidRDefault="00E24417" w:rsidP="00460E26">
      <w:pPr>
        <w:pStyle w:val="Reference"/>
        <w:rPr>
          <w:sz w:val="21"/>
        </w:rPr>
      </w:pPr>
      <w:r w:rsidRPr="00460E26">
        <w:rPr>
          <w:sz w:val="21"/>
        </w:rPr>
        <w:t>Greenberg D, et al. Safety and immunogenicity of a quadrivalent inactivated influenza vaccine compared to licensed trivalent inactivated influenza vaccines in adults. Vaccine 2013</w:t>
      </w:r>
      <w:proofErr w:type="gramStart"/>
      <w:r w:rsidRPr="00460E26">
        <w:rPr>
          <w:sz w:val="21"/>
        </w:rPr>
        <w:t>;31</w:t>
      </w:r>
      <w:proofErr w:type="gramEnd"/>
      <w:r w:rsidRPr="00460E26">
        <w:rPr>
          <w:sz w:val="21"/>
        </w:rPr>
        <w:t>(5):770-6.</w:t>
      </w:r>
    </w:p>
    <w:p w14:paraId="6B48B26A" w14:textId="77B77D2E" w:rsidR="00E24417" w:rsidRPr="00460E26" w:rsidRDefault="00E24417" w:rsidP="00460E26">
      <w:pPr>
        <w:pStyle w:val="Reference"/>
        <w:rPr>
          <w:sz w:val="21"/>
        </w:rPr>
      </w:pPr>
      <w:proofErr w:type="gramStart"/>
      <w:r w:rsidRPr="00460E26">
        <w:rPr>
          <w:sz w:val="21"/>
        </w:rPr>
        <w:t>Greenberg D, et al. Safety and Immunogenicity of an Inactivated Quadrivalent Influenza Vaccine in Children 6 Months through 8 Years of Age.</w:t>
      </w:r>
      <w:proofErr w:type="gramEnd"/>
      <w:r w:rsidRPr="00460E26">
        <w:rPr>
          <w:sz w:val="21"/>
        </w:rPr>
        <w:t xml:space="preserve"> Pediatr Infect Dis J. 2014 Jan 17.</w:t>
      </w:r>
    </w:p>
    <w:p w14:paraId="016DF11F" w14:textId="77777777" w:rsidR="00580863" w:rsidRDefault="00E24417" w:rsidP="00460E26">
      <w:pPr>
        <w:pStyle w:val="Reference"/>
        <w:rPr>
          <w:sz w:val="21"/>
        </w:rPr>
      </w:pPr>
      <w:r w:rsidRPr="00460E26">
        <w:rPr>
          <w:sz w:val="21"/>
        </w:rPr>
        <w:t xml:space="preserve">Grant K, et al. High proportion of influenza B characterises the 2008 influenza season in Victoria. </w:t>
      </w:r>
      <w:proofErr w:type="spellStart"/>
      <w:r w:rsidRPr="00460E26">
        <w:rPr>
          <w:sz w:val="21"/>
        </w:rPr>
        <w:t>Commun</w:t>
      </w:r>
      <w:proofErr w:type="spellEnd"/>
      <w:r w:rsidRPr="00460E26">
        <w:rPr>
          <w:sz w:val="21"/>
        </w:rPr>
        <w:t xml:space="preserve"> Dis </w:t>
      </w:r>
      <w:proofErr w:type="spellStart"/>
      <w:r w:rsidRPr="00460E26">
        <w:rPr>
          <w:sz w:val="21"/>
        </w:rPr>
        <w:t>Intell</w:t>
      </w:r>
      <w:proofErr w:type="spellEnd"/>
      <w:r w:rsidRPr="00460E26">
        <w:rPr>
          <w:sz w:val="21"/>
        </w:rPr>
        <w:t xml:space="preserve"> Q Rep 2009</w:t>
      </w:r>
      <w:proofErr w:type="gramStart"/>
      <w:r w:rsidRPr="00460E26">
        <w:rPr>
          <w:sz w:val="21"/>
        </w:rPr>
        <w:t>;33</w:t>
      </w:r>
      <w:proofErr w:type="gramEnd"/>
      <w:r w:rsidRPr="00460E26">
        <w:rPr>
          <w:sz w:val="21"/>
        </w:rPr>
        <w:t>(3):328-36.</w:t>
      </w:r>
    </w:p>
    <w:p w14:paraId="7273C216" w14:textId="32B5BF05" w:rsidR="00E24417" w:rsidRPr="00460E26" w:rsidRDefault="00E24417" w:rsidP="00460E26">
      <w:pPr>
        <w:pStyle w:val="Reference"/>
        <w:rPr>
          <w:sz w:val="21"/>
        </w:rPr>
      </w:pPr>
      <w:r w:rsidRPr="00460E26">
        <w:rPr>
          <w:sz w:val="21"/>
        </w:rPr>
        <w:t xml:space="preserve">Hay </w:t>
      </w:r>
      <w:proofErr w:type="gramStart"/>
      <w:r w:rsidR="00460E26" w:rsidRPr="00460E26">
        <w:rPr>
          <w:sz w:val="21"/>
        </w:rPr>
        <w:t>A</w:t>
      </w:r>
      <w:proofErr w:type="gramEnd"/>
      <w:r w:rsidR="00460E26" w:rsidRPr="00460E26">
        <w:rPr>
          <w:sz w:val="21"/>
        </w:rPr>
        <w:t xml:space="preserve">, </w:t>
      </w:r>
      <w:r w:rsidRPr="00460E26">
        <w:rPr>
          <w:sz w:val="21"/>
        </w:rPr>
        <w:t>et al. Influenza viruses. In: Belshe RB, ed. Textbook of Human Virology. St. Louis, Missouri: Mosby Year Book, Inc, 1991</w:t>
      </w:r>
      <w:proofErr w:type="gramStart"/>
      <w:r w:rsidRPr="00460E26">
        <w:rPr>
          <w:sz w:val="21"/>
        </w:rPr>
        <w:t>;307</w:t>
      </w:r>
      <w:proofErr w:type="gramEnd"/>
      <w:r w:rsidRPr="00460E26">
        <w:rPr>
          <w:sz w:val="21"/>
        </w:rPr>
        <w:t>−341.</w:t>
      </w:r>
    </w:p>
    <w:p w14:paraId="6C511EBD" w14:textId="4E20CD66" w:rsidR="00E24417" w:rsidRPr="00460E26" w:rsidRDefault="00E24417" w:rsidP="00460E26">
      <w:pPr>
        <w:pStyle w:val="Reference"/>
        <w:rPr>
          <w:sz w:val="21"/>
        </w:rPr>
      </w:pPr>
      <w:r w:rsidRPr="00460E26">
        <w:rPr>
          <w:sz w:val="21"/>
        </w:rPr>
        <w:t>Jain V et al. Vaccine for prevention of mild and moderate-to-severe influenza in children. N</w:t>
      </w:r>
      <w:r w:rsidR="00460E26" w:rsidRPr="00460E26">
        <w:rPr>
          <w:sz w:val="21"/>
        </w:rPr>
        <w:t xml:space="preserve"> </w:t>
      </w:r>
      <w:r w:rsidRPr="00460E26">
        <w:rPr>
          <w:sz w:val="21"/>
        </w:rPr>
        <w:t>Engl J Med. 2013; 369(26):2481-91</w:t>
      </w:r>
    </w:p>
    <w:p w14:paraId="7F152EE5" w14:textId="3D5D9525" w:rsidR="00E24417" w:rsidRPr="00460E26" w:rsidRDefault="00E24417" w:rsidP="00460E26">
      <w:pPr>
        <w:pStyle w:val="Reference"/>
        <w:rPr>
          <w:sz w:val="21"/>
        </w:rPr>
      </w:pPr>
      <w:r w:rsidRPr="00460E26">
        <w:rPr>
          <w:sz w:val="21"/>
        </w:rPr>
        <w:t>Langley J</w:t>
      </w:r>
      <w:r w:rsidR="00460E26" w:rsidRPr="00460E26">
        <w:rPr>
          <w:sz w:val="21"/>
        </w:rPr>
        <w:t>,</w:t>
      </w:r>
      <w:r w:rsidRPr="00460E26">
        <w:rPr>
          <w:sz w:val="21"/>
        </w:rPr>
        <w:t xml:space="preserve"> et al. Immunogenicity and safety of an inactivated quadrivalent </w:t>
      </w:r>
      <w:r w:rsidR="00A51684">
        <w:rPr>
          <w:sz w:val="21"/>
        </w:rPr>
        <w:t>influenza vaccine candidate: a P</w:t>
      </w:r>
      <w:r w:rsidRPr="00460E26">
        <w:rPr>
          <w:sz w:val="21"/>
        </w:rPr>
        <w:t>hase III randomized controlled trial in children. J Infect Dis. 2013; 208(4):544-53.</w:t>
      </w:r>
    </w:p>
    <w:p w14:paraId="6AB4F94E" w14:textId="14C4C1AD" w:rsidR="00E24417" w:rsidRPr="00460E26" w:rsidRDefault="00E24417" w:rsidP="00460E26">
      <w:pPr>
        <w:pStyle w:val="Reference"/>
        <w:rPr>
          <w:sz w:val="21"/>
        </w:rPr>
      </w:pPr>
      <w:proofErr w:type="gramStart"/>
      <w:r w:rsidRPr="00460E26">
        <w:rPr>
          <w:sz w:val="21"/>
        </w:rPr>
        <w:lastRenderedPageBreak/>
        <w:t>Monto</w:t>
      </w:r>
      <w:r w:rsidR="00460E26" w:rsidRPr="00460E26">
        <w:rPr>
          <w:sz w:val="21"/>
        </w:rPr>
        <w:t xml:space="preserve"> A</w:t>
      </w:r>
      <w:r w:rsidRPr="00460E26">
        <w:rPr>
          <w:sz w:val="21"/>
        </w:rPr>
        <w:t>. Epidemiology of influenza.</w:t>
      </w:r>
      <w:proofErr w:type="gramEnd"/>
      <w:r w:rsidRPr="00460E26">
        <w:rPr>
          <w:sz w:val="21"/>
        </w:rPr>
        <w:t xml:space="preserve"> </w:t>
      </w:r>
      <w:proofErr w:type="gramStart"/>
      <w:r w:rsidRPr="00460E26">
        <w:rPr>
          <w:sz w:val="21"/>
        </w:rPr>
        <w:t>Vaccine.</w:t>
      </w:r>
      <w:proofErr w:type="gramEnd"/>
      <w:r w:rsidRPr="00460E26">
        <w:rPr>
          <w:sz w:val="21"/>
        </w:rPr>
        <w:t xml:space="preserve"> 2008 Sep 12; 26 Suppl 4:D45-8.</w:t>
      </w:r>
    </w:p>
    <w:p w14:paraId="3BCD17C1" w14:textId="5B46BB26" w:rsidR="00E24417" w:rsidRPr="00460E26" w:rsidRDefault="00E24417" w:rsidP="00460E26">
      <w:pPr>
        <w:pStyle w:val="Reference"/>
        <w:rPr>
          <w:sz w:val="21"/>
        </w:rPr>
      </w:pPr>
      <w:r w:rsidRPr="00460E26">
        <w:rPr>
          <w:sz w:val="21"/>
        </w:rPr>
        <w:t xml:space="preserve">Olson D, et al. </w:t>
      </w:r>
      <w:proofErr w:type="gramStart"/>
      <w:r w:rsidRPr="00460E26">
        <w:rPr>
          <w:sz w:val="21"/>
        </w:rPr>
        <w:t>Monitoring</w:t>
      </w:r>
      <w:proofErr w:type="gramEnd"/>
      <w:r w:rsidRPr="00460E26">
        <w:rPr>
          <w:sz w:val="21"/>
        </w:rPr>
        <w:t xml:space="preserve"> the impact of influenza by age: emergency department fever and respiratory complaint surveillance in New York City. PLoS Med 2007</w:t>
      </w:r>
      <w:proofErr w:type="gramStart"/>
      <w:r w:rsidRPr="00460E26">
        <w:rPr>
          <w:sz w:val="21"/>
        </w:rPr>
        <w:t>;4</w:t>
      </w:r>
      <w:proofErr w:type="gramEnd"/>
      <w:r w:rsidRPr="00460E26">
        <w:rPr>
          <w:sz w:val="21"/>
        </w:rPr>
        <w:t>(8):e247.</w:t>
      </w:r>
    </w:p>
    <w:p w14:paraId="4615089A" w14:textId="77777777" w:rsidR="00E24417" w:rsidRPr="00460E26" w:rsidRDefault="00E24417" w:rsidP="00460E26">
      <w:pPr>
        <w:pStyle w:val="Reference"/>
        <w:rPr>
          <w:sz w:val="21"/>
        </w:rPr>
      </w:pPr>
      <w:proofErr w:type="gramStart"/>
      <w:r w:rsidRPr="00460E26">
        <w:rPr>
          <w:sz w:val="21"/>
        </w:rPr>
        <w:t>Pépin S, et al. Safety and immunogenicity of a quadrivalent inactivated influenza vaccine in adults.</w:t>
      </w:r>
      <w:proofErr w:type="gramEnd"/>
      <w:r w:rsidRPr="00460E26">
        <w:rPr>
          <w:sz w:val="21"/>
        </w:rPr>
        <w:t xml:space="preserve"> </w:t>
      </w:r>
      <w:proofErr w:type="gramStart"/>
      <w:r w:rsidRPr="00460E26">
        <w:rPr>
          <w:sz w:val="21"/>
        </w:rPr>
        <w:t>Vaccine.</w:t>
      </w:r>
      <w:proofErr w:type="gramEnd"/>
      <w:r w:rsidRPr="00460E26">
        <w:rPr>
          <w:sz w:val="21"/>
        </w:rPr>
        <w:t xml:space="preserve"> 2013; 31(47):5572-8.</w:t>
      </w:r>
    </w:p>
    <w:p w14:paraId="2FF7CC58" w14:textId="1679DFC9" w:rsidR="00E24417" w:rsidRPr="00460E26" w:rsidRDefault="00E24417" w:rsidP="00460E26">
      <w:pPr>
        <w:pStyle w:val="Reference"/>
        <w:rPr>
          <w:sz w:val="21"/>
        </w:rPr>
      </w:pPr>
      <w:r w:rsidRPr="00460E26">
        <w:rPr>
          <w:sz w:val="21"/>
        </w:rPr>
        <w:t>Rota</w:t>
      </w:r>
      <w:r w:rsidR="00460E26" w:rsidRPr="00460E26">
        <w:rPr>
          <w:sz w:val="21"/>
        </w:rPr>
        <w:t xml:space="preserve"> P, </w:t>
      </w:r>
      <w:r w:rsidRPr="00460E26">
        <w:rPr>
          <w:sz w:val="21"/>
        </w:rPr>
        <w:t xml:space="preserve">et al. Cocirculation of </w:t>
      </w:r>
      <w:r w:rsidR="00957523" w:rsidRPr="00460E26">
        <w:rPr>
          <w:sz w:val="21"/>
        </w:rPr>
        <w:t>2</w:t>
      </w:r>
      <w:r w:rsidRPr="00460E26">
        <w:rPr>
          <w:sz w:val="21"/>
        </w:rPr>
        <w:t xml:space="preserve"> distinct evolutionary lineages of influenza type B virus since 1983. Virology 1990 Mar; 175(1):59-68.</w:t>
      </w:r>
    </w:p>
    <w:p w14:paraId="506721FC" w14:textId="5EB69AB5" w:rsidR="00E24417" w:rsidRPr="00460E26" w:rsidRDefault="00E24417" w:rsidP="00460E26">
      <w:pPr>
        <w:pStyle w:val="Reference"/>
        <w:rPr>
          <w:sz w:val="21"/>
        </w:rPr>
      </w:pPr>
      <w:r w:rsidRPr="00460E26">
        <w:rPr>
          <w:sz w:val="21"/>
        </w:rPr>
        <w:t>Rothberg</w:t>
      </w:r>
      <w:r w:rsidR="00460E26" w:rsidRPr="00460E26">
        <w:rPr>
          <w:sz w:val="21"/>
        </w:rPr>
        <w:t xml:space="preserve"> M, et al</w:t>
      </w:r>
      <w:proofErr w:type="gramStart"/>
      <w:r w:rsidR="00460E26" w:rsidRPr="00460E26">
        <w:rPr>
          <w:sz w:val="21"/>
        </w:rPr>
        <w:t>.</w:t>
      </w:r>
      <w:r w:rsidRPr="00460E26">
        <w:rPr>
          <w:sz w:val="21"/>
        </w:rPr>
        <w:t>.</w:t>
      </w:r>
      <w:proofErr w:type="gramEnd"/>
      <w:r w:rsidRPr="00460E26">
        <w:rPr>
          <w:sz w:val="21"/>
        </w:rPr>
        <w:t xml:space="preserve"> </w:t>
      </w:r>
      <w:proofErr w:type="gramStart"/>
      <w:r w:rsidRPr="00460E26">
        <w:rPr>
          <w:sz w:val="21"/>
        </w:rPr>
        <w:t>Complications of viral influenza.</w:t>
      </w:r>
      <w:proofErr w:type="gramEnd"/>
      <w:r w:rsidRPr="00460E26">
        <w:rPr>
          <w:sz w:val="21"/>
        </w:rPr>
        <w:t xml:space="preserve"> Am J Med 2008 Apr</w:t>
      </w:r>
      <w:proofErr w:type="gramStart"/>
      <w:r w:rsidRPr="00460E26">
        <w:rPr>
          <w:sz w:val="21"/>
        </w:rPr>
        <w:t>;121</w:t>
      </w:r>
      <w:proofErr w:type="gramEnd"/>
      <w:r w:rsidRPr="00460E26">
        <w:rPr>
          <w:sz w:val="21"/>
        </w:rPr>
        <w:t>(4):258-64</w:t>
      </w:r>
    </w:p>
    <w:p w14:paraId="7EFDAC25" w14:textId="1C187B37" w:rsidR="00E24417" w:rsidRPr="00460E26" w:rsidRDefault="00E24417" w:rsidP="00460E26">
      <w:pPr>
        <w:pStyle w:val="Reference"/>
        <w:rPr>
          <w:sz w:val="21"/>
        </w:rPr>
      </w:pPr>
      <w:r w:rsidRPr="00460E26">
        <w:rPr>
          <w:sz w:val="21"/>
        </w:rPr>
        <w:t>Thompson W, et al. Mortality associated with influenza and respiratory syncytial virus in the United States. JAMA 2003</w:t>
      </w:r>
      <w:proofErr w:type="gramStart"/>
      <w:r w:rsidRPr="00460E26">
        <w:rPr>
          <w:sz w:val="21"/>
        </w:rPr>
        <w:t>;8</w:t>
      </w:r>
      <w:proofErr w:type="gramEnd"/>
      <w:r w:rsidRPr="00460E26">
        <w:rPr>
          <w:sz w:val="21"/>
        </w:rPr>
        <w:t>;289(2):179-86.</w:t>
      </w:r>
    </w:p>
    <w:bookmarkEnd w:id="3"/>
    <w:bookmarkEnd w:id="2"/>
    <w:bookmarkEnd w:id="1"/>
    <w:p w14:paraId="2B5948D2" w14:textId="7F5784E1" w:rsidR="003D1E62" w:rsidRPr="003442FE" w:rsidRDefault="003D1E62" w:rsidP="002666AC">
      <w:pPr>
        <w:sectPr w:rsidR="003D1E62" w:rsidRPr="003442FE" w:rsidSect="008D770F">
          <w:headerReference w:type="even" r:id="rId36"/>
          <w:headerReference w:type="default" r:id="rId37"/>
          <w:headerReference w:type="first" r:id="rId38"/>
          <w:footerReference w:type="first" r:id="rId39"/>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3442FE" w14:paraId="3599C3B3" w14:textId="77777777" w:rsidTr="001F1326">
        <w:trPr>
          <w:trHeight w:hRule="exact" w:val="564"/>
        </w:trPr>
        <w:tc>
          <w:tcPr>
            <w:tcW w:w="9175" w:type="dxa"/>
          </w:tcPr>
          <w:p w14:paraId="1B4B5F75" w14:textId="77777777" w:rsidR="00B3567E" w:rsidRPr="003442FE" w:rsidRDefault="00B3567E" w:rsidP="001F1326">
            <w:pPr>
              <w:pStyle w:val="TGASignoff"/>
            </w:pPr>
            <w:r w:rsidRPr="003442FE">
              <w:lastRenderedPageBreak/>
              <w:t>Therapeutic Goods Administration</w:t>
            </w:r>
          </w:p>
        </w:tc>
      </w:tr>
      <w:tr w:rsidR="00B3567E" w:rsidRPr="003442FE" w14:paraId="452536F0" w14:textId="77777777" w:rsidTr="001F1326">
        <w:trPr>
          <w:trHeight w:val="1221"/>
        </w:trPr>
        <w:tc>
          <w:tcPr>
            <w:tcW w:w="9175" w:type="dxa"/>
            <w:tcMar>
              <w:top w:w="28" w:type="dxa"/>
            </w:tcMar>
          </w:tcPr>
          <w:p w14:paraId="66F58CB5" w14:textId="77777777" w:rsidR="00B3567E" w:rsidRPr="003442FE" w:rsidRDefault="00B3567E" w:rsidP="001F1326">
            <w:pPr>
              <w:pStyle w:val="Address"/>
            </w:pPr>
            <w:r w:rsidRPr="003442FE">
              <w:t>PO Box 100 Woden ACT 2606 Australia</w:t>
            </w:r>
          </w:p>
          <w:p w14:paraId="7523DE0F" w14:textId="5C36AD57" w:rsidR="00B3567E" w:rsidRPr="003442FE" w:rsidRDefault="00B3567E" w:rsidP="001F1326">
            <w:pPr>
              <w:pStyle w:val="Address"/>
            </w:pPr>
            <w:r w:rsidRPr="003442FE">
              <w:t xml:space="preserve">Email: </w:t>
            </w:r>
            <w:hyperlink r:id="rId40" w:history="1">
              <w:r w:rsidRPr="003442FE">
                <w:rPr>
                  <w:rStyle w:val="Hyperlink"/>
                </w:rPr>
                <w:t>info@tga.gov.au</w:t>
              </w:r>
            </w:hyperlink>
            <w:r w:rsidR="001B2B66">
              <w:t xml:space="preserve"> </w:t>
            </w:r>
            <w:r w:rsidRPr="003442FE">
              <w:t>Phone: 1800 020 653</w:t>
            </w:r>
            <w:r w:rsidR="001B2B66">
              <w:t xml:space="preserve"> </w:t>
            </w:r>
            <w:r w:rsidRPr="003442FE">
              <w:t>Fax: 02 6232 8605</w:t>
            </w:r>
          </w:p>
          <w:p w14:paraId="7C0ACB46" w14:textId="77777777" w:rsidR="00B3567E" w:rsidRPr="003442FE" w:rsidRDefault="00D03F49" w:rsidP="001F1326">
            <w:pPr>
              <w:pStyle w:val="Address"/>
              <w:spacing w:line="260" w:lineRule="atLeast"/>
              <w:rPr>
                <w:b/>
                <w:color w:val="0000FF"/>
                <w:u w:val="single"/>
              </w:rPr>
            </w:pPr>
            <w:hyperlink r:id="rId41" w:history="1">
              <w:r w:rsidR="00E979F4" w:rsidRPr="003442FE">
                <w:rPr>
                  <w:rStyle w:val="Hyperlink"/>
                  <w:b/>
                </w:rPr>
                <w:t>https://www.tga.gov.au</w:t>
              </w:r>
            </w:hyperlink>
          </w:p>
        </w:tc>
      </w:tr>
    </w:tbl>
    <w:p w14:paraId="3FB96E6D" w14:textId="77777777" w:rsidR="00774E1D" w:rsidRPr="003442FE" w:rsidRDefault="00774E1D" w:rsidP="008A5E0B"/>
    <w:sectPr w:rsidR="00774E1D" w:rsidRPr="003442FE" w:rsidSect="00B3567E">
      <w:headerReference w:type="even" r:id="rId42"/>
      <w:headerReference w:type="default" r:id="rId43"/>
      <w:footerReference w:type="default" r:id="rId44"/>
      <w:headerReference w:type="first" r:id="rId45"/>
      <w:footerReference w:type="first" r:id="rId4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4885D" w14:textId="77777777" w:rsidR="008027EB" w:rsidRDefault="008027EB" w:rsidP="00C40A36">
      <w:pPr>
        <w:spacing w:after="0"/>
      </w:pPr>
      <w:r>
        <w:separator/>
      </w:r>
    </w:p>
  </w:endnote>
  <w:endnote w:type="continuationSeparator" w:id="0">
    <w:p w14:paraId="790744E1" w14:textId="77777777" w:rsidR="008027EB" w:rsidRDefault="008027E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charset w:val="00"/>
    <w:family w:val="roman"/>
    <w:pitch w:val="variable"/>
    <w:sig w:usb0="E0002AEF" w:usb1="C0007841" w:usb2="00000009" w:usb3="00000000" w:csb0="000001FF" w:csb1="00000000"/>
  </w:font>
  <w:font w:name="TimesNewRoman">
    <w:altName w:val="MS Mincho"/>
    <w:panose1 w:val="00000000000000000000"/>
    <w:charset w:val="80"/>
    <w:family w:val="auto"/>
    <w:notTrueType/>
    <w:pitch w:val="default"/>
    <w:sig w:usb0="00000083" w:usb1="09070000" w:usb2="00000010" w:usb3="00000000" w:csb0="000A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192EFF" w:rsidRPr="00487162" w14:paraId="7F303C00" w14:textId="77777777" w:rsidTr="00AF7A75">
      <w:trPr>
        <w:trHeight w:val="269"/>
      </w:trPr>
      <w:tc>
        <w:tcPr>
          <w:tcW w:w="7655" w:type="dxa"/>
          <w:tcMar>
            <w:top w:w="142" w:type="dxa"/>
            <w:bottom w:w="0" w:type="dxa"/>
          </w:tcMar>
        </w:tcPr>
        <w:p w14:paraId="778669D2" w14:textId="25066DA6" w:rsidR="00192EFF" w:rsidRPr="00487162" w:rsidRDefault="00192EFF" w:rsidP="00B500CF">
          <w:pPr>
            <w:pStyle w:val="Footer"/>
          </w:pPr>
          <w:r>
            <w:t>Submission</w:t>
          </w:r>
          <w:r w:rsidRPr="00487162">
            <w:t xml:space="preserve"> PM-20</w:t>
          </w:r>
          <w:r>
            <w:t>16-02725-1-2 Extract from the Clinical Evaluation Report for Influvac Tetra influenza virus haemagglutinin Mylan Australia Pty Ltd</w:t>
          </w:r>
        </w:p>
      </w:tc>
      <w:tc>
        <w:tcPr>
          <w:tcW w:w="1206" w:type="dxa"/>
          <w:tcMar>
            <w:top w:w="142" w:type="dxa"/>
            <w:bottom w:w="0" w:type="dxa"/>
          </w:tcMar>
        </w:tcPr>
        <w:p w14:paraId="7A969DCA" w14:textId="3C670316" w:rsidR="00192EFF" w:rsidRPr="00981D66" w:rsidRDefault="00192EFF"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D03F49">
            <w:rPr>
              <w:noProof/>
            </w:rPr>
            <w:t>37</w:t>
          </w:r>
          <w:r w:rsidRPr="00981D66">
            <w:fldChar w:fldCharType="end"/>
          </w:r>
          <w:r w:rsidRPr="00981D66">
            <w:t xml:space="preserve"> of </w:t>
          </w:r>
          <w:fldSimple w:instr=" NUMPAGES  \* Arabic  \* MERGEFORMAT ">
            <w:r w:rsidR="00D03F49">
              <w:rPr>
                <w:noProof/>
              </w:rPr>
              <w:t>37</w:t>
            </w:r>
          </w:fldSimple>
        </w:p>
      </w:tc>
    </w:tr>
  </w:tbl>
  <w:p w14:paraId="787AC24F" w14:textId="77777777" w:rsidR="00192EFF" w:rsidRDefault="00192EF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92EFF" w:rsidRPr="00487162" w14:paraId="3DA7667D" w14:textId="77777777" w:rsidTr="00E45619">
      <w:trPr>
        <w:trHeight w:val="269"/>
      </w:trPr>
      <w:tc>
        <w:tcPr>
          <w:tcW w:w="4519" w:type="dxa"/>
          <w:tcBorders>
            <w:top w:val="single" w:sz="4" w:space="0" w:color="auto"/>
          </w:tcBorders>
          <w:tcMar>
            <w:top w:w="142" w:type="dxa"/>
            <w:bottom w:w="0" w:type="dxa"/>
          </w:tcMar>
        </w:tcPr>
        <w:p w14:paraId="76972A77" w14:textId="77777777" w:rsidR="00192EFF" w:rsidRPr="00487162" w:rsidRDefault="00192EFF" w:rsidP="00FE1DEE">
          <w:pPr>
            <w:pStyle w:val="Footer"/>
          </w:pPr>
          <w:r w:rsidRPr="00487162">
            <w:t>Document title, Part #, Section # - Section title</w:t>
          </w:r>
        </w:p>
        <w:p w14:paraId="2045144A" w14:textId="77777777" w:rsidR="00192EFF" w:rsidRPr="00487162" w:rsidRDefault="00192EFF" w:rsidP="00FE1DEE">
          <w:pPr>
            <w:pStyle w:val="Footer"/>
          </w:pPr>
          <w:r w:rsidRPr="00487162">
            <w:t>V1.0 October 2010</w:t>
          </w:r>
        </w:p>
      </w:tc>
      <w:tc>
        <w:tcPr>
          <w:tcW w:w="4342" w:type="dxa"/>
          <w:tcBorders>
            <w:top w:val="single" w:sz="4" w:space="0" w:color="auto"/>
          </w:tcBorders>
          <w:tcMar>
            <w:top w:w="142" w:type="dxa"/>
            <w:bottom w:w="0" w:type="dxa"/>
          </w:tcMar>
        </w:tcPr>
        <w:p w14:paraId="15281481" w14:textId="77777777" w:rsidR="00192EFF" w:rsidRPr="00487162" w:rsidRDefault="00192EF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5A13AA24" w14:textId="77777777" w:rsidR="00192EFF" w:rsidRDefault="00192E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707DA" w14:textId="77777777" w:rsidR="00192EFF" w:rsidRDefault="00192EF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92EFF" w14:paraId="5941039A" w14:textId="77777777" w:rsidTr="0010601F">
      <w:trPr>
        <w:trHeight w:val="108"/>
      </w:trPr>
      <w:tc>
        <w:tcPr>
          <w:tcW w:w="8875" w:type="dxa"/>
          <w:gridSpan w:val="2"/>
          <w:tcBorders>
            <w:bottom w:val="single" w:sz="4" w:space="0" w:color="auto"/>
          </w:tcBorders>
          <w:tcMar>
            <w:right w:w="284" w:type="dxa"/>
          </w:tcMar>
        </w:tcPr>
        <w:p w14:paraId="38C08B15" w14:textId="77777777" w:rsidR="00192EFF" w:rsidRDefault="00192EFF" w:rsidP="006E08B3">
          <w:pPr>
            <w:pStyle w:val="Heading3"/>
          </w:pPr>
          <w:r>
            <w:t>Copyright</w:t>
          </w:r>
        </w:p>
        <w:p w14:paraId="4DA48523" w14:textId="2A687F1D" w:rsidR="00192EFF" w:rsidRDefault="00192EFF" w:rsidP="006E08B3">
          <w:r>
            <w:rPr>
              <w:rFonts w:cs="Arial"/>
            </w:rPr>
            <w:t>©</w:t>
          </w:r>
          <w:r>
            <w:t xml:space="preserve"> Commonwealth of Australia (add year)</w:t>
          </w:r>
        </w:p>
        <w:p w14:paraId="3B9467C2" w14:textId="77777777" w:rsidR="00192EFF" w:rsidRDefault="00192EFF" w:rsidP="006E08B3"/>
        <w:p w14:paraId="475D415D" w14:textId="3D7F2768" w:rsidR="00192EFF" w:rsidRDefault="00192EF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FA155FD" w14:textId="77777777" w:rsidR="00192EFF" w:rsidRDefault="00192EFF" w:rsidP="006E08B3"/>
        <w:p w14:paraId="4B6CB682" w14:textId="77777777" w:rsidR="00192EFF" w:rsidRDefault="00192EFF" w:rsidP="006E08B3">
          <w:pPr>
            <w:pStyle w:val="Heading3"/>
          </w:pPr>
          <w:r>
            <w:t>Confidentiality</w:t>
          </w:r>
        </w:p>
        <w:p w14:paraId="24A26CC6" w14:textId="5794C35B" w:rsidR="00192EFF" w:rsidRDefault="00192EF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633AFB7" w14:textId="77777777" w:rsidR="00192EFF" w:rsidRDefault="00192EFF" w:rsidP="006E08B3"/>
        <w:p w14:paraId="07E8B369" w14:textId="77777777" w:rsidR="00192EFF" w:rsidRDefault="00192EFF" w:rsidP="006E08B3">
          <w:r>
            <w:t>For submission made by individuals, all personal details, other than your name, will be removed from your submission before it is published on the TGA’s Internet site.</w:t>
          </w:r>
        </w:p>
        <w:p w14:paraId="053771E7" w14:textId="77777777" w:rsidR="00192EFF" w:rsidRDefault="00192EFF" w:rsidP="006E08B3"/>
        <w:p w14:paraId="3B196B95" w14:textId="77777777" w:rsidR="00192EFF" w:rsidRDefault="00192EFF" w:rsidP="006E08B3">
          <w:r>
            <w:t>In addition, a list of parties making submissions will be published. If you do not wish to be identified with your submission you must specifically request this in the space provided ib the submission coversheet.</w:t>
          </w:r>
        </w:p>
      </w:tc>
    </w:tr>
    <w:tr w:rsidR="00192EFF" w14:paraId="491E840B" w14:textId="77777777" w:rsidTr="0010601F">
      <w:trPr>
        <w:trHeight w:val="417"/>
      </w:trPr>
      <w:tc>
        <w:tcPr>
          <w:tcW w:w="4519" w:type="dxa"/>
          <w:tcBorders>
            <w:top w:val="single" w:sz="4" w:space="0" w:color="auto"/>
          </w:tcBorders>
          <w:tcMar>
            <w:top w:w="142" w:type="dxa"/>
            <w:bottom w:w="0" w:type="dxa"/>
          </w:tcMar>
        </w:tcPr>
        <w:p w14:paraId="2E3407EF" w14:textId="77777777" w:rsidR="00192EFF" w:rsidRDefault="00192EFF" w:rsidP="006E08B3">
          <w:r>
            <w:t>Document title, Part #, Section # - Section title</w:t>
          </w:r>
        </w:p>
        <w:p w14:paraId="1D211F43" w14:textId="77777777" w:rsidR="00192EFF" w:rsidRDefault="00192EFF" w:rsidP="006E08B3">
          <w:r>
            <w:t>V1.0 October 2010</w:t>
          </w:r>
        </w:p>
      </w:tc>
      <w:tc>
        <w:tcPr>
          <w:tcW w:w="4356" w:type="dxa"/>
          <w:tcBorders>
            <w:top w:val="single" w:sz="4" w:space="0" w:color="auto"/>
          </w:tcBorders>
          <w:tcMar>
            <w:top w:w="142" w:type="dxa"/>
            <w:bottom w:w="0" w:type="dxa"/>
          </w:tcMar>
        </w:tcPr>
        <w:p w14:paraId="1AB9131A" w14:textId="703184CF" w:rsidR="00192EFF" w:rsidRDefault="00192EF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32BC6B4B" w14:textId="77777777" w:rsidR="00192EFF" w:rsidRDefault="00192E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FF856" w14:textId="77777777" w:rsidR="008027EB" w:rsidRDefault="008027EB" w:rsidP="00C40A36">
      <w:pPr>
        <w:spacing w:after="0"/>
      </w:pPr>
      <w:r>
        <w:separator/>
      </w:r>
    </w:p>
  </w:footnote>
  <w:footnote w:type="continuationSeparator" w:id="0">
    <w:p w14:paraId="3600D9CC" w14:textId="77777777" w:rsidR="008027EB" w:rsidRDefault="008027EB"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44F4A" w14:textId="77777777" w:rsidR="00192EFF" w:rsidRDefault="00192EF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18C15" w14:textId="77777777" w:rsidR="00192EFF" w:rsidRDefault="00192EFF">
    <w:pPr>
      <w:rPr>
        <w:noProof/>
        <w:lang w:eastAsia="en-AU"/>
      </w:rPr>
    </w:pPr>
    <w:r w:rsidRPr="002D545C">
      <w:rPr>
        <w:noProof/>
        <w:lang w:eastAsia="en-AU"/>
      </w:rPr>
      <w:drawing>
        <wp:anchor distT="0" distB="0" distL="114300" distR="114300" simplePos="0" relativeHeight="251659264" behindDoc="1" locked="0" layoutInCell="1" allowOverlap="1" wp14:anchorId="17C0F7AB" wp14:editId="60EA1DCE">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9E7C79D" w14:textId="77777777" w:rsidR="00192EFF" w:rsidRDefault="00192EFF" w:rsidP="00593AD1">
    <w:pPr>
      <w:pStyle w:val="HeaderNoLine"/>
    </w:pPr>
    <w:r>
      <w:rPr>
        <w:noProof/>
        <w:lang w:eastAsia="en-AU"/>
      </w:rPr>
      <w:drawing>
        <wp:inline distT="0" distB="0" distL="0" distR="0" wp14:anchorId="10865B01" wp14:editId="0D5DEFD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BD911" w14:textId="77777777" w:rsidR="00192EFF" w:rsidRDefault="00192E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CD2E3" w14:textId="77777777" w:rsidR="00192EFF" w:rsidRDefault="00192EF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60E08" w14:textId="77777777" w:rsidR="00192EFF" w:rsidRDefault="00192EF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40811" w14:textId="77777777" w:rsidR="00192EFF" w:rsidRDefault="00192EF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8BBE4" w14:textId="77777777" w:rsidR="00192EFF" w:rsidRDefault="00192EF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1D901" w14:textId="77777777" w:rsidR="00192EFF" w:rsidRDefault="00192EFF" w:rsidP="006E08B3">
    <w:r>
      <w:t>Therapeutic Goods Administration</w:t>
    </w:r>
  </w:p>
  <w:p w14:paraId="6FFEE6CF" w14:textId="77777777" w:rsidR="00192EFF" w:rsidRDefault="00192EF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E5A"/>
    <w:multiLevelType w:val="hybridMultilevel"/>
    <w:tmpl w:val="0E124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8F31FF"/>
    <w:multiLevelType w:val="hybridMultilevel"/>
    <w:tmpl w:val="878EE0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C085276"/>
    <w:multiLevelType w:val="hybridMultilevel"/>
    <w:tmpl w:val="35BE0F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353A96"/>
    <w:multiLevelType w:val="hybridMultilevel"/>
    <w:tmpl w:val="30C8B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1E874B5"/>
    <w:multiLevelType w:val="hybridMultilevel"/>
    <w:tmpl w:val="241CAA02"/>
    <w:lvl w:ilvl="0" w:tplc="A3B60A2C">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A757584"/>
    <w:multiLevelType w:val="hybridMultilevel"/>
    <w:tmpl w:val="16A4E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066740A"/>
    <w:multiLevelType w:val="hybridMultilevel"/>
    <w:tmpl w:val="DD26A3C8"/>
    <w:lvl w:ilvl="0" w:tplc="AAAE3F22">
      <w:start w:val="1"/>
      <w:numFmt w:val="bullet"/>
      <w:pStyle w:val="Bullet1"/>
      <w:lvlText w:val="•"/>
      <w:lvlJc w:val="left"/>
      <w:pPr>
        <w:tabs>
          <w:tab w:val="num" w:pos="851"/>
        </w:tabs>
        <w:ind w:left="851" w:hanging="284"/>
      </w:pPr>
      <w:rPr>
        <w:rFonts w:ascii="Times New Roman" w:hAnsi="Times New Roman" w:cs="Times New Roman" w:hint="default"/>
      </w:rPr>
    </w:lvl>
    <w:lvl w:ilvl="1" w:tplc="0C090003">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57076D7D"/>
    <w:multiLevelType w:val="multilevel"/>
    <w:tmpl w:val="6A84B94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3261"/>
        </w:tabs>
        <w:ind w:left="326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2">
    <w:nsid w:val="5F6160DB"/>
    <w:multiLevelType w:val="hybridMultilevel"/>
    <w:tmpl w:val="F9F01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5AB157D"/>
    <w:multiLevelType w:val="hybridMultilevel"/>
    <w:tmpl w:val="1CF8D6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6AA16DA9"/>
    <w:multiLevelType w:val="hybridMultilevel"/>
    <w:tmpl w:val="67A2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7AF5972"/>
    <w:multiLevelType w:val="hybridMultilevel"/>
    <w:tmpl w:val="49EC5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6"/>
  </w:num>
  <w:num w:numId="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
  </w:num>
  <w:num w:numId="8">
    <w:abstractNumId w:val="15"/>
  </w:num>
  <w:num w:numId="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17"/>
  </w:num>
  <w:num w:numId="11">
    <w:abstractNumId w:val="9"/>
  </w:num>
  <w:num w:numId="12">
    <w:abstractNumId w:val="10"/>
  </w:num>
  <w:num w:numId="13">
    <w:abstractNumId w:val="2"/>
  </w:num>
  <w:num w:numId="14">
    <w:abstractNumId w:val="1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18"/>
  </w:num>
  <w:num w:numId="19">
    <w:abstractNumId w:val="3"/>
  </w:num>
  <w:num w:numId="20">
    <w:abstractNumId w:val="12"/>
  </w:num>
  <w:num w:numId="21">
    <w:abstractNumId w:val="1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7"/>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03C"/>
    <w:rsid w:val="00002031"/>
    <w:rsid w:val="00004734"/>
    <w:rsid w:val="00006B22"/>
    <w:rsid w:val="0001276A"/>
    <w:rsid w:val="000246AE"/>
    <w:rsid w:val="0002549C"/>
    <w:rsid w:val="00025C67"/>
    <w:rsid w:val="00040ACB"/>
    <w:rsid w:val="0005559E"/>
    <w:rsid w:val="0007655B"/>
    <w:rsid w:val="00077775"/>
    <w:rsid w:val="00090471"/>
    <w:rsid w:val="0009289D"/>
    <w:rsid w:val="00097B5E"/>
    <w:rsid w:val="000A3AED"/>
    <w:rsid w:val="000A63AF"/>
    <w:rsid w:val="000B3532"/>
    <w:rsid w:val="000B3A75"/>
    <w:rsid w:val="000C690F"/>
    <w:rsid w:val="000D1295"/>
    <w:rsid w:val="000D391B"/>
    <w:rsid w:val="000D3D6D"/>
    <w:rsid w:val="000D4FC7"/>
    <w:rsid w:val="000E093B"/>
    <w:rsid w:val="000E6573"/>
    <w:rsid w:val="000F02F9"/>
    <w:rsid w:val="000F21B1"/>
    <w:rsid w:val="000F2921"/>
    <w:rsid w:val="000F4869"/>
    <w:rsid w:val="000F5B42"/>
    <w:rsid w:val="000F6E6F"/>
    <w:rsid w:val="0010193C"/>
    <w:rsid w:val="00104613"/>
    <w:rsid w:val="0010601F"/>
    <w:rsid w:val="0010788A"/>
    <w:rsid w:val="00107A31"/>
    <w:rsid w:val="00110EA5"/>
    <w:rsid w:val="00112F56"/>
    <w:rsid w:val="00125318"/>
    <w:rsid w:val="001305A2"/>
    <w:rsid w:val="00133238"/>
    <w:rsid w:val="00136E6E"/>
    <w:rsid w:val="00140CBD"/>
    <w:rsid w:val="0014197B"/>
    <w:rsid w:val="001447CD"/>
    <w:rsid w:val="001516B1"/>
    <w:rsid w:val="00154EBB"/>
    <w:rsid w:val="00156316"/>
    <w:rsid w:val="00165389"/>
    <w:rsid w:val="0017078F"/>
    <w:rsid w:val="0017693F"/>
    <w:rsid w:val="0018110E"/>
    <w:rsid w:val="00181684"/>
    <w:rsid w:val="00181C3A"/>
    <w:rsid w:val="001839C3"/>
    <w:rsid w:val="001843C6"/>
    <w:rsid w:val="001850E0"/>
    <w:rsid w:val="00192EFF"/>
    <w:rsid w:val="001968BD"/>
    <w:rsid w:val="001A2158"/>
    <w:rsid w:val="001A525F"/>
    <w:rsid w:val="001B09F9"/>
    <w:rsid w:val="001B2774"/>
    <w:rsid w:val="001B2B66"/>
    <w:rsid w:val="001B5D98"/>
    <w:rsid w:val="001B6448"/>
    <w:rsid w:val="001B6F4D"/>
    <w:rsid w:val="001C3C0C"/>
    <w:rsid w:val="001C657B"/>
    <w:rsid w:val="001C71AD"/>
    <w:rsid w:val="001C73D6"/>
    <w:rsid w:val="001D4399"/>
    <w:rsid w:val="001E07CF"/>
    <w:rsid w:val="001E59F1"/>
    <w:rsid w:val="001F1326"/>
    <w:rsid w:val="001F1C06"/>
    <w:rsid w:val="001F2FE0"/>
    <w:rsid w:val="001F497A"/>
    <w:rsid w:val="001F49EB"/>
    <w:rsid w:val="001F6CBA"/>
    <w:rsid w:val="00201D4E"/>
    <w:rsid w:val="002076C9"/>
    <w:rsid w:val="00220B8A"/>
    <w:rsid w:val="002257F3"/>
    <w:rsid w:val="00233456"/>
    <w:rsid w:val="002339A5"/>
    <w:rsid w:val="00234352"/>
    <w:rsid w:val="00242C55"/>
    <w:rsid w:val="00247077"/>
    <w:rsid w:val="00257848"/>
    <w:rsid w:val="002666AC"/>
    <w:rsid w:val="0027084A"/>
    <w:rsid w:val="00270A69"/>
    <w:rsid w:val="00273D85"/>
    <w:rsid w:val="00286434"/>
    <w:rsid w:val="00286A03"/>
    <w:rsid w:val="00286C59"/>
    <w:rsid w:val="00290AA9"/>
    <w:rsid w:val="00292113"/>
    <w:rsid w:val="002942D1"/>
    <w:rsid w:val="0029501A"/>
    <w:rsid w:val="002B1638"/>
    <w:rsid w:val="002C63ED"/>
    <w:rsid w:val="002D1290"/>
    <w:rsid w:val="002D545C"/>
    <w:rsid w:val="002D6161"/>
    <w:rsid w:val="002E2E35"/>
    <w:rsid w:val="002E4C9A"/>
    <w:rsid w:val="002E6E3E"/>
    <w:rsid w:val="002F11F8"/>
    <w:rsid w:val="002F3F56"/>
    <w:rsid w:val="002F44B5"/>
    <w:rsid w:val="00305921"/>
    <w:rsid w:val="00311AC0"/>
    <w:rsid w:val="00317BB9"/>
    <w:rsid w:val="0032583B"/>
    <w:rsid w:val="00327883"/>
    <w:rsid w:val="003333A9"/>
    <w:rsid w:val="00335504"/>
    <w:rsid w:val="003442FE"/>
    <w:rsid w:val="003521E8"/>
    <w:rsid w:val="0036447B"/>
    <w:rsid w:val="0036603B"/>
    <w:rsid w:val="003728F3"/>
    <w:rsid w:val="0037496E"/>
    <w:rsid w:val="0037623D"/>
    <w:rsid w:val="00384912"/>
    <w:rsid w:val="003854D0"/>
    <w:rsid w:val="00386150"/>
    <w:rsid w:val="003874CE"/>
    <w:rsid w:val="00390900"/>
    <w:rsid w:val="0039405B"/>
    <w:rsid w:val="00396C92"/>
    <w:rsid w:val="003A7F6C"/>
    <w:rsid w:val="003B1113"/>
    <w:rsid w:val="003B4D60"/>
    <w:rsid w:val="003B634F"/>
    <w:rsid w:val="003B7E39"/>
    <w:rsid w:val="003C58DC"/>
    <w:rsid w:val="003D0128"/>
    <w:rsid w:val="003D0A3B"/>
    <w:rsid w:val="003D1E62"/>
    <w:rsid w:val="003D7B9C"/>
    <w:rsid w:val="003D7F9A"/>
    <w:rsid w:val="003E2486"/>
    <w:rsid w:val="003E3208"/>
    <w:rsid w:val="003F0B04"/>
    <w:rsid w:val="0040134E"/>
    <w:rsid w:val="00403F0E"/>
    <w:rsid w:val="00406B85"/>
    <w:rsid w:val="00412A4F"/>
    <w:rsid w:val="00415519"/>
    <w:rsid w:val="00415D59"/>
    <w:rsid w:val="004252A6"/>
    <w:rsid w:val="00425634"/>
    <w:rsid w:val="00436A76"/>
    <w:rsid w:val="0043797D"/>
    <w:rsid w:val="00440A2D"/>
    <w:rsid w:val="004564A7"/>
    <w:rsid w:val="00460E26"/>
    <w:rsid w:val="004617BF"/>
    <w:rsid w:val="00463658"/>
    <w:rsid w:val="004722CC"/>
    <w:rsid w:val="00473C1F"/>
    <w:rsid w:val="004846EE"/>
    <w:rsid w:val="004936E4"/>
    <w:rsid w:val="00494E60"/>
    <w:rsid w:val="00497487"/>
    <w:rsid w:val="004A7E13"/>
    <w:rsid w:val="004B7B76"/>
    <w:rsid w:val="004C2DCA"/>
    <w:rsid w:val="004D432A"/>
    <w:rsid w:val="004D485E"/>
    <w:rsid w:val="004F0F38"/>
    <w:rsid w:val="004F4AF5"/>
    <w:rsid w:val="00501921"/>
    <w:rsid w:val="00505F3B"/>
    <w:rsid w:val="00530354"/>
    <w:rsid w:val="0053625B"/>
    <w:rsid w:val="005434C6"/>
    <w:rsid w:val="00543B39"/>
    <w:rsid w:val="00544B7C"/>
    <w:rsid w:val="00544EA6"/>
    <w:rsid w:val="00550096"/>
    <w:rsid w:val="00553203"/>
    <w:rsid w:val="00557FF9"/>
    <w:rsid w:val="00571997"/>
    <w:rsid w:val="00576378"/>
    <w:rsid w:val="00577945"/>
    <w:rsid w:val="00577E38"/>
    <w:rsid w:val="00580863"/>
    <w:rsid w:val="00585322"/>
    <w:rsid w:val="005857C6"/>
    <w:rsid w:val="00586F98"/>
    <w:rsid w:val="00592F6E"/>
    <w:rsid w:val="00593AD1"/>
    <w:rsid w:val="005A03A7"/>
    <w:rsid w:val="005A2E9D"/>
    <w:rsid w:val="005A41C2"/>
    <w:rsid w:val="005A44E3"/>
    <w:rsid w:val="005A54CD"/>
    <w:rsid w:val="005A68B6"/>
    <w:rsid w:val="005C5570"/>
    <w:rsid w:val="005C79A4"/>
    <w:rsid w:val="005D5442"/>
    <w:rsid w:val="005F4072"/>
    <w:rsid w:val="00603F32"/>
    <w:rsid w:val="006073A0"/>
    <w:rsid w:val="006073FD"/>
    <w:rsid w:val="0061377F"/>
    <w:rsid w:val="006170F0"/>
    <w:rsid w:val="00620406"/>
    <w:rsid w:val="00632398"/>
    <w:rsid w:val="00640FC3"/>
    <w:rsid w:val="00642020"/>
    <w:rsid w:val="00642E46"/>
    <w:rsid w:val="00646206"/>
    <w:rsid w:val="00651937"/>
    <w:rsid w:val="0065337B"/>
    <w:rsid w:val="0065419D"/>
    <w:rsid w:val="006604D8"/>
    <w:rsid w:val="00660E55"/>
    <w:rsid w:val="00664A5B"/>
    <w:rsid w:val="006763D2"/>
    <w:rsid w:val="00680C08"/>
    <w:rsid w:val="006931B1"/>
    <w:rsid w:val="006A15C0"/>
    <w:rsid w:val="006B4C50"/>
    <w:rsid w:val="006C130C"/>
    <w:rsid w:val="006C3E2A"/>
    <w:rsid w:val="006C642F"/>
    <w:rsid w:val="006D03E5"/>
    <w:rsid w:val="006D5D3E"/>
    <w:rsid w:val="006D61B0"/>
    <w:rsid w:val="006D7721"/>
    <w:rsid w:val="006E08B3"/>
    <w:rsid w:val="006F17AC"/>
    <w:rsid w:val="006F1D37"/>
    <w:rsid w:val="006F26D0"/>
    <w:rsid w:val="006F2796"/>
    <w:rsid w:val="006F572E"/>
    <w:rsid w:val="007046D6"/>
    <w:rsid w:val="00705DB0"/>
    <w:rsid w:val="00711090"/>
    <w:rsid w:val="00715C80"/>
    <w:rsid w:val="00722A1C"/>
    <w:rsid w:val="00722B57"/>
    <w:rsid w:val="0074253D"/>
    <w:rsid w:val="0074429B"/>
    <w:rsid w:val="007513B4"/>
    <w:rsid w:val="00755AF4"/>
    <w:rsid w:val="007615BC"/>
    <w:rsid w:val="00762291"/>
    <w:rsid w:val="00762F05"/>
    <w:rsid w:val="007652FF"/>
    <w:rsid w:val="00770EF1"/>
    <w:rsid w:val="00773EF7"/>
    <w:rsid w:val="00774E1D"/>
    <w:rsid w:val="0077675A"/>
    <w:rsid w:val="00780355"/>
    <w:rsid w:val="00785721"/>
    <w:rsid w:val="00793A59"/>
    <w:rsid w:val="00796F2C"/>
    <w:rsid w:val="007B30C5"/>
    <w:rsid w:val="007B6E9F"/>
    <w:rsid w:val="007C1216"/>
    <w:rsid w:val="007C1AF7"/>
    <w:rsid w:val="007E4B34"/>
    <w:rsid w:val="007E6E27"/>
    <w:rsid w:val="007F30CD"/>
    <w:rsid w:val="007F3E00"/>
    <w:rsid w:val="008027EB"/>
    <w:rsid w:val="00805D27"/>
    <w:rsid w:val="00807AAB"/>
    <w:rsid w:val="00821776"/>
    <w:rsid w:val="008321F5"/>
    <w:rsid w:val="00832369"/>
    <w:rsid w:val="00834660"/>
    <w:rsid w:val="00834B3C"/>
    <w:rsid w:val="00836BC2"/>
    <w:rsid w:val="008414A0"/>
    <w:rsid w:val="0085641B"/>
    <w:rsid w:val="00857136"/>
    <w:rsid w:val="00877799"/>
    <w:rsid w:val="008806D3"/>
    <w:rsid w:val="0088086C"/>
    <w:rsid w:val="00886D15"/>
    <w:rsid w:val="00887DD8"/>
    <w:rsid w:val="00896018"/>
    <w:rsid w:val="008960DD"/>
    <w:rsid w:val="0089635C"/>
    <w:rsid w:val="008A2B9D"/>
    <w:rsid w:val="008A3C13"/>
    <w:rsid w:val="008A52F0"/>
    <w:rsid w:val="008A5E0B"/>
    <w:rsid w:val="008A6D59"/>
    <w:rsid w:val="008B4B03"/>
    <w:rsid w:val="008B596F"/>
    <w:rsid w:val="008B5A3E"/>
    <w:rsid w:val="008C0823"/>
    <w:rsid w:val="008C159F"/>
    <w:rsid w:val="008C1623"/>
    <w:rsid w:val="008C1850"/>
    <w:rsid w:val="008C4D59"/>
    <w:rsid w:val="008C5107"/>
    <w:rsid w:val="008C51A9"/>
    <w:rsid w:val="008D770F"/>
    <w:rsid w:val="008D7755"/>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4138"/>
    <w:rsid w:val="0094614A"/>
    <w:rsid w:val="00946EA5"/>
    <w:rsid w:val="0095160F"/>
    <w:rsid w:val="00957523"/>
    <w:rsid w:val="00963C08"/>
    <w:rsid w:val="00967104"/>
    <w:rsid w:val="00976551"/>
    <w:rsid w:val="00981D66"/>
    <w:rsid w:val="0098585A"/>
    <w:rsid w:val="0098669D"/>
    <w:rsid w:val="00994C95"/>
    <w:rsid w:val="009A2CB7"/>
    <w:rsid w:val="009A4CED"/>
    <w:rsid w:val="009A690D"/>
    <w:rsid w:val="009B1D12"/>
    <w:rsid w:val="009B416B"/>
    <w:rsid w:val="009C4BD5"/>
    <w:rsid w:val="009C5BF5"/>
    <w:rsid w:val="009D6165"/>
    <w:rsid w:val="009D7B77"/>
    <w:rsid w:val="009E0BB0"/>
    <w:rsid w:val="009E21E2"/>
    <w:rsid w:val="009E3FBB"/>
    <w:rsid w:val="00A03498"/>
    <w:rsid w:val="00A102E4"/>
    <w:rsid w:val="00A12C42"/>
    <w:rsid w:val="00A14DF7"/>
    <w:rsid w:val="00A173D0"/>
    <w:rsid w:val="00A235D9"/>
    <w:rsid w:val="00A3246D"/>
    <w:rsid w:val="00A337FC"/>
    <w:rsid w:val="00A36FA7"/>
    <w:rsid w:val="00A475B7"/>
    <w:rsid w:val="00A47AF7"/>
    <w:rsid w:val="00A47C3E"/>
    <w:rsid w:val="00A50226"/>
    <w:rsid w:val="00A51684"/>
    <w:rsid w:val="00A57D74"/>
    <w:rsid w:val="00A60BAD"/>
    <w:rsid w:val="00A964D1"/>
    <w:rsid w:val="00AA0ED0"/>
    <w:rsid w:val="00AA3499"/>
    <w:rsid w:val="00AC2B40"/>
    <w:rsid w:val="00AC2BB2"/>
    <w:rsid w:val="00AC2C3C"/>
    <w:rsid w:val="00AC512D"/>
    <w:rsid w:val="00AE01C2"/>
    <w:rsid w:val="00AE289E"/>
    <w:rsid w:val="00AE65EB"/>
    <w:rsid w:val="00AE67A7"/>
    <w:rsid w:val="00AF1D94"/>
    <w:rsid w:val="00AF52DF"/>
    <w:rsid w:val="00AF60C5"/>
    <w:rsid w:val="00AF7A75"/>
    <w:rsid w:val="00B009C6"/>
    <w:rsid w:val="00B01548"/>
    <w:rsid w:val="00B02208"/>
    <w:rsid w:val="00B1425E"/>
    <w:rsid w:val="00B14582"/>
    <w:rsid w:val="00B17FC1"/>
    <w:rsid w:val="00B21D29"/>
    <w:rsid w:val="00B25034"/>
    <w:rsid w:val="00B275F4"/>
    <w:rsid w:val="00B33588"/>
    <w:rsid w:val="00B33863"/>
    <w:rsid w:val="00B3567E"/>
    <w:rsid w:val="00B37D17"/>
    <w:rsid w:val="00B4175E"/>
    <w:rsid w:val="00B452CE"/>
    <w:rsid w:val="00B500CF"/>
    <w:rsid w:val="00B54C25"/>
    <w:rsid w:val="00B64D90"/>
    <w:rsid w:val="00B71692"/>
    <w:rsid w:val="00B76B91"/>
    <w:rsid w:val="00B77EB1"/>
    <w:rsid w:val="00B811C6"/>
    <w:rsid w:val="00B85A87"/>
    <w:rsid w:val="00B920D8"/>
    <w:rsid w:val="00B92E08"/>
    <w:rsid w:val="00B93E2D"/>
    <w:rsid w:val="00B96EBE"/>
    <w:rsid w:val="00BA0835"/>
    <w:rsid w:val="00BC622A"/>
    <w:rsid w:val="00BD0D21"/>
    <w:rsid w:val="00BD45E3"/>
    <w:rsid w:val="00BE0A78"/>
    <w:rsid w:val="00BE1EDE"/>
    <w:rsid w:val="00BE32A6"/>
    <w:rsid w:val="00BE6252"/>
    <w:rsid w:val="00BE79F0"/>
    <w:rsid w:val="00BF046D"/>
    <w:rsid w:val="00BF1190"/>
    <w:rsid w:val="00BF1E66"/>
    <w:rsid w:val="00BF5D04"/>
    <w:rsid w:val="00C02581"/>
    <w:rsid w:val="00C1164D"/>
    <w:rsid w:val="00C137CE"/>
    <w:rsid w:val="00C16861"/>
    <w:rsid w:val="00C22678"/>
    <w:rsid w:val="00C30B57"/>
    <w:rsid w:val="00C3209E"/>
    <w:rsid w:val="00C404A6"/>
    <w:rsid w:val="00C40A36"/>
    <w:rsid w:val="00C44419"/>
    <w:rsid w:val="00C45E7B"/>
    <w:rsid w:val="00C4625F"/>
    <w:rsid w:val="00C471B1"/>
    <w:rsid w:val="00C479E8"/>
    <w:rsid w:val="00C533C6"/>
    <w:rsid w:val="00C618F7"/>
    <w:rsid w:val="00C622F2"/>
    <w:rsid w:val="00C6316B"/>
    <w:rsid w:val="00C634A9"/>
    <w:rsid w:val="00C64586"/>
    <w:rsid w:val="00C70D53"/>
    <w:rsid w:val="00C729CE"/>
    <w:rsid w:val="00C73D0B"/>
    <w:rsid w:val="00C74187"/>
    <w:rsid w:val="00C74E53"/>
    <w:rsid w:val="00C772FF"/>
    <w:rsid w:val="00C801AF"/>
    <w:rsid w:val="00C80256"/>
    <w:rsid w:val="00C811C0"/>
    <w:rsid w:val="00C955E3"/>
    <w:rsid w:val="00CB6BC0"/>
    <w:rsid w:val="00CC1B7C"/>
    <w:rsid w:val="00CC727F"/>
    <w:rsid w:val="00CD0D6F"/>
    <w:rsid w:val="00CD2E42"/>
    <w:rsid w:val="00CD670C"/>
    <w:rsid w:val="00CF15C3"/>
    <w:rsid w:val="00CF1CCA"/>
    <w:rsid w:val="00CF2B6F"/>
    <w:rsid w:val="00CF58B6"/>
    <w:rsid w:val="00D017ED"/>
    <w:rsid w:val="00D03F49"/>
    <w:rsid w:val="00D040D3"/>
    <w:rsid w:val="00D04C65"/>
    <w:rsid w:val="00D224FE"/>
    <w:rsid w:val="00D30E87"/>
    <w:rsid w:val="00D440E9"/>
    <w:rsid w:val="00D45512"/>
    <w:rsid w:val="00D53A31"/>
    <w:rsid w:val="00D6493E"/>
    <w:rsid w:val="00D6603C"/>
    <w:rsid w:val="00D715C0"/>
    <w:rsid w:val="00D7301E"/>
    <w:rsid w:val="00D83AE1"/>
    <w:rsid w:val="00D855D4"/>
    <w:rsid w:val="00D87961"/>
    <w:rsid w:val="00D93466"/>
    <w:rsid w:val="00DA1124"/>
    <w:rsid w:val="00DB4AD4"/>
    <w:rsid w:val="00DB75B7"/>
    <w:rsid w:val="00DC156B"/>
    <w:rsid w:val="00DC2A7E"/>
    <w:rsid w:val="00DC41D2"/>
    <w:rsid w:val="00DC58B8"/>
    <w:rsid w:val="00DC5A52"/>
    <w:rsid w:val="00DC6E02"/>
    <w:rsid w:val="00DE02AE"/>
    <w:rsid w:val="00DE0EC8"/>
    <w:rsid w:val="00DE3333"/>
    <w:rsid w:val="00DF1D7F"/>
    <w:rsid w:val="00DF2CFC"/>
    <w:rsid w:val="00DF4BE4"/>
    <w:rsid w:val="00E02FB4"/>
    <w:rsid w:val="00E07F15"/>
    <w:rsid w:val="00E11D64"/>
    <w:rsid w:val="00E20571"/>
    <w:rsid w:val="00E219CC"/>
    <w:rsid w:val="00E235F7"/>
    <w:rsid w:val="00E23659"/>
    <w:rsid w:val="00E239D4"/>
    <w:rsid w:val="00E24417"/>
    <w:rsid w:val="00E26130"/>
    <w:rsid w:val="00E2741C"/>
    <w:rsid w:val="00E40B22"/>
    <w:rsid w:val="00E41BBC"/>
    <w:rsid w:val="00E45619"/>
    <w:rsid w:val="00E4588F"/>
    <w:rsid w:val="00E46DA3"/>
    <w:rsid w:val="00E47929"/>
    <w:rsid w:val="00E51BB1"/>
    <w:rsid w:val="00E624A5"/>
    <w:rsid w:val="00E7344E"/>
    <w:rsid w:val="00E77B22"/>
    <w:rsid w:val="00E90C19"/>
    <w:rsid w:val="00E936E3"/>
    <w:rsid w:val="00E979F4"/>
    <w:rsid w:val="00EA2626"/>
    <w:rsid w:val="00EA4DF5"/>
    <w:rsid w:val="00EB0798"/>
    <w:rsid w:val="00EB40AD"/>
    <w:rsid w:val="00EB47C7"/>
    <w:rsid w:val="00EB586E"/>
    <w:rsid w:val="00EB5FC8"/>
    <w:rsid w:val="00ED3CAD"/>
    <w:rsid w:val="00ED5A41"/>
    <w:rsid w:val="00EE1DE8"/>
    <w:rsid w:val="00F033EC"/>
    <w:rsid w:val="00F04F68"/>
    <w:rsid w:val="00F12670"/>
    <w:rsid w:val="00F14B27"/>
    <w:rsid w:val="00F255BE"/>
    <w:rsid w:val="00F3148D"/>
    <w:rsid w:val="00F325C5"/>
    <w:rsid w:val="00F32FE0"/>
    <w:rsid w:val="00F35298"/>
    <w:rsid w:val="00F47333"/>
    <w:rsid w:val="00F47E37"/>
    <w:rsid w:val="00F50313"/>
    <w:rsid w:val="00F53C07"/>
    <w:rsid w:val="00F54B65"/>
    <w:rsid w:val="00F63A04"/>
    <w:rsid w:val="00F640B6"/>
    <w:rsid w:val="00F80E40"/>
    <w:rsid w:val="00F836F6"/>
    <w:rsid w:val="00F848D9"/>
    <w:rsid w:val="00FA5B82"/>
    <w:rsid w:val="00FA639E"/>
    <w:rsid w:val="00FC1666"/>
    <w:rsid w:val="00FC25E4"/>
    <w:rsid w:val="00FC4EF7"/>
    <w:rsid w:val="00FE1DEE"/>
    <w:rsid w:val="00FF2126"/>
    <w:rsid w:val="00FF5755"/>
    <w:rsid w:val="00FF69BE"/>
    <w:rsid w:val="00FF7B4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74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93E2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11"/>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12"/>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13"/>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customStyle="1" w:styleId="Instructions">
    <w:name w:val="Instructions"/>
    <w:basedOn w:val="Normal"/>
    <w:next w:val="Normal"/>
    <w:uiPriority w:val="1"/>
    <w:qFormat/>
    <w:rsid w:val="001C3C0C"/>
    <w:rPr>
      <w:i/>
      <w:color w:val="007099"/>
    </w:rPr>
  </w:style>
  <w:style w:type="character" w:customStyle="1" w:styleId="searchurl">
    <w:name w:val="searchurl"/>
    <w:basedOn w:val="DefaultParagraphFont"/>
    <w:rsid w:val="001C3C0C"/>
  </w:style>
  <w:style w:type="character" w:customStyle="1" w:styleId="highlight">
    <w:name w:val="highlight"/>
    <w:basedOn w:val="DefaultParagraphFont"/>
    <w:rsid w:val="001C3C0C"/>
  </w:style>
  <w:style w:type="character" w:customStyle="1" w:styleId="ui-ncbitoggler-master-text">
    <w:name w:val="ui-ncbitoggler-master-text"/>
    <w:basedOn w:val="DefaultParagraphFont"/>
    <w:rsid w:val="001C3C0C"/>
  </w:style>
  <w:style w:type="paragraph" w:customStyle="1" w:styleId="ui-ncbi-toggler-slave">
    <w:name w:val="ui-ncbi-toggler-slave"/>
    <w:basedOn w:val="Normal"/>
    <w:rsid w:val="001C3C0C"/>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itle1">
    <w:name w:val="title1"/>
    <w:basedOn w:val="Normal"/>
    <w:rsid w:val="001C3C0C"/>
    <w:pPr>
      <w:spacing w:before="0" w:after="0" w:line="240" w:lineRule="auto"/>
    </w:pPr>
    <w:rPr>
      <w:rFonts w:ascii="Times New Roman" w:eastAsia="Times New Roman" w:hAnsi="Times New Roman"/>
      <w:sz w:val="27"/>
      <w:szCs w:val="27"/>
      <w:lang w:eastAsia="en-AU"/>
    </w:rPr>
  </w:style>
  <w:style w:type="paragraph" w:customStyle="1" w:styleId="desc2">
    <w:name w:val="desc2"/>
    <w:basedOn w:val="Normal"/>
    <w:rsid w:val="001C3C0C"/>
    <w:pPr>
      <w:spacing w:before="0" w:after="0" w:line="240" w:lineRule="auto"/>
    </w:pPr>
    <w:rPr>
      <w:rFonts w:ascii="Times New Roman" w:eastAsia="Times New Roman" w:hAnsi="Times New Roman"/>
      <w:sz w:val="26"/>
      <w:szCs w:val="26"/>
      <w:lang w:eastAsia="en-AU"/>
    </w:rPr>
  </w:style>
  <w:style w:type="paragraph" w:customStyle="1" w:styleId="details1">
    <w:name w:val="details1"/>
    <w:basedOn w:val="Normal"/>
    <w:rsid w:val="001C3C0C"/>
    <w:pPr>
      <w:spacing w:before="0" w:after="0" w:line="240" w:lineRule="auto"/>
    </w:pPr>
    <w:rPr>
      <w:rFonts w:ascii="Times New Roman" w:eastAsia="Times New Roman" w:hAnsi="Times New Roman"/>
      <w:lang w:eastAsia="en-AU"/>
    </w:rPr>
  </w:style>
  <w:style w:type="character" w:customStyle="1" w:styleId="jrnl">
    <w:name w:val="jrnl"/>
    <w:basedOn w:val="DefaultParagraphFont"/>
    <w:rsid w:val="001C3C0C"/>
  </w:style>
  <w:style w:type="paragraph" w:styleId="DocumentMap">
    <w:name w:val="Document Map"/>
    <w:basedOn w:val="Normal"/>
    <w:link w:val="DocumentMapChar"/>
    <w:uiPriority w:val="99"/>
    <w:semiHidden/>
    <w:unhideWhenUsed/>
    <w:rsid w:val="006D61B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6D61B0"/>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93E2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11"/>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12"/>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13"/>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customStyle="1" w:styleId="Instructions">
    <w:name w:val="Instructions"/>
    <w:basedOn w:val="Normal"/>
    <w:next w:val="Normal"/>
    <w:uiPriority w:val="1"/>
    <w:qFormat/>
    <w:rsid w:val="001C3C0C"/>
    <w:rPr>
      <w:i/>
      <w:color w:val="007099"/>
    </w:rPr>
  </w:style>
  <w:style w:type="character" w:customStyle="1" w:styleId="searchurl">
    <w:name w:val="searchurl"/>
    <w:basedOn w:val="DefaultParagraphFont"/>
    <w:rsid w:val="001C3C0C"/>
  </w:style>
  <w:style w:type="character" w:customStyle="1" w:styleId="highlight">
    <w:name w:val="highlight"/>
    <w:basedOn w:val="DefaultParagraphFont"/>
    <w:rsid w:val="001C3C0C"/>
  </w:style>
  <w:style w:type="character" w:customStyle="1" w:styleId="ui-ncbitoggler-master-text">
    <w:name w:val="ui-ncbitoggler-master-text"/>
    <w:basedOn w:val="DefaultParagraphFont"/>
    <w:rsid w:val="001C3C0C"/>
  </w:style>
  <w:style w:type="paragraph" w:customStyle="1" w:styleId="ui-ncbi-toggler-slave">
    <w:name w:val="ui-ncbi-toggler-slave"/>
    <w:basedOn w:val="Normal"/>
    <w:rsid w:val="001C3C0C"/>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itle1">
    <w:name w:val="title1"/>
    <w:basedOn w:val="Normal"/>
    <w:rsid w:val="001C3C0C"/>
    <w:pPr>
      <w:spacing w:before="0" w:after="0" w:line="240" w:lineRule="auto"/>
    </w:pPr>
    <w:rPr>
      <w:rFonts w:ascii="Times New Roman" w:eastAsia="Times New Roman" w:hAnsi="Times New Roman"/>
      <w:sz w:val="27"/>
      <w:szCs w:val="27"/>
      <w:lang w:eastAsia="en-AU"/>
    </w:rPr>
  </w:style>
  <w:style w:type="paragraph" w:customStyle="1" w:styleId="desc2">
    <w:name w:val="desc2"/>
    <w:basedOn w:val="Normal"/>
    <w:rsid w:val="001C3C0C"/>
    <w:pPr>
      <w:spacing w:before="0" w:after="0" w:line="240" w:lineRule="auto"/>
    </w:pPr>
    <w:rPr>
      <w:rFonts w:ascii="Times New Roman" w:eastAsia="Times New Roman" w:hAnsi="Times New Roman"/>
      <w:sz w:val="26"/>
      <w:szCs w:val="26"/>
      <w:lang w:eastAsia="en-AU"/>
    </w:rPr>
  </w:style>
  <w:style w:type="paragraph" w:customStyle="1" w:styleId="details1">
    <w:name w:val="details1"/>
    <w:basedOn w:val="Normal"/>
    <w:rsid w:val="001C3C0C"/>
    <w:pPr>
      <w:spacing w:before="0" w:after="0" w:line="240" w:lineRule="auto"/>
    </w:pPr>
    <w:rPr>
      <w:rFonts w:ascii="Times New Roman" w:eastAsia="Times New Roman" w:hAnsi="Times New Roman"/>
      <w:lang w:eastAsia="en-AU"/>
    </w:rPr>
  </w:style>
  <w:style w:type="character" w:customStyle="1" w:styleId="jrnl">
    <w:name w:val="jrnl"/>
    <w:basedOn w:val="DefaultParagraphFont"/>
    <w:rsid w:val="001C3C0C"/>
  </w:style>
  <w:style w:type="paragraph" w:styleId="DocumentMap">
    <w:name w:val="Document Map"/>
    <w:basedOn w:val="Normal"/>
    <w:link w:val="DocumentMapChar"/>
    <w:uiPriority w:val="99"/>
    <w:semiHidden/>
    <w:unhideWhenUsed/>
    <w:rsid w:val="006D61B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6D61B0"/>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5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8">
          <w:marLeft w:val="0"/>
          <w:marRight w:val="0"/>
          <w:marTop w:val="0"/>
          <w:marBottom w:val="0"/>
          <w:divBdr>
            <w:top w:val="none" w:sz="0" w:space="0" w:color="auto"/>
            <w:left w:val="none" w:sz="0" w:space="0" w:color="auto"/>
            <w:bottom w:val="none" w:sz="0" w:space="0" w:color="auto"/>
            <w:right w:val="none" w:sz="0" w:space="0" w:color="auto"/>
          </w:divBdr>
          <w:divsChild>
            <w:div w:id="1080372763">
              <w:marLeft w:val="0"/>
              <w:marRight w:val="0"/>
              <w:marTop w:val="0"/>
              <w:marBottom w:val="0"/>
              <w:divBdr>
                <w:top w:val="none" w:sz="0" w:space="0" w:color="auto"/>
                <w:left w:val="none" w:sz="0" w:space="0" w:color="auto"/>
                <w:bottom w:val="none" w:sz="0" w:space="0" w:color="auto"/>
                <w:right w:val="none" w:sz="0" w:space="0" w:color="auto"/>
              </w:divBdr>
              <w:divsChild>
                <w:div w:id="2113550761">
                  <w:marLeft w:val="0"/>
                  <w:marRight w:val="0"/>
                  <w:marTop w:val="0"/>
                  <w:marBottom w:val="0"/>
                  <w:divBdr>
                    <w:top w:val="none" w:sz="0" w:space="0" w:color="auto"/>
                    <w:left w:val="none" w:sz="0" w:space="0" w:color="auto"/>
                    <w:bottom w:val="none" w:sz="0" w:space="0" w:color="auto"/>
                    <w:right w:val="none" w:sz="0" w:space="0" w:color="auto"/>
                  </w:divBdr>
                </w:div>
                <w:div w:id="780304315">
                  <w:marLeft w:val="0"/>
                  <w:marRight w:val="0"/>
                  <w:marTop w:val="0"/>
                  <w:marBottom w:val="0"/>
                  <w:divBdr>
                    <w:top w:val="none" w:sz="0" w:space="0" w:color="auto"/>
                    <w:left w:val="none" w:sz="0" w:space="0" w:color="auto"/>
                    <w:bottom w:val="none" w:sz="0" w:space="0" w:color="auto"/>
                    <w:right w:val="none" w:sz="0" w:space="0" w:color="auto"/>
                  </w:divBdr>
                </w:div>
                <w:div w:id="1320229794">
                  <w:marLeft w:val="0"/>
                  <w:marRight w:val="0"/>
                  <w:marTop w:val="0"/>
                  <w:marBottom w:val="0"/>
                  <w:divBdr>
                    <w:top w:val="none" w:sz="0" w:space="0" w:color="auto"/>
                    <w:left w:val="none" w:sz="0" w:space="0" w:color="auto"/>
                    <w:bottom w:val="none" w:sz="0" w:space="0" w:color="auto"/>
                    <w:right w:val="none" w:sz="0" w:space="0" w:color="auto"/>
                  </w:divBdr>
                </w:div>
                <w:div w:id="6773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1432">
      <w:bodyDiv w:val="1"/>
      <w:marLeft w:val="0"/>
      <w:marRight w:val="0"/>
      <w:marTop w:val="0"/>
      <w:marBottom w:val="0"/>
      <w:divBdr>
        <w:top w:val="none" w:sz="0" w:space="0" w:color="auto"/>
        <w:left w:val="none" w:sz="0" w:space="0" w:color="auto"/>
        <w:bottom w:val="none" w:sz="0" w:space="0" w:color="auto"/>
        <w:right w:val="none" w:sz="0" w:space="0" w:color="auto"/>
      </w:divBdr>
      <w:divsChild>
        <w:div w:id="265043756">
          <w:marLeft w:val="0"/>
          <w:marRight w:val="0"/>
          <w:marTop w:val="0"/>
          <w:marBottom w:val="0"/>
          <w:divBdr>
            <w:top w:val="none" w:sz="0" w:space="0" w:color="auto"/>
            <w:left w:val="none" w:sz="0" w:space="0" w:color="auto"/>
            <w:bottom w:val="none" w:sz="0" w:space="0" w:color="auto"/>
            <w:right w:val="none" w:sz="0" w:space="0" w:color="auto"/>
          </w:divBdr>
          <w:divsChild>
            <w:div w:id="141120215">
              <w:marLeft w:val="0"/>
              <w:marRight w:val="0"/>
              <w:marTop w:val="0"/>
              <w:marBottom w:val="0"/>
              <w:divBdr>
                <w:top w:val="none" w:sz="0" w:space="0" w:color="auto"/>
                <w:left w:val="none" w:sz="0" w:space="0" w:color="auto"/>
                <w:bottom w:val="none" w:sz="0" w:space="0" w:color="auto"/>
                <w:right w:val="none" w:sz="0" w:space="0" w:color="auto"/>
              </w:divBdr>
              <w:divsChild>
                <w:div w:id="288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7903">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sChild>
            <w:div w:id="1084649581">
              <w:marLeft w:val="0"/>
              <w:marRight w:val="0"/>
              <w:marTop w:val="0"/>
              <w:marBottom w:val="0"/>
              <w:divBdr>
                <w:top w:val="none" w:sz="0" w:space="0" w:color="auto"/>
                <w:left w:val="none" w:sz="0" w:space="0" w:color="auto"/>
                <w:bottom w:val="none" w:sz="0" w:space="0" w:color="auto"/>
                <w:right w:val="none" w:sz="0" w:space="0" w:color="auto"/>
              </w:divBdr>
              <w:divsChild>
                <w:div w:id="150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6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592">
          <w:marLeft w:val="0"/>
          <w:marRight w:val="0"/>
          <w:marTop w:val="0"/>
          <w:marBottom w:val="0"/>
          <w:divBdr>
            <w:top w:val="none" w:sz="0" w:space="0" w:color="auto"/>
            <w:left w:val="none" w:sz="0" w:space="0" w:color="auto"/>
            <w:bottom w:val="none" w:sz="0" w:space="0" w:color="auto"/>
            <w:right w:val="none" w:sz="0" w:space="0" w:color="auto"/>
          </w:divBdr>
          <w:divsChild>
            <w:div w:id="501897240">
              <w:marLeft w:val="0"/>
              <w:marRight w:val="0"/>
              <w:marTop w:val="0"/>
              <w:marBottom w:val="0"/>
              <w:divBdr>
                <w:top w:val="none" w:sz="0" w:space="0" w:color="auto"/>
                <w:left w:val="none" w:sz="0" w:space="0" w:color="auto"/>
                <w:bottom w:val="none" w:sz="0" w:space="0" w:color="auto"/>
                <w:right w:val="none" w:sz="0" w:space="0" w:color="auto"/>
              </w:divBdr>
              <w:divsChild>
                <w:div w:id="272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8430">
      <w:bodyDiv w:val="1"/>
      <w:marLeft w:val="0"/>
      <w:marRight w:val="0"/>
      <w:marTop w:val="0"/>
      <w:marBottom w:val="0"/>
      <w:divBdr>
        <w:top w:val="none" w:sz="0" w:space="0" w:color="auto"/>
        <w:left w:val="none" w:sz="0" w:space="0" w:color="auto"/>
        <w:bottom w:val="none" w:sz="0" w:space="0" w:color="auto"/>
        <w:right w:val="none" w:sz="0" w:space="0" w:color="auto"/>
      </w:divBdr>
    </w:div>
    <w:div w:id="1013383807">
      <w:bodyDiv w:val="1"/>
      <w:marLeft w:val="0"/>
      <w:marRight w:val="0"/>
      <w:marTop w:val="0"/>
      <w:marBottom w:val="0"/>
      <w:divBdr>
        <w:top w:val="none" w:sz="0" w:space="0" w:color="auto"/>
        <w:left w:val="none" w:sz="0" w:space="0" w:color="auto"/>
        <w:bottom w:val="none" w:sz="0" w:space="0" w:color="auto"/>
        <w:right w:val="none" w:sz="0" w:space="0" w:color="auto"/>
      </w:divBdr>
      <w:divsChild>
        <w:div w:id="1357266463">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458377907">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 w:id="490295392">
                  <w:marLeft w:val="0"/>
                  <w:marRight w:val="0"/>
                  <w:marTop w:val="0"/>
                  <w:marBottom w:val="0"/>
                  <w:divBdr>
                    <w:top w:val="none" w:sz="0" w:space="0" w:color="auto"/>
                    <w:left w:val="none" w:sz="0" w:space="0" w:color="auto"/>
                    <w:bottom w:val="none" w:sz="0" w:space="0" w:color="auto"/>
                    <w:right w:val="none" w:sz="0" w:space="0" w:color="auto"/>
                  </w:divBdr>
                </w:div>
                <w:div w:id="1953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3717">
      <w:bodyDiv w:val="1"/>
      <w:marLeft w:val="0"/>
      <w:marRight w:val="0"/>
      <w:marTop w:val="0"/>
      <w:marBottom w:val="0"/>
      <w:divBdr>
        <w:top w:val="none" w:sz="0" w:space="0" w:color="auto"/>
        <w:left w:val="none" w:sz="0" w:space="0" w:color="auto"/>
        <w:bottom w:val="none" w:sz="0" w:space="0" w:color="auto"/>
        <w:right w:val="none" w:sz="0" w:space="0" w:color="auto"/>
      </w:divBdr>
      <w:divsChild>
        <w:div w:id="1439637521">
          <w:marLeft w:val="0"/>
          <w:marRight w:val="0"/>
          <w:marTop w:val="0"/>
          <w:marBottom w:val="0"/>
          <w:divBdr>
            <w:top w:val="none" w:sz="0" w:space="0" w:color="auto"/>
            <w:left w:val="none" w:sz="0" w:space="0" w:color="auto"/>
            <w:bottom w:val="none" w:sz="0" w:space="0" w:color="auto"/>
            <w:right w:val="none" w:sz="0" w:space="0" w:color="auto"/>
          </w:divBdr>
          <w:divsChild>
            <w:div w:id="419065529">
              <w:marLeft w:val="0"/>
              <w:marRight w:val="0"/>
              <w:marTop w:val="0"/>
              <w:marBottom w:val="0"/>
              <w:divBdr>
                <w:top w:val="none" w:sz="0" w:space="0" w:color="auto"/>
                <w:left w:val="none" w:sz="0" w:space="0" w:color="auto"/>
                <w:bottom w:val="none" w:sz="0" w:space="0" w:color="auto"/>
                <w:right w:val="none" w:sz="0" w:space="0" w:color="auto"/>
              </w:divBdr>
              <w:divsChild>
                <w:div w:id="67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40815">
      <w:bodyDiv w:val="1"/>
      <w:marLeft w:val="0"/>
      <w:marRight w:val="0"/>
      <w:marTop w:val="0"/>
      <w:marBottom w:val="0"/>
      <w:divBdr>
        <w:top w:val="none" w:sz="0" w:space="0" w:color="auto"/>
        <w:left w:val="none" w:sz="0" w:space="0" w:color="auto"/>
        <w:bottom w:val="none" w:sz="0" w:space="0" w:color="auto"/>
        <w:right w:val="none" w:sz="0" w:space="0" w:color="auto"/>
      </w:divBdr>
    </w:div>
    <w:div w:id="1620647042">
      <w:bodyDiv w:val="1"/>
      <w:marLeft w:val="0"/>
      <w:marRight w:val="0"/>
      <w:marTop w:val="0"/>
      <w:marBottom w:val="0"/>
      <w:divBdr>
        <w:top w:val="none" w:sz="0" w:space="0" w:color="auto"/>
        <w:left w:val="none" w:sz="0" w:space="0" w:color="auto"/>
        <w:bottom w:val="none" w:sz="0" w:space="0" w:color="auto"/>
        <w:right w:val="none" w:sz="0" w:space="0" w:color="auto"/>
      </w:divBdr>
      <w:divsChild>
        <w:div w:id="251279910">
          <w:marLeft w:val="0"/>
          <w:marRight w:val="0"/>
          <w:marTop w:val="0"/>
          <w:marBottom w:val="0"/>
          <w:divBdr>
            <w:top w:val="none" w:sz="0" w:space="0" w:color="auto"/>
            <w:left w:val="none" w:sz="0" w:space="0" w:color="auto"/>
            <w:bottom w:val="none" w:sz="0" w:space="0" w:color="auto"/>
            <w:right w:val="none" w:sz="0" w:space="0" w:color="auto"/>
          </w:divBdr>
          <w:divsChild>
            <w:div w:id="1265456504">
              <w:marLeft w:val="0"/>
              <w:marRight w:val="0"/>
              <w:marTop w:val="0"/>
              <w:marBottom w:val="0"/>
              <w:divBdr>
                <w:top w:val="none" w:sz="0" w:space="0" w:color="auto"/>
                <w:left w:val="none" w:sz="0" w:space="0" w:color="auto"/>
                <w:bottom w:val="none" w:sz="0" w:space="0" w:color="auto"/>
                <w:right w:val="none" w:sz="0" w:space="0" w:color="auto"/>
              </w:divBdr>
              <w:divsChild>
                <w:div w:id="1722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6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4.bin"/><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header" Target="header5.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oleObject" Target="embeddings/oleObject3.bin"/><Relationship Id="rId37" Type="http://schemas.openxmlformats.org/officeDocument/2006/relationships/header" Target="header4.xml"/><Relationship Id="rId40" Type="http://schemas.openxmlformats.org/officeDocument/2006/relationships/hyperlink" Target="mailto:info@tga.gov.au" TargetMode="Externa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oleObject" Target="embeddings/oleObject2.bin"/><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eader" Target="header7.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D7A7B-C5BF-4A03-BA08-A0068834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13894</Words>
  <Characters>75725</Characters>
  <Application>Microsoft Office Word</Application>
  <DocSecurity>0</DocSecurity>
  <Lines>1376</Lines>
  <Paragraphs>700</Paragraphs>
  <ScaleCrop>false</ScaleCrop>
  <HeadingPairs>
    <vt:vector size="2" baseType="variant">
      <vt:variant>
        <vt:lpstr>Title</vt:lpstr>
      </vt:variant>
      <vt:variant>
        <vt:i4>1</vt:i4>
      </vt:variant>
    </vt:vector>
  </HeadingPairs>
  <TitlesOfParts>
    <vt:vector size="1" baseType="lpstr">
      <vt:lpstr>Attachment: Extract from Clinical Evaluation Influenza virus haemagglutinin (vaccine)</vt:lpstr>
    </vt:vector>
  </TitlesOfParts>
  <Manager/>
  <Company/>
  <LinksUpToDate>false</LinksUpToDate>
  <CharactersWithSpaces>88919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Influenza virus haemagglutinin (vaccine)</dc:title>
  <dc:subject>prescription medicines</dc:subject>
  <dc:creator/>
  <cp:keywords>AusPARs</cp:keywords>
  <cp:lastModifiedBy/>
  <cp:revision>1</cp:revision>
  <dcterms:created xsi:type="dcterms:W3CDTF">2018-09-10T01:32:00Z</dcterms:created>
  <dcterms:modified xsi:type="dcterms:W3CDTF">2018-09-10T02:21:00Z</dcterms:modified>
</cp:coreProperties>
</file>