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4EAFE" w14:textId="531D0DF2" w:rsidR="001A3992" w:rsidRPr="00282E87" w:rsidRDefault="001A3992" w:rsidP="00282E87">
      <w:pPr>
        <w:pStyle w:val="Heading1"/>
      </w:pPr>
      <w:r w:rsidRPr="00282E87">
        <w:t>Name of the medicine</w:t>
      </w:r>
    </w:p>
    <w:p w14:paraId="1AF7CA79" w14:textId="2FE04CEB" w:rsidR="00BD29AF" w:rsidRDefault="00E963DB" w:rsidP="00BD29AF">
      <w:r w:rsidRPr="00E963DB">
        <w:t>Quadrivalent Influenza Vaccine, surface antigen, inactivated (influenza virus haemagglutinin)</w:t>
      </w:r>
    </w:p>
    <w:p w14:paraId="2F1F4047" w14:textId="77777777" w:rsidR="006D690D" w:rsidRDefault="006D690D" w:rsidP="00BD29AF"/>
    <w:p w14:paraId="5CF19FBC" w14:textId="77777777" w:rsidR="001A3992" w:rsidRPr="00282E87" w:rsidRDefault="001A3992" w:rsidP="00282E87">
      <w:pPr>
        <w:pStyle w:val="Heading1"/>
      </w:pPr>
      <w:r w:rsidRPr="00282E87">
        <w:t>Qualitative and quantitative composition</w:t>
      </w:r>
    </w:p>
    <w:p w14:paraId="5E4FC850" w14:textId="78B4F0C8" w:rsidR="0015240E" w:rsidRDefault="00054C5A" w:rsidP="0015240E">
      <w:bookmarkStart w:id="0" w:name="_Hlk3819310"/>
      <w:r>
        <w:t>INFLUVAC TETRA</w:t>
      </w:r>
      <w:r w:rsidR="0015240E" w:rsidRPr="0015240E">
        <w:rPr>
          <w:vertAlign w:val="superscript"/>
        </w:rPr>
        <w:t xml:space="preserve"> </w:t>
      </w:r>
      <w:r w:rsidR="0015240E" w:rsidRPr="0015240E">
        <w:t xml:space="preserve">is a purified, inactivated influenza vaccine (surface antigen), containing the following four influenza strains recommended for the </w:t>
      </w:r>
      <w:r>
        <w:t>2021</w:t>
      </w:r>
      <w:r w:rsidRPr="0015240E">
        <w:t xml:space="preserve"> </w:t>
      </w:r>
      <w:r w:rsidR="0015240E" w:rsidRPr="0015240E">
        <w:t xml:space="preserve">influenza season: </w:t>
      </w:r>
    </w:p>
    <w:p w14:paraId="0BDE3045" w14:textId="77777777" w:rsidR="0015240E" w:rsidRPr="0015240E" w:rsidRDefault="0015240E" w:rsidP="0015240E"/>
    <w:p w14:paraId="5FFC25C7" w14:textId="77777777" w:rsidR="00054C5A" w:rsidRDefault="00054C5A" w:rsidP="00054C5A">
      <w:pPr>
        <w:pStyle w:val="ListParagraph"/>
        <w:numPr>
          <w:ilvl w:val="0"/>
          <w:numId w:val="26"/>
        </w:numPr>
      </w:pPr>
      <w:r>
        <w:t>A/Victoria/2570/2019 (H1N</w:t>
      </w:r>
      <w:proofErr w:type="gramStart"/>
      <w:r>
        <w:t>1)pdm</w:t>
      </w:r>
      <w:proofErr w:type="gramEnd"/>
      <w:r>
        <w:t>09-like strain</w:t>
      </w:r>
    </w:p>
    <w:p w14:paraId="53D5613E" w14:textId="33BBBC12" w:rsidR="006D32EF" w:rsidRDefault="00054C5A" w:rsidP="00054C5A">
      <w:pPr>
        <w:ind w:firstLine="720"/>
      </w:pPr>
      <w:r>
        <w:t>(A/Victoria/2570/2019, IVR-215)</w:t>
      </w:r>
    </w:p>
    <w:p w14:paraId="7F0F4F13" w14:textId="77777777" w:rsidR="00054C5A" w:rsidRDefault="00054C5A" w:rsidP="00054C5A">
      <w:pPr>
        <w:pStyle w:val="ListParagraph"/>
        <w:numPr>
          <w:ilvl w:val="0"/>
          <w:numId w:val="26"/>
        </w:numPr>
      </w:pPr>
      <w:r>
        <w:t>A/Hong Kong/2671/2019 (H3N2)-like strain</w:t>
      </w:r>
    </w:p>
    <w:p w14:paraId="442AC5A5" w14:textId="0959824B" w:rsidR="00054C5A" w:rsidRDefault="00054C5A" w:rsidP="00054C5A">
      <w:pPr>
        <w:ind w:firstLine="720"/>
      </w:pPr>
      <w:r>
        <w:t>(A/Hong Kong/2671/2019, IVR-208)</w:t>
      </w:r>
    </w:p>
    <w:p w14:paraId="30B9ADD8" w14:textId="505AF03D" w:rsidR="003859B8" w:rsidRDefault="003859B8" w:rsidP="00B416A9">
      <w:pPr>
        <w:numPr>
          <w:ilvl w:val="0"/>
          <w:numId w:val="20"/>
        </w:numPr>
      </w:pPr>
      <w:r>
        <w:t xml:space="preserve">B/Washington/02/2019-like strain (B/Victoria </w:t>
      </w:r>
      <w:r w:rsidRPr="003859B8">
        <w:t>lineage)</w:t>
      </w:r>
    </w:p>
    <w:p w14:paraId="16292957" w14:textId="5E4EF62F" w:rsidR="003859B8" w:rsidRPr="0015240E" w:rsidRDefault="003859B8" w:rsidP="003859B8">
      <w:pPr>
        <w:ind w:left="720"/>
      </w:pPr>
      <w:r>
        <w:t>(B/Washington/02/2019, wild type)</w:t>
      </w:r>
    </w:p>
    <w:p w14:paraId="0A4A3636" w14:textId="4BBF4168" w:rsidR="0015240E" w:rsidRPr="0015240E" w:rsidRDefault="0015240E" w:rsidP="0015240E">
      <w:pPr>
        <w:numPr>
          <w:ilvl w:val="0"/>
          <w:numId w:val="19"/>
        </w:numPr>
      </w:pPr>
      <w:r w:rsidRPr="0015240E">
        <w:rPr>
          <w:bCs/>
        </w:rPr>
        <w:t>B/Phuket/3073/2013-like strain (B/Yamagata lineage)</w:t>
      </w:r>
    </w:p>
    <w:p w14:paraId="0B3EB978" w14:textId="5C0E6D83" w:rsidR="0015240E" w:rsidRPr="0015240E" w:rsidRDefault="0015240E" w:rsidP="0015240E">
      <w:pPr>
        <w:ind w:left="720"/>
      </w:pPr>
      <w:r w:rsidRPr="0015240E">
        <w:rPr>
          <w:bCs/>
        </w:rPr>
        <w:t xml:space="preserve">(B/Phuket/3073/2013, wild type)    </w:t>
      </w:r>
    </w:p>
    <w:p w14:paraId="005DF6F5" w14:textId="77777777" w:rsidR="0015240E" w:rsidRPr="0015240E" w:rsidRDefault="0015240E" w:rsidP="0015240E"/>
    <w:p w14:paraId="2FD7B79F" w14:textId="77777777" w:rsidR="0015240E" w:rsidRPr="0015240E" w:rsidRDefault="0015240E" w:rsidP="0015240E">
      <w:r w:rsidRPr="0015240E">
        <w:t xml:space="preserve">Each 0.5 mL dose contains 15 micrograms haemagglutinin per each of the </w:t>
      </w:r>
      <w:proofErr w:type="gramStart"/>
      <w:r w:rsidRPr="0015240E">
        <w:t>above mentioned</w:t>
      </w:r>
      <w:proofErr w:type="gramEnd"/>
      <w:r w:rsidRPr="0015240E">
        <w:t xml:space="preserve"> viral strains, for a combined total amount of 60 micrograms. Each strain has been propagated in fertilised hens’ eggs from healthy chickens.  </w:t>
      </w:r>
    </w:p>
    <w:p w14:paraId="01AC2576" w14:textId="77777777" w:rsidR="0015240E" w:rsidRPr="0015240E" w:rsidRDefault="0015240E" w:rsidP="0015240E"/>
    <w:p w14:paraId="4425C16F" w14:textId="391BC447" w:rsidR="0015240E" w:rsidRPr="0015240E" w:rsidRDefault="0015240E" w:rsidP="0015240E">
      <w:r w:rsidRPr="0015240E">
        <w:t xml:space="preserve">The type and </w:t>
      </w:r>
      <w:proofErr w:type="gramStart"/>
      <w:r w:rsidRPr="0015240E">
        <w:t>amount</w:t>
      </w:r>
      <w:proofErr w:type="gramEnd"/>
      <w:r w:rsidRPr="0015240E">
        <w:t xml:space="preserve"> of viral antigens in </w:t>
      </w:r>
      <w:r w:rsidR="00054C5A">
        <w:t>INFLUVAC TETRA</w:t>
      </w:r>
      <w:r w:rsidRPr="0015240E">
        <w:t xml:space="preserve"> conform to the requirements of the Australian Influenza Vaccine Committee (AIVC) and the New Zealand Ministry of Health for </w:t>
      </w:r>
      <w:r w:rsidR="00B416A9">
        <w:t xml:space="preserve">the </w:t>
      </w:r>
      <w:r w:rsidR="00054C5A">
        <w:t xml:space="preserve">2021 </w:t>
      </w:r>
      <w:r w:rsidR="00B416A9">
        <w:t>southern hemisphere influenza season.</w:t>
      </w:r>
      <w:r w:rsidRPr="0015240E">
        <w:t xml:space="preserve">   </w:t>
      </w:r>
    </w:p>
    <w:bookmarkEnd w:id="0"/>
    <w:p w14:paraId="7154AF6F" w14:textId="77777777" w:rsidR="006D690D" w:rsidRPr="00680C7C" w:rsidRDefault="006D690D" w:rsidP="00AF7DC8">
      <w:pPr>
        <w:rPr>
          <w:lang w:val="en"/>
        </w:rPr>
      </w:pPr>
    </w:p>
    <w:p w14:paraId="58DB3560" w14:textId="77777777" w:rsidR="00497C85" w:rsidRDefault="00497C85" w:rsidP="00AF7DC8">
      <w:pPr>
        <w:rPr>
          <w:lang w:val="en"/>
        </w:rPr>
      </w:pPr>
      <w:r w:rsidRPr="00497C85">
        <w:rPr>
          <w:lang w:val="en"/>
        </w:rPr>
        <w:t xml:space="preserve">For the full list of excipients, see Section </w:t>
      </w:r>
      <w:r w:rsidRPr="0015240E">
        <w:rPr>
          <w:b/>
          <w:lang w:val="en"/>
        </w:rPr>
        <w:t xml:space="preserve">6.1 </w:t>
      </w:r>
      <w:r w:rsidR="008C1A92" w:rsidRPr="0015240E">
        <w:rPr>
          <w:b/>
          <w:lang w:val="en"/>
        </w:rPr>
        <w:t>LIST OF EXCIPIENTS</w:t>
      </w:r>
      <w:r w:rsidR="00AF7DC8">
        <w:rPr>
          <w:lang w:val="en"/>
        </w:rPr>
        <w:t>.</w:t>
      </w:r>
    </w:p>
    <w:p w14:paraId="6C9B8E0C" w14:textId="77777777" w:rsidR="006D690D" w:rsidRDefault="006D690D" w:rsidP="00AF7DC8">
      <w:pPr>
        <w:rPr>
          <w:lang w:val="en"/>
        </w:rPr>
      </w:pPr>
    </w:p>
    <w:p w14:paraId="0DEE3CA6" w14:textId="77777777" w:rsidR="001A3992" w:rsidRDefault="001A3992" w:rsidP="001A3992">
      <w:pPr>
        <w:pStyle w:val="Heading1"/>
        <w:rPr>
          <w:rFonts w:cstheme="minorHAnsi"/>
        </w:rPr>
      </w:pPr>
      <w:r w:rsidRPr="00497C85">
        <w:rPr>
          <w:rFonts w:cstheme="minorHAnsi"/>
        </w:rPr>
        <w:t>Pharmaceutical form</w:t>
      </w:r>
    </w:p>
    <w:p w14:paraId="0799560B" w14:textId="1599FDCE" w:rsidR="000034FC" w:rsidRDefault="00054C5A" w:rsidP="000034FC">
      <w:r>
        <w:t>INFLUVAC TETRA</w:t>
      </w:r>
      <w:r w:rsidR="0015240E" w:rsidRPr="0015240E">
        <w:t xml:space="preserve"> is a clear colourless liquid for injection in pre-filled syringes (glass, type I).</w:t>
      </w:r>
    </w:p>
    <w:p w14:paraId="20869E25" w14:textId="77777777" w:rsidR="006D690D" w:rsidRDefault="006D690D" w:rsidP="000034FC"/>
    <w:p w14:paraId="2A012E92" w14:textId="77777777" w:rsidR="001A3992" w:rsidRPr="00497C85" w:rsidRDefault="001A3992" w:rsidP="001A3992">
      <w:pPr>
        <w:pStyle w:val="Heading1"/>
        <w:rPr>
          <w:rFonts w:cstheme="minorHAnsi"/>
        </w:rPr>
      </w:pPr>
      <w:r w:rsidRPr="00497C85">
        <w:rPr>
          <w:rFonts w:cstheme="minorHAnsi"/>
        </w:rPr>
        <w:t>Clinical particulars</w:t>
      </w:r>
    </w:p>
    <w:p w14:paraId="0A645AB4" w14:textId="77777777" w:rsidR="001A3992" w:rsidRPr="0066633F" w:rsidRDefault="00AF6712" w:rsidP="0066633F">
      <w:pPr>
        <w:pStyle w:val="Heading2"/>
      </w:pPr>
      <w:r w:rsidRPr="0066633F">
        <w:t>Therapeutic indications</w:t>
      </w:r>
    </w:p>
    <w:p w14:paraId="555CA954" w14:textId="2E121AFE" w:rsidR="0015240E" w:rsidRDefault="0015240E" w:rsidP="0015240E">
      <w:r>
        <w:t>For the prevention of influenza caused by influenza virus, types A and B.</w:t>
      </w:r>
    </w:p>
    <w:p w14:paraId="07A24E41" w14:textId="77777777" w:rsidR="0015240E" w:rsidRDefault="0015240E" w:rsidP="0015240E"/>
    <w:p w14:paraId="5ED8D55A" w14:textId="78A0CE21" w:rsidR="0015240E" w:rsidRDefault="0015240E" w:rsidP="0015240E">
      <w:r>
        <w:t>For full details regarding recommendations for influenza vaccination, please refer to the relevant National Immunisation Guidelines.</w:t>
      </w:r>
    </w:p>
    <w:p w14:paraId="4C10C2DF" w14:textId="77777777" w:rsidR="0015240E" w:rsidRDefault="0015240E" w:rsidP="0015240E"/>
    <w:p w14:paraId="46F85FB1" w14:textId="5AED565D" w:rsidR="00270401" w:rsidRDefault="00054C5A" w:rsidP="0015240E">
      <w:r>
        <w:t>INFLUVAC TETRA</w:t>
      </w:r>
      <w:r w:rsidR="0015240E">
        <w:t xml:space="preserve"> is indicated in adults and children from </w:t>
      </w:r>
      <w:r w:rsidR="00DB0AE3">
        <w:t>6 months</w:t>
      </w:r>
      <w:r w:rsidR="0015240E">
        <w:t xml:space="preserve"> of age and older.</w:t>
      </w:r>
    </w:p>
    <w:p w14:paraId="417BDAE6" w14:textId="77777777" w:rsidR="006D690D" w:rsidRDefault="006D690D" w:rsidP="00270401"/>
    <w:p w14:paraId="62EE54FF" w14:textId="77777777" w:rsidR="001A3992" w:rsidRPr="0066633F" w:rsidRDefault="001A3992" w:rsidP="0001192A">
      <w:pPr>
        <w:pStyle w:val="Heading2"/>
        <w:pageBreakBefore/>
        <w:ind w:left="578" w:hanging="578"/>
      </w:pPr>
      <w:r w:rsidRPr="0066633F">
        <w:lastRenderedPageBreak/>
        <w:t>Do</w:t>
      </w:r>
      <w:r w:rsidR="00AF6712" w:rsidRPr="0066633F">
        <w:t>se and method of administration</w:t>
      </w:r>
    </w:p>
    <w:p w14:paraId="5908DAA0" w14:textId="77777777" w:rsidR="000965C1" w:rsidRDefault="000965C1" w:rsidP="0015240E">
      <w:pPr>
        <w:rPr>
          <w:b/>
        </w:rPr>
      </w:pPr>
    </w:p>
    <w:p w14:paraId="4473346A" w14:textId="5E170274" w:rsidR="0015240E" w:rsidRDefault="0015240E" w:rsidP="0015240E">
      <w:r w:rsidRPr="0015240E">
        <w:rPr>
          <w:b/>
        </w:rPr>
        <w:t xml:space="preserve">Adults and children </w:t>
      </w:r>
      <w:r w:rsidR="00DB0AE3">
        <w:rPr>
          <w:b/>
        </w:rPr>
        <w:t>6 months</w:t>
      </w:r>
      <w:r w:rsidRPr="0015240E">
        <w:rPr>
          <w:b/>
        </w:rPr>
        <w:t xml:space="preserve"> of age and older</w:t>
      </w:r>
      <w:r>
        <w:t xml:space="preserve">: 0.5 mL dose </w:t>
      </w:r>
    </w:p>
    <w:p w14:paraId="11742A1F" w14:textId="77777777" w:rsidR="0015240E" w:rsidRDefault="0015240E" w:rsidP="0015240E"/>
    <w:p w14:paraId="12AE96FC" w14:textId="68613B97" w:rsidR="0015240E" w:rsidRDefault="0015240E" w:rsidP="0015240E">
      <w:r>
        <w:t>For children less than 9 years of age who have not previously been vaccinated, a second dose of 0.5 mL should be given after an interval of at least 4 weeks.</w:t>
      </w:r>
    </w:p>
    <w:p w14:paraId="753800EB" w14:textId="61F491D6" w:rsidR="001F15C3" w:rsidRDefault="00787A52" w:rsidP="0015240E">
      <w:bookmarkStart w:id="1" w:name="_Hlk68850850"/>
      <w:r>
        <w:t xml:space="preserve">The Australian Immunisation Handbook </w:t>
      </w:r>
      <w:r w:rsidR="001F15C3">
        <w:t>recommend</w:t>
      </w:r>
      <w:r>
        <w:t>s</w:t>
      </w:r>
      <w:r w:rsidR="001F15C3">
        <w:t xml:space="preserve"> that preterm infants should receive influenza vaccine every year, starting from 6 months of age and have a second dose at least 4 weeks later</w:t>
      </w:r>
      <w:bookmarkEnd w:id="1"/>
      <w:r w:rsidR="001F15C3">
        <w:t>.</w:t>
      </w:r>
      <w:r>
        <w:t xml:space="preserve"> </w:t>
      </w:r>
      <w:r w:rsidR="00D331C2" w:rsidRPr="00D331C2">
        <w:t xml:space="preserve">Clinical trial data for </w:t>
      </w:r>
      <w:r w:rsidR="00054C5A">
        <w:t>INFLUVAC TETRA</w:t>
      </w:r>
      <w:r w:rsidR="00457649">
        <w:t xml:space="preserve"> </w:t>
      </w:r>
      <w:r w:rsidR="00D331C2" w:rsidRPr="00D331C2">
        <w:t>from study INFQ3003 were from infants aged 6-35 months (pre-term status is not known)</w:t>
      </w:r>
      <w:r>
        <w:t>.</w:t>
      </w:r>
    </w:p>
    <w:p w14:paraId="51F9481B" w14:textId="77777777" w:rsidR="0015240E" w:rsidRDefault="0015240E" w:rsidP="0015240E"/>
    <w:p w14:paraId="0965F3CA" w14:textId="267B4E1D" w:rsidR="00DB0AE3" w:rsidRDefault="0015240E" w:rsidP="0015240E">
      <w:r w:rsidRPr="0015240E">
        <w:rPr>
          <w:b/>
        </w:rPr>
        <w:t xml:space="preserve">Children less than </w:t>
      </w:r>
      <w:r w:rsidR="00DB0AE3">
        <w:rPr>
          <w:b/>
        </w:rPr>
        <w:t>6 months</w:t>
      </w:r>
      <w:r w:rsidRPr="0015240E">
        <w:rPr>
          <w:b/>
        </w:rPr>
        <w:t xml:space="preserve"> of age</w:t>
      </w:r>
      <w:r>
        <w:t xml:space="preserve">: the safety and efficacy of </w:t>
      </w:r>
      <w:r w:rsidR="00054C5A">
        <w:t>INFLUVAC TETRA</w:t>
      </w:r>
      <w:r>
        <w:t xml:space="preserve"> </w:t>
      </w:r>
      <w:r w:rsidR="00977D49">
        <w:t xml:space="preserve">has </w:t>
      </w:r>
      <w:r>
        <w:t>not been established.</w:t>
      </w:r>
    </w:p>
    <w:p w14:paraId="4EE2F82B" w14:textId="63708274" w:rsidR="0015240E" w:rsidRDefault="0015240E" w:rsidP="0015240E"/>
    <w:p w14:paraId="7457736B" w14:textId="6E4986C3" w:rsidR="0015240E" w:rsidRDefault="00054C5A" w:rsidP="0015240E">
      <w:r>
        <w:t>INFLUVAC TETRA</w:t>
      </w:r>
      <w:r w:rsidR="0015240E">
        <w:t xml:space="preserve"> should be administered in autumn before the beginning of the influenza season or as required by the epidemiological situation. Vaccination should be repeated every year. </w:t>
      </w:r>
    </w:p>
    <w:p w14:paraId="3ED13897" w14:textId="77777777" w:rsidR="0015240E" w:rsidRDefault="0015240E" w:rsidP="0015240E"/>
    <w:p w14:paraId="59F3BBFE" w14:textId="77777777" w:rsidR="0015240E" w:rsidRPr="0015240E" w:rsidRDefault="0015240E" w:rsidP="0015240E">
      <w:pPr>
        <w:rPr>
          <w:b/>
        </w:rPr>
      </w:pPr>
      <w:r w:rsidRPr="0015240E">
        <w:rPr>
          <w:b/>
        </w:rPr>
        <w:t>Administration</w:t>
      </w:r>
    </w:p>
    <w:p w14:paraId="767FDD4E" w14:textId="15C3D2E4" w:rsidR="0015240E" w:rsidRDefault="00054C5A" w:rsidP="0015240E">
      <w:r>
        <w:t>INFLUVAC TETRA</w:t>
      </w:r>
      <w:r w:rsidR="0015240E">
        <w:t xml:space="preserve"> should be administered by intramuscular or deep subcutaneous injection, whereas the intramuscular route is preferred.  </w:t>
      </w:r>
    </w:p>
    <w:p w14:paraId="493745B1" w14:textId="77777777" w:rsidR="0015240E" w:rsidRDefault="0015240E" w:rsidP="0015240E"/>
    <w:p w14:paraId="2259F7F8" w14:textId="147E259C" w:rsidR="0015240E" w:rsidRDefault="00054C5A" w:rsidP="0015240E">
      <w:r>
        <w:t>INFLUVAC TETRA</w:t>
      </w:r>
      <w:r w:rsidR="0015240E">
        <w:t xml:space="preserve"> should not be administered intravenously.</w:t>
      </w:r>
    </w:p>
    <w:p w14:paraId="181E2AEC" w14:textId="77777777" w:rsidR="0015240E" w:rsidRDefault="0015240E" w:rsidP="0015240E"/>
    <w:p w14:paraId="708A97AB" w14:textId="46758EAA" w:rsidR="0015240E" w:rsidRDefault="00054C5A" w:rsidP="0015240E">
      <w:r>
        <w:t>INFLUVAC TETRA</w:t>
      </w:r>
      <w:r w:rsidR="0015240E">
        <w:t xml:space="preserve"> should not be mixed with other injection fluids. </w:t>
      </w:r>
    </w:p>
    <w:p w14:paraId="2AD8B83C" w14:textId="77777777" w:rsidR="0015240E" w:rsidRDefault="0015240E" w:rsidP="0015240E"/>
    <w:p w14:paraId="0FE96C44" w14:textId="5720AFEF" w:rsidR="0015240E" w:rsidRDefault="0015240E" w:rsidP="0015240E">
      <w:r>
        <w:t>The syringe is for single use in one patient only, any remaining residue should be discarded.</w:t>
      </w:r>
    </w:p>
    <w:p w14:paraId="1C0A515F" w14:textId="77777777" w:rsidR="0015240E" w:rsidRDefault="0015240E" w:rsidP="0015240E"/>
    <w:p w14:paraId="08EB2AF9" w14:textId="77777777" w:rsidR="0015240E" w:rsidRPr="0015240E" w:rsidRDefault="0015240E" w:rsidP="0015240E">
      <w:pPr>
        <w:rPr>
          <w:b/>
        </w:rPr>
      </w:pPr>
      <w:r w:rsidRPr="0015240E">
        <w:rPr>
          <w:b/>
        </w:rPr>
        <w:t>Instructions for use/handling</w:t>
      </w:r>
    </w:p>
    <w:p w14:paraId="40DC43C3" w14:textId="26EEE40E" w:rsidR="0015240E" w:rsidRDefault="00E76145" w:rsidP="0015240E">
      <w:r>
        <w:t>INFLUVAC TETRA</w:t>
      </w:r>
      <w:r w:rsidR="0015240E">
        <w:t xml:space="preserve"> should be shaken well and inspected visually before use.</w:t>
      </w:r>
    </w:p>
    <w:p w14:paraId="07924299" w14:textId="77777777" w:rsidR="0015240E" w:rsidRDefault="0015240E" w:rsidP="0015240E"/>
    <w:p w14:paraId="6C3FB07F" w14:textId="01EAEE1F" w:rsidR="005F2A08" w:rsidRDefault="0015240E" w:rsidP="0015240E">
      <w:r>
        <w:t>Please refer to the relevant National Immunisation Guidelines for full details on preparations and vaccine administration.</w:t>
      </w:r>
    </w:p>
    <w:p w14:paraId="6262FC02" w14:textId="77777777" w:rsidR="00B1775A" w:rsidRDefault="00B1775A" w:rsidP="005F2A08"/>
    <w:p w14:paraId="7D988D78" w14:textId="77777777" w:rsidR="001A3992" w:rsidRPr="0066633F" w:rsidRDefault="001A3992" w:rsidP="0066633F">
      <w:pPr>
        <w:pStyle w:val="Heading2"/>
      </w:pPr>
      <w:r w:rsidRPr="0066633F">
        <w:t>Contraindications</w:t>
      </w:r>
    </w:p>
    <w:p w14:paraId="5B6D0F3A" w14:textId="2FDDB23D" w:rsidR="0015240E" w:rsidRDefault="0015240E" w:rsidP="0015240E">
      <w:r>
        <w:t xml:space="preserve">Hypersensitivity to the active substances, to any of the excipients and to residues of eggs (ovalbumin, chicken proteins), formaldehyde, </w:t>
      </w:r>
      <w:proofErr w:type="spellStart"/>
      <w:r>
        <w:t>cetrimonium</w:t>
      </w:r>
      <w:proofErr w:type="spellEnd"/>
      <w:r>
        <w:t xml:space="preserve"> bromide, polysorbate 80, or gentamicin.</w:t>
      </w:r>
    </w:p>
    <w:p w14:paraId="670B9D82" w14:textId="77777777" w:rsidR="0015240E" w:rsidRDefault="0015240E" w:rsidP="0015240E"/>
    <w:p w14:paraId="01EE106C" w14:textId="43A66BC7" w:rsidR="0015240E" w:rsidRDefault="0015240E" w:rsidP="0015240E">
      <w:r>
        <w:t>Anaphylaxis following a previous dose of any influenza vaccine.</w:t>
      </w:r>
    </w:p>
    <w:p w14:paraId="62818C2E" w14:textId="77777777" w:rsidR="0015240E" w:rsidRDefault="0015240E" w:rsidP="0015240E"/>
    <w:p w14:paraId="24F8A560" w14:textId="1EEBA737" w:rsidR="0015240E" w:rsidRDefault="0015240E" w:rsidP="0015240E">
      <w:r>
        <w:t xml:space="preserve">Immunisation should be postponed in patients with febrile illness or acute infection. </w:t>
      </w:r>
    </w:p>
    <w:p w14:paraId="517AAF0A" w14:textId="77777777" w:rsidR="0015240E" w:rsidRDefault="0015240E" w:rsidP="0015240E"/>
    <w:p w14:paraId="607824FC" w14:textId="2D1D5AA0" w:rsidR="0060327C" w:rsidRDefault="0015240E" w:rsidP="0015240E">
      <w:r>
        <w:t>Refer to the relevant National Immunisation Guidelines for full details on contraindications and precautions.</w:t>
      </w:r>
    </w:p>
    <w:p w14:paraId="7C2FC311" w14:textId="77777777" w:rsidR="00B1775A" w:rsidRDefault="00B1775A" w:rsidP="0060327C"/>
    <w:p w14:paraId="54F5EFB9" w14:textId="77777777" w:rsidR="001A3992" w:rsidRPr="0066633F" w:rsidRDefault="00E74A56" w:rsidP="0066633F">
      <w:pPr>
        <w:pStyle w:val="Heading2"/>
      </w:pPr>
      <w:r w:rsidRPr="0066633F">
        <w:t>Special warnings and p</w:t>
      </w:r>
      <w:r w:rsidR="001A3992" w:rsidRPr="0066633F">
        <w:t xml:space="preserve">recautions </w:t>
      </w:r>
      <w:r w:rsidRPr="0066633F">
        <w:t>for use</w:t>
      </w:r>
    </w:p>
    <w:p w14:paraId="7D708E6E" w14:textId="13F1BE8C" w:rsidR="0015240E" w:rsidRDefault="0015240E" w:rsidP="0015240E">
      <w:r>
        <w:t xml:space="preserve">As with all injectable vaccines, appropriate medical treatment and supervision should always be readily available in case of an anaphylactic event following the administration of the vaccine.   </w:t>
      </w:r>
    </w:p>
    <w:p w14:paraId="3C27AC65" w14:textId="77777777" w:rsidR="0015240E" w:rsidRDefault="0015240E" w:rsidP="0015240E"/>
    <w:p w14:paraId="62150CC4" w14:textId="35AFADD3" w:rsidR="0015240E" w:rsidRDefault="00E76145" w:rsidP="0015240E">
      <w:r>
        <w:t>INFLUVAC TETRA</w:t>
      </w:r>
      <w:r w:rsidR="0015240E">
        <w:t xml:space="preserve"> should under no circumstances be administered intravascularly.  </w:t>
      </w:r>
    </w:p>
    <w:p w14:paraId="7226C9FC" w14:textId="77777777" w:rsidR="0015240E" w:rsidRDefault="0015240E" w:rsidP="0015240E"/>
    <w:p w14:paraId="5C97B051" w14:textId="551FBBC9" w:rsidR="0015240E" w:rsidRDefault="0015240E" w:rsidP="0015240E">
      <w:r>
        <w:t xml:space="preserve">Anxiety-related reactions, including vasovagal reactions (syncope), hyperventilation or stress-related reactions can occur following, or even before, any vaccination as a psychogenic response to the needle injection. This can be accompanied by several neurological signs such as transient visual disturbance, </w:t>
      </w:r>
      <w:proofErr w:type="gramStart"/>
      <w:r>
        <w:t>paraesthesia</w:t>
      </w:r>
      <w:proofErr w:type="gramEnd"/>
      <w:r>
        <w:t xml:space="preserve"> and tonic-</w:t>
      </w:r>
      <w:proofErr w:type="spellStart"/>
      <w:r>
        <w:t>clonic</w:t>
      </w:r>
      <w:proofErr w:type="spellEnd"/>
      <w:r>
        <w:t xml:space="preserve"> limb movements during recovery. It is important that procedures are in place to avoid injury from faints.</w:t>
      </w:r>
    </w:p>
    <w:p w14:paraId="3D73F5F2" w14:textId="77777777" w:rsidR="0015240E" w:rsidRDefault="0015240E" w:rsidP="0015240E"/>
    <w:p w14:paraId="4253E998" w14:textId="24AF1C48" w:rsidR="0015240E" w:rsidRDefault="0015240E" w:rsidP="0015240E">
      <w:r>
        <w:lastRenderedPageBreak/>
        <w:t xml:space="preserve">Antibody response in patients with endogenous or iatrogenic immunosuppression may be insufficient.  </w:t>
      </w:r>
    </w:p>
    <w:p w14:paraId="6CDCC80D" w14:textId="77777777" w:rsidR="0015240E" w:rsidRDefault="0015240E" w:rsidP="0015240E"/>
    <w:p w14:paraId="283541B7" w14:textId="6CF38904" w:rsidR="0015240E" w:rsidRDefault="0015240E" w:rsidP="0015240E">
      <w:r>
        <w:t xml:space="preserve">Interference with serological testing: see subheading </w:t>
      </w:r>
      <w:r w:rsidRPr="0015240E">
        <w:rPr>
          <w:b/>
        </w:rPr>
        <w:t>Effects on laboratory tests</w:t>
      </w:r>
      <w:r>
        <w:t xml:space="preserve"> below. </w:t>
      </w:r>
    </w:p>
    <w:p w14:paraId="55DC46AD" w14:textId="77777777" w:rsidR="0015240E" w:rsidRDefault="0015240E" w:rsidP="0015240E"/>
    <w:p w14:paraId="1E26C6A0" w14:textId="7E904E29" w:rsidR="0015240E" w:rsidRDefault="0015240E" w:rsidP="0015240E">
      <w:r>
        <w:t xml:space="preserve">This medicine contains sodium, less than 1 mmol (23 mg) per dose, </w:t>
      </w:r>
      <w:proofErr w:type="gramStart"/>
      <w:r>
        <w:t>i.e.</w:t>
      </w:r>
      <w:proofErr w:type="gramEnd"/>
      <w:r>
        <w:t xml:space="preserve"> essentially ‘sodium free’.</w:t>
      </w:r>
    </w:p>
    <w:p w14:paraId="011369A5" w14:textId="77777777" w:rsidR="0015240E" w:rsidRDefault="0015240E" w:rsidP="0015240E"/>
    <w:p w14:paraId="73955ECB" w14:textId="3B90D925" w:rsidR="00CA7802" w:rsidRDefault="0015240E" w:rsidP="0015240E">
      <w:r>
        <w:t xml:space="preserve">This medicine contains potassium, less than 1 mmol (39 mg) per dose, </w:t>
      </w:r>
      <w:proofErr w:type="gramStart"/>
      <w:r>
        <w:t>i.e.</w:t>
      </w:r>
      <w:proofErr w:type="gramEnd"/>
      <w:r>
        <w:t xml:space="preserve"> essentially ‘potassium free’.</w:t>
      </w:r>
    </w:p>
    <w:p w14:paraId="3EE72BBF" w14:textId="77777777" w:rsidR="0015240E" w:rsidRDefault="0015240E" w:rsidP="0015240E"/>
    <w:p w14:paraId="416A7534" w14:textId="77777777" w:rsidR="001A3992" w:rsidRPr="0066633F" w:rsidRDefault="001A3992" w:rsidP="0066633F">
      <w:pPr>
        <w:pStyle w:val="Heading3"/>
      </w:pPr>
      <w:r w:rsidRPr="0066633F">
        <w:t xml:space="preserve">Use in the </w:t>
      </w:r>
      <w:r w:rsidR="00B610A7" w:rsidRPr="0066633F">
        <w:t>E</w:t>
      </w:r>
      <w:r w:rsidRPr="0066633F">
        <w:t>lderly</w:t>
      </w:r>
    </w:p>
    <w:p w14:paraId="125AAC4E" w14:textId="2FAC4F18" w:rsidR="0015240E" w:rsidRDefault="0015240E" w:rsidP="0015240E">
      <w:r w:rsidRPr="0015240E">
        <w:t xml:space="preserve">The safety and immunogenicity of </w:t>
      </w:r>
      <w:r w:rsidR="00E76145">
        <w:t>INFLUVAC TETRA</w:t>
      </w:r>
      <w:r w:rsidRPr="0015240E">
        <w:t xml:space="preserve"> was evaluated in adults ≥ 65 years in INFQ3001 (See Section </w:t>
      </w:r>
      <w:r w:rsidRPr="0015240E">
        <w:rPr>
          <w:b/>
        </w:rPr>
        <w:t>4.8 ADVERSE EFFECTS (UNDESIRABLE EFFECTS)</w:t>
      </w:r>
      <w:r w:rsidRPr="0015240E">
        <w:t>). Overall serological responses in elderly subjects were lower than those in younger adult subjects.</w:t>
      </w:r>
    </w:p>
    <w:p w14:paraId="1EC090CD" w14:textId="77777777" w:rsidR="000965C1" w:rsidRDefault="000965C1" w:rsidP="0015240E"/>
    <w:p w14:paraId="42DD3E42" w14:textId="77777777" w:rsidR="001A3992" w:rsidRPr="0066633F" w:rsidRDefault="00B610A7" w:rsidP="0066633F">
      <w:pPr>
        <w:pStyle w:val="Heading3"/>
      </w:pPr>
      <w:r w:rsidRPr="0066633F">
        <w:t>Paediatric U</w:t>
      </w:r>
      <w:r w:rsidR="001A3992" w:rsidRPr="0066633F">
        <w:t>se</w:t>
      </w:r>
    </w:p>
    <w:p w14:paraId="44F0A552" w14:textId="767F524D" w:rsidR="0015240E" w:rsidRDefault="0015240E" w:rsidP="0015240E">
      <w:r w:rsidRPr="0015240E">
        <w:t xml:space="preserve">The safety and efficacy of </w:t>
      </w:r>
      <w:r w:rsidR="00E76145">
        <w:t>INFLUVAC TETRA</w:t>
      </w:r>
      <w:r w:rsidRPr="0015240E">
        <w:t xml:space="preserve"> in children under </w:t>
      </w:r>
      <w:r w:rsidR="00DB0AE3">
        <w:t>6 months</w:t>
      </w:r>
      <w:r w:rsidRPr="0015240E">
        <w:t xml:space="preserve"> of age have not been established.</w:t>
      </w:r>
    </w:p>
    <w:p w14:paraId="4EE35CA3" w14:textId="5156D85B" w:rsidR="001A0D1A" w:rsidRPr="001A0D1A" w:rsidRDefault="001A0D1A" w:rsidP="0015240E"/>
    <w:p w14:paraId="6D3D2079" w14:textId="136C832A" w:rsidR="001A3992" w:rsidRPr="0066633F" w:rsidRDefault="001A3992" w:rsidP="0066633F">
      <w:pPr>
        <w:pStyle w:val="Heading3"/>
      </w:pPr>
      <w:r w:rsidRPr="0066633F">
        <w:t xml:space="preserve">Effects on </w:t>
      </w:r>
      <w:r w:rsidR="00B610A7" w:rsidRPr="0066633F">
        <w:t>L</w:t>
      </w:r>
      <w:r w:rsidRPr="0066633F">
        <w:t xml:space="preserve">aboratory </w:t>
      </w:r>
      <w:r w:rsidR="00B610A7" w:rsidRPr="0066633F">
        <w:t>T</w:t>
      </w:r>
      <w:r w:rsidRPr="0066633F">
        <w:t>ests</w:t>
      </w:r>
    </w:p>
    <w:p w14:paraId="0BD03273" w14:textId="764D3D91" w:rsidR="0015240E" w:rsidRDefault="0015240E" w:rsidP="0015240E">
      <w:r w:rsidRPr="0015240E">
        <w:t>Following influenza vaccination, false positive results in serology tests using the ELISA method to detect antibodies against HIV1, Hepatitis C and especially HTLV1 have been observed. The Western Blot technique disproves the false-positive ELISA test results. The transient false-positive reactions could be due to the IgM response by the vaccine.</w:t>
      </w:r>
    </w:p>
    <w:p w14:paraId="0C3FDBF0" w14:textId="77777777" w:rsidR="0024424C" w:rsidRDefault="0024424C" w:rsidP="0015240E"/>
    <w:p w14:paraId="55F61FB7" w14:textId="77777777" w:rsidR="001A3992" w:rsidRPr="0066633F" w:rsidRDefault="001A3992" w:rsidP="0066633F">
      <w:pPr>
        <w:pStyle w:val="Heading2"/>
      </w:pPr>
      <w:r w:rsidRPr="0066633F">
        <w:t>Interactions with other medicines and other forms of interactions</w:t>
      </w:r>
    </w:p>
    <w:p w14:paraId="181513A6" w14:textId="0D853C94" w:rsidR="0015240E" w:rsidRDefault="0015240E" w:rsidP="0015240E">
      <w:r>
        <w:t xml:space="preserve">No interaction studies have been performed. If </w:t>
      </w:r>
      <w:r w:rsidR="00E76145">
        <w:t>INFLUVAC TETRA</w:t>
      </w:r>
      <w:r>
        <w:t xml:space="preserve"> is given at the same time as other vaccines, immunisation should be carried out on separate limbs. It should be noted that the adverse reactions may be intensified.  </w:t>
      </w:r>
    </w:p>
    <w:p w14:paraId="61411CFE" w14:textId="77777777" w:rsidR="0015240E" w:rsidRDefault="0015240E" w:rsidP="0015240E"/>
    <w:p w14:paraId="5E2B93BC" w14:textId="2E459561" w:rsidR="00CA7802" w:rsidRDefault="0015240E" w:rsidP="0015240E">
      <w:r>
        <w:t>The immunological response may be diminished if the patient is undergoing immunosuppressant treatment.</w:t>
      </w:r>
    </w:p>
    <w:p w14:paraId="48CF6E7C" w14:textId="77777777" w:rsidR="00B1775A" w:rsidRDefault="00B1775A" w:rsidP="00CA7802"/>
    <w:p w14:paraId="22B458F0" w14:textId="77777777" w:rsidR="001A3992" w:rsidRPr="0066633F" w:rsidRDefault="001A3992" w:rsidP="0066633F">
      <w:pPr>
        <w:pStyle w:val="Heading2"/>
      </w:pPr>
      <w:r w:rsidRPr="0066633F">
        <w:t>Fer</w:t>
      </w:r>
      <w:r w:rsidR="00322873" w:rsidRPr="0066633F">
        <w:t>tility, pregnancy and lactation</w:t>
      </w:r>
    </w:p>
    <w:p w14:paraId="4184723A" w14:textId="50997771" w:rsidR="001A3992" w:rsidRPr="0066633F" w:rsidRDefault="00322873" w:rsidP="0066633F">
      <w:pPr>
        <w:pStyle w:val="Heading3"/>
      </w:pPr>
      <w:r w:rsidRPr="0066633F">
        <w:t>Effects on F</w:t>
      </w:r>
      <w:r w:rsidR="001A3992" w:rsidRPr="0066633F">
        <w:t>ertility</w:t>
      </w:r>
    </w:p>
    <w:p w14:paraId="2C0908AD" w14:textId="5C7FC769" w:rsidR="0015240E" w:rsidRDefault="0015240E" w:rsidP="0015240E">
      <w:r w:rsidRPr="0015240E">
        <w:t xml:space="preserve">No animal or human fertility data are available. </w:t>
      </w:r>
    </w:p>
    <w:p w14:paraId="2D11F72A" w14:textId="77777777" w:rsidR="000965C1" w:rsidRDefault="000965C1" w:rsidP="0015240E">
      <w:pPr>
        <w:rPr>
          <w:b/>
          <w:bCs/>
        </w:rPr>
      </w:pPr>
    </w:p>
    <w:p w14:paraId="6876050B" w14:textId="26628159" w:rsidR="00322873" w:rsidRPr="0066633F" w:rsidRDefault="001A3992" w:rsidP="0066633F">
      <w:pPr>
        <w:pStyle w:val="Heading3"/>
      </w:pPr>
      <w:r w:rsidRPr="0066633F">
        <w:t xml:space="preserve">Use in </w:t>
      </w:r>
      <w:r w:rsidR="00322873" w:rsidRPr="0066633F">
        <w:t>P</w:t>
      </w:r>
      <w:r w:rsidRPr="0066633F">
        <w:t>regnancy</w:t>
      </w:r>
    </w:p>
    <w:p w14:paraId="12AC63DF" w14:textId="6A06115E" w:rsidR="001A3992" w:rsidRDefault="00497C85" w:rsidP="00322873">
      <w:r w:rsidRPr="00497C85">
        <w:t>Pregnancy Category</w:t>
      </w:r>
      <w:r w:rsidR="00322873">
        <w:t>:</w:t>
      </w:r>
      <w:r w:rsidRPr="00497C85">
        <w:t xml:space="preserve"> </w:t>
      </w:r>
      <w:r w:rsidR="0015240E">
        <w:t>B2</w:t>
      </w:r>
    </w:p>
    <w:p w14:paraId="05D5296E" w14:textId="77777777" w:rsidR="0015240E" w:rsidRDefault="0015240E" w:rsidP="00322873"/>
    <w:p w14:paraId="2836F9B3" w14:textId="08140CA1" w:rsidR="0015240E" w:rsidRDefault="0015240E" w:rsidP="0015240E">
      <w:r w:rsidRPr="00D656E5">
        <w:t xml:space="preserve">Inactivated influenza vaccines can be used in all stages of pregnancy. Larger datasets on safety are available for the second and third trimester, compared with the first trimester; however, data from worldwide use of influenza vaccine do not indicate any adverse </w:t>
      </w:r>
      <w:proofErr w:type="spellStart"/>
      <w:r w:rsidRPr="00D656E5">
        <w:t>fetal</w:t>
      </w:r>
      <w:proofErr w:type="spellEnd"/>
      <w:r w:rsidRPr="00D656E5">
        <w:t xml:space="preserve"> or maternal outcomes attributable to the vaccine.</w:t>
      </w:r>
    </w:p>
    <w:p w14:paraId="04353596" w14:textId="77777777" w:rsidR="0015240E" w:rsidRPr="00D656E5" w:rsidRDefault="0015240E" w:rsidP="0015240E"/>
    <w:p w14:paraId="22894B22" w14:textId="2543CEF1" w:rsidR="0015240E" w:rsidRDefault="0015240E" w:rsidP="0015240E">
      <w:r w:rsidRPr="00D656E5">
        <w:t xml:space="preserve">Health authorities recommend vaccination for all pregnant women at any stage of pregnancy, particularly those who will be in the second or third trimester during the influenza season. </w:t>
      </w:r>
    </w:p>
    <w:p w14:paraId="3566AE5F" w14:textId="77777777" w:rsidR="000965C1" w:rsidRDefault="000965C1" w:rsidP="0015240E"/>
    <w:p w14:paraId="40CB935C" w14:textId="77777777" w:rsidR="001A3992" w:rsidRPr="0066633F" w:rsidRDefault="001A3992" w:rsidP="0066633F">
      <w:pPr>
        <w:pStyle w:val="Heading3"/>
      </w:pPr>
      <w:r w:rsidRPr="0066633F">
        <w:t xml:space="preserve">Use in </w:t>
      </w:r>
      <w:r w:rsidR="00322873" w:rsidRPr="0066633F">
        <w:t>Lactation</w:t>
      </w:r>
    </w:p>
    <w:p w14:paraId="0062E96A" w14:textId="4B71AB25" w:rsidR="0015240E" w:rsidRDefault="00E76145" w:rsidP="0015240E">
      <w:r>
        <w:t>INFLUVAC TETRA</w:t>
      </w:r>
      <w:r w:rsidR="0015240E" w:rsidRPr="00C3723E">
        <w:t xml:space="preserve"> may be used during lactation. </w:t>
      </w:r>
    </w:p>
    <w:p w14:paraId="5FF59CFE" w14:textId="77777777" w:rsidR="0024424C" w:rsidRPr="00C3723E" w:rsidRDefault="0024424C" w:rsidP="0015240E"/>
    <w:p w14:paraId="3D70BF40" w14:textId="77777777" w:rsidR="001A3992" w:rsidRPr="0066633F" w:rsidRDefault="001A3992" w:rsidP="0066633F">
      <w:pPr>
        <w:pStyle w:val="Heading2"/>
      </w:pPr>
      <w:r w:rsidRPr="0066633F">
        <w:lastRenderedPageBreak/>
        <w:t>Effects on ab</w:t>
      </w:r>
      <w:r w:rsidR="00322873" w:rsidRPr="0066633F">
        <w:t>ility to drive and use machines</w:t>
      </w:r>
    </w:p>
    <w:p w14:paraId="1E80037B" w14:textId="62BF78D1" w:rsidR="000965C1" w:rsidRDefault="00E76145" w:rsidP="000965C1">
      <w:pPr>
        <w:rPr>
          <w:lang w:val="en"/>
        </w:rPr>
      </w:pPr>
      <w:r>
        <w:rPr>
          <w:lang w:val="en"/>
        </w:rPr>
        <w:t>INFLUVAC TETRA</w:t>
      </w:r>
      <w:r w:rsidR="0015240E" w:rsidRPr="0015240E">
        <w:rPr>
          <w:lang w:val="en"/>
        </w:rPr>
        <w:t xml:space="preserve"> has no or negligible influence on the ability to drive and use of machines.</w:t>
      </w:r>
    </w:p>
    <w:p w14:paraId="674E173A" w14:textId="77777777" w:rsidR="00365CFF" w:rsidRDefault="00365CFF" w:rsidP="00D440CB">
      <w:pPr>
        <w:rPr>
          <w:lang w:val="en"/>
        </w:rPr>
      </w:pPr>
    </w:p>
    <w:p w14:paraId="3F1D9118" w14:textId="77777777" w:rsidR="001A3992" w:rsidRPr="0066633F" w:rsidRDefault="001A3992" w:rsidP="0066633F">
      <w:pPr>
        <w:pStyle w:val="Heading2"/>
      </w:pPr>
      <w:r w:rsidRPr="0066633F">
        <w:t>Adverse effects (Undesirable effects)</w:t>
      </w:r>
    </w:p>
    <w:p w14:paraId="7CE0568B" w14:textId="77777777" w:rsidR="0015240E" w:rsidRDefault="0015240E" w:rsidP="0015240E">
      <w:pPr>
        <w:rPr>
          <w:b/>
        </w:rPr>
      </w:pPr>
    </w:p>
    <w:p w14:paraId="41CF6E35" w14:textId="6DDAC5BA" w:rsidR="0015240E" w:rsidRPr="0015240E" w:rsidRDefault="0015240E" w:rsidP="0015240E">
      <w:pPr>
        <w:rPr>
          <w:b/>
        </w:rPr>
      </w:pPr>
      <w:r w:rsidRPr="0015240E">
        <w:rPr>
          <w:b/>
        </w:rPr>
        <w:t>Clinical Trial Experience</w:t>
      </w:r>
    </w:p>
    <w:p w14:paraId="4DC3ACB6" w14:textId="77777777" w:rsidR="0015240E" w:rsidRDefault="0015240E" w:rsidP="0015240E"/>
    <w:p w14:paraId="6C5418A9" w14:textId="070C41AD" w:rsidR="00F718EC" w:rsidRPr="0015240E" w:rsidRDefault="0015240E" w:rsidP="0015240E">
      <w:pPr>
        <w:pStyle w:val="ListParagraph"/>
        <w:numPr>
          <w:ilvl w:val="0"/>
          <w:numId w:val="21"/>
        </w:numPr>
        <w:rPr>
          <w:b/>
        </w:rPr>
      </w:pPr>
      <w:r w:rsidRPr="0015240E">
        <w:rPr>
          <w:b/>
        </w:rPr>
        <w:t>Summary of the safety profile</w:t>
      </w:r>
    </w:p>
    <w:p w14:paraId="43F0C6ED" w14:textId="6292759E" w:rsidR="0015240E" w:rsidRDefault="0015240E" w:rsidP="0015240E"/>
    <w:p w14:paraId="4656AE66" w14:textId="634DBA00" w:rsidR="0015240E" w:rsidRPr="00551E8C" w:rsidRDefault="0015240E" w:rsidP="0015240E">
      <w:pPr>
        <w:rPr>
          <w:rFonts w:cs="Times New Roman"/>
          <w:lang w:val="en-US"/>
        </w:rPr>
      </w:pPr>
      <w:r w:rsidRPr="00847E8C">
        <w:rPr>
          <w:rFonts w:cs="Times New Roman"/>
          <w:lang w:val="en-GB"/>
        </w:rPr>
        <w:t xml:space="preserve">In two clinical studies, healthy adults 18 years of age and older and healthy children 3 to 17 years of age were administered </w:t>
      </w:r>
      <w:r w:rsidR="00E76145">
        <w:rPr>
          <w:rFonts w:cs="Times New Roman"/>
          <w:lang w:val="en-GB"/>
        </w:rPr>
        <w:t>INFLUVAC TETRA</w:t>
      </w:r>
      <w:r w:rsidRPr="00847E8C">
        <w:rPr>
          <w:rFonts w:cs="Times New Roman"/>
          <w:lang w:val="en-GB"/>
        </w:rPr>
        <w:t xml:space="preserve"> (1535 adults and 402 children) or trivalent influenza vaccine, </w:t>
      </w:r>
      <w:r w:rsidR="00E76145">
        <w:rPr>
          <w:rFonts w:cs="Times New Roman"/>
          <w:lang w:val="en-GB"/>
        </w:rPr>
        <w:t>INFLUVAC</w:t>
      </w:r>
      <w:r w:rsidR="00E76145" w:rsidRPr="00847E8C">
        <w:rPr>
          <w:rFonts w:cs="Times New Roman"/>
          <w:lang w:val="en-GB"/>
        </w:rPr>
        <w:t xml:space="preserve"> </w:t>
      </w:r>
      <w:r w:rsidRPr="00847E8C">
        <w:rPr>
          <w:rFonts w:cs="Times New Roman"/>
          <w:lang w:val="en-GB"/>
        </w:rPr>
        <w:t xml:space="preserve">(442 adults and 798 children). Similar rates of solicited adverse reactions were observed in recipients of </w:t>
      </w:r>
      <w:r w:rsidR="00E76145">
        <w:rPr>
          <w:rFonts w:cs="Times New Roman"/>
          <w:lang w:val="en-GB"/>
        </w:rPr>
        <w:t>INFLUVAC TETRA</w:t>
      </w:r>
      <w:r w:rsidRPr="00847E8C">
        <w:rPr>
          <w:rFonts w:cs="Times New Roman"/>
          <w:lang w:val="en-GB"/>
        </w:rPr>
        <w:t xml:space="preserve"> and trivalent influenza vaccine </w:t>
      </w:r>
      <w:r w:rsidR="00E76145">
        <w:rPr>
          <w:rFonts w:cs="Times New Roman"/>
          <w:lang w:val="en-GB"/>
        </w:rPr>
        <w:t>INFLUVAC</w:t>
      </w:r>
      <w:r w:rsidRPr="00847E8C">
        <w:rPr>
          <w:rFonts w:cs="Times New Roman"/>
          <w:lang w:val="en-GB"/>
        </w:rPr>
        <w:t xml:space="preserve">. </w:t>
      </w:r>
      <w:r w:rsidR="0003549A" w:rsidRPr="00847E8C">
        <w:rPr>
          <w:rFonts w:cs="Times New Roman"/>
          <w:lang w:val="en-GB"/>
        </w:rPr>
        <w:t xml:space="preserve">In a third clinical study, 1005 children aged 6 </w:t>
      </w:r>
      <w:r w:rsidR="00D42D51">
        <w:rPr>
          <w:rFonts w:cs="Times New Roman"/>
          <w:lang w:val="en-GB"/>
        </w:rPr>
        <w:t xml:space="preserve">to 35 </w:t>
      </w:r>
      <w:r w:rsidR="0003549A" w:rsidRPr="00847E8C">
        <w:rPr>
          <w:rFonts w:cs="Times New Roman"/>
          <w:lang w:val="en-GB"/>
        </w:rPr>
        <w:t xml:space="preserve">months were administered </w:t>
      </w:r>
      <w:r w:rsidR="00E76145">
        <w:rPr>
          <w:rFonts w:cs="Times New Roman"/>
          <w:lang w:val="en-GB"/>
        </w:rPr>
        <w:t>INFLUVAC TETRA</w:t>
      </w:r>
      <w:r w:rsidR="0003549A" w:rsidRPr="00847E8C">
        <w:rPr>
          <w:rFonts w:cs="Times New Roman"/>
          <w:lang w:val="en-GB"/>
        </w:rPr>
        <w:t xml:space="preserve"> and compared to </w:t>
      </w:r>
      <w:r w:rsidR="002C106E" w:rsidRPr="00847E8C">
        <w:rPr>
          <w:rFonts w:cs="Times New Roman"/>
          <w:lang w:val="en-GB"/>
        </w:rPr>
        <w:t>995</w:t>
      </w:r>
      <w:r w:rsidR="0003549A" w:rsidRPr="00847E8C">
        <w:rPr>
          <w:rFonts w:cs="Times New Roman"/>
          <w:lang w:val="en-GB"/>
        </w:rPr>
        <w:t xml:space="preserve"> children receiving a non-influenza vaccine</w:t>
      </w:r>
      <w:r w:rsidR="001B7C42" w:rsidRPr="00847E8C">
        <w:rPr>
          <w:rFonts w:cs="Times New Roman"/>
          <w:lang w:val="en-GB"/>
        </w:rPr>
        <w:t>.</w:t>
      </w:r>
      <w:r w:rsidR="007A6118" w:rsidRPr="00847E8C">
        <w:rPr>
          <w:rFonts w:cs="Times New Roman"/>
          <w:lang w:val="en-GB"/>
        </w:rPr>
        <w:t xml:space="preserve"> </w:t>
      </w:r>
      <w:r w:rsidR="001B7C42" w:rsidRPr="00847E8C">
        <w:rPr>
          <w:rFonts w:cs="Times New Roman"/>
          <w:lang w:val="en-US"/>
        </w:rPr>
        <w:t xml:space="preserve">The rates of solicited systemic adverse reactions were similar in both vaccine groups, </w:t>
      </w:r>
      <w:r w:rsidR="00DC46E8">
        <w:rPr>
          <w:rFonts w:cs="Times New Roman"/>
          <w:lang w:val="en-US"/>
        </w:rPr>
        <w:t>whereas</w:t>
      </w:r>
      <w:r w:rsidR="001B7C42" w:rsidRPr="00847E8C">
        <w:rPr>
          <w:rFonts w:cs="Times New Roman"/>
          <w:lang w:val="en-US"/>
        </w:rPr>
        <w:t xml:space="preserve"> the rates of solicited local adverse reactions were lower in recipients of </w:t>
      </w:r>
      <w:r w:rsidR="00E76145">
        <w:rPr>
          <w:rFonts w:cs="Times New Roman"/>
          <w:lang w:val="en-US"/>
        </w:rPr>
        <w:t>INFLUVAC TETRA</w:t>
      </w:r>
      <w:r w:rsidR="001B7C42" w:rsidRPr="00847E8C">
        <w:rPr>
          <w:rFonts w:cs="Times New Roman"/>
          <w:lang w:val="en-US"/>
        </w:rPr>
        <w:t>.</w:t>
      </w:r>
    </w:p>
    <w:p w14:paraId="5B9EBC1C" w14:textId="77777777" w:rsidR="0015240E" w:rsidRPr="00847E8C" w:rsidRDefault="0015240E" w:rsidP="0015240E">
      <w:pPr>
        <w:rPr>
          <w:rFonts w:cs="Times New Roman"/>
          <w:lang w:val="en-GB"/>
        </w:rPr>
      </w:pPr>
    </w:p>
    <w:p w14:paraId="066D645D" w14:textId="73F3714D" w:rsidR="0015240E" w:rsidRPr="00847E8C" w:rsidRDefault="0015240E" w:rsidP="0015240E">
      <w:pPr>
        <w:rPr>
          <w:rFonts w:cs="Times New Roman"/>
          <w:lang w:val="en-GB"/>
        </w:rPr>
      </w:pPr>
      <w:r w:rsidRPr="00847E8C">
        <w:rPr>
          <w:rFonts w:cs="Times New Roman"/>
          <w:lang w:val="en-GB"/>
        </w:rPr>
        <w:t xml:space="preserve">The most frequently reported local adverse reaction after vaccination with </w:t>
      </w:r>
      <w:r w:rsidR="00E76145">
        <w:rPr>
          <w:rFonts w:cs="Times New Roman"/>
          <w:lang w:val="en-GB"/>
        </w:rPr>
        <w:t>INFLUVAC TETRA</w:t>
      </w:r>
      <w:r w:rsidRPr="00847E8C">
        <w:rPr>
          <w:rFonts w:cs="Times New Roman"/>
          <w:lang w:val="en-GB"/>
        </w:rPr>
        <w:t xml:space="preserve"> in all age groups was pain at injection site (16.3% in adults 18 years of age and older, 59.0% in children</w:t>
      </w:r>
      <w:r w:rsidR="0003549A" w:rsidRPr="00847E8C">
        <w:rPr>
          <w:rFonts w:cs="Times New Roman"/>
          <w:lang w:val="en-GB"/>
        </w:rPr>
        <w:t xml:space="preserve"> aged 3 to 17 years, and </w:t>
      </w:r>
      <w:r w:rsidR="002C106E" w:rsidRPr="00847E8C">
        <w:rPr>
          <w:rFonts w:cs="Times New Roman"/>
          <w:lang w:val="en-GB"/>
        </w:rPr>
        <w:t xml:space="preserve">22.6% in </w:t>
      </w:r>
      <w:r w:rsidR="0003549A" w:rsidRPr="00847E8C">
        <w:rPr>
          <w:rFonts w:cs="Times New Roman"/>
          <w:lang w:val="en-GB"/>
        </w:rPr>
        <w:t xml:space="preserve">children aged 6 </w:t>
      </w:r>
      <w:r w:rsidR="0070583E">
        <w:rPr>
          <w:rFonts w:cs="Times New Roman"/>
          <w:lang w:val="en-GB"/>
        </w:rPr>
        <w:t xml:space="preserve">to 35 </w:t>
      </w:r>
      <w:r w:rsidR="0003549A" w:rsidRPr="00847E8C">
        <w:rPr>
          <w:rFonts w:cs="Times New Roman"/>
          <w:lang w:val="en-GB"/>
        </w:rPr>
        <w:t>months</w:t>
      </w:r>
      <w:r w:rsidRPr="00847E8C">
        <w:rPr>
          <w:rFonts w:cs="Times New Roman"/>
          <w:lang w:val="en-GB"/>
        </w:rPr>
        <w:t>).</w:t>
      </w:r>
    </w:p>
    <w:p w14:paraId="5F1A9E3D" w14:textId="77777777" w:rsidR="0015240E" w:rsidRPr="00847E8C" w:rsidRDefault="0015240E" w:rsidP="0015240E">
      <w:pPr>
        <w:rPr>
          <w:rFonts w:cs="Times New Roman"/>
          <w:lang w:val="en-GB"/>
        </w:rPr>
      </w:pPr>
    </w:p>
    <w:p w14:paraId="2DAFE714" w14:textId="1B357C94" w:rsidR="0015240E" w:rsidRPr="00847E8C" w:rsidRDefault="0015240E" w:rsidP="0015240E">
      <w:pPr>
        <w:rPr>
          <w:rFonts w:cs="Times New Roman"/>
          <w:lang w:val="en-GB"/>
        </w:rPr>
      </w:pPr>
      <w:r w:rsidRPr="00847E8C">
        <w:rPr>
          <w:rFonts w:cs="Times New Roman"/>
          <w:lang w:val="en-GB"/>
        </w:rPr>
        <w:t xml:space="preserve">In adults 18 years of age and above, the most frequently reported general adverse reactions after vaccination were fatigue (11.2%) and headache (10.3%). </w:t>
      </w:r>
    </w:p>
    <w:p w14:paraId="6DF8FB40" w14:textId="77777777" w:rsidR="0015240E" w:rsidRPr="00847E8C" w:rsidRDefault="0015240E" w:rsidP="0015240E">
      <w:pPr>
        <w:rPr>
          <w:rFonts w:cs="Times New Roman"/>
          <w:lang w:val="en-GB"/>
        </w:rPr>
      </w:pPr>
    </w:p>
    <w:p w14:paraId="27B719FF" w14:textId="2A6A2347" w:rsidR="0015240E" w:rsidRPr="00847E8C" w:rsidRDefault="0015240E" w:rsidP="0015240E">
      <w:pPr>
        <w:rPr>
          <w:rFonts w:cs="Times New Roman"/>
          <w:lang w:val="en-GB"/>
        </w:rPr>
      </w:pPr>
      <w:r w:rsidRPr="00847E8C">
        <w:rPr>
          <w:rFonts w:cs="Times New Roman"/>
          <w:lang w:val="en-GB"/>
        </w:rPr>
        <w:t>In children aged 6 to 17 years, the most frequently reported general adverse reactions after vaccination were headache (24.0%) and fatigue (23.6%).</w:t>
      </w:r>
    </w:p>
    <w:p w14:paraId="44D82905" w14:textId="77777777" w:rsidR="00197F46" w:rsidRPr="00847E8C" w:rsidRDefault="00197F46" w:rsidP="0015240E">
      <w:pPr>
        <w:rPr>
          <w:rFonts w:cs="Times New Roman"/>
          <w:lang w:val="en-GB"/>
        </w:rPr>
      </w:pPr>
    </w:p>
    <w:p w14:paraId="1006F7AC" w14:textId="0E920F0D" w:rsidR="006A0214" w:rsidRPr="0001192A" w:rsidRDefault="0015240E" w:rsidP="0001192A">
      <w:pPr>
        <w:shd w:val="clear" w:color="auto" w:fill="FFFFFF"/>
        <w:rPr>
          <w:rFonts w:cs="Times New Roman"/>
          <w:lang w:val="en-GB"/>
        </w:rPr>
      </w:pPr>
      <w:r w:rsidRPr="00847E8C">
        <w:rPr>
          <w:rFonts w:cs="Times New Roman"/>
          <w:lang w:val="en-GB"/>
        </w:rPr>
        <w:t>In children aged</w:t>
      </w:r>
      <w:r w:rsidR="00076205" w:rsidRPr="00847E8C">
        <w:rPr>
          <w:rFonts w:cs="Times New Roman"/>
          <w:lang w:val="en-GB"/>
        </w:rPr>
        <w:t xml:space="preserve"> 6 </w:t>
      </w:r>
      <w:r w:rsidR="00DC46E8">
        <w:rPr>
          <w:rFonts w:cs="Times New Roman"/>
          <w:lang w:val="en-GB"/>
        </w:rPr>
        <w:t xml:space="preserve">to 35 </w:t>
      </w:r>
      <w:r w:rsidR="00076205" w:rsidRPr="00847E8C">
        <w:rPr>
          <w:rFonts w:cs="Times New Roman"/>
          <w:lang w:val="en-GB"/>
        </w:rPr>
        <w:t xml:space="preserve">months </w:t>
      </w:r>
      <w:r w:rsidR="002B2286" w:rsidRPr="00847E8C">
        <w:rPr>
          <w:rFonts w:cs="Times New Roman"/>
          <w:lang w:val="en-GB"/>
        </w:rPr>
        <w:t>and</w:t>
      </w:r>
      <w:r w:rsidRPr="00847E8C">
        <w:rPr>
          <w:rFonts w:cs="Times New Roman"/>
          <w:lang w:val="en-GB"/>
        </w:rPr>
        <w:t xml:space="preserve"> 3 to 5 years, the most frequently reported general adverse reaction after vaccination was irritability (</w:t>
      </w:r>
      <w:r w:rsidR="00B23C6B" w:rsidRPr="00847E8C">
        <w:rPr>
          <w:rFonts w:cs="Times New Roman"/>
          <w:lang w:val="en-GB"/>
        </w:rPr>
        <w:t>30.2</w:t>
      </w:r>
      <w:proofErr w:type="gramStart"/>
      <w:r w:rsidR="00B23C6B" w:rsidRPr="00847E8C">
        <w:rPr>
          <w:rFonts w:cs="Times New Roman"/>
          <w:lang w:val="en-GB"/>
        </w:rPr>
        <w:t>%  and</w:t>
      </w:r>
      <w:proofErr w:type="gramEnd"/>
      <w:r w:rsidR="00B23C6B" w:rsidRPr="00847E8C">
        <w:rPr>
          <w:rFonts w:cs="Times New Roman"/>
          <w:lang w:val="en-GB"/>
        </w:rPr>
        <w:t xml:space="preserve"> </w:t>
      </w:r>
      <w:r w:rsidRPr="00847E8C">
        <w:rPr>
          <w:rFonts w:cs="Times New Roman"/>
          <w:lang w:val="en-GB"/>
        </w:rPr>
        <w:t>21.0%</w:t>
      </w:r>
      <w:r w:rsidR="007A2EDD" w:rsidRPr="00847E8C">
        <w:rPr>
          <w:rFonts w:cs="Times New Roman"/>
          <w:lang w:val="en-GB"/>
        </w:rPr>
        <w:t xml:space="preserve"> respectively</w:t>
      </w:r>
      <w:r w:rsidRPr="00847E8C">
        <w:rPr>
          <w:rFonts w:cs="Times New Roman"/>
          <w:lang w:val="en-GB"/>
        </w:rPr>
        <w:t>).</w:t>
      </w:r>
    </w:p>
    <w:p w14:paraId="3455CC1D" w14:textId="77777777" w:rsidR="006A0214" w:rsidRDefault="006A0214" w:rsidP="0015240E">
      <w:pPr>
        <w:rPr>
          <w:lang w:val="en-GB"/>
        </w:rPr>
      </w:pPr>
    </w:p>
    <w:p w14:paraId="60CCD709" w14:textId="289EC43B" w:rsidR="0015240E" w:rsidRPr="0015240E" w:rsidRDefault="0015240E" w:rsidP="0015240E">
      <w:pPr>
        <w:pStyle w:val="ListParagraph"/>
        <w:numPr>
          <w:ilvl w:val="0"/>
          <w:numId w:val="21"/>
        </w:numPr>
        <w:rPr>
          <w:b/>
          <w:lang w:val="en-GB"/>
        </w:rPr>
      </w:pPr>
      <w:r w:rsidRPr="0015240E">
        <w:rPr>
          <w:b/>
          <w:lang w:val="en-GB"/>
        </w:rPr>
        <w:t>Tabulated list of adverse reactions</w:t>
      </w:r>
    </w:p>
    <w:p w14:paraId="71430E84" w14:textId="45651AF1" w:rsidR="00B1775A" w:rsidRDefault="00B1775A" w:rsidP="00F718EC"/>
    <w:p w14:paraId="20961B2B" w14:textId="00AFE15E" w:rsidR="0015240E" w:rsidRPr="0015240E" w:rsidRDefault="0015240E" w:rsidP="0024424C">
      <w:pPr>
        <w:widowControl w:val="0"/>
        <w:autoSpaceDE w:val="0"/>
        <w:autoSpaceDN w:val="0"/>
        <w:adjustRightInd w:val="0"/>
        <w:rPr>
          <w:rFonts w:eastAsia="SimSun" w:cs="Arial"/>
          <w:snapToGrid w:val="0"/>
          <w:color w:val="000000"/>
          <w:szCs w:val="24"/>
          <w:lang w:eastAsia="fr-FR"/>
        </w:rPr>
      </w:pPr>
      <w:r w:rsidRPr="0015240E">
        <w:rPr>
          <w:rFonts w:eastAsia="SimSun" w:cs="Arial"/>
          <w:b/>
          <w:bCs/>
          <w:snapToGrid w:val="0"/>
          <w:color w:val="000000"/>
          <w:szCs w:val="24"/>
          <w:lang w:eastAsia="fr-FR"/>
        </w:rPr>
        <w:t xml:space="preserve">Table 1: Percentage of Solicited Injection-Site Reactions and Systemic Adverse Events in Adults After Vaccination with </w:t>
      </w:r>
      <w:r w:rsidR="00E76145">
        <w:rPr>
          <w:rFonts w:eastAsia="SimSun" w:cs="Arial"/>
          <w:b/>
          <w:bCs/>
          <w:snapToGrid w:val="0"/>
          <w:color w:val="000000"/>
          <w:szCs w:val="24"/>
          <w:lang w:val="en-GB" w:eastAsia="fr-FR"/>
        </w:rPr>
        <w:t>INFLUVAC TETRA</w:t>
      </w:r>
      <w:r w:rsidRPr="0015240E">
        <w:rPr>
          <w:rFonts w:eastAsia="SimSun" w:cs="Arial"/>
          <w:b/>
          <w:bCs/>
          <w:snapToGrid w:val="0"/>
          <w:color w:val="000000"/>
          <w:szCs w:val="24"/>
          <w:lang w:val="en-GB" w:eastAsia="fr-FR"/>
        </w:rPr>
        <w:t xml:space="preserve"> </w:t>
      </w:r>
      <w:r w:rsidRPr="0015240E">
        <w:rPr>
          <w:rFonts w:eastAsia="SimSun" w:cs="Arial"/>
          <w:b/>
          <w:bCs/>
          <w:snapToGrid w:val="0"/>
          <w:color w:val="000000"/>
          <w:szCs w:val="24"/>
          <w:lang w:eastAsia="fr-FR"/>
        </w:rPr>
        <w:t>(Safety Analysis Set)</w:t>
      </w:r>
      <w:r w:rsidR="002B2286">
        <w:rPr>
          <w:rFonts w:eastAsia="SimSun" w:cs="Arial"/>
          <w:b/>
          <w:bCs/>
          <w:snapToGrid w:val="0"/>
          <w:color w:val="000000"/>
          <w:szCs w:val="24"/>
          <w:lang w:eastAsia="fr-FR"/>
        </w:rPr>
        <w:t xml:space="preserve"> </w:t>
      </w:r>
      <w:r w:rsidR="00C64296">
        <w:rPr>
          <w:rFonts w:eastAsia="SimSun" w:cs="Arial"/>
          <w:b/>
          <w:bCs/>
          <w:snapToGrid w:val="0"/>
          <w:color w:val="000000"/>
          <w:szCs w:val="24"/>
          <w:lang w:eastAsia="fr-FR"/>
        </w:rPr>
        <w:t>versus</w:t>
      </w:r>
      <w:r w:rsidR="002B2286">
        <w:rPr>
          <w:rFonts w:eastAsia="SimSun" w:cs="Arial"/>
          <w:b/>
          <w:bCs/>
          <w:snapToGrid w:val="0"/>
          <w:color w:val="000000"/>
          <w:szCs w:val="24"/>
          <w:lang w:eastAsia="fr-FR"/>
        </w:rPr>
        <w:t xml:space="preserve"> </w:t>
      </w:r>
      <w:r w:rsidR="004B10D9">
        <w:rPr>
          <w:rFonts w:eastAsia="SimSun" w:cs="Arial"/>
          <w:b/>
          <w:bCs/>
          <w:snapToGrid w:val="0"/>
          <w:color w:val="000000"/>
          <w:szCs w:val="24"/>
          <w:lang w:eastAsia="fr-FR"/>
        </w:rPr>
        <w:t>C</w:t>
      </w:r>
      <w:r w:rsidR="002B2286">
        <w:rPr>
          <w:rFonts w:eastAsia="SimSun" w:cs="Arial"/>
          <w:b/>
          <w:bCs/>
          <w:snapToGrid w:val="0"/>
          <w:color w:val="000000"/>
          <w:szCs w:val="24"/>
          <w:lang w:eastAsia="fr-FR"/>
        </w:rPr>
        <w:t>omparator</w:t>
      </w:r>
    </w:p>
    <w:p w14:paraId="399CFD9D" w14:textId="77777777" w:rsidR="0015240E" w:rsidRPr="001B4C08" w:rsidRDefault="0015240E" w:rsidP="0015240E">
      <w:pPr>
        <w:widowControl w:val="0"/>
        <w:autoSpaceDE w:val="0"/>
        <w:autoSpaceDN w:val="0"/>
        <w:adjustRightInd w:val="0"/>
        <w:ind w:left="720"/>
        <w:rPr>
          <w:rFonts w:eastAsia="SimSun" w:cs="Arial"/>
          <w:sz w:val="24"/>
          <w:szCs w:val="24"/>
          <w:lang w:val="en-GB" w:eastAsia="zh-CN"/>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8"/>
        <w:gridCol w:w="1640"/>
        <w:gridCol w:w="2468"/>
        <w:gridCol w:w="1794"/>
        <w:gridCol w:w="2314"/>
      </w:tblGrid>
      <w:tr w:rsidR="0015240E" w:rsidRPr="00E551F4" w14:paraId="23A57D45" w14:textId="77777777" w:rsidTr="0015240E">
        <w:trPr>
          <w:trHeight w:hRule="exact" w:val="848"/>
          <w:jc w:val="center"/>
        </w:trPr>
        <w:tc>
          <w:tcPr>
            <w:tcW w:w="1368" w:type="dxa"/>
          </w:tcPr>
          <w:p w14:paraId="42DC319E" w14:textId="77777777" w:rsidR="0015240E" w:rsidRPr="001B4C08" w:rsidRDefault="0015240E" w:rsidP="002C106E">
            <w:pPr>
              <w:autoSpaceDE w:val="0"/>
              <w:autoSpaceDN w:val="0"/>
              <w:adjustRightInd w:val="0"/>
              <w:rPr>
                <w:rFonts w:cs="Arial"/>
                <w:sz w:val="20"/>
              </w:rPr>
            </w:pPr>
          </w:p>
        </w:tc>
        <w:tc>
          <w:tcPr>
            <w:tcW w:w="4108" w:type="dxa"/>
            <w:gridSpan w:val="2"/>
            <w:tcBorders>
              <w:bottom w:val="nil"/>
            </w:tcBorders>
            <w:vAlign w:val="center"/>
          </w:tcPr>
          <w:p w14:paraId="146851D8" w14:textId="77777777" w:rsidR="0015240E" w:rsidRPr="001B4C08" w:rsidRDefault="0015240E" w:rsidP="002C106E">
            <w:pPr>
              <w:kinsoku w:val="0"/>
              <w:overflowPunct w:val="0"/>
              <w:autoSpaceDE w:val="0"/>
              <w:autoSpaceDN w:val="0"/>
              <w:adjustRightInd w:val="0"/>
              <w:spacing w:before="44"/>
              <w:ind w:left="552"/>
              <w:jc w:val="center"/>
              <w:rPr>
                <w:rFonts w:cs="Arial"/>
                <w:sz w:val="20"/>
              </w:rPr>
            </w:pPr>
            <w:r w:rsidRPr="001B4C08">
              <w:rPr>
                <w:rFonts w:cs="Arial"/>
                <w:b/>
                <w:bCs/>
                <w:sz w:val="20"/>
              </w:rPr>
              <w:t>Adults 18 years of age and older</w:t>
            </w:r>
            <w:r w:rsidRPr="001B4C08">
              <w:rPr>
                <w:rFonts w:cs="Arial"/>
                <w:b/>
                <w:bCs/>
                <w:sz w:val="20"/>
              </w:rPr>
              <w:br/>
              <w:t xml:space="preserve"> (Safety sample)</w:t>
            </w:r>
          </w:p>
        </w:tc>
        <w:tc>
          <w:tcPr>
            <w:tcW w:w="4108" w:type="dxa"/>
            <w:gridSpan w:val="2"/>
            <w:vAlign w:val="center"/>
          </w:tcPr>
          <w:p w14:paraId="01187DF9" w14:textId="77777777" w:rsidR="0015240E" w:rsidRPr="001B4C08" w:rsidRDefault="0015240E" w:rsidP="002C106E">
            <w:pPr>
              <w:kinsoku w:val="0"/>
              <w:overflowPunct w:val="0"/>
              <w:autoSpaceDE w:val="0"/>
              <w:autoSpaceDN w:val="0"/>
              <w:adjustRightInd w:val="0"/>
              <w:spacing w:before="44"/>
              <w:ind w:left="627"/>
              <w:jc w:val="center"/>
              <w:rPr>
                <w:rFonts w:cs="Arial"/>
                <w:sz w:val="20"/>
              </w:rPr>
            </w:pPr>
            <w:r w:rsidRPr="001B4C08">
              <w:rPr>
                <w:rFonts w:cs="Arial"/>
                <w:b/>
                <w:bCs/>
                <w:sz w:val="20"/>
              </w:rPr>
              <w:t>Adults 61</w:t>
            </w:r>
            <w:r>
              <w:rPr>
                <w:rFonts w:cs="Arial"/>
                <w:b/>
                <w:bCs/>
                <w:sz w:val="20"/>
              </w:rPr>
              <w:t xml:space="preserve"> </w:t>
            </w:r>
            <w:r w:rsidRPr="001B4C08">
              <w:rPr>
                <w:rFonts w:cs="Arial"/>
                <w:b/>
                <w:bCs/>
                <w:sz w:val="20"/>
              </w:rPr>
              <w:t xml:space="preserve">years of age and older </w:t>
            </w:r>
            <w:r w:rsidRPr="001B4C08">
              <w:rPr>
                <w:rFonts w:cs="Arial"/>
                <w:b/>
                <w:bCs/>
                <w:sz w:val="20"/>
              </w:rPr>
              <w:br/>
              <w:t>(Safety sample)</w:t>
            </w:r>
          </w:p>
        </w:tc>
      </w:tr>
      <w:tr w:rsidR="0015240E" w:rsidRPr="00E551F4" w14:paraId="45D16AAF" w14:textId="77777777" w:rsidTr="0015240E">
        <w:trPr>
          <w:trHeight w:hRule="exact" w:val="1902"/>
          <w:jc w:val="center"/>
        </w:trPr>
        <w:tc>
          <w:tcPr>
            <w:tcW w:w="1368" w:type="dxa"/>
          </w:tcPr>
          <w:p w14:paraId="1EC3824E" w14:textId="77777777" w:rsidR="0015240E" w:rsidRPr="008028B2" w:rsidRDefault="0015240E" w:rsidP="002C106E">
            <w:pPr>
              <w:autoSpaceDE w:val="0"/>
              <w:autoSpaceDN w:val="0"/>
              <w:adjustRightInd w:val="0"/>
              <w:rPr>
                <w:rFonts w:cs="Arial"/>
                <w:sz w:val="20"/>
              </w:rPr>
            </w:pPr>
          </w:p>
        </w:tc>
        <w:tc>
          <w:tcPr>
            <w:tcW w:w="1640" w:type="dxa"/>
          </w:tcPr>
          <w:p w14:paraId="4D6ABF31" w14:textId="7665753D" w:rsidR="0015240E" w:rsidRPr="00C840AF" w:rsidRDefault="00E76145" w:rsidP="002C106E">
            <w:pPr>
              <w:kinsoku w:val="0"/>
              <w:overflowPunct w:val="0"/>
              <w:autoSpaceDE w:val="0"/>
              <w:autoSpaceDN w:val="0"/>
              <w:adjustRightInd w:val="0"/>
              <w:spacing w:before="8" w:line="248" w:lineRule="exact"/>
              <w:ind w:left="280" w:hanging="161"/>
              <w:jc w:val="center"/>
              <w:rPr>
                <w:rFonts w:cs="Arial"/>
                <w:sz w:val="20"/>
                <w:lang w:val="de-DE"/>
              </w:rPr>
            </w:pPr>
            <w:r>
              <w:rPr>
                <w:rFonts w:cs="Arial"/>
                <w:b/>
                <w:bCs/>
                <w:sz w:val="20"/>
                <w:lang w:val="de-DE"/>
              </w:rPr>
              <w:t>INFLUVAC TETRA</w:t>
            </w:r>
            <w:r w:rsidR="0015240E" w:rsidRPr="00C840AF">
              <w:rPr>
                <w:rFonts w:cs="Arial"/>
                <w:b/>
                <w:bCs/>
                <w:sz w:val="20"/>
                <w:vertAlign w:val="superscript"/>
              </w:rPr>
              <w:t>c</w:t>
            </w:r>
            <w:r w:rsidR="0015240E" w:rsidRPr="00C840AF">
              <w:rPr>
                <w:rFonts w:cs="Arial"/>
                <w:b/>
                <w:bCs/>
                <w:sz w:val="20"/>
                <w:lang w:val="de-DE"/>
              </w:rPr>
              <w:br/>
              <w:t>N=768</w:t>
            </w:r>
          </w:p>
        </w:tc>
        <w:tc>
          <w:tcPr>
            <w:tcW w:w="2468" w:type="dxa"/>
          </w:tcPr>
          <w:p w14:paraId="13359C9F" w14:textId="77777777" w:rsidR="0015240E" w:rsidRPr="00C840AF" w:rsidRDefault="0015240E" w:rsidP="002C106E">
            <w:pPr>
              <w:kinsoku w:val="0"/>
              <w:overflowPunct w:val="0"/>
              <w:autoSpaceDE w:val="0"/>
              <w:autoSpaceDN w:val="0"/>
              <w:adjustRightInd w:val="0"/>
              <w:spacing w:before="6" w:line="248" w:lineRule="exact"/>
              <w:ind w:left="160"/>
              <w:jc w:val="center"/>
              <w:rPr>
                <w:rFonts w:cs="Arial"/>
                <w:sz w:val="20"/>
              </w:rPr>
            </w:pPr>
            <w:proofErr w:type="spellStart"/>
            <w:proofErr w:type="gramStart"/>
            <w:r w:rsidRPr="007462C0">
              <w:rPr>
                <w:rFonts w:cs="Arial"/>
                <w:b/>
                <w:bCs/>
                <w:sz w:val="20"/>
              </w:rPr>
              <w:t>TIV</w:t>
            </w:r>
            <w:r w:rsidRPr="007462C0">
              <w:rPr>
                <w:rFonts w:cs="Arial"/>
                <w:b/>
                <w:bCs/>
                <w:sz w:val="20"/>
                <w:vertAlign w:val="superscript"/>
              </w:rPr>
              <w:t>a,b</w:t>
            </w:r>
            <w:proofErr w:type="spellEnd"/>
            <w:proofErr w:type="gramEnd"/>
            <w:r w:rsidRPr="007462C0">
              <w:rPr>
                <w:rFonts w:cs="Arial"/>
                <w:b/>
                <w:bCs/>
                <w:sz w:val="20"/>
                <w:vertAlign w:val="superscript"/>
              </w:rPr>
              <w:t xml:space="preserve"> </w:t>
            </w:r>
            <w:r w:rsidRPr="00E551F4">
              <w:rPr>
                <w:rFonts w:cs="Arial"/>
                <w:b/>
                <w:bCs/>
                <w:sz w:val="20"/>
              </w:rPr>
              <w:t>N=222</w:t>
            </w:r>
            <w:r w:rsidRPr="00E551F4">
              <w:rPr>
                <w:rFonts w:cs="Arial"/>
                <w:b/>
                <w:bCs/>
                <w:sz w:val="20"/>
              </w:rPr>
              <w:br/>
            </w:r>
            <w:r w:rsidRPr="00E551F4">
              <w:rPr>
                <w:rFonts w:cs="Arial"/>
                <w:b/>
                <w:bCs/>
                <w:sz w:val="20"/>
              </w:rPr>
              <w:br/>
              <w:t>(Pooled data:</w:t>
            </w:r>
            <w:r w:rsidRPr="00E551F4">
              <w:rPr>
                <w:rFonts w:cs="Arial"/>
                <w:b/>
                <w:bCs/>
                <w:sz w:val="20"/>
              </w:rPr>
              <w:br/>
              <w:t>TIV-1: B Victoria N=110</w:t>
            </w:r>
            <w:r w:rsidRPr="00C840AF">
              <w:rPr>
                <w:rFonts w:cs="Arial"/>
                <w:b/>
                <w:bCs/>
                <w:sz w:val="20"/>
              </w:rPr>
              <w:t>,</w:t>
            </w:r>
            <w:r w:rsidRPr="00C840AF">
              <w:rPr>
                <w:rFonts w:cs="Arial"/>
                <w:b/>
                <w:bCs/>
                <w:sz w:val="20"/>
              </w:rPr>
              <w:br/>
              <w:t>T</w:t>
            </w:r>
            <w:r w:rsidRPr="007462C0">
              <w:rPr>
                <w:rFonts w:cs="Arial"/>
                <w:b/>
                <w:bCs/>
                <w:sz w:val="20"/>
              </w:rPr>
              <w:t xml:space="preserve">IV-2: B Yamagata </w:t>
            </w:r>
            <w:r w:rsidRPr="00E551F4">
              <w:rPr>
                <w:rFonts w:cs="Arial"/>
                <w:b/>
                <w:bCs/>
                <w:sz w:val="20"/>
              </w:rPr>
              <w:t>N=112</w:t>
            </w:r>
            <w:r w:rsidRPr="00C840AF">
              <w:rPr>
                <w:rFonts w:cs="Arial"/>
                <w:b/>
                <w:bCs/>
                <w:sz w:val="20"/>
              </w:rPr>
              <w:t>)</w:t>
            </w:r>
          </w:p>
        </w:tc>
        <w:tc>
          <w:tcPr>
            <w:tcW w:w="1794" w:type="dxa"/>
          </w:tcPr>
          <w:p w14:paraId="0AC64B71" w14:textId="2D4F97CE" w:rsidR="0015240E" w:rsidRPr="00C840AF" w:rsidRDefault="00E76145" w:rsidP="002C106E">
            <w:pPr>
              <w:kinsoku w:val="0"/>
              <w:overflowPunct w:val="0"/>
              <w:autoSpaceDE w:val="0"/>
              <w:autoSpaceDN w:val="0"/>
              <w:adjustRightInd w:val="0"/>
              <w:spacing w:before="8" w:line="248" w:lineRule="exact"/>
              <w:ind w:left="322" w:hanging="161"/>
              <w:jc w:val="center"/>
              <w:rPr>
                <w:rFonts w:cs="Arial"/>
                <w:sz w:val="20"/>
                <w:lang w:val="de-DE"/>
              </w:rPr>
            </w:pPr>
            <w:r>
              <w:rPr>
                <w:rFonts w:cs="Arial"/>
                <w:b/>
                <w:bCs/>
                <w:sz w:val="20"/>
                <w:lang w:val="de-DE"/>
              </w:rPr>
              <w:t>INFLUVAC TETRA</w:t>
            </w:r>
            <w:r w:rsidR="0015240E" w:rsidRPr="00E551F4">
              <w:rPr>
                <w:rFonts w:cs="Arial"/>
                <w:b/>
                <w:bCs/>
                <w:sz w:val="20"/>
                <w:vertAlign w:val="superscript"/>
                <w:lang w:val="de-DE"/>
              </w:rPr>
              <w:t>c</w:t>
            </w:r>
            <w:r w:rsidR="0015240E" w:rsidRPr="00E551F4">
              <w:rPr>
                <w:rFonts w:cs="Arial"/>
                <w:b/>
                <w:bCs/>
                <w:sz w:val="20"/>
                <w:lang w:val="de-DE"/>
              </w:rPr>
              <w:br/>
              <w:t>N=767</w:t>
            </w:r>
          </w:p>
        </w:tc>
        <w:tc>
          <w:tcPr>
            <w:tcW w:w="2314" w:type="dxa"/>
          </w:tcPr>
          <w:p w14:paraId="7448F30F" w14:textId="77777777" w:rsidR="0015240E" w:rsidRPr="00E551F4" w:rsidRDefault="0015240E" w:rsidP="002C106E">
            <w:pPr>
              <w:kinsoku w:val="0"/>
              <w:overflowPunct w:val="0"/>
              <w:autoSpaceDE w:val="0"/>
              <w:autoSpaceDN w:val="0"/>
              <w:adjustRightInd w:val="0"/>
              <w:spacing w:before="6" w:line="248" w:lineRule="exact"/>
              <w:ind w:left="160"/>
              <w:jc w:val="center"/>
              <w:rPr>
                <w:rFonts w:cs="Arial"/>
                <w:b/>
                <w:bCs/>
                <w:sz w:val="20"/>
              </w:rPr>
            </w:pPr>
            <w:proofErr w:type="spellStart"/>
            <w:proofErr w:type="gramStart"/>
            <w:r w:rsidRPr="007462C0">
              <w:rPr>
                <w:rFonts w:cs="Arial"/>
                <w:b/>
                <w:bCs/>
                <w:sz w:val="20"/>
              </w:rPr>
              <w:t>TIV</w:t>
            </w:r>
            <w:r w:rsidRPr="007462C0">
              <w:rPr>
                <w:rFonts w:cs="Arial"/>
                <w:b/>
                <w:bCs/>
                <w:sz w:val="20"/>
                <w:vertAlign w:val="superscript"/>
              </w:rPr>
              <w:t>a,b</w:t>
            </w:r>
            <w:proofErr w:type="spellEnd"/>
            <w:proofErr w:type="gramEnd"/>
            <w:r w:rsidRPr="00E551F4">
              <w:rPr>
                <w:rFonts w:cs="Arial"/>
                <w:b/>
                <w:bCs/>
                <w:sz w:val="20"/>
              </w:rPr>
              <w:t xml:space="preserve"> N=219</w:t>
            </w:r>
            <w:r w:rsidRPr="00E551F4">
              <w:rPr>
                <w:rFonts w:cs="Arial"/>
                <w:b/>
                <w:bCs/>
                <w:sz w:val="20"/>
              </w:rPr>
              <w:br/>
            </w:r>
          </w:p>
          <w:p w14:paraId="2DA16B74" w14:textId="77777777" w:rsidR="0015240E" w:rsidRPr="00E551F4" w:rsidRDefault="0015240E" w:rsidP="002C106E">
            <w:pPr>
              <w:kinsoku w:val="0"/>
              <w:overflowPunct w:val="0"/>
              <w:autoSpaceDE w:val="0"/>
              <w:autoSpaceDN w:val="0"/>
              <w:adjustRightInd w:val="0"/>
              <w:spacing w:before="6" w:line="248" w:lineRule="exact"/>
              <w:ind w:left="160"/>
              <w:jc w:val="center"/>
              <w:rPr>
                <w:rFonts w:cs="Arial"/>
                <w:b/>
                <w:bCs/>
                <w:sz w:val="20"/>
              </w:rPr>
            </w:pPr>
            <w:r w:rsidRPr="00E551F4">
              <w:rPr>
                <w:rFonts w:cs="Arial"/>
                <w:b/>
                <w:bCs/>
                <w:sz w:val="20"/>
              </w:rPr>
              <w:t>(Pooled data:</w:t>
            </w:r>
          </w:p>
          <w:p w14:paraId="24A41549" w14:textId="77777777" w:rsidR="0015240E" w:rsidRPr="00C840AF" w:rsidRDefault="0015240E" w:rsidP="002C106E">
            <w:pPr>
              <w:kinsoku w:val="0"/>
              <w:overflowPunct w:val="0"/>
              <w:autoSpaceDE w:val="0"/>
              <w:autoSpaceDN w:val="0"/>
              <w:adjustRightInd w:val="0"/>
              <w:spacing w:before="6" w:line="248" w:lineRule="exact"/>
              <w:ind w:left="160"/>
              <w:jc w:val="center"/>
              <w:rPr>
                <w:rFonts w:cs="Arial"/>
                <w:sz w:val="20"/>
              </w:rPr>
            </w:pPr>
            <w:r w:rsidRPr="00E551F4">
              <w:rPr>
                <w:rFonts w:cs="Arial"/>
                <w:b/>
                <w:bCs/>
                <w:sz w:val="20"/>
              </w:rPr>
              <w:t>TIV-1: B Victoria N=111</w:t>
            </w:r>
            <w:r w:rsidRPr="00C840AF">
              <w:rPr>
                <w:rFonts w:cs="Arial"/>
                <w:b/>
                <w:bCs/>
                <w:sz w:val="20"/>
              </w:rPr>
              <w:t>,</w:t>
            </w:r>
            <w:r w:rsidRPr="00C840AF">
              <w:rPr>
                <w:rFonts w:cs="Arial"/>
                <w:b/>
                <w:bCs/>
                <w:sz w:val="20"/>
              </w:rPr>
              <w:br/>
              <w:t xml:space="preserve">TIV-2: B Yamagata </w:t>
            </w:r>
            <w:r w:rsidRPr="00E551F4">
              <w:rPr>
                <w:rFonts w:cs="Arial"/>
                <w:b/>
                <w:bCs/>
                <w:sz w:val="20"/>
              </w:rPr>
              <w:t>N=108</w:t>
            </w:r>
            <w:r w:rsidRPr="00C840AF">
              <w:rPr>
                <w:rFonts w:cs="Arial"/>
                <w:b/>
                <w:bCs/>
                <w:sz w:val="20"/>
              </w:rPr>
              <w:t>)</w:t>
            </w:r>
          </w:p>
        </w:tc>
      </w:tr>
      <w:tr w:rsidR="0015240E" w:rsidRPr="00E551F4" w14:paraId="48AF0B18" w14:textId="77777777" w:rsidTr="0015240E">
        <w:trPr>
          <w:trHeight w:hRule="exact" w:val="346"/>
          <w:jc w:val="center"/>
        </w:trPr>
        <w:tc>
          <w:tcPr>
            <w:tcW w:w="9584" w:type="dxa"/>
            <w:gridSpan w:val="5"/>
            <w:vAlign w:val="center"/>
          </w:tcPr>
          <w:p w14:paraId="0DF69B43" w14:textId="77777777" w:rsidR="0015240E" w:rsidRPr="008028B2" w:rsidRDefault="0015240E" w:rsidP="002C106E">
            <w:pPr>
              <w:kinsoku w:val="0"/>
              <w:overflowPunct w:val="0"/>
              <w:autoSpaceDE w:val="0"/>
              <w:autoSpaceDN w:val="0"/>
              <w:adjustRightInd w:val="0"/>
              <w:spacing w:before="37"/>
              <w:ind w:left="100"/>
              <w:rPr>
                <w:rFonts w:cs="Arial"/>
                <w:sz w:val="20"/>
                <w:lang w:val="de-DE"/>
              </w:rPr>
            </w:pPr>
            <w:r w:rsidRPr="008028B2">
              <w:rPr>
                <w:rFonts w:cs="Arial"/>
                <w:b/>
                <w:bCs/>
                <w:sz w:val="20"/>
                <w:lang w:val="de-DE"/>
              </w:rPr>
              <w:t>Injection-site reactions</w:t>
            </w:r>
          </w:p>
        </w:tc>
      </w:tr>
      <w:tr w:rsidR="0015240E" w:rsidRPr="00E551F4" w14:paraId="2BA57583" w14:textId="77777777" w:rsidTr="0015240E">
        <w:trPr>
          <w:trHeight w:hRule="exact" w:val="343"/>
          <w:jc w:val="center"/>
        </w:trPr>
        <w:tc>
          <w:tcPr>
            <w:tcW w:w="1368" w:type="dxa"/>
          </w:tcPr>
          <w:p w14:paraId="7E496292" w14:textId="77777777" w:rsidR="0015240E" w:rsidRPr="008028B2" w:rsidRDefault="0015240E" w:rsidP="002C106E">
            <w:pPr>
              <w:kinsoku w:val="0"/>
              <w:overflowPunct w:val="0"/>
              <w:autoSpaceDE w:val="0"/>
              <w:autoSpaceDN w:val="0"/>
              <w:adjustRightInd w:val="0"/>
              <w:spacing w:before="32"/>
              <w:ind w:left="103"/>
              <w:rPr>
                <w:rFonts w:cs="Arial"/>
                <w:sz w:val="20"/>
                <w:lang w:val="de-DE"/>
              </w:rPr>
            </w:pPr>
            <w:r w:rsidRPr="008028B2">
              <w:rPr>
                <w:rFonts w:cs="Arial"/>
                <w:sz w:val="20"/>
                <w:lang w:val="de-DE"/>
              </w:rPr>
              <w:t>Pain</w:t>
            </w:r>
          </w:p>
        </w:tc>
        <w:tc>
          <w:tcPr>
            <w:tcW w:w="1640" w:type="dxa"/>
            <w:vAlign w:val="center"/>
          </w:tcPr>
          <w:p w14:paraId="6057667C" w14:textId="77777777" w:rsidR="0015240E" w:rsidRPr="008028B2" w:rsidRDefault="0015240E" w:rsidP="002C106E">
            <w:pPr>
              <w:kinsoku w:val="0"/>
              <w:overflowPunct w:val="0"/>
              <w:autoSpaceDE w:val="0"/>
              <w:autoSpaceDN w:val="0"/>
              <w:adjustRightInd w:val="0"/>
              <w:spacing w:before="32"/>
              <w:ind w:left="84"/>
              <w:jc w:val="center"/>
              <w:rPr>
                <w:rFonts w:cs="Arial"/>
                <w:sz w:val="20"/>
                <w:lang w:val="de-DE"/>
              </w:rPr>
            </w:pPr>
            <w:r w:rsidRPr="008028B2">
              <w:rPr>
                <w:rFonts w:cs="Arial"/>
                <w:sz w:val="20"/>
                <w:lang w:val="de-DE"/>
              </w:rPr>
              <w:t>24.9%</w:t>
            </w:r>
          </w:p>
        </w:tc>
        <w:tc>
          <w:tcPr>
            <w:tcW w:w="2468" w:type="dxa"/>
            <w:vAlign w:val="center"/>
          </w:tcPr>
          <w:p w14:paraId="14038F2C" w14:textId="77777777" w:rsidR="0015240E" w:rsidRPr="008028B2" w:rsidRDefault="0015240E" w:rsidP="002C106E">
            <w:pPr>
              <w:kinsoku w:val="0"/>
              <w:overflowPunct w:val="0"/>
              <w:autoSpaceDE w:val="0"/>
              <w:autoSpaceDN w:val="0"/>
              <w:adjustRightInd w:val="0"/>
              <w:spacing w:before="32"/>
              <w:ind w:left="16"/>
              <w:jc w:val="center"/>
              <w:rPr>
                <w:rFonts w:cs="Arial"/>
                <w:sz w:val="20"/>
                <w:lang w:val="de-DE"/>
              </w:rPr>
            </w:pPr>
            <w:r w:rsidRPr="008028B2">
              <w:rPr>
                <w:rFonts w:cs="Arial"/>
                <w:sz w:val="20"/>
                <w:lang w:val="de-DE"/>
              </w:rPr>
              <w:t>18.5%</w:t>
            </w:r>
          </w:p>
        </w:tc>
        <w:tc>
          <w:tcPr>
            <w:tcW w:w="1794" w:type="dxa"/>
            <w:vAlign w:val="center"/>
          </w:tcPr>
          <w:p w14:paraId="67984294" w14:textId="77777777" w:rsidR="0015240E" w:rsidRPr="008028B2" w:rsidRDefault="0015240E" w:rsidP="002C106E">
            <w:pPr>
              <w:kinsoku w:val="0"/>
              <w:overflowPunct w:val="0"/>
              <w:autoSpaceDE w:val="0"/>
              <w:autoSpaceDN w:val="0"/>
              <w:adjustRightInd w:val="0"/>
              <w:spacing w:before="32"/>
              <w:ind w:left="78"/>
              <w:jc w:val="center"/>
              <w:rPr>
                <w:rFonts w:cs="Arial"/>
                <w:sz w:val="20"/>
                <w:lang w:val="de-DE"/>
              </w:rPr>
            </w:pPr>
            <w:r w:rsidRPr="008028B2">
              <w:rPr>
                <w:rFonts w:cs="Arial"/>
                <w:sz w:val="20"/>
                <w:lang w:val="de-DE"/>
              </w:rPr>
              <w:t>7.6%</w:t>
            </w:r>
          </w:p>
        </w:tc>
        <w:tc>
          <w:tcPr>
            <w:tcW w:w="2314" w:type="dxa"/>
            <w:vAlign w:val="center"/>
          </w:tcPr>
          <w:p w14:paraId="573F1F6D" w14:textId="77777777" w:rsidR="0015240E" w:rsidRPr="008028B2" w:rsidRDefault="0015240E" w:rsidP="002C106E">
            <w:pPr>
              <w:kinsoku w:val="0"/>
              <w:overflowPunct w:val="0"/>
              <w:autoSpaceDE w:val="0"/>
              <w:autoSpaceDN w:val="0"/>
              <w:adjustRightInd w:val="0"/>
              <w:spacing w:before="32"/>
              <w:ind w:left="-4" w:firstLine="4"/>
              <w:jc w:val="center"/>
              <w:rPr>
                <w:rFonts w:cs="Arial"/>
                <w:sz w:val="20"/>
                <w:lang w:val="de-DE"/>
              </w:rPr>
            </w:pPr>
            <w:r w:rsidRPr="008028B2">
              <w:rPr>
                <w:rFonts w:cs="Arial"/>
                <w:sz w:val="20"/>
                <w:lang w:val="de-DE"/>
              </w:rPr>
              <w:t>5.9%</w:t>
            </w:r>
          </w:p>
        </w:tc>
      </w:tr>
      <w:tr w:rsidR="0015240E" w:rsidRPr="00E551F4" w14:paraId="34BF6568" w14:textId="77777777" w:rsidTr="0015240E">
        <w:trPr>
          <w:trHeight w:hRule="exact" w:val="348"/>
          <w:jc w:val="center"/>
        </w:trPr>
        <w:tc>
          <w:tcPr>
            <w:tcW w:w="1368" w:type="dxa"/>
          </w:tcPr>
          <w:p w14:paraId="0599DF10"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Redness</w:t>
            </w:r>
          </w:p>
        </w:tc>
        <w:tc>
          <w:tcPr>
            <w:tcW w:w="1640" w:type="dxa"/>
            <w:vAlign w:val="center"/>
          </w:tcPr>
          <w:p w14:paraId="7B0F0C53"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lang w:val="de-DE"/>
              </w:rPr>
              <w:t>2.6%</w:t>
            </w:r>
          </w:p>
        </w:tc>
        <w:tc>
          <w:tcPr>
            <w:tcW w:w="2468" w:type="dxa"/>
            <w:vAlign w:val="center"/>
          </w:tcPr>
          <w:p w14:paraId="0B58D01B"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lang w:val="de-DE"/>
              </w:rPr>
              <w:t>4.1%</w:t>
            </w:r>
          </w:p>
        </w:tc>
        <w:tc>
          <w:tcPr>
            <w:tcW w:w="1794" w:type="dxa"/>
            <w:vAlign w:val="center"/>
          </w:tcPr>
          <w:p w14:paraId="69344A56"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lang w:val="de-DE"/>
              </w:rPr>
              <w:t>3.5%</w:t>
            </w:r>
          </w:p>
        </w:tc>
        <w:tc>
          <w:tcPr>
            <w:tcW w:w="2314" w:type="dxa"/>
            <w:vAlign w:val="center"/>
          </w:tcPr>
          <w:p w14:paraId="1614BDBB" w14:textId="77777777" w:rsidR="0015240E" w:rsidRPr="008028B2" w:rsidRDefault="0015240E" w:rsidP="002C106E">
            <w:pPr>
              <w:kinsoku w:val="0"/>
              <w:overflowPunct w:val="0"/>
              <w:autoSpaceDE w:val="0"/>
              <w:autoSpaceDN w:val="0"/>
              <w:adjustRightInd w:val="0"/>
              <w:spacing w:before="34"/>
              <w:ind w:left="-4" w:firstLine="4"/>
              <w:jc w:val="center"/>
              <w:rPr>
                <w:rFonts w:cs="Arial"/>
                <w:sz w:val="20"/>
                <w:lang w:val="de-DE"/>
              </w:rPr>
            </w:pPr>
            <w:r w:rsidRPr="008028B2">
              <w:rPr>
                <w:rFonts w:cs="Arial"/>
                <w:sz w:val="20"/>
                <w:lang w:val="de-DE"/>
              </w:rPr>
              <w:t>0.9%</w:t>
            </w:r>
          </w:p>
        </w:tc>
      </w:tr>
      <w:tr w:rsidR="0015240E" w:rsidRPr="00E551F4" w14:paraId="5A46DA8C" w14:textId="77777777" w:rsidTr="0015240E">
        <w:trPr>
          <w:trHeight w:hRule="exact" w:val="348"/>
          <w:jc w:val="center"/>
        </w:trPr>
        <w:tc>
          <w:tcPr>
            <w:tcW w:w="1368" w:type="dxa"/>
          </w:tcPr>
          <w:p w14:paraId="2DA222A5"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Swelling</w:t>
            </w:r>
          </w:p>
        </w:tc>
        <w:tc>
          <w:tcPr>
            <w:tcW w:w="1640" w:type="dxa"/>
            <w:vAlign w:val="center"/>
          </w:tcPr>
          <w:p w14:paraId="4017E1F1"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lang w:val="de-DE"/>
              </w:rPr>
              <w:t>5.2%</w:t>
            </w:r>
          </w:p>
        </w:tc>
        <w:tc>
          <w:tcPr>
            <w:tcW w:w="2468" w:type="dxa"/>
            <w:vAlign w:val="center"/>
          </w:tcPr>
          <w:p w14:paraId="6F43B7C2"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lang w:val="de-DE"/>
              </w:rPr>
              <w:t>6.3%</w:t>
            </w:r>
          </w:p>
        </w:tc>
        <w:tc>
          <w:tcPr>
            <w:tcW w:w="1794" w:type="dxa"/>
            <w:vAlign w:val="center"/>
          </w:tcPr>
          <w:p w14:paraId="13ED8C2F"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lang w:val="de-DE"/>
              </w:rPr>
              <w:t>4.8%</w:t>
            </w:r>
          </w:p>
        </w:tc>
        <w:tc>
          <w:tcPr>
            <w:tcW w:w="2314" w:type="dxa"/>
            <w:vAlign w:val="center"/>
          </w:tcPr>
          <w:p w14:paraId="1B27A08C" w14:textId="77777777" w:rsidR="0015240E" w:rsidRPr="008028B2" w:rsidRDefault="0015240E" w:rsidP="002C106E">
            <w:pPr>
              <w:kinsoku w:val="0"/>
              <w:overflowPunct w:val="0"/>
              <w:autoSpaceDE w:val="0"/>
              <w:autoSpaceDN w:val="0"/>
              <w:adjustRightInd w:val="0"/>
              <w:spacing w:before="34"/>
              <w:ind w:left="-4" w:firstLine="4"/>
              <w:jc w:val="center"/>
              <w:rPr>
                <w:rFonts w:cs="Arial"/>
                <w:sz w:val="20"/>
                <w:lang w:val="de-DE"/>
              </w:rPr>
            </w:pPr>
            <w:r w:rsidRPr="008028B2">
              <w:rPr>
                <w:rFonts w:cs="Arial"/>
                <w:sz w:val="20"/>
                <w:lang w:val="de-DE"/>
              </w:rPr>
              <w:t>3.2%</w:t>
            </w:r>
          </w:p>
        </w:tc>
      </w:tr>
      <w:tr w:rsidR="0015240E" w:rsidRPr="00E551F4" w14:paraId="1D4767D3" w14:textId="77777777" w:rsidTr="0015240E">
        <w:trPr>
          <w:trHeight w:hRule="exact" w:val="348"/>
          <w:jc w:val="center"/>
        </w:trPr>
        <w:tc>
          <w:tcPr>
            <w:tcW w:w="1368" w:type="dxa"/>
          </w:tcPr>
          <w:p w14:paraId="6B3B15D5"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Ecchymosis</w:t>
            </w:r>
          </w:p>
        </w:tc>
        <w:tc>
          <w:tcPr>
            <w:tcW w:w="1640" w:type="dxa"/>
            <w:vAlign w:val="center"/>
          </w:tcPr>
          <w:p w14:paraId="54C17893" w14:textId="77777777" w:rsidR="0015240E" w:rsidRPr="008028B2" w:rsidRDefault="0015240E" w:rsidP="002C106E">
            <w:pPr>
              <w:kinsoku w:val="0"/>
              <w:overflowPunct w:val="0"/>
              <w:autoSpaceDE w:val="0"/>
              <w:autoSpaceDN w:val="0"/>
              <w:adjustRightInd w:val="0"/>
              <w:spacing w:before="35"/>
              <w:ind w:left="84"/>
              <w:jc w:val="center"/>
              <w:rPr>
                <w:rFonts w:cs="Arial"/>
                <w:sz w:val="20"/>
                <w:lang w:val="de-DE"/>
              </w:rPr>
            </w:pPr>
            <w:r w:rsidRPr="008028B2">
              <w:rPr>
                <w:rFonts w:cs="Arial"/>
                <w:sz w:val="20"/>
                <w:lang w:val="de-DE"/>
              </w:rPr>
              <w:t>2.7%</w:t>
            </w:r>
          </w:p>
        </w:tc>
        <w:tc>
          <w:tcPr>
            <w:tcW w:w="2468" w:type="dxa"/>
            <w:vAlign w:val="center"/>
          </w:tcPr>
          <w:p w14:paraId="1D3B8455" w14:textId="77777777" w:rsidR="0015240E" w:rsidRPr="008028B2" w:rsidRDefault="0015240E" w:rsidP="002C106E">
            <w:pPr>
              <w:kinsoku w:val="0"/>
              <w:overflowPunct w:val="0"/>
              <w:autoSpaceDE w:val="0"/>
              <w:autoSpaceDN w:val="0"/>
              <w:adjustRightInd w:val="0"/>
              <w:spacing w:before="35"/>
              <w:ind w:left="16"/>
              <w:jc w:val="center"/>
              <w:rPr>
                <w:rFonts w:cs="Arial"/>
                <w:sz w:val="20"/>
                <w:lang w:val="de-DE"/>
              </w:rPr>
            </w:pPr>
            <w:r w:rsidRPr="008028B2">
              <w:rPr>
                <w:rFonts w:cs="Arial"/>
                <w:sz w:val="20"/>
                <w:lang w:val="de-DE"/>
              </w:rPr>
              <w:t>3.2%</w:t>
            </w:r>
          </w:p>
        </w:tc>
        <w:tc>
          <w:tcPr>
            <w:tcW w:w="1794" w:type="dxa"/>
            <w:vAlign w:val="center"/>
          </w:tcPr>
          <w:p w14:paraId="0F507E0F" w14:textId="77777777" w:rsidR="0015240E" w:rsidRPr="008028B2" w:rsidRDefault="0015240E" w:rsidP="002C106E">
            <w:pPr>
              <w:kinsoku w:val="0"/>
              <w:overflowPunct w:val="0"/>
              <w:autoSpaceDE w:val="0"/>
              <w:autoSpaceDN w:val="0"/>
              <w:adjustRightInd w:val="0"/>
              <w:spacing w:before="35"/>
              <w:ind w:left="78"/>
              <w:jc w:val="center"/>
              <w:rPr>
                <w:rFonts w:cs="Arial"/>
                <w:sz w:val="20"/>
                <w:lang w:val="de-DE"/>
              </w:rPr>
            </w:pPr>
            <w:r w:rsidRPr="008028B2">
              <w:rPr>
                <w:rFonts w:cs="Arial"/>
                <w:sz w:val="20"/>
                <w:lang w:val="de-DE"/>
              </w:rPr>
              <w:t>2.8%</w:t>
            </w:r>
          </w:p>
        </w:tc>
        <w:tc>
          <w:tcPr>
            <w:tcW w:w="2314" w:type="dxa"/>
            <w:vAlign w:val="center"/>
          </w:tcPr>
          <w:p w14:paraId="1E00BC60" w14:textId="77777777" w:rsidR="0015240E" w:rsidRPr="008028B2" w:rsidRDefault="0015240E" w:rsidP="002C106E">
            <w:pPr>
              <w:kinsoku w:val="0"/>
              <w:overflowPunct w:val="0"/>
              <w:autoSpaceDE w:val="0"/>
              <w:autoSpaceDN w:val="0"/>
              <w:adjustRightInd w:val="0"/>
              <w:spacing w:before="34"/>
              <w:ind w:left="-4" w:firstLine="4"/>
              <w:jc w:val="center"/>
              <w:rPr>
                <w:rFonts w:cs="Arial"/>
                <w:sz w:val="20"/>
                <w:lang w:val="de-DE"/>
              </w:rPr>
            </w:pPr>
            <w:r w:rsidRPr="008028B2">
              <w:rPr>
                <w:rFonts w:cs="Arial"/>
                <w:sz w:val="20"/>
                <w:lang w:val="de-DE"/>
              </w:rPr>
              <w:t>1.8%</w:t>
            </w:r>
          </w:p>
        </w:tc>
      </w:tr>
      <w:tr w:rsidR="0015240E" w:rsidRPr="00E551F4" w14:paraId="71618E4F" w14:textId="77777777" w:rsidTr="0015240E">
        <w:trPr>
          <w:trHeight w:hRule="exact" w:val="348"/>
          <w:jc w:val="center"/>
        </w:trPr>
        <w:tc>
          <w:tcPr>
            <w:tcW w:w="1368" w:type="dxa"/>
          </w:tcPr>
          <w:p w14:paraId="5766BEED"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Induration</w:t>
            </w:r>
          </w:p>
        </w:tc>
        <w:tc>
          <w:tcPr>
            <w:tcW w:w="1640" w:type="dxa"/>
            <w:vAlign w:val="center"/>
          </w:tcPr>
          <w:p w14:paraId="1BB7698F"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lang w:val="de-DE"/>
              </w:rPr>
              <w:t>5.0%</w:t>
            </w:r>
          </w:p>
        </w:tc>
        <w:tc>
          <w:tcPr>
            <w:tcW w:w="2468" w:type="dxa"/>
            <w:vAlign w:val="center"/>
          </w:tcPr>
          <w:p w14:paraId="66595628"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lang w:val="de-DE"/>
              </w:rPr>
              <w:t>6.8%</w:t>
            </w:r>
          </w:p>
        </w:tc>
        <w:tc>
          <w:tcPr>
            <w:tcW w:w="1794" w:type="dxa"/>
            <w:vAlign w:val="center"/>
          </w:tcPr>
          <w:p w14:paraId="0C4B3A1D"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lang w:val="de-DE"/>
              </w:rPr>
              <w:t>3.9%</w:t>
            </w:r>
          </w:p>
        </w:tc>
        <w:tc>
          <w:tcPr>
            <w:tcW w:w="2314" w:type="dxa"/>
            <w:vAlign w:val="center"/>
          </w:tcPr>
          <w:p w14:paraId="3D012E7F" w14:textId="77777777" w:rsidR="0015240E" w:rsidRPr="008028B2" w:rsidRDefault="0015240E" w:rsidP="002C106E">
            <w:pPr>
              <w:kinsoku w:val="0"/>
              <w:overflowPunct w:val="0"/>
              <w:autoSpaceDE w:val="0"/>
              <w:autoSpaceDN w:val="0"/>
              <w:adjustRightInd w:val="0"/>
              <w:spacing w:before="34"/>
              <w:ind w:left="-4" w:firstLine="4"/>
              <w:jc w:val="center"/>
              <w:rPr>
                <w:rFonts w:cs="Arial"/>
                <w:sz w:val="20"/>
                <w:lang w:val="de-DE"/>
              </w:rPr>
            </w:pPr>
            <w:r w:rsidRPr="008028B2">
              <w:rPr>
                <w:rFonts w:cs="Arial"/>
                <w:sz w:val="20"/>
                <w:lang w:val="de-DE"/>
              </w:rPr>
              <w:t>2.3%</w:t>
            </w:r>
          </w:p>
        </w:tc>
      </w:tr>
      <w:tr w:rsidR="0015240E" w:rsidRPr="00E551F4" w14:paraId="1CB31658" w14:textId="77777777" w:rsidTr="0015240E">
        <w:trPr>
          <w:trHeight w:hRule="exact" w:val="346"/>
          <w:jc w:val="center"/>
        </w:trPr>
        <w:tc>
          <w:tcPr>
            <w:tcW w:w="9584" w:type="dxa"/>
            <w:gridSpan w:val="5"/>
            <w:vAlign w:val="center"/>
          </w:tcPr>
          <w:p w14:paraId="469D542D" w14:textId="77777777" w:rsidR="0015240E" w:rsidRPr="008028B2" w:rsidRDefault="0015240E" w:rsidP="002C106E">
            <w:pPr>
              <w:kinsoku w:val="0"/>
              <w:overflowPunct w:val="0"/>
              <w:autoSpaceDE w:val="0"/>
              <w:autoSpaceDN w:val="0"/>
              <w:adjustRightInd w:val="0"/>
              <w:spacing w:before="39"/>
              <w:ind w:left="78"/>
              <w:rPr>
                <w:rFonts w:cs="Arial"/>
                <w:sz w:val="20"/>
                <w:lang w:val="de-DE"/>
              </w:rPr>
            </w:pPr>
            <w:r w:rsidRPr="008028B2">
              <w:rPr>
                <w:rFonts w:cs="Arial"/>
                <w:b/>
                <w:bCs/>
                <w:sz w:val="20"/>
                <w:lang w:val="de-DE"/>
              </w:rPr>
              <w:t>Systemic reactions</w:t>
            </w:r>
          </w:p>
        </w:tc>
      </w:tr>
      <w:tr w:rsidR="0015240E" w:rsidRPr="00E551F4" w14:paraId="416210AB" w14:textId="77777777" w:rsidTr="0015240E">
        <w:trPr>
          <w:trHeight w:hRule="exact" w:val="346"/>
          <w:jc w:val="center"/>
        </w:trPr>
        <w:tc>
          <w:tcPr>
            <w:tcW w:w="1368" w:type="dxa"/>
          </w:tcPr>
          <w:p w14:paraId="1D6CF933" w14:textId="77777777" w:rsidR="0015240E" w:rsidRPr="008028B2" w:rsidRDefault="0015240E" w:rsidP="002C106E">
            <w:pPr>
              <w:kinsoku w:val="0"/>
              <w:overflowPunct w:val="0"/>
              <w:autoSpaceDE w:val="0"/>
              <w:autoSpaceDN w:val="0"/>
              <w:adjustRightInd w:val="0"/>
              <w:spacing w:before="34"/>
              <w:ind w:left="103"/>
              <w:rPr>
                <w:rFonts w:cs="Arial"/>
                <w:sz w:val="20"/>
                <w:lang w:val="de-DE"/>
              </w:rPr>
            </w:pPr>
            <w:r w:rsidRPr="008028B2">
              <w:rPr>
                <w:rFonts w:cs="Arial"/>
                <w:sz w:val="20"/>
                <w:lang w:val="de-DE"/>
              </w:rPr>
              <w:lastRenderedPageBreak/>
              <w:t>Headache</w:t>
            </w:r>
          </w:p>
        </w:tc>
        <w:tc>
          <w:tcPr>
            <w:tcW w:w="1640" w:type="dxa"/>
            <w:vAlign w:val="center"/>
          </w:tcPr>
          <w:p w14:paraId="78A0DB16"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12.4%</w:t>
            </w:r>
          </w:p>
        </w:tc>
        <w:tc>
          <w:tcPr>
            <w:tcW w:w="2468" w:type="dxa"/>
            <w:vAlign w:val="center"/>
          </w:tcPr>
          <w:p w14:paraId="4E01D8B9"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13.1%</w:t>
            </w:r>
          </w:p>
        </w:tc>
        <w:tc>
          <w:tcPr>
            <w:tcW w:w="1794" w:type="dxa"/>
            <w:vAlign w:val="center"/>
          </w:tcPr>
          <w:p w14:paraId="37E40341"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8.1%</w:t>
            </w:r>
          </w:p>
        </w:tc>
        <w:tc>
          <w:tcPr>
            <w:tcW w:w="2314" w:type="dxa"/>
            <w:vAlign w:val="center"/>
          </w:tcPr>
          <w:p w14:paraId="415DAA7B" w14:textId="77777777" w:rsidR="0015240E" w:rsidRPr="008028B2" w:rsidRDefault="0015240E" w:rsidP="002C106E">
            <w:pPr>
              <w:kinsoku w:val="0"/>
              <w:overflowPunct w:val="0"/>
              <w:autoSpaceDE w:val="0"/>
              <w:autoSpaceDN w:val="0"/>
              <w:adjustRightInd w:val="0"/>
              <w:spacing w:before="34"/>
              <w:jc w:val="center"/>
              <w:rPr>
                <w:rFonts w:cs="Arial"/>
                <w:sz w:val="20"/>
                <w:lang w:val="de-DE"/>
              </w:rPr>
            </w:pPr>
            <w:r w:rsidRPr="008028B2">
              <w:rPr>
                <w:rFonts w:cs="Arial"/>
                <w:sz w:val="20"/>
              </w:rPr>
              <w:t>7.3%</w:t>
            </w:r>
          </w:p>
        </w:tc>
      </w:tr>
      <w:tr w:rsidR="0015240E" w:rsidRPr="00E551F4" w14:paraId="63367BFF" w14:textId="77777777" w:rsidTr="0015240E">
        <w:trPr>
          <w:trHeight w:hRule="exact" w:val="348"/>
          <w:jc w:val="center"/>
        </w:trPr>
        <w:tc>
          <w:tcPr>
            <w:tcW w:w="1368" w:type="dxa"/>
          </w:tcPr>
          <w:p w14:paraId="6A263DBF" w14:textId="77777777" w:rsidR="0015240E" w:rsidRPr="008028B2" w:rsidRDefault="0015240E" w:rsidP="002C106E">
            <w:pPr>
              <w:kinsoku w:val="0"/>
              <w:overflowPunct w:val="0"/>
              <w:autoSpaceDE w:val="0"/>
              <w:autoSpaceDN w:val="0"/>
              <w:adjustRightInd w:val="0"/>
              <w:spacing w:before="34"/>
              <w:ind w:left="103"/>
              <w:rPr>
                <w:rFonts w:cs="Arial"/>
                <w:sz w:val="20"/>
                <w:lang w:val="de-DE"/>
              </w:rPr>
            </w:pPr>
            <w:r w:rsidRPr="008028B2">
              <w:rPr>
                <w:rFonts w:cs="Arial"/>
                <w:sz w:val="20"/>
                <w:lang w:val="de-DE"/>
              </w:rPr>
              <w:t>Myalgia</w:t>
            </w:r>
          </w:p>
        </w:tc>
        <w:tc>
          <w:tcPr>
            <w:tcW w:w="1640" w:type="dxa"/>
            <w:vAlign w:val="center"/>
          </w:tcPr>
          <w:p w14:paraId="581BA91E"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7.3%</w:t>
            </w:r>
          </w:p>
        </w:tc>
        <w:tc>
          <w:tcPr>
            <w:tcW w:w="2468" w:type="dxa"/>
            <w:vAlign w:val="center"/>
          </w:tcPr>
          <w:p w14:paraId="3833D0D8"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5.9%</w:t>
            </w:r>
          </w:p>
        </w:tc>
        <w:tc>
          <w:tcPr>
            <w:tcW w:w="1794" w:type="dxa"/>
            <w:vAlign w:val="center"/>
          </w:tcPr>
          <w:p w14:paraId="36DFCC5B"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7.5%</w:t>
            </w:r>
          </w:p>
        </w:tc>
        <w:tc>
          <w:tcPr>
            <w:tcW w:w="2314" w:type="dxa"/>
            <w:vAlign w:val="center"/>
          </w:tcPr>
          <w:p w14:paraId="42AF8963" w14:textId="77777777" w:rsidR="0015240E" w:rsidRPr="008028B2" w:rsidRDefault="0015240E" w:rsidP="002C106E">
            <w:pPr>
              <w:kinsoku w:val="0"/>
              <w:overflowPunct w:val="0"/>
              <w:autoSpaceDE w:val="0"/>
              <w:autoSpaceDN w:val="0"/>
              <w:adjustRightInd w:val="0"/>
              <w:spacing w:before="34"/>
              <w:jc w:val="center"/>
              <w:rPr>
                <w:rFonts w:cs="Arial"/>
                <w:sz w:val="20"/>
                <w:lang w:val="de-DE"/>
              </w:rPr>
            </w:pPr>
            <w:r w:rsidRPr="008028B2">
              <w:rPr>
                <w:rFonts w:cs="Arial"/>
                <w:sz w:val="20"/>
              </w:rPr>
              <w:t>5.0%</w:t>
            </w:r>
          </w:p>
        </w:tc>
      </w:tr>
      <w:tr w:rsidR="0015240E" w:rsidRPr="00E551F4" w14:paraId="19DCBF10" w14:textId="77777777" w:rsidTr="0015240E">
        <w:trPr>
          <w:trHeight w:hRule="exact" w:val="348"/>
          <w:jc w:val="center"/>
        </w:trPr>
        <w:tc>
          <w:tcPr>
            <w:tcW w:w="1368" w:type="dxa"/>
          </w:tcPr>
          <w:p w14:paraId="3C3FC818"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Arthralgia</w:t>
            </w:r>
          </w:p>
        </w:tc>
        <w:tc>
          <w:tcPr>
            <w:tcW w:w="1640" w:type="dxa"/>
            <w:vAlign w:val="center"/>
          </w:tcPr>
          <w:p w14:paraId="75EC0E1E"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4.6%</w:t>
            </w:r>
          </w:p>
        </w:tc>
        <w:tc>
          <w:tcPr>
            <w:tcW w:w="2468" w:type="dxa"/>
            <w:vAlign w:val="center"/>
          </w:tcPr>
          <w:p w14:paraId="7BE68716"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3.2%</w:t>
            </w:r>
          </w:p>
        </w:tc>
        <w:tc>
          <w:tcPr>
            <w:tcW w:w="1794" w:type="dxa"/>
            <w:vAlign w:val="center"/>
          </w:tcPr>
          <w:p w14:paraId="55D9504D"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5.8%</w:t>
            </w:r>
          </w:p>
        </w:tc>
        <w:tc>
          <w:tcPr>
            <w:tcW w:w="2314" w:type="dxa"/>
            <w:vAlign w:val="center"/>
          </w:tcPr>
          <w:p w14:paraId="0CEA76D0" w14:textId="77777777" w:rsidR="0015240E" w:rsidRPr="008028B2" w:rsidRDefault="0015240E" w:rsidP="002C106E">
            <w:pPr>
              <w:kinsoku w:val="0"/>
              <w:overflowPunct w:val="0"/>
              <w:autoSpaceDE w:val="0"/>
              <w:autoSpaceDN w:val="0"/>
              <w:adjustRightInd w:val="0"/>
              <w:spacing w:before="34"/>
              <w:jc w:val="center"/>
              <w:rPr>
                <w:rFonts w:cs="Arial"/>
                <w:sz w:val="20"/>
                <w:lang w:val="de-DE"/>
              </w:rPr>
            </w:pPr>
            <w:r w:rsidRPr="008028B2">
              <w:rPr>
                <w:rFonts w:cs="Arial"/>
                <w:sz w:val="20"/>
              </w:rPr>
              <w:t>2.3%</w:t>
            </w:r>
          </w:p>
        </w:tc>
      </w:tr>
      <w:tr w:rsidR="0015240E" w:rsidRPr="00E551F4" w14:paraId="23A52C28" w14:textId="77777777" w:rsidTr="0015240E">
        <w:trPr>
          <w:trHeight w:hRule="exact" w:val="348"/>
          <w:jc w:val="center"/>
        </w:trPr>
        <w:tc>
          <w:tcPr>
            <w:tcW w:w="1368" w:type="dxa"/>
          </w:tcPr>
          <w:p w14:paraId="449A96D0"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Malaise</w:t>
            </w:r>
          </w:p>
        </w:tc>
        <w:tc>
          <w:tcPr>
            <w:tcW w:w="1640" w:type="dxa"/>
            <w:vAlign w:val="center"/>
          </w:tcPr>
          <w:p w14:paraId="799886C5"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5.9%</w:t>
            </w:r>
          </w:p>
        </w:tc>
        <w:tc>
          <w:tcPr>
            <w:tcW w:w="2468" w:type="dxa"/>
            <w:vAlign w:val="center"/>
          </w:tcPr>
          <w:p w14:paraId="6B773245"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7.7%</w:t>
            </w:r>
          </w:p>
        </w:tc>
        <w:tc>
          <w:tcPr>
            <w:tcW w:w="1794" w:type="dxa"/>
            <w:vAlign w:val="center"/>
          </w:tcPr>
          <w:p w14:paraId="56D060E6"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6.4%</w:t>
            </w:r>
          </w:p>
        </w:tc>
        <w:tc>
          <w:tcPr>
            <w:tcW w:w="2314" w:type="dxa"/>
            <w:vAlign w:val="center"/>
          </w:tcPr>
          <w:p w14:paraId="13223DAF" w14:textId="77777777" w:rsidR="0015240E" w:rsidRPr="008028B2" w:rsidRDefault="0015240E" w:rsidP="002C106E">
            <w:pPr>
              <w:kinsoku w:val="0"/>
              <w:overflowPunct w:val="0"/>
              <w:autoSpaceDE w:val="0"/>
              <w:autoSpaceDN w:val="0"/>
              <w:adjustRightInd w:val="0"/>
              <w:spacing w:before="34"/>
              <w:jc w:val="center"/>
              <w:rPr>
                <w:rFonts w:cs="Arial"/>
                <w:sz w:val="20"/>
              </w:rPr>
            </w:pPr>
            <w:r w:rsidRPr="008028B2">
              <w:rPr>
                <w:rFonts w:cs="Arial"/>
                <w:sz w:val="20"/>
              </w:rPr>
              <w:t>4.6%</w:t>
            </w:r>
          </w:p>
        </w:tc>
      </w:tr>
      <w:tr w:rsidR="0015240E" w:rsidRPr="00E551F4" w14:paraId="5CCD96F8" w14:textId="77777777" w:rsidTr="0015240E">
        <w:trPr>
          <w:trHeight w:hRule="exact" w:val="346"/>
          <w:jc w:val="center"/>
        </w:trPr>
        <w:tc>
          <w:tcPr>
            <w:tcW w:w="1368" w:type="dxa"/>
          </w:tcPr>
          <w:p w14:paraId="129BBC3F"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Shivering</w:t>
            </w:r>
          </w:p>
        </w:tc>
        <w:tc>
          <w:tcPr>
            <w:tcW w:w="1640" w:type="dxa"/>
            <w:vAlign w:val="center"/>
          </w:tcPr>
          <w:p w14:paraId="7B917BD3"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3.1%</w:t>
            </w:r>
          </w:p>
        </w:tc>
        <w:tc>
          <w:tcPr>
            <w:tcW w:w="2468" w:type="dxa"/>
            <w:vAlign w:val="center"/>
          </w:tcPr>
          <w:p w14:paraId="17483DAC"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2.7%</w:t>
            </w:r>
          </w:p>
        </w:tc>
        <w:tc>
          <w:tcPr>
            <w:tcW w:w="1794" w:type="dxa"/>
            <w:vAlign w:val="center"/>
          </w:tcPr>
          <w:p w14:paraId="4972B83D"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4.7%</w:t>
            </w:r>
          </w:p>
        </w:tc>
        <w:tc>
          <w:tcPr>
            <w:tcW w:w="2314" w:type="dxa"/>
            <w:vAlign w:val="center"/>
          </w:tcPr>
          <w:p w14:paraId="5112E44F" w14:textId="77777777" w:rsidR="0015240E" w:rsidRPr="008028B2" w:rsidRDefault="0015240E" w:rsidP="002C106E">
            <w:pPr>
              <w:kinsoku w:val="0"/>
              <w:overflowPunct w:val="0"/>
              <w:autoSpaceDE w:val="0"/>
              <w:autoSpaceDN w:val="0"/>
              <w:adjustRightInd w:val="0"/>
              <w:spacing w:before="34"/>
              <w:jc w:val="center"/>
              <w:rPr>
                <w:rFonts w:cs="Arial"/>
                <w:sz w:val="20"/>
                <w:lang w:val="de-DE"/>
              </w:rPr>
            </w:pPr>
            <w:r w:rsidRPr="008028B2">
              <w:rPr>
                <w:rFonts w:cs="Arial"/>
                <w:sz w:val="20"/>
              </w:rPr>
              <w:t>2.7%</w:t>
            </w:r>
          </w:p>
        </w:tc>
      </w:tr>
      <w:tr w:rsidR="0015240E" w:rsidRPr="00E551F4" w14:paraId="2DC49380" w14:textId="77777777" w:rsidTr="0015240E">
        <w:trPr>
          <w:trHeight w:hRule="exact" w:val="346"/>
          <w:jc w:val="center"/>
        </w:trPr>
        <w:tc>
          <w:tcPr>
            <w:tcW w:w="1368" w:type="dxa"/>
          </w:tcPr>
          <w:p w14:paraId="562593FD"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Fatigue</w:t>
            </w:r>
          </w:p>
        </w:tc>
        <w:tc>
          <w:tcPr>
            <w:tcW w:w="1640" w:type="dxa"/>
            <w:vAlign w:val="center"/>
          </w:tcPr>
          <w:p w14:paraId="7AAB4053"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11.9%</w:t>
            </w:r>
          </w:p>
        </w:tc>
        <w:tc>
          <w:tcPr>
            <w:tcW w:w="2468" w:type="dxa"/>
            <w:vAlign w:val="center"/>
          </w:tcPr>
          <w:p w14:paraId="16CFB42E"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12.6%</w:t>
            </w:r>
          </w:p>
        </w:tc>
        <w:tc>
          <w:tcPr>
            <w:tcW w:w="1794" w:type="dxa"/>
            <w:vAlign w:val="center"/>
          </w:tcPr>
          <w:p w14:paraId="393FFE49"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10.6%</w:t>
            </w:r>
          </w:p>
        </w:tc>
        <w:tc>
          <w:tcPr>
            <w:tcW w:w="2314" w:type="dxa"/>
            <w:vAlign w:val="center"/>
          </w:tcPr>
          <w:p w14:paraId="670B0B7C" w14:textId="77777777" w:rsidR="0015240E" w:rsidRPr="008028B2" w:rsidRDefault="0015240E" w:rsidP="002C106E">
            <w:pPr>
              <w:kinsoku w:val="0"/>
              <w:overflowPunct w:val="0"/>
              <w:autoSpaceDE w:val="0"/>
              <w:autoSpaceDN w:val="0"/>
              <w:adjustRightInd w:val="0"/>
              <w:spacing w:before="34"/>
              <w:jc w:val="center"/>
              <w:rPr>
                <w:rFonts w:cs="Arial"/>
                <w:sz w:val="20"/>
                <w:lang w:val="de-DE"/>
              </w:rPr>
            </w:pPr>
            <w:r w:rsidRPr="008028B2">
              <w:rPr>
                <w:rFonts w:cs="Arial"/>
                <w:sz w:val="20"/>
              </w:rPr>
              <w:t>6.8%</w:t>
            </w:r>
          </w:p>
        </w:tc>
      </w:tr>
      <w:tr w:rsidR="0015240E" w:rsidRPr="00E551F4" w14:paraId="6F76D4E1" w14:textId="77777777" w:rsidTr="0015240E">
        <w:trPr>
          <w:trHeight w:hRule="exact" w:val="346"/>
          <w:jc w:val="center"/>
        </w:trPr>
        <w:tc>
          <w:tcPr>
            <w:tcW w:w="1368" w:type="dxa"/>
          </w:tcPr>
          <w:p w14:paraId="695B6E37"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Sweating</w:t>
            </w:r>
          </w:p>
        </w:tc>
        <w:tc>
          <w:tcPr>
            <w:tcW w:w="1640" w:type="dxa"/>
            <w:vAlign w:val="center"/>
          </w:tcPr>
          <w:p w14:paraId="73A01037"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4.4%</w:t>
            </w:r>
          </w:p>
        </w:tc>
        <w:tc>
          <w:tcPr>
            <w:tcW w:w="2468" w:type="dxa"/>
            <w:vAlign w:val="center"/>
          </w:tcPr>
          <w:p w14:paraId="5E9AFED2"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5.0%</w:t>
            </w:r>
          </w:p>
        </w:tc>
        <w:tc>
          <w:tcPr>
            <w:tcW w:w="1794" w:type="dxa"/>
            <w:vAlign w:val="center"/>
          </w:tcPr>
          <w:p w14:paraId="7B2EAD68"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5.9%</w:t>
            </w:r>
          </w:p>
        </w:tc>
        <w:tc>
          <w:tcPr>
            <w:tcW w:w="2314" w:type="dxa"/>
            <w:vAlign w:val="center"/>
          </w:tcPr>
          <w:p w14:paraId="48BF56EE" w14:textId="77777777" w:rsidR="0015240E" w:rsidRPr="008028B2" w:rsidRDefault="0015240E" w:rsidP="002C106E">
            <w:pPr>
              <w:kinsoku w:val="0"/>
              <w:overflowPunct w:val="0"/>
              <w:autoSpaceDE w:val="0"/>
              <w:autoSpaceDN w:val="0"/>
              <w:adjustRightInd w:val="0"/>
              <w:spacing w:before="34"/>
              <w:jc w:val="center"/>
              <w:rPr>
                <w:rFonts w:cs="Arial"/>
                <w:sz w:val="20"/>
                <w:lang w:val="de-DE"/>
              </w:rPr>
            </w:pPr>
            <w:r w:rsidRPr="008028B2">
              <w:rPr>
                <w:rFonts w:cs="Arial"/>
                <w:sz w:val="20"/>
              </w:rPr>
              <w:t>4.1%</w:t>
            </w:r>
          </w:p>
        </w:tc>
      </w:tr>
      <w:tr w:rsidR="0015240E" w:rsidRPr="00E551F4" w14:paraId="23A766CF" w14:textId="77777777" w:rsidTr="0024424C">
        <w:trPr>
          <w:trHeight w:hRule="exact" w:val="346"/>
          <w:jc w:val="center"/>
        </w:trPr>
        <w:tc>
          <w:tcPr>
            <w:tcW w:w="1368" w:type="dxa"/>
            <w:tcBorders>
              <w:bottom w:val="single" w:sz="4" w:space="0" w:color="auto"/>
            </w:tcBorders>
          </w:tcPr>
          <w:p w14:paraId="3CD1B592"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8028B2">
              <w:rPr>
                <w:rFonts w:cs="Arial"/>
                <w:sz w:val="20"/>
                <w:lang w:val="de-DE"/>
              </w:rPr>
              <w:t>Fever</w:t>
            </w:r>
          </w:p>
        </w:tc>
        <w:tc>
          <w:tcPr>
            <w:tcW w:w="1640" w:type="dxa"/>
            <w:tcBorders>
              <w:bottom w:val="single" w:sz="4" w:space="0" w:color="auto"/>
            </w:tcBorders>
            <w:vAlign w:val="center"/>
          </w:tcPr>
          <w:p w14:paraId="542F895D" w14:textId="77777777" w:rsidR="0015240E" w:rsidRPr="008028B2" w:rsidRDefault="0015240E" w:rsidP="002C106E">
            <w:pPr>
              <w:kinsoku w:val="0"/>
              <w:overflowPunct w:val="0"/>
              <w:autoSpaceDE w:val="0"/>
              <w:autoSpaceDN w:val="0"/>
              <w:adjustRightInd w:val="0"/>
              <w:spacing w:before="34"/>
              <w:ind w:left="84"/>
              <w:jc w:val="center"/>
              <w:rPr>
                <w:rFonts w:cs="Arial"/>
                <w:sz w:val="20"/>
                <w:lang w:val="de-DE"/>
              </w:rPr>
            </w:pPr>
            <w:r w:rsidRPr="008028B2">
              <w:rPr>
                <w:rFonts w:cs="Arial"/>
                <w:sz w:val="20"/>
              </w:rPr>
              <w:t>0.1%</w:t>
            </w:r>
          </w:p>
        </w:tc>
        <w:tc>
          <w:tcPr>
            <w:tcW w:w="2468" w:type="dxa"/>
            <w:tcBorders>
              <w:bottom w:val="single" w:sz="4" w:space="0" w:color="auto"/>
            </w:tcBorders>
            <w:vAlign w:val="center"/>
          </w:tcPr>
          <w:p w14:paraId="3EB5A122" w14:textId="77777777" w:rsidR="0015240E" w:rsidRPr="008028B2" w:rsidRDefault="0015240E" w:rsidP="002C106E">
            <w:pPr>
              <w:kinsoku w:val="0"/>
              <w:overflowPunct w:val="0"/>
              <w:autoSpaceDE w:val="0"/>
              <w:autoSpaceDN w:val="0"/>
              <w:adjustRightInd w:val="0"/>
              <w:spacing w:before="34"/>
              <w:ind w:left="16"/>
              <w:jc w:val="center"/>
              <w:rPr>
                <w:rFonts w:cs="Arial"/>
                <w:sz w:val="20"/>
                <w:lang w:val="de-DE"/>
              </w:rPr>
            </w:pPr>
            <w:r w:rsidRPr="008028B2">
              <w:rPr>
                <w:rFonts w:cs="Arial"/>
                <w:sz w:val="20"/>
              </w:rPr>
              <w:t>0%</w:t>
            </w:r>
          </w:p>
        </w:tc>
        <w:tc>
          <w:tcPr>
            <w:tcW w:w="1794" w:type="dxa"/>
            <w:tcBorders>
              <w:bottom w:val="single" w:sz="4" w:space="0" w:color="auto"/>
            </w:tcBorders>
            <w:vAlign w:val="center"/>
          </w:tcPr>
          <w:p w14:paraId="58F361DA" w14:textId="77777777" w:rsidR="0015240E" w:rsidRPr="008028B2" w:rsidRDefault="0015240E" w:rsidP="002C106E">
            <w:pPr>
              <w:kinsoku w:val="0"/>
              <w:overflowPunct w:val="0"/>
              <w:autoSpaceDE w:val="0"/>
              <w:autoSpaceDN w:val="0"/>
              <w:adjustRightInd w:val="0"/>
              <w:spacing w:before="34"/>
              <w:ind w:left="78"/>
              <w:jc w:val="center"/>
              <w:rPr>
                <w:rFonts w:cs="Arial"/>
                <w:sz w:val="20"/>
                <w:lang w:val="de-DE"/>
              </w:rPr>
            </w:pPr>
            <w:r w:rsidRPr="008028B2">
              <w:rPr>
                <w:rFonts w:cs="Arial"/>
                <w:sz w:val="20"/>
              </w:rPr>
              <w:t>0.9%</w:t>
            </w:r>
          </w:p>
        </w:tc>
        <w:tc>
          <w:tcPr>
            <w:tcW w:w="2314" w:type="dxa"/>
            <w:tcBorders>
              <w:bottom w:val="single" w:sz="4" w:space="0" w:color="auto"/>
            </w:tcBorders>
            <w:vAlign w:val="center"/>
          </w:tcPr>
          <w:p w14:paraId="0BFDD37F" w14:textId="77777777" w:rsidR="0015240E" w:rsidRPr="008028B2" w:rsidRDefault="0015240E" w:rsidP="002C106E">
            <w:pPr>
              <w:kinsoku w:val="0"/>
              <w:overflowPunct w:val="0"/>
              <w:autoSpaceDE w:val="0"/>
              <w:autoSpaceDN w:val="0"/>
              <w:adjustRightInd w:val="0"/>
              <w:spacing w:before="34"/>
              <w:jc w:val="center"/>
              <w:rPr>
                <w:rFonts w:cs="Arial"/>
                <w:sz w:val="20"/>
                <w:lang w:val="de-DE"/>
              </w:rPr>
            </w:pPr>
            <w:r w:rsidRPr="008028B2">
              <w:rPr>
                <w:rFonts w:cs="Arial"/>
                <w:sz w:val="20"/>
              </w:rPr>
              <w:t>0.9%</w:t>
            </w:r>
          </w:p>
        </w:tc>
      </w:tr>
      <w:tr w:rsidR="0024424C" w:rsidRPr="00E551F4" w14:paraId="11BAA004" w14:textId="77777777" w:rsidTr="0024424C">
        <w:trPr>
          <w:trHeight w:hRule="exact" w:val="2603"/>
          <w:jc w:val="center"/>
        </w:trPr>
        <w:tc>
          <w:tcPr>
            <w:tcW w:w="9584" w:type="dxa"/>
            <w:gridSpan w:val="5"/>
            <w:tcBorders>
              <w:left w:val="nil"/>
              <w:bottom w:val="nil"/>
              <w:right w:val="nil"/>
            </w:tcBorders>
          </w:tcPr>
          <w:p w14:paraId="01F3ECD3" w14:textId="77777777" w:rsidR="0015240E" w:rsidRPr="0024424C" w:rsidRDefault="0015240E" w:rsidP="0024424C">
            <w:pPr>
              <w:kinsoku w:val="0"/>
              <w:overflowPunct w:val="0"/>
              <w:autoSpaceDE w:val="0"/>
              <w:autoSpaceDN w:val="0"/>
              <w:adjustRightInd w:val="0"/>
              <w:spacing w:before="34"/>
              <w:jc w:val="left"/>
              <w:rPr>
                <w:rFonts w:cs="Arial"/>
                <w:sz w:val="20"/>
              </w:rPr>
            </w:pPr>
            <w:r w:rsidRPr="0024424C">
              <w:rPr>
                <w:rFonts w:cs="Arial"/>
                <w:sz w:val="20"/>
              </w:rPr>
              <w:t>N is the number of subjects in the safety analysis set</w:t>
            </w:r>
          </w:p>
          <w:p w14:paraId="05D0FEB2" w14:textId="617F7567" w:rsidR="0015240E" w:rsidRPr="0024424C" w:rsidRDefault="0015240E" w:rsidP="0024424C">
            <w:pPr>
              <w:kinsoku w:val="0"/>
              <w:overflowPunct w:val="0"/>
              <w:autoSpaceDE w:val="0"/>
              <w:autoSpaceDN w:val="0"/>
              <w:adjustRightInd w:val="0"/>
              <w:spacing w:before="34"/>
              <w:jc w:val="left"/>
              <w:rPr>
                <w:rFonts w:cs="Arial"/>
                <w:sz w:val="20"/>
              </w:rPr>
            </w:pPr>
            <w:r w:rsidRPr="0024424C">
              <w:rPr>
                <w:rFonts w:cs="Arial"/>
                <w:sz w:val="20"/>
              </w:rPr>
              <w:t xml:space="preserve">a 2014-2015 </w:t>
            </w:r>
            <w:r w:rsidR="00E76145">
              <w:rPr>
                <w:rFonts w:cs="Arial"/>
                <w:sz w:val="20"/>
              </w:rPr>
              <w:t>INFLUVAC</w:t>
            </w:r>
            <w:r w:rsidR="00E76145" w:rsidRPr="0024424C">
              <w:rPr>
                <w:rFonts w:cs="Arial"/>
                <w:sz w:val="20"/>
              </w:rPr>
              <w:t xml:space="preserve"> </w:t>
            </w:r>
            <w:r w:rsidRPr="0024424C">
              <w:rPr>
                <w:rFonts w:cs="Arial"/>
                <w:sz w:val="20"/>
              </w:rPr>
              <w:t>TIV containing A/California/7/2009 (H1N</w:t>
            </w:r>
            <w:proofErr w:type="gramStart"/>
            <w:r w:rsidRPr="0024424C">
              <w:rPr>
                <w:rFonts w:cs="Arial"/>
                <w:sz w:val="20"/>
              </w:rPr>
              <w:t>1)pdm</w:t>
            </w:r>
            <w:proofErr w:type="gramEnd"/>
            <w:r w:rsidRPr="0024424C">
              <w:rPr>
                <w:rFonts w:cs="Arial"/>
                <w:sz w:val="20"/>
              </w:rPr>
              <w:t>09-like strain (A/California/7/2009, X</w:t>
            </w:r>
            <w:r w:rsidRPr="0024424C">
              <w:rPr>
                <w:rFonts w:cs="Arial"/>
                <w:sz w:val="20"/>
              </w:rPr>
              <w:noBreakHyphen/>
              <w:t>181), A/Texas/50/2012 (H3N2)-like strain (A/Texas/50/2012, X</w:t>
            </w:r>
            <w:r w:rsidRPr="0024424C">
              <w:rPr>
                <w:rFonts w:cs="Arial"/>
                <w:sz w:val="20"/>
              </w:rPr>
              <w:noBreakHyphen/>
              <w:t>223A) , B/Brisbane/60/2008 (wild type) (TIV</w:t>
            </w:r>
            <w:r w:rsidRPr="0024424C">
              <w:rPr>
                <w:rFonts w:cs="Arial"/>
                <w:sz w:val="20"/>
                <w:vertAlign w:val="subscript"/>
              </w:rPr>
              <w:t>(Vic)</w:t>
            </w:r>
            <w:r w:rsidRPr="0024424C">
              <w:rPr>
                <w:rFonts w:cs="Arial"/>
                <w:sz w:val="20"/>
              </w:rPr>
              <w:t>) (market formulation)</w:t>
            </w:r>
          </w:p>
          <w:p w14:paraId="3DC7B44E" w14:textId="71C7D9C4" w:rsidR="0015240E" w:rsidRPr="0024424C" w:rsidRDefault="0015240E" w:rsidP="0024424C">
            <w:pPr>
              <w:kinsoku w:val="0"/>
              <w:overflowPunct w:val="0"/>
              <w:autoSpaceDE w:val="0"/>
              <w:autoSpaceDN w:val="0"/>
              <w:adjustRightInd w:val="0"/>
              <w:spacing w:before="34"/>
              <w:jc w:val="left"/>
              <w:rPr>
                <w:rFonts w:cs="Arial"/>
                <w:sz w:val="20"/>
              </w:rPr>
            </w:pPr>
            <w:r w:rsidRPr="0024424C">
              <w:rPr>
                <w:rFonts w:cs="Arial"/>
                <w:sz w:val="20"/>
              </w:rPr>
              <w:t xml:space="preserve">b 2014-2015 </w:t>
            </w:r>
            <w:r w:rsidR="00E76145">
              <w:rPr>
                <w:rFonts w:cs="Arial"/>
                <w:sz w:val="20"/>
              </w:rPr>
              <w:t>INFLUVAC</w:t>
            </w:r>
            <w:r w:rsidR="00E76145" w:rsidRPr="0024424C">
              <w:rPr>
                <w:rFonts w:cs="Arial"/>
                <w:sz w:val="20"/>
              </w:rPr>
              <w:t xml:space="preserve"> </w:t>
            </w:r>
            <w:r w:rsidRPr="0024424C">
              <w:rPr>
                <w:rFonts w:cs="Arial"/>
                <w:sz w:val="20"/>
              </w:rPr>
              <w:t>TIV containing A/California/7/2009 (H1N</w:t>
            </w:r>
            <w:proofErr w:type="gramStart"/>
            <w:r w:rsidRPr="0024424C">
              <w:rPr>
                <w:rFonts w:cs="Arial"/>
                <w:sz w:val="20"/>
              </w:rPr>
              <w:t>1)pdm</w:t>
            </w:r>
            <w:proofErr w:type="gramEnd"/>
            <w:r w:rsidRPr="0024424C">
              <w:rPr>
                <w:rFonts w:cs="Arial"/>
                <w:sz w:val="20"/>
              </w:rPr>
              <w:t>09-like strain (A/California/7/2009, X 181), A/Texas/50/2012 (H3N2)-like strain (A/Texas/50/2012, X 223A) , B/Massachusetts/2/2012-like strain (B/Massachusetts/2/2012, BX-51B) TIV(</w:t>
            </w:r>
            <w:r w:rsidRPr="0024424C">
              <w:rPr>
                <w:rFonts w:cs="Arial"/>
                <w:sz w:val="20"/>
                <w:vertAlign w:val="subscript"/>
              </w:rPr>
              <w:t>Yam</w:t>
            </w:r>
            <w:r w:rsidRPr="0024424C">
              <w:rPr>
                <w:rFonts w:cs="Arial"/>
                <w:sz w:val="20"/>
              </w:rPr>
              <w:t>) non-licensed formulation</w:t>
            </w:r>
          </w:p>
          <w:p w14:paraId="315CE34D" w14:textId="1AFA1CE1" w:rsidR="0015240E" w:rsidRPr="0024424C" w:rsidRDefault="0015240E" w:rsidP="0024424C">
            <w:pPr>
              <w:kinsoku w:val="0"/>
              <w:overflowPunct w:val="0"/>
              <w:autoSpaceDE w:val="0"/>
              <w:autoSpaceDN w:val="0"/>
              <w:adjustRightInd w:val="0"/>
              <w:spacing w:before="34"/>
              <w:jc w:val="left"/>
              <w:rPr>
                <w:rFonts w:cs="Arial"/>
                <w:sz w:val="20"/>
              </w:rPr>
            </w:pPr>
            <w:r w:rsidRPr="0024424C">
              <w:rPr>
                <w:rFonts w:cs="Arial"/>
                <w:sz w:val="20"/>
              </w:rPr>
              <w:t xml:space="preserve">c 2014-2015 </w:t>
            </w:r>
            <w:r w:rsidR="00E76145">
              <w:rPr>
                <w:rFonts w:cs="Arial"/>
                <w:sz w:val="20"/>
              </w:rPr>
              <w:t>INFLUVAC TETRA</w:t>
            </w:r>
            <w:r w:rsidRPr="0024424C">
              <w:rPr>
                <w:rFonts w:cs="Arial"/>
                <w:sz w:val="20"/>
              </w:rPr>
              <w:t xml:space="preserve"> A/California/7/2009 (H1N</w:t>
            </w:r>
            <w:proofErr w:type="gramStart"/>
            <w:r w:rsidRPr="0024424C">
              <w:rPr>
                <w:rFonts w:cs="Arial"/>
                <w:sz w:val="20"/>
              </w:rPr>
              <w:t>1)pdm</w:t>
            </w:r>
            <w:proofErr w:type="gramEnd"/>
            <w:r w:rsidRPr="0024424C">
              <w:rPr>
                <w:rFonts w:cs="Arial"/>
                <w:sz w:val="20"/>
              </w:rPr>
              <w:t>09-like strain (A/California/7/2009, X 181), A/Texas/50/2012 (H3N2)-like strain (A/Texas/50/2012, X 223A), B/Massachusetts/2/2012-like strain (B/Massachusetts/2/2012, BX-51B) TIV(</w:t>
            </w:r>
            <w:r w:rsidRPr="0024424C">
              <w:rPr>
                <w:rFonts w:cs="Arial"/>
                <w:sz w:val="20"/>
                <w:vertAlign w:val="subscript"/>
              </w:rPr>
              <w:t>Yam</w:t>
            </w:r>
            <w:r w:rsidRPr="0024424C">
              <w:rPr>
                <w:rFonts w:cs="Arial"/>
                <w:sz w:val="20"/>
              </w:rPr>
              <w:t>)) , B/Brisbane/60/2008 (wild type) (TIV</w:t>
            </w:r>
            <w:r w:rsidRPr="0024424C">
              <w:rPr>
                <w:rFonts w:cs="Arial"/>
                <w:sz w:val="20"/>
                <w:vertAlign w:val="subscript"/>
              </w:rPr>
              <w:t>(Vic)</w:t>
            </w:r>
            <w:r w:rsidRPr="0024424C">
              <w:rPr>
                <w:rFonts w:cs="Arial"/>
                <w:sz w:val="20"/>
              </w:rPr>
              <w:t>) non-licensed formulation</w:t>
            </w:r>
          </w:p>
          <w:p w14:paraId="535C29C0" w14:textId="77777777" w:rsidR="0024424C" w:rsidRPr="008028B2" w:rsidRDefault="0024424C" w:rsidP="002C106E">
            <w:pPr>
              <w:kinsoku w:val="0"/>
              <w:overflowPunct w:val="0"/>
              <w:autoSpaceDE w:val="0"/>
              <w:autoSpaceDN w:val="0"/>
              <w:adjustRightInd w:val="0"/>
              <w:spacing w:before="34"/>
              <w:jc w:val="center"/>
              <w:rPr>
                <w:rFonts w:cs="Arial"/>
                <w:sz w:val="20"/>
              </w:rPr>
            </w:pPr>
          </w:p>
        </w:tc>
      </w:tr>
    </w:tbl>
    <w:p w14:paraId="400F0449" w14:textId="14581142" w:rsidR="000965C1" w:rsidRDefault="005147C1">
      <w:pPr>
        <w:spacing w:after="200" w:line="276" w:lineRule="auto"/>
        <w:jc w:val="left"/>
        <w:rPr>
          <w:rFonts w:eastAsia="SimSun" w:cs="Arial"/>
          <w:b/>
          <w:bCs/>
          <w:snapToGrid w:val="0"/>
          <w:color w:val="000000"/>
          <w:szCs w:val="24"/>
          <w:lang w:eastAsia="fr-FR"/>
        </w:rPr>
      </w:pPr>
      <w:r w:rsidRPr="00B91882">
        <w:t>These reactions usually disappear within 1-</w:t>
      </w:r>
      <w:r w:rsidR="001B7C42">
        <w:t>3</w:t>
      </w:r>
      <w:r w:rsidRPr="00B91882">
        <w:t xml:space="preserve"> days without treatment</w:t>
      </w:r>
      <w:r>
        <w:t>.</w:t>
      </w:r>
      <w:r>
        <w:rPr>
          <w:rFonts w:eastAsia="SimSun" w:cs="Arial"/>
          <w:b/>
          <w:bCs/>
          <w:snapToGrid w:val="0"/>
          <w:color w:val="000000"/>
          <w:szCs w:val="24"/>
          <w:lang w:eastAsia="fr-FR"/>
        </w:rPr>
        <w:t xml:space="preserve"> </w:t>
      </w:r>
    </w:p>
    <w:p w14:paraId="6B66423A" w14:textId="0832B424" w:rsidR="0015240E" w:rsidRPr="00B91882" w:rsidRDefault="0015240E" w:rsidP="0024424C">
      <w:pPr>
        <w:widowControl w:val="0"/>
        <w:autoSpaceDE w:val="0"/>
        <w:autoSpaceDN w:val="0"/>
        <w:adjustRightInd w:val="0"/>
        <w:spacing w:after="120"/>
        <w:jc w:val="left"/>
        <w:rPr>
          <w:rFonts w:eastAsia="SimSun" w:cs="Arial"/>
          <w:szCs w:val="24"/>
          <w:vertAlign w:val="superscript"/>
          <w:lang w:val="en-GB" w:eastAsia="zh-CN"/>
        </w:rPr>
      </w:pPr>
      <w:r w:rsidRPr="00B91882">
        <w:rPr>
          <w:rFonts w:eastAsia="SimSun" w:cs="Arial"/>
          <w:b/>
          <w:bCs/>
          <w:snapToGrid w:val="0"/>
          <w:color w:val="000000"/>
          <w:szCs w:val="24"/>
          <w:lang w:eastAsia="fr-FR"/>
        </w:rPr>
        <w:t xml:space="preserve">Table </w:t>
      </w:r>
      <w:r w:rsidR="002C106E" w:rsidRPr="002C106E">
        <w:rPr>
          <w:rFonts w:eastAsia="SimSun" w:cs="Arial"/>
          <w:b/>
          <w:bCs/>
          <w:snapToGrid w:val="0"/>
          <w:color w:val="000000"/>
          <w:szCs w:val="24"/>
          <w:lang w:eastAsia="fr-FR"/>
        </w:rPr>
        <w:t>2</w:t>
      </w:r>
      <w:r w:rsidRPr="00B91882">
        <w:rPr>
          <w:rFonts w:eastAsia="SimSun" w:cs="Arial"/>
          <w:b/>
          <w:bCs/>
          <w:snapToGrid w:val="0"/>
          <w:color w:val="000000"/>
          <w:szCs w:val="24"/>
          <w:lang w:eastAsia="fr-FR"/>
        </w:rPr>
        <w:t xml:space="preserve">: Percentage of Solicited Injection-Site Reactions and Systemic Adverse Events in Children 3-17 years After Vaccination with </w:t>
      </w:r>
      <w:r w:rsidR="00E76145">
        <w:rPr>
          <w:rFonts w:eastAsia="SimSun" w:cs="Arial"/>
          <w:b/>
          <w:bCs/>
          <w:snapToGrid w:val="0"/>
          <w:color w:val="000000"/>
          <w:szCs w:val="24"/>
          <w:lang w:val="en-GB" w:eastAsia="fr-FR"/>
        </w:rPr>
        <w:t>INFLUVAC TETRA</w:t>
      </w:r>
      <w:r w:rsidRPr="00B91882">
        <w:rPr>
          <w:rFonts w:eastAsia="SimSun" w:cs="Arial"/>
          <w:b/>
          <w:bCs/>
          <w:snapToGrid w:val="0"/>
          <w:color w:val="000000"/>
          <w:szCs w:val="24"/>
          <w:lang w:val="en-GB" w:eastAsia="fr-FR"/>
        </w:rPr>
        <w:t xml:space="preserve"> </w:t>
      </w:r>
      <w:r w:rsidRPr="00B91882">
        <w:rPr>
          <w:rFonts w:eastAsia="SimSun" w:cs="Arial"/>
          <w:b/>
          <w:bCs/>
          <w:snapToGrid w:val="0"/>
          <w:color w:val="000000"/>
          <w:szCs w:val="24"/>
          <w:lang w:eastAsia="fr-FR"/>
        </w:rPr>
        <w:t>(Safety Analysis Set)</w:t>
      </w:r>
      <w:r w:rsidR="004B10D9">
        <w:rPr>
          <w:rFonts w:eastAsia="SimSun" w:cs="Arial"/>
          <w:b/>
          <w:bCs/>
          <w:snapToGrid w:val="0"/>
          <w:color w:val="000000"/>
          <w:szCs w:val="24"/>
          <w:lang w:eastAsia="fr-FR"/>
        </w:rPr>
        <w:t xml:space="preserve"> </w:t>
      </w:r>
      <w:r w:rsidR="00C64296">
        <w:rPr>
          <w:rFonts w:eastAsia="SimSun" w:cs="Arial"/>
          <w:b/>
          <w:bCs/>
          <w:snapToGrid w:val="0"/>
          <w:color w:val="000000"/>
          <w:szCs w:val="24"/>
          <w:lang w:eastAsia="fr-FR"/>
        </w:rPr>
        <w:t xml:space="preserve">versus </w:t>
      </w:r>
      <w:r w:rsidR="004B10D9">
        <w:rPr>
          <w:rFonts w:eastAsia="SimSun" w:cs="Arial"/>
          <w:b/>
          <w:bCs/>
          <w:snapToGrid w:val="0"/>
          <w:color w:val="000000"/>
          <w:szCs w:val="24"/>
          <w:lang w:eastAsia="fr-FR"/>
        </w:rPr>
        <w:t>Comparator</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7"/>
        <w:gridCol w:w="2694"/>
        <w:gridCol w:w="2126"/>
        <w:gridCol w:w="2835"/>
      </w:tblGrid>
      <w:tr w:rsidR="0015240E" w:rsidRPr="00E551F4" w14:paraId="66708966" w14:textId="77777777" w:rsidTr="00B91882">
        <w:trPr>
          <w:trHeight w:hRule="exact" w:val="1375"/>
          <w:jc w:val="center"/>
        </w:trPr>
        <w:tc>
          <w:tcPr>
            <w:tcW w:w="1437" w:type="dxa"/>
          </w:tcPr>
          <w:p w14:paraId="4D078AFA" w14:textId="77777777" w:rsidR="0015240E" w:rsidRPr="006531AC" w:rsidRDefault="0015240E" w:rsidP="002C106E">
            <w:pPr>
              <w:autoSpaceDE w:val="0"/>
              <w:autoSpaceDN w:val="0"/>
              <w:adjustRightInd w:val="0"/>
              <w:spacing w:before="120" w:after="120"/>
              <w:jc w:val="center"/>
              <w:rPr>
                <w:rFonts w:cs="Arial"/>
                <w:b/>
                <w:sz w:val="20"/>
              </w:rPr>
            </w:pPr>
            <w:r w:rsidRPr="006531AC">
              <w:rPr>
                <w:rFonts w:cs="Arial"/>
                <w:b/>
                <w:bCs/>
                <w:sz w:val="20"/>
                <w:lang w:val="en-US"/>
              </w:rPr>
              <w:t>Age group</w:t>
            </w:r>
          </w:p>
        </w:tc>
        <w:tc>
          <w:tcPr>
            <w:tcW w:w="2694" w:type="dxa"/>
          </w:tcPr>
          <w:p w14:paraId="356B85D8" w14:textId="77777777" w:rsidR="0015240E" w:rsidRPr="006531AC" w:rsidRDefault="0015240E" w:rsidP="002C106E">
            <w:pPr>
              <w:autoSpaceDE w:val="0"/>
              <w:autoSpaceDN w:val="0"/>
              <w:adjustRightInd w:val="0"/>
              <w:spacing w:before="120" w:after="120"/>
              <w:jc w:val="center"/>
              <w:rPr>
                <w:rFonts w:cs="Arial"/>
                <w:b/>
                <w:sz w:val="20"/>
              </w:rPr>
            </w:pPr>
            <w:r w:rsidRPr="006531AC">
              <w:rPr>
                <w:rFonts w:cs="Arial"/>
                <w:b/>
                <w:sz w:val="20"/>
              </w:rPr>
              <w:t>Solicited Reaction</w:t>
            </w:r>
          </w:p>
        </w:tc>
        <w:tc>
          <w:tcPr>
            <w:tcW w:w="2126" w:type="dxa"/>
            <w:tcBorders>
              <w:bottom w:val="nil"/>
            </w:tcBorders>
          </w:tcPr>
          <w:p w14:paraId="78FA6DF5" w14:textId="1C3578BC" w:rsidR="0015240E" w:rsidRPr="00BA422E" w:rsidRDefault="00E76145" w:rsidP="002C106E">
            <w:pPr>
              <w:kinsoku w:val="0"/>
              <w:overflowPunct w:val="0"/>
              <w:autoSpaceDE w:val="0"/>
              <w:autoSpaceDN w:val="0"/>
              <w:adjustRightInd w:val="0"/>
              <w:spacing w:before="120" w:after="120"/>
              <w:ind w:left="135" w:hanging="135"/>
              <w:jc w:val="center"/>
              <w:rPr>
                <w:rFonts w:cs="Arial"/>
                <w:sz w:val="20"/>
              </w:rPr>
            </w:pPr>
            <w:r>
              <w:rPr>
                <w:rFonts w:cs="Arial"/>
                <w:b/>
                <w:bCs/>
                <w:sz w:val="20"/>
                <w:lang w:val="de-DE"/>
              </w:rPr>
              <w:t>INFLUVAC TETRA</w:t>
            </w:r>
            <w:r w:rsidR="0015240E" w:rsidRPr="00BA422E">
              <w:rPr>
                <w:rFonts w:cs="Arial"/>
                <w:b/>
                <w:bCs/>
                <w:sz w:val="20"/>
                <w:vertAlign w:val="superscript"/>
              </w:rPr>
              <w:t>c</w:t>
            </w:r>
            <w:r w:rsidR="0015240E">
              <w:rPr>
                <w:rFonts w:cs="Arial"/>
                <w:b/>
                <w:bCs/>
                <w:sz w:val="20"/>
                <w:vertAlign w:val="superscript"/>
              </w:rPr>
              <w:br/>
            </w:r>
            <w:r w:rsidR="0015240E" w:rsidRPr="00BA422E">
              <w:rPr>
                <w:rFonts w:cs="Arial"/>
                <w:b/>
                <w:bCs/>
                <w:sz w:val="20"/>
                <w:lang w:val="de-DE"/>
              </w:rPr>
              <w:t>N=402</w:t>
            </w:r>
          </w:p>
        </w:tc>
        <w:tc>
          <w:tcPr>
            <w:tcW w:w="2835" w:type="dxa"/>
          </w:tcPr>
          <w:p w14:paraId="3A593C93" w14:textId="77777777" w:rsidR="0015240E" w:rsidRPr="00BA422E" w:rsidRDefault="0015240E" w:rsidP="002C106E">
            <w:pPr>
              <w:kinsoku w:val="0"/>
              <w:overflowPunct w:val="0"/>
              <w:autoSpaceDE w:val="0"/>
              <w:autoSpaceDN w:val="0"/>
              <w:adjustRightInd w:val="0"/>
              <w:spacing w:before="120" w:line="248" w:lineRule="exact"/>
              <w:ind w:left="159"/>
              <w:jc w:val="center"/>
              <w:rPr>
                <w:rFonts w:cs="Arial"/>
                <w:b/>
                <w:bCs/>
                <w:sz w:val="20"/>
              </w:rPr>
            </w:pPr>
            <w:proofErr w:type="spellStart"/>
            <w:proofErr w:type="gramStart"/>
            <w:r w:rsidRPr="00BA422E">
              <w:rPr>
                <w:rFonts w:cs="Arial"/>
                <w:b/>
                <w:bCs/>
                <w:sz w:val="20"/>
              </w:rPr>
              <w:t>TIV</w:t>
            </w:r>
            <w:r w:rsidRPr="00BA422E">
              <w:rPr>
                <w:rFonts w:cs="Arial"/>
                <w:b/>
                <w:bCs/>
                <w:sz w:val="20"/>
                <w:vertAlign w:val="superscript"/>
              </w:rPr>
              <w:t>a,b</w:t>
            </w:r>
            <w:proofErr w:type="spellEnd"/>
            <w:proofErr w:type="gramEnd"/>
            <w:r w:rsidRPr="00BA422E">
              <w:rPr>
                <w:rFonts w:cs="Arial"/>
                <w:b/>
                <w:bCs/>
                <w:sz w:val="20"/>
              </w:rPr>
              <w:t xml:space="preserve"> </w:t>
            </w:r>
            <w:r>
              <w:rPr>
                <w:rFonts w:cs="Arial"/>
                <w:b/>
                <w:bCs/>
                <w:sz w:val="20"/>
              </w:rPr>
              <w:br/>
            </w:r>
            <w:r w:rsidRPr="00BA422E">
              <w:rPr>
                <w:rFonts w:cs="Arial"/>
                <w:b/>
                <w:bCs/>
                <w:sz w:val="20"/>
              </w:rPr>
              <w:t>N=798</w:t>
            </w:r>
          </w:p>
          <w:p w14:paraId="0C75B4E3" w14:textId="77777777" w:rsidR="0015240E" w:rsidRPr="00BA422E" w:rsidRDefault="0015240E" w:rsidP="002C106E">
            <w:pPr>
              <w:kinsoku w:val="0"/>
              <w:overflowPunct w:val="0"/>
              <w:autoSpaceDE w:val="0"/>
              <w:autoSpaceDN w:val="0"/>
              <w:adjustRightInd w:val="0"/>
              <w:spacing w:line="248" w:lineRule="exact"/>
              <w:ind w:left="160"/>
              <w:jc w:val="center"/>
              <w:rPr>
                <w:rFonts w:cs="Arial"/>
                <w:b/>
                <w:bCs/>
                <w:sz w:val="20"/>
              </w:rPr>
            </w:pPr>
            <w:r w:rsidRPr="00BA422E">
              <w:rPr>
                <w:rFonts w:cs="Arial"/>
                <w:b/>
                <w:bCs/>
                <w:sz w:val="20"/>
              </w:rPr>
              <w:t>(Pooled data:</w:t>
            </w:r>
          </w:p>
          <w:p w14:paraId="1AA92802" w14:textId="77777777" w:rsidR="0015240E" w:rsidRPr="00BA422E" w:rsidRDefault="0015240E" w:rsidP="002C106E">
            <w:pPr>
              <w:kinsoku w:val="0"/>
              <w:overflowPunct w:val="0"/>
              <w:autoSpaceDE w:val="0"/>
              <w:autoSpaceDN w:val="0"/>
              <w:adjustRightInd w:val="0"/>
              <w:ind w:left="3"/>
              <w:jc w:val="center"/>
              <w:rPr>
                <w:rFonts w:cs="Arial"/>
                <w:sz w:val="20"/>
              </w:rPr>
            </w:pPr>
            <w:r w:rsidRPr="00BA422E">
              <w:rPr>
                <w:rFonts w:cs="Arial"/>
                <w:b/>
                <w:bCs/>
                <w:sz w:val="20"/>
              </w:rPr>
              <w:t>TIV-1: B Victoria N=404,</w:t>
            </w:r>
            <w:r w:rsidRPr="00BA422E">
              <w:rPr>
                <w:rFonts w:cs="Arial"/>
                <w:b/>
                <w:bCs/>
                <w:sz w:val="20"/>
              </w:rPr>
              <w:br/>
              <w:t>TIV-2: B Yamagata N=394)</w:t>
            </w:r>
          </w:p>
        </w:tc>
      </w:tr>
      <w:tr w:rsidR="0015240E" w:rsidRPr="00E551F4" w14:paraId="5FF07FF3" w14:textId="77777777" w:rsidTr="00B91882">
        <w:trPr>
          <w:trHeight w:hRule="exact" w:val="346"/>
          <w:jc w:val="center"/>
        </w:trPr>
        <w:tc>
          <w:tcPr>
            <w:tcW w:w="9092" w:type="dxa"/>
            <w:gridSpan w:val="4"/>
          </w:tcPr>
          <w:p w14:paraId="0654027F" w14:textId="77777777" w:rsidR="0015240E" w:rsidRPr="00BA422E" w:rsidRDefault="0015240E" w:rsidP="002C106E">
            <w:pPr>
              <w:kinsoku w:val="0"/>
              <w:overflowPunct w:val="0"/>
              <w:autoSpaceDE w:val="0"/>
              <w:autoSpaceDN w:val="0"/>
              <w:adjustRightInd w:val="0"/>
              <w:spacing w:before="37"/>
              <w:ind w:left="100"/>
              <w:rPr>
                <w:rFonts w:cs="Arial"/>
                <w:sz w:val="20"/>
                <w:lang w:val="en-US"/>
              </w:rPr>
            </w:pPr>
            <w:r w:rsidRPr="00BA422E">
              <w:rPr>
                <w:rFonts w:cs="Arial"/>
                <w:b/>
                <w:bCs/>
                <w:sz w:val="20"/>
                <w:lang w:val="en-US"/>
              </w:rPr>
              <w:t>Injection-site reactions</w:t>
            </w:r>
          </w:p>
        </w:tc>
      </w:tr>
      <w:tr w:rsidR="0015240E" w:rsidRPr="00E551F4" w14:paraId="1A33F42F" w14:textId="77777777" w:rsidTr="00B91882">
        <w:trPr>
          <w:trHeight w:hRule="exact" w:val="343"/>
          <w:jc w:val="center"/>
        </w:trPr>
        <w:tc>
          <w:tcPr>
            <w:tcW w:w="1437" w:type="dxa"/>
            <w:vMerge w:val="restart"/>
          </w:tcPr>
          <w:p w14:paraId="286987DD" w14:textId="77777777" w:rsidR="0015240E" w:rsidRPr="00BA422E" w:rsidRDefault="0015240E" w:rsidP="002C106E">
            <w:pPr>
              <w:kinsoku w:val="0"/>
              <w:overflowPunct w:val="0"/>
              <w:autoSpaceDE w:val="0"/>
              <w:autoSpaceDN w:val="0"/>
              <w:adjustRightInd w:val="0"/>
              <w:spacing w:before="32"/>
              <w:ind w:left="103"/>
              <w:rPr>
                <w:rFonts w:cs="Arial"/>
                <w:sz w:val="20"/>
                <w:lang w:val="en-US"/>
              </w:rPr>
            </w:pPr>
            <w:r w:rsidRPr="00BA422E">
              <w:rPr>
                <w:rFonts w:cs="Arial"/>
                <w:sz w:val="20"/>
                <w:lang w:val="en-US"/>
              </w:rPr>
              <w:t>3-17 years</w:t>
            </w:r>
          </w:p>
        </w:tc>
        <w:tc>
          <w:tcPr>
            <w:tcW w:w="2694" w:type="dxa"/>
          </w:tcPr>
          <w:p w14:paraId="738DE30D" w14:textId="77777777" w:rsidR="0015240E" w:rsidRPr="00BA422E" w:rsidRDefault="0015240E" w:rsidP="002C106E">
            <w:pPr>
              <w:kinsoku w:val="0"/>
              <w:overflowPunct w:val="0"/>
              <w:autoSpaceDE w:val="0"/>
              <w:autoSpaceDN w:val="0"/>
              <w:adjustRightInd w:val="0"/>
              <w:spacing w:before="32"/>
              <w:ind w:left="103"/>
              <w:rPr>
                <w:rFonts w:cs="Arial"/>
                <w:sz w:val="20"/>
                <w:lang w:val="en-US"/>
              </w:rPr>
            </w:pPr>
            <w:r w:rsidRPr="00BA422E">
              <w:rPr>
                <w:rFonts w:cs="Arial"/>
                <w:sz w:val="20"/>
                <w:lang w:val="en-US"/>
              </w:rPr>
              <w:t>Pain</w:t>
            </w:r>
          </w:p>
        </w:tc>
        <w:tc>
          <w:tcPr>
            <w:tcW w:w="2126" w:type="dxa"/>
            <w:vAlign w:val="center"/>
          </w:tcPr>
          <w:p w14:paraId="254C6BA6" w14:textId="77777777" w:rsidR="0015240E" w:rsidRPr="00BA422E" w:rsidRDefault="0015240E" w:rsidP="002C106E">
            <w:pPr>
              <w:kinsoku w:val="0"/>
              <w:overflowPunct w:val="0"/>
              <w:autoSpaceDE w:val="0"/>
              <w:autoSpaceDN w:val="0"/>
              <w:adjustRightInd w:val="0"/>
              <w:spacing w:before="32"/>
              <w:ind w:left="16"/>
              <w:jc w:val="center"/>
              <w:rPr>
                <w:rFonts w:cs="Arial"/>
                <w:sz w:val="20"/>
                <w:lang w:val="en-US"/>
              </w:rPr>
            </w:pPr>
            <w:r w:rsidRPr="00BA422E">
              <w:rPr>
                <w:rFonts w:cs="Arial"/>
                <w:sz w:val="20"/>
                <w:lang w:val="en-US"/>
              </w:rPr>
              <w:t>59.0%</w:t>
            </w:r>
          </w:p>
        </w:tc>
        <w:tc>
          <w:tcPr>
            <w:tcW w:w="2835" w:type="dxa"/>
            <w:vAlign w:val="center"/>
          </w:tcPr>
          <w:p w14:paraId="7FCA97F1" w14:textId="77777777" w:rsidR="0015240E" w:rsidRPr="00BA422E" w:rsidRDefault="0015240E" w:rsidP="002C106E">
            <w:pPr>
              <w:kinsoku w:val="0"/>
              <w:overflowPunct w:val="0"/>
              <w:autoSpaceDE w:val="0"/>
              <w:autoSpaceDN w:val="0"/>
              <w:adjustRightInd w:val="0"/>
              <w:spacing w:before="32"/>
              <w:ind w:left="-4" w:firstLine="4"/>
              <w:jc w:val="center"/>
              <w:rPr>
                <w:rFonts w:cs="Arial"/>
                <w:sz w:val="20"/>
                <w:lang w:val="en-US"/>
              </w:rPr>
            </w:pPr>
            <w:r w:rsidRPr="00BA422E">
              <w:rPr>
                <w:rFonts w:cs="Arial"/>
                <w:sz w:val="20"/>
                <w:lang w:val="en-US"/>
              </w:rPr>
              <w:t>52.5%</w:t>
            </w:r>
          </w:p>
        </w:tc>
      </w:tr>
      <w:tr w:rsidR="0015240E" w:rsidRPr="00E551F4" w14:paraId="2B38B921" w14:textId="77777777" w:rsidTr="00B91882">
        <w:trPr>
          <w:trHeight w:hRule="exact" w:val="348"/>
          <w:jc w:val="center"/>
        </w:trPr>
        <w:tc>
          <w:tcPr>
            <w:tcW w:w="1437" w:type="dxa"/>
            <w:vMerge/>
          </w:tcPr>
          <w:p w14:paraId="562B7DD3" w14:textId="77777777" w:rsidR="0015240E" w:rsidRPr="00BA422E" w:rsidRDefault="0015240E" w:rsidP="002C106E">
            <w:pPr>
              <w:kinsoku w:val="0"/>
              <w:overflowPunct w:val="0"/>
              <w:autoSpaceDE w:val="0"/>
              <w:autoSpaceDN w:val="0"/>
              <w:adjustRightInd w:val="0"/>
              <w:spacing w:before="37"/>
              <w:ind w:left="103"/>
              <w:rPr>
                <w:rFonts w:cs="Arial"/>
                <w:sz w:val="20"/>
                <w:lang w:val="en-US"/>
              </w:rPr>
            </w:pPr>
          </w:p>
        </w:tc>
        <w:tc>
          <w:tcPr>
            <w:tcW w:w="2694" w:type="dxa"/>
          </w:tcPr>
          <w:p w14:paraId="5D86DDD2" w14:textId="77777777" w:rsidR="0015240E" w:rsidRPr="00BA422E" w:rsidRDefault="0015240E" w:rsidP="002C106E">
            <w:pPr>
              <w:kinsoku w:val="0"/>
              <w:overflowPunct w:val="0"/>
              <w:autoSpaceDE w:val="0"/>
              <w:autoSpaceDN w:val="0"/>
              <w:adjustRightInd w:val="0"/>
              <w:spacing w:before="37"/>
              <w:ind w:left="103"/>
              <w:rPr>
                <w:rFonts w:cs="Arial"/>
                <w:sz w:val="20"/>
                <w:lang w:val="en-US"/>
              </w:rPr>
            </w:pPr>
            <w:r w:rsidRPr="00BA422E">
              <w:rPr>
                <w:rFonts w:cs="Arial"/>
                <w:sz w:val="20"/>
                <w:lang w:val="en-US"/>
              </w:rPr>
              <w:t>Redness</w:t>
            </w:r>
          </w:p>
        </w:tc>
        <w:tc>
          <w:tcPr>
            <w:tcW w:w="2126" w:type="dxa"/>
            <w:vAlign w:val="center"/>
          </w:tcPr>
          <w:p w14:paraId="19F896C9" w14:textId="77777777" w:rsidR="0015240E" w:rsidRPr="00BA422E" w:rsidRDefault="0015240E" w:rsidP="002C106E">
            <w:pPr>
              <w:kinsoku w:val="0"/>
              <w:overflowPunct w:val="0"/>
              <w:autoSpaceDE w:val="0"/>
              <w:autoSpaceDN w:val="0"/>
              <w:adjustRightInd w:val="0"/>
              <w:spacing w:before="34"/>
              <w:ind w:left="16"/>
              <w:jc w:val="center"/>
              <w:rPr>
                <w:rFonts w:cs="Arial"/>
                <w:sz w:val="20"/>
                <w:lang w:val="en-US"/>
              </w:rPr>
            </w:pPr>
            <w:r w:rsidRPr="00BA422E">
              <w:rPr>
                <w:rFonts w:cs="Arial"/>
                <w:sz w:val="20"/>
                <w:lang w:val="en-US"/>
              </w:rPr>
              <w:t>19.4%</w:t>
            </w:r>
          </w:p>
        </w:tc>
        <w:tc>
          <w:tcPr>
            <w:tcW w:w="2835" w:type="dxa"/>
            <w:vAlign w:val="center"/>
          </w:tcPr>
          <w:p w14:paraId="70BD5A29" w14:textId="77777777" w:rsidR="0015240E" w:rsidRPr="00BA422E" w:rsidRDefault="0015240E" w:rsidP="002C106E">
            <w:pPr>
              <w:kinsoku w:val="0"/>
              <w:overflowPunct w:val="0"/>
              <w:autoSpaceDE w:val="0"/>
              <w:autoSpaceDN w:val="0"/>
              <w:adjustRightInd w:val="0"/>
              <w:spacing w:before="34"/>
              <w:ind w:left="-4" w:firstLine="4"/>
              <w:jc w:val="center"/>
              <w:rPr>
                <w:rFonts w:cs="Arial"/>
                <w:sz w:val="20"/>
                <w:lang w:val="en-US"/>
              </w:rPr>
            </w:pPr>
            <w:r w:rsidRPr="00BA422E">
              <w:rPr>
                <w:rFonts w:cs="Arial"/>
                <w:sz w:val="20"/>
                <w:lang w:val="en-US"/>
              </w:rPr>
              <w:t>16.6%</w:t>
            </w:r>
          </w:p>
        </w:tc>
      </w:tr>
      <w:tr w:rsidR="0015240E" w:rsidRPr="00E551F4" w14:paraId="11C7BFF2" w14:textId="77777777" w:rsidTr="00B91882">
        <w:trPr>
          <w:trHeight w:hRule="exact" w:val="348"/>
          <w:jc w:val="center"/>
        </w:trPr>
        <w:tc>
          <w:tcPr>
            <w:tcW w:w="1437" w:type="dxa"/>
            <w:vMerge/>
          </w:tcPr>
          <w:p w14:paraId="3A22DF8F" w14:textId="77777777" w:rsidR="0015240E" w:rsidRPr="00BA422E" w:rsidRDefault="0015240E" w:rsidP="002C106E">
            <w:pPr>
              <w:kinsoku w:val="0"/>
              <w:overflowPunct w:val="0"/>
              <w:autoSpaceDE w:val="0"/>
              <w:autoSpaceDN w:val="0"/>
              <w:adjustRightInd w:val="0"/>
              <w:spacing w:before="37"/>
              <w:ind w:left="103"/>
              <w:rPr>
                <w:rFonts w:cs="Arial"/>
                <w:sz w:val="20"/>
                <w:lang w:val="en-US"/>
              </w:rPr>
            </w:pPr>
          </w:p>
        </w:tc>
        <w:tc>
          <w:tcPr>
            <w:tcW w:w="2694" w:type="dxa"/>
          </w:tcPr>
          <w:p w14:paraId="66E7501B" w14:textId="77777777" w:rsidR="0015240E" w:rsidRPr="00BA422E" w:rsidRDefault="0015240E" w:rsidP="002C106E">
            <w:pPr>
              <w:kinsoku w:val="0"/>
              <w:overflowPunct w:val="0"/>
              <w:autoSpaceDE w:val="0"/>
              <w:autoSpaceDN w:val="0"/>
              <w:adjustRightInd w:val="0"/>
              <w:spacing w:before="37"/>
              <w:ind w:left="103"/>
              <w:rPr>
                <w:rFonts w:cs="Arial"/>
                <w:sz w:val="20"/>
                <w:lang w:val="en-US"/>
              </w:rPr>
            </w:pPr>
            <w:r w:rsidRPr="00BA422E">
              <w:rPr>
                <w:rFonts w:cs="Arial"/>
                <w:sz w:val="20"/>
                <w:lang w:val="en-US"/>
              </w:rPr>
              <w:t>Swelling</w:t>
            </w:r>
          </w:p>
        </w:tc>
        <w:tc>
          <w:tcPr>
            <w:tcW w:w="2126" w:type="dxa"/>
            <w:vAlign w:val="center"/>
          </w:tcPr>
          <w:p w14:paraId="52F90FDF" w14:textId="77777777" w:rsidR="0015240E" w:rsidRPr="00BA422E" w:rsidRDefault="0015240E" w:rsidP="002C106E">
            <w:pPr>
              <w:kinsoku w:val="0"/>
              <w:overflowPunct w:val="0"/>
              <w:autoSpaceDE w:val="0"/>
              <w:autoSpaceDN w:val="0"/>
              <w:adjustRightInd w:val="0"/>
              <w:spacing w:before="34"/>
              <w:ind w:left="16"/>
              <w:jc w:val="center"/>
              <w:rPr>
                <w:rFonts w:cs="Arial"/>
                <w:sz w:val="20"/>
                <w:lang w:val="en-US"/>
              </w:rPr>
            </w:pPr>
            <w:r w:rsidRPr="00BA422E">
              <w:rPr>
                <w:rFonts w:cs="Arial"/>
                <w:sz w:val="20"/>
                <w:lang w:val="en-US"/>
              </w:rPr>
              <w:t>13.4%</w:t>
            </w:r>
          </w:p>
        </w:tc>
        <w:tc>
          <w:tcPr>
            <w:tcW w:w="2835" w:type="dxa"/>
            <w:vAlign w:val="center"/>
          </w:tcPr>
          <w:p w14:paraId="37E2C5B7" w14:textId="77777777" w:rsidR="0015240E" w:rsidRPr="00BA422E" w:rsidRDefault="0015240E" w:rsidP="002C106E">
            <w:pPr>
              <w:kinsoku w:val="0"/>
              <w:overflowPunct w:val="0"/>
              <w:autoSpaceDE w:val="0"/>
              <w:autoSpaceDN w:val="0"/>
              <w:adjustRightInd w:val="0"/>
              <w:spacing w:before="34"/>
              <w:ind w:left="-4" w:firstLine="4"/>
              <w:jc w:val="center"/>
              <w:rPr>
                <w:rFonts w:cs="Arial"/>
                <w:sz w:val="20"/>
                <w:lang w:val="en-US"/>
              </w:rPr>
            </w:pPr>
            <w:r w:rsidRPr="00BA422E">
              <w:rPr>
                <w:rFonts w:cs="Arial"/>
                <w:sz w:val="20"/>
                <w:lang w:val="en-US"/>
              </w:rPr>
              <w:t>10.7%</w:t>
            </w:r>
          </w:p>
        </w:tc>
      </w:tr>
      <w:tr w:rsidR="0015240E" w:rsidRPr="00E551F4" w14:paraId="0498F91D" w14:textId="77777777" w:rsidTr="00B91882">
        <w:trPr>
          <w:trHeight w:hRule="exact" w:val="348"/>
          <w:jc w:val="center"/>
        </w:trPr>
        <w:tc>
          <w:tcPr>
            <w:tcW w:w="1437" w:type="dxa"/>
            <w:vMerge/>
          </w:tcPr>
          <w:p w14:paraId="371B5ED0" w14:textId="77777777" w:rsidR="0015240E" w:rsidRPr="00BA422E" w:rsidRDefault="0015240E" w:rsidP="002C106E">
            <w:pPr>
              <w:kinsoku w:val="0"/>
              <w:overflowPunct w:val="0"/>
              <w:autoSpaceDE w:val="0"/>
              <w:autoSpaceDN w:val="0"/>
              <w:adjustRightInd w:val="0"/>
              <w:spacing w:before="37"/>
              <w:ind w:left="103"/>
              <w:rPr>
                <w:rFonts w:cs="Arial"/>
                <w:sz w:val="20"/>
                <w:lang w:val="en-US"/>
              </w:rPr>
            </w:pPr>
          </w:p>
        </w:tc>
        <w:tc>
          <w:tcPr>
            <w:tcW w:w="2694" w:type="dxa"/>
          </w:tcPr>
          <w:p w14:paraId="3011185F" w14:textId="77777777" w:rsidR="0015240E" w:rsidRPr="00BA422E" w:rsidRDefault="0015240E" w:rsidP="002C106E">
            <w:pPr>
              <w:kinsoku w:val="0"/>
              <w:overflowPunct w:val="0"/>
              <w:autoSpaceDE w:val="0"/>
              <w:autoSpaceDN w:val="0"/>
              <w:adjustRightInd w:val="0"/>
              <w:spacing w:before="37"/>
              <w:ind w:left="103"/>
              <w:rPr>
                <w:rFonts w:cs="Arial"/>
                <w:sz w:val="20"/>
                <w:lang w:val="en-US"/>
              </w:rPr>
            </w:pPr>
            <w:r w:rsidRPr="00BA422E">
              <w:rPr>
                <w:rFonts w:cs="Arial"/>
                <w:sz w:val="20"/>
                <w:lang w:val="en-US"/>
              </w:rPr>
              <w:t>Ecchymosis</w:t>
            </w:r>
          </w:p>
        </w:tc>
        <w:tc>
          <w:tcPr>
            <w:tcW w:w="2126" w:type="dxa"/>
            <w:vAlign w:val="center"/>
          </w:tcPr>
          <w:p w14:paraId="1AE0C0F1" w14:textId="77777777" w:rsidR="0015240E" w:rsidRPr="00BA422E" w:rsidRDefault="0015240E" w:rsidP="002C106E">
            <w:pPr>
              <w:kinsoku w:val="0"/>
              <w:overflowPunct w:val="0"/>
              <w:autoSpaceDE w:val="0"/>
              <w:autoSpaceDN w:val="0"/>
              <w:adjustRightInd w:val="0"/>
              <w:spacing w:before="35"/>
              <w:ind w:left="16"/>
              <w:jc w:val="center"/>
              <w:rPr>
                <w:rFonts w:cs="Arial"/>
                <w:sz w:val="20"/>
                <w:lang w:val="en-US"/>
              </w:rPr>
            </w:pPr>
            <w:r w:rsidRPr="00BA422E">
              <w:rPr>
                <w:rFonts w:cs="Arial"/>
                <w:sz w:val="20"/>
                <w:lang w:val="en-US"/>
              </w:rPr>
              <w:t>6.5%</w:t>
            </w:r>
          </w:p>
        </w:tc>
        <w:tc>
          <w:tcPr>
            <w:tcW w:w="2835" w:type="dxa"/>
            <w:vAlign w:val="center"/>
          </w:tcPr>
          <w:p w14:paraId="3B569B84" w14:textId="77777777" w:rsidR="0015240E" w:rsidRPr="00BA422E" w:rsidRDefault="0015240E" w:rsidP="002C106E">
            <w:pPr>
              <w:kinsoku w:val="0"/>
              <w:overflowPunct w:val="0"/>
              <w:autoSpaceDE w:val="0"/>
              <w:autoSpaceDN w:val="0"/>
              <w:adjustRightInd w:val="0"/>
              <w:spacing w:before="34"/>
              <w:ind w:left="-4" w:firstLine="4"/>
              <w:jc w:val="center"/>
              <w:rPr>
                <w:rFonts w:cs="Arial"/>
                <w:sz w:val="20"/>
                <w:lang w:val="en-US"/>
              </w:rPr>
            </w:pPr>
            <w:r w:rsidRPr="00BA422E">
              <w:rPr>
                <w:rFonts w:cs="Arial"/>
                <w:sz w:val="20"/>
                <w:lang w:val="en-US"/>
              </w:rPr>
              <w:t>4.5%</w:t>
            </w:r>
          </w:p>
        </w:tc>
      </w:tr>
      <w:tr w:rsidR="0015240E" w:rsidRPr="00E551F4" w14:paraId="0918F78F" w14:textId="77777777" w:rsidTr="00B91882">
        <w:trPr>
          <w:trHeight w:hRule="exact" w:val="348"/>
          <w:jc w:val="center"/>
        </w:trPr>
        <w:tc>
          <w:tcPr>
            <w:tcW w:w="1437" w:type="dxa"/>
            <w:vMerge/>
          </w:tcPr>
          <w:p w14:paraId="7B997F0F" w14:textId="77777777" w:rsidR="0015240E" w:rsidRPr="00BA422E" w:rsidRDefault="0015240E" w:rsidP="002C106E">
            <w:pPr>
              <w:kinsoku w:val="0"/>
              <w:overflowPunct w:val="0"/>
              <w:autoSpaceDE w:val="0"/>
              <w:autoSpaceDN w:val="0"/>
              <w:adjustRightInd w:val="0"/>
              <w:spacing w:before="37"/>
              <w:ind w:left="103"/>
              <w:rPr>
                <w:rFonts w:cs="Arial"/>
                <w:sz w:val="20"/>
                <w:lang w:val="en-US"/>
              </w:rPr>
            </w:pPr>
          </w:p>
        </w:tc>
        <w:tc>
          <w:tcPr>
            <w:tcW w:w="2694" w:type="dxa"/>
          </w:tcPr>
          <w:p w14:paraId="4AAC6520" w14:textId="77777777" w:rsidR="0015240E" w:rsidRPr="008028B2" w:rsidRDefault="0015240E" w:rsidP="002C106E">
            <w:pPr>
              <w:kinsoku w:val="0"/>
              <w:overflowPunct w:val="0"/>
              <w:autoSpaceDE w:val="0"/>
              <w:autoSpaceDN w:val="0"/>
              <w:adjustRightInd w:val="0"/>
              <w:spacing w:before="37"/>
              <w:ind w:left="103"/>
              <w:rPr>
                <w:rFonts w:cs="Arial"/>
                <w:sz w:val="20"/>
                <w:lang w:val="de-DE"/>
              </w:rPr>
            </w:pPr>
            <w:r w:rsidRPr="00BA422E">
              <w:rPr>
                <w:rFonts w:cs="Arial"/>
                <w:sz w:val="20"/>
                <w:lang w:val="en-US"/>
              </w:rPr>
              <w:t>I</w:t>
            </w:r>
            <w:r w:rsidRPr="008028B2">
              <w:rPr>
                <w:rFonts w:cs="Arial"/>
                <w:sz w:val="20"/>
                <w:lang w:val="de-DE"/>
              </w:rPr>
              <w:t>nduration</w:t>
            </w:r>
          </w:p>
        </w:tc>
        <w:tc>
          <w:tcPr>
            <w:tcW w:w="2126" w:type="dxa"/>
            <w:vAlign w:val="center"/>
          </w:tcPr>
          <w:p w14:paraId="52B04E12" w14:textId="77777777" w:rsidR="0015240E" w:rsidRPr="00011C1A" w:rsidRDefault="0015240E" w:rsidP="002C106E">
            <w:pPr>
              <w:kinsoku w:val="0"/>
              <w:overflowPunct w:val="0"/>
              <w:autoSpaceDE w:val="0"/>
              <w:autoSpaceDN w:val="0"/>
              <w:adjustRightInd w:val="0"/>
              <w:spacing w:before="34"/>
              <w:ind w:left="16"/>
              <w:jc w:val="center"/>
              <w:rPr>
                <w:rFonts w:cs="Arial"/>
                <w:sz w:val="20"/>
                <w:lang w:val="de-DE"/>
              </w:rPr>
            </w:pPr>
            <w:r w:rsidRPr="00011C1A">
              <w:rPr>
                <w:rFonts w:cs="Arial"/>
                <w:sz w:val="20"/>
                <w:lang w:val="de-DE"/>
              </w:rPr>
              <w:t>11.4%</w:t>
            </w:r>
          </w:p>
        </w:tc>
        <w:tc>
          <w:tcPr>
            <w:tcW w:w="2835" w:type="dxa"/>
            <w:vAlign w:val="center"/>
          </w:tcPr>
          <w:p w14:paraId="50AFF363" w14:textId="77777777" w:rsidR="0015240E" w:rsidRPr="00011C1A" w:rsidRDefault="0015240E" w:rsidP="002C106E">
            <w:pPr>
              <w:kinsoku w:val="0"/>
              <w:overflowPunct w:val="0"/>
              <w:autoSpaceDE w:val="0"/>
              <w:autoSpaceDN w:val="0"/>
              <w:adjustRightInd w:val="0"/>
              <w:spacing w:before="34"/>
              <w:ind w:left="-4" w:firstLine="4"/>
              <w:jc w:val="center"/>
              <w:rPr>
                <w:rFonts w:cs="Arial"/>
                <w:sz w:val="20"/>
                <w:lang w:val="de-DE"/>
              </w:rPr>
            </w:pPr>
            <w:r w:rsidRPr="00011C1A">
              <w:rPr>
                <w:rFonts w:cs="Arial"/>
                <w:sz w:val="20"/>
                <w:lang w:val="de-DE"/>
              </w:rPr>
              <w:t>10.1%</w:t>
            </w:r>
          </w:p>
        </w:tc>
      </w:tr>
      <w:tr w:rsidR="0015240E" w:rsidRPr="00E551F4" w14:paraId="61168D85" w14:textId="77777777" w:rsidTr="00B91882">
        <w:trPr>
          <w:trHeight w:hRule="exact" w:val="346"/>
          <w:jc w:val="center"/>
        </w:trPr>
        <w:tc>
          <w:tcPr>
            <w:tcW w:w="9092" w:type="dxa"/>
            <w:gridSpan w:val="4"/>
          </w:tcPr>
          <w:p w14:paraId="1DDDCD38" w14:textId="77777777" w:rsidR="0015240E" w:rsidRPr="00B91882" w:rsidRDefault="0015240E" w:rsidP="002C106E">
            <w:pPr>
              <w:kinsoku w:val="0"/>
              <w:overflowPunct w:val="0"/>
              <w:autoSpaceDE w:val="0"/>
              <w:autoSpaceDN w:val="0"/>
              <w:adjustRightInd w:val="0"/>
              <w:spacing w:before="39"/>
              <w:ind w:left="78"/>
              <w:rPr>
                <w:rFonts w:cs="Arial"/>
                <w:sz w:val="20"/>
                <w:lang w:val="de-DE"/>
              </w:rPr>
            </w:pPr>
            <w:r w:rsidRPr="00B91882">
              <w:rPr>
                <w:rFonts w:cs="Arial"/>
                <w:b/>
                <w:bCs/>
                <w:sz w:val="20"/>
                <w:lang w:val="de-DE"/>
              </w:rPr>
              <w:t>Systemic reactions</w:t>
            </w:r>
          </w:p>
        </w:tc>
      </w:tr>
      <w:tr w:rsidR="0015240E" w:rsidRPr="00E551F4" w14:paraId="20C2BF8A" w14:textId="77777777" w:rsidTr="00B91882">
        <w:trPr>
          <w:trHeight w:hRule="exact" w:val="346"/>
          <w:jc w:val="center"/>
        </w:trPr>
        <w:tc>
          <w:tcPr>
            <w:tcW w:w="1437" w:type="dxa"/>
            <w:vMerge w:val="restart"/>
          </w:tcPr>
          <w:p w14:paraId="39401FA7" w14:textId="77777777" w:rsidR="0015240E" w:rsidRPr="00BA422E" w:rsidRDefault="0015240E" w:rsidP="002C106E">
            <w:pPr>
              <w:kinsoku w:val="0"/>
              <w:overflowPunct w:val="0"/>
              <w:autoSpaceDE w:val="0"/>
              <w:autoSpaceDN w:val="0"/>
              <w:adjustRightInd w:val="0"/>
              <w:spacing w:before="34"/>
              <w:ind w:left="103"/>
              <w:rPr>
                <w:rFonts w:cs="Arial"/>
                <w:sz w:val="20"/>
                <w:lang w:val="de-DE"/>
              </w:rPr>
            </w:pPr>
            <w:r w:rsidRPr="00BA422E">
              <w:rPr>
                <w:rFonts w:cs="Arial"/>
                <w:sz w:val="20"/>
                <w:lang w:val="de-DE"/>
              </w:rPr>
              <w:t>3-17 years</w:t>
            </w:r>
          </w:p>
        </w:tc>
        <w:tc>
          <w:tcPr>
            <w:tcW w:w="2694" w:type="dxa"/>
          </w:tcPr>
          <w:p w14:paraId="6C0B1891"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Fever</w:t>
            </w:r>
          </w:p>
        </w:tc>
        <w:tc>
          <w:tcPr>
            <w:tcW w:w="2126" w:type="dxa"/>
            <w:vAlign w:val="center"/>
          </w:tcPr>
          <w:p w14:paraId="00BA56C9" w14:textId="77777777" w:rsidR="0015240E" w:rsidRPr="006531AC" w:rsidRDefault="0015240E" w:rsidP="002C106E">
            <w:pPr>
              <w:kinsoku w:val="0"/>
              <w:overflowPunct w:val="0"/>
              <w:autoSpaceDE w:val="0"/>
              <w:autoSpaceDN w:val="0"/>
              <w:adjustRightInd w:val="0"/>
              <w:spacing w:before="34"/>
              <w:ind w:left="16"/>
              <w:jc w:val="center"/>
              <w:rPr>
                <w:rFonts w:cs="Arial"/>
                <w:sz w:val="20"/>
                <w:lang w:val="de-DE"/>
              </w:rPr>
            </w:pPr>
            <w:r w:rsidRPr="006531AC">
              <w:rPr>
                <w:rFonts w:cs="Arial"/>
                <w:sz w:val="20"/>
              </w:rPr>
              <w:t>4.2%</w:t>
            </w:r>
          </w:p>
        </w:tc>
        <w:tc>
          <w:tcPr>
            <w:tcW w:w="2835" w:type="dxa"/>
            <w:vAlign w:val="center"/>
          </w:tcPr>
          <w:p w14:paraId="07A003E9" w14:textId="77777777" w:rsidR="0015240E" w:rsidRPr="006531AC" w:rsidRDefault="0015240E" w:rsidP="002C106E">
            <w:pPr>
              <w:kinsoku w:val="0"/>
              <w:overflowPunct w:val="0"/>
              <w:autoSpaceDE w:val="0"/>
              <w:autoSpaceDN w:val="0"/>
              <w:adjustRightInd w:val="0"/>
              <w:spacing w:before="34"/>
              <w:jc w:val="center"/>
              <w:rPr>
                <w:rFonts w:cs="Arial"/>
                <w:sz w:val="20"/>
                <w:lang w:val="de-DE"/>
              </w:rPr>
            </w:pPr>
            <w:r w:rsidRPr="006531AC">
              <w:rPr>
                <w:rFonts w:cs="Arial"/>
                <w:sz w:val="20"/>
              </w:rPr>
              <w:t>2.6%</w:t>
            </w:r>
          </w:p>
        </w:tc>
      </w:tr>
      <w:tr w:rsidR="0015240E" w:rsidRPr="00E551F4" w14:paraId="3A86A8E5" w14:textId="77777777" w:rsidTr="00B91882">
        <w:trPr>
          <w:trHeight w:hRule="exact" w:val="346"/>
          <w:jc w:val="center"/>
        </w:trPr>
        <w:tc>
          <w:tcPr>
            <w:tcW w:w="1437" w:type="dxa"/>
            <w:vMerge/>
          </w:tcPr>
          <w:p w14:paraId="6A3AD175" w14:textId="77777777" w:rsidR="0015240E" w:rsidRPr="00BA422E" w:rsidRDefault="0015240E" w:rsidP="002C106E">
            <w:pPr>
              <w:kinsoku w:val="0"/>
              <w:overflowPunct w:val="0"/>
              <w:autoSpaceDE w:val="0"/>
              <w:autoSpaceDN w:val="0"/>
              <w:adjustRightInd w:val="0"/>
              <w:spacing w:before="34"/>
              <w:ind w:left="103"/>
              <w:rPr>
                <w:rFonts w:cs="Arial"/>
                <w:sz w:val="20"/>
                <w:lang w:val="de-DE"/>
              </w:rPr>
            </w:pPr>
          </w:p>
        </w:tc>
        <w:tc>
          <w:tcPr>
            <w:tcW w:w="2694" w:type="dxa"/>
          </w:tcPr>
          <w:p w14:paraId="6D826029"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Sweating</w:t>
            </w:r>
          </w:p>
        </w:tc>
        <w:tc>
          <w:tcPr>
            <w:tcW w:w="2126" w:type="dxa"/>
            <w:vAlign w:val="center"/>
          </w:tcPr>
          <w:p w14:paraId="3DB00792" w14:textId="77777777" w:rsidR="0015240E" w:rsidRPr="006531AC" w:rsidRDefault="0015240E" w:rsidP="002C106E">
            <w:pPr>
              <w:kinsoku w:val="0"/>
              <w:overflowPunct w:val="0"/>
              <w:autoSpaceDE w:val="0"/>
              <w:autoSpaceDN w:val="0"/>
              <w:adjustRightInd w:val="0"/>
              <w:spacing w:before="34"/>
              <w:ind w:left="16"/>
              <w:jc w:val="center"/>
              <w:rPr>
                <w:rFonts w:cs="Arial"/>
                <w:sz w:val="20"/>
                <w:lang w:val="de-DE"/>
              </w:rPr>
            </w:pPr>
            <w:r w:rsidRPr="006531AC">
              <w:rPr>
                <w:rFonts w:cs="Arial"/>
                <w:sz w:val="20"/>
              </w:rPr>
              <w:t>4.2%</w:t>
            </w:r>
          </w:p>
        </w:tc>
        <w:tc>
          <w:tcPr>
            <w:tcW w:w="2835" w:type="dxa"/>
            <w:vAlign w:val="center"/>
          </w:tcPr>
          <w:p w14:paraId="251F3D7D" w14:textId="77777777" w:rsidR="0015240E" w:rsidRPr="006531AC" w:rsidRDefault="0015240E" w:rsidP="002C106E">
            <w:pPr>
              <w:kinsoku w:val="0"/>
              <w:overflowPunct w:val="0"/>
              <w:autoSpaceDE w:val="0"/>
              <w:autoSpaceDN w:val="0"/>
              <w:adjustRightInd w:val="0"/>
              <w:spacing w:before="34"/>
              <w:jc w:val="center"/>
              <w:rPr>
                <w:rFonts w:cs="Arial"/>
                <w:sz w:val="20"/>
                <w:lang w:val="de-DE"/>
              </w:rPr>
            </w:pPr>
            <w:r w:rsidRPr="006531AC">
              <w:rPr>
                <w:rFonts w:cs="Arial"/>
                <w:sz w:val="20"/>
              </w:rPr>
              <w:t>3.9%</w:t>
            </w:r>
          </w:p>
        </w:tc>
      </w:tr>
      <w:tr w:rsidR="0015240E" w:rsidRPr="00E551F4" w14:paraId="757899EB" w14:textId="77777777" w:rsidTr="00B91882">
        <w:trPr>
          <w:trHeight w:hRule="exact" w:val="346"/>
          <w:jc w:val="center"/>
        </w:trPr>
        <w:tc>
          <w:tcPr>
            <w:tcW w:w="1437" w:type="dxa"/>
            <w:vMerge w:val="restart"/>
          </w:tcPr>
          <w:p w14:paraId="5B0A33C7" w14:textId="77777777" w:rsidR="0015240E" w:rsidRPr="00BA422E" w:rsidRDefault="0015240E" w:rsidP="002C106E">
            <w:pPr>
              <w:kinsoku w:val="0"/>
              <w:overflowPunct w:val="0"/>
              <w:autoSpaceDE w:val="0"/>
              <w:autoSpaceDN w:val="0"/>
              <w:adjustRightInd w:val="0"/>
              <w:spacing w:before="34"/>
              <w:ind w:left="103"/>
              <w:rPr>
                <w:rFonts w:cs="Arial"/>
                <w:sz w:val="20"/>
                <w:lang w:val="de-DE"/>
              </w:rPr>
            </w:pPr>
            <w:r w:rsidRPr="00BA422E">
              <w:rPr>
                <w:rFonts w:cs="Arial"/>
                <w:sz w:val="20"/>
                <w:lang w:val="de-DE"/>
              </w:rPr>
              <w:t>6-17 years</w:t>
            </w:r>
          </w:p>
        </w:tc>
        <w:tc>
          <w:tcPr>
            <w:tcW w:w="2694" w:type="dxa"/>
          </w:tcPr>
          <w:p w14:paraId="31714A49" w14:textId="77777777" w:rsidR="0015240E" w:rsidRPr="006531AC" w:rsidRDefault="0015240E" w:rsidP="002C106E">
            <w:pPr>
              <w:kinsoku w:val="0"/>
              <w:overflowPunct w:val="0"/>
              <w:autoSpaceDE w:val="0"/>
              <w:autoSpaceDN w:val="0"/>
              <w:adjustRightInd w:val="0"/>
              <w:spacing w:before="34"/>
              <w:ind w:left="103"/>
              <w:rPr>
                <w:rFonts w:cs="Arial"/>
                <w:sz w:val="20"/>
                <w:lang w:val="de-DE"/>
              </w:rPr>
            </w:pPr>
            <w:r w:rsidRPr="006531AC">
              <w:rPr>
                <w:rFonts w:cs="Arial"/>
                <w:sz w:val="20"/>
                <w:lang w:val="de-DE"/>
              </w:rPr>
              <w:t>Headache</w:t>
            </w:r>
          </w:p>
        </w:tc>
        <w:tc>
          <w:tcPr>
            <w:tcW w:w="2126" w:type="dxa"/>
            <w:vAlign w:val="center"/>
          </w:tcPr>
          <w:p w14:paraId="623BA90F" w14:textId="77777777" w:rsidR="0015240E" w:rsidRPr="006531AC" w:rsidRDefault="0015240E" w:rsidP="002C106E">
            <w:pPr>
              <w:kinsoku w:val="0"/>
              <w:overflowPunct w:val="0"/>
              <w:autoSpaceDE w:val="0"/>
              <w:autoSpaceDN w:val="0"/>
              <w:adjustRightInd w:val="0"/>
              <w:spacing w:before="34"/>
              <w:ind w:left="16"/>
              <w:jc w:val="center"/>
              <w:rPr>
                <w:rFonts w:cs="Arial"/>
                <w:sz w:val="20"/>
                <w:lang w:val="de-DE"/>
              </w:rPr>
            </w:pPr>
            <w:r w:rsidRPr="006531AC">
              <w:rPr>
                <w:rFonts w:cs="Arial"/>
                <w:sz w:val="20"/>
              </w:rPr>
              <w:t>24.0%</w:t>
            </w:r>
          </w:p>
        </w:tc>
        <w:tc>
          <w:tcPr>
            <w:tcW w:w="2835" w:type="dxa"/>
            <w:vAlign w:val="center"/>
          </w:tcPr>
          <w:p w14:paraId="25D19CC9" w14:textId="77777777" w:rsidR="0015240E" w:rsidRPr="006531AC" w:rsidRDefault="0015240E" w:rsidP="002C106E">
            <w:pPr>
              <w:kinsoku w:val="0"/>
              <w:overflowPunct w:val="0"/>
              <w:autoSpaceDE w:val="0"/>
              <w:autoSpaceDN w:val="0"/>
              <w:adjustRightInd w:val="0"/>
              <w:spacing w:before="34"/>
              <w:jc w:val="center"/>
              <w:rPr>
                <w:rFonts w:cs="Arial"/>
                <w:sz w:val="20"/>
                <w:lang w:val="de-DE"/>
              </w:rPr>
            </w:pPr>
            <w:r w:rsidRPr="006531AC">
              <w:rPr>
                <w:rFonts w:cs="Arial"/>
                <w:sz w:val="20"/>
              </w:rPr>
              <w:t>20.9%</w:t>
            </w:r>
          </w:p>
        </w:tc>
      </w:tr>
      <w:tr w:rsidR="0015240E" w:rsidRPr="00E551F4" w14:paraId="5653FC56" w14:textId="77777777" w:rsidTr="00B91882">
        <w:trPr>
          <w:trHeight w:hRule="exact" w:val="346"/>
          <w:jc w:val="center"/>
        </w:trPr>
        <w:tc>
          <w:tcPr>
            <w:tcW w:w="1437" w:type="dxa"/>
            <w:vMerge/>
          </w:tcPr>
          <w:p w14:paraId="2EB5B07A" w14:textId="77777777" w:rsidR="0015240E" w:rsidRPr="00BA422E" w:rsidRDefault="0015240E" w:rsidP="002C106E">
            <w:pPr>
              <w:kinsoku w:val="0"/>
              <w:overflowPunct w:val="0"/>
              <w:autoSpaceDE w:val="0"/>
              <w:autoSpaceDN w:val="0"/>
              <w:adjustRightInd w:val="0"/>
              <w:spacing w:before="34"/>
              <w:ind w:left="103"/>
              <w:rPr>
                <w:rFonts w:cs="Arial"/>
                <w:sz w:val="20"/>
                <w:lang w:val="de-DE"/>
              </w:rPr>
            </w:pPr>
          </w:p>
        </w:tc>
        <w:tc>
          <w:tcPr>
            <w:tcW w:w="2694" w:type="dxa"/>
          </w:tcPr>
          <w:p w14:paraId="0B400593"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Fatigue</w:t>
            </w:r>
          </w:p>
        </w:tc>
        <w:tc>
          <w:tcPr>
            <w:tcW w:w="2126" w:type="dxa"/>
            <w:vAlign w:val="center"/>
          </w:tcPr>
          <w:p w14:paraId="3222964B" w14:textId="77777777" w:rsidR="0015240E" w:rsidRPr="006531AC" w:rsidRDefault="0015240E" w:rsidP="002C106E">
            <w:pPr>
              <w:kinsoku w:val="0"/>
              <w:overflowPunct w:val="0"/>
              <w:autoSpaceDE w:val="0"/>
              <w:autoSpaceDN w:val="0"/>
              <w:adjustRightInd w:val="0"/>
              <w:spacing w:before="34"/>
              <w:ind w:left="16"/>
              <w:jc w:val="center"/>
              <w:rPr>
                <w:rFonts w:cs="Arial"/>
                <w:sz w:val="20"/>
                <w:lang w:val="de-DE"/>
              </w:rPr>
            </w:pPr>
            <w:r w:rsidRPr="006531AC">
              <w:rPr>
                <w:rFonts w:cs="Arial"/>
                <w:sz w:val="20"/>
              </w:rPr>
              <w:t>23.6%</w:t>
            </w:r>
          </w:p>
        </w:tc>
        <w:tc>
          <w:tcPr>
            <w:tcW w:w="2835" w:type="dxa"/>
            <w:vAlign w:val="center"/>
          </w:tcPr>
          <w:p w14:paraId="73EC966E" w14:textId="77777777" w:rsidR="0015240E" w:rsidRPr="006531AC" w:rsidRDefault="0015240E" w:rsidP="002C106E">
            <w:pPr>
              <w:kinsoku w:val="0"/>
              <w:overflowPunct w:val="0"/>
              <w:autoSpaceDE w:val="0"/>
              <w:autoSpaceDN w:val="0"/>
              <w:adjustRightInd w:val="0"/>
              <w:spacing w:before="34"/>
              <w:jc w:val="center"/>
              <w:rPr>
                <w:rFonts w:cs="Arial"/>
                <w:sz w:val="20"/>
                <w:lang w:val="de-DE"/>
              </w:rPr>
            </w:pPr>
            <w:r w:rsidRPr="006531AC">
              <w:rPr>
                <w:rFonts w:cs="Arial"/>
                <w:sz w:val="20"/>
              </w:rPr>
              <w:t>22.1%</w:t>
            </w:r>
          </w:p>
        </w:tc>
      </w:tr>
      <w:tr w:rsidR="0015240E" w:rsidRPr="00E551F4" w14:paraId="377FCDF5" w14:textId="77777777" w:rsidTr="00B91882">
        <w:trPr>
          <w:trHeight w:hRule="exact" w:val="346"/>
          <w:jc w:val="center"/>
        </w:trPr>
        <w:tc>
          <w:tcPr>
            <w:tcW w:w="1437" w:type="dxa"/>
            <w:vMerge/>
          </w:tcPr>
          <w:p w14:paraId="6F044B2D" w14:textId="77777777" w:rsidR="0015240E" w:rsidRPr="00BA422E" w:rsidRDefault="0015240E" w:rsidP="002C106E">
            <w:pPr>
              <w:kinsoku w:val="0"/>
              <w:overflowPunct w:val="0"/>
              <w:autoSpaceDE w:val="0"/>
              <w:autoSpaceDN w:val="0"/>
              <w:adjustRightInd w:val="0"/>
              <w:spacing w:before="34"/>
              <w:ind w:left="103"/>
              <w:rPr>
                <w:rFonts w:cs="Arial"/>
                <w:sz w:val="20"/>
                <w:lang w:val="de-DE"/>
              </w:rPr>
            </w:pPr>
          </w:p>
        </w:tc>
        <w:tc>
          <w:tcPr>
            <w:tcW w:w="2694" w:type="dxa"/>
          </w:tcPr>
          <w:p w14:paraId="12C4F8AF"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Gastro-intestinal symptoms</w:t>
            </w:r>
          </w:p>
        </w:tc>
        <w:tc>
          <w:tcPr>
            <w:tcW w:w="2126" w:type="dxa"/>
            <w:vAlign w:val="center"/>
          </w:tcPr>
          <w:p w14:paraId="29850474" w14:textId="77777777" w:rsidR="0015240E" w:rsidRPr="006531AC" w:rsidRDefault="0015240E" w:rsidP="002C106E">
            <w:pPr>
              <w:kinsoku w:val="0"/>
              <w:overflowPunct w:val="0"/>
              <w:autoSpaceDE w:val="0"/>
              <w:autoSpaceDN w:val="0"/>
              <w:adjustRightInd w:val="0"/>
              <w:spacing w:before="34"/>
              <w:ind w:left="16"/>
              <w:jc w:val="center"/>
              <w:rPr>
                <w:rFonts w:cs="Arial"/>
                <w:sz w:val="20"/>
              </w:rPr>
            </w:pPr>
            <w:r w:rsidRPr="006531AC">
              <w:rPr>
                <w:rFonts w:cs="Arial"/>
                <w:sz w:val="20"/>
              </w:rPr>
              <w:t>14.8%</w:t>
            </w:r>
          </w:p>
        </w:tc>
        <w:tc>
          <w:tcPr>
            <w:tcW w:w="2835" w:type="dxa"/>
            <w:vAlign w:val="center"/>
          </w:tcPr>
          <w:p w14:paraId="6F08966D" w14:textId="77777777" w:rsidR="0015240E" w:rsidRPr="006531AC" w:rsidRDefault="0015240E" w:rsidP="002C106E">
            <w:pPr>
              <w:kinsoku w:val="0"/>
              <w:overflowPunct w:val="0"/>
              <w:autoSpaceDE w:val="0"/>
              <w:autoSpaceDN w:val="0"/>
              <w:adjustRightInd w:val="0"/>
              <w:spacing w:before="34"/>
              <w:jc w:val="center"/>
              <w:rPr>
                <w:rFonts w:cs="Arial"/>
                <w:sz w:val="20"/>
              </w:rPr>
            </w:pPr>
            <w:r w:rsidRPr="006531AC">
              <w:rPr>
                <w:rFonts w:cs="Arial"/>
                <w:sz w:val="20"/>
              </w:rPr>
              <w:t>10.0%</w:t>
            </w:r>
          </w:p>
        </w:tc>
      </w:tr>
      <w:tr w:rsidR="0015240E" w:rsidRPr="00E551F4" w14:paraId="180C0A76" w14:textId="77777777" w:rsidTr="00B91882">
        <w:trPr>
          <w:trHeight w:hRule="exact" w:val="348"/>
          <w:jc w:val="center"/>
        </w:trPr>
        <w:tc>
          <w:tcPr>
            <w:tcW w:w="1437" w:type="dxa"/>
            <w:vMerge/>
          </w:tcPr>
          <w:p w14:paraId="3D0CFB4F" w14:textId="77777777" w:rsidR="0015240E" w:rsidRPr="00BA422E" w:rsidRDefault="0015240E" w:rsidP="002C106E">
            <w:pPr>
              <w:kinsoku w:val="0"/>
              <w:overflowPunct w:val="0"/>
              <w:autoSpaceDE w:val="0"/>
              <w:autoSpaceDN w:val="0"/>
              <w:adjustRightInd w:val="0"/>
              <w:spacing w:before="34"/>
              <w:ind w:left="103"/>
              <w:rPr>
                <w:rFonts w:cs="Arial"/>
                <w:sz w:val="20"/>
                <w:lang w:val="de-DE"/>
              </w:rPr>
            </w:pPr>
          </w:p>
        </w:tc>
        <w:tc>
          <w:tcPr>
            <w:tcW w:w="2694" w:type="dxa"/>
          </w:tcPr>
          <w:p w14:paraId="3611CE3B"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Myalgia</w:t>
            </w:r>
          </w:p>
        </w:tc>
        <w:tc>
          <w:tcPr>
            <w:tcW w:w="2126" w:type="dxa"/>
            <w:vAlign w:val="center"/>
          </w:tcPr>
          <w:p w14:paraId="642180AD" w14:textId="77777777" w:rsidR="0015240E" w:rsidRPr="006531AC" w:rsidRDefault="0015240E" w:rsidP="002C106E">
            <w:pPr>
              <w:kinsoku w:val="0"/>
              <w:overflowPunct w:val="0"/>
              <w:autoSpaceDE w:val="0"/>
              <w:autoSpaceDN w:val="0"/>
              <w:adjustRightInd w:val="0"/>
              <w:spacing w:before="34"/>
              <w:ind w:left="16"/>
              <w:jc w:val="center"/>
              <w:rPr>
                <w:rFonts w:cs="Arial"/>
                <w:sz w:val="20"/>
              </w:rPr>
            </w:pPr>
            <w:r w:rsidRPr="006531AC">
              <w:rPr>
                <w:rFonts w:cs="Arial"/>
                <w:sz w:val="20"/>
              </w:rPr>
              <w:t>14.8%</w:t>
            </w:r>
          </w:p>
        </w:tc>
        <w:tc>
          <w:tcPr>
            <w:tcW w:w="2835" w:type="dxa"/>
            <w:vAlign w:val="center"/>
          </w:tcPr>
          <w:p w14:paraId="7452657B" w14:textId="77777777" w:rsidR="0015240E" w:rsidRPr="006531AC" w:rsidRDefault="0015240E" w:rsidP="002C106E">
            <w:pPr>
              <w:kinsoku w:val="0"/>
              <w:overflowPunct w:val="0"/>
              <w:autoSpaceDE w:val="0"/>
              <w:autoSpaceDN w:val="0"/>
              <w:adjustRightInd w:val="0"/>
              <w:spacing w:before="34"/>
              <w:jc w:val="center"/>
              <w:rPr>
                <w:rFonts w:cs="Arial"/>
                <w:sz w:val="20"/>
              </w:rPr>
            </w:pPr>
            <w:r w:rsidRPr="006531AC">
              <w:rPr>
                <w:rFonts w:cs="Arial"/>
                <w:sz w:val="20"/>
              </w:rPr>
              <w:t>15.3%</w:t>
            </w:r>
          </w:p>
        </w:tc>
      </w:tr>
      <w:tr w:rsidR="0015240E" w:rsidRPr="00E551F4" w14:paraId="7BAC466E" w14:textId="77777777" w:rsidTr="00B91882">
        <w:trPr>
          <w:trHeight w:hRule="exact" w:val="348"/>
          <w:jc w:val="center"/>
        </w:trPr>
        <w:tc>
          <w:tcPr>
            <w:tcW w:w="1437" w:type="dxa"/>
            <w:vMerge/>
          </w:tcPr>
          <w:p w14:paraId="20F9FE33" w14:textId="77777777" w:rsidR="0015240E" w:rsidRPr="00BA422E" w:rsidRDefault="0015240E" w:rsidP="002C106E">
            <w:pPr>
              <w:kinsoku w:val="0"/>
              <w:overflowPunct w:val="0"/>
              <w:autoSpaceDE w:val="0"/>
              <w:autoSpaceDN w:val="0"/>
              <w:adjustRightInd w:val="0"/>
              <w:spacing w:before="37"/>
              <w:ind w:left="103"/>
              <w:rPr>
                <w:rFonts w:cs="Arial"/>
                <w:sz w:val="20"/>
                <w:lang w:val="de-DE"/>
              </w:rPr>
            </w:pPr>
          </w:p>
        </w:tc>
        <w:tc>
          <w:tcPr>
            <w:tcW w:w="2694" w:type="dxa"/>
          </w:tcPr>
          <w:p w14:paraId="3199C03F"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Arthralgia</w:t>
            </w:r>
          </w:p>
        </w:tc>
        <w:tc>
          <w:tcPr>
            <w:tcW w:w="2126" w:type="dxa"/>
            <w:vAlign w:val="center"/>
          </w:tcPr>
          <w:p w14:paraId="727102EE" w14:textId="77777777" w:rsidR="0015240E" w:rsidRPr="006531AC" w:rsidRDefault="0015240E" w:rsidP="002C106E">
            <w:pPr>
              <w:kinsoku w:val="0"/>
              <w:overflowPunct w:val="0"/>
              <w:autoSpaceDE w:val="0"/>
              <w:autoSpaceDN w:val="0"/>
              <w:adjustRightInd w:val="0"/>
              <w:spacing w:before="34"/>
              <w:ind w:left="16"/>
              <w:jc w:val="center"/>
              <w:rPr>
                <w:rFonts w:cs="Arial"/>
                <w:sz w:val="20"/>
                <w:lang w:val="de-DE"/>
              </w:rPr>
            </w:pPr>
            <w:r w:rsidRPr="006531AC">
              <w:rPr>
                <w:rFonts w:cs="Arial"/>
                <w:sz w:val="20"/>
              </w:rPr>
              <w:t>6.1%</w:t>
            </w:r>
          </w:p>
        </w:tc>
        <w:tc>
          <w:tcPr>
            <w:tcW w:w="2835" w:type="dxa"/>
            <w:vAlign w:val="center"/>
          </w:tcPr>
          <w:p w14:paraId="748A60B0" w14:textId="77777777" w:rsidR="0015240E" w:rsidRPr="006531AC" w:rsidRDefault="0015240E" w:rsidP="002C106E">
            <w:pPr>
              <w:kinsoku w:val="0"/>
              <w:overflowPunct w:val="0"/>
              <w:autoSpaceDE w:val="0"/>
              <w:autoSpaceDN w:val="0"/>
              <w:adjustRightInd w:val="0"/>
              <w:spacing w:before="34"/>
              <w:jc w:val="center"/>
              <w:rPr>
                <w:rFonts w:cs="Arial"/>
                <w:sz w:val="20"/>
                <w:lang w:val="de-DE"/>
              </w:rPr>
            </w:pPr>
            <w:r w:rsidRPr="006531AC">
              <w:rPr>
                <w:rFonts w:cs="Arial"/>
                <w:sz w:val="20"/>
              </w:rPr>
              <w:t>4.9%</w:t>
            </w:r>
          </w:p>
        </w:tc>
      </w:tr>
      <w:tr w:rsidR="0015240E" w:rsidRPr="00E551F4" w14:paraId="62E0E20B" w14:textId="77777777" w:rsidTr="00B91882">
        <w:trPr>
          <w:trHeight w:hRule="exact" w:val="348"/>
          <w:jc w:val="center"/>
        </w:trPr>
        <w:tc>
          <w:tcPr>
            <w:tcW w:w="1437" w:type="dxa"/>
            <w:vMerge/>
          </w:tcPr>
          <w:p w14:paraId="1B16EBF7" w14:textId="77777777" w:rsidR="0015240E" w:rsidRPr="00BA422E" w:rsidRDefault="0015240E" w:rsidP="002C106E">
            <w:pPr>
              <w:kinsoku w:val="0"/>
              <w:overflowPunct w:val="0"/>
              <w:autoSpaceDE w:val="0"/>
              <w:autoSpaceDN w:val="0"/>
              <w:adjustRightInd w:val="0"/>
              <w:spacing w:before="37"/>
              <w:ind w:left="103"/>
              <w:rPr>
                <w:rFonts w:cs="Arial"/>
                <w:sz w:val="20"/>
                <w:lang w:val="de-DE"/>
              </w:rPr>
            </w:pPr>
          </w:p>
        </w:tc>
        <w:tc>
          <w:tcPr>
            <w:tcW w:w="2694" w:type="dxa"/>
          </w:tcPr>
          <w:p w14:paraId="59671BE6"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Malaise</w:t>
            </w:r>
          </w:p>
        </w:tc>
        <w:tc>
          <w:tcPr>
            <w:tcW w:w="2126" w:type="dxa"/>
            <w:vAlign w:val="center"/>
          </w:tcPr>
          <w:p w14:paraId="63A63718" w14:textId="77777777" w:rsidR="0015240E" w:rsidRPr="006531AC" w:rsidRDefault="0015240E" w:rsidP="002C106E">
            <w:pPr>
              <w:kinsoku w:val="0"/>
              <w:overflowPunct w:val="0"/>
              <w:autoSpaceDE w:val="0"/>
              <w:autoSpaceDN w:val="0"/>
              <w:adjustRightInd w:val="0"/>
              <w:spacing w:before="34"/>
              <w:ind w:left="16"/>
              <w:jc w:val="center"/>
              <w:rPr>
                <w:rFonts w:cs="Arial"/>
                <w:sz w:val="20"/>
                <w:lang w:val="de-DE"/>
              </w:rPr>
            </w:pPr>
            <w:r w:rsidRPr="006531AC">
              <w:rPr>
                <w:rFonts w:cs="Arial"/>
                <w:sz w:val="20"/>
              </w:rPr>
              <w:t>14.8%</w:t>
            </w:r>
          </w:p>
        </w:tc>
        <w:tc>
          <w:tcPr>
            <w:tcW w:w="2835" w:type="dxa"/>
            <w:vAlign w:val="center"/>
          </w:tcPr>
          <w:p w14:paraId="7A9C8D2D" w14:textId="77777777" w:rsidR="0015240E" w:rsidRPr="006531AC" w:rsidRDefault="0015240E" w:rsidP="002C106E">
            <w:pPr>
              <w:kinsoku w:val="0"/>
              <w:overflowPunct w:val="0"/>
              <w:autoSpaceDE w:val="0"/>
              <w:autoSpaceDN w:val="0"/>
              <w:adjustRightInd w:val="0"/>
              <w:spacing w:before="34"/>
              <w:jc w:val="center"/>
              <w:rPr>
                <w:rFonts w:cs="Arial"/>
                <w:sz w:val="20"/>
              </w:rPr>
            </w:pPr>
            <w:r w:rsidRPr="006531AC">
              <w:rPr>
                <w:rFonts w:cs="Arial"/>
                <w:sz w:val="20"/>
              </w:rPr>
              <w:t>12.3%</w:t>
            </w:r>
          </w:p>
        </w:tc>
      </w:tr>
      <w:tr w:rsidR="0015240E" w:rsidRPr="00E551F4" w14:paraId="019DAC65" w14:textId="77777777" w:rsidTr="00B91882">
        <w:trPr>
          <w:trHeight w:hRule="exact" w:val="346"/>
          <w:jc w:val="center"/>
        </w:trPr>
        <w:tc>
          <w:tcPr>
            <w:tcW w:w="1437" w:type="dxa"/>
            <w:vMerge/>
          </w:tcPr>
          <w:p w14:paraId="684CB302" w14:textId="77777777" w:rsidR="0015240E" w:rsidRPr="00BA422E" w:rsidRDefault="0015240E" w:rsidP="002C106E">
            <w:pPr>
              <w:kinsoku w:val="0"/>
              <w:overflowPunct w:val="0"/>
              <w:autoSpaceDE w:val="0"/>
              <w:autoSpaceDN w:val="0"/>
              <w:adjustRightInd w:val="0"/>
              <w:spacing w:before="37"/>
              <w:ind w:left="103"/>
              <w:rPr>
                <w:rFonts w:cs="Arial"/>
                <w:sz w:val="20"/>
                <w:lang w:val="de-DE"/>
              </w:rPr>
            </w:pPr>
          </w:p>
        </w:tc>
        <w:tc>
          <w:tcPr>
            <w:tcW w:w="2694" w:type="dxa"/>
          </w:tcPr>
          <w:p w14:paraId="617C4CF5"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Shivering</w:t>
            </w:r>
          </w:p>
        </w:tc>
        <w:tc>
          <w:tcPr>
            <w:tcW w:w="2126" w:type="dxa"/>
            <w:vAlign w:val="center"/>
          </w:tcPr>
          <w:p w14:paraId="78A14F28" w14:textId="77777777" w:rsidR="0015240E" w:rsidRPr="006531AC" w:rsidRDefault="0015240E" w:rsidP="002C106E">
            <w:pPr>
              <w:kinsoku w:val="0"/>
              <w:overflowPunct w:val="0"/>
              <w:autoSpaceDE w:val="0"/>
              <w:autoSpaceDN w:val="0"/>
              <w:adjustRightInd w:val="0"/>
              <w:spacing w:before="34"/>
              <w:ind w:left="16"/>
              <w:jc w:val="center"/>
              <w:rPr>
                <w:rFonts w:cs="Arial"/>
                <w:sz w:val="20"/>
                <w:lang w:val="de-DE"/>
              </w:rPr>
            </w:pPr>
            <w:r w:rsidRPr="006531AC">
              <w:rPr>
                <w:rFonts w:cs="Arial"/>
                <w:sz w:val="20"/>
              </w:rPr>
              <w:t>4.4%</w:t>
            </w:r>
          </w:p>
        </w:tc>
        <w:tc>
          <w:tcPr>
            <w:tcW w:w="2835" w:type="dxa"/>
            <w:vAlign w:val="center"/>
          </w:tcPr>
          <w:p w14:paraId="5F66B0E8" w14:textId="77777777" w:rsidR="0015240E" w:rsidRPr="006531AC" w:rsidRDefault="0015240E" w:rsidP="002C106E">
            <w:pPr>
              <w:kinsoku w:val="0"/>
              <w:overflowPunct w:val="0"/>
              <w:autoSpaceDE w:val="0"/>
              <w:autoSpaceDN w:val="0"/>
              <w:adjustRightInd w:val="0"/>
              <w:spacing w:before="34"/>
              <w:jc w:val="center"/>
              <w:rPr>
                <w:rFonts w:cs="Arial"/>
                <w:sz w:val="20"/>
                <w:lang w:val="de-DE"/>
              </w:rPr>
            </w:pPr>
            <w:r w:rsidRPr="006531AC">
              <w:rPr>
                <w:rFonts w:cs="Arial"/>
                <w:sz w:val="20"/>
              </w:rPr>
              <w:t>3.5%</w:t>
            </w:r>
          </w:p>
        </w:tc>
      </w:tr>
      <w:tr w:rsidR="0015240E" w:rsidRPr="00E551F4" w14:paraId="69436028" w14:textId="77777777" w:rsidTr="00B91882">
        <w:trPr>
          <w:trHeight w:hRule="exact" w:val="346"/>
          <w:jc w:val="center"/>
        </w:trPr>
        <w:tc>
          <w:tcPr>
            <w:tcW w:w="1437" w:type="dxa"/>
            <w:vMerge w:val="restart"/>
          </w:tcPr>
          <w:p w14:paraId="18EB58B0" w14:textId="77777777" w:rsidR="0015240E" w:rsidRPr="00BA422E" w:rsidRDefault="0015240E" w:rsidP="002C106E">
            <w:pPr>
              <w:kinsoku w:val="0"/>
              <w:overflowPunct w:val="0"/>
              <w:autoSpaceDE w:val="0"/>
              <w:autoSpaceDN w:val="0"/>
              <w:adjustRightInd w:val="0"/>
              <w:spacing w:before="37"/>
              <w:ind w:left="103"/>
              <w:rPr>
                <w:rFonts w:cs="Arial"/>
                <w:sz w:val="20"/>
                <w:lang w:val="de-DE"/>
              </w:rPr>
            </w:pPr>
            <w:r w:rsidRPr="00BA422E">
              <w:rPr>
                <w:rFonts w:cs="Arial"/>
                <w:sz w:val="20"/>
                <w:lang w:val="de-DE"/>
              </w:rPr>
              <w:t>3-5 years</w:t>
            </w:r>
          </w:p>
        </w:tc>
        <w:tc>
          <w:tcPr>
            <w:tcW w:w="2694" w:type="dxa"/>
          </w:tcPr>
          <w:p w14:paraId="17B6220C"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Irritability</w:t>
            </w:r>
          </w:p>
        </w:tc>
        <w:tc>
          <w:tcPr>
            <w:tcW w:w="2126" w:type="dxa"/>
            <w:vAlign w:val="center"/>
          </w:tcPr>
          <w:p w14:paraId="4144D7A0" w14:textId="77777777" w:rsidR="0015240E" w:rsidRPr="006531AC" w:rsidRDefault="0015240E" w:rsidP="002C106E">
            <w:pPr>
              <w:kinsoku w:val="0"/>
              <w:overflowPunct w:val="0"/>
              <w:autoSpaceDE w:val="0"/>
              <w:autoSpaceDN w:val="0"/>
              <w:adjustRightInd w:val="0"/>
              <w:spacing w:before="34"/>
              <w:ind w:left="16"/>
              <w:jc w:val="center"/>
              <w:rPr>
                <w:rFonts w:cs="Arial"/>
                <w:sz w:val="20"/>
              </w:rPr>
            </w:pPr>
            <w:r w:rsidRPr="006531AC">
              <w:rPr>
                <w:rFonts w:cs="Arial"/>
                <w:sz w:val="20"/>
              </w:rPr>
              <w:t>21.0%</w:t>
            </w:r>
          </w:p>
        </w:tc>
        <w:tc>
          <w:tcPr>
            <w:tcW w:w="2835" w:type="dxa"/>
            <w:vAlign w:val="center"/>
          </w:tcPr>
          <w:p w14:paraId="0910EC3C" w14:textId="77777777" w:rsidR="0015240E" w:rsidRPr="006531AC" w:rsidRDefault="0015240E" w:rsidP="002C106E">
            <w:pPr>
              <w:kinsoku w:val="0"/>
              <w:overflowPunct w:val="0"/>
              <w:autoSpaceDE w:val="0"/>
              <w:autoSpaceDN w:val="0"/>
              <w:adjustRightInd w:val="0"/>
              <w:spacing w:before="34"/>
              <w:jc w:val="center"/>
              <w:rPr>
                <w:rFonts w:cs="Arial"/>
                <w:sz w:val="20"/>
              </w:rPr>
            </w:pPr>
            <w:r w:rsidRPr="006531AC">
              <w:rPr>
                <w:rFonts w:cs="Arial"/>
                <w:sz w:val="20"/>
              </w:rPr>
              <w:t>17.8%</w:t>
            </w:r>
          </w:p>
        </w:tc>
      </w:tr>
      <w:tr w:rsidR="0015240E" w:rsidRPr="00E551F4" w14:paraId="62B3CA2E" w14:textId="77777777" w:rsidTr="00B91882">
        <w:trPr>
          <w:trHeight w:hRule="exact" w:val="346"/>
          <w:jc w:val="center"/>
        </w:trPr>
        <w:tc>
          <w:tcPr>
            <w:tcW w:w="1437" w:type="dxa"/>
            <w:vMerge/>
          </w:tcPr>
          <w:p w14:paraId="58CCDEBB" w14:textId="77777777" w:rsidR="0015240E" w:rsidRPr="00BA422E" w:rsidRDefault="0015240E" w:rsidP="002C106E">
            <w:pPr>
              <w:kinsoku w:val="0"/>
              <w:overflowPunct w:val="0"/>
              <w:autoSpaceDE w:val="0"/>
              <w:autoSpaceDN w:val="0"/>
              <w:adjustRightInd w:val="0"/>
              <w:spacing w:before="37"/>
              <w:ind w:left="103"/>
              <w:rPr>
                <w:rFonts w:cs="Arial"/>
                <w:sz w:val="20"/>
                <w:lang w:val="de-DE"/>
              </w:rPr>
            </w:pPr>
          </w:p>
        </w:tc>
        <w:tc>
          <w:tcPr>
            <w:tcW w:w="2694" w:type="dxa"/>
          </w:tcPr>
          <w:p w14:paraId="4689A3F8"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Drowsiness</w:t>
            </w:r>
          </w:p>
        </w:tc>
        <w:tc>
          <w:tcPr>
            <w:tcW w:w="2126" w:type="dxa"/>
            <w:vAlign w:val="center"/>
          </w:tcPr>
          <w:p w14:paraId="29643A7C" w14:textId="77777777" w:rsidR="0015240E" w:rsidRPr="006531AC" w:rsidRDefault="0015240E" w:rsidP="002C106E">
            <w:pPr>
              <w:kinsoku w:val="0"/>
              <w:overflowPunct w:val="0"/>
              <w:autoSpaceDE w:val="0"/>
              <w:autoSpaceDN w:val="0"/>
              <w:adjustRightInd w:val="0"/>
              <w:spacing w:before="34"/>
              <w:ind w:left="16"/>
              <w:jc w:val="center"/>
              <w:rPr>
                <w:rFonts w:cs="Arial"/>
                <w:sz w:val="20"/>
              </w:rPr>
            </w:pPr>
            <w:r w:rsidRPr="006531AC">
              <w:rPr>
                <w:rFonts w:cs="Arial"/>
                <w:sz w:val="20"/>
              </w:rPr>
              <w:t>15.9%</w:t>
            </w:r>
          </w:p>
        </w:tc>
        <w:tc>
          <w:tcPr>
            <w:tcW w:w="2835" w:type="dxa"/>
            <w:vAlign w:val="center"/>
          </w:tcPr>
          <w:p w14:paraId="05247547" w14:textId="77777777" w:rsidR="0015240E" w:rsidRPr="006531AC" w:rsidRDefault="0015240E" w:rsidP="002C106E">
            <w:pPr>
              <w:kinsoku w:val="0"/>
              <w:overflowPunct w:val="0"/>
              <w:autoSpaceDE w:val="0"/>
              <w:autoSpaceDN w:val="0"/>
              <w:adjustRightInd w:val="0"/>
              <w:spacing w:before="34"/>
              <w:jc w:val="center"/>
              <w:rPr>
                <w:rFonts w:cs="Arial"/>
                <w:sz w:val="20"/>
              </w:rPr>
            </w:pPr>
            <w:r w:rsidRPr="006531AC">
              <w:rPr>
                <w:rFonts w:cs="Arial"/>
                <w:sz w:val="20"/>
              </w:rPr>
              <w:t>12.7%</w:t>
            </w:r>
          </w:p>
        </w:tc>
      </w:tr>
      <w:tr w:rsidR="0015240E" w:rsidRPr="00E551F4" w14:paraId="297AB679" w14:textId="77777777" w:rsidTr="00B91882">
        <w:trPr>
          <w:trHeight w:hRule="exact" w:val="346"/>
          <w:jc w:val="center"/>
        </w:trPr>
        <w:tc>
          <w:tcPr>
            <w:tcW w:w="1437" w:type="dxa"/>
            <w:vMerge/>
          </w:tcPr>
          <w:p w14:paraId="2660390E" w14:textId="77777777" w:rsidR="0015240E" w:rsidRPr="00BA422E" w:rsidRDefault="0015240E" w:rsidP="002C106E">
            <w:pPr>
              <w:kinsoku w:val="0"/>
              <w:overflowPunct w:val="0"/>
              <w:autoSpaceDE w:val="0"/>
              <w:autoSpaceDN w:val="0"/>
              <w:adjustRightInd w:val="0"/>
              <w:spacing w:before="37"/>
              <w:ind w:left="103"/>
              <w:rPr>
                <w:rFonts w:cs="Arial"/>
                <w:sz w:val="20"/>
                <w:lang w:val="de-DE"/>
              </w:rPr>
            </w:pPr>
          </w:p>
        </w:tc>
        <w:tc>
          <w:tcPr>
            <w:tcW w:w="2694" w:type="dxa"/>
          </w:tcPr>
          <w:p w14:paraId="5479889B"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Diarrhea/Vomiting</w:t>
            </w:r>
          </w:p>
        </w:tc>
        <w:tc>
          <w:tcPr>
            <w:tcW w:w="2126" w:type="dxa"/>
            <w:vAlign w:val="center"/>
          </w:tcPr>
          <w:p w14:paraId="557A76D4" w14:textId="77777777" w:rsidR="0015240E" w:rsidRPr="006531AC" w:rsidRDefault="0015240E" w:rsidP="002C106E">
            <w:pPr>
              <w:kinsoku w:val="0"/>
              <w:overflowPunct w:val="0"/>
              <w:autoSpaceDE w:val="0"/>
              <w:autoSpaceDN w:val="0"/>
              <w:adjustRightInd w:val="0"/>
              <w:spacing w:before="34"/>
              <w:ind w:left="16"/>
              <w:jc w:val="center"/>
              <w:rPr>
                <w:rFonts w:cs="Arial"/>
                <w:sz w:val="20"/>
              </w:rPr>
            </w:pPr>
            <w:r w:rsidRPr="006531AC">
              <w:rPr>
                <w:rFonts w:cs="Arial"/>
                <w:sz w:val="20"/>
              </w:rPr>
              <w:t>6.8%</w:t>
            </w:r>
          </w:p>
        </w:tc>
        <w:tc>
          <w:tcPr>
            <w:tcW w:w="2835" w:type="dxa"/>
            <w:vAlign w:val="center"/>
          </w:tcPr>
          <w:p w14:paraId="562D78A8" w14:textId="77777777" w:rsidR="0015240E" w:rsidRPr="006531AC" w:rsidRDefault="0015240E" w:rsidP="002C106E">
            <w:pPr>
              <w:kinsoku w:val="0"/>
              <w:overflowPunct w:val="0"/>
              <w:autoSpaceDE w:val="0"/>
              <w:autoSpaceDN w:val="0"/>
              <w:adjustRightInd w:val="0"/>
              <w:spacing w:before="34"/>
              <w:jc w:val="center"/>
              <w:rPr>
                <w:rFonts w:cs="Arial"/>
                <w:sz w:val="20"/>
              </w:rPr>
            </w:pPr>
            <w:r w:rsidRPr="006531AC">
              <w:rPr>
                <w:rFonts w:cs="Arial"/>
                <w:sz w:val="20"/>
              </w:rPr>
              <w:t>7.3%</w:t>
            </w:r>
          </w:p>
        </w:tc>
      </w:tr>
      <w:tr w:rsidR="0015240E" w:rsidRPr="00E551F4" w14:paraId="00F337FD" w14:textId="77777777" w:rsidTr="00B91882">
        <w:trPr>
          <w:trHeight w:hRule="exact" w:val="346"/>
          <w:jc w:val="center"/>
        </w:trPr>
        <w:tc>
          <w:tcPr>
            <w:tcW w:w="1437" w:type="dxa"/>
            <w:vMerge/>
            <w:tcBorders>
              <w:bottom w:val="single" w:sz="4" w:space="0" w:color="auto"/>
            </w:tcBorders>
          </w:tcPr>
          <w:p w14:paraId="63B719F2" w14:textId="77777777" w:rsidR="0015240E" w:rsidRPr="00BA422E" w:rsidRDefault="0015240E" w:rsidP="002C106E">
            <w:pPr>
              <w:kinsoku w:val="0"/>
              <w:overflowPunct w:val="0"/>
              <w:autoSpaceDE w:val="0"/>
              <w:autoSpaceDN w:val="0"/>
              <w:adjustRightInd w:val="0"/>
              <w:spacing w:before="37"/>
              <w:ind w:left="103"/>
              <w:rPr>
                <w:rFonts w:cs="Arial"/>
                <w:sz w:val="20"/>
                <w:lang w:val="de-DE"/>
              </w:rPr>
            </w:pPr>
          </w:p>
        </w:tc>
        <w:tc>
          <w:tcPr>
            <w:tcW w:w="2694" w:type="dxa"/>
            <w:tcBorders>
              <w:bottom w:val="single" w:sz="4" w:space="0" w:color="auto"/>
            </w:tcBorders>
          </w:tcPr>
          <w:p w14:paraId="026B3887" w14:textId="77777777" w:rsidR="0015240E" w:rsidRPr="006531AC" w:rsidRDefault="0015240E"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Loss of appetite</w:t>
            </w:r>
          </w:p>
        </w:tc>
        <w:tc>
          <w:tcPr>
            <w:tcW w:w="2126" w:type="dxa"/>
            <w:tcBorders>
              <w:bottom w:val="single" w:sz="4" w:space="0" w:color="auto"/>
            </w:tcBorders>
            <w:vAlign w:val="center"/>
          </w:tcPr>
          <w:p w14:paraId="66643DD3" w14:textId="77777777" w:rsidR="0015240E" w:rsidRPr="006531AC" w:rsidRDefault="0015240E" w:rsidP="002C106E">
            <w:pPr>
              <w:kinsoku w:val="0"/>
              <w:overflowPunct w:val="0"/>
              <w:autoSpaceDE w:val="0"/>
              <w:autoSpaceDN w:val="0"/>
              <w:adjustRightInd w:val="0"/>
              <w:spacing w:before="34"/>
              <w:ind w:left="16"/>
              <w:jc w:val="center"/>
              <w:rPr>
                <w:rFonts w:cs="Arial"/>
                <w:sz w:val="20"/>
              </w:rPr>
            </w:pPr>
            <w:r w:rsidRPr="006531AC">
              <w:rPr>
                <w:rFonts w:cs="Arial"/>
                <w:sz w:val="20"/>
              </w:rPr>
              <w:t>13.1%</w:t>
            </w:r>
          </w:p>
        </w:tc>
        <w:tc>
          <w:tcPr>
            <w:tcW w:w="2835" w:type="dxa"/>
            <w:tcBorders>
              <w:bottom w:val="single" w:sz="4" w:space="0" w:color="auto"/>
            </w:tcBorders>
            <w:vAlign w:val="center"/>
          </w:tcPr>
          <w:p w14:paraId="2EA4BCFE" w14:textId="77777777" w:rsidR="0015240E" w:rsidRPr="006531AC" w:rsidRDefault="0015240E" w:rsidP="002C106E">
            <w:pPr>
              <w:kinsoku w:val="0"/>
              <w:overflowPunct w:val="0"/>
              <w:autoSpaceDE w:val="0"/>
              <w:autoSpaceDN w:val="0"/>
              <w:adjustRightInd w:val="0"/>
              <w:spacing w:before="34"/>
              <w:jc w:val="center"/>
              <w:rPr>
                <w:rFonts w:cs="Arial"/>
                <w:sz w:val="20"/>
              </w:rPr>
            </w:pPr>
            <w:r w:rsidRPr="006531AC">
              <w:rPr>
                <w:rFonts w:cs="Arial"/>
                <w:sz w:val="20"/>
              </w:rPr>
              <w:t>11.1%</w:t>
            </w:r>
          </w:p>
        </w:tc>
      </w:tr>
      <w:tr w:rsidR="0015240E" w:rsidRPr="00E551F4" w14:paraId="4BB7A952" w14:textId="77777777" w:rsidTr="00B91882">
        <w:trPr>
          <w:trHeight w:hRule="exact" w:val="2845"/>
          <w:jc w:val="center"/>
        </w:trPr>
        <w:tc>
          <w:tcPr>
            <w:tcW w:w="9092" w:type="dxa"/>
            <w:gridSpan w:val="4"/>
            <w:tcBorders>
              <w:top w:val="single" w:sz="4" w:space="0" w:color="auto"/>
              <w:left w:val="nil"/>
              <w:bottom w:val="nil"/>
              <w:right w:val="nil"/>
            </w:tcBorders>
          </w:tcPr>
          <w:p w14:paraId="0DB7A4FA" w14:textId="77777777" w:rsidR="0015240E" w:rsidRPr="00B91882" w:rsidRDefault="0015240E" w:rsidP="002C106E">
            <w:pPr>
              <w:pStyle w:val="TableLeft"/>
              <w:spacing w:after="0"/>
              <w:ind w:left="164"/>
              <w:rPr>
                <w:rFonts w:cs="Times New Roman"/>
                <w:sz w:val="20"/>
                <w:szCs w:val="20"/>
              </w:rPr>
            </w:pPr>
            <w:r w:rsidRPr="00B91882">
              <w:rPr>
                <w:rFonts w:cs="Times New Roman"/>
                <w:sz w:val="20"/>
                <w:szCs w:val="20"/>
              </w:rPr>
              <w:t>N is the number of subjects in the safety analysis set</w:t>
            </w:r>
          </w:p>
          <w:p w14:paraId="5940C9E9" w14:textId="4A658BDA" w:rsidR="0015240E" w:rsidRPr="00B91882" w:rsidRDefault="0015240E" w:rsidP="002C106E">
            <w:pPr>
              <w:pStyle w:val="TableLeft"/>
              <w:spacing w:after="0"/>
              <w:ind w:left="164"/>
              <w:rPr>
                <w:rFonts w:cs="Times New Roman"/>
                <w:sz w:val="20"/>
                <w:szCs w:val="20"/>
              </w:rPr>
            </w:pPr>
            <w:r w:rsidRPr="00B91882">
              <w:rPr>
                <w:rFonts w:cs="Times New Roman"/>
                <w:position w:val="7"/>
                <w:sz w:val="20"/>
                <w:szCs w:val="20"/>
              </w:rPr>
              <w:t xml:space="preserve">a </w:t>
            </w:r>
            <w:r w:rsidRPr="00B91882">
              <w:rPr>
                <w:rFonts w:cs="Times New Roman"/>
                <w:sz w:val="20"/>
                <w:szCs w:val="20"/>
              </w:rPr>
              <w:t xml:space="preserve">2016-2017 </w:t>
            </w:r>
            <w:r w:rsidR="00E76145">
              <w:rPr>
                <w:rFonts w:cs="Times New Roman"/>
                <w:sz w:val="20"/>
                <w:szCs w:val="20"/>
              </w:rPr>
              <w:t>INFLUVAC</w:t>
            </w:r>
            <w:r w:rsidR="00E76145" w:rsidRPr="00B91882">
              <w:rPr>
                <w:rFonts w:cs="Times New Roman"/>
                <w:sz w:val="20"/>
                <w:szCs w:val="20"/>
              </w:rPr>
              <w:t xml:space="preserve"> </w:t>
            </w:r>
            <w:r w:rsidRPr="00B91882">
              <w:rPr>
                <w:rFonts w:cs="Times New Roman"/>
                <w:sz w:val="20"/>
                <w:szCs w:val="20"/>
              </w:rPr>
              <w:t xml:space="preserve">TIV with alternative B strain Tetra containing </w:t>
            </w:r>
            <w:r w:rsidRPr="00B91882">
              <w:rPr>
                <w:rFonts w:eastAsiaTheme="minorHAnsi" w:cs="Times New Roman"/>
                <w:color w:val="000000"/>
                <w:sz w:val="20"/>
                <w:szCs w:val="20"/>
              </w:rPr>
              <w:t>A/California/7/2009 (H1N</w:t>
            </w:r>
            <w:proofErr w:type="gramStart"/>
            <w:r w:rsidRPr="00B91882">
              <w:rPr>
                <w:rFonts w:eastAsiaTheme="minorHAnsi" w:cs="Times New Roman"/>
                <w:color w:val="000000"/>
                <w:sz w:val="20"/>
                <w:szCs w:val="20"/>
              </w:rPr>
              <w:t>1)pdm</w:t>
            </w:r>
            <w:proofErr w:type="gramEnd"/>
            <w:r w:rsidRPr="00B91882">
              <w:rPr>
                <w:rFonts w:eastAsiaTheme="minorHAnsi" w:cs="Times New Roman"/>
                <w:color w:val="000000"/>
                <w:sz w:val="20"/>
                <w:szCs w:val="20"/>
              </w:rPr>
              <w:t>09-like virus</w:t>
            </w:r>
            <w:r w:rsidRPr="00B91882">
              <w:rPr>
                <w:rFonts w:eastAsiaTheme="minorHAnsi" w:cs="Times New Roman"/>
                <w:sz w:val="20"/>
                <w:szCs w:val="20"/>
              </w:rPr>
              <w:t xml:space="preserve">, </w:t>
            </w:r>
            <w:r w:rsidRPr="00B91882">
              <w:rPr>
                <w:rFonts w:eastAsiaTheme="minorHAnsi" w:cs="Times New Roman"/>
                <w:color w:val="000000"/>
                <w:sz w:val="20"/>
                <w:szCs w:val="20"/>
              </w:rPr>
              <w:t>A/Hong Kong/4801/2014 (H3N2)-like virus</w:t>
            </w:r>
            <w:r w:rsidRPr="00B91882">
              <w:rPr>
                <w:rFonts w:eastAsiaTheme="minorHAnsi" w:cs="Times New Roman"/>
                <w:sz w:val="20"/>
                <w:szCs w:val="20"/>
              </w:rPr>
              <w:t xml:space="preserve">, and </w:t>
            </w:r>
            <w:r w:rsidRPr="00B91882">
              <w:rPr>
                <w:rFonts w:eastAsiaTheme="minorHAnsi" w:cs="Times New Roman"/>
                <w:color w:val="000000"/>
                <w:sz w:val="20"/>
                <w:szCs w:val="20"/>
              </w:rPr>
              <w:t>B/Phuket/3073/2013-like virus</w:t>
            </w:r>
          </w:p>
          <w:p w14:paraId="258ED2BD" w14:textId="34B315F1" w:rsidR="0015240E" w:rsidRPr="00B91882" w:rsidRDefault="0015240E" w:rsidP="002C106E">
            <w:pPr>
              <w:kinsoku w:val="0"/>
              <w:overflowPunct w:val="0"/>
              <w:autoSpaceDE w:val="0"/>
              <w:autoSpaceDN w:val="0"/>
              <w:adjustRightInd w:val="0"/>
              <w:ind w:left="164"/>
              <w:rPr>
                <w:rFonts w:cs="Times New Roman"/>
                <w:sz w:val="20"/>
              </w:rPr>
            </w:pPr>
            <w:r w:rsidRPr="00B91882">
              <w:rPr>
                <w:rFonts w:cs="Times New Roman"/>
                <w:position w:val="7"/>
                <w:sz w:val="20"/>
              </w:rPr>
              <w:t xml:space="preserve">b </w:t>
            </w:r>
            <w:r w:rsidRPr="00B91882">
              <w:rPr>
                <w:rFonts w:cs="Times New Roman"/>
                <w:sz w:val="20"/>
                <w:lang w:val="en-US"/>
              </w:rPr>
              <w:t xml:space="preserve">2016-2017 marketed </w:t>
            </w:r>
            <w:r w:rsidR="00E76145">
              <w:rPr>
                <w:rFonts w:cs="Times New Roman"/>
                <w:sz w:val="20"/>
                <w:lang w:val="en-US"/>
              </w:rPr>
              <w:t>INFLUVAC</w:t>
            </w:r>
            <w:r w:rsidR="00E76145" w:rsidRPr="00B91882">
              <w:rPr>
                <w:rFonts w:cs="Times New Roman"/>
                <w:sz w:val="20"/>
                <w:lang w:val="en-US"/>
              </w:rPr>
              <w:t xml:space="preserve"> </w:t>
            </w:r>
            <w:r w:rsidRPr="00B91882">
              <w:rPr>
                <w:rFonts w:cs="Times New Roman"/>
                <w:sz w:val="20"/>
                <w:lang w:val="en-US"/>
              </w:rPr>
              <w:t xml:space="preserve">TIV containing </w:t>
            </w:r>
            <w:r w:rsidRPr="00B91882">
              <w:rPr>
                <w:rFonts w:cs="Times New Roman"/>
                <w:color w:val="000000"/>
                <w:sz w:val="20"/>
                <w:lang w:val="en-US"/>
              </w:rPr>
              <w:t>A/California/7/2009 (H1N</w:t>
            </w:r>
            <w:proofErr w:type="gramStart"/>
            <w:r w:rsidRPr="00B91882">
              <w:rPr>
                <w:rFonts w:cs="Times New Roman"/>
                <w:color w:val="000000"/>
                <w:sz w:val="20"/>
                <w:lang w:val="en-US"/>
              </w:rPr>
              <w:t>1)pdm</w:t>
            </w:r>
            <w:proofErr w:type="gramEnd"/>
            <w:r w:rsidRPr="00B91882">
              <w:rPr>
                <w:rFonts w:cs="Times New Roman"/>
                <w:color w:val="000000"/>
                <w:sz w:val="20"/>
                <w:lang w:val="en-US"/>
              </w:rPr>
              <w:t>09-like virus</w:t>
            </w:r>
            <w:r w:rsidRPr="00B91882">
              <w:rPr>
                <w:rFonts w:cs="Times New Roman"/>
                <w:sz w:val="20"/>
                <w:lang w:val="en-US"/>
              </w:rPr>
              <w:t xml:space="preserve">, </w:t>
            </w:r>
            <w:r w:rsidRPr="00B91882">
              <w:rPr>
                <w:rFonts w:cs="Times New Roman"/>
                <w:color w:val="000000"/>
                <w:sz w:val="20"/>
                <w:lang w:val="en-US"/>
              </w:rPr>
              <w:t>A/Hong Kong/4801/2014 (H3N2)-like virus</w:t>
            </w:r>
            <w:r w:rsidRPr="00B91882">
              <w:rPr>
                <w:rFonts w:cs="Times New Roman"/>
                <w:sz w:val="20"/>
                <w:lang w:val="en-US"/>
              </w:rPr>
              <w:t xml:space="preserve">, and </w:t>
            </w:r>
            <w:r w:rsidRPr="00B91882">
              <w:rPr>
                <w:rFonts w:cs="Times New Roman"/>
                <w:color w:val="000000"/>
                <w:sz w:val="20"/>
                <w:lang w:val="en-US"/>
              </w:rPr>
              <w:t>B/Brisbane/60/2008-like virus</w:t>
            </w:r>
            <w:r w:rsidRPr="00B91882">
              <w:rPr>
                <w:rFonts w:cs="Times New Roman"/>
                <w:sz w:val="20"/>
                <w:lang w:val="en-US"/>
              </w:rPr>
              <w:t xml:space="preserve"> </w:t>
            </w:r>
          </w:p>
          <w:p w14:paraId="73376BC8" w14:textId="555DA008" w:rsidR="0015240E" w:rsidRPr="00B91882" w:rsidRDefault="0015240E" w:rsidP="002C106E">
            <w:pPr>
              <w:pStyle w:val="Default"/>
              <w:ind w:left="164"/>
              <w:rPr>
                <w:rFonts w:eastAsiaTheme="minorHAnsi"/>
                <w:sz w:val="20"/>
                <w:szCs w:val="20"/>
                <w:lang w:val="en-US"/>
              </w:rPr>
            </w:pPr>
            <w:r w:rsidRPr="00B91882">
              <w:rPr>
                <w:position w:val="7"/>
                <w:sz w:val="20"/>
                <w:szCs w:val="20"/>
                <w:lang w:val="en-US"/>
              </w:rPr>
              <w:t xml:space="preserve">c </w:t>
            </w:r>
            <w:r w:rsidRPr="00B91882">
              <w:rPr>
                <w:sz w:val="20"/>
                <w:szCs w:val="20"/>
                <w:lang w:val="en-US"/>
              </w:rPr>
              <w:t xml:space="preserve">2016-2017 </w:t>
            </w:r>
            <w:r w:rsidR="00E76145">
              <w:rPr>
                <w:sz w:val="20"/>
                <w:szCs w:val="20"/>
                <w:lang w:val="en-US"/>
              </w:rPr>
              <w:t>INFLUVAC TETRA</w:t>
            </w:r>
            <w:r w:rsidRPr="00B91882">
              <w:rPr>
                <w:sz w:val="20"/>
                <w:szCs w:val="20"/>
                <w:lang w:val="en-US"/>
              </w:rPr>
              <w:t xml:space="preserve"> containing </w:t>
            </w:r>
            <w:r w:rsidRPr="00B91882">
              <w:rPr>
                <w:rFonts w:eastAsiaTheme="minorHAnsi"/>
                <w:sz w:val="20"/>
                <w:szCs w:val="20"/>
                <w:lang w:val="en-US"/>
              </w:rPr>
              <w:t>A/California/7/2009 (H1N</w:t>
            </w:r>
            <w:proofErr w:type="gramStart"/>
            <w:r w:rsidRPr="00B91882">
              <w:rPr>
                <w:rFonts w:eastAsiaTheme="minorHAnsi"/>
                <w:sz w:val="20"/>
                <w:szCs w:val="20"/>
                <w:lang w:val="en-US"/>
              </w:rPr>
              <w:t>1)pdm</w:t>
            </w:r>
            <w:proofErr w:type="gramEnd"/>
            <w:r w:rsidRPr="00B91882">
              <w:rPr>
                <w:rFonts w:eastAsiaTheme="minorHAnsi"/>
                <w:sz w:val="20"/>
                <w:szCs w:val="20"/>
                <w:lang w:val="en-US"/>
              </w:rPr>
              <w:t xml:space="preserve">09-like virus, A/Hong Kong/4801/2014 (H3N2)-like virus, B/Brisbane/60/2008-like virus and B/Phuket/3073/2013-like virus </w:t>
            </w:r>
          </w:p>
          <w:p w14:paraId="302ED0AB" w14:textId="77777777" w:rsidR="0015240E" w:rsidRPr="00B91882" w:rsidRDefault="0015240E" w:rsidP="002C106E">
            <w:pPr>
              <w:kinsoku w:val="0"/>
              <w:overflowPunct w:val="0"/>
              <w:autoSpaceDE w:val="0"/>
              <w:autoSpaceDN w:val="0"/>
              <w:adjustRightInd w:val="0"/>
              <w:spacing w:before="34"/>
              <w:ind w:left="165"/>
              <w:rPr>
                <w:rFonts w:cs="Times New Roman"/>
                <w:sz w:val="20"/>
              </w:rPr>
            </w:pPr>
            <w:r w:rsidRPr="00B91882">
              <w:rPr>
                <w:rFonts w:cs="Times New Roman"/>
                <w:sz w:val="20"/>
              </w:rPr>
              <w:t>Note: *Reactogenicity data of the two trivalent formulations pooled; RR = Relative Risk QIV vs TIV.</w:t>
            </w:r>
          </w:p>
          <w:p w14:paraId="0F07F116" w14:textId="77777777" w:rsidR="0015240E" w:rsidRPr="00B91882" w:rsidRDefault="0015240E" w:rsidP="002C106E">
            <w:pPr>
              <w:kinsoku w:val="0"/>
              <w:overflowPunct w:val="0"/>
              <w:autoSpaceDE w:val="0"/>
              <w:autoSpaceDN w:val="0"/>
              <w:adjustRightInd w:val="0"/>
              <w:spacing w:before="34"/>
              <w:ind w:left="165"/>
              <w:rPr>
                <w:rFonts w:cs="Times New Roman"/>
                <w:sz w:val="20"/>
              </w:rPr>
            </w:pPr>
            <w:r w:rsidRPr="00B91882">
              <w:rPr>
                <w:rFonts w:cs="Times New Roman"/>
                <w:sz w:val="20"/>
              </w:rPr>
              <w:t xml:space="preserve">Note: </w:t>
            </w:r>
            <w:proofErr w:type="gramStart"/>
            <w:r w:rsidRPr="00B91882">
              <w:rPr>
                <w:rFonts w:cs="Times New Roman"/>
                <w:sz w:val="20"/>
              </w:rPr>
              <w:t>Two sided</w:t>
            </w:r>
            <w:proofErr w:type="gramEnd"/>
            <w:r w:rsidRPr="00B91882">
              <w:rPr>
                <w:rFonts w:cs="Times New Roman"/>
                <w:sz w:val="20"/>
              </w:rPr>
              <w:t xml:space="preserve"> 95 % CI. For the adjusted RR this is obtained based on the Mantel-Haenszel method.</w:t>
            </w:r>
          </w:p>
          <w:p w14:paraId="3EB89EFA" w14:textId="77777777" w:rsidR="0015240E" w:rsidRPr="006531AC" w:rsidRDefault="0015240E" w:rsidP="002C106E">
            <w:pPr>
              <w:kinsoku w:val="0"/>
              <w:overflowPunct w:val="0"/>
              <w:autoSpaceDE w:val="0"/>
              <w:autoSpaceDN w:val="0"/>
              <w:adjustRightInd w:val="0"/>
              <w:spacing w:before="34"/>
              <w:ind w:left="165"/>
              <w:rPr>
                <w:rFonts w:cs="Arial"/>
                <w:sz w:val="20"/>
              </w:rPr>
            </w:pPr>
            <w:r w:rsidRPr="00B91882">
              <w:rPr>
                <w:rFonts w:cs="Times New Roman"/>
                <w:sz w:val="20"/>
              </w:rPr>
              <w:t xml:space="preserve">Note: ** Adjusted for </w:t>
            </w:r>
            <w:proofErr w:type="spellStart"/>
            <w:r w:rsidRPr="00B91882">
              <w:rPr>
                <w:rFonts w:cs="Times New Roman"/>
                <w:sz w:val="20"/>
              </w:rPr>
              <w:t>center</w:t>
            </w:r>
            <w:proofErr w:type="spellEnd"/>
            <w:r w:rsidRPr="00B91882">
              <w:rPr>
                <w:rFonts w:cs="Times New Roman"/>
                <w:sz w:val="20"/>
              </w:rPr>
              <w:t xml:space="preserve"> and age/priming (9-17 years, 3-8 years primed and 3-8 years </w:t>
            </w:r>
            <w:proofErr w:type="spellStart"/>
            <w:r w:rsidRPr="00B91882">
              <w:rPr>
                <w:rFonts w:cs="Times New Roman"/>
                <w:sz w:val="20"/>
              </w:rPr>
              <w:t>unprimed</w:t>
            </w:r>
            <w:proofErr w:type="spellEnd"/>
            <w:r w:rsidRPr="00B91882">
              <w:rPr>
                <w:rFonts w:cs="Times New Roman"/>
                <w:sz w:val="20"/>
              </w:rPr>
              <w:t>)</w:t>
            </w:r>
          </w:p>
        </w:tc>
      </w:tr>
    </w:tbl>
    <w:p w14:paraId="5FE79A16" w14:textId="77777777" w:rsidR="0015240E" w:rsidRDefault="0015240E" w:rsidP="0015240E">
      <w:pPr>
        <w:ind w:left="720"/>
        <w:rPr>
          <w:rFonts w:cs="Arial"/>
        </w:rPr>
      </w:pPr>
    </w:p>
    <w:p w14:paraId="52C7608C" w14:textId="03D138D0" w:rsidR="0015240E" w:rsidRDefault="00B91882" w:rsidP="00F718EC">
      <w:r w:rsidRPr="00B91882">
        <w:t>These reactions usually disappear within 1-</w:t>
      </w:r>
      <w:r w:rsidR="005147C1">
        <w:t>3</w:t>
      </w:r>
      <w:r w:rsidR="005147C1" w:rsidRPr="00B91882">
        <w:t xml:space="preserve"> </w:t>
      </w:r>
      <w:r w:rsidRPr="00B91882">
        <w:t>days without treatment.</w:t>
      </w:r>
    </w:p>
    <w:p w14:paraId="50A8BCC2" w14:textId="119AD8E9" w:rsidR="004B10D9" w:rsidRDefault="004B10D9">
      <w:pPr>
        <w:spacing w:after="200" w:line="276" w:lineRule="auto"/>
        <w:jc w:val="left"/>
        <w:rPr>
          <w:rFonts w:eastAsia="SimSun" w:cs="Arial"/>
          <w:b/>
          <w:bCs/>
          <w:snapToGrid w:val="0"/>
          <w:color w:val="000000"/>
          <w:lang w:eastAsia="fr-FR"/>
        </w:rPr>
      </w:pPr>
    </w:p>
    <w:p w14:paraId="7B1004F9" w14:textId="3CA3C3FA" w:rsidR="004B10D9" w:rsidRPr="002C106E" w:rsidRDefault="004B10D9" w:rsidP="002C106E">
      <w:pPr>
        <w:widowControl w:val="0"/>
        <w:autoSpaceDE w:val="0"/>
        <w:autoSpaceDN w:val="0"/>
        <w:adjustRightInd w:val="0"/>
        <w:rPr>
          <w:rFonts w:eastAsia="SimSun" w:cs="Arial"/>
          <w:snapToGrid w:val="0"/>
          <w:color w:val="000000"/>
          <w:lang w:eastAsia="fr-FR"/>
        </w:rPr>
      </w:pPr>
      <w:r w:rsidRPr="002C106E">
        <w:rPr>
          <w:rFonts w:eastAsia="SimSun" w:cs="Arial"/>
          <w:b/>
          <w:bCs/>
          <w:snapToGrid w:val="0"/>
          <w:color w:val="000000"/>
          <w:lang w:eastAsia="fr-FR"/>
        </w:rPr>
        <w:t xml:space="preserve">Table 3: Percentage of Solicited Injection-Site Reactions and Systemic Adverse Events in </w:t>
      </w:r>
      <w:r>
        <w:rPr>
          <w:rFonts w:eastAsia="SimSun" w:cs="Arial"/>
          <w:b/>
          <w:bCs/>
          <w:snapToGrid w:val="0"/>
          <w:color w:val="000000"/>
          <w:lang w:eastAsia="fr-FR"/>
        </w:rPr>
        <w:t>C</w:t>
      </w:r>
      <w:r w:rsidRPr="002C106E">
        <w:rPr>
          <w:rFonts w:eastAsia="SimSun" w:cs="Arial"/>
          <w:b/>
          <w:bCs/>
          <w:snapToGrid w:val="0"/>
          <w:color w:val="000000"/>
          <w:lang w:eastAsia="fr-FR"/>
        </w:rPr>
        <w:t xml:space="preserve">hildren aged 6 </w:t>
      </w:r>
      <w:r w:rsidR="00B503EE">
        <w:rPr>
          <w:rFonts w:eastAsia="SimSun" w:cs="Arial"/>
          <w:b/>
          <w:bCs/>
          <w:snapToGrid w:val="0"/>
          <w:color w:val="000000"/>
          <w:lang w:eastAsia="fr-FR"/>
        </w:rPr>
        <w:t xml:space="preserve">to 35 </w:t>
      </w:r>
      <w:r w:rsidRPr="002C106E">
        <w:rPr>
          <w:rFonts w:eastAsia="SimSun" w:cs="Arial"/>
          <w:b/>
          <w:bCs/>
          <w:snapToGrid w:val="0"/>
          <w:color w:val="000000"/>
          <w:lang w:eastAsia="fr-FR"/>
        </w:rPr>
        <w:t xml:space="preserve">months after Vaccination with </w:t>
      </w:r>
      <w:r w:rsidR="00B503EE">
        <w:rPr>
          <w:rFonts w:eastAsia="SimSun" w:cs="Arial"/>
          <w:b/>
          <w:bCs/>
          <w:snapToGrid w:val="0"/>
          <w:color w:val="000000"/>
          <w:lang w:val="en-GB" w:eastAsia="fr-FR"/>
        </w:rPr>
        <w:t>INFLUVAC TETRA</w:t>
      </w:r>
      <w:r w:rsidRPr="002C106E">
        <w:rPr>
          <w:rFonts w:eastAsia="SimSun" w:cs="Arial"/>
          <w:b/>
          <w:bCs/>
          <w:snapToGrid w:val="0"/>
          <w:color w:val="000000"/>
          <w:lang w:val="en-GB" w:eastAsia="fr-FR"/>
        </w:rPr>
        <w:t xml:space="preserve"> </w:t>
      </w:r>
      <w:r w:rsidRPr="002C106E">
        <w:rPr>
          <w:rFonts w:eastAsia="SimSun" w:cs="Arial"/>
          <w:b/>
          <w:bCs/>
          <w:snapToGrid w:val="0"/>
          <w:color w:val="000000"/>
          <w:lang w:eastAsia="fr-FR"/>
        </w:rPr>
        <w:t xml:space="preserve">(Safety Analysis Set) </w:t>
      </w:r>
      <w:r w:rsidR="00C64296">
        <w:rPr>
          <w:rFonts w:eastAsia="SimSun" w:cs="Arial"/>
          <w:b/>
          <w:bCs/>
          <w:snapToGrid w:val="0"/>
          <w:color w:val="000000"/>
          <w:lang w:eastAsia="fr-FR"/>
        </w:rPr>
        <w:t xml:space="preserve">versus </w:t>
      </w:r>
      <w:r>
        <w:rPr>
          <w:rFonts w:eastAsia="SimSun" w:cs="Arial"/>
          <w:b/>
          <w:bCs/>
          <w:snapToGrid w:val="0"/>
          <w:color w:val="000000"/>
          <w:lang w:eastAsia="fr-FR"/>
        </w:rPr>
        <w:t>C</w:t>
      </w:r>
      <w:r w:rsidRPr="002C106E">
        <w:rPr>
          <w:rFonts w:eastAsia="SimSun" w:cs="Arial"/>
          <w:b/>
          <w:bCs/>
          <w:snapToGrid w:val="0"/>
          <w:color w:val="000000"/>
          <w:lang w:eastAsia="fr-FR"/>
        </w:rPr>
        <w:t>omparator</w:t>
      </w:r>
    </w:p>
    <w:p w14:paraId="309BB839" w14:textId="77777777" w:rsidR="004B10D9" w:rsidRPr="001B4C08" w:rsidRDefault="004B10D9" w:rsidP="004B10D9">
      <w:pPr>
        <w:autoSpaceDE w:val="0"/>
        <w:autoSpaceDN w:val="0"/>
        <w:adjustRightInd w:val="0"/>
        <w:ind w:left="760"/>
        <w:rPr>
          <w:rFonts w:cs="Arial"/>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15"/>
        <w:gridCol w:w="2843"/>
        <w:gridCol w:w="2243"/>
        <w:gridCol w:w="2991"/>
      </w:tblGrid>
      <w:tr w:rsidR="004B10D9" w:rsidRPr="00E551F4" w14:paraId="4B913617" w14:textId="77777777" w:rsidTr="002C106E">
        <w:trPr>
          <w:trHeight w:hRule="exact" w:val="1375"/>
        </w:trPr>
        <w:tc>
          <w:tcPr>
            <w:tcW w:w="790" w:type="pct"/>
          </w:tcPr>
          <w:p w14:paraId="60F72E9C" w14:textId="77777777" w:rsidR="004B10D9" w:rsidRPr="006531AC" w:rsidRDefault="004B10D9" w:rsidP="002C106E">
            <w:pPr>
              <w:autoSpaceDE w:val="0"/>
              <w:autoSpaceDN w:val="0"/>
              <w:adjustRightInd w:val="0"/>
              <w:spacing w:before="120" w:after="120"/>
              <w:jc w:val="center"/>
              <w:rPr>
                <w:rFonts w:cs="Arial"/>
                <w:b/>
                <w:sz w:val="20"/>
              </w:rPr>
            </w:pPr>
          </w:p>
        </w:tc>
        <w:tc>
          <w:tcPr>
            <w:tcW w:w="1482" w:type="pct"/>
          </w:tcPr>
          <w:p w14:paraId="05C3F097" w14:textId="77777777" w:rsidR="004B10D9" w:rsidRPr="006531AC" w:rsidRDefault="004B10D9" w:rsidP="002C106E">
            <w:pPr>
              <w:autoSpaceDE w:val="0"/>
              <w:autoSpaceDN w:val="0"/>
              <w:adjustRightInd w:val="0"/>
              <w:spacing w:before="120" w:after="120"/>
              <w:jc w:val="center"/>
              <w:rPr>
                <w:rFonts w:cs="Arial"/>
                <w:b/>
                <w:sz w:val="20"/>
              </w:rPr>
            </w:pPr>
            <w:r w:rsidRPr="006531AC">
              <w:rPr>
                <w:rFonts w:cs="Arial"/>
                <w:b/>
                <w:sz w:val="20"/>
              </w:rPr>
              <w:t>Solicited Reaction</w:t>
            </w:r>
          </w:p>
        </w:tc>
        <w:tc>
          <w:tcPr>
            <w:tcW w:w="1169" w:type="pct"/>
            <w:tcBorders>
              <w:bottom w:val="nil"/>
            </w:tcBorders>
          </w:tcPr>
          <w:p w14:paraId="48F18322" w14:textId="71A22209" w:rsidR="004B10D9" w:rsidRPr="00BA422E" w:rsidRDefault="00B503EE" w:rsidP="002C106E">
            <w:pPr>
              <w:kinsoku w:val="0"/>
              <w:overflowPunct w:val="0"/>
              <w:autoSpaceDE w:val="0"/>
              <w:autoSpaceDN w:val="0"/>
              <w:adjustRightInd w:val="0"/>
              <w:spacing w:before="120" w:after="120"/>
              <w:ind w:left="135" w:hanging="135"/>
              <w:jc w:val="center"/>
              <w:rPr>
                <w:rFonts w:cs="Arial"/>
                <w:sz w:val="20"/>
              </w:rPr>
            </w:pPr>
            <w:r>
              <w:rPr>
                <w:rFonts w:cs="Arial"/>
                <w:b/>
                <w:bCs/>
                <w:sz w:val="20"/>
                <w:lang w:val="de-DE"/>
              </w:rPr>
              <w:t>INFLUVAC TETRA</w:t>
            </w:r>
            <w:r w:rsidR="004B10D9">
              <w:rPr>
                <w:rFonts w:cs="Arial"/>
                <w:b/>
                <w:bCs/>
                <w:sz w:val="20"/>
                <w:vertAlign w:val="superscript"/>
              </w:rPr>
              <w:br/>
            </w:r>
            <w:r w:rsidR="004B10D9" w:rsidRPr="00BA422E">
              <w:rPr>
                <w:rFonts w:cs="Arial"/>
                <w:b/>
                <w:bCs/>
                <w:sz w:val="20"/>
                <w:lang w:val="de-DE"/>
              </w:rPr>
              <w:t>N=</w:t>
            </w:r>
            <w:r w:rsidR="004B10D9">
              <w:rPr>
                <w:rFonts w:cs="Arial"/>
                <w:b/>
                <w:bCs/>
                <w:sz w:val="20"/>
                <w:lang w:val="de-DE"/>
              </w:rPr>
              <w:t>1005</w:t>
            </w:r>
          </w:p>
        </w:tc>
        <w:tc>
          <w:tcPr>
            <w:tcW w:w="1559" w:type="pct"/>
          </w:tcPr>
          <w:p w14:paraId="7440849E" w14:textId="77777777" w:rsidR="004B10D9" w:rsidRPr="00BA422E" w:rsidRDefault="004B10D9" w:rsidP="002C106E">
            <w:pPr>
              <w:kinsoku w:val="0"/>
              <w:overflowPunct w:val="0"/>
              <w:autoSpaceDE w:val="0"/>
              <w:autoSpaceDN w:val="0"/>
              <w:adjustRightInd w:val="0"/>
              <w:spacing w:before="120" w:line="248" w:lineRule="exact"/>
              <w:ind w:left="159"/>
              <w:jc w:val="center"/>
              <w:rPr>
                <w:rFonts w:cs="Arial"/>
                <w:b/>
                <w:bCs/>
                <w:sz w:val="20"/>
              </w:rPr>
            </w:pPr>
            <w:r>
              <w:rPr>
                <w:rFonts w:cs="Arial"/>
                <w:b/>
                <w:bCs/>
                <w:sz w:val="20"/>
              </w:rPr>
              <w:t>NIV*</w:t>
            </w:r>
            <w:r>
              <w:rPr>
                <w:rFonts w:cs="Arial"/>
                <w:b/>
                <w:bCs/>
                <w:sz w:val="20"/>
              </w:rPr>
              <w:br/>
            </w:r>
            <w:r w:rsidRPr="00BA422E">
              <w:rPr>
                <w:rFonts w:cs="Arial"/>
                <w:b/>
                <w:bCs/>
                <w:sz w:val="20"/>
              </w:rPr>
              <w:t>N=</w:t>
            </w:r>
            <w:r>
              <w:rPr>
                <w:rFonts w:cs="Arial"/>
                <w:b/>
                <w:bCs/>
                <w:sz w:val="20"/>
              </w:rPr>
              <w:t>995</w:t>
            </w:r>
          </w:p>
          <w:p w14:paraId="6A2C965C" w14:textId="77777777" w:rsidR="004B10D9" w:rsidRPr="00BA422E" w:rsidRDefault="004B10D9" w:rsidP="002C106E">
            <w:pPr>
              <w:kinsoku w:val="0"/>
              <w:overflowPunct w:val="0"/>
              <w:autoSpaceDE w:val="0"/>
              <w:autoSpaceDN w:val="0"/>
              <w:adjustRightInd w:val="0"/>
              <w:spacing w:line="248" w:lineRule="exact"/>
              <w:rPr>
                <w:rFonts w:cs="Arial"/>
                <w:sz w:val="20"/>
              </w:rPr>
            </w:pPr>
          </w:p>
        </w:tc>
      </w:tr>
      <w:tr w:rsidR="004B10D9" w:rsidRPr="00E551F4" w14:paraId="30CA1F16" w14:textId="77777777" w:rsidTr="002C106E">
        <w:trPr>
          <w:trHeight w:hRule="exact" w:val="346"/>
        </w:trPr>
        <w:tc>
          <w:tcPr>
            <w:tcW w:w="5000" w:type="pct"/>
            <w:gridSpan w:val="4"/>
          </w:tcPr>
          <w:p w14:paraId="1CD4F510" w14:textId="77777777" w:rsidR="004B10D9" w:rsidRPr="00BA422E" w:rsidRDefault="004B10D9" w:rsidP="002C106E">
            <w:pPr>
              <w:kinsoku w:val="0"/>
              <w:overflowPunct w:val="0"/>
              <w:autoSpaceDE w:val="0"/>
              <w:autoSpaceDN w:val="0"/>
              <w:adjustRightInd w:val="0"/>
              <w:spacing w:before="37"/>
              <w:ind w:left="100"/>
              <w:rPr>
                <w:rFonts w:cs="Arial"/>
                <w:sz w:val="20"/>
                <w:lang w:val="en-US"/>
              </w:rPr>
            </w:pPr>
            <w:r w:rsidRPr="00BA422E">
              <w:rPr>
                <w:rFonts w:cs="Arial"/>
                <w:b/>
                <w:bCs/>
                <w:sz w:val="20"/>
                <w:lang w:val="en-US"/>
              </w:rPr>
              <w:t>Injection-site reactions</w:t>
            </w:r>
          </w:p>
        </w:tc>
      </w:tr>
      <w:tr w:rsidR="004B10D9" w:rsidRPr="00E551F4" w14:paraId="35A15D87" w14:textId="77777777" w:rsidTr="002C106E">
        <w:trPr>
          <w:trHeight w:hRule="exact" w:val="343"/>
        </w:trPr>
        <w:tc>
          <w:tcPr>
            <w:tcW w:w="790" w:type="pct"/>
            <w:vMerge w:val="restart"/>
          </w:tcPr>
          <w:p w14:paraId="55175247" w14:textId="77777777" w:rsidR="004B10D9" w:rsidRPr="00BA422E" w:rsidRDefault="004B10D9" w:rsidP="002C106E">
            <w:pPr>
              <w:kinsoku w:val="0"/>
              <w:overflowPunct w:val="0"/>
              <w:autoSpaceDE w:val="0"/>
              <w:autoSpaceDN w:val="0"/>
              <w:adjustRightInd w:val="0"/>
              <w:spacing w:before="32"/>
              <w:ind w:left="103"/>
              <w:rPr>
                <w:rFonts w:cs="Arial"/>
                <w:sz w:val="20"/>
                <w:lang w:val="en-US"/>
              </w:rPr>
            </w:pPr>
          </w:p>
        </w:tc>
        <w:tc>
          <w:tcPr>
            <w:tcW w:w="1482" w:type="pct"/>
          </w:tcPr>
          <w:p w14:paraId="7ABC4BF9" w14:textId="77777777" w:rsidR="004B10D9" w:rsidRPr="00BA422E" w:rsidRDefault="004B10D9" w:rsidP="002C106E">
            <w:pPr>
              <w:kinsoku w:val="0"/>
              <w:overflowPunct w:val="0"/>
              <w:autoSpaceDE w:val="0"/>
              <w:autoSpaceDN w:val="0"/>
              <w:adjustRightInd w:val="0"/>
              <w:spacing w:before="32"/>
              <w:ind w:left="103"/>
              <w:rPr>
                <w:rFonts w:cs="Arial"/>
                <w:sz w:val="20"/>
                <w:lang w:val="en-US"/>
              </w:rPr>
            </w:pPr>
            <w:r w:rsidRPr="00BA422E">
              <w:rPr>
                <w:rFonts w:cs="Arial"/>
                <w:sz w:val="20"/>
                <w:lang w:val="en-US"/>
              </w:rPr>
              <w:t>Pain</w:t>
            </w:r>
          </w:p>
        </w:tc>
        <w:tc>
          <w:tcPr>
            <w:tcW w:w="1169" w:type="pct"/>
            <w:vAlign w:val="center"/>
          </w:tcPr>
          <w:p w14:paraId="24BB9C06" w14:textId="77777777" w:rsidR="004B10D9" w:rsidRPr="00BA422E" w:rsidRDefault="004B10D9" w:rsidP="002C106E">
            <w:pPr>
              <w:kinsoku w:val="0"/>
              <w:overflowPunct w:val="0"/>
              <w:autoSpaceDE w:val="0"/>
              <w:autoSpaceDN w:val="0"/>
              <w:adjustRightInd w:val="0"/>
              <w:spacing w:before="32"/>
              <w:ind w:left="16"/>
              <w:jc w:val="center"/>
              <w:rPr>
                <w:rFonts w:cs="Arial"/>
                <w:sz w:val="20"/>
                <w:lang w:val="en-US"/>
              </w:rPr>
            </w:pPr>
            <w:r>
              <w:rPr>
                <w:rFonts w:cs="Arial"/>
                <w:sz w:val="20"/>
                <w:lang w:val="en-US"/>
              </w:rPr>
              <w:t>22.6</w:t>
            </w:r>
            <w:r w:rsidRPr="00BA422E">
              <w:rPr>
                <w:rFonts w:cs="Arial"/>
                <w:sz w:val="20"/>
                <w:lang w:val="en-US"/>
              </w:rPr>
              <w:t>%</w:t>
            </w:r>
          </w:p>
        </w:tc>
        <w:tc>
          <w:tcPr>
            <w:tcW w:w="1559" w:type="pct"/>
            <w:vAlign w:val="center"/>
          </w:tcPr>
          <w:p w14:paraId="4C5D62BA" w14:textId="77777777" w:rsidR="004B10D9" w:rsidRPr="00BA422E" w:rsidRDefault="004B10D9" w:rsidP="002C106E">
            <w:pPr>
              <w:kinsoku w:val="0"/>
              <w:overflowPunct w:val="0"/>
              <w:autoSpaceDE w:val="0"/>
              <w:autoSpaceDN w:val="0"/>
              <w:adjustRightInd w:val="0"/>
              <w:spacing w:before="32"/>
              <w:ind w:left="-4" w:firstLine="4"/>
              <w:jc w:val="center"/>
              <w:rPr>
                <w:rFonts w:cs="Arial"/>
                <w:sz w:val="20"/>
                <w:lang w:val="en-US"/>
              </w:rPr>
            </w:pPr>
            <w:r>
              <w:rPr>
                <w:rFonts w:cs="Arial"/>
                <w:sz w:val="20"/>
                <w:lang w:val="en-US"/>
              </w:rPr>
              <w:t>27.0</w:t>
            </w:r>
            <w:r w:rsidRPr="00BA422E">
              <w:rPr>
                <w:rFonts w:cs="Arial"/>
                <w:sz w:val="20"/>
                <w:lang w:val="en-US"/>
              </w:rPr>
              <w:t>%</w:t>
            </w:r>
          </w:p>
        </w:tc>
      </w:tr>
      <w:tr w:rsidR="004B10D9" w:rsidRPr="00E551F4" w14:paraId="05457175" w14:textId="77777777" w:rsidTr="002C106E">
        <w:trPr>
          <w:trHeight w:hRule="exact" w:val="348"/>
        </w:trPr>
        <w:tc>
          <w:tcPr>
            <w:tcW w:w="790" w:type="pct"/>
            <w:vMerge/>
          </w:tcPr>
          <w:p w14:paraId="0A8DC35C" w14:textId="77777777" w:rsidR="004B10D9" w:rsidRPr="00BA422E" w:rsidRDefault="004B10D9" w:rsidP="002C106E">
            <w:pPr>
              <w:kinsoku w:val="0"/>
              <w:overflowPunct w:val="0"/>
              <w:autoSpaceDE w:val="0"/>
              <w:autoSpaceDN w:val="0"/>
              <w:adjustRightInd w:val="0"/>
              <w:spacing w:before="37"/>
              <w:ind w:left="103"/>
              <w:rPr>
                <w:rFonts w:cs="Arial"/>
                <w:sz w:val="20"/>
                <w:lang w:val="en-US"/>
              </w:rPr>
            </w:pPr>
          </w:p>
        </w:tc>
        <w:tc>
          <w:tcPr>
            <w:tcW w:w="1482" w:type="pct"/>
          </w:tcPr>
          <w:p w14:paraId="7B8C668D" w14:textId="77777777" w:rsidR="004B10D9" w:rsidRPr="00BA422E" w:rsidRDefault="004B10D9" w:rsidP="002C106E">
            <w:pPr>
              <w:kinsoku w:val="0"/>
              <w:overflowPunct w:val="0"/>
              <w:autoSpaceDE w:val="0"/>
              <w:autoSpaceDN w:val="0"/>
              <w:adjustRightInd w:val="0"/>
              <w:spacing w:before="37"/>
              <w:ind w:left="103"/>
              <w:rPr>
                <w:rFonts w:cs="Arial"/>
                <w:sz w:val="20"/>
                <w:lang w:val="en-US"/>
              </w:rPr>
            </w:pPr>
            <w:r w:rsidRPr="00BA422E">
              <w:rPr>
                <w:rFonts w:cs="Arial"/>
                <w:sz w:val="20"/>
                <w:lang w:val="en-US"/>
              </w:rPr>
              <w:t>Redness</w:t>
            </w:r>
          </w:p>
        </w:tc>
        <w:tc>
          <w:tcPr>
            <w:tcW w:w="1169" w:type="pct"/>
            <w:vAlign w:val="center"/>
          </w:tcPr>
          <w:p w14:paraId="54473006" w14:textId="77777777" w:rsidR="004B10D9" w:rsidRPr="00BA422E" w:rsidRDefault="004B10D9" w:rsidP="002C106E">
            <w:pPr>
              <w:kinsoku w:val="0"/>
              <w:overflowPunct w:val="0"/>
              <w:autoSpaceDE w:val="0"/>
              <w:autoSpaceDN w:val="0"/>
              <w:adjustRightInd w:val="0"/>
              <w:spacing w:before="34"/>
              <w:ind w:left="16"/>
              <w:jc w:val="center"/>
              <w:rPr>
                <w:rFonts w:cs="Arial"/>
                <w:sz w:val="20"/>
                <w:lang w:val="en-US"/>
              </w:rPr>
            </w:pPr>
            <w:r>
              <w:rPr>
                <w:rFonts w:cs="Arial"/>
                <w:sz w:val="20"/>
                <w:lang w:val="en-US"/>
              </w:rPr>
              <w:t>11.6</w:t>
            </w:r>
            <w:r w:rsidRPr="00BA422E">
              <w:rPr>
                <w:rFonts w:cs="Arial"/>
                <w:sz w:val="20"/>
                <w:lang w:val="en-US"/>
              </w:rPr>
              <w:t>%</w:t>
            </w:r>
          </w:p>
        </w:tc>
        <w:tc>
          <w:tcPr>
            <w:tcW w:w="1559" w:type="pct"/>
            <w:vAlign w:val="center"/>
          </w:tcPr>
          <w:p w14:paraId="4A0A394F" w14:textId="77777777" w:rsidR="004B10D9" w:rsidRPr="00BA422E" w:rsidRDefault="004B10D9" w:rsidP="002C106E">
            <w:pPr>
              <w:kinsoku w:val="0"/>
              <w:overflowPunct w:val="0"/>
              <w:autoSpaceDE w:val="0"/>
              <w:autoSpaceDN w:val="0"/>
              <w:adjustRightInd w:val="0"/>
              <w:spacing w:before="34"/>
              <w:ind w:left="-4" w:firstLine="4"/>
              <w:jc w:val="center"/>
              <w:rPr>
                <w:rFonts w:cs="Arial"/>
                <w:sz w:val="20"/>
                <w:lang w:val="en-US"/>
              </w:rPr>
            </w:pPr>
            <w:r w:rsidRPr="00BA422E">
              <w:rPr>
                <w:rFonts w:cs="Arial"/>
                <w:sz w:val="20"/>
                <w:lang w:val="en-US"/>
              </w:rPr>
              <w:t>1</w:t>
            </w:r>
            <w:r>
              <w:rPr>
                <w:rFonts w:cs="Arial"/>
                <w:sz w:val="20"/>
                <w:lang w:val="en-US"/>
              </w:rPr>
              <w:t>9</w:t>
            </w:r>
            <w:r w:rsidRPr="00BA422E">
              <w:rPr>
                <w:rFonts w:cs="Arial"/>
                <w:sz w:val="20"/>
                <w:lang w:val="en-US"/>
              </w:rPr>
              <w:t>.6%</w:t>
            </w:r>
          </w:p>
        </w:tc>
      </w:tr>
      <w:tr w:rsidR="004B10D9" w:rsidRPr="00E551F4" w14:paraId="3A7BDBE3" w14:textId="77777777" w:rsidTr="002C106E">
        <w:trPr>
          <w:trHeight w:hRule="exact" w:val="348"/>
        </w:trPr>
        <w:tc>
          <w:tcPr>
            <w:tcW w:w="790" w:type="pct"/>
            <w:vMerge/>
          </w:tcPr>
          <w:p w14:paraId="541E3C3E" w14:textId="77777777" w:rsidR="004B10D9" w:rsidRPr="00BA422E" w:rsidRDefault="004B10D9" w:rsidP="002C106E">
            <w:pPr>
              <w:kinsoku w:val="0"/>
              <w:overflowPunct w:val="0"/>
              <w:autoSpaceDE w:val="0"/>
              <w:autoSpaceDN w:val="0"/>
              <w:adjustRightInd w:val="0"/>
              <w:spacing w:before="37"/>
              <w:ind w:left="103"/>
              <w:rPr>
                <w:rFonts w:cs="Arial"/>
                <w:sz w:val="20"/>
                <w:lang w:val="en-US"/>
              </w:rPr>
            </w:pPr>
          </w:p>
        </w:tc>
        <w:tc>
          <w:tcPr>
            <w:tcW w:w="1482" w:type="pct"/>
          </w:tcPr>
          <w:p w14:paraId="26F9ECD8" w14:textId="77777777" w:rsidR="004B10D9" w:rsidRPr="00BA422E" w:rsidRDefault="004B10D9" w:rsidP="002C106E">
            <w:pPr>
              <w:kinsoku w:val="0"/>
              <w:overflowPunct w:val="0"/>
              <w:autoSpaceDE w:val="0"/>
              <w:autoSpaceDN w:val="0"/>
              <w:adjustRightInd w:val="0"/>
              <w:spacing w:before="37"/>
              <w:ind w:left="103"/>
              <w:rPr>
                <w:rFonts w:cs="Arial"/>
                <w:sz w:val="20"/>
                <w:lang w:val="en-US"/>
              </w:rPr>
            </w:pPr>
            <w:r w:rsidRPr="00BA422E">
              <w:rPr>
                <w:rFonts w:cs="Arial"/>
                <w:sz w:val="20"/>
                <w:lang w:val="en-US"/>
              </w:rPr>
              <w:t>Swelling</w:t>
            </w:r>
          </w:p>
        </w:tc>
        <w:tc>
          <w:tcPr>
            <w:tcW w:w="1169" w:type="pct"/>
            <w:vAlign w:val="center"/>
          </w:tcPr>
          <w:p w14:paraId="5CFFD789" w14:textId="77777777" w:rsidR="004B10D9" w:rsidRPr="00BA422E" w:rsidRDefault="004B10D9" w:rsidP="002C106E">
            <w:pPr>
              <w:kinsoku w:val="0"/>
              <w:overflowPunct w:val="0"/>
              <w:autoSpaceDE w:val="0"/>
              <w:autoSpaceDN w:val="0"/>
              <w:adjustRightInd w:val="0"/>
              <w:spacing w:before="34"/>
              <w:ind w:left="16"/>
              <w:jc w:val="center"/>
              <w:rPr>
                <w:rFonts w:cs="Arial"/>
                <w:sz w:val="20"/>
                <w:lang w:val="en-US"/>
              </w:rPr>
            </w:pPr>
            <w:r>
              <w:rPr>
                <w:rFonts w:cs="Arial"/>
                <w:sz w:val="20"/>
                <w:lang w:val="en-US"/>
              </w:rPr>
              <w:t>4.3</w:t>
            </w:r>
            <w:r w:rsidRPr="00BA422E">
              <w:rPr>
                <w:rFonts w:cs="Arial"/>
                <w:sz w:val="20"/>
                <w:lang w:val="en-US"/>
              </w:rPr>
              <w:t>%</w:t>
            </w:r>
          </w:p>
        </w:tc>
        <w:tc>
          <w:tcPr>
            <w:tcW w:w="1559" w:type="pct"/>
            <w:vAlign w:val="center"/>
          </w:tcPr>
          <w:p w14:paraId="5DFC7E08" w14:textId="77777777" w:rsidR="004B10D9" w:rsidRPr="00BA422E" w:rsidRDefault="004B10D9" w:rsidP="002C106E">
            <w:pPr>
              <w:kinsoku w:val="0"/>
              <w:overflowPunct w:val="0"/>
              <w:autoSpaceDE w:val="0"/>
              <w:autoSpaceDN w:val="0"/>
              <w:adjustRightInd w:val="0"/>
              <w:spacing w:before="34"/>
              <w:ind w:left="-4" w:firstLine="4"/>
              <w:jc w:val="center"/>
              <w:rPr>
                <w:rFonts w:cs="Arial"/>
                <w:sz w:val="20"/>
                <w:lang w:val="en-US"/>
              </w:rPr>
            </w:pPr>
            <w:r>
              <w:rPr>
                <w:rFonts w:cs="Arial"/>
                <w:sz w:val="20"/>
                <w:lang w:val="en-US"/>
              </w:rPr>
              <w:t>7.2</w:t>
            </w:r>
            <w:r w:rsidRPr="00BA422E">
              <w:rPr>
                <w:rFonts w:cs="Arial"/>
                <w:sz w:val="20"/>
                <w:lang w:val="en-US"/>
              </w:rPr>
              <w:t>%</w:t>
            </w:r>
          </w:p>
        </w:tc>
      </w:tr>
      <w:tr w:rsidR="004B10D9" w:rsidRPr="00E551F4" w14:paraId="2E50367E" w14:textId="77777777" w:rsidTr="002C106E">
        <w:trPr>
          <w:trHeight w:hRule="exact" w:val="348"/>
        </w:trPr>
        <w:tc>
          <w:tcPr>
            <w:tcW w:w="790" w:type="pct"/>
            <w:vMerge/>
          </w:tcPr>
          <w:p w14:paraId="3CAF6B48" w14:textId="77777777" w:rsidR="004B10D9" w:rsidRPr="00BA422E" w:rsidRDefault="004B10D9" w:rsidP="002C106E">
            <w:pPr>
              <w:kinsoku w:val="0"/>
              <w:overflowPunct w:val="0"/>
              <w:autoSpaceDE w:val="0"/>
              <w:autoSpaceDN w:val="0"/>
              <w:adjustRightInd w:val="0"/>
              <w:spacing w:before="37"/>
              <w:ind w:left="103"/>
              <w:rPr>
                <w:rFonts w:cs="Arial"/>
                <w:sz w:val="20"/>
                <w:lang w:val="en-US"/>
              </w:rPr>
            </w:pPr>
          </w:p>
        </w:tc>
        <w:tc>
          <w:tcPr>
            <w:tcW w:w="1482" w:type="pct"/>
          </w:tcPr>
          <w:p w14:paraId="30B37E80" w14:textId="77777777" w:rsidR="004B10D9" w:rsidRPr="00BA422E" w:rsidRDefault="004B10D9" w:rsidP="002C106E">
            <w:pPr>
              <w:kinsoku w:val="0"/>
              <w:overflowPunct w:val="0"/>
              <w:autoSpaceDE w:val="0"/>
              <w:autoSpaceDN w:val="0"/>
              <w:adjustRightInd w:val="0"/>
              <w:spacing w:before="37"/>
              <w:ind w:left="103"/>
              <w:rPr>
                <w:rFonts w:cs="Arial"/>
                <w:sz w:val="20"/>
                <w:lang w:val="en-US"/>
              </w:rPr>
            </w:pPr>
            <w:r w:rsidRPr="00BA422E">
              <w:rPr>
                <w:rFonts w:cs="Arial"/>
                <w:sz w:val="20"/>
                <w:lang w:val="en-US"/>
              </w:rPr>
              <w:t>Ecchymosis</w:t>
            </w:r>
          </w:p>
        </w:tc>
        <w:tc>
          <w:tcPr>
            <w:tcW w:w="1169" w:type="pct"/>
            <w:vAlign w:val="center"/>
          </w:tcPr>
          <w:p w14:paraId="7108CA11" w14:textId="77777777" w:rsidR="004B10D9" w:rsidRPr="00BA422E" w:rsidRDefault="004B10D9" w:rsidP="002C106E">
            <w:pPr>
              <w:kinsoku w:val="0"/>
              <w:overflowPunct w:val="0"/>
              <w:autoSpaceDE w:val="0"/>
              <w:autoSpaceDN w:val="0"/>
              <w:adjustRightInd w:val="0"/>
              <w:spacing w:before="35"/>
              <w:ind w:left="16"/>
              <w:jc w:val="center"/>
              <w:rPr>
                <w:rFonts w:cs="Arial"/>
                <w:sz w:val="20"/>
                <w:lang w:val="en-US"/>
              </w:rPr>
            </w:pPr>
            <w:r>
              <w:rPr>
                <w:rFonts w:cs="Arial"/>
                <w:sz w:val="20"/>
                <w:lang w:val="en-US"/>
              </w:rPr>
              <w:t>4.0</w:t>
            </w:r>
            <w:r w:rsidRPr="00BA422E">
              <w:rPr>
                <w:rFonts w:cs="Arial"/>
                <w:sz w:val="20"/>
                <w:lang w:val="en-US"/>
              </w:rPr>
              <w:t>%</w:t>
            </w:r>
          </w:p>
        </w:tc>
        <w:tc>
          <w:tcPr>
            <w:tcW w:w="1559" w:type="pct"/>
            <w:vAlign w:val="center"/>
          </w:tcPr>
          <w:p w14:paraId="793CD8A5" w14:textId="77777777" w:rsidR="004B10D9" w:rsidRPr="00BA422E" w:rsidRDefault="004B10D9" w:rsidP="002C106E">
            <w:pPr>
              <w:kinsoku w:val="0"/>
              <w:overflowPunct w:val="0"/>
              <w:autoSpaceDE w:val="0"/>
              <w:autoSpaceDN w:val="0"/>
              <w:adjustRightInd w:val="0"/>
              <w:spacing w:before="34"/>
              <w:ind w:left="-4" w:firstLine="4"/>
              <w:jc w:val="center"/>
              <w:rPr>
                <w:rFonts w:cs="Arial"/>
                <w:sz w:val="20"/>
                <w:lang w:val="en-US"/>
              </w:rPr>
            </w:pPr>
            <w:r w:rsidRPr="00BA422E">
              <w:rPr>
                <w:rFonts w:cs="Arial"/>
                <w:sz w:val="20"/>
                <w:lang w:val="en-US"/>
              </w:rPr>
              <w:t>4.</w:t>
            </w:r>
            <w:r>
              <w:rPr>
                <w:rFonts w:cs="Arial"/>
                <w:sz w:val="20"/>
                <w:lang w:val="en-US"/>
              </w:rPr>
              <w:t>8</w:t>
            </w:r>
            <w:r w:rsidRPr="00BA422E">
              <w:rPr>
                <w:rFonts w:cs="Arial"/>
                <w:sz w:val="20"/>
                <w:lang w:val="en-US"/>
              </w:rPr>
              <w:t>%</w:t>
            </w:r>
          </w:p>
        </w:tc>
      </w:tr>
      <w:tr w:rsidR="004B10D9" w:rsidRPr="00E551F4" w14:paraId="0A5F8D34" w14:textId="77777777" w:rsidTr="002C106E">
        <w:trPr>
          <w:trHeight w:hRule="exact" w:val="348"/>
        </w:trPr>
        <w:tc>
          <w:tcPr>
            <w:tcW w:w="790" w:type="pct"/>
            <w:vMerge/>
          </w:tcPr>
          <w:p w14:paraId="56473FB0" w14:textId="77777777" w:rsidR="004B10D9" w:rsidRPr="00BA422E" w:rsidRDefault="004B10D9" w:rsidP="002C106E">
            <w:pPr>
              <w:kinsoku w:val="0"/>
              <w:overflowPunct w:val="0"/>
              <w:autoSpaceDE w:val="0"/>
              <w:autoSpaceDN w:val="0"/>
              <w:adjustRightInd w:val="0"/>
              <w:spacing w:before="37"/>
              <w:ind w:left="103"/>
              <w:rPr>
                <w:rFonts w:cs="Arial"/>
                <w:sz w:val="20"/>
                <w:lang w:val="en-US"/>
              </w:rPr>
            </w:pPr>
          </w:p>
        </w:tc>
        <w:tc>
          <w:tcPr>
            <w:tcW w:w="1482" w:type="pct"/>
          </w:tcPr>
          <w:p w14:paraId="06631A75" w14:textId="77777777" w:rsidR="004B10D9" w:rsidRPr="008028B2" w:rsidRDefault="004B10D9" w:rsidP="002C106E">
            <w:pPr>
              <w:kinsoku w:val="0"/>
              <w:overflowPunct w:val="0"/>
              <w:autoSpaceDE w:val="0"/>
              <w:autoSpaceDN w:val="0"/>
              <w:adjustRightInd w:val="0"/>
              <w:spacing w:before="37"/>
              <w:ind w:left="103"/>
              <w:rPr>
                <w:rFonts w:cs="Arial"/>
                <w:sz w:val="20"/>
                <w:lang w:val="de-DE"/>
              </w:rPr>
            </w:pPr>
            <w:r w:rsidRPr="00BA422E">
              <w:rPr>
                <w:rFonts w:cs="Arial"/>
                <w:sz w:val="20"/>
                <w:lang w:val="en-US"/>
              </w:rPr>
              <w:t>I</w:t>
            </w:r>
            <w:r w:rsidRPr="008028B2">
              <w:rPr>
                <w:rFonts w:cs="Arial"/>
                <w:sz w:val="20"/>
                <w:lang w:val="de-DE"/>
              </w:rPr>
              <w:t>nduration</w:t>
            </w:r>
          </w:p>
        </w:tc>
        <w:tc>
          <w:tcPr>
            <w:tcW w:w="1169" w:type="pct"/>
            <w:vAlign w:val="center"/>
          </w:tcPr>
          <w:p w14:paraId="22FAB3FA" w14:textId="77777777" w:rsidR="004B10D9" w:rsidRPr="00011C1A" w:rsidRDefault="004B10D9" w:rsidP="002C106E">
            <w:pPr>
              <w:kinsoku w:val="0"/>
              <w:overflowPunct w:val="0"/>
              <w:autoSpaceDE w:val="0"/>
              <w:autoSpaceDN w:val="0"/>
              <w:adjustRightInd w:val="0"/>
              <w:spacing w:before="34"/>
              <w:ind w:left="16"/>
              <w:jc w:val="center"/>
              <w:rPr>
                <w:rFonts w:cs="Arial"/>
                <w:sz w:val="20"/>
                <w:lang w:val="de-DE"/>
              </w:rPr>
            </w:pPr>
            <w:r>
              <w:rPr>
                <w:rFonts w:cs="Arial"/>
                <w:sz w:val="20"/>
                <w:lang w:val="de-DE"/>
              </w:rPr>
              <w:t>4</w:t>
            </w:r>
            <w:r w:rsidRPr="00011C1A">
              <w:rPr>
                <w:rFonts w:cs="Arial"/>
                <w:sz w:val="20"/>
                <w:lang w:val="de-DE"/>
              </w:rPr>
              <w:t>.4%</w:t>
            </w:r>
          </w:p>
        </w:tc>
        <w:tc>
          <w:tcPr>
            <w:tcW w:w="1559" w:type="pct"/>
            <w:vAlign w:val="center"/>
          </w:tcPr>
          <w:p w14:paraId="06D73D83" w14:textId="77777777" w:rsidR="004B10D9" w:rsidRPr="00011C1A" w:rsidRDefault="004B10D9" w:rsidP="002C106E">
            <w:pPr>
              <w:kinsoku w:val="0"/>
              <w:overflowPunct w:val="0"/>
              <w:autoSpaceDE w:val="0"/>
              <w:autoSpaceDN w:val="0"/>
              <w:adjustRightInd w:val="0"/>
              <w:spacing w:before="34"/>
              <w:ind w:left="-4" w:firstLine="4"/>
              <w:jc w:val="center"/>
              <w:rPr>
                <w:rFonts w:cs="Arial"/>
                <w:sz w:val="20"/>
                <w:lang w:val="de-DE"/>
              </w:rPr>
            </w:pPr>
            <w:r w:rsidRPr="00011C1A">
              <w:rPr>
                <w:rFonts w:cs="Arial"/>
                <w:sz w:val="20"/>
                <w:lang w:val="de-DE"/>
              </w:rPr>
              <w:t>10.</w:t>
            </w:r>
            <w:r>
              <w:rPr>
                <w:rFonts w:cs="Arial"/>
                <w:sz w:val="20"/>
                <w:lang w:val="de-DE"/>
              </w:rPr>
              <w:t>4</w:t>
            </w:r>
            <w:r w:rsidRPr="00011C1A">
              <w:rPr>
                <w:rFonts w:cs="Arial"/>
                <w:sz w:val="20"/>
                <w:lang w:val="de-DE"/>
              </w:rPr>
              <w:t>%</w:t>
            </w:r>
          </w:p>
        </w:tc>
      </w:tr>
      <w:tr w:rsidR="004B10D9" w:rsidRPr="00E551F4" w14:paraId="621FA322" w14:textId="77777777" w:rsidTr="002C106E">
        <w:trPr>
          <w:trHeight w:hRule="exact" w:val="346"/>
        </w:trPr>
        <w:tc>
          <w:tcPr>
            <w:tcW w:w="5000" w:type="pct"/>
            <w:gridSpan w:val="4"/>
          </w:tcPr>
          <w:p w14:paraId="0EB8C9BA" w14:textId="77777777" w:rsidR="004B10D9" w:rsidRPr="005147C1" w:rsidRDefault="004B10D9" w:rsidP="002C106E">
            <w:pPr>
              <w:kinsoku w:val="0"/>
              <w:overflowPunct w:val="0"/>
              <w:autoSpaceDE w:val="0"/>
              <w:autoSpaceDN w:val="0"/>
              <w:adjustRightInd w:val="0"/>
              <w:spacing w:before="39"/>
              <w:ind w:left="78"/>
              <w:rPr>
                <w:rFonts w:cs="Arial"/>
                <w:iCs/>
                <w:sz w:val="20"/>
                <w:lang w:val="de-DE"/>
              </w:rPr>
            </w:pPr>
            <w:r w:rsidRPr="005147C1">
              <w:rPr>
                <w:rFonts w:cs="Arial"/>
                <w:b/>
                <w:bCs/>
                <w:iCs/>
                <w:sz w:val="20"/>
                <w:lang w:val="de-DE"/>
              </w:rPr>
              <w:t>Systemic reactions</w:t>
            </w:r>
          </w:p>
        </w:tc>
      </w:tr>
      <w:tr w:rsidR="004B10D9" w:rsidRPr="00E551F4" w14:paraId="25FA088F" w14:textId="77777777" w:rsidTr="002C106E">
        <w:trPr>
          <w:trHeight w:hRule="exact" w:val="346"/>
        </w:trPr>
        <w:tc>
          <w:tcPr>
            <w:tcW w:w="790" w:type="pct"/>
            <w:vMerge w:val="restart"/>
          </w:tcPr>
          <w:p w14:paraId="72C242E3" w14:textId="77777777" w:rsidR="004B10D9" w:rsidRPr="00BA422E" w:rsidRDefault="004B10D9" w:rsidP="002C106E">
            <w:pPr>
              <w:kinsoku w:val="0"/>
              <w:overflowPunct w:val="0"/>
              <w:autoSpaceDE w:val="0"/>
              <w:autoSpaceDN w:val="0"/>
              <w:adjustRightInd w:val="0"/>
              <w:spacing w:before="34"/>
              <w:ind w:left="103"/>
              <w:rPr>
                <w:rFonts w:cs="Arial"/>
                <w:sz w:val="20"/>
                <w:lang w:val="de-DE"/>
              </w:rPr>
            </w:pPr>
          </w:p>
          <w:p w14:paraId="218D021E" w14:textId="77777777" w:rsidR="004B10D9" w:rsidRPr="00BA422E" w:rsidRDefault="004B10D9" w:rsidP="002C106E">
            <w:pPr>
              <w:kinsoku w:val="0"/>
              <w:overflowPunct w:val="0"/>
              <w:autoSpaceDE w:val="0"/>
              <w:autoSpaceDN w:val="0"/>
              <w:adjustRightInd w:val="0"/>
              <w:spacing w:before="34"/>
              <w:ind w:left="103"/>
              <w:rPr>
                <w:rFonts w:cs="Arial"/>
                <w:sz w:val="20"/>
                <w:lang w:val="de-DE"/>
              </w:rPr>
            </w:pPr>
          </w:p>
        </w:tc>
        <w:tc>
          <w:tcPr>
            <w:tcW w:w="1482" w:type="pct"/>
          </w:tcPr>
          <w:p w14:paraId="3996F1EB" w14:textId="77777777" w:rsidR="004B10D9" w:rsidRPr="006531AC" w:rsidRDefault="004B10D9"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Fever</w:t>
            </w:r>
          </w:p>
        </w:tc>
        <w:tc>
          <w:tcPr>
            <w:tcW w:w="1169" w:type="pct"/>
            <w:vAlign w:val="center"/>
          </w:tcPr>
          <w:p w14:paraId="6ECBA6F9" w14:textId="77777777" w:rsidR="004B10D9" w:rsidRPr="00D73371" w:rsidRDefault="004B10D9" w:rsidP="002C106E">
            <w:pPr>
              <w:kinsoku w:val="0"/>
              <w:overflowPunct w:val="0"/>
              <w:autoSpaceDE w:val="0"/>
              <w:autoSpaceDN w:val="0"/>
              <w:adjustRightInd w:val="0"/>
              <w:spacing w:before="34"/>
              <w:ind w:left="16"/>
              <w:jc w:val="center"/>
              <w:rPr>
                <w:rFonts w:cs="Arial"/>
                <w:sz w:val="20"/>
                <w:lang w:val="de-DE"/>
              </w:rPr>
            </w:pPr>
            <w:r w:rsidRPr="00D73371">
              <w:rPr>
                <w:rFonts w:cs="Arial"/>
                <w:sz w:val="20"/>
              </w:rPr>
              <w:t>19.3%</w:t>
            </w:r>
          </w:p>
        </w:tc>
        <w:tc>
          <w:tcPr>
            <w:tcW w:w="1559" w:type="pct"/>
            <w:vAlign w:val="center"/>
          </w:tcPr>
          <w:p w14:paraId="15D1A029" w14:textId="77777777" w:rsidR="004B10D9" w:rsidRPr="006531AC" w:rsidRDefault="004B10D9" w:rsidP="002C106E">
            <w:pPr>
              <w:kinsoku w:val="0"/>
              <w:overflowPunct w:val="0"/>
              <w:autoSpaceDE w:val="0"/>
              <w:autoSpaceDN w:val="0"/>
              <w:adjustRightInd w:val="0"/>
              <w:spacing w:before="34"/>
              <w:jc w:val="center"/>
              <w:rPr>
                <w:rFonts w:cs="Arial"/>
                <w:sz w:val="20"/>
                <w:lang w:val="de-DE"/>
              </w:rPr>
            </w:pPr>
            <w:r>
              <w:rPr>
                <w:rFonts w:cs="Arial"/>
                <w:sz w:val="20"/>
              </w:rPr>
              <w:t>18.1</w:t>
            </w:r>
            <w:r w:rsidRPr="006531AC">
              <w:rPr>
                <w:rFonts w:cs="Arial"/>
                <w:sz w:val="20"/>
              </w:rPr>
              <w:t>%</w:t>
            </w:r>
          </w:p>
        </w:tc>
      </w:tr>
      <w:tr w:rsidR="004B10D9" w:rsidRPr="00E551F4" w14:paraId="1E071CBF" w14:textId="77777777" w:rsidTr="002C106E">
        <w:trPr>
          <w:trHeight w:hRule="exact" w:val="346"/>
        </w:trPr>
        <w:tc>
          <w:tcPr>
            <w:tcW w:w="790" w:type="pct"/>
            <w:vMerge/>
          </w:tcPr>
          <w:p w14:paraId="04270A41" w14:textId="77777777" w:rsidR="004B10D9" w:rsidRPr="00BA422E" w:rsidRDefault="004B10D9" w:rsidP="002C106E">
            <w:pPr>
              <w:kinsoku w:val="0"/>
              <w:overflowPunct w:val="0"/>
              <w:autoSpaceDE w:val="0"/>
              <w:autoSpaceDN w:val="0"/>
              <w:adjustRightInd w:val="0"/>
              <w:spacing w:before="34"/>
              <w:ind w:left="103"/>
              <w:rPr>
                <w:rFonts w:cs="Arial"/>
                <w:sz w:val="20"/>
                <w:lang w:val="de-DE"/>
              </w:rPr>
            </w:pPr>
          </w:p>
        </w:tc>
        <w:tc>
          <w:tcPr>
            <w:tcW w:w="1482" w:type="pct"/>
          </w:tcPr>
          <w:p w14:paraId="68C10AD8" w14:textId="77777777" w:rsidR="004B10D9" w:rsidRPr="006531AC" w:rsidRDefault="004B10D9"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Sweating</w:t>
            </w:r>
          </w:p>
        </w:tc>
        <w:tc>
          <w:tcPr>
            <w:tcW w:w="1169" w:type="pct"/>
            <w:vAlign w:val="center"/>
          </w:tcPr>
          <w:p w14:paraId="50C9F941" w14:textId="77777777" w:rsidR="004B10D9" w:rsidRPr="00D73371" w:rsidRDefault="004B10D9" w:rsidP="002C106E">
            <w:pPr>
              <w:kinsoku w:val="0"/>
              <w:overflowPunct w:val="0"/>
              <w:autoSpaceDE w:val="0"/>
              <w:autoSpaceDN w:val="0"/>
              <w:adjustRightInd w:val="0"/>
              <w:spacing w:before="34"/>
              <w:ind w:left="16"/>
              <w:jc w:val="center"/>
              <w:rPr>
                <w:rFonts w:cs="Arial"/>
                <w:sz w:val="20"/>
                <w:lang w:val="de-DE"/>
              </w:rPr>
            </w:pPr>
            <w:r w:rsidRPr="00D73371">
              <w:rPr>
                <w:rFonts w:cs="Arial"/>
                <w:sz w:val="20"/>
              </w:rPr>
              <w:t>12.4%</w:t>
            </w:r>
          </w:p>
        </w:tc>
        <w:tc>
          <w:tcPr>
            <w:tcW w:w="1559" w:type="pct"/>
            <w:vAlign w:val="center"/>
          </w:tcPr>
          <w:p w14:paraId="6F6C04F5" w14:textId="77777777" w:rsidR="004B10D9" w:rsidRPr="006531AC" w:rsidRDefault="004B10D9" w:rsidP="002C106E">
            <w:pPr>
              <w:kinsoku w:val="0"/>
              <w:overflowPunct w:val="0"/>
              <w:autoSpaceDE w:val="0"/>
              <w:autoSpaceDN w:val="0"/>
              <w:adjustRightInd w:val="0"/>
              <w:spacing w:before="34"/>
              <w:jc w:val="center"/>
              <w:rPr>
                <w:rFonts w:cs="Arial"/>
                <w:sz w:val="20"/>
                <w:lang w:val="de-DE"/>
              </w:rPr>
            </w:pPr>
            <w:r>
              <w:rPr>
                <w:rFonts w:cs="Arial"/>
                <w:sz w:val="20"/>
              </w:rPr>
              <w:t>11.5</w:t>
            </w:r>
            <w:r w:rsidRPr="006531AC">
              <w:rPr>
                <w:rFonts w:cs="Arial"/>
                <w:sz w:val="20"/>
              </w:rPr>
              <w:t>%</w:t>
            </w:r>
          </w:p>
        </w:tc>
      </w:tr>
      <w:tr w:rsidR="004B10D9" w:rsidRPr="00E551F4" w14:paraId="38E91EDE" w14:textId="77777777" w:rsidTr="002C106E">
        <w:trPr>
          <w:trHeight w:hRule="exact" w:val="346"/>
        </w:trPr>
        <w:tc>
          <w:tcPr>
            <w:tcW w:w="790" w:type="pct"/>
            <w:vMerge w:val="restart"/>
          </w:tcPr>
          <w:p w14:paraId="11E69B0A" w14:textId="77777777" w:rsidR="004B10D9" w:rsidRPr="00BA422E" w:rsidRDefault="004B10D9" w:rsidP="002C106E">
            <w:pPr>
              <w:kinsoku w:val="0"/>
              <w:overflowPunct w:val="0"/>
              <w:autoSpaceDE w:val="0"/>
              <w:autoSpaceDN w:val="0"/>
              <w:adjustRightInd w:val="0"/>
              <w:spacing w:before="37"/>
              <w:ind w:left="103"/>
              <w:rPr>
                <w:rFonts w:cs="Arial"/>
                <w:sz w:val="20"/>
                <w:lang w:val="de-DE"/>
              </w:rPr>
            </w:pPr>
          </w:p>
        </w:tc>
        <w:tc>
          <w:tcPr>
            <w:tcW w:w="1482" w:type="pct"/>
          </w:tcPr>
          <w:p w14:paraId="56D68554" w14:textId="77777777" w:rsidR="004B10D9" w:rsidRPr="006531AC" w:rsidRDefault="004B10D9"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Irritability</w:t>
            </w:r>
          </w:p>
        </w:tc>
        <w:tc>
          <w:tcPr>
            <w:tcW w:w="1169" w:type="pct"/>
            <w:vAlign w:val="center"/>
          </w:tcPr>
          <w:p w14:paraId="7EC5D847" w14:textId="77777777" w:rsidR="004B10D9" w:rsidRPr="00D73371" w:rsidRDefault="004B10D9" w:rsidP="002C106E">
            <w:pPr>
              <w:kinsoku w:val="0"/>
              <w:overflowPunct w:val="0"/>
              <w:autoSpaceDE w:val="0"/>
              <w:autoSpaceDN w:val="0"/>
              <w:adjustRightInd w:val="0"/>
              <w:spacing w:before="34"/>
              <w:ind w:left="16"/>
              <w:jc w:val="center"/>
              <w:rPr>
                <w:rFonts w:cs="Arial"/>
                <w:sz w:val="20"/>
              </w:rPr>
            </w:pPr>
            <w:r w:rsidRPr="00D73371">
              <w:rPr>
                <w:rFonts w:cs="Arial"/>
                <w:sz w:val="20"/>
              </w:rPr>
              <w:t>30.2%</w:t>
            </w:r>
          </w:p>
        </w:tc>
        <w:tc>
          <w:tcPr>
            <w:tcW w:w="1559" w:type="pct"/>
            <w:vAlign w:val="center"/>
          </w:tcPr>
          <w:p w14:paraId="07072A29" w14:textId="77777777" w:rsidR="004B10D9" w:rsidRPr="006531AC" w:rsidRDefault="004B10D9" w:rsidP="002C106E">
            <w:pPr>
              <w:kinsoku w:val="0"/>
              <w:overflowPunct w:val="0"/>
              <w:autoSpaceDE w:val="0"/>
              <w:autoSpaceDN w:val="0"/>
              <w:adjustRightInd w:val="0"/>
              <w:spacing w:before="34"/>
              <w:jc w:val="center"/>
              <w:rPr>
                <w:rFonts w:cs="Arial"/>
                <w:sz w:val="20"/>
              </w:rPr>
            </w:pPr>
            <w:r>
              <w:rPr>
                <w:rFonts w:cs="Arial"/>
                <w:sz w:val="20"/>
              </w:rPr>
              <w:t>33.6</w:t>
            </w:r>
            <w:r w:rsidRPr="006531AC">
              <w:rPr>
                <w:rFonts w:cs="Arial"/>
                <w:sz w:val="20"/>
              </w:rPr>
              <w:t>%</w:t>
            </w:r>
          </w:p>
        </w:tc>
      </w:tr>
      <w:tr w:rsidR="004B10D9" w:rsidRPr="00E551F4" w14:paraId="4010D157" w14:textId="77777777" w:rsidTr="002C106E">
        <w:trPr>
          <w:trHeight w:hRule="exact" w:val="346"/>
        </w:trPr>
        <w:tc>
          <w:tcPr>
            <w:tcW w:w="790" w:type="pct"/>
            <w:vMerge/>
          </w:tcPr>
          <w:p w14:paraId="6251F86C" w14:textId="77777777" w:rsidR="004B10D9" w:rsidRPr="00BA422E" w:rsidRDefault="004B10D9" w:rsidP="002C106E">
            <w:pPr>
              <w:kinsoku w:val="0"/>
              <w:overflowPunct w:val="0"/>
              <w:autoSpaceDE w:val="0"/>
              <w:autoSpaceDN w:val="0"/>
              <w:adjustRightInd w:val="0"/>
              <w:spacing w:before="37"/>
              <w:ind w:left="103"/>
              <w:rPr>
                <w:rFonts w:cs="Arial"/>
                <w:sz w:val="20"/>
                <w:lang w:val="de-DE"/>
              </w:rPr>
            </w:pPr>
          </w:p>
        </w:tc>
        <w:tc>
          <w:tcPr>
            <w:tcW w:w="1482" w:type="pct"/>
          </w:tcPr>
          <w:p w14:paraId="7DB435E6" w14:textId="77777777" w:rsidR="004B10D9" w:rsidRPr="006531AC" w:rsidRDefault="004B10D9"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Drowsiness</w:t>
            </w:r>
          </w:p>
        </w:tc>
        <w:tc>
          <w:tcPr>
            <w:tcW w:w="1169" w:type="pct"/>
            <w:vAlign w:val="center"/>
          </w:tcPr>
          <w:p w14:paraId="0584C3A0" w14:textId="77777777" w:rsidR="004B10D9" w:rsidRPr="00D73371" w:rsidRDefault="004B10D9" w:rsidP="002C106E">
            <w:pPr>
              <w:kinsoku w:val="0"/>
              <w:overflowPunct w:val="0"/>
              <w:autoSpaceDE w:val="0"/>
              <w:autoSpaceDN w:val="0"/>
              <w:adjustRightInd w:val="0"/>
              <w:spacing w:before="34"/>
              <w:ind w:left="16"/>
              <w:jc w:val="center"/>
              <w:rPr>
                <w:rFonts w:cs="Arial"/>
                <w:sz w:val="20"/>
              </w:rPr>
            </w:pPr>
            <w:r w:rsidRPr="00D73371">
              <w:rPr>
                <w:rFonts w:cs="Arial"/>
                <w:sz w:val="20"/>
              </w:rPr>
              <w:t>17.5%</w:t>
            </w:r>
          </w:p>
        </w:tc>
        <w:tc>
          <w:tcPr>
            <w:tcW w:w="1559" w:type="pct"/>
            <w:vAlign w:val="center"/>
          </w:tcPr>
          <w:p w14:paraId="51518965" w14:textId="77777777" w:rsidR="004B10D9" w:rsidRPr="006531AC" w:rsidRDefault="004B10D9" w:rsidP="002C106E">
            <w:pPr>
              <w:kinsoku w:val="0"/>
              <w:overflowPunct w:val="0"/>
              <w:autoSpaceDE w:val="0"/>
              <w:autoSpaceDN w:val="0"/>
              <w:adjustRightInd w:val="0"/>
              <w:spacing w:before="34"/>
              <w:jc w:val="center"/>
              <w:rPr>
                <w:rFonts w:cs="Arial"/>
                <w:sz w:val="20"/>
              </w:rPr>
            </w:pPr>
            <w:r>
              <w:rPr>
                <w:rFonts w:cs="Arial"/>
                <w:sz w:val="20"/>
              </w:rPr>
              <w:t>17.3</w:t>
            </w:r>
            <w:r w:rsidRPr="006531AC">
              <w:rPr>
                <w:rFonts w:cs="Arial"/>
                <w:sz w:val="20"/>
              </w:rPr>
              <w:t>%</w:t>
            </w:r>
          </w:p>
        </w:tc>
      </w:tr>
      <w:tr w:rsidR="004B10D9" w:rsidRPr="00E551F4" w14:paraId="39BB050B" w14:textId="77777777" w:rsidTr="002C106E">
        <w:trPr>
          <w:trHeight w:hRule="exact" w:val="346"/>
        </w:trPr>
        <w:tc>
          <w:tcPr>
            <w:tcW w:w="790" w:type="pct"/>
            <w:vMerge/>
          </w:tcPr>
          <w:p w14:paraId="603BD4CA" w14:textId="77777777" w:rsidR="004B10D9" w:rsidRPr="00BA422E" w:rsidRDefault="004B10D9" w:rsidP="002C106E">
            <w:pPr>
              <w:kinsoku w:val="0"/>
              <w:overflowPunct w:val="0"/>
              <w:autoSpaceDE w:val="0"/>
              <w:autoSpaceDN w:val="0"/>
              <w:adjustRightInd w:val="0"/>
              <w:spacing w:before="37"/>
              <w:ind w:left="103"/>
              <w:rPr>
                <w:rFonts w:cs="Arial"/>
                <w:sz w:val="20"/>
                <w:lang w:val="de-DE"/>
              </w:rPr>
            </w:pPr>
          </w:p>
        </w:tc>
        <w:tc>
          <w:tcPr>
            <w:tcW w:w="1482" w:type="pct"/>
          </w:tcPr>
          <w:p w14:paraId="725F2F95" w14:textId="77777777" w:rsidR="004B10D9" w:rsidRPr="006531AC" w:rsidRDefault="004B10D9"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Diarrhea/Vomiting</w:t>
            </w:r>
          </w:p>
        </w:tc>
        <w:tc>
          <w:tcPr>
            <w:tcW w:w="1169" w:type="pct"/>
            <w:vAlign w:val="center"/>
          </w:tcPr>
          <w:p w14:paraId="48B15E0A" w14:textId="77777777" w:rsidR="004B10D9" w:rsidRPr="00D73371" w:rsidRDefault="004B10D9" w:rsidP="002C106E">
            <w:pPr>
              <w:kinsoku w:val="0"/>
              <w:overflowPunct w:val="0"/>
              <w:autoSpaceDE w:val="0"/>
              <w:autoSpaceDN w:val="0"/>
              <w:adjustRightInd w:val="0"/>
              <w:spacing w:before="34"/>
              <w:ind w:left="16"/>
              <w:jc w:val="center"/>
              <w:rPr>
                <w:rFonts w:cs="Arial"/>
                <w:sz w:val="20"/>
              </w:rPr>
            </w:pPr>
            <w:r w:rsidRPr="00D73371">
              <w:rPr>
                <w:rFonts w:cs="Arial"/>
                <w:sz w:val="20"/>
              </w:rPr>
              <w:t>19.8%</w:t>
            </w:r>
          </w:p>
        </w:tc>
        <w:tc>
          <w:tcPr>
            <w:tcW w:w="1559" w:type="pct"/>
            <w:vAlign w:val="center"/>
          </w:tcPr>
          <w:p w14:paraId="577189A9" w14:textId="77777777" w:rsidR="004B10D9" w:rsidRPr="006531AC" w:rsidRDefault="004B10D9" w:rsidP="002C106E">
            <w:pPr>
              <w:kinsoku w:val="0"/>
              <w:overflowPunct w:val="0"/>
              <w:autoSpaceDE w:val="0"/>
              <w:autoSpaceDN w:val="0"/>
              <w:adjustRightInd w:val="0"/>
              <w:spacing w:before="34"/>
              <w:jc w:val="center"/>
              <w:rPr>
                <w:rFonts w:cs="Arial"/>
                <w:sz w:val="20"/>
              </w:rPr>
            </w:pPr>
            <w:r>
              <w:rPr>
                <w:rFonts w:cs="Arial"/>
                <w:sz w:val="20"/>
              </w:rPr>
              <w:t>18.0</w:t>
            </w:r>
            <w:r w:rsidRPr="006531AC">
              <w:rPr>
                <w:rFonts w:cs="Arial"/>
                <w:sz w:val="20"/>
              </w:rPr>
              <w:t>%</w:t>
            </w:r>
          </w:p>
        </w:tc>
      </w:tr>
      <w:tr w:rsidR="004B10D9" w:rsidRPr="00E551F4" w14:paraId="765DE011" w14:textId="77777777" w:rsidTr="002C106E">
        <w:trPr>
          <w:trHeight w:hRule="exact" w:val="346"/>
        </w:trPr>
        <w:tc>
          <w:tcPr>
            <w:tcW w:w="790" w:type="pct"/>
            <w:vMerge/>
            <w:tcBorders>
              <w:bottom w:val="single" w:sz="4" w:space="0" w:color="auto"/>
            </w:tcBorders>
          </w:tcPr>
          <w:p w14:paraId="56BD3902" w14:textId="77777777" w:rsidR="004B10D9" w:rsidRPr="00BA422E" w:rsidRDefault="004B10D9" w:rsidP="002C106E">
            <w:pPr>
              <w:kinsoku w:val="0"/>
              <w:overflowPunct w:val="0"/>
              <w:autoSpaceDE w:val="0"/>
              <w:autoSpaceDN w:val="0"/>
              <w:adjustRightInd w:val="0"/>
              <w:spacing w:before="37"/>
              <w:ind w:left="103"/>
              <w:rPr>
                <w:rFonts w:cs="Arial"/>
                <w:sz w:val="20"/>
                <w:lang w:val="de-DE"/>
              </w:rPr>
            </w:pPr>
          </w:p>
        </w:tc>
        <w:tc>
          <w:tcPr>
            <w:tcW w:w="1482" w:type="pct"/>
            <w:tcBorders>
              <w:bottom w:val="single" w:sz="4" w:space="0" w:color="auto"/>
            </w:tcBorders>
          </w:tcPr>
          <w:p w14:paraId="3440DC8A" w14:textId="77777777" w:rsidR="004B10D9" w:rsidRPr="006531AC" w:rsidRDefault="004B10D9" w:rsidP="002C106E">
            <w:pPr>
              <w:kinsoku w:val="0"/>
              <w:overflowPunct w:val="0"/>
              <w:autoSpaceDE w:val="0"/>
              <w:autoSpaceDN w:val="0"/>
              <w:adjustRightInd w:val="0"/>
              <w:spacing w:before="37"/>
              <w:ind w:left="103"/>
              <w:rPr>
                <w:rFonts w:cs="Arial"/>
                <w:sz w:val="20"/>
                <w:lang w:val="de-DE"/>
              </w:rPr>
            </w:pPr>
            <w:r w:rsidRPr="006531AC">
              <w:rPr>
                <w:rFonts w:cs="Arial"/>
                <w:sz w:val="20"/>
                <w:lang w:val="de-DE"/>
              </w:rPr>
              <w:t>Loss of appetite</w:t>
            </w:r>
          </w:p>
        </w:tc>
        <w:tc>
          <w:tcPr>
            <w:tcW w:w="1169" w:type="pct"/>
            <w:tcBorders>
              <w:bottom w:val="single" w:sz="4" w:space="0" w:color="auto"/>
            </w:tcBorders>
            <w:vAlign w:val="center"/>
          </w:tcPr>
          <w:p w14:paraId="375979AB" w14:textId="77777777" w:rsidR="004B10D9" w:rsidRPr="00D73371" w:rsidRDefault="004B10D9" w:rsidP="002C106E">
            <w:pPr>
              <w:kinsoku w:val="0"/>
              <w:overflowPunct w:val="0"/>
              <w:autoSpaceDE w:val="0"/>
              <w:autoSpaceDN w:val="0"/>
              <w:adjustRightInd w:val="0"/>
              <w:spacing w:before="34"/>
              <w:ind w:left="16"/>
              <w:jc w:val="center"/>
              <w:rPr>
                <w:rFonts w:cs="Arial"/>
                <w:sz w:val="20"/>
              </w:rPr>
            </w:pPr>
            <w:r w:rsidRPr="00D73371">
              <w:rPr>
                <w:rFonts w:cs="Arial"/>
                <w:sz w:val="20"/>
              </w:rPr>
              <w:t>19.3%</w:t>
            </w:r>
          </w:p>
        </w:tc>
        <w:tc>
          <w:tcPr>
            <w:tcW w:w="1559" w:type="pct"/>
            <w:tcBorders>
              <w:bottom w:val="single" w:sz="4" w:space="0" w:color="auto"/>
            </w:tcBorders>
            <w:vAlign w:val="center"/>
          </w:tcPr>
          <w:p w14:paraId="7E9D5F4C" w14:textId="77777777" w:rsidR="004B10D9" w:rsidRPr="006531AC" w:rsidRDefault="004B10D9" w:rsidP="002C106E">
            <w:pPr>
              <w:kinsoku w:val="0"/>
              <w:overflowPunct w:val="0"/>
              <w:autoSpaceDE w:val="0"/>
              <w:autoSpaceDN w:val="0"/>
              <w:adjustRightInd w:val="0"/>
              <w:spacing w:before="34"/>
              <w:jc w:val="center"/>
              <w:rPr>
                <w:rFonts w:cs="Arial"/>
                <w:sz w:val="20"/>
              </w:rPr>
            </w:pPr>
            <w:r>
              <w:rPr>
                <w:rFonts w:cs="Arial"/>
                <w:sz w:val="20"/>
              </w:rPr>
              <w:t>21.9</w:t>
            </w:r>
            <w:r w:rsidRPr="006531AC">
              <w:rPr>
                <w:rFonts w:cs="Arial"/>
                <w:sz w:val="20"/>
              </w:rPr>
              <w:t>%</w:t>
            </w:r>
          </w:p>
        </w:tc>
      </w:tr>
      <w:tr w:rsidR="004B10D9" w:rsidRPr="00E551F4" w14:paraId="453A552D" w14:textId="77777777" w:rsidTr="002C106E">
        <w:trPr>
          <w:trHeight w:hRule="exact" w:val="659"/>
        </w:trPr>
        <w:tc>
          <w:tcPr>
            <w:tcW w:w="5000" w:type="pct"/>
            <w:gridSpan w:val="4"/>
            <w:tcBorders>
              <w:top w:val="single" w:sz="4" w:space="0" w:color="auto"/>
              <w:left w:val="nil"/>
              <w:bottom w:val="nil"/>
              <w:right w:val="nil"/>
            </w:tcBorders>
          </w:tcPr>
          <w:p w14:paraId="0A69D6F4" w14:textId="77777777" w:rsidR="004B10D9" w:rsidRPr="00A86FED" w:rsidRDefault="004B10D9" w:rsidP="002C106E">
            <w:pPr>
              <w:pStyle w:val="TableLeft"/>
              <w:spacing w:after="0"/>
              <w:ind w:left="164"/>
              <w:rPr>
                <w:rFonts w:eastAsia="SimSun"/>
                <w:bCs w:val="0"/>
                <w:color w:val="000000"/>
                <w:kern w:val="0"/>
                <w:sz w:val="20"/>
                <w:lang w:eastAsia="zh-CN"/>
              </w:rPr>
            </w:pPr>
            <w:r w:rsidRPr="00A86FED">
              <w:rPr>
                <w:rFonts w:eastAsia="SimSun"/>
                <w:bCs w:val="0"/>
                <w:color w:val="000000"/>
                <w:kern w:val="0"/>
                <w:sz w:val="20"/>
                <w:lang w:eastAsia="zh-CN"/>
              </w:rPr>
              <w:t>N is the number of subjects in the safety analysis set</w:t>
            </w:r>
          </w:p>
          <w:p w14:paraId="1967FBFA" w14:textId="5BEF50CB" w:rsidR="004B10D9" w:rsidRPr="00AB1CD8" w:rsidRDefault="004B10D9" w:rsidP="007A6C7D">
            <w:pPr>
              <w:pStyle w:val="Default"/>
              <w:spacing w:before="34"/>
              <w:ind w:left="164"/>
              <w:rPr>
                <w:rFonts w:cs="Arial"/>
                <w:sz w:val="20"/>
                <w:lang w:val="en-US"/>
              </w:rPr>
            </w:pPr>
            <w:r>
              <w:rPr>
                <w:rFonts w:cs="Arial"/>
                <w:sz w:val="20"/>
                <w:lang w:val="en-US"/>
              </w:rPr>
              <w:t>* NIV non</w:t>
            </w:r>
            <w:r w:rsidR="00F34DFD">
              <w:rPr>
                <w:rFonts w:cs="Arial"/>
                <w:sz w:val="20"/>
                <w:lang w:val="en-US"/>
              </w:rPr>
              <w:t>-</w:t>
            </w:r>
            <w:r>
              <w:rPr>
                <w:rFonts w:cs="Arial"/>
                <w:sz w:val="20"/>
                <w:lang w:val="en-US"/>
              </w:rPr>
              <w:t>influenza vaccine</w:t>
            </w:r>
            <w:r w:rsidR="00BD4BAA" w:rsidRPr="00BD4BAA">
              <w:rPr>
                <w:rFonts w:cs="Arial"/>
                <w:sz w:val="20"/>
                <w:lang w:val="en-US"/>
              </w:rPr>
              <w:t xml:space="preserve"> (for</w:t>
            </w:r>
            <w:r w:rsidR="00BD4BAA">
              <w:rPr>
                <w:rFonts w:cs="Arial"/>
                <w:sz w:val="20"/>
                <w:lang w:val="en-US"/>
              </w:rPr>
              <w:t xml:space="preserve"> more details, see </w:t>
            </w:r>
            <w:r w:rsidR="00BD4BAA" w:rsidRPr="00BD4BAA">
              <w:rPr>
                <w:rFonts w:cs="Arial"/>
                <w:b/>
                <w:sz w:val="20"/>
                <w:lang w:val="en-US"/>
              </w:rPr>
              <w:t xml:space="preserve">Section 5.1 </w:t>
            </w:r>
            <w:r w:rsidR="007A6C7D" w:rsidRPr="007A6C7D">
              <w:rPr>
                <w:rFonts w:cs="Arial"/>
                <w:b/>
                <w:sz w:val="20"/>
                <w:lang w:val="en-US"/>
              </w:rPr>
              <w:t>Pharmacodynamic</w:t>
            </w:r>
            <w:r w:rsidR="00BD4BAA" w:rsidRPr="00BD4BAA">
              <w:rPr>
                <w:rFonts w:cs="Arial"/>
                <w:b/>
                <w:sz w:val="20"/>
                <w:lang w:val="en-US"/>
              </w:rPr>
              <w:t xml:space="preserve"> Properties – Clinical Trials</w:t>
            </w:r>
            <w:r w:rsidR="00BD4BAA" w:rsidRPr="00BD4BAA">
              <w:rPr>
                <w:rFonts w:cs="Arial"/>
                <w:sz w:val="20"/>
                <w:lang w:val="en-US"/>
              </w:rPr>
              <w:t>)</w:t>
            </w:r>
          </w:p>
        </w:tc>
      </w:tr>
    </w:tbl>
    <w:p w14:paraId="69E27164" w14:textId="77777777" w:rsidR="004B10D9" w:rsidRDefault="004B10D9" w:rsidP="002C106E">
      <w:pPr>
        <w:autoSpaceDE w:val="0"/>
        <w:autoSpaceDN w:val="0"/>
        <w:adjustRightInd w:val="0"/>
        <w:rPr>
          <w:rFonts w:cs="Arial"/>
          <w:sz w:val="24"/>
          <w:szCs w:val="24"/>
          <w:lang w:eastAsia="zh-CN"/>
        </w:rPr>
      </w:pPr>
    </w:p>
    <w:p w14:paraId="3A531EEF" w14:textId="77777777" w:rsidR="004B10D9" w:rsidRPr="00847E8C" w:rsidRDefault="004B10D9" w:rsidP="002C106E">
      <w:pPr>
        <w:autoSpaceDE w:val="0"/>
        <w:autoSpaceDN w:val="0"/>
        <w:adjustRightInd w:val="0"/>
        <w:rPr>
          <w:rFonts w:cs="Arial"/>
          <w:lang w:eastAsia="zh-CN"/>
        </w:rPr>
      </w:pPr>
      <w:r w:rsidRPr="00847E8C">
        <w:rPr>
          <w:rFonts w:cs="Arial"/>
          <w:lang w:eastAsia="zh-CN"/>
        </w:rPr>
        <w:t>These reactions usually disappear within 1-3 days without treatment.</w:t>
      </w:r>
    </w:p>
    <w:p w14:paraId="0065A5D5" w14:textId="77777777" w:rsidR="004B10D9" w:rsidRDefault="004B10D9" w:rsidP="00F718EC"/>
    <w:p w14:paraId="53C25AE8" w14:textId="42EC4C42" w:rsidR="00B91882" w:rsidRPr="00B91882" w:rsidRDefault="00B91882" w:rsidP="00B91882">
      <w:pPr>
        <w:rPr>
          <w:b/>
          <w:lang w:val="en-GB"/>
        </w:rPr>
      </w:pPr>
      <w:r w:rsidRPr="00B91882">
        <w:rPr>
          <w:b/>
          <w:lang w:val="en-GB"/>
        </w:rPr>
        <w:t xml:space="preserve">Adverse Reactions Reported </w:t>
      </w:r>
      <w:proofErr w:type="gramStart"/>
      <w:r w:rsidRPr="00B91882">
        <w:rPr>
          <w:b/>
          <w:lang w:val="en-GB"/>
        </w:rPr>
        <w:t>From</w:t>
      </w:r>
      <w:proofErr w:type="gramEnd"/>
      <w:r w:rsidRPr="00B91882">
        <w:rPr>
          <w:b/>
          <w:lang w:val="en-GB"/>
        </w:rPr>
        <w:t xml:space="preserve"> Post-Marketing Surveillance </w:t>
      </w:r>
    </w:p>
    <w:p w14:paraId="41B8620C" w14:textId="77777777" w:rsidR="00BA5229" w:rsidRDefault="00BA5229" w:rsidP="00B91882">
      <w:pPr>
        <w:rPr>
          <w:lang w:val="en-GB"/>
        </w:rPr>
      </w:pPr>
    </w:p>
    <w:p w14:paraId="0F8E6F21" w14:textId="4275DFC2" w:rsidR="00B91882" w:rsidRDefault="00E03E43" w:rsidP="00B91882">
      <w:pPr>
        <w:rPr>
          <w:lang w:val="en-GB"/>
        </w:rPr>
      </w:pPr>
      <w:r w:rsidRPr="00E03E43">
        <w:rPr>
          <w:lang w:val="en-GB"/>
        </w:rPr>
        <w:t xml:space="preserve">The following adverse reactions have been observed for </w:t>
      </w:r>
      <w:r w:rsidR="00B503EE">
        <w:rPr>
          <w:lang w:val="en-GB"/>
        </w:rPr>
        <w:t>INFLUVAC</w:t>
      </w:r>
      <w:r w:rsidRPr="00E03E43">
        <w:rPr>
          <w:lang w:val="en-GB"/>
        </w:rPr>
        <w:t xml:space="preserve"> and/or </w:t>
      </w:r>
      <w:r w:rsidR="00B503EE">
        <w:rPr>
          <w:lang w:val="en-GB"/>
        </w:rPr>
        <w:t>INFLUVAC TETRA</w:t>
      </w:r>
      <w:r w:rsidRPr="00E03E43">
        <w:rPr>
          <w:lang w:val="en-GB"/>
        </w:rPr>
        <w:t xml:space="preserve"> during post-marketing surveillance</w:t>
      </w:r>
      <w:r w:rsidRPr="00E03E43">
        <w:rPr>
          <w:vertAlign w:val="superscript"/>
          <w:lang w:val="en-GB"/>
        </w:rPr>
        <w:t>1</w:t>
      </w:r>
      <w:r w:rsidRPr="00E03E43">
        <w:rPr>
          <w:lang w:val="en-GB"/>
        </w:rPr>
        <w:t>.</w:t>
      </w:r>
    </w:p>
    <w:p w14:paraId="2654534E" w14:textId="77777777" w:rsidR="00E03E43" w:rsidRPr="00B91882" w:rsidRDefault="00E03E43" w:rsidP="00B91882">
      <w:pPr>
        <w:rPr>
          <w:lang w:val="en-GB"/>
        </w:rPr>
      </w:pPr>
    </w:p>
    <w:p w14:paraId="7194D5AD" w14:textId="77777777" w:rsidR="00B91882" w:rsidRPr="00B91882" w:rsidRDefault="00B91882" w:rsidP="00B91882">
      <w:pPr>
        <w:rPr>
          <w:u w:val="single"/>
          <w:lang w:val="en-GB"/>
        </w:rPr>
      </w:pPr>
      <w:r w:rsidRPr="00B91882">
        <w:rPr>
          <w:u w:val="single"/>
          <w:lang w:val="en-GB"/>
        </w:rPr>
        <w:t xml:space="preserve">Blood and lymphatic system disorders: </w:t>
      </w:r>
    </w:p>
    <w:p w14:paraId="75D630AD" w14:textId="6649F564" w:rsidR="00B91882" w:rsidRDefault="00B91882" w:rsidP="00B91882">
      <w:pPr>
        <w:rPr>
          <w:lang w:val="en-GB"/>
        </w:rPr>
      </w:pPr>
      <w:r w:rsidRPr="00B91882">
        <w:rPr>
          <w:lang w:val="en-GB"/>
        </w:rPr>
        <w:t>Transient thrombocytopenia, transient lymphadenopathy</w:t>
      </w:r>
    </w:p>
    <w:p w14:paraId="3E57E435" w14:textId="77777777" w:rsidR="00B91882" w:rsidRPr="00B91882" w:rsidRDefault="00B91882" w:rsidP="00B91882">
      <w:pPr>
        <w:rPr>
          <w:lang w:val="en-GB"/>
        </w:rPr>
      </w:pPr>
    </w:p>
    <w:p w14:paraId="35164D2B" w14:textId="77777777" w:rsidR="00B91882" w:rsidRPr="00B91882" w:rsidRDefault="00B91882" w:rsidP="00B91882">
      <w:pPr>
        <w:rPr>
          <w:u w:val="single"/>
          <w:lang w:val="en-GB"/>
        </w:rPr>
      </w:pPr>
      <w:r w:rsidRPr="00B91882">
        <w:rPr>
          <w:u w:val="single"/>
          <w:lang w:val="en-GB"/>
        </w:rPr>
        <w:t xml:space="preserve">Immune system disorders: </w:t>
      </w:r>
    </w:p>
    <w:p w14:paraId="339B28E3" w14:textId="4CDA87CA" w:rsidR="00B91882" w:rsidRDefault="00B91882" w:rsidP="00B91882">
      <w:pPr>
        <w:rPr>
          <w:lang w:val="en-GB"/>
        </w:rPr>
      </w:pPr>
      <w:r w:rsidRPr="00B91882">
        <w:rPr>
          <w:lang w:val="en-GB"/>
        </w:rPr>
        <w:lastRenderedPageBreak/>
        <w:t>Allergic reactions, in rare cases leading to shock, angioedema</w:t>
      </w:r>
    </w:p>
    <w:p w14:paraId="7698359C" w14:textId="77777777" w:rsidR="00B91882" w:rsidRPr="00B91882" w:rsidRDefault="00B91882" w:rsidP="00B91882">
      <w:pPr>
        <w:rPr>
          <w:lang w:val="en-GB"/>
        </w:rPr>
      </w:pPr>
    </w:p>
    <w:p w14:paraId="627C6421" w14:textId="77777777" w:rsidR="00B91882" w:rsidRPr="00B91882" w:rsidRDefault="00B91882" w:rsidP="00B91882">
      <w:pPr>
        <w:rPr>
          <w:u w:val="single"/>
          <w:lang w:val="en-GB"/>
        </w:rPr>
      </w:pPr>
      <w:r w:rsidRPr="00B91882">
        <w:rPr>
          <w:u w:val="single"/>
          <w:lang w:val="en-GB"/>
        </w:rPr>
        <w:t xml:space="preserve">Nervous system disorders: </w:t>
      </w:r>
    </w:p>
    <w:p w14:paraId="591A33C2" w14:textId="484D8AB9" w:rsidR="00B91882" w:rsidRDefault="00B91882" w:rsidP="00B91882">
      <w:pPr>
        <w:rPr>
          <w:lang w:val="en-GB"/>
        </w:rPr>
      </w:pPr>
      <w:r w:rsidRPr="00B91882">
        <w:rPr>
          <w:lang w:val="en-GB"/>
        </w:rPr>
        <w:t>Neuralgia, paraesthesia, febrile convulsions, neurological disorders, such as encephalomyelitis, neuritis and Guillain Barré syndrome</w:t>
      </w:r>
    </w:p>
    <w:p w14:paraId="61CFA828" w14:textId="77777777" w:rsidR="00B91882" w:rsidRPr="00B91882" w:rsidRDefault="00B91882" w:rsidP="00B91882">
      <w:pPr>
        <w:rPr>
          <w:lang w:val="en-GB"/>
        </w:rPr>
      </w:pPr>
    </w:p>
    <w:p w14:paraId="5D407749" w14:textId="77777777" w:rsidR="00B91882" w:rsidRPr="00B91882" w:rsidRDefault="00B91882" w:rsidP="00B91882">
      <w:pPr>
        <w:rPr>
          <w:u w:val="single"/>
          <w:lang w:val="en-GB"/>
        </w:rPr>
      </w:pPr>
      <w:r w:rsidRPr="00B91882">
        <w:rPr>
          <w:u w:val="single"/>
          <w:lang w:val="en-GB"/>
        </w:rPr>
        <w:t xml:space="preserve">Vascular disorders: </w:t>
      </w:r>
    </w:p>
    <w:p w14:paraId="0D2D153F" w14:textId="7672F546" w:rsidR="00B91882" w:rsidRDefault="00B91882" w:rsidP="00B91882">
      <w:pPr>
        <w:rPr>
          <w:lang w:val="en-GB"/>
        </w:rPr>
      </w:pPr>
      <w:r w:rsidRPr="00B91882">
        <w:rPr>
          <w:lang w:val="en-GB"/>
        </w:rPr>
        <w:t>Vasculitis associated in very rare cases with transient renal involvement</w:t>
      </w:r>
    </w:p>
    <w:p w14:paraId="33386A1A" w14:textId="77777777" w:rsidR="00B91882" w:rsidRPr="00B91882" w:rsidRDefault="00B91882" w:rsidP="00B91882">
      <w:pPr>
        <w:rPr>
          <w:lang w:val="en-GB"/>
        </w:rPr>
      </w:pPr>
    </w:p>
    <w:p w14:paraId="1594D0AE" w14:textId="77777777" w:rsidR="00B91882" w:rsidRPr="00B91882" w:rsidRDefault="00B91882" w:rsidP="00B91882">
      <w:pPr>
        <w:rPr>
          <w:u w:val="single"/>
          <w:lang w:val="en-GB"/>
        </w:rPr>
      </w:pPr>
      <w:r w:rsidRPr="00B91882">
        <w:rPr>
          <w:u w:val="single"/>
          <w:lang w:val="en-GB"/>
        </w:rPr>
        <w:t xml:space="preserve">Skin and subcutaneous tissue disorders: </w:t>
      </w:r>
    </w:p>
    <w:p w14:paraId="60A24835" w14:textId="6DA846FC" w:rsidR="00B91882" w:rsidRDefault="00B91882" w:rsidP="00B91882">
      <w:pPr>
        <w:rPr>
          <w:lang w:val="en-GB"/>
        </w:rPr>
      </w:pPr>
      <w:r w:rsidRPr="00B91882">
        <w:rPr>
          <w:lang w:val="en-GB"/>
        </w:rPr>
        <w:t>Generalised skin reactions including pruritus, urticaria or non-specific rash</w:t>
      </w:r>
    </w:p>
    <w:p w14:paraId="6BB82AC7" w14:textId="77777777" w:rsidR="00E03E43" w:rsidRPr="00B91882" w:rsidRDefault="00E03E43" w:rsidP="00B91882">
      <w:pPr>
        <w:rPr>
          <w:lang w:val="en-GB"/>
        </w:rPr>
      </w:pPr>
    </w:p>
    <w:p w14:paraId="63D9DD3D" w14:textId="468813BD" w:rsidR="0015240E" w:rsidRDefault="00E03E43" w:rsidP="00F718EC">
      <w:pPr>
        <w:rPr>
          <w:sz w:val="20"/>
          <w:szCs w:val="20"/>
        </w:rPr>
      </w:pPr>
      <w:r w:rsidRPr="00BA5229">
        <w:rPr>
          <w:sz w:val="20"/>
          <w:szCs w:val="20"/>
          <w:vertAlign w:val="superscript"/>
        </w:rPr>
        <w:t>1</w:t>
      </w:r>
      <w:r w:rsidRPr="00BA5229">
        <w:rPr>
          <w:sz w:val="20"/>
          <w:szCs w:val="20"/>
        </w:rPr>
        <w:t xml:space="preserve">Three of the influenza strains contained in </w:t>
      </w:r>
      <w:r w:rsidR="00B503EE">
        <w:rPr>
          <w:sz w:val="20"/>
          <w:szCs w:val="20"/>
        </w:rPr>
        <w:t>INFLUVAC</w:t>
      </w:r>
      <w:r w:rsidRPr="00BA5229">
        <w:rPr>
          <w:sz w:val="20"/>
          <w:szCs w:val="20"/>
        </w:rPr>
        <w:t xml:space="preserve"> are included in </w:t>
      </w:r>
      <w:r w:rsidR="00B503EE">
        <w:rPr>
          <w:sz w:val="20"/>
          <w:szCs w:val="20"/>
        </w:rPr>
        <w:t>INFLUVAC TETRA</w:t>
      </w:r>
      <w:r w:rsidRPr="00BA5229">
        <w:rPr>
          <w:sz w:val="20"/>
          <w:szCs w:val="20"/>
        </w:rPr>
        <w:t>.</w:t>
      </w:r>
    </w:p>
    <w:p w14:paraId="12DF89D2" w14:textId="77777777" w:rsidR="00BA5229" w:rsidRPr="00BA5229" w:rsidRDefault="00BA5229" w:rsidP="00F718EC">
      <w:pPr>
        <w:rPr>
          <w:sz w:val="20"/>
          <w:szCs w:val="20"/>
        </w:rPr>
      </w:pPr>
    </w:p>
    <w:p w14:paraId="7EDF1D64" w14:textId="77777777" w:rsidR="002B424E" w:rsidRPr="0066633F" w:rsidRDefault="002B424E" w:rsidP="0066633F">
      <w:pPr>
        <w:pStyle w:val="Heading3"/>
      </w:pPr>
      <w:r w:rsidRPr="0066633F">
        <w:t xml:space="preserve">Reporting </w:t>
      </w:r>
      <w:r w:rsidR="00F718EC" w:rsidRPr="0066633F">
        <w:t>S</w:t>
      </w:r>
      <w:r w:rsidRPr="0066633F">
        <w:t xml:space="preserve">uspected </w:t>
      </w:r>
      <w:r w:rsidR="00F718EC" w:rsidRPr="0066633F">
        <w:t>A</w:t>
      </w:r>
      <w:r w:rsidRPr="0066633F">
        <w:t xml:space="preserve">dverse </w:t>
      </w:r>
      <w:r w:rsidR="00F718EC" w:rsidRPr="0066633F">
        <w:t>E</w:t>
      </w:r>
      <w:r w:rsidRPr="0066633F">
        <w:t>ffects</w:t>
      </w:r>
    </w:p>
    <w:p w14:paraId="5077732C" w14:textId="4C0E81D5" w:rsidR="00497C85" w:rsidRDefault="00497C85" w:rsidP="00F718EC">
      <w:pPr>
        <w:rPr>
          <w:rFonts w:cs="Times New Roman"/>
          <w:lang w:val="en"/>
        </w:rPr>
      </w:pPr>
      <w:r w:rsidRPr="00497C85">
        <w:rPr>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653382">
          <w:rPr>
            <w:rFonts w:cs="Times New Roman"/>
            <w:lang w:val="en"/>
          </w:rPr>
          <w:t>www.tga.gov.au/reporting-problems</w:t>
        </w:r>
      </w:hyperlink>
      <w:r w:rsidR="00B503EE">
        <w:rPr>
          <w:rFonts w:cs="Times New Roman"/>
          <w:lang w:val="en"/>
        </w:rPr>
        <w:t xml:space="preserve"> or New Zealand at http://nzphvc.otago.ac.nz/reporting</w:t>
      </w:r>
      <w:r w:rsidRPr="00653382">
        <w:rPr>
          <w:rFonts w:cs="Times New Roman"/>
          <w:lang w:val="en"/>
        </w:rPr>
        <w:t>.</w:t>
      </w:r>
    </w:p>
    <w:p w14:paraId="3DE913B0" w14:textId="77777777" w:rsidR="0024424C" w:rsidRDefault="0024424C" w:rsidP="00F718EC">
      <w:pPr>
        <w:rPr>
          <w:lang w:val="en"/>
        </w:rPr>
      </w:pPr>
    </w:p>
    <w:p w14:paraId="4C4C8DBB" w14:textId="77777777" w:rsidR="001A3992" w:rsidRPr="0066633F" w:rsidRDefault="001A3992" w:rsidP="0066633F">
      <w:pPr>
        <w:pStyle w:val="Heading2"/>
      </w:pPr>
      <w:r w:rsidRPr="0066633F">
        <w:t>Overdose</w:t>
      </w:r>
    </w:p>
    <w:p w14:paraId="2FE628F5" w14:textId="48706177" w:rsidR="00B67747" w:rsidRDefault="00B91882" w:rsidP="00B67747">
      <w:pPr>
        <w:rPr>
          <w:lang w:val="en"/>
        </w:rPr>
      </w:pPr>
      <w:r w:rsidRPr="00B91882">
        <w:rPr>
          <w:lang w:val="en"/>
        </w:rPr>
        <w:t>Given the nature of the product and mode of administration the probability of overdosage is negligible.</w:t>
      </w:r>
    </w:p>
    <w:p w14:paraId="3C97A2BA" w14:textId="77777777" w:rsidR="00B91882" w:rsidRDefault="00B91882" w:rsidP="00497C85">
      <w:pPr>
        <w:rPr>
          <w:rFonts w:cs="Times New Roman"/>
          <w:lang w:val="en"/>
        </w:rPr>
      </w:pPr>
    </w:p>
    <w:p w14:paraId="049C1345" w14:textId="22D379D4" w:rsidR="00497C85" w:rsidRDefault="00497C85" w:rsidP="00497C85">
      <w:pPr>
        <w:rPr>
          <w:rFonts w:cs="Times New Roman"/>
          <w:lang w:val="en"/>
        </w:rPr>
      </w:pPr>
      <w:r w:rsidRPr="00653382">
        <w:rPr>
          <w:rFonts w:cs="Times New Roman"/>
          <w:lang w:val="en"/>
        </w:rPr>
        <w:t>For information on the management of overdose, contact the Poisons Information Centre on 13</w:t>
      </w:r>
      <w:r w:rsidR="00B67747" w:rsidRPr="00653382">
        <w:rPr>
          <w:rFonts w:cs="Times New Roman"/>
          <w:lang w:val="en"/>
        </w:rPr>
        <w:t xml:space="preserve"> </w:t>
      </w:r>
      <w:r w:rsidRPr="00653382">
        <w:rPr>
          <w:rFonts w:cs="Times New Roman"/>
          <w:lang w:val="en"/>
        </w:rPr>
        <w:t>11</w:t>
      </w:r>
      <w:r w:rsidR="00B67747" w:rsidRPr="00653382">
        <w:rPr>
          <w:rFonts w:cs="Times New Roman"/>
          <w:lang w:val="en"/>
        </w:rPr>
        <w:t xml:space="preserve"> </w:t>
      </w:r>
      <w:r w:rsidRPr="00653382">
        <w:rPr>
          <w:rFonts w:cs="Times New Roman"/>
          <w:lang w:val="en"/>
        </w:rPr>
        <w:t>26 (Australia)</w:t>
      </w:r>
      <w:r w:rsidR="00B503EE" w:rsidRPr="00B503EE">
        <w:t xml:space="preserve"> </w:t>
      </w:r>
      <w:r w:rsidR="00B503EE" w:rsidRPr="00B503EE">
        <w:rPr>
          <w:rFonts w:cs="Times New Roman"/>
          <w:lang w:val="en"/>
        </w:rPr>
        <w:t>or 0800 POISON or 0800 764 766 (New Zealand)</w:t>
      </w:r>
      <w:r w:rsidRPr="00653382">
        <w:rPr>
          <w:rFonts w:cs="Times New Roman"/>
          <w:lang w:val="en"/>
        </w:rPr>
        <w:t>.</w:t>
      </w:r>
    </w:p>
    <w:p w14:paraId="48F08B7E" w14:textId="77777777" w:rsidR="0024424C" w:rsidRDefault="0024424C" w:rsidP="00497C85">
      <w:pPr>
        <w:rPr>
          <w:rFonts w:cs="Times New Roman"/>
          <w:lang w:val="en"/>
        </w:rPr>
      </w:pPr>
    </w:p>
    <w:p w14:paraId="2771DC50" w14:textId="77777777" w:rsidR="001A3992" w:rsidRPr="0066633F" w:rsidRDefault="001A3992" w:rsidP="0066633F">
      <w:pPr>
        <w:pStyle w:val="Heading1"/>
      </w:pPr>
      <w:r w:rsidRPr="0066633F">
        <w:t>Pharmacological properties</w:t>
      </w:r>
    </w:p>
    <w:p w14:paraId="561DB15E" w14:textId="77777777" w:rsidR="001A3992" w:rsidRPr="0066633F" w:rsidRDefault="001B714F" w:rsidP="0066633F">
      <w:pPr>
        <w:pStyle w:val="Heading2"/>
      </w:pPr>
      <w:r w:rsidRPr="0066633F">
        <w:t>Pharmacodynamic properties</w:t>
      </w:r>
    </w:p>
    <w:p w14:paraId="0D1354D5" w14:textId="77777777" w:rsidR="001A3992" w:rsidRDefault="001A3992" w:rsidP="001B714F">
      <w:pPr>
        <w:pStyle w:val="Heading3"/>
      </w:pPr>
      <w:r w:rsidRPr="001B714F">
        <w:t xml:space="preserve">Mechanism of </w:t>
      </w:r>
      <w:r w:rsidR="001B714F">
        <w:t>A</w:t>
      </w:r>
      <w:r w:rsidRPr="001B714F">
        <w:t>ction</w:t>
      </w:r>
    </w:p>
    <w:p w14:paraId="66679D4F" w14:textId="4A9A8FC4" w:rsidR="00B91882" w:rsidRDefault="00B503EE" w:rsidP="00B91882">
      <w:r>
        <w:t>INFLUVAC TETRA</w:t>
      </w:r>
      <w:r w:rsidR="00B91882">
        <w:t xml:space="preserve"> provides active immunisation against four influenza virus strains: An A/(H1N1) strain, an A/(H3N2) strain, a B/Victoria </w:t>
      </w:r>
      <w:proofErr w:type="gramStart"/>
      <w:r w:rsidR="00B91882">
        <w:t>strain</w:t>
      </w:r>
      <w:proofErr w:type="gramEnd"/>
      <w:r w:rsidR="00B91882">
        <w:t xml:space="preserve"> and a B/Yamagata strain. </w:t>
      </w:r>
      <w:r>
        <w:t>INFLUVAC TETRA</w:t>
      </w:r>
      <w:r w:rsidR="00B91882">
        <w:t xml:space="preserve">, manufactured according to the same process as trivalent influenza vaccine </w:t>
      </w:r>
      <w:r>
        <w:t>INFLUVAC</w:t>
      </w:r>
      <w:r w:rsidR="00B91882">
        <w:t>, induces humoral antibodies against the haemagglutinins. These antibodies neutralise influenza viruses with matching antigens which has entered the body during infection.</w:t>
      </w:r>
    </w:p>
    <w:p w14:paraId="4EBEA7EE" w14:textId="77777777" w:rsidR="00B91882" w:rsidRDefault="00B91882" w:rsidP="00B91882"/>
    <w:p w14:paraId="300AC9A6" w14:textId="033D3633" w:rsidR="00B91882" w:rsidRDefault="00B91882" w:rsidP="00B91882">
      <w:r>
        <w:t xml:space="preserve">Specific levels of haemagglutination-inhibition (HI) antibody </w:t>
      </w:r>
      <w:proofErr w:type="spellStart"/>
      <w:r>
        <w:t>titer</w:t>
      </w:r>
      <w:proofErr w:type="spellEnd"/>
      <w:r>
        <w:t xml:space="preserve"> post-vaccination with inactivated influenza virus vaccines have not been correlated with protection from influenza illness but the HI antibody </w:t>
      </w:r>
      <w:proofErr w:type="spellStart"/>
      <w:r>
        <w:t>titers</w:t>
      </w:r>
      <w:proofErr w:type="spellEnd"/>
      <w:r>
        <w:t xml:space="preserve"> have been used as a measure of vaccine activity.</w:t>
      </w:r>
    </w:p>
    <w:p w14:paraId="5E54E2BF" w14:textId="77777777" w:rsidR="00B91882" w:rsidRDefault="00B91882" w:rsidP="00B91882"/>
    <w:p w14:paraId="39AA32AA" w14:textId="268A3928" w:rsidR="001B714F" w:rsidRDefault="00B91882" w:rsidP="00B91882">
      <w:proofErr w:type="spellStart"/>
      <w:r>
        <w:t>Seroprotection</w:t>
      </w:r>
      <w:proofErr w:type="spellEnd"/>
      <w:r>
        <w:t xml:space="preserve"> is obtained within 2-3 weeks. The duration of post-vaccination immunity to homologous strains or to strains closely related to the vaccine strains varies but is usually between 6-12 months.</w:t>
      </w:r>
    </w:p>
    <w:p w14:paraId="21112EB3" w14:textId="77777777" w:rsidR="00B91882" w:rsidRDefault="00B91882" w:rsidP="00B91882"/>
    <w:p w14:paraId="2ECCB222" w14:textId="77777777" w:rsidR="00F020D4" w:rsidRDefault="00B23C6B" w:rsidP="00B23C6B">
      <w:pPr>
        <w:pStyle w:val="Heading3"/>
      </w:pPr>
      <w:r w:rsidRPr="001B714F">
        <w:t>Clinical</w:t>
      </w:r>
      <w:r>
        <w:t xml:space="preserve"> T</w:t>
      </w:r>
      <w:r w:rsidRPr="001B714F">
        <w:t>rials</w:t>
      </w:r>
    </w:p>
    <w:p w14:paraId="5E2F545B" w14:textId="1FBF7D0A" w:rsidR="00F020D4" w:rsidRDefault="00F020D4" w:rsidP="00556547">
      <w:pPr>
        <w:pStyle w:val="Subheading1"/>
      </w:pPr>
      <w:r>
        <w:t>Vaccine efficacy</w:t>
      </w:r>
      <w:r w:rsidRPr="00B91882">
        <w:t xml:space="preserve"> of </w:t>
      </w:r>
      <w:r w:rsidR="00B503EE">
        <w:t>INFLUVAC TETRA</w:t>
      </w:r>
      <w:r w:rsidRPr="00B91882">
        <w:t>:</w:t>
      </w:r>
    </w:p>
    <w:p w14:paraId="011A4E4C" w14:textId="0AC07AB4" w:rsidR="00F020D4" w:rsidRPr="00EB2C06" w:rsidRDefault="00727262" w:rsidP="00F020D4">
      <w:r w:rsidRPr="00727262">
        <w:t>Study INFQ3003</w:t>
      </w:r>
      <w:r w:rsidR="00F020D4" w:rsidRPr="00EB2C06">
        <w:t xml:space="preserve"> was a Phase III, randomized, observer</w:t>
      </w:r>
      <w:r w:rsidR="00F020D4" w:rsidRPr="00EB2C06">
        <w:noBreakHyphen/>
        <w:t>blind, non-influenza vaccine comparator</w:t>
      </w:r>
      <w:r w:rsidR="00F020D4" w:rsidRPr="00EB2C06">
        <w:noBreakHyphen/>
        <w:t xml:space="preserve">controlled, </w:t>
      </w:r>
      <w:proofErr w:type="spellStart"/>
      <w:r w:rsidR="00F020D4" w:rsidRPr="00EB2C06">
        <w:t>multicenter</w:t>
      </w:r>
      <w:proofErr w:type="spellEnd"/>
      <w:r w:rsidR="00F020D4" w:rsidRPr="00EB2C06">
        <w:t xml:space="preserve">, multi-country (Europe and Asia) </w:t>
      </w:r>
      <w:r w:rsidR="00FD2400">
        <w:t>in subjects aged 6 to 35 months to</w:t>
      </w:r>
      <w:r w:rsidR="00F020D4" w:rsidRPr="00EB2C06">
        <w:t xml:space="preserve"> demonstrate the absolute vaccine efficacy of quadrivalent influenza vaccine (QIV) in the prevention of symptomatic influenza infection due to any circulating seasonal influenza strain </w:t>
      </w:r>
      <w:r w:rsidR="00F020D4">
        <w:t>and</w:t>
      </w:r>
      <w:r w:rsidR="00F020D4" w:rsidRPr="00EB2C06">
        <w:t xml:space="preserve"> </w:t>
      </w:r>
      <w:r w:rsidR="00F020D4" w:rsidRPr="00346B93">
        <w:t xml:space="preserve">of </w:t>
      </w:r>
      <w:proofErr w:type="gramStart"/>
      <w:r w:rsidR="00F020D4" w:rsidRPr="00346B93">
        <w:t>antigenically-matching</w:t>
      </w:r>
      <w:proofErr w:type="gramEnd"/>
      <w:r w:rsidR="00F020D4" w:rsidRPr="00346B93">
        <w:t xml:space="preserve"> influenza strains</w:t>
      </w:r>
      <w:r w:rsidR="00F020D4" w:rsidRPr="00EB2C06">
        <w:t xml:space="preserve"> compared with non</w:t>
      </w:r>
      <w:r w:rsidR="00F020D4" w:rsidRPr="00EB2C06">
        <w:noBreakHyphen/>
        <w:t>influenza vaccines (NIVs)</w:t>
      </w:r>
      <w:r w:rsidR="00F020D4">
        <w:t>.</w:t>
      </w:r>
    </w:p>
    <w:p w14:paraId="693A77B9" w14:textId="77777777" w:rsidR="00F020D4" w:rsidRDefault="00F020D4" w:rsidP="00F020D4"/>
    <w:p w14:paraId="3E5DCBBA" w14:textId="53E8F4DB" w:rsidR="008A1652" w:rsidRDefault="00F020D4" w:rsidP="008A1652">
      <w:pPr>
        <w:rPr>
          <w:rFonts w:cs="Times New Roman"/>
        </w:rPr>
      </w:pPr>
      <w:r w:rsidRPr="00346B93">
        <w:lastRenderedPageBreak/>
        <w:t xml:space="preserve">The study was stratified by the age groups 6-11, 12-18, 19-24, and 25-35 months, with a minimum enrolment of 250 subjects per age group overall. The study included 2 cohorts (Cohort 1 and Cohort 2) and was conducted over 3 influenza seasons (Northern Hemisphere 2017/2018 and 2018/2019, and Southern Hemisphere 2019). </w:t>
      </w:r>
      <w:r w:rsidRPr="00346B93">
        <w:rPr>
          <w:rFonts w:eastAsia="SimSun"/>
        </w:rPr>
        <w:t>QIV</w:t>
      </w:r>
      <w:r w:rsidRPr="00346B93">
        <w:t xml:space="preserve"> vaccination consisted of 2 doses 4 weeks apart, and containing the viral strains recommended </w:t>
      </w:r>
      <w:r w:rsidRPr="00346B93">
        <w:rPr>
          <w:rFonts w:eastAsia="SimSun"/>
        </w:rPr>
        <w:t>for the NH season 2017/2018 for Cohort 1, and for NH season 2018/2019 or SH season 2019 for Cohort 2. The revaccination subset from Cohort 1 received NH 2018/2019</w:t>
      </w:r>
      <w:r>
        <w:rPr>
          <w:rFonts w:eastAsia="SimSun"/>
        </w:rPr>
        <w:t xml:space="preserve"> </w:t>
      </w:r>
      <w:r w:rsidRPr="00346B93">
        <w:rPr>
          <w:rFonts w:eastAsia="SimSun"/>
        </w:rPr>
        <w:t xml:space="preserve">vaccine in </w:t>
      </w:r>
      <w:r>
        <w:rPr>
          <w:rFonts w:eastAsia="SimSun"/>
        </w:rPr>
        <w:t>Y</w:t>
      </w:r>
      <w:r w:rsidRPr="00346B93">
        <w:rPr>
          <w:rFonts w:eastAsia="SimSun"/>
        </w:rPr>
        <w:t>ear 2.</w:t>
      </w:r>
      <w:r w:rsidR="008A1652">
        <w:rPr>
          <w:rFonts w:eastAsia="SimSun"/>
        </w:rPr>
        <w:t xml:space="preserve"> </w:t>
      </w:r>
      <w:r w:rsidR="008A1652" w:rsidRPr="00346B93">
        <w:t xml:space="preserve">A revaccination with QIV was conducted in the second influenza season for </w:t>
      </w:r>
      <w:r w:rsidR="008A1652">
        <w:t xml:space="preserve">334 </w:t>
      </w:r>
      <w:r w:rsidR="008A1652" w:rsidRPr="00346B93">
        <w:t>subjects of Cohort 1 vaccinated with QIV in the first year, to assess the persistence of the immune response to QIV and to assess the immunogenicity and safety following revaccination</w:t>
      </w:r>
      <w:r w:rsidR="008A1652">
        <w:t>.</w:t>
      </w:r>
    </w:p>
    <w:p w14:paraId="269265EA" w14:textId="77777777" w:rsidR="00727262" w:rsidRPr="00346B93" w:rsidRDefault="00727262" w:rsidP="00F020D4">
      <w:pPr>
        <w:rPr>
          <w:rFonts w:eastAsia="SimSun"/>
        </w:rPr>
      </w:pPr>
    </w:p>
    <w:p w14:paraId="13B63917" w14:textId="4C2265EF" w:rsidR="00F020D4" w:rsidRDefault="00F020D4" w:rsidP="00F020D4">
      <w:r w:rsidRPr="00346B93">
        <w:t>The comparator non-influenza vaccine (</w:t>
      </w:r>
      <w:r w:rsidRPr="00346B93">
        <w:rPr>
          <w:rFonts w:eastAsia="SimSun"/>
        </w:rPr>
        <w:t>NIV)</w:t>
      </w:r>
      <w:r w:rsidRPr="00346B93">
        <w:t xml:space="preserve"> was given in the same schedule. </w:t>
      </w:r>
      <w:r>
        <w:t>S</w:t>
      </w:r>
      <w:r w:rsidRPr="00346B93">
        <w:t>ubjects receive</w:t>
      </w:r>
      <w:r>
        <w:t>d</w:t>
      </w:r>
      <w:r w:rsidRPr="00346B93">
        <w:t xml:space="preserve"> pneumococcal conjugate vaccine or meningococcal group C conjugate vaccine if</w:t>
      </w:r>
      <w:r w:rsidR="009C15FC">
        <w:t xml:space="preserve"> </w:t>
      </w:r>
      <w:r w:rsidRPr="00346B93">
        <w:t>6</w:t>
      </w:r>
      <w:r>
        <w:t>-</w:t>
      </w:r>
      <w:r w:rsidRPr="00346B93">
        <w:t>11 months of age, or either hepatitis A, tick</w:t>
      </w:r>
      <w:r w:rsidRPr="00346B93">
        <w:noBreakHyphen/>
        <w:t>borne encephalitis, or varicella vaccine if 12</w:t>
      </w:r>
      <w:r>
        <w:t>-</w:t>
      </w:r>
      <w:r w:rsidRPr="00346B93">
        <w:t>35 months of age, at the time of the first vaccination on Day 1</w:t>
      </w:r>
      <w:r w:rsidR="00FD2400">
        <w:t>.</w:t>
      </w:r>
    </w:p>
    <w:p w14:paraId="737FDC6C" w14:textId="77777777" w:rsidR="00F020D4" w:rsidRPr="00C128C4" w:rsidRDefault="00F020D4" w:rsidP="00F020D4"/>
    <w:p w14:paraId="0B3802A4" w14:textId="1B84834D" w:rsidR="00F020D4" w:rsidRDefault="00F020D4" w:rsidP="00F020D4">
      <w:pPr>
        <w:pStyle w:val="Caption"/>
        <w:widowControl w:val="0"/>
        <w:spacing w:after="0"/>
        <w:jc w:val="both"/>
        <w:rPr>
          <w:rFonts w:eastAsiaTheme="minorHAnsi"/>
          <w:sz w:val="22"/>
          <w:szCs w:val="22"/>
          <w:lang w:val="en-AU"/>
        </w:rPr>
      </w:pPr>
      <w:r>
        <w:rPr>
          <w:rFonts w:eastAsiaTheme="minorHAnsi"/>
          <w:b w:val="0"/>
          <w:bCs w:val="0"/>
          <w:sz w:val="22"/>
          <w:szCs w:val="22"/>
          <w:lang w:val="en-AU"/>
        </w:rPr>
        <w:t>Of the subjects who received both vaccinations, 59</w:t>
      </w:r>
      <w:r w:rsidRPr="008D218B">
        <w:rPr>
          <w:rFonts w:eastAsiaTheme="minorHAnsi"/>
          <w:b w:val="0"/>
          <w:bCs w:val="0"/>
          <w:sz w:val="22"/>
          <w:szCs w:val="22"/>
          <w:lang w:val="en-AU"/>
        </w:rPr>
        <w:t xml:space="preserve"> subjects in the </w:t>
      </w:r>
      <w:r w:rsidR="00B503EE">
        <w:rPr>
          <w:b w:val="0"/>
          <w:bCs w:val="0"/>
          <w:sz w:val="22"/>
          <w:szCs w:val="22"/>
        </w:rPr>
        <w:t>INFLUVAC TETRA</w:t>
      </w:r>
      <w:r w:rsidRPr="008D218B">
        <w:rPr>
          <w:b w:val="0"/>
          <w:bCs w:val="0"/>
          <w:sz w:val="22"/>
          <w:szCs w:val="22"/>
        </w:rPr>
        <w:t xml:space="preserve"> </w:t>
      </w:r>
      <w:r w:rsidRPr="008D218B">
        <w:rPr>
          <w:rFonts w:eastAsiaTheme="minorHAnsi"/>
          <w:b w:val="0"/>
          <w:bCs w:val="0"/>
          <w:sz w:val="22"/>
          <w:szCs w:val="22"/>
          <w:lang w:val="en-AU"/>
        </w:rPr>
        <w:t xml:space="preserve">group and </w:t>
      </w:r>
      <w:r>
        <w:rPr>
          <w:rFonts w:eastAsiaTheme="minorHAnsi"/>
          <w:b w:val="0"/>
          <w:bCs w:val="0"/>
          <w:sz w:val="22"/>
          <w:szCs w:val="22"/>
          <w:lang w:val="en-AU"/>
        </w:rPr>
        <w:t>117</w:t>
      </w:r>
      <w:r w:rsidRPr="008D218B">
        <w:rPr>
          <w:rFonts w:eastAsiaTheme="minorHAnsi"/>
          <w:b w:val="0"/>
          <w:bCs w:val="0"/>
          <w:sz w:val="22"/>
          <w:szCs w:val="22"/>
          <w:lang w:val="en-AU"/>
        </w:rPr>
        <w:t xml:space="preserve"> subjects in the non-influenza vaccine group had at </w:t>
      </w:r>
      <w:r w:rsidRPr="002F6416">
        <w:rPr>
          <w:rFonts w:eastAsiaTheme="minorHAnsi"/>
          <w:b w:val="0"/>
          <w:bCs w:val="0"/>
          <w:sz w:val="22"/>
          <w:szCs w:val="22"/>
          <w:lang w:val="en-AU"/>
        </w:rPr>
        <w:t xml:space="preserve">least 1 </w:t>
      </w:r>
      <w:r w:rsidRPr="00816402">
        <w:rPr>
          <w:b w:val="0"/>
          <w:bCs w:val="0"/>
          <w:color w:val="202122"/>
          <w:sz w:val="22"/>
          <w:szCs w:val="22"/>
          <w:shd w:val="clear" w:color="auto" w:fill="FFFFFF"/>
        </w:rPr>
        <w:t>real-time polymerase chain reaction</w:t>
      </w:r>
      <w:r w:rsidRPr="002F6416">
        <w:rPr>
          <w:b w:val="0"/>
          <w:bCs w:val="0"/>
          <w:color w:val="202122"/>
          <w:sz w:val="21"/>
          <w:szCs w:val="21"/>
          <w:shd w:val="clear" w:color="auto" w:fill="FFFFFF"/>
        </w:rPr>
        <w:t xml:space="preserve"> (</w:t>
      </w:r>
      <w:r w:rsidRPr="002F6416">
        <w:rPr>
          <w:rFonts w:eastAsiaTheme="minorHAnsi"/>
          <w:b w:val="0"/>
          <w:bCs w:val="0"/>
          <w:sz w:val="22"/>
          <w:szCs w:val="22"/>
          <w:lang w:val="en-AU"/>
        </w:rPr>
        <w:t>RT PCR)</w:t>
      </w:r>
      <w:r>
        <w:rPr>
          <w:rFonts w:eastAsiaTheme="minorHAnsi"/>
          <w:b w:val="0"/>
          <w:bCs w:val="0"/>
          <w:sz w:val="22"/>
          <w:szCs w:val="22"/>
          <w:lang w:val="en-AU"/>
        </w:rPr>
        <w:t xml:space="preserve"> </w:t>
      </w:r>
      <w:r w:rsidRPr="002F6416">
        <w:rPr>
          <w:rFonts w:eastAsiaTheme="minorHAnsi"/>
          <w:b w:val="0"/>
          <w:bCs w:val="0"/>
          <w:sz w:val="22"/>
          <w:szCs w:val="22"/>
          <w:lang w:val="en-AU"/>
        </w:rPr>
        <w:t xml:space="preserve">confirmed </w:t>
      </w:r>
      <w:r w:rsidRPr="002F6416">
        <w:rPr>
          <w:b w:val="0"/>
          <w:bCs w:val="0"/>
          <w:sz w:val="22"/>
          <w:szCs w:val="22"/>
        </w:rPr>
        <w:t xml:space="preserve">circulating seasonal </w:t>
      </w:r>
      <w:r w:rsidRPr="002F6416">
        <w:rPr>
          <w:rFonts w:eastAsiaTheme="minorHAnsi"/>
          <w:b w:val="0"/>
          <w:bCs w:val="0"/>
          <w:sz w:val="22"/>
          <w:szCs w:val="22"/>
          <w:lang w:val="en-AU"/>
        </w:rPr>
        <w:t>influenza A and/or B infection during the influenza surveillance period of the appl</w:t>
      </w:r>
      <w:r w:rsidRPr="005045DA">
        <w:rPr>
          <w:rFonts w:eastAsiaTheme="minorHAnsi"/>
          <w:b w:val="0"/>
          <w:bCs w:val="0"/>
          <w:sz w:val="22"/>
          <w:szCs w:val="22"/>
          <w:lang w:val="en-AU"/>
        </w:rPr>
        <w:t>i</w:t>
      </w:r>
      <w:r w:rsidRPr="007A6118">
        <w:rPr>
          <w:rFonts w:eastAsiaTheme="minorHAnsi"/>
          <w:b w:val="0"/>
          <w:bCs w:val="0"/>
          <w:sz w:val="22"/>
          <w:szCs w:val="22"/>
          <w:lang w:val="en-AU"/>
        </w:rPr>
        <w:t>cable cohort resulting</w:t>
      </w:r>
      <w:r w:rsidRPr="008D218B">
        <w:rPr>
          <w:rFonts w:eastAsiaTheme="minorHAnsi"/>
          <w:b w:val="0"/>
          <w:bCs w:val="0"/>
          <w:sz w:val="22"/>
          <w:szCs w:val="22"/>
          <w:lang w:val="en-AU"/>
        </w:rPr>
        <w:t xml:space="preserve"> in a hazard ratio</w:t>
      </w:r>
      <w:r>
        <w:rPr>
          <w:rFonts w:eastAsiaTheme="minorHAnsi"/>
          <w:b w:val="0"/>
          <w:bCs w:val="0"/>
          <w:sz w:val="22"/>
          <w:szCs w:val="22"/>
          <w:lang w:val="en-AU"/>
        </w:rPr>
        <w:t xml:space="preserve"> (HR)</w:t>
      </w:r>
      <w:r w:rsidRPr="008D218B">
        <w:rPr>
          <w:rFonts w:eastAsiaTheme="minorHAnsi"/>
          <w:b w:val="0"/>
          <w:bCs w:val="0"/>
          <w:sz w:val="22"/>
          <w:szCs w:val="22"/>
          <w:lang w:val="en-AU"/>
        </w:rPr>
        <w:t xml:space="preserve"> of</w:t>
      </w:r>
      <w:r w:rsidRPr="008D218B">
        <w:rPr>
          <w:b w:val="0"/>
          <w:bCs w:val="0"/>
          <w:sz w:val="22"/>
          <w:szCs w:val="22"/>
        </w:rPr>
        <w:t xml:space="preserve"> 0.46 (95%CI: 0.34 to 0.63). Absolute influenza vaccine efficacy</w:t>
      </w:r>
      <w:r>
        <w:rPr>
          <w:b w:val="0"/>
          <w:bCs w:val="0"/>
          <w:sz w:val="22"/>
          <w:szCs w:val="22"/>
        </w:rPr>
        <w:t xml:space="preserve"> (VE)</w:t>
      </w:r>
      <w:r w:rsidRPr="008D218B">
        <w:rPr>
          <w:b w:val="0"/>
          <w:bCs w:val="0"/>
          <w:sz w:val="22"/>
          <w:szCs w:val="22"/>
        </w:rPr>
        <w:t xml:space="preserve"> of </w:t>
      </w:r>
      <w:r w:rsidR="00B503EE">
        <w:rPr>
          <w:b w:val="0"/>
          <w:bCs w:val="0"/>
          <w:sz w:val="22"/>
          <w:szCs w:val="22"/>
        </w:rPr>
        <w:t>INFLUVAC TETRA</w:t>
      </w:r>
      <w:r w:rsidRPr="008D218B">
        <w:rPr>
          <w:b w:val="0"/>
          <w:bCs w:val="0"/>
          <w:sz w:val="22"/>
          <w:szCs w:val="22"/>
        </w:rPr>
        <w:t xml:space="preserve"> was VE=1</w:t>
      </w:r>
      <w:r>
        <w:rPr>
          <w:b w:val="0"/>
          <w:bCs w:val="0"/>
          <w:sz w:val="22"/>
          <w:szCs w:val="22"/>
        </w:rPr>
        <w:t>-</w:t>
      </w:r>
      <w:r w:rsidRPr="008D218B">
        <w:rPr>
          <w:b w:val="0"/>
          <w:bCs w:val="0"/>
          <w:sz w:val="22"/>
          <w:szCs w:val="22"/>
        </w:rPr>
        <w:t xml:space="preserve">HR, </w:t>
      </w:r>
      <w:proofErr w:type="gramStart"/>
      <w:r w:rsidRPr="008D218B">
        <w:rPr>
          <w:b w:val="0"/>
          <w:bCs w:val="0"/>
          <w:sz w:val="22"/>
          <w:szCs w:val="22"/>
        </w:rPr>
        <w:t>i.e.</w:t>
      </w:r>
      <w:proofErr w:type="gramEnd"/>
      <w:r w:rsidRPr="008D218B">
        <w:rPr>
          <w:b w:val="0"/>
          <w:bCs w:val="0"/>
          <w:sz w:val="22"/>
          <w:szCs w:val="22"/>
        </w:rPr>
        <w:t xml:space="preserve"> 0.54 (95%CI 0.37 to 0.66).</w:t>
      </w:r>
      <w:r w:rsidRPr="008D218B">
        <w:rPr>
          <w:rFonts w:eastAsiaTheme="minorHAnsi"/>
          <w:sz w:val="22"/>
          <w:szCs w:val="22"/>
          <w:lang w:val="en-AU"/>
        </w:rPr>
        <w:t xml:space="preserve"> </w:t>
      </w:r>
    </w:p>
    <w:p w14:paraId="7EC9F42A" w14:textId="77777777" w:rsidR="00F020D4" w:rsidRPr="00B23C6B" w:rsidRDefault="00F020D4" w:rsidP="00F020D4"/>
    <w:p w14:paraId="7C250DB6" w14:textId="7C00A059" w:rsidR="009C15FC" w:rsidRDefault="00F020D4" w:rsidP="00F020D4">
      <w:pPr>
        <w:pStyle w:val="Caption"/>
        <w:keepNext/>
        <w:spacing w:after="0"/>
        <w:rPr>
          <w:b w:val="0"/>
          <w:bCs w:val="0"/>
          <w:sz w:val="22"/>
          <w:szCs w:val="22"/>
        </w:rPr>
      </w:pPr>
      <w:r>
        <w:rPr>
          <w:rFonts w:eastAsiaTheme="minorHAnsi"/>
          <w:b w:val="0"/>
          <w:bCs w:val="0"/>
          <w:sz w:val="22"/>
          <w:szCs w:val="22"/>
          <w:lang w:val="en-AU"/>
        </w:rPr>
        <w:t>Further, 19</w:t>
      </w:r>
      <w:r w:rsidRPr="008D218B">
        <w:rPr>
          <w:rFonts w:eastAsiaTheme="minorHAnsi"/>
          <w:b w:val="0"/>
          <w:bCs w:val="0"/>
          <w:sz w:val="22"/>
          <w:szCs w:val="22"/>
          <w:lang w:val="en-AU"/>
        </w:rPr>
        <w:t xml:space="preserve"> subjects in the </w:t>
      </w:r>
      <w:r w:rsidR="00B503EE">
        <w:rPr>
          <w:rFonts w:eastAsiaTheme="minorHAnsi"/>
          <w:b w:val="0"/>
          <w:bCs w:val="0"/>
          <w:sz w:val="22"/>
          <w:szCs w:val="22"/>
          <w:lang w:val="en-AU"/>
        </w:rPr>
        <w:t>INFLUVAC TETRA</w:t>
      </w:r>
      <w:r w:rsidRPr="008D218B">
        <w:rPr>
          <w:rFonts w:eastAsiaTheme="minorHAnsi"/>
          <w:b w:val="0"/>
          <w:bCs w:val="0"/>
          <w:sz w:val="22"/>
          <w:szCs w:val="22"/>
          <w:lang w:val="en-AU"/>
        </w:rPr>
        <w:t xml:space="preserve"> group and </w:t>
      </w:r>
      <w:r>
        <w:rPr>
          <w:rFonts w:eastAsiaTheme="minorHAnsi"/>
          <w:b w:val="0"/>
          <w:bCs w:val="0"/>
          <w:sz w:val="22"/>
          <w:szCs w:val="22"/>
          <w:lang w:val="en-AU"/>
        </w:rPr>
        <w:t>56</w:t>
      </w:r>
      <w:r w:rsidRPr="008D218B">
        <w:rPr>
          <w:rFonts w:eastAsiaTheme="minorHAnsi"/>
          <w:b w:val="0"/>
          <w:bCs w:val="0"/>
          <w:sz w:val="22"/>
          <w:szCs w:val="22"/>
          <w:lang w:val="en-AU"/>
        </w:rPr>
        <w:t xml:space="preserve"> subjects in the non-influenza vaccine group had at least 1 RT PCR confirmed </w:t>
      </w:r>
      <w:r w:rsidRPr="008D218B">
        <w:rPr>
          <w:b w:val="0"/>
          <w:bCs w:val="0"/>
          <w:sz w:val="22"/>
          <w:szCs w:val="22"/>
        </w:rPr>
        <w:t xml:space="preserve">antigenically matching influenza strain </w:t>
      </w:r>
      <w:r w:rsidRPr="008D218B">
        <w:rPr>
          <w:rFonts w:eastAsiaTheme="minorHAnsi"/>
          <w:b w:val="0"/>
          <w:bCs w:val="0"/>
          <w:sz w:val="22"/>
          <w:szCs w:val="22"/>
          <w:lang w:val="en-AU"/>
        </w:rPr>
        <w:t xml:space="preserve">during the influenza surveillance period </w:t>
      </w:r>
      <w:r>
        <w:rPr>
          <w:rFonts w:eastAsiaTheme="minorHAnsi"/>
          <w:b w:val="0"/>
          <w:bCs w:val="0"/>
          <w:sz w:val="22"/>
          <w:szCs w:val="22"/>
          <w:lang w:val="en-AU"/>
        </w:rPr>
        <w:t xml:space="preserve">of the applicable cohort </w:t>
      </w:r>
      <w:r w:rsidRPr="008D218B">
        <w:rPr>
          <w:rFonts w:eastAsiaTheme="minorHAnsi"/>
          <w:b w:val="0"/>
          <w:bCs w:val="0"/>
          <w:sz w:val="22"/>
          <w:szCs w:val="22"/>
          <w:lang w:val="en-AU"/>
        </w:rPr>
        <w:t xml:space="preserve">resulting in a </w:t>
      </w:r>
      <w:r>
        <w:rPr>
          <w:rFonts w:eastAsiaTheme="minorHAnsi"/>
          <w:b w:val="0"/>
          <w:bCs w:val="0"/>
          <w:sz w:val="22"/>
          <w:szCs w:val="22"/>
          <w:lang w:val="en-AU"/>
        </w:rPr>
        <w:t>HR</w:t>
      </w:r>
      <w:r w:rsidRPr="008D218B">
        <w:rPr>
          <w:rFonts w:eastAsiaTheme="minorHAnsi"/>
          <w:b w:val="0"/>
          <w:bCs w:val="0"/>
          <w:sz w:val="22"/>
          <w:szCs w:val="22"/>
          <w:lang w:val="en-AU"/>
        </w:rPr>
        <w:t xml:space="preserve"> of</w:t>
      </w:r>
      <w:r w:rsidRPr="008D218B">
        <w:rPr>
          <w:b w:val="0"/>
          <w:bCs w:val="0"/>
          <w:sz w:val="22"/>
          <w:szCs w:val="22"/>
        </w:rPr>
        <w:t xml:space="preserve"> 0.32 (95%CI: 0.19 to 0.55). Absolute influenza vaccine efficacy of </w:t>
      </w:r>
      <w:r w:rsidR="00B503EE">
        <w:rPr>
          <w:b w:val="0"/>
          <w:bCs w:val="0"/>
          <w:sz w:val="22"/>
          <w:szCs w:val="22"/>
        </w:rPr>
        <w:t>INFLUVAC TETRA</w:t>
      </w:r>
      <w:r w:rsidRPr="008D218B">
        <w:rPr>
          <w:b w:val="0"/>
          <w:bCs w:val="0"/>
          <w:sz w:val="22"/>
          <w:szCs w:val="22"/>
        </w:rPr>
        <w:t xml:space="preserve"> was VE=1</w:t>
      </w:r>
      <w:r>
        <w:rPr>
          <w:b w:val="0"/>
          <w:bCs w:val="0"/>
          <w:sz w:val="22"/>
          <w:szCs w:val="22"/>
        </w:rPr>
        <w:t>-</w:t>
      </w:r>
      <w:r w:rsidRPr="008D218B">
        <w:rPr>
          <w:b w:val="0"/>
          <w:bCs w:val="0"/>
          <w:sz w:val="22"/>
          <w:szCs w:val="22"/>
        </w:rPr>
        <w:t xml:space="preserve">HR, </w:t>
      </w:r>
      <w:proofErr w:type="gramStart"/>
      <w:r w:rsidRPr="008D218B">
        <w:rPr>
          <w:b w:val="0"/>
          <w:bCs w:val="0"/>
          <w:sz w:val="22"/>
          <w:szCs w:val="22"/>
        </w:rPr>
        <w:t>i.e.</w:t>
      </w:r>
      <w:proofErr w:type="gramEnd"/>
      <w:r w:rsidRPr="008D218B">
        <w:rPr>
          <w:b w:val="0"/>
          <w:bCs w:val="0"/>
          <w:sz w:val="22"/>
          <w:szCs w:val="22"/>
        </w:rPr>
        <w:t xml:space="preserve"> 0.68 (95% CI: 0.45 to 0.81</w:t>
      </w:r>
      <w:r>
        <w:rPr>
          <w:b w:val="0"/>
          <w:bCs w:val="0"/>
          <w:sz w:val="22"/>
          <w:szCs w:val="22"/>
        </w:rPr>
        <w:t>)</w:t>
      </w:r>
      <w:r w:rsidRPr="008D218B">
        <w:rPr>
          <w:b w:val="0"/>
          <w:bCs w:val="0"/>
          <w:sz w:val="22"/>
          <w:szCs w:val="22"/>
        </w:rPr>
        <w:t>.</w:t>
      </w:r>
    </w:p>
    <w:p w14:paraId="1EC5A14F" w14:textId="77777777" w:rsidR="006A0214" w:rsidRDefault="006A0214" w:rsidP="00F020D4">
      <w:pPr>
        <w:pStyle w:val="Caption"/>
        <w:keepNext/>
        <w:spacing w:after="0"/>
        <w:ind w:left="1134" w:hanging="1134"/>
        <w:rPr>
          <w:sz w:val="22"/>
          <w:szCs w:val="22"/>
        </w:rPr>
      </w:pPr>
    </w:p>
    <w:p w14:paraId="7D5991D2" w14:textId="5A84412F" w:rsidR="00F020D4" w:rsidRPr="0037107A" w:rsidRDefault="00F020D4" w:rsidP="00F020D4">
      <w:pPr>
        <w:pStyle w:val="Caption"/>
        <w:keepNext/>
        <w:spacing w:after="0"/>
        <w:ind w:left="1134" w:hanging="1134"/>
        <w:rPr>
          <w:sz w:val="22"/>
          <w:szCs w:val="22"/>
        </w:rPr>
      </w:pPr>
      <w:r>
        <w:rPr>
          <w:sz w:val="22"/>
          <w:szCs w:val="22"/>
        </w:rPr>
        <w:t xml:space="preserve">Table </w:t>
      </w:r>
      <w:r w:rsidR="00FD2400">
        <w:rPr>
          <w:sz w:val="22"/>
          <w:szCs w:val="22"/>
        </w:rPr>
        <w:t>4</w:t>
      </w:r>
      <w:r>
        <w:rPr>
          <w:sz w:val="22"/>
          <w:szCs w:val="22"/>
        </w:rPr>
        <w:tab/>
      </w:r>
      <w:r w:rsidRPr="00346B93">
        <w:rPr>
          <w:sz w:val="22"/>
          <w:szCs w:val="22"/>
        </w:rPr>
        <w:t xml:space="preserve">Absolute Vaccine Efficacy of </w:t>
      </w:r>
      <w:r w:rsidR="00B503EE">
        <w:rPr>
          <w:sz w:val="22"/>
          <w:szCs w:val="22"/>
        </w:rPr>
        <w:t>INFLUVAC TETRA</w:t>
      </w:r>
      <w:r w:rsidRPr="00346B93">
        <w:rPr>
          <w:sz w:val="22"/>
          <w:szCs w:val="22"/>
        </w:rPr>
        <w:t xml:space="preserve"> in the Prevention of Symptomatic Influenza Infection due to Any Seasonal Influenza Strain</w:t>
      </w:r>
      <w:r>
        <w:rPr>
          <w:sz w:val="22"/>
          <w:szCs w:val="22"/>
        </w:rPr>
        <w:t xml:space="preserve"> and Antigenically Matching Vaccine strains</w:t>
      </w:r>
      <w:r w:rsidRPr="00346B93">
        <w:rPr>
          <w:sz w:val="22"/>
          <w:szCs w:val="22"/>
        </w:rPr>
        <w:t xml:space="preserve"> – Full Analysis Sample</w:t>
      </w:r>
      <w:r w:rsidRPr="0037107A">
        <w:rPr>
          <w:sz w:val="22"/>
          <w:szCs w:val="22"/>
        </w:rPr>
        <w:t xml:space="preserve"> </w:t>
      </w:r>
      <w:proofErr w:type="gramStart"/>
      <w:r w:rsidRPr="0037107A">
        <w:rPr>
          <w:sz w:val="22"/>
          <w:szCs w:val="22"/>
        </w:rPr>
        <w:t>Since</w:t>
      </w:r>
      <w:proofErr w:type="gramEnd"/>
      <w:r w:rsidRPr="0037107A">
        <w:rPr>
          <w:sz w:val="22"/>
          <w:szCs w:val="22"/>
        </w:rPr>
        <w:t xml:space="preserve"> 28 Days Post-Second Vaccination</w:t>
      </w:r>
    </w:p>
    <w:p w14:paraId="703C0DBD" w14:textId="77777777" w:rsidR="00F020D4" w:rsidRDefault="00F020D4" w:rsidP="00F020D4"/>
    <w:tbl>
      <w:tblPr>
        <w:tblW w:w="9498" w:type="dxa"/>
        <w:tblLayout w:type="fixed"/>
        <w:tblCellMar>
          <w:left w:w="0" w:type="dxa"/>
          <w:right w:w="0" w:type="dxa"/>
        </w:tblCellMar>
        <w:tblLook w:val="0000" w:firstRow="0" w:lastRow="0" w:firstColumn="0" w:lastColumn="0" w:noHBand="0" w:noVBand="0"/>
      </w:tblPr>
      <w:tblGrid>
        <w:gridCol w:w="3539"/>
        <w:gridCol w:w="856"/>
        <w:gridCol w:w="992"/>
        <w:gridCol w:w="845"/>
        <w:gridCol w:w="1134"/>
        <w:gridCol w:w="997"/>
        <w:gridCol w:w="1135"/>
      </w:tblGrid>
      <w:tr w:rsidR="00F020D4" w:rsidRPr="00346B93" w14:paraId="5797C555" w14:textId="77777777" w:rsidTr="00D42D51">
        <w:trPr>
          <w:cantSplit/>
          <w:trHeight w:val="394"/>
          <w:tblHeader/>
        </w:trPr>
        <w:tc>
          <w:tcPr>
            <w:tcW w:w="3539" w:type="dxa"/>
            <w:vMerge w:val="restart"/>
            <w:tcBorders>
              <w:top w:val="single" w:sz="4" w:space="0" w:color="auto"/>
              <w:left w:val="single" w:sz="4" w:space="0" w:color="auto"/>
              <w:right w:val="single" w:sz="4" w:space="0" w:color="auto"/>
            </w:tcBorders>
          </w:tcPr>
          <w:p w14:paraId="4AE7ED97" w14:textId="77777777" w:rsidR="00F020D4" w:rsidRPr="00816402" w:rsidRDefault="00F020D4" w:rsidP="00D42D51">
            <w:pPr>
              <w:keepNext/>
              <w:keepLines/>
              <w:adjustRightInd w:val="0"/>
              <w:jc w:val="left"/>
              <w:rPr>
                <w:b/>
                <w:bCs/>
                <w:color w:val="000000"/>
                <w:sz w:val="20"/>
                <w:szCs w:val="20"/>
                <w:lang w:val="en-US"/>
              </w:rPr>
            </w:pPr>
            <w:r w:rsidRPr="00816402">
              <w:rPr>
                <w:b/>
                <w:bCs/>
                <w:color w:val="000000"/>
                <w:sz w:val="20"/>
                <w:szCs w:val="20"/>
                <w:lang w:val="en-US"/>
              </w:rPr>
              <w:t>Children 6-35 months</w:t>
            </w:r>
          </w:p>
        </w:tc>
        <w:tc>
          <w:tcPr>
            <w:tcW w:w="856" w:type="dxa"/>
            <w:vMerge w:val="restart"/>
            <w:tcBorders>
              <w:top w:val="single" w:sz="4" w:space="0" w:color="auto"/>
              <w:left w:val="single" w:sz="4" w:space="0" w:color="auto"/>
              <w:right w:val="single" w:sz="4" w:space="0" w:color="auto"/>
            </w:tcBorders>
          </w:tcPr>
          <w:p w14:paraId="3E92A348" w14:textId="6CB9051D" w:rsidR="00F020D4" w:rsidRPr="00346B93" w:rsidRDefault="00B503EE" w:rsidP="00D42D51">
            <w:pPr>
              <w:keepNext/>
              <w:keepLines/>
              <w:adjustRightInd w:val="0"/>
              <w:jc w:val="center"/>
              <w:rPr>
                <w:b/>
                <w:bCs/>
                <w:color w:val="000000"/>
                <w:sz w:val="20"/>
                <w:szCs w:val="20"/>
              </w:rPr>
            </w:pPr>
            <w:r>
              <w:rPr>
                <w:b/>
                <w:bCs/>
                <w:color w:val="000000"/>
                <w:sz w:val="20"/>
                <w:szCs w:val="20"/>
              </w:rPr>
              <w:t>INFLUVAC TETRA</w:t>
            </w:r>
            <w:r w:rsidR="00F020D4">
              <w:rPr>
                <w:b/>
                <w:bCs/>
                <w:color w:val="000000"/>
                <w:sz w:val="20"/>
                <w:szCs w:val="20"/>
              </w:rPr>
              <w:br/>
            </w:r>
            <w:r w:rsidR="00F020D4" w:rsidRPr="00346B93">
              <w:rPr>
                <w:b/>
                <w:bCs/>
                <w:color w:val="000000"/>
                <w:sz w:val="20"/>
                <w:szCs w:val="20"/>
              </w:rPr>
              <w:t>(N=1005)</w:t>
            </w:r>
          </w:p>
        </w:tc>
        <w:tc>
          <w:tcPr>
            <w:tcW w:w="992" w:type="dxa"/>
            <w:vMerge w:val="restart"/>
            <w:tcBorders>
              <w:top w:val="single" w:sz="4" w:space="0" w:color="auto"/>
              <w:left w:val="single" w:sz="4" w:space="0" w:color="auto"/>
              <w:right w:val="single" w:sz="4" w:space="0" w:color="auto"/>
            </w:tcBorders>
          </w:tcPr>
          <w:p w14:paraId="1A8ECA70" w14:textId="77777777" w:rsidR="00F020D4" w:rsidRPr="00346B93" w:rsidRDefault="00F020D4" w:rsidP="00D42D51">
            <w:pPr>
              <w:keepNext/>
              <w:keepLines/>
              <w:adjustRightInd w:val="0"/>
              <w:jc w:val="center"/>
              <w:rPr>
                <w:b/>
                <w:bCs/>
                <w:color w:val="000000"/>
                <w:sz w:val="20"/>
                <w:szCs w:val="20"/>
              </w:rPr>
            </w:pPr>
            <w:r w:rsidRPr="00E0182B">
              <w:rPr>
                <w:b/>
                <w:bCs/>
                <w:color w:val="000000"/>
                <w:sz w:val="20"/>
                <w:szCs w:val="20"/>
              </w:rPr>
              <w:t>N</w:t>
            </w:r>
            <w:r>
              <w:rPr>
                <w:b/>
                <w:bCs/>
                <w:color w:val="000000"/>
                <w:sz w:val="20"/>
                <w:szCs w:val="20"/>
              </w:rPr>
              <w:t>on-influenza vaccine</w:t>
            </w:r>
            <w:r w:rsidRPr="00346B93">
              <w:rPr>
                <w:b/>
                <w:bCs/>
                <w:color w:val="000000"/>
                <w:sz w:val="20"/>
                <w:szCs w:val="20"/>
              </w:rPr>
              <w:br/>
              <w:t>(N=995)</w:t>
            </w:r>
          </w:p>
        </w:tc>
        <w:tc>
          <w:tcPr>
            <w:tcW w:w="1979" w:type="dxa"/>
            <w:gridSpan w:val="2"/>
            <w:tcBorders>
              <w:top w:val="single" w:sz="4" w:space="0" w:color="auto"/>
              <w:left w:val="single" w:sz="4" w:space="0" w:color="auto"/>
              <w:bottom w:val="single" w:sz="4" w:space="0" w:color="auto"/>
              <w:right w:val="single" w:sz="4" w:space="0" w:color="auto"/>
            </w:tcBorders>
          </w:tcPr>
          <w:p w14:paraId="72F8F6E3" w14:textId="11060E51" w:rsidR="00F020D4" w:rsidRPr="00346B93" w:rsidRDefault="00B503EE" w:rsidP="00D42D51">
            <w:pPr>
              <w:keepNext/>
              <w:keepLines/>
              <w:adjustRightInd w:val="0"/>
              <w:jc w:val="center"/>
              <w:rPr>
                <w:b/>
                <w:bCs/>
                <w:color w:val="000000"/>
                <w:sz w:val="20"/>
                <w:szCs w:val="20"/>
              </w:rPr>
            </w:pPr>
            <w:r>
              <w:rPr>
                <w:b/>
                <w:bCs/>
                <w:color w:val="000000"/>
                <w:sz w:val="20"/>
                <w:szCs w:val="20"/>
              </w:rPr>
              <w:t>INFLUVAC TETRA</w:t>
            </w:r>
            <w:r w:rsidR="00F020D4" w:rsidRPr="00346B93">
              <w:rPr>
                <w:b/>
                <w:bCs/>
                <w:color w:val="000000"/>
                <w:sz w:val="20"/>
                <w:szCs w:val="20"/>
              </w:rPr>
              <w:t xml:space="preserve"> </w:t>
            </w:r>
            <w:r w:rsidR="00F020D4">
              <w:rPr>
                <w:b/>
                <w:bCs/>
                <w:color w:val="000000"/>
                <w:sz w:val="20"/>
                <w:szCs w:val="20"/>
              </w:rPr>
              <w:t xml:space="preserve">/ </w:t>
            </w:r>
            <w:r w:rsidR="00F020D4" w:rsidRPr="00346B93">
              <w:rPr>
                <w:b/>
                <w:bCs/>
                <w:color w:val="000000"/>
                <w:sz w:val="20"/>
                <w:szCs w:val="20"/>
              </w:rPr>
              <w:t>NIV</w:t>
            </w:r>
          </w:p>
        </w:tc>
        <w:tc>
          <w:tcPr>
            <w:tcW w:w="997" w:type="dxa"/>
            <w:vMerge w:val="restart"/>
            <w:tcBorders>
              <w:top w:val="single" w:sz="4" w:space="0" w:color="auto"/>
              <w:left w:val="single" w:sz="4" w:space="0" w:color="auto"/>
              <w:right w:val="single" w:sz="4" w:space="0" w:color="auto"/>
            </w:tcBorders>
          </w:tcPr>
          <w:p w14:paraId="54245840" w14:textId="305FF8BE" w:rsidR="00F020D4" w:rsidRPr="00346B93" w:rsidRDefault="00B503EE" w:rsidP="00D42D51">
            <w:pPr>
              <w:keepNext/>
              <w:keepLines/>
              <w:adjustRightInd w:val="0"/>
              <w:jc w:val="center"/>
              <w:rPr>
                <w:b/>
                <w:bCs/>
                <w:color w:val="000000"/>
                <w:sz w:val="20"/>
                <w:szCs w:val="20"/>
              </w:rPr>
            </w:pPr>
            <w:r>
              <w:rPr>
                <w:b/>
                <w:bCs/>
                <w:color w:val="000000"/>
                <w:sz w:val="20"/>
                <w:szCs w:val="20"/>
              </w:rPr>
              <w:t>INFLUVAC TETRA</w:t>
            </w:r>
            <w:r w:rsidR="00F020D4" w:rsidRPr="00346B93">
              <w:rPr>
                <w:b/>
                <w:bCs/>
                <w:color w:val="000000"/>
                <w:sz w:val="20"/>
                <w:szCs w:val="20"/>
              </w:rPr>
              <w:br/>
              <w:t>Efficacy</w:t>
            </w:r>
          </w:p>
        </w:tc>
        <w:tc>
          <w:tcPr>
            <w:tcW w:w="1135" w:type="dxa"/>
            <w:vMerge w:val="restart"/>
            <w:tcBorders>
              <w:top w:val="single" w:sz="4" w:space="0" w:color="auto"/>
              <w:left w:val="single" w:sz="4" w:space="0" w:color="auto"/>
              <w:right w:val="single" w:sz="4" w:space="0" w:color="auto"/>
            </w:tcBorders>
          </w:tcPr>
          <w:p w14:paraId="115A7DC6" w14:textId="77777777" w:rsidR="00F020D4" w:rsidRPr="00346B93" w:rsidRDefault="00F020D4" w:rsidP="00D42D51">
            <w:pPr>
              <w:keepNext/>
              <w:keepLines/>
              <w:adjustRightInd w:val="0"/>
              <w:jc w:val="center"/>
              <w:rPr>
                <w:b/>
                <w:bCs/>
                <w:color w:val="000000"/>
                <w:sz w:val="20"/>
                <w:szCs w:val="20"/>
              </w:rPr>
            </w:pPr>
            <w:r w:rsidRPr="00346B93">
              <w:rPr>
                <w:b/>
                <w:bCs/>
                <w:color w:val="000000"/>
                <w:sz w:val="20"/>
                <w:szCs w:val="20"/>
              </w:rPr>
              <w:t>95%CI</w:t>
            </w:r>
          </w:p>
        </w:tc>
      </w:tr>
      <w:tr w:rsidR="00F020D4" w:rsidRPr="00346B93" w14:paraId="72DEC01E" w14:textId="77777777" w:rsidTr="00D42D51">
        <w:trPr>
          <w:cantSplit/>
          <w:trHeight w:val="415"/>
          <w:tblHeader/>
        </w:trPr>
        <w:tc>
          <w:tcPr>
            <w:tcW w:w="3539" w:type="dxa"/>
            <w:vMerge/>
            <w:tcBorders>
              <w:left w:val="single" w:sz="4" w:space="0" w:color="auto"/>
              <w:bottom w:val="single" w:sz="4" w:space="0" w:color="auto"/>
              <w:right w:val="single" w:sz="4" w:space="0" w:color="auto"/>
            </w:tcBorders>
            <w:vAlign w:val="bottom"/>
          </w:tcPr>
          <w:p w14:paraId="747A34C1" w14:textId="77777777" w:rsidR="00F020D4" w:rsidRPr="00346B93" w:rsidRDefault="00F020D4" w:rsidP="00D42D51">
            <w:pPr>
              <w:keepNext/>
              <w:keepLines/>
              <w:adjustRightInd w:val="0"/>
              <w:rPr>
                <w:color w:val="000000"/>
                <w:sz w:val="20"/>
                <w:szCs w:val="20"/>
              </w:rPr>
            </w:pPr>
          </w:p>
        </w:tc>
        <w:tc>
          <w:tcPr>
            <w:tcW w:w="856" w:type="dxa"/>
            <w:vMerge/>
            <w:tcBorders>
              <w:left w:val="single" w:sz="4" w:space="0" w:color="auto"/>
              <w:bottom w:val="single" w:sz="4" w:space="0" w:color="auto"/>
              <w:right w:val="single" w:sz="4" w:space="0" w:color="auto"/>
            </w:tcBorders>
            <w:vAlign w:val="center"/>
          </w:tcPr>
          <w:p w14:paraId="0F46B904" w14:textId="77777777" w:rsidR="00F020D4" w:rsidRPr="00346B93" w:rsidRDefault="00F020D4" w:rsidP="00D42D51">
            <w:pPr>
              <w:keepNext/>
              <w:keepLines/>
              <w:adjustRightInd w:val="0"/>
              <w:jc w:val="center"/>
              <w:rPr>
                <w:b/>
                <w:bCs/>
                <w:color w:val="000000"/>
                <w:sz w:val="20"/>
                <w:szCs w:val="20"/>
              </w:rPr>
            </w:pPr>
          </w:p>
        </w:tc>
        <w:tc>
          <w:tcPr>
            <w:tcW w:w="992" w:type="dxa"/>
            <w:vMerge/>
            <w:tcBorders>
              <w:left w:val="single" w:sz="4" w:space="0" w:color="auto"/>
              <w:bottom w:val="single" w:sz="4" w:space="0" w:color="auto"/>
              <w:right w:val="single" w:sz="4" w:space="0" w:color="auto"/>
            </w:tcBorders>
            <w:vAlign w:val="center"/>
          </w:tcPr>
          <w:p w14:paraId="27348D52" w14:textId="77777777" w:rsidR="00F020D4" w:rsidRPr="00346B93" w:rsidRDefault="00F020D4" w:rsidP="00D42D51">
            <w:pPr>
              <w:keepNext/>
              <w:keepLines/>
              <w:adjustRightInd w:val="0"/>
              <w:jc w:val="center"/>
              <w:rPr>
                <w:b/>
                <w:bCs/>
                <w:color w:val="000000"/>
                <w:sz w:val="20"/>
                <w:szCs w:val="20"/>
              </w:rPr>
            </w:pPr>
          </w:p>
        </w:tc>
        <w:tc>
          <w:tcPr>
            <w:tcW w:w="845" w:type="dxa"/>
            <w:tcBorders>
              <w:top w:val="single" w:sz="4" w:space="0" w:color="auto"/>
              <w:left w:val="single" w:sz="4" w:space="0" w:color="auto"/>
              <w:bottom w:val="single" w:sz="4" w:space="0" w:color="auto"/>
              <w:right w:val="single" w:sz="4" w:space="0" w:color="auto"/>
            </w:tcBorders>
            <w:vAlign w:val="center"/>
          </w:tcPr>
          <w:p w14:paraId="261E457A" w14:textId="77777777" w:rsidR="00F020D4" w:rsidRPr="00346B93" w:rsidRDefault="00F020D4" w:rsidP="00D42D51">
            <w:pPr>
              <w:keepNext/>
              <w:keepLines/>
              <w:adjustRightInd w:val="0"/>
              <w:jc w:val="center"/>
              <w:rPr>
                <w:b/>
                <w:bCs/>
                <w:color w:val="000000"/>
                <w:sz w:val="20"/>
                <w:szCs w:val="20"/>
              </w:rPr>
            </w:pPr>
            <w:r w:rsidRPr="00346B93">
              <w:rPr>
                <w:b/>
                <w:bCs/>
                <w:color w:val="000000"/>
                <w:sz w:val="20"/>
                <w:szCs w:val="20"/>
              </w:rPr>
              <w:t>Hazard</w:t>
            </w:r>
            <w:r w:rsidRPr="00346B93">
              <w:rPr>
                <w:b/>
                <w:bCs/>
                <w:color w:val="000000"/>
                <w:sz w:val="20"/>
                <w:szCs w:val="20"/>
              </w:rPr>
              <w:br/>
              <w:t>Ratio</w:t>
            </w:r>
          </w:p>
        </w:tc>
        <w:tc>
          <w:tcPr>
            <w:tcW w:w="1134" w:type="dxa"/>
            <w:tcBorders>
              <w:top w:val="single" w:sz="4" w:space="0" w:color="auto"/>
              <w:left w:val="single" w:sz="4" w:space="0" w:color="auto"/>
              <w:bottom w:val="single" w:sz="4" w:space="0" w:color="auto"/>
              <w:right w:val="single" w:sz="4" w:space="0" w:color="auto"/>
            </w:tcBorders>
            <w:vAlign w:val="center"/>
          </w:tcPr>
          <w:p w14:paraId="725C261E" w14:textId="77777777" w:rsidR="00F020D4" w:rsidRPr="00346B93" w:rsidRDefault="00F020D4" w:rsidP="00D42D51">
            <w:pPr>
              <w:keepNext/>
              <w:keepLines/>
              <w:adjustRightInd w:val="0"/>
              <w:jc w:val="center"/>
              <w:rPr>
                <w:b/>
                <w:bCs/>
                <w:color w:val="000000"/>
                <w:sz w:val="20"/>
                <w:szCs w:val="20"/>
              </w:rPr>
            </w:pPr>
            <w:r w:rsidRPr="00346B93">
              <w:rPr>
                <w:b/>
                <w:bCs/>
                <w:color w:val="000000"/>
                <w:sz w:val="20"/>
                <w:szCs w:val="20"/>
              </w:rPr>
              <w:t>95%CI</w:t>
            </w:r>
          </w:p>
        </w:tc>
        <w:tc>
          <w:tcPr>
            <w:tcW w:w="997" w:type="dxa"/>
            <w:vMerge/>
            <w:tcBorders>
              <w:left w:val="single" w:sz="4" w:space="0" w:color="auto"/>
              <w:bottom w:val="single" w:sz="4" w:space="0" w:color="auto"/>
              <w:right w:val="single" w:sz="4" w:space="0" w:color="auto"/>
            </w:tcBorders>
            <w:vAlign w:val="center"/>
          </w:tcPr>
          <w:p w14:paraId="542F5411" w14:textId="77777777" w:rsidR="00F020D4" w:rsidRPr="00346B93" w:rsidRDefault="00F020D4" w:rsidP="00D42D51">
            <w:pPr>
              <w:keepNext/>
              <w:keepLines/>
              <w:adjustRightInd w:val="0"/>
              <w:jc w:val="center"/>
              <w:rPr>
                <w:b/>
                <w:bCs/>
                <w:color w:val="000000"/>
                <w:sz w:val="20"/>
                <w:szCs w:val="20"/>
              </w:rPr>
            </w:pPr>
          </w:p>
        </w:tc>
        <w:tc>
          <w:tcPr>
            <w:tcW w:w="1135" w:type="dxa"/>
            <w:vMerge/>
            <w:tcBorders>
              <w:left w:val="single" w:sz="4" w:space="0" w:color="auto"/>
              <w:bottom w:val="single" w:sz="4" w:space="0" w:color="auto"/>
              <w:right w:val="single" w:sz="4" w:space="0" w:color="auto"/>
            </w:tcBorders>
            <w:vAlign w:val="center"/>
          </w:tcPr>
          <w:p w14:paraId="36B90417" w14:textId="77777777" w:rsidR="00F020D4" w:rsidRPr="00346B93" w:rsidRDefault="00F020D4" w:rsidP="00D42D51">
            <w:pPr>
              <w:keepNext/>
              <w:keepLines/>
              <w:adjustRightInd w:val="0"/>
              <w:jc w:val="center"/>
              <w:rPr>
                <w:b/>
                <w:bCs/>
                <w:color w:val="000000"/>
                <w:sz w:val="20"/>
                <w:szCs w:val="20"/>
              </w:rPr>
            </w:pPr>
          </w:p>
        </w:tc>
      </w:tr>
      <w:tr w:rsidR="00F020D4" w:rsidRPr="00346B93" w14:paraId="6065AE39" w14:textId="77777777" w:rsidTr="00D42D51">
        <w:trPr>
          <w:cantSplit/>
        </w:trPr>
        <w:tc>
          <w:tcPr>
            <w:tcW w:w="3539" w:type="dxa"/>
            <w:tcBorders>
              <w:top w:val="single" w:sz="4" w:space="0" w:color="auto"/>
              <w:left w:val="single" w:sz="4" w:space="0" w:color="auto"/>
              <w:bottom w:val="single" w:sz="4" w:space="0" w:color="auto"/>
              <w:right w:val="single" w:sz="4" w:space="0" w:color="auto"/>
            </w:tcBorders>
            <w:vAlign w:val="center"/>
          </w:tcPr>
          <w:p w14:paraId="667D2FF7" w14:textId="77777777" w:rsidR="00F020D4" w:rsidRPr="00346B93" w:rsidDel="00687198" w:rsidRDefault="00F020D4" w:rsidP="00D42D51">
            <w:pPr>
              <w:keepNext/>
              <w:keepLines/>
              <w:adjustRightInd w:val="0"/>
              <w:jc w:val="left"/>
              <w:rPr>
                <w:color w:val="000000"/>
                <w:sz w:val="20"/>
                <w:szCs w:val="20"/>
              </w:rPr>
            </w:pPr>
            <w:r w:rsidRPr="00346B93">
              <w:rPr>
                <w:color w:val="000000"/>
                <w:sz w:val="20"/>
                <w:szCs w:val="20"/>
              </w:rPr>
              <w:t>Number of Subjects Who Received both First and Second Vaccination</w:t>
            </w:r>
          </w:p>
        </w:tc>
        <w:tc>
          <w:tcPr>
            <w:tcW w:w="856" w:type="dxa"/>
            <w:tcBorders>
              <w:top w:val="single" w:sz="4" w:space="0" w:color="auto"/>
              <w:left w:val="single" w:sz="4" w:space="0" w:color="auto"/>
              <w:bottom w:val="single" w:sz="4" w:space="0" w:color="auto"/>
              <w:right w:val="single" w:sz="4" w:space="0" w:color="auto"/>
            </w:tcBorders>
            <w:tcMar>
              <w:right w:w="288" w:type="dxa"/>
            </w:tcMar>
            <w:vAlign w:val="center"/>
          </w:tcPr>
          <w:p w14:paraId="6BA5F450"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991</w:t>
            </w:r>
          </w:p>
        </w:tc>
        <w:tc>
          <w:tcPr>
            <w:tcW w:w="992" w:type="dxa"/>
            <w:tcBorders>
              <w:top w:val="single" w:sz="4" w:space="0" w:color="auto"/>
              <w:left w:val="single" w:sz="4" w:space="0" w:color="auto"/>
              <w:bottom w:val="single" w:sz="4" w:space="0" w:color="auto"/>
              <w:right w:val="single" w:sz="4" w:space="0" w:color="auto"/>
            </w:tcBorders>
            <w:tcMar>
              <w:right w:w="288" w:type="dxa"/>
            </w:tcMar>
            <w:vAlign w:val="center"/>
          </w:tcPr>
          <w:p w14:paraId="589A9C3E"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981</w:t>
            </w:r>
          </w:p>
        </w:tc>
        <w:tc>
          <w:tcPr>
            <w:tcW w:w="845" w:type="dxa"/>
            <w:tcBorders>
              <w:top w:val="single" w:sz="4" w:space="0" w:color="auto"/>
              <w:left w:val="single" w:sz="4" w:space="0" w:color="auto"/>
              <w:bottom w:val="single" w:sz="4" w:space="0" w:color="auto"/>
              <w:right w:val="single" w:sz="4" w:space="0" w:color="auto"/>
            </w:tcBorders>
            <w:tcMar>
              <w:right w:w="288" w:type="dxa"/>
            </w:tcMar>
            <w:vAlign w:val="center"/>
          </w:tcPr>
          <w:p w14:paraId="3E68E80A" w14:textId="77777777" w:rsidR="00F020D4" w:rsidRPr="00346B93" w:rsidRDefault="00F020D4" w:rsidP="00D42D51">
            <w:pPr>
              <w:keepNext/>
              <w:keepLines/>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Mar>
              <w:right w:w="144" w:type="dxa"/>
            </w:tcMar>
            <w:vAlign w:val="center"/>
          </w:tcPr>
          <w:p w14:paraId="599AA897" w14:textId="77777777" w:rsidR="00F020D4" w:rsidRPr="00346B93" w:rsidRDefault="00F020D4" w:rsidP="00D42D51">
            <w:pPr>
              <w:keepNext/>
              <w:keepLines/>
              <w:adjustRightInd w:val="0"/>
              <w:jc w:val="center"/>
              <w:rP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tcMar>
              <w:right w:w="288" w:type="dxa"/>
            </w:tcMar>
            <w:vAlign w:val="center"/>
          </w:tcPr>
          <w:p w14:paraId="1D428458" w14:textId="77777777" w:rsidR="00F020D4" w:rsidRPr="00346B93" w:rsidRDefault="00F020D4" w:rsidP="00D42D51">
            <w:pPr>
              <w:keepNext/>
              <w:keepLines/>
              <w:adjustRightIn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Mar>
              <w:right w:w="144" w:type="dxa"/>
            </w:tcMar>
            <w:vAlign w:val="center"/>
          </w:tcPr>
          <w:p w14:paraId="1BDBF57E" w14:textId="77777777" w:rsidR="00F020D4" w:rsidRPr="00346B93" w:rsidRDefault="00F020D4" w:rsidP="00D42D51">
            <w:pPr>
              <w:keepNext/>
              <w:keepLines/>
              <w:adjustRightInd w:val="0"/>
              <w:jc w:val="center"/>
              <w:rPr>
                <w:color w:val="000000"/>
                <w:sz w:val="20"/>
                <w:szCs w:val="20"/>
              </w:rPr>
            </w:pPr>
          </w:p>
        </w:tc>
      </w:tr>
      <w:tr w:rsidR="00F020D4" w:rsidRPr="00346B93" w14:paraId="351381FB" w14:textId="77777777" w:rsidTr="00D42D51">
        <w:trPr>
          <w:cantSplit/>
        </w:trPr>
        <w:tc>
          <w:tcPr>
            <w:tcW w:w="3539" w:type="dxa"/>
            <w:tcBorders>
              <w:top w:val="single" w:sz="4" w:space="0" w:color="auto"/>
              <w:left w:val="single" w:sz="4" w:space="0" w:color="auto"/>
              <w:bottom w:val="single" w:sz="4" w:space="0" w:color="auto"/>
            </w:tcBorders>
            <w:vAlign w:val="center"/>
          </w:tcPr>
          <w:p w14:paraId="37D9BD8A" w14:textId="77777777" w:rsidR="00F020D4" w:rsidRPr="008110D2" w:rsidRDefault="00F020D4" w:rsidP="00D42D51">
            <w:pPr>
              <w:keepNext/>
              <w:keepLines/>
              <w:adjustRightInd w:val="0"/>
              <w:jc w:val="left"/>
              <w:rPr>
                <w:b/>
                <w:bCs/>
                <w:color w:val="000000"/>
                <w:sz w:val="20"/>
                <w:szCs w:val="20"/>
              </w:rPr>
            </w:pPr>
            <w:r w:rsidRPr="008110D2">
              <w:rPr>
                <w:b/>
                <w:bCs/>
              </w:rPr>
              <w:t>Any Seasonal Influenza Strain</w:t>
            </w:r>
            <w:r>
              <w:rPr>
                <w:b/>
                <w:bCs/>
              </w:rPr>
              <w:t>s</w:t>
            </w:r>
            <w:r>
              <w:rPr>
                <w:b/>
                <w:bCs/>
              </w:rPr>
              <w:br/>
            </w:r>
          </w:p>
        </w:tc>
        <w:tc>
          <w:tcPr>
            <w:tcW w:w="856" w:type="dxa"/>
            <w:tcBorders>
              <w:top w:val="single" w:sz="4" w:space="0" w:color="auto"/>
              <w:bottom w:val="single" w:sz="4" w:space="0" w:color="auto"/>
            </w:tcBorders>
            <w:tcMar>
              <w:right w:w="288" w:type="dxa"/>
            </w:tcMar>
            <w:vAlign w:val="center"/>
          </w:tcPr>
          <w:p w14:paraId="37492223" w14:textId="77777777" w:rsidR="00F020D4" w:rsidRPr="00346B93" w:rsidRDefault="00F020D4" w:rsidP="00D42D51">
            <w:pPr>
              <w:keepNext/>
              <w:keepLines/>
              <w:adjustRightInd w:val="0"/>
              <w:jc w:val="center"/>
              <w:rPr>
                <w:color w:val="000000"/>
                <w:sz w:val="20"/>
                <w:szCs w:val="20"/>
              </w:rPr>
            </w:pPr>
          </w:p>
        </w:tc>
        <w:tc>
          <w:tcPr>
            <w:tcW w:w="992" w:type="dxa"/>
            <w:tcBorders>
              <w:top w:val="single" w:sz="4" w:space="0" w:color="auto"/>
              <w:bottom w:val="single" w:sz="4" w:space="0" w:color="auto"/>
            </w:tcBorders>
            <w:tcMar>
              <w:right w:w="288" w:type="dxa"/>
            </w:tcMar>
            <w:vAlign w:val="center"/>
          </w:tcPr>
          <w:p w14:paraId="0BAF6BBD" w14:textId="77777777" w:rsidR="00F020D4" w:rsidRPr="00346B93" w:rsidRDefault="00F020D4" w:rsidP="00D42D51">
            <w:pPr>
              <w:keepNext/>
              <w:keepLines/>
              <w:adjustRightInd w:val="0"/>
              <w:jc w:val="center"/>
              <w:rPr>
                <w:color w:val="000000"/>
                <w:sz w:val="20"/>
                <w:szCs w:val="20"/>
              </w:rPr>
            </w:pPr>
          </w:p>
        </w:tc>
        <w:tc>
          <w:tcPr>
            <w:tcW w:w="845" w:type="dxa"/>
            <w:tcBorders>
              <w:top w:val="single" w:sz="4" w:space="0" w:color="auto"/>
              <w:bottom w:val="single" w:sz="4" w:space="0" w:color="auto"/>
            </w:tcBorders>
            <w:tcMar>
              <w:right w:w="288" w:type="dxa"/>
            </w:tcMar>
            <w:vAlign w:val="center"/>
          </w:tcPr>
          <w:p w14:paraId="63C4EF06" w14:textId="77777777" w:rsidR="00F020D4" w:rsidRPr="00346B93" w:rsidRDefault="00F020D4" w:rsidP="00D42D51">
            <w:pPr>
              <w:keepNext/>
              <w:keepLines/>
              <w:adjustRightInd w:val="0"/>
              <w:jc w:val="center"/>
              <w:rPr>
                <w:color w:val="000000"/>
                <w:sz w:val="20"/>
                <w:szCs w:val="20"/>
              </w:rPr>
            </w:pPr>
          </w:p>
        </w:tc>
        <w:tc>
          <w:tcPr>
            <w:tcW w:w="1134" w:type="dxa"/>
            <w:tcBorders>
              <w:top w:val="single" w:sz="4" w:space="0" w:color="auto"/>
              <w:bottom w:val="single" w:sz="4" w:space="0" w:color="auto"/>
            </w:tcBorders>
            <w:tcMar>
              <w:right w:w="144" w:type="dxa"/>
            </w:tcMar>
            <w:vAlign w:val="center"/>
          </w:tcPr>
          <w:p w14:paraId="1512B052" w14:textId="77777777" w:rsidR="00F020D4" w:rsidRPr="00346B93" w:rsidRDefault="00F020D4" w:rsidP="00D42D51">
            <w:pPr>
              <w:keepNext/>
              <w:keepLines/>
              <w:adjustRightInd w:val="0"/>
              <w:jc w:val="center"/>
              <w:rPr>
                <w:color w:val="000000"/>
                <w:sz w:val="20"/>
                <w:szCs w:val="20"/>
              </w:rPr>
            </w:pPr>
          </w:p>
        </w:tc>
        <w:tc>
          <w:tcPr>
            <w:tcW w:w="997" w:type="dxa"/>
            <w:tcBorders>
              <w:top w:val="single" w:sz="4" w:space="0" w:color="auto"/>
              <w:bottom w:val="single" w:sz="4" w:space="0" w:color="auto"/>
            </w:tcBorders>
            <w:tcMar>
              <w:right w:w="288" w:type="dxa"/>
            </w:tcMar>
            <w:vAlign w:val="center"/>
          </w:tcPr>
          <w:p w14:paraId="0902E5ED" w14:textId="77777777" w:rsidR="00F020D4" w:rsidRPr="00346B93" w:rsidRDefault="00F020D4" w:rsidP="00D42D51">
            <w:pPr>
              <w:keepNext/>
              <w:keepLines/>
              <w:adjustRightInd w:val="0"/>
              <w:jc w:val="center"/>
              <w:rPr>
                <w:color w:val="000000"/>
                <w:sz w:val="20"/>
                <w:szCs w:val="20"/>
              </w:rPr>
            </w:pPr>
          </w:p>
        </w:tc>
        <w:tc>
          <w:tcPr>
            <w:tcW w:w="1135" w:type="dxa"/>
            <w:tcBorders>
              <w:top w:val="single" w:sz="4" w:space="0" w:color="auto"/>
              <w:bottom w:val="single" w:sz="4" w:space="0" w:color="auto"/>
              <w:right w:val="single" w:sz="4" w:space="0" w:color="auto"/>
            </w:tcBorders>
            <w:tcMar>
              <w:right w:w="144" w:type="dxa"/>
            </w:tcMar>
            <w:vAlign w:val="center"/>
          </w:tcPr>
          <w:p w14:paraId="4F3B680C" w14:textId="77777777" w:rsidR="00F020D4" w:rsidRPr="00346B93" w:rsidRDefault="00F020D4" w:rsidP="00D42D51">
            <w:pPr>
              <w:keepNext/>
              <w:keepLines/>
              <w:adjustRightInd w:val="0"/>
              <w:jc w:val="center"/>
              <w:rPr>
                <w:color w:val="000000"/>
                <w:sz w:val="20"/>
                <w:szCs w:val="20"/>
              </w:rPr>
            </w:pPr>
          </w:p>
        </w:tc>
      </w:tr>
      <w:tr w:rsidR="00F020D4" w:rsidRPr="00346B93" w14:paraId="50C61520" w14:textId="77777777" w:rsidTr="00D42D51">
        <w:trPr>
          <w:cantSplit/>
        </w:trPr>
        <w:tc>
          <w:tcPr>
            <w:tcW w:w="3539" w:type="dxa"/>
            <w:tcBorders>
              <w:top w:val="single" w:sz="4" w:space="0" w:color="auto"/>
              <w:left w:val="single" w:sz="4" w:space="0" w:color="auto"/>
              <w:bottom w:val="single" w:sz="4" w:space="0" w:color="auto"/>
              <w:right w:val="single" w:sz="4" w:space="0" w:color="auto"/>
            </w:tcBorders>
            <w:vAlign w:val="center"/>
          </w:tcPr>
          <w:p w14:paraId="486E4A0F" w14:textId="77777777" w:rsidR="00F020D4" w:rsidRPr="00346B93" w:rsidRDefault="00F020D4" w:rsidP="00D42D51">
            <w:pPr>
              <w:keepNext/>
              <w:keepLines/>
              <w:adjustRightInd w:val="0"/>
              <w:jc w:val="left"/>
              <w:rPr>
                <w:color w:val="000000"/>
                <w:sz w:val="20"/>
                <w:szCs w:val="20"/>
              </w:rPr>
            </w:pPr>
            <w:r w:rsidRPr="00346B93">
              <w:rPr>
                <w:color w:val="000000"/>
                <w:sz w:val="20"/>
                <w:szCs w:val="20"/>
              </w:rPr>
              <w:t>Number of Subjects With PCR-Confirmed influenza A/B</w:t>
            </w:r>
          </w:p>
        </w:tc>
        <w:tc>
          <w:tcPr>
            <w:tcW w:w="856" w:type="dxa"/>
            <w:tcBorders>
              <w:top w:val="single" w:sz="4" w:space="0" w:color="auto"/>
              <w:left w:val="single" w:sz="4" w:space="0" w:color="auto"/>
              <w:bottom w:val="single" w:sz="4" w:space="0" w:color="auto"/>
              <w:right w:val="single" w:sz="4" w:space="0" w:color="auto"/>
            </w:tcBorders>
            <w:tcMar>
              <w:right w:w="288" w:type="dxa"/>
            </w:tcMar>
            <w:vAlign w:val="center"/>
          </w:tcPr>
          <w:p w14:paraId="4A1BED0D"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59</w:t>
            </w:r>
          </w:p>
        </w:tc>
        <w:tc>
          <w:tcPr>
            <w:tcW w:w="992" w:type="dxa"/>
            <w:tcBorders>
              <w:top w:val="single" w:sz="4" w:space="0" w:color="auto"/>
              <w:left w:val="single" w:sz="4" w:space="0" w:color="auto"/>
              <w:bottom w:val="single" w:sz="4" w:space="0" w:color="auto"/>
              <w:right w:val="single" w:sz="4" w:space="0" w:color="auto"/>
            </w:tcBorders>
            <w:tcMar>
              <w:right w:w="288" w:type="dxa"/>
            </w:tcMar>
            <w:vAlign w:val="center"/>
          </w:tcPr>
          <w:p w14:paraId="2C61F021"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117</w:t>
            </w:r>
          </w:p>
        </w:tc>
        <w:tc>
          <w:tcPr>
            <w:tcW w:w="845" w:type="dxa"/>
            <w:tcBorders>
              <w:top w:val="single" w:sz="4" w:space="0" w:color="auto"/>
              <w:left w:val="single" w:sz="4" w:space="0" w:color="auto"/>
              <w:bottom w:val="single" w:sz="4" w:space="0" w:color="auto"/>
              <w:right w:val="single" w:sz="4" w:space="0" w:color="auto"/>
            </w:tcBorders>
            <w:tcMar>
              <w:right w:w="288" w:type="dxa"/>
            </w:tcMar>
            <w:vAlign w:val="center"/>
          </w:tcPr>
          <w:p w14:paraId="4445E4C0" w14:textId="77777777" w:rsidR="00F020D4" w:rsidRPr="00346B93" w:rsidRDefault="00F020D4" w:rsidP="00D42D51">
            <w:pPr>
              <w:keepNext/>
              <w:keepLines/>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Mar>
              <w:right w:w="144" w:type="dxa"/>
            </w:tcMar>
            <w:vAlign w:val="center"/>
          </w:tcPr>
          <w:p w14:paraId="48656D85" w14:textId="77777777" w:rsidR="00F020D4" w:rsidRPr="00346B93" w:rsidRDefault="00F020D4" w:rsidP="00D42D51">
            <w:pPr>
              <w:keepNext/>
              <w:keepLines/>
              <w:adjustRightInd w:val="0"/>
              <w:jc w:val="center"/>
              <w:rP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tcMar>
              <w:right w:w="288" w:type="dxa"/>
            </w:tcMar>
            <w:vAlign w:val="center"/>
          </w:tcPr>
          <w:p w14:paraId="76276400" w14:textId="77777777" w:rsidR="00F020D4" w:rsidRPr="00346B93" w:rsidRDefault="00F020D4" w:rsidP="00D42D51">
            <w:pPr>
              <w:keepNext/>
              <w:keepLines/>
              <w:adjustRightIn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Mar>
              <w:right w:w="144" w:type="dxa"/>
            </w:tcMar>
            <w:vAlign w:val="center"/>
          </w:tcPr>
          <w:p w14:paraId="60344849" w14:textId="77777777" w:rsidR="00F020D4" w:rsidRPr="00346B93" w:rsidRDefault="00F020D4" w:rsidP="00D42D51">
            <w:pPr>
              <w:keepNext/>
              <w:keepLines/>
              <w:adjustRightInd w:val="0"/>
              <w:jc w:val="center"/>
              <w:rPr>
                <w:color w:val="000000"/>
                <w:sz w:val="20"/>
                <w:szCs w:val="20"/>
              </w:rPr>
            </w:pPr>
          </w:p>
        </w:tc>
      </w:tr>
      <w:tr w:rsidR="00F020D4" w:rsidRPr="00346B93" w14:paraId="4D62527A" w14:textId="77777777" w:rsidTr="00D42D51">
        <w:trPr>
          <w:cantSplit/>
        </w:trPr>
        <w:tc>
          <w:tcPr>
            <w:tcW w:w="3539" w:type="dxa"/>
            <w:tcBorders>
              <w:top w:val="single" w:sz="4" w:space="0" w:color="auto"/>
              <w:left w:val="single" w:sz="4" w:space="0" w:color="auto"/>
              <w:bottom w:val="single" w:sz="4" w:space="0" w:color="auto"/>
              <w:right w:val="single" w:sz="4" w:space="0" w:color="auto"/>
            </w:tcBorders>
            <w:vAlign w:val="center"/>
          </w:tcPr>
          <w:p w14:paraId="5A254916" w14:textId="77777777" w:rsidR="00F020D4" w:rsidRPr="00346B93" w:rsidRDefault="00F020D4" w:rsidP="00D42D51">
            <w:pPr>
              <w:keepNext/>
              <w:keepLines/>
              <w:adjustRightInd w:val="0"/>
              <w:jc w:val="left"/>
              <w:rPr>
                <w:color w:val="000000"/>
                <w:sz w:val="20"/>
                <w:szCs w:val="20"/>
              </w:rPr>
            </w:pPr>
            <w:r w:rsidRPr="00346B93">
              <w:rPr>
                <w:color w:val="000000"/>
                <w:sz w:val="20"/>
                <w:szCs w:val="20"/>
              </w:rPr>
              <w:t>Number of Censored Observations</w:t>
            </w:r>
          </w:p>
        </w:tc>
        <w:tc>
          <w:tcPr>
            <w:tcW w:w="856" w:type="dxa"/>
            <w:tcBorders>
              <w:top w:val="single" w:sz="4" w:space="0" w:color="auto"/>
              <w:left w:val="single" w:sz="4" w:space="0" w:color="auto"/>
              <w:bottom w:val="single" w:sz="4" w:space="0" w:color="auto"/>
              <w:right w:val="single" w:sz="4" w:space="0" w:color="auto"/>
            </w:tcBorders>
            <w:tcMar>
              <w:right w:w="288" w:type="dxa"/>
            </w:tcMar>
            <w:vAlign w:val="center"/>
          </w:tcPr>
          <w:p w14:paraId="6371B060"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923</w:t>
            </w:r>
          </w:p>
        </w:tc>
        <w:tc>
          <w:tcPr>
            <w:tcW w:w="992" w:type="dxa"/>
            <w:tcBorders>
              <w:top w:val="single" w:sz="4" w:space="0" w:color="auto"/>
              <w:left w:val="single" w:sz="4" w:space="0" w:color="auto"/>
              <w:bottom w:val="single" w:sz="4" w:space="0" w:color="auto"/>
              <w:right w:val="single" w:sz="4" w:space="0" w:color="auto"/>
            </w:tcBorders>
            <w:tcMar>
              <w:right w:w="288" w:type="dxa"/>
            </w:tcMar>
            <w:vAlign w:val="center"/>
          </w:tcPr>
          <w:p w14:paraId="1B88357C"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852</w:t>
            </w:r>
          </w:p>
        </w:tc>
        <w:tc>
          <w:tcPr>
            <w:tcW w:w="845" w:type="dxa"/>
            <w:tcBorders>
              <w:top w:val="single" w:sz="4" w:space="0" w:color="auto"/>
              <w:left w:val="single" w:sz="4" w:space="0" w:color="auto"/>
              <w:bottom w:val="single" w:sz="4" w:space="0" w:color="auto"/>
              <w:right w:val="single" w:sz="4" w:space="0" w:color="auto"/>
            </w:tcBorders>
            <w:tcMar>
              <w:right w:w="288" w:type="dxa"/>
            </w:tcMar>
            <w:vAlign w:val="center"/>
          </w:tcPr>
          <w:p w14:paraId="53788B05" w14:textId="77777777" w:rsidR="00F020D4" w:rsidRPr="00346B93" w:rsidRDefault="00F020D4" w:rsidP="00D42D51">
            <w:pPr>
              <w:keepNext/>
              <w:keepLines/>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Mar>
              <w:right w:w="144" w:type="dxa"/>
            </w:tcMar>
            <w:vAlign w:val="center"/>
          </w:tcPr>
          <w:p w14:paraId="527A28C4" w14:textId="77777777" w:rsidR="00F020D4" w:rsidRPr="00346B93" w:rsidRDefault="00F020D4" w:rsidP="00D42D51">
            <w:pPr>
              <w:keepNext/>
              <w:keepLines/>
              <w:adjustRightInd w:val="0"/>
              <w:jc w:val="center"/>
              <w:rP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tcMar>
              <w:right w:w="288" w:type="dxa"/>
            </w:tcMar>
            <w:vAlign w:val="center"/>
          </w:tcPr>
          <w:p w14:paraId="337ABAE6" w14:textId="77777777" w:rsidR="00F020D4" w:rsidRPr="00346B93" w:rsidRDefault="00F020D4" w:rsidP="00D42D51">
            <w:pPr>
              <w:keepNext/>
              <w:keepLines/>
              <w:adjustRightIn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Mar>
              <w:right w:w="144" w:type="dxa"/>
            </w:tcMar>
            <w:vAlign w:val="center"/>
          </w:tcPr>
          <w:p w14:paraId="0660DF47" w14:textId="77777777" w:rsidR="00F020D4" w:rsidRPr="00346B93" w:rsidRDefault="00F020D4" w:rsidP="00D42D51">
            <w:pPr>
              <w:keepNext/>
              <w:keepLines/>
              <w:adjustRightInd w:val="0"/>
              <w:jc w:val="center"/>
              <w:rPr>
                <w:color w:val="000000"/>
                <w:sz w:val="20"/>
                <w:szCs w:val="20"/>
              </w:rPr>
            </w:pPr>
          </w:p>
        </w:tc>
      </w:tr>
      <w:tr w:rsidR="00F020D4" w:rsidRPr="00346B93" w14:paraId="6F9BB70B" w14:textId="77777777" w:rsidTr="00D42D51">
        <w:trPr>
          <w:cantSplit/>
        </w:trPr>
        <w:tc>
          <w:tcPr>
            <w:tcW w:w="3539" w:type="dxa"/>
            <w:tcBorders>
              <w:top w:val="single" w:sz="4" w:space="0" w:color="auto"/>
              <w:left w:val="single" w:sz="4" w:space="0" w:color="auto"/>
              <w:bottom w:val="single" w:sz="4" w:space="0" w:color="auto"/>
              <w:right w:val="single" w:sz="4" w:space="0" w:color="auto"/>
            </w:tcBorders>
            <w:vAlign w:val="center"/>
          </w:tcPr>
          <w:p w14:paraId="5002E830" w14:textId="77777777" w:rsidR="00F020D4" w:rsidRPr="00346B93" w:rsidRDefault="00F020D4" w:rsidP="00D42D51">
            <w:pPr>
              <w:keepNext/>
              <w:keepLines/>
              <w:adjustRightInd w:val="0"/>
              <w:jc w:val="left"/>
              <w:rPr>
                <w:color w:val="000000"/>
                <w:sz w:val="20"/>
                <w:szCs w:val="20"/>
              </w:rPr>
            </w:pPr>
          </w:p>
        </w:tc>
        <w:tc>
          <w:tcPr>
            <w:tcW w:w="856" w:type="dxa"/>
            <w:tcBorders>
              <w:top w:val="single" w:sz="4" w:space="0" w:color="auto"/>
              <w:left w:val="single" w:sz="4" w:space="0" w:color="auto"/>
              <w:bottom w:val="single" w:sz="4" w:space="0" w:color="auto"/>
              <w:right w:val="single" w:sz="4" w:space="0" w:color="auto"/>
            </w:tcBorders>
            <w:tcMar>
              <w:right w:w="288" w:type="dxa"/>
            </w:tcMar>
            <w:vAlign w:val="center"/>
          </w:tcPr>
          <w:p w14:paraId="1A92596C" w14:textId="77777777" w:rsidR="00F020D4" w:rsidRPr="00346B93" w:rsidRDefault="00F020D4" w:rsidP="00D42D51">
            <w:pPr>
              <w:keepNext/>
              <w:keepLines/>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right w:w="288" w:type="dxa"/>
            </w:tcMar>
            <w:vAlign w:val="center"/>
          </w:tcPr>
          <w:p w14:paraId="7B7D51DB" w14:textId="77777777" w:rsidR="00F020D4" w:rsidRPr="00346B93" w:rsidRDefault="00F020D4" w:rsidP="00D42D51">
            <w:pPr>
              <w:keepNext/>
              <w:keepLines/>
              <w:adjustRightInd w:val="0"/>
              <w:jc w:val="center"/>
              <w:rPr>
                <w:color w:val="000000"/>
                <w:sz w:val="20"/>
                <w:szCs w:val="20"/>
              </w:rPr>
            </w:pPr>
          </w:p>
        </w:tc>
        <w:tc>
          <w:tcPr>
            <w:tcW w:w="845" w:type="dxa"/>
            <w:tcBorders>
              <w:top w:val="single" w:sz="4" w:space="0" w:color="auto"/>
              <w:left w:val="single" w:sz="4" w:space="0" w:color="auto"/>
              <w:bottom w:val="single" w:sz="4" w:space="0" w:color="auto"/>
              <w:right w:val="single" w:sz="4" w:space="0" w:color="auto"/>
            </w:tcBorders>
            <w:tcMar>
              <w:right w:w="288" w:type="dxa"/>
            </w:tcMar>
            <w:vAlign w:val="center"/>
          </w:tcPr>
          <w:p w14:paraId="11BA45A8"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0.46</w:t>
            </w:r>
          </w:p>
        </w:tc>
        <w:tc>
          <w:tcPr>
            <w:tcW w:w="1134" w:type="dxa"/>
            <w:tcBorders>
              <w:top w:val="single" w:sz="4" w:space="0" w:color="auto"/>
              <w:left w:val="single" w:sz="4" w:space="0" w:color="auto"/>
              <w:bottom w:val="single" w:sz="4" w:space="0" w:color="auto"/>
              <w:right w:val="single" w:sz="4" w:space="0" w:color="auto"/>
            </w:tcBorders>
            <w:tcMar>
              <w:right w:w="144" w:type="dxa"/>
            </w:tcMar>
            <w:vAlign w:val="center"/>
          </w:tcPr>
          <w:p w14:paraId="320F04B1"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 xml:space="preserve">0.34 </w:t>
            </w:r>
            <w:r>
              <w:rPr>
                <w:color w:val="000000"/>
                <w:sz w:val="20"/>
                <w:szCs w:val="20"/>
              </w:rPr>
              <w:t>–</w:t>
            </w:r>
            <w:r w:rsidRPr="00346B93">
              <w:rPr>
                <w:color w:val="000000"/>
                <w:sz w:val="20"/>
                <w:szCs w:val="20"/>
              </w:rPr>
              <w:t xml:space="preserve"> 0.63</w:t>
            </w:r>
          </w:p>
        </w:tc>
        <w:tc>
          <w:tcPr>
            <w:tcW w:w="997" w:type="dxa"/>
            <w:tcBorders>
              <w:top w:val="single" w:sz="4" w:space="0" w:color="auto"/>
              <w:left w:val="single" w:sz="4" w:space="0" w:color="auto"/>
              <w:bottom w:val="single" w:sz="4" w:space="0" w:color="auto"/>
              <w:right w:val="single" w:sz="4" w:space="0" w:color="auto"/>
            </w:tcBorders>
            <w:tcMar>
              <w:right w:w="288" w:type="dxa"/>
            </w:tcMar>
            <w:vAlign w:val="center"/>
          </w:tcPr>
          <w:p w14:paraId="0533B8CB"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0.54</w:t>
            </w:r>
          </w:p>
        </w:tc>
        <w:tc>
          <w:tcPr>
            <w:tcW w:w="1135" w:type="dxa"/>
            <w:tcBorders>
              <w:top w:val="single" w:sz="4" w:space="0" w:color="auto"/>
              <w:left w:val="single" w:sz="4" w:space="0" w:color="auto"/>
              <w:bottom w:val="single" w:sz="4" w:space="0" w:color="auto"/>
              <w:right w:val="single" w:sz="4" w:space="0" w:color="auto"/>
            </w:tcBorders>
            <w:tcMar>
              <w:right w:w="144" w:type="dxa"/>
            </w:tcMar>
            <w:vAlign w:val="center"/>
          </w:tcPr>
          <w:p w14:paraId="2C4509F5"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 xml:space="preserve">0.37 </w:t>
            </w:r>
            <w:r>
              <w:rPr>
                <w:color w:val="000000"/>
                <w:sz w:val="20"/>
                <w:szCs w:val="20"/>
              </w:rPr>
              <w:t>–</w:t>
            </w:r>
            <w:r w:rsidRPr="00346B93">
              <w:rPr>
                <w:color w:val="000000"/>
                <w:sz w:val="20"/>
                <w:szCs w:val="20"/>
              </w:rPr>
              <w:t xml:space="preserve"> 0.66</w:t>
            </w:r>
          </w:p>
        </w:tc>
      </w:tr>
      <w:tr w:rsidR="00F020D4" w:rsidRPr="00346B93" w14:paraId="79825283" w14:textId="77777777" w:rsidTr="00D42D51">
        <w:trPr>
          <w:cantSplit/>
        </w:trPr>
        <w:tc>
          <w:tcPr>
            <w:tcW w:w="3539" w:type="dxa"/>
            <w:tcBorders>
              <w:top w:val="single" w:sz="4" w:space="0" w:color="auto"/>
              <w:left w:val="single" w:sz="4" w:space="0" w:color="auto"/>
              <w:bottom w:val="single" w:sz="4" w:space="0" w:color="auto"/>
            </w:tcBorders>
            <w:vAlign w:val="center"/>
          </w:tcPr>
          <w:p w14:paraId="43CA264B" w14:textId="77777777" w:rsidR="00F020D4" w:rsidRPr="008110D2" w:rsidRDefault="00F020D4" w:rsidP="00D42D51">
            <w:pPr>
              <w:keepNext/>
              <w:keepLines/>
              <w:adjustRightInd w:val="0"/>
              <w:jc w:val="left"/>
              <w:rPr>
                <w:b/>
                <w:bCs/>
                <w:color w:val="000000"/>
                <w:sz w:val="20"/>
                <w:szCs w:val="20"/>
              </w:rPr>
            </w:pPr>
            <w:r w:rsidRPr="008110D2">
              <w:rPr>
                <w:b/>
                <w:bCs/>
              </w:rPr>
              <w:t>Antigenically Matching Vaccine strains</w:t>
            </w:r>
          </w:p>
        </w:tc>
        <w:tc>
          <w:tcPr>
            <w:tcW w:w="856" w:type="dxa"/>
            <w:tcBorders>
              <w:top w:val="single" w:sz="4" w:space="0" w:color="auto"/>
              <w:bottom w:val="single" w:sz="4" w:space="0" w:color="auto"/>
            </w:tcBorders>
            <w:tcMar>
              <w:right w:w="288" w:type="dxa"/>
            </w:tcMar>
            <w:vAlign w:val="center"/>
          </w:tcPr>
          <w:p w14:paraId="3D2BEA7B" w14:textId="77777777" w:rsidR="00F020D4" w:rsidRPr="00346B93" w:rsidRDefault="00F020D4" w:rsidP="00D42D51">
            <w:pPr>
              <w:keepNext/>
              <w:keepLines/>
              <w:adjustRightInd w:val="0"/>
              <w:jc w:val="center"/>
              <w:rPr>
                <w:color w:val="000000"/>
                <w:sz w:val="20"/>
                <w:szCs w:val="20"/>
              </w:rPr>
            </w:pPr>
          </w:p>
        </w:tc>
        <w:tc>
          <w:tcPr>
            <w:tcW w:w="992" w:type="dxa"/>
            <w:tcBorders>
              <w:top w:val="single" w:sz="4" w:space="0" w:color="auto"/>
              <w:bottom w:val="single" w:sz="4" w:space="0" w:color="auto"/>
            </w:tcBorders>
            <w:tcMar>
              <w:right w:w="288" w:type="dxa"/>
            </w:tcMar>
            <w:vAlign w:val="center"/>
          </w:tcPr>
          <w:p w14:paraId="58CF455A" w14:textId="77777777" w:rsidR="00F020D4" w:rsidRPr="00346B93" w:rsidRDefault="00F020D4" w:rsidP="00D42D51">
            <w:pPr>
              <w:keepNext/>
              <w:keepLines/>
              <w:adjustRightInd w:val="0"/>
              <w:jc w:val="center"/>
              <w:rPr>
                <w:color w:val="000000"/>
                <w:sz w:val="20"/>
                <w:szCs w:val="20"/>
              </w:rPr>
            </w:pPr>
          </w:p>
        </w:tc>
        <w:tc>
          <w:tcPr>
            <w:tcW w:w="845" w:type="dxa"/>
            <w:tcBorders>
              <w:top w:val="single" w:sz="4" w:space="0" w:color="auto"/>
              <w:bottom w:val="single" w:sz="4" w:space="0" w:color="auto"/>
            </w:tcBorders>
            <w:tcMar>
              <w:right w:w="288" w:type="dxa"/>
            </w:tcMar>
            <w:vAlign w:val="center"/>
          </w:tcPr>
          <w:p w14:paraId="22A47147" w14:textId="77777777" w:rsidR="00F020D4" w:rsidRPr="00346B93" w:rsidRDefault="00F020D4" w:rsidP="00D42D51">
            <w:pPr>
              <w:keepNext/>
              <w:keepLines/>
              <w:adjustRightInd w:val="0"/>
              <w:jc w:val="center"/>
              <w:rPr>
                <w:color w:val="000000"/>
                <w:sz w:val="20"/>
                <w:szCs w:val="20"/>
              </w:rPr>
            </w:pPr>
          </w:p>
        </w:tc>
        <w:tc>
          <w:tcPr>
            <w:tcW w:w="1134" w:type="dxa"/>
            <w:tcBorders>
              <w:top w:val="single" w:sz="4" w:space="0" w:color="auto"/>
              <w:bottom w:val="single" w:sz="4" w:space="0" w:color="auto"/>
            </w:tcBorders>
            <w:tcMar>
              <w:right w:w="144" w:type="dxa"/>
            </w:tcMar>
            <w:vAlign w:val="center"/>
          </w:tcPr>
          <w:p w14:paraId="199A73A2" w14:textId="77777777" w:rsidR="00F020D4" w:rsidRPr="00346B93" w:rsidRDefault="00F020D4" w:rsidP="00D42D51">
            <w:pPr>
              <w:keepNext/>
              <w:keepLines/>
              <w:adjustRightInd w:val="0"/>
              <w:jc w:val="center"/>
              <w:rPr>
                <w:color w:val="000000"/>
                <w:sz w:val="20"/>
                <w:szCs w:val="20"/>
              </w:rPr>
            </w:pPr>
          </w:p>
        </w:tc>
        <w:tc>
          <w:tcPr>
            <w:tcW w:w="997" w:type="dxa"/>
            <w:tcBorders>
              <w:top w:val="single" w:sz="4" w:space="0" w:color="auto"/>
              <w:bottom w:val="single" w:sz="4" w:space="0" w:color="auto"/>
            </w:tcBorders>
            <w:tcMar>
              <w:right w:w="288" w:type="dxa"/>
            </w:tcMar>
            <w:vAlign w:val="center"/>
          </w:tcPr>
          <w:p w14:paraId="5552C23A" w14:textId="77777777" w:rsidR="00F020D4" w:rsidRPr="00346B93" w:rsidRDefault="00F020D4" w:rsidP="00D42D51">
            <w:pPr>
              <w:keepNext/>
              <w:keepLines/>
              <w:adjustRightInd w:val="0"/>
              <w:jc w:val="center"/>
              <w:rPr>
                <w:color w:val="000000"/>
                <w:sz w:val="20"/>
                <w:szCs w:val="20"/>
              </w:rPr>
            </w:pPr>
          </w:p>
        </w:tc>
        <w:tc>
          <w:tcPr>
            <w:tcW w:w="1135" w:type="dxa"/>
            <w:tcBorders>
              <w:top w:val="single" w:sz="4" w:space="0" w:color="auto"/>
              <w:bottom w:val="single" w:sz="4" w:space="0" w:color="auto"/>
              <w:right w:val="single" w:sz="4" w:space="0" w:color="auto"/>
            </w:tcBorders>
            <w:tcMar>
              <w:right w:w="144" w:type="dxa"/>
            </w:tcMar>
            <w:vAlign w:val="center"/>
          </w:tcPr>
          <w:p w14:paraId="62F203A2" w14:textId="77777777" w:rsidR="00F020D4" w:rsidRPr="00346B93" w:rsidRDefault="00F020D4" w:rsidP="00D42D51">
            <w:pPr>
              <w:keepNext/>
              <w:keepLines/>
              <w:adjustRightInd w:val="0"/>
              <w:jc w:val="center"/>
              <w:rPr>
                <w:color w:val="000000"/>
                <w:sz w:val="20"/>
                <w:szCs w:val="20"/>
              </w:rPr>
            </w:pPr>
          </w:p>
        </w:tc>
      </w:tr>
      <w:tr w:rsidR="00F020D4" w:rsidRPr="00346B93" w14:paraId="155F7E84" w14:textId="77777777" w:rsidTr="00D42D51">
        <w:trPr>
          <w:cantSplit/>
        </w:trPr>
        <w:tc>
          <w:tcPr>
            <w:tcW w:w="3539" w:type="dxa"/>
            <w:tcBorders>
              <w:top w:val="single" w:sz="4" w:space="0" w:color="auto"/>
              <w:left w:val="single" w:sz="4" w:space="0" w:color="auto"/>
              <w:bottom w:val="single" w:sz="4" w:space="0" w:color="auto"/>
              <w:right w:val="single" w:sz="4" w:space="0" w:color="auto"/>
            </w:tcBorders>
            <w:vAlign w:val="center"/>
          </w:tcPr>
          <w:p w14:paraId="17A464AD" w14:textId="77777777" w:rsidR="00F020D4" w:rsidRPr="00346B93" w:rsidRDefault="00F020D4" w:rsidP="00D42D51">
            <w:pPr>
              <w:keepNext/>
              <w:keepLines/>
              <w:adjustRightInd w:val="0"/>
              <w:jc w:val="left"/>
              <w:rPr>
                <w:color w:val="000000"/>
                <w:sz w:val="20"/>
                <w:szCs w:val="20"/>
              </w:rPr>
            </w:pPr>
            <w:r w:rsidRPr="00346B93">
              <w:rPr>
                <w:color w:val="000000"/>
                <w:sz w:val="20"/>
                <w:szCs w:val="20"/>
              </w:rPr>
              <w:t>Number of Subjects With PCR-Confirmed influenza A/B</w:t>
            </w:r>
          </w:p>
        </w:tc>
        <w:tc>
          <w:tcPr>
            <w:tcW w:w="856" w:type="dxa"/>
            <w:tcBorders>
              <w:top w:val="single" w:sz="4" w:space="0" w:color="auto"/>
              <w:left w:val="single" w:sz="4" w:space="0" w:color="auto"/>
              <w:bottom w:val="single" w:sz="4" w:space="0" w:color="auto"/>
              <w:right w:val="single" w:sz="4" w:space="0" w:color="auto"/>
            </w:tcBorders>
            <w:tcMar>
              <w:right w:w="288" w:type="dxa"/>
            </w:tcMar>
          </w:tcPr>
          <w:p w14:paraId="18B708B5" w14:textId="77777777" w:rsidR="00F020D4" w:rsidRPr="00346B93" w:rsidRDefault="00F020D4" w:rsidP="00D42D51">
            <w:pPr>
              <w:keepNext/>
              <w:keepLines/>
              <w:adjustRightInd w:val="0"/>
              <w:jc w:val="center"/>
              <w:rPr>
                <w:color w:val="000000"/>
                <w:sz w:val="20"/>
                <w:szCs w:val="20"/>
              </w:rPr>
            </w:pPr>
            <w:r w:rsidRPr="00346B93">
              <w:rPr>
                <w:sz w:val="20"/>
                <w:szCs w:val="20"/>
              </w:rPr>
              <w:t>19</w:t>
            </w:r>
          </w:p>
        </w:tc>
        <w:tc>
          <w:tcPr>
            <w:tcW w:w="992" w:type="dxa"/>
            <w:tcBorders>
              <w:top w:val="single" w:sz="4" w:space="0" w:color="auto"/>
              <w:left w:val="single" w:sz="4" w:space="0" w:color="auto"/>
              <w:bottom w:val="single" w:sz="4" w:space="0" w:color="auto"/>
              <w:right w:val="single" w:sz="4" w:space="0" w:color="auto"/>
            </w:tcBorders>
            <w:tcMar>
              <w:right w:w="288" w:type="dxa"/>
            </w:tcMar>
          </w:tcPr>
          <w:p w14:paraId="40D5C2A6" w14:textId="77777777" w:rsidR="00F020D4" w:rsidRPr="00346B93" w:rsidRDefault="00F020D4" w:rsidP="00D42D51">
            <w:pPr>
              <w:keepNext/>
              <w:keepLines/>
              <w:adjustRightInd w:val="0"/>
              <w:jc w:val="center"/>
              <w:rPr>
                <w:color w:val="000000"/>
                <w:sz w:val="20"/>
                <w:szCs w:val="20"/>
              </w:rPr>
            </w:pPr>
            <w:r w:rsidRPr="00346B93">
              <w:rPr>
                <w:sz w:val="20"/>
                <w:szCs w:val="20"/>
              </w:rPr>
              <w:t>56</w:t>
            </w:r>
          </w:p>
        </w:tc>
        <w:tc>
          <w:tcPr>
            <w:tcW w:w="845" w:type="dxa"/>
            <w:tcBorders>
              <w:top w:val="single" w:sz="4" w:space="0" w:color="auto"/>
              <w:left w:val="single" w:sz="4" w:space="0" w:color="auto"/>
              <w:bottom w:val="single" w:sz="4" w:space="0" w:color="auto"/>
              <w:right w:val="single" w:sz="4" w:space="0" w:color="auto"/>
            </w:tcBorders>
            <w:tcMar>
              <w:right w:w="288" w:type="dxa"/>
            </w:tcMar>
            <w:vAlign w:val="center"/>
          </w:tcPr>
          <w:p w14:paraId="63992B4D" w14:textId="77777777" w:rsidR="00F020D4" w:rsidRPr="00346B93" w:rsidRDefault="00F020D4" w:rsidP="00D42D51">
            <w:pPr>
              <w:keepNext/>
              <w:keepLines/>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Mar>
              <w:right w:w="144" w:type="dxa"/>
            </w:tcMar>
            <w:vAlign w:val="center"/>
          </w:tcPr>
          <w:p w14:paraId="061F1061" w14:textId="77777777" w:rsidR="00F020D4" w:rsidRPr="00346B93" w:rsidRDefault="00F020D4" w:rsidP="00D42D51">
            <w:pPr>
              <w:keepNext/>
              <w:keepLines/>
              <w:adjustRightInd w:val="0"/>
              <w:jc w:val="center"/>
              <w:rP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tcMar>
              <w:right w:w="288" w:type="dxa"/>
            </w:tcMar>
            <w:vAlign w:val="center"/>
          </w:tcPr>
          <w:p w14:paraId="70C3FFD3" w14:textId="77777777" w:rsidR="00F020D4" w:rsidRPr="00346B93" w:rsidRDefault="00F020D4" w:rsidP="00D42D51">
            <w:pPr>
              <w:keepNext/>
              <w:keepLines/>
              <w:adjustRightIn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Mar>
              <w:right w:w="144" w:type="dxa"/>
            </w:tcMar>
            <w:vAlign w:val="center"/>
          </w:tcPr>
          <w:p w14:paraId="2A3A3066" w14:textId="77777777" w:rsidR="00F020D4" w:rsidRPr="00346B93" w:rsidRDefault="00F020D4" w:rsidP="00D42D51">
            <w:pPr>
              <w:keepNext/>
              <w:keepLines/>
              <w:adjustRightInd w:val="0"/>
              <w:jc w:val="center"/>
              <w:rPr>
                <w:color w:val="000000"/>
                <w:sz w:val="20"/>
                <w:szCs w:val="20"/>
              </w:rPr>
            </w:pPr>
          </w:p>
        </w:tc>
      </w:tr>
      <w:tr w:rsidR="00F020D4" w:rsidRPr="00346B93" w14:paraId="6D00356F" w14:textId="77777777" w:rsidTr="00D42D51">
        <w:trPr>
          <w:cantSplit/>
        </w:trPr>
        <w:tc>
          <w:tcPr>
            <w:tcW w:w="3539" w:type="dxa"/>
            <w:tcBorders>
              <w:top w:val="single" w:sz="4" w:space="0" w:color="auto"/>
              <w:left w:val="single" w:sz="4" w:space="0" w:color="auto"/>
              <w:bottom w:val="single" w:sz="4" w:space="0" w:color="auto"/>
              <w:right w:val="single" w:sz="4" w:space="0" w:color="auto"/>
            </w:tcBorders>
            <w:vAlign w:val="center"/>
          </w:tcPr>
          <w:p w14:paraId="0B85500B" w14:textId="77777777" w:rsidR="00F020D4" w:rsidRPr="00346B93" w:rsidRDefault="00F020D4" w:rsidP="00D42D51">
            <w:pPr>
              <w:keepNext/>
              <w:keepLines/>
              <w:adjustRightInd w:val="0"/>
              <w:jc w:val="left"/>
              <w:rPr>
                <w:color w:val="000000"/>
                <w:sz w:val="20"/>
                <w:szCs w:val="20"/>
              </w:rPr>
            </w:pPr>
            <w:r w:rsidRPr="00346B93">
              <w:rPr>
                <w:color w:val="000000"/>
                <w:sz w:val="20"/>
                <w:szCs w:val="20"/>
              </w:rPr>
              <w:t>Number of Censored Observations</w:t>
            </w:r>
          </w:p>
        </w:tc>
        <w:tc>
          <w:tcPr>
            <w:tcW w:w="856" w:type="dxa"/>
            <w:tcBorders>
              <w:top w:val="single" w:sz="4" w:space="0" w:color="auto"/>
              <w:left w:val="single" w:sz="4" w:space="0" w:color="auto"/>
              <w:bottom w:val="single" w:sz="4" w:space="0" w:color="auto"/>
              <w:right w:val="single" w:sz="4" w:space="0" w:color="auto"/>
            </w:tcBorders>
            <w:tcMar>
              <w:right w:w="288" w:type="dxa"/>
            </w:tcMar>
          </w:tcPr>
          <w:p w14:paraId="145C716B" w14:textId="77777777" w:rsidR="00F020D4" w:rsidRPr="00346B93" w:rsidRDefault="00F020D4" w:rsidP="00D42D51">
            <w:pPr>
              <w:keepNext/>
              <w:keepLines/>
              <w:adjustRightInd w:val="0"/>
              <w:jc w:val="center"/>
              <w:rPr>
                <w:color w:val="000000"/>
                <w:sz w:val="20"/>
                <w:szCs w:val="20"/>
              </w:rPr>
            </w:pPr>
            <w:r w:rsidRPr="00346B93">
              <w:rPr>
                <w:sz w:val="20"/>
                <w:szCs w:val="20"/>
              </w:rPr>
              <w:t>963</w:t>
            </w:r>
          </w:p>
        </w:tc>
        <w:tc>
          <w:tcPr>
            <w:tcW w:w="992" w:type="dxa"/>
            <w:tcBorders>
              <w:top w:val="single" w:sz="4" w:space="0" w:color="auto"/>
              <w:left w:val="single" w:sz="4" w:space="0" w:color="auto"/>
              <w:bottom w:val="single" w:sz="4" w:space="0" w:color="auto"/>
              <w:right w:val="single" w:sz="4" w:space="0" w:color="auto"/>
            </w:tcBorders>
            <w:tcMar>
              <w:right w:w="288" w:type="dxa"/>
            </w:tcMar>
          </w:tcPr>
          <w:p w14:paraId="3977CAEC" w14:textId="77777777" w:rsidR="00F020D4" w:rsidRPr="00346B93" w:rsidRDefault="00F020D4" w:rsidP="00D42D51">
            <w:pPr>
              <w:keepNext/>
              <w:keepLines/>
              <w:adjustRightInd w:val="0"/>
              <w:jc w:val="center"/>
              <w:rPr>
                <w:color w:val="000000"/>
                <w:sz w:val="20"/>
                <w:szCs w:val="20"/>
              </w:rPr>
            </w:pPr>
            <w:r w:rsidRPr="00346B93">
              <w:rPr>
                <w:sz w:val="20"/>
                <w:szCs w:val="20"/>
              </w:rPr>
              <w:t>913</w:t>
            </w:r>
          </w:p>
        </w:tc>
        <w:tc>
          <w:tcPr>
            <w:tcW w:w="845" w:type="dxa"/>
            <w:tcBorders>
              <w:top w:val="single" w:sz="4" w:space="0" w:color="auto"/>
              <w:left w:val="single" w:sz="4" w:space="0" w:color="auto"/>
              <w:bottom w:val="single" w:sz="4" w:space="0" w:color="auto"/>
              <w:right w:val="single" w:sz="4" w:space="0" w:color="auto"/>
            </w:tcBorders>
            <w:tcMar>
              <w:right w:w="288" w:type="dxa"/>
            </w:tcMar>
            <w:vAlign w:val="center"/>
          </w:tcPr>
          <w:p w14:paraId="43B08A4A" w14:textId="77777777" w:rsidR="00F020D4" w:rsidRPr="00346B93" w:rsidRDefault="00F020D4" w:rsidP="00D42D51">
            <w:pPr>
              <w:keepNext/>
              <w:keepLines/>
              <w:adjustRightInd w:val="0"/>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Mar>
              <w:right w:w="144" w:type="dxa"/>
            </w:tcMar>
            <w:vAlign w:val="center"/>
          </w:tcPr>
          <w:p w14:paraId="66B60874" w14:textId="77777777" w:rsidR="00F020D4" w:rsidRPr="00346B93" w:rsidRDefault="00F020D4" w:rsidP="00D42D51">
            <w:pPr>
              <w:keepNext/>
              <w:keepLines/>
              <w:adjustRightInd w:val="0"/>
              <w:jc w:val="center"/>
              <w:rP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tcMar>
              <w:right w:w="288" w:type="dxa"/>
            </w:tcMar>
            <w:vAlign w:val="center"/>
          </w:tcPr>
          <w:p w14:paraId="706F4698" w14:textId="77777777" w:rsidR="00F020D4" w:rsidRPr="00346B93" w:rsidRDefault="00F020D4" w:rsidP="00D42D51">
            <w:pPr>
              <w:keepNext/>
              <w:keepLines/>
              <w:adjustRightInd w:val="0"/>
              <w:jc w:val="center"/>
              <w:rPr>
                <w:color w:val="000000"/>
                <w:sz w:val="20"/>
                <w:szCs w:val="20"/>
              </w:rPr>
            </w:pPr>
          </w:p>
        </w:tc>
        <w:tc>
          <w:tcPr>
            <w:tcW w:w="1135" w:type="dxa"/>
            <w:tcBorders>
              <w:top w:val="single" w:sz="4" w:space="0" w:color="auto"/>
              <w:left w:val="single" w:sz="4" w:space="0" w:color="auto"/>
              <w:bottom w:val="single" w:sz="4" w:space="0" w:color="auto"/>
              <w:right w:val="single" w:sz="4" w:space="0" w:color="auto"/>
            </w:tcBorders>
            <w:tcMar>
              <w:right w:w="144" w:type="dxa"/>
            </w:tcMar>
            <w:vAlign w:val="center"/>
          </w:tcPr>
          <w:p w14:paraId="77F42A1B" w14:textId="77777777" w:rsidR="00F020D4" w:rsidRPr="00346B93" w:rsidRDefault="00F020D4" w:rsidP="00D42D51">
            <w:pPr>
              <w:keepNext/>
              <w:keepLines/>
              <w:adjustRightInd w:val="0"/>
              <w:jc w:val="center"/>
              <w:rPr>
                <w:color w:val="000000"/>
                <w:sz w:val="20"/>
                <w:szCs w:val="20"/>
              </w:rPr>
            </w:pPr>
          </w:p>
        </w:tc>
      </w:tr>
      <w:tr w:rsidR="00F020D4" w:rsidRPr="00346B93" w14:paraId="48375BB3" w14:textId="77777777" w:rsidTr="00D42D51">
        <w:trPr>
          <w:cantSplit/>
        </w:trPr>
        <w:tc>
          <w:tcPr>
            <w:tcW w:w="3539" w:type="dxa"/>
            <w:tcBorders>
              <w:top w:val="single" w:sz="4" w:space="0" w:color="auto"/>
              <w:left w:val="single" w:sz="4" w:space="0" w:color="auto"/>
              <w:bottom w:val="single" w:sz="4" w:space="0" w:color="auto"/>
              <w:right w:val="single" w:sz="4" w:space="0" w:color="auto"/>
            </w:tcBorders>
          </w:tcPr>
          <w:p w14:paraId="3C0EC542" w14:textId="77777777" w:rsidR="00F020D4" w:rsidRPr="00346B93" w:rsidRDefault="00F020D4" w:rsidP="00D42D51">
            <w:pPr>
              <w:keepNext/>
              <w:keepLines/>
              <w:adjustRightInd w:val="0"/>
              <w:rPr>
                <w:color w:val="000000"/>
                <w:sz w:val="20"/>
                <w:szCs w:val="20"/>
              </w:rPr>
            </w:pPr>
          </w:p>
        </w:tc>
        <w:tc>
          <w:tcPr>
            <w:tcW w:w="856" w:type="dxa"/>
            <w:tcBorders>
              <w:top w:val="single" w:sz="4" w:space="0" w:color="auto"/>
              <w:left w:val="single" w:sz="4" w:space="0" w:color="auto"/>
              <w:bottom w:val="single" w:sz="4" w:space="0" w:color="auto"/>
              <w:right w:val="single" w:sz="4" w:space="0" w:color="auto"/>
            </w:tcBorders>
            <w:tcMar>
              <w:right w:w="288" w:type="dxa"/>
            </w:tcMar>
            <w:vAlign w:val="center"/>
          </w:tcPr>
          <w:p w14:paraId="1DB2380A" w14:textId="77777777" w:rsidR="00F020D4" w:rsidRPr="00346B93" w:rsidRDefault="00F020D4" w:rsidP="00D42D51">
            <w:pPr>
              <w:keepNext/>
              <w:keepLines/>
              <w:adjustRightInd w:val="0"/>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right w:w="288" w:type="dxa"/>
            </w:tcMar>
            <w:vAlign w:val="center"/>
          </w:tcPr>
          <w:p w14:paraId="591CA0E9" w14:textId="77777777" w:rsidR="00F020D4" w:rsidRPr="00346B93" w:rsidRDefault="00F020D4" w:rsidP="00D42D51">
            <w:pPr>
              <w:keepNext/>
              <w:keepLines/>
              <w:adjustRightInd w:val="0"/>
              <w:jc w:val="center"/>
              <w:rPr>
                <w:color w:val="000000"/>
                <w:sz w:val="20"/>
                <w:szCs w:val="20"/>
              </w:rPr>
            </w:pPr>
          </w:p>
        </w:tc>
        <w:tc>
          <w:tcPr>
            <w:tcW w:w="845" w:type="dxa"/>
            <w:tcBorders>
              <w:top w:val="single" w:sz="4" w:space="0" w:color="auto"/>
              <w:left w:val="single" w:sz="4" w:space="0" w:color="auto"/>
              <w:bottom w:val="single" w:sz="4" w:space="0" w:color="auto"/>
              <w:right w:val="single" w:sz="4" w:space="0" w:color="auto"/>
            </w:tcBorders>
            <w:tcMar>
              <w:right w:w="288" w:type="dxa"/>
            </w:tcMar>
          </w:tcPr>
          <w:p w14:paraId="3A55FD36" w14:textId="77777777" w:rsidR="00F020D4" w:rsidRPr="00346B93" w:rsidRDefault="00F020D4" w:rsidP="00D42D51">
            <w:pPr>
              <w:keepNext/>
              <w:keepLines/>
              <w:adjustRightInd w:val="0"/>
              <w:jc w:val="center"/>
              <w:rPr>
                <w:color w:val="000000"/>
                <w:sz w:val="20"/>
                <w:szCs w:val="20"/>
              </w:rPr>
            </w:pPr>
            <w:r w:rsidRPr="00346B93">
              <w:rPr>
                <w:sz w:val="20"/>
                <w:szCs w:val="20"/>
              </w:rPr>
              <w:t>0.32</w:t>
            </w:r>
          </w:p>
        </w:tc>
        <w:tc>
          <w:tcPr>
            <w:tcW w:w="1134" w:type="dxa"/>
            <w:tcBorders>
              <w:top w:val="single" w:sz="4" w:space="0" w:color="auto"/>
              <w:left w:val="single" w:sz="4" w:space="0" w:color="auto"/>
              <w:bottom w:val="single" w:sz="4" w:space="0" w:color="auto"/>
              <w:right w:val="single" w:sz="4" w:space="0" w:color="auto"/>
            </w:tcBorders>
            <w:tcMar>
              <w:right w:w="144" w:type="dxa"/>
            </w:tcMar>
          </w:tcPr>
          <w:p w14:paraId="0FDFD00B" w14:textId="77777777" w:rsidR="00F020D4" w:rsidRPr="00346B93" w:rsidRDefault="00F020D4" w:rsidP="00D42D51">
            <w:pPr>
              <w:keepNext/>
              <w:keepLines/>
              <w:adjustRightInd w:val="0"/>
              <w:jc w:val="center"/>
              <w:rPr>
                <w:color w:val="000000"/>
                <w:sz w:val="20"/>
                <w:szCs w:val="20"/>
              </w:rPr>
            </w:pPr>
            <w:r w:rsidRPr="00346B93">
              <w:rPr>
                <w:sz w:val="20"/>
                <w:szCs w:val="20"/>
              </w:rPr>
              <w:t xml:space="preserve">0.19 </w:t>
            </w:r>
            <w:r>
              <w:rPr>
                <w:sz w:val="20"/>
                <w:szCs w:val="20"/>
              </w:rPr>
              <w:t>–</w:t>
            </w:r>
            <w:r w:rsidRPr="00346B93">
              <w:rPr>
                <w:sz w:val="20"/>
                <w:szCs w:val="20"/>
              </w:rPr>
              <w:t xml:space="preserve"> 0.55</w:t>
            </w:r>
          </w:p>
        </w:tc>
        <w:tc>
          <w:tcPr>
            <w:tcW w:w="997" w:type="dxa"/>
            <w:tcBorders>
              <w:top w:val="single" w:sz="4" w:space="0" w:color="auto"/>
              <w:left w:val="single" w:sz="4" w:space="0" w:color="auto"/>
              <w:bottom w:val="single" w:sz="4" w:space="0" w:color="auto"/>
              <w:right w:val="single" w:sz="4" w:space="0" w:color="auto"/>
            </w:tcBorders>
            <w:tcMar>
              <w:right w:w="288" w:type="dxa"/>
            </w:tcMar>
          </w:tcPr>
          <w:p w14:paraId="183CFE28" w14:textId="77777777" w:rsidR="00F020D4" w:rsidRPr="00346B93" w:rsidRDefault="00F020D4" w:rsidP="00D42D51">
            <w:pPr>
              <w:keepNext/>
              <w:keepLines/>
              <w:adjustRightInd w:val="0"/>
              <w:jc w:val="center"/>
              <w:rPr>
                <w:color w:val="000000"/>
                <w:sz w:val="20"/>
                <w:szCs w:val="20"/>
              </w:rPr>
            </w:pPr>
            <w:r w:rsidRPr="00346B93">
              <w:rPr>
                <w:sz w:val="20"/>
                <w:szCs w:val="20"/>
              </w:rPr>
              <w:t>0.68</w:t>
            </w:r>
          </w:p>
        </w:tc>
        <w:tc>
          <w:tcPr>
            <w:tcW w:w="1135" w:type="dxa"/>
            <w:tcBorders>
              <w:top w:val="single" w:sz="4" w:space="0" w:color="auto"/>
              <w:left w:val="single" w:sz="4" w:space="0" w:color="auto"/>
              <w:bottom w:val="single" w:sz="4" w:space="0" w:color="auto"/>
              <w:right w:val="single" w:sz="4" w:space="0" w:color="auto"/>
            </w:tcBorders>
            <w:tcMar>
              <w:right w:w="144" w:type="dxa"/>
            </w:tcMar>
          </w:tcPr>
          <w:p w14:paraId="76EEF4EF" w14:textId="77777777" w:rsidR="00F020D4" w:rsidRPr="00346B93" w:rsidRDefault="00F020D4" w:rsidP="00D42D51">
            <w:pPr>
              <w:keepNext/>
              <w:keepLines/>
              <w:adjustRightInd w:val="0"/>
              <w:jc w:val="center"/>
              <w:rPr>
                <w:color w:val="000000"/>
                <w:sz w:val="20"/>
                <w:szCs w:val="20"/>
              </w:rPr>
            </w:pPr>
            <w:r w:rsidRPr="00346B93">
              <w:rPr>
                <w:color w:val="000000"/>
                <w:sz w:val="20"/>
                <w:szCs w:val="20"/>
              </w:rPr>
              <w:t xml:space="preserve">0.45 </w:t>
            </w:r>
            <w:r>
              <w:rPr>
                <w:color w:val="000000"/>
                <w:sz w:val="20"/>
                <w:szCs w:val="20"/>
              </w:rPr>
              <w:t>–</w:t>
            </w:r>
            <w:r w:rsidRPr="00346B93">
              <w:rPr>
                <w:color w:val="000000"/>
                <w:sz w:val="20"/>
                <w:szCs w:val="20"/>
              </w:rPr>
              <w:t xml:space="preserve"> 0.81</w:t>
            </w:r>
          </w:p>
        </w:tc>
      </w:tr>
      <w:tr w:rsidR="00F020D4" w:rsidRPr="00F34DFD" w14:paraId="6EF98217" w14:textId="77777777" w:rsidTr="00D42D51">
        <w:trPr>
          <w:cantSplit/>
        </w:trPr>
        <w:tc>
          <w:tcPr>
            <w:tcW w:w="9498" w:type="dxa"/>
            <w:gridSpan w:val="7"/>
            <w:tcBorders>
              <w:top w:val="single" w:sz="4" w:space="0" w:color="auto"/>
            </w:tcBorders>
          </w:tcPr>
          <w:p w14:paraId="0EC5CB01" w14:textId="77777777" w:rsidR="00F020D4" w:rsidRPr="00CD038A" w:rsidRDefault="00F020D4" w:rsidP="00D42D51">
            <w:pPr>
              <w:ind w:right="189"/>
              <w:rPr>
                <w:rFonts w:cs="Times New Roman"/>
                <w:sz w:val="20"/>
                <w:szCs w:val="20"/>
                <w:lang w:val="en"/>
              </w:rPr>
            </w:pPr>
            <w:r w:rsidRPr="00CD038A">
              <w:rPr>
                <w:rFonts w:cs="Times New Roman"/>
                <w:sz w:val="20"/>
                <w:szCs w:val="20"/>
                <w:lang w:val="en"/>
              </w:rPr>
              <w:t>N= number of patients (full analysis sample)</w:t>
            </w:r>
          </w:p>
          <w:p w14:paraId="5509AB32" w14:textId="77777777" w:rsidR="00F020D4" w:rsidRPr="00F34DFD" w:rsidRDefault="00F020D4" w:rsidP="00D42D51">
            <w:pPr>
              <w:keepNext/>
              <w:keepLines/>
              <w:adjustRightInd w:val="0"/>
              <w:jc w:val="left"/>
              <w:rPr>
                <w:rFonts w:cs="Times New Roman"/>
                <w:sz w:val="20"/>
                <w:szCs w:val="20"/>
                <w:lang w:val="fr-FR"/>
              </w:rPr>
            </w:pPr>
            <w:r w:rsidRPr="00F34DFD">
              <w:rPr>
                <w:rFonts w:cs="Times New Roman"/>
                <w:sz w:val="20"/>
                <w:szCs w:val="20"/>
                <w:lang w:val="fr-FR"/>
              </w:rPr>
              <w:t xml:space="preserve">NIV = Non-influenza </w:t>
            </w:r>
            <w:proofErr w:type="gramStart"/>
            <w:r w:rsidRPr="00F34DFD">
              <w:rPr>
                <w:rFonts w:cs="Times New Roman"/>
                <w:sz w:val="20"/>
                <w:szCs w:val="20"/>
                <w:lang w:val="fr-FR"/>
              </w:rPr>
              <w:t>vaccine;</w:t>
            </w:r>
            <w:proofErr w:type="gramEnd"/>
            <w:r w:rsidRPr="00F34DFD">
              <w:rPr>
                <w:rFonts w:cs="Times New Roman"/>
                <w:sz w:val="20"/>
                <w:szCs w:val="20"/>
                <w:lang w:val="fr-FR"/>
              </w:rPr>
              <w:t xml:space="preserve"> CI = confidence </w:t>
            </w:r>
            <w:proofErr w:type="spellStart"/>
            <w:r w:rsidRPr="00F34DFD">
              <w:rPr>
                <w:rFonts w:cs="Times New Roman"/>
                <w:sz w:val="20"/>
                <w:szCs w:val="20"/>
                <w:lang w:val="fr-FR"/>
              </w:rPr>
              <w:t>interval</w:t>
            </w:r>
            <w:proofErr w:type="spellEnd"/>
          </w:p>
        </w:tc>
      </w:tr>
    </w:tbl>
    <w:p w14:paraId="75009FE4" w14:textId="77777777" w:rsidR="00F020D4" w:rsidRPr="00F34DFD" w:rsidRDefault="00F020D4" w:rsidP="00F020D4">
      <w:pPr>
        <w:rPr>
          <w:lang w:val="fr-FR"/>
        </w:rPr>
      </w:pPr>
    </w:p>
    <w:p w14:paraId="3402F1A1" w14:textId="618C7FD6" w:rsidR="00F020D4" w:rsidRPr="00613DB8" w:rsidRDefault="00F020D4" w:rsidP="00F020D4">
      <w:pPr>
        <w:rPr>
          <w:b/>
          <w:lang w:val="en-US"/>
        </w:rPr>
      </w:pPr>
      <w:r w:rsidRPr="008D218B">
        <w:rPr>
          <w:lang w:val="en-US"/>
        </w:rPr>
        <w:t xml:space="preserve">The absolute efficacy of </w:t>
      </w:r>
      <w:r w:rsidR="004120DD">
        <w:rPr>
          <w:lang w:val="en-US"/>
        </w:rPr>
        <w:t>INFLUVAC TETRA</w:t>
      </w:r>
      <w:r w:rsidRPr="008D218B">
        <w:rPr>
          <w:lang w:val="en-US"/>
        </w:rPr>
        <w:t xml:space="preserve"> in the prevention of symptomatic influenza infection compared with a non-influenza vaccine in children aged 6 to 35 months was demonstrated</w:t>
      </w:r>
      <w:r>
        <w:rPr>
          <w:lang w:val="en-US"/>
        </w:rPr>
        <w:t xml:space="preserve"> with an o</w:t>
      </w:r>
      <w:r w:rsidRPr="008D218B">
        <w:rPr>
          <w:lang w:val="en-US"/>
        </w:rPr>
        <w:t xml:space="preserve">verall efficacy </w:t>
      </w:r>
      <w:r>
        <w:rPr>
          <w:lang w:val="en-US"/>
        </w:rPr>
        <w:t xml:space="preserve">of </w:t>
      </w:r>
      <w:r w:rsidRPr="008D218B">
        <w:rPr>
          <w:lang w:val="en-US"/>
        </w:rPr>
        <w:t xml:space="preserve">54% for any strain and 68% for </w:t>
      </w:r>
      <w:r>
        <w:rPr>
          <w:lang w:val="en-US"/>
        </w:rPr>
        <w:t>the</w:t>
      </w:r>
      <w:r w:rsidRPr="008D218B">
        <w:rPr>
          <w:lang w:val="en-US"/>
        </w:rPr>
        <w:t xml:space="preserve"> strains</w:t>
      </w:r>
      <w:r>
        <w:rPr>
          <w:lang w:val="en-US"/>
        </w:rPr>
        <w:t xml:space="preserve"> contained in the vaccine, which persisted over the </w:t>
      </w:r>
      <w:r w:rsidRPr="008D218B">
        <w:rPr>
          <w:lang w:val="en-US"/>
        </w:rPr>
        <w:t>6-month surveillance period</w:t>
      </w:r>
      <w:r>
        <w:rPr>
          <w:lang w:val="en-US"/>
        </w:rPr>
        <w:t>.</w:t>
      </w:r>
    </w:p>
    <w:p w14:paraId="6863F278" w14:textId="2115A8E6" w:rsidR="00B23C6B" w:rsidRDefault="00B23C6B" w:rsidP="0009242F"/>
    <w:p w14:paraId="19345BC9" w14:textId="77ED9808" w:rsidR="00B91882" w:rsidRPr="00B91882" w:rsidRDefault="00B91882" w:rsidP="0009242F">
      <w:pPr>
        <w:pStyle w:val="Subheading1"/>
      </w:pPr>
      <w:r w:rsidRPr="00B91882">
        <w:t xml:space="preserve">Immunogenicity of </w:t>
      </w:r>
      <w:r w:rsidR="004120DD">
        <w:t>INFLUVAC TETRA</w:t>
      </w:r>
      <w:r w:rsidRPr="00B91882">
        <w:t>:</w:t>
      </w:r>
    </w:p>
    <w:p w14:paraId="08B1FCFF" w14:textId="13EEC868" w:rsidR="00B91882" w:rsidRDefault="00B91882" w:rsidP="00B91882">
      <w:r>
        <w:lastRenderedPageBreak/>
        <w:t xml:space="preserve">Clinical studies performed in adults 18 years of age and older (INFQ3001) and children 3 to 17 years of age (INFQ3002) assessed the safety and immunogenicity of quadrivalent </w:t>
      </w:r>
      <w:r w:rsidR="004120DD">
        <w:t>INFLUVAC TETRA</w:t>
      </w:r>
      <w:r>
        <w:t xml:space="preserve"> and its non-inferiority to trivalent influenza vaccine </w:t>
      </w:r>
      <w:r w:rsidR="006A6018">
        <w:t>INFLUVAC</w:t>
      </w:r>
      <w:r>
        <w:t xml:space="preserve">. The post-vaccination immunogenicity was assessed using HI Geometric mean antibody </w:t>
      </w:r>
      <w:proofErr w:type="spellStart"/>
      <w:r>
        <w:t>titer</w:t>
      </w:r>
      <w:proofErr w:type="spellEnd"/>
      <w:r>
        <w:t xml:space="preserve"> (GMT).</w:t>
      </w:r>
      <w:r w:rsidR="00252BC8">
        <w:t xml:space="preserve"> </w:t>
      </w:r>
      <w:r w:rsidR="009C15FC">
        <w:t>The</w:t>
      </w:r>
      <w:r w:rsidR="00252BC8" w:rsidRPr="00252BC8">
        <w:t xml:space="preserve"> third study in children 6 months to 35 months</w:t>
      </w:r>
      <w:r w:rsidR="008E4B2F">
        <w:t xml:space="preserve"> (INFQ3003)</w:t>
      </w:r>
      <w:r w:rsidR="00252BC8" w:rsidRPr="00252BC8">
        <w:t xml:space="preserve"> compared the immunogenicity of quadrivalent </w:t>
      </w:r>
      <w:r w:rsidR="004120DD">
        <w:t>INFLUVAC TETRA</w:t>
      </w:r>
      <w:r w:rsidR="00252BC8" w:rsidRPr="00252BC8">
        <w:t xml:space="preserve"> to a non-influenza vaccine.</w:t>
      </w:r>
    </w:p>
    <w:p w14:paraId="2F812D1A" w14:textId="77777777" w:rsidR="00B91882" w:rsidRDefault="00B91882" w:rsidP="00B91882"/>
    <w:p w14:paraId="18221CAA" w14:textId="30804758" w:rsidR="001B714F" w:rsidRDefault="00252BC8" w:rsidP="00B91882">
      <w:r>
        <w:t xml:space="preserve">Studies INFQ3001 and INFQ3002 </w:t>
      </w:r>
      <w:r w:rsidR="00B91882">
        <w:t xml:space="preserve">found </w:t>
      </w:r>
      <w:r>
        <w:t xml:space="preserve">that </w:t>
      </w:r>
      <w:r w:rsidR="00B91882">
        <w:t xml:space="preserve">the immune response elicited by </w:t>
      </w:r>
      <w:r w:rsidR="004120DD">
        <w:t>INFLUVAC TETRA</w:t>
      </w:r>
      <w:r w:rsidR="00B91882">
        <w:t xml:space="preserve"> against the three viral strains in common was non-inferior to trivalent </w:t>
      </w:r>
      <w:r w:rsidR="004120DD">
        <w:t>INFLUVAC</w:t>
      </w:r>
      <w:r w:rsidR="00B91882">
        <w:t xml:space="preserve">. Additionally, </w:t>
      </w:r>
      <w:r w:rsidR="004120DD">
        <w:t>INFLUVAC TETRA</w:t>
      </w:r>
      <w:r w:rsidR="00B91882">
        <w:t xml:space="preserve"> elicited a superior immune response against the additional B strain included in </w:t>
      </w:r>
      <w:r w:rsidR="004120DD">
        <w:t>INFLUVAC TETRA</w:t>
      </w:r>
      <w:r w:rsidR="00B91882">
        <w:t xml:space="preserve"> compared to trivalent </w:t>
      </w:r>
      <w:r w:rsidR="004120DD">
        <w:t>INFLUVAC</w:t>
      </w:r>
      <w:r w:rsidR="00B91882">
        <w:t>.</w:t>
      </w:r>
      <w:r>
        <w:t xml:space="preserve"> </w:t>
      </w:r>
    </w:p>
    <w:p w14:paraId="233C40CE" w14:textId="09ABFA2B" w:rsidR="00B91882" w:rsidRDefault="00B91882" w:rsidP="00B91882"/>
    <w:p w14:paraId="7F87E1A7" w14:textId="77777777" w:rsidR="00B91882" w:rsidRPr="00B91882" w:rsidRDefault="00B91882" w:rsidP="00B91882">
      <w:pPr>
        <w:rPr>
          <w:u w:val="single"/>
          <w:lang w:val="en"/>
        </w:rPr>
      </w:pPr>
      <w:r w:rsidRPr="00B91882">
        <w:rPr>
          <w:u w:val="single"/>
          <w:lang w:val="en"/>
        </w:rPr>
        <w:t>Adults 18 years of age and older:</w:t>
      </w:r>
    </w:p>
    <w:p w14:paraId="1AE8CBE4" w14:textId="12452472" w:rsidR="00B91882" w:rsidRPr="00B91882" w:rsidRDefault="00B91882" w:rsidP="00B91882">
      <w:pPr>
        <w:rPr>
          <w:lang w:val="en"/>
        </w:rPr>
      </w:pPr>
      <w:r w:rsidRPr="00B91882">
        <w:rPr>
          <w:lang w:val="en"/>
        </w:rPr>
        <w:t xml:space="preserve">In clinical study INFQ3001, 1535 adults 18 years of age and older received a single dose of </w:t>
      </w:r>
      <w:r w:rsidR="004120DD">
        <w:rPr>
          <w:lang w:val="en"/>
        </w:rPr>
        <w:t>INFLUVAC TETRA</w:t>
      </w:r>
      <w:r w:rsidRPr="00B91882">
        <w:rPr>
          <w:lang w:val="en"/>
        </w:rPr>
        <w:t xml:space="preserve"> and 442 subjects received a single dose of trivalent </w:t>
      </w:r>
      <w:r w:rsidR="004120DD">
        <w:rPr>
          <w:lang w:val="en"/>
        </w:rPr>
        <w:t>INFLUVAC</w:t>
      </w:r>
      <w:r w:rsidRPr="00B91882">
        <w:rPr>
          <w:lang w:val="en"/>
        </w:rPr>
        <w:t>:</w:t>
      </w:r>
    </w:p>
    <w:p w14:paraId="59BB6D90" w14:textId="77777777" w:rsidR="00B91882" w:rsidRDefault="00B91882" w:rsidP="00B91882">
      <w:pPr>
        <w:rPr>
          <w:u w:val="single"/>
          <w:lang w:val="en-GB"/>
        </w:rPr>
      </w:pPr>
    </w:p>
    <w:p w14:paraId="6FE2A5FE" w14:textId="0193DA7F" w:rsidR="00B91882" w:rsidRPr="00B91882" w:rsidRDefault="00B91882" w:rsidP="00556547">
      <w:pPr>
        <w:keepNext/>
        <w:rPr>
          <w:b/>
          <w:lang w:val="en-GB"/>
        </w:rPr>
      </w:pPr>
      <w:r w:rsidRPr="00B91882">
        <w:rPr>
          <w:b/>
          <w:lang w:val="en-GB"/>
        </w:rPr>
        <w:t xml:space="preserve">Table </w:t>
      </w:r>
      <w:r w:rsidR="004212D8">
        <w:rPr>
          <w:b/>
          <w:lang w:val="en-GB"/>
        </w:rPr>
        <w:t>5</w:t>
      </w:r>
      <w:r w:rsidRPr="00B91882">
        <w:rPr>
          <w:b/>
          <w:lang w:val="en-GB"/>
        </w:rPr>
        <w:t>: Post-vaccination GMT</w:t>
      </w:r>
      <w:r w:rsidRPr="00B91882">
        <w:rPr>
          <w:b/>
          <w:lang w:val="en-GB"/>
        </w:rPr>
        <w:tab/>
      </w:r>
      <w:r w:rsidRPr="00B91882">
        <w:rPr>
          <w:b/>
          <w:lang w:val="en-GB"/>
        </w:rPr>
        <w:tab/>
      </w:r>
    </w:p>
    <w:p w14:paraId="6506FC01" w14:textId="77777777" w:rsidR="00B91882" w:rsidRPr="00B91882" w:rsidRDefault="00B91882" w:rsidP="00556547">
      <w:pPr>
        <w:keepNext/>
        <w:rPr>
          <w:lang w:val="en"/>
        </w:rPr>
      </w:pPr>
    </w:p>
    <w:tbl>
      <w:tblPr>
        <w:tblW w:w="0" w:type="auto"/>
        <w:tblInd w:w="825" w:type="dxa"/>
        <w:tblLayout w:type="fixed"/>
        <w:tblCellMar>
          <w:left w:w="0" w:type="dxa"/>
          <w:right w:w="0" w:type="dxa"/>
        </w:tblCellMar>
        <w:tblLook w:val="0000" w:firstRow="0" w:lastRow="0" w:firstColumn="0" w:lastColumn="0" w:noHBand="0" w:noVBand="0"/>
      </w:tblPr>
      <w:tblGrid>
        <w:gridCol w:w="2491"/>
        <w:gridCol w:w="3403"/>
        <w:gridCol w:w="2392"/>
      </w:tblGrid>
      <w:tr w:rsidR="00B91882" w:rsidRPr="00B91882" w14:paraId="22AC0349" w14:textId="77777777" w:rsidTr="00B91882">
        <w:trPr>
          <w:trHeight w:hRule="exact" w:val="562"/>
        </w:trPr>
        <w:tc>
          <w:tcPr>
            <w:tcW w:w="2491" w:type="dxa"/>
            <w:tcBorders>
              <w:top w:val="single" w:sz="4" w:space="0" w:color="000000"/>
              <w:left w:val="single" w:sz="4" w:space="0" w:color="000000"/>
              <w:bottom w:val="single" w:sz="4" w:space="0" w:color="000000"/>
              <w:right w:val="single" w:sz="4" w:space="0" w:color="000000"/>
            </w:tcBorders>
          </w:tcPr>
          <w:p w14:paraId="57FEA095" w14:textId="77777777" w:rsidR="00B91882" w:rsidRPr="00B91882" w:rsidRDefault="00B91882" w:rsidP="00556547">
            <w:pPr>
              <w:keepNext/>
              <w:rPr>
                <w:sz w:val="20"/>
              </w:rPr>
            </w:pPr>
            <w:r w:rsidRPr="00B91882">
              <w:rPr>
                <w:b/>
                <w:bCs/>
                <w:sz w:val="20"/>
              </w:rPr>
              <w:t>Adults 18 years of age</w:t>
            </w:r>
          </w:p>
          <w:p w14:paraId="5E635562" w14:textId="77777777" w:rsidR="00B91882" w:rsidRPr="00B91882" w:rsidRDefault="00B91882" w:rsidP="00556547">
            <w:pPr>
              <w:keepNext/>
              <w:rPr>
                <w:sz w:val="20"/>
              </w:rPr>
            </w:pPr>
            <w:r w:rsidRPr="00B91882">
              <w:rPr>
                <w:b/>
                <w:bCs/>
                <w:sz w:val="20"/>
              </w:rPr>
              <w:t>and older</w:t>
            </w:r>
          </w:p>
        </w:tc>
        <w:tc>
          <w:tcPr>
            <w:tcW w:w="3403" w:type="dxa"/>
            <w:tcBorders>
              <w:top w:val="single" w:sz="4" w:space="0" w:color="000000"/>
              <w:left w:val="single" w:sz="4" w:space="0" w:color="000000"/>
              <w:bottom w:val="single" w:sz="4" w:space="0" w:color="000000"/>
              <w:right w:val="single" w:sz="4" w:space="0" w:color="000000"/>
            </w:tcBorders>
          </w:tcPr>
          <w:p w14:paraId="23CF87F7" w14:textId="2031ECA4" w:rsidR="00B91882" w:rsidRPr="00B91882" w:rsidRDefault="004120DD" w:rsidP="000965C1">
            <w:pPr>
              <w:jc w:val="center"/>
              <w:rPr>
                <w:sz w:val="20"/>
                <w:lang w:val="de-DE"/>
              </w:rPr>
            </w:pPr>
            <w:r>
              <w:rPr>
                <w:b/>
                <w:bCs/>
                <w:sz w:val="20"/>
                <w:lang w:val="de-DE"/>
              </w:rPr>
              <w:t>INFLUVAC TETRA</w:t>
            </w:r>
          </w:p>
          <w:p w14:paraId="6B9FCFC4" w14:textId="77777777" w:rsidR="00B91882" w:rsidRPr="00B91882" w:rsidRDefault="00B91882" w:rsidP="000965C1">
            <w:pPr>
              <w:jc w:val="center"/>
              <w:rPr>
                <w:sz w:val="20"/>
                <w:lang w:val="de-DE"/>
              </w:rPr>
            </w:pPr>
            <w:r w:rsidRPr="00B91882">
              <w:rPr>
                <w:b/>
                <w:bCs/>
                <w:sz w:val="20"/>
                <w:lang w:val="de-DE"/>
              </w:rPr>
              <w:t>N=1533</w:t>
            </w:r>
          </w:p>
        </w:tc>
        <w:tc>
          <w:tcPr>
            <w:tcW w:w="2392" w:type="dxa"/>
            <w:tcBorders>
              <w:top w:val="single" w:sz="4" w:space="0" w:color="000000"/>
              <w:left w:val="single" w:sz="4" w:space="0" w:color="000000"/>
              <w:bottom w:val="single" w:sz="4" w:space="0" w:color="000000"/>
              <w:right w:val="single" w:sz="4" w:space="0" w:color="auto"/>
            </w:tcBorders>
          </w:tcPr>
          <w:p w14:paraId="6CF28584" w14:textId="3904B111" w:rsidR="00B91882" w:rsidRPr="00B91882" w:rsidRDefault="004120DD" w:rsidP="000965C1">
            <w:pPr>
              <w:jc w:val="center"/>
              <w:rPr>
                <w:sz w:val="20"/>
                <w:lang w:val="de-DE"/>
              </w:rPr>
            </w:pPr>
            <w:r>
              <w:rPr>
                <w:b/>
                <w:bCs/>
                <w:sz w:val="20"/>
                <w:lang w:val="de-DE"/>
              </w:rPr>
              <w:t>INFLUVAC</w:t>
            </w:r>
            <w:r w:rsidR="00B91882" w:rsidRPr="00B91882">
              <w:rPr>
                <w:b/>
                <w:bCs/>
                <w:sz w:val="20"/>
                <w:vertAlign w:val="superscript"/>
                <w:lang w:val="de-DE"/>
              </w:rPr>
              <w:t>1</w:t>
            </w:r>
          </w:p>
          <w:p w14:paraId="2EF907C6" w14:textId="77777777" w:rsidR="00B91882" w:rsidRPr="00B91882" w:rsidRDefault="00B91882" w:rsidP="000965C1">
            <w:pPr>
              <w:jc w:val="center"/>
              <w:rPr>
                <w:sz w:val="20"/>
                <w:lang w:val="de-DE"/>
              </w:rPr>
            </w:pPr>
            <w:r w:rsidRPr="00B91882">
              <w:rPr>
                <w:b/>
                <w:bCs/>
                <w:sz w:val="20"/>
                <w:lang w:val="de-DE"/>
              </w:rPr>
              <w:t>N=440</w:t>
            </w:r>
          </w:p>
        </w:tc>
      </w:tr>
      <w:tr w:rsidR="00B91882" w:rsidRPr="00B91882" w14:paraId="04029FD6" w14:textId="77777777" w:rsidTr="00B91882">
        <w:trPr>
          <w:trHeight w:hRule="exact" w:val="286"/>
        </w:trPr>
        <w:tc>
          <w:tcPr>
            <w:tcW w:w="2491" w:type="dxa"/>
            <w:tcBorders>
              <w:top w:val="single" w:sz="4" w:space="0" w:color="000000"/>
              <w:left w:val="single" w:sz="4" w:space="0" w:color="000000"/>
              <w:bottom w:val="single" w:sz="4" w:space="0" w:color="000000"/>
              <w:right w:val="single" w:sz="4" w:space="0" w:color="000000"/>
            </w:tcBorders>
          </w:tcPr>
          <w:p w14:paraId="3C06BE84" w14:textId="77777777" w:rsidR="00B91882" w:rsidRPr="00B91882" w:rsidRDefault="00B91882" w:rsidP="00556547">
            <w:pPr>
              <w:keepNext/>
              <w:rPr>
                <w:sz w:val="20"/>
                <w:lang w:val="de-DE"/>
              </w:rPr>
            </w:pPr>
          </w:p>
        </w:tc>
        <w:tc>
          <w:tcPr>
            <w:tcW w:w="5795" w:type="dxa"/>
            <w:gridSpan w:val="2"/>
            <w:tcBorders>
              <w:top w:val="single" w:sz="4" w:space="0" w:color="000000"/>
              <w:left w:val="single" w:sz="4" w:space="0" w:color="000000"/>
              <w:bottom w:val="single" w:sz="4" w:space="0" w:color="000000"/>
              <w:right w:val="single" w:sz="4" w:space="0" w:color="auto"/>
            </w:tcBorders>
          </w:tcPr>
          <w:p w14:paraId="69C7B43A" w14:textId="77777777" w:rsidR="00B91882" w:rsidRPr="00B91882" w:rsidRDefault="00B91882" w:rsidP="000965C1">
            <w:pPr>
              <w:jc w:val="center"/>
              <w:rPr>
                <w:b/>
                <w:bCs/>
                <w:sz w:val="20"/>
                <w:lang w:val="de-DE"/>
              </w:rPr>
            </w:pPr>
            <w:r w:rsidRPr="00B91882">
              <w:rPr>
                <w:b/>
                <w:bCs/>
                <w:sz w:val="20"/>
                <w:lang w:val="de-DE"/>
              </w:rPr>
              <w:t>GMT (95% confidence interval)</w:t>
            </w:r>
          </w:p>
          <w:p w14:paraId="2D5A12F4" w14:textId="77777777" w:rsidR="00B91882" w:rsidRPr="00B91882" w:rsidRDefault="00B91882" w:rsidP="000965C1">
            <w:pPr>
              <w:jc w:val="center"/>
              <w:rPr>
                <w:b/>
                <w:bCs/>
                <w:sz w:val="20"/>
                <w:lang w:val="de-DE"/>
              </w:rPr>
            </w:pPr>
          </w:p>
          <w:p w14:paraId="7395D41C" w14:textId="77777777" w:rsidR="00B91882" w:rsidRPr="00B91882" w:rsidRDefault="00B91882" w:rsidP="000965C1">
            <w:pPr>
              <w:jc w:val="center"/>
              <w:rPr>
                <w:b/>
                <w:bCs/>
                <w:sz w:val="20"/>
                <w:lang w:val="de-DE"/>
              </w:rPr>
            </w:pPr>
          </w:p>
          <w:p w14:paraId="55F71C39" w14:textId="77777777" w:rsidR="00B91882" w:rsidRPr="00B91882" w:rsidRDefault="00B91882" w:rsidP="000965C1">
            <w:pPr>
              <w:jc w:val="center"/>
              <w:rPr>
                <w:sz w:val="20"/>
                <w:lang w:val="de-DE"/>
              </w:rPr>
            </w:pPr>
          </w:p>
        </w:tc>
      </w:tr>
      <w:tr w:rsidR="00B91882" w:rsidRPr="00B91882" w14:paraId="2E432424" w14:textId="77777777" w:rsidTr="00B91882">
        <w:trPr>
          <w:trHeight w:hRule="exact" w:val="261"/>
        </w:trPr>
        <w:tc>
          <w:tcPr>
            <w:tcW w:w="2491" w:type="dxa"/>
            <w:tcBorders>
              <w:top w:val="single" w:sz="4" w:space="0" w:color="000000"/>
              <w:left w:val="single" w:sz="4" w:space="0" w:color="000000"/>
              <w:bottom w:val="single" w:sz="4" w:space="0" w:color="000000"/>
              <w:right w:val="single" w:sz="4" w:space="0" w:color="000000"/>
            </w:tcBorders>
          </w:tcPr>
          <w:p w14:paraId="73BA8225" w14:textId="77777777" w:rsidR="00B91882" w:rsidRPr="00B91882" w:rsidRDefault="00B91882" w:rsidP="00556547">
            <w:pPr>
              <w:keepNext/>
              <w:rPr>
                <w:sz w:val="20"/>
                <w:lang w:val="de-DE"/>
              </w:rPr>
            </w:pPr>
            <w:r w:rsidRPr="00B91882">
              <w:rPr>
                <w:b/>
                <w:bCs/>
                <w:sz w:val="20"/>
                <w:lang w:val="de-DE"/>
              </w:rPr>
              <w:t>A/H1N1</w:t>
            </w:r>
          </w:p>
        </w:tc>
        <w:tc>
          <w:tcPr>
            <w:tcW w:w="3403" w:type="dxa"/>
            <w:tcBorders>
              <w:top w:val="single" w:sz="4" w:space="0" w:color="000000"/>
              <w:left w:val="single" w:sz="4" w:space="0" w:color="000000"/>
              <w:bottom w:val="single" w:sz="4" w:space="0" w:color="000000"/>
              <w:right w:val="single" w:sz="4" w:space="0" w:color="000000"/>
            </w:tcBorders>
          </w:tcPr>
          <w:p w14:paraId="551FC87D" w14:textId="77777777" w:rsidR="00B91882" w:rsidRPr="00B91882" w:rsidRDefault="00B91882" w:rsidP="000965C1">
            <w:pPr>
              <w:jc w:val="center"/>
              <w:rPr>
                <w:sz w:val="20"/>
                <w:lang w:val="de-DE"/>
              </w:rPr>
            </w:pPr>
            <w:r w:rsidRPr="00B91882">
              <w:rPr>
                <w:sz w:val="20"/>
                <w:lang w:val="de-DE"/>
              </w:rPr>
              <w:t>186.2  (173.3;200.0)</w:t>
            </w:r>
          </w:p>
        </w:tc>
        <w:tc>
          <w:tcPr>
            <w:tcW w:w="2392" w:type="dxa"/>
            <w:tcBorders>
              <w:top w:val="single" w:sz="4" w:space="0" w:color="000000"/>
              <w:left w:val="single" w:sz="4" w:space="0" w:color="000000"/>
              <w:bottom w:val="single" w:sz="4" w:space="0" w:color="000000"/>
              <w:right w:val="single" w:sz="4" w:space="0" w:color="auto"/>
            </w:tcBorders>
          </w:tcPr>
          <w:p w14:paraId="3F5B57C6" w14:textId="77777777" w:rsidR="00B91882" w:rsidRPr="00B91882" w:rsidRDefault="00B91882" w:rsidP="000965C1">
            <w:pPr>
              <w:jc w:val="center"/>
              <w:rPr>
                <w:sz w:val="20"/>
                <w:lang w:val="de-DE"/>
              </w:rPr>
            </w:pPr>
            <w:r w:rsidRPr="00B91882">
              <w:rPr>
                <w:sz w:val="20"/>
                <w:lang w:val="de-DE"/>
              </w:rPr>
              <w:t>221.6   (194.1;253.1)</w:t>
            </w:r>
          </w:p>
        </w:tc>
      </w:tr>
      <w:tr w:rsidR="00B91882" w:rsidRPr="00B91882" w14:paraId="04B72E23" w14:textId="77777777" w:rsidTr="00B91882">
        <w:trPr>
          <w:trHeight w:hRule="exact" w:val="293"/>
        </w:trPr>
        <w:tc>
          <w:tcPr>
            <w:tcW w:w="2491" w:type="dxa"/>
            <w:tcBorders>
              <w:top w:val="single" w:sz="4" w:space="0" w:color="000000"/>
              <w:left w:val="single" w:sz="4" w:space="0" w:color="000000"/>
              <w:bottom w:val="single" w:sz="4" w:space="0" w:color="000000"/>
              <w:right w:val="single" w:sz="4" w:space="0" w:color="000000"/>
            </w:tcBorders>
          </w:tcPr>
          <w:p w14:paraId="60CE516B" w14:textId="77777777" w:rsidR="00B91882" w:rsidRPr="00B91882" w:rsidRDefault="00B91882" w:rsidP="00556547">
            <w:pPr>
              <w:keepNext/>
              <w:rPr>
                <w:sz w:val="20"/>
                <w:lang w:val="de-DE"/>
              </w:rPr>
            </w:pPr>
            <w:r w:rsidRPr="00B91882">
              <w:rPr>
                <w:b/>
                <w:bCs/>
                <w:sz w:val="20"/>
                <w:lang w:val="de-DE"/>
              </w:rPr>
              <w:t>A/H3N2</w:t>
            </w:r>
          </w:p>
        </w:tc>
        <w:tc>
          <w:tcPr>
            <w:tcW w:w="3403" w:type="dxa"/>
            <w:tcBorders>
              <w:top w:val="single" w:sz="4" w:space="0" w:color="000000"/>
              <w:left w:val="single" w:sz="4" w:space="0" w:color="000000"/>
              <w:bottom w:val="single" w:sz="4" w:space="0" w:color="000000"/>
              <w:right w:val="single" w:sz="4" w:space="0" w:color="000000"/>
            </w:tcBorders>
          </w:tcPr>
          <w:p w14:paraId="661655A1" w14:textId="77777777" w:rsidR="00B91882" w:rsidRPr="00B91882" w:rsidRDefault="00B91882" w:rsidP="000965C1">
            <w:pPr>
              <w:jc w:val="center"/>
              <w:rPr>
                <w:sz w:val="20"/>
                <w:lang w:val="de-DE"/>
              </w:rPr>
            </w:pPr>
            <w:r w:rsidRPr="00B91882">
              <w:rPr>
                <w:sz w:val="20"/>
                <w:lang w:val="de-DE"/>
              </w:rPr>
              <w:t>392.8   (368.7;418.4)</w:t>
            </w:r>
          </w:p>
        </w:tc>
        <w:tc>
          <w:tcPr>
            <w:tcW w:w="2392" w:type="dxa"/>
            <w:tcBorders>
              <w:top w:val="single" w:sz="4" w:space="0" w:color="000000"/>
              <w:left w:val="single" w:sz="4" w:space="0" w:color="000000"/>
              <w:bottom w:val="single" w:sz="4" w:space="0" w:color="000000"/>
              <w:right w:val="single" w:sz="4" w:space="0" w:color="auto"/>
            </w:tcBorders>
          </w:tcPr>
          <w:p w14:paraId="01DFE094" w14:textId="77777777" w:rsidR="00B91882" w:rsidRPr="00B91882" w:rsidRDefault="00B91882" w:rsidP="000965C1">
            <w:pPr>
              <w:jc w:val="center"/>
              <w:rPr>
                <w:sz w:val="20"/>
                <w:lang w:val="de-DE"/>
              </w:rPr>
            </w:pPr>
            <w:r w:rsidRPr="00B91882">
              <w:rPr>
                <w:sz w:val="20"/>
                <w:lang w:val="de-DE"/>
              </w:rPr>
              <w:t>411.9   (364.3;465.8)</w:t>
            </w:r>
          </w:p>
        </w:tc>
      </w:tr>
      <w:tr w:rsidR="00B91882" w:rsidRPr="00B91882" w14:paraId="6262436E" w14:textId="77777777" w:rsidTr="000965C1">
        <w:trPr>
          <w:trHeight w:hRule="exact" w:val="335"/>
        </w:trPr>
        <w:tc>
          <w:tcPr>
            <w:tcW w:w="2491" w:type="dxa"/>
            <w:tcBorders>
              <w:top w:val="single" w:sz="4" w:space="0" w:color="000000"/>
              <w:left w:val="single" w:sz="4" w:space="0" w:color="000000"/>
              <w:bottom w:val="single" w:sz="4" w:space="0" w:color="000000"/>
              <w:right w:val="single" w:sz="4" w:space="0" w:color="000000"/>
            </w:tcBorders>
          </w:tcPr>
          <w:p w14:paraId="0271BA2E" w14:textId="77777777" w:rsidR="00B91882" w:rsidRPr="00B91882" w:rsidRDefault="00B91882" w:rsidP="00556547">
            <w:pPr>
              <w:keepNext/>
              <w:rPr>
                <w:sz w:val="20"/>
                <w:lang w:val="de-DE"/>
              </w:rPr>
            </w:pPr>
            <w:r w:rsidRPr="00B91882">
              <w:rPr>
                <w:b/>
                <w:bCs/>
                <w:sz w:val="20"/>
                <w:lang w:val="de-DE"/>
              </w:rPr>
              <w:t>B (Yamagata)</w:t>
            </w:r>
            <w:r w:rsidRPr="00B91882">
              <w:rPr>
                <w:b/>
                <w:bCs/>
                <w:sz w:val="20"/>
                <w:vertAlign w:val="superscript"/>
                <w:lang w:val="de-DE"/>
              </w:rPr>
              <w:t>2</w:t>
            </w:r>
          </w:p>
        </w:tc>
        <w:tc>
          <w:tcPr>
            <w:tcW w:w="3403" w:type="dxa"/>
            <w:tcBorders>
              <w:top w:val="single" w:sz="4" w:space="0" w:color="000000"/>
              <w:left w:val="single" w:sz="4" w:space="0" w:color="000000"/>
              <w:bottom w:val="single" w:sz="4" w:space="0" w:color="000000"/>
              <w:right w:val="single" w:sz="4" w:space="0" w:color="000000"/>
            </w:tcBorders>
          </w:tcPr>
          <w:p w14:paraId="6000296D" w14:textId="77777777" w:rsidR="00B91882" w:rsidRPr="00B91882" w:rsidRDefault="00B91882" w:rsidP="000965C1">
            <w:pPr>
              <w:jc w:val="center"/>
              <w:rPr>
                <w:sz w:val="20"/>
                <w:lang w:val="de-DE"/>
              </w:rPr>
            </w:pPr>
            <w:r w:rsidRPr="00B91882">
              <w:rPr>
                <w:sz w:val="20"/>
                <w:lang w:val="de-DE"/>
              </w:rPr>
              <w:t>101.9   (94.8;109.7)</w:t>
            </w:r>
          </w:p>
        </w:tc>
        <w:tc>
          <w:tcPr>
            <w:tcW w:w="2392" w:type="dxa"/>
            <w:tcBorders>
              <w:top w:val="single" w:sz="4" w:space="0" w:color="000000"/>
              <w:left w:val="single" w:sz="4" w:space="0" w:color="000000"/>
              <w:bottom w:val="single" w:sz="4" w:space="0" w:color="000000"/>
              <w:right w:val="single" w:sz="4" w:space="0" w:color="auto"/>
            </w:tcBorders>
          </w:tcPr>
          <w:p w14:paraId="01422A6D" w14:textId="77777777" w:rsidR="00B91882" w:rsidRPr="00B91882" w:rsidRDefault="00B91882" w:rsidP="000965C1">
            <w:pPr>
              <w:jc w:val="center"/>
              <w:rPr>
                <w:sz w:val="20"/>
                <w:lang w:val="de-DE"/>
              </w:rPr>
            </w:pPr>
            <w:r w:rsidRPr="00B91882">
              <w:rPr>
                <w:sz w:val="20"/>
                <w:lang w:val="de-DE"/>
              </w:rPr>
              <w:t>86.6   (71.5;105.0)</w:t>
            </w:r>
          </w:p>
        </w:tc>
      </w:tr>
      <w:tr w:rsidR="00B91882" w:rsidRPr="00B91882" w14:paraId="76A7B7D7" w14:textId="77777777" w:rsidTr="000965C1">
        <w:trPr>
          <w:trHeight w:hRule="exact" w:val="270"/>
        </w:trPr>
        <w:tc>
          <w:tcPr>
            <w:tcW w:w="2491" w:type="dxa"/>
            <w:tcBorders>
              <w:top w:val="single" w:sz="4" w:space="0" w:color="000000"/>
              <w:left w:val="single" w:sz="4" w:space="0" w:color="000000"/>
              <w:bottom w:val="single" w:sz="4" w:space="0" w:color="000000"/>
              <w:right w:val="single" w:sz="4" w:space="0" w:color="000000"/>
            </w:tcBorders>
          </w:tcPr>
          <w:p w14:paraId="6EC1B6C4" w14:textId="77777777" w:rsidR="00B91882" w:rsidRPr="00B91882" w:rsidRDefault="00B91882" w:rsidP="00556547">
            <w:pPr>
              <w:keepNext/>
              <w:rPr>
                <w:sz w:val="20"/>
                <w:lang w:val="de-DE"/>
              </w:rPr>
            </w:pPr>
            <w:r w:rsidRPr="00B91882">
              <w:rPr>
                <w:b/>
                <w:bCs/>
                <w:sz w:val="20"/>
                <w:lang w:val="de-DE"/>
              </w:rPr>
              <w:t>B (Victoria)</w:t>
            </w:r>
            <w:r w:rsidRPr="00B91882">
              <w:rPr>
                <w:b/>
                <w:bCs/>
                <w:sz w:val="20"/>
                <w:vertAlign w:val="superscript"/>
                <w:lang w:val="de-DE"/>
              </w:rPr>
              <w:t>3</w:t>
            </w:r>
          </w:p>
        </w:tc>
        <w:tc>
          <w:tcPr>
            <w:tcW w:w="3403" w:type="dxa"/>
            <w:tcBorders>
              <w:top w:val="single" w:sz="4" w:space="0" w:color="000000"/>
              <w:left w:val="single" w:sz="4" w:space="0" w:color="000000"/>
              <w:bottom w:val="single" w:sz="4" w:space="0" w:color="000000"/>
              <w:right w:val="single" w:sz="4" w:space="0" w:color="000000"/>
            </w:tcBorders>
          </w:tcPr>
          <w:p w14:paraId="188D6069" w14:textId="77777777" w:rsidR="00B91882" w:rsidRPr="00B91882" w:rsidRDefault="00B91882" w:rsidP="000965C1">
            <w:pPr>
              <w:jc w:val="center"/>
              <w:rPr>
                <w:sz w:val="20"/>
                <w:lang w:val="de-DE"/>
              </w:rPr>
            </w:pPr>
            <w:r w:rsidRPr="00B91882">
              <w:rPr>
                <w:sz w:val="20"/>
                <w:lang w:val="de-DE"/>
              </w:rPr>
              <w:t>153.1   (142.3;164.7)</w:t>
            </w:r>
          </w:p>
        </w:tc>
        <w:tc>
          <w:tcPr>
            <w:tcW w:w="2392" w:type="dxa"/>
            <w:tcBorders>
              <w:top w:val="single" w:sz="4" w:space="0" w:color="000000"/>
              <w:left w:val="single" w:sz="4" w:space="0" w:color="000000"/>
              <w:bottom w:val="single" w:sz="4" w:space="0" w:color="000000"/>
              <w:right w:val="single" w:sz="4" w:space="0" w:color="auto"/>
            </w:tcBorders>
          </w:tcPr>
          <w:p w14:paraId="02B86282" w14:textId="77777777" w:rsidR="00B91882" w:rsidRPr="00B91882" w:rsidRDefault="00B91882" w:rsidP="000965C1">
            <w:pPr>
              <w:jc w:val="center"/>
              <w:rPr>
                <w:sz w:val="20"/>
                <w:lang w:val="de-DE"/>
              </w:rPr>
            </w:pPr>
            <w:r w:rsidRPr="00B91882">
              <w:rPr>
                <w:sz w:val="20"/>
                <w:lang w:val="de-DE"/>
              </w:rPr>
              <w:t>140.7   (114.5;172.8)</w:t>
            </w:r>
          </w:p>
        </w:tc>
      </w:tr>
      <w:tr w:rsidR="00B91882" w:rsidRPr="00B91882" w14:paraId="187A89FB" w14:textId="77777777" w:rsidTr="00B91882">
        <w:trPr>
          <w:trHeight w:hRule="exact" w:val="1282"/>
        </w:trPr>
        <w:tc>
          <w:tcPr>
            <w:tcW w:w="8286" w:type="dxa"/>
            <w:gridSpan w:val="3"/>
            <w:tcBorders>
              <w:top w:val="single" w:sz="4" w:space="0" w:color="000000"/>
            </w:tcBorders>
          </w:tcPr>
          <w:p w14:paraId="23283405" w14:textId="77777777" w:rsidR="00B91882" w:rsidRPr="00B91882" w:rsidRDefault="00B91882" w:rsidP="00EB34D4">
            <w:pPr>
              <w:jc w:val="left"/>
              <w:rPr>
                <w:sz w:val="20"/>
                <w:lang w:val="en-US"/>
              </w:rPr>
            </w:pPr>
            <w:r w:rsidRPr="00B91882">
              <w:rPr>
                <w:sz w:val="20"/>
                <w:vertAlign w:val="superscript"/>
                <w:lang w:val="en"/>
              </w:rPr>
              <w:t>1</w:t>
            </w:r>
            <w:r w:rsidRPr="00B91882">
              <w:rPr>
                <w:sz w:val="20"/>
                <w:lang w:val="en"/>
              </w:rPr>
              <w:t xml:space="preserve">containing A/H1N1, A/H3N2 and B (Yamagata lineage) (N = 220) or B (Victoria lineage) </w:t>
            </w:r>
            <w:r w:rsidRPr="00B91882">
              <w:rPr>
                <w:sz w:val="20"/>
                <w:lang w:val="en"/>
              </w:rPr>
              <w:br/>
              <w:t>(N = 220)</w:t>
            </w:r>
          </w:p>
          <w:p w14:paraId="58606BF9" w14:textId="77777777" w:rsidR="00B91882" w:rsidRPr="00B91882" w:rsidRDefault="00B91882" w:rsidP="00EB34D4">
            <w:pPr>
              <w:jc w:val="left"/>
              <w:rPr>
                <w:sz w:val="20"/>
                <w:lang w:val="en"/>
              </w:rPr>
            </w:pPr>
            <w:r w:rsidRPr="00B91882">
              <w:rPr>
                <w:sz w:val="20"/>
                <w:vertAlign w:val="superscript"/>
                <w:lang w:val="en"/>
              </w:rPr>
              <w:t>2</w:t>
            </w:r>
            <w:r w:rsidRPr="00B91882">
              <w:rPr>
                <w:sz w:val="20"/>
                <w:lang w:val="en"/>
              </w:rPr>
              <w:t>recommended B strain by WHO for the season 2014-2015 NH for trivalent vaccines</w:t>
            </w:r>
          </w:p>
          <w:p w14:paraId="061B063A" w14:textId="77777777" w:rsidR="00B91882" w:rsidRPr="00B91882" w:rsidRDefault="00B91882" w:rsidP="00EB34D4">
            <w:pPr>
              <w:jc w:val="left"/>
              <w:rPr>
                <w:sz w:val="20"/>
                <w:lang w:val="en"/>
              </w:rPr>
            </w:pPr>
            <w:r w:rsidRPr="00B91882">
              <w:rPr>
                <w:sz w:val="20"/>
                <w:vertAlign w:val="superscript"/>
                <w:lang w:val="en"/>
              </w:rPr>
              <w:t>3</w:t>
            </w:r>
            <w:r w:rsidRPr="00B91882">
              <w:rPr>
                <w:sz w:val="20"/>
                <w:lang w:val="en"/>
              </w:rPr>
              <w:t>additional recommended B strain by WHO for season 2014-2015 NH for quadrivalent vaccines</w:t>
            </w:r>
          </w:p>
          <w:p w14:paraId="232689A0" w14:textId="5CE7D970" w:rsidR="00B91882" w:rsidRPr="00C81B2F" w:rsidRDefault="00B91882" w:rsidP="00EB34D4">
            <w:pPr>
              <w:jc w:val="left"/>
              <w:rPr>
                <w:sz w:val="20"/>
                <w:lang w:val="en-US"/>
              </w:rPr>
            </w:pPr>
            <w:r w:rsidRPr="00B91882">
              <w:rPr>
                <w:sz w:val="20"/>
                <w:lang w:val="en"/>
              </w:rPr>
              <w:t>N = number of patients</w:t>
            </w:r>
            <w:r w:rsidR="006B39CC">
              <w:rPr>
                <w:sz w:val="20"/>
                <w:lang w:val="en"/>
              </w:rPr>
              <w:t xml:space="preserve"> </w:t>
            </w:r>
            <w:r w:rsidR="006B39CC" w:rsidRPr="00E0182B">
              <w:rPr>
                <w:sz w:val="20"/>
                <w:lang w:val="en"/>
              </w:rPr>
              <w:t>(full analysis sample</w:t>
            </w:r>
            <w:r w:rsidR="006B39CC">
              <w:rPr>
                <w:sz w:val="20"/>
                <w:lang w:val="en"/>
              </w:rPr>
              <w:t>)</w:t>
            </w:r>
          </w:p>
        </w:tc>
      </w:tr>
    </w:tbl>
    <w:p w14:paraId="25A8EE2F" w14:textId="4C752B2C" w:rsidR="00B91882" w:rsidRDefault="00B91882" w:rsidP="00B91882"/>
    <w:p w14:paraId="38F9795D" w14:textId="77777777" w:rsidR="00EB34D4" w:rsidRPr="00EB34D4" w:rsidRDefault="00EB34D4" w:rsidP="00EB34D4">
      <w:pPr>
        <w:rPr>
          <w:u w:val="single"/>
          <w:lang w:val="en-GB"/>
        </w:rPr>
      </w:pPr>
      <w:r w:rsidRPr="00EB34D4">
        <w:rPr>
          <w:u w:val="single"/>
          <w:lang w:val="en-GB"/>
        </w:rPr>
        <w:t>Children 3 to 17 years of age:</w:t>
      </w:r>
    </w:p>
    <w:p w14:paraId="55B1C42B" w14:textId="09B7B7C0" w:rsidR="00EB34D4" w:rsidRPr="00EB34D4" w:rsidRDefault="00EB34D4" w:rsidP="00252BC8">
      <w:pPr>
        <w:jc w:val="left"/>
        <w:rPr>
          <w:lang w:val="en"/>
        </w:rPr>
      </w:pPr>
      <w:r w:rsidRPr="00EB34D4">
        <w:rPr>
          <w:lang w:val="en"/>
        </w:rPr>
        <w:t xml:space="preserve">In clinical study INFQ3002, 402 children of 3 to 17 years of age received one or two doses of </w:t>
      </w:r>
      <w:r w:rsidR="004120DD">
        <w:rPr>
          <w:lang w:val="en"/>
        </w:rPr>
        <w:t>INFLUVAC TETRA</w:t>
      </w:r>
      <w:r w:rsidRPr="00EB34D4">
        <w:rPr>
          <w:lang w:val="en"/>
        </w:rPr>
        <w:t xml:space="preserve"> and 798 children received one or two doses of trivalent </w:t>
      </w:r>
      <w:r w:rsidR="004120DD">
        <w:rPr>
          <w:lang w:val="en"/>
        </w:rPr>
        <w:t>INFLUVAC</w:t>
      </w:r>
      <w:r w:rsidR="004120DD" w:rsidRPr="00EB34D4">
        <w:rPr>
          <w:lang w:val="en"/>
        </w:rPr>
        <w:t xml:space="preserve"> </w:t>
      </w:r>
      <w:r w:rsidRPr="00EB34D4">
        <w:rPr>
          <w:lang w:val="en"/>
        </w:rPr>
        <w:t>based on their influenza vaccination history</w:t>
      </w:r>
      <w:r w:rsidR="00252BC8">
        <w:rPr>
          <w:lang w:val="en"/>
        </w:rPr>
        <w:t xml:space="preserve"> (primed or naïve):</w:t>
      </w:r>
      <w:r w:rsidRPr="00EB34D4">
        <w:rPr>
          <w:lang w:val="en"/>
        </w:rPr>
        <w:br/>
      </w:r>
    </w:p>
    <w:p w14:paraId="1FBF883B" w14:textId="6811059C" w:rsidR="00EB34D4" w:rsidRPr="00EB34D4" w:rsidRDefault="00EB34D4" w:rsidP="00EB34D4">
      <w:pPr>
        <w:rPr>
          <w:b/>
          <w:lang w:val="en-GB"/>
        </w:rPr>
      </w:pPr>
      <w:r w:rsidRPr="00EB34D4">
        <w:rPr>
          <w:b/>
          <w:lang w:val="en-GB"/>
        </w:rPr>
        <w:t xml:space="preserve">Table </w:t>
      </w:r>
      <w:r w:rsidR="004212D8">
        <w:rPr>
          <w:b/>
          <w:lang w:val="en-GB"/>
        </w:rPr>
        <w:t>6</w:t>
      </w:r>
      <w:r w:rsidRPr="00EB34D4">
        <w:rPr>
          <w:b/>
          <w:lang w:val="en-GB"/>
        </w:rPr>
        <w:t>: Post-vaccination GMT</w:t>
      </w:r>
    </w:p>
    <w:p w14:paraId="11D9F469" w14:textId="77777777" w:rsidR="00EB34D4" w:rsidRPr="00EB34D4" w:rsidRDefault="00EB34D4" w:rsidP="00EB34D4">
      <w:pPr>
        <w:rPr>
          <w:u w:val="single"/>
          <w:lang w:val="en-GB"/>
        </w:rPr>
      </w:pPr>
    </w:p>
    <w:tbl>
      <w:tblPr>
        <w:tblW w:w="8242" w:type="dxa"/>
        <w:tblInd w:w="825" w:type="dxa"/>
        <w:tblLayout w:type="fixed"/>
        <w:tblCellMar>
          <w:left w:w="0" w:type="dxa"/>
          <w:right w:w="0" w:type="dxa"/>
        </w:tblCellMar>
        <w:tblLook w:val="0000" w:firstRow="0" w:lastRow="0" w:firstColumn="0" w:lastColumn="0" w:noHBand="0" w:noVBand="0"/>
      </w:tblPr>
      <w:tblGrid>
        <w:gridCol w:w="2491"/>
        <w:gridCol w:w="3403"/>
        <w:gridCol w:w="2348"/>
      </w:tblGrid>
      <w:tr w:rsidR="00EB34D4" w:rsidRPr="00EB34D4" w14:paraId="7F71644A" w14:textId="77777777" w:rsidTr="00EB34D4">
        <w:trPr>
          <w:trHeight w:hRule="exact" w:val="562"/>
        </w:trPr>
        <w:tc>
          <w:tcPr>
            <w:tcW w:w="2491" w:type="dxa"/>
            <w:tcBorders>
              <w:top w:val="single" w:sz="4" w:space="0" w:color="000000"/>
              <w:left w:val="single" w:sz="4" w:space="0" w:color="000000"/>
              <w:bottom w:val="single" w:sz="4" w:space="0" w:color="000000"/>
              <w:right w:val="single" w:sz="4" w:space="0" w:color="000000"/>
            </w:tcBorders>
          </w:tcPr>
          <w:p w14:paraId="718223BA" w14:textId="77777777" w:rsidR="00EB34D4" w:rsidRPr="00EB34D4" w:rsidRDefault="00EB34D4" w:rsidP="00EB34D4">
            <w:pPr>
              <w:jc w:val="left"/>
              <w:rPr>
                <w:sz w:val="20"/>
                <w:szCs w:val="20"/>
              </w:rPr>
            </w:pPr>
            <w:bookmarkStart w:id="2" w:name="_Hlk496089065"/>
            <w:r w:rsidRPr="00EB34D4">
              <w:rPr>
                <w:b/>
                <w:bCs/>
                <w:sz w:val="20"/>
                <w:szCs w:val="20"/>
              </w:rPr>
              <w:t>Children 3-17 years</w:t>
            </w:r>
          </w:p>
        </w:tc>
        <w:tc>
          <w:tcPr>
            <w:tcW w:w="3403" w:type="dxa"/>
            <w:tcBorders>
              <w:top w:val="single" w:sz="4" w:space="0" w:color="000000"/>
              <w:left w:val="single" w:sz="4" w:space="0" w:color="000000"/>
              <w:bottom w:val="single" w:sz="4" w:space="0" w:color="000000"/>
              <w:right w:val="single" w:sz="4" w:space="0" w:color="000000"/>
            </w:tcBorders>
          </w:tcPr>
          <w:p w14:paraId="28A190A1" w14:textId="70111FBB" w:rsidR="00EB34D4" w:rsidRPr="00EB34D4" w:rsidRDefault="004120DD" w:rsidP="00EB34D4">
            <w:pPr>
              <w:jc w:val="center"/>
              <w:rPr>
                <w:sz w:val="20"/>
                <w:szCs w:val="20"/>
                <w:lang w:val="de-DE"/>
              </w:rPr>
            </w:pPr>
            <w:r>
              <w:rPr>
                <w:b/>
                <w:bCs/>
                <w:sz w:val="20"/>
                <w:szCs w:val="20"/>
                <w:lang w:val="de-DE"/>
              </w:rPr>
              <w:t>INFLUVAC TETRA</w:t>
            </w:r>
          </w:p>
          <w:p w14:paraId="59364648" w14:textId="77777777" w:rsidR="00EB34D4" w:rsidRPr="00EB34D4" w:rsidRDefault="00EB34D4" w:rsidP="00EB34D4">
            <w:pPr>
              <w:jc w:val="center"/>
              <w:rPr>
                <w:sz w:val="20"/>
                <w:szCs w:val="20"/>
                <w:lang w:val="de-DE"/>
              </w:rPr>
            </w:pPr>
            <w:r w:rsidRPr="00EB34D4">
              <w:rPr>
                <w:b/>
                <w:bCs/>
                <w:sz w:val="20"/>
                <w:szCs w:val="20"/>
                <w:lang w:val="de-DE"/>
              </w:rPr>
              <w:t>N=396</w:t>
            </w:r>
          </w:p>
        </w:tc>
        <w:tc>
          <w:tcPr>
            <w:tcW w:w="2348" w:type="dxa"/>
            <w:tcBorders>
              <w:top w:val="single" w:sz="4" w:space="0" w:color="000000"/>
              <w:left w:val="single" w:sz="4" w:space="0" w:color="000000"/>
              <w:bottom w:val="single" w:sz="4" w:space="0" w:color="000000"/>
              <w:right w:val="single" w:sz="4" w:space="0" w:color="auto"/>
            </w:tcBorders>
          </w:tcPr>
          <w:p w14:paraId="1233112D" w14:textId="4EED1B05" w:rsidR="00EB34D4" w:rsidRPr="00EB34D4" w:rsidRDefault="004120DD" w:rsidP="00EB34D4">
            <w:pPr>
              <w:jc w:val="center"/>
              <w:rPr>
                <w:sz w:val="20"/>
                <w:szCs w:val="20"/>
                <w:lang w:val="de-DE"/>
              </w:rPr>
            </w:pPr>
            <w:r>
              <w:rPr>
                <w:b/>
                <w:bCs/>
                <w:sz w:val="20"/>
                <w:szCs w:val="20"/>
                <w:lang w:val="de-DE"/>
              </w:rPr>
              <w:t>INFLUVAC</w:t>
            </w:r>
            <w:r w:rsidR="00EB34D4" w:rsidRPr="00EB34D4">
              <w:rPr>
                <w:b/>
                <w:bCs/>
                <w:sz w:val="20"/>
                <w:szCs w:val="20"/>
                <w:vertAlign w:val="superscript"/>
                <w:lang w:val="de-DE"/>
              </w:rPr>
              <w:t>1</w:t>
            </w:r>
          </w:p>
          <w:p w14:paraId="4C2696BB" w14:textId="77777777" w:rsidR="00EB34D4" w:rsidRPr="00EB34D4" w:rsidRDefault="00EB34D4" w:rsidP="00EB34D4">
            <w:pPr>
              <w:jc w:val="center"/>
              <w:rPr>
                <w:sz w:val="20"/>
                <w:szCs w:val="20"/>
                <w:lang w:val="de-DE"/>
              </w:rPr>
            </w:pPr>
            <w:r w:rsidRPr="00EB34D4">
              <w:rPr>
                <w:b/>
                <w:bCs/>
                <w:sz w:val="20"/>
                <w:szCs w:val="20"/>
                <w:lang w:val="de-DE"/>
              </w:rPr>
              <w:t>N=788</w:t>
            </w:r>
          </w:p>
        </w:tc>
      </w:tr>
      <w:tr w:rsidR="00EB34D4" w:rsidRPr="00EB34D4" w14:paraId="14A23564" w14:textId="77777777" w:rsidTr="00EB34D4">
        <w:trPr>
          <w:trHeight w:hRule="exact" w:val="286"/>
        </w:trPr>
        <w:tc>
          <w:tcPr>
            <w:tcW w:w="2491" w:type="dxa"/>
            <w:tcBorders>
              <w:top w:val="single" w:sz="4" w:space="0" w:color="000000"/>
              <w:left w:val="single" w:sz="4" w:space="0" w:color="000000"/>
              <w:bottom w:val="single" w:sz="4" w:space="0" w:color="000000"/>
              <w:right w:val="single" w:sz="4" w:space="0" w:color="000000"/>
            </w:tcBorders>
          </w:tcPr>
          <w:p w14:paraId="3C215B5A" w14:textId="77777777" w:rsidR="00EB34D4" w:rsidRPr="00EB34D4" w:rsidRDefault="00EB34D4" w:rsidP="00EB34D4">
            <w:pPr>
              <w:jc w:val="left"/>
              <w:rPr>
                <w:sz w:val="20"/>
                <w:szCs w:val="20"/>
                <w:lang w:val="de-DE"/>
              </w:rPr>
            </w:pPr>
          </w:p>
        </w:tc>
        <w:tc>
          <w:tcPr>
            <w:tcW w:w="5751" w:type="dxa"/>
            <w:gridSpan w:val="2"/>
            <w:tcBorders>
              <w:top w:val="single" w:sz="4" w:space="0" w:color="000000"/>
              <w:left w:val="single" w:sz="4" w:space="0" w:color="000000"/>
              <w:bottom w:val="single" w:sz="4" w:space="0" w:color="000000"/>
              <w:right w:val="single" w:sz="4" w:space="0" w:color="auto"/>
            </w:tcBorders>
          </w:tcPr>
          <w:p w14:paraId="66BA57E5" w14:textId="77777777" w:rsidR="00EB34D4" w:rsidRPr="00EB34D4" w:rsidRDefault="00EB34D4" w:rsidP="00EB34D4">
            <w:pPr>
              <w:jc w:val="center"/>
              <w:rPr>
                <w:b/>
                <w:bCs/>
                <w:sz w:val="20"/>
                <w:szCs w:val="20"/>
                <w:lang w:val="de-DE"/>
              </w:rPr>
            </w:pPr>
            <w:r w:rsidRPr="00EB34D4">
              <w:rPr>
                <w:b/>
                <w:bCs/>
                <w:sz w:val="20"/>
                <w:szCs w:val="20"/>
                <w:lang w:val="de-DE"/>
              </w:rPr>
              <w:t>GMT (95% confidence interval)</w:t>
            </w:r>
          </w:p>
          <w:p w14:paraId="15CAE1FB" w14:textId="77777777" w:rsidR="00EB34D4" w:rsidRPr="00EB34D4" w:rsidRDefault="00EB34D4" w:rsidP="00EB34D4">
            <w:pPr>
              <w:jc w:val="center"/>
              <w:rPr>
                <w:b/>
                <w:bCs/>
                <w:sz w:val="20"/>
                <w:szCs w:val="20"/>
                <w:lang w:val="de-DE"/>
              </w:rPr>
            </w:pPr>
          </w:p>
          <w:p w14:paraId="234C2257" w14:textId="77777777" w:rsidR="00EB34D4" w:rsidRPr="00EB34D4" w:rsidRDefault="00EB34D4" w:rsidP="00EB34D4">
            <w:pPr>
              <w:jc w:val="center"/>
              <w:rPr>
                <w:b/>
                <w:bCs/>
                <w:sz w:val="20"/>
                <w:szCs w:val="20"/>
                <w:lang w:val="de-DE"/>
              </w:rPr>
            </w:pPr>
          </w:p>
          <w:p w14:paraId="3ACE3A60" w14:textId="77777777" w:rsidR="00EB34D4" w:rsidRPr="00EB34D4" w:rsidRDefault="00EB34D4" w:rsidP="00EB34D4">
            <w:pPr>
              <w:jc w:val="center"/>
              <w:rPr>
                <w:sz w:val="20"/>
                <w:szCs w:val="20"/>
                <w:lang w:val="de-DE"/>
              </w:rPr>
            </w:pPr>
          </w:p>
        </w:tc>
      </w:tr>
      <w:tr w:rsidR="00EB34D4" w:rsidRPr="00EB34D4" w14:paraId="6085D861" w14:textId="77777777" w:rsidTr="00EB34D4">
        <w:trPr>
          <w:trHeight w:hRule="exact" w:val="298"/>
        </w:trPr>
        <w:tc>
          <w:tcPr>
            <w:tcW w:w="2491" w:type="dxa"/>
            <w:tcBorders>
              <w:top w:val="single" w:sz="4" w:space="0" w:color="000000"/>
              <w:left w:val="single" w:sz="4" w:space="0" w:color="000000"/>
              <w:bottom w:val="single" w:sz="4" w:space="0" w:color="000000"/>
              <w:right w:val="single" w:sz="4" w:space="0" w:color="000000"/>
            </w:tcBorders>
          </w:tcPr>
          <w:p w14:paraId="2DE6FFDE" w14:textId="77777777" w:rsidR="00EB34D4" w:rsidRPr="00EB34D4" w:rsidRDefault="00EB34D4" w:rsidP="00EB34D4">
            <w:pPr>
              <w:jc w:val="left"/>
              <w:rPr>
                <w:sz w:val="20"/>
                <w:szCs w:val="20"/>
                <w:lang w:val="de-DE"/>
              </w:rPr>
            </w:pPr>
            <w:r w:rsidRPr="00EB34D4">
              <w:rPr>
                <w:b/>
                <w:bCs/>
                <w:sz w:val="20"/>
                <w:szCs w:val="20"/>
                <w:lang w:val="de-DE"/>
              </w:rPr>
              <w:t>A/H1N1</w:t>
            </w:r>
          </w:p>
        </w:tc>
        <w:tc>
          <w:tcPr>
            <w:tcW w:w="3403" w:type="dxa"/>
            <w:tcBorders>
              <w:top w:val="single" w:sz="4" w:space="0" w:color="000000"/>
              <w:left w:val="single" w:sz="4" w:space="0" w:color="000000"/>
              <w:bottom w:val="single" w:sz="4" w:space="0" w:color="000000"/>
              <w:right w:val="single" w:sz="4" w:space="0" w:color="000000"/>
            </w:tcBorders>
          </w:tcPr>
          <w:p w14:paraId="11F2A684" w14:textId="77777777" w:rsidR="00EB34D4" w:rsidRPr="00EB34D4" w:rsidRDefault="00EB34D4" w:rsidP="00EB34D4">
            <w:pPr>
              <w:jc w:val="center"/>
              <w:rPr>
                <w:sz w:val="20"/>
                <w:szCs w:val="20"/>
                <w:lang w:val="de-DE"/>
              </w:rPr>
            </w:pPr>
            <w:r w:rsidRPr="00EB34D4">
              <w:rPr>
                <w:sz w:val="20"/>
                <w:szCs w:val="20"/>
                <w:lang w:val="en-GB"/>
              </w:rPr>
              <w:t>546.2 (487.1; 612.6)</w:t>
            </w:r>
          </w:p>
        </w:tc>
        <w:tc>
          <w:tcPr>
            <w:tcW w:w="2348" w:type="dxa"/>
            <w:tcBorders>
              <w:top w:val="single" w:sz="4" w:space="0" w:color="000000"/>
              <w:left w:val="single" w:sz="4" w:space="0" w:color="000000"/>
              <w:bottom w:val="single" w:sz="4" w:space="0" w:color="000000"/>
              <w:right w:val="single" w:sz="4" w:space="0" w:color="auto"/>
            </w:tcBorders>
          </w:tcPr>
          <w:p w14:paraId="24EAD8A4" w14:textId="77777777" w:rsidR="00EB34D4" w:rsidRPr="00EB34D4" w:rsidRDefault="00EB34D4" w:rsidP="00EB34D4">
            <w:pPr>
              <w:jc w:val="center"/>
              <w:rPr>
                <w:sz w:val="20"/>
                <w:szCs w:val="20"/>
                <w:lang w:val="de-DE"/>
              </w:rPr>
            </w:pPr>
            <w:r w:rsidRPr="00EB34D4">
              <w:rPr>
                <w:sz w:val="20"/>
                <w:szCs w:val="20"/>
                <w:lang w:val="en-GB"/>
              </w:rPr>
              <w:t>619.4 (569.2; 673.9)</w:t>
            </w:r>
          </w:p>
        </w:tc>
      </w:tr>
      <w:tr w:rsidR="00EB34D4" w:rsidRPr="00EB34D4" w14:paraId="368045D9" w14:textId="77777777" w:rsidTr="00EB34D4">
        <w:trPr>
          <w:trHeight w:hRule="exact" w:val="298"/>
        </w:trPr>
        <w:tc>
          <w:tcPr>
            <w:tcW w:w="2491" w:type="dxa"/>
            <w:tcBorders>
              <w:top w:val="single" w:sz="4" w:space="0" w:color="000000"/>
              <w:left w:val="single" w:sz="4" w:space="0" w:color="000000"/>
              <w:bottom w:val="single" w:sz="4" w:space="0" w:color="000000"/>
              <w:right w:val="single" w:sz="4" w:space="0" w:color="000000"/>
            </w:tcBorders>
          </w:tcPr>
          <w:p w14:paraId="09CAE20D" w14:textId="77777777" w:rsidR="00EB34D4" w:rsidRPr="00EB34D4" w:rsidRDefault="00EB34D4" w:rsidP="00EB34D4">
            <w:pPr>
              <w:jc w:val="left"/>
              <w:rPr>
                <w:sz w:val="20"/>
                <w:szCs w:val="20"/>
                <w:lang w:val="de-DE"/>
              </w:rPr>
            </w:pPr>
            <w:r w:rsidRPr="00EB34D4">
              <w:rPr>
                <w:b/>
                <w:bCs/>
                <w:sz w:val="20"/>
                <w:szCs w:val="20"/>
                <w:lang w:val="de-DE"/>
              </w:rPr>
              <w:t>A/H3N2</w:t>
            </w:r>
          </w:p>
        </w:tc>
        <w:tc>
          <w:tcPr>
            <w:tcW w:w="3403" w:type="dxa"/>
            <w:tcBorders>
              <w:top w:val="single" w:sz="4" w:space="0" w:color="000000"/>
              <w:left w:val="single" w:sz="4" w:space="0" w:color="000000"/>
              <w:bottom w:val="single" w:sz="4" w:space="0" w:color="000000"/>
              <w:right w:val="single" w:sz="4" w:space="0" w:color="000000"/>
            </w:tcBorders>
          </w:tcPr>
          <w:p w14:paraId="474EB3E9" w14:textId="77777777" w:rsidR="00EB34D4" w:rsidRPr="00EB34D4" w:rsidRDefault="00EB34D4" w:rsidP="00EB34D4">
            <w:pPr>
              <w:jc w:val="center"/>
              <w:rPr>
                <w:sz w:val="20"/>
                <w:szCs w:val="20"/>
                <w:lang w:val="de-DE"/>
              </w:rPr>
            </w:pPr>
            <w:r w:rsidRPr="00EB34D4">
              <w:rPr>
                <w:sz w:val="20"/>
                <w:szCs w:val="20"/>
                <w:lang w:val="en-GB"/>
              </w:rPr>
              <w:t>1161.5 (1035.8; 1302.5)</w:t>
            </w:r>
          </w:p>
        </w:tc>
        <w:tc>
          <w:tcPr>
            <w:tcW w:w="2348" w:type="dxa"/>
            <w:tcBorders>
              <w:top w:val="single" w:sz="4" w:space="0" w:color="000000"/>
              <w:left w:val="single" w:sz="4" w:space="0" w:color="000000"/>
              <w:bottom w:val="single" w:sz="4" w:space="0" w:color="000000"/>
              <w:right w:val="single" w:sz="4" w:space="0" w:color="auto"/>
            </w:tcBorders>
          </w:tcPr>
          <w:p w14:paraId="3158CB69" w14:textId="77777777" w:rsidR="00EB34D4" w:rsidRPr="00EB34D4" w:rsidRDefault="00EB34D4" w:rsidP="00EB34D4">
            <w:pPr>
              <w:jc w:val="center"/>
              <w:rPr>
                <w:sz w:val="20"/>
                <w:szCs w:val="20"/>
                <w:lang w:val="de-DE"/>
              </w:rPr>
            </w:pPr>
            <w:r w:rsidRPr="00EB34D4">
              <w:rPr>
                <w:sz w:val="20"/>
                <w:szCs w:val="20"/>
                <w:lang w:val="en-GB"/>
              </w:rPr>
              <w:t>1186.7 (1088.9; 1293.3)</w:t>
            </w:r>
          </w:p>
        </w:tc>
      </w:tr>
      <w:tr w:rsidR="00EB34D4" w:rsidRPr="00EB34D4" w14:paraId="43E403C4" w14:textId="77777777" w:rsidTr="00EB34D4">
        <w:trPr>
          <w:trHeight w:hRule="exact" w:val="300"/>
        </w:trPr>
        <w:tc>
          <w:tcPr>
            <w:tcW w:w="2491" w:type="dxa"/>
            <w:tcBorders>
              <w:top w:val="single" w:sz="4" w:space="0" w:color="000000"/>
              <w:left w:val="single" w:sz="4" w:space="0" w:color="000000"/>
              <w:bottom w:val="single" w:sz="4" w:space="0" w:color="000000"/>
              <w:right w:val="single" w:sz="4" w:space="0" w:color="000000"/>
            </w:tcBorders>
          </w:tcPr>
          <w:p w14:paraId="72047357" w14:textId="77777777" w:rsidR="00EB34D4" w:rsidRPr="00EB34D4" w:rsidRDefault="00EB34D4" w:rsidP="00EB34D4">
            <w:pPr>
              <w:jc w:val="left"/>
              <w:rPr>
                <w:sz w:val="20"/>
                <w:szCs w:val="20"/>
                <w:lang w:val="de-DE"/>
              </w:rPr>
            </w:pPr>
            <w:r w:rsidRPr="00EB34D4">
              <w:rPr>
                <w:b/>
                <w:bCs/>
                <w:sz w:val="20"/>
                <w:szCs w:val="20"/>
                <w:lang w:val="de-DE"/>
              </w:rPr>
              <w:t>B (Yamagata)</w:t>
            </w:r>
            <w:r w:rsidRPr="00EB34D4">
              <w:rPr>
                <w:b/>
                <w:bCs/>
                <w:sz w:val="20"/>
                <w:szCs w:val="20"/>
                <w:vertAlign w:val="superscript"/>
                <w:lang w:val="de-DE"/>
              </w:rPr>
              <w:t>2</w:t>
            </w:r>
          </w:p>
        </w:tc>
        <w:tc>
          <w:tcPr>
            <w:tcW w:w="3403" w:type="dxa"/>
            <w:tcBorders>
              <w:top w:val="single" w:sz="4" w:space="0" w:color="000000"/>
              <w:left w:val="single" w:sz="4" w:space="0" w:color="000000"/>
              <w:bottom w:val="single" w:sz="4" w:space="0" w:color="000000"/>
              <w:right w:val="single" w:sz="4" w:space="0" w:color="000000"/>
            </w:tcBorders>
          </w:tcPr>
          <w:p w14:paraId="2FC9C4D2" w14:textId="77777777" w:rsidR="00EB34D4" w:rsidRPr="00EB34D4" w:rsidRDefault="00EB34D4" w:rsidP="00EB34D4">
            <w:pPr>
              <w:jc w:val="center"/>
              <w:rPr>
                <w:sz w:val="20"/>
                <w:szCs w:val="20"/>
                <w:lang w:val="de-DE"/>
              </w:rPr>
            </w:pPr>
            <w:r w:rsidRPr="00EB34D4">
              <w:rPr>
                <w:sz w:val="20"/>
                <w:szCs w:val="20"/>
                <w:lang w:val="en-GB"/>
              </w:rPr>
              <w:t>280.8 (246.2; 320.1)</w:t>
            </w:r>
          </w:p>
        </w:tc>
        <w:tc>
          <w:tcPr>
            <w:tcW w:w="2348" w:type="dxa"/>
            <w:tcBorders>
              <w:top w:val="single" w:sz="4" w:space="0" w:color="000000"/>
              <w:left w:val="single" w:sz="4" w:space="0" w:color="000000"/>
              <w:bottom w:val="single" w:sz="4" w:space="0" w:color="000000"/>
              <w:right w:val="single" w:sz="4" w:space="0" w:color="auto"/>
            </w:tcBorders>
          </w:tcPr>
          <w:p w14:paraId="6A907BA3" w14:textId="77777777" w:rsidR="00EB34D4" w:rsidRPr="00EB34D4" w:rsidRDefault="00EB34D4" w:rsidP="00EB34D4">
            <w:pPr>
              <w:jc w:val="center"/>
              <w:rPr>
                <w:sz w:val="20"/>
                <w:szCs w:val="20"/>
                <w:lang w:val="en-GB"/>
              </w:rPr>
            </w:pPr>
            <w:r w:rsidRPr="00EB34D4">
              <w:rPr>
                <w:sz w:val="20"/>
                <w:szCs w:val="20"/>
                <w:lang w:val="en-GB"/>
              </w:rPr>
              <w:t>269.0 (232.8; 310,7)</w:t>
            </w:r>
          </w:p>
        </w:tc>
      </w:tr>
      <w:tr w:rsidR="00EB34D4" w:rsidRPr="00EB34D4" w14:paraId="1B29C6A8" w14:textId="77777777" w:rsidTr="00EB34D4">
        <w:trPr>
          <w:trHeight w:hRule="exact" w:val="298"/>
        </w:trPr>
        <w:tc>
          <w:tcPr>
            <w:tcW w:w="2491" w:type="dxa"/>
            <w:tcBorders>
              <w:top w:val="single" w:sz="4" w:space="0" w:color="000000"/>
              <w:left w:val="single" w:sz="4" w:space="0" w:color="000000"/>
              <w:bottom w:val="single" w:sz="4" w:space="0" w:color="000000"/>
              <w:right w:val="single" w:sz="4" w:space="0" w:color="000000"/>
            </w:tcBorders>
          </w:tcPr>
          <w:p w14:paraId="1D715118" w14:textId="77777777" w:rsidR="00EB34D4" w:rsidRPr="00EB34D4" w:rsidRDefault="00EB34D4" w:rsidP="00EB34D4">
            <w:pPr>
              <w:jc w:val="left"/>
              <w:rPr>
                <w:sz w:val="20"/>
                <w:szCs w:val="20"/>
                <w:lang w:val="de-DE"/>
              </w:rPr>
            </w:pPr>
            <w:r w:rsidRPr="00EB34D4">
              <w:rPr>
                <w:b/>
                <w:bCs/>
                <w:sz w:val="20"/>
                <w:szCs w:val="20"/>
                <w:lang w:val="de-DE"/>
              </w:rPr>
              <w:t>B (Victoria)</w:t>
            </w:r>
            <w:r w:rsidRPr="00EB34D4">
              <w:rPr>
                <w:b/>
                <w:bCs/>
                <w:sz w:val="20"/>
                <w:szCs w:val="20"/>
                <w:vertAlign w:val="superscript"/>
                <w:lang w:val="de-DE"/>
              </w:rPr>
              <w:t>3</w:t>
            </w:r>
          </w:p>
        </w:tc>
        <w:tc>
          <w:tcPr>
            <w:tcW w:w="3403" w:type="dxa"/>
            <w:tcBorders>
              <w:top w:val="single" w:sz="4" w:space="0" w:color="000000"/>
              <w:left w:val="single" w:sz="4" w:space="0" w:color="000000"/>
              <w:bottom w:val="single" w:sz="4" w:space="0" w:color="000000"/>
              <w:right w:val="single" w:sz="4" w:space="0" w:color="000000"/>
            </w:tcBorders>
          </w:tcPr>
          <w:p w14:paraId="1F40C5DC" w14:textId="77777777" w:rsidR="00EB34D4" w:rsidRPr="00EB34D4" w:rsidRDefault="00EB34D4" w:rsidP="00EB34D4">
            <w:pPr>
              <w:jc w:val="center"/>
              <w:rPr>
                <w:sz w:val="20"/>
                <w:szCs w:val="20"/>
                <w:lang w:val="de-DE"/>
              </w:rPr>
            </w:pPr>
            <w:r w:rsidRPr="00EB34D4">
              <w:rPr>
                <w:sz w:val="20"/>
                <w:szCs w:val="20"/>
                <w:lang w:val="en-GB"/>
              </w:rPr>
              <w:t>306.7 (266.0; 353.6)</w:t>
            </w:r>
          </w:p>
        </w:tc>
        <w:tc>
          <w:tcPr>
            <w:tcW w:w="2348" w:type="dxa"/>
            <w:tcBorders>
              <w:top w:val="single" w:sz="4" w:space="0" w:color="000000"/>
              <w:left w:val="single" w:sz="4" w:space="0" w:color="000000"/>
              <w:bottom w:val="single" w:sz="4" w:space="0" w:color="000000"/>
              <w:right w:val="single" w:sz="4" w:space="0" w:color="auto"/>
            </w:tcBorders>
          </w:tcPr>
          <w:p w14:paraId="12F34EFC" w14:textId="77777777" w:rsidR="00EB34D4" w:rsidRPr="00EB34D4" w:rsidRDefault="00EB34D4" w:rsidP="00EB34D4">
            <w:pPr>
              <w:jc w:val="center"/>
              <w:rPr>
                <w:sz w:val="20"/>
                <w:szCs w:val="20"/>
                <w:lang w:val="en-GB"/>
              </w:rPr>
            </w:pPr>
            <w:r w:rsidRPr="00EB34D4">
              <w:rPr>
                <w:sz w:val="20"/>
                <w:szCs w:val="20"/>
                <w:lang w:val="en-GB"/>
              </w:rPr>
              <w:t>361.4 (311.0; 420.0)</w:t>
            </w:r>
          </w:p>
        </w:tc>
      </w:tr>
      <w:tr w:rsidR="00EB34D4" w:rsidRPr="00EB34D4" w14:paraId="65063C5D" w14:textId="77777777" w:rsidTr="00EB34D4">
        <w:trPr>
          <w:trHeight w:hRule="exact" w:val="1012"/>
        </w:trPr>
        <w:tc>
          <w:tcPr>
            <w:tcW w:w="8242" w:type="dxa"/>
            <w:gridSpan w:val="3"/>
            <w:tcBorders>
              <w:top w:val="single" w:sz="4" w:space="0" w:color="000000"/>
            </w:tcBorders>
          </w:tcPr>
          <w:p w14:paraId="0FD016CE" w14:textId="77777777" w:rsidR="00EB34D4" w:rsidRPr="00EB34D4" w:rsidRDefault="00EB34D4" w:rsidP="00EB34D4">
            <w:pPr>
              <w:rPr>
                <w:sz w:val="20"/>
                <w:szCs w:val="20"/>
              </w:rPr>
            </w:pPr>
            <w:bookmarkStart w:id="3" w:name="_Hlk496089089"/>
            <w:r w:rsidRPr="00EB34D4">
              <w:rPr>
                <w:sz w:val="20"/>
                <w:szCs w:val="20"/>
                <w:vertAlign w:val="superscript"/>
                <w:lang w:val="en"/>
              </w:rPr>
              <w:t>1</w:t>
            </w:r>
            <w:r w:rsidRPr="00EB34D4">
              <w:rPr>
                <w:sz w:val="20"/>
                <w:szCs w:val="20"/>
                <w:lang w:val="en"/>
              </w:rPr>
              <w:t>containing A/H1N1, A/H3N2 and B (Yamagata lineage) (N=389) or B (Victoria lineage) (N=399)</w:t>
            </w:r>
          </w:p>
          <w:p w14:paraId="3D07A43E" w14:textId="77777777" w:rsidR="00EB34D4" w:rsidRPr="00EB34D4" w:rsidRDefault="00EB34D4" w:rsidP="00EB34D4">
            <w:pPr>
              <w:rPr>
                <w:sz w:val="20"/>
                <w:szCs w:val="20"/>
                <w:lang w:val="en"/>
              </w:rPr>
            </w:pPr>
            <w:r w:rsidRPr="00EB34D4">
              <w:rPr>
                <w:sz w:val="20"/>
                <w:szCs w:val="20"/>
                <w:vertAlign w:val="superscript"/>
                <w:lang w:val="en"/>
              </w:rPr>
              <w:t>2</w:t>
            </w:r>
            <w:r w:rsidRPr="00EB34D4">
              <w:rPr>
                <w:sz w:val="20"/>
                <w:szCs w:val="20"/>
                <w:lang w:val="en"/>
              </w:rPr>
              <w:t>recommended B strain by WHO for the season 2016-2017 NH for trivalent vaccines</w:t>
            </w:r>
          </w:p>
          <w:p w14:paraId="6934BC55" w14:textId="77777777" w:rsidR="00EB34D4" w:rsidRPr="00EB34D4" w:rsidRDefault="00EB34D4" w:rsidP="00EB34D4">
            <w:pPr>
              <w:rPr>
                <w:sz w:val="20"/>
                <w:szCs w:val="20"/>
                <w:lang w:val="en"/>
              </w:rPr>
            </w:pPr>
            <w:r w:rsidRPr="00EB34D4">
              <w:rPr>
                <w:sz w:val="20"/>
                <w:szCs w:val="20"/>
                <w:vertAlign w:val="superscript"/>
                <w:lang w:val="en"/>
              </w:rPr>
              <w:t>3</w:t>
            </w:r>
            <w:r w:rsidRPr="00EB34D4">
              <w:rPr>
                <w:sz w:val="20"/>
                <w:szCs w:val="20"/>
                <w:lang w:val="en"/>
              </w:rPr>
              <w:t>additional recommended B strain by WHO for season 2016-2017 NH for quadrivalent vaccines</w:t>
            </w:r>
          </w:p>
          <w:p w14:paraId="2729F29B" w14:textId="05B0250B" w:rsidR="00EB34D4" w:rsidRPr="00EB34D4" w:rsidRDefault="00EB34D4" w:rsidP="00EB34D4">
            <w:pPr>
              <w:rPr>
                <w:sz w:val="20"/>
                <w:szCs w:val="20"/>
                <w:lang w:val="en"/>
              </w:rPr>
            </w:pPr>
            <w:r w:rsidRPr="00EB34D4">
              <w:rPr>
                <w:sz w:val="20"/>
                <w:szCs w:val="20"/>
                <w:lang w:val="en"/>
              </w:rPr>
              <w:t>N= number of patients</w:t>
            </w:r>
            <w:r w:rsidR="00C81B2F">
              <w:rPr>
                <w:sz w:val="20"/>
                <w:szCs w:val="20"/>
                <w:lang w:val="en"/>
              </w:rPr>
              <w:t xml:space="preserve"> (</w:t>
            </w:r>
            <w:r w:rsidR="00C81B2F" w:rsidRPr="00E0182B">
              <w:rPr>
                <w:sz w:val="20"/>
                <w:szCs w:val="20"/>
                <w:lang w:val="en"/>
              </w:rPr>
              <w:t>full analysis sample</w:t>
            </w:r>
            <w:r w:rsidR="00C81B2F">
              <w:rPr>
                <w:sz w:val="20"/>
                <w:szCs w:val="20"/>
                <w:lang w:val="en"/>
              </w:rPr>
              <w:t>)</w:t>
            </w:r>
          </w:p>
          <w:bookmarkEnd w:id="3"/>
          <w:p w14:paraId="6B563398" w14:textId="77777777" w:rsidR="00EB34D4" w:rsidRPr="00EB34D4" w:rsidRDefault="00EB34D4" w:rsidP="00EB34D4">
            <w:pPr>
              <w:rPr>
                <w:lang w:val="en-GB"/>
              </w:rPr>
            </w:pPr>
          </w:p>
        </w:tc>
      </w:tr>
      <w:bookmarkEnd w:id="2"/>
    </w:tbl>
    <w:p w14:paraId="32590459" w14:textId="51CAE151" w:rsidR="006A0214" w:rsidRDefault="006A0214">
      <w:pPr>
        <w:spacing w:after="200" w:line="276" w:lineRule="auto"/>
        <w:jc w:val="left"/>
        <w:rPr>
          <w:u w:val="single"/>
        </w:rPr>
      </w:pPr>
    </w:p>
    <w:p w14:paraId="51C6E3F1" w14:textId="0ABA80BC" w:rsidR="00252BC8" w:rsidRPr="00252BC8" w:rsidRDefault="00252BC8" w:rsidP="00252BC8">
      <w:pPr>
        <w:rPr>
          <w:u w:val="single"/>
          <w:lang w:val="en-GB"/>
        </w:rPr>
      </w:pPr>
      <w:r w:rsidRPr="00252BC8">
        <w:rPr>
          <w:u w:val="single"/>
        </w:rPr>
        <w:t>Children 6-35 months of age</w:t>
      </w:r>
      <w:r w:rsidRPr="00252BC8">
        <w:rPr>
          <w:u w:val="single"/>
          <w:lang w:val="en-GB"/>
        </w:rPr>
        <w:t>:</w:t>
      </w:r>
    </w:p>
    <w:p w14:paraId="562369E5" w14:textId="3BA8999C" w:rsidR="00252BC8" w:rsidRDefault="00252BC8" w:rsidP="00252BC8">
      <w:pPr>
        <w:rPr>
          <w:lang w:val="en"/>
        </w:rPr>
      </w:pPr>
      <w:r w:rsidRPr="00252BC8">
        <w:rPr>
          <w:lang w:val="en"/>
        </w:rPr>
        <w:t>In clinical study INFQ3003, 100</w:t>
      </w:r>
      <w:r w:rsidR="004112BE">
        <w:rPr>
          <w:lang w:val="en"/>
        </w:rPr>
        <w:t>5</w:t>
      </w:r>
      <w:r w:rsidRPr="00252BC8">
        <w:rPr>
          <w:lang w:val="en"/>
        </w:rPr>
        <w:t xml:space="preserve"> children of 6-35 months of age </w:t>
      </w:r>
      <w:r w:rsidR="006C73B6">
        <w:rPr>
          <w:lang w:val="en"/>
        </w:rPr>
        <w:t xml:space="preserve">were to </w:t>
      </w:r>
      <w:r w:rsidRPr="00252BC8">
        <w:rPr>
          <w:lang w:val="en"/>
        </w:rPr>
        <w:t xml:space="preserve">receive two doses of </w:t>
      </w:r>
      <w:r w:rsidR="004120DD">
        <w:rPr>
          <w:lang w:val="en"/>
        </w:rPr>
        <w:t>INFLUVAC TETRA</w:t>
      </w:r>
      <w:r w:rsidRPr="00252BC8">
        <w:rPr>
          <w:lang w:val="en"/>
        </w:rPr>
        <w:t xml:space="preserve"> and 99</w:t>
      </w:r>
      <w:r w:rsidR="004112BE">
        <w:rPr>
          <w:lang w:val="en"/>
        </w:rPr>
        <w:t>5</w:t>
      </w:r>
      <w:r w:rsidRPr="00252BC8">
        <w:rPr>
          <w:lang w:val="en"/>
        </w:rPr>
        <w:t xml:space="preserve"> children </w:t>
      </w:r>
      <w:r w:rsidR="006C73B6">
        <w:rPr>
          <w:lang w:val="en"/>
        </w:rPr>
        <w:t xml:space="preserve">were to </w:t>
      </w:r>
      <w:r w:rsidRPr="00252BC8">
        <w:rPr>
          <w:lang w:val="en"/>
        </w:rPr>
        <w:t>receive two doses of a non-influenza vaccine:</w:t>
      </w:r>
    </w:p>
    <w:p w14:paraId="4C4FE881" w14:textId="77777777" w:rsidR="004212D8" w:rsidRPr="00252BC8" w:rsidRDefault="004212D8" w:rsidP="00252BC8">
      <w:pPr>
        <w:rPr>
          <w:lang w:val="en"/>
        </w:rPr>
      </w:pPr>
    </w:p>
    <w:p w14:paraId="18413BF4" w14:textId="1271C5BF" w:rsidR="00252BC8" w:rsidRDefault="00252BC8" w:rsidP="00556547">
      <w:pPr>
        <w:keepNext/>
        <w:rPr>
          <w:b/>
          <w:lang w:val="en-GB"/>
        </w:rPr>
      </w:pPr>
      <w:r w:rsidRPr="00252BC8">
        <w:rPr>
          <w:b/>
          <w:lang w:val="en-GB"/>
        </w:rPr>
        <w:lastRenderedPageBreak/>
        <w:t xml:space="preserve">Table </w:t>
      </w:r>
      <w:r w:rsidR="004212D8">
        <w:rPr>
          <w:b/>
          <w:lang w:val="en-GB"/>
        </w:rPr>
        <w:t>7</w:t>
      </w:r>
      <w:r w:rsidRPr="00252BC8">
        <w:rPr>
          <w:b/>
          <w:lang w:val="en-GB"/>
        </w:rPr>
        <w:t>: Post-vaccination GMT</w:t>
      </w:r>
    </w:p>
    <w:p w14:paraId="19BF2FBD" w14:textId="6BFF2CA9" w:rsidR="00A4755F" w:rsidRDefault="00A4755F" w:rsidP="00556547">
      <w:pPr>
        <w:keepNext/>
        <w:rPr>
          <w:b/>
          <w:lang w:val="en-GB"/>
        </w:rPr>
      </w:pPr>
    </w:p>
    <w:tbl>
      <w:tblPr>
        <w:tblW w:w="8125" w:type="dxa"/>
        <w:tblInd w:w="846" w:type="dxa"/>
        <w:tblCellMar>
          <w:left w:w="0" w:type="dxa"/>
          <w:right w:w="0" w:type="dxa"/>
        </w:tblCellMar>
        <w:tblLook w:val="0000" w:firstRow="0" w:lastRow="0" w:firstColumn="0" w:lastColumn="0" w:noHBand="0" w:noVBand="0"/>
      </w:tblPr>
      <w:tblGrid>
        <w:gridCol w:w="1670"/>
        <w:gridCol w:w="1534"/>
        <w:gridCol w:w="2459"/>
        <w:gridCol w:w="2462"/>
      </w:tblGrid>
      <w:tr w:rsidR="00613DB8" w:rsidRPr="00F86F51" w14:paraId="40009F42" w14:textId="77777777" w:rsidTr="00825358">
        <w:trPr>
          <w:trHeight w:hRule="exact" w:val="489"/>
        </w:trPr>
        <w:tc>
          <w:tcPr>
            <w:tcW w:w="3204" w:type="dxa"/>
            <w:gridSpan w:val="2"/>
            <w:tcBorders>
              <w:top w:val="single" w:sz="4" w:space="0" w:color="000000"/>
              <w:left w:val="single" w:sz="4" w:space="0" w:color="000000"/>
              <w:bottom w:val="single" w:sz="4" w:space="0" w:color="000000"/>
              <w:right w:val="single" w:sz="4" w:space="0" w:color="000000"/>
            </w:tcBorders>
            <w:vAlign w:val="center"/>
          </w:tcPr>
          <w:p w14:paraId="6669E2F1" w14:textId="2B0C5121" w:rsidR="00A4755F" w:rsidRPr="00C11EB2" w:rsidRDefault="00A4755F" w:rsidP="00556547">
            <w:pPr>
              <w:keepNext/>
              <w:ind w:left="134"/>
              <w:jc w:val="left"/>
              <w:rPr>
                <w:rFonts w:cs="Times New Roman"/>
                <w:b/>
                <w:bCs/>
                <w:sz w:val="20"/>
                <w:szCs w:val="20"/>
                <w:lang w:val="en-US"/>
              </w:rPr>
            </w:pPr>
            <w:r w:rsidRPr="006D741F">
              <w:rPr>
                <w:rFonts w:cs="Times New Roman"/>
                <w:b/>
                <w:bCs/>
                <w:sz w:val="20"/>
                <w:szCs w:val="20"/>
              </w:rPr>
              <w:t>Children 6-35 months</w:t>
            </w:r>
            <w:r w:rsidRPr="006D741F">
              <w:rPr>
                <w:rFonts w:cs="Times New Roman"/>
                <w:b/>
                <w:bCs/>
                <w:sz w:val="20"/>
                <w:szCs w:val="20"/>
                <w:lang w:val="en-US"/>
              </w:rPr>
              <w:t xml:space="preserve"> </w:t>
            </w:r>
            <w:r w:rsidRPr="006D741F">
              <w:rPr>
                <w:rFonts w:cs="Times New Roman"/>
                <w:b/>
                <w:bCs/>
                <w:sz w:val="20"/>
                <w:szCs w:val="20"/>
                <w:lang w:val="en-US"/>
              </w:rPr>
              <w:br/>
            </w:r>
            <w:r w:rsidRPr="00C11EB2">
              <w:rPr>
                <w:rFonts w:cs="Times New Roman"/>
                <w:b/>
                <w:bCs/>
                <w:sz w:val="20"/>
                <w:szCs w:val="20"/>
                <w:lang w:val="en-US"/>
              </w:rPr>
              <w:t>Post vacc</w:t>
            </w:r>
            <w:r w:rsidR="000429C1">
              <w:rPr>
                <w:rFonts w:cs="Times New Roman"/>
                <w:b/>
                <w:bCs/>
                <w:sz w:val="20"/>
                <w:szCs w:val="20"/>
                <w:lang w:val="en-US"/>
              </w:rPr>
              <w:t>ination</w:t>
            </w:r>
            <w:r w:rsidRPr="00C11EB2">
              <w:rPr>
                <w:rFonts w:cs="Times New Roman"/>
                <w:b/>
                <w:bCs/>
                <w:sz w:val="20"/>
                <w:szCs w:val="20"/>
                <w:lang w:val="en-US"/>
              </w:rPr>
              <w:t xml:space="preserve"> GMT (GSD)</w:t>
            </w:r>
          </w:p>
          <w:p w14:paraId="07343728" w14:textId="77777777" w:rsidR="00A4755F" w:rsidRPr="00B374BD" w:rsidRDefault="00A4755F" w:rsidP="00556547">
            <w:pPr>
              <w:keepNext/>
              <w:ind w:left="134"/>
              <w:jc w:val="left"/>
              <w:rPr>
                <w:rFonts w:cs="Times New Roman"/>
                <w:b/>
                <w:bCs/>
                <w:sz w:val="20"/>
                <w:szCs w:val="20"/>
              </w:rPr>
            </w:pPr>
          </w:p>
        </w:tc>
        <w:tc>
          <w:tcPr>
            <w:tcW w:w="2459" w:type="dxa"/>
            <w:tcBorders>
              <w:top w:val="single" w:sz="4" w:space="0" w:color="000000"/>
              <w:left w:val="single" w:sz="4" w:space="0" w:color="000000"/>
              <w:bottom w:val="single" w:sz="4" w:space="0" w:color="000000"/>
              <w:right w:val="single" w:sz="4" w:space="0" w:color="000000"/>
            </w:tcBorders>
            <w:vAlign w:val="center"/>
          </w:tcPr>
          <w:p w14:paraId="7934B9D1" w14:textId="4E19B9DB" w:rsidR="00A4755F" w:rsidRPr="00B374BD" w:rsidRDefault="004120DD" w:rsidP="00556547">
            <w:pPr>
              <w:keepNext/>
              <w:jc w:val="center"/>
              <w:rPr>
                <w:rFonts w:cs="Times New Roman"/>
                <w:b/>
                <w:bCs/>
                <w:sz w:val="20"/>
                <w:szCs w:val="20"/>
                <w:lang w:val="de-DE"/>
              </w:rPr>
            </w:pPr>
            <w:r>
              <w:rPr>
                <w:b/>
                <w:bCs/>
                <w:sz w:val="20"/>
                <w:szCs w:val="20"/>
                <w:lang w:val="de-DE"/>
              </w:rPr>
              <w:t>INFLUVAC TETRA</w:t>
            </w:r>
            <w:r w:rsidR="00A4755F" w:rsidRPr="00B374BD">
              <w:rPr>
                <w:sz w:val="20"/>
                <w:szCs w:val="20"/>
                <w:lang w:val="de-DE"/>
              </w:rPr>
              <w:br/>
            </w:r>
          </w:p>
        </w:tc>
        <w:tc>
          <w:tcPr>
            <w:tcW w:w="2461" w:type="dxa"/>
            <w:tcBorders>
              <w:top w:val="single" w:sz="4" w:space="0" w:color="000000"/>
              <w:left w:val="single" w:sz="4" w:space="0" w:color="000000"/>
              <w:bottom w:val="single" w:sz="4" w:space="0" w:color="000000"/>
              <w:right w:val="single" w:sz="4" w:space="0" w:color="auto"/>
            </w:tcBorders>
            <w:vAlign w:val="center"/>
          </w:tcPr>
          <w:p w14:paraId="76C98148" w14:textId="77777777" w:rsidR="00A4755F" w:rsidRDefault="00A4755F" w:rsidP="00556547">
            <w:pPr>
              <w:keepNext/>
              <w:jc w:val="center"/>
              <w:rPr>
                <w:rFonts w:cs="Times New Roman"/>
                <w:b/>
                <w:bCs/>
                <w:sz w:val="20"/>
                <w:szCs w:val="20"/>
              </w:rPr>
            </w:pPr>
            <w:r w:rsidRPr="00B374BD">
              <w:rPr>
                <w:rFonts w:cs="Times New Roman"/>
                <w:b/>
                <w:bCs/>
                <w:sz w:val="20"/>
                <w:szCs w:val="20"/>
              </w:rPr>
              <w:t>N</w:t>
            </w:r>
            <w:r>
              <w:rPr>
                <w:rFonts w:cs="Times New Roman"/>
                <w:b/>
                <w:bCs/>
                <w:sz w:val="20"/>
                <w:szCs w:val="20"/>
              </w:rPr>
              <w:t>on-influenza vaccine</w:t>
            </w:r>
          </w:p>
          <w:p w14:paraId="2B7198D3" w14:textId="21D28C04" w:rsidR="00A4755F" w:rsidRPr="00B374BD" w:rsidRDefault="00A4755F" w:rsidP="00556547">
            <w:pPr>
              <w:keepNext/>
              <w:jc w:val="center"/>
              <w:rPr>
                <w:rFonts w:cs="Times New Roman"/>
                <w:b/>
                <w:bCs/>
                <w:sz w:val="20"/>
                <w:szCs w:val="20"/>
                <w:lang w:val="de-DE"/>
              </w:rPr>
            </w:pPr>
          </w:p>
        </w:tc>
      </w:tr>
      <w:tr w:rsidR="00613DB8" w:rsidRPr="00F86F51" w14:paraId="75A62F0F" w14:textId="77777777" w:rsidTr="00825358">
        <w:trPr>
          <w:trHeight w:hRule="exact" w:val="257"/>
        </w:trPr>
        <w:tc>
          <w:tcPr>
            <w:tcW w:w="1670" w:type="dxa"/>
            <w:vMerge w:val="restart"/>
            <w:tcBorders>
              <w:top w:val="single" w:sz="4" w:space="0" w:color="000000"/>
              <w:left w:val="single" w:sz="4" w:space="0" w:color="000000"/>
              <w:right w:val="single" w:sz="4" w:space="0" w:color="000000"/>
            </w:tcBorders>
          </w:tcPr>
          <w:p w14:paraId="72EA8130" w14:textId="77777777" w:rsidR="00A4755F" w:rsidRPr="006D741F" w:rsidRDefault="00A4755F" w:rsidP="00556547">
            <w:pPr>
              <w:keepNext/>
              <w:ind w:left="134" w:right="-146"/>
              <w:jc w:val="left"/>
              <w:rPr>
                <w:rFonts w:cs="Times New Roman"/>
                <w:b/>
                <w:bCs/>
                <w:sz w:val="20"/>
                <w:szCs w:val="20"/>
                <w:lang w:val="de-DE"/>
              </w:rPr>
            </w:pPr>
            <w:r w:rsidRPr="006D741F">
              <w:rPr>
                <w:rFonts w:cs="Times New Roman"/>
                <w:b/>
                <w:bCs/>
                <w:sz w:val="20"/>
                <w:szCs w:val="20"/>
                <w:lang w:val="de-DE"/>
              </w:rPr>
              <w:t>Cohort 1 NH</w:t>
            </w:r>
            <w:r w:rsidRPr="006D741F">
              <w:rPr>
                <w:rFonts w:cs="Times New Roman"/>
                <w:b/>
                <w:bCs/>
                <w:sz w:val="20"/>
                <w:szCs w:val="20"/>
                <w:vertAlign w:val="superscript"/>
                <w:lang w:val="de-DE"/>
              </w:rPr>
              <w:t>1</w:t>
            </w:r>
          </w:p>
        </w:tc>
        <w:tc>
          <w:tcPr>
            <w:tcW w:w="1533" w:type="dxa"/>
            <w:tcBorders>
              <w:top w:val="single" w:sz="4" w:space="0" w:color="000000"/>
              <w:left w:val="single" w:sz="4" w:space="0" w:color="000000"/>
              <w:bottom w:val="single" w:sz="4" w:space="0" w:color="000000"/>
              <w:right w:val="single" w:sz="4" w:space="0" w:color="000000"/>
            </w:tcBorders>
            <w:vAlign w:val="center"/>
          </w:tcPr>
          <w:p w14:paraId="296B02F4" w14:textId="77777777" w:rsidR="00A4755F" w:rsidRPr="00C11EB2" w:rsidRDefault="00A4755F" w:rsidP="00556547">
            <w:pPr>
              <w:keepNext/>
              <w:ind w:left="134"/>
              <w:jc w:val="left"/>
              <w:rPr>
                <w:rFonts w:cs="Times New Roman"/>
                <w:sz w:val="20"/>
                <w:szCs w:val="20"/>
                <w:lang w:val="de-DE"/>
              </w:rPr>
            </w:pPr>
          </w:p>
        </w:tc>
        <w:tc>
          <w:tcPr>
            <w:tcW w:w="2459" w:type="dxa"/>
            <w:tcBorders>
              <w:top w:val="single" w:sz="4" w:space="0" w:color="000000"/>
              <w:left w:val="single" w:sz="4" w:space="0" w:color="000000"/>
              <w:bottom w:val="single" w:sz="4" w:space="0" w:color="000000"/>
              <w:right w:val="single" w:sz="4" w:space="0" w:color="000000"/>
            </w:tcBorders>
            <w:vAlign w:val="center"/>
          </w:tcPr>
          <w:p w14:paraId="095D0F81" w14:textId="77777777" w:rsidR="00A4755F" w:rsidRPr="00B374BD" w:rsidRDefault="00A4755F" w:rsidP="00556547">
            <w:pPr>
              <w:keepNext/>
              <w:jc w:val="center"/>
              <w:rPr>
                <w:rFonts w:cs="Times New Roman"/>
                <w:sz w:val="20"/>
                <w:szCs w:val="20"/>
                <w:lang w:val="de-DE"/>
              </w:rPr>
            </w:pPr>
            <w:r w:rsidRPr="00B374BD">
              <w:rPr>
                <w:rFonts w:cs="Times New Roman"/>
                <w:b/>
                <w:bCs/>
                <w:color w:val="000000"/>
                <w:sz w:val="20"/>
                <w:szCs w:val="20"/>
              </w:rPr>
              <w:t>(N=348)</w:t>
            </w:r>
          </w:p>
        </w:tc>
        <w:tc>
          <w:tcPr>
            <w:tcW w:w="2461" w:type="dxa"/>
            <w:tcBorders>
              <w:top w:val="single" w:sz="4" w:space="0" w:color="000000"/>
              <w:left w:val="single" w:sz="4" w:space="0" w:color="000000"/>
              <w:bottom w:val="single" w:sz="4" w:space="0" w:color="000000"/>
              <w:right w:val="single" w:sz="4" w:space="0" w:color="auto"/>
            </w:tcBorders>
            <w:vAlign w:val="center"/>
          </w:tcPr>
          <w:p w14:paraId="52287891" w14:textId="77777777" w:rsidR="00A4755F" w:rsidRPr="00B374BD" w:rsidRDefault="00A4755F" w:rsidP="00556547">
            <w:pPr>
              <w:keepNext/>
              <w:jc w:val="center"/>
              <w:rPr>
                <w:rFonts w:cs="Times New Roman"/>
                <w:sz w:val="20"/>
                <w:szCs w:val="20"/>
                <w:lang w:val="de-DE"/>
              </w:rPr>
            </w:pPr>
            <w:r w:rsidRPr="00B374BD">
              <w:rPr>
                <w:rFonts w:cs="Times New Roman"/>
                <w:b/>
                <w:bCs/>
                <w:color w:val="000000"/>
                <w:sz w:val="20"/>
                <w:szCs w:val="20"/>
              </w:rPr>
              <w:t>(N=343)</w:t>
            </w:r>
          </w:p>
        </w:tc>
      </w:tr>
      <w:tr w:rsidR="00613DB8" w:rsidRPr="00F86F51" w14:paraId="3430FE07" w14:textId="77777777" w:rsidTr="00825358">
        <w:trPr>
          <w:trHeight w:hRule="exact" w:val="257"/>
        </w:trPr>
        <w:tc>
          <w:tcPr>
            <w:tcW w:w="1670" w:type="dxa"/>
            <w:vMerge/>
            <w:tcBorders>
              <w:left w:val="single" w:sz="4" w:space="0" w:color="000000"/>
              <w:right w:val="single" w:sz="4" w:space="0" w:color="000000"/>
            </w:tcBorders>
            <w:vAlign w:val="center"/>
          </w:tcPr>
          <w:p w14:paraId="0368513B"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540104CC" w14:textId="77777777" w:rsidR="00A4755F" w:rsidRPr="00B374BD" w:rsidRDefault="00A4755F" w:rsidP="00673A54">
            <w:pPr>
              <w:keepNext/>
              <w:ind w:left="134"/>
              <w:jc w:val="left"/>
              <w:rPr>
                <w:rFonts w:cs="Times New Roman"/>
                <w:sz w:val="20"/>
                <w:szCs w:val="20"/>
                <w:lang w:val="de-DE"/>
              </w:rPr>
            </w:pPr>
            <w:r w:rsidRPr="00B374BD">
              <w:rPr>
                <w:rFonts w:cs="Times New Roman"/>
                <w:sz w:val="20"/>
                <w:szCs w:val="20"/>
                <w:lang w:val="de-DE"/>
              </w:rPr>
              <w:t>A/H1N1</w:t>
            </w:r>
          </w:p>
        </w:tc>
        <w:tc>
          <w:tcPr>
            <w:tcW w:w="2459" w:type="dxa"/>
            <w:tcBorders>
              <w:top w:val="single" w:sz="4" w:space="0" w:color="000000"/>
              <w:left w:val="single" w:sz="4" w:space="0" w:color="000000"/>
              <w:bottom w:val="single" w:sz="4" w:space="0" w:color="000000"/>
              <w:right w:val="single" w:sz="4" w:space="0" w:color="000000"/>
            </w:tcBorders>
            <w:vAlign w:val="center"/>
          </w:tcPr>
          <w:p w14:paraId="4621E113" w14:textId="77777777" w:rsidR="00A4755F" w:rsidRPr="00B374BD" w:rsidRDefault="00A4755F" w:rsidP="00673A54">
            <w:pPr>
              <w:keepNext/>
              <w:jc w:val="center"/>
              <w:rPr>
                <w:rFonts w:cs="Times New Roman"/>
                <w:sz w:val="20"/>
                <w:szCs w:val="20"/>
                <w:lang w:val="de-DE"/>
              </w:rPr>
            </w:pPr>
            <w:r w:rsidRPr="00B374BD">
              <w:rPr>
                <w:rFonts w:cs="Times New Roman"/>
                <w:color w:val="000000"/>
                <w:sz w:val="20"/>
                <w:szCs w:val="20"/>
              </w:rPr>
              <w:t>71.1 (4.4)</w:t>
            </w:r>
          </w:p>
        </w:tc>
        <w:tc>
          <w:tcPr>
            <w:tcW w:w="2461" w:type="dxa"/>
            <w:tcBorders>
              <w:top w:val="single" w:sz="4" w:space="0" w:color="000000"/>
              <w:left w:val="single" w:sz="4" w:space="0" w:color="000000"/>
              <w:bottom w:val="single" w:sz="4" w:space="0" w:color="000000"/>
              <w:right w:val="single" w:sz="4" w:space="0" w:color="auto"/>
            </w:tcBorders>
            <w:vAlign w:val="center"/>
          </w:tcPr>
          <w:p w14:paraId="1CC45D03" w14:textId="77777777" w:rsidR="00A4755F" w:rsidRPr="00B374BD" w:rsidRDefault="00A4755F" w:rsidP="00673A54">
            <w:pPr>
              <w:keepNext/>
              <w:jc w:val="center"/>
              <w:rPr>
                <w:rFonts w:cs="Times New Roman"/>
                <w:sz w:val="20"/>
                <w:szCs w:val="20"/>
                <w:lang w:val="de-DE"/>
              </w:rPr>
            </w:pPr>
            <w:r w:rsidRPr="00B374BD">
              <w:rPr>
                <w:rFonts w:cs="Times New Roman"/>
                <w:color w:val="000000"/>
                <w:sz w:val="20"/>
                <w:szCs w:val="20"/>
              </w:rPr>
              <w:t>12.0 (4.1)</w:t>
            </w:r>
          </w:p>
        </w:tc>
      </w:tr>
      <w:tr w:rsidR="00613DB8" w:rsidRPr="00F86F51" w14:paraId="593EAB2F" w14:textId="77777777" w:rsidTr="00825358">
        <w:trPr>
          <w:trHeight w:hRule="exact" w:val="257"/>
        </w:trPr>
        <w:tc>
          <w:tcPr>
            <w:tcW w:w="1670" w:type="dxa"/>
            <w:vMerge/>
            <w:tcBorders>
              <w:left w:val="single" w:sz="4" w:space="0" w:color="000000"/>
              <w:right w:val="single" w:sz="4" w:space="0" w:color="000000"/>
            </w:tcBorders>
            <w:vAlign w:val="center"/>
          </w:tcPr>
          <w:p w14:paraId="568E2663"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2663879F" w14:textId="77777777" w:rsidR="00A4755F" w:rsidRPr="00B374BD" w:rsidRDefault="00A4755F" w:rsidP="00673A54">
            <w:pPr>
              <w:keepNext/>
              <w:ind w:left="134"/>
              <w:jc w:val="left"/>
              <w:rPr>
                <w:rFonts w:cs="Times New Roman"/>
                <w:sz w:val="20"/>
                <w:szCs w:val="20"/>
                <w:lang w:val="de-DE"/>
              </w:rPr>
            </w:pPr>
            <w:r w:rsidRPr="00B374BD">
              <w:rPr>
                <w:rFonts w:cs="Times New Roman"/>
                <w:sz w:val="20"/>
                <w:szCs w:val="20"/>
                <w:lang w:val="de-DE"/>
              </w:rPr>
              <w:t>A/H3N2</w:t>
            </w:r>
          </w:p>
        </w:tc>
        <w:tc>
          <w:tcPr>
            <w:tcW w:w="2459" w:type="dxa"/>
            <w:tcBorders>
              <w:top w:val="single" w:sz="4" w:space="0" w:color="000000"/>
              <w:left w:val="single" w:sz="4" w:space="0" w:color="000000"/>
              <w:bottom w:val="single" w:sz="4" w:space="0" w:color="000000"/>
              <w:right w:val="single" w:sz="4" w:space="0" w:color="000000"/>
            </w:tcBorders>
            <w:vAlign w:val="center"/>
          </w:tcPr>
          <w:p w14:paraId="5356A891" w14:textId="77777777" w:rsidR="00A4755F" w:rsidRPr="00B374BD" w:rsidRDefault="00A4755F" w:rsidP="00673A54">
            <w:pPr>
              <w:keepNext/>
              <w:jc w:val="center"/>
              <w:rPr>
                <w:rFonts w:cs="Times New Roman"/>
                <w:sz w:val="20"/>
                <w:szCs w:val="20"/>
                <w:lang w:val="de-DE"/>
              </w:rPr>
            </w:pPr>
            <w:r w:rsidRPr="00B374BD">
              <w:rPr>
                <w:rFonts w:cs="Times New Roman"/>
                <w:color w:val="000000"/>
                <w:sz w:val="20"/>
                <w:szCs w:val="20"/>
              </w:rPr>
              <w:t>341.4 (6.7)</w:t>
            </w:r>
          </w:p>
        </w:tc>
        <w:tc>
          <w:tcPr>
            <w:tcW w:w="2461" w:type="dxa"/>
            <w:tcBorders>
              <w:top w:val="single" w:sz="4" w:space="0" w:color="000000"/>
              <w:left w:val="single" w:sz="4" w:space="0" w:color="000000"/>
              <w:bottom w:val="single" w:sz="4" w:space="0" w:color="000000"/>
              <w:right w:val="single" w:sz="4" w:space="0" w:color="auto"/>
            </w:tcBorders>
            <w:vAlign w:val="center"/>
          </w:tcPr>
          <w:p w14:paraId="3E8D994B" w14:textId="77777777" w:rsidR="00A4755F" w:rsidRPr="00B374BD" w:rsidRDefault="00A4755F" w:rsidP="00673A54">
            <w:pPr>
              <w:keepNext/>
              <w:jc w:val="center"/>
              <w:rPr>
                <w:rFonts w:cs="Times New Roman"/>
                <w:sz w:val="20"/>
                <w:szCs w:val="20"/>
                <w:lang w:val="de-DE"/>
              </w:rPr>
            </w:pPr>
            <w:r w:rsidRPr="00B374BD">
              <w:rPr>
                <w:rFonts w:cs="Times New Roman"/>
                <w:color w:val="000000"/>
                <w:sz w:val="20"/>
                <w:szCs w:val="20"/>
              </w:rPr>
              <w:t>12.9 (5.7)</w:t>
            </w:r>
          </w:p>
        </w:tc>
      </w:tr>
      <w:tr w:rsidR="00613DB8" w:rsidRPr="00F86F51" w14:paraId="2AEA4A7F" w14:textId="77777777" w:rsidTr="00825358">
        <w:trPr>
          <w:trHeight w:hRule="exact" w:val="259"/>
        </w:trPr>
        <w:tc>
          <w:tcPr>
            <w:tcW w:w="1670" w:type="dxa"/>
            <w:vMerge/>
            <w:tcBorders>
              <w:left w:val="single" w:sz="4" w:space="0" w:color="000000"/>
              <w:right w:val="single" w:sz="4" w:space="0" w:color="000000"/>
            </w:tcBorders>
            <w:vAlign w:val="center"/>
          </w:tcPr>
          <w:p w14:paraId="543A1B37"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5432F175" w14:textId="77777777" w:rsidR="00A4755F" w:rsidRPr="00B374BD" w:rsidRDefault="00A4755F" w:rsidP="00673A54">
            <w:pPr>
              <w:keepNext/>
              <w:ind w:left="134"/>
              <w:jc w:val="left"/>
              <w:rPr>
                <w:rFonts w:cs="Times New Roman"/>
                <w:sz w:val="20"/>
                <w:szCs w:val="20"/>
                <w:lang w:val="de-DE"/>
              </w:rPr>
            </w:pPr>
            <w:r w:rsidRPr="00B374BD">
              <w:rPr>
                <w:rFonts w:cs="Times New Roman"/>
                <w:sz w:val="20"/>
                <w:szCs w:val="20"/>
                <w:lang w:val="de-DE"/>
              </w:rPr>
              <w:t>B (Yamagata)</w:t>
            </w:r>
          </w:p>
        </w:tc>
        <w:tc>
          <w:tcPr>
            <w:tcW w:w="2459" w:type="dxa"/>
            <w:tcBorders>
              <w:top w:val="single" w:sz="4" w:space="0" w:color="000000"/>
              <w:left w:val="single" w:sz="4" w:space="0" w:color="000000"/>
              <w:bottom w:val="single" w:sz="4" w:space="0" w:color="000000"/>
              <w:right w:val="single" w:sz="4" w:space="0" w:color="000000"/>
            </w:tcBorders>
            <w:vAlign w:val="center"/>
          </w:tcPr>
          <w:p w14:paraId="41660599" w14:textId="77777777" w:rsidR="00A4755F" w:rsidRPr="00B374BD" w:rsidRDefault="00A4755F" w:rsidP="00673A54">
            <w:pPr>
              <w:keepNext/>
              <w:jc w:val="center"/>
              <w:rPr>
                <w:rFonts w:cs="Times New Roman"/>
                <w:sz w:val="20"/>
                <w:szCs w:val="20"/>
                <w:lang w:val="de-DE"/>
              </w:rPr>
            </w:pPr>
            <w:r w:rsidRPr="00B374BD">
              <w:rPr>
                <w:rFonts w:cs="Times New Roman"/>
                <w:color w:val="000000"/>
                <w:sz w:val="20"/>
                <w:szCs w:val="20"/>
              </w:rPr>
              <w:t>10.8 (3.1)</w:t>
            </w:r>
          </w:p>
        </w:tc>
        <w:tc>
          <w:tcPr>
            <w:tcW w:w="2461" w:type="dxa"/>
            <w:tcBorders>
              <w:top w:val="single" w:sz="4" w:space="0" w:color="000000"/>
              <w:left w:val="single" w:sz="4" w:space="0" w:color="000000"/>
              <w:bottom w:val="single" w:sz="4" w:space="0" w:color="000000"/>
              <w:right w:val="single" w:sz="4" w:space="0" w:color="auto"/>
            </w:tcBorders>
            <w:vAlign w:val="center"/>
          </w:tcPr>
          <w:p w14:paraId="01F18E3C" w14:textId="77777777" w:rsidR="00A4755F" w:rsidRPr="00B374BD" w:rsidRDefault="00A4755F" w:rsidP="00673A54">
            <w:pPr>
              <w:keepNext/>
              <w:jc w:val="center"/>
              <w:rPr>
                <w:rFonts w:cs="Times New Roman"/>
                <w:sz w:val="20"/>
                <w:szCs w:val="20"/>
                <w:lang w:val="en-GB"/>
              </w:rPr>
            </w:pPr>
            <w:r w:rsidRPr="00B374BD">
              <w:rPr>
                <w:rFonts w:cs="Times New Roman"/>
                <w:color w:val="000000"/>
                <w:sz w:val="20"/>
                <w:szCs w:val="20"/>
              </w:rPr>
              <w:t>5.6 (1.7)</w:t>
            </w:r>
          </w:p>
        </w:tc>
      </w:tr>
      <w:tr w:rsidR="00613DB8" w:rsidRPr="00F86F51" w14:paraId="68232DED" w14:textId="77777777" w:rsidTr="00825358">
        <w:trPr>
          <w:trHeight w:hRule="exact" w:val="257"/>
        </w:trPr>
        <w:tc>
          <w:tcPr>
            <w:tcW w:w="1670" w:type="dxa"/>
            <w:vMerge/>
            <w:tcBorders>
              <w:left w:val="single" w:sz="4" w:space="0" w:color="000000"/>
              <w:bottom w:val="single" w:sz="4" w:space="0" w:color="000000"/>
              <w:right w:val="single" w:sz="4" w:space="0" w:color="000000"/>
            </w:tcBorders>
            <w:vAlign w:val="center"/>
          </w:tcPr>
          <w:p w14:paraId="7938B48A"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0F731124" w14:textId="4B2D4FE0" w:rsidR="00A4755F" w:rsidRPr="00B374BD" w:rsidRDefault="00A4755F" w:rsidP="00673A54">
            <w:pPr>
              <w:keepNext/>
              <w:ind w:left="134"/>
              <w:jc w:val="left"/>
              <w:rPr>
                <w:rFonts w:cs="Times New Roman"/>
                <w:sz w:val="20"/>
                <w:szCs w:val="20"/>
                <w:lang w:val="de-DE"/>
              </w:rPr>
            </w:pPr>
            <w:r w:rsidRPr="00B374BD">
              <w:rPr>
                <w:rFonts w:cs="Times New Roman"/>
                <w:sz w:val="20"/>
                <w:szCs w:val="20"/>
                <w:lang w:val="de-DE"/>
              </w:rPr>
              <w:t>B (Victoria)</w:t>
            </w:r>
          </w:p>
        </w:tc>
        <w:tc>
          <w:tcPr>
            <w:tcW w:w="2459" w:type="dxa"/>
            <w:tcBorders>
              <w:top w:val="single" w:sz="4" w:space="0" w:color="000000"/>
              <w:left w:val="single" w:sz="4" w:space="0" w:color="000000"/>
              <w:bottom w:val="single" w:sz="4" w:space="0" w:color="000000"/>
              <w:right w:val="single" w:sz="4" w:space="0" w:color="000000"/>
            </w:tcBorders>
            <w:vAlign w:val="center"/>
          </w:tcPr>
          <w:p w14:paraId="4C65410F" w14:textId="77777777" w:rsidR="00A4755F" w:rsidRPr="00B374BD" w:rsidRDefault="00A4755F" w:rsidP="00673A54">
            <w:pPr>
              <w:keepNext/>
              <w:jc w:val="center"/>
              <w:rPr>
                <w:rFonts w:cs="Times New Roman"/>
                <w:sz w:val="20"/>
                <w:szCs w:val="20"/>
                <w:lang w:val="de-DE"/>
              </w:rPr>
            </w:pPr>
            <w:r w:rsidRPr="00B374BD">
              <w:rPr>
                <w:rFonts w:cs="Times New Roman"/>
                <w:color w:val="000000"/>
                <w:sz w:val="20"/>
                <w:szCs w:val="20"/>
              </w:rPr>
              <w:t>11.1 (4.0)</w:t>
            </w:r>
          </w:p>
        </w:tc>
        <w:tc>
          <w:tcPr>
            <w:tcW w:w="2461" w:type="dxa"/>
            <w:tcBorders>
              <w:top w:val="single" w:sz="4" w:space="0" w:color="000000"/>
              <w:left w:val="single" w:sz="4" w:space="0" w:color="000000"/>
              <w:bottom w:val="single" w:sz="4" w:space="0" w:color="000000"/>
              <w:right w:val="single" w:sz="4" w:space="0" w:color="auto"/>
            </w:tcBorders>
            <w:vAlign w:val="center"/>
          </w:tcPr>
          <w:p w14:paraId="637DB204" w14:textId="77777777" w:rsidR="00A4755F" w:rsidRPr="00B374BD" w:rsidRDefault="00A4755F" w:rsidP="00673A54">
            <w:pPr>
              <w:keepNext/>
              <w:jc w:val="center"/>
              <w:rPr>
                <w:rFonts w:cs="Times New Roman"/>
                <w:sz w:val="20"/>
                <w:szCs w:val="20"/>
                <w:lang w:val="en-GB"/>
              </w:rPr>
            </w:pPr>
            <w:r w:rsidRPr="00B374BD">
              <w:rPr>
                <w:rFonts w:cs="Times New Roman"/>
                <w:color w:val="000000"/>
                <w:sz w:val="20"/>
                <w:szCs w:val="20"/>
              </w:rPr>
              <w:t>5.3 (1.5)</w:t>
            </w:r>
          </w:p>
        </w:tc>
      </w:tr>
      <w:tr w:rsidR="00613DB8" w:rsidRPr="00F86F51" w14:paraId="4C0EEC69" w14:textId="77777777" w:rsidTr="00825358">
        <w:trPr>
          <w:trHeight w:hRule="exact" w:val="257"/>
        </w:trPr>
        <w:tc>
          <w:tcPr>
            <w:tcW w:w="1670" w:type="dxa"/>
            <w:vMerge w:val="restart"/>
            <w:tcBorders>
              <w:top w:val="single" w:sz="4" w:space="0" w:color="000000"/>
              <w:left w:val="single" w:sz="4" w:space="0" w:color="000000"/>
              <w:right w:val="single" w:sz="4" w:space="0" w:color="000000"/>
            </w:tcBorders>
          </w:tcPr>
          <w:p w14:paraId="28A5BB36" w14:textId="77777777" w:rsidR="00A4755F" w:rsidRPr="006D741F" w:rsidRDefault="00A4755F" w:rsidP="00556547">
            <w:pPr>
              <w:keepNext/>
              <w:ind w:left="134"/>
              <w:jc w:val="left"/>
              <w:rPr>
                <w:rFonts w:cs="Times New Roman"/>
                <w:b/>
                <w:bCs/>
                <w:sz w:val="20"/>
                <w:szCs w:val="20"/>
                <w:lang w:val="de-DE"/>
              </w:rPr>
            </w:pPr>
            <w:r w:rsidRPr="006D741F">
              <w:rPr>
                <w:rFonts w:cs="Times New Roman"/>
                <w:b/>
                <w:bCs/>
                <w:sz w:val="20"/>
                <w:szCs w:val="20"/>
                <w:lang w:val="de-DE"/>
              </w:rPr>
              <w:t>Cohort 2 NH</w:t>
            </w:r>
            <w:r w:rsidRPr="006D741F">
              <w:rPr>
                <w:rFonts w:cs="Times New Roman"/>
                <w:b/>
                <w:bCs/>
                <w:sz w:val="20"/>
                <w:szCs w:val="20"/>
                <w:vertAlign w:val="superscript"/>
                <w:lang w:val="de-DE"/>
              </w:rPr>
              <w:t>2</w:t>
            </w:r>
          </w:p>
        </w:tc>
        <w:tc>
          <w:tcPr>
            <w:tcW w:w="1533" w:type="dxa"/>
            <w:tcBorders>
              <w:top w:val="single" w:sz="4" w:space="0" w:color="000000"/>
              <w:left w:val="single" w:sz="4" w:space="0" w:color="000000"/>
              <w:bottom w:val="single" w:sz="4" w:space="0" w:color="000000"/>
              <w:right w:val="single" w:sz="4" w:space="0" w:color="000000"/>
            </w:tcBorders>
            <w:vAlign w:val="center"/>
          </w:tcPr>
          <w:p w14:paraId="790BBF7C" w14:textId="77777777" w:rsidR="00A4755F" w:rsidRPr="00C11EB2" w:rsidRDefault="00A4755F" w:rsidP="00556547">
            <w:pPr>
              <w:keepNext/>
              <w:ind w:left="134"/>
              <w:jc w:val="left"/>
              <w:rPr>
                <w:rFonts w:cs="Times New Roman"/>
                <w:sz w:val="20"/>
                <w:szCs w:val="20"/>
                <w:lang w:val="de-DE"/>
              </w:rPr>
            </w:pPr>
          </w:p>
        </w:tc>
        <w:tc>
          <w:tcPr>
            <w:tcW w:w="2459" w:type="dxa"/>
            <w:tcBorders>
              <w:top w:val="single" w:sz="4" w:space="0" w:color="000000"/>
              <w:left w:val="single" w:sz="4" w:space="0" w:color="000000"/>
              <w:bottom w:val="single" w:sz="4" w:space="0" w:color="000000"/>
              <w:right w:val="single" w:sz="4" w:space="0" w:color="000000"/>
            </w:tcBorders>
            <w:vAlign w:val="center"/>
          </w:tcPr>
          <w:p w14:paraId="52BDF314" w14:textId="77777777" w:rsidR="00A4755F" w:rsidRPr="00B374BD" w:rsidRDefault="00A4755F" w:rsidP="00556547">
            <w:pPr>
              <w:keepNext/>
              <w:jc w:val="center"/>
              <w:rPr>
                <w:rFonts w:cs="Times New Roman"/>
                <w:b/>
                <w:bCs/>
                <w:sz w:val="20"/>
                <w:szCs w:val="20"/>
                <w:lang w:val="de-DE"/>
              </w:rPr>
            </w:pPr>
            <w:r w:rsidRPr="00B374BD">
              <w:rPr>
                <w:rFonts w:cs="Times New Roman"/>
                <w:b/>
                <w:bCs/>
                <w:color w:val="000000"/>
                <w:sz w:val="20"/>
                <w:szCs w:val="20"/>
              </w:rPr>
              <w:t>(N=359)</w:t>
            </w:r>
          </w:p>
        </w:tc>
        <w:tc>
          <w:tcPr>
            <w:tcW w:w="2461" w:type="dxa"/>
            <w:tcBorders>
              <w:top w:val="single" w:sz="4" w:space="0" w:color="000000"/>
              <w:left w:val="single" w:sz="4" w:space="0" w:color="000000"/>
              <w:bottom w:val="single" w:sz="4" w:space="0" w:color="000000"/>
              <w:right w:val="single" w:sz="4" w:space="0" w:color="auto"/>
            </w:tcBorders>
            <w:vAlign w:val="center"/>
          </w:tcPr>
          <w:p w14:paraId="5C2329FE" w14:textId="77777777" w:rsidR="00A4755F" w:rsidRPr="00B374BD" w:rsidRDefault="00A4755F" w:rsidP="00556547">
            <w:pPr>
              <w:keepNext/>
              <w:jc w:val="center"/>
              <w:rPr>
                <w:rFonts w:cs="Times New Roman"/>
                <w:b/>
                <w:bCs/>
                <w:sz w:val="20"/>
                <w:szCs w:val="20"/>
                <w:lang w:val="en-GB"/>
              </w:rPr>
            </w:pPr>
            <w:r w:rsidRPr="00B374BD">
              <w:rPr>
                <w:rFonts w:cs="Times New Roman"/>
                <w:b/>
                <w:bCs/>
                <w:color w:val="000000"/>
                <w:sz w:val="20"/>
                <w:szCs w:val="20"/>
              </w:rPr>
              <w:t>(N=346)</w:t>
            </w:r>
          </w:p>
        </w:tc>
      </w:tr>
      <w:tr w:rsidR="00613DB8" w:rsidRPr="00F86F51" w14:paraId="5E113ACF" w14:textId="77777777" w:rsidTr="00825358">
        <w:trPr>
          <w:trHeight w:hRule="exact" w:val="257"/>
        </w:trPr>
        <w:tc>
          <w:tcPr>
            <w:tcW w:w="1670" w:type="dxa"/>
            <w:vMerge/>
            <w:tcBorders>
              <w:left w:val="single" w:sz="4" w:space="0" w:color="000000"/>
              <w:right w:val="single" w:sz="4" w:space="0" w:color="000000"/>
            </w:tcBorders>
            <w:vAlign w:val="center"/>
          </w:tcPr>
          <w:p w14:paraId="73904AA3"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018C4EE6" w14:textId="77777777"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A/H1N1</w:t>
            </w:r>
          </w:p>
        </w:tc>
        <w:tc>
          <w:tcPr>
            <w:tcW w:w="2459" w:type="dxa"/>
            <w:tcBorders>
              <w:top w:val="single" w:sz="4" w:space="0" w:color="000000"/>
              <w:left w:val="single" w:sz="4" w:space="0" w:color="000000"/>
              <w:bottom w:val="single" w:sz="4" w:space="0" w:color="000000"/>
              <w:right w:val="single" w:sz="4" w:space="0" w:color="000000"/>
            </w:tcBorders>
            <w:vAlign w:val="center"/>
          </w:tcPr>
          <w:p w14:paraId="7EBB6E72" w14:textId="7412F84F" w:rsidR="00A4755F" w:rsidRPr="00825358" w:rsidRDefault="006D661F" w:rsidP="00673A54">
            <w:pPr>
              <w:keepNext/>
              <w:jc w:val="center"/>
              <w:rPr>
                <w:rFonts w:cs="Times New Roman"/>
                <w:sz w:val="20"/>
                <w:szCs w:val="20"/>
                <w:lang w:val="de-DE"/>
              </w:rPr>
            </w:pPr>
            <w:r w:rsidRPr="00825358">
              <w:rPr>
                <w:sz w:val="20"/>
                <w:szCs w:val="20"/>
              </w:rPr>
              <w:t>84.2 (4.5)</w:t>
            </w:r>
          </w:p>
        </w:tc>
        <w:tc>
          <w:tcPr>
            <w:tcW w:w="2461" w:type="dxa"/>
            <w:tcBorders>
              <w:top w:val="single" w:sz="4" w:space="0" w:color="000000"/>
              <w:left w:val="single" w:sz="4" w:space="0" w:color="000000"/>
              <w:bottom w:val="single" w:sz="4" w:space="0" w:color="000000"/>
              <w:right w:val="single" w:sz="4" w:space="0" w:color="auto"/>
            </w:tcBorders>
            <w:vAlign w:val="center"/>
          </w:tcPr>
          <w:p w14:paraId="778901A6" w14:textId="04A2DA10" w:rsidR="00A4755F" w:rsidRPr="00825358" w:rsidRDefault="006D661F" w:rsidP="00673A54">
            <w:pPr>
              <w:keepNext/>
              <w:jc w:val="center"/>
              <w:rPr>
                <w:rFonts w:cs="Times New Roman"/>
                <w:sz w:val="20"/>
                <w:szCs w:val="20"/>
                <w:lang w:val="en-GB"/>
              </w:rPr>
            </w:pPr>
            <w:r w:rsidRPr="00825358">
              <w:rPr>
                <w:sz w:val="20"/>
                <w:szCs w:val="20"/>
              </w:rPr>
              <w:t>11.9 (4.5</w:t>
            </w:r>
            <w:r w:rsidR="00551E8C" w:rsidRPr="00825358">
              <w:rPr>
                <w:rFonts w:cs="Times New Roman"/>
                <w:color w:val="000000"/>
                <w:sz w:val="20"/>
                <w:szCs w:val="20"/>
              </w:rPr>
              <w:t>)</w:t>
            </w:r>
          </w:p>
        </w:tc>
      </w:tr>
      <w:tr w:rsidR="00613DB8" w:rsidRPr="00F86F51" w14:paraId="4518CD18" w14:textId="77777777" w:rsidTr="00825358">
        <w:trPr>
          <w:trHeight w:hRule="exact" w:val="257"/>
        </w:trPr>
        <w:tc>
          <w:tcPr>
            <w:tcW w:w="1670" w:type="dxa"/>
            <w:vMerge/>
            <w:tcBorders>
              <w:left w:val="single" w:sz="4" w:space="0" w:color="000000"/>
              <w:right w:val="single" w:sz="4" w:space="0" w:color="000000"/>
            </w:tcBorders>
            <w:vAlign w:val="center"/>
          </w:tcPr>
          <w:p w14:paraId="5609FAA1"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57E0CDC0" w14:textId="77777777"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A/H3N2</w:t>
            </w:r>
          </w:p>
        </w:tc>
        <w:tc>
          <w:tcPr>
            <w:tcW w:w="2459" w:type="dxa"/>
            <w:tcBorders>
              <w:top w:val="single" w:sz="4" w:space="0" w:color="000000"/>
              <w:left w:val="single" w:sz="4" w:space="0" w:color="000000"/>
              <w:bottom w:val="single" w:sz="4" w:space="0" w:color="000000"/>
              <w:right w:val="single" w:sz="4" w:space="0" w:color="000000"/>
            </w:tcBorders>
            <w:vAlign w:val="center"/>
          </w:tcPr>
          <w:p w14:paraId="664221BA" w14:textId="77777777" w:rsidR="00A4755F" w:rsidRPr="00825358" w:rsidRDefault="00A4755F" w:rsidP="00673A54">
            <w:pPr>
              <w:keepNext/>
              <w:jc w:val="center"/>
              <w:rPr>
                <w:rFonts w:cs="Times New Roman"/>
                <w:sz w:val="20"/>
                <w:szCs w:val="20"/>
                <w:lang w:val="de-DE"/>
              </w:rPr>
            </w:pPr>
            <w:r w:rsidRPr="00825358">
              <w:rPr>
                <w:rFonts w:cs="Times New Roman"/>
                <w:color w:val="000000"/>
                <w:sz w:val="20"/>
                <w:szCs w:val="20"/>
              </w:rPr>
              <w:t>156.0 (6.0)</w:t>
            </w:r>
          </w:p>
        </w:tc>
        <w:tc>
          <w:tcPr>
            <w:tcW w:w="2461" w:type="dxa"/>
            <w:tcBorders>
              <w:top w:val="single" w:sz="4" w:space="0" w:color="000000"/>
              <w:left w:val="single" w:sz="4" w:space="0" w:color="000000"/>
              <w:bottom w:val="single" w:sz="4" w:space="0" w:color="000000"/>
              <w:right w:val="single" w:sz="4" w:space="0" w:color="auto"/>
            </w:tcBorders>
            <w:vAlign w:val="center"/>
          </w:tcPr>
          <w:p w14:paraId="1214DAC1" w14:textId="77777777" w:rsidR="00A4755F" w:rsidRPr="00825358" w:rsidRDefault="00A4755F" w:rsidP="00673A54">
            <w:pPr>
              <w:keepNext/>
              <w:jc w:val="center"/>
              <w:rPr>
                <w:rFonts w:cs="Times New Roman"/>
                <w:sz w:val="20"/>
                <w:szCs w:val="20"/>
                <w:lang w:val="en-GB"/>
              </w:rPr>
            </w:pPr>
            <w:r w:rsidRPr="00825358">
              <w:rPr>
                <w:rFonts w:cs="Times New Roman"/>
                <w:color w:val="000000"/>
                <w:sz w:val="20"/>
                <w:szCs w:val="20"/>
              </w:rPr>
              <w:t>9.2 (4.0)</w:t>
            </w:r>
          </w:p>
        </w:tc>
      </w:tr>
      <w:tr w:rsidR="00613DB8" w:rsidRPr="00F86F51" w14:paraId="62EB3369" w14:textId="77777777" w:rsidTr="00825358">
        <w:trPr>
          <w:trHeight w:hRule="exact" w:val="257"/>
        </w:trPr>
        <w:tc>
          <w:tcPr>
            <w:tcW w:w="1670" w:type="dxa"/>
            <w:vMerge/>
            <w:tcBorders>
              <w:left w:val="single" w:sz="4" w:space="0" w:color="000000"/>
              <w:right w:val="single" w:sz="4" w:space="0" w:color="000000"/>
            </w:tcBorders>
            <w:vAlign w:val="center"/>
          </w:tcPr>
          <w:p w14:paraId="6380E749"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6335C5FE" w14:textId="77777777"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B (Yamagata)</w:t>
            </w:r>
          </w:p>
        </w:tc>
        <w:tc>
          <w:tcPr>
            <w:tcW w:w="2459" w:type="dxa"/>
            <w:tcBorders>
              <w:top w:val="single" w:sz="4" w:space="0" w:color="000000"/>
              <w:left w:val="single" w:sz="4" w:space="0" w:color="000000"/>
              <w:bottom w:val="single" w:sz="4" w:space="0" w:color="000000"/>
              <w:right w:val="single" w:sz="4" w:space="0" w:color="000000"/>
            </w:tcBorders>
            <w:vAlign w:val="center"/>
          </w:tcPr>
          <w:p w14:paraId="20F97F63" w14:textId="77777777" w:rsidR="00A4755F" w:rsidRPr="00825358" w:rsidRDefault="00A4755F" w:rsidP="00673A54">
            <w:pPr>
              <w:keepNext/>
              <w:jc w:val="center"/>
              <w:rPr>
                <w:rFonts w:cs="Times New Roman"/>
                <w:sz w:val="20"/>
                <w:szCs w:val="20"/>
                <w:lang w:val="de-DE"/>
              </w:rPr>
            </w:pPr>
            <w:r w:rsidRPr="00825358">
              <w:rPr>
                <w:rFonts w:cs="Times New Roman"/>
                <w:color w:val="000000"/>
                <w:sz w:val="20"/>
                <w:szCs w:val="20"/>
              </w:rPr>
              <w:t>20.3 (4.0)</w:t>
            </w:r>
          </w:p>
        </w:tc>
        <w:tc>
          <w:tcPr>
            <w:tcW w:w="2461" w:type="dxa"/>
            <w:tcBorders>
              <w:top w:val="single" w:sz="4" w:space="0" w:color="000000"/>
              <w:left w:val="single" w:sz="4" w:space="0" w:color="000000"/>
              <w:bottom w:val="single" w:sz="4" w:space="0" w:color="000000"/>
              <w:right w:val="single" w:sz="4" w:space="0" w:color="auto"/>
            </w:tcBorders>
            <w:vAlign w:val="center"/>
          </w:tcPr>
          <w:p w14:paraId="1E98B1D6" w14:textId="77777777" w:rsidR="00A4755F" w:rsidRPr="00825358" w:rsidRDefault="00A4755F" w:rsidP="00673A54">
            <w:pPr>
              <w:keepNext/>
              <w:jc w:val="center"/>
              <w:rPr>
                <w:rFonts w:cs="Times New Roman"/>
                <w:sz w:val="20"/>
                <w:szCs w:val="20"/>
                <w:lang w:val="en-GB"/>
              </w:rPr>
            </w:pPr>
            <w:r w:rsidRPr="00825358">
              <w:rPr>
                <w:rFonts w:cs="Times New Roman"/>
                <w:color w:val="000000"/>
                <w:sz w:val="20"/>
                <w:szCs w:val="20"/>
              </w:rPr>
              <w:t>5.4 (1.4)</w:t>
            </w:r>
          </w:p>
        </w:tc>
      </w:tr>
      <w:tr w:rsidR="00613DB8" w:rsidRPr="00F86F51" w14:paraId="7562BA66" w14:textId="77777777" w:rsidTr="00825358">
        <w:trPr>
          <w:trHeight w:hRule="exact" w:val="257"/>
        </w:trPr>
        <w:tc>
          <w:tcPr>
            <w:tcW w:w="1670" w:type="dxa"/>
            <w:vMerge/>
            <w:tcBorders>
              <w:left w:val="single" w:sz="4" w:space="0" w:color="000000"/>
              <w:bottom w:val="single" w:sz="4" w:space="0" w:color="000000"/>
              <w:right w:val="single" w:sz="4" w:space="0" w:color="000000"/>
            </w:tcBorders>
            <w:vAlign w:val="center"/>
          </w:tcPr>
          <w:p w14:paraId="742026B9"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107A7069" w14:textId="245E2436"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B (Victoria)</w:t>
            </w:r>
          </w:p>
        </w:tc>
        <w:tc>
          <w:tcPr>
            <w:tcW w:w="2459" w:type="dxa"/>
            <w:tcBorders>
              <w:top w:val="single" w:sz="4" w:space="0" w:color="000000"/>
              <w:left w:val="single" w:sz="4" w:space="0" w:color="000000"/>
              <w:bottom w:val="single" w:sz="4" w:space="0" w:color="000000"/>
              <w:right w:val="single" w:sz="4" w:space="0" w:color="000000"/>
            </w:tcBorders>
            <w:vAlign w:val="center"/>
          </w:tcPr>
          <w:p w14:paraId="44372085" w14:textId="77777777" w:rsidR="00A4755F" w:rsidRPr="00825358" w:rsidRDefault="00A4755F" w:rsidP="00673A54">
            <w:pPr>
              <w:keepNext/>
              <w:jc w:val="center"/>
              <w:rPr>
                <w:rFonts w:cs="Times New Roman"/>
                <w:sz w:val="20"/>
                <w:szCs w:val="20"/>
                <w:lang w:val="de-DE"/>
              </w:rPr>
            </w:pPr>
            <w:r w:rsidRPr="00825358">
              <w:rPr>
                <w:rFonts w:cs="Times New Roman"/>
                <w:color w:val="000000"/>
                <w:sz w:val="20"/>
                <w:szCs w:val="20"/>
              </w:rPr>
              <w:t>27.0 (3.9)</w:t>
            </w:r>
          </w:p>
        </w:tc>
        <w:tc>
          <w:tcPr>
            <w:tcW w:w="2461" w:type="dxa"/>
            <w:tcBorders>
              <w:top w:val="single" w:sz="4" w:space="0" w:color="000000"/>
              <w:left w:val="single" w:sz="4" w:space="0" w:color="000000"/>
              <w:bottom w:val="single" w:sz="4" w:space="0" w:color="000000"/>
              <w:right w:val="single" w:sz="4" w:space="0" w:color="auto"/>
            </w:tcBorders>
            <w:vAlign w:val="center"/>
          </w:tcPr>
          <w:p w14:paraId="11E766E3" w14:textId="77777777" w:rsidR="00A4755F" w:rsidRPr="00825358" w:rsidRDefault="00A4755F" w:rsidP="00673A54">
            <w:pPr>
              <w:keepNext/>
              <w:jc w:val="center"/>
              <w:rPr>
                <w:rFonts w:cs="Times New Roman"/>
                <w:sz w:val="20"/>
                <w:szCs w:val="20"/>
                <w:lang w:val="en-GB"/>
              </w:rPr>
            </w:pPr>
            <w:r w:rsidRPr="00825358">
              <w:rPr>
                <w:rFonts w:cs="Times New Roman"/>
                <w:color w:val="000000"/>
                <w:sz w:val="20"/>
                <w:szCs w:val="20"/>
              </w:rPr>
              <w:t>5.0 (1.1)</w:t>
            </w:r>
          </w:p>
        </w:tc>
      </w:tr>
      <w:tr w:rsidR="00613DB8" w:rsidRPr="00F86F51" w14:paraId="4079B145" w14:textId="77777777" w:rsidTr="00825358">
        <w:trPr>
          <w:trHeight w:hRule="exact" w:val="257"/>
        </w:trPr>
        <w:tc>
          <w:tcPr>
            <w:tcW w:w="1670" w:type="dxa"/>
            <w:vMerge w:val="restart"/>
            <w:tcBorders>
              <w:top w:val="single" w:sz="4" w:space="0" w:color="000000"/>
              <w:left w:val="single" w:sz="4" w:space="0" w:color="000000"/>
              <w:right w:val="single" w:sz="4" w:space="0" w:color="000000"/>
            </w:tcBorders>
          </w:tcPr>
          <w:p w14:paraId="6795D423" w14:textId="77777777" w:rsidR="00A4755F" w:rsidRPr="006D741F" w:rsidRDefault="00A4755F" w:rsidP="00556547">
            <w:pPr>
              <w:keepNext/>
              <w:ind w:left="134"/>
              <w:jc w:val="left"/>
              <w:rPr>
                <w:rFonts w:cs="Times New Roman"/>
                <w:b/>
                <w:bCs/>
                <w:sz w:val="20"/>
                <w:szCs w:val="20"/>
                <w:lang w:val="de-DE"/>
              </w:rPr>
            </w:pPr>
            <w:r w:rsidRPr="006D741F">
              <w:rPr>
                <w:rFonts w:cs="Times New Roman"/>
                <w:b/>
                <w:bCs/>
                <w:sz w:val="20"/>
                <w:szCs w:val="20"/>
                <w:lang w:val="de-DE"/>
              </w:rPr>
              <w:t>Cohort 2 SH</w:t>
            </w:r>
            <w:r w:rsidRPr="006D741F">
              <w:rPr>
                <w:rFonts w:cs="Times New Roman"/>
                <w:b/>
                <w:bCs/>
                <w:sz w:val="20"/>
                <w:szCs w:val="20"/>
                <w:vertAlign w:val="superscript"/>
                <w:lang w:val="de-DE"/>
              </w:rPr>
              <w:t>3</w:t>
            </w:r>
          </w:p>
        </w:tc>
        <w:tc>
          <w:tcPr>
            <w:tcW w:w="1533" w:type="dxa"/>
            <w:tcBorders>
              <w:top w:val="single" w:sz="4" w:space="0" w:color="000000"/>
              <w:left w:val="single" w:sz="4" w:space="0" w:color="000000"/>
              <w:bottom w:val="single" w:sz="4" w:space="0" w:color="000000"/>
              <w:right w:val="single" w:sz="4" w:space="0" w:color="000000"/>
            </w:tcBorders>
            <w:vAlign w:val="center"/>
          </w:tcPr>
          <w:p w14:paraId="79F830EE" w14:textId="77777777" w:rsidR="00A4755F" w:rsidRPr="00C11EB2" w:rsidRDefault="00A4755F" w:rsidP="00556547">
            <w:pPr>
              <w:keepNext/>
              <w:ind w:left="134"/>
              <w:jc w:val="left"/>
              <w:rPr>
                <w:rFonts w:cs="Times New Roman"/>
                <w:b/>
                <w:bCs/>
                <w:sz w:val="20"/>
                <w:szCs w:val="20"/>
                <w:lang w:val="de-DE"/>
              </w:rPr>
            </w:pPr>
          </w:p>
        </w:tc>
        <w:tc>
          <w:tcPr>
            <w:tcW w:w="2459" w:type="dxa"/>
            <w:tcBorders>
              <w:top w:val="single" w:sz="4" w:space="0" w:color="000000"/>
              <w:left w:val="single" w:sz="4" w:space="0" w:color="000000"/>
              <w:bottom w:val="single" w:sz="4" w:space="0" w:color="000000"/>
              <w:right w:val="single" w:sz="4" w:space="0" w:color="000000"/>
            </w:tcBorders>
            <w:vAlign w:val="center"/>
          </w:tcPr>
          <w:p w14:paraId="417A2215" w14:textId="77777777" w:rsidR="00A4755F" w:rsidRPr="00B374BD" w:rsidRDefault="00A4755F" w:rsidP="00556547">
            <w:pPr>
              <w:keepNext/>
              <w:jc w:val="center"/>
              <w:rPr>
                <w:rFonts w:cs="Times New Roman"/>
                <w:b/>
                <w:bCs/>
                <w:sz w:val="20"/>
                <w:szCs w:val="20"/>
                <w:lang w:val="de-DE"/>
              </w:rPr>
            </w:pPr>
            <w:r w:rsidRPr="00B374BD">
              <w:rPr>
                <w:rFonts w:cs="Times New Roman"/>
                <w:b/>
                <w:bCs/>
                <w:color w:val="000000"/>
                <w:sz w:val="20"/>
                <w:szCs w:val="20"/>
              </w:rPr>
              <w:t>(N=225)</w:t>
            </w:r>
          </w:p>
        </w:tc>
        <w:tc>
          <w:tcPr>
            <w:tcW w:w="2461" w:type="dxa"/>
            <w:tcBorders>
              <w:top w:val="single" w:sz="4" w:space="0" w:color="000000"/>
              <w:left w:val="single" w:sz="4" w:space="0" w:color="000000"/>
              <w:bottom w:val="single" w:sz="4" w:space="0" w:color="000000"/>
              <w:right w:val="single" w:sz="4" w:space="0" w:color="auto"/>
            </w:tcBorders>
            <w:vAlign w:val="center"/>
          </w:tcPr>
          <w:p w14:paraId="057A50C8" w14:textId="77777777" w:rsidR="00A4755F" w:rsidRPr="00B374BD" w:rsidRDefault="00A4755F" w:rsidP="00556547">
            <w:pPr>
              <w:keepNext/>
              <w:jc w:val="center"/>
              <w:rPr>
                <w:rFonts w:cs="Times New Roman"/>
                <w:b/>
                <w:bCs/>
                <w:sz w:val="20"/>
                <w:szCs w:val="20"/>
                <w:lang w:val="en-GB"/>
              </w:rPr>
            </w:pPr>
            <w:r w:rsidRPr="00B374BD">
              <w:rPr>
                <w:rFonts w:cs="Times New Roman"/>
                <w:b/>
                <w:bCs/>
                <w:color w:val="000000"/>
                <w:sz w:val="20"/>
                <w:szCs w:val="20"/>
              </w:rPr>
              <w:t>(N=221)</w:t>
            </w:r>
          </w:p>
        </w:tc>
      </w:tr>
      <w:tr w:rsidR="00613DB8" w:rsidRPr="00F86F51" w14:paraId="73683332" w14:textId="77777777" w:rsidTr="00825358">
        <w:trPr>
          <w:trHeight w:hRule="exact" w:val="257"/>
        </w:trPr>
        <w:tc>
          <w:tcPr>
            <w:tcW w:w="1670" w:type="dxa"/>
            <w:vMerge/>
            <w:tcBorders>
              <w:left w:val="single" w:sz="4" w:space="0" w:color="000000"/>
              <w:right w:val="single" w:sz="4" w:space="0" w:color="000000"/>
            </w:tcBorders>
            <w:vAlign w:val="center"/>
          </w:tcPr>
          <w:p w14:paraId="179268C7"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66CA636C" w14:textId="77777777"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A/H1N1</w:t>
            </w:r>
          </w:p>
        </w:tc>
        <w:tc>
          <w:tcPr>
            <w:tcW w:w="2459" w:type="dxa"/>
            <w:tcBorders>
              <w:top w:val="single" w:sz="4" w:space="0" w:color="000000"/>
              <w:left w:val="single" w:sz="4" w:space="0" w:color="000000"/>
              <w:bottom w:val="single" w:sz="4" w:space="0" w:color="000000"/>
              <w:right w:val="single" w:sz="4" w:space="0" w:color="000000"/>
            </w:tcBorders>
            <w:vAlign w:val="center"/>
          </w:tcPr>
          <w:p w14:paraId="7D550ADC" w14:textId="77777777" w:rsidR="00A4755F" w:rsidRPr="00825358" w:rsidRDefault="00A4755F" w:rsidP="00673A54">
            <w:pPr>
              <w:keepNext/>
              <w:jc w:val="center"/>
              <w:rPr>
                <w:rFonts w:cs="Times New Roman"/>
                <w:sz w:val="20"/>
                <w:szCs w:val="20"/>
                <w:lang w:val="de-DE"/>
              </w:rPr>
            </w:pPr>
            <w:r w:rsidRPr="00825358">
              <w:rPr>
                <w:rFonts w:cs="Times New Roman"/>
                <w:color w:val="000000"/>
                <w:sz w:val="20"/>
                <w:szCs w:val="20"/>
              </w:rPr>
              <w:t>116.2 (8.4)</w:t>
            </w:r>
          </w:p>
        </w:tc>
        <w:tc>
          <w:tcPr>
            <w:tcW w:w="2461" w:type="dxa"/>
            <w:tcBorders>
              <w:top w:val="single" w:sz="4" w:space="0" w:color="000000"/>
              <w:left w:val="single" w:sz="4" w:space="0" w:color="000000"/>
              <w:bottom w:val="single" w:sz="4" w:space="0" w:color="000000"/>
              <w:right w:val="single" w:sz="4" w:space="0" w:color="auto"/>
            </w:tcBorders>
            <w:vAlign w:val="center"/>
          </w:tcPr>
          <w:p w14:paraId="428E97F4" w14:textId="77777777" w:rsidR="00A4755F" w:rsidRPr="00825358" w:rsidRDefault="00A4755F" w:rsidP="00673A54">
            <w:pPr>
              <w:keepNext/>
              <w:jc w:val="center"/>
              <w:rPr>
                <w:rFonts w:cs="Times New Roman"/>
                <w:sz w:val="20"/>
                <w:szCs w:val="20"/>
                <w:lang w:val="en-GB"/>
              </w:rPr>
            </w:pPr>
            <w:r w:rsidRPr="00825358">
              <w:rPr>
                <w:rFonts w:cs="Times New Roman"/>
                <w:color w:val="000000"/>
                <w:sz w:val="20"/>
                <w:szCs w:val="20"/>
              </w:rPr>
              <w:t>17.5 (5.7)</w:t>
            </w:r>
          </w:p>
        </w:tc>
      </w:tr>
      <w:tr w:rsidR="00613DB8" w:rsidRPr="00F86F51" w14:paraId="2FEBE127" w14:textId="77777777" w:rsidTr="00825358">
        <w:trPr>
          <w:trHeight w:hRule="exact" w:val="257"/>
        </w:trPr>
        <w:tc>
          <w:tcPr>
            <w:tcW w:w="1670" w:type="dxa"/>
            <w:vMerge/>
            <w:tcBorders>
              <w:left w:val="single" w:sz="4" w:space="0" w:color="000000"/>
              <w:right w:val="single" w:sz="4" w:space="0" w:color="000000"/>
            </w:tcBorders>
            <w:vAlign w:val="center"/>
          </w:tcPr>
          <w:p w14:paraId="7F80F0E8"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10A6FC48" w14:textId="77777777"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A/H3N2</w:t>
            </w:r>
          </w:p>
        </w:tc>
        <w:tc>
          <w:tcPr>
            <w:tcW w:w="2459" w:type="dxa"/>
            <w:tcBorders>
              <w:top w:val="single" w:sz="4" w:space="0" w:color="000000"/>
              <w:left w:val="single" w:sz="4" w:space="0" w:color="000000"/>
              <w:bottom w:val="single" w:sz="4" w:space="0" w:color="000000"/>
              <w:right w:val="single" w:sz="4" w:space="0" w:color="000000"/>
            </w:tcBorders>
            <w:vAlign w:val="center"/>
          </w:tcPr>
          <w:p w14:paraId="7128FD57" w14:textId="77777777" w:rsidR="00A4755F" w:rsidRPr="00825358" w:rsidRDefault="00A4755F" w:rsidP="00673A54">
            <w:pPr>
              <w:keepNext/>
              <w:jc w:val="center"/>
              <w:rPr>
                <w:rFonts w:cs="Times New Roman"/>
                <w:sz w:val="20"/>
                <w:szCs w:val="20"/>
                <w:lang w:val="de-DE"/>
              </w:rPr>
            </w:pPr>
            <w:r w:rsidRPr="00825358">
              <w:rPr>
                <w:rFonts w:cs="Times New Roman"/>
                <w:color w:val="000000"/>
                <w:sz w:val="20"/>
                <w:szCs w:val="20"/>
              </w:rPr>
              <w:t>554.2 (9.0)</w:t>
            </w:r>
          </w:p>
        </w:tc>
        <w:tc>
          <w:tcPr>
            <w:tcW w:w="2461" w:type="dxa"/>
            <w:tcBorders>
              <w:top w:val="single" w:sz="4" w:space="0" w:color="000000"/>
              <w:left w:val="single" w:sz="4" w:space="0" w:color="000000"/>
              <w:bottom w:val="single" w:sz="4" w:space="0" w:color="000000"/>
              <w:right w:val="single" w:sz="4" w:space="0" w:color="auto"/>
            </w:tcBorders>
            <w:vAlign w:val="center"/>
          </w:tcPr>
          <w:p w14:paraId="4C8BF2BB" w14:textId="77777777" w:rsidR="00A4755F" w:rsidRPr="00825358" w:rsidRDefault="00A4755F" w:rsidP="00673A54">
            <w:pPr>
              <w:keepNext/>
              <w:jc w:val="center"/>
              <w:rPr>
                <w:rFonts w:cs="Times New Roman"/>
                <w:sz w:val="20"/>
                <w:szCs w:val="20"/>
                <w:lang w:val="en-GB"/>
              </w:rPr>
            </w:pPr>
            <w:r w:rsidRPr="00825358">
              <w:rPr>
                <w:rFonts w:cs="Times New Roman"/>
                <w:color w:val="000000"/>
                <w:sz w:val="20"/>
                <w:szCs w:val="20"/>
              </w:rPr>
              <w:t>12.0 (5.4)</w:t>
            </w:r>
          </w:p>
        </w:tc>
      </w:tr>
      <w:tr w:rsidR="00613DB8" w:rsidRPr="00F86F51" w14:paraId="0A08B41F" w14:textId="77777777" w:rsidTr="00825358">
        <w:trPr>
          <w:trHeight w:hRule="exact" w:val="257"/>
        </w:trPr>
        <w:tc>
          <w:tcPr>
            <w:tcW w:w="1670" w:type="dxa"/>
            <w:vMerge/>
            <w:tcBorders>
              <w:left w:val="single" w:sz="4" w:space="0" w:color="000000"/>
              <w:right w:val="single" w:sz="4" w:space="0" w:color="000000"/>
            </w:tcBorders>
            <w:vAlign w:val="center"/>
          </w:tcPr>
          <w:p w14:paraId="07295A41"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58783538" w14:textId="77777777"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B (Yamagata)</w:t>
            </w:r>
          </w:p>
        </w:tc>
        <w:tc>
          <w:tcPr>
            <w:tcW w:w="2459" w:type="dxa"/>
            <w:tcBorders>
              <w:top w:val="single" w:sz="4" w:space="0" w:color="000000"/>
              <w:left w:val="single" w:sz="4" w:space="0" w:color="000000"/>
              <w:bottom w:val="single" w:sz="4" w:space="0" w:color="000000"/>
              <w:right w:val="single" w:sz="4" w:space="0" w:color="000000"/>
            </w:tcBorders>
            <w:vAlign w:val="center"/>
          </w:tcPr>
          <w:p w14:paraId="169E9BBC" w14:textId="6B7E9561" w:rsidR="00A4755F" w:rsidRPr="00825358" w:rsidRDefault="004212D8" w:rsidP="00673A54">
            <w:pPr>
              <w:keepNext/>
              <w:jc w:val="center"/>
              <w:rPr>
                <w:rFonts w:cs="Times New Roman"/>
                <w:sz w:val="20"/>
                <w:szCs w:val="20"/>
                <w:lang w:val="de-DE"/>
              </w:rPr>
            </w:pPr>
            <w:r w:rsidRPr="004212D8">
              <w:rPr>
                <w:sz w:val="20"/>
                <w:szCs w:val="20"/>
              </w:rPr>
              <w:t>8.9 (3.7)</w:t>
            </w:r>
            <w:r>
              <w:rPr>
                <w:sz w:val="20"/>
                <w:szCs w:val="20"/>
              </w:rPr>
              <w:t xml:space="preserve"> </w:t>
            </w:r>
          </w:p>
        </w:tc>
        <w:tc>
          <w:tcPr>
            <w:tcW w:w="2461" w:type="dxa"/>
            <w:tcBorders>
              <w:top w:val="single" w:sz="4" w:space="0" w:color="000000"/>
              <w:left w:val="single" w:sz="4" w:space="0" w:color="000000"/>
              <w:bottom w:val="single" w:sz="4" w:space="0" w:color="000000"/>
              <w:right w:val="single" w:sz="4" w:space="0" w:color="auto"/>
            </w:tcBorders>
            <w:vAlign w:val="center"/>
          </w:tcPr>
          <w:p w14:paraId="5DC92E79" w14:textId="085A632A" w:rsidR="00A4755F" w:rsidRPr="00825358" w:rsidRDefault="006D661F" w:rsidP="00673A54">
            <w:pPr>
              <w:keepNext/>
              <w:jc w:val="center"/>
              <w:rPr>
                <w:rFonts w:cs="Times New Roman"/>
                <w:sz w:val="20"/>
                <w:szCs w:val="20"/>
                <w:lang w:val="en-GB"/>
              </w:rPr>
            </w:pPr>
            <w:r w:rsidRPr="00825358">
              <w:rPr>
                <w:sz w:val="20"/>
                <w:szCs w:val="20"/>
              </w:rPr>
              <w:t>5.0 (1.0)</w:t>
            </w:r>
          </w:p>
        </w:tc>
      </w:tr>
      <w:tr w:rsidR="00825358" w:rsidRPr="00F86F51" w14:paraId="730478F6" w14:textId="77777777" w:rsidTr="00825358">
        <w:trPr>
          <w:trHeight w:hRule="exact" w:val="257"/>
        </w:trPr>
        <w:tc>
          <w:tcPr>
            <w:tcW w:w="1670" w:type="dxa"/>
            <w:vMerge/>
            <w:tcBorders>
              <w:left w:val="single" w:sz="4" w:space="0" w:color="000000"/>
              <w:bottom w:val="single" w:sz="4" w:space="0" w:color="000000"/>
              <w:right w:val="single" w:sz="4" w:space="0" w:color="000000"/>
            </w:tcBorders>
            <w:vAlign w:val="center"/>
          </w:tcPr>
          <w:p w14:paraId="0AF2CCC7" w14:textId="77777777" w:rsidR="00A4755F" w:rsidRPr="00B374BD" w:rsidRDefault="00A4755F" w:rsidP="00673A54">
            <w:pPr>
              <w:keepNext/>
              <w:ind w:left="134"/>
              <w:jc w:val="left"/>
              <w:rPr>
                <w:rFonts w:cs="Times New Roman"/>
                <w:b/>
                <w:bCs/>
                <w:sz w:val="20"/>
                <w:szCs w:val="20"/>
                <w:lang w:val="de-DE"/>
              </w:rPr>
            </w:pPr>
          </w:p>
        </w:tc>
        <w:tc>
          <w:tcPr>
            <w:tcW w:w="1533" w:type="dxa"/>
            <w:tcBorders>
              <w:top w:val="single" w:sz="4" w:space="0" w:color="000000"/>
              <w:left w:val="single" w:sz="4" w:space="0" w:color="000000"/>
              <w:bottom w:val="single" w:sz="4" w:space="0" w:color="000000"/>
              <w:right w:val="single" w:sz="4" w:space="0" w:color="000000"/>
            </w:tcBorders>
            <w:vAlign w:val="center"/>
          </w:tcPr>
          <w:p w14:paraId="1FA694A9" w14:textId="4A9FEB4E" w:rsidR="00A4755F" w:rsidRPr="00825358" w:rsidRDefault="00A4755F" w:rsidP="00673A54">
            <w:pPr>
              <w:keepNext/>
              <w:ind w:left="134"/>
              <w:jc w:val="left"/>
              <w:rPr>
                <w:rFonts w:cs="Times New Roman"/>
                <w:sz w:val="20"/>
                <w:szCs w:val="20"/>
                <w:lang w:val="de-DE"/>
              </w:rPr>
            </w:pPr>
            <w:r w:rsidRPr="00825358">
              <w:rPr>
                <w:rFonts w:cs="Times New Roman"/>
                <w:sz w:val="20"/>
                <w:szCs w:val="20"/>
                <w:lang w:val="de-DE"/>
              </w:rPr>
              <w:t>B (Victoria)</w:t>
            </w:r>
          </w:p>
        </w:tc>
        <w:tc>
          <w:tcPr>
            <w:tcW w:w="2459" w:type="dxa"/>
            <w:tcBorders>
              <w:top w:val="single" w:sz="4" w:space="0" w:color="000000"/>
              <w:left w:val="single" w:sz="4" w:space="0" w:color="000000"/>
              <w:bottom w:val="single" w:sz="4" w:space="0" w:color="000000"/>
              <w:right w:val="single" w:sz="4" w:space="0" w:color="000000"/>
            </w:tcBorders>
            <w:vAlign w:val="center"/>
          </w:tcPr>
          <w:p w14:paraId="54A1CADF" w14:textId="6A9B35EA" w:rsidR="00A4755F" w:rsidRPr="00825358" w:rsidRDefault="006D661F" w:rsidP="00673A54">
            <w:pPr>
              <w:keepNext/>
              <w:jc w:val="center"/>
              <w:rPr>
                <w:rFonts w:cs="Times New Roman"/>
                <w:sz w:val="20"/>
                <w:szCs w:val="20"/>
                <w:lang w:val="de-DE"/>
              </w:rPr>
            </w:pPr>
            <w:r w:rsidRPr="00825358">
              <w:rPr>
                <w:sz w:val="20"/>
                <w:szCs w:val="20"/>
              </w:rPr>
              <w:t>24.9 (5.9</w:t>
            </w:r>
            <w:r w:rsidR="00551E8C" w:rsidRPr="00825358">
              <w:rPr>
                <w:rFonts w:cs="Times New Roman"/>
                <w:color w:val="000000"/>
                <w:sz w:val="20"/>
                <w:szCs w:val="20"/>
              </w:rPr>
              <w:t>)</w:t>
            </w:r>
          </w:p>
        </w:tc>
        <w:tc>
          <w:tcPr>
            <w:tcW w:w="2461" w:type="dxa"/>
            <w:tcBorders>
              <w:top w:val="single" w:sz="4" w:space="0" w:color="000000"/>
              <w:left w:val="single" w:sz="4" w:space="0" w:color="000000"/>
              <w:bottom w:val="single" w:sz="4" w:space="0" w:color="000000"/>
              <w:right w:val="single" w:sz="4" w:space="0" w:color="auto"/>
            </w:tcBorders>
            <w:vAlign w:val="center"/>
          </w:tcPr>
          <w:p w14:paraId="5DF09EAF" w14:textId="5F703DD4" w:rsidR="00A4755F" w:rsidRPr="00825358" w:rsidRDefault="006D661F" w:rsidP="00673A54">
            <w:pPr>
              <w:keepNext/>
              <w:jc w:val="center"/>
              <w:rPr>
                <w:rFonts w:cs="Times New Roman"/>
                <w:sz w:val="20"/>
                <w:szCs w:val="20"/>
                <w:lang w:val="en-GB"/>
              </w:rPr>
            </w:pPr>
            <w:r w:rsidRPr="00825358">
              <w:rPr>
                <w:sz w:val="20"/>
                <w:szCs w:val="20"/>
              </w:rPr>
              <w:t>5.0 (1.2)</w:t>
            </w:r>
          </w:p>
        </w:tc>
      </w:tr>
      <w:tr w:rsidR="00613DB8" w:rsidRPr="00262949" w14:paraId="337E82AC" w14:textId="77777777" w:rsidTr="00825358">
        <w:trPr>
          <w:trHeight w:hRule="exact" w:val="2595"/>
        </w:trPr>
        <w:tc>
          <w:tcPr>
            <w:tcW w:w="8125" w:type="dxa"/>
            <w:gridSpan w:val="4"/>
            <w:tcBorders>
              <w:top w:val="single" w:sz="4" w:space="0" w:color="000000"/>
            </w:tcBorders>
          </w:tcPr>
          <w:p w14:paraId="0DA169F6" w14:textId="026845B8" w:rsidR="00A4755F" w:rsidRPr="00847E8C" w:rsidRDefault="00A4755F" w:rsidP="00613DB8">
            <w:pPr>
              <w:ind w:right="189"/>
              <w:rPr>
                <w:rFonts w:cs="Times New Roman"/>
                <w:sz w:val="20"/>
                <w:szCs w:val="20"/>
                <w:lang w:val="en"/>
              </w:rPr>
            </w:pPr>
            <w:r w:rsidRPr="00847E8C">
              <w:rPr>
                <w:rFonts w:cs="Times New Roman"/>
                <w:sz w:val="20"/>
                <w:szCs w:val="20"/>
                <w:lang w:val="en"/>
              </w:rPr>
              <w:t>N</w:t>
            </w:r>
            <w:r w:rsidR="002E652B">
              <w:rPr>
                <w:rFonts w:cs="Times New Roman"/>
                <w:sz w:val="20"/>
                <w:szCs w:val="20"/>
                <w:lang w:val="en"/>
              </w:rPr>
              <w:t xml:space="preserve"> </w:t>
            </w:r>
            <w:r w:rsidRPr="00847E8C">
              <w:rPr>
                <w:rFonts w:cs="Times New Roman"/>
                <w:sz w:val="20"/>
                <w:szCs w:val="20"/>
                <w:lang w:val="en"/>
              </w:rPr>
              <w:t>= number of patients</w:t>
            </w:r>
            <w:r w:rsidR="00C81B2F">
              <w:rPr>
                <w:rFonts w:cs="Times New Roman"/>
                <w:sz w:val="20"/>
                <w:szCs w:val="20"/>
                <w:lang w:val="en"/>
              </w:rPr>
              <w:t xml:space="preserve"> </w:t>
            </w:r>
            <w:r w:rsidR="00C81B2F" w:rsidRPr="00E0182B">
              <w:rPr>
                <w:rFonts w:cs="Times New Roman"/>
                <w:sz w:val="20"/>
                <w:szCs w:val="20"/>
                <w:lang w:val="en"/>
              </w:rPr>
              <w:t>(immunogenicity sample</w:t>
            </w:r>
            <w:r w:rsidR="00C81B2F">
              <w:rPr>
                <w:rFonts w:cs="Times New Roman"/>
                <w:sz w:val="20"/>
                <w:szCs w:val="20"/>
                <w:lang w:val="en"/>
              </w:rPr>
              <w:t>)</w:t>
            </w:r>
          </w:p>
          <w:p w14:paraId="046AA7C3" w14:textId="2A2B7F9A" w:rsidR="00A4755F" w:rsidRPr="00847E8C" w:rsidRDefault="00A4755F" w:rsidP="00613DB8">
            <w:pPr>
              <w:keepNext/>
              <w:keepLines/>
              <w:adjustRightInd w:val="0"/>
              <w:ind w:right="189"/>
              <w:rPr>
                <w:rFonts w:cs="Times New Roman"/>
                <w:color w:val="000000"/>
                <w:sz w:val="20"/>
                <w:szCs w:val="20"/>
              </w:rPr>
            </w:pPr>
            <w:r w:rsidRPr="00847E8C">
              <w:rPr>
                <w:rFonts w:cs="Times New Roman"/>
                <w:color w:val="000000"/>
                <w:sz w:val="20"/>
                <w:szCs w:val="20"/>
              </w:rPr>
              <w:t xml:space="preserve">Note: GMT = Geometric Mean </w:t>
            </w:r>
            <w:proofErr w:type="spellStart"/>
            <w:r w:rsidRPr="00847E8C">
              <w:rPr>
                <w:rFonts w:cs="Times New Roman"/>
                <w:color w:val="000000"/>
                <w:sz w:val="20"/>
                <w:szCs w:val="20"/>
              </w:rPr>
              <w:t>Titer</w:t>
            </w:r>
            <w:proofErr w:type="spellEnd"/>
            <w:r w:rsidRPr="00847E8C">
              <w:rPr>
                <w:rFonts w:cs="Times New Roman"/>
                <w:color w:val="000000"/>
                <w:sz w:val="20"/>
                <w:szCs w:val="20"/>
              </w:rPr>
              <w:t>; GSD = Geometric Standard Deviation.</w:t>
            </w:r>
          </w:p>
          <w:p w14:paraId="0AB28975" w14:textId="1BEE94C5" w:rsidR="00A4755F" w:rsidRPr="006C73B6" w:rsidRDefault="00A4755F" w:rsidP="00613DB8">
            <w:pPr>
              <w:ind w:right="189"/>
              <w:rPr>
                <w:rFonts w:cs="Times New Roman"/>
                <w:sz w:val="20"/>
                <w:szCs w:val="20"/>
                <w:lang w:val="en-US"/>
              </w:rPr>
            </w:pPr>
            <w:r w:rsidRPr="00847E8C">
              <w:rPr>
                <w:rFonts w:cs="Times New Roman"/>
                <w:sz w:val="20"/>
                <w:szCs w:val="20"/>
                <w:vertAlign w:val="superscript"/>
                <w:lang w:val="en-US"/>
              </w:rPr>
              <w:t>1</w:t>
            </w:r>
            <w:r w:rsidRPr="00847E8C">
              <w:rPr>
                <w:rFonts w:cs="Times New Roman"/>
                <w:sz w:val="20"/>
                <w:szCs w:val="20"/>
                <w:lang w:val="en-US"/>
              </w:rPr>
              <w:t xml:space="preserve"> </w:t>
            </w:r>
            <w:r w:rsidRPr="00B824B6">
              <w:rPr>
                <w:rFonts w:cs="Times New Roman"/>
                <w:sz w:val="20"/>
                <w:szCs w:val="20"/>
                <w:lang w:val="en-US"/>
              </w:rPr>
              <w:t>Season N</w:t>
            </w:r>
            <w:r w:rsidR="00DC46E8">
              <w:rPr>
                <w:rFonts w:cs="Times New Roman"/>
                <w:sz w:val="20"/>
                <w:szCs w:val="20"/>
                <w:lang w:val="en-US"/>
              </w:rPr>
              <w:t xml:space="preserve">orthern </w:t>
            </w:r>
            <w:r w:rsidRPr="00B824B6">
              <w:rPr>
                <w:rFonts w:cs="Times New Roman"/>
                <w:sz w:val="20"/>
                <w:szCs w:val="20"/>
                <w:lang w:val="en-US"/>
              </w:rPr>
              <w:t>H</w:t>
            </w:r>
            <w:r w:rsidR="00DC46E8">
              <w:rPr>
                <w:rFonts w:cs="Times New Roman"/>
                <w:sz w:val="20"/>
                <w:szCs w:val="20"/>
                <w:lang w:val="en-US"/>
              </w:rPr>
              <w:t>emisphere</w:t>
            </w:r>
            <w:r w:rsidRPr="00B824B6">
              <w:rPr>
                <w:rFonts w:cs="Times New Roman"/>
                <w:sz w:val="20"/>
                <w:szCs w:val="20"/>
                <w:lang w:val="en-US"/>
              </w:rPr>
              <w:t xml:space="preserve"> 2017-2018:</w:t>
            </w:r>
            <w:r w:rsidR="006E763A" w:rsidRPr="00B824B6">
              <w:rPr>
                <w:rFonts w:cs="Times New Roman"/>
                <w:sz w:val="20"/>
                <w:szCs w:val="20"/>
                <w:lang w:val="en-US"/>
              </w:rPr>
              <w:t xml:space="preserve"> </w:t>
            </w:r>
            <w:r w:rsidRPr="00B824B6">
              <w:rPr>
                <w:rFonts w:cs="Times New Roman"/>
                <w:sz w:val="20"/>
                <w:szCs w:val="20"/>
                <w:lang w:val="en-US"/>
              </w:rPr>
              <w:t>A/Michigan/45/2015 (H1N</w:t>
            </w:r>
            <w:proofErr w:type="gramStart"/>
            <w:r w:rsidRPr="00B824B6">
              <w:rPr>
                <w:rFonts w:cs="Times New Roman"/>
                <w:sz w:val="20"/>
                <w:szCs w:val="20"/>
                <w:lang w:val="en-US"/>
              </w:rPr>
              <w:t>1)pdm</w:t>
            </w:r>
            <w:proofErr w:type="gramEnd"/>
            <w:r w:rsidRPr="00B824B6">
              <w:rPr>
                <w:rFonts w:cs="Times New Roman"/>
                <w:sz w:val="20"/>
                <w:szCs w:val="20"/>
                <w:lang w:val="en-US"/>
              </w:rPr>
              <w:t xml:space="preserve">09-like virus; A/Hong Kong/4801/2014 (H3N2)-like virus; </w:t>
            </w:r>
            <w:r w:rsidRPr="009E204B">
              <w:rPr>
                <w:rFonts w:cs="Times New Roman"/>
                <w:sz w:val="20"/>
                <w:szCs w:val="20"/>
                <w:lang w:val="en-US"/>
              </w:rPr>
              <w:t>B/Brisbane/60/2008-like virus</w:t>
            </w:r>
            <w:r w:rsidR="006E763A" w:rsidRPr="009E204B">
              <w:rPr>
                <w:rFonts w:cs="Times New Roman"/>
                <w:sz w:val="20"/>
                <w:szCs w:val="20"/>
                <w:lang w:val="en-US"/>
              </w:rPr>
              <w:t>*</w:t>
            </w:r>
            <w:r w:rsidRPr="009E204B">
              <w:rPr>
                <w:rFonts w:cs="Times New Roman"/>
                <w:sz w:val="20"/>
                <w:szCs w:val="20"/>
                <w:lang w:val="en-US"/>
              </w:rPr>
              <w:t>; B/Phuket/3073/2013-like virus</w:t>
            </w:r>
            <w:r w:rsidR="006E763A" w:rsidRPr="006C73B6">
              <w:rPr>
                <w:rFonts w:cs="Times New Roman"/>
                <w:sz w:val="20"/>
                <w:szCs w:val="20"/>
                <w:lang w:val="en-US"/>
              </w:rPr>
              <w:t>**</w:t>
            </w:r>
          </w:p>
          <w:p w14:paraId="7E500805" w14:textId="75682859" w:rsidR="00A4755F" w:rsidRPr="00CB60C0" w:rsidRDefault="00A4755F" w:rsidP="00613DB8">
            <w:pPr>
              <w:ind w:right="189"/>
              <w:rPr>
                <w:rFonts w:cs="Times New Roman"/>
                <w:sz w:val="20"/>
                <w:szCs w:val="20"/>
                <w:lang w:val="en-US"/>
              </w:rPr>
            </w:pPr>
            <w:r w:rsidRPr="00825358">
              <w:rPr>
                <w:rFonts w:cs="Times New Roman"/>
                <w:sz w:val="20"/>
                <w:szCs w:val="20"/>
                <w:vertAlign w:val="superscript"/>
                <w:lang w:val="en-US"/>
              </w:rPr>
              <w:t>2</w:t>
            </w:r>
            <w:r w:rsidRPr="00825358">
              <w:rPr>
                <w:rFonts w:cs="Times New Roman"/>
                <w:sz w:val="20"/>
                <w:szCs w:val="20"/>
                <w:lang w:val="en-US"/>
              </w:rPr>
              <w:t xml:space="preserve"> Season N</w:t>
            </w:r>
            <w:r w:rsidR="00DC46E8">
              <w:rPr>
                <w:rFonts w:cs="Times New Roman"/>
                <w:sz w:val="20"/>
                <w:szCs w:val="20"/>
                <w:lang w:val="en-US"/>
              </w:rPr>
              <w:t xml:space="preserve">orthern </w:t>
            </w:r>
            <w:r w:rsidRPr="00825358">
              <w:rPr>
                <w:rFonts w:cs="Times New Roman"/>
                <w:sz w:val="20"/>
                <w:szCs w:val="20"/>
                <w:lang w:val="en-US"/>
              </w:rPr>
              <w:t>H</w:t>
            </w:r>
            <w:r w:rsidR="00DC46E8">
              <w:rPr>
                <w:rFonts w:cs="Times New Roman"/>
                <w:sz w:val="20"/>
                <w:szCs w:val="20"/>
                <w:lang w:val="en-US"/>
              </w:rPr>
              <w:t>emisphere</w:t>
            </w:r>
            <w:r w:rsidRPr="00825358">
              <w:rPr>
                <w:rFonts w:cs="Times New Roman"/>
                <w:sz w:val="20"/>
                <w:szCs w:val="20"/>
                <w:lang w:val="en-US"/>
              </w:rPr>
              <w:t xml:space="preserve"> </w:t>
            </w:r>
            <w:r w:rsidR="00C74386" w:rsidRPr="00825358">
              <w:rPr>
                <w:rFonts w:cs="Times New Roman"/>
                <w:sz w:val="20"/>
                <w:szCs w:val="20"/>
                <w:lang w:val="en-US"/>
              </w:rPr>
              <w:t>2</w:t>
            </w:r>
            <w:r w:rsidRPr="00825358">
              <w:rPr>
                <w:rFonts w:cs="Times New Roman"/>
                <w:sz w:val="20"/>
                <w:szCs w:val="20"/>
                <w:lang w:val="en-US"/>
              </w:rPr>
              <w:t>018-2019: A/Michigan/45/2015 (H1N</w:t>
            </w:r>
            <w:proofErr w:type="gramStart"/>
            <w:r w:rsidRPr="00825358">
              <w:rPr>
                <w:rFonts w:cs="Times New Roman"/>
                <w:sz w:val="20"/>
                <w:szCs w:val="20"/>
                <w:lang w:val="en-US"/>
              </w:rPr>
              <w:t>1)pdm</w:t>
            </w:r>
            <w:proofErr w:type="gramEnd"/>
            <w:r w:rsidRPr="00825358">
              <w:rPr>
                <w:rFonts w:cs="Times New Roman"/>
                <w:sz w:val="20"/>
                <w:szCs w:val="20"/>
                <w:lang w:val="en-US"/>
              </w:rPr>
              <w:t>09-like virus; A/Singapore/INFIMH-16-0019/2016 (H3N2)-like virus;</w:t>
            </w:r>
            <w:r w:rsidR="006E763A" w:rsidRPr="00CB60C0">
              <w:rPr>
                <w:rFonts w:cs="Times New Roman"/>
                <w:sz w:val="20"/>
                <w:szCs w:val="20"/>
                <w:lang w:val="en-US"/>
              </w:rPr>
              <w:t xml:space="preserve"> </w:t>
            </w:r>
            <w:r w:rsidRPr="00CB60C0">
              <w:rPr>
                <w:rFonts w:cs="Times New Roman"/>
                <w:sz w:val="20"/>
                <w:szCs w:val="20"/>
                <w:lang w:val="en-US"/>
              </w:rPr>
              <w:t>B/Colorado/06/2017-like virus</w:t>
            </w:r>
            <w:r w:rsidR="00262949" w:rsidRPr="00CB60C0">
              <w:rPr>
                <w:rFonts w:cs="Times New Roman"/>
                <w:sz w:val="20"/>
                <w:szCs w:val="20"/>
                <w:lang w:val="en-US"/>
              </w:rPr>
              <w:t>*</w:t>
            </w:r>
            <w:r w:rsidRPr="00CB60C0">
              <w:rPr>
                <w:rFonts w:cs="Times New Roman"/>
                <w:sz w:val="20"/>
                <w:szCs w:val="20"/>
                <w:lang w:val="en-US"/>
              </w:rPr>
              <w:t>; B/Phuket/3073/2013-like virus</w:t>
            </w:r>
            <w:r w:rsidR="00262949" w:rsidRPr="00CB60C0">
              <w:rPr>
                <w:rFonts w:cs="Times New Roman"/>
                <w:sz w:val="20"/>
                <w:szCs w:val="20"/>
                <w:lang w:val="en-US"/>
              </w:rPr>
              <w:t>**</w:t>
            </w:r>
          </w:p>
          <w:p w14:paraId="427351B9" w14:textId="36D71C5F" w:rsidR="00A70DBE" w:rsidRPr="00825358" w:rsidRDefault="00A4755F" w:rsidP="00A70DBE">
            <w:pPr>
              <w:numPr>
                <w:ilvl w:val="0"/>
                <w:numId w:val="24"/>
              </w:numPr>
              <w:shd w:val="clear" w:color="auto" w:fill="FFFFFF"/>
              <w:spacing w:line="225" w:lineRule="atLeast"/>
              <w:ind w:left="0" w:right="300"/>
              <w:jc w:val="left"/>
              <w:textAlignment w:val="baseline"/>
              <w:rPr>
                <w:rFonts w:eastAsia="Times New Roman" w:cs="Times New Roman"/>
                <w:sz w:val="20"/>
                <w:szCs w:val="20"/>
                <w:lang w:val="en-US"/>
              </w:rPr>
            </w:pPr>
            <w:r w:rsidRPr="00CB60C0">
              <w:rPr>
                <w:rFonts w:cs="Times New Roman"/>
                <w:sz w:val="20"/>
                <w:szCs w:val="20"/>
                <w:vertAlign w:val="superscript"/>
                <w:lang w:val="en-US"/>
              </w:rPr>
              <w:t>3</w:t>
            </w:r>
            <w:r w:rsidRPr="00CB60C0">
              <w:rPr>
                <w:rFonts w:cs="Times New Roman"/>
                <w:sz w:val="20"/>
                <w:szCs w:val="20"/>
                <w:lang w:val="en-US"/>
              </w:rPr>
              <w:t xml:space="preserve"> Season S</w:t>
            </w:r>
            <w:r w:rsidR="00DC46E8">
              <w:rPr>
                <w:rFonts w:cs="Times New Roman"/>
                <w:sz w:val="20"/>
                <w:szCs w:val="20"/>
                <w:lang w:val="en-US"/>
              </w:rPr>
              <w:t xml:space="preserve">outhern </w:t>
            </w:r>
            <w:r w:rsidRPr="00CB60C0">
              <w:rPr>
                <w:rFonts w:cs="Times New Roman"/>
                <w:sz w:val="20"/>
                <w:szCs w:val="20"/>
                <w:lang w:val="en-US"/>
              </w:rPr>
              <w:t>H</w:t>
            </w:r>
            <w:r w:rsidR="00DC46E8">
              <w:rPr>
                <w:rFonts w:cs="Times New Roman"/>
                <w:sz w:val="20"/>
                <w:szCs w:val="20"/>
                <w:lang w:val="en-US"/>
              </w:rPr>
              <w:t>emisphere</w:t>
            </w:r>
            <w:r w:rsidRPr="00CB60C0">
              <w:rPr>
                <w:rFonts w:cs="Times New Roman"/>
                <w:sz w:val="20"/>
                <w:szCs w:val="20"/>
                <w:lang w:val="en-US"/>
              </w:rPr>
              <w:t xml:space="preserve"> 2019: A/Michigan/45/2015 (H1N</w:t>
            </w:r>
            <w:proofErr w:type="gramStart"/>
            <w:r w:rsidRPr="00CB60C0">
              <w:rPr>
                <w:rFonts w:cs="Times New Roman"/>
                <w:sz w:val="20"/>
                <w:szCs w:val="20"/>
                <w:lang w:val="en-US"/>
              </w:rPr>
              <w:t>1)pdm</w:t>
            </w:r>
            <w:proofErr w:type="gramEnd"/>
            <w:r w:rsidRPr="00CB60C0">
              <w:rPr>
                <w:rFonts w:cs="Times New Roman"/>
                <w:sz w:val="20"/>
                <w:szCs w:val="20"/>
                <w:lang w:val="en-US"/>
              </w:rPr>
              <w:t>09-like virus; A/Switzerland/8060/2017 (H3N2)-like virus; B/Colorado/06/2017-like virus</w:t>
            </w:r>
            <w:r w:rsidR="00262949" w:rsidRPr="00CB60C0">
              <w:rPr>
                <w:rFonts w:cs="Times New Roman"/>
                <w:sz w:val="20"/>
                <w:szCs w:val="20"/>
                <w:lang w:val="en-US"/>
              </w:rPr>
              <w:t>*</w:t>
            </w:r>
            <w:r w:rsidRPr="00CB60C0">
              <w:rPr>
                <w:rFonts w:cs="Times New Roman"/>
                <w:sz w:val="20"/>
                <w:szCs w:val="20"/>
                <w:lang w:val="en-US"/>
              </w:rPr>
              <w:t>; B/Phuket/3073/2013-like virus</w:t>
            </w:r>
            <w:r w:rsidR="00262949" w:rsidRPr="00CB60C0">
              <w:rPr>
                <w:rFonts w:cs="Times New Roman"/>
                <w:sz w:val="20"/>
                <w:szCs w:val="20"/>
                <w:lang w:val="en-US"/>
              </w:rPr>
              <w:t>**</w:t>
            </w:r>
          </w:p>
          <w:p w14:paraId="5F50A2B2" w14:textId="4BFBEBA3" w:rsidR="00A4755F" w:rsidRPr="00262949" w:rsidRDefault="00262949" w:rsidP="00262949">
            <w:pPr>
              <w:numPr>
                <w:ilvl w:val="0"/>
                <w:numId w:val="24"/>
              </w:numPr>
              <w:shd w:val="clear" w:color="auto" w:fill="FFFFFF"/>
              <w:spacing w:line="225" w:lineRule="atLeast"/>
              <w:ind w:left="0" w:right="300"/>
              <w:jc w:val="left"/>
              <w:textAlignment w:val="baseline"/>
              <w:rPr>
                <w:rFonts w:cs="Times New Roman"/>
                <w:sz w:val="20"/>
                <w:szCs w:val="20"/>
                <w:lang w:val="en-US"/>
              </w:rPr>
            </w:pPr>
            <w:r w:rsidRPr="00825358">
              <w:rPr>
                <w:rFonts w:eastAsia="Times New Roman" w:cs="Times New Roman"/>
                <w:sz w:val="20"/>
                <w:szCs w:val="20"/>
                <w:lang w:val="en-US"/>
              </w:rPr>
              <w:t>* B/Victoria lineage; ** B/Yamagata lineage</w:t>
            </w:r>
          </w:p>
        </w:tc>
      </w:tr>
    </w:tbl>
    <w:p w14:paraId="1C41DE50" w14:textId="7FDD9BBB" w:rsidR="00252BC8" w:rsidRDefault="00252BC8" w:rsidP="00B91882"/>
    <w:p w14:paraId="6F900F5B" w14:textId="77777777" w:rsidR="00B91882" w:rsidRDefault="001A3992" w:rsidP="0066633F">
      <w:pPr>
        <w:pStyle w:val="Heading2"/>
      </w:pPr>
      <w:r w:rsidRPr="0066633F">
        <w:t>Pharmacokinetic properties</w:t>
      </w:r>
    </w:p>
    <w:p w14:paraId="74150503" w14:textId="31A51BAF" w:rsidR="001A3992" w:rsidRDefault="00B91882" w:rsidP="00B91882">
      <w:r w:rsidRPr="00B91882">
        <w:t>Not applicable</w:t>
      </w:r>
      <w:r w:rsidR="001A3992" w:rsidRPr="0066633F">
        <w:t xml:space="preserve"> </w:t>
      </w:r>
    </w:p>
    <w:p w14:paraId="65AEDA52" w14:textId="77777777" w:rsidR="0024424C" w:rsidRPr="0066633F" w:rsidRDefault="0024424C" w:rsidP="003F6345">
      <w:pPr>
        <w:spacing w:after="200" w:line="276" w:lineRule="auto"/>
        <w:jc w:val="left"/>
      </w:pPr>
    </w:p>
    <w:p w14:paraId="03473F35" w14:textId="77777777" w:rsidR="001A3992" w:rsidRPr="0066633F" w:rsidRDefault="001A3992" w:rsidP="003F6345">
      <w:pPr>
        <w:pStyle w:val="Heading2"/>
        <w:ind w:left="578" w:hanging="578"/>
      </w:pPr>
      <w:r w:rsidRPr="0066633F">
        <w:t>Preclinical safety data</w:t>
      </w:r>
    </w:p>
    <w:p w14:paraId="30AD3483" w14:textId="77777777" w:rsidR="001A3992" w:rsidRDefault="001A3992" w:rsidP="007151C8">
      <w:pPr>
        <w:pStyle w:val="Heading3"/>
      </w:pPr>
      <w:r w:rsidRPr="007151C8">
        <w:t>Genotoxicity</w:t>
      </w:r>
    </w:p>
    <w:p w14:paraId="7FC45AC8" w14:textId="1A8BA755" w:rsidR="007151C8" w:rsidRDefault="00B91882" w:rsidP="007151C8">
      <w:r w:rsidRPr="00B91882">
        <w:t xml:space="preserve">No genotoxicity studies have been conducted with </w:t>
      </w:r>
      <w:r w:rsidR="004120DD">
        <w:t>INFLUVAC TETRA.</w:t>
      </w:r>
    </w:p>
    <w:p w14:paraId="457C0B05" w14:textId="77777777" w:rsidR="001A3992" w:rsidRDefault="001A3992" w:rsidP="007151C8">
      <w:pPr>
        <w:pStyle w:val="Heading3"/>
      </w:pPr>
      <w:r w:rsidRPr="007151C8">
        <w:t>Carcinogenicity</w:t>
      </w:r>
    </w:p>
    <w:p w14:paraId="42BF9C2D" w14:textId="7A9F168E" w:rsidR="007151C8" w:rsidRDefault="00B91882" w:rsidP="007151C8">
      <w:r w:rsidRPr="00B91882">
        <w:t xml:space="preserve">No carcinogenicity studies have been conducted with </w:t>
      </w:r>
      <w:r w:rsidR="004120DD">
        <w:t>INFLUVAC TETRA.</w:t>
      </w:r>
    </w:p>
    <w:p w14:paraId="47C209B3" w14:textId="77777777" w:rsidR="0024424C" w:rsidRDefault="0024424C" w:rsidP="007151C8"/>
    <w:p w14:paraId="1E3CE1A5" w14:textId="77777777" w:rsidR="001A3992" w:rsidRPr="0066633F" w:rsidRDefault="001A3992" w:rsidP="0066633F">
      <w:pPr>
        <w:pStyle w:val="Heading1"/>
      </w:pPr>
      <w:r w:rsidRPr="0066633F">
        <w:t>Pharmaceutical particulars</w:t>
      </w:r>
    </w:p>
    <w:p w14:paraId="20A9306A" w14:textId="77777777" w:rsidR="001A3992" w:rsidRPr="00282E87" w:rsidRDefault="00F735C4" w:rsidP="00282E87">
      <w:pPr>
        <w:pStyle w:val="Heading2"/>
      </w:pPr>
      <w:r>
        <w:t>List of excipients</w:t>
      </w:r>
    </w:p>
    <w:p w14:paraId="7E839ABC" w14:textId="77777777" w:rsidR="00E401F1" w:rsidRDefault="00E401F1" w:rsidP="00E401F1">
      <w:r>
        <w:t xml:space="preserve">Each 0.5 mL dose contains 0.10 mg potassium chloride, 0.10 mg monobasic potassium phosphate, 0.67 mg dibasic sodium phosphate dihydrate, 4.0 mg sodium chloride, 0.067 mg calcium chloride dihydrate, 0.05 mg magnesium chloride hexahydrate and </w:t>
      </w:r>
      <w:proofErr w:type="spellStart"/>
      <w:r>
        <w:t>q.s</w:t>
      </w:r>
      <w:proofErr w:type="spellEnd"/>
      <w:r>
        <w:t>. to 0.5 mL water for injections.</w:t>
      </w:r>
    </w:p>
    <w:p w14:paraId="19D40853" w14:textId="77777777" w:rsidR="00E401F1" w:rsidRDefault="00E401F1" w:rsidP="00E401F1"/>
    <w:p w14:paraId="71D707D4" w14:textId="776DFC18" w:rsidR="00E401F1" w:rsidRPr="00673A54" w:rsidRDefault="004120DD" w:rsidP="00673A54">
      <w:r>
        <w:t>INFLUVAC TETRA</w:t>
      </w:r>
      <w:r w:rsidR="00E401F1">
        <w:t xml:space="preserve"> antigens have been produced from eggs and are inactivated by formaldehyde treatment. Each 0.5 mL may also contain </w:t>
      </w:r>
      <w:proofErr w:type="spellStart"/>
      <w:r w:rsidR="00E401F1">
        <w:t>not</w:t>
      </w:r>
      <w:proofErr w:type="spellEnd"/>
      <w:r w:rsidR="00E401F1">
        <w:t xml:space="preserve"> more than 100 ng ovalbumin, 0.01 mg formaldehyde, 0.02 mg </w:t>
      </w:r>
      <w:proofErr w:type="spellStart"/>
      <w:r w:rsidR="00E401F1">
        <w:t>cetrimonium</w:t>
      </w:r>
      <w:proofErr w:type="spellEnd"/>
      <w:r w:rsidR="00E401F1">
        <w:t xml:space="preserve"> bromide, 1 mg sodium citrate, 0.2 mg sucrose, 1 ng gentamicin </w:t>
      </w:r>
      <w:proofErr w:type="spellStart"/>
      <w:r w:rsidR="00E401F1">
        <w:t>sulfate</w:t>
      </w:r>
      <w:proofErr w:type="spellEnd"/>
      <w:r w:rsidR="00E401F1">
        <w:t xml:space="preserve">, traces of </w:t>
      </w:r>
      <w:proofErr w:type="spellStart"/>
      <w:r w:rsidR="00E401F1">
        <w:t>tylosine</w:t>
      </w:r>
      <w:proofErr w:type="spellEnd"/>
      <w:r w:rsidR="00E401F1">
        <w:t xml:space="preserve"> tartrate, hydrocortisone and polysorbate 80, which are used during the manufacturing process.</w:t>
      </w:r>
    </w:p>
    <w:p w14:paraId="77A44A92" w14:textId="77777777" w:rsidR="001A3992" w:rsidRPr="00282E87" w:rsidRDefault="00F735C4" w:rsidP="00282E87">
      <w:pPr>
        <w:pStyle w:val="Heading2"/>
      </w:pPr>
      <w:r>
        <w:lastRenderedPageBreak/>
        <w:t>Incompatibilities</w:t>
      </w:r>
    </w:p>
    <w:p w14:paraId="197F1619" w14:textId="78621516" w:rsidR="00E401F1" w:rsidRDefault="00E401F1" w:rsidP="00E401F1">
      <w:r>
        <w:t>In the absence of compatibility studies, this medicinal product must not be mixed with other medicinal products.</w:t>
      </w:r>
    </w:p>
    <w:p w14:paraId="65CFEC12" w14:textId="77777777" w:rsidR="00E401F1" w:rsidRDefault="00E401F1" w:rsidP="00E401F1"/>
    <w:p w14:paraId="6F48BB94" w14:textId="79FAED11" w:rsidR="00E401F1" w:rsidRDefault="00E401F1" w:rsidP="00E401F1">
      <w:pPr>
        <w:rPr>
          <w:b/>
        </w:rPr>
      </w:pPr>
      <w:r>
        <w:t xml:space="preserve">See section </w:t>
      </w:r>
      <w:r w:rsidRPr="00E401F1">
        <w:rPr>
          <w:b/>
        </w:rPr>
        <w:t>4.5 INTERACTIONS WITH OTHER MEDICINES AND OTHER FORMS OF INTERACTIONS</w:t>
      </w:r>
      <w:r>
        <w:rPr>
          <w:b/>
        </w:rPr>
        <w:t>.</w:t>
      </w:r>
    </w:p>
    <w:p w14:paraId="2A65AB99" w14:textId="77777777" w:rsidR="0024424C" w:rsidRPr="00E401F1" w:rsidRDefault="0024424C" w:rsidP="00E401F1"/>
    <w:p w14:paraId="62033D32" w14:textId="77777777" w:rsidR="001A3992" w:rsidRPr="00282E87" w:rsidRDefault="00F735C4" w:rsidP="00282E87">
      <w:pPr>
        <w:pStyle w:val="Heading2"/>
      </w:pPr>
      <w:r>
        <w:t>Shelf life</w:t>
      </w:r>
    </w:p>
    <w:p w14:paraId="44617EC6" w14:textId="77777777" w:rsidR="00E401F1" w:rsidRDefault="00497C85" w:rsidP="00F735C4">
      <w:pPr>
        <w:rPr>
          <w:lang w:val="en"/>
        </w:rPr>
      </w:pPr>
      <w:r w:rsidRPr="00497C85">
        <w:rPr>
          <w:lang w:val="en"/>
        </w:rPr>
        <w:t xml:space="preserve">In Australia, information on the shelf life can be found on the public summary of the Australian Register of Therapeutic Goods (ARTG). </w:t>
      </w:r>
    </w:p>
    <w:p w14:paraId="735D33B9" w14:textId="77777777" w:rsidR="00E401F1" w:rsidRDefault="00E401F1" w:rsidP="00F735C4">
      <w:pPr>
        <w:rPr>
          <w:lang w:val="en"/>
        </w:rPr>
      </w:pPr>
    </w:p>
    <w:p w14:paraId="707DFC60" w14:textId="1974E154" w:rsidR="00497C85" w:rsidRDefault="00497C85" w:rsidP="00F735C4">
      <w:pPr>
        <w:rPr>
          <w:lang w:val="en"/>
        </w:rPr>
      </w:pPr>
      <w:r w:rsidRPr="00497C85">
        <w:rPr>
          <w:lang w:val="en"/>
        </w:rPr>
        <w:t>The expiry date can be fo</w:t>
      </w:r>
      <w:r w:rsidR="0012573D">
        <w:rPr>
          <w:lang w:val="en"/>
        </w:rPr>
        <w:t>und on the packaging.</w:t>
      </w:r>
    </w:p>
    <w:p w14:paraId="33F517B4" w14:textId="77777777" w:rsidR="0024424C" w:rsidRDefault="0024424C" w:rsidP="00F735C4">
      <w:pPr>
        <w:rPr>
          <w:lang w:val="en"/>
        </w:rPr>
      </w:pPr>
    </w:p>
    <w:p w14:paraId="5E9D44BB" w14:textId="77777777" w:rsidR="001A3992" w:rsidRDefault="00F735C4" w:rsidP="00282E87">
      <w:pPr>
        <w:pStyle w:val="Heading2"/>
      </w:pPr>
      <w:r>
        <w:t>Special precautions for storage</w:t>
      </w:r>
    </w:p>
    <w:p w14:paraId="7B5C24CA" w14:textId="5AA2EE8D" w:rsidR="00E401F1" w:rsidRPr="00E401F1" w:rsidRDefault="00E401F1" w:rsidP="00E401F1">
      <w:r w:rsidRPr="00E401F1">
        <w:t>Keep out of the sight and reach of children</w:t>
      </w:r>
      <w:r w:rsidR="003E4166">
        <w:t>.</w:t>
      </w:r>
    </w:p>
    <w:p w14:paraId="608E4FB4" w14:textId="77777777" w:rsidR="00E401F1" w:rsidRDefault="00E401F1" w:rsidP="00E401F1"/>
    <w:p w14:paraId="6A33F596" w14:textId="5C9B131B" w:rsidR="0012573D" w:rsidRDefault="00E401F1" w:rsidP="00E401F1">
      <w:r w:rsidRPr="00E401F1">
        <w:t xml:space="preserve">Store between 2 and 8 degrees Celsius. Refrigerate. Do not freeze. Store in the original package </w:t>
      </w:r>
      <w:proofErr w:type="gramStart"/>
      <w:r w:rsidRPr="00E401F1">
        <w:t>in order to</w:t>
      </w:r>
      <w:proofErr w:type="gramEnd"/>
      <w:r w:rsidRPr="00E401F1">
        <w:t xml:space="preserve"> protect from light.</w:t>
      </w:r>
    </w:p>
    <w:p w14:paraId="4438CDEC" w14:textId="77777777" w:rsidR="0024424C" w:rsidRPr="0012573D" w:rsidRDefault="0024424C" w:rsidP="00E401F1"/>
    <w:p w14:paraId="66615AB9" w14:textId="77777777" w:rsidR="001A3992" w:rsidRDefault="001A3992" w:rsidP="00282E87">
      <w:pPr>
        <w:pStyle w:val="Heading2"/>
      </w:pPr>
      <w:r w:rsidRPr="00282E87">
        <w:t>N</w:t>
      </w:r>
      <w:r w:rsidR="00F735C4">
        <w:t>ature and contents of container</w:t>
      </w:r>
    </w:p>
    <w:p w14:paraId="456DEDD8" w14:textId="26897FB2" w:rsidR="00E401F1" w:rsidRDefault="00E401F1" w:rsidP="00E401F1">
      <w:r>
        <w:t xml:space="preserve">Single-dose 0.5 mL pre-filled glass syringe, available in packs of 1 or 10: </w:t>
      </w:r>
    </w:p>
    <w:p w14:paraId="03F4A9BB" w14:textId="77777777" w:rsidR="0024424C" w:rsidRDefault="0024424C" w:rsidP="00E401F1"/>
    <w:p w14:paraId="254A4FE3" w14:textId="4C50E78A" w:rsidR="00E401F1" w:rsidRDefault="00E401F1" w:rsidP="00E401F1">
      <w:pPr>
        <w:pStyle w:val="ListParagraph"/>
        <w:numPr>
          <w:ilvl w:val="0"/>
          <w:numId w:val="19"/>
        </w:numPr>
      </w:pPr>
      <w:r>
        <w:t xml:space="preserve">with 16 mm needle </w:t>
      </w:r>
      <w:r>
        <w:tab/>
      </w:r>
      <w:r>
        <w:tab/>
        <w:t xml:space="preserve">AUST R 292237 </w:t>
      </w:r>
    </w:p>
    <w:p w14:paraId="2EE777D4" w14:textId="70E4BBD5" w:rsidR="00E401F1" w:rsidRDefault="00E401F1" w:rsidP="00E401F1">
      <w:pPr>
        <w:pStyle w:val="ListParagraph"/>
        <w:numPr>
          <w:ilvl w:val="0"/>
          <w:numId w:val="19"/>
        </w:numPr>
      </w:pPr>
      <w:r>
        <w:t xml:space="preserve">with 25 mm needle </w:t>
      </w:r>
      <w:r>
        <w:tab/>
      </w:r>
      <w:r>
        <w:tab/>
        <w:t>AUST R 292238*</w:t>
      </w:r>
    </w:p>
    <w:p w14:paraId="00ECDAFC" w14:textId="28D77C17" w:rsidR="00E401F1" w:rsidRDefault="00E401F1" w:rsidP="00E401F1">
      <w:pPr>
        <w:pStyle w:val="ListParagraph"/>
        <w:numPr>
          <w:ilvl w:val="0"/>
          <w:numId w:val="19"/>
        </w:numPr>
      </w:pPr>
      <w:r>
        <w:t xml:space="preserve">without needle </w:t>
      </w:r>
      <w:r>
        <w:tab/>
      </w:r>
      <w:r>
        <w:tab/>
      </w:r>
      <w:r>
        <w:tab/>
        <w:t xml:space="preserve">AUST R 281035* </w:t>
      </w:r>
    </w:p>
    <w:p w14:paraId="57352823" w14:textId="77777777" w:rsidR="00E401F1" w:rsidRDefault="00E401F1" w:rsidP="00E401F1"/>
    <w:p w14:paraId="6B7915BD" w14:textId="7ADB9662" w:rsidR="00100496" w:rsidRDefault="00E401F1" w:rsidP="00E401F1">
      <w:r>
        <w:t>* Presentation not currently marketed</w:t>
      </w:r>
    </w:p>
    <w:p w14:paraId="435F222D" w14:textId="77777777" w:rsidR="00E401F1" w:rsidRDefault="00E401F1" w:rsidP="00E401F1"/>
    <w:p w14:paraId="6FA878AA" w14:textId="77777777" w:rsidR="001A3992" w:rsidRPr="00282E87" w:rsidRDefault="001A3992" w:rsidP="00282E87">
      <w:pPr>
        <w:pStyle w:val="Heading2"/>
      </w:pPr>
      <w:r w:rsidRPr="00282E87">
        <w:t>S</w:t>
      </w:r>
      <w:r w:rsidR="00F735C4">
        <w:t>pecial precautions for disposal</w:t>
      </w:r>
    </w:p>
    <w:p w14:paraId="30C8EE6D" w14:textId="5240ABC7" w:rsidR="0024424C" w:rsidRDefault="0024424C" w:rsidP="0024424C">
      <w:r w:rsidRPr="00C3723E">
        <w:t>Any</w:t>
      </w:r>
      <w:r w:rsidRPr="00D656E5">
        <w:t xml:space="preserve"> unused medicine or waste material should be disposed</w:t>
      </w:r>
      <w:r>
        <w:t xml:space="preserve"> of immediately</w:t>
      </w:r>
      <w:r w:rsidRPr="00D656E5">
        <w:t>.</w:t>
      </w:r>
    </w:p>
    <w:p w14:paraId="160AD15B" w14:textId="77777777" w:rsidR="0024424C" w:rsidRPr="00D656E5" w:rsidRDefault="0024424C" w:rsidP="0024424C"/>
    <w:p w14:paraId="32780225" w14:textId="77777777" w:rsidR="001A3992" w:rsidRPr="00284745" w:rsidRDefault="001A3992" w:rsidP="00284745">
      <w:pPr>
        <w:pStyle w:val="Heading2"/>
      </w:pPr>
      <w:r w:rsidRPr="00284745">
        <w:t>Physicochemical properties</w:t>
      </w:r>
    </w:p>
    <w:p w14:paraId="013EAA75" w14:textId="380E3E4A" w:rsidR="0024424C" w:rsidRDefault="0024424C" w:rsidP="0024424C">
      <w:r>
        <w:t>Not applicable</w:t>
      </w:r>
    </w:p>
    <w:p w14:paraId="1578797F" w14:textId="77777777" w:rsidR="0024424C" w:rsidRDefault="0024424C" w:rsidP="0024424C"/>
    <w:p w14:paraId="12E4B10C" w14:textId="77777777" w:rsidR="001A3992" w:rsidRDefault="001A3992" w:rsidP="00282E87">
      <w:pPr>
        <w:pStyle w:val="Heading1"/>
      </w:pPr>
      <w:r w:rsidRPr="00282E87">
        <w:t>Medicine schedule (Poisons Standard)</w:t>
      </w:r>
    </w:p>
    <w:p w14:paraId="6E6D72B1" w14:textId="49D9C418" w:rsidR="006F2777" w:rsidRDefault="006F2777" w:rsidP="006F2777">
      <w:r>
        <w:t>S4 (Prescription Only Medicine)</w:t>
      </w:r>
    </w:p>
    <w:p w14:paraId="4244A715" w14:textId="1C089470" w:rsidR="006A0214" w:rsidRDefault="006A0214">
      <w:pPr>
        <w:spacing w:after="200" w:line="276" w:lineRule="auto"/>
        <w:jc w:val="left"/>
      </w:pPr>
      <w:r>
        <w:br w:type="page"/>
      </w:r>
    </w:p>
    <w:p w14:paraId="60C10CED" w14:textId="77777777" w:rsidR="001A3992" w:rsidRDefault="001A3992" w:rsidP="00282E87">
      <w:pPr>
        <w:pStyle w:val="Heading1"/>
      </w:pPr>
      <w:r w:rsidRPr="00282E87">
        <w:lastRenderedPageBreak/>
        <w:t>Sponsor</w:t>
      </w:r>
    </w:p>
    <w:p w14:paraId="6919C506" w14:textId="323DBD79" w:rsidR="006F2777" w:rsidRDefault="006F2777" w:rsidP="00B1775A">
      <w:pPr>
        <w:spacing w:line="360" w:lineRule="auto"/>
        <w:rPr>
          <w:b/>
        </w:rPr>
      </w:pPr>
      <w:r w:rsidRPr="0024424C">
        <w:rPr>
          <w:b/>
        </w:rPr>
        <w:t xml:space="preserve">Mylan Health Pty </w:t>
      </w:r>
      <w:r w:rsidR="004120DD">
        <w:rPr>
          <w:b/>
        </w:rPr>
        <w:t>Ltd</w:t>
      </w:r>
    </w:p>
    <w:p w14:paraId="1CA86AB9" w14:textId="77777777" w:rsidR="006F2777" w:rsidRDefault="006F2777" w:rsidP="00B1775A">
      <w:pPr>
        <w:spacing w:line="360" w:lineRule="auto"/>
      </w:pPr>
      <w:r>
        <w:t>Level 1, 30 The Bond</w:t>
      </w:r>
    </w:p>
    <w:p w14:paraId="0412F222" w14:textId="77777777" w:rsidR="006F2777" w:rsidRDefault="006F2777" w:rsidP="00B1775A">
      <w:pPr>
        <w:spacing w:line="360" w:lineRule="auto"/>
      </w:pPr>
      <w:r>
        <w:t>30 – 34 Hickson Road</w:t>
      </w:r>
    </w:p>
    <w:p w14:paraId="65DFBB4C" w14:textId="77777777" w:rsidR="006F2777" w:rsidRDefault="006F2777" w:rsidP="00B1775A">
      <w:pPr>
        <w:spacing w:line="360" w:lineRule="auto"/>
      </w:pPr>
      <w:r>
        <w:t>Millers Point NSW 2000</w:t>
      </w:r>
    </w:p>
    <w:p w14:paraId="53212E3F" w14:textId="77777777" w:rsidR="006F2777" w:rsidRDefault="0001192A" w:rsidP="00B1775A">
      <w:pPr>
        <w:spacing w:line="360" w:lineRule="auto"/>
      </w:pPr>
      <w:hyperlink r:id="rId12" w:history="1">
        <w:r w:rsidR="006F2777" w:rsidRPr="0048760F">
          <w:t>www.mylan.com.au</w:t>
        </w:r>
      </w:hyperlink>
    </w:p>
    <w:p w14:paraId="3AF80659" w14:textId="13604458" w:rsidR="00856E86" w:rsidRDefault="00856E86" w:rsidP="00B1775A">
      <w:pPr>
        <w:spacing w:line="360" w:lineRule="auto"/>
      </w:pPr>
      <w:r w:rsidRPr="0024424C">
        <w:t>Phone: 1800 314 527</w:t>
      </w:r>
    </w:p>
    <w:p w14:paraId="6F2A9618" w14:textId="77777777" w:rsidR="004120DD" w:rsidRDefault="004120DD" w:rsidP="00B1775A">
      <w:pPr>
        <w:spacing w:line="360" w:lineRule="auto"/>
      </w:pPr>
    </w:p>
    <w:p w14:paraId="7BA21DBD" w14:textId="77777777" w:rsidR="004120DD" w:rsidRPr="004120DD" w:rsidRDefault="004120DD" w:rsidP="004120DD">
      <w:pPr>
        <w:spacing w:line="360" w:lineRule="auto"/>
        <w:rPr>
          <w:b/>
          <w:bCs/>
        </w:rPr>
      </w:pPr>
      <w:r w:rsidRPr="004120DD">
        <w:rPr>
          <w:b/>
          <w:bCs/>
        </w:rPr>
        <w:t>Mylan New Zealand Ltd</w:t>
      </w:r>
    </w:p>
    <w:p w14:paraId="155BE262" w14:textId="77777777" w:rsidR="004120DD" w:rsidRDefault="004120DD" w:rsidP="004120DD">
      <w:pPr>
        <w:spacing w:line="360" w:lineRule="auto"/>
      </w:pPr>
      <w:r>
        <w:t>PO Box 11183</w:t>
      </w:r>
    </w:p>
    <w:p w14:paraId="010893DC" w14:textId="77777777" w:rsidR="004120DD" w:rsidRDefault="004120DD" w:rsidP="004120DD">
      <w:pPr>
        <w:spacing w:line="360" w:lineRule="auto"/>
      </w:pPr>
      <w:r>
        <w:t>Ellerslie AUCKLAND</w:t>
      </w:r>
    </w:p>
    <w:p w14:paraId="2050CB63" w14:textId="411D129F" w:rsidR="0024424C" w:rsidRDefault="004120DD" w:rsidP="004120DD">
      <w:pPr>
        <w:spacing w:line="360" w:lineRule="auto"/>
      </w:pPr>
      <w:r>
        <w:t>Telephone: 0800 579 811</w:t>
      </w:r>
    </w:p>
    <w:p w14:paraId="367D76B7" w14:textId="77777777" w:rsidR="001A3992" w:rsidRDefault="00F735C4" w:rsidP="00282E87">
      <w:pPr>
        <w:pStyle w:val="Heading1"/>
      </w:pPr>
      <w:r>
        <w:t>Date of first approval</w:t>
      </w:r>
    </w:p>
    <w:p w14:paraId="6276D539" w14:textId="569765D0" w:rsidR="0004484B" w:rsidRDefault="0024424C" w:rsidP="0024424C">
      <w:r>
        <w:t>02/11/2017</w:t>
      </w:r>
    </w:p>
    <w:p w14:paraId="0929B608" w14:textId="77777777" w:rsidR="0024424C" w:rsidRPr="006F2777" w:rsidRDefault="0024424C" w:rsidP="0024424C"/>
    <w:p w14:paraId="03DED330" w14:textId="77777777" w:rsidR="001A3992" w:rsidRDefault="00F735C4" w:rsidP="00282E87">
      <w:pPr>
        <w:pStyle w:val="Heading1"/>
      </w:pPr>
      <w:r>
        <w:t>Date of revision</w:t>
      </w:r>
    </w:p>
    <w:p w14:paraId="5D194BE5" w14:textId="15723D29" w:rsidR="0004484B" w:rsidRDefault="006E674A" w:rsidP="0024424C">
      <w:r>
        <w:t>15/09/2021</w:t>
      </w:r>
    </w:p>
    <w:p w14:paraId="45B7BD4B" w14:textId="77777777" w:rsidR="0024424C" w:rsidRPr="0004484B" w:rsidRDefault="0024424C" w:rsidP="0024424C"/>
    <w:p w14:paraId="2E817C3D" w14:textId="77777777" w:rsidR="001A3992" w:rsidRPr="00497C85" w:rsidRDefault="001A3992" w:rsidP="00AC561A">
      <w:pPr>
        <w:pStyle w:val="Heading3"/>
        <w:rPr>
          <w:lang w:val="en-US"/>
        </w:rPr>
      </w:pPr>
      <w:r w:rsidRPr="00497C85">
        <w:rPr>
          <w:lang w:val="en-US"/>
        </w:rPr>
        <w:t xml:space="preserve">Summary </w:t>
      </w:r>
      <w:r w:rsidR="002C6309">
        <w:rPr>
          <w:lang w:val="en-US"/>
        </w:rPr>
        <w:t>T</w:t>
      </w:r>
      <w:r w:rsidRPr="00497C85">
        <w:rPr>
          <w:lang w:val="en-US"/>
        </w:rPr>
        <w:t xml:space="preserve">able of </w:t>
      </w:r>
      <w:r w:rsidR="002C6309">
        <w:rPr>
          <w:lang w:val="en-US"/>
        </w:rPr>
        <w:t>C</w:t>
      </w:r>
      <w:r w:rsidRPr="00497C85">
        <w:rPr>
          <w:lang w:val="en-US"/>
        </w:rPr>
        <w:t>hanges</w:t>
      </w:r>
    </w:p>
    <w:tbl>
      <w:tblPr>
        <w:tblStyle w:val="LightGrid"/>
        <w:tblW w:w="0" w:type="auto"/>
        <w:tblCellMar>
          <w:top w:w="57" w:type="dxa"/>
          <w:bottom w:w="57" w:type="dxa"/>
        </w:tblCellMar>
        <w:tblLook w:val="06A0" w:firstRow="1" w:lastRow="0" w:firstColumn="1" w:lastColumn="0" w:noHBand="1" w:noVBand="1"/>
      </w:tblPr>
      <w:tblGrid>
        <w:gridCol w:w="1809"/>
        <w:gridCol w:w="7433"/>
      </w:tblGrid>
      <w:tr w:rsidR="00ED0937" w:rsidRPr="00497C85" w14:paraId="3F92AF07" w14:textId="77777777" w:rsidTr="002C63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14:paraId="38880727" w14:textId="77777777" w:rsidR="00ED0937" w:rsidRPr="0024424C" w:rsidRDefault="00ED0937" w:rsidP="002C6309">
            <w:pPr>
              <w:rPr>
                <w:rFonts w:cs="Times New Roman"/>
              </w:rPr>
            </w:pPr>
            <w:r w:rsidRPr="0024424C">
              <w:rPr>
                <w:rFonts w:cs="Times New Roman"/>
              </w:rPr>
              <w:t>Section Changed</w:t>
            </w:r>
          </w:p>
        </w:tc>
        <w:tc>
          <w:tcPr>
            <w:tcW w:w="7433" w:type="dxa"/>
            <w:shd w:val="clear" w:color="auto" w:fill="auto"/>
            <w:vAlign w:val="center"/>
          </w:tcPr>
          <w:p w14:paraId="55873896" w14:textId="77777777" w:rsidR="00ED0937" w:rsidRPr="0024424C" w:rsidRDefault="00ED0937" w:rsidP="002C6309">
            <w:pPr>
              <w:cnfStyle w:val="100000000000" w:firstRow="1" w:lastRow="0" w:firstColumn="0" w:lastColumn="0" w:oddVBand="0" w:evenVBand="0" w:oddHBand="0" w:evenHBand="0" w:firstRowFirstColumn="0" w:firstRowLastColumn="0" w:lastRowFirstColumn="0" w:lastRowLastColumn="0"/>
              <w:rPr>
                <w:rFonts w:cs="Times New Roman"/>
              </w:rPr>
            </w:pPr>
            <w:r w:rsidRPr="0024424C">
              <w:rPr>
                <w:rFonts w:cs="Times New Roman"/>
              </w:rPr>
              <w:t xml:space="preserve">Summary of </w:t>
            </w:r>
            <w:r w:rsidR="002C6309" w:rsidRPr="0024424C">
              <w:rPr>
                <w:rFonts w:cs="Times New Roman"/>
              </w:rPr>
              <w:t>New I</w:t>
            </w:r>
            <w:r w:rsidRPr="0024424C">
              <w:rPr>
                <w:rFonts w:cs="Times New Roman"/>
              </w:rPr>
              <w:t>nformation</w:t>
            </w:r>
          </w:p>
        </w:tc>
      </w:tr>
      <w:tr w:rsidR="003E4166" w:rsidRPr="00497C85" w:rsidDel="00CB685D" w14:paraId="76B2D10F" w14:textId="77777777" w:rsidTr="002C6309">
        <w:tc>
          <w:tcPr>
            <w:cnfStyle w:val="001000000000" w:firstRow="0" w:lastRow="0" w:firstColumn="1" w:lastColumn="0" w:oddVBand="0" w:evenVBand="0" w:oddHBand="0" w:evenHBand="0" w:firstRowFirstColumn="0" w:firstRowLastColumn="0" w:lastRowFirstColumn="0" w:lastRowLastColumn="0"/>
            <w:tcW w:w="1809" w:type="dxa"/>
            <w:vAlign w:val="center"/>
          </w:tcPr>
          <w:p w14:paraId="133CB256" w14:textId="450B15F3" w:rsidR="003E4166" w:rsidDel="00CB685D" w:rsidRDefault="003E4166" w:rsidP="002C6309">
            <w:pPr>
              <w:rPr>
                <w:rFonts w:cs="Times New Roman"/>
              </w:rPr>
            </w:pPr>
            <w:r>
              <w:rPr>
                <w:rFonts w:cs="Times New Roman"/>
              </w:rPr>
              <w:t>2</w:t>
            </w:r>
          </w:p>
        </w:tc>
        <w:tc>
          <w:tcPr>
            <w:tcW w:w="7433" w:type="dxa"/>
            <w:vAlign w:val="center"/>
          </w:tcPr>
          <w:p w14:paraId="1A923974" w14:textId="7F490804" w:rsidR="003E4166" w:rsidDel="00CB685D" w:rsidRDefault="003E4166" w:rsidP="002C630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Updated strain composition for 2021 influenza season</w:t>
            </w:r>
          </w:p>
        </w:tc>
      </w:tr>
      <w:tr w:rsidR="00CB685D" w:rsidRPr="00497C85" w14:paraId="67C1F50B" w14:textId="77777777" w:rsidTr="002C6309">
        <w:tc>
          <w:tcPr>
            <w:cnfStyle w:val="001000000000" w:firstRow="0" w:lastRow="0" w:firstColumn="1" w:lastColumn="0" w:oddVBand="0" w:evenVBand="0" w:oddHBand="0" w:evenHBand="0" w:firstRowFirstColumn="0" w:firstRowLastColumn="0" w:lastRowFirstColumn="0" w:lastRowLastColumn="0"/>
            <w:tcW w:w="1809" w:type="dxa"/>
            <w:vAlign w:val="center"/>
          </w:tcPr>
          <w:p w14:paraId="46F03ABD" w14:textId="40CDEC86" w:rsidR="00CB685D" w:rsidRDefault="00CB685D" w:rsidP="002C6309">
            <w:pPr>
              <w:rPr>
                <w:rFonts w:cs="Times New Roman"/>
              </w:rPr>
            </w:pPr>
            <w:r>
              <w:rPr>
                <w:rFonts w:cs="Times New Roman"/>
              </w:rPr>
              <w:t>4.1, 4.2, 4.4, 4.8, 5.1</w:t>
            </w:r>
          </w:p>
        </w:tc>
        <w:tc>
          <w:tcPr>
            <w:tcW w:w="7433" w:type="dxa"/>
            <w:vAlign w:val="center"/>
          </w:tcPr>
          <w:p w14:paraId="090A35E3" w14:textId="522F998E" w:rsidR="00CB685D" w:rsidRDefault="00CB685D" w:rsidP="002C6309">
            <w:pPr>
              <w:cnfStyle w:val="000000000000" w:firstRow="0" w:lastRow="0" w:firstColumn="0" w:lastColumn="0" w:oddVBand="0" w:evenVBand="0" w:oddHBand="0" w:evenHBand="0" w:firstRowFirstColumn="0" w:firstRowLastColumn="0" w:lastRowFirstColumn="0" w:lastRowLastColumn="0"/>
              <w:rPr>
                <w:rFonts w:cs="Times New Roman"/>
              </w:rPr>
            </w:pPr>
            <w:r w:rsidRPr="00CB685D">
              <w:rPr>
                <w:rFonts w:cs="Times New Roman"/>
              </w:rPr>
              <w:t>Extension of indication to children 6 months and above</w:t>
            </w:r>
          </w:p>
        </w:tc>
      </w:tr>
      <w:tr w:rsidR="003E4166" w:rsidRPr="00497C85" w14:paraId="045A8E21" w14:textId="77777777" w:rsidTr="002C6309">
        <w:tc>
          <w:tcPr>
            <w:cnfStyle w:val="001000000000" w:firstRow="0" w:lastRow="0" w:firstColumn="1" w:lastColumn="0" w:oddVBand="0" w:evenVBand="0" w:oddHBand="0" w:evenHBand="0" w:firstRowFirstColumn="0" w:firstRowLastColumn="0" w:lastRowFirstColumn="0" w:lastRowLastColumn="0"/>
            <w:tcW w:w="1809" w:type="dxa"/>
            <w:vAlign w:val="center"/>
          </w:tcPr>
          <w:p w14:paraId="32D1EAD2" w14:textId="35D366A0" w:rsidR="003E4166" w:rsidRDefault="003E4166" w:rsidP="002C6309">
            <w:pPr>
              <w:rPr>
                <w:rFonts w:cs="Times New Roman"/>
              </w:rPr>
            </w:pPr>
            <w:r>
              <w:rPr>
                <w:rFonts w:cs="Times New Roman"/>
              </w:rPr>
              <w:t>4.8, 4.9, 8</w:t>
            </w:r>
          </w:p>
        </w:tc>
        <w:tc>
          <w:tcPr>
            <w:tcW w:w="7433" w:type="dxa"/>
            <w:vAlign w:val="center"/>
          </w:tcPr>
          <w:p w14:paraId="3A2A5062" w14:textId="5B0B46AB" w:rsidR="003E4166" w:rsidRPr="00CB685D" w:rsidRDefault="003E4166" w:rsidP="002C6309">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Addition of NZ details</w:t>
            </w:r>
          </w:p>
        </w:tc>
      </w:tr>
    </w:tbl>
    <w:p w14:paraId="262A5C40" w14:textId="77777777" w:rsidR="001A3992" w:rsidRPr="00497C85" w:rsidRDefault="001A3992" w:rsidP="001A3992">
      <w:pPr>
        <w:rPr>
          <w:rFonts w:asciiTheme="majorHAnsi" w:hAnsiTheme="majorHAnsi" w:cstheme="minorHAnsi"/>
          <w:lang w:val="en-US"/>
        </w:rPr>
      </w:pPr>
    </w:p>
    <w:p w14:paraId="7322030A" w14:textId="77777777" w:rsidR="0024424C" w:rsidRDefault="0024424C" w:rsidP="00AC561A">
      <w:pPr>
        <w:pStyle w:val="In-housecoding"/>
      </w:pPr>
    </w:p>
    <w:p w14:paraId="4221BE38" w14:textId="31C2CE0E" w:rsidR="00960CD5" w:rsidRPr="00BD242F" w:rsidRDefault="00917AF7" w:rsidP="00AC561A">
      <w:pPr>
        <w:pStyle w:val="In-housecoding"/>
      </w:pPr>
      <w:r>
        <w:t xml:space="preserve">INFLUVAC </w:t>
      </w:r>
      <w:proofErr w:type="spellStart"/>
      <w:r>
        <w:t>TETRA</w:t>
      </w:r>
      <w:r w:rsidR="002D1E2C" w:rsidRPr="00BD242F">
        <w:t>_pi</w:t>
      </w:r>
      <w:proofErr w:type="spellEnd"/>
      <w:r w:rsidR="002D1E2C" w:rsidRPr="00BD242F">
        <w:t>\</w:t>
      </w:r>
      <w:r>
        <w:t>Sep</w:t>
      </w:r>
      <w:r w:rsidR="003E4166">
        <w:t>21</w:t>
      </w:r>
      <w:r w:rsidR="002D1E2C" w:rsidRPr="00BD242F">
        <w:t>/0</w:t>
      </w:r>
      <w:r w:rsidR="00A9117E">
        <w:t>0</w:t>
      </w:r>
    </w:p>
    <w:sectPr w:rsidR="00960CD5" w:rsidRPr="00BD242F" w:rsidSect="008C601A">
      <w:headerReference w:type="even" r:id="rId13"/>
      <w:headerReference w:type="default" r:id="rId14"/>
      <w:footerReference w:type="even" r:id="rId15"/>
      <w:footerReference w:type="default" r:id="rId16"/>
      <w:headerReference w:type="first" r:id="rId17"/>
      <w:footerReference w:type="first" r:id="rId18"/>
      <w:pgSz w:w="11906" w:h="16838"/>
      <w:pgMar w:top="1008" w:right="1152" w:bottom="1008"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758CE" w14:textId="77777777" w:rsidR="00E46072" w:rsidRDefault="00E46072" w:rsidP="001A3992">
      <w:r>
        <w:separator/>
      </w:r>
    </w:p>
  </w:endnote>
  <w:endnote w:type="continuationSeparator" w:id="0">
    <w:p w14:paraId="009B3743" w14:textId="77777777" w:rsidR="00E46072" w:rsidRDefault="00E46072" w:rsidP="001A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5D500" w14:textId="77777777" w:rsidR="00673A54" w:rsidRDefault="00673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68F73" w14:textId="77777777" w:rsidR="00673A54" w:rsidRPr="00B8074A" w:rsidRDefault="00673A54" w:rsidP="001F410F">
    <w:pP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31BC7" w14:textId="77777777" w:rsidR="00673A54" w:rsidRDefault="00673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6A28D" w14:textId="77777777" w:rsidR="00E46072" w:rsidRDefault="00E46072" w:rsidP="001A3992">
      <w:r>
        <w:separator/>
      </w:r>
    </w:p>
  </w:footnote>
  <w:footnote w:type="continuationSeparator" w:id="0">
    <w:p w14:paraId="56056198" w14:textId="77777777" w:rsidR="00E46072" w:rsidRDefault="00E46072" w:rsidP="001A3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F3DB7" w14:textId="77777777" w:rsidR="00673A54" w:rsidRDefault="00673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B9D46" w14:textId="454CB0D2" w:rsidR="00673A54" w:rsidRPr="002C6309" w:rsidRDefault="00673A54" w:rsidP="001254D1">
    <w:pPr>
      <w:pStyle w:val="HeaderPI"/>
    </w:pPr>
    <w:r>
      <w:t>INFLUVAC</w:t>
    </w:r>
    <w:r w:rsidRPr="00B503EE">
      <w:rPr>
        <w:vertAlign w:val="superscript"/>
      </w:rPr>
      <w:t>®</w:t>
    </w:r>
    <w:r>
      <w:t xml:space="preserve"> TETRA</w:t>
    </w:r>
    <w:r w:rsidRPr="002C6309">
      <w:t xml:space="preserve"> – PRODUCT INFORMATION</w:t>
    </w:r>
    <w:r w:rsidRPr="002C6309">
      <w:ptab w:relativeTo="margin" w:alignment="right" w:leader="none"/>
    </w:r>
    <w:r w:rsidRPr="002C6309">
      <w:fldChar w:fldCharType="begin"/>
    </w:r>
    <w:r w:rsidRPr="002C6309">
      <w:instrText xml:space="preserve"> PAGE  \* Arabic  \* MERGEFORMAT </w:instrText>
    </w:r>
    <w:r w:rsidRPr="002C6309">
      <w:fldChar w:fldCharType="separate"/>
    </w:r>
    <w:r>
      <w:rPr>
        <w:noProof/>
      </w:rPr>
      <w:t>10</w:t>
    </w:r>
    <w:r w:rsidRPr="002C6309">
      <w:fldChar w:fldCharType="end"/>
    </w:r>
  </w:p>
  <w:p w14:paraId="0AAD503D" w14:textId="77777777" w:rsidR="00673A54" w:rsidRPr="002C6309" w:rsidRDefault="00673A54" w:rsidP="002C6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39"/>
    </w:tblGrid>
    <w:tr w:rsidR="002D1740" w:rsidRPr="000B2145" w14:paraId="41CB5EC7" w14:textId="77777777" w:rsidTr="001050A8">
      <w:trPr>
        <w:trHeight w:val="1012"/>
      </w:trPr>
      <w:tc>
        <w:tcPr>
          <w:tcW w:w="9039" w:type="dxa"/>
          <w:shd w:val="clear" w:color="auto" w:fill="E4F2E0"/>
        </w:tcPr>
        <w:p w14:paraId="153588BC" w14:textId="77777777" w:rsidR="002D1740" w:rsidRPr="000E4791" w:rsidRDefault="002D1740" w:rsidP="002D1740">
          <w:pPr>
            <w:pStyle w:val="Footer"/>
            <w:rPr>
              <w:b/>
              <w:sz w:val="18"/>
              <w:szCs w:val="18"/>
            </w:rPr>
          </w:pPr>
          <w:bookmarkStart w:id="4" w:name="_Hlk80611440"/>
          <w:r w:rsidRPr="000E4791">
            <w:rPr>
              <w:b/>
              <w:sz w:val="18"/>
              <w:szCs w:val="18"/>
            </w:rPr>
            <w:t>Attachment 1</w:t>
          </w:r>
          <w:r>
            <w:t xml:space="preserve"> </w:t>
          </w:r>
          <w:proofErr w:type="spellStart"/>
          <w:r w:rsidRPr="00F4623E">
            <w:rPr>
              <w:b/>
              <w:sz w:val="18"/>
              <w:szCs w:val="18"/>
            </w:rPr>
            <w:t>AusPAR</w:t>
          </w:r>
          <w:proofErr w:type="spellEnd"/>
          <w:r w:rsidRPr="00F4623E">
            <w:rPr>
              <w:b/>
              <w:sz w:val="18"/>
              <w:szCs w:val="18"/>
            </w:rPr>
            <w:t xml:space="preserve"> - </w:t>
          </w:r>
          <w:proofErr w:type="spellStart"/>
          <w:r w:rsidRPr="00F4623E">
            <w:rPr>
              <w:b/>
              <w:sz w:val="18"/>
              <w:szCs w:val="18"/>
            </w:rPr>
            <w:t>Influvac</w:t>
          </w:r>
          <w:proofErr w:type="spellEnd"/>
          <w:r w:rsidRPr="00F4623E">
            <w:rPr>
              <w:b/>
              <w:sz w:val="18"/>
              <w:szCs w:val="18"/>
            </w:rPr>
            <w:t xml:space="preserve"> Tetra - influenza virus haemagglutinin - </w:t>
          </w:r>
          <w:proofErr w:type="spellStart"/>
          <w:r w:rsidRPr="00F4623E">
            <w:rPr>
              <w:b/>
              <w:sz w:val="18"/>
              <w:szCs w:val="18"/>
            </w:rPr>
            <w:t>Viatris</w:t>
          </w:r>
          <w:proofErr w:type="spellEnd"/>
          <w:r w:rsidRPr="00F4623E">
            <w:rPr>
              <w:b/>
              <w:sz w:val="18"/>
              <w:szCs w:val="18"/>
            </w:rPr>
            <w:t xml:space="preserve"> Pty Ltd - PM-2020-04870-1-2</w:t>
          </w:r>
          <w:r>
            <w:rPr>
              <w:b/>
              <w:sz w:val="18"/>
              <w:szCs w:val="18"/>
            </w:rPr>
            <w:t xml:space="preserve"> </w:t>
          </w:r>
          <w:r w:rsidRPr="00F4623E">
            <w:rPr>
              <w:b/>
              <w:sz w:val="18"/>
              <w:szCs w:val="18"/>
            </w:rPr>
            <w:t>Final 18 March 2022</w:t>
          </w:r>
          <w:r w:rsidRPr="000E4791">
            <w:rPr>
              <w:b/>
            </w:rPr>
            <w:t>.</w:t>
          </w:r>
          <w:r w:rsidRPr="000E4791">
            <w:rPr>
              <w:b/>
              <w:sz w:val="18"/>
              <w:szCs w:val="18"/>
            </w:rPr>
            <w:t xml:space="preserve"> This is the Product Information that was approved with the submission described in this </w:t>
          </w:r>
          <w:proofErr w:type="spellStart"/>
          <w:r w:rsidRPr="000E4791">
            <w:rPr>
              <w:b/>
              <w:sz w:val="18"/>
              <w:szCs w:val="18"/>
            </w:rPr>
            <w:t>AusPAR</w:t>
          </w:r>
          <w:proofErr w:type="spellEnd"/>
          <w:r w:rsidRPr="000E4791">
            <w:rPr>
              <w:b/>
              <w:sz w:val="18"/>
              <w:szCs w:val="18"/>
            </w:rPr>
            <w:t>. It may have been superseded. For the most recent PI, please refer to the TGA website at &lt;</w:t>
          </w:r>
          <w:hyperlink r:id="rId1" w:history="1">
            <w:r w:rsidRPr="000E4791">
              <w:rPr>
                <w:rStyle w:val="Hyperlink"/>
                <w:b/>
                <w:sz w:val="18"/>
                <w:szCs w:val="18"/>
              </w:rPr>
              <w:t>https://www.tga.gov.au/product-information-pi</w:t>
            </w:r>
          </w:hyperlink>
          <w:r w:rsidRPr="000E4791">
            <w:rPr>
              <w:b/>
              <w:sz w:val="18"/>
              <w:szCs w:val="18"/>
              <w:u w:val="single"/>
            </w:rPr>
            <w:t>&gt;</w:t>
          </w:r>
        </w:p>
      </w:tc>
    </w:tr>
  </w:tbl>
  <w:bookmarkEnd w:id="4"/>
  <w:p w14:paraId="3247A111" w14:textId="05520935" w:rsidR="00673A54" w:rsidRDefault="00673A54" w:rsidP="001254D1">
    <w:pPr>
      <w:pStyle w:val="AustralianPI"/>
    </w:pPr>
    <w:r w:rsidRPr="00282E87">
      <w:rPr>
        <w:noProof/>
        <w:lang w:val="en-US"/>
      </w:rPr>
      <w:drawing>
        <wp:anchor distT="0" distB="0" distL="114300" distR="114300" simplePos="0" relativeHeight="251659264" behindDoc="1" locked="0" layoutInCell="1" allowOverlap="1" wp14:anchorId="11A29CC8" wp14:editId="4B2413C6">
          <wp:simplePos x="0" y="0"/>
          <wp:positionH relativeFrom="column">
            <wp:posOffset>4714875</wp:posOffset>
          </wp:positionH>
          <wp:positionV relativeFrom="paragraph">
            <wp:posOffset>359410</wp:posOffset>
          </wp:positionV>
          <wp:extent cx="1619250" cy="414020"/>
          <wp:effectExtent l="0" t="0" r="0" b="5080"/>
          <wp:wrapNone/>
          <wp:docPr id="1" name="Picture 2" descr="C:\Users\m509502\AppData\Local\Microsoft\Windows\Temporary Internet Files\Content.Outlook\4GARY5Q4\OUS Mylan Black Logo without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509502\AppData\Local\Microsoft\Windows\Temporary Internet Files\Content.Outlook\4GARY5Q4\OUS Mylan Black Logo without Tagline.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2072" b="24203"/>
                  <a:stretch/>
                </pic:blipFill>
                <pic:spPr bwMode="auto">
                  <a:xfrm>
                    <a:off x="0" y="0"/>
                    <a:ext cx="1619250" cy="41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7C85">
      <w:t>Australian P</w:t>
    </w:r>
    <w:r>
      <w:t xml:space="preserve">roduct </w:t>
    </w:r>
    <w:r w:rsidRPr="00497C85">
      <w:t>I</w:t>
    </w:r>
    <w:r>
      <w:t>nformation</w:t>
    </w:r>
  </w:p>
  <w:p w14:paraId="00FAD2E9" w14:textId="68477ACF" w:rsidR="00673A54" w:rsidRDefault="00673A54" w:rsidP="00FA1DF8">
    <w:pPr>
      <w:pStyle w:val="TradeName"/>
    </w:pPr>
    <w:r>
      <w:t>INFLUVAC</w:t>
    </w:r>
    <w:r w:rsidRPr="00E963DB">
      <w:rPr>
        <w:vertAlign w:val="superscript"/>
      </w:rPr>
      <w:t>®</w:t>
    </w:r>
    <w:r>
      <w:t xml:space="preserve"> TETRA </w:t>
    </w:r>
  </w:p>
  <w:p w14:paraId="3179DDEE" w14:textId="24A3F35A" w:rsidR="00673A54" w:rsidRPr="00EF054D" w:rsidRDefault="00673A54" w:rsidP="007E51CA">
    <w:pPr>
      <w:pStyle w:val="Activeingredientdosageform"/>
      <w:pBdr>
        <w:bottom w:val="single" w:sz="4" w:space="1" w:color="auto"/>
      </w:pBdr>
      <w:rPr>
        <w:sz w:val="22"/>
      </w:rPr>
    </w:pPr>
    <w:r>
      <w:rPr>
        <w:sz w:val="22"/>
      </w:rPr>
      <w:t>(Influenza virus haemagglutinin) Suspension for Injection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332008"/>
    <w:multiLevelType w:val="hybridMultilevel"/>
    <w:tmpl w:val="020A83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43499"/>
    <w:multiLevelType w:val="hybridMultilevel"/>
    <w:tmpl w:val="4D7AA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B07ECC"/>
    <w:multiLevelType w:val="hybridMultilevel"/>
    <w:tmpl w:val="67D86422"/>
    <w:lvl w:ilvl="0" w:tplc="833405A0">
      <w:start w:val="1"/>
      <w:numFmt w:val="decimal"/>
      <w:pStyle w:val="Body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60B38"/>
    <w:multiLevelType w:val="hybridMultilevel"/>
    <w:tmpl w:val="5206274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56AA0"/>
    <w:multiLevelType w:val="hybridMultilevel"/>
    <w:tmpl w:val="A576257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283B69"/>
    <w:multiLevelType w:val="hybridMultilevel"/>
    <w:tmpl w:val="E19EE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117D65"/>
    <w:multiLevelType w:val="hybridMultilevel"/>
    <w:tmpl w:val="A5CCF6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374835"/>
    <w:multiLevelType w:val="hybridMultilevel"/>
    <w:tmpl w:val="9E107B22"/>
    <w:lvl w:ilvl="0" w:tplc="ADF03F22">
      <w:start w:val="1"/>
      <w:numFmt w:val="bullet"/>
      <w:pStyle w:val="Bodydo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4645E"/>
    <w:multiLevelType w:val="hybridMultilevel"/>
    <w:tmpl w:val="641E5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CF7DB4"/>
    <w:multiLevelType w:val="hybridMultilevel"/>
    <w:tmpl w:val="6F24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1B383E"/>
    <w:multiLevelType w:val="hybridMultilevel"/>
    <w:tmpl w:val="B16630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E446BA"/>
    <w:multiLevelType w:val="hybridMultilevel"/>
    <w:tmpl w:val="2EB2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1956"/>
    <w:multiLevelType w:val="multilevel"/>
    <w:tmpl w:val="6D2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23ED7"/>
    <w:multiLevelType w:val="hybridMultilevel"/>
    <w:tmpl w:val="18083ABE"/>
    <w:lvl w:ilvl="0" w:tplc="AEF6A17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5617E2"/>
    <w:multiLevelType w:val="hybridMultilevel"/>
    <w:tmpl w:val="DFBAA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3F46ED"/>
    <w:multiLevelType w:val="hybridMultilevel"/>
    <w:tmpl w:val="EBFA5322"/>
    <w:lvl w:ilvl="0" w:tplc="73D05E9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2"/>
  </w:num>
  <w:num w:numId="4">
    <w:abstractNumId w:val="14"/>
  </w:num>
  <w:num w:numId="5">
    <w:abstractNumId w:val="25"/>
  </w:num>
  <w:num w:numId="6">
    <w:abstractNumId w:val="21"/>
  </w:num>
  <w:num w:numId="7">
    <w:abstractNumId w:val="16"/>
  </w:num>
  <w:num w:numId="8">
    <w:abstractNumId w:val="22"/>
  </w:num>
  <w:num w:numId="9">
    <w:abstractNumId w:val="8"/>
  </w:num>
  <w:num w:numId="10">
    <w:abstractNumId w:val="15"/>
  </w:num>
  <w:num w:numId="11">
    <w:abstractNumId w:val="9"/>
  </w:num>
  <w:num w:numId="12">
    <w:abstractNumId w:val="23"/>
  </w:num>
  <w:num w:numId="13">
    <w:abstractNumId w:val="5"/>
  </w:num>
  <w:num w:numId="14">
    <w:abstractNumId w:val="13"/>
  </w:num>
  <w:num w:numId="15">
    <w:abstractNumId w:val="17"/>
  </w:num>
  <w:num w:numId="16">
    <w:abstractNumId w:val="12"/>
  </w:num>
  <w:num w:numId="17">
    <w:abstractNumId w:val="10"/>
  </w:num>
  <w:num w:numId="18">
    <w:abstractNumId w:val="3"/>
  </w:num>
  <w:num w:numId="19">
    <w:abstractNumId w:val="11"/>
  </w:num>
  <w:num w:numId="20">
    <w:abstractNumId w:val="6"/>
  </w:num>
  <w:num w:numId="21">
    <w:abstractNumId w:val="24"/>
  </w:num>
  <w:num w:numId="22">
    <w:abstractNumId w:val="7"/>
  </w:num>
  <w:num w:numId="23">
    <w:abstractNumId w:val="0"/>
  </w:num>
  <w:num w:numId="24">
    <w:abstractNumId w:val="18"/>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DB"/>
    <w:rsid w:val="000002EC"/>
    <w:rsid w:val="000034FC"/>
    <w:rsid w:val="0001192A"/>
    <w:rsid w:val="00011C67"/>
    <w:rsid w:val="000243D6"/>
    <w:rsid w:val="00030379"/>
    <w:rsid w:val="0003549A"/>
    <w:rsid w:val="00040FDD"/>
    <w:rsid w:val="000429C1"/>
    <w:rsid w:val="0004484B"/>
    <w:rsid w:val="00045FD6"/>
    <w:rsid w:val="00052A87"/>
    <w:rsid w:val="00054C5A"/>
    <w:rsid w:val="000561B0"/>
    <w:rsid w:val="00076205"/>
    <w:rsid w:val="00082425"/>
    <w:rsid w:val="0009242F"/>
    <w:rsid w:val="00096285"/>
    <w:rsid w:val="000965C1"/>
    <w:rsid w:val="000A1C2D"/>
    <w:rsid w:val="00100496"/>
    <w:rsid w:val="00103BE5"/>
    <w:rsid w:val="00105DA9"/>
    <w:rsid w:val="00106F07"/>
    <w:rsid w:val="001254D1"/>
    <w:rsid w:val="0012573D"/>
    <w:rsid w:val="0013662C"/>
    <w:rsid w:val="0015240E"/>
    <w:rsid w:val="0015686D"/>
    <w:rsid w:val="00157C10"/>
    <w:rsid w:val="00166858"/>
    <w:rsid w:val="001737EF"/>
    <w:rsid w:val="00197F46"/>
    <w:rsid w:val="001A0D1A"/>
    <w:rsid w:val="001A3992"/>
    <w:rsid w:val="001B4C97"/>
    <w:rsid w:val="001B714F"/>
    <w:rsid w:val="001B7C42"/>
    <w:rsid w:val="001C17EF"/>
    <w:rsid w:val="001D7495"/>
    <w:rsid w:val="001D7EFF"/>
    <w:rsid w:val="001F15C3"/>
    <w:rsid w:val="001F410F"/>
    <w:rsid w:val="0024424C"/>
    <w:rsid w:val="0024529A"/>
    <w:rsid w:val="00252BC8"/>
    <w:rsid w:val="002563C2"/>
    <w:rsid w:val="0026113B"/>
    <w:rsid w:val="00262949"/>
    <w:rsid w:val="00270401"/>
    <w:rsid w:val="00272AB9"/>
    <w:rsid w:val="00273668"/>
    <w:rsid w:val="0027402F"/>
    <w:rsid w:val="00274D4D"/>
    <w:rsid w:val="002812A3"/>
    <w:rsid w:val="002816C7"/>
    <w:rsid w:val="00282E87"/>
    <w:rsid w:val="00284745"/>
    <w:rsid w:val="002934ED"/>
    <w:rsid w:val="002957D7"/>
    <w:rsid w:val="002B2286"/>
    <w:rsid w:val="002B23AA"/>
    <w:rsid w:val="002B424E"/>
    <w:rsid w:val="002C106E"/>
    <w:rsid w:val="002C6309"/>
    <w:rsid w:val="002D1740"/>
    <w:rsid w:val="002D1E2C"/>
    <w:rsid w:val="002D360C"/>
    <w:rsid w:val="002E277D"/>
    <w:rsid w:val="002E3075"/>
    <w:rsid w:val="002E3487"/>
    <w:rsid w:val="002E652B"/>
    <w:rsid w:val="002F6416"/>
    <w:rsid w:val="0032218A"/>
    <w:rsid w:val="0032236F"/>
    <w:rsid w:val="00322873"/>
    <w:rsid w:val="00365CFF"/>
    <w:rsid w:val="0037107A"/>
    <w:rsid w:val="003808BD"/>
    <w:rsid w:val="00381B1C"/>
    <w:rsid w:val="003859B8"/>
    <w:rsid w:val="00397541"/>
    <w:rsid w:val="003A11D6"/>
    <w:rsid w:val="003E4166"/>
    <w:rsid w:val="003F2487"/>
    <w:rsid w:val="003F5D02"/>
    <w:rsid w:val="003F6345"/>
    <w:rsid w:val="004032BD"/>
    <w:rsid w:val="004112BE"/>
    <w:rsid w:val="004120DD"/>
    <w:rsid w:val="004212D8"/>
    <w:rsid w:val="00431ACD"/>
    <w:rsid w:val="00433136"/>
    <w:rsid w:val="00443D0D"/>
    <w:rsid w:val="00457649"/>
    <w:rsid w:val="00490C22"/>
    <w:rsid w:val="00493CCD"/>
    <w:rsid w:val="00497C85"/>
    <w:rsid w:val="004A0FD3"/>
    <w:rsid w:val="004A73A3"/>
    <w:rsid w:val="004B0FAF"/>
    <w:rsid w:val="004B10D9"/>
    <w:rsid w:val="00502437"/>
    <w:rsid w:val="005045DA"/>
    <w:rsid w:val="00512BA0"/>
    <w:rsid w:val="0051463F"/>
    <w:rsid w:val="005147C1"/>
    <w:rsid w:val="00536D81"/>
    <w:rsid w:val="00550A97"/>
    <w:rsid w:val="00551E8C"/>
    <w:rsid w:val="00556547"/>
    <w:rsid w:val="005647B2"/>
    <w:rsid w:val="00571BAC"/>
    <w:rsid w:val="00573399"/>
    <w:rsid w:val="00576707"/>
    <w:rsid w:val="005C0A41"/>
    <w:rsid w:val="005D3E38"/>
    <w:rsid w:val="005F2A08"/>
    <w:rsid w:val="0060327C"/>
    <w:rsid w:val="00613DB8"/>
    <w:rsid w:val="006165BA"/>
    <w:rsid w:val="00644585"/>
    <w:rsid w:val="006470E3"/>
    <w:rsid w:val="00651008"/>
    <w:rsid w:val="00653382"/>
    <w:rsid w:val="006551EC"/>
    <w:rsid w:val="0066633F"/>
    <w:rsid w:val="00673A54"/>
    <w:rsid w:val="00677840"/>
    <w:rsid w:val="00680C7C"/>
    <w:rsid w:val="00687198"/>
    <w:rsid w:val="006917CB"/>
    <w:rsid w:val="00695DD9"/>
    <w:rsid w:val="006A0214"/>
    <w:rsid w:val="006A1357"/>
    <w:rsid w:val="006A6018"/>
    <w:rsid w:val="006B39CC"/>
    <w:rsid w:val="006C08E4"/>
    <w:rsid w:val="006C73B6"/>
    <w:rsid w:val="006D32EF"/>
    <w:rsid w:val="006D661F"/>
    <w:rsid w:val="006D690D"/>
    <w:rsid w:val="006E4787"/>
    <w:rsid w:val="006E674A"/>
    <w:rsid w:val="006E763A"/>
    <w:rsid w:val="006F2777"/>
    <w:rsid w:val="00703389"/>
    <w:rsid w:val="0070583E"/>
    <w:rsid w:val="00711699"/>
    <w:rsid w:val="007151C8"/>
    <w:rsid w:val="00722421"/>
    <w:rsid w:val="007232E9"/>
    <w:rsid w:val="00723D38"/>
    <w:rsid w:val="00727262"/>
    <w:rsid w:val="00731E04"/>
    <w:rsid w:val="00737723"/>
    <w:rsid w:val="0074460F"/>
    <w:rsid w:val="00752142"/>
    <w:rsid w:val="00773E1C"/>
    <w:rsid w:val="007807A0"/>
    <w:rsid w:val="00787A52"/>
    <w:rsid w:val="007A2EDD"/>
    <w:rsid w:val="007A6118"/>
    <w:rsid w:val="007A6C7D"/>
    <w:rsid w:val="007D10B6"/>
    <w:rsid w:val="007D675E"/>
    <w:rsid w:val="007E51CA"/>
    <w:rsid w:val="007E57C9"/>
    <w:rsid w:val="007E693C"/>
    <w:rsid w:val="008017FD"/>
    <w:rsid w:val="00805854"/>
    <w:rsid w:val="00806F93"/>
    <w:rsid w:val="00816402"/>
    <w:rsid w:val="00823926"/>
    <w:rsid w:val="00825358"/>
    <w:rsid w:val="00825B9A"/>
    <w:rsid w:val="008313E4"/>
    <w:rsid w:val="00847E8C"/>
    <w:rsid w:val="00856E86"/>
    <w:rsid w:val="00857799"/>
    <w:rsid w:val="00867FBC"/>
    <w:rsid w:val="0087192C"/>
    <w:rsid w:val="0087229E"/>
    <w:rsid w:val="008807E2"/>
    <w:rsid w:val="00882532"/>
    <w:rsid w:val="008A14AE"/>
    <w:rsid w:val="008A1652"/>
    <w:rsid w:val="008C1A92"/>
    <w:rsid w:val="008C601A"/>
    <w:rsid w:val="008E18CA"/>
    <w:rsid w:val="008E3A2D"/>
    <w:rsid w:val="008E4B2F"/>
    <w:rsid w:val="008F04FE"/>
    <w:rsid w:val="008F6611"/>
    <w:rsid w:val="0091791E"/>
    <w:rsid w:val="00917AF7"/>
    <w:rsid w:val="00943979"/>
    <w:rsid w:val="00960CD5"/>
    <w:rsid w:val="009620DB"/>
    <w:rsid w:val="00977D49"/>
    <w:rsid w:val="009A4A07"/>
    <w:rsid w:val="009C15FC"/>
    <w:rsid w:val="009D53A5"/>
    <w:rsid w:val="009D7765"/>
    <w:rsid w:val="009E04FD"/>
    <w:rsid w:val="009E204B"/>
    <w:rsid w:val="009F0772"/>
    <w:rsid w:val="00A11F7B"/>
    <w:rsid w:val="00A405E0"/>
    <w:rsid w:val="00A4755F"/>
    <w:rsid w:val="00A64446"/>
    <w:rsid w:val="00A70925"/>
    <w:rsid w:val="00A70DBE"/>
    <w:rsid w:val="00A86FED"/>
    <w:rsid w:val="00A9117E"/>
    <w:rsid w:val="00A96B33"/>
    <w:rsid w:val="00AB48FC"/>
    <w:rsid w:val="00AC2CE7"/>
    <w:rsid w:val="00AC561A"/>
    <w:rsid w:val="00AE09B5"/>
    <w:rsid w:val="00AF2707"/>
    <w:rsid w:val="00AF6712"/>
    <w:rsid w:val="00AF7DC8"/>
    <w:rsid w:val="00B006C6"/>
    <w:rsid w:val="00B07244"/>
    <w:rsid w:val="00B1775A"/>
    <w:rsid w:val="00B23C6B"/>
    <w:rsid w:val="00B37C9F"/>
    <w:rsid w:val="00B416A9"/>
    <w:rsid w:val="00B503EE"/>
    <w:rsid w:val="00B55DAF"/>
    <w:rsid w:val="00B60449"/>
    <w:rsid w:val="00B610A7"/>
    <w:rsid w:val="00B640F6"/>
    <w:rsid w:val="00B64B3A"/>
    <w:rsid w:val="00B67747"/>
    <w:rsid w:val="00B67B13"/>
    <w:rsid w:val="00B71EB3"/>
    <w:rsid w:val="00B824B6"/>
    <w:rsid w:val="00B91882"/>
    <w:rsid w:val="00BA5229"/>
    <w:rsid w:val="00BA6E68"/>
    <w:rsid w:val="00BB157E"/>
    <w:rsid w:val="00BD242F"/>
    <w:rsid w:val="00BD29AF"/>
    <w:rsid w:val="00BD4BAA"/>
    <w:rsid w:val="00BE7241"/>
    <w:rsid w:val="00BF5B5E"/>
    <w:rsid w:val="00C141BA"/>
    <w:rsid w:val="00C204BE"/>
    <w:rsid w:val="00C33299"/>
    <w:rsid w:val="00C373D7"/>
    <w:rsid w:val="00C37524"/>
    <w:rsid w:val="00C64296"/>
    <w:rsid w:val="00C74386"/>
    <w:rsid w:val="00C81B2F"/>
    <w:rsid w:val="00C878AD"/>
    <w:rsid w:val="00CA24E5"/>
    <w:rsid w:val="00CA281F"/>
    <w:rsid w:val="00CA2FC1"/>
    <w:rsid w:val="00CA33CF"/>
    <w:rsid w:val="00CA66AD"/>
    <w:rsid w:val="00CA6CCF"/>
    <w:rsid w:val="00CA7802"/>
    <w:rsid w:val="00CB60C0"/>
    <w:rsid w:val="00CB685D"/>
    <w:rsid w:val="00CC2408"/>
    <w:rsid w:val="00CD011D"/>
    <w:rsid w:val="00CD038A"/>
    <w:rsid w:val="00CD0630"/>
    <w:rsid w:val="00CD4BE6"/>
    <w:rsid w:val="00D02364"/>
    <w:rsid w:val="00D04C2A"/>
    <w:rsid w:val="00D0514E"/>
    <w:rsid w:val="00D22084"/>
    <w:rsid w:val="00D24D44"/>
    <w:rsid w:val="00D331C2"/>
    <w:rsid w:val="00D42D51"/>
    <w:rsid w:val="00D43758"/>
    <w:rsid w:val="00D440CB"/>
    <w:rsid w:val="00D44BA0"/>
    <w:rsid w:val="00D546E6"/>
    <w:rsid w:val="00D705BB"/>
    <w:rsid w:val="00D85179"/>
    <w:rsid w:val="00DB0AE3"/>
    <w:rsid w:val="00DC46E8"/>
    <w:rsid w:val="00DC62F6"/>
    <w:rsid w:val="00DD298F"/>
    <w:rsid w:val="00DE3700"/>
    <w:rsid w:val="00DF5E99"/>
    <w:rsid w:val="00E0182B"/>
    <w:rsid w:val="00E0363C"/>
    <w:rsid w:val="00E03E43"/>
    <w:rsid w:val="00E11B8F"/>
    <w:rsid w:val="00E3622F"/>
    <w:rsid w:val="00E401F1"/>
    <w:rsid w:val="00E46072"/>
    <w:rsid w:val="00E64378"/>
    <w:rsid w:val="00E74A56"/>
    <w:rsid w:val="00E76145"/>
    <w:rsid w:val="00E76420"/>
    <w:rsid w:val="00E963DB"/>
    <w:rsid w:val="00EB2C06"/>
    <w:rsid w:val="00EB34D4"/>
    <w:rsid w:val="00EC68DD"/>
    <w:rsid w:val="00ED0937"/>
    <w:rsid w:val="00ED2AF8"/>
    <w:rsid w:val="00ED7BFE"/>
    <w:rsid w:val="00EF054D"/>
    <w:rsid w:val="00EF5A74"/>
    <w:rsid w:val="00F020D4"/>
    <w:rsid w:val="00F07AC0"/>
    <w:rsid w:val="00F153BE"/>
    <w:rsid w:val="00F2225D"/>
    <w:rsid w:val="00F347B6"/>
    <w:rsid w:val="00F34DFD"/>
    <w:rsid w:val="00F718EC"/>
    <w:rsid w:val="00F735C4"/>
    <w:rsid w:val="00FA1DF8"/>
    <w:rsid w:val="00FB47F2"/>
    <w:rsid w:val="00FC7B81"/>
    <w:rsid w:val="00FD2400"/>
    <w:rsid w:val="00FD2656"/>
    <w:rsid w:val="00FE5C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B3782E"/>
  <w15:docId w15:val="{2FD65693-0F99-48E6-94C2-C5B59A2F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f Content"/>
    <w:qFormat/>
    <w:rsid w:val="001254D1"/>
    <w:pPr>
      <w:spacing w:after="0" w:line="240" w:lineRule="auto"/>
      <w:jc w:val="both"/>
    </w:pPr>
    <w:rPr>
      <w:rFonts w:ascii="Times New Roman" w:hAnsi="Times New Roman"/>
    </w:rPr>
  </w:style>
  <w:style w:type="paragraph" w:styleId="Heading1">
    <w:name w:val="heading 1"/>
    <w:basedOn w:val="Normal"/>
    <w:next w:val="Normal"/>
    <w:link w:val="Heading1Char"/>
    <w:uiPriority w:val="3"/>
    <w:qFormat/>
    <w:rsid w:val="006D690D"/>
    <w:pPr>
      <w:keepNext/>
      <w:keepLines/>
      <w:numPr>
        <w:numId w:val="1"/>
      </w:numPr>
      <w:spacing w:before="240" w:after="120"/>
      <w:outlineLvl w:val="0"/>
    </w:pPr>
    <w:rPr>
      <w:rFonts w:ascii="Arial" w:eastAsiaTheme="majorEastAsia" w:hAnsi="Arial" w:cstheme="majorBidi"/>
      <w:b/>
      <w:bCs/>
      <w:caps/>
      <w:sz w:val="28"/>
      <w:szCs w:val="28"/>
    </w:rPr>
  </w:style>
  <w:style w:type="paragraph" w:styleId="Heading2">
    <w:name w:val="heading 2"/>
    <w:basedOn w:val="Normal"/>
    <w:next w:val="Normal"/>
    <w:link w:val="Heading2Char"/>
    <w:uiPriority w:val="3"/>
    <w:qFormat/>
    <w:rsid w:val="006D690D"/>
    <w:pPr>
      <w:numPr>
        <w:ilvl w:val="1"/>
        <w:numId w:val="1"/>
      </w:numPr>
      <w:spacing w:before="240" w:after="120"/>
      <w:outlineLvl w:val="1"/>
    </w:pPr>
    <w:rPr>
      <w:rFonts w:ascii="Arial" w:hAnsi="Arial"/>
      <w:b/>
      <w:caps/>
      <w:sz w:val="24"/>
    </w:rPr>
  </w:style>
  <w:style w:type="paragraph" w:styleId="Heading3">
    <w:name w:val="heading 3"/>
    <w:basedOn w:val="Normal"/>
    <w:next w:val="Normal"/>
    <w:link w:val="Heading3Char"/>
    <w:uiPriority w:val="3"/>
    <w:qFormat/>
    <w:rsid w:val="006D690D"/>
    <w:pPr>
      <w:keepNext/>
      <w:keepLines/>
      <w:spacing w:before="120" w:after="120"/>
      <w:outlineLvl w:val="2"/>
    </w:pPr>
    <w:rPr>
      <w:rFonts w:eastAsiaTheme="majorEastAsia" w:cstheme="majorBidi"/>
      <w:b/>
      <w:bCs/>
      <w:sz w:val="24"/>
    </w:rPr>
  </w:style>
  <w:style w:type="paragraph" w:styleId="Heading4">
    <w:name w:val="heading 4"/>
    <w:basedOn w:val="Normal"/>
    <w:next w:val="Normal"/>
    <w:link w:val="Heading4Char"/>
    <w:uiPriority w:val="9"/>
    <w:semiHidden/>
    <w:qFormat/>
    <w:rsid w:val="002812A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qFormat/>
    <w:rsid w:val="002812A3"/>
    <w:pPr>
      <w:keepNext/>
      <w:keepLines/>
      <w:spacing w:before="120" w:after="120"/>
      <w:outlineLvl w:val="4"/>
    </w:pPr>
    <w:rPr>
      <w:rFonts w:eastAsiaTheme="majorEastAsia" w:cstheme="majorBidi"/>
      <w:u w:val="single"/>
    </w:rPr>
  </w:style>
  <w:style w:type="paragraph" w:styleId="Heading6">
    <w:name w:val="heading 6"/>
    <w:basedOn w:val="Normal"/>
    <w:next w:val="Normal"/>
    <w:link w:val="Heading6Char"/>
    <w:uiPriority w:val="9"/>
    <w:semiHidden/>
    <w:qFormat/>
    <w:rsid w:val="002812A3"/>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254D1"/>
    <w:rPr>
      <w:rFonts w:ascii="Arial" w:eastAsiaTheme="majorEastAsia" w:hAnsi="Arial" w:cstheme="majorBidi"/>
      <w:b/>
      <w:bCs/>
      <w:caps/>
      <w:sz w:val="28"/>
      <w:szCs w:val="28"/>
    </w:rPr>
  </w:style>
  <w:style w:type="character" w:customStyle="1" w:styleId="Heading2Char">
    <w:name w:val="Heading 2 Char"/>
    <w:basedOn w:val="DefaultParagraphFont"/>
    <w:link w:val="Heading2"/>
    <w:uiPriority w:val="3"/>
    <w:rsid w:val="001254D1"/>
    <w:rPr>
      <w:rFonts w:ascii="Arial" w:hAnsi="Arial"/>
      <w:b/>
      <w:caps/>
      <w:sz w:val="24"/>
    </w:rPr>
  </w:style>
  <w:style w:type="character" w:customStyle="1" w:styleId="Heading3Char">
    <w:name w:val="Heading 3 Char"/>
    <w:basedOn w:val="DefaultParagraphFont"/>
    <w:link w:val="Heading3"/>
    <w:uiPriority w:val="3"/>
    <w:rsid w:val="001254D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semiHidden/>
    <w:rsid w:val="001254D1"/>
    <w:rPr>
      <w:rFonts w:ascii="Times New Roman" w:eastAsiaTheme="majorEastAsia" w:hAnsi="Times New Roman" w:cstheme="majorBidi"/>
      <w:b/>
      <w:bCs/>
      <w:i/>
      <w:iCs/>
    </w:rPr>
  </w:style>
  <w:style w:type="character" w:customStyle="1" w:styleId="Heading5Char">
    <w:name w:val="Heading 5 Char"/>
    <w:basedOn w:val="DefaultParagraphFont"/>
    <w:link w:val="Heading5"/>
    <w:uiPriority w:val="9"/>
    <w:semiHidden/>
    <w:rsid w:val="001254D1"/>
    <w:rPr>
      <w:rFonts w:ascii="Times New Roman" w:eastAsiaTheme="majorEastAsia" w:hAnsi="Times New Roman" w:cstheme="majorBidi"/>
      <w:u w:val="single"/>
    </w:rPr>
  </w:style>
  <w:style w:type="character" w:customStyle="1" w:styleId="Heading6Char">
    <w:name w:val="Heading 6 Char"/>
    <w:basedOn w:val="DefaultParagraphFont"/>
    <w:link w:val="Heading6"/>
    <w:uiPriority w:val="9"/>
    <w:semiHidden/>
    <w:rsid w:val="001254D1"/>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1254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254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4D1"/>
    <w:rPr>
      <w:rFonts w:asciiTheme="majorHAnsi" w:eastAsiaTheme="majorEastAsia" w:hAnsiTheme="majorHAnsi" w:cstheme="majorBidi"/>
      <w:i/>
      <w:iCs/>
      <w:color w:val="404040" w:themeColor="text1" w:themeTint="BF"/>
      <w:sz w:val="20"/>
      <w:szCs w:val="20"/>
    </w:rPr>
  </w:style>
  <w:style w:type="paragraph" w:customStyle="1" w:styleId="Subheading1">
    <w:name w:val="Subheading 1"/>
    <w:basedOn w:val="Normal"/>
    <w:next w:val="Normal"/>
    <w:qFormat/>
    <w:rsid w:val="001254D1"/>
    <w:pPr>
      <w:spacing w:before="120" w:after="120"/>
    </w:pPr>
    <w:rPr>
      <w:b/>
      <w:i/>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semiHidden/>
    <w:unhideWhenUsed/>
    <w:rsid w:val="001A3992"/>
    <w:rPr>
      <w:rFonts w:ascii="Cambria" w:hAnsi="Cambria"/>
      <w:sz w:val="20"/>
      <w:szCs w:val="20"/>
    </w:rPr>
  </w:style>
  <w:style w:type="character" w:customStyle="1" w:styleId="CommentTextChar">
    <w:name w:val="Comment Text Char"/>
    <w:basedOn w:val="DefaultParagraphFont"/>
    <w:link w:val="CommentText"/>
    <w:uiPriority w:val="99"/>
    <w:semiHidden/>
    <w:rsid w:val="001A3992"/>
    <w:rPr>
      <w:rFonts w:ascii="Cambria" w:hAnsi="Cambria"/>
      <w:sz w:val="20"/>
      <w:szCs w:val="20"/>
    </w:rPr>
  </w:style>
  <w:style w:type="paragraph" w:customStyle="1" w:styleId="Subheading2">
    <w:name w:val="Subheading 2"/>
    <w:basedOn w:val="Normal"/>
    <w:next w:val="Normal"/>
    <w:qFormat/>
    <w:rsid w:val="001254D1"/>
    <w:pPr>
      <w:spacing w:before="120" w:after="120"/>
    </w:pPr>
    <w:rPr>
      <w:u w:val="single"/>
    </w:rPr>
  </w:style>
  <w:style w:type="paragraph" w:customStyle="1" w:styleId="Bodynumbering">
    <w:name w:val="Body numbering"/>
    <w:basedOn w:val="Normal"/>
    <w:uiPriority w:val="4"/>
    <w:qFormat/>
    <w:rsid w:val="00CA2FC1"/>
    <w:pPr>
      <w:numPr>
        <w:numId w:val="18"/>
      </w:numPr>
    </w:pPr>
  </w:style>
  <w:style w:type="paragraph" w:customStyle="1" w:styleId="Subheading3">
    <w:name w:val="Subheading 3"/>
    <w:basedOn w:val="Normal"/>
    <w:next w:val="Normal"/>
    <w:qFormat/>
    <w:rsid w:val="001254D1"/>
    <w:pPr>
      <w:spacing w:before="120" w:after="120"/>
    </w:pPr>
    <w:rPr>
      <w:i/>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10"/>
    <w:semiHidden/>
    <w:rsid w:val="00CA6CCF"/>
    <w:pPr>
      <w:tabs>
        <w:tab w:val="center" w:pos="4513"/>
        <w:tab w:val="right" w:pos="9026"/>
      </w:tabs>
    </w:pPr>
  </w:style>
  <w:style w:type="character" w:customStyle="1" w:styleId="HeaderChar">
    <w:name w:val="Header Char"/>
    <w:basedOn w:val="DefaultParagraphFont"/>
    <w:link w:val="Header"/>
    <w:uiPriority w:val="10"/>
    <w:semiHidden/>
    <w:rsid w:val="001254D1"/>
    <w:rPr>
      <w:rFonts w:ascii="Times New Roman" w:hAnsi="Times New Roman"/>
    </w:rPr>
  </w:style>
  <w:style w:type="paragraph" w:customStyle="1" w:styleId="Activeingredientdosageform">
    <w:name w:val="Active ingredient dosage form"/>
    <w:basedOn w:val="Normal"/>
    <w:qFormat/>
    <w:rsid w:val="00F347B6"/>
    <w:rPr>
      <w:rFonts w:ascii="Arial" w:eastAsia="SimSun" w:hAnsi="Arial" w:cstheme="minorHAnsi"/>
      <w:i/>
      <w:sz w:val="20"/>
    </w:rPr>
  </w:style>
  <w:style w:type="paragraph" w:customStyle="1" w:styleId="TradeName">
    <w:name w:val="Trade Name"/>
    <w:basedOn w:val="Normal"/>
    <w:qFormat/>
    <w:rsid w:val="00F347B6"/>
    <w:rPr>
      <w:rFonts w:ascii="Arial" w:eastAsia="SimSun" w:hAnsi="Arial" w:cstheme="minorHAnsi"/>
      <w:b/>
      <w:caps/>
      <w:sz w:val="44"/>
    </w:rPr>
  </w:style>
  <w:style w:type="paragraph" w:customStyle="1" w:styleId="InstructionalText">
    <w:name w:val="Instructional Text"/>
    <w:basedOn w:val="Normal"/>
    <w:qFormat/>
    <w:rsid w:val="00BD29AF"/>
    <w:rPr>
      <w:i/>
      <w:color w:val="0070C0"/>
    </w:rPr>
  </w:style>
  <w:style w:type="character" w:customStyle="1" w:styleId="UnresolvedMention1">
    <w:name w:val="Unresolved Mention1"/>
    <w:basedOn w:val="DefaultParagraphFont"/>
    <w:uiPriority w:val="99"/>
    <w:semiHidden/>
    <w:unhideWhenUsed/>
    <w:rsid w:val="006F2777"/>
    <w:rPr>
      <w:color w:val="808080"/>
      <w:shd w:val="clear" w:color="auto" w:fill="E6E6E6"/>
    </w:rPr>
  </w:style>
  <w:style w:type="table" w:styleId="TableGrid">
    <w:name w:val="Table Grid"/>
    <w:basedOn w:val="TableNormal"/>
    <w:uiPriority w:val="59"/>
    <w:rsid w:val="00CA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otpoint">
    <w:name w:val="Body dot point"/>
    <w:basedOn w:val="Normal"/>
    <w:uiPriority w:val="4"/>
    <w:qFormat/>
    <w:rsid w:val="00FC7B81"/>
    <w:pPr>
      <w:numPr>
        <w:numId w:val="17"/>
      </w:numPr>
    </w:pPr>
  </w:style>
  <w:style w:type="paragraph" w:customStyle="1" w:styleId="TableTitle">
    <w:name w:val="Table Title"/>
    <w:basedOn w:val="Normal"/>
    <w:next w:val="Normal"/>
    <w:uiPriority w:val="5"/>
    <w:qFormat/>
    <w:rsid w:val="00CA2FC1"/>
    <w:rPr>
      <w:b/>
    </w:rPr>
  </w:style>
  <w:style w:type="paragraph" w:customStyle="1" w:styleId="TableHeading">
    <w:name w:val="Table Heading"/>
    <w:basedOn w:val="Normal"/>
    <w:uiPriority w:val="5"/>
    <w:qFormat/>
    <w:rsid w:val="00082425"/>
    <w:pPr>
      <w:spacing w:before="60" w:after="60"/>
    </w:pPr>
    <w:rPr>
      <w:b/>
    </w:rPr>
  </w:style>
  <w:style w:type="paragraph" w:customStyle="1" w:styleId="TableBody">
    <w:name w:val="Table Body"/>
    <w:basedOn w:val="Normal"/>
    <w:uiPriority w:val="5"/>
    <w:qFormat/>
    <w:rsid w:val="00082425"/>
    <w:pPr>
      <w:spacing w:before="60" w:after="60"/>
    </w:pPr>
  </w:style>
  <w:style w:type="paragraph" w:customStyle="1" w:styleId="In-housecoding">
    <w:name w:val="In-house coding"/>
    <w:basedOn w:val="Normal"/>
    <w:uiPriority w:val="6"/>
    <w:qFormat/>
    <w:rsid w:val="00AC561A"/>
    <w:rPr>
      <w:b/>
    </w:rPr>
  </w:style>
  <w:style w:type="paragraph" w:customStyle="1" w:styleId="HeaderPI">
    <w:name w:val="Header PI"/>
    <w:basedOn w:val="Normal"/>
    <w:qFormat/>
    <w:rsid w:val="00AC561A"/>
    <w:pPr>
      <w:pBdr>
        <w:bottom w:val="single" w:sz="4" w:space="1" w:color="auto"/>
      </w:pBdr>
    </w:pPr>
    <w:rPr>
      <w:sz w:val="20"/>
      <w:szCs w:val="20"/>
    </w:rPr>
  </w:style>
  <w:style w:type="paragraph" w:customStyle="1" w:styleId="AustralianPI">
    <w:name w:val="Australian PI"/>
    <w:basedOn w:val="Heading1"/>
    <w:next w:val="TradeName"/>
    <w:qFormat/>
    <w:rsid w:val="001254D1"/>
    <w:pPr>
      <w:numPr>
        <w:numId w:val="0"/>
      </w:numPr>
      <w:spacing w:before="120"/>
    </w:pPr>
    <w:rPr>
      <w:rFonts w:eastAsia="SimSun" w:cstheme="minorHAnsi"/>
    </w:rPr>
  </w:style>
  <w:style w:type="paragraph" w:styleId="Footer">
    <w:name w:val="footer"/>
    <w:basedOn w:val="Normal"/>
    <w:link w:val="FooterChar"/>
    <w:unhideWhenUsed/>
    <w:rsid w:val="00BA6E68"/>
    <w:pPr>
      <w:tabs>
        <w:tab w:val="center" w:pos="4680"/>
        <w:tab w:val="right" w:pos="9360"/>
      </w:tabs>
    </w:pPr>
  </w:style>
  <w:style w:type="character" w:customStyle="1" w:styleId="FooterChar">
    <w:name w:val="Footer Char"/>
    <w:basedOn w:val="DefaultParagraphFont"/>
    <w:link w:val="Footer"/>
    <w:rsid w:val="00BA6E68"/>
    <w:rPr>
      <w:rFonts w:ascii="Times New Roman" w:hAnsi="Times New Roman"/>
    </w:rPr>
  </w:style>
  <w:style w:type="paragraph" w:styleId="BodyText2">
    <w:name w:val="Body Text 2"/>
    <w:basedOn w:val="Normal"/>
    <w:link w:val="BodyText2Char"/>
    <w:rsid w:val="0015240E"/>
    <w:pPr>
      <w:spacing w:after="120"/>
      <w:jc w:val="left"/>
    </w:pPr>
    <w:rPr>
      <w:rFonts w:ascii="Arial" w:eastAsia="Times New Roman" w:hAnsi="Arial" w:cs="Times New Roman"/>
      <w:szCs w:val="20"/>
      <w:u w:val="single"/>
    </w:rPr>
  </w:style>
  <w:style w:type="character" w:customStyle="1" w:styleId="BodyText2Char">
    <w:name w:val="Body Text 2 Char"/>
    <w:basedOn w:val="DefaultParagraphFont"/>
    <w:link w:val="BodyText2"/>
    <w:rsid w:val="0015240E"/>
    <w:rPr>
      <w:rFonts w:ascii="Arial" w:eastAsia="Times New Roman" w:hAnsi="Arial" w:cs="Times New Roman"/>
      <w:szCs w:val="20"/>
      <w:u w:val="single"/>
    </w:rPr>
  </w:style>
  <w:style w:type="paragraph" w:styleId="ListParagraph">
    <w:name w:val="List Paragraph"/>
    <w:basedOn w:val="Normal"/>
    <w:uiPriority w:val="34"/>
    <w:rsid w:val="0015240E"/>
    <w:pPr>
      <w:ind w:left="720"/>
      <w:contextualSpacing/>
    </w:pPr>
  </w:style>
  <w:style w:type="paragraph" w:customStyle="1" w:styleId="Default">
    <w:name w:val="Default"/>
    <w:rsid w:val="0015240E"/>
    <w:pPr>
      <w:widowControl w:val="0"/>
      <w:autoSpaceDE w:val="0"/>
      <w:autoSpaceDN w:val="0"/>
      <w:adjustRightInd w:val="0"/>
      <w:spacing w:after="0" w:line="240" w:lineRule="auto"/>
    </w:pPr>
    <w:rPr>
      <w:rFonts w:ascii="Times New Roman" w:eastAsia="SimSun" w:hAnsi="Times New Roman" w:cs="Times New Roman"/>
      <w:color w:val="000000"/>
      <w:sz w:val="24"/>
      <w:szCs w:val="24"/>
      <w:lang w:val="nl-NL" w:eastAsia="zh-CN"/>
    </w:rPr>
  </w:style>
  <w:style w:type="paragraph" w:customStyle="1" w:styleId="TableLeft">
    <w:name w:val="Table Left"/>
    <w:qFormat/>
    <w:rsid w:val="0015240E"/>
    <w:pPr>
      <w:spacing w:after="60" w:line="240" w:lineRule="auto"/>
    </w:pPr>
    <w:rPr>
      <w:rFonts w:ascii="Times New Roman" w:eastAsia="Times New Roman" w:hAnsi="Times New Roman" w:cs="Arial"/>
      <w:bCs/>
      <w:kern w:val="32"/>
      <w:sz w:val="24"/>
      <w:szCs w:val="24"/>
      <w:lang w:val="en-US"/>
    </w:rPr>
  </w:style>
  <w:style w:type="paragraph" w:styleId="Date">
    <w:name w:val="Date"/>
    <w:basedOn w:val="Normal"/>
    <w:next w:val="Normal"/>
    <w:link w:val="DateChar"/>
    <w:uiPriority w:val="99"/>
    <w:semiHidden/>
    <w:unhideWhenUsed/>
    <w:rsid w:val="0024424C"/>
  </w:style>
  <w:style w:type="character" w:customStyle="1" w:styleId="DateChar">
    <w:name w:val="Date Char"/>
    <w:basedOn w:val="DefaultParagraphFont"/>
    <w:link w:val="Date"/>
    <w:uiPriority w:val="99"/>
    <w:semiHidden/>
    <w:rsid w:val="0024424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416A9"/>
    <w:rPr>
      <w:rFonts w:ascii="Times New Roman" w:hAnsi="Times New Roman"/>
      <w:b/>
      <w:bCs/>
    </w:rPr>
  </w:style>
  <w:style w:type="character" w:customStyle="1" w:styleId="CommentSubjectChar">
    <w:name w:val="Comment Subject Char"/>
    <w:basedOn w:val="CommentTextChar"/>
    <w:link w:val="CommentSubject"/>
    <w:uiPriority w:val="99"/>
    <w:semiHidden/>
    <w:rsid w:val="00B416A9"/>
    <w:rPr>
      <w:rFonts w:ascii="Times New Roman" w:hAnsi="Times New Roman"/>
      <w:b/>
      <w:bCs/>
      <w:sz w:val="20"/>
      <w:szCs w:val="20"/>
    </w:rPr>
  </w:style>
  <w:style w:type="character" w:styleId="Hyperlink">
    <w:name w:val="Hyperlink"/>
    <w:basedOn w:val="DefaultParagraphFont"/>
    <w:uiPriority w:val="99"/>
    <w:unhideWhenUsed/>
    <w:rsid w:val="00B67B13"/>
    <w:rPr>
      <w:color w:val="0000FF" w:themeColor="hyperlink"/>
      <w:u w:val="single"/>
    </w:rPr>
  </w:style>
  <w:style w:type="paragraph" w:styleId="Caption">
    <w:name w:val="caption"/>
    <w:basedOn w:val="Normal"/>
    <w:next w:val="Normal"/>
    <w:uiPriority w:val="35"/>
    <w:qFormat/>
    <w:rsid w:val="00A4755F"/>
    <w:pPr>
      <w:spacing w:after="240"/>
      <w:jc w:val="left"/>
    </w:pPr>
    <w:rPr>
      <w:rFonts w:eastAsia="Times New Roman" w:cs="Times New Roman"/>
      <w:b/>
      <w:bCs/>
      <w:sz w:val="24"/>
      <w:szCs w:val="20"/>
      <w:lang w:val="en-US"/>
    </w:rPr>
  </w:style>
  <w:style w:type="paragraph" w:styleId="Revision">
    <w:name w:val="Revision"/>
    <w:hidden/>
    <w:uiPriority w:val="99"/>
    <w:semiHidden/>
    <w:rsid w:val="0037107A"/>
    <w:pPr>
      <w:spacing w:after="0" w:line="240" w:lineRule="auto"/>
    </w:pPr>
    <w:rPr>
      <w:rFonts w:ascii="Times New Roman" w:hAnsi="Times New Roman"/>
    </w:rPr>
  </w:style>
  <w:style w:type="paragraph" w:styleId="Title">
    <w:name w:val="Title"/>
    <w:basedOn w:val="Normal"/>
    <w:link w:val="TitleChar"/>
    <w:qFormat/>
    <w:rsid w:val="00EB2C06"/>
    <w:pPr>
      <w:keepNext/>
      <w:keepLines/>
      <w:spacing w:after="240" w:line="360" w:lineRule="exact"/>
      <w:jc w:val="center"/>
    </w:pPr>
    <w:rPr>
      <w:rFonts w:ascii="Arial Black" w:eastAsia="Times New Roman" w:hAnsi="Arial Black" w:cs="Times New Roman"/>
      <w:sz w:val="30"/>
      <w:szCs w:val="24"/>
      <w:lang w:val="en-US"/>
    </w:rPr>
  </w:style>
  <w:style w:type="character" w:customStyle="1" w:styleId="TitleChar">
    <w:name w:val="Title Char"/>
    <w:basedOn w:val="DefaultParagraphFont"/>
    <w:link w:val="Title"/>
    <w:rsid w:val="00EB2C06"/>
    <w:rPr>
      <w:rFonts w:ascii="Arial Black" w:eastAsia="Times New Roman" w:hAnsi="Arial Black" w:cs="Times New Roman"/>
      <w:sz w:val="3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5236">
      <w:bodyDiv w:val="1"/>
      <w:marLeft w:val="0"/>
      <w:marRight w:val="0"/>
      <w:marTop w:val="0"/>
      <w:marBottom w:val="0"/>
      <w:divBdr>
        <w:top w:val="none" w:sz="0" w:space="0" w:color="auto"/>
        <w:left w:val="none" w:sz="0" w:space="0" w:color="auto"/>
        <w:bottom w:val="none" w:sz="0" w:space="0" w:color="auto"/>
        <w:right w:val="none" w:sz="0" w:space="0" w:color="auto"/>
      </w:divBdr>
    </w:div>
    <w:div w:id="421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ylan.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7C5D48FA91408EEB25DC535FA767" ma:contentTypeVersion="13" ma:contentTypeDescription="Create a new document." ma:contentTypeScope="" ma:versionID="2f9341da3bd07f0d0d4e4a5bc7a75a4c">
  <xsd:schema xmlns:xsd="http://www.w3.org/2001/XMLSchema" xmlns:xs="http://www.w3.org/2001/XMLSchema" xmlns:p="http://schemas.microsoft.com/office/2006/metadata/properties" xmlns:ns3="d36cf1bd-ebc5-47cd-8b25-e5b397c50bcc" xmlns:ns4="e983c051-0191-4014-9e05-3384c66e748c" targetNamespace="http://schemas.microsoft.com/office/2006/metadata/properties" ma:root="true" ma:fieldsID="4d91079479df065d588ee4e6a653477b" ns3:_="" ns4:_="">
    <xsd:import namespace="d36cf1bd-ebc5-47cd-8b25-e5b397c50bcc"/>
    <xsd:import namespace="e983c051-0191-4014-9e05-3384c66e74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cf1bd-ebc5-47cd-8b25-e5b397c50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3c051-0191-4014-9e05-3384c66e74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AEE88-B4E1-42B6-8932-3CFC41027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cf1bd-ebc5-47cd-8b25-e5b397c50bcc"/>
    <ds:schemaRef ds:uri="e983c051-0191-4014-9e05-3384c66e7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28AD2-CFED-4D94-AD60-559477741C33}">
  <ds:schemaRefs>
    <ds:schemaRef ds:uri="http://schemas.openxmlformats.org/officeDocument/2006/bibliography"/>
  </ds:schemaRefs>
</ds:datastoreItem>
</file>

<file path=customXml/itemProps3.xml><?xml version="1.0" encoding="utf-8"?>
<ds:datastoreItem xmlns:ds="http://schemas.openxmlformats.org/officeDocument/2006/customXml" ds:itemID="{05816D64-6617-4D8A-B1BE-FB8F061D1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939BBF-5D1D-4DC6-B151-94511C579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3996</Words>
  <Characters>22101</Characters>
  <Application>Microsoft Office Word</Application>
  <DocSecurity>0</DocSecurity>
  <Lines>480</Lines>
  <Paragraphs>269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Attachment: Product information for Influenza virus haemagglutinin</vt:lpstr>
      <vt:lpstr/>
    </vt:vector>
  </TitlesOfParts>
  <Company>Viatris Pty Ltd</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Influenza virus haemagglutinin</dc:title>
  <dc:subject>prescription medicines</dc:subject>
  <dc:creator>Viatris Pty Ltd</dc:creator>
  <cp:lastPrinted>2019-03-19T23:26:00Z</cp:lastPrinted>
  <dcterms:created xsi:type="dcterms:W3CDTF">2022-03-25T04:17:00Z</dcterms:created>
  <dcterms:modified xsi:type="dcterms:W3CDTF">2022-03-28T00:14:00Z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0x010100E8F67C5D48FA91408EEB25DC535FA767</vt:lpwstr>
  </property>
</Properties>
</file>