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FBFE7" w14:textId="77777777" w:rsidR="00E00FE1" w:rsidRPr="00BA3C67" w:rsidRDefault="004032BD" w:rsidP="00E00FE1">
      <w:pPr>
        <w:pStyle w:val="Heading1"/>
        <w:numPr>
          <w:ilvl w:val="0"/>
          <w:numId w:val="0"/>
        </w:numPr>
        <w:spacing w:after="240"/>
        <w:rPr>
          <w:rFonts w:eastAsia="SimSun"/>
        </w:rPr>
      </w:pPr>
      <w:bookmarkStart w:id="0" w:name="_GoBack"/>
      <w:bookmarkEnd w:id="0"/>
      <w:r w:rsidRPr="00BA3C67">
        <w:rPr>
          <w:rFonts w:eastAsia="SimSun"/>
        </w:rPr>
        <w:t>Australian PI –</w:t>
      </w:r>
      <w:r w:rsidR="00E00FE1" w:rsidRPr="00BA3C67">
        <w:rPr>
          <w:rFonts w:eastAsia="SimSun"/>
        </w:rPr>
        <w:t>Afluria</w:t>
      </w:r>
      <w:r w:rsidR="00E00FE1" w:rsidRPr="00BA3C67">
        <w:rPr>
          <w:rFonts w:eastAsia="SimSun"/>
          <w:vertAlign w:val="superscript"/>
        </w:rPr>
        <w:t>®</w:t>
      </w:r>
      <w:r w:rsidR="00E00FE1" w:rsidRPr="00BA3C67">
        <w:rPr>
          <w:rFonts w:eastAsia="SimSun"/>
        </w:rPr>
        <w:t xml:space="preserve"> Quad</w:t>
      </w:r>
      <w:r w:rsidR="008F1135" w:rsidRPr="00BA3C67">
        <w:rPr>
          <w:rFonts w:eastAsia="SimSun"/>
        </w:rPr>
        <w:t xml:space="preserve"> (Influenza Virus Haemagglutinin)</w:t>
      </w:r>
    </w:p>
    <w:p w14:paraId="0271D4D7" w14:textId="77777777" w:rsidR="008F1135" w:rsidRPr="00304682" w:rsidRDefault="008F1135" w:rsidP="008B7D5F">
      <w:pPr>
        <w:pStyle w:val="Header"/>
        <w:pBdr>
          <w:top w:val="single" w:sz="12" w:space="4" w:color="auto"/>
          <w:left w:val="single" w:sz="12" w:space="4" w:color="auto"/>
          <w:bottom w:val="single" w:sz="12" w:space="1" w:color="auto"/>
          <w:right w:val="single" w:sz="12" w:space="4" w:color="auto"/>
        </w:pBdr>
        <w:spacing w:after="120"/>
        <w:rPr>
          <w:b/>
        </w:rPr>
      </w:pPr>
      <w:r w:rsidRPr="00304682">
        <w:rPr>
          <w:b/>
        </w:rPr>
        <w:t xml:space="preserve">WARNING: </w:t>
      </w:r>
      <w:r>
        <w:rPr>
          <w:b/>
        </w:rPr>
        <w:t>Afluria</w:t>
      </w:r>
      <w:r>
        <w:rPr>
          <w:rFonts w:ascii="Calibri" w:hAnsi="Calibri" w:cs="Calibri"/>
          <w:b/>
        </w:rPr>
        <w:t>®</w:t>
      </w:r>
      <w:r w:rsidRPr="00304682">
        <w:rPr>
          <w:b/>
        </w:rPr>
        <w:t xml:space="preserve"> </w:t>
      </w:r>
      <w:r>
        <w:rPr>
          <w:b/>
        </w:rPr>
        <w:t xml:space="preserve">Quad </w:t>
      </w:r>
      <w:r w:rsidRPr="00304682">
        <w:rPr>
          <w:b/>
        </w:rPr>
        <w:t xml:space="preserve">vaccine is indicated for use only in persons aged </w:t>
      </w:r>
      <w:r w:rsidR="008B7D5F">
        <w:rPr>
          <w:b/>
        </w:rPr>
        <w:t>5</w:t>
      </w:r>
      <w:r w:rsidRPr="00304682">
        <w:rPr>
          <w:b/>
        </w:rPr>
        <w:t xml:space="preserve"> years and over. </w:t>
      </w:r>
      <w:r w:rsidRPr="00304682">
        <w:rPr>
          <w:b/>
        </w:rPr>
        <w:br/>
        <w:t xml:space="preserve">It must not be used in </w:t>
      </w:r>
      <w:r>
        <w:rPr>
          <w:b/>
        </w:rPr>
        <w:t>persons</w:t>
      </w:r>
      <w:r w:rsidRPr="00304682">
        <w:rPr>
          <w:b/>
        </w:rPr>
        <w:t xml:space="preserve"> under </w:t>
      </w:r>
      <w:r w:rsidR="008B7D5F">
        <w:rPr>
          <w:b/>
        </w:rPr>
        <w:t>5</w:t>
      </w:r>
      <w:r w:rsidRPr="00304682">
        <w:rPr>
          <w:b/>
        </w:rPr>
        <w:t xml:space="preserve"> years (see Contraindications). </w:t>
      </w:r>
    </w:p>
    <w:p w14:paraId="63FF005D" w14:textId="77777777" w:rsidR="008F1135" w:rsidRPr="00B81ECB" w:rsidRDefault="008F1135" w:rsidP="0055356A">
      <w:pPr>
        <w:pStyle w:val="Header"/>
        <w:spacing w:after="200" w:line="300" w:lineRule="auto"/>
        <w:rPr>
          <w:b/>
        </w:rPr>
      </w:pPr>
      <w:r>
        <w:rPr>
          <w:b/>
        </w:rPr>
        <w:t>For season 2018</w:t>
      </w:r>
    </w:p>
    <w:p w14:paraId="48BDDBD5" w14:textId="77777777" w:rsidR="001A3992" w:rsidRDefault="001A3992" w:rsidP="00DF5E99">
      <w:pPr>
        <w:pStyle w:val="Heading1"/>
        <w:spacing w:before="0" w:after="120"/>
        <w:ind w:left="431" w:hanging="431"/>
      </w:pPr>
      <w:r w:rsidRPr="00035C95">
        <w:t>Name of the medicine</w:t>
      </w:r>
    </w:p>
    <w:p w14:paraId="36A76860" w14:textId="77777777" w:rsidR="00AC2578" w:rsidRDefault="000F6F7F" w:rsidP="000F6F7F">
      <w:r>
        <w:t>Afluria® Quad vaccine</w:t>
      </w:r>
    </w:p>
    <w:p w14:paraId="4F5BF73A" w14:textId="77777777" w:rsidR="000F6F7F" w:rsidRDefault="000F6F7F" w:rsidP="000F6F7F">
      <w:r>
        <w:t xml:space="preserve">Inactivated </w:t>
      </w:r>
      <w:proofErr w:type="spellStart"/>
      <w:r>
        <w:t>Quadrivalent</w:t>
      </w:r>
      <w:proofErr w:type="spellEnd"/>
      <w:r>
        <w:t xml:space="preserve"> Influenza Vaccine (split </w:t>
      </w:r>
      <w:proofErr w:type="spellStart"/>
      <w:r>
        <w:t>virion</w:t>
      </w:r>
      <w:proofErr w:type="spellEnd"/>
      <w:r>
        <w:t>)</w:t>
      </w:r>
    </w:p>
    <w:p w14:paraId="1628496F" w14:textId="77777777" w:rsidR="00BB41D2" w:rsidRDefault="00BB41D2" w:rsidP="000F6F7F">
      <w:r>
        <w:t>Suspension for injection</w:t>
      </w:r>
    </w:p>
    <w:p w14:paraId="2295E73D" w14:textId="77777777" w:rsidR="001A3992" w:rsidRDefault="001A3992" w:rsidP="001A3992">
      <w:pPr>
        <w:pStyle w:val="Heading1"/>
        <w:spacing w:before="0" w:after="120"/>
      </w:pPr>
      <w:r w:rsidRPr="00DE5A80">
        <w:t xml:space="preserve">Qualitative and </w:t>
      </w:r>
      <w:r>
        <w:t>quantitative c</w:t>
      </w:r>
      <w:r w:rsidRPr="00DE5A80">
        <w:t>omposition</w:t>
      </w:r>
      <w:r w:rsidR="000F6F7F">
        <w:t xml:space="preserve"> </w:t>
      </w:r>
    </w:p>
    <w:p w14:paraId="2C7DAB57" w14:textId="520B8CFD" w:rsidR="006A7D57" w:rsidRDefault="000F6F7F" w:rsidP="000F6F7F">
      <w:r>
        <w:t xml:space="preserve">This is a purified, inactivated, split </w:t>
      </w:r>
      <w:proofErr w:type="spellStart"/>
      <w:r>
        <w:t>virion</w:t>
      </w:r>
      <w:proofErr w:type="spellEnd"/>
      <w:r>
        <w:t xml:space="preserve"> (split virus) vaccine. Each 0.5 mL dose contains antigens for the 2018 influenza season representative of the following types:</w:t>
      </w:r>
      <w:r w:rsidR="00BB41D2">
        <w:br/>
      </w:r>
      <w:r>
        <w:t>A/Michigan/45/2015 (H1N1) pdm09 – like virus (A/Singapore/GP1908/2015 (IVR-180A)):</w:t>
      </w:r>
      <w:r w:rsidR="001401EC">
        <w:br/>
      </w:r>
      <w:r>
        <w:t xml:space="preserve"> </w:t>
      </w:r>
      <w:r>
        <w:tab/>
        <w:t>15 micrograms HA* per dose</w:t>
      </w:r>
      <w:r w:rsidR="001401EC">
        <w:br/>
      </w:r>
      <w:r>
        <w:t>A/Singapore/INFIMH-16-0019/2016 (H3N2) – like virus (A/Singapore/INFIMH-16-0019/2016 (IVR-186)):</w:t>
      </w:r>
      <w:r w:rsidR="001401EC">
        <w:br/>
      </w:r>
      <w:r>
        <w:t xml:space="preserve"> </w:t>
      </w:r>
      <w:r>
        <w:tab/>
        <w:t>15 micrograms HA* per dose</w:t>
      </w:r>
      <w:r w:rsidR="001401EC">
        <w:br/>
      </w:r>
      <w:r>
        <w:t>B/Phuket/3073/2013 - like virus (B/Phuket/3073/2013 (BVR-1B)):</w:t>
      </w:r>
      <w:r w:rsidR="001401EC">
        <w:br/>
      </w:r>
      <w:r>
        <w:t xml:space="preserve"> </w:t>
      </w:r>
      <w:r>
        <w:tab/>
        <w:t>15 micrograms HA* per dose</w:t>
      </w:r>
      <w:r w:rsidR="001401EC">
        <w:br/>
      </w:r>
      <w:r>
        <w:t xml:space="preserve">B/Brisbane/60/2008 - like virus (B/Brisbane/46/2015): </w:t>
      </w:r>
      <w:r w:rsidR="001401EC">
        <w:br/>
      </w:r>
      <w:r>
        <w:tab/>
        <w:t>15 micrograms HA* per dose</w:t>
      </w:r>
      <w:r w:rsidR="001401EC">
        <w:br/>
      </w:r>
      <w:r>
        <w:t xml:space="preserve">*HA = </w:t>
      </w:r>
      <w:proofErr w:type="spellStart"/>
      <w:r>
        <w:t>haemagglutinin</w:t>
      </w:r>
      <w:proofErr w:type="spellEnd"/>
    </w:p>
    <w:p w14:paraId="6C22F22F" w14:textId="02E6B1C2" w:rsidR="006A7D57" w:rsidRDefault="006A7D57" w:rsidP="006A7D57">
      <w:r>
        <w:t xml:space="preserve">Afluria® Quad is manufactured in eggs and trace amounts of </w:t>
      </w:r>
      <w:r w:rsidR="00315B4D" w:rsidRPr="00315B4D">
        <w:t xml:space="preserve">sodium </w:t>
      </w:r>
      <w:proofErr w:type="spellStart"/>
      <w:r w:rsidR="00315B4D" w:rsidRPr="00315B4D">
        <w:t>taurodeoxycholate</w:t>
      </w:r>
      <w:proofErr w:type="spellEnd"/>
      <w:r w:rsidR="00315B4D" w:rsidRPr="00315B4D">
        <w:t xml:space="preserve"> (TDOC)</w:t>
      </w:r>
      <w:r w:rsidR="00315B4D">
        <w:t xml:space="preserve">, </w:t>
      </w:r>
      <w:r>
        <w:t>ovalbumin</w:t>
      </w:r>
      <w:r w:rsidR="003B3936">
        <w:t xml:space="preserve"> (&lt;1 </w:t>
      </w:r>
      <w:r w:rsidR="003B3936">
        <w:rPr>
          <w:rFonts w:cstheme="minorHAnsi"/>
        </w:rPr>
        <w:t>microgram/</w:t>
      </w:r>
      <w:r w:rsidR="003B3936">
        <w:t>0.5mL dose)</w:t>
      </w:r>
      <w:r>
        <w:t xml:space="preserve">, </w:t>
      </w:r>
      <w:r w:rsidR="00315B4D">
        <w:t xml:space="preserve">sucrose, </w:t>
      </w:r>
      <w:r>
        <w:t xml:space="preserve">neomycin </w:t>
      </w:r>
      <w:proofErr w:type="spellStart"/>
      <w:r>
        <w:t>sulfate</w:t>
      </w:r>
      <w:proofErr w:type="spellEnd"/>
      <w:r w:rsidR="00315B4D">
        <w:t>,</w:t>
      </w:r>
      <w:r>
        <w:t xml:space="preserve"> </w:t>
      </w:r>
      <w:proofErr w:type="spellStart"/>
      <w:r>
        <w:t>polymyxin</w:t>
      </w:r>
      <w:proofErr w:type="spellEnd"/>
      <w:r>
        <w:t xml:space="preserve"> B </w:t>
      </w:r>
      <w:proofErr w:type="spellStart"/>
      <w:r>
        <w:t>sulfate</w:t>
      </w:r>
      <w:proofErr w:type="spellEnd"/>
      <w:r>
        <w:t xml:space="preserve"> </w:t>
      </w:r>
      <w:r w:rsidR="00315B4D">
        <w:t xml:space="preserve">and </w:t>
      </w:r>
      <w:proofErr w:type="spellStart"/>
      <w:r w:rsidR="00315B4D">
        <w:t>propiolactone</w:t>
      </w:r>
      <w:proofErr w:type="spellEnd"/>
      <w:r w:rsidR="00315B4D">
        <w:t xml:space="preserve"> </w:t>
      </w:r>
      <w:r>
        <w:t xml:space="preserve">may be present. For </w:t>
      </w:r>
      <w:r w:rsidR="000516DA">
        <w:t xml:space="preserve">the </w:t>
      </w:r>
      <w:r>
        <w:t xml:space="preserve">full list of excipients, see </w:t>
      </w:r>
      <w:r w:rsidRPr="006A7D57">
        <w:rPr>
          <w:b/>
        </w:rPr>
        <w:t xml:space="preserve">Section 6.1 </w:t>
      </w:r>
      <w:r>
        <w:rPr>
          <w:b/>
        </w:rPr>
        <w:t xml:space="preserve">- </w:t>
      </w:r>
      <w:r w:rsidRPr="006A7D57">
        <w:rPr>
          <w:b/>
        </w:rPr>
        <w:t>List of excipients</w:t>
      </w:r>
      <w:r>
        <w:t>.</w:t>
      </w:r>
    </w:p>
    <w:p w14:paraId="13B1DD27" w14:textId="77777777" w:rsidR="000F6F7F" w:rsidRDefault="000F6F7F" w:rsidP="000F6F7F">
      <w:r>
        <w:t>The type and amount of viral antigens in Afluria® Quad vaccine conform to the requirements of the Australian Influenza Vaccine Committee for the winter of 2018. The strains chosen for vaccine manufacture are endorsed by the Australian Influenza Vaccine Committee as being antigenically equivalent to the reference virus.</w:t>
      </w:r>
    </w:p>
    <w:p w14:paraId="297DE02F" w14:textId="09D00FD6" w:rsidR="000F6F7F" w:rsidRDefault="000F6F7F" w:rsidP="000F6F7F">
      <w:r>
        <w:t xml:space="preserve">The vaccine is prepared from virus grown in the </w:t>
      </w:r>
      <w:proofErr w:type="spellStart"/>
      <w:r>
        <w:t>allantoic</w:t>
      </w:r>
      <w:proofErr w:type="spellEnd"/>
      <w:r>
        <w:t xml:space="preserve"> cavity of </w:t>
      </w:r>
      <w:proofErr w:type="spellStart"/>
      <w:r>
        <w:t>embryonated</w:t>
      </w:r>
      <w:proofErr w:type="spellEnd"/>
      <w:r>
        <w:t xml:space="preserve"> eggs, purified by zonal centrifugation, inactivated by </w:t>
      </w:r>
      <w:proofErr w:type="spellStart"/>
      <w:r>
        <w:t>propiolactone</w:t>
      </w:r>
      <w:proofErr w:type="spellEnd"/>
      <w:r>
        <w:t xml:space="preserve"> and disrupted by </w:t>
      </w:r>
      <w:r w:rsidR="008B7D5F">
        <w:t>TDOC</w:t>
      </w:r>
      <w:r>
        <w:t xml:space="preserve">. </w:t>
      </w:r>
      <w:r w:rsidR="00AC2578">
        <w:t xml:space="preserve"> </w:t>
      </w:r>
      <w:r>
        <w:t>Afluria® Quad vaccine conforms in safety and sterility to the requirements of the British Pharmacopoeia.</w:t>
      </w:r>
      <w:r w:rsidR="00BF4DC1">
        <w:t xml:space="preserve">  </w:t>
      </w:r>
    </w:p>
    <w:p w14:paraId="5D0E3BB2" w14:textId="77777777" w:rsidR="001401EC" w:rsidRDefault="00AD020F" w:rsidP="001401EC">
      <w:pPr>
        <w:pStyle w:val="Heading1"/>
      </w:pPr>
      <w:r>
        <w:lastRenderedPageBreak/>
        <w:t>Pharmaceutical form</w:t>
      </w:r>
    </w:p>
    <w:p w14:paraId="06150697" w14:textId="77777777" w:rsidR="000F6F7F" w:rsidRDefault="001401EC" w:rsidP="000F6F7F">
      <w:proofErr w:type="gramStart"/>
      <w:r w:rsidRPr="001401EC">
        <w:t>Suspension for injection</w:t>
      </w:r>
      <w:r w:rsidR="00BB41D2">
        <w:t>.</w:t>
      </w:r>
      <w:proofErr w:type="gramEnd"/>
      <w:r w:rsidR="00BB41D2">
        <w:t xml:space="preserve">  </w:t>
      </w:r>
      <w:r w:rsidR="000F6F7F">
        <w:t>Afluria® Quad vaccine is a clear to slightly opaque liquid with some sediment that resuspends upon shaking.</w:t>
      </w:r>
    </w:p>
    <w:p w14:paraId="7C7EDB3A" w14:textId="79510EF0" w:rsidR="001A3992" w:rsidRDefault="001A3992" w:rsidP="001A3992">
      <w:pPr>
        <w:pStyle w:val="Heading1"/>
        <w:spacing w:before="0" w:after="120"/>
      </w:pPr>
      <w:r w:rsidRPr="00035C95">
        <w:t>Clinical particulars</w:t>
      </w:r>
    </w:p>
    <w:p w14:paraId="29AD3D6D" w14:textId="77777777" w:rsidR="001A3992" w:rsidRDefault="001A3992" w:rsidP="001A3992">
      <w:pPr>
        <w:pStyle w:val="Heading2"/>
        <w:spacing w:before="0" w:after="120"/>
      </w:pPr>
      <w:r>
        <w:t xml:space="preserve">Therapeutic indications </w:t>
      </w:r>
    </w:p>
    <w:p w14:paraId="761A5416" w14:textId="77777777" w:rsidR="00D60C8B" w:rsidRPr="00976D03" w:rsidRDefault="000F6F7F" w:rsidP="000F6F7F">
      <w:r w:rsidRPr="00B177EF">
        <w:t>For the prevention of influenza caused by Influenza Virus, Types A and B</w:t>
      </w:r>
      <w:r>
        <w:t xml:space="preserve"> contained in the vaccine.</w:t>
      </w:r>
      <w:r w:rsidRPr="00282FE1">
        <w:t xml:space="preserve"> </w:t>
      </w:r>
      <w:r>
        <w:t>T</w:t>
      </w:r>
      <w:r w:rsidRPr="00976D03">
        <w:t xml:space="preserve">he vaccine is indicated for use only in persons aged </w:t>
      </w:r>
      <w:r w:rsidR="00E50F35">
        <w:t xml:space="preserve">5 </w:t>
      </w:r>
      <w:r w:rsidRPr="00976D03">
        <w:t xml:space="preserve">years and over. </w:t>
      </w:r>
    </w:p>
    <w:p w14:paraId="336AAF27" w14:textId="3B3DA605" w:rsidR="000F6F7F" w:rsidRDefault="000F6F7F" w:rsidP="000F6F7F">
      <w:r>
        <w:t>For full details regarding recommendations for influenza vaccination, please refer to the relevant national immunisation guidelines.</w:t>
      </w:r>
    </w:p>
    <w:p w14:paraId="1ECE4A1B" w14:textId="77777777" w:rsidR="001A3992" w:rsidRDefault="001A3992" w:rsidP="001A3992">
      <w:pPr>
        <w:pStyle w:val="Heading2"/>
        <w:spacing w:before="0" w:after="120"/>
      </w:pPr>
      <w:r>
        <w:t>Do</w:t>
      </w:r>
      <w:r w:rsidR="001A415F">
        <w:t>se and method of administration</w:t>
      </w:r>
    </w:p>
    <w:p w14:paraId="6AFDA69A" w14:textId="77777777" w:rsidR="001A415F" w:rsidRPr="00B81ECB" w:rsidRDefault="001A415F" w:rsidP="001A415F">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pPr>
      <w:r w:rsidRPr="00B81ECB">
        <w:t xml:space="preserve">Immunisation should be undertaken in anticipation of seasonal outbreaks of influenza. </w:t>
      </w:r>
    </w:p>
    <w:p w14:paraId="1FED5603" w14:textId="77777777" w:rsidR="001A415F" w:rsidRDefault="001A415F" w:rsidP="003B2D2C">
      <w:pPr>
        <w:pStyle w:val="Heading3"/>
        <w:ind w:left="0"/>
      </w:pPr>
      <w:r w:rsidRPr="000C1E6C">
        <w:t>D</w:t>
      </w:r>
      <w:r>
        <w:t>os</w:t>
      </w:r>
      <w:r w:rsidR="00BB41D2">
        <w:t>e</w:t>
      </w:r>
    </w:p>
    <w:p w14:paraId="587A884B" w14:textId="77777777" w:rsidR="00712526" w:rsidRPr="0066741F" w:rsidRDefault="00712526" w:rsidP="00712526">
      <w:pPr>
        <w:autoSpaceDE w:val="0"/>
        <w:autoSpaceDN w:val="0"/>
        <w:adjustRightInd w:val="0"/>
        <w:spacing w:before="120"/>
        <w:ind w:right="-1899"/>
        <w:rPr>
          <w:rFonts w:cs="Arial"/>
          <w:b/>
        </w:rPr>
      </w:pPr>
      <w:r w:rsidRPr="0066741F">
        <w:rPr>
          <w:rFonts w:cs="Arial"/>
          <w:b/>
        </w:rPr>
        <w:t xml:space="preserve">Table </w:t>
      </w:r>
      <w:r w:rsidR="003B2D2C">
        <w:rPr>
          <w:rFonts w:cs="Arial"/>
          <w:b/>
        </w:rPr>
        <w:t>1</w:t>
      </w:r>
      <w:r w:rsidRPr="0066741F">
        <w:rPr>
          <w:rFonts w:cs="Arial"/>
          <w:b/>
        </w:rPr>
        <w:t>:</w:t>
      </w:r>
      <w:r w:rsidRPr="0066741F">
        <w:rPr>
          <w:rFonts w:cs="Arial"/>
          <w:b/>
        </w:rPr>
        <w:tab/>
        <w:t>Afluria</w:t>
      </w:r>
      <w:r w:rsidRPr="0066741F">
        <w:rPr>
          <w:rFonts w:cs="Arial"/>
          <w:b/>
          <w:vertAlign w:val="superscript"/>
        </w:rPr>
        <w:t>®</w:t>
      </w:r>
      <w:r w:rsidRPr="0066741F">
        <w:rPr>
          <w:rFonts w:cs="Arial"/>
          <w:b/>
        </w:rPr>
        <w:t xml:space="preserve"> Quad Recommended dosage, by age group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712526" w:rsidRPr="00DB70D1" w14:paraId="54C8E7A8" w14:textId="77777777" w:rsidTr="00315B4D">
        <w:trPr>
          <w:jc w:val="center"/>
        </w:trPr>
        <w:tc>
          <w:tcPr>
            <w:tcW w:w="3192" w:type="dxa"/>
            <w:shd w:val="clear" w:color="auto" w:fill="auto"/>
            <w:vAlign w:val="center"/>
          </w:tcPr>
          <w:p w14:paraId="6FCB7F62" w14:textId="77777777" w:rsidR="00712526" w:rsidRPr="00DB70D1" w:rsidRDefault="00712526" w:rsidP="00315B4D">
            <w:pPr>
              <w:autoSpaceDE w:val="0"/>
              <w:autoSpaceDN w:val="0"/>
              <w:adjustRightInd w:val="0"/>
              <w:spacing w:before="60" w:after="60"/>
              <w:ind w:right="-1899"/>
              <w:rPr>
                <w:rFonts w:cs="Arial"/>
                <w:b/>
                <w:u w:val="single"/>
              </w:rPr>
            </w:pPr>
            <w:r w:rsidRPr="00DB70D1">
              <w:rPr>
                <w:rFonts w:cs="Arial"/>
                <w:b/>
                <w:u w:val="single"/>
              </w:rPr>
              <w:t>Age Group</w:t>
            </w:r>
          </w:p>
        </w:tc>
        <w:tc>
          <w:tcPr>
            <w:tcW w:w="3192" w:type="dxa"/>
            <w:shd w:val="clear" w:color="auto" w:fill="auto"/>
            <w:vAlign w:val="center"/>
          </w:tcPr>
          <w:p w14:paraId="6CE2C025" w14:textId="77777777" w:rsidR="00712526" w:rsidRPr="00DB70D1" w:rsidRDefault="00712526" w:rsidP="00315B4D">
            <w:pPr>
              <w:autoSpaceDE w:val="0"/>
              <w:autoSpaceDN w:val="0"/>
              <w:adjustRightInd w:val="0"/>
              <w:spacing w:before="60" w:after="60"/>
              <w:ind w:right="-1899"/>
              <w:rPr>
                <w:rFonts w:cs="Arial"/>
                <w:b/>
                <w:u w:val="single"/>
              </w:rPr>
            </w:pPr>
            <w:r w:rsidRPr="00DB70D1">
              <w:rPr>
                <w:rFonts w:cs="Arial"/>
                <w:b/>
                <w:u w:val="single"/>
              </w:rPr>
              <w:t>Dose</w:t>
            </w:r>
          </w:p>
        </w:tc>
        <w:tc>
          <w:tcPr>
            <w:tcW w:w="3192" w:type="dxa"/>
            <w:shd w:val="clear" w:color="auto" w:fill="auto"/>
            <w:vAlign w:val="center"/>
          </w:tcPr>
          <w:p w14:paraId="51F23ADC" w14:textId="77777777" w:rsidR="00712526" w:rsidRPr="00DB70D1" w:rsidRDefault="00712526" w:rsidP="00315B4D">
            <w:pPr>
              <w:autoSpaceDE w:val="0"/>
              <w:autoSpaceDN w:val="0"/>
              <w:adjustRightInd w:val="0"/>
              <w:spacing w:before="60" w:after="60"/>
              <w:ind w:right="-1899"/>
              <w:rPr>
                <w:rFonts w:cs="Arial"/>
                <w:b/>
                <w:u w:val="single"/>
              </w:rPr>
            </w:pPr>
            <w:r w:rsidRPr="00DB70D1">
              <w:rPr>
                <w:rFonts w:cs="Arial"/>
                <w:b/>
                <w:u w:val="single"/>
              </w:rPr>
              <w:t>Number of Doses</w:t>
            </w:r>
          </w:p>
        </w:tc>
      </w:tr>
      <w:tr w:rsidR="00712526" w:rsidRPr="00DB70D1" w14:paraId="5B80DA4B" w14:textId="77777777" w:rsidTr="00315B4D">
        <w:trPr>
          <w:trHeight w:val="141"/>
          <w:jc w:val="center"/>
        </w:trPr>
        <w:tc>
          <w:tcPr>
            <w:tcW w:w="9576" w:type="dxa"/>
            <w:gridSpan w:val="3"/>
            <w:shd w:val="clear" w:color="auto" w:fill="auto"/>
            <w:vAlign w:val="center"/>
          </w:tcPr>
          <w:p w14:paraId="3A6BFACA" w14:textId="77777777" w:rsidR="00712526" w:rsidRPr="00DB70D1" w:rsidRDefault="00712526" w:rsidP="00315B4D">
            <w:pPr>
              <w:autoSpaceDE w:val="0"/>
              <w:autoSpaceDN w:val="0"/>
              <w:adjustRightInd w:val="0"/>
              <w:spacing w:before="60" w:after="60"/>
              <w:ind w:right="-1899"/>
              <w:rPr>
                <w:rFonts w:cs="Arial"/>
                <w:b/>
              </w:rPr>
            </w:pPr>
            <w:r w:rsidRPr="00DB70D1">
              <w:rPr>
                <w:rFonts w:cs="Arial"/>
                <w:b/>
              </w:rPr>
              <w:t>Paediatrics</w:t>
            </w:r>
          </w:p>
        </w:tc>
      </w:tr>
      <w:tr w:rsidR="003B2D2C" w:rsidRPr="00DB70D1" w14:paraId="65089E30" w14:textId="77777777" w:rsidTr="00315B4D">
        <w:trPr>
          <w:jc w:val="center"/>
        </w:trPr>
        <w:tc>
          <w:tcPr>
            <w:tcW w:w="3192" w:type="dxa"/>
            <w:shd w:val="clear" w:color="auto" w:fill="auto"/>
            <w:vAlign w:val="center"/>
          </w:tcPr>
          <w:p w14:paraId="794350F3" w14:textId="77777777" w:rsidR="003B2D2C" w:rsidRPr="00DB70D1" w:rsidRDefault="003B2D2C" w:rsidP="00315B4D">
            <w:pPr>
              <w:autoSpaceDE w:val="0"/>
              <w:autoSpaceDN w:val="0"/>
              <w:adjustRightInd w:val="0"/>
              <w:spacing w:before="60" w:after="60"/>
              <w:ind w:right="-1899"/>
              <w:rPr>
                <w:rFonts w:cs="Arial"/>
              </w:rPr>
            </w:pPr>
            <w:r w:rsidRPr="00DB70D1">
              <w:rPr>
                <w:rFonts w:cs="Arial"/>
              </w:rPr>
              <w:t>5 to &lt; 9 years</w:t>
            </w:r>
          </w:p>
        </w:tc>
        <w:tc>
          <w:tcPr>
            <w:tcW w:w="3192" w:type="dxa"/>
            <w:shd w:val="clear" w:color="auto" w:fill="auto"/>
            <w:vAlign w:val="center"/>
          </w:tcPr>
          <w:p w14:paraId="26857516" w14:textId="77777777" w:rsidR="003B2D2C" w:rsidRPr="00DB70D1" w:rsidRDefault="003B2D2C" w:rsidP="00315B4D">
            <w:pPr>
              <w:autoSpaceDE w:val="0"/>
              <w:autoSpaceDN w:val="0"/>
              <w:adjustRightInd w:val="0"/>
              <w:spacing w:before="60" w:after="60"/>
              <w:ind w:right="-1899"/>
              <w:rPr>
                <w:rFonts w:cs="Arial"/>
              </w:rPr>
            </w:pPr>
            <w:r w:rsidRPr="00DB70D1">
              <w:rPr>
                <w:rFonts w:cs="Arial"/>
              </w:rPr>
              <w:t>0.5 mL</w:t>
            </w:r>
          </w:p>
        </w:tc>
        <w:tc>
          <w:tcPr>
            <w:tcW w:w="3192" w:type="dxa"/>
            <w:shd w:val="clear" w:color="auto" w:fill="auto"/>
            <w:vAlign w:val="center"/>
          </w:tcPr>
          <w:p w14:paraId="68E99BBD" w14:textId="77777777" w:rsidR="003B2D2C" w:rsidRPr="00DB70D1" w:rsidRDefault="003B2D2C" w:rsidP="00315B4D">
            <w:pPr>
              <w:autoSpaceDE w:val="0"/>
              <w:autoSpaceDN w:val="0"/>
              <w:adjustRightInd w:val="0"/>
              <w:spacing w:before="60" w:after="60"/>
              <w:ind w:right="-1899"/>
              <w:rPr>
                <w:rFonts w:cs="Arial"/>
                <w:vertAlign w:val="superscript"/>
              </w:rPr>
            </w:pPr>
            <w:r w:rsidRPr="00DB70D1">
              <w:rPr>
                <w:rFonts w:cs="Arial"/>
              </w:rPr>
              <w:t>1 or 2</w:t>
            </w:r>
            <w:r w:rsidRPr="00DB70D1">
              <w:rPr>
                <w:rFonts w:cs="Arial"/>
                <w:vertAlign w:val="superscript"/>
              </w:rPr>
              <w:t>a</w:t>
            </w:r>
          </w:p>
        </w:tc>
      </w:tr>
      <w:tr w:rsidR="003B2D2C" w:rsidRPr="00DB70D1" w14:paraId="32D7260C" w14:textId="77777777" w:rsidTr="00315B4D">
        <w:trPr>
          <w:jc w:val="center"/>
        </w:trPr>
        <w:tc>
          <w:tcPr>
            <w:tcW w:w="3192" w:type="dxa"/>
            <w:shd w:val="clear" w:color="auto" w:fill="auto"/>
            <w:vAlign w:val="center"/>
          </w:tcPr>
          <w:p w14:paraId="16A9934C" w14:textId="77777777" w:rsidR="003B2D2C" w:rsidRPr="00DB70D1" w:rsidRDefault="003B2D2C" w:rsidP="00315B4D">
            <w:pPr>
              <w:autoSpaceDE w:val="0"/>
              <w:autoSpaceDN w:val="0"/>
              <w:adjustRightInd w:val="0"/>
              <w:spacing w:before="60" w:after="60"/>
              <w:ind w:right="-1899"/>
              <w:rPr>
                <w:rFonts w:cs="Arial"/>
              </w:rPr>
            </w:pPr>
            <w:r w:rsidRPr="00DB70D1">
              <w:rPr>
                <w:rFonts w:cs="Arial"/>
              </w:rPr>
              <w:t>9 to &lt; 18 years</w:t>
            </w:r>
          </w:p>
        </w:tc>
        <w:tc>
          <w:tcPr>
            <w:tcW w:w="3192" w:type="dxa"/>
            <w:shd w:val="clear" w:color="auto" w:fill="auto"/>
            <w:vAlign w:val="center"/>
          </w:tcPr>
          <w:p w14:paraId="028487C1" w14:textId="77777777" w:rsidR="003B2D2C" w:rsidRPr="00DB70D1" w:rsidRDefault="003B2D2C" w:rsidP="00315B4D">
            <w:pPr>
              <w:autoSpaceDE w:val="0"/>
              <w:autoSpaceDN w:val="0"/>
              <w:adjustRightInd w:val="0"/>
              <w:spacing w:before="60" w:after="60"/>
              <w:ind w:right="-1899"/>
              <w:rPr>
                <w:rFonts w:cs="Arial"/>
              </w:rPr>
            </w:pPr>
            <w:r w:rsidRPr="00DB70D1">
              <w:rPr>
                <w:rFonts w:cs="Arial"/>
              </w:rPr>
              <w:t>0.5 mL</w:t>
            </w:r>
          </w:p>
        </w:tc>
        <w:tc>
          <w:tcPr>
            <w:tcW w:w="3192" w:type="dxa"/>
            <w:shd w:val="clear" w:color="auto" w:fill="auto"/>
            <w:vAlign w:val="center"/>
          </w:tcPr>
          <w:p w14:paraId="3158B2FB" w14:textId="77777777" w:rsidR="003B2D2C" w:rsidRPr="00DB70D1" w:rsidRDefault="003B2D2C" w:rsidP="00315B4D">
            <w:pPr>
              <w:autoSpaceDE w:val="0"/>
              <w:autoSpaceDN w:val="0"/>
              <w:adjustRightInd w:val="0"/>
              <w:spacing w:before="60" w:after="60"/>
              <w:ind w:right="-1899"/>
              <w:rPr>
                <w:rFonts w:cs="Arial"/>
              </w:rPr>
            </w:pPr>
            <w:r w:rsidRPr="00DB70D1">
              <w:rPr>
                <w:rFonts w:cs="Arial"/>
              </w:rPr>
              <w:t>1</w:t>
            </w:r>
          </w:p>
        </w:tc>
      </w:tr>
      <w:tr w:rsidR="003B2D2C" w:rsidRPr="00DB70D1" w14:paraId="149C5193" w14:textId="77777777" w:rsidTr="00315B4D">
        <w:trPr>
          <w:jc w:val="center"/>
        </w:trPr>
        <w:tc>
          <w:tcPr>
            <w:tcW w:w="3192" w:type="dxa"/>
            <w:shd w:val="clear" w:color="auto" w:fill="auto"/>
            <w:vAlign w:val="center"/>
          </w:tcPr>
          <w:p w14:paraId="02DB6332" w14:textId="77777777" w:rsidR="003B2D2C" w:rsidRPr="00DB70D1" w:rsidRDefault="003B2D2C" w:rsidP="00315B4D">
            <w:pPr>
              <w:autoSpaceDE w:val="0"/>
              <w:autoSpaceDN w:val="0"/>
              <w:adjustRightInd w:val="0"/>
              <w:spacing w:before="60" w:after="60"/>
              <w:ind w:right="-1899"/>
              <w:rPr>
                <w:rFonts w:cs="Arial"/>
                <w:b/>
              </w:rPr>
            </w:pPr>
            <w:r w:rsidRPr="00DB70D1">
              <w:rPr>
                <w:rFonts w:cs="Arial"/>
                <w:b/>
              </w:rPr>
              <w:t>Adults</w:t>
            </w:r>
          </w:p>
        </w:tc>
        <w:tc>
          <w:tcPr>
            <w:tcW w:w="3192" w:type="dxa"/>
            <w:shd w:val="clear" w:color="auto" w:fill="auto"/>
            <w:vAlign w:val="center"/>
          </w:tcPr>
          <w:p w14:paraId="3579178F" w14:textId="77777777" w:rsidR="003B2D2C" w:rsidRPr="00DB70D1" w:rsidRDefault="003B2D2C" w:rsidP="00315B4D">
            <w:pPr>
              <w:autoSpaceDE w:val="0"/>
              <w:autoSpaceDN w:val="0"/>
              <w:adjustRightInd w:val="0"/>
              <w:spacing w:before="60" w:after="60"/>
              <w:ind w:right="-1899"/>
              <w:rPr>
                <w:rFonts w:cs="Arial"/>
              </w:rPr>
            </w:pPr>
          </w:p>
        </w:tc>
        <w:tc>
          <w:tcPr>
            <w:tcW w:w="3192" w:type="dxa"/>
            <w:shd w:val="clear" w:color="auto" w:fill="auto"/>
            <w:vAlign w:val="center"/>
          </w:tcPr>
          <w:p w14:paraId="01898ABE" w14:textId="77777777" w:rsidR="003B2D2C" w:rsidRPr="00DB70D1" w:rsidRDefault="003B2D2C" w:rsidP="00315B4D">
            <w:pPr>
              <w:autoSpaceDE w:val="0"/>
              <w:autoSpaceDN w:val="0"/>
              <w:adjustRightInd w:val="0"/>
              <w:spacing w:before="60" w:after="60"/>
              <w:ind w:right="-1899"/>
              <w:rPr>
                <w:rFonts w:cs="Arial"/>
              </w:rPr>
            </w:pPr>
          </w:p>
        </w:tc>
      </w:tr>
      <w:tr w:rsidR="003B2D2C" w:rsidRPr="00DB70D1" w14:paraId="167F719C" w14:textId="77777777" w:rsidTr="00315B4D">
        <w:trPr>
          <w:jc w:val="center"/>
        </w:trPr>
        <w:tc>
          <w:tcPr>
            <w:tcW w:w="3192" w:type="dxa"/>
            <w:shd w:val="clear" w:color="auto" w:fill="auto"/>
            <w:vAlign w:val="center"/>
          </w:tcPr>
          <w:p w14:paraId="4BF230DF" w14:textId="77777777" w:rsidR="003B2D2C" w:rsidRPr="00DB70D1" w:rsidRDefault="003B2D2C" w:rsidP="00315B4D">
            <w:pPr>
              <w:autoSpaceDE w:val="0"/>
              <w:autoSpaceDN w:val="0"/>
              <w:adjustRightInd w:val="0"/>
              <w:spacing w:before="60" w:after="60"/>
              <w:ind w:right="-1899"/>
              <w:rPr>
                <w:rFonts w:cs="Arial"/>
              </w:rPr>
            </w:pPr>
            <w:r w:rsidRPr="00DB70D1">
              <w:rPr>
                <w:rFonts w:cs="Arial"/>
              </w:rPr>
              <w:t>≥</w:t>
            </w:r>
            <w:r w:rsidR="006F2E66">
              <w:rPr>
                <w:rFonts w:cs="Arial"/>
              </w:rPr>
              <w:t xml:space="preserve"> </w:t>
            </w:r>
            <w:r w:rsidRPr="00DB70D1">
              <w:rPr>
                <w:rFonts w:cs="Arial"/>
              </w:rPr>
              <w:t>18 years</w:t>
            </w:r>
          </w:p>
        </w:tc>
        <w:tc>
          <w:tcPr>
            <w:tcW w:w="3192" w:type="dxa"/>
            <w:shd w:val="clear" w:color="auto" w:fill="auto"/>
            <w:vAlign w:val="center"/>
          </w:tcPr>
          <w:p w14:paraId="2549B065" w14:textId="77777777" w:rsidR="003B2D2C" w:rsidRPr="00DB70D1" w:rsidRDefault="003B2D2C" w:rsidP="00315B4D">
            <w:pPr>
              <w:autoSpaceDE w:val="0"/>
              <w:autoSpaceDN w:val="0"/>
              <w:adjustRightInd w:val="0"/>
              <w:spacing w:before="60" w:after="60"/>
              <w:ind w:right="-1899"/>
              <w:rPr>
                <w:rFonts w:cs="Arial"/>
              </w:rPr>
            </w:pPr>
            <w:r w:rsidRPr="00DB70D1">
              <w:rPr>
                <w:rFonts w:cs="Arial"/>
              </w:rPr>
              <w:t>0.5 mL</w:t>
            </w:r>
          </w:p>
        </w:tc>
        <w:tc>
          <w:tcPr>
            <w:tcW w:w="3192" w:type="dxa"/>
            <w:shd w:val="clear" w:color="auto" w:fill="auto"/>
            <w:vAlign w:val="center"/>
          </w:tcPr>
          <w:p w14:paraId="1700D887" w14:textId="77777777" w:rsidR="003B2D2C" w:rsidRPr="00DB70D1" w:rsidRDefault="003B2D2C" w:rsidP="00315B4D">
            <w:pPr>
              <w:autoSpaceDE w:val="0"/>
              <w:autoSpaceDN w:val="0"/>
              <w:adjustRightInd w:val="0"/>
              <w:spacing w:before="60" w:after="60"/>
              <w:ind w:right="-1899"/>
              <w:rPr>
                <w:rFonts w:cs="Arial"/>
              </w:rPr>
            </w:pPr>
            <w:r w:rsidRPr="00DB70D1">
              <w:rPr>
                <w:rFonts w:cs="Arial"/>
              </w:rPr>
              <w:t>1</w:t>
            </w:r>
          </w:p>
        </w:tc>
      </w:tr>
    </w:tbl>
    <w:p w14:paraId="32363AD9" w14:textId="77777777" w:rsidR="00712526" w:rsidRPr="001F543C" w:rsidRDefault="00712526" w:rsidP="00712526">
      <w:pPr>
        <w:autoSpaceDE w:val="0"/>
        <w:autoSpaceDN w:val="0"/>
        <w:adjustRightInd w:val="0"/>
        <w:spacing w:before="120"/>
        <w:ind w:right="-23"/>
        <w:rPr>
          <w:rFonts w:cs="Arial"/>
        </w:rPr>
      </w:pPr>
      <w:proofErr w:type="gramStart"/>
      <w:r w:rsidRPr="001F543C">
        <w:rPr>
          <w:rFonts w:cs="Arial"/>
          <w:vertAlign w:val="superscript"/>
        </w:rPr>
        <w:t>a</w:t>
      </w:r>
      <w:proofErr w:type="gramEnd"/>
      <w:r w:rsidRPr="001F543C">
        <w:rPr>
          <w:rFonts w:cs="Arial"/>
        </w:rPr>
        <w:t xml:space="preserve"> Previously unvaccinated children </w:t>
      </w:r>
      <w:r>
        <w:rPr>
          <w:rFonts w:cs="Arial"/>
        </w:rPr>
        <w:t>5</w:t>
      </w:r>
      <w:r w:rsidRPr="001F543C">
        <w:rPr>
          <w:rFonts w:cs="Arial"/>
        </w:rPr>
        <w:t xml:space="preserve"> to &lt; 9 years of age should be given 2 doses at least 4 weeks apart</w:t>
      </w:r>
    </w:p>
    <w:p w14:paraId="657C741E" w14:textId="77777777" w:rsidR="001A415F" w:rsidRPr="00B81ECB" w:rsidRDefault="001A415F" w:rsidP="001A415F">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pPr>
      <w:r w:rsidRPr="00B81ECB">
        <w:t xml:space="preserve">To provide continuing protection, annual vaccination with vaccine containing the most recent strains is necessary. </w:t>
      </w:r>
    </w:p>
    <w:p w14:paraId="727F8234" w14:textId="77777777" w:rsidR="001A415F" w:rsidRDefault="0055356A" w:rsidP="003B2D2C">
      <w:pPr>
        <w:pStyle w:val="Heading3"/>
        <w:ind w:left="0"/>
      </w:pPr>
      <w:r>
        <w:t xml:space="preserve">Method of </w:t>
      </w:r>
      <w:r w:rsidR="00BB41D2">
        <w:t>administration</w:t>
      </w:r>
    </w:p>
    <w:p w14:paraId="20B306E5" w14:textId="77777777" w:rsidR="001A415F" w:rsidRPr="00BA3C67" w:rsidRDefault="001A415F" w:rsidP="001A415F">
      <w:pPr>
        <w:rPr>
          <w:lang w:val="de-CH"/>
        </w:rPr>
      </w:pPr>
      <w:r>
        <w:t>Afluria</w:t>
      </w:r>
      <w:r>
        <w:rPr>
          <w:rFonts w:ascii="Calibri" w:hAnsi="Calibri" w:cs="Calibri"/>
        </w:rPr>
        <w:t>®</w:t>
      </w:r>
      <w:r>
        <w:t xml:space="preserve"> Quad vaccine </w:t>
      </w:r>
      <w:r w:rsidRPr="00BA3C67">
        <w:rPr>
          <w:lang w:val="de-CH"/>
        </w:rPr>
        <w:t xml:space="preserve">should be administered by a health care practitioner in an appropriate setting with an appropriate post-vaccination observation period. </w:t>
      </w:r>
    </w:p>
    <w:p w14:paraId="0F1C385D" w14:textId="5DE5CB67" w:rsidR="001A415F" w:rsidRPr="00AE5C0E" w:rsidRDefault="001A415F" w:rsidP="001A415F">
      <w:r w:rsidRPr="00BA3C67">
        <w:rPr>
          <w:lang w:val="de-CH"/>
        </w:rPr>
        <w:t>Shake before use. After shaking, the vaccine should appear as a</w:t>
      </w:r>
      <w:r w:rsidR="00AA3B35" w:rsidRPr="00BA3C67">
        <w:rPr>
          <w:lang w:val="de-CH"/>
        </w:rPr>
        <w:t xml:space="preserve"> </w:t>
      </w:r>
      <w:r w:rsidR="00AA3B35">
        <w:t>clear to slightly opaque</w:t>
      </w:r>
      <w:r w:rsidRPr="00BA3C67">
        <w:rPr>
          <w:lang w:val="de-CH"/>
        </w:rPr>
        <w:t xml:space="preserve"> homogenous suspension. The vaccine must be inspected visually prior to administration and should not be used if there is any variation of physical appearance.</w:t>
      </w:r>
      <w:r w:rsidR="006F2E66" w:rsidRPr="00BA3C67">
        <w:rPr>
          <w:lang w:val="de-CH"/>
        </w:rPr>
        <w:t xml:space="preserve"> </w:t>
      </w:r>
      <w:r w:rsidRPr="00AE5C0E">
        <w:t xml:space="preserve">See </w:t>
      </w:r>
      <w:r w:rsidR="00BB41D2" w:rsidRPr="00D60C8B">
        <w:rPr>
          <w:b/>
        </w:rPr>
        <w:t>Section 3</w:t>
      </w:r>
      <w:r w:rsidR="00256CA2">
        <w:rPr>
          <w:b/>
        </w:rPr>
        <w:t xml:space="preserve">- </w:t>
      </w:r>
      <w:r w:rsidR="0055356A" w:rsidRPr="00D60C8B">
        <w:rPr>
          <w:b/>
        </w:rPr>
        <w:t>Pharmaceutical Form</w:t>
      </w:r>
      <w:r w:rsidRPr="00D60C8B">
        <w:rPr>
          <w:b/>
        </w:rPr>
        <w:t>.</w:t>
      </w:r>
    </w:p>
    <w:p w14:paraId="48AB11F7" w14:textId="77777777" w:rsidR="001A415F" w:rsidRDefault="001A415F" w:rsidP="001A415F">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u w:val="single"/>
        </w:rPr>
      </w:pPr>
      <w:r>
        <w:t xml:space="preserve">The vaccine should be administered by intramuscular or deep subcutaneous injection. </w:t>
      </w:r>
    </w:p>
    <w:p w14:paraId="65DD03D3" w14:textId="77777777" w:rsidR="001A415F" w:rsidRDefault="001A415F" w:rsidP="001A415F">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pPr>
      <w:r>
        <w:lastRenderedPageBreak/>
        <w:t>Afluria</w:t>
      </w:r>
      <w:r>
        <w:rPr>
          <w:rFonts w:ascii="Calibri" w:hAnsi="Calibri" w:cs="Calibri"/>
        </w:rPr>
        <w:t>®</w:t>
      </w:r>
      <w:r>
        <w:t xml:space="preserve"> Quad vaccine can be administered concurrently with other </w:t>
      </w:r>
      <w:proofErr w:type="gramStart"/>
      <w:r>
        <w:t>vaccines,</w:t>
      </w:r>
      <w:proofErr w:type="gramEnd"/>
      <w:r>
        <w:t xml:space="preserve"> however separate syringes and a separate arm should be used. </w:t>
      </w:r>
    </w:p>
    <w:p w14:paraId="6AE8A059" w14:textId="77777777" w:rsidR="001A3992" w:rsidRDefault="001A3992" w:rsidP="001A3992">
      <w:pPr>
        <w:pStyle w:val="Heading2"/>
        <w:spacing w:before="0" w:after="120"/>
      </w:pPr>
      <w:r>
        <w:t>Contraindications</w:t>
      </w:r>
    </w:p>
    <w:p w14:paraId="795C6958" w14:textId="51F87DC3" w:rsidR="000F6F7F" w:rsidRDefault="000F6F7F" w:rsidP="000F6F7F">
      <w:r>
        <w:t>Afluria</w:t>
      </w:r>
      <w:r>
        <w:rPr>
          <w:rFonts w:ascii="Calibri" w:hAnsi="Calibri" w:cs="Calibri"/>
        </w:rPr>
        <w:t>®</w:t>
      </w:r>
      <w:r>
        <w:t xml:space="preserve"> Quad vaccine is contraindicated in </w:t>
      </w:r>
      <w:r w:rsidRPr="000859AE">
        <w:t>children</w:t>
      </w:r>
      <w:r w:rsidR="00CC0AE8">
        <w:t xml:space="preserve"> </w:t>
      </w:r>
      <w:r w:rsidR="000516DA">
        <w:t>less than</w:t>
      </w:r>
      <w:r w:rsidR="000516DA" w:rsidRPr="000859AE">
        <w:t xml:space="preserve"> </w:t>
      </w:r>
      <w:r w:rsidR="004821FC">
        <w:t xml:space="preserve">5 years of age </w:t>
      </w:r>
      <w:r>
        <w:t xml:space="preserve">because the </w:t>
      </w:r>
      <w:r w:rsidRPr="000859AE">
        <w:t xml:space="preserve">safety and efficacy </w:t>
      </w:r>
      <w:r>
        <w:t xml:space="preserve">in this age group </w:t>
      </w:r>
      <w:r w:rsidRPr="000859AE">
        <w:t xml:space="preserve">has not been </w:t>
      </w:r>
      <w:r w:rsidR="006853B2">
        <w:t>evaluated</w:t>
      </w:r>
      <w:r w:rsidRPr="000859AE">
        <w:t>.</w:t>
      </w:r>
    </w:p>
    <w:p w14:paraId="69424E47" w14:textId="77777777" w:rsidR="00712526" w:rsidRPr="003922F0" w:rsidRDefault="000F6F7F" w:rsidP="00712526">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rFonts w:cstheme="minorHAnsi"/>
          <w:iCs/>
          <w:color w:val="000000"/>
        </w:rPr>
      </w:pPr>
      <w:r w:rsidRPr="003922F0">
        <w:rPr>
          <w:rFonts w:cstheme="minorHAnsi"/>
          <w:iCs/>
          <w:color w:val="000000"/>
        </w:rPr>
        <w:t xml:space="preserve">Afluria® Quad vaccine is contraindicated in individuals </w:t>
      </w:r>
      <w:r w:rsidR="00712526" w:rsidRPr="003922F0">
        <w:rPr>
          <w:rFonts w:cstheme="minorHAnsi"/>
          <w:iCs/>
          <w:color w:val="000000"/>
        </w:rPr>
        <w:t>who have previously experienced:</w:t>
      </w:r>
    </w:p>
    <w:p w14:paraId="2FC1D6A1" w14:textId="77777777" w:rsidR="00712526" w:rsidRPr="003922F0" w:rsidRDefault="00712526" w:rsidP="003922F0">
      <w:pPr>
        <w:pStyle w:val="ListParagraph"/>
        <w:numPr>
          <w:ilvl w:val="0"/>
          <w:numId w:val="13"/>
        </w:num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rFonts w:asciiTheme="minorHAnsi" w:hAnsiTheme="minorHAnsi" w:cstheme="minorHAnsi"/>
          <w:iCs/>
          <w:color w:val="000000"/>
        </w:rPr>
      </w:pPr>
      <w:r w:rsidRPr="003922F0">
        <w:rPr>
          <w:rFonts w:asciiTheme="minorHAnsi" w:hAnsiTheme="minorHAnsi" w:cstheme="minorHAnsi"/>
          <w:iCs/>
          <w:color w:val="000000"/>
        </w:rPr>
        <w:t>Anaphylaxis following a dose of any influenza vaccine</w:t>
      </w:r>
    </w:p>
    <w:p w14:paraId="3A53BA5A" w14:textId="77777777" w:rsidR="00712526" w:rsidRPr="003922F0" w:rsidRDefault="00712526" w:rsidP="003922F0">
      <w:pPr>
        <w:pStyle w:val="ListParagraph"/>
        <w:numPr>
          <w:ilvl w:val="0"/>
          <w:numId w:val="13"/>
        </w:num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rPr>
          <w:rFonts w:asciiTheme="minorHAnsi" w:hAnsiTheme="minorHAnsi" w:cstheme="minorHAnsi"/>
          <w:iCs/>
          <w:color w:val="000000"/>
        </w:rPr>
      </w:pPr>
      <w:r w:rsidRPr="003922F0">
        <w:rPr>
          <w:rFonts w:asciiTheme="minorHAnsi" w:hAnsiTheme="minorHAnsi" w:cstheme="minorHAnsi"/>
          <w:iCs/>
          <w:color w:val="000000"/>
        </w:rPr>
        <w:t>Anaphylaxis following exposure to any component of the vaccine [</w:t>
      </w:r>
      <w:r w:rsidRPr="003922F0">
        <w:rPr>
          <w:rFonts w:asciiTheme="minorHAnsi" w:hAnsiTheme="minorHAnsi" w:cstheme="minorHAnsi"/>
          <w:b/>
          <w:iCs/>
          <w:color w:val="000000"/>
        </w:rPr>
        <w:t>See Section 2 – Qualitative and quantitative composition</w:t>
      </w:r>
      <w:r w:rsidRPr="003922F0">
        <w:rPr>
          <w:rFonts w:asciiTheme="minorHAnsi" w:hAnsiTheme="minorHAnsi" w:cstheme="minorHAnsi"/>
          <w:iCs/>
          <w:color w:val="000000"/>
        </w:rPr>
        <w:t>]</w:t>
      </w:r>
      <w:r w:rsidRPr="003922F0" w:rsidDel="006C7ED8">
        <w:rPr>
          <w:rFonts w:asciiTheme="minorHAnsi" w:hAnsiTheme="minorHAnsi" w:cstheme="minorHAnsi"/>
          <w:iCs/>
          <w:color w:val="000000"/>
        </w:rPr>
        <w:t xml:space="preserve"> </w:t>
      </w:r>
    </w:p>
    <w:p w14:paraId="3920DCB2" w14:textId="77777777" w:rsidR="00430387" w:rsidRPr="005811ED" w:rsidRDefault="00712526" w:rsidP="00712526">
      <w:r w:rsidRPr="00444B36">
        <w:t xml:space="preserve">Refer to </w:t>
      </w:r>
      <w:r w:rsidRPr="00E73440">
        <w:rPr>
          <w:b/>
        </w:rPr>
        <w:t xml:space="preserve">Section 4.4 </w:t>
      </w:r>
      <w:r w:rsidR="00E37924">
        <w:rPr>
          <w:b/>
        </w:rPr>
        <w:t xml:space="preserve">- </w:t>
      </w:r>
      <w:r w:rsidRPr="00E73440">
        <w:rPr>
          <w:b/>
        </w:rPr>
        <w:t xml:space="preserve">Special </w:t>
      </w:r>
      <w:r>
        <w:rPr>
          <w:b/>
        </w:rPr>
        <w:t>w</w:t>
      </w:r>
      <w:r w:rsidRPr="00E73440">
        <w:rPr>
          <w:b/>
        </w:rPr>
        <w:t xml:space="preserve">arnings and </w:t>
      </w:r>
      <w:r>
        <w:rPr>
          <w:b/>
        </w:rPr>
        <w:t>p</w:t>
      </w:r>
      <w:r w:rsidRPr="00E73440">
        <w:rPr>
          <w:b/>
        </w:rPr>
        <w:t xml:space="preserve">recautions for </w:t>
      </w:r>
      <w:r>
        <w:rPr>
          <w:b/>
        </w:rPr>
        <w:t>u</w:t>
      </w:r>
      <w:r w:rsidRPr="00E73440">
        <w:rPr>
          <w:b/>
        </w:rPr>
        <w:t>se</w:t>
      </w:r>
      <w:r w:rsidRPr="00430387">
        <w:t xml:space="preserve"> </w:t>
      </w:r>
      <w:r w:rsidRPr="00444B36">
        <w:t>below for persons with a known allergy to any component of the vaccine including egg protein.</w:t>
      </w:r>
    </w:p>
    <w:p w14:paraId="3CBF75E0" w14:textId="77777777" w:rsidR="000F6F7F" w:rsidRDefault="000F6F7F" w:rsidP="000F6F7F">
      <w:r w:rsidRPr="00035019">
        <w:t xml:space="preserve">Immunization should generally </w:t>
      </w:r>
      <w:r>
        <w:t xml:space="preserve">be </w:t>
      </w:r>
      <w:r w:rsidRPr="00035019">
        <w:t>postponed in individuals having a febrile illness or acute infection</w:t>
      </w:r>
      <w:r>
        <w:t xml:space="preserve">. </w:t>
      </w:r>
    </w:p>
    <w:p w14:paraId="1819EAB8" w14:textId="77777777" w:rsidR="000F6F7F" w:rsidRDefault="00E74A56" w:rsidP="000F6F7F">
      <w:pPr>
        <w:pStyle w:val="Heading2"/>
        <w:spacing w:before="0" w:after="120"/>
      </w:pPr>
      <w:r>
        <w:t>Special warnings and p</w:t>
      </w:r>
      <w:r w:rsidR="001A3992">
        <w:t xml:space="preserve">recautions </w:t>
      </w:r>
      <w:r>
        <w:t>for use</w:t>
      </w:r>
    </w:p>
    <w:p w14:paraId="2B3C4D92" w14:textId="77777777" w:rsidR="00D475FC" w:rsidRDefault="008B7D5F" w:rsidP="000F6F7F">
      <w:r>
        <w:t>Afluria</w:t>
      </w:r>
      <w:r w:rsidRPr="00D94331">
        <w:rPr>
          <w:vertAlign w:val="superscript"/>
          <w:lang w:val="en-US"/>
        </w:rPr>
        <w:t>®</w:t>
      </w:r>
      <w:r>
        <w:t xml:space="preserve"> Quad</w:t>
      </w:r>
      <w:r w:rsidRPr="00E9334D">
        <w:t xml:space="preserve"> vaccine </w:t>
      </w:r>
      <w:r>
        <w:t xml:space="preserve">is not indicated for use </w:t>
      </w:r>
      <w:r w:rsidRPr="00E9334D">
        <w:t xml:space="preserve">in children </w:t>
      </w:r>
      <w:r>
        <w:t>less than</w:t>
      </w:r>
      <w:r w:rsidRPr="00E9334D">
        <w:t xml:space="preserve"> 5 years </w:t>
      </w:r>
      <w:r>
        <w:t>of age (Refer to Paediatric Use).</w:t>
      </w:r>
    </w:p>
    <w:p w14:paraId="12988C9F" w14:textId="00102598" w:rsidR="000F6F7F" w:rsidRDefault="000F6F7F" w:rsidP="000F6F7F">
      <w:r>
        <w:t>As with other injectable vaccines, appropriate medical treatment and supervision should always be available to manage the rare event of an anaphylactic reaction following administration of the vaccine</w:t>
      </w:r>
      <w:r w:rsidR="00712526" w:rsidRPr="00712526">
        <w:t xml:space="preserve"> </w:t>
      </w:r>
      <w:r w:rsidR="00712526" w:rsidRPr="00444B36">
        <w:t>especially for individuals who have a known allergy to egg protein</w:t>
      </w:r>
      <w:r>
        <w:t xml:space="preserve">. Adrenaline should always be ready for immediate use whenever any injection is given. </w:t>
      </w:r>
    </w:p>
    <w:p w14:paraId="01577539" w14:textId="77777777" w:rsidR="000F6F7F" w:rsidRDefault="000F6F7F" w:rsidP="000F6F7F">
      <w:r>
        <w:t xml:space="preserve">In immunocompromised patients the antibody response may be lower. </w:t>
      </w:r>
    </w:p>
    <w:p w14:paraId="1338CDCC" w14:textId="77777777" w:rsidR="000F6F7F" w:rsidRPr="000F6F7F" w:rsidRDefault="000F6F7F" w:rsidP="000F6F7F">
      <w:r>
        <w:t xml:space="preserve">If </w:t>
      </w:r>
      <w:proofErr w:type="spellStart"/>
      <w:r>
        <w:t>Guillain-Barré</w:t>
      </w:r>
      <w:proofErr w:type="spellEnd"/>
      <w:r>
        <w:t xml:space="preserve"> syndrome has occurred within 6 weeks of previous influenza vaccination, the decision to give Afluria® Quad vaccine should be based on careful consideration of the potential benefits and risks.</w:t>
      </w:r>
    </w:p>
    <w:p w14:paraId="053BC688" w14:textId="77777777" w:rsidR="001A3992" w:rsidRDefault="001A3992" w:rsidP="003B2D2C">
      <w:pPr>
        <w:pStyle w:val="Heading3"/>
        <w:spacing w:before="0" w:after="120"/>
        <w:ind w:left="0"/>
      </w:pPr>
      <w:r w:rsidRPr="00B878CC">
        <w:t>Use in the elderly</w:t>
      </w:r>
    </w:p>
    <w:p w14:paraId="613C0FF5" w14:textId="77777777" w:rsidR="000F6F7F" w:rsidRPr="000F6F7F" w:rsidRDefault="000F6F7F" w:rsidP="000F6F7F">
      <w:r w:rsidRPr="000F6F7F">
        <w:t xml:space="preserve">The safety and immunogenicity of Afluria® Quad vaccine was evaluated in </w:t>
      </w:r>
      <w:proofErr w:type="gramStart"/>
      <w:r w:rsidRPr="000F6F7F">
        <w:t>adults</w:t>
      </w:r>
      <w:proofErr w:type="gramEnd"/>
      <w:r w:rsidRPr="000F6F7F">
        <w:t xml:space="preserve"> ≥ 65 years in QIV-01 (See </w:t>
      </w:r>
      <w:r w:rsidR="00FA2C2E" w:rsidRPr="00100D2F">
        <w:rPr>
          <w:b/>
        </w:rPr>
        <w:t>Section 4.8 Adverse Effects (Undesirable effects)</w:t>
      </w:r>
      <w:r w:rsidR="00FA2C2E">
        <w:t xml:space="preserve"> and </w:t>
      </w:r>
      <w:r w:rsidR="00FA2C2E" w:rsidRPr="00100D2F">
        <w:rPr>
          <w:b/>
        </w:rPr>
        <w:t xml:space="preserve">Section 5.1 </w:t>
      </w:r>
      <w:proofErr w:type="spellStart"/>
      <w:r w:rsidR="00FA2C2E" w:rsidRPr="00100D2F">
        <w:rPr>
          <w:b/>
        </w:rPr>
        <w:t>Pharmacodynamic</w:t>
      </w:r>
      <w:proofErr w:type="spellEnd"/>
      <w:r w:rsidR="00FA2C2E" w:rsidRPr="00100D2F">
        <w:rPr>
          <w:b/>
        </w:rPr>
        <w:t xml:space="preserve"> properties, Clinical trials</w:t>
      </w:r>
      <w:r w:rsidRPr="000F6F7F">
        <w:t xml:space="preserve">). There were 541 enrolled subjects aged 65 to &lt; 75 years and 329 enrolled subjects ≥ 75 years. Antibody responses to Afluria® Quad vaccine were non-inferior to comparator trivalent influenza (TIV-1 and TIV-2) responses in </w:t>
      </w:r>
      <w:proofErr w:type="gramStart"/>
      <w:r w:rsidRPr="000F6F7F">
        <w:t>adults</w:t>
      </w:r>
      <w:proofErr w:type="gramEnd"/>
      <w:r w:rsidRPr="000F6F7F">
        <w:t xml:space="preserve"> ≥ 65 years of age, and lower than in younger adults.</w:t>
      </w:r>
    </w:p>
    <w:p w14:paraId="583D0334" w14:textId="77777777" w:rsidR="001A3992" w:rsidRDefault="001A3992" w:rsidP="003B2D2C">
      <w:pPr>
        <w:pStyle w:val="Heading3"/>
        <w:spacing w:before="0" w:after="120"/>
        <w:ind w:left="0"/>
      </w:pPr>
      <w:r w:rsidRPr="00B878CC">
        <w:t>Paediatric use</w:t>
      </w:r>
    </w:p>
    <w:p w14:paraId="37B0D847" w14:textId="4460449F" w:rsidR="00E73440" w:rsidRDefault="00100D2F" w:rsidP="000F6F7F">
      <w:r w:rsidRPr="0037527E">
        <w:t>Afluria</w:t>
      </w:r>
      <w:r w:rsidRPr="0037527E">
        <w:rPr>
          <w:vertAlign w:val="superscript"/>
        </w:rPr>
        <w:t>®</w:t>
      </w:r>
      <w:r w:rsidRPr="0037527E">
        <w:t xml:space="preserve"> Quad vaccine is not indicated in children less than 5 years of age.</w:t>
      </w:r>
    </w:p>
    <w:p w14:paraId="1665F556" w14:textId="77777777" w:rsidR="00100D2F" w:rsidRDefault="00100D2F" w:rsidP="00100D2F">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pPr>
      <w:r w:rsidRPr="0062756B">
        <w:t xml:space="preserve">Administration of the 2010 </w:t>
      </w:r>
      <w:r>
        <w:t>Southern Hemisphere trivalent influenza vaccine (</w:t>
      </w:r>
      <w:proofErr w:type="spellStart"/>
      <w:r w:rsidRPr="00E9334D">
        <w:t>Fluvax</w:t>
      </w:r>
      <w:proofErr w:type="spellEnd"/>
      <w:r w:rsidRPr="0062756B">
        <w:rPr>
          <w:vertAlign w:val="superscript"/>
        </w:rPr>
        <w:sym w:font="Symbol" w:char="F0D2"/>
      </w:r>
      <w:r w:rsidRPr="00E9334D">
        <w:t xml:space="preserve"> TIV</w:t>
      </w:r>
      <w:r>
        <w:t xml:space="preserve">, manufactured by CSL, now </w:t>
      </w:r>
      <w:proofErr w:type="spellStart"/>
      <w:r>
        <w:t>Seqirus</w:t>
      </w:r>
      <w:proofErr w:type="spellEnd"/>
      <w:r>
        <w:t xml:space="preserve"> Pty Ltd)</w:t>
      </w:r>
      <w:r w:rsidRPr="00E9334D">
        <w:t xml:space="preserve"> </w:t>
      </w:r>
      <w:r w:rsidRPr="0062756B">
        <w:t>was associated with increased rates of fever and febrile convulsions, predominantly in children below the age of 5 years as compared to previous years</w:t>
      </w:r>
      <w:r>
        <w:t>.</w:t>
      </w:r>
    </w:p>
    <w:p w14:paraId="60819A0A" w14:textId="25851F0C" w:rsidR="00100D2F" w:rsidRDefault="00100D2F" w:rsidP="00100D2F">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pPr>
      <w:r>
        <w:lastRenderedPageBreak/>
        <w:t xml:space="preserve">Following a comprehensive investigation into the 2010 Southern Hemisphere </w:t>
      </w:r>
      <w:r w:rsidR="002F7575">
        <w:t>adverse events</w:t>
      </w:r>
      <w:r>
        <w:t xml:space="preserve">, </w:t>
      </w:r>
      <w:proofErr w:type="spellStart"/>
      <w:r>
        <w:t>Seqirus</w:t>
      </w:r>
      <w:proofErr w:type="spellEnd"/>
      <w:r>
        <w:t xml:space="preserve"> has modified the manufacturing conditions. </w:t>
      </w:r>
      <w:r w:rsidR="002F7575">
        <w:t>A</w:t>
      </w:r>
      <w:r>
        <w:t xml:space="preserve"> clinical program has </w:t>
      </w:r>
      <w:r w:rsidR="002F7575">
        <w:t xml:space="preserve">subsequently </w:t>
      </w:r>
      <w:r>
        <w:t>been conducted with Afluria</w:t>
      </w:r>
      <w:r w:rsidRPr="00385652">
        <w:rPr>
          <w:vertAlign w:val="superscript"/>
        </w:rPr>
        <w:sym w:font="Symbol" w:char="F0D2"/>
      </w:r>
      <w:r>
        <w:t xml:space="preserve"> Quad in adults, and children aged 6 months to less than 18 years. Fever rates in children were lower than those observed in clinical studies conducted prior to 2010 and no related febrile convulsions were reported. </w:t>
      </w:r>
    </w:p>
    <w:p w14:paraId="6EA6486E" w14:textId="26EFF302" w:rsidR="001A3992" w:rsidRDefault="001A3992" w:rsidP="00E37924">
      <w:pPr>
        <w:pStyle w:val="Heading3"/>
        <w:spacing w:before="0" w:after="120"/>
        <w:ind w:left="0"/>
      </w:pPr>
      <w:r w:rsidRPr="00B878CC">
        <w:t>Effects on</w:t>
      </w:r>
      <w:r w:rsidRPr="00CC0D90">
        <w:t xml:space="preserve"> laboratory tests</w:t>
      </w:r>
    </w:p>
    <w:p w14:paraId="7C358451" w14:textId="77777777" w:rsidR="001A415F" w:rsidRPr="001A415F" w:rsidRDefault="001A415F" w:rsidP="001A415F">
      <w:r w:rsidRPr="001A415F">
        <w:t>Interference of Afluria® Quad vaccine with laboratory and/or diagnostic tests has not been studied.</w:t>
      </w:r>
    </w:p>
    <w:p w14:paraId="2C22080B" w14:textId="77777777" w:rsidR="001A3992" w:rsidRDefault="001A3992" w:rsidP="001A3992">
      <w:pPr>
        <w:pStyle w:val="Heading2"/>
        <w:keepNext/>
        <w:keepLines/>
        <w:spacing w:before="0" w:after="120"/>
      </w:pPr>
      <w:r>
        <w:t>Interactions with other medicines and other forms of interactions</w:t>
      </w:r>
    </w:p>
    <w:p w14:paraId="309B6823" w14:textId="77777777" w:rsidR="001A415F" w:rsidRPr="001A415F" w:rsidRDefault="001A415F" w:rsidP="001A415F">
      <w:r w:rsidRPr="001A415F">
        <w:t>No interaction studies have been performed on interaction between influenza vaccines in general and other vaccines or medications.</w:t>
      </w:r>
    </w:p>
    <w:p w14:paraId="54F6CDE5" w14:textId="77777777" w:rsidR="001A3992" w:rsidRDefault="001A3992" w:rsidP="001A3992">
      <w:pPr>
        <w:pStyle w:val="Heading2"/>
        <w:spacing w:before="0" w:after="120"/>
      </w:pPr>
      <w:r>
        <w:t xml:space="preserve">Fertility, pregnancy and lactation </w:t>
      </w:r>
    </w:p>
    <w:p w14:paraId="1B45B976" w14:textId="77777777" w:rsidR="001A3992" w:rsidRDefault="001A3992" w:rsidP="00E37924">
      <w:pPr>
        <w:pStyle w:val="Heading3"/>
        <w:spacing w:before="0" w:after="120"/>
        <w:ind w:left="0"/>
      </w:pPr>
      <w:r w:rsidRPr="00B878CC">
        <w:t>Effects on fertility</w:t>
      </w:r>
    </w:p>
    <w:p w14:paraId="5CE8B397" w14:textId="77777777" w:rsidR="000F6F7F" w:rsidRDefault="000F6F7F" w:rsidP="000F6F7F">
      <w:r>
        <w:t xml:space="preserve">Afluria® Quad vaccine has not been evaluated for possible effect on fertility. </w:t>
      </w:r>
    </w:p>
    <w:p w14:paraId="663E8BE2" w14:textId="77777777" w:rsidR="000F6F7F" w:rsidRPr="000F6F7F" w:rsidRDefault="000F6F7F" w:rsidP="000F6F7F">
      <w:r>
        <w:t xml:space="preserve">A reproductive study of female rats vaccinated with </w:t>
      </w:r>
      <w:proofErr w:type="spellStart"/>
      <w:r w:rsidR="00D60C8B">
        <w:t>Seqirus</w:t>
      </w:r>
      <w:proofErr w:type="spellEnd"/>
      <w:r w:rsidR="00D60C8B">
        <w:t>’ trivalent influenza vaccine (</w:t>
      </w:r>
      <w:proofErr w:type="spellStart"/>
      <w:r>
        <w:t>Fluvax</w:t>
      </w:r>
      <w:proofErr w:type="spellEnd"/>
      <w:r>
        <w:rPr>
          <w:rFonts w:cstheme="minorHAnsi"/>
        </w:rPr>
        <w:t>®</w:t>
      </w:r>
      <w:r>
        <w:t xml:space="preserve"> TIV</w:t>
      </w:r>
      <w:r w:rsidR="00D60C8B">
        <w:t>)</w:t>
      </w:r>
      <w:r>
        <w:t xml:space="preserve"> revealed no impairment of fertility.</w:t>
      </w:r>
    </w:p>
    <w:p w14:paraId="088949C0" w14:textId="77777777" w:rsidR="001A3992" w:rsidRDefault="001A3992" w:rsidP="00E37924">
      <w:pPr>
        <w:pStyle w:val="Heading3"/>
        <w:spacing w:before="0" w:after="120"/>
        <w:ind w:left="0"/>
      </w:pPr>
      <w:r w:rsidRPr="00B878CC">
        <w:t>Use in pregnancy</w:t>
      </w:r>
      <w:r w:rsidR="00FA2C2E">
        <w:t xml:space="preserve">: </w:t>
      </w:r>
      <w:r w:rsidR="000F6F7F" w:rsidRPr="000F6F7F">
        <w:t>Category B2</w:t>
      </w:r>
    </w:p>
    <w:p w14:paraId="15DF0CC4" w14:textId="156B4865" w:rsidR="000F6F7F" w:rsidRDefault="000F6F7F" w:rsidP="000F6F7F">
      <w:r>
        <w:t xml:space="preserve">The safety and effectiveness of Afluria® Quad vaccine has not been </w:t>
      </w:r>
      <w:r w:rsidR="008B7D5F">
        <w:t xml:space="preserve">evaluated </w:t>
      </w:r>
      <w:r>
        <w:t xml:space="preserve">in pregnant women. </w:t>
      </w:r>
      <w:r w:rsidR="008B7D5F">
        <w:t>For recommendations on vaccination of pregnant women refer to national immunisation guidelines.</w:t>
      </w:r>
    </w:p>
    <w:p w14:paraId="28F96FA8" w14:textId="0F01C563" w:rsidR="000F6F7F" w:rsidRPr="000F6F7F" w:rsidRDefault="000F6F7F" w:rsidP="000F6F7F">
      <w:r>
        <w:t xml:space="preserve">A </w:t>
      </w:r>
      <w:r w:rsidR="00CB0F95">
        <w:t>rat reproductive and developmental toxicity</w:t>
      </w:r>
      <w:r>
        <w:t xml:space="preserve"> study has been conducted with </w:t>
      </w:r>
      <w:proofErr w:type="spellStart"/>
      <w:r w:rsidR="00D60C8B">
        <w:t>Seqirus</w:t>
      </w:r>
      <w:proofErr w:type="spellEnd"/>
      <w:r w:rsidR="00D60C8B">
        <w:t>’ trivalent influenza vaccine (</w:t>
      </w:r>
      <w:proofErr w:type="spellStart"/>
      <w:r>
        <w:t>Fluvax</w:t>
      </w:r>
      <w:proofErr w:type="spellEnd"/>
      <w:r>
        <w:rPr>
          <w:rFonts w:cstheme="minorHAnsi"/>
        </w:rPr>
        <w:t>®</w:t>
      </w:r>
      <w:r>
        <w:t xml:space="preserve"> TIV</w:t>
      </w:r>
      <w:r w:rsidR="00D60C8B">
        <w:t>)</w:t>
      </w:r>
      <w:r>
        <w:t>. This study did not demonstrate any maternal or developmental toxicity.</w:t>
      </w:r>
      <w:r w:rsidR="008B7D5F" w:rsidRPr="008B7D5F">
        <w:t xml:space="preserve"> </w:t>
      </w:r>
      <w:r w:rsidR="008B7D5F">
        <w:t xml:space="preserve"> </w:t>
      </w:r>
      <w:r w:rsidR="00CB0F95">
        <w:t>Nonclinical studies have</w:t>
      </w:r>
      <w:r w:rsidR="008B7D5F" w:rsidRPr="00BC6209">
        <w:t xml:space="preserve"> </w:t>
      </w:r>
      <w:r w:rsidR="008B7D5F">
        <w:t xml:space="preserve">not </w:t>
      </w:r>
      <w:r w:rsidR="008B7D5F" w:rsidRPr="00BC6209">
        <w:t xml:space="preserve">been conducted with </w:t>
      </w:r>
      <w:r w:rsidR="008B7D5F">
        <w:t>Afluria</w:t>
      </w:r>
      <w:r w:rsidR="008B7D5F" w:rsidRPr="00F76103">
        <w:rPr>
          <w:vertAlign w:val="superscript"/>
        </w:rPr>
        <w:t>®</w:t>
      </w:r>
      <w:r w:rsidR="008B7D5F">
        <w:t xml:space="preserve"> Quad </w:t>
      </w:r>
      <w:r w:rsidR="008B7D5F" w:rsidRPr="00BC6209">
        <w:t xml:space="preserve">vaccine.  </w:t>
      </w:r>
    </w:p>
    <w:p w14:paraId="043D3935" w14:textId="77777777" w:rsidR="001A3992" w:rsidRDefault="001A3992" w:rsidP="00E37924">
      <w:pPr>
        <w:pStyle w:val="Heading3"/>
        <w:spacing w:before="0" w:after="120"/>
        <w:ind w:left="0"/>
      </w:pPr>
      <w:r w:rsidRPr="00B878CC">
        <w:t>Use in</w:t>
      </w:r>
      <w:r w:rsidR="000F6F7F">
        <w:t xml:space="preserve"> lactation</w:t>
      </w:r>
    </w:p>
    <w:p w14:paraId="3BC84A12" w14:textId="51FE2AED" w:rsidR="000F6F7F" w:rsidRPr="000F6F7F" w:rsidRDefault="000F6F7F" w:rsidP="000F6F7F">
      <w:r w:rsidRPr="000F6F7F">
        <w:t xml:space="preserve">The safety and effectiveness of Afluria® Quad vaccine has not been </w:t>
      </w:r>
      <w:r w:rsidR="00100D2F">
        <w:t>evaluated</w:t>
      </w:r>
      <w:r w:rsidR="00100D2F" w:rsidRPr="000F6F7F">
        <w:t xml:space="preserve"> </w:t>
      </w:r>
      <w:r w:rsidRPr="000F6F7F">
        <w:t>in nursing mothers.</w:t>
      </w:r>
    </w:p>
    <w:p w14:paraId="0DCE67A3" w14:textId="77777777" w:rsidR="001A3992" w:rsidRDefault="001A3992" w:rsidP="001A3992">
      <w:pPr>
        <w:pStyle w:val="Heading2"/>
        <w:spacing w:before="0" w:after="120"/>
      </w:pPr>
      <w:r w:rsidRPr="00EC3C40">
        <w:t>Effects</w:t>
      </w:r>
      <w:r>
        <w:t xml:space="preserve"> on ability to drive and use machines </w:t>
      </w:r>
    </w:p>
    <w:p w14:paraId="426A9C8D" w14:textId="77777777" w:rsidR="006F2E66" w:rsidRPr="0055356A" w:rsidRDefault="006F2E66" w:rsidP="006F2E66">
      <w:r>
        <w:t xml:space="preserve">The effects of this medicine on a person’s ability to drive and use machines were not assessed as part of its registration. </w:t>
      </w:r>
    </w:p>
    <w:p w14:paraId="0F0499E1" w14:textId="77777777" w:rsidR="001A3992" w:rsidRDefault="001A3992" w:rsidP="001A3992">
      <w:pPr>
        <w:pStyle w:val="Heading2"/>
        <w:keepNext/>
        <w:keepLines/>
        <w:spacing w:before="0" w:after="120"/>
      </w:pPr>
      <w:r>
        <w:t>Adverse effects (Undesirable effects)</w:t>
      </w:r>
    </w:p>
    <w:p w14:paraId="3E8FF93F" w14:textId="77777777" w:rsidR="001A415F" w:rsidRDefault="00E37924" w:rsidP="00E37924">
      <w:pPr>
        <w:pStyle w:val="Heading3"/>
        <w:ind w:left="0"/>
      </w:pPr>
      <w:r>
        <w:t>Clinical trials</w:t>
      </w:r>
    </w:p>
    <w:p w14:paraId="3459BBAE" w14:textId="77777777" w:rsidR="001A415F" w:rsidRPr="005E45FC" w:rsidRDefault="001A415F" w:rsidP="001A415F">
      <w:r w:rsidRPr="005E45FC">
        <w:t>Because clinical studies are conducted under widely varying conditions, adverse reaction rates observed in the clinical studies of a vaccine cannot be directly compared to rates in the clinical studies of another vaccine and may not reflect the rates of events observed in clinical practice.</w:t>
      </w:r>
    </w:p>
    <w:p w14:paraId="7181DB39" w14:textId="77777777" w:rsidR="00E73440" w:rsidRPr="00444B36" w:rsidRDefault="005854DD" w:rsidP="00E73440">
      <w:pPr>
        <w:rPr>
          <w:sz w:val="18"/>
        </w:rPr>
      </w:pPr>
      <w:r w:rsidRPr="00444B36">
        <w:rPr>
          <w:lang w:eastAsia="en-AU"/>
        </w:rPr>
        <w:t>T</w:t>
      </w:r>
      <w:r>
        <w:rPr>
          <w:lang w:eastAsia="en-AU"/>
        </w:rPr>
        <w:t xml:space="preserve">wo </w:t>
      </w:r>
      <w:r w:rsidRPr="00444B36">
        <w:rPr>
          <w:lang w:eastAsia="en-AU"/>
        </w:rPr>
        <w:t xml:space="preserve">clinical studies with </w:t>
      </w:r>
      <w:r w:rsidRPr="00444B36">
        <w:t>Afluria</w:t>
      </w:r>
      <w:r w:rsidRPr="00444B36">
        <w:rPr>
          <w:rFonts w:ascii="Calibri" w:hAnsi="Calibri" w:cs="Calibri"/>
        </w:rPr>
        <w:t>®</w:t>
      </w:r>
      <w:r w:rsidRPr="00444B36">
        <w:t xml:space="preserve"> Quad </w:t>
      </w:r>
      <w:r w:rsidRPr="00444B36">
        <w:rPr>
          <w:lang w:eastAsia="en-AU"/>
        </w:rPr>
        <w:t xml:space="preserve">vaccine have been completed.  </w:t>
      </w:r>
    </w:p>
    <w:p w14:paraId="1DC411D2" w14:textId="77777777" w:rsidR="001A415F" w:rsidRDefault="001A415F" w:rsidP="001A415F">
      <w:pPr>
        <w:autoSpaceDE w:val="0"/>
        <w:autoSpaceDN w:val="0"/>
        <w:rPr>
          <w:color w:val="000000"/>
        </w:rPr>
      </w:pPr>
      <w:bookmarkStart w:id="1" w:name="_6.1_Clinical_Trials"/>
      <w:bookmarkStart w:id="2" w:name="_6.2_Safety_Experience"/>
      <w:bookmarkEnd w:id="1"/>
      <w:bookmarkEnd w:id="2"/>
      <w:r>
        <w:lastRenderedPageBreak/>
        <w:t>QIV-01 (NCT02214225, see http://clinicaltrials.gov)</w:t>
      </w:r>
      <w:r w:rsidRPr="00A72C5E">
        <w:rPr>
          <w:color w:val="000000"/>
        </w:rPr>
        <w:t xml:space="preserve"> was a randomi</w:t>
      </w:r>
      <w:r>
        <w:rPr>
          <w:color w:val="000000"/>
        </w:rPr>
        <w:t>s</w:t>
      </w:r>
      <w:r w:rsidRPr="00A72C5E">
        <w:rPr>
          <w:color w:val="000000"/>
        </w:rPr>
        <w:t>ed, double-blind, active-controlled trial conducted in the US in 3449 subjects age</w:t>
      </w:r>
      <w:r>
        <w:rPr>
          <w:color w:val="000000"/>
        </w:rPr>
        <w:t>d</w:t>
      </w:r>
      <w:r w:rsidRPr="00A72C5E">
        <w:rPr>
          <w:color w:val="000000"/>
        </w:rPr>
        <w:t xml:space="preserve"> </w:t>
      </w:r>
      <w:r>
        <w:rPr>
          <w:rFonts w:cs="Arial"/>
          <w:color w:val="000000"/>
        </w:rPr>
        <w:t>≥</w:t>
      </w:r>
      <w:r>
        <w:rPr>
          <w:color w:val="000000"/>
        </w:rPr>
        <w:t xml:space="preserve"> </w:t>
      </w:r>
      <w:r w:rsidRPr="00A72C5E">
        <w:rPr>
          <w:color w:val="000000"/>
        </w:rPr>
        <w:t xml:space="preserve">18 years.  Subjects </w:t>
      </w:r>
      <w:r>
        <w:rPr>
          <w:color w:val="000000"/>
        </w:rPr>
        <w:t xml:space="preserve">in the safety population </w:t>
      </w:r>
      <w:r w:rsidRPr="00A72C5E">
        <w:rPr>
          <w:color w:val="000000"/>
        </w:rPr>
        <w:t xml:space="preserve">received one dose of either </w:t>
      </w:r>
      <w:r>
        <w:rPr>
          <w:color w:val="000000"/>
        </w:rPr>
        <w:t>Afluria</w:t>
      </w:r>
      <w:r>
        <w:rPr>
          <w:rFonts w:ascii="Calibri" w:hAnsi="Calibri" w:cs="Calibri"/>
          <w:color w:val="000000"/>
        </w:rPr>
        <w:t>®</w:t>
      </w:r>
      <w:r>
        <w:rPr>
          <w:color w:val="000000"/>
        </w:rPr>
        <w:t xml:space="preserve"> Quad vaccine </w:t>
      </w:r>
      <w:r w:rsidRPr="00A72C5E">
        <w:rPr>
          <w:color w:val="000000"/>
        </w:rPr>
        <w:t xml:space="preserve">(N=1721) or one of two formulations of comparator trivalent influenza vaccine (TIV-1 N=864 or TIV-2 N=864) each containing an influenza type B virus that corresponded to one of the two B viruses in </w:t>
      </w:r>
      <w:r>
        <w:rPr>
          <w:color w:val="000000"/>
        </w:rPr>
        <w:t>Afluria</w:t>
      </w:r>
      <w:r>
        <w:rPr>
          <w:rFonts w:ascii="Calibri" w:hAnsi="Calibri" w:cs="Calibri"/>
          <w:color w:val="000000"/>
        </w:rPr>
        <w:t>®</w:t>
      </w:r>
      <w:r>
        <w:rPr>
          <w:color w:val="000000"/>
        </w:rPr>
        <w:t xml:space="preserve"> Quad vaccine </w:t>
      </w:r>
      <w:r w:rsidRPr="00A72C5E">
        <w:rPr>
          <w:color w:val="000000"/>
        </w:rPr>
        <w:t xml:space="preserve">(a type B virus of the Victoria lineage or a type B virus of the Yamagata lineage).  </w:t>
      </w:r>
    </w:p>
    <w:p w14:paraId="05EC5F5D" w14:textId="77777777" w:rsidR="001A415F" w:rsidRDefault="001A415F" w:rsidP="001A415F">
      <w:pPr>
        <w:autoSpaceDE w:val="0"/>
        <w:autoSpaceDN w:val="0"/>
        <w:rPr>
          <w:color w:val="000000"/>
        </w:rPr>
      </w:pPr>
      <w:r w:rsidRPr="00A72C5E">
        <w:rPr>
          <w:color w:val="000000"/>
        </w:rPr>
        <w:t>Local (injection-site) adverse reactions and systemic adverse events were solicited for 7 days post</w:t>
      </w:r>
      <w:r>
        <w:rPr>
          <w:color w:val="000000"/>
        </w:rPr>
        <w:t>-</w:t>
      </w:r>
      <w:r w:rsidRPr="00A72C5E">
        <w:rPr>
          <w:color w:val="000000"/>
        </w:rPr>
        <w:t xml:space="preserve">vaccination (Table </w:t>
      </w:r>
      <w:r>
        <w:rPr>
          <w:color w:val="000000"/>
        </w:rPr>
        <w:t>2</w:t>
      </w:r>
      <w:r w:rsidRPr="00A72C5E">
        <w:rPr>
          <w:color w:val="000000"/>
        </w:rPr>
        <w:t>).  Unsolicited adverse events were collected for 28 days post</w:t>
      </w:r>
      <w:r>
        <w:rPr>
          <w:color w:val="000000"/>
        </w:rPr>
        <w:t>-</w:t>
      </w:r>
      <w:r w:rsidRPr="00A72C5E">
        <w:rPr>
          <w:color w:val="000000"/>
        </w:rPr>
        <w:t xml:space="preserve">vaccination. </w:t>
      </w:r>
      <w:r>
        <w:rPr>
          <w:color w:val="000000"/>
        </w:rPr>
        <w:t>Serious adverse events were collected for 180 days post-vaccination.</w:t>
      </w:r>
      <w:r w:rsidRPr="00A72C5E">
        <w:rPr>
          <w:color w:val="000000"/>
        </w:rPr>
        <w:t xml:space="preserve"> All adverse events are presented regardless of any treatment causality assigned by study investigators.</w:t>
      </w:r>
    </w:p>
    <w:p w14:paraId="58131D7E" w14:textId="77777777" w:rsidR="005854DD" w:rsidRDefault="005854DD" w:rsidP="005854DD">
      <w:pPr>
        <w:autoSpaceDE w:val="0"/>
        <w:autoSpaceDN w:val="0"/>
      </w:pPr>
      <w:r w:rsidRPr="00444B36">
        <w:rPr>
          <w:color w:val="000000"/>
        </w:rPr>
        <w:t xml:space="preserve">QIV-02 (NCT02545543, </w:t>
      </w:r>
      <w:r w:rsidRPr="00444B36">
        <w:t>see http://clinicaltrials.gov) was a randomised, observer-blind, comparator-controlled trial that evaluated the immunogenicity and safety of Afluria</w:t>
      </w:r>
      <w:r w:rsidRPr="0066741F">
        <w:rPr>
          <w:rFonts w:ascii="Calibri" w:hAnsi="Calibri" w:cs="Calibri"/>
          <w:color w:val="000000"/>
        </w:rPr>
        <w:t>®</w:t>
      </w:r>
      <w:r w:rsidRPr="00444B36">
        <w:t xml:space="preserve"> Quad</w:t>
      </w:r>
      <w:r w:rsidRPr="0066741F">
        <w:t xml:space="preserve"> vaccine in subjects aged 5 to &lt; 18 years with a 2015-2016 comparator </w:t>
      </w:r>
      <w:proofErr w:type="spellStart"/>
      <w:r w:rsidRPr="0066741F">
        <w:t>quadrivalent</w:t>
      </w:r>
      <w:proofErr w:type="spellEnd"/>
      <w:r w:rsidRPr="0066741F">
        <w:t xml:space="preserve"> influenza vaccine.  Study subjects were scheduled to receive either a single vaccination or two-vaccination regimen as clinically indicated. Local (injection site) adverse reactions and systemic adverse events were solicited for 7 days post vaccination (Table </w:t>
      </w:r>
      <w:r w:rsidR="003B2D2C">
        <w:t>3</w:t>
      </w:r>
      <w:r w:rsidRPr="00D915A1">
        <w:t xml:space="preserve">). Unsolicited adverse events and cellulitis-like reactions at the injection site were collected for 28 days </w:t>
      </w:r>
      <w:r w:rsidRPr="00444B36">
        <w:t xml:space="preserve">after the last vaccination; and serious </w:t>
      </w:r>
      <w:r w:rsidR="00D60C8B">
        <w:t>adverse event</w:t>
      </w:r>
      <w:r>
        <w:t>s</w:t>
      </w:r>
      <w:r w:rsidRPr="00444B36">
        <w:t xml:space="preserve"> for six months following last vaccination.</w:t>
      </w:r>
    </w:p>
    <w:p w14:paraId="705F5924" w14:textId="77777777" w:rsidR="005854DD" w:rsidRPr="00E37924" w:rsidRDefault="005854DD" w:rsidP="00E37924">
      <w:pPr>
        <w:pStyle w:val="Heading4"/>
      </w:pPr>
      <w:r w:rsidRPr="00E37924">
        <w:t>Adult data</w:t>
      </w:r>
    </w:p>
    <w:p w14:paraId="14EBA946" w14:textId="77777777" w:rsidR="00E73440" w:rsidRDefault="005854DD" w:rsidP="001A415F">
      <w:pPr>
        <w:autoSpaceDE w:val="0"/>
        <w:autoSpaceDN w:val="0"/>
        <w:rPr>
          <w:color w:val="000000"/>
        </w:rPr>
      </w:pPr>
      <w:r w:rsidRPr="00444B36">
        <w:rPr>
          <w:color w:val="000000"/>
        </w:rPr>
        <w:t>In adults 18 to &lt; 65 years, the most commonly reported injection-site adverse reaction observed in clinical studies with Afluria</w:t>
      </w:r>
      <w:r w:rsidRPr="00444B36">
        <w:rPr>
          <w:rFonts w:cs="Arial"/>
          <w:color w:val="000000"/>
          <w:vertAlign w:val="superscript"/>
        </w:rPr>
        <w:t>®</w:t>
      </w:r>
      <w:r w:rsidRPr="00444B36">
        <w:rPr>
          <w:color w:val="000000"/>
        </w:rPr>
        <w:t xml:space="preserve"> Quad vaccine was pain (≥</w:t>
      </w:r>
      <w:r w:rsidR="007875F8">
        <w:rPr>
          <w:color w:val="000000"/>
        </w:rPr>
        <w:t xml:space="preserve"> </w:t>
      </w:r>
      <w:r w:rsidRPr="00444B36">
        <w:rPr>
          <w:color w:val="000000"/>
        </w:rPr>
        <w:t>40%).  The most common systemic adverse events observed were myalgia and headache (≥</w:t>
      </w:r>
      <w:r w:rsidR="007875F8">
        <w:rPr>
          <w:color w:val="000000"/>
        </w:rPr>
        <w:t xml:space="preserve"> </w:t>
      </w:r>
      <w:r w:rsidRPr="00444B36">
        <w:rPr>
          <w:color w:val="000000"/>
        </w:rPr>
        <w:t xml:space="preserve">20%). In </w:t>
      </w:r>
      <w:proofErr w:type="gramStart"/>
      <w:r w:rsidRPr="00444B36">
        <w:rPr>
          <w:color w:val="000000"/>
        </w:rPr>
        <w:t>adults</w:t>
      </w:r>
      <w:proofErr w:type="gramEnd"/>
      <w:r w:rsidRPr="00444B36">
        <w:rPr>
          <w:color w:val="000000"/>
        </w:rPr>
        <w:t xml:space="preserve"> ≥ 65 years of age, the most commonly reported injection-site adverse reaction observed in clinical studies with Afluria</w:t>
      </w:r>
      <w:r w:rsidR="00147AF0" w:rsidRPr="00444B36">
        <w:rPr>
          <w:rFonts w:cs="Arial"/>
          <w:color w:val="000000"/>
          <w:vertAlign w:val="superscript"/>
        </w:rPr>
        <w:t>®</w:t>
      </w:r>
      <w:r w:rsidRPr="00444B36">
        <w:rPr>
          <w:color w:val="000000"/>
        </w:rPr>
        <w:t xml:space="preserve"> Quad vaccine was pain (≥</w:t>
      </w:r>
      <w:r w:rsidR="007875F8">
        <w:rPr>
          <w:color w:val="000000"/>
        </w:rPr>
        <w:t xml:space="preserve"> </w:t>
      </w:r>
      <w:r w:rsidRPr="00444B36">
        <w:rPr>
          <w:color w:val="000000"/>
        </w:rPr>
        <w:t>20%).  The most common systemic adverse event observed was myalgia (≥</w:t>
      </w:r>
      <w:r w:rsidR="007875F8">
        <w:rPr>
          <w:color w:val="000000"/>
        </w:rPr>
        <w:t xml:space="preserve"> </w:t>
      </w:r>
      <w:r w:rsidRPr="00444B36">
        <w:rPr>
          <w:color w:val="000000"/>
        </w:rPr>
        <w:t>10</w:t>
      </w:r>
      <w:r w:rsidR="007875F8">
        <w:rPr>
          <w:color w:val="000000"/>
        </w:rPr>
        <w:t xml:space="preserve">%).  A small number of adults ≥ </w:t>
      </w:r>
      <w:r w:rsidRPr="00444B36">
        <w:rPr>
          <w:color w:val="000000"/>
        </w:rPr>
        <w:t>65 years of age (n=4) experienced severe injection site swelling.</w:t>
      </w:r>
    </w:p>
    <w:p w14:paraId="2FC9AB30" w14:textId="77777777" w:rsidR="001A415F" w:rsidRPr="00A85848" w:rsidRDefault="001A415F" w:rsidP="001A415F">
      <w:pPr>
        <w:keepNext/>
        <w:keepLines/>
        <w:autoSpaceDE w:val="0"/>
        <w:autoSpaceDN w:val="0"/>
        <w:ind w:left="992" w:hanging="992"/>
        <w:rPr>
          <w:rFonts w:cstheme="minorHAnsi"/>
          <w:color w:val="000000"/>
        </w:rPr>
      </w:pPr>
      <w:r w:rsidRPr="00A85848">
        <w:rPr>
          <w:rFonts w:cstheme="minorHAnsi"/>
          <w:b/>
          <w:bCs/>
          <w:color w:val="000000"/>
        </w:rPr>
        <w:lastRenderedPageBreak/>
        <w:t xml:space="preserve">Table </w:t>
      </w:r>
      <w:r w:rsidR="003B2D2C" w:rsidRPr="00A85848">
        <w:rPr>
          <w:rFonts w:cstheme="minorHAnsi"/>
          <w:b/>
          <w:bCs/>
          <w:color w:val="000000"/>
        </w:rPr>
        <w:t>2</w:t>
      </w:r>
      <w:r w:rsidRPr="00A85848">
        <w:rPr>
          <w:rFonts w:cstheme="minorHAnsi"/>
          <w:b/>
          <w:bCs/>
          <w:color w:val="000000"/>
        </w:rPr>
        <w:t>:</w:t>
      </w:r>
      <w:r w:rsidRPr="00A85848">
        <w:rPr>
          <w:rFonts w:cstheme="minorHAnsi"/>
          <w:b/>
          <w:bCs/>
          <w:color w:val="000000"/>
        </w:rPr>
        <w:tab/>
        <w:t>QIV-01: Proportion of Subjects per Age Cohort with Any Solicited Local Adverse Reactions or Systemic Adverse Events within 7 Days after Administration of Afluria® Quad vaccine or Trivalent Influenza vaccine (TIV-1 or TIV-2), Irrespective of Causality (Safety population)</w:t>
      </w:r>
    </w:p>
    <w:tbl>
      <w:tblPr>
        <w:tblStyle w:val="TableGrid2"/>
        <w:tblW w:w="9747" w:type="dxa"/>
        <w:tblInd w:w="142" w:type="dxa"/>
        <w:shd w:val="clear" w:color="auto" w:fill="FFFFFF" w:themeFill="background1"/>
        <w:tblLayout w:type="fixed"/>
        <w:tblLook w:val="04A0" w:firstRow="1" w:lastRow="0" w:firstColumn="1" w:lastColumn="0" w:noHBand="0" w:noVBand="1"/>
      </w:tblPr>
      <w:tblGrid>
        <w:gridCol w:w="2091"/>
        <w:gridCol w:w="637"/>
        <w:gridCol w:w="638"/>
        <w:gridCol w:w="638"/>
        <w:gridCol w:w="638"/>
        <w:gridCol w:w="638"/>
        <w:gridCol w:w="638"/>
        <w:gridCol w:w="638"/>
        <w:gridCol w:w="639"/>
        <w:gridCol w:w="709"/>
        <w:gridCol w:w="567"/>
        <w:gridCol w:w="638"/>
        <w:gridCol w:w="638"/>
      </w:tblGrid>
      <w:tr w:rsidR="001A415F" w:rsidRPr="00315B4D" w14:paraId="591B62B7" w14:textId="77777777" w:rsidTr="00E73440">
        <w:tc>
          <w:tcPr>
            <w:tcW w:w="2091" w:type="dxa"/>
            <w:vMerge w:val="restart"/>
            <w:shd w:val="clear" w:color="auto" w:fill="FFFFFF" w:themeFill="background1"/>
          </w:tcPr>
          <w:p w14:paraId="66B91239" w14:textId="77777777" w:rsidR="001A415F" w:rsidRPr="00315B4D" w:rsidRDefault="001A415F" w:rsidP="00315B4D">
            <w:pPr>
              <w:keepNext/>
              <w:spacing w:before="40" w:after="40"/>
              <w:rPr>
                <w:rFonts w:asciiTheme="minorHAnsi" w:hAnsiTheme="minorHAnsi" w:cstheme="minorHAnsi"/>
                <w:b/>
                <w:sz w:val="22"/>
                <w:szCs w:val="22"/>
                <w:lang w:eastAsia="en-AU"/>
              </w:rPr>
            </w:pPr>
          </w:p>
        </w:tc>
        <w:tc>
          <w:tcPr>
            <w:tcW w:w="7656" w:type="dxa"/>
            <w:gridSpan w:val="12"/>
            <w:shd w:val="clear" w:color="auto" w:fill="FFFFFF" w:themeFill="background1"/>
          </w:tcPr>
          <w:p w14:paraId="64FD00FA" w14:textId="77777777" w:rsidR="001A415F" w:rsidRPr="00315B4D" w:rsidRDefault="001A415F" w:rsidP="00315B4D">
            <w:pPr>
              <w:keepNext/>
              <w:spacing w:before="40" w:after="40"/>
              <w:jc w:val="center"/>
              <w:rPr>
                <w:rFonts w:asciiTheme="minorHAnsi" w:hAnsiTheme="minorHAnsi" w:cstheme="minorHAnsi"/>
                <w:b/>
                <w:sz w:val="22"/>
                <w:szCs w:val="22"/>
                <w:lang w:eastAsia="en-AU"/>
              </w:rPr>
            </w:pPr>
            <w:r w:rsidRPr="00315B4D">
              <w:rPr>
                <w:rFonts w:asciiTheme="minorHAnsi" w:hAnsiTheme="minorHAnsi" w:cstheme="minorHAnsi"/>
                <w:b/>
                <w:sz w:val="22"/>
                <w:szCs w:val="22"/>
                <w:lang w:eastAsia="en-AU"/>
              </w:rPr>
              <w:t xml:space="preserve">Percentage (%) </w:t>
            </w:r>
            <w:r w:rsidRPr="00315B4D">
              <w:rPr>
                <w:rFonts w:asciiTheme="minorHAnsi" w:hAnsiTheme="minorHAnsi" w:cstheme="minorHAnsi"/>
                <w:b/>
                <w:sz w:val="22"/>
                <w:szCs w:val="22"/>
                <w:vertAlign w:val="superscript"/>
                <w:lang w:eastAsia="en-AU"/>
              </w:rPr>
              <w:t>a</w:t>
            </w:r>
            <w:r w:rsidRPr="00315B4D">
              <w:rPr>
                <w:rFonts w:asciiTheme="minorHAnsi" w:hAnsiTheme="minorHAnsi" w:cstheme="minorHAnsi"/>
                <w:b/>
                <w:sz w:val="22"/>
                <w:szCs w:val="22"/>
                <w:lang w:eastAsia="en-AU"/>
              </w:rPr>
              <w:t xml:space="preserve"> of Subjects in each Age Cohort Reporting an Event</w:t>
            </w:r>
          </w:p>
        </w:tc>
      </w:tr>
      <w:tr w:rsidR="001A415F" w:rsidRPr="00315B4D" w14:paraId="5C1FE799" w14:textId="77777777" w:rsidTr="00E73440">
        <w:tc>
          <w:tcPr>
            <w:tcW w:w="2091" w:type="dxa"/>
            <w:vMerge/>
            <w:shd w:val="clear" w:color="auto" w:fill="FFFFFF" w:themeFill="background1"/>
          </w:tcPr>
          <w:p w14:paraId="0AA6F5E7" w14:textId="77777777" w:rsidR="001A415F" w:rsidRPr="00315B4D" w:rsidRDefault="001A415F" w:rsidP="00315B4D">
            <w:pPr>
              <w:keepNext/>
              <w:spacing w:before="40" w:after="40"/>
              <w:rPr>
                <w:rFonts w:asciiTheme="minorHAnsi" w:hAnsiTheme="minorHAnsi" w:cstheme="minorHAnsi"/>
                <w:b/>
                <w:sz w:val="22"/>
                <w:szCs w:val="22"/>
                <w:lang w:eastAsia="en-AU"/>
              </w:rPr>
            </w:pPr>
          </w:p>
        </w:tc>
        <w:tc>
          <w:tcPr>
            <w:tcW w:w="3827" w:type="dxa"/>
            <w:gridSpan w:val="6"/>
            <w:shd w:val="clear" w:color="auto" w:fill="FFFFFF" w:themeFill="background1"/>
          </w:tcPr>
          <w:p w14:paraId="42345637" w14:textId="77777777" w:rsidR="001A415F" w:rsidRPr="00315B4D" w:rsidRDefault="001A415F" w:rsidP="00315B4D">
            <w:pPr>
              <w:keepNext/>
              <w:spacing w:before="40" w:after="40"/>
              <w:jc w:val="center"/>
              <w:rPr>
                <w:rFonts w:asciiTheme="minorHAnsi" w:hAnsiTheme="minorHAnsi" w:cstheme="minorHAnsi"/>
                <w:b/>
                <w:sz w:val="22"/>
                <w:szCs w:val="22"/>
                <w:lang w:eastAsia="en-AU"/>
              </w:rPr>
            </w:pPr>
            <w:r w:rsidRPr="00315B4D">
              <w:rPr>
                <w:rFonts w:asciiTheme="minorHAnsi" w:hAnsiTheme="minorHAnsi" w:cstheme="minorHAnsi"/>
                <w:b/>
                <w:sz w:val="22"/>
                <w:szCs w:val="22"/>
                <w:lang w:eastAsia="en-AU"/>
              </w:rPr>
              <w:t>Subjects 18 to &lt; 65 years</w:t>
            </w:r>
          </w:p>
        </w:tc>
        <w:tc>
          <w:tcPr>
            <w:tcW w:w="3829" w:type="dxa"/>
            <w:gridSpan w:val="6"/>
            <w:shd w:val="clear" w:color="auto" w:fill="FFFFFF" w:themeFill="background1"/>
          </w:tcPr>
          <w:p w14:paraId="6CDC57C4" w14:textId="77777777" w:rsidR="001A415F" w:rsidRPr="00315B4D" w:rsidRDefault="001A415F" w:rsidP="00315B4D">
            <w:pPr>
              <w:keepNext/>
              <w:spacing w:before="40" w:after="40"/>
              <w:jc w:val="center"/>
              <w:rPr>
                <w:rFonts w:asciiTheme="minorHAnsi" w:hAnsiTheme="minorHAnsi" w:cstheme="minorHAnsi"/>
                <w:b/>
                <w:sz w:val="22"/>
                <w:szCs w:val="22"/>
                <w:lang w:eastAsia="en-AU"/>
              </w:rPr>
            </w:pPr>
            <w:r w:rsidRPr="00315B4D">
              <w:rPr>
                <w:rFonts w:asciiTheme="minorHAnsi" w:hAnsiTheme="minorHAnsi" w:cstheme="minorHAnsi"/>
                <w:b/>
                <w:sz w:val="22"/>
                <w:szCs w:val="22"/>
                <w:lang w:eastAsia="en-AU"/>
              </w:rPr>
              <w:t>Subjects ≥ 65 years</w:t>
            </w:r>
          </w:p>
        </w:tc>
      </w:tr>
      <w:tr w:rsidR="001A415F" w:rsidRPr="00315B4D" w14:paraId="3B1C6D4A" w14:textId="77777777" w:rsidTr="00E73440">
        <w:trPr>
          <w:trHeight w:val="413"/>
        </w:trPr>
        <w:tc>
          <w:tcPr>
            <w:tcW w:w="2091" w:type="dxa"/>
            <w:vMerge/>
            <w:shd w:val="clear" w:color="auto" w:fill="FFFFFF" w:themeFill="background1"/>
          </w:tcPr>
          <w:p w14:paraId="4F04B9EA" w14:textId="77777777" w:rsidR="001A415F" w:rsidRPr="00315B4D" w:rsidRDefault="001A415F" w:rsidP="00315B4D">
            <w:pPr>
              <w:keepNext/>
              <w:spacing w:before="40" w:after="40"/>
              <w:rPr>
                <w:rFonts w:asciiTheme="minorHAnsi" w:hAnsiTheme="minorHAnsi" w:cstheme="minorHAnsi"/>
                <w:b/>
                <w:sz w:val="22"/>
                <w:szCs w:val="22"/>
                <w:lang w:eastAsia="en-AU"/>
              </w:rPr>
            </w:pPr>
          </w:p>
        </w:tc>
        <w:tc>
          <w:tcPr>
            <w:tcW w:w="1275" w:type="dxa"/>
            <w:gridSpan w:val="2"/>
            <w:shd w:val="clear" w:color="auto" w:fill="FFFFFF" w:themeFill="background1"/>
            <w:vAlign w:val="center"/>
          </w:tcPr>
          <w:p w14:paraId="035D1DFA" w14:textId="77777777" w:rsidR="001A415F" w:rsidRPr="00315B4D" w:rsidRDefault="001A415F" w:rsidP="00315B4D">
            <w:pPr>
              <w:keepNext/>
              <w:spacing w:before="40" w:after="40"/>
              <w:jc w:val="center"/>
              <w:rPr>
                <w:rFonts w:asciiTheme="minorHAnsi" w:hAnsiTheme="minorHAnsi" w:cstheme="minorHAnsi"/>
                <w:b/>
                <w:sz w:val="22"/>
                <w:szCs w:val="22"/>
                <w:lang w:eastAsia="en-AU"/>
              </w:rPr>
            </w:pPr>
            <w:r w:rsidRPr="00315B4D">
              <w:rPr>
                <w:rFonts w:asciiTheme="minorHAnsi" w:hAnsiTheme="minorHAnsi" w:cstheme="minorHAnsi"/>
                <w:b/>
                <w:sz w:val="22"/>
                <w:szCs w:val="22"/>
                <w:lang w:eastAsia="en-AU"/>
              </w:rPr>
              <w:t xml:space="preserve">Afluria® Quad vaccine </w:t>
            </w:r>
          </w:p>
          <w:p w14:paraId="2653BCBD" w14:textId="77777777" w:rsidR="001A415F" w:rsidRPr="00315B4D" w:rsidRDefault="001A415F" w:rsidP="00315B4D">
            <w:pPr>
              <w:keepNext/>
              <w:spacing w:before="40" w:after="40"/>
              <w:jc w:val="center"/>
              <w:rPr>
                <w:rFonts w:asciiTheme="minorHAnsi" w:hAnsiTheme="minorHAnsi" w:cstheme="minorHAnsi"/>
                <w:b/>
                <w:sz w:val="22"/>
                <w:szCs w:val="22"/>
                <w:lang w:eastAsia="en-AU"/>
              </w:rPr>
            </w:pPr>
            <w:r w:rsidRPr="00315B4D">
              <w:rPr>
                <w:rFonts w:asciiTheme="minorHAnsi" w:hAnsiTheme="minorHAnsi" w:cstheme="minorHAnsi"/>
                <w:b/>
                <w:sz w:val="22"/>
                <w:szCs w:val="22"/>
                <w:lang w:eastAsia="en-AU"/>
              </w:rPr>
              <w:t xml:space="preserve">N=854 </w:t>
            </w:r>
            <w:r w:rsidRPr="00315B4D">
              <w:rPr>
                <w:rFonts w:asciiTheme="minorHAnsi" w:hAnsiTheme="minorHAnsi" w:cstheme="minorHAnsi"/>
                <w:b/>
                <w:sz w:val="22"/>
                <w:szCs w:val="22"/>
                <w:vertAlign w:val="superscript"/>
                <w:lang w:eastAsia="en-AU"/>
              </w:rPr>
              <w:t>b</w:t>
            </w:r>
          </w:p>
        </w:tc>
        <w:tc>
          <w:tcPr>
            <w:tcW w:w="1276" w:type="dxa"/>
            <w:gridSpan w:val="2"/>
            <w:shd w:val="clear" w:color="auto" w:fill="FFFFFF" w:themeFill="background1"/>
            <w:vAlign w:val="center"/>
          </w:tcPr>
          <w:p w14:paraId="757C6BFC" w14:textId="77777777" w:rsidR="001A415F" w:rsidRPr="00315B4D" w:rsidRDefault="001A415F" w:rsidP="00315B4D">
            <w:pPr>
              <w:keepNext/>
              <w:keepLines/>
              <w:spacing w:before="40" w:after="40"/>
              <w:jc w:val="center"/>
              <w:rPr>
                <w:rFonts w:asciiTheme="minorHAnsi" w:hAnsiTheme="minorHAnsi" w:cstheme="minorHAnsi"/>
                <w:b/>
                <w:sz w:val="22"/>
                <w:szCs w:val="22"/>
              </w:rPr>
            </w:pPr>
            <w:r w:rsidRPr="00315B4D">
              <w:rPr>
                <w:rFonts w:asciiTheme="minorHAnsi" w:hAnsiTheme="minorHAnsi" w:cstheme="minorHAnsi"/>
                <w:b/>
                <w:sz w:val="22"/>
                <w:szCs w:val="22"/>
              </w:rPr>
              <w:t>TIV-1</w:t>
            </w:r>
          </w:p>
          <w:p w14:paraId="41478DC5" w14:textId="77777777" w:rsidR="001A415F" w:rsidRPr="00315B4D" w:rsidRDefault="001A415F" w:rsidP="00315B4D">
            <w:pPr>
              <w:keepNext/>
              <w:spacing w:before="40" w:after="40"/>
              <w:jc w:val="center"/>
              <w:rPr>
                <w:rFonts w:asciiTheme="minorHAnsi" w:hAnsiTheme="minorHAnsi" w:cstheme="minorHAnsi"/>
                <w:b/>
                <w:sz w:val="22"/>
                <w:szCs w:val="22"/>
                <w:lang w:eastAsia="en-AU"/>
              </w:rPr>
            </w:pPr>
            <w:r w:rsidRPr="00315B4D">
              <w:rPr>
                <w:rFonts w:asciiTheme="minorHAnsi" w:hAnsiTheme="minorHAnsi" w:cstheme="minorHAnsi"/>
                <w:b/>
                <w:sz w:val="22"/>
                <w:szCs w:val="22"/>
                <w:lang w:eastAsia="en-AU"/>
              </w:rPr>
              <w:t xml:space="preserve">N=428 </w:t>
            </w:r>
            <w:r w:rsidRPr="00315B4D">
              <w:rPr>
                <w:rFonts w:asciiTheme="minorHAnsi" w:hAnsiTheme="minorHAnsi" w:cstheme="minorHAnsi"/>
                <w:b/>
                <w:sz w:val="22"/>
                <w:szCs w:val="22"/>
                <w:vertAlign w:val="superscript"/>
                <w:lang w:eastAsia="en-AU"/>
              </w:rPr>
              <w:t>b</w:t>
            </w:r>
          </w:p>
        </w:tc>
        <w:tc>
          <w:tcPr>
            <w:tcW w:w="1276" w:type="dxa"/>
            <w:gridSpan w:val="2"/>
            <w:shd w:val="clear" w:color="auto" w:fill="FFFFFF" w:themeFill="background1"/>
            <w:vAlign w:val="center"/>
          </w:tcPr>
          <w:p w14:paraId="711695B5" w14:textId="77777777" w:rsidR="001A415F" w:rsidRPr="00315B4D" w:rsidRDefault="001A415F" w:rsidP="00315B4D">
            <w:pPr>
              <w:keepNext/>
              <w:keepLines/>
              <w:spacing w:before="40" w:after="40"/>
              <w:jc w:val="center"/>
              <w:rPr>
                <w:rFonts w:asciiTheme="minorHAnsi" w:hAnsiTheme="minorHAnsi" w:cstheme="minorHAnsi"/>
                <w:b/>
                <w:sz w:val="22"/>
                <w:szCs w:val="22"/>
              </w:rPr>
            </w:pPr>
            <w:r w:rsidRPr="00315B4D">
              <w:rPr>
                <w:rFonts w:asciiTheme="minorHAnsi" w:hAnsiTheme="minorHAnsi" w:cstheme="minorHAnsi"/>
                <w:b/>
                <w:sz w:val="22"/>
                <w:szCs w:val="22"/>
              </w:rPr>
              <w:t>TIV-2</w:t>
            </w:r>
          </w:p>
          <w:p w14:paraId="0A7A241D" w14:textId="77777777" w:rsidR="001A415F" w:rsidRPr="00315B4D" w:rsidRDefault="001A415F" w:rsidP="00315B4D">
            <w:pPr>
              <w:keepNext/>
              <w:spacing w:before="40" w:after="40"/>
              <w:jc w:val="center"/>
              <w:rPr>
                <w:rFonts w:asciiTheme="minorHAnsi" w:hAnsiTheme="minorHAnsi" w:cstheme="minorHAnsi"/>
                <w:b/>
                <w:sz w:val="22"/>
                <w:szCs w:val="22"/>
                <w:lang w:eastAsia="en-AU"/>
              </w:rPr>
            </w:pPr>
            <w:r w:rsidRPr="00315B4D">
              <w:rPr>
                <w:rFonts w:asciiTheme="minorHAnsi" w:hAnsiTheme="minorHAnsi" w:cstheme="minorHAnsi"/>
                <w:b/>
                <w:sz w:val="22"/>
                <w:szCs w:val="22"/>
                <w:lang w:eastAsia="en-AU"/>
              </w:rPr>
              <w:t xml:space="preserve">N=430 </w:t>
            </w:r>
            <w:r w:rsidRPr="00315B4D">
              <w:rPr>
                <w:rFonts w:asciiTheme="minorHAnsi" w:hAnsiTheme="minorHAnsi" w:cstheme="minorHAnsi"/>
                <w:b/>
                <w:sz w:val="22"/>
                <w:szCs w:val="22"/>
                <w:vertAlign w:val="superscript"/>
                <w:lang w:eastAsia="en-AU"/>
              </w:rPr>
              <w:t>b</w:t>
            </w:r>
          </w:p>
        </w:tc>
        <w:tc>
          <w:tcPr>
            <w:tcW w:w="1277" w:type="dxa"/>
            <w:gridSpan w:val="2"/>
            <w:shd w:val="clear" w:color="auto" w:fill="FFFFFF" w:themeFill="background1"/>
            <w:vAlign w:val="center"/>
          </w:tcPr>
          <w:p w14:paraId="0AC81A9F" w14:textId="77777777" w:rsidR="001A415F" w:rsidRPr="00315B4D" w:rsidRDefault="001A415F" w:rsidP="00315B4D">
            <w:pPr>
              <w:keepNext/>
              <w:spacing w:before="40" w:after="40"/>
              <w:jc w:val="center"/>
              <w:rPr>
                <w:rFonts w:asciiTheme="minorHAnsi" w:hAnsiTheme="minorHAnsi" w:cstheme="minorHAnsi"/>
                <w:b/>
                <w:sz w:val="22"/>
                <w:szCs w:val="22"/>
                <w:lang w:eastAsia="en-AU"/>
              </w:rPr>
            </w:pPr>
            <w:r w:rsidRPr="00315B4D">
              <w:rPr>
                <w:rFonts w:asciiTheme="minorHAnsi" w:hAnsiTheme="minorHAnsi" w:cstheme="minorHAnsi"/>
                <w:b/>
                <w:sz w:val="22"/>
                <w:szCs w:val="22"/>
                <w:lang w:eastAsia="en-AU"/>
              </w:rPr>
              <w:t xml:space="preserve">Afluria® Quad vaccine </w:t>
            </w:r>
          </w:p>
          <w:p w14:paraId="39B1EE13" w14:textId="77777777" w:rsidR="001A415F" w:rsidRPr="00315B4D" w:rsidRDefault="001A415F" w:rsidP="00315B4D">
            <w:pPr>
              <w:keepNext/>
              <w:spacing w:before="40" w:after="40"/>
              <w:jc w:val="center"/>
              <w:rPr>
                <w:rFonts w:asciiTheme="minorHAnsi" w:hAnsiTheme="minorHAnsi" w:cstheme="minorHAnsi"/>
                <w:b/>
                <w:sz w:val="22"/>
                <w:szCs w:val="22"/>
                <w:lang w:eastAsia="en-AU"/>
              </w:rPr>
            </w:pPr>
            <w:r w:rsidRPr="00315B4D">
              <w:rPr>
                <w:rFonts w:asciiTheme="minorHAnsi" w:hAnsiTheme="minorHAnsi" w:cstheme="minorHAnsi"/>
                <w:b/>
                <w:sz w:val="22"/>
                <w:szCs w:val="22"/>
                <w:lang w:eastAsia="en-AU"/>
              </w:rPr>
              <w:t xml:space="preserve">N=867 </w:t>
            </w:r>
            <w:r w:rsidRPr="00315B4D">
              <w:rPr>
                <w:rFonts w:asciiTheme="minorHAnsi" w:hAnsiTheme="minorHAnsi" w:cstheme="minorHAnsi"/>
                <w:b/>
                <w:sz w:val="22"/>
                <w:szCs w:val="22"/>
                <w:vertAlign w:val="superscript"/>
                <w:lang w:eastAsia="en-AU"/>
              </w:rPr>
              <w:t>b</w:t>
            </w:r>
          </w:p>
        </w:tc>
        <w:tc>
          <w:tcPr>
            <w:tcW w:w="1276" w:type="dxa"/>
            <w:gridSpan w:val="2"/>
            <w:shd w:val="clear" w:color="auto" w:fill="FFFFFF" w:themeFill="background1"/>
            <w:vAlign w:val="center"/>
          </w:tcPr>
          <w:p w14:paraId="7A071E19" w14:textId="77777777" w:rsidR="001A415F" w:rsidRPr="00315B4D" w:rsidRDefault="001A415F" w:rsidP="00315B4D">
            <w:pPr>
              <w:keepNext/>
              <w:keepLines/>
              <w:spacing w:before="40" w:after="40"/>
              <w:jc w:val="center"/>
              <w:rPr>
                <w:rFonts w:asciiTheme="minorHAnsi" w:hAnsiTheme="minorHAnsi" w:cstheme="minorHAnsi"/>
                <w:b/>
                <w:sz w:val="22"/>
                <w:szCs w:val="22"/>
              </w:rPr>
            </w:pPr>
            <w:r w:rsidRPr="00315B4D">
              <w:rPr>
                <w:rFonts w:asciiTheme="minorHAnsi" w:hAnsiTheme="minorHAnsi" w:cstheme="minorHAnsi"/>
                <w:b/>
                <w:sz w:val="22"/>
                <w:szCs w:val="22"/>
              </w:rPr>
              <w:t>TIV-1</w:t>
            </w:r>
          </w:p>
          <w:p w14:paraId="7E1AA50E" w14:textId="77777777" w:rsidR="001A415F" w:rsidRPr="00315B4D" w:rsidRDefault="001A415F" w:rsidP="00315B4D">
            <w:pPr>
              <w:keepNext/>
              <w:spacing w:before="40" w:after="40"/>
              <w:jc w:val="center"/>
              <w:rPr>
                <w:rFonts w:asciiTheme="minorHAnsi" w:hAnsiTheme="minorHAnsi" w:cstheme="minorHAnsi"/>
                <w:b/>
                <w:sz w:val="22"/>
                <w:szCs w:val="22"/>
                <w:lang w:eastAsia="en-AU"/>
              </w:rPr>
            </w:pPr>
            <w:r w:rsidRPr="00315B4D">
              <w:rPr>
                <w:rFonts w:asciiTheme="minorHAnsi" w:hAnsiTheme="minorHAnsi" w:cstheme="minorHAnsi"/>
                <w:b/>
                <w:sz w:val="22"/>
                <w:szCs w:val="22"/>
                <w:lang w:eastAsia="en-AU"/>
              </w:rPr>
              <w:t xml:space="preserve">N=436 </w:t>
            </w:r>
            <w:r w:rsidRPr="00315B4D">
              <w:rPr>
                <w:rFonts w:asciiTheme="minorHAnsi" w:hAnsiTheme="minorHAnsi" w:cstheme="minorHAnsi"/>
                <w:b/>
                <w:sz w:val="22"/>
                <w:szCs w:val="22"/>
                <w:vertAlign w:val="superscript"/>
                <w:lang w:eastAsia="en-AU"/>
              </w:rPr>
              <w:t>b</w:t>
            </w:r>
          </w:p>
        </w:tc>
        <w:tc>
          <w:tcPr>
            <w:tcW w:w="1276" w:type="dxa"/>
            <w:gridSpan w:val="2"/>
            <w:shd w:val="clear" w:color="auto" w:fill="FFFFFF" w:themeFill="background1"/>
            <w:vAlign w:val="center"/>
          </w:tcPr>
          <w:p w14:paraId="5F3B1394" w14:textId="77777777" w:rsidR="001A415F" w:rsidRPr="00315B4D" w:rsidRDefault="001A415F" w:rsidP="00315B4D">
            <w:pPr>
              <w:keepNext/>
              <w:keepLines/>
              <w:spacing w:before="40" w:after="40"/>
              <w:jc w:val="center"/>
              <w:rPr>
                <w:rFonts w:asciiTheme="minorHAnsi" w:hAnsiTheme="minorHAnsi" w:cstheme="minorHAnsi"/>
                <w:b/>
                <w:sz w:val="22"/>
                <w:szCs w:val="22"/>
              </w:rPr>
            </w:pPr>
            <w:r w:rsidRPr="00315B4D">
              <w:rPr>
                <w:rFonts w:asciiTheme="minorHAnsi" w:hAnsiTheme="minorHAnsi" w:cstheme="minorHAnsi"/>
                <w:b/>
                <w:sz w:val="22"/>
                <w:szCs w:val="22"/>
              </w:rPr>
              <w:t>TIV-2</w:t>
            </w:r>
          </w:p>
          <w:p w14:paraId="786AFA97" w14:textId="77777777" w:rsidR="001A415F" w:rsidRPr="00315B4D" w:rsidRDefault="001A415F" w:rsidP="00315B4D">
            <w:pPr>
              <w:keepNext/>
              <w:spacing w:before="40" w:after="40"/>
              <w:jc w:val="center"/>
              <w:rPr>
                <w:rFonts w:asciiTheme="minorHAnsi" w:hAnsiTheme="minorHAnsi" w:cstheme="minorHAnsi"/>
                <w:b/>
                <w:sz w:val="22"/>
                <w:szCs w:val="22"/>
                <w:lang w:eastAsia="en-AU"/>
              </w:rPr>
            </w:pPr>
            <w:r w:rsidRPr="00315B4D">
              <w:rPr>
                <w:rFonts w:asciiTheme="minorHAnsi" w:hAnsiTheme="minorHAnsi" w:cstheme="minorHAnsi"/>
                <w:b/>
                <w:sz w:val="22"/>
                <w:szCs w:val="22"/>
                <w:lang w:eastAsia="en-AU"/>
              </w:rPr>
              <w:t xml:space="preserve">N=434 </w:t>
            </w:r>
            <w:r w:rsidRPr="00315B4D">
              <w:rPr>
                <w:rFonts w:asciiTheme="minorHAnsi" w:hAnsiTheme="minorHAnsi" w:cstheme="minorHAnsi"/>
                <w:b/>
                <w:sz w:val="22"/>
                <w:szCs w:val="22"/>
                <w:vertAlign w:val="superscript"/>
                <w:lang w:eastAsia="en-AU"/>
              </w:rPr>
              <w:t>b</w:t>
            </w:r>
          </w:p>
        </w:tc>
      </w:tr>
      <w:tr w:rsidR="001A415F" w:rsidRPr="00315B4D" w14:paraId="299C36DD" w14:textId="77777777" w:rsidTr="00315B4D">
        <w:trPr>
          <w:trHeight w:val="413"/>
        </w:trPr>
        <w:tc>
          <w:tcPr>
            <w:tcW w:w="2091" w:type="dxa"/>
            <w:vMerge/>
            <w:shd w:val="clear" w:color="auto" w:fill="FFFFFF" w:themeFill="background1"/>
          </w:tcPr>
          <w:p w14:paraId="4C99823B" w14:textId="77777777" w:rsidR="001A415F" w:rsidRPr="00315B4D" w:rsidRDefault="001A415F" w:rsidP="00315B4D">
            <w:pPr>
              <w:keepNext/>
              <w:spacing w:before="40" w:after="40"/>
              <w:rPr>
                <w:rFonts w:asciiTheme="minorHAnsi" w:hAnsiTheme="minorHAnsi" w:cstheme="minorHAnsi"/>
                <w:b/>
                <w:sz w:val="22"/>
                <w:szCs w:val="22"/>
                <w:lang w:eastAsia="en-AU"/>
              </w:rPr>
            </w:pPr>
          </w:p>
        </w:tc>
        <w:tc>
          <w:tcPr>
            <w:tcW w:w="637" w:type="dxa"/>
            <w:shd w:val="clear" w:color="auto" w:fill="FFFFFF" w:themeFill="background1"/>
            <w:vAlign w:val="center"/>
          </w:tcPr>
          <w:p w14:paraId="3825DCD0" w14:textId="77777777" w:rsidR="001A415F" w:rsidRPr="00315B4D" w:rsidRDefault="001A415F" w:rsidP="00315B4D">
            <w:pPr>
              <w:keepNext/>
              <w:spacing w:before="40" w:after="40"/>
              <w:jc w:val="center"/>
              <w:rPr>
                <w:rFonts w:asciiTheme="minorHAnsi" w:hAnsiTheme="minorHAnsi" w:cstheme="minorHAnsi"/>
                <w:b/>
                <w:sz w:val="22"/>
                <w:szCs w:val="22"/>
                <w:lang w:eastAsia="en-AU"/>
              </w:rPr>
            </w:pPr>
            <w:r w:rsidRPr="00315B4D">
              <w:rPr>
                <w:rFonts w:asciiTheme="minorHAnsi" w:hAnsiTheme="minorHAnsi" w:cstheme="minorHAnsi"/>
                <w:b/>
                <w:sz w:val="22"/>
                <w:szCs w:val="22"/>
                <w:lang w:eastAsia="en-AU"/>
              </w:rPr>
              <w:t>Any</w:t>
            </w:r>
          </w:p>
        </w:tc>
        <w:tc>
          <w:tcPr>
            <w:tcW w:w="638" w:type="dxa"/>
            <w:shd w:val="clear" w:color="auto" w:fill="FFFFFF" w:themeFill="background1"/>
            <w:vAlign w:val="center"/>
          </w:tcPr>
          <w:p w14:paraId="1F94E710" w14:textId="77777777" w:rsidR="001A415F" w:rsidRPr="00315B4D" w:rsidRDefault="001A415F" w:rsidP="00315B4D">
            <w:pPr>
              <w:keepNext/>
              <w:spacing w:before="40" w:after="40"/>
              <w:jc w:val="center"/>
              <w:rPr>
                <w:rFonts w:asciiTheme="minorHAnsi" w:hAnsiTheme="minorHAnsi" w:cstheme="minorHAnsi"/>
                <w:b/>
                <w:sz w:val="22"/>
                <w:szCs w:val="22"/>
                <w:lang w:eastAsia="en-AU"/>
              </w:rPr>
            </w:pPr>
            <w:r w:rsidRPr="00315B4D">
              <w:rPr>
                <w:rFonts w:asciiTheme="minorHAnsi" w:hAnsiTheme="minorHAnsi" w:cstheme="minorHAnsi"/>
                <w:b/>
                <w:sz w:val="22"/>
                <w:szCs w:val="22"/>
                <w:lang w:eastAsia="en-AU"/>
              </w:rPr>
              <w:t>Gr 3</w:t>
            </w:r>
          </w:p>
        </w:tc>
        <w:tc>
          <w:tcPr>
            <w:tcW w:w="638" w:type="dxa"/>
            <w:shd w:val="clear" w:color="auto" w:fill="FFFFFF" w:themeFill="background1"/>
            <w:vAlign w:val="center"/>
          </w:tcPr>
          <w:p w14:paraId="2E711FF0" w14:textId="77777777" w:rsidR="001A415F" w:rsidRPr="00315B4D" w:rsidRDefault="001A415F" w:rsidP="00315B4D">
            <w:pPr>
              <w:keepNext/>
              <w:keepLines/>
              <w:spacing w:before="40" w:after="40"/>
              <w:jc w:val="center"/>
              <w:rPr>
                <w:rFonts w:asciiTheme="minorHAnsi" w:hAnsiTheme="minorHAnsi" w:cstheme="minorHAnsi"/>
                <w:b/>
                <w:sz w:val="22"/>
                <w:szCs w:val="22"/>
              </w:rPr>
            </w:pPr>
            <w:r w:rsidRPr="00315B4D">
              <w:rPr>
                <w:rFonts w:asciiTheme="minorHAnsi" w:hAnsiTheme="minorHAnsi" w:cstheme="minorHAnsi"/>
                <w:b/>
                <w:sz w:val="22"/>
                <w:szCs w:val="22"/>
              </w:rPr>
              <w:t xml:space="preserve">Any </w:t>
            </w:r>
          </w:p>
        </w:tc>
        <w:tc>
          <w:tcPr>
            <w:tcW w:w="638" w:type="dxa"/>
            <w:shd w:val="clear" w:color="auto" w:fill="FFFFFF" w:themeFill="background1"/>
            <w:vAlign w:val="center"/>
          </w:tcPr>
          <w:p w14:paraId="44E30CD5" w14:textId="77777777" w:rsidR="001A415F" w:rsidRPr="00315B4D" w:rsidRDefault="001A415F" w:rsidP="00315B4D">
            <w:pPr>
              <w:keepNext/>
              <w:keepLines/>
              <w:spacing w:before="40" w:after="40"/>
              <w:jc w:val="center"/>
              <w:rPr>
                <w:rFonts w:asciiTheme="minorHAnsi" w:hAnsiTheme="minorHAnsi" w:cstheme="minorHAnsi"/>
                <w:b/>
                <w:sz w:val="22"/>
                <w:szCs w:val="22"/>
              </w:rPr>
            </w:pPr>
            <w:r w:rsidRPr="00315B4D">
              <w:rPr>
                <w:rFonts w:asciiTheme="minorHAnsi" w:hAnsiTheme="minorHAnsi" w:cstheme="minorHAnsi"/>
                <w:b/>
                <w:sz w:val="22"/>
                <w:szCs w:val="22"/>
              </w:rPr>
              <w:t>Gr 3</w:t>
            </w:r>
          </w:p>
        </w:tc>
        <w:tc>
          <w:tcPr>
            <w:tcW w:w="638" w:type="dxa"/>
            <w:shd w:val="clear" w:color="auto" w:fill="FFFFFF" w:themeFill="background1"/>
            <w:vAlign w:val="center"/>
          </w:tcPr>
          <w:p w14:paraId="55702EA1" w14:textId="77777777" w:rsidR="001A415F" w:rsidRPr="00315B4D" w:rsidRDefault="001A415F" w:rsidP="00315B4D">
            <w:pPr>
              <w:keepNext/>
              <w:keepLines/>
              <w:spacing w:before="40" w:after="40"/>
              <w:jc w:val="center"/>
              <w:rPr>
                <w:rFonts w:asciiTheme="minorHAnsi" w:hAnsiTheme="minorHAnsi" w:cstheme="minorHAnsi"/>
                <w:b/>
                <w:sz w:val="22"/>
                <w:szCs w:val="22"/>
              </w:rPr>
            </w:pPr>
            <w:r w:rsidRPr="00315B4D">
              <w:rPr>
                <w:rFonts w:asciiTheme="minorHAnsi" w:hAnsiTheme="minorHAnsi" w:cstheme="minorHAnsi"/>
                <w:b/>
                <w:sz w:val="22"/>
                <w:szCs w:val="22"/>
              </w:rPr>
              <w:t>Any</w:t>
            </w:r>
          </w:p>
        </w:tc>
        <w:tc>
          <w:tcPr>
            <w:tcW w:w="638" w:type="dxa"/>
            <w:shd w:val="clear" w:color="auto" w:fill="FFFFFF" w:themeFill="background1"/>
            <w:vAlign w:val="center"/>
          </w:tcPr>
          <w:p w14:paraId="4BB9BBDE" w14:textId="77777777" w:rsidR="001A415F" w:rsidRPr="00315B4D" w:rsidRDefault="001A415F" w:rsidP="00315B4D">
            <w:pPr>
              <w:keepNext/>
              <w:keepLines/>
              <w:spacing w:before="40" w:after="40"/>
              <w:jc w:val="center"/>
              <w:rPr>
                <w:rFonts w:asciiTheme="minorHAnsi" w:hAnsiTheme="minorHAnsi" w:cstheme="minorHAnsi"/>
                <w:b/>
                <w:sz w:val="22"/>
                <w:szCs w:val="22"/>
              </w:rPr>
            </w:pPr>
            <w:r w:rsidRPr="00315B4D">
              <w:rPr>
                <w:rFonts w:asciiTheme="minorHAnsi" w:hAnsiTheme="minorHAnsi" w:cstheme="minorHAnsi"/>
                <w:b/>
                <w:sz w:val="22"/>
                <w:szCs w:val="22"/>
              </w:rPr>
              <w:t>Gr 3</w:t>
            </w:r>
          </w:p>
        </w:tc>
        <w:tc>
          <w:tcPr>
            <w:tcW w:w="638" w:type="dxa"/>
            <w:shd w:val="clear" w:color="auto" w:fill="FFFFFF" w:themeFill="background1"/>
            <w:vAlign w:val="center"/>
          </w:tcPr>
          <w:p w14:paraId="2F690446" w14:textId="77777777" w:rsidR="001A415F" w:rsidRPr="00315B4D" w:rsidRDefault="001A415F" w:rsidP="00315B4D">
            <w:pPr>
              <w:keepNext/>
              <w:spacing w:before="40" w:after="40"/>
              <w:jc w:val="center"/>
              <w:rPr>
                <w:rFonts w:asciiTheme="minorHAnsi" w:hAnsiTheme="minorHAnsi" w:cstheme="minorHAnsi"/>
                <w:b/>
                <w:sz w:val="22"/>
                <w:szCs w:val="22"/>
                <w:lang w:eastAsia="en-AU"/>
              </w:rPr>
            </w:pPr>
            <w:r w:rsidRPr="00315B4D">
              <w:rPr>
                <w:rFonts w:asciiTheme="minorHAnsi" w:hAnsiTheme="minorHAnsi" w:cstheme="minorHAnsi"/>
                <w:b/>
                <w:sz w:val="22"/>
                <w:szCs w:val="22"/>
                <w:lang w:eastAsia="en-AU"/>
              </w:rPr>
              <w:t>Any</w:t>
            </w:r>
          </w:p>
        </w:tc>
        <w:tc>
          <w:tcPr>
            <w:tcW w:w="639" w:type="dxa"/>
            <w:shd w:val="clear" w:color="auto" w:fill="FFFFFF" w:themeFill="background1"/>
            <w:vAlign w:val="center"/>
          </w:tcPr>
          <w:p w14:paraId="6AD5B5FD" w14:textId="77777777" w:rsidR="001A415F" w:rsidRPr="00315B4D" w:rsidRDefault="001A415F" w:rsidP="00315B4D">
            <w:pPr>
              <w:keepNext/>
              <w:spacing w:before="40" w:after="40"/>
              <w:jc w:val="center"/>
              <w:rPr>
                <w:rFonts w:asciiTheme="minorHAnsi" w:hAnsiTheme="minorHAnsi" w:cstheme="minorHAnsi"/>
                <w:b/>
                <w:sz w:val="22"/>
                <w:szCs w:val="22"/>
                <w:lang w:eastAsia="en-AU"/>
              </w:rPr>
            </w:pPr>
            <w:r w:rsidRPr="00315B4D">
              <w:rPr>
                <w:rFonts w:asciiTheme="minorHAnsi" w:hAnsiTheme="minorHAnsi" w:cstheme="minorHAnsi"/>
                <w:b/>
                <w:sz w:val="22"/>
                <w:szCs w:val="22"/>
                <w:lang w:eastAsia="en-AU"/>
              </w:rPr>
              <w:t>Gr 3</w:t>
            </w:r>
          </w:p>
        </w:tc>
        <w:tc>
          <w:tcPr>
            <w:tcW w:w="709" w:type="dxa"/>
            <w:shd w:val="clear" w:color="auto" w:fill="FFFFFF" w:themeFill="background1"/>
            <w:vAlign w:val="center"/>
          </w:tcPr>
          <w:p w14:paraId="23B38C78" w14:textId="77777777" w:rsidR="001A415F" w:rsidRPr="00315B4D" w:rsidRDefault="001A415F" w:rsidP="00315B4D">
            <w:pPr>
              <w:keepNext/>
              <w:keepLines/>
              <w:spacing w:before="40" w:after="40"/>
              <w:jc w:val="center"/>
              <w:rPr>
                <w:rFonts w:asciiTheme="minorHAnsi" w:hAnsiTheme="minorHAnsi" w:cstheme="minorHAnsi"/>
                <w:b/>
                <w:sz w:val="22"/>
                <w:szCs w:val="22"/>
              </w:rPr>
            </w:pPr>
            <w:r w:rsidRPr="00315B4D">
              <w:rPr>
                <w:rFonts w:asciiTheme="minorHAnsi" w:hAnsiTheme="minorHAnsi" w:cstheme="minorHAnsi"/>
                <w:b/>
                <w:sz w:val="22"/>
                <w:szCs w:val="22"/>
              </w:rPr>
              <w:t>Any</w:t>
            </w:r>
          </w:p>
        </w:tc>
        <w:tc>
          <w:tcPr>
            <w:tcW w:w="567" w:type="dxa"/>
            <w:shd w:val="clear" w:color="auto" w:fill="FFFFFF" w:themeFill="background1"/>
            <w:vAlign w:val="center"/>
          </w:tcPr>
          <w:p w14:paraId="3A209E40" w14:textId="77777777" w:rsidR="001A415F" w:rsidRPr="00315B4D" w:rsidRDefault="001A415F" w:rsidP="00315B4D">
            <w:pPr>
              <w:keepNext/>
              <w:keepLines/>
              <w:spacing w:before="40" w:after="40"/>
              <w:jc w:val="center"/>
              <w:rPr>
                <w:rFonts w:asciiTheme="minorHAnsi" w:hAnsiTheme="minorHAnsi" w:cstheme="minorHAnsi"/>
                <w:b/>
                <w:sz w:val="22"/>
                <w:szCs w:val="22"/>
              </w:rPr>
            </w:pPr>
            <w:r w:rsidRPr="00315B4D">
              <w:rPr>
                <w:rFonts w:asciiTheme="minorHAnsi" w:hAnsiTheme="minorHAnsi" w:cstheme="minorHAnsi"/>
                <w:b/>
                <w:sz w:val="22"/>
                <w:szCs w:val="22"/>
              </w:rPr>
              <w:t>Gr 3</w:t>
            </w:r>
          </w:p>
        </w:tc>
        <w:tc>
          <w:tcPr>
            <w:tcW w:w="638" w:type="dxa"/>
            <w:shd w:val="clear" w:color="auto" w:fill="FFFFFF" w:themeFill="background1"/>
            <w:vAlign w:val="center"/>
          </w:tcPr>
          <w:p w14:paraId="1063E21B" w14:textId="77777777" w:rsidR="001A415F" w:rsidRPr="00315B4D" w:rsidRDefault="001A415F" w:rsidP="00315B4D">
            <w:pPr>
              <w:keepNext/>
              <w:keepLines/>
              <w:spacing w:before="40" w:after="40"/>
              <w:jc w:val="center"/>
              <w:rPr>
                <w:rFonts w:asciiTheme="minorHAnsi" w:hAnsiTheme="minorHAnsi" w:cstheme="minorHAnsi"/>
                <w:b/>
                <w:sz w:val="22"/>
                <w:szCs w:val="22"/>
              </w:rPr>
            </w:pPr>
            <w:r w:rsidRPr="00315B4D">
              <w:rPr>
                <w:rFonts w:asciiTheme="minorHAnsi" w:hAnsiTheme="minorHAnsi" w:cstheme="minorHAnsi"/>
                <w:b/>
                <w:sz w:val="22"/>
                <w:szCs w:val="22"/>
              </w:rPr>
              <w:t>Any</w:t>
            </w:r>
          </w:p>
        </w:tc>
        <w:tc>
          <w:tcPr>
            <w:tcW w:w="638" w:type="dxa"/>
            <w:shd w:val="clear" w:color="auto" w:fill="FFFFFF" w:themeFill="background1"/>
            <w:vAlign w:val="center"/>
          </w:tcPr>
          <w:p w14:paraId="62E5EC04" w14:textId="77777777" w:rsidR="001A415F" w:rsidRPr="00315B4D" w:rsidRDefault="001A415F" w:rsidP="00315B4D">
            <w:pPr>
              <w:keepNext/>
              <w:keepLines/>
              <w:spacing w:before="40" w:after="40"/>
              <w:jc w:val="center"/>
              <w:rPr>
                <w:rFonts w:asciiTheme="minorHAnsi" w:hAnsiTheme="minorHAnsi" w:cstheme="minorHAnsi"/>
                <w:b/>
                <w:sz w:val="22"/>
                <w:szCs w:val="22"/>
              </w:rPr>
            </w:pPr>
            <w:r w:rsidRPr="00315B4D">
              <w:rPr>
                <w:rFonts w:asciiTheme="minorHAnsi" w:hAnsiTheme="minorHAnsi" w:cstheme="minorHAnsi"/>
                <w:b/>
                <w:sz w:val="22"/>
                <w:szCs w:val="22"/>
              </w:rPr>
              <w:t>Gr 3</w:t>
            </w:r>
          </w:p>
        </w:tc>
      </w:tr>
      <w:tr w:rsidR="001A415F" w:rsidRPr="00315B4D" w14:paraId="121CD4B8" w14:textId="77777777" w:rsidTr="00BB41D2">
        <w:tc>
          <w:tcPr>
            <w:tcW w:w="9747" w:type="dxa"/>
            <w:gridSpan w:val="13"/>
            <w:shd w:val="clear" w:color="auto" w:fill="FFFFFF" w:themeFill="background1"/>
          </w:tcPr>
          <w:p w14:paraId="68F174DB" w14:textId="77777777" w:rsidR="001A415F" w:rsidRPr="00315B4D" w:rsidRDefault="001A415F" w:rsidP="00315B4D">
            <w:pPr>
              <w:keepNext/>
              <w:spacing w:before="40" w:after="40"/>
              <w:rPr>
                <w:rFonts w:asciiTheme="minorHAnsi" w:hAnsiTheme="minorHAnsi" w:cstheme="minorHAnsi"/>
                <w:b/>
                <w:sz w:val="22"/>
                <w:szCs w:val="22"/>
                <w:vertAlign w:val="superscript"/>
                <w:lang w:eastAsia="en-AU"/>
              </w:rPr>
            </w:pPr>
            <w:r w:rsidRPr="00315B4D">
              <w:rPr>
                <w:rFonts w:asciiTheme="minorHAnsi" w:hAnsiTheme="minorHAnsi" w:cstheme="minorHAnsi"/>
                <w:b/>
                <w:sz w:val="22"/>
                <w:szCs w:val="22"/>
                <w:lang w:eastAsia="en-AU"/>
              </w:rPr>
              <w:t xml:space="preserve">Local Adverse </w:t>
            </w:r>
            <w:proofErr w:type="spellStart"/>
            <w:r w:rsidRPr="00315B4D">
              <w:rPr>
                <w:rFonts w:asciiTheme="minorHAnsi" w:hAnsiTheme="minorHAnsi" w:cstheme="minorHAnsi"/>
                <w:b/>
                <w:sz w:val="22"/>
                <w:szCs w:val="22"/>
                <w:lang w:eastAsia="en-AU"/>
              </w:rPr>
              <w:t>Reactions</w:t>
            </w:r>
            <w:r w:rsidRPr="00315B4D">
              <w:rPr>
                <w:rFonts w:asciiTheme="minorHAnsi" w:hAnsiTheme="minorHAnsi" w:cstheme="minorHAnsi"/>
                <w:b/>
                <w:sz w:val="22"/>
                <w:szCs w:val="22"/>
                <w:vertAlign w:val="superscript"/>
                <w:lang w:eastAsia="en-AU"/>
              </w:rPr>
              <w:t>c</w:t>
            </w:r>
            <w:proofErr w:type="spellEnd"/>
          </w:p>
        </w:tc>
      </w:tr>
      <w:tr w:rsidR="001A415F" w:rsidRPr="00315B4D" w14:paraId="34E925F3" w14:textId="77777777" w:rsidTr="00315B4D">
        <w:tc>
          <w:tcPr>
            <w:tcW w:w="2091" w:type="dxa"/>
            <w:shd w:val="clear" w:color="auto" w:fill="FFFFFF" w:themeFill="background1"/>
          </w:tcPr>
          <w:p w14:paraId="7719648B" w14:textId="77777777" w:rsidR="001A415F" w:rsidRPr="00315B4D" w:rsidRDefault="001A415F" w:rsidP="00315B4D">
            <w:pPr>
              <w:keepNext/>
              <w:spacing w:before="40" w:after="40"/>
              <w:rPr>
                <w:rFonts w:asciiTheme="minorHAnsi" w:hAnsiTheme="minorHAnsi" w:cstheme="minorHAnsi"/>
                <w:sz w:val="22"/>
                <w:szCs w:val="22"/>
                <w:lang w:eastAsia="en-AU"/>
              </w:rPr>
            </w:pPr>
            <w:r w:rsidRPr="00315B4D">
              <w:rPr>
                <w:rFonts w:asciiTheme="minorHAnsi" w:hAnsiTheme="minorHAnsi" w:cstheme="minorHAnsi"/>
                <w:sz w:val="22"/>
                <w:szCs w:val="22"/>
                <w:lang w:eastAsia="en-AU"/>
              </w:rPr>
              <w:t>Pain</w:t>
            </w:r>
          </w:p>
        </w:tc>
        <w:tc>
          <w:tcPr>
            <w:tcW w:w="637" w:type="dxa"/>
            <w:shd w:val="clear" w:color="auto" w:fill="FFFFFF" w:themeFill="background1"/>
          </w:tcPr>
          <w:p w14:paraId="24331033"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color w:val="000000"/>
                <w:sz w:val="22"/>
                <w:szCs w:val="22"/>
              </w:rPr>
              <w:t>47.9</w:t>
            </w:r>
          </w:p>
        </w:tc>
        <w:tc>
          <w:tcPr>
            <w:tcW w:w="638" w:type="dxa"/>
            <w:shd w:val="clear" w:color="auto" w:fill="FFFFFF" w:themeFill="background1"/>
          </w:tcPr>
          <w:p w14:paraId="560136FD"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0.7</w:t>
            </w:r>
          </w:p>
        </w:tc>
        <w:tc>
          <w:tcPr>
            <w:tcW w:w="638" w:type="dxa"/>
            <w:shd w:val="clear" w:color="auto" w:fill="FFFFFF" w:themeFill="background1"/>
          </w:tcPr>
          <w:p w14:paraId="07A7662C"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color w:val="000000"/>
                <w:sz w:val="22"/>
                <w:szCs w:val="22"/>
              </w:rPr>
              <w:t>43.7</w:t>
            </w:r>
          </w:p>
        </w:tc>
        <w:tc>
          <w:tcPr>
            <w:tcW w:w="638" w:type="dxa"/>
            <w:shd w:val="clear" w:color="auto" w:fill="FFFFFF" w:themeFill="background1"/>
          </w:tcPr>
          <w:p w14:paraId="3C076CCB"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1.4</w:t>
            </w:r>
          </w:p>
        </w:tc>
        <w:tc>
          <w:tcPr>
            <w:tcW w:w="638" w:type="dxa"/>
            <w:shd w:val="clear" w:color="auto" w:fill="FFFFFF" w:themeFill="background1"/>
          </w:tcPr>
          <w:p w14:paraId="03E5742D"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color w:val="000000"/>
                <w:sz w:val="22"/>
                <w:szCs w:val="22"/>
              </w:rPr>
              <w:t>50.7</w:t>
            </w:r>
          </w:p>
        </w:tc>
        <w:tc>
          <w:tcPr>
            <w:tcW w:w="638" w:type="dxa"/>
            <w:shd w:val="clear" w:color="auto" w:fill="FFFFFF" w:themeFill="background1"/>
          </w:tcPr>
          <w:p w14:paraId="14A6A051"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1.2</w:t>
            </w:r>
          </w:p>
        </w:tc>
        <w:tc>
          <w:tcPr>
            <w:tcW w:w="638" w:type="dxa"/>
            <w:shd w:val="clear" w:color="auto" w:fill="FFFFFF" w:themeFill="background1"/>
          </w:tcPr>
          <w:p w14:paraId="5760FF38"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color w:val="000000"/>
                <w:sz w:val="22"/>
                <w:szCs w:val="22"/>
              </w:rPr>
              <w:t>24.6</w:t>
            </w:r>
          </w:p>
        </w:tc>
        <w:tc>
          <w:tcPr>
            <w:tcW w:w="639" w:type="dxa"/>
            <w:shd w:val="clear" w:color="auto" w:fill="FFFFFF" w:themeFill="background1"/>
          </w:tcPr>
          <w:p w14:paraId="3F2BDF3C"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0.1</w:t>
            </w:r>
          </w:p>
        </w:tc>
        <w:tc>
          <w:tcPr>
            <w:tcW w:w="709" w:type="dxa"/>
            <w:shd w:val="clear" w:color="auto" w:fill="FFFFFF" w:themeFill="background1"/>
          </w:tcPr>
          <w:p w14:paraId="111FDD1D"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color w:val="000000"/>
                <w:sz w:val="22"/>
                <w:szCs w:val="22"/>
              </w:rPr>
              <w:t>22. 7</w:t>
            </w:r>
          </w:p>
        </w:tc>
        <w:tc>
          <w:tcPr>
            <w:tcW w:w="567" w:type="dxa"/>
            <w:shd w:val="clear" w:color="auto" w:fill="FFFFFF" w:themeFill="background1"/>
          </w:tcPr>
          <w:p w14:paraId="0E724C9F"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w:t>
            </w:r>
          </w:p>
        </w:tc>
        <w:tc>
          <w:tcPr>
            <w:tcW w:w="638" w:type="dxa"/>
            <w:shd w:val="clear" w:color="auto" w:fill="FFFFFF" w:themeFill="background1"/>
          </w:tcPr>
          <w:p w14:paraId="51F2343F"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color w:val="000000"/>
                <w:sz w:val="22"/>
                <w:szCs w:val="22"/>
              </w:rPr>
              <w:t>21.0</w:t>
            </w:r>
          </w:p>
        </w:tc>
        <w:tc>
          <w:tcPr>
            <w:tcW w:w="638" w:type="dxa"/>
            <w:shd w:val="clear" w:color="auto" w:fill="FFFFFF" w:themeFill="background1"/>
          </w:tcPr>
          <w:p w14:paraId="53CB2F79"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0.2</w:t>
            </w:r>
          </w:p>
        </w:tc>
      </w:tr>
      <w:tr w:rsidR="001A415F" w:rsidRPr="00315B4D" w14:paraId="1C7D3E31" w14:textId="77777777" w:rsidTr="00315B4D">
        <w:tc>
          <w:tcPr>
            <w:tcW w:w="2091" w:type="dxa"/>
            <w:shd w:val="clear" w:color="auto" w:fill="FFFFFF" w:themeFill="background1"/>
          </w:tcPr>
          <w:p w14:paraId="6F61B1D1" w14:textId="77777777" w:rsidR="001A415F" w:rsidRPr="00315B4D" w:rsidRDefault="001A415F" w:rsidP="00315B4D">
            <w:pPr>
              <w:keepNext/>
              <w:spacing w:before="40" w:after="40"/>
              <w:rPr>
                <w:rFonts w:asciiTheme="minorHAnsi" w:hAnsiTheme="minorHAnsi" w:cstheme="minorHAnsi"/>
                <w:sz w:val="22"/>
                <w:szCs w:val="22"/>
                <w:lang w:eastAsia="en-AU"/>
              </w:rPr>
            </w:pPr>
            <w:r w:rsidRPr="00315B4D">
              <w:rPr>
                <w:rFonts w:asciiTheme="minorHAnsi" w:hAnsiTheme="minorHAnsi" w:cstheme="minorHAnsi"/>
                <w:sz w:val="22"/>
                <w:szCs w:val="22"/>
                <w:lang w:eastAsia="en-AU"/>
              </w:rPr>
              <w:t>Swelling/Lump</w:t>
            </w:r>
          </w:p>
        </w:tc>
        <w:tc>
          <w:tcPr>
            <w:tcW w:w="637" w:type="dxa"/>
            <w:shd w:val="clear" w:color="auto" w:fill="FFFFFF" w:themeFill="background1"/>
          </w:tcPr>
          <w:p w14:paraId="11EF9744"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3.7</w:t>
            </w:r>
          </w:p>
        </w:tc>
        <w:tc>
          <w:tcPr>
            <w:tcW w:w="638" w:type="dxa"/>
            <w:shd w:val="clear" w:color="auto" w:fill="FFFFFF" w:themeFill="background1"/>
          </w:tcPr>
          <w:p w14:paraId="2F8AB464"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0.1</w:t>
            </w:r>
          </w:p>
        </w:tc>
        <w:tc>
          <w:tcPr>
            <w:tcW w:w="638" w:type="dxa"/>
            <w:shd w:val="clear" w:color="auto" w:fill="FFFFFF" w:themeFill="background1"/>
          </w:tcPr>
          <w:p w14:paraId="77372C01"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color w:val="000000"/>
                <w:sz w:val="22"/>
                <w:szCs w:val="22"/>
              </w:rPr>
              <w:t>2.3</w:t>
            </w:r>
          </w:p>
        </w:tc>
        <w:tc>
          <w:tcPr>
            <w:tcW w:w="638" w:type="dxa"/>
            <w:shd w:val="clear" w:color="auto" w:fill="FFFFFF" w:themeFill="background1"/>
          </w:tcPr>
          <w:p w14:paraId="1AA00DBD"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w:t>
            </w:r>
          </w:p>
        </w:tc>
        <w:tc>
          <w:tcPr>
            <w:tcW w:w="638" w:type="dxa"/>
            <w:shd w:val="clear" w:color="auto" w:fill="FFFFFF" w:themeFill="background1"/>
          </w:tcPr>
          <w:p w14:paraId="093BCA61"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color w:val="000000"/>
                <w:sz w:val="22"/>
                <w:szCs w:val="22"/>
              </w:rPr>
              <w:t>3.5</w:t>
            </w:r>
          </w:p>
        </w:tc>
        <w:tc>
          <w:tcPr>
            <w:tcW w:w="638" w:type="dxa"/>
            <w:shd w:val="clear" w:color="auto" w:fill="FFFFFF" w:themeFill="background1"/>
          </w:tcPr>
          <w:p w14:paraId="55CF9FFD"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0.2</w:t>
            </w:r>
          </w:p>
        </w:tc>
        <w:tc>
          <w:tcPr>
            <w:tcW w:w="638" w:type="dxa"/>
            <w:shd w:val="clear" w:color="auto" w:fill="FFFFFF" w:themeFill="background1"/>
          </w:tcPr>
          <w:p w14:paraId="193981F5"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color w:val="000000"/>
                <w:sz w:val="22"/>
                <w:szCs w:val="22"/>
              </w:rPr>
              <w:t>3.2</w:t>
            </w:r>
          </w:p>
        </w:tc>
        <w:tc>
          <w:tcPr>
            <w:tcW w:w="639" w:type="dxa"/>
            <w:shd w:val="clear" w:color="auto" w:fill="FFFFFF" w:themeFill="background1"/>
          </w:tcPr>
          <w:p w14:paraId="4E3B4DB3"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0.5</w:t>
            </w:r>
          </w:p>
        </w:tc>
        <w:tc>
          <w:tcPr>
            <w:tcW w:w="709" w:type="dxa"/>
            <w:shd w:val="clear" w:color="auto" w:fill="FFFFFF" w:themeFill="background1"/>
          </w:tcPr>
          <w:p w14:paraId="5420A09F"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color w:val="000000"/>
                <w:sz w:val="22"/>
                <w:szCs w:val="22"/>
              </w:rPr>
              <w:t>1.8</w:t>
            </w:r>
          </w:p>
        </w:tc>
        <w:tc>
          <w:tcPr>
            <w:tcW w:w="567" w:type="dxa"/>
            <w:shd w:val="clear" w:color="auto" w:fill="FFFFFF" w:themeFill="background1"/>
          </w:tcPr>
          <w:p w14:paraId="02BED061"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w:t>
            </w:r>
          </w:p>
        </w:tc>
        <w:tc>
          <w:tcPr>
            <w:tcW w:w="638" w:type="dxa"/>
            <w:shd w:val="clear" w:color="auto" w:fill="FFFFFF" w:themeFill="background1"/>
          </w:tcPr>
          <w:p w14:paraId="6D4CB9D4"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color w:val="000000"/>
                <w:sz w:val="22"/>
                <w:szCs w:val="22"/>
              </w:rPr>
              <w:t>1.6</w:t>
            </w:r>
          </w:p>
        </w:tc>
        <w:tc>
          <w:tcPr>
            <w:tcW w:w="638" w:type="dxa"/>
            <w:shd w:val="clear" w:color="auto" w:fill="FFFFFF" w:themeFill="background1"/>
          </w:tcPr>
          <w:p w14:paraId="3381FABF"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w:t>
            </w:r>
          </w:p>
        </w:tc>
      </w:tr>
      <w:tr w:rsidR="001A415F" w:rsidRPr="00315B4D" w14:paraId="5EC9A07F" w14:textId="77777777" w:rsidTr="00315B4D">
        <w:tc>
          <w:tcPr>
            <w:tcW w:w="2091" w:type="dxa"/>
            <w:shd w:val="clear" w:color="auto" w:fill="FFFFFF" w:themeFill="background1"/>
          </w:tcPr>
          <w:p w14:paraId="0BC79840" w14:textId="77777777" w:rsidR="001A415F" w:rsidRPr="00315B4D" w:rsidRDefault="001A415F" w:rsidP="00315B4D">
            <w:pPr>
              <w:keepNext/>
              <w:spacing w:before="40" w:after="40"/>
              <w:rPr>
                <w:rFonts w:asciiTheme="minorHAnsi" w:hAnsiTheme="minorHAnsi" w:cstheme="minorHAnsi"/>
                <w:sz w:val="22"/>
                <w:szCs w:val="22"/>
                <w:lang w:eastAsia="en-AU"/>
              </w:rPr>
            </w:pPr>
            <w:r w:rsidRPr="00315B4D">
              <w:rPr>
                <w:rFonts w:asciiTheme="minorHAnsi" w:hAnsiTheme="minorHAnsi" w:cstheme="minorHAnsi"/>
                <w:sz w:val="22"/>
                <w:szCs w:val="22"/>
                <w:lang w:eastAsia="en-AU"/>
              </w:rPr>
              <w:t>Redness</w:t>
            </w:r>
          </w:p>
        </w:tc>
        <w:tc>
          <w:tcPr>
            <w:tcW w:w="637" w:type="dxa"/>
            <w:shd w:val="clear" w:color="auto" w:fill="FFFFFF" w:themeFill="background1"/>
          </w:tcPr>
          <w:p w14:paraId="03287671"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2.9</w:t>
            </w:r>
          </w:p>
        </w:tc>
        <w:tc>
          <w:tcPr>
            <w:tcW w:w="638" w:type="dxa"/>
            <w:shd w:val="clear" w:color="auto" w:fill="FFFFFF" w:themeFill="background1"/>
          </w:tcPr>
          <w:p w14:paraId="42548074"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w:t>
            </w:r>
          </w:p>
        </w:tc>
        <w:tc>
          <w:tcPr>
            <w:tcW w:w="638" w:type="dxa"/>
            <w:shd w:val="clear" w:color="auto" w:fill="FFFFFF" w:themeFill="background1"/>
          </w:tcPr>
          <w:p w14:paraId="3ED0ACD9"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2.8</w:t>
            </w:r>
          </w:p>
        </w:tc>
        <w:tc>
          <w:tcPr>
            <w:tcW w:w="638" w:type="dxa"/>
            <w:shd w:val="clear" w:color="auto" w:fill="FFFFFF" w:themeFill="background1"/>
          </w:tcPr>
          <w:p w14:paraId="6683CEFB"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w:t>
            </w:r>
          </w:p>
        </w:tc>
        <w:tc>
          <w:tcPr>
            <w:tcW w:w="638" w:type="dxa"/>
            <w:shd w:val="clear" w:color="auto" w:fill="FFFFFF" w:themeFill="background1"/>
          </w:tcPr>
          <w:p w14:paraId="69A85E54"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2.8</w:t>
            </w:r>
          </w:p>
        </w:tc>
        <w:tc>
          <w:tcPr>
            <w:tcW w:w="638" w:type="dxa"/>
            <w:shd w:val="clear" w:color="auto" w:fill="FFFFFF" w:themeFill="background1"/>
          </w:tcPr>
          <w:p w14:paraId="7B37B2F9"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w:t>
            </w:r>
          </w:p>
        </w:tc>
        <w:tc>
          <w:tcPr>
            <w:tcW w:w="638" w:type="dxa"/>
            <w:shd w:val="clear" w:color="auto" w:fill="FFFFFF" w:themeFill="background1"/>
          </w:tcPr>
          <w:p w14:paraId="22DA0154"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4.2</w:t>
            </w:r>
          </w:p>
        </w:tc>
        <w:tc>
          <w:tcPr>
            <w:tcW w:w="639" w:type="dxa"/>
            <w:shd w:val="clear" w:color="auto" w:fill="FFFFFF" w:themeFill="background1"/>
          </w:tcPr>
          <w:p w14:paraId="2071CB8F"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0.3</w:t>
            </w:r>
          </w:p>
        </w:tc>
        <w:tc>
          <w:tcPr>
            <w:tcW w:w="709" w:type="dxa"/>
            <w:shd w:val="clear" w:color="auto" w:fill="FFFFFF" w:themeFill="background1"/>
          </w:tcPr>
          <w:p w14:paraId="489AF0D6"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2.1</w:t>
            </w:r>
          </w:p>
        </w:tc>
        <w:tc>
          <w:tcPr>
            <w:tcW w:w="567" w:type="dxa"/>
            <w:shd w:val="clear" w:color="auto" w:fill="FFFFFF" w:themeFill="background1"/>
          </w:tcPr>
          <w:p w14:paraId="7B160AF2"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w:t>
            </w:r>
          </w:p>
        </w:tc>
        <w:tc>
          <w:tcPr>
            <w:tcW w:w="638" w:type="dxa"/>
            <w:shd w:val="clear" w:color="auto" w:fill="FFFFFF" w:themeFill="background1"/>
          </w:tcPr>
          <w:p w14:paraId="17AED184"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2.5</w:t>
            </w:r>
          </w:p>
        </w:tc>
        <w:tc>
          <w:tcPr>
            <w:tcW w:w="638" w:type="dxa"/>
            <w:shd w:val="clear" w:color="auto" w:fill="FFFFFF" w:themeFill="background1"/>
          </w:tcPr>
          <w:p w14:paraId="28A86223"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0.2</w:t>
            </w:r>
          </w:p>
        </w:tc>
      </w:tr>
      <w:tr w:rsidR="001A415F" w:rsidRPr="00315B4D" w14:paraId="58ACE4B7" w14:textId="77777777" w:rsidTr="00BB41D2">
        <w:tc>
          <w:tcPr>
            <w:tcW w:w="9747" w:type="dxa"/>
            <w:gridSpan w:val="13"/>
            <w:shd w:val="clear" w:color="auto" w:fill="FFFFFF" w:themeFill="background1"/>
          </w:tcPr>
          <w:p w14:paraId="781F026C" w14:textId="77777777" w:rsidR="001A415F" w:rsidRPr="00315B4D" w:rsidRDefault="001A415F" w:rsidP="00315B4D">
            <w:pPr>
              <w:keepNext/>
              <w:spacing w:before="40" w:after="40"/>
              <w:rPr>
                <w:rFonts w:asciiTheme="minorHAnsi" w:hAnsiTheme="minorHAnsi" w:cstheme="minorHAnsi"/>
                <w:b/>
                <w:sz w:val="22"/>
                <w:szCs w:val="22"/>
                <w:vertAlign w:val="superscript"/>
                <w:lang w:eastAsia="en-AU"/>
              </w:rPr>
            </w:pPr>
            <w:r w:rsidRPr="00315B4D">
              <w:rPr>
                <w:rFonts w:asciiTheme="minorHAnsi" w:hAnsiTheme="minorHAnsi" w:cstheme="minorHAnsi"/>
                <w:b/>
                <w:sz w:val="22"/>
                <w:szCs w:val="22"/>
                <w:lang w:eastAsia="en-AU"/>
              </w:rPr>
              <w:t xml:space="preserve">Systemic Adverse </w:t>
            </w:r>
            <w:proofErr w:type="spellStart"/>
            <w:r w:rsidRPr="00315B4D">
              <w:rPr>
                <w:rFonts w:asciiTheme="minorHAnsi" w:hAnsiTheme="minorHAnsi" w:cstheme="minorHAnsi"/>
                <w:b/>
                <w:sz w:val="22"/>
                <w:szCs w:val="22"/>
                <w:lang w:eastAsia="en-AU"/>
              </w:rPr>
              <w:t>Events</w:t>
            </w:r>
            <w:r w:rsidRPr="00315B4D">
              <w:rPr>
                <w:rFonts w:asciiTheme="minorHAnsi" w:hAnsiTheme="minorHAnsi" w:cstheme="minorHAnsi"/>
                <w:b/>
                <w:sz w:val="22"/>
                <w:szCs w:val="22"/>
                <w:vertAlign w:val="superscript"/>
                <w:lang w:eastAsia="en-AU"/>
              </w:rPr>
              <w:t>d</w:t>
            </w:r>
            <w:proofErr w:type="spellEnd"/>
          </w:p>
        </w:tc>
      </w:tr>
      <w:tr w:rsidR="001A415F" w:rsidRPr="00315B4D" w14:paraId="0C41125A" w14:textId="77777777" w:rsidTr="00315B4D">
        <w:tc>
          <w:tcPr>
            <w:tcW w:w="2091" w:type="dxa"/>
            <w:shd w:val="clear" w:color="auto" w:fill="FFFFFF" w:themeFill="background1"/>
          </w:tcPr>
          <w:p w14:paraId="7BCF2781" w14:textId="77777777" w:rsidR="001A415F" w:rsidRPr="00315B4D" w:rsidRDefault="001A415F" w:rsidP="00315B4D">
            <w:pPr>
              <w:keepNext/>
              <w:spacing w:before="40" w:after="40"/>
              <w:ind w:right="-251"/>
              <w:rPr>
                <w:rFonts w:asciiTheme="minorHAnsi" w:hAnsiTheme="minorHAnsi" w:cstheme="minorHAnsi"/>
                <w:sz w:val="22"/>
                <w:szCs w:val="22"/>
              </w:rPr>
            </w:pPr>
            <w:r w:rsidRPr="00315B4D">
              <w:rPr>
                <w:rFonts w:asciiTheme="minorHAnsi" w:hAnsiTheme="minorHAnsi" w:cstheme="minorHAnsi"/>
                <w:sz w:val="22"/>
                <w:szCs w:val="22"/>
              </w:rPr>
              <w:t>Myalgia (muscle ache)</w:t>
            </w:r>
          </w:p>
        </w:tc>
        <w:tc>
          <w:tcPr>
            <w:tcW w:w="637" w:type="dxa"/>
            <w:shd w:val="clear" w:color="auto" w:fill="FFFFFF" w:themeFill="background1"/>
          </w:tcPr>
          <w:p w14:paraId="552B76B3"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25.5</w:t>
            </w:r>
          </w:p>
        </w:tc>
        <w:tc>
          <w:tcPr>
            <w:tcW w:w="638" w:type="dxa"/>
            <w:shd w:val="clear" w:color="auto" w:fill="FFFFFF" w:themeFill="background1"/>
          </w:tcPr>
          <w:p w14:paraId="7F758E29"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1.9</w:t>
            </w:r>
          </w:p>
        </w:tc>
        <w:tc>
          <w:tcPr>
            <w:tcW w:w="638" w:type="dxa"/>
            <w:shd w:val="clear" w:color="auto" w:fill="FFFFFF" w:themeFill="background1"/>
          </w:tcPr>
          <w:p w14:paraId="5BDBB2A1"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color w:val="000000"/>
                <w:sz w:val="22"/>
                <w:szCs w:val="22"/>
              </w:rPr>
              <w:t>23.4</w:t>
            </w:r>
          </w:p>
        </w:tc>
        <w:tc>
          <w:tcPr>
            <w:tcW w:w="638" w:type="dxa"/>
            <w:shd w:val="clear" w:color="auto" w:fill="FFFFFF" w:themeFill="background1"/>
          </w:tcPr>
          <w:p w14:paraId="1660AE85"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1.4</w:t>
            </w:r>
          </w:p>
        </w:tc>
        <w:tc>
          <w:tcPr>
            <w:tcW w:w="638" w:type="dxa"/>
            <w:shd w:val="clear" w:color="auto" w:fill="FFFFFF" w:themeFill="background1"/>
          </w:tcPr>
          <w:p w14:paraId="1613EA9A"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24.2</w:t>
            </w:r>
          </w:p>
        </w:tc>
        <w:tc>
          <w:tcPr>
            <w:tcW w:w="638" w:type="dxa"/>
            <w:shd w:val="clear" w:color="auto" w:fill="FFFFFF" w:themeFill="background1"/>
          </w:tcPr>
          <w:p w14:paraId="151BD7F6"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1.2</w:t>
            </w:r>
          </w:p>
        </w:tc>
        <w:tc>
          <w:tcPr>
            <w:tcW w:w="638" w:type="dxa"/>
            <w:shd w:val="clear" w:color="auto" w:fill="FFFFFF" w:themeFill="background1"/>
          </w:tcPr>
          <w:p w14:paraId="6838ACD1"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12.7</w:t>
            </w:r>
          </w:p>
        </w:tc>
        <w:tc>
          <w:tcPr>
            <w:tcW w:w="639" w:type="dxa"/>
            <w:shd w:val="clear" w:color="auto" w:fill="FFFFFF" w:themeFill="background1"/>
          </w:tcPr>
          <w:p w14:paraId="614AAD75"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0.3</w:t>
            </w:r>
          </w:p>
        </w:tc>
        <w:tc>
          <w:tcPr>
            <w:tcW w:w="709" w:type="dxa"/>
            <w:shd w:val="clear" w:color="auto" w:fill="FFFFFF" w:themeFill="background1"/>
          </w:tcPr>
          <w:p w14:paraId="08ED520D"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14.0</w:t>
            </w:r>
          </w:p>
        </w:tc>
        <w:tc>
          <w:tcPr>
            <w:tcW w:w="567" w:type="dxa"/>
            <w:shd w:val="clear" w:color="auto" w:fill="FFFFFF" w:themeFill="background1"/>
          </w:tcPr>
          <w:p w14:paraId="13716975"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0.7</w:t>
            </w:r>
          </w:p>
        </w:tc>
        <w:tc>
          <w:tcPr>
            <w:tcW w:w="638" w:type="dxa"/>
            <w:shd w:val="clear" w:color="auto" w:fill="FFFFFF" w:themeFill="background1"/>
          </w:tcPr>
          <w:p w14:paraId="00E771D8"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12.2</w:t>
            </w:r>
          </w:p>
        </w:tc>
        <w:tc>
          <w:tcPr>
            <w:tcW w:w="638" w:type="dxa"/>
            <w:shd w:val="clear" w:color="auto" w:fill="FFFFFF" w:themeFill="background1"/>
          </w:tcPr>
          <w:p w14:paraId="4A0711C2"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0.5</w:t>
            </w:r>
          </w:p>
        </w:tc>
      </w:tr>
      <w:tr w:rsidR="001A415F" w:rsidRPr="00315B4D" w14:paraId="33A64213" w14:textId="77777777" w:rsidTr="00315B4D">
        <w:tc>
          <w:tcPr>
            <w:tcW w:w="2091" w:type="dxa"/>
            <w:shd w:val="clear" w:color="auto" w:fill="FFFFFF" w:themeFill="background1"/>
          </w:tcPr>
          <w:p w14:paraId="3769C197" w14:textId="77777777" w:rsidR="001A415F" w:rsidRPr="00315B4D" w:rsidRDefault="001A415F" w:rsidP="00315B4D">
            <w:pPr>
              <w:keepNext/>
              <w:spacing w:before="40" w:after="40"/>
              <w:rPr>
                <w:rFonts w:asciiTheme="minorHAnsi" w:hAnsiTheme="minorHAnsi" w:cstheme="minorHAnsi"/>
                <w:sz w:val="22"/>
                <w:szCs w:val="22"/>
              </w:rPr>
            </w:pPr>
            <w:r w:rsidRPr="00315B4D">
              <w:rPr>
                <w:rFonts w:asciiTheme="minorHAnsi" w:hAnsiTheme="minorHAnsi" w:cstheme="minorHAnsi"/>
                <w:sz w:val="22"/>
                <w:szCs w:val="22"/>
              </w:rPr>
              <w:t>Headache</w:t>
            </w:r>
          </w:p>
        </w:tc>
        <w:tc>
          <w:tcPr>
            <w:tcW w:w="637" w:type="dxa"/>
            <w:shd w:val="clear" w:color="auto" w:fill="FFFFFF" w:themeFill="background1"/>
          </w:tcPr>
          <w:p w14:paraId="6F348EDA"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21.7</w:t>
            </w:r>
          </w:p>
        </w:tc>
        <w:tc>
          <w:tcPr>
            <w:tcW w:w="638" w:type="dxa"/>
            <w:shd w:val="clear" w:color="auto" w:fill="FFFFFF" w:themeFill="background1"/>
          </w:tcPr>
          <w:p w14:paraId="4E592899"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1.7</w:t>
            </w:r>
          </w:p>
        </w:tc>
        <w:tc>
          <w:tcPr>
            <w:tcW w:w="638" w:type="dxa"/>
            <w:shd w:val="clear" w:color="auto" w:fill="FFFFFF" w:themeFill="background1"/>
          </w:tcPr>
          <w:p w14:paraId="4D774288"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15.2</w:t>
            </w:r>
          </w:p>
        </w:tc>
        <w:tc>
          <w:tcPr>
            <w:tcW w:w="638" w:type="dxa"/>
            <w:shd w:val="clear" w:color="auto" w:fill="FFFFFF" w:themeFill="background1"/>
          </w:tcPr>
          <w:p w14:paraId="73404A26"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0.9</w:t>
            </w:r>
          </w:p>
        </w:tc>
        <w:tc>
          <w:tcPr>
            <w:tcW w:w="638" w:type="dxa"/>
            <w:shd w:val="clear" w:color="auto" w:fill="FFFFFF" w:themeFill="background1"/>
          </w:tcPr>
          <w:p w14:paraId="04697F7B"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color w:val="000000"/>
                <w:sz w:val="22"/>
                <w:szCs w:val="22"/>
              </w:rPr>
              <w:t>19.1</w:t>
            </w:r>
          </w:p>
        </w:tc>
        <w:tc>
          <w:tcPr>
            <w:tcW w:w="638" w:type="dxa"/>
            <w:shd w:val="clear" w:color="auto" w:fill="FFFFFF" w:themeFill="background1"/>
          </w:tcPr>
          <w:p w14:paraId="5E4C45E8"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1.2</w:t>
            </w:r>
          </w:p>
        </w:tc>
        <w:tc>
          <w:tcPr>
            <w:tcW w:w="638" w:type="dxa"/>
            <w:shd w:val="clear" w:color="auto" w:fill="FFFFFF" w:themeFill="background1"/>
          </w:tcPr>
          <w:p w14:paraId="2F22C646"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8.4</w:t>
            </w:r>
          </w:p>
        </w:tc>
        <w:tc>
          <w:tcPr>
            <w:tcW w:w="639" w:type="dxa"/>
            <w:shd w:val="clear" w:color="auto" w:fill="FFFFFF" w:themeFill="background1"/>
          </w:tcPr>
          <w:p w14:paraId="641D41F8"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w:t>
            </w:r>
          </w:p>
        </w:tc>
        <w:tc>
          <w:tcPr>
            <w:tcW w:w="709" w:type="dxa"/>
            <w:shd w:val="clear" w:color="auto" w:fill="FFFFFF" w:themeFill="background1"/>
          </w:tcPr>
          <w:p w14:paraId="5178BF6E"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7. 1</w:t>
            </w:r>
          </w:p>
        </w:tc>
        <w:tc>
          <w:tcPr>
            <w:tcW w:w="567" w:type="dxa"/>
            <w:shd w:val="clear" w:color="auto" w:fill="FFFFFF" w:themeFill="background1"/>
          </w:tcPr>
          <w:p w14:paraId="2054ADDD"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0.2</w:t>
            </w:r>
          </w:p>
        </w:tc>
        <w:tc>
          <w:tcPr>
            <w:tcW w:w="638" w:type="dxa"/>
            <w:shd w:val="clear" w:color="auto" w:fill="FFFFFF" w:themeFill="background1"/>
          </w:tcPr>
          <w:p w14:paraId="6B9EB506"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7.8</w:t>
            </w:r>
          </w:p>
        </w:tc>
        <w:tc>
          <w:tcPr>
            <w:tcW w:w="638" w:type="dxa"/>
            <w:shd w:val="clear" w:color="auto" w:fill="FFFFFF" w:themeFill="background1"/>
          </w:tcPr>
          <w:p w14:paraId="42939ACB"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0.7</w:t>
            </w:r>
          </w:p>
        </w:tc>
      </w:tr>
      <w:tr w:rsidR="001A415F" w:rsidRPr="00315B4D" w14:paraId="132F9EF8" w14:textId="77777777" w:rsidTr="00315B4D">
        <w:tc>
          <w:tcPr>
            <w:tcW w:w="2091" w:type="dxa"/>
            <w:shd w:val="clear" w:color="auto" w:fill="FFFFFF" w:themeFill="background1"/>
          </w:tcPr>
          <w:p w14:paraId="0C41B510" w14:textId="77777777" w:rsidR="001A415F" w:rsidRPr="00315B4D" w:rsidRDefault="001A415F" w:rsidP="00315B4D">
            <w:pPr>
              <w:keepNext/>
              <w:spacing w:before="40" w:after="40"/>
              <w:rPr>
                <w:rFonts w:asciiTheme="minorHAnsi" w:hAnsiTheme="minorHAnsi" w:cstheme="minorHAnsi"/>
                <w:sz w:val="22"/>
                <w:szCs w:val="22"/>
              </w:rPr>
            </w:pPr>
            <w:r w:rsidRPr="00315B4D">
              <w:rPr>
                <w:rFonts w:asciiTheme="minorHAnsi" w:hAnsiTheme="minorHAnsi" w:cstheme="minorHAnsi"/>
                <w:sz w:val="22"/>
                <w:szCs w:val="22"/>
              </w:rPr>
              <w:t>Malaise</w:t>
            </w:r>
          </w:p>
        </w:tc>
        <w:tc>
          <w:tcPr>
            <w:tcW w:w="637" w:type="dxa"/>
            <w:shd w:val="clear" w:color="auto" w:fill="FFFFFF" w:themeFill="background1"/>
          </w:tcPr>
          <w:p w14:paraId="4FCBD857"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8.9</w:t>
            </w:r>
          </w:p>
        </w:tc>
        <w:tc>
          <w:tcPr>
            <w:tcW w:w="638" w:type="dxa"/>
            <w:shd w:val="clear" w:color="auto" w:fill="FFFFFF" w:themeFill="background1"/>
          </w:tcPr>
          <w:p w14:paraId="5A375DEA"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0.7</w:t>
            </w:r>
          </w:p>
        </w:tc>
        <w:tc>
          <w:tcPr>
            <w:tcW w:w="638" w:type="dxa"/>
            <w:shd w:val="clear" w:color="auto" w:fill="FFFFFF" w:themeFill="background1"/>
          </w:tcPr>
          <w:p w14:paraId="191AD1D2"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color w:val="000000"/>
                <w:sz w:val="22"/>
                <w:szCs w:val="22"/>
              </w:rPr>
              <w:t>9.1</w:t>
            </w:r>
          </w:p>
        </w:tc>
        <w:tc>
          <w:tcPr>
            <w:tcW w:w="638" w:type="dxa"/>
            <w:shd w:val="clear" w:color="auto" w:fill="FFFFFF" w:themeFill="background1"/>
          </w:tcPr>
          <w:p w14:paraId="34F029C6"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w:t>
            </w:r>
          </w:p>
        </w:tc>
        <w:tc>
          <w:tcPr>
            <w:tcW w:w="638" w:type="dxa"/>
            <w:shd w:val="clear" w:color="auto" w:fill="FFFFFF" w:themeFill="background1"/>
          </w:tcPr>
          <w:p w14:paraId="7C7F6B84"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9.3</w:t>
            </w:r>
          </w:p>
        </w:tc>
        <w:tc>
          <w:tcPr>
            <w:tcW w:w="638" w:type="dxa"/>
            <w:shd w:val="clear" w:color="auto" w:fill="FFFFFF" w:themeFill="background1"/>
          </w:tcPr>
          <w:p w14:paraId="3F4C97F2"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0.7</w:t>
            </w:r>
          </w:p>
        </w:tc>
        <w:tc>
          <w:tcPr>
            <w:tcW w:w="638" w:type="dxa"/>
            <w:shd w:val="clear" w:color="auto" w:fill="FFFFFF" w:themeFill="background1"/>
          </w:tcPr>
          <w:p w14:paraId="786DF574"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4.4</w:t>
            </w:r>
          </w:p>
        </w:tc>
        <w:tc>
          <w:tcPr>
            <w:tcW w:w="639" w:type="dxa"/>
            <w:shd w:val="clear" w:color="auto" w:fill="FFFFFF" w:themeFill="background1"/>
          </w:tcPr>
          <w:p w14:paraId="2D6E5B7A"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0.5</w:t>
            </w:r>
          </w:p>
        </w:tc>
        <w:tc>
          <w:tcPr>
            <w:tcW w:w="709" w:type="dxa"/>
            <w:shd w:val="clear" w:color="auto" w:fill="FFFFFF" w:themeFill="background1"/>
          </w:tcPr>
          <w:p w14:paraId="7DB8265E"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5.0</w:t>
            </w:r>
          </w:p>
        </w:tc>
        <w:tc>
          <w:tcPr>
            <w:tcW w:w="567" w:type="dxa"/>
            <w:shd w:val="clear" w:color="auto" w:fill="FFFFFF" w:themeFill="background1"/>
          </w:tcPr>
          <w:p w14:paraId="1CA4D631"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0.2</w:t>
            </w:r>
          </w:p>
        </w:tc>
        <w:tc>
          <w:tcPr>
            <w:tcW w:w="638" w:type="dxa"/>
            <w:shd w:val="clear" w:color="auto" w:fill="FFFFFF" w:themeFill="background1"/>
          </w:tcPr>
          <w:p w14:paraId="7AB9DAF5"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5.1</w:t>
            </w:r>
          </w:p>
        </w:tc>
        <w:tc>
          <w:tcPr>
            <w:tcW w:w="638" w:type="dxa"/>
            <w:shd w:val="clear" w:color="auto" w:fill="FFFFFF" w:themeFill="background1"/>
          </w:tcPr>
          <w:p w14:paraId="4711DBF2"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0.2</w:t>
            </w:r>
          </w:p>
        </w:tc>
      </w:tr>
      <w:tr w:rsidR="001A415F" w:rsidRPr="00315B4D" w14:paraId="4A19CEBD" w14:textId="77777777" w:rsidTr="00315B4D">
        <w:tc>
          <w:tcPr>
            <w:tcW w:w="2091" w:type="dxa"/>
            <w:shd w:val="clear" w:color="auto" w:fill="FFFFFF" w:themeFill="background1"/>
          </w:tcPr>
          <w:p w14:paraId="24F25195" w14:textId="77777777" w:rsidR="001A415F" w:rsidRPr="00315B4D" w:rsidRDefault="001A415F" w:rsidP="00315B4D">
            <w:pPr>
              <w:keepNext/>
              <w:spacing w:before="40" w:after="40"/>
              <w:rPr>
                <w:rFonts w:asciiTheme="minorHAnsi" w:hAnsiTheme="minorHAnsi" w:cstheme="minorHAnsi"/>
                <w:sz w:val="22"/>
                <w:szCs w:val="22"/>
              </w:rPr>
            </w:pPr>
            <w:r w:rsidRPr="00315B4D">
              <w:rPr>
                <w:rFonts w:asciiTheme="minorHAnsi" w:hAnsiTheme="minorHAnsi" w:cstheme="minorHAnsi"/>
                <w:sz w:val="22"/>
                <w:szCs w:val="22"/>
              </w:rPr>
              <w:t>Nausea</w:t>
            </w:r>
          </w:p>
        </w:tc>
        <w:tc>
          <w:tcPr>
            <w:tcW w:w="637" w:type="dxa"/>
            <w:shd w:val="clear" w:color="auto" w:fill="FFFFFF" w:themeFill="background1"/>
          </w:tcPr>
          <w:p w14:paraId="7F309186" w14:textId="77777777" w:rsidR="001A415F" w:rsidRPr="00315B4D" w:rsidRDefault="001A415F" w:rsidP="00315B4D">
            <w:pPr>
              <w:keepNext/>
              <w:spacing w:before="40" w:after="40"/>
              <w:jc w:val="center"/>
              <w:rPr>
                <w:rFonts w:asciiTheme="minorHAnsi" w:hAnsiTheme="minorHAnsi" w:cstheme="minorHAnsi"/>
                <w:sz w:val="22"/>
                <w:szCs w:val="22"/>
              </w:rPr>
            </w:pPr>
            <w:r w:rsidRPr="00315B4D">
              <w:rPr>
                <w:rFonts w:asciiTheme="minorHAnsi" w:hAnsiTheme="minorHAnsi" w:cstheme="minorHAnsi"/>
                <w:sz w:val="22"/>
                <w:szCs w:val="22"/>
              </w:rPr>
              <w:t>6.9</w:t>
            </w:r>
          </w:p>
        </w:tc>
        <w:tc>
          <w:tcPr>
            <w:tcW w:w="638" w:type="dxa"/>
            <w:shd w:val="clear" w:color="auto" w:fill="FFFFFF" w:themeFill="background1"/>
          </w:tcPr>
          <w:p w14:paraId="054BBE11" w14:textId="77777777" w:rsidR="001A415F" w:rsidRPr="00315B4D" w:rsidRDefault="001A415F" w:rsidP="00315B4D">
            <w:pPr>
              <w:keepNext/>
              <w:spacing w:before="40" w:after="40"/>
              <w:jc w:val="center"/>
              <w:rPr>
                <w:rFonts w:asciiTheme="minorHAnsi" w:hAnsiTheme="minorHAnsi" w:cstheme="minorHAnsi"/>
                <w:sz w:val="22"/>
                <w:szCs w:val="22"/>
              </w:rPr>
            </w:pPr>
            <w:r w:rsidRPr="00315B4D">
              <w:rPr>
                <w:rFonts w:asciiTheme="minorHAnsi" w:hAnsiTheme="minorHAnsi" w:cstheme="minorHAnsi"/>
                <w:sz w:val="22"/>
                <w:szCs w:val="22"/>
              </w:rPr>
              <w:t>0.6</w:t>
            </w:r>
          </w:p>
        </w:tc>
        <w:tc>
          <w:tcPr>
            <w:tcW w:w="638" w:type="dxa"/>
            <w:shd w:val="clear" w:color="auto" w:fill="FFFFFF" w:themeFill="background1"/>
          </w:tcPr>
          <w:p w14:paraId="45C7335E"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7.7</w:t>
            </w:r>
          </w:p>
        </w:tc>
        <w:tc>
          <w:tcPr>
            <w:tcW w:w="638" w:type="dxa"/>
            <w:shd w:val="clear" w:color="auto" w:fill="FFFFFF" w:themeFill="background1"/>
          </w:tcPr>
          <w:p w14:paraId="060A88E6"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0.5</w:t>
            </w:r>
          </w:p>
        </w:tc>
        <w:tc>
          <w:tcPr>
            <w:tcW w:w="638" w:type="dxa"/>
            <w:shd w:val="clear" w:color="auto" w:fill="FFFFFF" w:themeFill="background1"/>
          </w:tcPr>
          <w:p w14:paraId="5D329AAC"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6.3</w:t>
            </w:r>
          </w:p>
        </w:tc>
        <w:tc>
          <w:tcPr>
            <w:tcW w:w="638" w:type="dxa"/>
            <w:shd w:val="clear" w:color="auto" w:fill="FFFFFF" w:themeFill="background1"/>
          </w:tcPr>
          <w:p w14:paraId="79649E62"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1.2</w:t>
            </w:r>
          </w:p>
        </w:tc>
        <w:tc>
          <w:tcPr>
            <w:tcW w:w="638" w:type="dxa"/>
            <w:shd w:val="clear" w:color="auto" w:fill="FFFFFF" w:themeFill="background1"/>
          </w:tcPr>
          <w:p w14:paraId="241D1701"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1.6</w:t>
            </w:r>
          </w:p>
        </w:tc>
        <w:tc>
          <w:tcPr>
            <w:tcW w:w="639" w:type="dxa"/>
            <w:shd w:val="clear" w:color="auto" w:fill="FFFFFF" w:themeFill="background1"/>
          </w:tcPr>
          <w:p w14:paraId="0B084F84"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w:t>
            </w:r>
          </w:p>
        </w:tc>
        <w:tc>
          <w:tcPr>
            <w:tcW w:w="709" w:type="dxa"/>
            <w:shd w:val="clear" w:color="auto" w:fill="FFFFFF" w:themeFill="background1"/>
          </w:tcPr>
          <w:p w14:paraId="58DF3FBC"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1.8</w:t>
            </w:r>
          </w:p>
        </w:tc>
        <w:tc>
          <w:tcPr>
            <w:tcW w:w="567" w:type="dxa"/>
            <w:shd w:val="clear" w:color="auto" w:fill="FFFFFF" w:themeFill="background1"/>
          </w:tcPr>
          <w:p w14:paraId="079D05C3"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w:t>
            </w:r>
          </w:p>
        </w:tc>
        <w:tc>
          <w:tcPr>
            <w:tcW w:w="638" w:type="dxa"/>
            <w:shd w:val="clear" w:color="auto" w:fill="FFFFFF" w:themeFill="background1"/>
          </w:tcPr>
          <w:p w14:paraId="2DF2C3FC"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2.1</w:t>
            </w:r>
          </w:p>
        </w:tc>
        <w:tc>
          <w:tcPr>
            <w:tcW w:w="638" w:type="dxa"/>
            <w:shd w:val="clear" w:color="auto" w:fill="FFFFFF" w:themeFill="background1"/>
          </w:tcPr>
          <w:p w14:paraId="55557296"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0.2</w:t>
            </w:r>
          </w:p>
        </w:tc>
      </w:tr>
      <w:tr w:rsidR="001A415F" w:rsidRPr="00315B4D" w14:paraId="0FAB254C" w14:textId="77777777" w:rsidTr="00315B4D">
        <w:tc>
          <w:tcPr>
            <w:tcW w:w="2091" w:type="dxa"/>
            <w:shd w:val="clear" w:color="auto" w:fill="FFFFFF" w:themeFill="background1"/>
          </w:tcPr>
          <w:p w14:paraId="5B1D183A" w14:textId="77777777" w:rsidR="001A415F" w:rsidRPr="00315B4D" w:rsidRDefault="001A415F" w:rsidP="00315B4D">
            <w:pPr>
              <w:keepNext/>
              <w:spacing w:before="40" w:after="40"/>
              <w:rPr>
                <w:rFonts w:asciiTheme="minorHAnsi" w:hAnsiTheme="minorHAnsi" w:cstheme="minorHAnsi"/>
                <w:sz w:val="22"/>
                <w:szCs w:val="22"/>
              </w:rPr>
            </w:pPr>
            <w:r w:rsidRPr="00315B4D">
              <w:rPr>
                <w:rFonts w:asciiTheme="minorHAnsi" w:hAnsiTheme="minorHAnsi" w:cstheme="minorHAnsi"/>
                <w:sz w:val="22"/>
                <w:szCs w:val="22"/>
              </w:rPr>
              <w:t>Chills</w:t>
            </w:r>
          </w:p>
        </w:tc>
        <w:tc>
          <w:tcPr>
            <w:tcW w:w="637" w:type="dxa"/>
            <w:shd w:val="clear" w:color="auto" w:fill="FFFFFF" w:themeFill="background1"/>
          </w:tcPr>
          <w:p w14:paraId="063754AC" w14:textId="77777777" w:rsidR="001A415F" w:rsidRPr="00315B4D" w:rsidRDefault="001A415F" w:rsidP="00315B4D">
            <w:pPr>
              <w:keepNext/>
              <w:spacing w:before="40" w:after="40"/>
              <w:jc w:val="center"/>
              <w:rPr>
                <w:rFonts w:asciiTheme="minorHAnsi" w:hAnsiTheme="minorHAnsi" w:cstheme="minorHAnsi"/>
                <w:sz w:val="22"/>
                <w:szCs w:val="22"/>
              </w:rPr>
            </w:pPr>
            <w:r w:rsidRPr="00315B4D">
              <w:rPr>
                <w:rFonts w:asciiTheme="minorHAnsi" w:hAnsiTheme="minorHAnsi" w:cstheme="minorHAnsi"/>
                <w:sz w:val="22"/>
                <w:szCs w:val="22"/>
              </w:rPr>
              <w:t>4.8</w:t>
            </w:r>
          </w:p>
        </w:tc>
        <w:tc>
          <w:tcPr>
            <w:tcW w:w="638" w:type="dxa"/>
            <w:shd w:val="clear" w:color="auto" w:fill="FFFFFF" w:themeFill="background1"/>
          </w:tcPr>
          <w:p w14:paraId="13B7F7AB" w14:textId="77777777" w:rsidR="001A415F" w:rsidRPr="00315B4D" w:rsidRDefault="001A415F" w:rsidP="00315B4D">
            <w:pPr>
              <w:keepNext/>
              <w:spacing w:before="40" w:after="40"/>
              <w:jc w:val="center"/>
              <w:rPr>
                <w:rFonts w:asciiTheme="minorHAnsi" w:hAnsiTheme="minorHAnsi" w:cstheme="minorHAnsi"/>
                <w:sz w:val="22"/>
                <w:szCs w:val="22"/>
              </w:rPr>
            </w:pPr>
            <w:r w:rsidRPr="00315B4D">
              <w:rPr>
                <w:rFonts w:asciiTheme="minorHAnsi" w:hAnsiTheme="minorHAnsi" w:cstheme="minorHAnsi"/>
                <w:sz w:val="22"/>
                <w:szCs w:val="22"/>
              </w:rPr>
              <w:t>0.6</w:t>
            </w:r>
          </w:p>
        </w:tc>
        <w:tc>
          <w:tcPr>
            <w:tcW w:w="638" w:type="dxa"/>
            <w:shd w:val="clear" w:color="auto" w:fill="FFFFFF" w:themeFill="background1"/>
          </w:tcPr>
          <w:p w14:paraId="13A522E8"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4.4</w:t>
            </w:r>
          </w:p>
        </w:tc>
        <w:tc>
          <w:tcPr>
            <w:tcW w:w="638" w:type="dxa"/>
            <w:shd w:val="clear" w:color="auto" w:fill="FFFFFF" w:themeFill="background1"/>
          </w:tcPr>
          <w:p w14:paraId="4138D235"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0.2</w:t>
            </w:r>
          </w:p>
        </w:tc>
        <w:tc>
          <w:tcPr>
            <w:tcW w:w="638" w:type="dxa"/>
            <w:shd w:val="clear" w:color="auto" w:fill="FFFFFF" w:themeFill="background1"/>
          </w:tcPr>
          <w:p w14:paraId="3BE5105F"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4.7</w:t>
            </w:r>
          </w:p>
        </w:tc>
        <w:tc>
          <w:tcPr>
            <w:tcW w:w="638" w:type="dxa"/>
            <w:shd w:val="clear" w:color="auto" w:fill="FFFFFF" w:themeFill="background1"/>
          </w:tcPr>
          <w:p w14:paraId="5DB1F389"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0.5</w:t>
            </w:r>
          </w:p>
        </w:tc>
        <w:tc>
          <w:tcPr>
            <w:tcW w:w="638" w:type="dxa"/>
            <w:shd w:val="clear" w:color="auto" w:fill="FFFFFF" w:themeFill="background1"/>
          </w:tcPr>
          <w:p w14:paraId="0ED8C59C"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2.0</w:t>
            </w:r>
          </w:p>
        </w:tc>
        <w:tc>
          <w:tcPr>
            <w:tcW w:w="639" w:type="dxa"/>
            <w:shd w:val="clear" w:color="auto" w:fill="FFFFFF" w:themeFill="background1"/>
          </w:tcPr>
          <w:p w14:paraId="2D21A84C"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w:t>
            </w:r>
          </w:p>
        </w:tc>
        <w:tc>
          <w:tcPr>
            <w:tcW w:w="709" w:type="dxa"/>
            <w:shd w:val="clear" w:color="auto" w:fill="FFFFFF" w:themeFill="background1"/>
          </w:tcPr>
          <w:p w14:paraId="7F422F0B"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2.1</w:t>
            </w:r>
          </w:p>
        </w:tc>
        <w:tc>
          <w:tcPr>
            <w:tcW w:w="567" w:type="dxa"/>
            <w:shd w:val="clear" w:color="auto" w:fill="FFFFFF" w:themeFill="background1"/>
          </w:tcPr>
          <w:p w14:paraId="2913A51F"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0.5</w:t>
            </w:r>
          </w:p>
        </w:tc>
        <w:tc>
          <w:tcPr>
            <w:tcW w:w="638" w:type="dxa"/>
            <w:shd w:val="clear" w:color="auto" w:fill="FFFFFF" w:themeFill="background1"/>
          </w:tcPr>
          <w:p w14:paraId="71B24DEE"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1.4</w:t>
            </w:r>
          </w:p>
        </w:tc>
        <w:tc>
          <w:tcPr>
            <w:tcW w:w="638" w:type="dxa"/>
            <w:shd w:val="clear" w:color="auto" w:fill="FFFFFF" w:themeFill="background1"/>
          </w:tcPr>
          <w:p w14:paraId="6064A217"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0.2</w:t>
            </w:r>
          </w:p>
        </w:tc>
      </w:tr>
      <w:tr w:rsidR="001A415F" w:rsidRPr="00315B4D" w14:paraId="1D634CAF" w14:textId="77777777" w:rsidTr="00315B4D">
        <w:tc>
          <w:tcPr>
            <w:tcW w:w="2091" w:type="dxa"/>
            <w:shd w:val="clear" w:color="auto" w:fill="FFFFFF" w:themeFill="background1"/>
          </w:tcPr>
          <w:p w14:paraId="33C29F64" w14:textId="77777777" w:rsidR="001A415F" w:rsidRPr="00315B4D" w:rsidRDefault="001A415F" w:rsidP="00315B4D">
            <w:pPr>
              <w:keepNext/>
              <w:spacing w:before="40" w:after="40"/>
              <w:rPr>
                <w:rFonts w:asciiTheme="minorHAnsi" w:hAnsiTheme="minorHAnsi" w:cstheme="minorHAnsi"/>
                <w:sz w:val="22"/>
                <w:szCs w:val="22"/>
              </w:rPr>
            </w:pPr>
            <w:r w:rsidRPr="00315B4D">
              <w:rPr>
                <w:rFonts w:asciiTheme="minorHAnsi" w:hAnsiTheme="minorHAnsi" w:cstheme="minorHAnsi"/>
                <w:sz w:val="22"/>
                <w:szCs w:val="22"/>
              </w:rPr>
              <w:t>Vomiting</w:t>
            </w:r>
          </w:p>
        </w:tc>
        <w:tc>
          <w:tcPr>
            <w:tcW w:w="637" w:type="dxa"/>
            <w:shd w:val="clear" w:color="auto" w:fill="FFFFFF" w:themeFill="background1"/>
          </w:tcPr>
          <w:p w14:paraId="4C697D71" w14:textId="77777777" w:rsidR="001A415F" w:rsidRPr="00315B4D" w:rsidRDefault="001A415F" w:rsidP="00315B4D">
            <w:pPr>
              <w:keepNext/>
              <w:spacing w:before="40" w:after="40"/>
              <w:jc w:val="center"/>
              <w:rPr>
                <w:rFonts w:asciiTheme="minorHAnsi" w:hAnsiTheme="minorHAnsi" w:cstheme="minorHAnsi"/>
                <w:sz w:val="22"/>
                <w:szCs w:val="22"/>
              </w:rPr>
            </w:pPr>
            <w:r w:rsidRPr="00315B4D">
              <w:rPr>
                <w:rFonts w:asciiTheme="minorHAnsi" w:hAnsiTheme="minorHAnsi" w:cstheme="minorHAnsi"/>
                <w:sz w:val="22"/>
                <w:szCs w:val="22"/>
              </w:rPr>
              <w:t>1.5</w:t>
            </w:r>
          </w:p>
        </w:tc>
        <w:tc>
          <w:tcPr>
            <w:tcW w:w="638" w:type="dxa"/>
            <w:shd w:val="clear" w:color="auto" w:fill="FFFFFF" w:themeFill="background1"/>
          </w:tcPr>
          <w:p w14:paraId="05FE4826" w14:textId="77777777" w:rsidR="001A415F" w:rsidRPr="00315B4D" w:rsidRDefault="001A415F" w:rsidP="00315B4D">
            <w:pPr>
              <w:keepNext/>
              <w:spacing w:before="40" w:after="40"/>
              <w:jc w:val="center"/>
              <w:rPr>
                <w:rFonts w:asciiTheme="minorHAnsi" w:hAnsiTheme="minorHAnsi" w:cstheme="minorHAnsi"/>
                <w:sz w:val="22"/>
                <w:szCs w:val="22"/>
              </w:rPr>
            </w:pPr>
            <w:r w:rsidRPr="00315B4D">
              <w:rPr>
                <w:rFonts w:asciiTheme="minorHAnsi" w:hAnsiTheme="minorHAnsi" w:cstheme="minorHAnsi"/>
                <w:sz w:val="22"/>
                <w:szCs w:val="22"/>
              </w:rPr>
              <w:t>0.4</w:t>
            </w:r>
          </w:p>
        </w:tc>
        <w:tc>
          <w:tcPr>
            <w:tcW w:w="638" w:type="dxa"/>
            <w:shd w:val="clear" w:color="auto" w:fill="FFFFFF" w:themeFill="background1"/>
          </w:tcPr>
          <w:p w14:paraId="07228318"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0.9</w:t>
            </w:r>
          </w:p>
        </w:tc>
        <w:tc>
          <w:tcPr>
            <w:tcW w:w="638" w:type="dxa"/>
            <w:shd w:val="clear" w:color="auto" w:fill="FFFFFF" w:themeFill="background1"/>
          </w:tcPr>
          <w:p w14:paraId="520BE66A"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w:t>
            </w:r>
          </w:p>
        </w:tc>
        <w:tc>
          <w:tcPr>
            <w:tcW w:w="638" w:type="dxa"/>
            <w:shd w:val="clear" w:color="auto" w:fill="FFFFFF" w:themeFill="background1"/>
          </w:tcPr>
          <w:p w14:paraId="2D936147"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2.3</w:t>
            </w:r>
          </w:p>
        </w:tc>
        <w:tc>
          <w:tcPr>
            <w:tcW w:w="638" w:type="dxa"/>
            <w:shd w:val="clear" w:color="auto" w:fill="FFFFFF" w:themeFill="background1"/>
          </w:tcPr>
          <w:p w14:paraId="0A07A26F"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0.7</w:t>
            </w:r>
          </w:p>
        </w:tc>
        <w:tc>
          <w:tcPr>
            <w:tcW w:w="638" w:type="dxa"/>
            <w:shd w:val="clear" w:color="auto" w:fill="FFFFFF" w:themeFill="background1"/>
          </w:tcPr>
          <w:p w14:paraId="61EF344B"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0.5</w:t>
            </w:r>
          </w:p>
        </w:tc>
        <w:tc>
          <w:tcPr>
            <w:tcW w:w="639" w:type="dxa"/>
            <w:shd w:val="clear" w:color="auto" w:fill="FFFFFF" w:themeFill="background1"/>
          </w:tcPr>
          <w:p w14:paraId="30B61563"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0.1</w:t>
            </w:r>
          </w:p>
        </w:tc>
        <w:tc>
          <w:tcPr>
            <w:tcW w:w="709" w:type="dxa"/>
            <w:shd w:val="clear" w:color="auto" w:fill="FFFFFF" w:themeFill="background1"/>
          </w:tcPr>
          <w:p w14:paraId="545F3F45"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color w:val="000000"/>
                <w:sz w:val="22"/>
                <w:szCs w:val="22"/>
              </w:rPr>
              <w:t>0</w:t>
            </w:r>
          </w:p>
        </w:tc>
        <w:tc>
          <w:tcPr>
            <w:tcW w:w="567" w:type="dxa"/>
            <w:shd w:val="clear" w:color="auto" w:fill="FFFFFF" w:themeFill="background1"/>
          </w:tcPr>
          <w:p w14:paraId="650B1EC5"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w:t>
            </w:r>
          </w:p>
        </w:tc>
        <w:tc>
          <w:tcPr>
            <w:tcW w:w="638" w:type="dxa"/>
            <w:shd w:val="clear" w:color="auto" w:fill="FFFFFF" w:themeFill="background1"/>
          </w:tcPr>
          <w:p w14:paraId="76A84A33"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0.7</w:t>
            </w:r>
          </w:p>
        </w:tc>
        <w:tc>
          <w:tcPr>
            <w:tcW w:w="638" w:type="dxa"/>
            <w:shd w:val="clear" w:color="auto" w:fill="FFFFFF" w:themeFill="background1"/>
          </w:tcPr>
          <w:p w14:paraId="3133702D"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0.2</w:t>
            </w:r>
          </w:p>
        </w:tc>
      </w:tr>
      <w:tr w:rsidR="001A415F" w:rsidRPr="00315B4D" w14:paraId="718FABE7" w14:textId="77777777" w:rsidTr="00315B4D">
        <w:tc>
          <w:tcPr>
            <w:tcW w:w="2091" w:type="dxa"/>
            <w:shd w:val="clear" w:color="auto" w:fill="FFFFFF" w:themeFill="background1"/>
          </w:tcPr>
          <w:p w14:paraId="0581A35B" w14:textId="77777777" w:rsidR="001A415F" w:rsidRPr="00315B4D" w:rsidRDefault="001A415F" w:rsidP="00315B4D">
            <w:pPr>
              <w:keepNext/>
              <w:spacing w:before="40" w:after="40"/>
              <w:rPr>
                <w:rFonts w:asciiTheme="minorHAnsi" w:hAnsiTheme="minorHAnsi" w:cstheme="minorHAnsi"/>
                <w:sz w:val="22"/>
                <w:szCs w:val="22"/>
              </w:rPr>
            </w:pPr>
            <w:r w:rsidRPr="00315B4D">
              <w:rPr>
                <w:rFonts w:asciiTheme="minorHAnsi" w:hAnsiTheme="minorHAnsi" w:cstheme="minorHAnsi"/>
                <w:sz w:val="22"/>
                <w:szCs w:val="22"/>
              </w:rPr>
              <w:t>Fever</w:t>
            </w:r>
          </w:p>
        </w:tc>
        <w:tc>
          <w:tcPr>
            <w:tcW w:w="637" w:type="dxa"/>
            <w:shd w:val="clear" w:color="auto" w:fill="FFFFFF" w:themeFill="background1"/>
          </w:tcPr>
          <w:p w14:paraId="59647C00" w14:textId="77777777" w:rsidR="001A415F" w:rsidRPr="00315B4D" w:rsidRDefault="001A415F" w:rsidP="00315B4D">
            <w:pPr>
              <w:keepNext/>
              <w:spacing w:before="40" w:after="40"/>
              <w:jc w:val="center"/>
              <w:rPr>
                <w:rFonts w:asciiTheme="minorHAnsi" w:hAnsiTheme="minorHAnsi" w:cstheme="minorHAnsi"/>
                <w:sz w:val="22"/>
                <w:szCs w:val="22"/>
              </w:rPr>
            </w:pPr>
            <w:r w:rsidRPr="00315B4D">
              <w:rPr>
                <w:rFonts w:asciiTheme="minorHAnsi" w:hAnsiTheme="minorHAnsi" w:cstheme="minorHAnsi"/>
                <w:sz w:val="22"/>
                <w:szCs w:val="22"/>
              </w:rPr>
              <w:t>1.1</w:t>
            </w:r>
          </w:p>
        </w:tc>
        <w:tc>
          <w:tcPr>
            <w:tcW w:w="638" w:type="dxa"/>
            <w:shd w:val="clear" w:color="auto" w:fill="FFFFFF" w:themeFill="background1"/>
          </w:tcPr>
          <w:p w14:paraId="7EF5F0B3" w14:textId="77777777" w:rsidR="001A415F" w:rsidRPr="00315B4D" w:rsidRDefault="001A415F" w:rsidP="00315B4D">
            <w:pPr>
              <w:keepNext/>
              <w:spacing w:before="40" w:after="40"/>
              <w:jc w:val="center"/>
              <w:rPr>
                <w:rFonts w:asciiTheme="minorHAnsi" w:hAnsiTheme="minorHAnsi" w:cstheme="minorHAnsi"/>
                <w:sz w:val="22"/>
                <w:szCs w:val="22"/>
              </w:rPr>
            </w:pPr>
            <w:r w:rsidRPr="00315B4D">
              <w:rPr>
                <w:rFonts w:asciiTheme="minorHAnsi" w:hAnsiTheme="minorHAnsi" w:cstheme="minorHAnsi"/>
                <w:sz w:val="22"/>
                <w:szCs w:val="22"/>
              </w:rPr>
              <w:t>0.4</w:t>
            </w:r>
          </w:p>
        </w:tc>
        <w:tc>
          <w:tcPr>
            <w:tcW w:w="638" w:type="dxa"/>
            <w:shd w:val="clear" w:color="auto" w:fill="FFFFFF" w:themeFill="background1"/>
          </w:tcPr>
          <w:p w14:paraId="3C200807"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0.9</w:t>
            </w:r>
          </w:p>
        </w:tc>
        <w:tc>
          <w:tcPr>
            <w:tcW w:w="638" w:type="dxa"/>
            <w:shd w:val="clear" w:color="auto" w:fill="FFFFFF" w:themeFill="background1"/>
          </w:tcPr>
          <w:p w14:paraId="33E0B7E8"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w:t>
            </w:r>
          </w:p>
        </w:tc>
        <w:tc>
          <w:tcPr>
            <w:tcW w:w="638" w:type="dxa"/>
            <w:shd w:val="clear" w:color="auto" w:fill="FFFFFF" w:themeFill="background1"/>
          </w:tcPr>
          <w:p w14:paraId="4EFBFE12"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color w:val="000000"/>
                <w:sz w:val="22"/>
                <w:szCs w:val="22"/>
              </w:rPr>
              <w:t>0.5</w:t>
            </w:r>
          </w:p>
        </w:tc>
        <w:tc>
          <w:tcPr>
            <w:tcW w:w="638" w:type="dxa"/>
            <w:shd w:val="clear" w:color="auto" w:fill="FFFFFF" w:themeFill="background1"/>
          </w:tcPr>
          <w:p w14:paraId="344EDA9F"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w:t>
            </w:r>
          </w:p>
        </w:tc>
        <w:tc>
          <w:tcPr>
            <w:tcW w:w="638" w:type="dxa"/>
            <w:shd w:val="clear" w:color="auto" w:fill="FFFFFF" w:themeFill="background1"/>
          </w:tcPr>
          <w:p w14:paraId="5025D6AF"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0.2</w:t>
            </w:r>
          </w:p>
        </w:tc>
        <w:tc>
          <w:tcPr>
            <w:tcW w:w="639" w:type="dxa"/>
            <w:shd w:val="clear" w:color="auto" w:fill="FFFFFF" w:themeFill="background1"/>
          </w:tcPr>
          <w:p w14:paraId="56A9D802"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w:t>
            </w:r>
          </w:p>
        </w:tc>
        <w:tc>
          <w:tcPr>
            <w:tcW w:w="709" w:type="dxa"/>
            <w:shd w:val="clear" w:color="auto" w:fill="FFFFFF" w:themeFill="background1"/>
          </w:tcPr>
          <w:p w14:paraId="4CD095CC"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0.9</w:t>
            </w:r>
          </w:p>
        </w:tc>
        <w:tc>
          <w:tcPr>
            <w:tcW w:w="567" w:type="dxa"/>
            <w:shd w:val="clear" w:color="auto" w:fill="FFFFFF" w:themeFill="background1"/>
          </w:tcPr>
          <w:p w14:paraId="790FA17A"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w:t>
            </w:r>
          </w:p>
        </w:tc>
        <w:tc>
          <w:tcPr>
            <w:tcW w:w="638" w:type="dxa"/>
            <w:shd w:val="clear" w:color="auto" w:fill="FFFFFF" w:themeFill="background1"/>
          </w:tcPr>
          <w:p w14:paraId="67B2B483"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rPr>
              <w:t>0.5</w:t>
            </w:r>
          </w:p>
        </w:tc>
        <w:tc>
          <w:tcPr>
            <w:tcW w:w="638" w:type="dxa"/>
            <w:shd w:val="clear" w:color="auto" w:fill="FFFFFF" w:themeFill="background1"/>
          </w:tcPr>
          <w:p w14:paraId="4DC3F4B5" w14:textId="77777777" w:rsidR="001A415F" w:rsidRPr="00315B4D" w:rsidRDefault="001A415F" w:rsidP="00315B4D">
            <w:pPr>
              <w:keepNext/>
              <w:spacing w:before="40" w:after="40"/>
              <w:jc w:val="center"/>
              <w:rPr>
                <w:rFonts w:asciiTheme="minorHAnsi" w:hAnsiTheme="minorHAnsi" w:cstheme="minorHAnsi"/>
                <w:sz w:val="22"/>
                <w:szCs w:val="22"/>
                <w:lang w:eastAsia="en-AU"/>
              </w:rPr>
            </w:pPr>
            <w:r w:rsidRPr="00315B4D">
              <w:rPr>
                <w:rFonts w:asciiTheme="minorHAnsi" w:hAnsiTheme="minorHAnsi" w:cstheme="minorHAnsi"/>
                <w:sz w:val="22"/>
                <w:szCs w:val="22"/>
                <w:lang w:eastAsia="en-AU"/>
              </w:rPr>
              <w:t>0.2</w:t>
            </w:r>
          </w:p>
        </w:tc>
      </w:tr>
    </w:tbl>
    <w:p w14:paraId="2FC2A931" w14:textId="77777777" w:rsidR="005854DD" w:rsidRPr="00A85848" w:rsidRDefault="005854DD" w:rsidP="00A85848">
      <w:pPr>
        <w:keepNext/>
        <w:autoSpaceDE w:val="0"/>
        <w:autoSpaceDN w:val="0"/>
        <w:adjustRightInd w:val="0"/>
        <w:spacing w:after="40" w:line="240" w:lineRule="auto"/>
        <w:ind w:left="142" w:hanging="142"/>
        <w:rPr>
          <w:rFonts w:eastAsia="Calibri" w:cstheme="minorHAnsi"/>
          <w:sz w:val="16"/>
          <w:szCs w:val="16"/>
        </w:rPr>
      </w:pPr>
      <w:r w:rsidRPr="00A85848">
        <w:rPr>
          <w:rFonts w:eastAsia="Calibri" w:cstheme="minorHAnsi"/>
          <w:sz w:val="16"/>
          <w:szCs w:val="16"/>
        </w:rPr>
        <w:t>Abbreviations: Gr 3, Grade 3.</w:t>
      </w:r>
    </w:p>
    <w:p w14:paraId="59E18268" w14:textId="77777777" w:rsidR="001A415F" w:rsidRPr="007C4389" w:rsidRDefault="001A415F" w:rsidP="00A85848">
      <w:pPr>
        <w:keepNext/>
        <w:autoSpaceDE w:val="0"/>
        <w:autoSpaceDN w:val="0"/>
        <w:adjustRightInd w:val="0"/>
        <w:spacing w:after="40" w:line="240" w:lineRule="auto"/>
        <w:ind w:left="142" w:hanging="142"/>
        <w:rPr>
          <w:rFonts w:eastAsia="Calibri" w:cs="Arial"/>
          <w:sz w:val="16"/>
          <w:szCs w:val="16"/>
        </w:rPr>
      </w:pPr>
      <w:proofErr w:type="gramStart"/>
      <w:r w:rsidRPr="007C4389">
        <w:rPr>
          <w:rFonts w:eastAsia="Calibri" w:cs="Arial"/>
          <w:sz w:val="16"/>
          <w:szCs w:val="16"/>
          <w:vertAlign w:val="superscript"/>
        </w:rPr>
        <w:t>a</w:t>
      </w:r>
      <w:proofErr w:type="gramEnd"/>
      <w:r w:rsidRPr="007C4389">
        <w:rPr>
          <w:rFonts w:eastAsia="Calibri" w:cs="Arial"/>
          <w:sz w:val="16"/>
          <w:szCs w:val="16"/>
        </w:rPr>
        <w:t xml:space="preserve"> Proportion of subjects reporting each solicited local adverse reaction or systemic adverse event by study vaccine group, based on the number of subjects contributing any follow up safety information for at least one data value of an individual sign/symptom.</w:t>
      </w:r>
    </w:p>
    <w:p w14:paraId="3B54C62B" w14:textId="77777777" w:rsidR="001A415F" w:rsidRDefault="001A415F" w:rsidP="00A85848">
      <w:pPr>
        <w:autoSpaceDE w:val="0"/>
        <w:autoSpaceDN w:val="0"/>
        <w:adjustRightInd w:val="0"/>
        <w:spacing w:after="40" w:line="240" w:lineRule="auto"/>
        <w:rPr>
          <w:rFonts w:eastAsia="Calibri" w:cs="Arial"/>
          <w:sz w:val="16"/>
          <w:szCs w:val="16"/>
        </w:rPr>
      </w:pPr>
      <w:proofErr w:type="gramStart"/>
      <w:r w:rsidRPr="007C4389">
        <w:rPr>
          <w:rFonts w:eastAsia="Calibri" w:cs="Arial"/>
          <w:sz w:val="16"/>
          <w:szCs w:val="16"/>
          <w:vertAlign w:val="superscript"/>
        </w:rPr>
        <w:t>b</w:t>
      </w:r>
      <w:proofErr w:type="gramEnd"/>
      <w:r w:rsidRPr="007C4389">
        <w:rPr>
          <w:rFonts w:eastAsia="Calibri" w:cs="Arial"/>
          <w:sz w:val="16"/>
          <w:szCs w:val="16"/>
        </w:rPr>
        <w:t xml:space="preserve"> N = number of subjects in the Safety Population Subgroup for each study vaccine group. </w:t>
      </w:r>
    </w:p>
    <w:p w14:paraId="3E433929" w14:textId="77777777" w:rsidR="001A415F" w:rsidRDefault="001A415F" w:rsidP="00A85848">
      <w:pPr>
        <w:autoSpaceDE w:val="0"/>
        <w:autoSpaceDN w:val="0"/>
        <w:adjustRightInd w:val="0"/>
        <w:spacing w:after="40" w:line="240" w:lineRule="auto"/>
        <w:rPr>
          <w:rFonts w:eastAsia="Calibri" w:cs="Arial"/>
          <w:sz w:val="16"/>
          <w:szCs w:val="16"/>
        </w:rPr>
      </w:pPr>
      <w:proofErr w:type="gramStart"/>
      <w:r>
        <w:rPr>
          <w:rFonts w:eastAsia="Calibri" w:cs="Arial"/>
          <w:sz w:val="16"/>
          <w:szCs w:val="16"/>
          <w:vertAlign w:val="superscript"/>
        </w:rPr>
        <w:t>c</w:t>
      </w:r>
      <w:proofErr w:type="gramEnd"/>
      <w:r>
        <w:rPr>
          <w:rFonts w:eastAsia="Calibri" w:cs="Arial"/>
          <w:sz w:val="16"/>
          <w:szCs w:val="16"/>
          <w:vertAlign w:val="superscript"/>
        </w:rPr>
        <w:t xml:space="preserve"> </w:t>
      </w:r>
      <w:r>
        <w:rPr>
          <w:rFonts w:eastAsia="Calibri" w:cs="Arial"/>
          <w:sz w:val="16"/>
          <w:szCs w:val="16"/>
        </w:rPr>
        <w:t>Local adverse reactions: Grade 3 pain is that which prevents daily activity; Swelling/Lump and redness: any = ≥ 20 mm diameter, Grade 3 = ≥100 mm diameter</w:t>
      </w:r>
    </w:p>
    <w:p w14:paraId="33F4B60F" w14:textId="77777777" w:rsidR="001A415F" w:rsidRPr="00D35A3C" w:rsidRDefault="001A415F" w:rsidP="00A85848">
      <w:pPr>
        <w:autoSpaceDE w:val="0"/>
        <w:autoSpaceDN w:val="0"/>
        <w:adjustRightInd w:val="0"/>
        <w:spacing w:after="40" w:line="240" w:lineRule="auto"/>
        <w:rPr>
          <w:rFonts w:eastAsia="Calibri" w:cs="Arial"/>
          <w:sz w:val="16"/>
          <w:szCs w:val="16"/>
        </w:rPr>
      </w:pPr>
      <w:proofErr w:type="gramStart"/>
      <w:r>
        <w:rPr>
          <w:rFonts w:eastAsia="Calibri" w:cs="Arial"/>
          <w:sz w:val="16"/>
          <w:szCs w:val="16"/>
          <w:vertAlign w:val="superscript"/>
        </w:rPr>
        <w:t>d</w:t>
      </w:r>
      <w:proofErr w:type="gramEnd"/>
      <w:r>
        <w:rPr>
          <w:rFonts w:eastAsia="Calibri" w:cs="Arial"/>
          <w:sz w:val="16"/>
          <w:szCs w:val="16"/>
          <w:vertAlign w:val="superscript"/>
        </w:rPr>
        <w:t xml:space="preserve"> </w:t>
      </w:r>
      <w:r>
        <w:rPr>
          <w:rFonts w:eastAsia="Calibri" w:cs="Arial"/>
          <w:sz w:val="16"/>
          <w:szCs w:val="16"/>
        </w:rPr>
        <w:t>Systemic adverse events: Fever: any = ≥ 38.0°C</w:t>
      </w:r>
      <w:r w:rsidR="0032742E">
        <w:rPr>
          <w:rFonts w:eastAsia="Calibri" w:cs="Arial"/>
          <w:sz w:val="16"/>
          <w:szCs w:val="16"/>
        </w:rPr>
        <w:t>,</w:t>
      </w:r>
      <w:r w:rsidR="00220C1F">
        <w:rPr>
          <w:rFonts w:eastAsia="Calibri" w:cs="Arial"/>
          <w:sz w:val="16"/>
          <w:szCs w:val="16"/>
        </w:rPr>
        <w:t xml:space="preserve"> </w:t>
      </w:r>
      <w:r>
        <w:rPr>
          <w:rFonts w:eastAsia="Calibri" w:cs="Arial"/>
          <w:sz w:val="16"/>
          <w:szCs w:val="16"/>
        </w:rPr>
        <w:t>Grade 3 = ≥ 39.0°C</w:t>
      </w:r>
      <w:r w:rsidR="0032742E">
        <w:rPr>
          <w:rFonts w:eastAsia="Calibri" w:cs="Arial"/>
          <w:sz w:val="16"/>
          <w:szCs w:val="16"/>
        </w:rPr>
        <w:t>,</w:t>
      </w:r>
      <w:r w:rsidR="00220C1F">
        <w:rPr>
          <w:rFonts w:eastAsia="Calibri" w:cs="Arial"/>
          <w:sz w:val="16"/>
          <w:szCs w:val="16"/>
        </w:rPr>
        <w:t xml:space="preserve"> </w:t>
      </w:r>
      <w:r>
        <w:rPr>
          <w:rFonts w:eastAsia="Calibri" w:cs="Arial"/>
          <w:sz w:val="16"/>
          <w:szCs w:val="16"/>
        </w:rPr>
        <w:t>Grade 3 for all other adverse events is that which prevents daily activity.</w:t>
      </w:r>
    </w:p>
    <w:p w14:paraId="4DF920F6" w14:textId="77777777" w:rsidR="001A415F" w:rsidRDefault="001A415F" w:rsidP="001A415F">
      <w:pPr>
        <w:spacing w:before="240"/>
        <w:ind w:right="-23"/>
      </w:pPr>
      <w:r w:rsidRPr="00983A43">
        <w:t xml:space="preserve">In adults </w:t>
      </w:r>
      <w:r w:rsidRPr="00A72C5E">
        <w:rPr>
          <w:color w:val="000000"/>
        </w:rPr>
        <w:t xml:space="preserve">18 </w:t>
      </w:r>
      <w:r>
        <w:rPr>
          <w:color w:val="000000"/>
        </w:rPr>
        <w:t xml:space="preserve">to &lt; </w:t>
      </w:r>
      <w:r w:rsidRPr="00A72C5E">
        <w:rPr>
          <w:color w:val="000000"/>
        </w:rPr>
        <w:t>6</w:t>
      </w:r>
      <w:r>
        <w:rPr>
          <w:color w:val="000000"/>
        </w:rPr>
        <w:t>5</w:t>
      </w:r>
      <w:r w:rsidRPr="00A72C5E">
        <w:rPr>
          <w:color w:val="000000"/>
        </w:rPr>
        <w:t xml:space="preserve"> </w:t>
      </w:r>
      <w:r>
        <w:rPr>
          <w:color w:val="000000"/>
        </w:rPr>
        <w:t xml:space="preserve">years </w:t>
      </w:r>
      <w:r w:rsidRPr="009F4EF8">
        <w:t>who received</w:t>
      </w:r>
      <w:r>
        <w:t xml:space="preserve"> Afluria</w:t>
      </w:r>
      <w:r>
        <w:rPr>
          <w:rFonts w:ascii="Calibri" w:hAnsi="Calibri" w:cs="Calibri"/>
        </w:rPr>
        <w:t>®</w:t>
      </w:r>
      <w:r>
        <w:t xml:space="preserve"> Quad vaccine,</w:t>
      </w:r>
      <w:r w:rsidRPr="009F4EF8">
        <w:t xml:space="preserve"> </w:t>
      </w:r>
      <w:r w:rsidRPr="00874059">
        <w:t>commonly reported unsolicited adverse events were headache (5.3%), oropharyngeal pain (2.5%), back pain (1.9%), diarrhoea (1.6%), cough (1.3%) and nausea (1.1%)</w:t>
      </w:r>
      <w:r>
        <w:t xml:space="preserve">.  In </w:t>
      </w:r>
      <w:r w:rsidRPr="00983A43">
        <w:t xml:space="preserve">adults </w:t>
      </w:r>
      <w:r>
        <w:rPr>
          <w:rFonts w:cs="Arial"/>
          <w:color w:val="000000"/>
        </w:rPr>
        <w:t>≥</w:t>
      </w:r>
      <w:r>
        <w:rPr>
          <w:color w:val="000000"/>
        </w:rPr>
        <w:t xml:space="preserve"> </w:t>
      </w:r>
      <w:r w:rsidRPr="00A72C5E">
        <w:rPr>
          <w:color w:val="000000"/>
        </w:rPr>
        <w:t>65 years</w:t>
      </w:r>
      <w:r>
        <w:rPr>
          <w:color w:val="000000"/>
        </w:rPr>
        <w:t xml:space="preserve"> </w:t>
      </w:r>
      <w:r w:rsidRPr="009F4EF8">
        <w:t>who received</w:t>
      </w:r>
      <w:r>
        <w:t xml:space="preserve"> Afluria</w:t>
      </w:r>
      <w:r>
        <w:rPr>
          <w:rFonts w:ascii="Calibri" w:hAnsi="Calibri" w:cs="Calibri"/>
        </w:rPr>
        <w:t>®</w:t>
      </w:r>
      <w:r>
        <w:t xml:space="preserve"> Quad vaccine,</w:t>
      </w:r>
      <w:r w:rsidRPr="009F4EF8">
        <w:t xml:space="preserve"> </w:t>
      </w:r>
      <w:r w:rsidRPr="00874059">
        <w:t>commonly reported unsolicited adverse events were</w:t>
      </w:r>
      <w:r w:rsidRPr="00A72C5E">
        <w:rPr>
          <w:color w:val="000000"/>
        </w:rPr>
        <w:t xml:space="preserve"> </w:t>
      </w:r>
      <w:r w:rsidRPr="000E28D9">
        <w:t>headache (2.3%), rhinorrhoea (1.3%), oropharyngeal pain (1.2%) and back pain (1.2%)</w:t>
      </w:r>
      <w:r w:rsidRPr="00983A43">
        <w:t>.</w:t>
      </w:r>
    </w:p>
    <w:p w14:paraId="69724A17" w14:textId="77777777" w:rsidR="005854DD" w:rsidRPr="00E37924" w:rsidRDefault="005854DD" w:rsidP="00DE6897">
      <w:pPr>
        <w:pStyle w:val="Heading4"/>
      </w:pPr>
      <w:r w:rsidRPr="00E37924">
        <w:t>Paediatric data</w:t>
      </w:r>
    </w:p>
    <w:p w14:paraId="6091548E" w14:textId="77777777" w:rsidR="005854DD" w:rsidRPr="00D915A1" w:rsidRDefault="005854DD" w:rsidP="005854DD">
      <w:pPr>
        <w:autoSpaceDE w:val="0"/>
        <w:autoSpaceDN w:val="0"/>
      </w:pPr>
      <w:r w:rsidRPr="0066741F">
        <w:t>Afluria</w:t>
      </w:r>
      <w:r w:rsidRPr="0066741F">
        <w:rPr>
          <w:rFonts w:ascii="Calibri" w:hAnsi="Calibri" w:cs="Calibri"/>
        </w:rPr>
        <w:t>®</w:t>
      </w:r>
      <w:r w:rsidRPr="00D43076">
        <w:t xml:space="preserve"> Quad</w:t>
      </w:r>
      <w:r w:rsidRPr="00D915A1">
        <w:t xml:space="preserve"> vaccine was administered to children 5 to &lt; 18 years of age in Study QIV-02.</w:t>
      </w:r>
    </w:p>
    <w:p w14:paraId="4265C39F" w14:textId="77777777" w:rsidR="005854DD" w:rsidRPr="00444B36" w:rsidRDefault="005854DD" w:rsidP="005854DD">
      <w:pPr>
        <w:autoSpaceDE w:val="0"/>
        <w:autoSpaceDN w:val="0"/>
      </w:pPr>
      <w:r w:rsidRPr="00444B36">
        <w:lastRenderedPageBreak/>
        <w:t>In children 5 to &lt; 18 years, the most common (≥ 10%) injection site reactions were pain (51.4%), redness (17.1%), and induration/swelling (13.8%); the most common solicited systemic adverse events were headache (15.5%) and myalgia (13.1%).</w:t>
      </w:r>
    </w:p>
    <w:p w14:paraId="550E8426" w14:textId="77777777" w:rsidR="005854DD" w:rsidRPr="00A85848" w:rsidRDefault="005854DD" w:rsidP="005854DD">
      <w:pPr>
        <w:keepNext/>
        <w:keepLines/>
        <w:autoSpaceDE w:val="0"/>
        <w:autoSpaceDN w:val="0"/>
        <w:ind w:left="992" w:hanging="992"/>
        <w:rPr>
          <w:rFonts w:cstheme="minorHAnsi"/>
          <w:b/>
          <w:bCs/>
          <w:color w:val="000000"/>
        </w:rPr>
      </w:pPr>
      <w:r w:rsidRPr="00A85848">
        <w:rPr>
          <w:rFonts w:cstheme="minorHAnsi"/>
          <w:b/>
          <w:bCs/>
          <w:color w:val="000000"/>
        </w:rPr>
        <w:t xml:space="preserve">Table </w:t>
      </w:r>
      <w:r w:rsidR="003B2D2C" w:rsidRPr="00A85848">
        <w:rPr>
          <w:rFonts w:cstheme="minorHAnsi"/>
          <w:b/>
          <w:bCs/>
          <w:color w:val="000000"/>
        </w:rPr>
        <w:t>3</w:t>
      </w:r>
      <w:r w:rsidRPr="00A85848">
        <w:rPr>
          <w:rFonts w:cstheme="minorHAnsi"/>
          <w:b/>
          <w:bCs/>
          <w:color w:val="000000"/>
        </w:rPr>
        <w:t>:</w:t>
      </w:r>
      <w:r w:rsidRPr="00A85848">
        <w:rPr>
          <w:rFonts w:cstheme="minorHAnsi"/>
          <w:b/>
          <w:bCs/>
          <w:color w:val="000000"/>
        </w:rPr>
        <w:tab/>
        <w:t xml:space="preserve">QIV-02: Proportion of Subjects </w:t>
      </w:r>
      <w:proofErr w:type="gramStart"/>
      <w:r w:rsidRPr="00A85848">
        <w:rPr>
          <w:rFonts w:cstheme="minorHAnsi"/>
          <w:b/>
          <w:bCs/>
          <w:color w:val="000000"/>
        </w:rPr>
        <w:t>Per</w:t>
      </w:r>
      <w:proofErr w:type="gramEnd"/>
      <w:r w:rsidRPr="00A85848">
        <w:rPr>
          <w:rFonts w:cstheme="minorHAnsi"/>
          <w:b/>
          <w:bCs/>
          <w:color w:val="000000"/>
        </w:rPr>
        <w:t xml:space="preserve"> Age Cohort with Any Solicited Local Adverse Reactions or Systemic Adverse Events within 7 Days after Administration of </w:t>
      </w:r>
      <w:r w:rsidRPr="00A85848">
        <w:rPr>
          <w:rFonts w:cstheme="minorHAnsi"/>
          <w:b/>
          <w:color w:val="000000"/>
        </w:rPr>
        <w:t>Afluria</w:t>
      </w:r>
      <w:r w:rsidRPr="00A85848">
        <w:rPr>
          <w:rFonts w:cstheme="minorHAnsi"/>
          <w:b/>
          <w:color w:val="000000"/>
          <w:vertAlign w:val="superscript"/>
        </w:rPr>
        <w:t>®</w:t>
      </w:r>
      <w:r w:rsidRPr="00A85848">
        <w:rPr>
          <w:rFonts w:cstheme="minorHAnsi"/>
          <w:b/>
          <w:color w:val="000000"/>
        </w:rPr>
        <w:t xml:space="preserve"> Quad Vaccine</w:t>
      </w:r>
      <w:r w:rsidRPr="00A85848">
        <w:rPr>
          <w:rFonts w:cstheme="minorHAnsi"/>
          <w:b/>
          <w:bCs/>
          <w:color w:val="000000"/>
        </w:rPr>
        <w:t xml:space="preserve"> or Comparator QIV </w:t>
      </w:r>
    </w:p>
    <w:tbl>
      <w:tblPr>
        <w:tblStyle w:val="TableGrid2"/>
        <w:tblW w:w="0" w:type="auto"/>
        <w:tblInd w:w="108" w:type="dxa"/>
        <w:shd w:val="clear" w:color="auto" w:fill="FFFFFF" w:themeFill="background1"/>
        <w:tblLayout w:type="fixed"/>
        <w:tblLook w:val="04A0" w:firstRow="1" w:lastRow="0" w:firstColumn="1" w:lastColumn="0" w:noHBand="0" w:noVBand="1"/>
      </w:tblPr>
      <w:tblGrid>
        <w:gridCol w:w="1985"/>
        <w:gridCol w:w="939"/>
        <w:gridCol w:w="939"/>
        <w:gridCol w:w="939"/>
        <w:gridCol w:w="939"/>
        <w:gridCol w:w="939"/>
        <w:gridCol w:w="939"/>
        <w:gridCol w:w="939"/>
        <w:gridCol w:w="940"/>
      </w:tblGrid>
      <w:tr w:rsidR="005854DD" w:rsidRPr="00315B4D" w14:paraId="46324164" w14:textId="77777777" w:rsidTr="00D60C8B">
        <w:tc>
          <w:tcPr>
            <w:tcW w:w="1985" w:type="dxa"/>
            <w:vMerge w:val="restart"/>
            <w:shd w:val="clear" w:color="auto" w:fill="FFFFFF" w:themeFill="background1"/>
          </w:tcPr>
          <w:p w14:paraId="28F09A65" w14:textId="77777777" w:rsidR="005854DD" w:rsidRPr="00315B4D" w:rsidRDefault="005854DD" w:rsidP="00D60C8B">
            <w:pPr>
              <w:keepNext/>
              <w:spacing w:before="40" w:after="40"/>
              <w:rPr>
                <w:rFonts w:asciiTheme="minorHAnsi" w:hAnsiTheme="minorHAnsi" w:cstheme="minorHAnsi"/>
                <w:b/>
                <w:sz w:val="22"/>
                <w:szCs w:val="22"/>
                <w:lang w:val="en-AU" w:eastAsia="en-AU"/>
              </w:rPr>
            </w:pPr>
          </w:p>
        </w:tc>
        <w:tc>
          <w:tcPr>
            <w:tcW w:w="7513" w:type="dxa"/>
            <w:gridSpan w:val="8"/>
            <w:shd w:val="clear" w:color="auto" w:fill="FFFFFF" w:themeFill="background1"/>
          </w:tcPr>
          <w:p w14:paraId="315FE072" w14:textId="77777777" w:rsidR="005854DD" w:rsidRPr="00315B4D" w:rsidRDefault="005854DD" w:rsidP="00D60C8B">
            <w:pPr>
              <w:keepNext/>
              <w:spacing w:before="40" w:after="40"/>
              <w:jc w:val="center"/>
              <w:rPr>
                <w:rFonts w:asciiTheme="minorHAnsi" w:hAnsiTheme="minorHAnsi" w:cstheme="minorHAnsi"/>
                <w:b/>
                <w:sz w:val="22"/>
                <w:szCs w:val="22"/>
                <w:lang w:val="en-AU" w:eastAsia="en-AU"/>
              </w:rPr>
            </w:pPr>
            <w:r w:rsidRPr="00315B4D">
              <w:rPr>
                <w:rFonts w:asciiTheme="minorHAnsi" w:hAnsiTheme="minorHAnsi" w:cstheme="minorHAnsi"/>
                <w:b/>
                <w:sz w:val="22"/>
                <w:szCs w:val="22"/>
                <w:lang w:val="en-AU" w:eastAsia="en-AU"/>
              </w:rPr>
              <w:t xml:space="preserve">Percentage (%) </w:t>
            </w:r>
            <w:r w:rsidRPr="00315B4D">
              <w:rPr>
                <w:rFonts w:asciiTheme="minorHAnsi" w:hAnsiTheme="minorHAnsi" w:cstheme="minorHAnsi"/>
                <w:b/>
                <w:sz w:val="22"/>
                <w:szCs w:val="22"/>
                <w:vertAlign w:val="superscript"/>
                <w:lang w:val="en-AU" w:eastAsia="en-AU"/>
              </w:rPr>
              <w:t>a</w:t>
            </w:r>
            <w:r w:rsidRPr="00315B4D">
              <w:rPr>
                <w:rFonts w:asciiTheme="minorHAnsi" w:hAnsiTheme="minorHAnsi" w:cstheme="minorHAnsi"/>
                <w:b/>
                <w:sz w:val="22"/>
                <w:szCs w:val="22"/>
                <w:lang w:val="en-AU" w:eastAsia="en-AU"/>
              </w:rPr>
              <w:t xml:space="preserve"> of Subjects in each Age Cohort Reporting an Event</w:t>
            </w:r>
          </w:p>
        </w:tc>
      </w:tr>
      <w:tr w:rsidR="005854DD" w:rsidRPr="00315B4D" w14:paraId="03AE8681" w14:textId="77777777" w:rsidTr="00D60C8B">
        <w:tc>
          <w:tcPr>
            <w:tcW w:w="1985" w:type="dxa"/>
            <w:vMerge/>
            <w:shd w:val="clear" w:color="auto" w:fill="FFFFFF" w:themeFill="background1"/>
          </w:tcPr>
          <w:p w14:paraId="11037A37" w14:textId="77777777" w:rsidR="005854DD" w:rsidRPr="00315B4D" w:rsidRDefault="005854DD" w:rsidP="00D60C8B">
            <w:pPr>
              <w:keepNext/>
              <w:spacing w:before="40" w:after="40"/>
              <w:rPr>
                <w:rFonts w:asciiTheme="minorHAnsi" w:hAnsiTheme="minorHAnsi" w:cstheme="minorHAnsi"/>
                <w:b/>
                <w:sz w:val="22"/>
                <w:szCs w:val="22"/>
                <w:lang w:val="en-AU" w:eastAsia="en-AU"/>
              </w:rPr>
            </w:pPr>
          </w:p>
        </w:tc>
        <w:tc>
          <w:tcPr>
            <w:tcW w:w="3756" w:type="dxa"/>
            <w:gridSpan w:val="4"/>
            <w:shd w:val="clear" w:color="auto" w:fill="FFFFFF" w:themeFill="background1"/>
          </w:tcPr>
          <w:p w14:paraId="4D743E23" w14:textId="77777777" w:rsidR="005854DD" w:rsidRPr="00315B4D" w:rsidRDefault="005854DD" w:rsidP="00D60C8B">
            <w:pPr>
              <w:keepNext/>
              <w:spacing w:before="40" w:after="40"/>
              <w:jc w:val="center"/>
              <w:rPr>
                <w:rFonts w:asciiTheme="minorHAnsi" w:hAnsiTheme="minorHAnsi" w:cstheme="minorHAnsi"/>
                <w:b/>
                <w:sz w:val="22"/>
                <w:szCs w:val="22"/>
                <w:lang w:val="en-AU" w:eastAsia="en-AU"/>
              </w:rPr>
            </w:pPr>
            <w:r w:rsidRPr="00315B4D">
              <w:rPr>
                <w:rFonts w:asciiTheme="minorHAnsi" w:hAnsiTheme="minorHAnsi" w:cstheme="minorHAnsi"/>
                <w:b/>
                <w:sz w:val="22"/>
                <w:szCs w:val="22"/>
                <w:lang w:val="en-AU" w:eastAsia="en-AU"/>
              </w:rPr>
              <w:t>Subjects 5 to &lt; 9 years</w:t>
            </w:r>
          </w:p>
        </w:tc>
        <w:tc>
          <w:tcPr>
            <w:tcW w:w="3757" w:type="dxa"/>
            <w:gridSpan w:val="4"/>
            <w:shd w:val="clear" w:color="auto" w:fill="FFFFFF" w:themeFill="background1"/>
          </w:tcPr>
          <w:p w14:paraId="7F809A5B" w14:textId="77777777" w:rsidR="005854DD" w:rsidRPr="00315B4D" w:rsidRDefault="005854DD" w:rsidP="00D60C8B">
            <w:pPr>
              <w:keepNext/>
              <w:spacing w:before="40" w:after="40"/>
              <w:jc w:val="center"/>
              <w:rPr>
                <w:rFonts w:asciiTheme="minorHAnsi" w:hAnsiTheme="minorHAnsi" w:cstheme="minorHAnsi"/>
                <w:b/>
                <w:sz w:val="22"/>
                <w:szCs w:val="22"/>
                <w:lang w:val="en-AU" w:eastAsia="en-AU"/>
              </w:rPr>
            </w:pPr>
            <w:r w:rsidRPr="00315B4D">
              <w:rPr>
                <w:rFonts w:asciiTheme="minorHAnsi" w:hAnsiTheme="minorHAnsi" w:cstheme="minorHAnsi"/>
                <w:b/>
                <w:sz w:val="22"/>
                <w:szCs w:val="22"/>
                <w:lang w:val="en-AU" w:eastAsia="en-AU"/>
              </w:rPr>
              <w:t>Subjects 9 to &lt; 18 years</w:t>
            </w:r>
          </w:p>
        </w:tc>
      </w:tr>
      <w:tr w:rsidR="005854DD" w:rsidRPr="00315B4D" w14:paraId="33FDF737" w14:textId="77777777" w:rsidTr="00D60C8B">
        <w:tc>
          <w:tcPr>
            <w:tcW w:w="1985" w:type="dxa"/>
            <w:vMerge/>
            <w:shd w:val="clear" w:color="auto" w:fill="FFFFFF" w:themeFill="background1"/>
          </w:tcPr>
          <w:p w14:paraId="596AB6A3" w14:textId="77777777" w:rsidR="005854DD" w:rsidRPr="00315B4D" w:rsidRDefault="005854DD" w:rsidP="00D60C8B">
            <w:pPr>
              <w:keepNext/>
              <w:spacing w:before="40" w:after="40"/>
              <w:rPr>
                <w:rFonts w:asciiTheme="minorHAnsi" w:hAnsiTheme="minorHAnsi" w:cstheme="minorHAnsi"/>
                <w:b/>
                <w:sz w:val="22"/>
                <w:szCs w:val="22"/>
                <w:lang w:val="en-AU" w:eastAsia="en-AU"/>
              </w:rPr>
            </w:pPr>
          </w:p>
        </w:tc>
        <w:tc>
          <w:tcPr>
            <w:tcW w:w="1878" w:type="dxa"/>
            <w:gridSpan w:val="2"/>
            <w:shd w:val="clear" w:color="auto" w:fill="FFFFFF" w:themeFill="background1"/>
            <w:vAlign w:val="center"/>
          </w:tcPr>
          <w:p w14:paraId="6DED78C2" w14:textId="77777777" w:rsidR="005854DD" w:rsidRPr="00315B4D" w:rsidRDefault="005854DD" w:rsidP="00D60C8B">
            <w:pPr>
              <w:keepNext/>
              <w:spacing w:before="40" w:after="40"/>
              <w:jc w:val="center"/>
              <w:rPr>
                <w:rFonts w:asciiTheme="minorHAnsi" w:hAnsiTheme="minorHAnsi" w:cstheme="minorHAnsi"/>
                <w:b/>
                <w:sz w:val="22"/>
                <w:szCs w:val="22"/>
                <w:lang w:val="en-AU" w:eastAsia="en-AU"/>
              </w:rPr>
            </w:pPr>
            <w:r w:rsidRPr="00315B4D">
              <w:rPr>
                <w:rFonts w:asciiTheme="minorHAnsi" w:hAnsiTheme="minorHAnsi" w:cstheme="minorHAnsi"/>
                <w:b/>
                <w:sz w:val="22"/>
                <w:szCs w:val="22"/>
                <w:lang w:eastAsia="en-AU"/>
              </w:rPr>
              <w:t>Afluria</w:t>
            </w:r>
            <w:r w:rsidRPr="00315B4D">
              <w:rPr>
                <w:rFonts w:asciiTheme="minorHAnsi" w:hAnsiTheme="minorHAnsi" w:cstheme="minorHAnsi"/>
                <w:b/>
                <w:color w:val="000000"/>
                <w:sz w:val="22"/>
                <w:szCs w:val="22"/>
                <w:vertAlign w:val="superscript"/>
              </w:rPr>
              <w:t>®</w:t>
            </w:r>
            <w:r w:rsidRPr="00315B4D">
              <w:rPr>
                <w:rFonts w:asciiTheme="minorHAnsi" w:hAnsiTheme="minorHAnsi" w:cstheme="minorHAnsi"/>
                <w:b/>
                <w:sz w:val="22"/>
                <w:szCs w:val="22"/>
                <w:lang w:eastAsia="en-AU"/>
              </w:rPr>
              <w:t xml:space="preserve"> Quad vaccine </w:t>
            </w:r>
          </w:p>
          <w:p w14:paraId="4A3E99BF" w14:textId="77777777" w:rsidR="005854DD" w:rsidRPr="00315B4D" w:rsidRDefault="005854DD" w:rsidP="00D60C8B">
            <w:pPr>
              <w:keepNext/>
              <w:spacing w:before="40" w:after="40"/>
              <w:jc w:val="center"/>
              <w:rPr>
                <w:rFonts w:asciiTheme="minorHAnsi" w:hAnsiTheme="minorHAnsi" w:cstheme="minorHAnsi"/>
                <w:b/>
                <w:sz w:val="22"/>
                <w:szCs w:val="22"/>
                <w:lang w:val="en-AU" w:eastAsia="en-AU"/>
              </w:rPr>
            </w:pPr>
            <w:r w:rsidRPr="00315B4D">
              <w:rPr>
                <w:rFonts w:asciiTheme="minorHAnsi" w:hAnsiTheme="minorHAnsi" w:cstheme="minorHAnsi"/>
                <w:b/>
                <w:sz w:val="22"/>
                <w:szCs w:val="22"/>
                <w:lang w:eastAsia="en-AU"/>
              </w:rPr>
              <w:t xml:space="preserve">N=829 </w:t>
            </w:r>
            <w:r w:rsidRPr="00315B4D">
              <w:rPr>
                <w:rFonts w:asciiTheme="minorHAnsi" w:hAnsiTheme="minorHAnsi" w:cstheme="minorHAnsi"/>
                <w:b/>
                <w:sz w:val="22"/>
                <w:szCs w:val="22"/>
                <w:vertAlign w:val="superscript"/>
                <w:lang w:eastAsia="en-AU"/>
              </w:rPr>
              <w:t>b</w:t>
            </w:r>
          </w:p>
        </w:tc>
        <w:tc>
          <w:tcPr>
            <w:tcW w:w="1878" w:type="dxa"/>
            <w:gridSpan w:val="2"/>
            <w:shd w:val="clear" w:color="auto" w:fill="FFFFFF" w:themeFill="background1"/>
            <w:vAlign w:val="center"/>
          </w:tcPr>
          <w:p w14:paraId="5E9D042F" w14:textId="77777777" w:rsidR="005854DD" w:rsidRPr="00315B4D" w:rsidRDefault="005854DD" w:rsidP="00D60C8B">
            <w:pPr>
              <w:keepNext/>
              <w:keepLines/>
              <w:spacing w:before="40" w:after="40"/>
              <w:jc w:val="center"/>
              <w:rPr>
                <w:rFonts w:asciiTheme="minorHAnsi" w:hAnsiTheme="minorHAnsi" w:cstheme="minorHAnsi"/>
                <w:b/>
                <w:sz w:val="22"/>
                <w:szCs w:val="22"/>
                <w:lang w:val="en-AU"/>
              </w:rPr>
            </w:pPr>
            <w:r w:rsidRPr="00315B4D">
              <w:rPr>
                <w:rFonts w:asciiTheme="minorHAnsi" w:hAnsiTheme="minorHAnsi" w:cstheme="minorHAnsi"/>
                <w:b/>
                <w:sz w:val="22"/>
                <w:szCs w:val="22"/>
                <w:lang w:val="en-AU"/>
              </w:rPr>
              <w:t>Comparator QIV</w:t>
            </w:r>
          </w:p>
          <w:p w14:paraId="48B66A12" w14:textId="77777777" w:rsidR="005854DD" w:rsidRPr="00315B4D" w:rsidRDefault="005854DD" w:rsidP="00D60C8B">
            <w:pPr>
              <w:keepNext/>
              <w:spacing w:before="40" w:after="40"/>
              <w:jc w:val="center"/>
              <w:rPr>
                <w:rFonts w:asciiTheme="minorHAnsi" w:hAnsiTheme="minorHAnsi" w:cstheme="minorHAnsi"/>
                <w:b/>
                <w:sz w:val="22"/>
                <w:szCs w:val="22"/>
                <w:lang w:val="en-AU" w:eastAsia="en-AU"/>
              </w:rPr>
            </w:pPr>
            <w:r w:rsidRPr="00315B4D">
              <w:rPr>
                <w:rFonts w:asciiTheme="minorHAnsi" w:hAnsiTheme="minorHAnsi" w:cstheme="minorHAnsi"/>
                <w:b/>
                <w:sz w:val="22"/>
                <w:szCs w:val="22"/>
                <w:lang w:val="en-AU" w:eastAsia="en-AU"/>
              </w:rPr>
              <w:t xml:space="preserve">N=274 </w:t>
            </w:r>
            <w:r w:rsidRPr="00315B4D">
              <w:rPr>
                <w:rFonts w:asciiTheme="minorHAnsi" w:hAnsiTheme="minorHAnsi" w:cstheme="minorHAnsi"/>
                <w:b/>
                <w:sz w:val="22"/>
                <w:szCs w:val="22"/>
                <w:vertAlign w:val="superscript"/>
                <w:lang w:val="en-AU" w:eastAsia="en-AU"/>
              </w:rPr>
              <w:t>b</w:t>
            </w:r>
          </w:p>
        </w:tc>
        <w:tc>
          <w:tcPr>
            <w:tcW w:w="1878" w:type="dxa"/>
            <w:gridSpan w:val="2"/>
            <w:shd w:val="clear" w:color="auto" w:fill="FFFFFF" w:themeFill="background1"/>
            <w:vAlign w:val="center"/>
          </w:tcPr>
          <w:p w14:paraId="19101D11" w14:textId="77777777" w:rsidR="005854DD" w:rsidRPr="00315B4D" w:rsidRDefault="005854DD" w:rsidP="00D60C8B">
            <w:pPr>
              <w:keepNext/>
              <w:spacing w:before="40" w:after="40"/>
              <w:jc w:val="center"/>
              <w:rPr>
                <w:rFonts w:asciiTheme="minorHAnsi" w:hAnsiTheme="minorHAnsi" w:cstheme="minorHAnsi"/>
                <w:b/>
                <w:sz w:val="22"/>
                <w:szCs w:val="22"/>
                <w:lang w:val="en-AU" w:eastAsia="en-AU"/>
              </w:rPr>
            </w:pPr>
            <w:r w:rsidRPr="00315B4D">
              <w:rPr>
                <w:rFonts w:asciiTheme="minorHAnsi" w:hAnsiTheme="minorHAnsi" w:cstheme="minorHAnsi"/>
                <w:b/>
                <w:sz w:val="22"/>
                <w:szCs w:val="22"/>
                <w:lang w:eastAsia="en-AU"/>
              </w:rPr>
              <w:t>Afluria</w:t>
            </w:r>
            <w:r w:rsidRPr="00315B4D">
              <w:rPr>
                <w:rFonts w:asciiTheme="minorHAnsi" w:hAnsiTheme="minorHAnsi" w:cstheme="minorHAnsi"/>
                <w:b/>
                <w:color w:val="000000"/>
                <w:sz w:val="22"/>
                <w:szCs w:val="22"/>
                <w:vertAlign w:val="superscript"/>
              </w:rPr>
              <w:t>®</w:t>
            </w:r>
            <w:r w:rsidRPr="00315B4D">
              <w:rPr>
                <w:rFonts w:asciiTheme="minorHAnsi" w:hAnsiTheme="minorHAnsi" w:cstheme="minorHAnsi"/>
                <w:b/>
                <w:sz w:val="22"/>
                <w:szCs w:val="22"/>
                <w:lang w:eastAsia="en-AU"/>
              </w:rPr>
              <w:t xml:space="preserve"> Quad vaccine </w:t>
            </w:r>
          </w:p>
          <w:p w14:paraId="1A37D791" w14:textId="77777777" w:rsidR="005854DD" w:rsidRPr="00315B4D" w:rsidRDefault="005854DD" w:rsidP="00D60C8B">
            <w:pPr>
              <w:keepNext/>
              <w:spacing w:before="40" w:after="40"/>
              <w:jc w:val="center"/>
              <w:rPr>
                <w:rFonts w:asciiTheme="minorHAnsi" w:hAnsiTheme="minorHAnsi" w:cstheme="minorHAnsi"/>
                <w:b/>
                <w:sz w:val="22"/>
                <w:szCs w:val="22"/>
                <w:lang w:val="en-AU" w:eastAsia="en-AU"/>
              </w:rPr>
            </w:pPr>
            <w:r w:rsidRPr="00315B4D">
              <w:rPr>
                <w:rFonts w:asciiTheme="minorHAnsi" w:hAnsiTheme="minorHAnsi" w:cstheme="minorHAnsi"/>
                <w:b/>
                <w:sz w:val="22"/>
                <w:szCs w:val="22"/>
                <w:lang w:eastAsia="en-AU"/>
              </w:rPr>
              <w:t xml:space="preserve">N=792 </w:t>
            </w:r>
            <w:r w:rsidRPr="00315B4D">
              <w:rPr>
                <w:rFonts w:asciiTheme="minorHAnsi" w:hAnsiTheme="minorHAnsi" w:cstheme="minorHAnsi"/>
                <w:b/>
                <w:sz w:val="22"/>
                <w:szCs w:val="22"/>
                <w:vertAlign w:val="superscript"/>
                <w:lang w:eastAsia="en-AU"/>
              </w:rPr>
              <w:t>b</w:t>
            </w:r>
          </w:p>
        </w:tc>
        <w:tc>
          <w:tcPr>
            <w:tcW w:w="1879" w:type="dxa"/>
            <w:gridSpan w:val="2"/>
            <w:shd w:val="clear" w:color="auto" w:fill="FFFFFF" w:themeFill="background1"/>
            <w:vAlign w:val="center"/>
          </w:tcPr>
          <w:p w14:paraId="6B55869A" w14:textId="77777777" w:rsidR="005854DD" w:rsidRPr="00315B4D" w:rsidRDefault="005854DD" w:rsidP="00D60C8B">
            <w:pPr>
              <w:keepNext/>
              <w:keepLines/>
              <w:spacing w:before="40" w:after="40"/>
              <w:jc w:val="center"/>
              <w:rPr>
                <w:rFonts w:asciiTheme="minorHAnsi" w:hAnsiTheme="minorHAnsi" w:cstheme="minorHAnsi"/>
                <w:b/>
                <w:sz w:val="22"/>
                <w:szCs w:val="22"/>
                <w:lang w:val="en-AU"/>
              </w:rPr>
            </w:pPr>
            <w:r w:rsidRPr="00315B4D">
              <w:rPr>
                <w:rFonts w:asciiTheme="minorHAnsi" w:hAnsiTheme="minorHAnsi" w:cstheme="minorHAnsi"/>
                <w:b/>
                <w:sz w:val="22"/>
                <w:szCs w:val="22"/>
                <w:lang w:val="en-AU"/>
              </w:rPr>
              <w:t>Comparator QIV</w:t>
            </w:r>
          </w:p>
          <w:p w14:paraId="4B19B33D" w14:textId="77777777" w:rsidR="005854DD" w:rsidRPr="00315B4D" w:rsidRDefault="005854DD" w:rsidP="00D60C8B">
            <w:pPr>
              <w:keepNext/>
              <w:spacing w:before="40" w:after="40"/>
              <w:jc w:val="center"/>
              <w:rPr>
                <w:rFonts w:asciiTheme="minorHAnsi" w:hAnsiTheme="minorHAnsi" w:cstheme="minorHAnsi"/>
                <w:b/>
                <w:sz w:val="22"/>
                <w:szCs w:val="22"/>
                <w:lang w:val="en-AU" w:eastAsia="en-AU"/>
              </w:rPr>
            </w:pPr>
            <w:r w:rsidRPr="00315B4D">
              <w:rPr>
                <w:rFonts w:asciiTheme="minorHAnsi" w:hAnsiTheme="minorHAnsi" w:cstheme="minorHAnsi"/>
                <w:b/>
                <w:sz w:val="22"/>
                <w:szCs w:val="22"/>
                <w:lang w:val="en-AU" w:eastAsia="en-AU"/>
              </w:rPr>
              <w:t xml:space="preserve">N=261 </w:t>
            </w:r>
            <w:r w:rsidRPr="00315B4D">
              <w:rPr>
                <w:rFonts w:asciiTheme="minorHAnsi" w:hAnsiTheme="minorHAnsi" w:cstheme="minorHAnsi"/>
                <w:b/>
                <w:sz w:val="22"/>
                <w:szCs w:val="22"/>
                <w:vertAlign w:val="superscript"/>
                <w:lang w:val="en-AU" w:eastAsia="en-AU"/>
              </w:rPr>
              <w:t>b</w:t>
            </w:r>
          </w:p>
        </w:tc>
      </w:tr>
      <w:tr w:rsidR="005854DD" w:rsidRPr="00315B4D" w14:paraId="19AA5EB6" w14:textId="77777777" w:rsidTr="00D60C8B">
        <w:tc>
          <w:tcPr>
            <w:tcW w:w="1985" w:type="dxa"/>
            <w:vMerge/>
            <w:shd w:val="clear" w:color="auto" w:fill="FFFFFF" w:themeFill="background1"/>
          </w:tcPr>
          <w:p w14:paraId="3101BA78" w14:textId="77777777" w:rsidR="005854DD" w:rsidRPr="00315B4D" w:rsidRDefault="005854DD" w:rsidP="00D60C8B">
            <w:pPr>
              <w:keepNext/>
              <w:spacing w:before="40" w:after="40"/>
              <w:rPr>
                <w:rFonts w:asciiTheme="minorHAnsi" w:hAnsiTheme="minorHAnsi" w:cstheme="minorHAnsi"/>
                <w:sz w:val="22"/>
                <w:szCs w:val="22"/>
                <w:lang w:val="en-AU" w:eastAsia="en-AU"/>
              </w:rPr>
            </w:pPr>
          </w:p>
        </w:tc>
        <w:tc>
          <w:tcPr>
            <w:tcW w:w="939" w:type="dxa"/>
            <w:shd w:val="clear" w:color="auto" w:fill="FFFFFF" w:themeFill="background1"/>
          </w:tcPr>
          <w:p w14:paraId="2A5B5DFE" w14:textId="77777777" w:rsidR="005854DD" w:rsidRPr="00315B4D" w:rsidRDefault="005854DD" w:rsidP="00D60C8B">
            <w:pPr>
              <w:keepNext/>
              <w:spacing w:before="40" w:after="40"/>
              <w:jc w:val="center"/>
              <w:rPr>
                <w:rFonts w:asciiTheme="minorHAnsi" w:hAnsiTheme="minorHAnsi" w:cstheme="minorHAnsi"/>
                <w:b/>
                <w:sz w:val="22"/>
                <w:szCs w:val="22"/>
                <w:lang w:val="en-AU" w:eastAsia="en-AU"/>
              </w:rPr>
            </w:pPr>
            <w:r w:rsidRPr="00315B4D">
              <w:rPr>
                <w:rFonts w:asciiTheme="minorHAnsi" w:hAnsiTheme="minorHAnsi" w:cstheme="minorHAnsi"/>
                <w:b/>
                <w:sz w:val="22"/>
                <w:szCs w:val="22"/>
                <w:lang w:val="en-AU" w:eastAsia="en-AU"/>
              </w:rPr>
              <w:t>Any</w:t>
            </w:r>
          </w:p>
        </w:tc>
        <w:tc>
          <w:tcPr>
            <w:tcW w:w="939" w:type="dxa"/>
            <w:shd w:val="clear" w:color="auto" w:fill="FFFFFF" w:themeFill="background1"/>
          </w:tcPr>
          <w:p w14:paraId="0E31AF4B" w14:textId="77777777" w:rsidR="005854DD" w:rsidRPr="00315B4D" w:rsidRDefault="005854DD" w:rsidP="00D60C8B">
            <w:pPr>
              <w:keepNext/>
              <w:spacing w:before="40" w:after="40"/>
              <w:jc w:val="center"/>
              <w:rPr>
                <w:rFonts w:asciiTheme="minorHAnsi" w:hAnsiTheme="minorHAnsi" w:cstheme="minorHAnsi"/>
                <w:b/>
                <w:sz w:val="22"/>
                <w:szCs w:val="22"/>
                <w:lang w:val="en-AU" w:eastAsia="en-AU"/>
              </w:rPr>
            </w:pPr>
            <w:r w:rsidRPr="00315B4D">
              <w:rPr>
                <w:rFonts w:asciiTheme="minorHAnsi" w:hAnsiTheme="minorHAnsi" w:cstheme="minorHAnsi"/>
                <w:b/>
                <w:sz w:val="22"/>
                <w:szCs w:val="22"/>
                <w:lang w:val="en-AU" w:eastAsia="en-AU"/>
              </w:rPr>
              <w:t>Gr 3</w:t>
            </w:r>
          </w:p>
        </w:tc>
        <w:tc>
          <w:tcPr>
            <w:tcW w:w="939" w:type="dxa"/>
            <w:shd w:val="clear" w:color="auto" w:fill="FFFFFF" w:themeFill="background1"/>
          </w:tcPr>
          <w:p w14:paraId="231E97CE" w14:textId="77777777" w:rsidR="005854DD" w:rsidRPr="00315B4D" w:rsidRDefault="005854DD" w:rsidP="00D60C8B">
            <w:pPr>
              <w:keepNext/>
              <w:spacing w:before="40" w:after="40"/>
              <w:jc w:val="center"/>
              <w:rPr>
                <w:rFonts w:asciiTheme="minorHAnsi" w:hAnsiTheme="minorHAnsi" w:cstheme="minorHAnsi"/>
                <w:b/>
                <w:sz w:val="22"/>
                <w:szCs w:val="22"/>
                <w:lang w:val="en-AU" w:eastAsia="en-AU"/>
              </w:rPr>
            </w:pPr>
            <w:r w:rsidRPr="00315B4D">
              <w:rPr>
                <w:rFonts w:asciiTheme="minorHAnsi" w:hAnsiTheme="minorHAnsi" w:cstheme="minorHAnsi"/>
                <w:b/>
                <w:sz w:val="22"/>
                <w:szCs w:val="22"/>
                <w:lang w:val="en-AU" w:eastAsia="en-AU"/>
              </w:rPr>
              <w:t>Any</w:t>
            </w:r>
          </w:p>
        </w:tc>
        <w:tc>
          <w:tcPr>
            <w:tcW w:w="939" w:type="dxa"/>
            <w:shd w:val="clear" w:color="auto" w:fill="FFFFFF" w:themeFill="background1"/>
          </w:tcPr>
          <w:p w14:paraId="67B27F38" w14:textId="77777777" w:rsidR="005854DD" w:rsidRPr="00315B4D" w:rsidRDefault="005854DD" w:rsidP="00D60C8B">
            <w:pPr>
              <w:keepNext/>
              <w:spacing w:before="40" w:after="40"/>
              <w:jc w:val="center"/>
              <w:rPr>
                <w:rFonts w:asciiTheme="minorHAnsi" w:hAnsiTheme="minorHAnsi" w:cstheme="minorHAnsi"/>
                <w:b/>
                <w:sz w:val="22"/>
                <w:szCs w:val="22"/>
                <w:lang w:val="en-AU" w:eastAsia="en-AU"/>
              </w:rPr>
            </w:pPr>
            <w:r w:rsidRPr="00315B4D">
              <w:rPr>
                <w:rFonts w:asciiTheme="minorHAnsi" w:hAnsiTheme="minorHAnsi" w:cstheme="minorHAnsi"/>
                <w:b/>
                <w:sz w:val="22"/>
                <w:szCs w:val="22"/>
                <w:lang w:val="en-AU" w:eastAsia="en-AU"/>
              </w:rPr>
              <w:t>Gr 3</w:t>
            </w:r>
          </w:p>
        </w:tc>
        <w:tc>
          <w:tcPr>
            <w:tcW w:w="939" w:type="dxa"/>
            <w:shd w:val="clear" w:color="auto" w:fill="FFFFFF" w:themeFill="background1"/>
          </w:tcPr>
          <w:p w14:paraId="45C768D3" w14:textId="77777777" w:rsidR="005854DD" w:rsidRPr="00315B4D" w:rsidRDefault="005854DD" w:rsidP="00D60C8B">
            <w:pPr>
              <w:keepNext/>
              <w:spacing w:before="40" w:after="40"/>
              <w:rPr>
                <w:rFonts w:asciiTheme="minorHAnsi" w:hAnsiTheme="minorHAnsi" w:cstheme="minorHAnsi"/>
                <w:b/>
                <w:sz w:val="22"/>
                <w:szCs w:val="22"/>
                <w:lang w:val="en-AU" w:eastAsia="en-AU"/>
              </w:rPr>
            </w:pPr>
            <w:r w:rsidRPr="00315B4D">
              <w:rPr>
                <w:rFonts w:asciiTheme="minorHAnsi" w:hAnsiTheme="minorHAnsi" w:cstheme="minorHAnsi"/>
                <w:b/>
                <w:sz w:val="22"/>
                <w:szCs w:val="22"/>
                <w:lang w:val="en-AU" w:eastAsia="en-AU"/>
              </w:rPr>
              <w:t>Any</w:t>
            </w:r>
          </w:p>
        </w:tc>
        <w:tc>
          <w:tcPr>
            <w:tcW w:w="939" w:type="dxa"/>
            <w:shd w:val="clear" w:color="auto" w:fill="FFFFFF" w:themeFill="background1"/>
          </w:tcPr>
          <w:p w14:paraId="0E0D4C8F" w14:textId="77777777" w:rsidR="005854DD" w:rsidRPr="00315B4D" w:rsidRDefault="005854DD" w:rsidP="00D60C8B">
            <w:pPr>
              <w:keepNext/>
              <w:spacing w:before="40" w:after="40"/>
              <w:jc w:val="center"/>
              <w:rPr>
                <w:rFonts w:asciiTheme="minorHAnsi" w:hAnsiTheme="minorHAnsi" w:cstheme="minorHAnsi"/>
                <w:b/>
                <w:sz w:val="22"/>
                <w:szCs w:val="22"/>
                <w:lang w:val="en-AU" w:eastAsia="en-AU"/>
              </w:rPr>
            </w:pPr>
            <w:r w:rsidRPr="00315B4D">
              <w:rPr>
                <w:rFonts w:asciiTheme="minorHAnsi" w:hAnsiTheme="minorHAnsi" w:cstheme="minorHAnsi"/>
                <w:b/>
                <w:sz w:val="22"/>
                <w:szCs w:val="22"/>
                <w:lang w:val="en-AU" w:eastAsia="en-AU"/>
              </w:rPr>
              <w:t>Gr 3</w:t>
            </w:r>
          </w:p>
        </w:tc>
        <w:tc>
          <w:tcPr>
            <w:tcW w:w="939" w:type="dxa"/>
            <w:shd w:val="clear" w:color="auto" w:fill="FFFFFF" w:themeFill="background1"/>
          </w:tcPr>
          <w:p w14:paraId="2F3EBEA0" w14:textId="77777777" w:rsidR="005854DD" w:rsidRPr="00315B4D" w:rsidRDefault="005854DD" w:rsidP="00D60C8B">
            <w:pPr>
              <w:keepNext/>
              <w:spacing w:before="40" w:after="40"/>
              <w:jc w:val="center"/>
              <w:rPr>
                <w:rFonts w:asciiTheme="minorHAnsi" w:hAnsiTheme="minorHAnsi" w:cstheme="minorHAnsi"/>
                <w:b/>
                <w:sz w:val="22"/>
                <w:szCs w:val="22"/>
                <w:lang w:val="en-AU" w:eastAsia="en-AU"/>
              </w:rPr>
            </w:pPr>
            <w:r w:rsidRPr="00315B4D">
              <w:rPr>
                <w:rFonts w:asciiTheme="minorHAnsi" w:hAnsiTheme="minorHAnsi" w:cstheme="minorHAnsi"/>
                <w:b/>
                <w:sz w:val="22"/>
                <w:szCs w:val="22"/>
                <w:lang w:val="en-AU" w:eastAsia="en-AU"/>
              </w:rPr>
              <w:t>Any</w:t>
            </w:r>
          </w:p>
        </w:tc>
        <w:tc>
          <w:tcPr>
            <w:tcW w:w="940" w:type="dxa"/>
            <w:shd w:val="clear" w:color="auto" w:fill="FFFFFF" w:themeFill="background1"/>
          </w:tcPr>
          <w:p w14:paraId="1523CE34" w14:textId="77777777" w:rsidR="005854DD" w:rsidRPr="00315B4D" w:rsidRDefault="005854DD" w:rsidP="00D60C8B">
            <w:pPr>
              <w:keepNext/>
              <w:spacing w:before="40" w:after="40"/>
              <w:jc w:val="center"/>
              <w:rPr>
                <w:rFonts w:asciiTheme="minorHAnsi" w:hAnsiTheme="minorHAnsi" w:cstheme="minorHAnsi"/>
                <w:b/>
                <w:sz w:val="22"/>
                <w:szCs w:val="22"/>
                <w:lang w:val="en-AU" w:eastAsia="en-AU"/>
              </w:rPr>
            </w:pPr>
            <w:r w:rsidRPr="00315B4D">
              <w:rPr>
                <w:rFonts w:asciiTheme="minorHAnsi" w:hAnsiTheme="minorHAnsi" w:cstheme="minorHAnsi"/>
                <w:b/>
                <w:sz w:val="22"/>
                <w:szCs w:val="22"/>
                <w:lang w:val="en-AU" w:eastAsia="en-AU"/>
              </w:rPr>
              <w:t>Gr 3</w:t>
            </w:r>
          </w:p>
        </w:tc>
      </w:tr>
      <w:tr w:rsidR="005854DD" w:rsidRPr="00315B4D" w14:paraId="76F14596" w14:textId="77777777" w:rsidTr="00D60C8B">
        <w:tc>
          <w:tcPr>
            <w:tcW w:w="9498" w:type="dxa"/>
            <w:gridSpan w:val="9"/>
            <w:shd w:val="clear" w:color="auto" w:fill="FFFFFF" w:themeFill="background1"/>
          </w:tcPr>
          <w:p w14:paraId="380019F9" w14:textId="77777777" w:rsidR="005854DD" w:rsidRPr="00315B4D" w:rsidRDefault="005854DD" w:rsidP="00D60C8B">
            <w:pPr>
              <w:keepNext/>
              <w:spacing w:before="40" w:after="40"/>
              <w:rPr>
                <w:rFonts w:asciiTheme="minorHAnsi" w:hAnsiTheme="minorHAnsi" w:cstheme="minorHAnsi"/>
                <w:b/>
                <w:sz w:val="22"/>
                <w:szCs w:val="22"/>
                <w:lang w:val="en-AU" w:eastAsia="en-AU"/>
              </w:rPr>
            </w:pPr>
            <w:r w:rsidRPr="00315B4D">
              <w:rPr>
                <w:rFonts w:asciiTheme="minorHAnsi" w:hAnsiTheme="minorHAnsi" w:cstheme="minorHAnsi"/>
                <w:b/>
                <w:sz w:val="22"/>
                <w:szCs w:val="22"/>
                <w:lang w:val="en-AU" w:eastAsia="en-AU"/>
              </w:rPr>
              <w:t xml:space="preserve">Local Adverse Reactions </w:t>
            </w:r>
            <w:r w:rsidRPr="00315B4D">
              <w:rPr>
                <w:rFonts w:asciiTheme="minorHAnsi" w:hAnsiTheme="minorHAnsi" w:cstheme="minorHAnsi"/>
                <w:b/>
                <w:sz w:val="22"/>
                <w:szCs w:val="22"/>
                <w:vertAlign w:val="superscript"/>
                <w:lang w:val="en-AU"/>
              </w:rPr>
              <w:t>c</w:t>
            </w:r>
          </w:p>
        </w:tc>
      </w:tr>
      <w:tr w:rsidR="005854DD" w:rsidRPr="00315B4D" w14:paraId="63C4B3A3" w14:textId="77777777" w:rsidTr="00D60C8B">
        <w:tc>
          <w:tcPr>
            <w:tcW w:w="1985" w:type="dxa"/>
            <w:shd w:val="clear" w:color="auto" w:fill="FFFFFF" w:themeFill="background1"/>
          </w:tcPr>
          <w:p w14:paraId="21078D6C" w14:textId="77777777" w:rsidR="005854DD" w:rsidRPr="00315B4D" w:rsidRDefault="005854DD" w:rsidP="00D60C8B">
            <w:pPr>
              <w:keepNext/>
              <w:spacing w:before="40" w:after="40"/>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Pain</w:t>
            </w:r>
          </w:p>
        </w:tc>
        <w:tc>
          <w:tcPr>
            <w:tcW w:w="939" w:type="dxa"/>
            <w:shd w:val="clear" w:color="auto" w:fill="FFFFFF" w:themeFill="background1"/>
          </w:tcPr>
          <w:p w14:paraId="39C91A83"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color w:val="000000"/>
                <w:sz w:val="22"/>
                <w:szCs w:val="22"/>
                <w:lang w:val="en-AU"/>
              </w:rPr>
              <w:t>51.3</w:t>
            </w:r>
          </w:p>
        </w:tc>
        <w:tc>
          <w:tcPr>
            <w:tcW w:w="939" w:type="dxa"/>
            <w:shd w:val="clear" w:color="auto" w:fill="FFFFFF" w:themeFill="background1"/>
          </w:tcPr>
          <w:p w14:paraId="730AE8DB"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0.8</w:t>
            </w:r>
          </w:p>
        </w:tc>
        <w:tc>
          <w:tcPr>
            <w:tcW w:w="939" w:type="dxa"/>
            <w:shd w:val="clear" w:color="auto" w:fill="FFFFFF" w:themeFill="background1"/>
          </w:tcPr>
          <w:p w14:paraId="04940E87"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color w:val="000000"/>
                <w:sz w:val="22"/>
                <w:szCs w:val="22"/>
                <w:lang w:val="en-AU"/>
              </w:rPr>
              <w:t>49.6</w:t>
            </w:r>
          </w:p>
        </w:tc>
        <w:tc>
          <w:tcPr>
            <w:tcW w:w="939" w:type="dxa"/>
            <w:shd w:val="clear" w:color="auto" w:fill="FFFFFF" w:themeFill="background1"/>
          </w:tcPr>
          <w:p w14:paraId="3EFDF2FC"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0.7</w:t>
            </w:r>
          </w:p>
        </w:tc>
        <w:tc>
          <w:tcPr>
            <w:tcW w:w="939" w:type="dxa"/>
            <w:shd w:val="clear" w:color="auto" w:fill="FFFFFF" w:themeFill="background1"/>
          </w:tcPr>
          <w:p w14:paraId="2F5F9240"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color w:val="000000"/>
                <w:sz w:val="22"/>
                <w:szCs w:val="22"/>
                <w:lang w:val="en-AU"/>
              </w:rPr>
              <w:t>51.5</w:t>
            </w:r>
          </w:p>
        </w:tc>
        <w:tc>
          <w:tcPr>
            <w:tcW w:w="939" w:type="dxa"/>
            <w:shd w:val="clear" w:color="auto" w:fill="FFFFFF" w:themeFill="background1"/>
          </w:tcPr>
          <w:p w14:paraId="007A7FE3"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0.3</w:t>
            </w:r>
          </w:p>
        </w:tc>
        <w:tc>
          <w:tcPr>
            <w:tcW w:w="939" w:type="dxa"/>
            <w:shd w:val="clear" w:color="auto" w:fill="FFFFFF" w:themeFill="background1"/>
          </w:tcPr>
          <w:p w14:paraId="7688EABF"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color w:val="000000"/>
                <w:sz w:val="22"/>
                <w:szCs w:val="22"/>
                <w:lang w:val="en-AU"/>
              </w:rPr>
              <w:t>45.2</w:t>
            </w:r>
          </w:p>
        </w:tc>
        <w:tc>
          <w:tcPr>
            <w:tcW w:w="940" w:type="dxa"/>
            <w:shd w:val="clear" w:color="auto" w:fill="FFFFFF" w:themeFill="background1"/>
          </w:tcPr>
          <w:p w14:paraId="7DA2A5EF"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0.4</w:t>
            </w:r>
          </w:p>
        </w:tc>
      </w:tr>
      <w:tr w:rsidR="005854DD" w:rsidRPr="00315B4D" w14:paraId="7F049001" w14:textId="77777777" w:rsidTr="00D60C8B">
        <w:tc>
          <w:tcPr>
            <w:tcW w:w="1985" w:type="dxa"/>
            <w:shd w:val="clear" w:color="auto" w:fill="FFFFFF" w:themeFill="background1"/>
          </w:tcPr>
          <w:p w14:paraId="0C2C7120" w14:textId="77777777" w:rsidR="005854DD" w:rsidRPr="00315B4D" w:rsidRDefault="005854DD" w:rsidP="00D60C8B">
            <w:pPr>
              <w:keepNext/>
              <w:spacing w:before="40" w:after="40"/>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Redness</w:t>
            </w:r>
          </w:p>
        </w:tc>
        <w:tc>
          <w:tcPr>
            <w:tcW w:w="939" w:type="dxa"/>
            <w:shd w:val="clear" w:color="auto" w:fill="FFFFFF" w:themeFill="background1"/>
          </w:tcPr>
          <w:p w14:paraId="1FFC843C"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19.4</w:t>
            </w:r>
          </w:p>
        </w:tc>
        <w:tc>
          <w:tcPr>
            <w:tcW w:w="939" w:type="dxa"/>
            <w:shd w:val="clear" w:color="auto" w:fill="FFFFFF" w:themeFill="background1"/>
          </w:tcPr>
          <w:p w14:paraId="3569C0B3"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3.5</w:t>
            </w:r>
          </w:p>
        </w:tc>
        <w:tc>
          <w:tcPr>
            <w:tcW w:w="939" w:type="dxa"/>
            <w:shd w:val="clear" w:color="auto" w:fill="FFFFFF" w:themeFill="background1"/>
          </w:tcPr>
          <w:p w14:paraId="351250C5"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18.6</w:t>
            </w:r>
          </w:p>
        </w:tc>
        <w:tc>
          <w:tcPr>
            <w:tcW w:w="939" w:type="dxa"/>
            <w:shd w:val="clear" w:color="auto" w:fill="FFFFFF" w:themeFill="background1"/>
          </w:tcPr>
          <w:p w14:paraId="1AB162D2"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1.8</w:t>
            </w:r>
          </w:p>
        </w:tc>
        <w:tc>
          <w:tcPr>
            <w:tcW w:w="939" w:type="dxa"/>
            <w:shd w:val="clear" w:color="auto" w:fill="FFFFFF" w:themeFill="background1"/>
          </w:tcPr>
          <w:p w14:paraId="2228D02F"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14.8</w:t>
            </w:r>
          </w:p>
        </w:tc>
        <w:tc>
          <w:tcPr>
            <w:tcW w:w="939" w:type="dxa"/>
            <w:shd w:val="clear" w:color="auto" w:fill="FFFFFF" w:themeFill="background1"/>
          </w:tcPr>
          <w:p w14:paraId="12C74FE7"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1.9</w:t>
            </w:r>
          </w:p>
        </w:tc>
        <w:tc>
          <w:tcPr>
            <w:tcW w:w="939" w:type="dxa"/>
            <w:shd w:val="clear" w:color="auto" w:fill="FFFFFF" w:themeFill="background1"/>
          </w:tcPr>
          <w:p w14:paraId="03510692"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16.1</w:t>
            </w:r>
          </w:p>
        </w:tc>
        <w:tc>
          <w:tcPr>
            <w:tcW w:w="940" w:type="dxa"/>
            <w:shd w:val="clear" w:color="auto" w:fill="FFFFFF" w:themeFill="background1"/>
          </w:tcPr>
          <w:p w14:paraId="5675C49D"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1.9</w:t>
            </w:r>
          </w:p>
        </w:tc>
      </w:tr>
      <w:tr w:rsidR="005854DD" w:rsidRPr="00315B4D" w14:paraId="1E538A78" w14:textId="77777777" w:rsidTr="00D60C8B">
        <w:tc>
          <w:tcPr>
            <w:tcW w:w="1985" w:type="dxa"/>
            <w:shd w:val="clear" w:color="auto" w:fill="FFFFFF" w:themeFill="background1"/>
          </w:tcPr>
          <w:p w14:paraId="6D156674" w14:textId="77777777" w:rsidR="005854DD" w:rsidRPr="00315B4D" w:rsidRDefault="005854DD" w:rsidP="00D60C8B">
            <w:pPr>
              <w:keepNext/>
              <w:spacing w:before="40" w:after="40"/>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Swelling/Lump</w:t>
            </w:r>
          </w:p>
        </w:tc>
        <w:tc>
          <w:tcPr>
            <w:tcW w:w="939" w:type="dxa"/>
            <w:shd w:val="clear" w:color="auto" w:fill="FFFFFF" w:themeFill="background1"/>
          </w:tcPr>
          <w:p w14:paraId="69086627"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color w:val="000000"/>
                <w:sz w:val="22"/>
                <w:szCs w:val="22"/>
                <w:lang w:val="en-AU"/>
              </w:rPr>
              <w:t>15.3</w:t>
            </w:r>
          </w:p>
        </w:tc>
        <w:tc>
          <w:tcPr>
            <w:tcW w:w="939" w:type="dxa"/>
            <w:shd w:val="clear" w:color="auto" w:fill="FFFFFF" w:themeFill="background1"/>
          </w:tcPr>
          <w:p w14:paraId="0243C34F"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3.4</w:t>
            </w:r>
          </w:p>
        </w:tc>
        <w:tc>
          <w:tcPr>
            <w:tcW w:w="939" w:type="dxa"/>
            <w:shd w:val="clear" w:color="auto" w:fill="FFFFFF" w:themeFill="background1"/>
          </w:tcPr>
          <w:p w14:paraId="7CA858B4"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color w:val="000000"/>
                <w:sz w:val="22"/>
                <w:szCs w:val="22"/>
                <w:lang w:val="en-AU"/>
              </w:rPr>
              <w:t>12.4</w:t>
            </w:r>
          </w:p>
        </w:tc>
        <w:tc>
          <w:tcPr>
            <w:tcW w:w="939" w:type="dxa"/>
            <w:shd w:val="clear" w:color="auto" w:fill="FFFFFF" w:themeFill="background1"/>
          </w:tcPr>
          <w:p w14:paraId="615FFBA2"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2.2</w:t>
            </w:r>
          </w:p>
        </w:tc>
        <w:tc>
          <w:tcPr>
            <w:tcW w:w="939" w:type="dxa"/>
            <w:shd w:val="clear" w:color="auto" w:fill="FFFFFF" w:themeFill="background1"/>
          </w:tcPr>
          <w:p w14:paraId="3A456B91"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color w:val="000000"/>
                <w:sz w:val="22"/>
                <w:szCs w:val="22"/>
                <w:lang w:val="en-AU"/>
              </w:rPr>
              <w:t>12.2</w:t>
            </w:r>
          </w:p>
        </w:tc>
        <w:tc>
          <w:tcPr>
            <w:tcW w:w="939" w:type="dxa"/>
            <w:shd w:val="clear" w:color="auto" w:fill="FFFFFF" w:themeFill="background1"/>
          </w:tcPr>
          <w:p w14:paraId="143C5ADE"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2.0</w:t>
            </w:r>
          </w:p>
        </w:tc>
        <w:tc>
          <w:tcPr>
            <w:tcW w:w="939" w:type="dxa"/>
            <w:shd w:val="clear" w:color="auto" w:fill="FFFFFF" w:themeFill="background1"/>
          </w:tcPr>
          <w:p w14:paraId="6A76AB2C"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color w:val="000000"/>
                <w:sz w:val="22"/>
                <w:szCs w:val="22"/>
                <w:lang w:val="en-AU"/>
              </w:rPr>
              <w:t>10.7</w:t>
            </w:r>
          </w:p>
        </w:tc>
        <w:tc>
          <w:tcPr>
            <w:tcW w:w="940" w:type="dxa"/>
            <w:shd w:val="clear" w:color="auto" w:fill="FFFFFF" w:themeFill="background1"/>
          </w:tcPr>
          <w:p w14:paraId="65919D7C"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1.9</w:t>
            </w:r>
          </w:p>
        </w:tc>
      </w:tr>
      <w:tr w:rsidR="005854DD" w:rsidRPr="00315B4D" w14:paraId="7A73D9FC" w14:textId="77777777" w:rsidTr="00D60C8B">
        <w:tc>
          <w:tcPr>
            <w:tcW w:w="9498" w:type="dxa"/>
            <w:gridSpan w:val="9"/>
            <w:shd w:val="clear" w:color="auto" w:fill="FFFFFF" w:themeFill="background1"/>
          </w:tcPr>
          <w:p w14:paraId="05F3F111" w14:textId="77777777" w:rsidR="005854DD" w:rsidRPr="00315B4D" w:rsidRDefault="005854DD" w:rsidP="00D60C8B">
            <w:pPr>
              <w:keepNext/>
              <w:spacing w:before="40" w:after="40"/>
              <w:rPr>
                <w:rFonts w:asciiTheme="minorHAnsi" w:hAnsiTheme="minorHAnsi" w:cstheme="minorHAnsi"/>
                <w:b/>
                <w:sz w:val="22"/>
                <w:szCs w:val="22"/>
                <w:lang w:val="en-AU" w:eastAsia="en-AU"/>
              </w:rPr>
            </w:pPr>
            <w:r w:rsidRPr="00315B4D">
              <w:rPr>
                <w:rFonts w:asciiTheme="minorHAnsi" w:hAnsiTheme="minorHAnsi" w:cstheme="minorHAnsi"/>
                <w:b/>
                <w:sz w:val="22"/>
                <w:szCs w:val="22"/>
                <w:lang w:val="en-AU" w:eastAsia="en-AU"/>
              </w:rPr>
              <w:t xml:space="preserve">Systemic Adverse Events </w:t>
            </w:r>
            <w:r w:rsidRPr="00315B4D">
              <w:rPr>
                <w:rFonts w:asciiTheme="minorHAnsi" w:hAnsiTheme="minorHAnsi" w:cstheme="minorHAnsi"/>
                <w:b/>
                <w:sz w:val="22"/>
                <w:szCs w:val="22"/>
                <w:vertAlign w:val="superscript"/>
                <w:lang w:val="en-AU"/>
              </w:rPr>
              <w:t>d</w:t>
            </w:r>
          </w:p>
        </w:tc>
      </w:tr>
      <w:tr w:rsidR="005854DD" w:rsidRPr="00315B4D" w14:paraId="6FA6E668" w14:textId="77777777" w:rsidTr="00D60C8B">
        <w:tc>
          <w:tcPr>
            <w:tcW w:w="1985" w:type="dxa"/>
            <w:shd w:val="clear" w:color="auto" w:fill="FFFFFF" w:themeFill="background1"/>
          </w:tcPr>
          <w:p w14:paraId="497E9D52" w14:textId="77777777" w:rsidR="005854DD" w:rsidRPr="00315B4D" w:rsidRDefault="005854DD" w:rsidP="00D60C8B">
            <w:pPr>
              <w:keepNext/>
              <w:spacing w:before="40" w:after="40"/>
              <w:rPr>
                <w:rFonts w:asciiTheme="minorHAnsi" w:hAnsiTheme="minorHAnsi" w:cstheme="minorHAnsi"/>
                <w:sz w:val="22"/>
                <w:szCs w:val="22"/>
                <w:lang w:val="en-AU"/>
              </w:rPr>
            </w:pPr>
            <w:r w:rsidRPr="00315B4D">
              <w:rPr>
                <w:rFonts w:asciiTheme="minorHAnsi" w:hAnsiTheme="minorHAnsi" w:cstheme="minorHAnsi"/>
                <w:sz w:val="22"/>
                <w:szCs w:val="22"/>
                <w:lang w:val="en-AU"/>
              </w:rPr>
              <w:t>Headache</w:t>
            </w:r>
          </w:p>
        </w:tc>
        <w:tc>
          <w:tcPr>
            <w:tcW w:w="939" w:type="dxa"/>
            <w:shd w:val="clear" w:color="auto" w:fill="FFFFFF" w:themeFill="background1"/>
          </w:tcPr>
          <w:p w14:paraId="19662789"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12.3</w:t>
            </w:r>
          </w:p>
        </w:tc>
        <w:tc>
          <w:tcPr>
            <w:tcW w:w="939" w:type="dxa"/>
            <w:shd w:val="clear" w:color="auto" w:fill="FFFFFF" w:themeFill="background1"/>
          </w:tcPr>
          <w:p w14:paraId="7F0776F3"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0.1</w:t>
            </w:r>
          </w:p>
        </w:tc>
        <w:tc>
          <w:tcPr>
            <w:tcW w:w="939" w:type="dxa"/>
            <w:shd w:val="clear" w:color="auto" w:fill="FFFFFF" w:themeFill="background1"/>
          </w:tcPr>
          <w:p w14:paraId="5C6B53B8"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10.6</w:t>
            </w:r>
          </w:p>
        </w:tc>
        <w:tc>
          <w:tcPr>
            <w:tcW w:w="939" w:type="dxa"/>
            <w:shd w:val="clear" w:color="auto" w:fill="FFFFFF" w:themeFill="background1"/>
          </w:tcPr>
          <w:p w14:paraId="1C779509"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0.4</w:t>
            </w:r>
          </w:p>
        </w:tc>
        <w:tc>
          <w:tcPr>
            <w:tcW w:w="939" w:type="dxa"/>
            <w:shd w:val="clear" w:color="auto" w:fill="FFFFFF" w:themeFill="background1"/>
          </w:tcPr>
          <w:p w14:paraId="329D2FEB"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18.8</w:t>
            </w:r>
          </w:p>
        </w:tc>
        <w:tc>
          <w:tcPr>
            <w:tcW w:w="939" w:type="dxa"/>
            <w:shd w:val="clear" w:color="auto" w:fill="FFFFFF" w:themeFill="background1"/>
          </w:tcPr>
          <w:p w14:paraId="5344264F"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0.4</w:t>
            </w:r>
          </w:p>
        </w:tc>
        <w:tc>
          <w:tcPr>
            <w:tcW w:w="939" w:type="dxa"/>
            <w:shd w:val="clear" w:color="auto" w:fill="FFFFFF" w:themeFill="background1"/>
          </w:tcPr>
          <w:p w14:paraId="787E79AA"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14.6</w:t>
            </w:r>
          </w:p>
        </w:tc>
        <w:tc>
          <w:tcPr>
            <w:tcW w:w="940" w:type="dxa"/>
            <w:shd w:val="clear" w:color="auto" w:fill="FFFFFF" w:themeFill="background1"/>
          </w:tcPr>
          <w:p w14:paraId="270E6E36"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0.4</w:t>
            </w:r>
          </w:p>
        </w:tc>
      </w:tr>
      <w:tr w:rsidR="005854DD" w:rsidRPr="00315B4D" w14:paraId="4B98075D" w14:textId="77777777" w:rsidTr="00D60C8B">
        <w:tc>
          <w:tcPr>
            <w:tcW w:w="1985" w:type="dxa"/>
            <w:shd w:val="clear" w:color="auto" w:fill="FFFFFF" w:themeFill="background1"/>
          </w:tcPr>
          <w:p w14:paraId="70E206FC" w14:textId="77777777" w:rsidR="005854DD" w:rsidRPr="00315B4D" w:rsidRDefault="005854DD" w:rsidP="00D60C8B">
            <w:pPr>
              <w:keepNext/>
              <w:spacing w:before="40" w:after="40"/>
              <w:rPr>
                <w:rFonts w:asciiTheme="minorHAnsi" w:hAnsiTheme="minorHAnsi" w:cstheme="minorHAnsi"/>
                <w:sz w:val="22"/>
                <w:szCs w:val="22"/>
                <w:lang w:val="en-AU"/>
              </w:rPr>
            </w:pPr>
            <w:r w:rsidRPr="00315B4D">
              <w:rPr>
                <w:rFonts w:asciiTheme="minorHAnsi" w:hAnsiTheme="minorHAnsi" w:cstheme="minorHAnsi"/>
                <w:sz w:val="22"/>
                <w:szCs w:val="22"/>
                <w:lang w:val="en-AU"/>
              </w:rPr>
              <w:t>Myalgia</w:t>
            </w:r>
          </w:p>
        </w:tc>
        <w:tc>
          <w:tcPr>
            <w:tcW w:w="939" w:type="dxa"/>
            <w:shd w:val="clear" w:color="auto" w:fill="FFFFFF" w:themeFill="background1"/>
          </w:tcPr>
          <w:p w14:paraId="2A32DE45"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9.8</w:t>
            </w:r>
          </w:p>
        </w:tc>
        <w:tc>
          <w:tcPr>
            <w:tcW w:w="939" w:type="dxa"/>
            <w:shd w:val="clear" w:color="auto" w:fill="FFFFFF" w:themeFill="background1"/>
          </w:tcPr>
          <w:p w14:paraId="7C85C61E"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0.1</w:t>
            </w:r>
          </w:p>
        </w:tc>
        <w:tc>
          <w:tcPr>
            <w:tcW w:w="939" w:type="dxa"/>
            <w:shd w:val="clear" w:color="auto" w:fill="FFFFFF" w:themeFill="background1"/>
          </w:tcPr>
          <w:p w14:paraId="330E70EC"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color w:val="000000"/>
                <w:sz w:val="22"/>
                <w:szCs w:val="22"/>
                <w:lang w:val="en-AU"/>
              </w:rPr>
              <w:t>11.3</w:t>
            </w:r>
          </w:p>
        </w:tc>
        <w:tc>
          <w:tcPr>
            <w:tcW w:w="939" w:type="dxa"/>
            <w:shd w:val="clear" w:color="auto" w:fill="FFFFFF" w:themeFill="background1"/>
          </w:tcPr>
          <w:p w14:paraId="4C0EE9AC"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0.4</w:t>
            </w:r>
          </w:p>
        </w:tc>
        <w:tc>
          <w:tcPr>
            <w:tcW w:w="939" w:type="dxa"/>
            <w:shd w:val="clear" w:color="auto" w:fill="FFFFFF" w:themeFill="background1"/>
          </w:tcPr>
          <w:p w14:paraId="73274073"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16.7</w:t>
            </w:r>
          </w:p>
        </w:tc>
        <w:tc>
          <w:tcPr>
            <w:tcW w:w="939" w:type="dxa"/>
            <w:shd w:val="clear" w:color="auto" w:fill="FFFFFF" w:themeFill="background1"/>
          </w:tcPr>
          <w:p w14:paraId="43E07B3B"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0.3</w:t>
            </w:r>
          </w:p>
        </w:tc>
        <w:tc>
          <w:tcPr>
            <w:tcW w:w="939" w:type="dxa"/>
            <w:shd w:val="clear" w:color="auto" w:fill="FFFFFF" w:themeFill="background1"/>
          </w:tcPr>
          <w:p w14:paraId="15E45F3A"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11.1</w:t>
            </w:r>
          </w:p>
        </w:tc>
        <w:tc>
          <w:tcPr>
            <w:tcW w:w="940" w:type="dxa"/>
            <w:shd w:val="clear" w:color="auto" w:fill="FFFFFF" w:themeFill="background1"/>
          </w:tcPr>
          <w:p w14:paraId="7525F0E9"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0.4</w:t>
            </w:r>
          </w:p>
        </w:tc>
      </w:tr>
      <w:tr w:rsidR="005854DD" w:rsidRPr="00315B4D" w14:paraId="29B08717" w14:textId="77777777" w:rsidTr="00D60C8B">
        <w:tc>
          <w:tcPr>
            <w:tcW w:w="1985" w:type="dxa"/>
            <w:shd w:val="clear" w:color="auto" w:fill="FFFFFF" w:themeFill="background1"/>
          </w:tcPr>
          <w:p w14:paraId="225F6A35" w14:textId="77777777" w:rsidR="005854DD" w:rsidRPr="00315B4D" w:rsidRDefault="005854DD" w:rsidP="00D60C8B">
            <w:pPr>
              <w:keepNext/>
              <w:spacing w:before="40" w:after="40"/>
              <w:rPr>
                <w:rFonts w:asciiTheme="minorHAnsi" w:hAnsiTheme="minorHAnsi" w:cstheme="minorHAnsi"/>
                <w:sz w:val="22"/>
                <w:szCs w:val="22"/>
                <w:lang w:val="en-AU"/>
              </w:rPr>
            </w:pPr>
            <w:r w:rsidRPr="00315B4D">
              <w:rPr>
                <w:rFonts w:asciiTheme="minorHAnsi" w:hAnsiTheme="minorHAnsi" w:cstheme="minorHAnsi"/>
                <w:sz w:val="22"/>
                <w:szCs w:val="22"/>
                <w:lang w:val="en-AU"/>
              </w:rPr>
              <w:t>Malaise and Fatigue</w:t>
            </w:r>
          </w:p>
        </w:tc>
        <w:tc>
          <w:tcPr>
            <w:tcW w:w="939" w:type="dxa"/>
            <w:shd w:val="clear" w:color="auto" w:fill="FFFFFF" w:themeFill="background1"/>
          </w:tcPr>
          <w:p w14:paraId="417A2A8D"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8.8</w:t>
            </w:r>
          </w:p>
        </w:tc>
        <w:tc>
          <w:tcPr>
            <w:tcW w:w="939" w:type="dxa"/>
            <w:shd w:val="clear" w:color="auto" w:fill="FFFFFF" w:themeFill="background1"/>
          </w:tcPr>
          <w:p w14:paraId="06BF3F03"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0.4</w:t>
            </w:r>
          </w:p>
        </w:tc>
        <w:tc>
          <w:tcPr>
            <w:tcW w:w="939" w:type="dxa"/>
            <w:shd w:val="clear" w:color="auto" w:fill="FFFFFF" w:themeFill="background1"/>
          </w:tcPr>
          <w:p w14:paraId="71E11D1F"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color w:val="000000"/>
                <w:sz w:val="22"/>
                <w:szCs w:val="22"/>
                <w:lang w:val="en-AU"/>
              </w:rPr>
              <w:t>5.8</w:t>
            </w:r>
          </w:p>
        </w:tc>
        <w:tc>
          <w:tcPr>
            <w:tcW w:w="939" w:type="dxa"/>
            <w:shd w:val="clear" w:color="auto" w:fill="FFFFFF" w:themeFill="background1"/>
          </w:tcPr>
          <w:p w14:paraId="64270F97"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0</w:t>
            </w:r>
          </w:p>
        </w:tc>
        <w:tc>
          <w:tcPr>
            <w:tcW w:w="939" w:type="dxa"/>
            <w:shd w:val="clear" w:color="auto" w:fill="FFFFFF" w:themeFill="background1"/>
          </w:tcPr>
          <w:p w14:paraId="498E1242"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10.0</w:t>
            </w:r>
          </w:p>
        </w:tc>
        <w:tc>
          <w:tcPr>
            <w:tcW w:w="939" w:type="dxa"/>
            <w:shd w:val="clear" w:color="auto" w:fill="FFFFFF" w:themeFill="background1"/>
          </w:tcPr>
          <w:p w14:paraId="6A5F5839"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0.4</w:t>
            </w:r>
          </w:p>
        </w:tc>
        <w:tc>
          <w:tcPr>
            <w:tcW w:w="939" w:type="dxa"/>
            <w:shd w:val="clear" w:color="auto" w:fill="FFFFFF" w:themeFill="background1"/>
          </w:tcPr>
          <w:p w14:paraId="66C87246"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7.7</w:t>
            </w:r>
          </w:p>
        </w:tc>
        <w:tc>
          <w:tcPr>
            <w:tcW w:w="940" w:type="dxa"/>
            <w:shd w:val="clear" w:color="auto" w:fill="FFFFFF" w:themeFill="background1"/>
          </w:tcPr>
          <w:p w14:paraId="32D4D307"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0</w:t>
            </w:r>
          </w:p>
        </w:tc>
      </w:tr>
      <w:tr w:rsidR="005854DD" w:rsidRPr="00315B4D" w14:paraId="7AA7C683" w14:textId="77777777" w:rsidTr="00D60C8B">
        <w:tc>
          <w:tcPr>
            <w:tcW w:w="1985" w:type="dxa"/>
            <w:shd w:val="clear" w:color="auto" w:fill="FFFFFF" w:themeFill="background1"/>
          </w:tcPr>
          <w:p w14:paraId="743B4522" w14:textId="77777777" w:rsidR="005854DD" w:rsidRPr="00315B4D" w:rsidRDefault="005854DD" w:rsidP="00D60C8B">
            <w:pPr>
              <w:keepNext/>
              <w:spacing w:before="40" w:after="40"/>
              <w:rPr>
                <w:rFonts w:asciiTheme="minorHAnsi" w:hAnsiTheme="minorHAnsi" w:cstheme="minorHAnsi"/>
                <w:sz w:val="22"/>
                <w:szCs w:val="22"/>
                <w:lang w:val="en-AU"/>
              </w:rPr>
            </w:pPr>
            <w:r w:rsidRPr="00315B4D">
              <w:rPr>
                <w:rFonts w:asciiTheme="minorHAnsi" w:hAnsiTheme="minorHAnsi" w:cstheme="minorHAnsi"/>
                <w:sz w:val="22"/>
                <w:szCs w:val="22"/>
                <w:lang w:val="en-AU"/>
              </w:rPr>
              <w:t>Nausea</w:t>
            </w:r>
          </w:p>
        </w:tc>
        <w:tc>
          <w:tcPr>
            <w:tcW w:w="939" w:type="dxa"/>
            <w:shd w:val="clear" w:color="auto" w:fill="FFFFFF" w:themeFill="background1"/>
          </w:tcPr>
          <w:p w14:paraId="20D82A01"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7.1</w:t>
            </w:r>
          </w:p>
        </w:tc>
        <w:tc>
          <w:tcPr>
            <w:tcW w:w="939" w:type="dxa"/>
            <w:shd w:val="clear" w:color="auto" w:fill="FFFFFF" w:themeFill="background1"/>
          </w:tcPr>
          <w:p w14:paraId="1FD03D8F"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0.1</w:t>
            </w:r>
          </w:p>
        </w:tc>
        <w:tc>
          <w:tcPr>
            <w:tcW w:w="939" w:type="dxa"/>
            <w:shd w:val="clear" w:color="auto" w:fill="FFFFFF" w:themeFill="background1"/>
          </w:tcPr>
          <w:p w14:paraId="12D65E95"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8.4</w:t>
            </w:r>
          </w:p>
        </w:tc>
        <w:tc>
          <w:tcPr>
            <w:tcW w:w="939" w:type="dxa"/>
            <w:shd w:val="clear" w:color="auto" w:fill="FFFFFF" w:themeFill="background1"/>
          </w:tcPr>
          <w:p w14:paraId="44F7467B"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0</w:t>
            </w:r>
          </w:p>
        </w:tc>
        <w:tc>
          <w:tcPr>
            <w:tcW w:w="939" w:type="dxa"/>
            <w:shd w:val="clear" w:color="auto" w:fill="FFFFFF" w:themeFill="background1"/>
          </w:tcPr>
          <w:p w14:paraId="5D57BA0B"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7.7</w:t>
            </w:r>
          </w:p>
        </w:tc>
        <w:tc>
          <w:tcPr>
            <w:tcW w:w="939" w:type="dxa"/>
            <w:shd w:val="clear" w:color="auto" w:fill="FFFFFF" w:themeFill="background1"/>
          </w:tcPr>
          <w:p w14:paraId="09891E47"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0</w:t>
            </w:r>
          </w:p>
        </w:tc>
        <w:tc>
          <w:tcPr>
            <w:tcW w:w="939" w:type="dxa"/>
            <w:shd w:val="clear" w:color="auto" w:fill="FFFFFF" w:themeFill="background1"/>
          </w:tcPr>
          <w:p w14:paraId="6C5B3AF2"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8.0</w:t>
            </w:r>
          </w:p>
        </w:tc>
        <w:tc>
          <w:tcPr>
            <w:tcW w:w="940" w:type="dxa"/>
            <w:shd w:val="clear" w:color="auto" w:fill="FFFFFF" w:themeFill="background1"/>
          </w:tcPr>
          <w:p w14:paraId="02F135C0"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0</w:t>
            </w:r>
          </w:p>
        </w:tc>
      </w:tr>
      <w:tr w:rsidR="005854DD" w:rsidRPr="00315B4D" w14:paraId="638EE81A" w14:textId="77777777" w:rsidTr="00D60C8B">
        <w:tc>
          <w:tcPr>
            <w:tcW w:w="1985" w:type="dxa"/>
            <w:shd w:val="clear" w:color="auto" w:fill="FFFFFF" w:themeFill="background1"/>
          </w:tcPr>
          <w:p w14:paraId="11777F8A" w14:textId="77777777" w:rsidR="005854DD" w:rsidRPr="00315B4D" w:rsidRDefault="005854DD" w:rsidP="00D60C8B">
            <w:pPr>
              <w:keepNext/>
              <w:spacing w:before="40" w:after="40"/>
              <w:rPr>
                <w:rFonts w:asciiTheme="minorHAnsi" w:hAnsiTheme="minorHAnsi" w:cstheme="minorHAnsi"/>
                <w:sz w:val="22"/>
                <w:szCs w:val="22"/>
                <w:lang w:val="en-AU"/>
              </w:rPr>
            </w:pPr>
            <w:r w:rsidRPr="00315B4D">
              <w:rPr>
                <w:rFonts w:asciiTheme="minorHAnsi" w:hAnsiTheme="minorHAnsi" w:cstheme="minorHAnsi"/>
                <w:sz w:val="22"/>
                <w:szCs w:val="22"/>
                <w:lang w:val="en-AU"/>
              </w:rPr>
              <w:t>Diarrhoea</w:t>
            </w:r>
          </w:p>
        </w:tc>
        <w:tc>
          <w:tcPr>
            <w:tcW w:w="939" w:type="dxa"/>
            <w:shd w:val="clear" w:color="auto" w:fill="FFFFFF" w:themeFill="background1"/>
          </w:tcPr>
          <w:p w14:paraId="30648390"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5.2</w:t>
            </w:r>
          </w:p>
        </w:tc>
        <w:tc>
          <w:tcPr>
            <w:tcW w:w="939" w:type="dxa"/>
            <w:shd w:val="clear" w:color="auto" w:fill="FFFFFF" w:themeFill="background1"/>
          </w:tcPr>
          <w:p w14:paraId="1B17E828"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0</w:t>
            </w:r>
          </w:p>
        </w:tc>
        <w:tc>
          <w:tcPr>
            <w:tcW w:w="939" w:type="dxa"/>
            <w:shd w:val="clear" w:color="auto" w:fill="FFFFFF" w:themeFill="background1"/>
          </w:tcPr>
          <w:p w14:paraId="7F320CE3"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3.6</w:t>
            </w:r>
          </w:p>
        </w:tc>
        <w:tc>
          <w:tcPr>
            <w:tcW w:w="939" w:type="dxa"/>
            <w:shd w:val="clear" w:color="auto" w:fill="FFFFFF" w:themeFill="background1"/>
          </w:tcPr>
          <w:p w14:paraId="3E254FCF"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0</w:t>
            </w:r>
          </w:p>
        </w:tc>
        <w:tc>
          <w:tcPr>
            <w:tcW w:w="939" w:type="dxa"/>
            <w:shd w:val="clear" w:color="auto" w:fill="FFFFFF" w:themeFill="background1"/>
          </w:tcPr>
          <w:p w14:paraId="38738F0B"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5.4</w:t>
            </w:r>
          </w:p>
        </w:tc>
        <w:tc>
          <w:tcPr>
            <w:tcW w:w="939" w:type="dxa"/>
            <w:shd w:val="clear" w:color="auto" w:fill="FFFFFF" w:themeFill="background1"/>
          </w:tcPr>
          <w:p w14:paraId="4443607A"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0</w:t>
            </w:r>
          </w:p>
        </w:tc>
        <w:tc>
          <w:tcPr>
            <w:tcW w:w="939" w:type="dxa"/>
            <w:shd w:val="clear" w:color="auto" w:fill="FFFFFF" w:themeFill="background1"/>
          </w:tcPr>
          <w:p w14:paraId="67D90D19"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4.2</w:t>
            </w:r>
          </w:p>
        </w:tc>
        <w:tc>
          <w:tcPr>
            <w:tcW w:w="940" w:type="dxa"/>
            <w:shd w:val="clear" w:color="auto" w:fill="FFFFFF" w:themeFill="background1"/>
          </w:tcPr>
          <w:p w14:paraId="0CD85DB0"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0</w:t>
            </w:r>
          </w:p>
        </w:tc>
      </w:tr>
      <w:tr w:rsidR="005854DD" w:rsidRPr="00315B4D" w14:paraId="0F04A417" w14:textId="77777777" w:rsidTr="00D60C8B">
        <w:tc>
          <w:tcPr>
            <w:tcW w:w="1985" w:type="dxa"/>
            <w:shd w:val="clear" w:color="auto" w:fill="FFFFFF" w:themeFill="background1"/>
          </w:tcPr>
          <w:p w14:paraId="7C6B0C00" w14:textId="77777777" w:rsidR="005854DD" w:rsidRPr="00315B4D" w:rsidRDefault="005854DD" w:rsidP="00D60C8B">
            <w:pPr>
              <w:keepNext/>
              <w:spacing w:before="40" w:after="40"/>
              <w:rPr>
                <w:rFonts w:asciiTheme="minorHAnsi" w:hAnsiTheme="minorHAnsi" w:cstheme="minorHAnsi"/>
                <w:sz w:val="22"/>
                <w:szCs w:val="22"/>
                <w:lang w:val="en-AU"/>
              </w:rPr>
            </w:pPr>
            <w:r w:rsidRPr="00315B4D">
              <w:rPr>
                <w:rFonts w:asciiTheme="minorHAnsi" w:hAnsiTheme="minorHAnsi" w:cstheme="minorHAnsi"/>
                <w:sz w:val="22"/>
                <w:szCs w:val="22"/>
                <w:lang w:val="en-AU"/>
              </w:rPr>
              <w:t>Fever</w:t>
            </w:r>
          </w:p>
        </w:tc>
        <w:tc>
          <w:tcPr>
            <w:tcW w:w="939" w:type="dxa"/>
            <w:shd w:val="clear" w:color="auto" w:fill="FFFFFF" w:themeFill="background1"/>
          </w:tcPr>
          <w:p w14:paraId="31B8650C"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4.5</w:t>
            </w:r>
          </w:p>
        </w:tc>
        <w:tc>
          <w:tcPr>
            <w:tcW w:w="939" w:type="dxa"/>
            <w:shd w:val="clear" w:color="auto" w:fill="FFFFFF" w:themeFill="background1"/>
          </w:tcPr>
          <w:p w14:paraId="0A093961"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1.2</w:t>
            </w:r>
          </w:p>
        </w:tc>
        <w:tc>
          <w:tcPr>
            <w:tcW w:w="939" w:type="dxa"/>
            <w:shd w:val="clear" w:color="auto" w:fill="FFFFFF" w:themeFill="background1"/>
          </w:tcPr>
          <w:p w14:paraId="1EEB04AC"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3.6</w:t>
            </w:r>
          </w:p>
        </w:tc>
        <w:tc>
          <w:tcPr>
            <w:tcW w:w="939" w:type="dxa"/>
            <w:shd w:val="clear" w:color="auto" w:fill="FFFFFF" w:themeFill="background1"/>
          </w:tcPr>
          <w:p w14:paraId="391F0A6F"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0.7</w:t>
            </w:r>
          </w:p>
        </w:tc>
        <w:tc>
          <w:tcPr>
            <w:tcW w:w="939" w:type="dxa"/>
            <w:shd w:val="clear" w:color="auto" w:fill="FFFFFF" w:themeFill="background1"/>
          </w:tcPr>
          <w:p w14:paraId="76E016E4"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2.1</w:t>
            </w:r>
          </w:p>
        </w:tc>
        <w:tc>
          <w:tcPr>
            <w:tcW w:w="939" w:type="dxa"/>
            <w:shd w:val="clear" w:color="auto" w:fill="FFFFFF" w:themeFill="background1"/>
          </w:tcPr>
          <w:p w14:paraId="0DDB2F7A"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0.5</w:t>
            </w:r>
          </w:p>
        </w:tc>
        <w:tc>
          <w:tcPr>
            <w:tcW w:w="939" w:type="dxa"/>
            <w:shd w:val="clear" w:color="auto" w:fill="FFFFFF" w:themeFill="background1"/>
          </w:tcPr>
          <w:p w14:paraId="2CB91E88"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0.8</w:t>
            </w:r>
          </w:p>
        </w:tc>
        <w:tc>
          <w:tcPr>
            <w:tcW w:w="940" w:type="dxa"/>
            <w:shd w:val="clear" w:color="auto" w:fill="FFFFFF" w:themeFill="background1"/>
          </w:tcPr>
          <w:p w14:paraId="54D51E9F"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0</w:t>
            </w:r>
          </w:p>
        </w:tc>
      </w:tr>
      <w:tr w:rsidR="005854DD" w:rsidRPr="00315B4D" w14:paraId="47326039" w14:textId="77777777" w:rsidTr="00D60C8B">
        <w:tc>
          <w:tcPr>
            <w:tcW w:w="1985" w:type="dxa"/>
            <w:shd w:val="clear" w:color="auto" w:fill="FFFFFF" w:themeFill="background1"/>
          </w:tcPr>
          <w:p w14:paraId="4017B02A" w14:textId="77777777" w:rsidR="005854DD" w:rsidRPr="00315B4D" w:rsidRDefault="005854DD" w:rsidP="00D60C8B">
            <w:pPr>
              <w:keepNext/>
              <w:spacing w:before="40" w:after="40"/>
              <w:rPr>
                <w:rFonts w:asciiTheme="minorHAnsi" w:hAnsiTheme="minorHAnsi" w:cstheme="minorHAnsi"/>
                <w:sz w:val="22"/>
                <w:szCs w:val="22"/>
                <w:lang w:val="en-AU"/>
              </w:rPr>
            </w:pPr>
            <w:r w:rsidRPr="00315B4D">
              <w:rPr>
                <w:rFonts w:asciiTheme="minorHAnsi" w:hAnsiTheme="minorHAnsi" w:cstheme="minorHAnsi"/>
                <w:sz w:val="22"/>
                <w:szCs w:val="22"/>
                <w:lang w:val="en-AU"/>
              </w:rPr>
              <w:t>Vomiting</w:t>
            </w:r>
          </w:p>
        </w:tc>
        <w:tc>
          <w:tcPr>
            <w:tcW w:w="939" w:type="dxa"/>
            <w:shd w:val="clear" w:color="auto" w:fill="FFFFFF" w:themeFill="background1"/>
          </w:tcPr>
          <w:p w14:paraId="67CE22BB"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2.4</w:t>
            </w:r>
          </w:p>
        </w:tc>
        <w:tc>
          <w:tcPr>
            <w:tcW w:w="939" w:type="dxa"/>
            <w:shd w:val="clear" w:color="auto" w:fill="FFFFFF" w:themeFill="background1"/>
          </w:tcPr>
          <w:p w14:paraId="6A175A37"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0.2</w:t>
            </w:r>
          </w:p>
        </w:tc>
        <w:tc>
          <w:tcPr>
            <w:tcW w:w="939" w:type="dxa"/>
            <w:shd w:val="clear" w:color="auto" w:fill="FFFFFF" w:themeFill="background1"/>
          </w:tcPr>
          <w:p w14:paraId="1CECDA9B"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4.4</w:t>
            </w:r>
          </w:p>
        </w:tc>
        <w:tc>
          <w:tcPr>
            <w:tcW w:w="939" w:type="dxa"/>
            <w:shd w:val="clear" w:color="auto" w:fill="FFFFFF" w:themeFill="background1"/>
          </w:tcPr>
          <w:p w14:paraId="458B31FE"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0</w:t>
            </w:r>
          </w:p>
        </w:tc>
        <w:tc>
          <w:tcPr>
            <w:tcW w:w="939" w:type="dxa"/>
            <w:shd w:val="clear" w:color="auto" w:fill="FFFFFF" w:themeFill="background1"/>
          </w:tcPr>
          <w:p w14:paraId="0809B445"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rPr>
              <w:t>1.8</w:t>
            </w:r>
          </w:p>
        </w:tc>
        <w:tc>
          <w:tcPr>
            <w:tcW w:w="939" w:type="dxa"/>
            <w:shd w:val="clear" w:color="auto" w:fill="FFFFFF" w:themeFill="background1"/>
          </w:tcPr>
          <w:p w14:paraId="77556A1E"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0</w:t>
            </w:r>
          </w:p>
        </w:tc>
        <w:tc>
          <w:tcPr>
            <w:tcW w:w="939" w:type="dxa"/>
            <w:shd w:val="clear" w:color="auto" w:fill="FFFFFF" w:themeFill="background1"/>
          </w:tcPr>
          <w:p w14:paraId="22D503CD"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color w:val="000000"/>
                <w:sz w:val="22"/>
                <w:szCs w:val="22"/>
                <w:lang w:val="en-AU"/>
              </w:rPr>
              <w:t>2.3</w:t>
            </w:r>
          </w:p>
        </w:tc>
        <w:tc>
          <w:tcPr>
            <w:tcW w:w="940" w:type="dxa"/>
            <w:shd w:val="clear" w:color="auto" w:fill="FFFFFF" w:themeFill="background1"/>
          </w:tcPr>
          <w:p w14:paraId="60FF8F89" w14:textId="77777777" w:rsidR="005854DD" w:rsidRPr="00315B4D" w:rsidRDefault="005854DD" w:rsidP="00D60C8B">
            <w:pPr>
              <w:keepNext/>
              <w:spacing w:before="40" w:after="40"/>
              <w:jc w:val="center"/>
              <w:rPr>
                <w:rFonts w:asciiTheme="minorHAnsi" w:hAnsiTheme="minorHAnsi" w:cstheme="minorHAnsi"/>
                <w:sz w:val="22"/>
                <w:szCs w:val="22"/>
                <w:lang w:val="en-AU" w:eastAsia="en-AU"/>
              </w:rPr>
            </w:pPr>
            <w:r w:rsidRPr="00315B4D">
              <w:rPr>
                <w:rFonts w:asciiTheme="minorHAnsi" w:hAnsiTheme="minorHAnsi" w:cstheme="minorHAnsi"/>
                <w:sz w:val="22"/>
                <w:szCs w:val="22"/>
                <w:lang w:val="en-AU" w:eastAsia="en-AU"/>
              </w:rPr>
              <w:t>0</w:t>
            </w:r>
          </w:p>
        </w:tc>
      </w:tr>
    </w:tbl>
    <w:p w14:paraId="72A2424C" w14:textId="77777777" w:rsidR="005854DD" w:rsidRPr="00A85848" w:rsidRDefault="005854DD" w:rsidP="005854DD">
      <w:pPr>
        <w:autoSpaceDE w:val="0"/>
        <w:autoSpaceDN w:val="0"/>
        <w:adjustRightInd w:val="0"/>
        <w:spacing w:after="40" w:line="240" w:lineRule="auto"/>
        <w:ind w:left="142" w:hanging="142"/>
        <w:rPr>
          <w:rFonts w:eastAsia="Calibri" w:cstheme="minorHAnsi"/>
          <w:sz w:val="16"/>
          <w:szCs w:val="16"/>
        </w:rPr>
      </w:pPr>
      <w:r w:rsidRPr="00A85848">
        <w:rPr>
          <w:rFonts w:eastAsia="Calibri" w:cstheme="minorHAnsi"/>
          <w:sz w:val="16"/>
          <w:szCs w:val="16"/>
        </w:rPr>
        <w:t>Abbreviations: Gr 3, Grade 3; Comparator QIV,</w:t>
      </w:r>
      <w:r w:rsidRPr="00A85848">
        <w:rPr>
          <w:rFonts w:cstheme="minorHAnsi"/>
        </w:rPr>
        <w:t xml:space="preserve"> </w:t>
      </w:r>
      <w:proofErr w:type="spellStart"/>
      <w:r w:rsidRPr="00A85848">
        <w:rPr>
          <w:rFonts w:eastAsia="Calibri" w:cstheme="minorHAnsi"/>
          <w:sz w:val="16"/>
          <w:szCs w:val="16"/>
        </w:rPr>
        <w:t>Fluarix</w:t>
      </w:r>
      <w:proofErr w:type="spellEnd"/>
      <w:r w:rsidRPr="00A85848">
        <w:rPr>
          <w:rFonts w:eastAsia="Calibri" w:cstheme="minorHAnsi"/>
          <w:sz w:val="16"/>
          <w:szCs w:val="16"/>
          <w:vertAlign w:val="superscript"/>
        </w:rPr>
        <w:t>®</w:t>
      </w:r>
      <w:r w:rsidRPr="00A85848">
        <w:rPr>
          <w:rFonts w:eastAsia="Calibri" w:cstheme="minorHAnsi"/>
          <w:sz w:val="16"/>
          <w:szCs w:val="16"/>
        </w:rPr>
        <w:t xml:space="preserve"> </w:t>
      </w:r>
      <w:proofErr w:type="spellStart"/>
      <w:r w:rsidRPr="00A85848">
        <w:rPr>
          <w:rFonts w:eastAsia="Calibri" w:cstheme="minorHAnsi"/>
          <w:sz w:val="16"/>
          <w:szCs w:val="16"/>
        </w:rPr>
        <w:t>Quadrivalent</w:t>
      </w:r>
      <w:proofErr w:type="spellEnd"/>
      <w:r w:rsidRPr="00A85848">
        <w:rPr>
          <w:rFonts w:eastAsia="Calibri" w:cstheme="minorHAnsi"/>
          <w:sz w:val="16"/>
          <w:szCs w:val="16"/>
        </w:rPr>
        <w:t xml:space="preserve"> [GlaxoSmithKline Biologicals])</w:t>
      </w:r>
    </w:p>
    <w:p w14:paraId="55D64469" w14:textId="77777777" w:rsidR="005854DD" w:rsidRPr="00A85848" w:rsidRDefault="005854DD" w:rsidP="005854DD">
      <w:pPr>
        <w:autoSpaceDE w:val="0"/>
        <w:autoSpaceDN w:val="0"/>
        <w:adjustRightInd w:val="0"/>
        <w:spacing w:after="40" w:line="240" w:lineRule="auto"/>
        <w:ind w:left="142" w:hanging="142"/>
        <w:rPr>
          <w:rFonts w:cstheme="minorHAnsi"/>
          <w:sz w:val="16"/>
          <w:szCs w:val="18"/>
        </w:rPr>
      </w:pPr>
      <w:proofErr w:type="gramStart"/>
      <w:r w:rsidRPr="00A85848">
        <w:rPr>
          <w:rFonts w:cstheme="minorHAnsi"/>
          <w:sz w:val="16"/>
          <w:szCs w:val="18"/>
          <w:vertAlign w:val="superscript"/>
        </w:rPr>
        <w:t>a</w:t>
      </w:r>
      <w:proofErr w:type="gramEnd"/>
      <w:r w:rsidRPr="00A85848">
        <w:rPr>
          <w:rFonts w:cstheme="minorHAnsi"/>
          <w:sz w:val="16"/>
          <w:szCs w:val="18"/>
        </w:rPr>
        <w:t xml:space="preserve"> Percent (%) is derived from the number of subjects that reported the event divided by the Solicited Safety Population in each vaccine group and age cohort.</w:t>
      </w:r>
    </w:p>
    <w:p w14:paraId="180B5214" w14:textId="77777777" w:rsidR="005854DD" w:rsidRPr="00A85848" w:rsidRDefault="005854DD" w:rsidP="005854DD">
      <w:pPr>
        <w:autoSpaceDE w:val="0"/>
        <w:autoSpaceDN w:val="0"/>
        <w:adjustRightInd w:val="0"/>
        <w:spacing w:after="40" w:line="240" w:lineRule="auto"/>
        <w:ind w:left="142" w:hanging="142"/>
        <w:rPr>
          <w:rFonts w:cstheme="minorHAnsi"/>
          <w:sz w:val="16"/>
          <w:szCs w:val="18"/>
        </w:rPr>
      </w:pPr>
      <w:proofErr w:type="gramStart"/>
      <w:r w:rsidRPr="00A85848">
        <w:rPr>
          <w:rFonts w:cstheme="minorHAnsi"/>
          <w:sz w:val="16"/>
          <w:szCs w:val="18"/>
          <w:vertAlign w:val="superscript"/>
        </w:rPr>
        <w:t>b</w:t>
      </w:r>
      <w:proofErr w:type="gramEnd"/>
      <w:r w:rsidRPr="00A85848">
        <w:rPr>
          <w:rFonts w:cstheme="minorHAnsi"/>
          <w:sz w:val="16"/>
          <w:szCs w:val="18"/>
        </w:rPr>
        <w:t xml:space="preserve"> N = number of subjects in the Solicited Safety Population (subjects who were vaccinated and provided any solicited safety data) for each study vaccine group. Solicited Safety Population was the same for each event.</w:t>
      </w:r>
    </w:p>
    <w:p w14:paraId="05588C41" w14:textId="77777777" w:rsidR="005854DD" w:rsidRPr="00A85848" w:rsidRDefault="005854DD" w:rsidP="005854DD">
      <w:pPr>
        <w:autoSpaceDE w:val="0"/>
        <w:autoSpaceDN w:val="0"/>
        <w:adjustRightInd w:val="0"/>
        <w:spacing w:after="40" w:line="240" w:lineRule="auto"/>
        <w:ind w:left="142" w:hanging="142"/>
        <w:rPr>
          <w:rFonts w:cstheme="minorHAnsi"/>
          <w:sz w:val="16"/>
          <w:szCs w:val="18"/>
        </w:rPr>
      </w:pPr>
      <w:proofErr w:type="gramStart"/>
      <w:r w:rsidRPr="00A85848">
        <w:rPr>
          <w:rFonts w:cstheme="minorHAnsi"/>
          <w:sz w:val="16"/>
          <w:szCs w:val="18"/>
          <w:vertAlign w:val="superscript"/>
        </w:rPr>
        <w:t>c</w:t>
      </w:r>
      <w:proofErr w:type="gramEnd"/>
      <w:r w:rsidRPr="00A85848">
        <w:rPr>
          <w:rFonts w:cstheme="minorHAnsi"/>
          <w:sz w:val="16"/>
          <w:szCs w:val="18"/>
        </w:rPr>
        <w:t xml:space="preserve"> Local adverse reactions: Grade 3 pain is that which prevents daily activity; Swelling/Lump and redness: any = &gt; 0mm diameter, Grade 3 = &gt; 30mm diameter.</w:t>
      </w:r>
    </w:p>
    <w:p w14:paraId="31095BED" w14:textId="77777777" w:rsidR="005854DD" w:rsidRPr="00A85848" w:rsidRDefault="005854DD" w:rsidP="005854DD">
      <w:pPr>
        <w:autoSpaceDE w:val="0"/>
        <w:autoSpaceDN w:val="0"/>
        <w:adjustRightInd w:val="0"/>
        <w:spacing w:after="40" w:line="240" w:lineRule="auto"/>
        <w:ind w:left="142" w:hanging="142"/>
        <w:rPr>
          <w:rFonts w:cstheme="minorHAnsi"/>
          <w:sz w:val="16"/>
          <w:szCs w:val="18"/>
        </w:rPr>
      </w:pPr>
      <w:proofErr w:type="gramStart"/>
      <w:r w:rsidRPr="00A85848">
        <w:rPr>
          <w:rFonts w:cstheme="minorHAnsi"/>
          <w:sz w:val="16"/>
          <w:szCs w:val="18"/>
          <w:vertAlign w:val="superscript"/>
        </w:rPr>
        <w:t>d</w:t>
      </w:r>
      <w:proofErr w:type="gramEnd"/>
      <w:r w:rsidRPr="00A85848">
        <w:rPr>
          <w:rFonts w:cstheme="minorHAnsi"/>
          <w:sz w:val="16"/>
        </w:rPr>
        <w:t xml:space="preserve"> </w:t>
      </w:r>
      <w:r w:rsidRPr="00A85848">
        <w:rPr>
          <w:rFonts w:cstheme="minorHAnsi"/>
          <w:sz w:val="16"/>
          <w:szCs w:val="18"/>
        </w:rPr>
        <w:t>Systemic adverse events: Fever: any = ≥ 38.0°C, Grade 3 = ≥ 39.0°C; Grade 3 for all other adverse events is that which prevents daily activity.</w:t>
      </w:r>
    </w:p>
    <w:p w14:paraId="4F18636C" w14:textId="77777777" w:rsidR="005854DD" w:rsidRPr="00444B36" w:rsidRDefault="005854DD" w:rsidP="005854DD">
      <w:pPr>
        <w:autoSpaceDE w:val="0"/>
        <w:autoSpaceDN w:val="0"/>
        <w:rPr>
          <w:color w:val="000000"/>
        </w:rPr>
      </w:pPr>
    </w:p>
    <w:p w14:paraId="75AAF548" w14:textId="77777777" w:rsidR="005854DD" w:rsidRPr="00444B36" w:rsidRDefault="005854DD" w:rsidP="005854DD">
      <w:pPr>
        <w:autoSpaceDE w:val="0"/>
        <w:autoSpaceDN w:val="0"/>
        <w:rPr>
          <w:color w:val="000000"/>
        </w:rPr>
      </w:pPr>
      <w:r w:rsidRPr="00444B36">
        <w:rPr>
          <w:color w:val="000000"/>
        </w:rPr>
        <w:t>There were no vaccine-related deaths reported in this paediatric study QIV-02. There was one vaccine-related serious adverse event (influenza) reported in this study.</w:t>
      </w:r>
    </w:p>
    <w:p w14:paraId="3A90BD33" w14:textId="77777777" w:rsidR="005854DD" w:rsidRPr="00444B36" w:rsidRDefault="005854DD" w:rsidP="005854DD">
      <w:pPr>
        <w:autoSpaceDE w:val="0"/>
        <w:autoSpaceDN w:val="0"/>
        <w:rPr>
          <w:color w:val="000000"/>
        </w:rPr>
      </w:pPr>
      <w:r w:rsidRPr="00444B36">
        <w:rPr>
          <w:color w:val="000000"/>
        </w:rPr>
        <w:t>One subject experienced a cellulitis-like reaction (defined as concurrent severe pain, redness and swelling) at the injection site after vaccination with Afluria</w:t>
      </w:r>
      <w:r w:rsidRPr="00444B36">
        <w:rPr>
          <w:rFonts w:cs="Arial"/>
          <w:color w:val="000000"/>
          <w:vertAlign w:val="superscript"/>
        </w:rPr>
        <w:t>®</w:t>
      </w:r>
      <w:r w:rsidRPr="00444B36">
        <w:rPr>
          <w:color w:val="000000"/>
        </w:rPr>
        <w:t xml:space="preserve"> Quad vaccine.</w:t>
      </w:r>
    </w:p>
    <w:p w14:paraId="5DB712AF" w14:textId="1EC19646" w:rsidR="005854DD" w:rsidRPr="0066741F" w:rsidRDefault="005854DD" w:rsidP="005854DD">
      <w:pPr>
        <w:autoSpaceDE w:val="0"/>
        <w:autoSpaceDN w:val="0"/>
        <w:rPr>
          <w:color w:val="000000"/>
        </w:rPr>
      </w:pPr>
      <w:r w:rsidRPr="00444B36">
        <w:rPr>
          <w:color w:val="000000"/>
        </w:rPr>
        <w:lastRenderedPageBreak/>
        <w:t>In children 5 to &lt; 18 years administered Afluria</w:t>
      </w:r>
      <w:r w:rsidRPr="00444B36">
        <w:rPr>
          <w:rFonts w:cs="Arial"/>
          <w:color w:val="000000"/>
          <w:vertAlign w:val="superscript"/>
        </w:rPr>
        <w:t>®</w:t>
      </w:r>
      <w:r w:rsidRPr="00444B36">
        <w:rPr>
          <w:color w:val="000000"/>
        </w:rPr>
        <w:t xml:space="preserve"> Quad vaccine, cough (2.1%) was the most commonly reported unsolicited adverse event</w:t>
      </w:r>
      <w:r w:rsidRPr="0066741F">
        <w:rPr>
          <w:color w:val="000000"/>
        </w:rPr>
        <w:t>. Other commonly reported unsolicited adverse events (reported by ≥ 1% of subjects) were oropharyngeal pain (1.3%), pyrexia (1.3%) and upper respiratory tract infection (1.1%).</w:t>
      </w:r>
    </w:p>
    <w:p w14:paraId="5354B683" w14:textId="77777777" w:rsidR="005854DD" w:rsidRPr="00444B36" w:rsidRDefault="005854DD" w:rsidP="005854DD">
      <w:pPr>
        <w:keepNext/>
        <w:keepLines/>
        <w:autoSpaceDE w:val="0"/>
        <w:autoSpaceDN w:val="0"/>
        <w:rPr>
          <w:color w:val="000000"/>
        </w:rPr>
      </w:pPr>
      <w:r w:rsidRPr="00444B36">
        <w:rPr>
          <w:color w:val="000000"/>
        </w:rPr>
        <w:t>The most commonly reported unsolicited adverse events among subjects who received Afluria</w:t>
      </w:r>
      <w:r w:rsidRPr="00444B36">
        <w:rPr>
          <w:rFonts w:cs="Arial"/>
          <w:color w:val="000000"/>
          <w:vertAlign w:val="superscript"/>
        </w:rPr>
        <w:t>®</w:t>
      </w:r>
      <w:r w:rsidRPr="00444B36">
        <w:rPr>
          <w:color w:val="000000"/>
        </w:rPr>
        <w:t xml:space="preserve"> Quad vaccine in ages 5 to &lt; 9 years following the first or second dose included cough (2.8%), pyrexia (2.1%), headache (1.2%), rhinorrhoea (1.2%), upper respiratory tract infection (1.2%), influenza-like illness (1.0%), and oropharyngeal pain (1.0%).  </w:t>
      </w:r>
    </w:p>
    <w:p w14:paraId="73EAB1DA" w14:textId="77777777" w:rsidR="005854DD" w:rsidRPr="00444B36" w:rsidRDefault="005854DD" w:rsidP="005854DD">
      <w:pPr>
        <w:autoSpaceDE w:val="0"/>
        <w:autoSpaceDN w:val="0"/>
        <w:rPr>
          <w:color w:val="000000"/>
        </w:rPr>
      </w:pPr>
      <w:r w:rsidRPr="00444B36">
        <w:rPr>
          <w:color w:val="000000"/>
        </w:rPr>
        <w:t>For subjects aged 9 to &lt; 18 years who received Afluria</w:t>
      </w:r>
      <w:r w:rsidRPr="00444B36">
        <w:rPr>
          <w:rFonts w:cs="Arial"/>
          <w:color w:val="000000"/>
          <w:vertAlign w:val="superscript"/>
        </w:rPr>
        <w:t>®</w:t>
      </w:r>
      <w:r w:rsidRPr="00444B36">
        <w:rPr>
          <w:color w:val="000000"/>
        </w:rPr>
        <w:t xml:space="preserve"> Quad vaccine, the most common unsolicited adverse events included oropharyngeal pain (1.6%), cough (1.3%), and upper respiratory tract infection (1.0%).</w:t>
      </w:r>
    </w:p>
    <w:p w14:paraId="0DB5F87A" w14:textId="77777777" w:rsidR="001A415F" w:rsidRPr="00B81ECB" w:rsidRDefault="001A415F" w:rsidP="00E37924">
      <w:pPr>
        <w:pStyle w:val="Heading3"/>
        <w:ind w:left="0"/>
      </w:pPr>
      <w:r w:rsidRPr="00B81ECB">
        <w:t>Post-marketing surveillance</w:t>
      </w:r>
    </w:p>
    <w:p w14:paraId="190A129A" w14:textId="03AEBC8C" w:rsidR="001A415F" w:rsidRPr="000859AE" w:rsidRDefault="001A415F" w:rsidP="001A415F">
      <w:r w:rsidRPr="000859AE">
        <w:t xml:space="preserve">There are </w:t>
      </w:r>
      <w:r w:rsidR="00100D2F">
        <w:t>limited</w:t>
      </w:r>
      <w:r w:rsidR="00100D2F" w:rsidRPr="000859AE">
        <w:t xml:space="preserve"> </w:t>
      </w:r>
      <w:r w:rsidRPr="000859AE">
        <w:t xml:space="preserve">post-marketing data available for </w:t>
      </w:r>
      <w:r>
        <w:t>Afluria</w:t>
      </w:r>
      <w:r>
        <w:rPr>
          <w:rFonts w:ascii="Calibri" w:hAnsi="Calibri" w:cs="Calibri"/>
        </w:rPr>
        <w:t>®</w:t>
      </w:r>
      <w:r>
        <w:t xml:space="preserve"> Quad vaccine</w:t>
      </w:r>
      <w:r w:rsidRPr="000859AE">
        <w:t>.</w:t>
      </w:r>
    </w:p>
    <w:p w14:paraId="32784CDA" w14:textId="623EF248" w:rsidR="001A415F" w:rsidRDefault="00100D2F" w:rsidP="003B2D2C">
      <w:r>
        <w:t>T</w:t>
      </w:r>
      <w:r w:rsidR="001A415F" w:rsidRPr="000859AE">
        <w:t xml:space="preserve">he </w:t>
      </w:r>
      <w:r w:rsidR="001A415F">
        <w:t>Afluria</w:t>
      </w:r>
      <w:r w:rsidR="001A415F">
        <w:rPr>
          <w:rFonts w:ascii="Calibri" w:hAnsi="Calibri" w:cs="Calibri"/>
        </w:rPr>
        <w:t>®</w:t>
      </w:r>
      <w:r w:rsidR="001A415F">
        <w:t xml:space="preserve"> Quad vaccine </w:t>
      </w:r>
      <w:r w:rsidR="001A415F" w:rsidRPr="000859AE">
        <w:t xml:space="preserve">formulation is </w:t>
      </w:r>
      <w:r>
        <w:t>based on</w:t>
      </w:r>
      <w:r w:rsidR="001A415F" w:rsidRPr="000859AE">
        <w:t xml:space="preserve"> </w:t>
      </w:r>
      <w:proofErr w:type="spellStart"/>
      <w:r w:rsidR="005854DD" w:rsidRPr="0066741F">
        <w:t>Seqirus</w:t>
      </w:r>
      <w:proofErr w:type="spellEnd"/>
      <w:r w:rsidR="005854DD" w:rsidRPr="0066741F">
        <w:t xml:space="preserve">’ trivalent influenza </w:t>
      </w:r>
      <w:r w:rsidR="0032742E">
        <w:t xml:space="preserve">vaccine </w:t>
      </w:r>
      <w:r w:rsidR="001A415F" w:rsidRPr="000859AE">
        <w:t>(</w:t>
      </w:r>
      <w:proofErr w:type="spellStart"/>
      <w:r w:rsidR="001A415F">
        <w:t>Fluvax</w:t>
      </w:r>
      <w:proofErr w:type="spellEnd"/>
      <w:r w:rsidR="001A415F" w:rsidRPr="00E00A61">
        <w:rPr>
          <w:vertAlign w:val="superscript"/>
        </w:rPr>
        <w:sym w:font="Symbol" w:char="F0D2"/>
      </w:r>
      <w:r w:rsidR="001A415F">
        <w:t xml:space="preserve"> </w:t>
      </w:r>
      <w:r w:rsidR="001A415F" w:rsidRPr="000859AE">
        <w:t>TIV), with the exception of an additional B influenza strain</w:t>
      </w:r>
      <w:r>
        <w:t>.</w:t>
      </w:r>
    </w:p>
    <w:p w14:paraId="4C2915CB" w14:textId="21E30F7B" w:rsidR="005854DD" w:rsidRDefault="005854DD" w:rsidP="003B2D2C">
      <w:r w:rsidRPr="0066741F">
        <w:t>The adverse events spontaneously reported during post</w:t>
      </w:r>
      <w:r w:rsidR="002F7575">
        <w:t xml:space="preserve"> </w:t>
      </w:r>
      <w:r w:rsidRPr="0066741F">
        <w:t xml:space="preserve">approval use of </w:t>
      </w:r>
      <w:proofErr w:type="spellStart"/>
      <w:r w:rsidRPr="00D43076">
        <w:t>Fluvax</w:t>
      </w:r>
      <w:proofErr w:type="spellEnd"/>
      <w:r w:rsidRPr="00444B36">
        <w:rPr>
          <w:vertAlign w:val="superscript"/>
        </w:rPr>
        <w:sym w:font="Symbol" w:char="F0D2"/>
      </w:r>
      <w:r w:rsidRPr="00444B36">
        <w:t xml:space="preserve"> </w:t>
      </w:r>
      <w:r w:rsidRPr="0066741F">
        <w:t>TIV are presented below.</w:t>
      </w:r>
    </w:p>
    <w:p w14:paraId="5F35FB57" w14:textId="77777777" w:rsidR="001A415F" w:rsidRPr="00B81ECB" w:rsidRDefault="001A415F" w:rsidP="001A415F">
      <w:proofErr w:type="gramStart"/>
      <w:r w:rsidRPr="00B81ECB">
        <w:rPr>
          <w:i/>
        </w:rPr>
        <w:t>Blood and Lymphatic System Disorders</w:t>
      </w:r>
      <w:r w:rsidR="0055356A">
        <w:rPr>
          <w:i/>
        </w:rPr>
        <w:br/>
      </w:r>
      <w:proofErr w:type="spellStart"/>
      <w:r w:rsidRPr="00205619">
        <w:t>Thrombocytop</w:t>
      </w:r>
      <w:r w:rsidR="005854DD">
        <w:t>o</w:t>
      </w:r>
      <w:r w:rsidRPr="00205619">
        <w:t>enia</w:t>
      </w:r>
      <w:proofErr w:type="spellEnd"/>
      <w:r w:rsidRPr="00B81ECB">
        <w:t>.</w:t>
      </w:r>
      <w:proofErr w:type="gramEnd"/>
    </w:p>
    <w:p w14:paraId="34F81657" w14:textId="77777777" w:rsidR="001A415F" w:rsidRPr="00B81ECB" w:rsidRDefault="001A415F" w:rsidP="0055356A">
      <w:pPr>
        <w:keepNext/>
      </w:pPr>
      <w:proofErr w:type="gramStart"/>
      <w:r w:rsidRPr="00B81ECB">
        <w:rPr>
          <w:i/>
        </w:rPr>
        <w:t>Immune System Disorders</w:t>
      </w:r>
      <w:r w:rsidR="0055356A">
        <w:rPr>
          <w:i/>
        </w:rPr>
        <w:br/>
      </w:r>
      <w:r w:rsidRPr="00B81ECB">
        <w:t xml:space="preserve">Allergic </w:t>
      </w:r>
      <w:r>
        <w:t xml:space="preserve">or immediate hypersensitivity </w:t>
      </w:r>
      <w:r w:rsidRPr="00B81ECB">
        <w:t>reactions including anaphylactic shock.</w:t>
      </w:r>
      <w:proofErr w:type="gramEnd"/>
    </w:p>
    <w:p w14:paraId="2C7DEA5D" w14:textId="77777777" w:rsidR="001A415F" w:rsidRPr="00A24C88" w:rsidRDefault="001A415F" w:rsidP="001A415F">
      <w:proofErr w:type="gramStart"/>
      <w:r w:rsidRPr="00B81ECB">
        <w:rPr>
          <w:i/>
        </w:rPr>
        <w:t>Nervous System Disorders</w:t>
      </w:r>
      <w:r w:rsidR="0055356A">
        <w:rPr>
          <w:i/>
        </w:rPr>
        <w:br/>
      </w:r>
      <w:r w:rsidRPr="00B81ECB">
        <w:t>Neuralgia, paraesthesia and convulsions</w:t>
      </w:r>
      <w:r w:rsidR="00220C1F">
        <w:t xml:space="preserve"> </w:t>
      </w:r>
      <w:r w:rsidR="005854DD" w:rsidRPr="00444B36">
        <w:t>(including febrile convulsions)</w:t>
      </w:r>
      <w:r w:rsidR="005854DD">
        <w:t xml:space="preserve">, </w:t>
      </w:r>
      <w:r w:rsidRPr="00A24C88">
        <w:t xml:space="preserve">encephalomyelitis, neuritis or neuropathy, and </w:t>
      </w:r>
      <w:proofErr w:type="spellStart"/>
      <w:r w:rsidRPr="00A24C88">
        <w:t>Guillain-Barr</w:t>
      </w:r>
      <w:r w:rsidRPr="00A24C88">
        <w:rPr>
          <w:rFonts w:cs="Arial"/>
        </w:rPr>
        <w:t>é</w:t>
      </w:r>
      <w:proofErr w:type="spellEnd"/>
      <w:r w:rsidRPr="00A24C88">
        <w:t xml:space="preserve"> syndrome.</w:t>
      </w:r>
      <w:proofErr w:type="gramEnd"/>
      <w:r w:rsidRPr="00A24C88">
        <w:t xml:space="preserve"> </w:t>
      </w:r>
    </w:p>
    <w:p w14:paraId="7594B4B1" w14:textId="77777777" w:rsidR="001A415F" w:rsidRPr="00B81ECB" w:rsidRDefault="001A415F" w:rsidP="001A415F">
      <w:proofErr w:type="gramStart"/>
      <w:r w:rsidRPr="00B81ECB">
        <w:rPr>
          <w:i/>
        </w:rPr>
        <w:t>Vascular Disorders</w:t>
      </w:r>
      <w:r w:rsidR="0055356A">
        <w:rPr>
          <w:i/>
        </w:rPr>
        <w:br/>
      </w:r>
      <w:r w:rsidRPr="00B81ECB">
        <w:t xml:space="preserve">Vasculitis </w:t>
      </w:r>
      <w:r>
        <w:t>which may be associated with</w:t>
      </w:r>
      <w:r w:rsidRPr="00B81ECB">
        <w:t xml:space="preserve"> transient renal involvement.</w:t>
      </w:r>
      <w:proofErr w:type="gramEnd"/>
    </w:p>
    <w:p w14:paraId="64E4F25E" w14:textId="77777777" w:rsidR="001A415F" w:rsidRPr="00B81ECB" w:rsidRDefault="001A415F" w:rsidP="001A415F">
      <w:proofErr w:type="gramStart"/>
      <w:r w:rsidRPr="00B81ECB">
        <w:rPr>
          <w:i/>
        </w:rPr>
        <w:t>Skin and Subcutaneous Tissue Disorders</w:t>
      </w:r>
      <w:r w:rsidR="0055356A">
        <w:rPr>
          <w:i/>
        </w:rPr>
        <w:br/>
      </w:r>
      <w:r w:rsidRPr="00B81ECB">
        <w:t xml:space="preserve">Pruritus, </w:t>
      </w:r>
      <w:proofErr w:type="spellStart"/>
      <w:r w:rsidRPr="00B81ECB">
        <w:t>urticaria</w:t>
      </w:r>
      <w:proofErr w:type="spellEnd"/>
      <w:r w:rsidRPr="00B81ECB">
        <w:t xml:space="preserve"> and rash.</w:t>
      </w:r>
      <w:proofErr w:type="gramEnd"/>
    </w:p>
    <w:p w14:paraId="3E32FAF5" w14:textId="77777777" w:rsidR="001A415F" w:rsidRDefault="001A415F" w:rsidP="0055356A">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pPr>
      <w:r>
        <w:rPr>
          <w:i/>
        </w:rPr>
        <w:t>General Disorders and Administration Site Conditions</w:t>
      </w:r>
      <w:r w:rsidR="0055356A">
        <w:rPr>
          <w:i/>
        </w:rPr>
        <w:br/>
      </w:r>
      <w:r w:rsidRPr="008A1461">
        <w:t>Cellulitis</w:t>
      </w:r>
      <w:r>
        <w:t xml:space="preserve"> and </w:t>
      </w:r>
      <w:r w:rsidRPr="008A1461">
        <w:t>large injection site swelling</w:t>
      </w:r>
      <w:r w:rsidR="0055356A">
        <w:br/>
      </w:r>
      <w:r>
        <w:t>Influenza-like illness</w:t>
      </w:r>
      <w:r w:rsidRPr="008A1461">
        <w:t>.</w:t>
      </w:r>
    </w:p>
    <w:p w14:paraId="44D257AE" w14:textId="77777777" w:rsidR="006F2E66" w:rsidRDefault="006F2E66" w:rsidP="006F2E66">
      <w:pPr>
        <w:pStyle w:val="Heading3"/>
        <w:ind w:left="0"/>
      </w:pPr>
      <w:r w:rsidRPr="00111BE5">
        <w:t>Reporting suspected adverse reactions</w:t>
      </w:r>
    </w:p>
    <w:p w14:paraId="547A7D69" w14:textId="77777777" w:rsidR="0055356A" w:rsidRPr="001A415F" w:rsidRDefault="006F2E66" w:rsidP="006F2E66">
      <w: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8" w:history="1">
        <w:r w:rsidRPr="006A6168">
          <w:rPr>
            <w:rStyle w:val="Hyperlink"/>
          </w:rPr>
          <w:t>http://www.tga.gov.au/reporting-problems</w:t>
        </w:r>
      </w:hyperlink>
      <w:r>
        <w:t xml:space="preserve"> </w:t>
      </w:r>
    </w:p>
    <w:p w14:paraId="7A29FEC1" w14:textId="77777777" w:rsidR="001A3992" w:rsidRDefault="001A3992" w:rsidP="001A3992">
      <w:pPr>
        <w:pStyle w:val="Heading2"/>
        <w:keepNext/>
        <w:keepLines/>
        <w:spacing w:before="0" w:after="120"/>
      </w:pPr>
      <w:r>
        <w:lastRenderedPageBreak/>
        <w:t>Overdose</w:t>
      </w:r>
    </w:p>
    <w:p w14:paraId="381F3B9C" w14:textId="77777777" w:rsidR="001A415F" w:rsidRDefault="001A415F" w:rsidP="001A415F">
      <w:r>
        <w:t>There is no specific information on overdose of Influenza Vaccines.</w:t>
      </w:r>
    </w:p>
    <w:p w14:paraId="1A18C238" w14:textId="77777777" w:rsidR="0032742E" w:rsidRPr="00E9334D" w:rsidRDefault="0032742E" w:rsidP="0032742E">
      <w:r>
        <w:t>For information on the management of overdose, contact the Poison Information Centre on 131126 (Australia) or the</w:t>
      </w:r>
      <w:r w:rsidRPr="0032742E">
        <w:t xml:space="preserve"> New Zealand Poisons Centre on 0800 POISON or 0800 764 766</w:t>
      </w:r>
      <w:r>
        <w:t xml:space="preserve"> (New Zealand).</w:t>
      </w:r>
    </w:p>
    <w:p w14:paraId="42DF9BDC" w14:textId="77777777" w:rsidR="001A3992" w:rsidRDefault="001A3992" w:rsidP="001A3992">
      <w:pPr>
        <w:pStyle w:val="Heading1"/>
        <w:spacing w:before="0" w:after="120"/>
        <w:rPr>
          <w:lang w:val="en-US"/>
        </w:rPr>
      </w:pPr>
      <w:r w:rsidRPr="00035C95">
        <w:rPr>
          <w:lang w:val="en-US"/>
        </w:rPr>
        <w:t>Pharmacolog</w:t>
      </w:r>
      <w:r>
        <w:rPr>
          <w:lang w:val="en-US"/>
        </w:rPr>
        <w:t>ical properties</w:t>
      </w:r>
    </w:p>
    <w:p w14:paraId="176B25A2" w14:textId="77777777" w:rsidR="001A3992" w:rsidRPr="00EC3C40" w:rsidRDefault="001A3992" w:rsidP="001A3992">
      <w:pPr>
        <w:pStyle w:val="Heading2"/>
        <w:spacing w:before="0" w:after="120"/>
        <w:rPr>
          <w:lang w:val="en-US"/>
        </w:rPr>
      </w:pPr>
      <w:proofErr w:type="spellStart"/>
      <w:r w:rsidRPr="00EC3C40">
        <w:rPr>
          <w:lang w:val="en-US"/>
        </w:rPr>
        <w:t>Pharmacodynamic</w:t>
      </w:r>
      <w:proofErr w:type="spellEnd"/>
      <w:r w:rsidRPr="00EC3C40">
        <w:rPr>
          <w:lang w:val="en-US"/>
        </w:rPr>
        <w:t xml:space="preserve"> properties </w:t>
      </w:r>
    </w:p>
    <w:p w14:paraId="048F821C" w14:textId="77777777" w:rsidR="001A3992" w:rsidRDefault="001A3992" w:rsidP="00E37924">
      <w:pPr>
        <w:pStyle w:val="Heading3"/>
        <w:spacing w:before="0" w:after="120"/>
        <w:ind w:left="0"/>
      </w:pPr>
      <w:r w:rsidRPr="00B878CC">
        <w:t>Mechanism of action</w:t>
      </w:r>
    </w:p>
    <w:p w14:paraId="107F1FE0" w14:textId="77777777" w:rsidR="000F6F7F" w:rsidRDefault="000F6F7F" w:rsidP="000F6F7F">
      <w:r>
        <w:t xml:space="preserve">Afluria® Quad vaccine has been shown to induce antibodies to the viral surface glycoprotein, </w:t>
      </w:r>
      <w:proofErr w:type="spellStart"/>
      <w:r>
        <w:t>haemagglutinin</w:t>
      </w:r>
      <w:proofErr w:type="spellEnd"/>
      <w:r>
        <w:t>. These antibodies are important in the prevention of natural infection.</w:t>
      </w:r>
    </w:p>
    <w:p w14:paraId="77F69496" w14:textId="548C2BF6" w:rsidR="00AC2578" w:rsidRDefault="005854DD" w:rsidP="00AC2578">
      <w:r w:rsidRPr="00444B36">
        <w:t xml:space="preserve">Specific levels of </w:t>
      </w:r>
      <w:proofErr w:type="spellStart"/>
      <w:r w:rsidRPr="00444B36">
        <w:t>haemagglutination</w:t>
      </w:r>
      <w:proofErr w:type="spellEnd"/>
      <w:r w:rsidRPr="00444B36">
        <w:t xml:space="preserve"> inhibition (HI) antibody titres post-vaccination with inactivated influenza vaccine have not been correlated with protection from influenza virus. In some human studies, antibody titres of 1:40 or greater have been associated with protection from influenza illness in up to 50% of subjects. </w:t>
      </w:r>
      <w:r w:rsidR="00AC2578" w:rsidRPr="00AC2578">
        <w:t xml:space="preserve"> </w:t>
      </w:r>
      <w:proofErr w:type="gramStart"/>
      <w:r w:rsidR="00AC2578">
        <w:t>Antibodies against one influenza virus type or subtype confers</w:t>
      </w:r>
      <w:proofErr w:type="gramEnd"/>
      <w:r w:rsidR="00AC2578">
        <w:t xml:space="preserve"> limited or no protection against another.  Furthermore, antibody to one antigenic variant of influenza virus might not protect against a new antigenic variant of the same type or subtype.  </w:t>
      </w:r>
    </w:p>
    <w:p w14:paraId="49AF31E2" w14:textId="77777777" w:rsidR="000F6F7F" w:rsidRDefault="00AC2578" w:rsidP="00E37924">
      <w:r>
        <w:t>Annual revaccination with the current vaccine is recommended because immunity declines during the year after vaccination and circulating strains of influenza virus change from year to year.</w:t>
      </w:r>
    </w:p>
    <w:p w14:paraId="297B7554" w14:textId="77777777" w:rsidR="001A3992" w:rsidRDefault="001A3992" w:rsidP="00E37924">
      <w:pPr>
        <w:pStyle w:val="Heading3"/>
        <w:spacing w:before="0" w:after="120"/>
        <w:ind w:left="0"/>
        <w:rPr>
          <w:lang w:val="en-US"/>
        </w:rPr>
      </w:pPr>
      <w:r w:rsidRPr="00B878CC">
        <w:t>Clinical</w:t>
      </w:r>
      <w:r w:rsidRPr="00B878CC">
        <w:rPr>
          <w:lang w:val="en-US"/>
        </w:rPr>
        <w:t xml:space="preserve"> trials</w:t>
      </w:r>
    </w:p>
    <w:p w14:paraId="0050F268" w14:textId="77777777" w:rsidR="005854DD" w:rsidRPr="00430387" w:rsidRDefault="005854DD" w:rsidP="00E37924">
      <w:pPr>
        <w:pStyle w:val="Heading4"/>
        <w:rPr>
          <w:lang w:val="en-US"/>
        </w:rPr>
      </w:pPr>
      <w:r w:rsidRPr="00430387">
        <w:rPr>
          <w:lang w:val="en-US"/>
        </w:rPr>
        <w:t>Adult studies</w:t>
      </w:r>
    </w:p>
    <w:p w14:paraId="3C703FEC" w14:textId="77777777" w:rsidR="005854DD" w:rsidRPr="00430387" w:rsidRDefault="005854DD" w:rsidP="005854DD">
      <w:pPr>
        <w:rPr>
          <w:lang w:val="en-US"/>
        </w:rPr>
      </w:pPr>
      <w:r w:rsidRPr="00430387">
        <w:rPr>
          <w:lang w:val="en-US"/>
        </w:rPr>
        <w:t>One clinical study has been completed with Afluria® Quad vaccine in adults 18 years and older.</w:t>
      </w:r>
    </w:p>
    <w:p w14:paraId="395106CB" w14:textId="77777777" w:rsidR="000F6F7F" w:rsidRPr="004A7E84" w:rsidRDefault="000F6F7F" w:rsidP="000F6F7F">
      <w:r>
        <w:t>QIV-01 (NCT02214225, see http://clinicaltrials.gov)</w:t>
      </w:r>
      <w:r w:rsidRPr="004A7E84">
        <w:t xml:space="preserve"> was a randomi</w:t>
      </w:r>
      <w:r>
        <w:t>s</w:t>
      </w:r>
      <w:r w:rsidRPr="004A7E84">
        <w:t>ed, double-blind, active</w:t>
      </w:r>
      <w:r>
        <w:t xml:space="preserve"> comparator</w:t>
      </w:r>
      <w:r w:rsidRPr="004A7E84">
        <w:t xml:space="preserve">-controlled trial conducted in the US in adults aged 18 years and older.  Subjects </w:t>
      </w:r>
      <w:r>
        <w:t xml:space="preserve">in the per protocol population that was used for the primary immunogenicity analysis </w:t>
      </w:r>
      <w:r w:rsidRPr="004A7E84">
        <w:t xml:space="preserve">received one dose of either </w:t>
      </w:r>
      <w:r>
        <w:t>Afluria</w:t>
      </w:r>
      <w:r>
        <w:rPr>
          <w:rFonts w:ascii="Calibri" w:hAnsi="Calibri" w:cs="Calibri"/>
        </w:rPr>
        <w:t>®</w:t>
      </w:r>
      <w:r>
        <w:t xml:space="preserve"> Quad vaccine </w:t>
      </w:r>
      <w:r w:rsidRPr="004A7E84">
        <w:t>(N=1691) or one of two formulations of comparator trivalent influenza vaccine (TIV-1 N=854 or TIV-2 N=850)</w:t>
      </w:r>
      <w:r>
        <w:t>,</w:t>
      </w:r>
      <w:r w:rsidRPr="004A7E84">
        <w:t xml:space="preserve"> each containing an influenza type B virus that corresponded to one of the two B viruses in </w:t>
      </w:r>
      <w:r>
        <w:t>Afluria</w:t>
      </w:r>
      <w:r>
        <w:rPr>
          <w:rFonts w:ascii="Calibri" w:hAnsi="Calibri" w:cs="Calibri"/>
        </w:rPr>
        <w:t>®</w:t>
      </w:r>
      <w:r>
        <w:t xml:space="preserve"> Quad vaccine </w:t>
      </w:r>
      <w:r w:rsidRPr="004A7E84">
        <w:t xml:space="preserve">(a type B virus of the Victoria lineage or a type B virus of the Yamagata lineage). The mean age of the </w:t>
      </w:r>
      <w:r>
        <w:t>enrolled</w:t>
      </w:r>
      <w:r w:rsidRPr="004A7E84">
        <w:t xml:space="preserve"> population was 58 years. 57% were female, 82% were White and 1</w:t>
      </w:r>
      <w:r>
        <w:t>6</w:t>
      </w:r>
      <w:r w:rsidRPr="004A7E84">
        <w:t xml:space="preserve">% Black/African American. </w:t>
      </w:r>
      <w:r>
        <w:t xml:space="preserve">The age sub-groups were </w:t>
      </w:r>
      <w:r w:rsidRPr="004A7E84">
        <w:rPr>
          <w:lang w:val="en-GB"/>
        </w:rPr>
        <w:t xml:space="preserve">18 to &lt; 65 years and </w:t>
      </w:r>
      <w:r w:rsidRPr="004A7E84">
        <w:rPr>
          <w:rFonts w:cs="Arial"/>
          <w:lang w:val="en-GB"/>
        </w:rPr>
        <w:t>≥</w:t>
      </w:r>
      <w:r>
        <w:rPr>
          <w:rFonts w:cs="Arial"/>
          <w:lang w:val="en-GB"/>
        </w:rPr>
        <w:t> </w:t>
      </w:r>
      <w:r w:rsidRPr="004A7E84">
        <w:rPr>
          <w:lang w:val="en-GB"/>
        </w:rPr>
        <w:t>65 years</w:t>
      </w:r>
      <w:r>
        <w:t xml:space="preserve"> with a mean age of 43 years and 73 years</w:t>
      </w:r>
      <w:r>
        <w:rPr>
          <w:lang w:val="en-GB"/>
        </w:rPr>
        <w:t>, respectively.</w:t>
      </w:r>
      <w:r w:rsidRPr="004A7E84">
        <w:t xml:space="preserve"> Post</w:t>
      </w:r>
      <w:r>
        <w:t>-</w:t>
      </w:r>
      <w:r w:rsidRPr="004A7E84">
        <w:t xml:space="preserve">vaccination immunogenicity was evaluated on sera obtained 21 days after administration of a single dose of </w:t>
      </w:r>
      <w:r>
        <w:t>Afluria</w:t>
      </w:r>
      <w:r>
        <w:rPr>
          <w:rFonts w:ascii="Calibri" w:hAnsi="Calibri" w:cs="Calibri"/>
        </w:rPr>
        <w:t>®</w:t>
      </w:r>
      <w:r>
        <w:t xml:space="preserve"> Quad vaccine </w:t>
      </w:r>
      <w:r w:rsidRPr="004A7E84">
        <w:t>or TIV.</w:t>
      </w:r>
    </w:p>
    <w:p w14:paraId="747E7B99" w14:textId="77777777" w:rsidR="000F6F7F" w:rsidRPr="004A7E84" w:rsidRDefault="000F6F7F" w:rsidP="000F6F7F">
      <w:r w:rsidRPr="004A7E84">
        <w:t xml:space="preserve">The co-primary endpoints were HI Geometric Mean </w:t>
      </w:r>
      <w:r w:rsidR="005854DD" w:rsidRPr="00444B36">
        <w:t>Titre</w:t>
      </w:r>
      <w:r w:rsidR="005854DD" w:rsidRPr="004A7E84" w:rsidDel="00430387">
        <w:t xml:space="preserve"> </w:t>
      </w:r>
      <w:r w:rsidRPr="004A7E84">
        <w:t xml:space="preserve">(GMT) ratios </w:t>
      </w:r>
      <w:r w:rsidRPr="00535453">
        <w:t>(adjusted for baseline HI titr</w:t>
      </w:r>
      <w:r w:rsidR="005854DD">
        <w:t>e</w:t>
      </w:r>
      <w:r w:rsidRPr="00535453">
        <w:t>s)</w:t>
      </w:r>
      <w:r w:rsidRPr="004A7E84">
        <w:t xml:space="preserve"> and the difference in seroconversion rates for each vaccine strain</w:t>
      </w:r>
      <w:r>
        <w:t>,</w:t>
      </w:r>
      <w:r w:rsidRPr="004A7E84">
        <w:t xml:space="preserve"> 21 days after the vaccination.  Pre-specified non-inferiority criteria required that the upper bound of the 2-sided 95% CI of the GMT ratio (TIV/</w:t>
      </w:r>
      <w:r>
        <w:t>Afluria</w:t>
      </w:r>
      <w:r>
        <w:rPr>
          <w:rFonts w:ascii="Calibri" w:hAnsi="Calibri" w:cs="Calibri"/>
        </w:rPr>
        <w:t>®</w:t>
      </w:r>
      <w:r>
        <w:t xml:space="preserve"> Quad vaccine</w:t>
      </w:r>
      <w:r w:rsidRPr="004A7E84">
        <w:t xml:space="preserve">) did not exceed 1.5 and the upper bound of the 2-sided 95% CI of the seroconversion rate difference (TIV minus </w:t>
      </w:r>
      <w:r>
        <w:t>Afluria</w:t>
      </w:r>
      <w:r>
        <w:rPr>
          <w:rFonts w:ascii="Calibri" w:hAnsi="Calibri" w:cs="Calibri"/>
        </w:rPr>
        <w:t>®</w:t>
      </w:r>
      <w:r>
        <w:t xml:space="preserve"> Quad vaccine</w:t>
      </w:r>
      <w:r w:rsidRPr="004A7E84">
        <w:t xml:space="preserve">) did not exceed 10% for each strain.  </w:t>
      </w:r>
    </w:p>
    <w:p w14:paraId="3358A554" w14:textId="77777777" w:rsidR="000F6F7F" w:rsidRDefault="000F6F7F" w:rsidP="000F6F7F">
      <w:pPr>
        <w:rPr>
          <w:lang w:val="en-GB"/>
        </w:rPr>
      </w:pPr>
      <w:r w:rsidRPr="004A7E84">
        <w:rPr>
          <w:lang w:val="en-GB"/>
        </w:rPr>
        <w:lastRenderedPageBreak/>
        <w:t xml:space="preserve">Serum HI antibody responses to </w:t>
      </w:r>
      <w:r>
        <w:rPr>
          <w:lang w:val="en-GB"/>
        </w:rPr>
        <w:t>Afluria</w:t>
      </w:r>
      <w:r>
        <w:rPr>
          <w:rFonts w:ascii="Calibri" w:hAnsi="Calibri" w:cs="Calibri"/>
          <w:lang w:val="en-GB"/>
        </w:rPr>
        <w:t>®</w:t>
      </w:r>
      <w:r>
        <w:rPr>
          <w:lang w:val="en-GB"/>
        </w:rPr>
        <w:t xml:space="preserve"> Quad vaccine </w:t>
      </w:r>
      <w:r w:rsidRPr="004A7E84">
        <w:rPr>
          <w:lang w:val="en-GB"/>
        </w:rPr>
        <w:t>were non-inferior to both TIVs</w:t>
      </w:r>
      <w:r>
        <w:rPr>
          <w:lang w:val="en-GB"/>
        </w:rPr>
        <w:t xml:space="preserve"> for all influenza strains</w:t>
      </w:r>
      <w:r w:rsidRPr="004A7E84">
        <w:rPr>
          <w:lang w:val="en-GB"/>
        </w:rPr>
        <w:t>.  Additionally, non-inferiority was demonstrated</w:t>
      </w:r>
      <w:r>
        <w:rPr>
          <w:lang w:val="en-GB"/>
        </w:rPr>
        <w:t xml:space="preserve"> </w:t>
      </w:r>
      <w:r w:rsidRPr="004A7E84">
        <w:rPr>
          <w:lang w:val="en-GB"/>
        </w:rPr>
        <w:t xml:space="preserve">for both endpoints in both age sub-groups, adults aged 18 to &lt; 65 years and </w:t>
      </w:r>
      <w:r w:rsidRPr="004A7E84">
        <w:rPr>
          <w:rFonts w:cs="Arial"/>
          <w:lang w:val="en-GB"/>
        </w:rPr>
        <w:t>≥</w:t>
      </w:r>
      <w:r>
        <w:rPr>
          <w:rFonts w:cs="Arial"/>
          <w:lang w:val="en-GB"/>
        </w:rPr>
        <w:t xml:space="preserve"> </w:t>
      </w:r>
      <w:r w:rsidRPr="004A7E84">
        <w:rPr>
          <w:lang w:val="en-GB"/>
        </w:rPr>
        <w:t xml:space="preserve">65 years (Table </w:t>
      </w:r>
      <w:r w:rsidR="00896F1F">
        <w:rPr>
          <w:lang w:val="en-GB"/>
        </w:rPr>
        <w:t>4</w:t>
      </w:r>
      <w:r w:rsidRPr="004A7E84">
        <w:rPr>
          <w:lang w:val="en-GB"/>
        </w:rPr>
        <w:t>), for all strains. Antibody responses were lower in adults aged ≥ 65 years.</w:t>
      </w:r>
    </w:p>
    <w:p w14:paraId="6ACB4E05" w14:textId="77777777" w:rsidR="000F6F7F" w:rsidRDefault="000F6F7F" w:rsidP="000F6F7F">
      <w:pPr>
        <w:rPr>
          <w:lang w:val="en-GB"/>
        </w:rPr>
      </w:pPr>
      <w:r w:rsidRPr="004A7E84">
        <w:rPr>
          <w:lang w:val="en-GB"/>
        </w:rPr>
        <w:t xml:space="preserve">Superiority of the immune response to each of the influenza B strains contained in </w:t>
      </w:r>
      <w:r>
        <w:rPr>
          <w:lang w:val="en-GB"/>
        </w:rPr>
        <w:t>Afluria</w:t>
      </w:r>
      <w:r>
        <w:rPr>
          <w:rFonts w:ascii="Calibri" w:hAnsi="Calibri" w:cs="Calibri"/>
          <w:lang w:val="en-GB"/>
        </w:rPr>
        <w:t>®</w:t>
      </w:r>
      <w:r>
        <w:rPr>
          <w:lang w:val="en-GB"/>
        </w:rPr>
        <w:t xml:space="preserve"> Quad vaccine </w:t>
      </w:r>
      <w:r w:rsidRPr="004A7E84">
        <w:rPr>
          <w:lang w:val="en-GB"/>
        </w:rPr>
        <w:t xml:space="preserve">was shown relative to the antibody response after vaccination with TIV formulations not containing that B lineage strain.  Superiority against the alternate B strain was also demonstrated </w:t>
      </w:r>
      <w:r>
        <w:rPr>
          <w:lang w:val="en-GB"/>
        </w:rPr>
        <w:t xml:space="preserve">for each of the influenza B strains </w:t>
      </w:r>
      <w:r w:rsidRPr="004A7E84">
        <w:rPr>
          <w:lang w:val="en-GB"/>
        </w:rPr>
        <w:t>in both age sub-groups</w:t>
      </w:r>
      <w:r>
        <w:rPr>
          <w:lang w:val="en-GB"/>
        </w:rPr>
        <w:t>;</w:t>
      </w:r>
      <w:r w:rsidRPr="004A7E84">
        <w:rPr>
          <w:lang w:val="en-GB"/>
        </w:rPr>
        <w:t xml:space="preserve"> 1</w:t>
      </w:r>
      <w:bookmarkStart w:id="3" w:name="_Toc414548580"/>
      <w:r w:rsidR="003922F0">
        <w:rPr>
          <w:lang w:val="en-GB"/>
        </w:rPr>
        <w:t>8 to &lt; 65 years and ≥ 65 years.</w:t>
      </w:r>
    </w:p>
    <w:p w14:paraId="147D1319" w14:textId="77777777" w:rsidR="000F6F7F" w:rsidRPr="004A7E84" w:rsidRDefault="000F6F7F" w:rsidP="000F6F7F">
      <w:pPr>
        <w:rPr>
          <w:rFonts w:ascii="Times New Roman" w:hAnsi="Times New Roman"/>
          <w:bCs/>
          <w:szCs w:val="24"/>
        </w:rPr>
      </w:pPr>
      <w:r w:rsidRPr="005C19F8">
        <w:rPr>
          <w:lang w:val="en-GB"/>
        </w:rPr>
        <w:t xml:space="preserve">Post-hoc analyses of immunogenicity by gender did not demonstrate significant differences between males and females.  The study </w:t>
      </w:r>
      <w:r>
        <w:rPr>
          <w:lang w:val="en-GB"/>
        </w:rPr>
        <w:t xml:space="preserve">population </w:t>
      </w:r>
      <w:r w:rsidRPr="005C19F8">
        <w:rPr>
          <w:lang w:val="en-GB"/>
        </w:rPr>
        <w:t>was not sufficiently diverse to assess differences between races or ethnicities.</w:t>
      </w:r>
    </w:p>
    <w:p w14:paraId="1D527489" w14:textId="77777777" w:rsidR="000F6F7F" w:rsidRPr="004A7E84" w:rsidRDefault="000F6F7F" w:rsidP="000F6F7F">
      <w:pPr>
        <w:pStyle w:val="Caption"/>
        <w:spacing w:line="360" w:lineRule="auto"/>
        <w:ind w:left="993" w:hanging="993"/>
        <w:rPr>
          <w:rFonts w:ascii="Arial" w:hAnsi="Arial" w:cs="Arial"/>
          <w:bCs w:val="0"/>
          <w:sz w:val="20"/>
          <w:szCs w:val="20"/>
        </w:rPr>
      </w:pPr>
      <w:bookmarkStart w:id="4" w:name="_Toc419299963"/>
      <w:bookmarkStart w:id="5" w:name="_ultralink23"/>
      <w:bookmarkEnd w:id="3"/>
      <w:r w:rsidRPr="004A7E84">
        <w:rPr>
          <w:rFonts w:ascii="Arial" w:hAnsi="Arial" w:cs="Arial"/>
          <w:sz w:val="20"/>
          <w:szCs w:val="20"/>
        </w:rPr>
        <w:lastRenderedPageBreak/>
        <w:t xml:space="preserve">Table </w:t>
      </w:r>
      <w:r w:rsidR="00896F1F">
        <w:rPr>
          <w:rFonts w:ascii="Arial" w:hAnsi="Arial" w:cs="Arial"/>
          <w:sz w:val="20"/>
          <w:szCs w:val="20"/>
        </w:rPr>
        <w:t>4</w:t>
      </w:r>
      <w:r w:rsidRPr="004A7E84">
        <w:rPr>
          <w:rFonts w:ascii="Arial" w:hAnsi="Arial" w:cs="Arial"/>
          <w:bCs w:val="0"/>
          <w:sz w:val="20"/>
          <w:szCs w:val="20"/>
        </w:rPr>
        <w:t>:</w:t>
      </w:r>
      <w:r w:rsidRPr="004A7E84">
        <w:rPr>
          <w:rFonts w:ascii="Arial" w:hAnsi="Arial" w:cs="Arial"/>
          <w:bCs w:val="0"/>
          <w:sz w:val="20"/>
          <w:szCs w:val="20"/>
        </w:rPr>
        <w:tab/>
      </w:r>
      <w:r>
        <w:rPr>
          <w:rFonts w:ascii="Arial" w:hAnsi="Arial" w:cs="Arial"/>
          <w:bCs w:val="0"/>
          <w:sz w:val="20"/>
          <w:szCs w:val="20"/>
        </w:rPr>
        <w:t xml:space="preserve">QIV-01: </w:t>
      </w:r>
      <w:r w:rsidRPr="004A7E84">
        <w:rPr>
          <w:rFonts w:ascii="Arial" w:hAnsi="Arial" w:cs="Arial"/>
          <w:bCs w:val="0"/>
          <w:sz w:val="20"/>
          <w:szCs w:val="20"/>
        </w:rPr>
        <w:t xml:space="preserve">Post-Vaccination HI Antibody GMTs, Seroconversion Rates, and Analyses of Non-Inferiority of </w:t>
      </w:r>
      <w:r>
        <w:rPr>
          <w:rFonts w:ascii="Arial" w:hAnsi="Arial" w:cs="Arial"/>
          <w:bCs w:val="0"/>
          <w:sz w:val="20"/>
          <w:szCs w:val="20"/>
        </w:rPr>
        <w:t>Afluria</w:t>
      </w:r>
      <w:r>
        <w:rPr>
          <w:rFonts w:ascii="Calibri" w:hAnsi="Calibri" w:cs="Calibri"/>
          <w:bCs w:val="0"/>
          <w:sz w:val="20"/>
          <w:szCs w:val="20"/>
        </w:rPr>
        <w:t>®</w:t>
      </w:r>
      <w:r>
        <w:rPr>
          <w:rFonts w:ascii="Arial" w:hAnsi="Arial" w:cs="Arial"/>
          <w:bCs w:val="0"/>
          <w:sz w:val="20"/>
          <w:szCs w:val="20"/>
        </w:rPr>
        <w:t xml:space="preserve"> Quad vaccine </w:t>
      </w:r>
      <w:r w:rsidRPr="004A7E84">
        <w:rPr>
          <w:rFonts w:ascii="Arial" w:hAnsi="Arial" w:cs="Arial"/>
          <w:bCs w:val="0"/>
          <w:sz w:val="20"/>
          <w:szCs w:val="20"/>
        </w:rPr>
        <w:t>Relative to Trivalent Influenza Vaccine (TIV) for each Strain</w:t>
      </w:r>
      <w:r>
        <w:rPr>
          <w:rFonts w:ascii="Arial" w:hAnsi="Arial" w:cs="Arial"/>
          <w:bCs w:val="0"/>
          <w:sz w:val="20"/>
          <w:szCs w:val="20"/>
        </w:rPr>
        <w:t>,</w:t>
      </w:r>
      <w:r w:rsidRPr="004A7E84">
        <w:rPr>
          <w:rFonts w:ascii="Arial" w:hAnsi="Arial" w:cs="Arial"/>
          <w:bCs w:val="0"/>
          <w:sz w:val="20"/>
          <w:szCs w:val="20"/>
        </w:rPr>
        <w:t xml:space="preserve"> </w:t>
      </w:r>
      <w:r>
        <w:rPr>
          <w:rFonts w:ascii="Arial" w:hAnsi="Arial" w:cs="Arial"/>
          <w:bCs w:val="0"/>
          <w:sz w:val="20"/>
          <w:szCs w:val="20"/>
        </w:rPr>
        <w:t xml:space="preserve">at </w:t>
      </w:r>
      <w:r w:rsidRPr="004A7E84">
        <w:rPr>
          <w:rFonts w:ascii="Arial" w:hAnsi="Arial" w:cs="Arial"/>
          <w:bCs w:val="0"/>
          <w:sz w:val="20"/>
          <w:szCs w:val="20"/>
        </w:rPr>
        <w:t xml:space="preserve">21 Days Post-Vaccination </w:t>
      </w:r>
      <w:r>
        <w:rPr>
          <w:rFonts w:ascii="Arial" w:hAnsi="Arial" w:cs="Arial"/>
          <w:bCs w:val="0"/>
          <w:sz w:val="20"/>
          <w:szCs w:val="20"/>
        </w:rPr>
        <w:t>by Age Cohort</w:t>
      </w:r>
      <w:r w:rsidRPr="004A7E84">
        <w:rPr>
          <w:rFonts w:ascii="Arial" w:hAnsi="Arial" w:cs="Arial"/>
          <w:bCs w:val="0"/>
          <w:sz w:val="20"/>
          <w:szCs w:val="20"/>
        </w:rPr>
        <w:t xml:space="preserve"> (Per Protocol Population)</w:t>
      </w:r>
      <w:bookmarkEnd w:id="4"/>
    </w:p>
    <w:bookmarkEnd w:id="5"/>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1223"/>
        <w:gridCol w:w="1223"/>
        <w:gridCol w:w="1250"/>
        <w:gridCol w:w="1221"/>
        <w:gridCol w:w="1201"/>
        <w:gridCol w:w="1296"/>
        <w:gridCol w:w="1060"/>
      </w:tblGrid>
      <w:tr w:rsidR="000F6F7F" w:rsidRPr="00DB70D1" w14:paraId="6E80AAD2" w14:textId="77777777" w:rsidTr="003922F0">
        <w:trPr>
          <w:trHeight w:val="638"/>
          <w:tblHeader/>
        </w:trPr>
        <w:tc>
          <w:tcPr>
            <w:tcW w:w="634" w:type="pct"/>
          </w:tcPr>
          <w:p w14:paraId="7F4D660F" w14:textId="77777777" w:rsidR="000F6F7F" w:rsidRPr="00DB70D1" w:rsidRDefault="000F6F7F" w:rsidP="00BB41D2">
            <w:pPr>
              <w:keepNext/>
              <w:keepLines/>
              <w:autoSpaceDE w:val="0"/>
              <w:autoSpaceDN w:val="0"/>
              <w:adjustRightInd w:val="0"/>
              <w:spacing w:before="40" w:after="40" w:line="240" w:lineRule="auto"/>
              <w:ind w:left="-142" w:right="-108"/>
              <w:rPr>
                <w:rFonts w:cstheme="minorHAnsi"/>
                <w:b/>
                <w:lang w:val="en-GB"/>
              </w:rPr>
            </w:pPr>
          </w:p>
        </w:tc>
        <w:tc>
          <w:tcPr>
            <w:tcW w:w="1260" w:type="pct"/>
            <w:gridSpan w:val="2"/>
            <w:vAlign w:val="center"/>
          </w:tcPr>
          <w:p w14:paraId="575159CA" w14:textId="77777777" w:rsidR="000F6F7F" w:rsidRPr="00DB70D1" w:rsidRDefault="000F6F7F" w:rsidP="00BB41D2">
            <w:pPr>
              <w:keepNext/>
              <w:keepLines/>
              <w:autoSpaceDE w:val="0"/>
              <w:autoSpaceDN w:val="0"/>
              <w:adjustRightInd w:val="0"/>
              <w:spacing w:before="40" w:after="40" w:line="240" w:lineRule="auto"/>
              <w:jc w:val="center"/>
              <w:rPr>
                <w:rFonts w:cstheme="minorHAnsi"/>
                <w:vertAlign w:val="superscript"/>
                <w:lang w:val="en-GB"/>
              </w:rPr>
            </w:pPr>
            <w:r w:rsidRPr="00DB70D1">
              <w:rPr>
                <w:rFonts w:cstheme="minorHAnsi"/>
                <w:b/>
                <w:lang w:val="en-GB"/>
              </w:rPr>
              <w:t>Post-vaccination GMT</w:t>
            </w:r>
            <w:r w:rsidRPr="00DB70D1">
              <w:rPr>
                <w:rFonts w:cstheme="minorHAnsi"/>
                <w:vertAlign w:val="superscript"/>
                <w:lang w:val="en-GB"/>
              </w:rPr>
              <w:t xml:space="preserve"> a</w:t>
            </w:r>
          </w:p>
        </w:tc>
        <w:tc>
          <w:tcPr>
            <w:tcW w:w="644" w:type="pct"/>
            <w:vAlign w:val="center"/>
          </w:tcPr>
          <w:p w14:paraId="66EE7C76" w14:textId="77777777" w:rsidR="000F6F7F" w:rsidRPr="00DB70D1" w:rsidRDefault="000F6F7F" w:rsidP="00BB41D2">
            <w:pPr>
              <w:keepNext/>
              <w:keepLines/>
              <w:autoSpaceDE w:val="0"/>
              <w:autoSpaceDN w:val="0"/>
              <w:adjustRightInd w:val="0"/>
              <w:spacing w:before="40" w:after="40" w:line="240" w:lineRule="auto"/>
              <w:jc w:val="center"/>
              <w:rPr>
                <w:rFonts w:cstheme="minorHAnsi"/>
                <w:vertAlign w:val="superscript"/>
                <w:lang w:val="en-GB"/>
              </w:rPr>
            </w:pPr>
            <w:r w:rsidRPr="00DB70D1">
              <w:rPr>
                <w:rFonts w:cstheme="minorHAnsi"/>
                <w:b/>
                <w:lang w:val="en-GB"/>
              </w:rPr>
              <w:t xml:space="preserve">GMT </w:t>
            </w:r>
            <w:r w:rsidRPr="00DB70D1">
              <w:rPr>
                <w:rFonts w:cstheme="minorHAnsi"/>
                <w:b/>
                <w:lang w:val="en-GB"/>
              </w:rPr>
              <w:br/>
              <w:t>Ratio</w:t>
            </w:r>
          </w:p>
        </w:tc>
        <w:tc>
          <w:tcPr>
            <w:tcW w:w="1248" w:type="pct"/>
            <w:gridSpan w:val="2"/>
            <w:vAlign w:val="center"/>
          </w:tcPr>
          <w:p w14:paraId="6629B227" w14:textId="77777777" w:rsidR="000F6F7F" w:rsidRPr="00DB70D1" w:rsidRDefault="000F6F7F" w:rsidP="00BB41D2">
            <w:pPr>
              <w:keepNext/>
              <w:keepLines/>
              <w:autoSpaceDE w:val="0"/>
              <w:autoSpaceDN w:val="0"/>
              <w:adjustRightInd w:val="0"/>
              <w:spacing w:before="40" w:after="40" w:line="240" w:lineRule="auto"/>
              <w:jc w:val="center"/>
              <w:rPr>
                <w:rFonts w:cstheme="minorHAnsi"/>
                <w:b/>
                <w:lang w:val="en-GB"/>
              </w:rPr>
            </w:pPr>
            <w:r w:rsidRPr="00DB70D1">
              <w:rPr>
                <w:rFonts w:cstheme="minorHAnsi"/>
                <w:b/>
                <w:lang w:val="en-GB"/>
              </w:rPr>
              <w:t xml:space="preserve">Seroconversion % </w:t>
            </w:r>
            <w:r w:rsidRPr="00DB70D1">
              <w:rPr>
                <w:rFonts w:cstheme="minorHAnsi"/>
                <w:vertAlign w:val="superscript"/>
                <w:lang w:val="en-GB"/>
              </w:rPr>
              <w:t>b</w:t>
            </w:r>
          </w:p>
        </w:tc>
        <w:tc>
          <w:tcPr>
            <w:tcW w:w="668" w:type="pct"/>
            <w:vAlign w:val="center"/>
          </w:tcPr>
          <w:p w14:paraId="68A46299" w14:textId="77777777" w:rsidR="000F6F7F" w:rsidRPr="00DB70D1" w:rsidRDefault="000F6F7F" w:rsidP="00BB41D2">
            <w:pPr>
              <w:keepNext/>
              <w:keepLines/>
              <w:autoSpaceDE w:val="0"/>
              <w:autoSpaceDN w:val="0"/>
              <w:adjustRightInd w:val="0"/>
              <w:spacing w:before="40" w:after="40" w:line="240" w:lineRule="auto"/>
              <w:jc w:val="center"/>
              <w:rPr>
                <w:rFonts w:cstheme="minorHAnsi"/>
                <w:b/>
                <w:vertAlign w:val="superscript"/>
                <w:lang w:val="en-GB"/>
              </w:rPr>
            </w:pPr>
            <w:r w:rsidRPr="00DB70D1">
              <w:rPr>
                <w:rFonts w:cstheme="minorHAnsi"/>
                <w:b/>
                <w:lang w:val="en-GB"/>
              </w:rPr>
              <w:t>Difference</w:t>
            </w:r>
          </w:p>
        </w:tc>
        <w:tc>
          <w:tcPr>
            <w:tcW w:w="546" w:type="pct"/>
            <w:vMerge w:val="restart"/>
            <w:vAlign w:val="center"/>
          </w:tcPr>
          <w:p w14:paraId="05677F06" w14:textId="77777777" w:rsidR="000F6F7F" w:rsidRPr="00DB70D1" w:rsidRDefault="000F6F7F" w:rsidP="00BB41D2">
            <w:pPr>
              <w:keepNext/>
              <w:keepLines/>
              <w:autoSpaceDE w:val="0"/>
              <w:autoSpaceDN w:val="0"/>
              <w:adjustRightInd w:val="0"/>
              <w:spacing w:before="40" w:after="40" w:line="240" w:lineRule="auto"/>
              <w:ind w:left="-24" w:right="-48"/>
              <w:jc w:val="center"/>
              <w:rPr>
                <w:rFonts w:cstheme="minorHAnsi"/>
                <w:b/>
                <w:lang w:val="en-GB"/>
              </w:rPr>
            </w:pPr>
            <w:r w:rsidRPr="00DB70D1">
              <w:rPr>
                <w:rFonts w:cstheme="minorHAnsi"/>
                <w:b/>
                <w:lang w:val="en-GB"/>
              </w:rPr>
              <w:t xml:space="preserve">Met both pre-defined non-inferiority criteria? </w:t>
            </w:r>
            <w:r w:rsidRPr="00DB70D1">
              <w:rPr>
                <w:rFonts w:cstheme="minorHAnsi"/>
                <w:vertAlign w:val="superscript"/>
                <w:lang w:val="en-GB"/>
              </w:rPr>
              <w:t>c</w:t>
            </w:r>
          </w:p>
        </w:tc>
      </w:tr>
      <w:tr w:rsidR="000F6F7F" w:rsidRPr="00DB70D1" w14:paraId="41FA6A40" w14:textId="77777777" w:rsidTr="003922F0">
        <w:trPr>
          <w:trHeight w:val="706"/>
          <w:tblHeader/>
        </w:trPr>
        <w:tc>
          <w:tcPr>
            <w:tcW w:w="634" w:type="pct"/>
            <w:vAlign w:val="center"/>
          </w:tcPr>
          <w:p w14:paraId="5926297B" w14:textId="77777777" w:rsidR="000F6F7F" w:rsidRPr="00DB70D1" w:rsidRDefault="000F6F7F" w:rsidP="00BB41D2">
            <w:pPr>
              <w:keepNext/>
              <w:keepLines/>
              <w:autoSpaceDE w:val="0"/>
              <w:autoSpaceDN w:val="0"/>
              <w:adjustRightInd w:val="0"/>
              <w:spacing w:before="40" w:after="40" w:line="240" w:lineRule="auto"/>
              <w:jc w:val="center"/>
              <w:rPr>
                <w:rFonts w:cstheme="minorHAnsi"/>
                <w:b/>
                <w:lang w:val="en-GB"/>
              </w:rPr>
            </w:pPr>
            <w:r w:rsidRPr="00DB70D1">
              <w:rPr>
                <w:rFonts w:cstheme="minorHAnsi"/>
                <w:b/>
                <w:lang w:val="en-GB"/>
              </w:rPr>
              <w:t>Strain</w:t>
            </w:r>
          </w:p>
        </w:tc>
        <w:tc>
          <w:tcPr>
            <w:tcW w:w="630" w:type="pct"/>
            <w:vAlign w:val="center"/>
          </w:tcPr>
          <w:p w14:paraId="281242CE" w14:textId="77777777" w:rsidR="000F6F7F" w:rsidRPr="00DB70D1" w:rsidRDefault="000F6F7F" w:rsidP="00BB41D2">
            <w:pPr>
              <w:keepNext/>
              <w:keepLines/>
              <w:autoSpaceDE w:val="0"/>
              <w:autoSpaceDN w:val="0"/>
              <w:adjustRightInd w:val="0"/>
              <w:spacing w:before="40" w:after="40" w:line="240" w:lineRule="auto"/>
              <w:ind w:left="-108" w:right="-108"/>
              <w:jc w:val="center"/>
              <w:rPr>
                <w:rFonts w:cstheme="minorHAnsi"/>
                <w:b/>
                <w:lang w:val="en-GB"/>
              </w:rPr>
            </w:pPr>
            <w:r w:rsidRPr="00DB70D1">
              <w:rPr>
                <w:rFonts w:cstheme="minorHAnsi"/>
                <w:b/>
                <w:lang w:val="en-GB"/>
              </w:rPr>
              <w:t>Afluria® Quad</w:t>
            </w:r>
            <w:r w:rsidRPr="00DB70D1">
              <w:rPr>
                <w:rFonts w:cstheme="minorHAnsi"/>
                <w:b/>
                <w:lang w:val="en-GB"/>
              </w:rPr>
              <w:br/>
              <w:t>vaccine</w:t>
            </w:r>
          </w:p>
        </w:tc>
        <w:tc>
          <w:tcPr>
            <w:tcW w:w="630" w:type="pct"/>
            <w:vAlign w:val="center"/>
          </w:tcPr>
          <w:p w14:paraId="5F999A9F" w14:textId="77777777" w:rsidR="000F6F7F" w:rsidRPr="00DB70D1" w:rsidRDefault="000F6F7F" w:rsidP="00BB41D2">
            <w:pPr>
              <w:keepNext/>
              <w:keepLines/>
              <w:autoSpaceDE w:val="0"/>
              <w:autoSpaceDN w:val="0"/>
              <w:adjustRightInd w:val="0"/>
              <w:spacing w:before="40" w:after="40" w:line="240" w:lineRule="auto"/>
              <w:jc w:val="center"/>
              <w:rPr>
                <w:rFonts w:cstheme="minorHAnsi"/>
                <w:b/>
                <w:bCs/>
                <w:lang w:val="en-GB"/>
              </w:rPr>
            </w:pPr>
            <w:r w:rsidRPr="00DB70D1">
              <w:rPr>
                <w:rFonts w:cstheme="minorHAnsi"/>
                <w:b/>
                <w:bCs/>
                <w:lang w:val="en-GB"/>
              </w:rPr>
              <w:t xml:space="preserve">Pooled TIV or </w:t>
            </w:r>
            <w:r w:rsidRPr="00DB70D1">
              <w:rPr>
                <w:rFonts w:cstheme="minorHAnsi"/>
                <w:b/>
                <w:lang w:val="en-GB"/>
              </w:rPr>
              <w:t>TIV-1</w:t>
            </w:r>
            <w:r w:rsidRPr="00DB70D1">
              <w:rPr>
                <w:rFonts w:cstheme="minorHAnsi"/>
                <w:b/>
                <w:bCs/>
                <w:lang w:val="en-GB"/>
              </w:rPr>
              <w:t xml:space="preserve"> </w:t>
            </w:r>
          </w:p>
          <w:p w14:paraId="22CDB209" w14:textId="77777777" w:rsidR="000F6F7F" w:rsidRPr="00DB70D1" w:rsidRDefault="000F6F7F" w:rsidP="00BB41D2">
            <w:pPr>
              <w:keepNext/>
              <w:keepLines/>
              <w:autoSpaceDE w:val="0"/>
              <w:autoSpaceDN w:val="0"/>
              <w:adjustRightInd w:val="0"/>
              <w:spacing w:before="40" w:after="40" w:line="240" w:lineRule="auto"/>
              <w:jc w:val="center"/>
              <w:rPr>
                <w:rFonts w:cstheme="minorHAnsi"/>
                <w:b/>
                <w:lang w:val="en-GB"/>
              </w:rPr>
            </w:pPr>
            <w:r w:rsidRPr="00DB70D1">
              <w:rPr>
                <w:rFonts w:cstheme="minorHAnsi"/>
                <w:b/>
                <w:lang w:val="en-GB"/>
              </w:rPr>
              <w:t xml:space="preserve">(B Yam) </w:t>
            </w:r>
          </w:p>
          <w:p w14:paraId="4833C8CE" w14:textId="77777777" w:rsidR="000F6F7F" w:rsidRPr="00DB70D1" w:rsidRDefault="000F6F7F" w:rsidP="00BB41D2">
            <w:pPr>
              <w:keepNext/>
              <w:keepLines/>
              <w:autoSpaceDE w:val="0"/>
              <w:autoSpaceDN w:val="0"/>
              <w:adjustRightInd w:val="0"/>
              <w:spacing w:before="40" w:after="40" w:line="240" w:lineRule="auto"/>
              <w:jc w:val="center"/>
              <w:rPr>
                <w:rFonts w:cstheme="minorHAnsi"/>
                <w:b/>
                <w:lang w:val="en-GB"/>
              </w:rPr>
            </w:pPr>
            <w:r w:rsidRPr="00DB70D1">
              <w:rPr>
                <w:rFonts w:cstheme="minorHAnsi"/>
                <w:b/>
                <w:lang w:val="en-GB"/>
              </w:rPr>
              <w:t>or</w:t>
            </w:r>
            <w:r w:rsidRPr="00DB70D1">
              <w:rPr>
                <w:rFonts w:cstheme="minorHAnsi"/>
                <w:b/>
                <w:bCs/>
                <w:lang w:val="en-GB"/>
              </w:rPr>
              <w:t xml:space="preserve"> </w:t>
            </w:r>
            <w:r w:rsidRPr="00DB70D1">
              <w:rPr>
                <w:rFonts w:cstheme="minorHAnsi"/>
                <w:b/>
                <w:lang w:val="en-GB"/>
              </w:rPr>
              <w:t xml:space="preserve">TIV-2 </w:t>
            </w:r>
          </w:p>
          <w:p w14:paraId="05AB4FE5" w14:textId="77777777" w:rsidR="000F6F7F" w:rsidRPr="00DB70D1" w:rsidRDefault="000F6F7F" w:rsidP="00BB41D2">
            <w:pPr>
              <w:keepNext/>
              <w:keepLines/>
              <w:autoSpaceDE w:val="0"/>
              <w:autoSpaceDN w:val="0"/>
              <w:adjustRightInd w:val="0"/>
              <w:spacing w:before="40" w:after="40" w:line="240" w:lineRule="auto"/>
              <w:jc w:val="center"/>
              <w:rPr>
                <w:rFonts w:cstheme="minorHAnsi"/>
                <w:b/>
                <w:bCs/>
                <w:lang w:val="en-GB"/>
              </w:rPr>
            </w:pPr>
            <w:r w:rsidRPr="00DB70D1">
              <w:rPr>
                <w:rFonts w:cstheme="minorHAnsi"/>
                <w:b/>
                <w:lang w:val="en-GB"/>
              </w:rPr>
              <w:t>(B Vic)</w:t>
            </w:r>
          </w:p>
        </w:tc>
        <w:tc>
          <w:tcPr>
            <w:tcW w:w="644" w:type="pct"/>
            <w:vAlign w:val="center"/>
          </w:tcPr>
          <w:p w14:paraId="1824BB7E" w14:textId="77777777" w:rsidR="000F6F7F" w:rsidRPr="00DB70D1" w:rsidRDefault="000F6F7F" w:rsidP="00BB41D2">
            <w:pPr>
              <w:keepNext/>
              <w:keepLines/>
              <w:autoSpaceDE w:val="0"/>
              <w:autoSpaceDN w:val="0"/>
              <w:adjustRightInd w:val="0"/>
              <w:spacing w:before="40" w:after="40" w:line="240" w:lineRule="auto"/>
              <w:jc w:val="center"/>
              <w:rPr>
                <w:rFonts w:cstheme="minorHAnsi"/>
                <w:b/>
                <w:lang w:val="en-GB"/>
              </w:rPr>
            </w:pPr>
            <w:r w:rsidRPr="00DB70D1">
              <w:rPr>
                <w:rFonts w:cstheme="minorHAnsi"/>
                <w:b/>
                <w:bCs/>
                <w:lang w:val="en-GB"/>
              </w:rPr>
              <w:t xml:space="preserve">Pooled TIV or </w:t>
            </w:r>
            <w:r w:rsidRPr="00DB70D1">
              <w:rPr>
                <w:rFonts w:cstheme="minorHAnsi"/>
                <w:b/>
                <w:lang w:val="en-GB"/>
              </w:rPr>
              <w:t>TIV-1</w:t>
            </w:r>
          </w:p>
          <w:p w14:paraId="54398632" w14:textId="77777777" w:rsidR="000F6F7F" w:rsidRPr="00DB70D1" w:rsidRDefault="000F6F7F" w:rsidP="003922F0">
            <w:pPr>
              <w:keepNext/>
              <w:keepLines/>
              <w:autoSpaceDE w:val="0"/>
              <w:autoSpaceDN w:val="0"/>
              <w:adjustRightInd w:val="0"/>
              <w:spacing w:before="40" w:after="40" w:line="240" w:lineRule="auto"/>
              <w:ind w:left="-131" w:right="-111" w:firstLine="131"/>
              <w:jc w:val="center"/>
              <w:rPr>
                <w:rFonts w:cstheme="minorHAnsi"/>
                <w:b/>
                <w:lang w:val="en-GB"/>
              </w:rPr>
            </w:pPr>
            <w:r w:rsidRPr="00DB70D1">
              <w:rPr>
                <w:rFonts w:cstheme="minorHAnsi"/>
                <w:b/>
                <w:lang w:val="en-GB"/>
              </w:rPr>
              <w:t>or</w:t>
            </w:r>
            <w:r w:rsidRPr="00DB70D1">
              <w:rPr>
                <w:rFonts w:cstheme="minorHAnsi"/>
                <w:b/>
                <w:bCs/>
                <w:lang w:val="en-GB"/>
              </w:rPr>
              <w:t xml:space="preserve"> </w:t>
            </w:r>
            <w:r w:rsidRPr="00DB70D1">
              <w:rPr>
                <w:rFonts w:cstheme="minorHAnsi"/>
                <w:b/>
                <w:lang w:val="en-GB"/>
              </w:rPr>
              <w:t>TIV-2 over</w:t>
            </w:r>
            <w:r w:rsidR="003922F0">
              <w:rPr>
                <w:rFonts w:cstheme="minorHAnsi"/>
              </w:rPr>
              <w:br/>
            </w:r>
            <w:r w:rsidRPr="00DB70D1">
              <w:rPr>
                <w:rFonts w:cstheme="minorHAnsi"/>
                <w:b/>
                <w:lang w:val="en-GB"/>
              </w:rPr>
              <w:t>Afluria® Quad</w:t>
            </w:r>
            <w:r w:rsidRPr="00DB70D1">
              <w:rPr>
                <w:rFonts w:cstheme="minorHAnsi"/>
                <w:b/>
                <w:lang w:val="en-GB"/>
              </w:rPr>
              <w:br/>
              <w:t xml:space="preserve">vaccine </w:t>
            </w:r>
            <w:r w:rsidRPr="00DB70D1">
              <w:rPr>
                <w:rFonts w:cstheme="minorHAnsi"/>
                <w:b/>
                <w:lang w:val="en-GB"/>
              </w:rPr>
              <w:br/>
              <w:t>(95% CI)</w:t>
            </w:r>
          </w:p>
        </w:tc>
        <w:tc>
          <w:tcPr>
            <w:tcW w:w="629" w:type="pct"/>
            <w:vAlign w:val="center"/>
          </w:tcPr>
          <w:p w14:paraId="3DDE198F" w14:textId="77777777" w:rsidR="000F6F7F" w:rsidRPr="00DB70D1" w:rsidRDefault="000F6F7F" w:rsidP="00BB41D2">
            <w:pPr>
              <w:keepNext/>
              <w:keepLines/>
              <w:autoSpaceDE w:val="0"/>
              <w:autoSpaceDN w:val="0"/>
              <w:adjustRightInd w:val="0"/>
              <w:spacing w:before="40" w:after="40" w:line="240" w:lineRule="auto"/>
              <w:ind w:left="-108" w:right="-108"/>
              <w:jc w:val="center"/>
              <w:rPr>
                <w:rFonts w:cstheme="minorHAnsi"/>
                <w:b/>
                <w:lang w:val="en-GB"/>
              </w:rPr>
            </w:pPr>
            <w:r w:rsidRPr="00DB70D1">
              <w:rPr>
                <w:rFonts w:cstheme="minorHAnsi"/>
                <w:b/>
                <w:lang w:val="en-GB"/>
              </w:rPr>
              <w:t xml:space="preserve"> Afluria® Quad</w:t>
            </w:r>
            <w:r w:rsidRPr="00DB70D1">
              <w:rPr>
                <w:rFonts w:cstheme="minorHAnsi"/>
                <w:b/>
                <w:lang w:val="en-GB"/>
              </w:rPr>
              <w:br/>
              <w:t xml:space="preserve"> vaccine</w:t>
            </w:r>
          </w:p>
        </w:tc>
        <w:tc>
          <w:tcPr>
            <w:tcW w:w="618" w:type="pct"/>
            <w:vAlign w:val="center"/>
          </w:tcPr>
          <w:p w14:paraId="0C876449" w14:textId="77777777" w:rsidR="000F6F7F" w:rsidRPr="00DB70D1" w:rsidRDefault="000F6F7F" w:rsidP="00BB41D2">
            <w:pPr>
              <w:keepNext/>
              <w:keepLines/>
              <w:autoSpaceDE w:val="0"/>
              <w:autoSpaceDN w:val="0"/>
              <w:adjustRightInd w:val="0"/>
              <w:spacing w:before="40" w:after="40" w:line="240" w:lineRule="auto"/>
              <w:jc w:val="center"/>
              <w:rPr>
                <w:rFonts w:cstheme="minorHAnsi"/>
                <w:b/>
                <w:bCs/>
                <w:lang w:val="en-GB"/>
              </w:rPr>
            </w:pPr>
            <w:r w:rsidRPr="00DB70D1">
              <w:rPr>
                <w:rFonts w:cstheme="minorHAnsi"/>
                <w:b/>
                <w:bCs/>
                <w:lang w:val="en-GB"/>
              </w:rPr>
              <w:t xml:space="preserve">Pooled TIV or </w:t>
            </w:r>
            <w:r w:rsidRPr="00DB70D1">
              <w:rPr>
                <w:rFonts w:cstheme="minorHAnsi"/>
                <w:b/>
                <w:lang w:val="en-GB"/>
              </w:rPr>
              <w:t>TIV-1</w:t>
            </w:r>
            <w:r w:rsidRPr="00DB70D1">
              <w:rPr>
                <w:rFonts w:cstheme="minorHAnsi"/>
                <w:b/>
                <w:bCs/>
                <w:lang w:val="en-GB"/>
              </w:rPr>
              <w:t xml:space="preserve"> </w:t>
            </w:r>
          </w:p>
          <w:p w14:paraId="411EF61F" w14:textId="77777777" w:rsidR="000F6F7F" w:rsidRPr="00DB70D1" w:rsidRDefault="000F6F7F" w:rsidP="00BB41D2">
            <w:pPr>
              <w:keepNext/>
              <w:keepLines/>
              <w:autoSpaceDE w:val="0"/>
              <w:autoSpaceDN w:val="0"/>
              <w:adjustRightInd w:val="0"/>
              <w:spacing w:before="40" w:after="40" w:line="240" w:lineRule="auto"/>
              <w:jc w:val="center"/>
              <w:rPr>
                <w:rFonts w:cstheme="minorHAnsi"/>
                <w:b/>
                <w:lang w:val="en-GB"/>
              </w:rPr>
            </w:pPr>
            <w:r w:rsidRPr="00DB70D1">
              <w:rPr>
                <w:rFonts w:cstheme="minorHAnsi"/>
                <w:b/>
                <w:lang w:val="en-GB"/>
              </w:rPr>
              <w:t xml:space="preserve">(B Yam) </w:t>
            </w:r>
          </w:p>
          <w:p w14:paraId="5BD4E68A" w14:textId="77777777" w:rsidR="000F6F7F" w:rsidRPr="00DB70D1" w:rsidRDefault="000F6F7F" w:rsidP="00BB41D2">
            <w:pPr>
              <w:keepNext/>
              <w:keepLines/>
              <w:autoSpaceDE w:val="0"/>
              <w:autoSpaceDN w:val="0"/>
              <w:adjustRightInd w:val="0"/>
              <w:spacing w:before="40" w:after="40" w:line="240" w:lineRule="auto"/>
              <w:jc w:val="center"/>
              <w:rPr>
                <w:rFonts w:cstheme="minorHAnsi"/>
                <w:b/>
                <w:lang w:val="en-GB"/>
              </w:rPr>
            </w:pPr>
            <w:r w:rsidRPr="00DB70D1">
              <w:rPr>
                <w:rFonts w:cstheme="minorHAnsi"/>
                <w:b/>
                <w:lang w:val="en-GB"/>
              </w:rPr>
              <w:t>or</w:t>
            </w:r>
            <w:r w:rsidRPr="00DB70D1">
              <w:rPr>
                <w:rFonts w:cstheme="minorHAnsi"/>
                <w:b/>
                <w:bCs/>
                <w:lang w:val="en-GB"/>
              </w:rPr>
              <w:t xml:space="preserve"> </w:t>
            </w:r>
            <w:r w:rsidRPr="00DB70D1">
              <w:rPr>
                <w:rFonts w:cstheme="minorHAnsi"/>
                <w:b/>
                <w:lang w:val="en-GB"/>
              </w:rPr>
              <w:t xml:space="preserve">TIV-2 </w:t>
            </w:r>
          </w:p>
          <w:p w14:paraId="119D2FD3" w14:textId="77777777" w:rsidR="000F6F7F" w:rsidRPr="00DB70D1" w:rsidRDefault="000F6F7F" w:rsidP="00BB41D2">
            <w:pPr>
              <w:keepNext/>
              <w:keepLines/>
              <w:autoSpaceDE w:val="0"/>
              <w:autoSpaceDN w:val="0"/>
              <w:adjustRightInd w:val="0"/>
              <w:spacing w:before="40" w:after="40" w:line="240" w:lineRule="auto"/>
              <w:jc w:val="center"/>
              <w:rPr>
                <w:rFonts w:cstheme="minorHAnsi"/>
                <w:b/>
                <w:bCs/>
                <w:lang w:val="en-GB"/>
              </w:rPr>
            </w:pPr>
            <w:r w:rsidRPr="00DB70D1">
              <w:rPr>
                <w:rFonts w:cstheme="minorHAnsi"/>
                <w:b/>
                <w:lang w:val="en-GB"/>
              </w:rPr>
              <w:t>(B Vic)</w:t>
            </w:r>
          </w:p>
        </w:tc>
        <w:tc>
          <w:tcPr>
            <w:tcW w:w="668" w:type="pct"/>
            <w:vAlign w:val="center"/>
          </w:tcPr>
          <w:p w14:paraId="56407683" w14:textId="77777777" w:rsidR="000F6F7F" w:rsidRPr="00DB70D1" w:rsidRDefault="000F6F7F" w:rsidP="00BB41D2">
            <w:pPr>
              <w:keepNext/>
              <w:keepLines/>
              <w:autoSpaceDE w:val="0"/>
              <w:autoSpaceDN w:val="0"/>
              <w:adjustRightInd w:val="0"/>
              <w:spacing w:before="40" w:after="40" w:line="240" w:lineRule="auto"/>
              <w:jc w:val="center"/>
              <w:rPr>
                <w:rFonts w:cstheme="minorHAnsi"/>
                <w:b/>
                <w:lang w:val="en-GB"/>
              </w:rPr>
            </w:pPr>
            <w:r w:rsidRPr="00DB70D1">
              <w:rPr>
                <w:rFonts w:cstheme="minorHAnsi"/>
                <w:b/>
                <w:bCs/>
                <w:lang w:val="en-GB"/>
              </w:rPr>
              <w:t xml:space="preserve">Pooled TIV or </w:t>
            </w:r>
            <w:r w:rsidRPr="00DB70D1">
              <w:rPr>
                <w:rFonts w:cstheme="minorHAnsi"/>
                <w:b/>
                <w:lang w:val="en-GB"/>
              </w:rPr>
              <w:t>TIV-1</w:t>
            </w:r>
          </w:p>
          <w:p w14:paraId="020F56A9" w14:textId="77777777" w:rsidR="000F6F7F" w:rsidRPr="00DB70D1" w:rsidRDefault="000F6F7F" w:rsidP="00BB41D2">
            <w:pPr>
              <w:keepNext/>
              <w:keepLines/>
              <w:autoSpaceDE w:val="0"/>
              <w:autoSpaceDN w:val="0"/>
              <w:adjustRightInd w:val="0"/>
              <w:spacing w:before="40" w:after="40" w:line="240" w:lineRule="auto"/>
              <w:jc w:val="center"/>
              <w:rPr>
                <w:rFonts w:cstheme="minorHAnsi"/>
                <w:b/>
                <w:lang w:val="en-GB"/>
              </w:rPr>
            </w:pPr>
            <w:r w:rsidRPr="00DB70D1">
              <w:rPr>
                <w:rFonts w:cstheme="minorHAnsi"/>
                <w:b/>
                <w:lang w:val="en-GB"/>
              </w:rPr>
              <w:t>or</w:t>
            </w:r>
            <w:r w:rsidRPr="00DB70D1">
              <w:rPr>
                <w:rFonts w:cstheme="minorHAnsi"/>
                <w:b/>
                <w:bCs/>
                <w:lang w:val="en-GB"/>
              </w:rPr>
              <w:t xml:space="preserve"> </w:t>
            </w:r>
            <w:r w:rsidRPr="00DB70D1">
              <w:rPr>
                <w:rFonts w:cstheme="minorHAnsi"/>
                <w:b/>
                <w:lang w:val="en-GB"/>
              </w:rPr>
              <w:t xml:space="preserve">TIV-2 minus </w:t>
            </w:r>
          </w:p>
          <w:p w14:paraId="217C476C" w14:textId="77777777" w:rsidR="000F6F7F" w:rsidRPr="00DB70D1" w:rsidRDefault="000F6F7F" w:rsidP="00BB41D2">
            <w:pPr>
              <w:keepNext/>
              <w:keepLines/>
              <w:autoSpaceDE w:val="0"/>
              <w:autoSpaceDN w:val="0"/>
              <w:adjustRightInd w:val="0"/>
              <w:spacing w:before="40" w:after="40" w:line="240" w:lineRule="auto"/>
              <w:ind w:left="-108" w:right="-108"/>
              <w:jc w:val="center"/>
              <w:rPr>
                <w:rFonts w:cstheme="minorHAnsi"/>
                <w:b/>
                <w:lang w:val="en-GB"/>
              </w:rPr>
            </w:pPr>
            <w:r w:rsidRPr="00DB70D1">
              <w:rPr>
                <w:rFonts w:cstheme="minorHAnsi"/>
                <w:b/>
                <w:lang w:val="en-GB"/>
              </w:rPr>
              <w:t xml:space="preserve">Afluria® Quad vaccine </w:t>
            </w:r>
            <w:r w:rsidRPr="00DB70D1">
              <w:rPr>
                <w:rFonts w:cstheme="minorHAnsi"/>
                <w:b/>
                <w:lang w:val="en-GB"/>
              </w:rPr>
              <w:br/>
              <w:t>(95% CI)</w:t>
            </w:r>
          </w:p>
        </w:tc>
        <w:tc>
          <w:tcPr>
            <w:tcW w:w="546" w:type="pct"/>
            <w:vMerge/>
            <w:vAlign w:val="center"/>
          </w:tcPr>
          <w:p w14:paraId="37CCAC4A" w14:textId="77777777" w:rsidR="000F6F7F" w:rsidRPr="00DB70D1" w:rsidRDefault="000F6F7F" w:rsidP="00BB41D2">
            <w:pPr>
              <w:keepNext/>
              <w:keepLines/>
              <w:autoSpaceDE w:val="0"/>
              <w:autoSpaceDN w:val="0"/>
              <w:adjustRightInd w:val="0"/>
              <w:spacing w:before="40" w:after="40" w:line="240" w:lineRule="auto"/>
              <w:jc w:val="center"/>
              <w:rPr>
                <w:rFonts w:cstheme="minorHAnsi"/>
                <w:b/>
                <w:lang w:val="en-GB"/>
              </w:rPr>
            </w:pPr>
          </w:p>
        </w:tc>
      </w:tr>
      <w:tr w:rsidR="000F6F7F" w:rsidRPr="00DB70D1" w14:paraId="20A68C86" w14:textId="77777777" w:rsidTr="003922F0">
        <w:trPr>
          <w:trHeight w:val="567"/>
        </w:trPr>
        <w:tc>
          <w:tcPr>
            <w:tcW w:w="634" w:type="pct"/>
            <w:vAlign w:val="center"/>
          </w:tcPr>
          <w:p w14:paraId="3ECAEB26" w14:textId="77777777" w:rsidR="000F6F7F" w:rsidRPr="00DB70D1" w:rsidRDefault="000F6F7F" w:rsidP="00BB41D2">
            <w:pPr>
              <w:keepNext/>
              <w:keepLines/>
              <w:autoSpaceDE w:val="0"/>
              <w:autoSpaceDN w:val="0"/>
              <w:adjustRightInd w:val="0"/>
              <w:spacing w:before="40" w:after="40" w:line="240" w:lineRule="auto"/>
              <w:jc w:val="center"/>
              <w:rPr>
                <w:rFonts w:cstheme="minorHAnsi"/>
                <w:b/>
                <w:lang w:val="en-GB"/>
              </w:rPr>
            </w:pPr>
            <w:r w:rsidRPr="00DB70D1">
              <w:rPr>
                <w:rFonts w:cstheme="minorHAnsi"/>
                <w:b/>
                <w:lang w:val="en-GB"/>
              </w:rPr>
              <w:t>18 to &lt; 65 years</w:t>
            </w:r>
          </w:p>
        </w:tc>
        <w:tc>
          <w:tcPr>
            <w:tcW w:w="4366" w:type="pct"/>
            <w:gridSpan w:val="7"/>
            <w:vAlign w:val="center"/>
          </w:tcPr>
          <w:p w14:paraId="09ABD8BD"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b/>
              </w:rPr>
              <w:t>Afluria® Quad vaccine N=835, Pooled TIV N=845, TIV-1 N=424, TIV-2 N=421</w:t>
            </w:r>
          </w:p>
        </w:tc>
      </w:tr>
      <w:tr w:rsidR="000F6F7F" w:rsidRPr="00DB70D1" w14:paraId="2FE90F0C" w14:textId="77777777" w:rsidTr="003922F0">
        <w:trPr>
          <w:trHeight w:val="567"/>
        </w:trPr>
        <w:tc>
          <w:tcPr>
            <w:tcW w:w="634" w:type="pct"/>
            <w:vAlign w:val="center"/>
          </w:tcPr>
          <w:p w14:paraId="3069BD8F"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A/H1N1</w:t>
            </w:r>
          </w:p>
        </w:tc>
        <w:tc>
          <w:tcPr>
            <w:tcW w:w="630" w:type="pct"/>
            <w:vAlign w:val="center"/>
          </w:tcPr>
          <w:p w14:paraId="6399D85C"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432.7</w:t>
            </w:r>
          </w:p>
        </w:tc>
        <w:tc>
          <w:tcPr>
            <w:tcW w:w="630" w:type="pct"/>
            <w:vAlign w:val="center"/>
          </w:tcPr>
          <w:p w14:paraId="200E3138" w14:textId="77777777" w:rsidR="000F6F7F" w:rsidRPr="00DB70D1" w:rsidRDefault="000F6F7F" w:rsidP="00BB41D2">
            <w:pPr>
              <w:keepNext/>
              <w:keepLines/>
              <w:autoSpaceDE w:val="0"/>
              <w:autoSpaceDN w:val="0"/>
              <w:adjustRightInd w:val="0"/>
              <w:spacing w:before="40" w:after="40" w:line="240" w:lineRule="auto"/>
              <w:jc w:val="center"/>
              <w:rPr>
                <w:rFonts w:cstheme="minorHAnsi"/>
                <w:vertAlign w:val="superscript"/>
                <w:lang w:val="en-GB"/>
              </w:rPr>
            </w:pPr>
            <w:r w:rsidRPr="00DB70D1">
              <w:rPr>
                <w:rFonts w:cstheme="minorHAnsi"/>
                <w:lang w:val="en-GB"/>
              </w:rPr>
              <w:t>402.8</w:t>
            </w:r>
          </w:p>
        </w:tc>
        <w:tc>
          <w:tcPr>
            <w:tcW w:w="644" w:type="pct"/>
            <w:vAlign w:val="center"/>
          </w:tcPr>
          <w:p w14:paraId="5B82E51E"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0.93</w:t>
            </w:r>
            <w:r w:rsidRPr="00DB70D1">
              <w:rPr>
                <w:rFonts w:cstheme="minorHAnsi"/>
                <w:vertAlign w:val="superscript"/>
                <w:lang w:val="en-GB"/>
              </w:rPr>
              <w:t xml:space="preserve"> d</w:t>
            </w:r>
            <w:r w:rsidRPr="00DB70D1">
              <w:rPr>
                <w:rFonts w:cstheme="minorHAnsi"/>
                <w:lang w:val="en-GB"/>
              </w:rPr>
              <w:t xml:space="preserve"> </w:t>
            </w:r>
            <w:r w:rsidRPr="00DB70D1">
              <w:rPr>
                <w:rFonts w:cstheme="minorHAnsi"/>
                <w:lang w:val="en-GB"/>
              </w:rPr>
              <w:br/>
              <w:t>(0.85, 1.02)</w:t>
            </w:r>
          </w:p>
        </w:tc>
        <w:tc>
          <w:tcPr>
            <w:tcW w:w="629" w:type="pct"/>
            <w:vAlign w:val="center"/>
          </w:tcPr>
          <w:p w14:paraId="479C9D72"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51.3</w:t>
            </w:r>
          </w:p>
        </w:tc>
        <w:tc>
          <w:tcPr>
            <w:tcW w:w="618" w:type="pct"/>
            <w:vAlign w:val="center"/>
          </w:tcPr>
          <w:p w14:paraId="5E50E751" w14:textId="77777777" w:rsidR="000F6F7F" w:rsidRPr="00DB70D1" w:rsidRDefault="000F6F7F" w:rsidP="00BB41D2">
            <w:pPr>
              <w:keepNext/>
              <w:keepLines/>
              <w:autoSpaceDE w:val="0"/>
              <w:autoSpaceDN w:val="0"/>
              <w:adjustRightInd w:val="0"/>
              <w:spacing w:before="40" w:after="40" w:line="240" w:lineRule="auto"/>
              <w:jc w:val="center"/>
              <w:rPr>
                <w:rFonts w:cstheme="minorHAnsi"/>
                <w:vertAlign w:val="superscript"/>
                <w:lang w:val="en-GB"/>
              </w:rPr>
            </w:pPr>
            <w:r w:rsidRPr="00DB70D1">
              <w:rPr>
                <w:rFonts w:cstheme="minorHAnsi"/>
                <w:lang w:val="en-GB"/>
              </w:rPr>
              <w:t>49.1</w:t>
            </w:r>
          </w:p>
        </w:tc>
        <w:tc>
          <w:tcPr>
            <w:tcW w:w="668" w:type="pct"/>
            <w:vAlign w:val="center"/>
          </w:tcPr>
          <w:p w14:paraId="60C70483"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-2.1</w:t>
            </w:r>
            <w:r w:rsidRPr="00DB70D1">
              <w:rPr>
                <w:rFonts w:cstheme="minorHAnsi"/>
                <w:vertAlign w:val="superscript"/>
                <w:lang w:val="en-GB"/>
              </w:rPr>
              <w:t xml:space="preserve"> g</w:t>
            </w:r>
            <w:r w:rsidRPr="00DB70D1">
              <w:rPr>
                <w:rFonts w:cstheme="minorHAnsi"/>
                <w:lang w:val="en-GB"/>
              </w:rPr>
              <w:t xml:space="preserve"> </w:t>
            </w:r>
            <w:r w:rsidRPr="00DB70D1">
              <w:rPr>
                <w:rFonts w:cstheme="minorHAnsi"/>
                <w:lang w:val="en-GB"/>
              </w:rPr>
              <w:br/>
              <w:t>(-6.9, 2.7)</w:t>
            </w:r>
          </w:p>
        </w:tc>
        <w:tc>
          <w:tcPr>
            <w:tcW w:w="546" w:type="pct"/>
            <w:vAlign w:val="center"/>
          </w:tcPr>
          <w:p w14:paraId="4E04F99E"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Yes</w:t>
            </w:r>
          </w:p>
        </w:tc>
      </w:tr>
      <w:tr w:rsidR="000F6F7F" w:rsidRPr="00DB70D1" w14:paraId="72EC74B1" w14:textId="77777777" w:rsidTr="003922F0">
        <w:trPr>
          <w:trHeight w:val="567"/>
        </w:trPr>
        <w:tc>
          <w:tcPr>
            <w:tcW w:w="634" w:type="pct"/>
            <w:vAlign w:val="center"/>
          </w:tcPr>
          <w:p w14:paraId="1AF30160"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A/H3N2</w:t>
            </w:r>
          </w:p>
        </w:tc>
        <w:tc>
          <w:tcPr>
            <w:tcW w:w="630" w:type="pct"/>
            <w:vAlign w:val="center"/>
          </w:tcPr>
          <w:p w14:paraId="77887452"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569.1</w:t>
            </w:r>
          </w:p>
        </w:tc>
        <w:tc>
          <w:tcPr>
            <w:tcW w:w="630" w:type="pct"/>
            <w:vAlign w:val="center"/>
          </w:tcPr>
          <w:p w14:paraId="48E373B0" w14:textId="77777777" w:rsidR="000F6F7F" w:rsidRPr="00DB70D1" w:rsidRDefault="000F6F7F" w:rsidP="00BB41D2">
            <w:pPr>
              <w:keepNext/>
              <w:keepLines/>
              <w:autoSpaceDE w:val="0"/>
              <w:autoSpaceDN w:val="0"/>
              <w:adjustRightInd w:val="0"/>
              <w:spacing w:before="40" w:after="40" w:line="240" w:lineRule="auto"/>
              <w:jc w:val="center"/>
              <w:rPr>
                <w:rFonts w:cstheme="minorHAnsi"/>
                <w:vertAlign w:val="superscript"/>
                <w:lang w:val="en-GB"/>
              </w:rPr>
            </w:pPr>
            <w:r w:rsidRPr="00DB70D1">
              <w:rPr>
                <w:rFonts w:cstheme="minorHAnsi"/>
                <w:lang w:val="en-GB"/>
              </w:rPr>
              <w:t>515.1</w:t>
            </w:r>
          </w:p>
        </w:tc>
        <w:tc>
          <w:tcPr>
            <w:tcW w:w="644" w:type="pct"/>
            <w:vAlign w:val="center"/>
          </w:tcPr>
          <w:p w14:paraId="58D9F131"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0.91</w:t>
            </w:r>
            <w:r w:rsidRPr="00DB70D1">
              <w:rPr>
                <w:rFonts w:cstheme="minorHAnsi"/>
                <w:vertAlign w:val="superscript"/>
                <w:lang w:val="en-GB"/>
              </w:rPr>
              <w:t xml:space="preserve"> d</w:t>
            </w:r>
            <w:r w:rsidRPr="00DB70D1">
              <w:rPr>
                <w:rFonts w:cstheme="minorHAnsi"/>
                <w:lang w:val="en-GB"/>
              </w:rPr>
              <w:t xml:space="preserve"> </w:t>
            </w:r>
            <w:r w:rsidRPr="00DB70D1">
              <w:rPr>
                <w:rFonts w:cstheme="minorHAnsi"/>
                <w:lang w:val="en-GB"/>
              </w:rPr>
              <w:br/>
              <w:t>(0.83, 0.99)</w:t>
            </w:r>
          </w:p>
        </w:tc>
        <w:tc>
          <w:tcPr>
            <w:tcW w:w="629" w:type="pct"/>
            <w:vAlign w:val="center"/>
          </w:tcPr>
          <w:p w14:paraId="3C06BEDD"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56.3</w:t>
            </w:r>
          </w:p>
        </w:tc>
        <w:tc>
          <w:tcPr>
            <w:tcW w:w="618" w:type="pct"/>
            <w:vAlign w:val="center"/>
          </w:tcPr>
          <w:p w14:paraId="69D50ADC" w14:textId="77777777" w:rsidR="000F6F7F" w:rsidRPr="00DB70D1" w:rsidRDefault="000F6F7F" w:rsidP="00BB41D2">
            <w:pPr>
              <w:keepNext/>
              <w:keepLines/>
              <w:autoSpaceDE w:val="0"/>
              <w:autoSpaceDN w:val="0"/>
              <w:adjustRightInd w:val="0"/>
              <w:spacing w:before="40" w:after="40" w:line="240" w:lineRule="auto"/>
              <w:jc w:val="center"/>
              <w:rPr>
                <w:rFonts w:cstheme="minorHAnsi"/>
                <w:vertAlign w:val="superscript"/>
                <w:lang w:val="en-GB"/>
              </w:rPr>
            </w:pPr>
            <w:r w:rsidRPr="00DB70D1">
              <w:rPr>
                <w:rFonts w:cstheme="minorHAnsi"/>
                <w:lang w:val="en-GB"/>
              </w:rPr>
              <w:t>51.7</w:t>
            </w:r>
          </w:p>
        </w:tc>
        <w:tc>
          <w:tcPr>
            <w:tcW w:w="668" w:type="pct"/>
            <w:vAlign w:val="center"/>
          </w:tcPr>
          <w:p w14:paraId="2D0E8D50"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-4.6</w:t>
            </w:r>
            <w:r w:rsidRPr="00DB70D1">
              <w:rPr>
                <w:rFonts w:cstheme="minorHAnsi"/>
                <w:vertAlign w:val="superscript"/>
                <w:lang w:val="en-GB"/>
              </w:rPr>
              <w:t xml:space="preserve"> g</w:t>
            </w:r>
            <w:r w:rsidRPr="00DB70D1">
              <w:rPr>
                <w:rFonts w:cstheme="minorHAnsi"/>
                <w:lang w:val="en-GB"/>
              </w:rPr>
              <w:t xml:space="preserve"> </w:t>
            </w:r>
            <w:r w:rsidRPr="00DB70D1">
              <w:rPr>
                <w:rFonts w:cstheme="minorHAnsi"/>
                <w:lang w:val="en-GB"/>
              </w:rPr>
              <w:br/>
              <w:t>(-9.4, 0.2)</w:t>
            </w:r>
          </w:p>
        </w:tc>
        <w:tc>
          <w:tcPr>
            <w:tcW w:w="546" w:type="pct"/>
            <w:vAlign w:val="center"/>
          </w:tcPr>
          <w:p w14:paraId="2250056A"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Yes</w:t>
            </w:r>
          </w:p>
        </w:tc>
      </w:tr>
      <w:tr w:rsidR="000F6F7F" w:rsidRPr="00DB70D1" w14:paraId="56C9D5CD" w14:textId="77777777" w:rsidTr="003922F0">
        <w:trPr>
          <w:trHeight w:val="567"/>
        </w:trPr>
        <w:tc>
          <w:tcPr>
            <w:tcW w:w="634" w:type="pct"/>
            <w:vAlign w:val="center"/>
          </w:tcPr>
          <w:p w14:paraId="7445AB8D"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B/YAM</w:t>
            </w:r>
          </w:p>
        </w:tc>
        <w:tc>
          <w:tcPr>
            <w:tcW w:w="630" w:type="pct"/>
            <w:vAlign w:val="center"/>
          </w:tcPr>
          <w:p w14:paraId="2FD326CD"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92.3</w:t>
            </w:r>
          </w:p>
        </w:tc>
        <w:tc>
          <w:tcPr>
            <w:tcW w:w="630" w:type="pct"/>
            <w:vAlign w:val="center"/>
          </w:tcPr>
          <w:p w14:paraId="52845393" w14:textId="77777777" w:rsidR="000F6F7F" w:rsidRPr="00DB70D1" w:rsidRDefault="000F6F7F" w:rsidP="00BB41D2">
            <w:pPr>
              <w:keepNext/>
              <w:keepLines/>
              <w:autoSpaceDE w:val="0"/>
              <w:autoSpaceDN w:val="0"/>
              <w:adjustRightInd w:val="0"/>
              <w:spacing w:before="40" w:after="40" w:line="240" w:lineRule="auto"/>
              <w:jc w:val="center"/>
              <w:rPr>
                <w:rFonts w:cstheme="minorHAnsi"/>
                <w:vertAlign w:val="superscript"/>
                <w:lang w:val="en-GB"/>
              </w:rPr>
            </w:pPr>
            <w:r w:rsidRPr="00DB70D1">
              <w:rPr>
                <w:rFonts w:cstheme="minorHAnsi"/>
                <w:lang w:val="en-GB"/>
              </w:rPr>
              <w:t>79.3</w:t>
            </w:r>
          </w:p>
        </w:tc>
        <w:tc>
          <w:tcPr>
            <w:tcW w:w="644" w:type="pct"/>
            <w:vAlign w:val="center"/>
          </w:tcPr>
          <w:p w14:paraId="398704B8"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0.86</w:t>
            </w:r>
            <w:r w:rsidRPr="00DB70D1">
              <w:rPr>
                <w:rFonts w:cstheme="minorHAnsi"/>
                <w:vertAlign w:val="superscript"/>
                <w:lang w:val="en-GB"/>
              </w:rPr>
              <w:t xml:space="preserve"> e</w:t>
            </w:r>
            <w:r w:rsidRPr="00DB70D1">
              <w:rPr>
                <w:rFonts w:cstheme="minorHAnsi"/>
                <w:lang w:val="en-GB"/>
              </w:rPr>
              <w:t xml:space="preserve"> </w:t>
            </w:r>
            <w:r w:rsidRPr="00DB70D1">
              <w:rPr>
                <w:rFonts w:cstheme="minorHAnsi"/>
                <w:lang w:val="en-GB"/>
              </w:rPr>
              <w:br/>
              <w:t>(0.76, 0.97)</w:t>
            </w:r>
          </w:p>
        </w:tc>
        <w:tc>
          <w:tcPr>
            <w:tcW w:w="629" w:type="pct"/>
            <w:vAlign w:val="center"/>
          </w:tcPr>
          <w:p w14:paraId="0BCCEA47"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45.7</w:t>
            </w:r>
          </w:p>
        </w:tc>
        <w:tc>
          <w:tcPr>
            <w:tcW w:w="618" w:type="pct"/>
            <w:vAlign w:val="center"/>
          </w:tcPr>
          <w:p w14:paraId="4F445AB1" w14:textId="77777777" w:rsidR="000F6F7F" w:rsidRPr="00DB70D1" w:rsidRDefault="000F6F7F" w:rsidP="00BB41D2">
            <w:pPr>
              <w:keepNext/>
              <w:keepLines/>
              <w:autoSpaceDE w:val="0"/>
              <w:autoSpaceDN w:val="0"/>
              <w:adjustRightInd w:val="0"/>
              <w:spacing w:before="40" w:after="40" w:line="240" w:lineRule="auto"/>
              <w:jc w:val="center"/>
              <w:rPr>
                <w:rFonts w:cstheme="minorHAnsi"/>
                <w:vertAlign w:val="superscript"/>
                <w:lang w:val="en-GB"/>
              </w:rPr>
            </w:pPr>
            <w:r w:rsidRPr="00DB70D1">
              <w:rPr>
                <w:rFonts w:cstheme="minorHAnsi"/>
                <w:lang w:val="en-GB"/>
              </w:rPr>
              <w:t>41.3</w:t>
            </w:r>
          </w:p>
        </w:tc>
        <w:tc>
          <w:tcPr>
            <w:tcW w:w="668" w:type="pct"/>
            <w:vAlign w:val="center"/>
          </w:tcPr>
          <w:p w14:paraId="0C581B49"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-4.5</w:t>
            </w:r>
            <w:r w:rsidRPr="00DB70D1">
              <w:rPr>
                <w:rFonts w:cstheme="minorHAnsi"/>
                <w:vertAlign w:val="superscript"/>
                <w:lang w:val="en-GB"/>
              </w:rPr>
              <w:t xml:space="preserve"> h</w:t>
            </w:r>
            <w:r w:rsidRPr="00DB70D1">
              <w:rPr>
                <w:rFonts w:cstheme="minorHAnsi"/>
                <w:lang w:val="en-GB"/>
              </w:rPr>
              <w:t xml:space="preserve"> </w:t>
            </w:r>
            <w:r w:rsidRPr="00DB70D1">
              <w:rPr>
                <w:rFonts w:cstheme="minorHAnsi"/>
                <w:lang w:val="en-GB"/>
              </w:rPr>
              <w:br/>
              <w:t>(-10.3, 1.4)</w:t>
            </w:r>
          </w:p>
        </w:tc>
        <w:tc>
          <w:tcPr>
            <w:tcW w:w="546" w:type="pct"/>
            <w:vAlign w:val="center"/>
          </w:tcPr>
          <w:p w14:paraId="2B1B70F9"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Yes</w:t>
            </w:r>
          </w:p>
        </w:tc>
      </w:tr>
      <w:tr w:rsidR="000F6F7F" w:rsidRPr="00DB70D1" w14:paraId="79ED658A" w14:textId="77777777" w:rsidTr="003922F0">
        <w:trPr>
          <w:trHeight w:val="567"/>
        </w:trPr>
        <w:tc>
          <w:tcPr>
            <w:tcW w:w="634" w:type="pct"/>
            <w:vAlign w:val="center"/>
          </w:tcPr>
          <w:p w14:paraId="181BEF0B"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B/VIC</w:t>
            </w:r>
          </w:p>
        </w:tc>
        <w:tc>
          <w:tcPr>
            <w:tcW w:w="630" w:type="pct"/>
            <w:vAlign w:val="center"/>
          </w:tcPr>
          <w:p w14:paraId="02AE3D1C"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110.7</w:t>
            </w:r>
          </w:p>
        </w:tc>
        <w:tc>
          <w:tcPr>
            <w:tcW w:w="630" w:type="pct"/>
            <w:vAlign w:val="center"/>
          </w:tcPr>
          <w:p w14:paraId="716B12EA" w14:textId="77777777" w:rsidR="000F6F7F" w:rsidRPr="00DB70D1" w:rsidRDefault="000F6F7F" w:rsidP="00BB41D2">
            <w:pPr>
              <w:keepNext/>
              <w:keepLines/>
              <w:autoSpaceDE w:val="0"/>
              <w:autoSpaceDN w:val="0"/>
              <w:adjustRightInd w:val="0"/>
              <w:spacing w:before="40" w:after="40" w:line="240" w:lineRule="auto"/>
              <w:jc w:val="center"/>
              <w:rPr>
                <w:rFonts w:cstheme="minorHAnsi"/>
                <w:vertAlign w:val="superscript"/>
                <w:lang w:val="en-GB"/>
              </w:rPr>
            </w:pPr>
            <w:r w:rsidRPr="00DB70D1">
              <w:rPr>
                <w:rFonts w:cstheme="minorHAnsi"/>
                <w:lang w:val="en-GB"/>
              </w:rPr>
              <w:t>95.2</w:t>
            </w:r>
          </w:p>
        </w:tc>
        <w:tc>
          <w:tcPr>
            <w:tcW w:w="644" w:type="pct"/>
            <w:vAlign w:val="center"/>
          </w:tcPr>
          <w:p w14:paraId="33C1A09C"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0.86</w:t>
            </w:r>
            <w:r w:rsidRPr="00DB70D1">
              <w:rPr>
                <w:rFonts w:cstheme="minorHAnsi"/>
                <w:vertAlign w:val="superscript"/>
                <w:lang w:val="en-GB"/>
              </w:rPr>
              <w:t xml:space="preserve"> f</w:t>
            </w:r>
            <w:r w:rsidRPr="00DB70D1">
              <w:rPr>
                <w:rFonts w:cstheme="minorHAnsi"/>
                <w:lang w:val="en-GB"/>
              </w:rPr>
              <w:t xml:space="preserve"> </w:t>
            </w:r>
            <w:r w:rsidRPr="00DB70D1">
              <w:rPr>
                <w:rFonts w:cstheme="minorHAnsi"/>
                <w:lang w:val="en-GB"/>
              </w:rPr>
              <w:br/>
              <w:t>(0.76, 0.98)</w:t>
            </w:r>
          </w:p>
        </w:tc>
        <w:tc>
          <w:tcPr>
            <w:tcW w:w="629" w:type="pct"/>
            <w:vAlign w:val="center"/>
          </w:tcPr>
          <w:p w14:paraId="263B45FC"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57.6</w:t>
            </w:r>
          </w:p>
        </w:tc>
        <w:tc>
          <w:tcPr>
            <w:tcW w:w="618" w:type="pct"/>
            <w:vAlign w:val="center"/>
          </w:tcPr>
          <w:p w14:paraId="4AF888B2" w14:textId="77777777" w:rsidR="000F6F7F" w:rsidRPr="00DB70D1" w:rsidRDefault="000F6F7F" w:rsidP="00BB41D2">
            <w:pPr>
              <w:keepNext/>
              <w:keepLines/>
              <w:autoSpaceDE w:val="0"/>
              <w:autoSpaceDN w:val="0"/>
              <w:adjustRightInd w:val="0"/>
              <w:spacing w:before="40" w:after="40" w:line="240" w:lineRule="auto"/>
              <w:jc w:val="center"/>
              <w:rPr>
                <w:rFonts w:cstheme="minorHAnsi"/>
                <w:vertAlign w:val="superscript"/>
                <w:lang w:val="en-GB"/>
              </w:rPr>
            </w:pPr>
            <w:r w:rsidRPr="00DB70D1">
              <w:rPr>
                <w:rFonts w:cstheme="minorHAnsi"/>
                <w:lang w:val="en-GB"/>
              </w:rPr>
              <w:t>53.0</w:t>
            </w:r>
          </w:p>
        </w:tc>
        <w:tc>
          <w:tcPr>
            <w:tcW w:w="668" w:type="pct"/>
            <w:vAlign w:val="center"/>
          </w:tcPr>
          <w:p w14:paraId="3BA0FEB0"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-4.6</w:t>
            </w:r>
            <w:r w:rsidRPr="00DB70D1">
              <w:rPr>
                <w:rFonts w:cstheme="minorHAnsi"/>
                <w:vertAlign w:val="superscript"/>
                <w:lang w:val="en-GB"/>
              </w:rPr>
              <w:t xml:space="preserve"> </w:t>
            </w:r>
            <w:proofErr w:type="spellStart"/>
            <w:r w:rsidRPr="00DB70D1">
              <w:rPr>
                <w:rFonts w:cstheme="minorHAnsi"/>
                <w:vertAlign w:val="superscript"/>
                <w:lang w:val="en-GB"/>
              </w:rPr>
              <w:t>i</w:t>
            </w:r>
            <w:proofErr w:type="spellEnd"/>
            <w:r w:rsidRPr="00DB70D1">
              <w:rPr>
                <w:rFonts w:cstheme="minorHAnsi"/>
                <w:lang w:val="en-GB"/>
              </w:rPr>
              <w:t xml:space="preserve"> </w:t>
            </w:r>
            <w:r w:rsidRPr="00DB70D1">
              <w:rPr>
                <w:rFonts w:cstheme="minorHAnsi"/>
                <w:lang w:val="en-GB"/>
              </w:rPr>
              <w:br/>
              <w:t>(-10.5, 1.2)</w:t>
            </w:r>
          </w:p>
        </w:tc>
        <w:tc>
          <w:tcPr>
            <w:tcW w:w="546" w:type="pct"/>
            <w:vAlign w:val="center"/>
          </w:tcPr>
          <w:p w14:paraId="2A57809A"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Yes</w:t>
            </w:r>
          </w:p>
        </w:tc>
      </w:tr>
      <w:tr w:rsidR="000F6F7F" w:rsidRPr="00DB70D1" w14:paraId="3375F239" w14:textId="77777777" w:rsidTr="003922F0">
        <w:trPr>
          <w:trHeight w:val="567"/>
        </w:trPr>
        <w:tc>
          <w:tcPr>
            <w:tcW w:w="634" w:type="pct"/>
            <w:vAlign w:val="center"/>
          </w:tcPr>
          <w:p w14:paraId="235D57EB" w14:textId="77777777" w:rsidR="000F6F7F" w:rsidRPr="00DB70D1" w:rsidRDefault="000F6F7F" w:rsidP="00BB41D2">
            <w:pPr>
              <w:keepNext/>
              <w:keepLines/>
              <w:autoSpaceDE w:val="0"/>
              <w:autoSpaceDN w:val="0"/>
              <w:adjustRightInd w:val="0"/>
              <w:spacing w:before="40" w:after="40" w:line="240" w:lineRule="auto"/>
              <w:jc w:val="center"/>
              <w:rPr>
                <w:rFonts w:cstheme="minorHAnsi"/>
                <w:b/>
                <w:lang w:val="en-GB"/>
              </w:rPr>
            </w:pPr>
            <w:r w:rsidRPr="00DB70D1">
              <w:rPr>
                <w:rFonts w:cstheme="minorHAnsi"/>
                <w:b/>
                <w:lang w:val="en-GB"/>
              </w:rPr>
              <w:t>≥ 65 years</w:t>
            </w:r>
          </w:p>
        </w:tc>
        <w:tc>
          <w:tcPr>
            <w:tcW w:w="4366" w:type="pct"/>
            <w:gridSpan w:val="7"/>
            <w:vAlign w:val="center"/>
          </w:tcPr>
          <w:p w14:paraId="4F02A4B7"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b/>
              </w:rPr>
              <w:t>Afluria® Quad vaccine N=856, Pooled TIV N=859, TIV-1 N=430, TIV-2 N=429</w:t>
            </w:r>
          </w:p>
        </w:tc>
      </w:tr>
      <w:tr w:rsidR="000F6F7F" w:rsidRPr="00DB70D1" w14:paraId="49C72477" w14:textId="77777777" w:rsidTr="003922F0">
        <w:trPr>
          <w:trHeight w:val="567"/>
        </w:trPr>
        <w:tc>
          <w:tcPr>
            <w:tcW w:w="634" w:type="pct"/>
            <w:vAlign w:val="center"/>
          </w:tcPr>
          <w:p w14:paraId="4EDA4435"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A/H1N1</w:t>
            </w:r>
          </w:p>
        </w:tc>
        <w:tc>
          <w:tcPr>
            <w:tcW w:w="630" w:type="pct"/>
            <w:vAlign w:val="center"/>
          </w:tcPr>
          <w:p w14:paraId="26777461"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211.4</w:t>
            </w:r>
          </w:p>
        </w:tc>
        <w:tc>
          <w:tcPr>
            <w:tcW w:w="630" w:type="pct"/>
            <w:vAlign w:val="center"/>
          </w:tcPr>
          <w:p w14:paraId="4FB87FE2"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199.8</w:t>
            </w:r>
          </w:p>
        </w:tc>
        <w:tc>
          <w:tcPr>
            <w:tcW w:w="644" w:type="pct"/>
            <w:vAlign w:val="center"/>
          </w:tcPr>
          <w:p w14:paraId="740EE85A"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0.95</w:t>
            </w:r>
            <w:r w:rsidRPr="00DB70D1">
              <w:rPr>
                <w:rFonts w:cstheme="minorHAnsi"/>
                <w:vertAlign w:val="superscript"/>
                <w:lang w:val="en-GB"/>
              </w:rPr>
              <w:t xml:space="preserve"> d</w:t>
            </w:r>
            <w:r w:rsidRPr="00DB70D1">
              <w:rPr>
                <w:rFonts w:cstheme="minorHAnsi"/>
                <w:lang w:val="en-GB"/>
              </w:rPr>
              <w:t xml:space="preserve"> </w:t>
            </w:r>
            <w:r w:rsidRPr="00DB70D1">
              <w:rPr>
                <w:rFonts w:cstheme="minorHAnsi"/>
                <w:lang w:val="en-GB"/>
              </w:rPr>
              <w:br/>
              <w:t>(0.88, 1.02)</w:t>
            </w:r>
          </w:p>
        </w:tc>
        <w:tc>
          <w:tcPr>
            <w:tcW w:w="629" w:type="pct"/>
            <w:vAlign w:val="center"/>
          </w:tcPr>
          <w:p w14:paraId="7AF4AA12"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26.6</w:t>
            </w:r>
          </w:p>
        </w:tc>
        <w:tc>
          <w:tcPr>
            <w:tcW w:w="618" w:type="pct"/>
            <w:vAlign w:val="center"/>
          </w:tcPr>
          <w:p w14:paraId="172D6B9A"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26.4</w:t>
            </w:r>
          </w:p>
        </w:tc>
        <w:tc>
          <w:tcPr>
            <w:tcW w:w="668" w:type="pct"/>
            <w:vAlign w:val="center"/>
          </w:tcPr>
          <w:p w14:paraId="4485BE8C"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-0.2</w:t>
            </w:r>
            <w:r w:rsidRPr="00DB70D1">
              <w:rPr>
                <w:rFonts w:cstheme="minorHAnsi"/>
                <w:vertAlign w:val="superscript"/>
                <w:lang w:val="en-GB"/>
              </w:rPr>
              <w:t xml:space="preserve"> g</w:t>
            </w:r>
            <w:r w:rsidRPr="00DB70D1">
              <w:rPr>
                <w:rFonts w:cstheme="minorHAnsi"/>
                <w:lang w:val="en-GB"/>
              </w:rPr>
              <w:t xml:space="preserve"> </w:t>
            </w:r>
            <w:r w:rsidRPr="00DB70D1">
              <w:rPr>
                <w:rFonts w:cstheme="minorHAnsi"/>
                <w:lang w:val="en-GB"/>
              </w:rPr>
              <w:br/>
              <w:t>(-5.0, 4.5)</w:t>
            </w:r>
          </w:p>
        </w:tc>
        <w:tc>
          <w:tcPr>
            <w:tcW w:w="546" w:type="pct"/>
            <w:vAlign w:val="center"/>
          </w:tcPr>
          <w:p w14:paraId="59EBE543"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Yes</w:t>
            </w:r>
          </w:p>
        </w:tc>
      </w:tr>
      <w:tr w:rsidR="000F6F7F" w:rsidRPr="00DB70D1" w14:paraId="009CAD47" w14:textId="77777777" w:rsidTr="003922F0">
        <w:trPr>
          <w:trHeight w:val="567"/>
        </w:trPr>
        <w:tc>
          <w:tcPr>
            <w:tcW w:w="634" w:type="pct"/>
            <w:vAlign w:val="center"/>
          </w:tcPr>
          <w:p w14:paraId="77CEBCFF"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A/H3N2</w:t>
            </w:r>
          </w:p>
        </w:tc>
        <w:tc>
          <w:tcPr>
            <w:tcW w:w="630" w:type="pct"/>
            <w:vAlign w:val="center"/>
          </w:tcPr>
          <w:p w14:paraId="513585B0"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419.5</w:t>
            </w:r>
          </w:p>
        </w:tc>
        <w:tc>
          <w:tcPr>
            <w:tcW w:w="630" w:type="pct"/>
            <w:vAlign w:val="center"/>
          </w:tcPr>
          <w:p w14:paraId="0D567EF1"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400.0</w:t>
            </w:r>
          </w:p>
        </w:tc>
        <w:tc>
          <w:tcPr>
            <w:tcW w:w="644" w:type="pct"/>
            <w:vAlign w:val="center"/>
          </w:tcPr>
          <w:p w14:paraId="4A509A66"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0.95</w:t>
            </w:r>
            <w:r w:rsidRPr="00DB70D1">
              <w:rPr>
                <w:rFonts w:cstheme="minorHAnsi"/>
                <w:vertAlign w:val="superscript"/>
                <w:lang w:val="en-GB"/>
              </w:rPr>
              <w:t xml:space="preserve"> d</w:t>
            </w:r>
            <w:r w:rsidRPr="00DB70D1">
              <w:rPr>
                <w:rFonts w:cstheme="minorHAnsi"/>
                <w:lang w:val="en-GB"/>
              </w:rPr>
              <w:t xml:space="preserve"> </w:t>
            </w:r>
            <w:r w:rsidRPr="00DB70D1">
              <w:rPr>
                <w:rFonts w:cstheme="minorHAnsi"/>
                <w:lang w:val="en-GB"/>
              </w:rPr>
              <w:br/>
              <w:t>(0.89, 1.02)</w:t>
            </w:r>
          </w:p>
        </w:tc>
        <w:tc>
          <w:tcPr>
            <w:tcW w:w="629" w:type="pct"/>
            <w:vAlign w:val="center"/>
          </w:tcPr>
          <w:p w14:paraId="11401366"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25.9</w:t>
            </w:r>
          </w:p>
        </w:tc>
        <w:tc>
          <w:tcPr>
            <w:tcW w:w="618" w:type="pct"/>
            <w:vAlign w:val="center"/>
          </w:tcPr>
          <w:p w14:paraId="6234E973"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27.0</w:t>
            </w:r>
          </w:p>
        </w:tc>
        <w:tc>
          <w:tcPr>
            <w:tcW w:w="668" w:type="pct"/>
            <w:vAlign w:val="center"/>
          </w:tcPr>
          <w:p w14:paraId="22ECBFDD"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1.1</w:t>
            </w:r>
            <w:r w:rsidRPr="00DB70D1">
              <w:rPr>
                <w:rFonts w:cstheme="minorHAnsi"/>
                <w:vertAlign w:val="superscript"/>
                <w:lang w:val="en-GB"/>
              </w:rPr>
              <w:t xml:space="preserve"> g</w:t>
            </w:r>
            <w:r w:rsidRPr="00DB70D1">
              <w:rPr>
                <w:rFonts w:cstheme="minorHAnsi"/>
                <w:lang w:val="en-GB"/>
              </w:rPr>
              <w:t xml:space="preserve"> </w:t>
            </w:r>
            <w:r w:rsidRPr="00DB70D1">
              <w:rPr>
                <w:rFonts w:cstheme="minorHAnsi"/>
                <w:lang w:val="en-GB"/>
              </w:rPr>
              <w:br/>
              <w:t>(-3.7, 5.8)</w:t>
            </w:r>
          </w:p>
        </w:tc>
        <w:tc>
          <w:tcPr>
            <w:tcW w:w="546" w:type="pct"/>
            <w:vAlign w:val="center"/>
          </w:tcPr>
          <w:p w14:paraId="6F894804"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Yes</w:t>
            </w:r>
          </w:p>
        </w:tc>
      </w:tr>
      <w:tr w:rsidR="000F6F7F" w:rsidRPr="00DB70D1" w14:paraId="4E51144B" w14:textId="77777777" w:rsidTr="003922F0">
        <w:trPr>
          <w:trHeight w:val="567"/>
        </w:trPr>
        <w:tc>
          <w:tcPr>
            <w:tcW w:w="634" w:type="pct"/>
            <w:vAlign w:val="center"/>
          </w:tcPr>
          <w:p w14:paraId="15B03EF5"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B/YAM</w:t>
            </w:r>
          </w:p>
        </w:tc>
        <w:tc>
          <w:tcPr>
            <w:tcW w:w="630" w:type="pct"/>
            <w:vAlign w:val="center"/>
          </w:tcPr>
          <w:p w14:paraId="256BFF65"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43.3</w:t>
            </w:r>
          </w:p>
        </w:tc>
        <w:tc>
          <w:tcPr>
            <w:tcW w:w="630" w:type="pct"/>
            <w:vAlign w:val="center"/>
          </w:tcPr>
          <w:p w14:paraId="3B31821F"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39.1</w:t>
            </w:r>
          </w:p>
        </w:tc>
        <w:tc>
          <w:tcPr>
            <w:tcW w:w="644" w:type="pct"/>
            <w:vAlign w:val="center"/>
          </w:tcPr>
          <w:p w14:paraId="7559B8D6"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0.90</w:t>
            </w:r>
            <w:r w:rsidRPr="00DB70D1">
              <w:rPr>
                <w:rFonts w:cstheme="minorHAnsi"/>
                <w:vertAlign w:val="superscript"/>
                <w:lang w:val="en-GB"/>
              </w:rPr>
              <w:t xml:space="preserve"> e</w:t>
            </w:r>
            <w:r w:rsidRPr="00DB70D1">
              <w:rPr>
                <w:rFonts w:cstheme="minorHAnsi"/>
                <w:lang w:val="en-GB"/>
              </w:rPr>
              <w:br/>
              <w:t>(0.84, 0.97)</w:t>
            </w:r>
          </w:p>
        </w:tc>
        <w:tc>
          <w:tcPr>
            <w:tcW w:w="629" w:type="pct"/>
            <w:vAlign w:val="center"/>
          </w:tcPr>
          <w:p w14:paraId="0E14DC89"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16.6</w:t>
            </w:r>
          </w:p>
        </w:tc>
        <w:tc>
          <w:tcPr>
            <w:tcW w:w="618" w:type="pct"/>
            <w:vAlign w:val="center"/>
          </w:tcPr>
          <w:p w14:paraId="515D31BC"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14.4</w:t>
            </w:r>
          </w:p>
        </w:tc>
        <w:tc>
          <w:tcPr>
            <w:tcW w:w="668" w:type="pct"/>
            <w:vAlign w:val="center"/>
          </w:tcPr>
          <w:p w14:paraId="7F49DB73"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-2.2</w:t>
            </w:r>
            <w:r w:rsidRPr="00DB70D1">
              <w:rPr>
                <w:rFonts w:cstheme="minorHAnsi"/>
                <w:vertAlign w:val="superscript"/>
                <w:lang w:val="en-GB"/>
              </w:rPr>
              <w:t xml:space="preserve"> h</w:t>
            </w:r>
            <w:r w:rsidRPr="00DB70D1">
              <w:rPr>
                <w:rFonts w:cstheme="minorHAnsi"/>
                <w:lang w:val="en-GB"/>
              </w:rPr>
              <w:t xml:space="preserve"> </w:t>
            </w:r>
            <w:r w:rsidRPr="00DB70D1">
              <w:rPr>
                <w:rFonts w:cstheme="minorHAnsi"/>
                <w:lang w:val="en-GB"/>
              </w:rPr>
              <w:br/>
              <w:t>(-8.0, 3.6)</w:t>
            </w:r>
          </w:p>
        </w:tc>
        <w:tc>
          <w:tcPr>
            <w:tcW w:w="546" w:type="pct"/>
            <w:vAlign w:val="center"/>
          </w:tcPr>
          <w:p w14:paraId="4F74C908"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Yes</w:t>
            </w:r>
          </w:p>
        </w:tc>
      </w:tr>
      <w:tr w:rsidR="000F6F7F" w:rsidRPr="00DB70D1" w14:paraId="6AE94ED7" w14:textId="77777777" w:rsidTr="003922F0">
        <w:trPr>
          <w:trHeight w:val="567"/>
        </w:trPr>
        <w:tc>
          <w:tcPr>
            <w:tcW w:w="634" w:type="pct"/>
            <w:vAlign w:val="center"/>
          </w:tcPr>
          <w:p w14:paraId="178459AA"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B/VIC</w:t>
            </w:r>
          </w:p>
        </w:tc>
        <w:tc>
          <w:tcPr>
            <w:tcW w:w="630" w:type="pct"/>
            <w:vAlign w:val="center"/>
          </w:tcPr>
          <w:p w14:paraId="4B708F1F"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66.1</w:t>
            </w:r>
          </w:p>
        </w:tc>
        <w:tc>
          <w:tcPr>
            <w:tcW w:w="630" w:type="pct"/>
            <w:vAlign w:val="center"/>
          </w:tcPr>
          <w:p w14:paraId="382F733A"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68.4</w:t>
            </w:r>
          </w:p>
        </w:tc>
        <w:tc>
          <w:tcPr>
            <w:tcW w:w="644" w:type="pct"/>
            <w:vAlign w:val="center"/>
          </w:tcPr>
          <w:p w14:paraId="0F643F2E"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1.03</w:t>
            </w:r>
            <w:r w:rsidRPr="00DB70D1">
              <w:rPr>
                <w:rFonts w:cstheme="minorHAnsi"/>
                <w:vertAlign w:val="superscript"/>
                <w:lang w:val="en-GB"/>
              </w:rPr>
              <w:t xml:space="preserve"> f</w:t>
            </w:r>
            <w:r w:rsidRPr="00DB70D1">
              <w:rPr>
                <w:rFonts w:cstheme="minorHAnsi"/>
                <w:lang w:val="en-GB"/>
              </w:rPr>
              <w:t xml:space="preserve"> </w:t>
            </w:r>
            <w:r w:rsidRPr="00DB70D1">
              <w:rPr>
                <w:rFonts w:cstheme="minorHAnsi"/>
                <w:lang w:val="en-GB"/>
              </w:rPr>
              <w:br/>
              <w:t>(0.94, 1.14)</w:t>
            </w:r>
          </w:p>
        </w:tc>
        <w:tc>
          <w:tcPr>
            <w:tcW w:w="629" w:type="pct"/>
            <w:vAlign w:val="center"/>
          </w:tcPr>
          <w:p w14:paraId="13D889A7"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23.5</w:t>
            </w:r>
          </w:p>
        </w:tc>
        <w:tc>
          <w:tcPr>
            <w:tcW w:w="618" w:type="pct"/>
            <w:vAlign w:val="center"/>
          </w:tcPr>
          <w:p w14:paraId="75257926"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24.7</w:t>
            </w:r>
          </w:p>
        </w:tc>
        <w:tc>
          <w:tcPr>
            <w:tcW w:w="668" w:type="pct"/>
            <w:vAlign w:val="center"/>
          </w:tcPr>
          <w:p w14:paraId="39A58A76"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1.2</w:t>
            </w:r>
            <w:r w:rsidRPr="00DB70D1">
              <w:rPr>
                <w:rFonts w:cstheme="minorHAnsi"/>
                <w:vertAlign w:val="superscript"/>
                <w:lang w:val="en-GB"/>
              </w:rPr>
              <w:t xml:space="preserve"> </w:t>
            </w:r>
            <w:proofErr w:type="spellStart"/>
            <w:r w:rsidRPr="00DB70D1">
              <w:rPr>
                <w:rFonts w:cstheme="minorHAnsi"/>
                <w:vertAlign w:val="superscript"/>
                <w:lang w:val="en-GB"/>
              </w:rPr>
              <w:t>i</w:t>
            </w:r>
            <w:proofErr w:type="spellEnd"/>
            <w:r w:rsidRPr="00DB70D1">
              <w:rPr>
                <w:rFonts w:cstheme="minorHAnsi"/>
                <w:lang w:val="en-GB"/>
              </w:rPr>
              <w:t xml:space="preserve"> </w:t>
            </w:r>
            <w:r w:rsidRPr="00DB70D1">
              <w:rPr>
                <w:rFonts w:cstheme="minorHAnsi"/>
                <w:lang w:val="en-GB"/>
              </w:rPr>
              <w:br/>
              <w:t>(-4.6, 7.0)</w:t>
            </w:r>
          </w:p>
        </w:tc>
        <w:tc>
          <w:tcPr>
            <w:tcW w:w="546" w:type="pct"/>
            <w:vAlign w:val="center"/>
          </w:tcPr>
          <w:p w14:paraId="1EBD9AD3" w14:textId="77777777" w:rsidR="000F6F7F" w:rsidRPr="00DB70D1" w:rsidRDefault="000F6F7F" w:rsidP="00BB41D2">
            <w:pPr>
              <w:keepNext/>
              <w:keepLines/>
              <w:autoSpaceDE w:val="0"/>
              <w:autoSpaceDN w:val="0"/>
              <w:adjustRightInd w:val="0"/>
              <w:spacing w:before="40" w:after="40" w:line="240" w:lineRule="auto"/>
              <w:jc w:val="center"/>
              <w:rPr>
                <w:rFonts w:cstheme="minorHAnsi"/>
                <w:lang w:val="en-GB"/>
              </w:rPr>
            </w:pPr>
            <w:r w:rsidRPr="00DB70D1">
              <w:rPr>
                <w:rFonts w:cstheme="minorHAnsi"/>
                <w:lang w:val="en-GB"/>
              </w:rPr>
              <w:t>Yes</w:t>
            </w:r>
          </w:p>
        </w:tc>
      </w:tr>
    </w:tbl>
    <w:p w14:paraId="1382852B" w14:textId="77777777" w:rsidR="000F6F7F" w:rsidRPr="004A7E84" w:rsidRDefault="000F6F7F" w:rsidP="000F6F7F">
      <w:pPr>
        <w:keepNext/>
        <w:keepLines/>
        <w:autoSpaceDE w:val="0"/>
        <w:autoSpaceDN w:val="0"/>
        <w:adjustRightInd w:val="0"/>
        <w:spacing w:before="120" w:after="40" w:line="240" w:lineRule="auto"/>
        <w:ind w:left="142" w:right="-46" w:hanging="142"/>
        <w:rPr>
          <w:rFonts w:cs="Arial"/>
          <w:sz w:val="16"/>
          <w:szCs w:val="18"/>
        </w:rPr>
      </w:pPr>
      <w:r w:rsidRPr="004A7E84">
        <w:rPr>
          <w:rFonts w:cs="Arial"/>
          <w:sz w:val="16"/>
          <w:szCs w:val="18"/>
        </w:rPr>
        <w:t xml:space="preserve">Abbreviations: CI, confidence interval; GMT, geometric mean </w:t>
      </w:r>
      <w:r w:rsidR="005854DD" w:rsidRPr="00444B36">
        <w:rPr>
          <w:sz w:val="16"/>
        </w:rPr>
        <w:t>titr</w:t>
      </w:r>
      <w:r w:rsidR="005854DD" w:rsidRPr="00444B36">
        <w:rPr>
          <w:rFonts w:cs="Arial"/>
          <w:sz w:val="16"/>
          <w:szCs w:val="18"/>
        </w:rPr>
        <w:t>e</w:t>
      </w:r>
      <w:proofErr w:type="gramStart"/>
      <w:r w:rsidR="005854DD" w:rsidRPr="00444B36">
        <w:rPr>
          <w:sz w:val="16"/>
        </w:rPr>
        <w:t>.</w:t>
      </w:r>
      <w:r w:rsidR="005854DD" w:rsidRPr="004A7E84">
        <w:rPr>
          <w:rFonts w:cs="Arial"/>
          <w:sz w:val="16"/>
          <w:szCs w:val="18"/>
        </w:rPr>
        <w:t>.</w:t>
      </w:r>
      <w:proofErr w:type="gramEnd"/>
    </w:p>
    <w:p w14:paraId="113B8E3A" w14:textId="77777777" w:rsidR="000F6F7F" w:rsidRDefault="000F6F7F" w:rsidP="000F6F7F">
      <w:pPr>
        <w:keepNext/>
        <w:keepLines/>
        <w:autoSpaceDE w:val="0"/>
        <w:autoSpaceDN w:val="0"/>
        <w:adjustRightInd w:val="0"/>
        <w:spacing w:after="40" w:line="240" w:lineRule="auto"/>
        <w:ind w:left="142" w:right="-46" w:hanging="142"/>
        <w:rPr>
          <w:rFonts w:cs="Arial"/>
          <w:sz w:val="16"/>
          <w:szCs w:val="18"/>
        </w:rPr>
      </w:pPr>
      <w:proofErr w:type="gramStart"/>
      <w:r>
        <w:rPr>
          <w:rFonts w:cs="Arial"/>
          <w:sz w:val="16"/>
          <w:szCs w:val="18"/>
          <w:vertAlign w:val="superscript"/>
        </w:rPr>
        <w:t>a</w:t>
      </w:r>
      <w:proofErr w:type="gramEnd"/>
      <w:r w:rsidRPr="004A7E84">
        <w:rPr>
          <w:rFonts w:cs="Arial"/>
          <w:sz w:val="16"/>
          <w:szCs w:val="18"/>
        </w:rPr>
        <w:t xml:space="preserve"> </w:t>
      </w:r>
      <w:r>
        <w:rPr>
          <w:rFonts w:cs="Arial"/>
          <w:sz w:val="16"/>
          <w:szCs w:val="18"/>
        </w:rPr>
        <w:t>GMT results were modelled on a multi-variable adjusted a</w:t>
      </w:r>
      <w:r w:rsidRPr="00A26A6F">
        <w:rPr>
          <w:rFonts w:cs="Arial"/>
          <w:sz w:val="16"/>
          <w:szCs w:val="18"/>
        </w:rPr>
        <w:t xml:space="preserve">nalysis </w:t>
      </w:r>
      <w:r>
        <w:rPr>
          <w:rFonts w:cs="Arial"/>
          <w:sz w:val="16"/>
          <w:szCs w:val="18"/>
        </w:rPr>
        <w:t xml:space="preserve">including gender, vaccination history, pre-vaccination HI </w:t>
      </w:r>
      <w:proofErr w:type="spellStart"/>
      <w:r>
        <w:rPr>
          <w:rFonts w:cs="Arial"/>
          <w:sz w:val="16"/>
          <w:szCs w:val="18"/>
        </w:rPr>
        <w:t>titers</w:t>
      </w:r>
      <w:proofErr w:type="spellEnd"/>
      <w:r>
        <w:rPr>
          <w:rFonts w:cs="Arial"/>
          <w:sz w:val="16"/>
          <w:szCs w:val="18"/>
        </w:rPr>
        <w:t xml:space="preserve"> and other factors.</w:t>
      </w:r>
    </w:p>
    <w:p w14:paraId="34CC051D" w14:textId="77777777" w:rsidR="000F6F7F" w:rsidRPr="004A7E84" w:rsidRDefault="000F6F7F" w:rsidP="000F6F7F">
      <w:pPr>
        <w:keepNext/>
        <w:keepLines/>
        <w:autoSpaceDE w:val="0"/>
        <w:autoSpaceDN w:val="0"/>
        <w:adjustRightInd w:val="0"/>
        <w:spacing w:after="40" w:line="240" w:lineRule="auto"/>
        <w:ind w:left="142" w:right="-46" w:hanging="142"/>
        <w:rPr>
          <w:rFonts w:cs="Arial"/>
          <w:sz w:val="16"/>
          <w:szCs w:val="18"/>
        </w:rPr>
      </w:pPr>
      <w:proofErr w:type="gramStart"/>
      <w:r>
        <w:rPr>
          <w:rFonts w:cs="Arial"/>
          <w:sz w:val="16"/>
          <w:szCs w:val="18"/>
          <w:vertAlign w:val="superscript"/>
        </w:rPr>
        <w:t>b</w:t>
      </w:r>
      <w:proofErr w:type="gramEnd"/>
      <w:r w:rsidRPr="004A7E84">
        <w:rPr>
          <w:rFonts w:cs="Arial"/>
          <w:sz w:val="16"/>
          <w:szCs w:val="18"/>
        </w:rPr>
        <w:t xml:space="preserve"> Seroconversion rate is defined as a 4-fold increase in post-vaccination HI antibody </w:t>
      </w:r>
      <w:r w:rsidR="005854DD" w:rsidRPr="00444B36">
        <w:rPr>
          <w:sz w:val="16"/>
        </w:rPr>
        <w:t>titr</w:t>
      </w:r>
      <w:r w:rsidR="005854DD" w:rsidRPr="00444B36">
        <w:rPr>
          <w:rFonts w:cs="Arial"/>
          <w:sz w:val="16"/>
          <w:szCs w:val="18"/>
        </w:rPr>
        <w:t>e</w:t>
      </w:r>
      <w:r w:rsidR="005854DD" w:rsidRPr="00444B36">
        <w:rPr>
          <w:sz w:val="16"/>
        </w:rPr>
        <w:t xml:space="preserve"> </w:t>
      </w:r>
      <w:r w:rsidRPr="004A7E84">
        <w:rPr>
          <w:rFonts w:cs="Arial"/>
          <w:sz w:val="16"/>
          <w:szCs w:val="18"/>
        </w:rPr>
        <w:t xml:space="preserve">from pre-vaccination </w:t>
      </w:r>
      <w:r w:rsidR="005854DD" w:rsidRPr="00444B36">
        <w:rPr>
          <w:sz w:val="16"/>
        </w:rPr>
        <w:t>titr</w:t>
      </w:r>
      <w:r w:rsidR="005854DD" w:rsidRPr="00444B36">
        <w:rPr>
          <w:rFonts w:cs="Arial"/>
          <w:sz w:val="16"/>
          <w:szCs w:val="18"/>
        </w:rPr>
        <w:t>e</w:t>
      </w:r>
      <w:r w:rsidR="005854DD" w:rsidRPr="00444B36">
        <w:rPr>
          <w:sz w:val="16"/>
        </w:rPr>
        <w:t xml:space="preserve"> </w:t>
      </w:r>
      <w:r w:rsidRPr="004A7E84">
        <w:rPr>
          <w:rFonts w:cs="Arial"/>
          <w:bCs/>
          <w:sz w:val="16"/>
          <w:szCs w:val="24"/>
          <w:lang w:val="en-GB"/>
        </w:rPr>
        <w:t xml:space="preserve">≥ </w:t>
      </w:r>
      <w:r w:rsidRPr="004A7E84">
        <w:rPr>
          <w:rFonts w:cs="Arial"/>
          <w:sz w:val="16"/>
          <w:szCs w:val="18"/>
        </w:rPr>
        <w:t xml:space="preserve">1:10 or an increase in </w:t>
      </w:r>
      <w:r w:rsidR="005854DD" w:rsidRPr="00444B36">
        <w:rPr>
          <w:sz w:val="16"/>
        </w:rPr>
        <w:t>titr</w:t>
      </w:r>
      <w:r w:rsidR="005854DD" w:rsidRPr="00444B36">
        <w:rPr>
          <w:rFonts w:cs="Arial"/>
          <w:sz w:val="16"/>
          <w:szCs w:val="18"/>
        </w:rPr>
        <w:t>e</w:t>
      </w:r>
      <w:r w:rsidR="005854DD" w:rsidRPr="00444B36">
        <w:rPr>
          <w:sz w:val="16"/>
        </w:rPr>
        <w:t xml:space="preserve"> </w:t>
      </w:r>
      <w:r w:rsidRPr="004A7E84">
        <w:rPr>
          <w:rFonts w:cs="Arial"/>
          <w:sz w:val="16"/>
          <w:szCs w:val="18"/>
        </w:rPr>
        <w:t xml:space="preserve">from &lt; 1:10 to </w:t>
      </w:r>
      <w:r w:rsidRPr="004A7E84">
        <w:rPr>
          <w:rFonts w:cs="Arial"/>
          <w:sz w:val="16"/>
          <w:szCs w:val="24"/>
          <w:lang w:val="en-GB"/>
        </w:rPr>
        <w:t>≥ 1:40.</w:t>
      </w:r>
    </w:p>
    <w:p w14:paraId="11ECEC4D" w14:textId="77777777" w:rsidR="000F6F7F" w:rsidRPr="004A7E84" w:rsidRDefault="000F6F7F" w:rsidP="000F6F7F">
      <w:pPr>
        <w:keepNext/>
        <w:keepLines/>
        <w:autoSpaceDE w:val="0"/>
        <w:autoSpaceDN w:val="0"/>
        <w:adjustRightInd w:val="0"/>
        <w:spacing w:after="40" w:line="240" w:lineRule="auto"/>
        <w:ind w:left="142" w:right="-46" w:hanging="142"/>
        <w:rPr>
          <w:rFonts w:cs="Arial"/>
          <w:sz w:val="16"/>
          <w:szCs w:val="18"/>
        </w:rPr>
      </w:pPr>
      <w:proofErr w:type="gramStart"/>
      <w:r>
        <w:rPr>
          <w:rFonts w:cs="Arial"/>
          <w:sz w:val="16"/>
          <w:szCs w:val="18"/>
          <w:vertAlign w:val="superscript"/>
        </w:rPr>
        <w:t>c</w:t>
      </w:r>
      <w:r w:rsidDel="00B813F0">
        <w:rPr>
          <w:rFonts w:cs="Arial"/>
          <w:sz w:val="16"/>
          <w:szCs w:val="18"/>
          <w:vertAlign w:val="superscript"/>
        </w:rPr>
        <w:t xml:space="preserve"> </w:t>
      </w:r>
      <w:r>
        <w:rPr>
          <w:rFonts w:cs="Arial"/>
          <w:sz w:val="16"/>
          <w:szCs w:val="18"/>
        </w:rPr>
        <w:t xml:space="preserve"> </w:t>
      </w:r>
      <w:r w:rsidRPr="004A7E84">
        <w:rPr>
          <w:rFonts w:cs="Arial"/>
          <w:sz w:val="16"/>
          <w:szCs w:val="18"/>
        </w:rPr>
        <w:t>Non</w:t>
      </w:r>
      <w:proofErr w:type="gramEnd"/>
      <w:r w:rsidRPr="004A7E84">
        <w:rPr>
          <w:rFonts w:cs="Arial"/>
          <w:sz w:val="16"/>
          <w:szCs w:val="18"/>
        </w:rPr>
        <w:t>-inferiority (NI) criteria for the GMT ratio: upper bound of 2-sided 95% CI on the ratio of Pooled TIV or TIV-1 (B Yamagata) or TIV-2 (B Victoria)/</w:t>
      </w:r>
      <w:r w:rsidRPr="004A7E84">
        <w:rPr>
          <w:rFonts w:cs="Arial"/>
          <w:sz w:val="18"/>
        </w:rPr>
        <w:t xml:space="preserve"> </w:t>
      </w:r>
      <w:r>
        <w:rPr>
          <w:rFonts w:cs="Arial"/>
          <w:sz w:val="16"/>
          <w:szCs w:val="18"/>
        </w:rPr>
        <w:t>Afluria</w:t>
      </w:r>
      <w:r>
        <w:rPr>
          <w:rFonts w:ascii="Calibri" w:hAnsi="Calibri" w:cs="Calibri"/>
          <w:sz w:val="16"/>
          <w:szCs w:val="18"/>
        </w:rPr>
        <w:t>®</w:t>
      </w:r>
      <w:r>
        <w:rPr>
          <w:rFonts w:cs="Arial"/>
          <w:sz w:val="16"/>
          <w:szCs w:val="18"/>
        </w:rPr>
        <w:t xml:space="preserve"> Quad vaccine</w:t>
      </w:r>
      <w:r w:rsidRPr="004A7E84">
        <w:rPr>
          <w:rFonts w:cs="Arial"/>
          <w:sz w:val="16"/>
          <w:szCs w:val="18"/>
        </w:rPr>
        <w:t xml:space="preserve">. GMT should not exceed 1.5.  NI criteria for the seroconversion rate (SCR) difference: upper bound of 2-sided 95% CI on the difference between SCR Pooled TIV </w:t>
      </w:r>
      <w:proofErr w:type="gramStart"/>
      <w:r w:rsidRPr="004A7E84">
        <w:rPr>
          <w:rFonts w:cs="Arial"/>
          <w:sz w:val="16"/>
          <w:szCs w:val="18"/>
        </w:rPr>
        <w:t>or</w:t>
      </w:r>
      <w:proofErr w:type="gramEnd"/>
      <w:r w:rsidRPr="004A7E84">
        <w:rPr>
          <w:rFonts w:cs="Arial"/>
          <w:sz w:val="16"/>
          <w:szCs w:val="18"/>
        </w:rPr>
        <w:t xml:space="preserve"> TIV-1 (B Yamagata) or TIV-2 (B Victoria) </w:t>
      </w:r>
      <w:r>
        <w:rPr>
          <w:rFonts w:cs="Arial"/>
          <w:sz w:val="16"/>
          <w:szCs w:val="18"/>
        </w:rPr>
        <w:t>minus</w:t>
      </w:r>
      <w:r w:rsidRPr="004A7E84">
        <w:rPr>
          <w:rFonts w:cs="Arial"/>
          <w:sz w:val="16"/>
          <w:szCs w:val="18"/>
        </w:rPr>
        <w:t xml:space="preserve"> </w:t>
      </w:r>
      <w:r>
        <w:rPr>
          <w:rFonts w:cs="Arial"/>
          <w:sz w:val="16"/>
          <w:szCs w:val="18"/>
        </w:rPr>
        <w:t>Afluria</w:t>
      </w:r>
      <w:r>
        <w:rPr>
          <w:rFonts w:ascii="Calibri" w:hAnsi="Calibri" w:cs="Calibri"/>
          <w:sz w:val="16"/>
          <w:szCs w:val="18"/>
        </w:rPr>
        <w:t>®</w:t>
      </w:r>
      <w:r>
        <w:rPr>
          <w:rFonts w:cs="Arial"/>
          <w:sz w:val="16"/>
          <w:szCs w:val="18"/>
        </w:rPr>
        <w:t xml:space="preserve"> Quad vaccine </w:t>
      </w:r>
      <w:r w:rsidRPr="004A7E84">
        <w:rPr>
          <w:rFonts w:cs="Arial"/>
          <w:sz w:val="16"/>
          <w:szCs w:val="18"/>
        </w:rPr>
        <w:t xml:space="preserve">should not exceed 10%. </w:t>
      </w:r>
    </w:p>
    <w:p w14:paraId="4931F361" w14:textId="77777777" w:rsidR="000F6F7F" w:rsidRPr="004A7E84" w:rsidRDefault="000F6F7F" w:rsidP="000F6F7F">
      <w:pPr>
        <w:keepNext/>
        <w:keepLines/>
        <w:autoSpaceDE w:val="0"/>
        <w:autoSpaceDN w:val="0"/>
        <w:adjustRightInd w:val="0"/>
        <w:spacing w:after="40" w:line="240" w:lineRule="auto"/>
        <w:ind w:left="142" w:right="-1865" w:hanging="142"/>
        <w:rPr>
          <w:rFonts w:cs="Arial"/>
          <w:sz w:val="16"/>
          <w:szCs w:val="18"/>
        </w:rPr>
      </w:pPr>
      <w:proofErr w:type="gramStart"/>
      <w:r>
        <w:rPr>
          <w:rFonts w:cs="Arial"/>
          <w:sz w:val="16"/>
          <w:szCs w:val="18"/>
          <w:vertAlign w:val="superscript"/>
        </w:rPr>
        <w:t>d</w:t>
      </w:r>
      <w:r w:rsidDel="00B813F0">
        <w:rPr>
          <w:rFonts w:cs="Arial"/>
          <w:sz w:val="16"/>
          <w:szCs w:val="18"/>
          <w:vertAlign w:val="superscript"/>
        </w:rPr>
        <w:t xml:space="preserve"> </w:t>
      </w:r>
      <w:r>
        <w:rPr>
          <w:rFonts w:cs="Arial"/>
          <w:sz w:val="16"/>
          <w:szCs w:val="18"/>
        </w:rPr>
        <w:t xml:space="preserve"> P</w:t>
      </w:r>
      <w:r w:rsidRPr="004A7E84">
        <w:rPr>
          <w:rFonts w:cs="Arial"/>
          <w:sz w:val="16"/>
          <w:szCs w:val="18"/>
        </w:rPr>
        <w:t>ooled</w:t>
      </w:r>
      <w:proofErr w:type="gramEnd"/>
      <w:r w:rsidRPr="004A7E84">
        <w:rPr>
          <w:rFonts w:cs="Arial"/>
          <w:sz w:val="16"/>
          <w:szCs w:val="18"/>
        </w:rPr>
        <w:t xml:space="preserve"> TIV/</w:t>
      </w:r>
      <w:r>
        <w:rPr>
          <w:rFonts w:cs="Arial"/>
          <w:sz w:val="16"/>
          <w:szCs w:val="18"/>
        </w:rPr>
        <w:t>Afluria</w:t>
      </w:r>
      <w:r>
        <w:rPr>
          <w:rFonts w:ascii="Calibri" w:hAnsi="Calibri" w:cs="Calibri"/>
          <w:sz w:val="16"/>
          <w:szCs w:val="18"/>
        </w:rPr>
        <w:t>®</w:t>
      </w:r>
      <w:r>
        <w:rPr>
          <w:rFonts w:cs="Arial"/>
          <w:sz w:val="16"/>
          <w:szCs w:val="18"/>
        </w:rPr>
        <w:t xml:space="preserve"> Quad vaccine</w:t>
      </w:r>
    </w:p>
    <w:p w14:paraId="1C52ACED" w14:textId="77777777" w:rsidR="000F6F7F" w:rsidRPr="00BA3C67" w:rsidRDefault="000F6F7F" w:rsidP="000F6F7F">
      <w:pPr>
        <w:keepNext/>
        <w:keepLines/>
        <w:autoSpaceDE w:val="0"/>
        <w:autoSpaceDN w:val="0"/>
        <w:adjustRightInd w:val="0"/>
        <w:spacing w:after="40" w:line="240" w:lineRule="auto"/>
        <w:ind w:left="142" w:right="-1865" w:hanging="142"/>
        <w:rPr>
          <w:rFonts w:cs="Arial"/>
          <w:sz w:val="16"/>
          <w:szCs w:val="18"/>
        </w:rPr>
      </w:pPr>
      <w:proofErr w:type="gramStart"/>
      <w:r w:rsidRPr="00BA3C67">
        <w:rPr>
          <w:rFonts w:cs="Arial"/>
          <w:sz w:val="16"/>
          <w:szCs w:val="18"/>
          <w:vertAlign w:val="superscript"/>
        </w:rPr>
        <w:t>e</w:t>
      </w:r>
      <w:r w:rsidRPr="00BA3C67" w:rsidDel="00B813F0">
        <w:rPr>
          <w:rFonts w:cs="Arial"/>
          <w:sz w:val="16"/>
          <w:szCs w:val="18"/>
          <w:vertAlign w:val="superscript"/>
        </w:rPr>
        <w:t xml:space="preserve"> </w:t>
      </w:r>
      <w:r w:rsidRPr="00BA3C67">
        <w:rPr>
          <w:rFonts w:cs="Arial"/>
          <w:sz w:val="16"/>
          <w:szCs w:val="18"/>
        </w:rPr>
        <w:t xml:space="preserve"> TIV</w:t>
      </w:r>
      <w:proofErr w:type="gramEnd"/>
      <w:r w:rsidRPr="00BA3C67">
        <w:rPr>
          <w:rFonts w:cs="Arial"/>
          <w:sz w:val="16"/>
          <w:szCs w:val="18"/>
        </w:rPr>
        <w:t>-1 (B Yamagata)/</w:t>
      </w:r>
      <w:r w:rsidRPr="00BA3C67" w:rsidDel="00821ACD">
        <w:rPr>
          <w:rFonts w:cs="Arial"/>
          <w:sz w:val="16"/>
          <w:szCs w:val="18"/>
        </w:rPr>
        <w:t xml:space="preserve"> </w:t>
      </w:r>
      <w:r w:rsidRPr="00BA3C67">
        <w:rPr>
          <w:rFonts w:cs="Arial"/>
          <w:sz w:val="16"/>
          <w:szCs w:val="18"/>
        </w:rPr>
        <w:t>Afluria</w:t>
      </w:r>
      <w:r w:rsidRPr="00BA3C67">
        <w:rPr>
          <w:rFonts w:ascii="Calibri" w:hAnsi="Calibri" w:cs="Calibri"/>
          <w:sz w:val="16"/>
          <w:szCs w:val="18"/>
        </w:rPr>
        <w:t>®</w:t>
      </w:r>
      <w:r w:rsidRPr="00BA3C67">
        <w:rPr>
          <w:rFonts w:cs="Arial"/>
          <w:sz w:val="16"/>
          <w:szCs w:val="18"/>
        </w:rPr>
        <w:t xml:space="preserve"> Quad vaccine</w:t>
      </w:r>
    </w:p>
    <w:p w14:paraId="2AC0CE06" w14:textId="77777777" w:rsidR="000F6F7F" w:rsidRPr="00BA3C67" w:rsidRDefault="000F6F7F" w:rsidP="000F6F7F">
      <w:pPr>
        <w:keepNext/>
        <w:keepLines/>
        <w:autoSpaceDE w:val="0"/>
        <w:autoSpaceDN w:val="0"/>
        <w:adjustRightInd w:val="0"/>
        <w:spacing w:after="40" w:line="240" w:lineRule="auto"/>
        <w:ind w:left="142" w:right="-1865" w:hanging="142"/>
        <w:rPr>
          <w:rFonts w:cs="Arial"/>
          <w:sz w:val="16"/>
          <w:szCs w:val="18"/>
        </w:rPr>
      </w:pPr>
      <w:proofErr w:type="gramStart"/>
      <w:r w:rsidRPr="00BA3C67">
        <w:rPr>
          <w:rFonts w:cs="Arial"/>
          <w:sz w:val="16"/>
          <w:szCs w:val="18"/>
          <w:vertAlign w:val="superscript"/>
        </w:rPr>
        <w:t>f</w:t>
      </w:r>
      <w:r w:rsidRPr="00BA3C67" w:rsidDel="00B813F0">
        <w:rPr>
          <w:rFonts w:cs="Arial"/>
          <w:sz w:val="16"/>
          <w:szCs w:val="18"/>
          <w:vertAlign w:val="superscript"/>
        </w:rPr>
        <w:t xml:space="preserve"> </w:t>
      </w:r>
      <w:r w:rsidRPr="00BA3C67">
        <w:rPr>
          <w:rFonts w:cs="Arial"/>
          <w:sz w:val="16"/>
          <w:szCs w:val="18"/>
        </w:rPr>
        <w:t xml:space="preserve"> TIV</w:t>
      </w:r>
      <w:proofErr w:type="gramEnd"/>
      <w:r w:rsidRPr="00BA3C67">
        <w:rPr>
          <w:rFonts w:cs="Arial"/>
          <w:sz w:val="16"/>
          <w:szCs w:val="18"/>
        </w:rPr>
        <w:t>-2 (B Victoria)/Afluria</w:t>
      </w:r>
      <w:r w:rsidRPr="00BA3C67">
        <w:rPr>
          <w:rFonts w:ascii="Calibri" w:hAnsi="Calibri" w:cs="Calibri"/>
          <w:sz w:val="16"/>
          <w:szCs w:val="18"/>
        </w:rPr>
        <w:t>®</w:t>
      </w:r>
      <w:r w:rsidRPr="00BA3C67">
        <w:rPr>
          <w:rFonts w:cs="Arial"/>
          <w:sz w:val="16"/>
          <w:szCs w:val="18"/>
        </w:rPr>
        <w:t xml:space="preserve"> Quad vaccine</w:t>
      </w:r>
    </w:p>
    <w:p w14:paraId="41AC926C" w14:textId="77777777" w:rsidR="000F6F7F" w:rsidRPr="00BA3C67" w:rsidRDefault="000F6F7F" w:rsidP="000F6F7F">
      <w:pPr>
        <w:keepNext/>
        <w:keepLines/>
        <w:autoSpaceDE w:val="0"/>
        <w:autoSpaceDN w:val="0"/>
        <w:adjustRightInd w:val="0"/>
        <w:spacing w:after="40" w:line="240" w:lineRule="auto"/>
        <w:ind w:left="142" w:right="-1865" w:hanging="142"/>
        <w:rPr>
          <w:rFonts w:cs="Arial"/>
          <w:sz w:val="16"/>
          <w:szCs w:val="18"/>
        </w:rPr>
      </w:pPr>
      <w:proofErr w:type="gramStart"/>
      <w:r w:rsidRPr="00BA3C67">
        <w:rPr>
          <w:rFonts w:cs="Arial"/>
          <w:sz w:val="16"/>
          <w:szCs w:val="18"/>
          <w:vertAlign w:val="superscript"/>
        </w:rPr>
        <w:lastRenderedPageBreak/>
        <w:t>g</w:t>
      </w:r>
      <w:r w:rsidRPr="00BA3C67" w:rsidDel="00B813F0">
        <w:rPr>
          <w:rFonts w:cs="Arial"/>
          <w:sz w:val="16"/>
          <w:szCs w:val="18"/>
          <w:vertAlign w:val="superscript"/>
        </w:rPr>
        <w:t xml:space="preserve"> </w:t>
      </w:r>
      <w:r w:rsidRPr="00BA3C67">
        <w:rPr>
          <w:rFonts w:cs="Arial"/>
          <w:sz w:val="16"/>
          <w:szCs w:val="18"/>
        </w:rPr>
        <w:t xml:space="preserve"> Pooled</w:t>
      </w:r>
      <w:proofErr w:type="gramEnd"/>
      <w:r w:rsidRPr="00BA3C67">
        <w:rPr>
          <w:rFonts w:cs="Arial"/>
          <w:sz w:val="16"/>
          <w:szCs w:val="18"/>
        </w:rPr>
        <w:t xml:space="preserve"> TIV - Afluria</w:t>
      </w:r>
      <w:r w:rsidRPr="00BA3C67">
        <w:rPr>
          <w:rFonts w:ascii="Calibri" w:hAnsi="Calibri" w:cs="Calibri"/>
          <w:sz w:val="16"/>
          <w:szCs w:val="18"/>
        </w:rPr>
        <w:t>®</w:t>
      </w:r>
      <w:r w:rsidRPr="00BA3C67">
        <w:rPr>
          <w:rFonts w:cs="Arial"/>
          <w:sz w:val="16"/>
          <w:szCs w:val="18"/>
        </w:rPr>
        <w:t xml:space="preserve"> Quad vaccine</w:t>
      </w:r>
    </w:p>
    <w:p w14:paraId="147A15B3" w14:textId="77777777" w:rsidR="000F6F7F" w:rsidRPr="00BA3C67" w:rsidRDefault="000F6F7F" w:rsidP="000F6F7F">
      <w:pPr>
        <w:keepNext/>
        <w:keepLines/>
        <w:autoSpaceDE w:val="0"/>
        <w:autoSpaceDN w:val="0"/>
        <w:adjustRightInd w:val="0"/>
        <w:spacing w:after="40" w:line="240" w:lineRule="auto"/>
        <w:ind w:left="142" w:right="-1865" w:hanging="142"/>
        <w:rPr>
          <w:rFonts w:cs="Arial"/>
          <w:sz w:val="16"/>
          <w:szCs w:val="18"/>
        </w:rPr>
      </w:pPr>
      <w:proofErr w:type="gramStart"/>
      <w:r w:rsidRPr="00BA3C67">
        <w:rPr>
          <w:rFonts w:cs="Arial"/>
          <w:sz w:val="16"/>
          <w:szCs w:val="18"/>
          <w:vertAlign w:val="superscript"/>
        </w:rPr>
        <w:t>h</w:t>
      </w:r>
      <w:r w:rsidRPr="00BA3C67" w:rsidDel="00B813F0">
        <w:rPr>
          <w:rFonts w:cs="Arial"/>
          <w:sz w:val="16"/>
          <w:szCs w:val="18"/>
          <w:vertAlign w:val="superscript"/>
        </w:rPr>
        <w:t xml:space="preserve"> </w:t>
      </w:r>
      <w:r w:rsidRPr="00BA3C67">
        <w:rPr>
          <w:rFonts w:cs="Arial"/>
          <w:sz w:val="16"/>
          <w:szCs w:val="18"/>
        </w:rPr>
        <w:t xml:space="preserve"> TIV</w:t>
      </w:r>
      <w:proofErr w:type="gramEnd"/>
      <w:r w:rsidRPr="00BA3C67">
        <w:rPr>
          <w:rFonts w:cs="Arial"/>
          <w:sz w:val="16"/>
          <w:szCs w:val="18"/>
        </w:rPr>
        <w:t>-1 (B Yamagata) - Afluria</w:t>
      </w:r>
      <w:r w:rsidRPr="00BA3C67">
        <w:rPr>
          <w:rFonts w:ascii="Calibri" w:hAnsi="Calibri" w:cs="Calibri"/>
          <w:sz w:val="16"/>
          <w:szCs w:val="18"/>
        </w:rPr>
        <w:t>®</w:t>
      </w:r>
      <w:r w:rsidRPr="00BA3C67">
        <w:rPr>
          <w:rFonts w:cs="Arial"/>
          <w:sz w:val="16"/>
          <w:szCs w:val="18"/>
        </w:rPr>
        <w:t xml:space="preserve"> Quad vaccine</w:t>
      </w:r>
    </w:p>
    <w:p w14:paraId="2A9F2D0D" w14:textId="77777777" w:rsidR="000F6F7F" w:rsidRPr="00BA3C67" w:rsidRDefault="000F6F7F" w:rsidP="000F6F7F">
      <w:pPr>
        <w:keepNext/>
        <w:keepLines/>
        <w:autoSpaceDE w:val="0"/>
        <w:autoSpaceDN w:val="0"/>
        <w:adjustRightInd w:val="0"/>
        <w:spacing w:after="40" w:line="240" w:lineRule="auto"/>
        <w:ind w:left="142" w:right="-1865" w:hanging="142"/>
        <w:rPr>
          <w:rFonts w:cs="Arial"/>
          <w:sz w:val="16"/>
          <w:szCs w:val="18"/>
        </w:rPr>
      </w:pPr>
      <w:proofErr w:type="spellStart"/>
      <w:proofErr w:type="gramStart"/>
      <w:r w:rsidRPr="00BA3C67">
        <w:rPr>
          <w:rFonts w:cs="Arial"/>
          <w:sz w:val="16"/>
          <w:szCs w:val="18"/>
          <w:vertAlign w:val="superscript"/>
        </w:rPr>
        <w:t>i</w:t>
      </w:r>
      <w:proofErr w:type="spellEnd"/>
      <w:r w:rsidRPr="00BA3C67">
        <w:rPr>
          <w:rFonts w:cs="Arial"/>
          <w:sz w:val="16"/>
          <w:szCs w:val="18"/>
        </w:rPr>
        <w:t xml:space="preserve"> </w:t>
      </w:r>
      <w:r w:rsidRPr="00BA3C67" w:rsidDel="00B813F0">
        <w:rPr>
          <w:rFonts w:cs="Arial"/>
          <w:sz w:val="16"/>
          <w:szCs w:val="18"/>
          <w:vertAlign w:val="superscript"/>
        </w:rPr>
        <w:t xml:space="preserve"> </w:t>
      </w:r>
      <w:r w:rsidRPr="00BA3C67">
        <w:rPr>
          <w:rFonts w:cs="Arial"/>
          <w:sz w:val="16"/>
          <w:szCs w:val="18"/>
        </w:rPr>
        <w:t>TIV</w:t>
      </w:r>
      <w:proofErr w:type="gramEnd"/>
      <w:r w:rsidRPr="00BA3C67">
        <w:rPr>
          <w:rFonts w:cs="Arial"/>
          <w:sz w:val="16"/>
          <w:szCs w:val="18"/>
        </w:rPr>
        <w:t>-2 (B Victoria) - Afluria</w:t>
      </w:r>
      <w:r w:rsidRPr="00BA3C67">
        <w:rPr>
          <w:rFonts w:ascii="Calibri" w:hAnsi="Calibri" w:cs="Calibri"/>
          <w:sz w:val="16"/>
          <w:szCs w:val="18"/>
        </w:rPr>
        <w:t>®</w:t>
      </w:r>
      <w:r w:rsidRPr="00BA3C67">
        <w:rPr>
          <w:rFonts w:cs="Arial"/>
          <w:sz w:val="16"/>
          <w:szCs w:val="18"/>
        </w:rPr>
        <w:t xml:space="preserve"> Quad vaccine</w:t>
      </w:r>
    </w:p>
    <w:p w14:paraId="379007F7" w14:textId="77777777" w:rsidR="000F6F7F" w:rsidRPr="00BA3C67" w:rsidRDefault="000F6F7F" w:rsidP="000F6F7F">
      <w:pPr>
        <w:rPr>
          <w:lang w:val="en-US"/>
        </w:rPr>
      </w:pPr>
    </w:p>
    <w:p w14:paraId="2B8E6A12" w14:textId="77777777" w:rsidR="005854DD" w:rsidRPr="00444B36" w:rsidRDefault="005854DD" w:rsidP="00E37924">
      <w:pPr>
        <w:pStyle w:val="Heading4"/>
      </w:pPr>
      <w:r w:rsidRPr="00444B36">
        <w:t>Paediatric studies</w:t>
      </w:r>
    </w:p>
    <w:p w14:paraId="1187F821" w14:textId="77777777" w:rsidR="005854DD" w:rsidRPr="00444B36" w:rsidRDefault="005854DD" w:rsidP="005854DD">
      <w:pPr>
        <w:keepNext/>
        <w:keepLines/>
        <w:rPr>
          <w:bCs/>
          <w:iCs/>
        </w:rPr>
      </w:pPr>
      <w:r w:rsidRPr="00444B36">
        <w:rPr>
          <w:bCs/>
          <w:iCs/>
        </w:rPr>
        <w:t>One clinical study has been completed with Afluria</w:t>
      </w:r>
      <w:r w:rsidRPr="00444B36">
        <w:rPr>
          <w:rFonts w:ascii="Calibri" w:hAnsi="Calibri" w:cs="Calibri"/>
          <w:sz w:val="16"/>
          <w:szCs w:val="18"/>
        </w:rPr>
        <w:t>®</w:t>
      </w:r>
      <w:r w:rsidRPr="00444B36">
        <w:rPr>
          <w:bCs/>
          <w:iCs/>
        </w:rPr>
        <w:t xml:space="preserve"> Quad vaccine in children aged 5 to &lt; 18 years of age.</w:t>
      </w:r>
    </w:p>
    <w:p w14:paraId="2846B752" w14:textId="77777777" w:rsidR="005854DD" w:rsidRPr="00444B36" w:rsidRDefault="005854DD" w:rsidP="005854DD">
      <w:pPr>
        <w:keepNext/>
        <w:keepLines/>
      </w:pPr>
      <w:r w:rsidRPr="00444B36">
        <w:t>QIV-02 (NCT02545543, see http://clinicaltrials.gov) was a randomised, observer-blinded, comparator-controlled trial conducted in the US in children 5 to &lt; 18 years of age.  Subjects received either one or two doses of either Afluria</w:t>
      </w:r>
      <w:r w:rsidRPr="00444B36">
        <w:rPr>
          <w:rFonts w:ascii="Calibri" w:hAnsi="Calibri" w:cs="Calibri"/>
          <w:sz w:val="16"/>
          <w:szCs w:val="18"/>
        </w:rPr>
        <w:t>®</w:t>
      </w:r>
      <w:r w:rsidRPr="00444B36">
        <w:t xml:space="preserve"> Quad vaccine (N=1605) or a comparator </w:t>
      </w:r>
      <w:proofErr w:type="spellStart"/>
      <w:r w:rsidRPr="00444B36">
        <w:t>quadrivalent</w:t>
      </w:r>
      <w:proofErr w:type="spellEnd"/>
      <w:r w:rsidRPr="00444B36">
        <w:t xml:space="preserve"> influenza vaccine (N=528) in a 3:1 randomisation treatment schedule.  Subjects 5 to &lt; 9 years of age were eligible to receive a second dose at least 28 days after the first dose depending on their influenza vaccination history.  Approximately 25% of subjects in each treatment group in the 5 to &lt; 9 years of age sub-group received two vaccine doses. Baseline serology prior to vaccination and sera obtained 28 days after the last vaccination dose was collected and immunogenicity was evaluated by HI assay. </w:t>
      </w:r>
    </w:p>
    <w:p w14:paraId="3BF39A82" w14:textId="77777777" w:rsidR="005854DD" w:rsidRPr="00444B36" w:rsidRDefault="005854DD" w:rsidP="005854DD">
      <w:r w:rsidRPr="00444B36">
        <w:t>The co-primary endpoints were HI Geometric Mean Titres (GMT) (adjusted for baseline HI titres and other covariates) and seroconversion rates for each vaccine strain, 28 days after the last vaccination.  Pre-specified non-inferiority criteria required that the upper bound of the 2-sided 95% CI of the GMT ratio (Comparator QIV/Afluria</w:t>
      </w:r>
      <w:r w:rsidRPr="00444B36">
        <w:rPr>
          <w:rFonts w:ascii="Calibri" w:hAnsi="Calibri" w:cs="Calibri"/>
          <w:sz w:val="16"/>
          <w:szCs w:val="18"/>
        </w:rPr>
        <w:t>®</w:t>
      </w:r>
      <w:r w:rsidRPr="00444B36">
        <w:t xml:space="preserve"> Quad vaccine) did not exceed 1.5 and the upper bound of the 2-sided 95% CI of the seroconversion rate difference (Comparator QIV minus Afluria</w:t>
      </w:r>
      <w:r w:rsidRPr="00444B36">
        <w:rPr>
          <w:rFonts w:ascii="Calibri" w:hAnsi="Calibri" w:cs="Calibri"/>
          <w:sz w:val="16"/>
          <w:szCs w:val="18"/>
        </w:rPr>
        <w:t>®</w:t>
      </w:r>
      <w:r w:rsidRPr="00444B36">
        <w:t xml:space="preserve"> Quad vaccine) did not exceed 10% for each strain.  </w:t>
      </w:r>
    </w:p>
    <w:p w14:paraId="0B7B3F47" w14:textId="77777777" w:rsidR="005854DD" w:rsidRPr="00444B36" w:rsidRDefault="005854DD" w:rsidP="005854DD">
      <w:r w:rsidRPr="00444B36">
        <w:t>Serum HI antibody responses to Afluria</w:t>
      </w:r>
      <w:r w:rsidRPr="00444B36">
        <w:rPr>
          <w:rFonts w:ascii="Calibri" w:hAnsi="Calibri" w:cs="Calibri"/>
          <w:sz w:val="16"/>
          <w:szCs w:val="18"/>
        </w:rPr>
        <w:t>®</w:t>
      </w:r>
      <w:r w:rsidRPr="00444B36">
        <w:t xml:space="preserve"> Quad vaccine were non-inferior for both GMT and seroconversion rates relative to the Comparator QIV for all influenza strains (Table </w:t>
      </w:r>
      <w:r w:rsidR="00896F1F">
        <w:t>5</w:t>
      </w:r>
      <w:r w:rsidRPr="00444B36">
        <w:t xml:space="preserve">).  Analyses of immunogenicity endpoints by gender did not demonstrate meaningful differences between males and females.  The study population was not sufficiently diverse to assess differences between races or ethnicities. </w:t>
      </w:r>
    </w:p>
    <w:p w14:paraId="1237364D" w14:textId="77777777" w:rsidR="005854DD" w:rsidRPr="00444B36" w:rsidRDefault="005854DD" w:rsidP="005854DD">
      <w:pPr>
        <w:pStyle w:val="Caption"/>
        <w:spacing w:line="360" w:lineRule="auto"/>
        <w:ind w:left="993" w:hanging="993"/>
        <w:rPr>
          <w:rFonts w:ascii="Arial" w:hAnsi="Arial" w:cs="Arial"/>
          <w:sz w:val="20"/>
          <w:szCs w:val="20"/>
          <w:lang w:val="en-AU"/>
        </w:rPr>
      </w:pPr>
      <w:r w:rsidRPr="00444B36">
        <w:rPr>
          <w:rFonts w:ascii="Arial" w:hAnsi="Arial" w:cs="Arial"/>
          <w:sz w:val="20"/>
          <w:szCs w:val="20"/>
          <w:lang w:val="en-AU"/>
        </w:rPr>
        <w:lastRenderedPageBreak/>
        <w:t xml:space="preserve">Table </w:t>
      </w:r>
      <w:r w:rsidR="00896F1F">
        <w:rPr>
          <w:rFonts w:ascii="Arial" w:hAnsi="Arial" w:cs="Arial"/>
          <w:sz w:val="20"/>
          <w:szCs w:val="20"/>
          <w:lang w:val="en-AU"/>
        </w:rPr>
        <w:t>5</w:t>
      </w:r>
      <w:r w:rsidRPr="00444B36">
        <w:rPr>
          <w:rFonts w:ascii="Arial" w:hAnsi="Arial" w:cs="Arial"/>
          <w:sz w:val="20"/>
          <w:szCs w:val="20"/>
          <w:lang w:val="en-AU"/>
        </w:rPr>
        <w:t>:</w:t>
      </w:r>
      <w:r w:rsidRPr="00444B36">
        <w:rPr>
          <w:rFonts w:ascii="Arial" w:hAnsi="Arial" w:cs="Arial"/>
          <w:sz w:val="20"/>
          <w:szCs w:val="20"/>
          <w:lang w:val="en-AU"/>
        </w:rPr>
        <w:tab/>
        <w:t>QIV-02: Post-Vaccination HI Antibody GMTs, Seroconversion Rates, and Analyses of Non-Inferiority of Afluria</w:t>
      </w:r>
      <w:r w:rsidRPr="00444B36">
        <w:rPr>
          <w:rFonts w:ascii="Calibri" w:hAnsi="Calibri" w:cs="Calibri"/>
          <w:sz w:val="16"/>
          <w:szCs w:val="18"/>
          <w:lang w:val="en-AU"/>
        </w:rPr>
        <w:t>®</w:t>
      </w:r>
      <w:r w:rsidRPr="00444B36">
        <w:rPr>
          <w:rFonts w:ascii="Arial" w:hAnsi="Arial" w:cs="Arial"/>
          <w:sz w:val="20"/>
          <w:szCs w:val="20"/>
          <w:lang w:val="en-AU"/>
        </w:rPr>
        <w:t xml:space="preserve"> Quad Vaccine Relative to Comparator QIV for each Strain 28 Days after Last Vaccination Among a Paediatric Population 5 to &lt; 18 Years of Age (Per Protocol Population)</w:t>
      </w:r>
      <w:r w:rsidRPr="00444B36">
        <w:rPr>
          <w:rFonts w:ascii="Arial" w:hAnsi="Arial" w:cs="Arial"/>
          <w:sz w:val="20"/>
          <w:szCs w:val="20"/>
          <w:vertAlign w:val="superscript"/>
          <w:lang w:val="en-AU"/>
        </w:rPr>
        <w:t>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
        <w:gridCol w:w="1159"/>
        <w:gridCol w:w="1316"/>
        <w:gridCol w:w="1237"/>
        <w:gridCol w:w="1283"/>
        <w:gridCol w:w="1316"/>
        <w:gridCol w:w="1316"/>
        <w:gridCol w:w="1132"/>
      </w:tblGrid>
      <w:tr w:rsidR="005854DD" w:rsidRPr="00DB70D1" w14:paraId="14506EAF" w14:textId="77777777" w:rsidTr="003922F0">
        <w:trPr>
          <w:trHeight w:val="548"/>
          <w:tblHeader/>
        </w:trPr>
        <w:tc>
          <w:tcPr>
            <w:tcW w:w="481" w:type="pct"/>
          </w:tcPr>
          <w:p w14:paraId="6B2AE197" w14:textId="77777777" w:rsidR="005854DD" w:rsidRPr="00DB70D1" w:rsidRDefault="005854DD" w:rsidP="00D60C8B">
            <w:pPr>
              <w:keepNext/>
              <w:keepLines/>
              <w:autoSpaceDE w:val="0"/>
              <w:autoSpaceDN w:val="0"/>
              <w:adjustRightInd w:val="0"/>
              <w:spacing w:before="40" w:after="40" w:line="240" w:lineRule="auto"/>
              <w:jc w:val="center"/>
              <w:rPr>
                <w:rFonts w:cstheme="minorHAnsi"/>
                <w:b/>
              </w:rPr>
            </w:pPr>
          </w:p>
        </w:tc>
        <w:tc>
          <w:tcPr>
            <w:tcW w:w="1277" w:type="pct"/>
            <w:gridSpan w:val="2"/>
          </w:tcPr>
          <w:p w14:paraId="671D51D8" w14:textId="77777777" w:rsidR="005854DD" w:rsidRPr="00DB70D1" w:rsidRDefault="005854DD" w:rsidP="00D60C8B">
            <w:pPr>
              <w:keepNext/>
              <w:keepLines/>
              <w:autoSpaceDE w:val="0"/>
              <w:autoSpaceDN w:val="0"/>
              <w:adjustRightInd w:val="0"/>
              <w:spacing w:before="40" w:after="40" w:line="240" w:lineRule="auto"/>
              <w:jc w:val="center"/>
              <w:rPr>
                <w:rFonts w:cstheme="minorHAnsi"/>
                <w:b/>
              </w:rPr>
            </w:pPr>
            <w:r w:rsidRPr="00DB70D1">
              <w:rPr>
                <w:rFonts w:cstheme="minorHAnsi"/>
                <w:b/>
              </w:rPr>
              <w:t xml:space="preserve">Post-vaccination GMT </w:t>
            </w:r>
          </w:p>
        </w:tc>
        <w:tc>
          <w:tcPr>
            <w:tcW w:w="638" w:type="pct"/>
          </w:tcPr>
          <w:p w14:paraId="6AD9AC33" w14:textId="77777777" w:rsidR="005854DD" w:rsidRPr="00DB70D1" w:rsidRDefault="005854DD" w:rsidP="003922F0">
            <w:pPr>
              <w:keepNext/>
              <w:keepLines/>
              <w:autoSpaceDE w:val="0"/>
              <w:autoSpaceDN w:val="0"/>
              <w:adjustRightInd w:val="0"/>
              <w:spacing w:before="40" w:after="40" w:line="240" w:lineRule="auto"/>
              <w:ind w:left="-146" w:right="-108"/>
              <w:jc w:val="center"/>
              <w:rPr>
                <w:rFonts w:cstheme="minorHAnsi"/>
                <w:b/>
              </w:rPr>
            </w:pPr>
            <w:r w:rsidRPr="00DB70D1">
              <w:rPr>
                <w:rFonts w:cstheme="minorHAnsi"/>
                <w:b/>
              </w:rPr>
              <w:t>GMT</w:t>
            </w:r>
          </w:p>
          <w:p w14:paraId="3BB00D79" w14:textId="77777777" w:rsidR="005854DD" w:rsidRPr="00DB70D1" w:rsidRDefault="005854DD" w:rsidP="003922F0">
            <w:pPr>
              <w:keepNext/>
              <w:keepLines/>
              <w:autoSpaceDE w:val="0"/>
              <w:autoSpaceDN w:val="0"/>
              <w:adjustRightInd w:val="0"/>
              <w:spacing w:before="40" w:after="40" w:line="240" w:lineRule="auto"/>
              <w:ind w:left="-146" w:right="-108"/>
              <w:jc w:val="center"/>
              <w:rPr>
                <w:rFonts w:cstheme="minorHAnsi"/>
                <w:b/>
              </w:rPr>
            </w:pPr>
            <w:r w:rsidRPr="00DB70D1">
              <w:rPr>
                <w:rFonts w:cstheme="minorHAnsi"/>
                <w:b/>
              </w:rPr>
              <w:t xml:space="preserve">Ratio </w:t>
            </w:r>
            <w:r w:rsidRPr="00DB70D1">
              <w:rPr>
                <w:rFonts w:cstheme="minorHAnsi"/>
                <w:b/>
                <w:vertAlign w:val="superscript"/>
              </w:rPr>
              <w:t>a</w:t>
            </w:r>
          </w:p>
        </w:tc>
        <w:tc>
          <w:tcPr>
            <w:tcW w:w="1341" w:type="pct"/>
            <w:gridSpan w:val="2"/>
          </w:tcPr>
          <w:p w14:paraId="6C01B8FD" w14:textId="77777777" w:rsidR="005854DD" w:rsidRPr="00DB70D1" w:rsidRDefault="005854DD" w:rsidP="00D60C8B">
            <w:pPr>
              <w:keepNext/>
              <w:keepLines/>
              <w:autoSpaceDE w:val="0"/>
              <w:autoSpaceDN w:val="0"/>
              <w:adjustRightInd w:val="0"/>
              <w:spacing w:before="40" w:after="40" w:line="240" w:lineRule="auto"/>
              <w:jc w:val="center"/>
              <w:rPr>
                <w:rFonts w:cstheme="minorHAnsi"/>
                <w:b/>
              </w:rPr>
            </w:pPr>
            <w:r w:rsidRPr="00DB70D1">
              <w:rPr>
                <w:rFonts w:cstheme="minorHAnsi"/>
                <w:b/>
              </w:rPr>
              <w:t xml:space="preserve">Seroconversion % </w:t>
            </w:r>
            <w:r w:rsidRPr="00DB70D1">
              <w:rPr>
                <w:rFonts w:cstheme="minorHAnsi"/>
                <w:b/>
                <w:vertAlign w:val="superscript"/>
              </w:rPr>
              <w:t>b</w:t>
            </w:r>
          </w:p>
        </w:tc>
        <w:tc>
          <w:tcPr>
            <w:tcW w:w="679" w:type="pct"/>
          </w:tcPr>
          <w:p w14:paraId="1922C08B" w14:textId="77777777" w:rsidR="005854DD" w:rsidRPr="00DB70D1" w:rsidRDefault="005854DD" w:rsidP="00D60C8B">
            <w:pPr>
              <w:keepNext/>
              <w:keepLines/>
              <w:autoSpaceDE w:val="0"/>
              <w:autoSpaceDN w:val="0"/>
              <w:adjustRightInd w:val="0"/>
              <w:spacing w:before="40" w:after="40" w:line="240" w:lineRule="auto"/>
              <w:jc w:val="center"/>
              <w:rPr>
                <w:rFonts w:cstheme="minorHAnsi"/>
                <w:b/>
              </w:rPr>
            </w:pPr>
            <w:r w:rsidRPr="00DB70D1">
              <w:rPr>
                <w:rFonts w:cstheme="minorHAnsi"/>
                <w:b/>
              </w:rPr>
              <w:t xml:space="preserve">Difference </w:t>
            </w:r>
            <w:r w:rsidRPr="00DB70D1">
              <w:rPr>
                <w:rFonts w:cstheme="minorHAnsi"/>
                <w:b/>
                <w:vertAlign w:val="superscript"/>
              </w:rPr>
              <w:t>c</w:t>
            </w:r>
          </w:p>
        </w:tc>
        <w:tc>
          <w:tcPr>
            <w:tcW w:w="584" w:type="pct"/>
            <w:vMerge w:val="restart"/>
          </w:tcPr>
          <w:p w14:paraId="65414712" w14:textId="77777777" w:rsidR="005854DD" w:rsidRPr="00DB70D1" w:rsidRDefault="005854DD" w:rsidP="00D60C8B">
            <w:pPr>
              <w:keepNext/>
              <w:keepLines/>
              <w:autoSpaceDE w:val="0"/>
              <w:autoSpaceDN w:val="0"/>
              <w:adjustRightInd w:val="0"/>
              <w:spacing w:before="40" w:after="40" w:line="240" w:lineRule="auto"/>
              <w:jc w:val="center"/>
              <w:rPr>
                <w:rFonts w:cstheme="minorHAnsi"/>
                <w:b/>
              </w:rPr>
            </w:pPr>
            <w:r w:rsidRPr="00DB70D1">
              <w:rPr>
                <w:rFonts w:cstheme="minorHAnsi"/>
                <w:b/>
              </w:rPr>
              <w:t xml:space="preserve">Met both pre-defined non-inferiority criteria? </w:t>
            </w:r>
            <w:r w:rsidRPr="00DB70D1">
              <w:rPr>
                <w:rFonts w:cstheme="minorHAnsi"/>
                <w:b/>
                <w:vertAlign w:val="superscript"/>
              </w:rPr>
              <w:t>d</w:t>
            </w:r>
          </w:p>
        </w:tc>
      </w:tr>
      <w:tr w:rsidR="005854DD" w:rsidRPr="00DB4ED9" w14:paraId="42F70449" w14:textId="77777777" w:rsidTr="003922F0">
        <w:trPr>
          <w:trHeight w:val="1407"/>
          <w:tblHeader/>
        </w:trPr>
        <w:tc>
          <w:tcPr>
            <w:tcW w:w="481" w:type="pct"/>
            <w:vAlign w:val="center"/>
          </w:tcPr>
          <w:p w14:paraId="6CB2EDB0" w14:textId="77777777" w:rsidR="005854DD" w:rsidRPr="00DB70D1" w:rsidRDefault="005854DD" w:rsidP="00D60C8B">
            <w:pPr>
              <w:keepNext/>
              <w:keepLines/>
              <w:autoSpaceDE w:val="0"/>
              <w:autoSpaceDN w:val="0"/>
              <w:adjustRightInd w:val="0"/>
              <w:spacing w:before="40" w:after="40" w:line="240" w:lineRule="auto"/>
              <w:jc w:val="center"/>
              <w:rPr>
                <w:rFonts w:cstheme="minorHAnsi"/>
                <w:b/>
              </w:rPr>
            </w:pPr>
            <w:r w:rsidRPr="00DB70D1">
              <w:rPr>
                <w:rFonts w:cstheme="minorHAnsi"/>
                <w:b/>
              </w:rPr>
              <w:t>Strain</w:t>
            </w:r>
          </w:p>
        </w:tc>
        <w:tc>
          <w:tcPr>
            <w:tcW w:w="598" w:type="pct"/>
            <w:vAlign w:val="center"/>
          </w:tcPr>
          <w:p w14:paraId="27556908" w14:textId="77777777" w:rsidR="005854DD" w:rsidRPr="00DB70D1" w:rsidRDefault="005854DD" w:rsidP="00D60C8B">
            <w:pPr>
              <w:keepNext/>
              <w:keepLines/>
              <w:autoSpaceDE w:val="0"/>
              <w:autoSpaceDN w:val="0"/>
              <w:adjustRightInd w:val="0"/>
              <w:spacing w:before="40" w:after="40" w:line="240" w:lineRule="auto"/>
              <w:jc w:val="center"/>
              <w:rPr>
                <w:rFonts w:cstheme="minorHAnsi"/>
                <w:b/>
              </w:rPr>
            </w:pPr>
            <w:r w:rsidRPr="00DB70D1">
              <w:rPr>
                <w:rFonts w:cstheme="minorHAnsi"/>
                <w:b/>
              </w:rPr>
              <w:t>Afluria</w:t>
            </w:r>
            <w:r w:rsidRPr="00DB70D1">
              <w:rPr>
                <w:rFonts w:cstheme="minorHAnsi"/>
              </w:rPr>
              <w:t>®</w:t>
            </w:r>
            <w:r w:rsidRPr="00DB70D1">
              <w:rPr>
                <w:rFonts w:cstheme="minorHAnsi"/>
                <w:b/>
              </w:rPr>
              <w:t xml:space="preserve"> </w:t>
            </w:r>
            <w:r w:rsidRPr="00DB70D1">
              <w:rPr>
                <w:rFonts w:cstheme="minorHAnsi"/>
                <w:b/>
              </w:rPr>
              <w:br/>
              <w:t xml:space="preserve">Quad </w:t>
            </w:r>
            <w:r w:rsidRPr="00DB70D1">
              <w:rPr>
                <w:rFonts w:cstheme="minorHAnsi"/>
                <w:b/>
              </w:rPr>
              <w:br/>
              <w:t>vaccine</w:t>
            </w:r>
            <w:r w:rsidRPr="00DB70D1">
              <w:rPr>
                <w:rFonts w:cstheme="minorHAnsi"/>
                <w:b/>
              </w:rPr>
              <w:br/>
              <w:t>N=1605</w:t>
            </w:r>
          </w:p>
        </w:tc>
        <w:tc>
          <w:tcPr>
            <w:tcW w:w="679" w:type="pct"/>
            <w:vAlign w:val="center"/>
          </w:tcPr>
          <w:p w14:paraId="12AB278F" w14:textId="77777777" w:rsidR="005854DD" w:rsidRPr="00DB70D1" w:rsidRDefault="005854DD" w:rsidP="00D60C8B">
            <w:pPr>
              <w:keepNext/>
              <w:keepLines/>
              <w:autoSpaceDE w:val="0"/>
              <w:autoSpaceDN w:val="0"/>
              <w:adjustRightInd w:val="0"/>
              <w:spacing w:before="40" w:after="40" w:line="240" w:lineRule="auto"/>
              <w:jc w:val="center"/>
              <w:rPr>
                <w:rFonts w:cstheme="minorHAnsi"/>
                <w:b/>
              </w:rPr>
            </w:pPr>
            <w:r w:rsidRPr="00DB70D1">
              <w:rPr>
                <w:rFonts w:cstheme="minorHAnsi"/>
                <w:b/>
              </w:rPr>
              <w:t>Comparator QIV</w:t>
            </w:r>
            <w:r w:rsidRPr="00DB70D1">
              <w:rPr>
                <w:rFonts w:cstheme="minorHAnsi"/>
                <w:b/>
              </w:rPr>
              <w:br/>
              <w:t>N=528</w:t>
            </w:r>
          </w:p>
        </w:tc>
        <w:tc>
          <w:tcPr>
            <w:tcW w:w="638" w:type="pct"/>
            <w:vAlign w:val="center"/>
          </w:tcPr>
          <w:p w14:paraId="4B194FA6" w14:textId="77777777" w:rsidR="005854DD" w:rsidRPr="00BA3C67" w:rsidRDefault="005854DD" w:rsidP="003922F0">
            <w:pPr>
              <w:keepNext/>
              <w:keepLines/>
              <w:autoSpaceDE w:val="0"/>
              <w:autoSpaceDN w:val="0"/>
              <w:adjustRightInd w:val="0"/>
              <w:spacing w:before="40" w:after="40" w:line="240" w:lineRule="auto"/>
              <w:ind w:left="-146" w:right="-108"/>
              <w:jc w:val="center"/>
              <w:rPr>
                <w:rFonts w:cstheme="minorHAnsi"/>
                <w:b/>
              </w:rPr>
            </w:pPr>
            <w:r w:rsidRPr="00BA3C67">
              <w:rPr>
                <w:rFonts w:cstheme="minorHAnsi"/>
                <w:b/>
              </w:rPr>
              <w:t xml:space="preserve">Comparator QIV over </w:t>
            </w:r>
          </w:p>
          <w:p w14:paraId="25115DB6" w14:textId="77777777" w:rsidR="005854DD" w:rsidRPr="00BA3C67" w:rsidRDefault="005854DD" w:rsidP="003922F0">
            <w:pPr>
              <w:keepNext/>
              <w:keepLines/>
              <w:autoSpaceDE w:val="0"/>
              <w:autoSpaceDN w:val="0"/>
              <w:adjustRightInd w:val="0"/>
              <w:spacing w:before="40" w:after="40" w:line="240" w:lineRule="auto"/>
              <w:ind w:left="-146" w:right="-108"/>
              <w:jc w:val="center"/>
              <w:rPr>
                <w:rFonts w:cstheme="minorHAnsi"/>
                <w:b/>
              </w:rPr>
            </w:pPr>
            <w:r w:rsidRPr="00BA3C67">
              <w:rPr>
                <w:rFonts w:cstheme="minorHAnsi"/>
                <w:b/>
              </w:rPr>
              <w:t>Afluria</w:t>
            </w:r>
            <w:r w:rsidRPr="00BA3C67">
              <w:rPr>
                <w:rFonts w:cstheme="minorHAnsi"/>
              </w:rPr>
              <w:t>®</w:t>
            </w:r>
            <w:r w:rsidRPr="00BA3C67">
              <w:rPr>
                <w:rFonts w:cstheme="minorHAnsi"/>
                <w:b/>
              </w:rPr>
              <w:t xml:space="preserve"> </w:t>
            </w:r>
          </w:p>
          <w:p w14:paraId="2644D0C2" w14:textId="77777777" w:rsidR="005854DD" w:rsidRPr="00BA3C67" w:rsidRDefault="005854DD" w:rsidP="003922F0">
            <w:pPr>
              <w:keepNext/>
              <w:keepLines/>
              <w:autoSpaceDE w:val="0"/>
              <w:autoSpaceDN w:val="0"/>
              <w:adjustRightInd w:val="0"/>
              <w:spacing w:before="40" w:after="40" w:line="240" w:lineRule="auto"/>
              <w:ind w:left="-146" w:right="-108"/>
              <w:jc w:val="center"/>
              <w:rPr>
                <w:rFonts w:cstheme="minorHAnsi"/>
                <w:b/>
              </w:rPr>
            </w:pPr>
            <w:r w:rsidRPr="00BA3C67">
              <w:rPr>
                <w:rFonts w:cstheme="minorHAnsi"/>
                <w:b/>
              </w:rPr>
              <w:t xml:space="preserve">Quad </w:t>
            </w:r>
          </w:p>
          <w:p w14:paraId="39095A73" w14:textId="77777777" w:rsidR="005854DD" w:rsidRPr="00BA3C67" w:rsidRDefault="003922F0" w:rsidP="003922F0">
            <w:pPr>
              <w:keepNext/>
              <w:keepLines/>
              <w:autoSpaceDE w:val="0"/>
              <w:autoSpaceDN w:val="0"/>
              <w:adjustRightInd w:val="0"/>
              <w:spacing w:before="40" w:after="40" w:line="240" w:lineRule="auto"/>
              <w:ind w:left="-146" w:right="-108"/>
              <w:jc w:val="center"/>
              <w:rPr>
                <w:rFonts w:cstheme="minorHAnsi"/>
                <w:b/>
              </w:rPr>
            </w:pPr>
            <w:r w:rsidRPr="00BA3C67">
              <w:rPr>
                <w:rFonts w:cstheme="minorHAnsi"/>
                <w:b/>
              </w:rPr>
              <w:t>Vaccine</w:t>
            </w:r>
            <w:r w:rsidRPr="00BA3C67">
              <w:rPr>
                <w:rFonts w:cstheme="minorHAnsi"/>
                <w:b/>
              </w:rPr>
              <w:br/>
            </w:r>
            <w:r w:rsidR="005854DD" w:rsidRPr="00BA3C67">
              <w:rPr>
                <w:rFonts w:cstheme="minorHAnsi"/>
                <w:b/>
              </w:rPr>
              <w:t>(95% CI)</w:t>
            </w:r>
          </w:p>
        </w:tc>
        <w:tc>
          <w:tcPr>
            <w:tcW w:w="662" w:type="pct"/>
            <w:vAlign w:val="center"/>
          </w:tcPr>
          <w:p w14:paraId="36DFBB8E" w14:textId="77777777" w:rsidR="005854DD" w:rsidRPr="00BA3C67" w:rsidRDefault="005854DD" w:rsidP="00D60C8B">
            <w:pPr>
              <w:keepNext/>
              <w:keepLines/>
              <w:autoSpaceDE w:val="0"/>
              <w:autoSpaceDN w:val="0"/>
              <w:adjustRightInd w:val="0"/>
              <w:spacing w:before="40" w:after="40" w:line="240" w:lineRule="auto"/>
              <w:jc w:val="center"/>
              <w:rPr>
                <w:rFonts w:cstheme="minorHAnsi"/>
                <w:b/>
              </w:rPr>
            </w:pPr>
            <w:r w:rsidRPr="00BA3C67">
              <w:rPr>
                <w:rFonts w:cstheme="minorHAnsi"/>
                <w:b/>
              </w:rPr>
              <w:t>Afluria</w:t>
            </w:r>
            <w:r w:rsidRPr="00BA3C67">
              <w:rPr>
                <w:rFonts w:cstheme="minorHAnsi"/>
              </w:rPr>
              <w:t>®</w:t>
            </w:r>
            <w:r w:rsidRPr="00BA3C67">
              <w:rPr>
                <w:rFonts w:cstheme="minorHAnsi"/>
                <w:b/>
              </w:rPr>
              <w:t xml:space="preserve"> </w:t>
            </w:r>
            <w:r w:rsidRPr="00BA3C67">
              <w:rPr>
                <w:rFonts w:cstheme="minorHAnsi"/>
                <w:b/>
              </w:rPr>
              <w:br/>
              <w:t xml:space="preserve">Quad </w:t>
            </w:r>
            <w:r w:rsidRPr="00BA3C67">
              <w:rPr>
                <w:rFonts w:cstheme="minorHAnsi"/>
                <w:b/>
              </w:rPr>
              <w:br/>
              <w:t>vaccine N=1605</w:t>
            </w:r>
          </w:p>
          <w:p w14:paraId="402AFEE4" w14:textId="77777777" w:rsidR="005854DD" w:rsidRPr="00BA3C67" w:rsidRDefault="005854DD" w:rsidP="00D60C8B">
            <w:pPr>
              <w:keepNext/>
              <w:keepLines/>
              <w:autoSpaceDE w:val="0"/>
              <w:autoSpaceDN w:val="0"/>
              <w:adjustRightInd w:val="0"/>
              <w:spacing w:before="40" w:after="40" w:line="240" w:lineRule="auto"/>
              <w:jc w:val="center"/>
              <w:rPr>
                <w:rFonts w:cstheme="minorHAnsi"/>
                <w:b/>
              </w:rPr>
            </w:pPr>
            <w:r w:rsidRPr="00BA3C67">
              <w:rPr>
                <w:rFonts w:cstheme="minorHAnsi"/>
                <w:b/>
              </w:rPr>
              <w:t>(95% CI)</w:t>
            </w:r>
          </w:p>
        </w:tc>
        <w:tc>
          <w:tcPr>
            <w:tcW w:w="679" w:type="pct"/>
            <w:vAlign w:val="center"/>
          </w:tcPr>
          <w:p w14:paraId="4C815588" w14:textId="77777777" w:rsidR="005854DD" w:rsidRPr="00DB70D1" w:rsidRDefault="005854DD" w:rsidP="00D60C8B">
            <w:pPr>
              <w:keepNext/>
              <w:keepLines/>
              <w:autoSpaceDE w:val="0"/>
              <w:autoSpaceDN w:val="0"/>
              <w:adjustRightInd w:val="0"/>
              <w:spacing w:before="40" w:after="40" w:line="240" w:lineRule="auto"/>
              <w:jc w:val="center"/>
              <w:rPr>
                <w:rFonts w:cstheme="minorHAnsi"/>
                <w:b/>
              </w:rPr>
            </w:pPr>
            <w:r w:rsidRPr="00DB70D1">
              <w:rPr>
                <w:rFonts w:cstheme="minorHAnsi"/>
                <w:b/>
              </w:rPr>
              <w:t>Comparator QIV</w:t>
            </w:r>
            <w:r w:rsidRPr="00DB70D1">
              <w:rPr>
                <w:rFonts w:cstheme="minorHAnsi"/>
                <w:b/>
              </w:rPr>
              <w:br/>
              <w:t>N=528</w:t>
            </w:r>
          </w:p>
          <w:p w14:paraId="18BB210B" w14:textId="77777777" w:rsidR="005854DD" w:rsidRPr="00DB70D1" w:rsidRDefault="005854DD" w:rsidP="00D60C8B">
            <w:pPr>
              <w:keepNext/>
              <w:keepLines/>
              <w:autoSpaceDE w:val="0"/>
              <w:autoSpaceDN w:val="0"/>
              <w:adjustRightInd w:val="0"/>
              <w:spacing w:before="40" w:after="40" w:line="240" w:lineRule="auto"/>
              <w:jc w:val="center"/>
              <w:rPr>
                <w:rFonts w:cstheme="minorHAnsi"/>
                <w:b/>
              </w:rPr>
            </w:pPr>
            <w:r w:rsidRPr="00DB70D1">
              <w:rPr>
                <w:rFonts w:cstheme="minorHAnsi"/>
                <w:b/>
              </w:rPr>
              <w:t>(95% CI)</w:t>
            </w:r>
          </w:p>
        </w:tc>
        <w:tc>
          <w:tcPr>
            <w:tcW w:w="679" w:type="pct"/>
            <w:vAlign w:val="center"/>
          </w:tcPr>
          <w:p w14:paraId="5DEF6648" w14:textId="77777777" w:rsidR="005854DD" w:rsidRPr="00BA3C67" w:rsidRDefault="005854DD" w:rsidP="00D60C8B">
            <w:pPr>
              <w:keepNext/>
              <w:keepLines/>
              <w:autoSpaceDE w:val="0"/>
              <w:autoSpaceDN w:val="0"/>
              <w:adjustRightInd w:val="0"/>
              <w:spacing w:before="40" w:after="40" w:line="240" w:lineRule="auto"/>
              <w:jc w:val="center"/>
              <w:rPr>
                <w:rFonts w:cstheme="minorHAnsi"/>
                <w:b/>
              </w:rPr>
            </w:pPr>
            <w:r w:rsidRPr="00BA3C67">
              <w:rPr>
                <w:rFonts w:cstheme="minorHAnsi"/>
                <w:b/>
              </w:rPr>
              <w:t xml:space="preserve">Comparator QIV minus </w:t>
            </w:r>
          </w:p>
          <w:p w14:paraId="4433B657" w14:textId="77777777" w:rsidR="005854DD" w:rsidRPr="00BA3C67" w:rsidRDefault="005854DD" w:rsidP="00D60C8B">
            <w:pPr>
              <w:keepNext/>
              <w:keepLines/>
              <w:autoSpaceDE w:val="0"/>
              <w:autoSpaceDN w:val="0"/>
              <w:adjustRightInd w:val="0"/>
              <w:spacing w:before="40" w:after="40" w:line="240" w:lineRule="auto"/>
              <w:jc w:val="center"/>
              <w:rPr>
                <w:rFonts w:cstheme="minorHAnsi"/>
                <w:b/>
              </w:rPr>
            </w:pPr>
            <w:r w:rsidRPr="00BA3C67">
              <w:rPr>
                <w:rFonts w:cstheme="minorHAnsi"/>
                <w:b/>
              </w:rPr>
              <w:t xml:space="preserve">Afluria </w:t>
            </w:r>
          </w:p>
          <w:p w14:paraId="0EE70DD0" w14:textId="77777777" w:rsidR="005854DD" w:rsidRPr="00BA3C67" w:rsidRDefault="005854DD" w:rsidP="00D60C8B">
            <w:pPr>
              <w:keepNext/>
              <w:keepLines/>
              <w:autoSpaceDE w:val="0"/>
              <w:autoSpaceDN w:val="0"/>
              <w:adjustRightInd w:val="0"/>
              <w:spacing w:before="40" w:after="40" w:line="240" w:lineRule="auto"/>
              <w:jc w:val="center"/>
              <w:rPr>
                <w:rFonts w:cstheme="minorHAnsi"/>
                <w:b/>
              </w:rPr>
            </w:pPr>
            <w:r w:rsidRPr="00BA3C67">
              <w:rPr>
                <w:rFonts w:cstheme="minorHAnsi"/>
                <w:b/>
              </w:rPr>
              <w:t>Quad</w:t>
            </w:r>
            <w:r w:rsidRPr="00BA3C67">
              <w:rPr>
                <w:rFonts w:cstheme="minorHAnsi"/>
                <w:b/>
                <w:vertAlign w:val="superscript"/>
              </w:rPr>
              <w:t>™</w:t>
            </w:r>
            <w:r w:rsidRPr="00BA3C67">
              <w:rPr>
                <w:rFonts w:cstheme="minorHAnsi"/>
                <w:b/>
              </w:rPr>
              <w:t xml:space="preserve"> </w:t>
            </w:r>
          </w:p>
          <w:p w14:paraId="51098EBF" w14:textId="77777777" w:rsidR="005854DD" w:rsidRPr="00BA3C67" w:rsidRDefault="005854DD" w:rsidP="00D60C8B">
            <w:pPr>
              <w:keepNext/>
              <w:keepLines/>
              <w:autoSpaceDE w:val="0"/>
              <w:autoSpaceDN w:val="0"/>
              <w:adjustRightInd w:val="0"/>
              <w:spacing w:before="40" w:after="40" w:line="240" w:lineRule="auto"/>
              <w:jc w:val="center"/>
              <w:rPr>
                <w:rFonts w:cstheme="minorHAnsi"/>
                <w:b/>
              </w:rPr>
            </w:pPr>
            <w:r w:rsidRPr="00BA3C67">
              <w:rPr>
                <w:rFonts w:cstheme="minorHAnsi"/>
                <w:b/>
              </w:rPr>
              <w:t>vaccine (95% CI)</w:t>
            </w:r>
          </w:p>
        </w:tc>
        <w:tc>
          <w:tcPr>
            <w:tcW w:w="584" w:type="pct"/>
            <w:vMerge/>
            <w:vAlign w:val="center"/>
          </w:tcPr>
          <w:p w14:paraId="76B61957" w14:textId="77777777" w:rsidR="005854DD" w:rsidRPr="00BA3C67" w:rsidRDefault="005854DD" w:rsidP="00D60C8B">
            <w:pPr>
              <w:keepNext/>
              <w:keepLines/>
              <w:autoSpaceDE w:val="0"/>
              <w:autoSpaceDN w:val="0"/>
              <w:adjustRightInd w:val="0"/>
              <w:spacing w:before="40" w:after="40" w:line="240" w:lineRule="auto"/>
              <w:jc w:val="center"/>
              <w:rPr>
                <w:rFonts w:cstheme="minorHAnsi"/>
                <w:b/>
              </w:rPr>
            </w:pPr>
          </w:p>
        </w:tc>
      </w:tr>
      <w:tr w:rsidR="005854DD" w:rsidRPr="00DB70D1" w14:paraId="22A46D41" w14:textId="77777777" w:rsidTr="003922F0">
        <w:trPr>
          <w:trHeight w:val="521"/>
        </w:trPr>
        <w:tc>
          <w:tcPr>
            <w:tcW w:w="481" w:type="pct"/>
            <w:vAlign w:val="center"/>
          </w:tcPr>
          <w:p w14:paraId="196C2ABB" w14:textId="77777777" w:rsidR="005854DD" w:rsidRPr="00DB70D1" w:rsidRDefault="005854DD" w:rsidP="00D60C8B">
            <w:pPr>
              <w:keepNext/>
              <w:spacing w:before="40" w:after="40" w:line="240" w:lineRule="auto"/>
              <w:jc w:val="center"/>
              <w:rPr>
                <w:rFonts w:cstheme="minorHAnsi"/>
              </w:rPr>
            </w:pPr>
            <w:r w:rsidRPr="00DB70D1">
              <w:rPr>
                <w:rFonts w:cstheme="minorHAnsi"/>
              </w:rPr>
              <w:t>A/H1N1</w:t>
            </w:r>
          </w:p>
        </w:tc>
        <w:tc>
          <w:tcPr>
            <w:tcW w:w="598" w:type="pct"/>
            <w:vAlign w:val="center"/>
          </w:tcPr>
          <w:p w14:paraId="65B002FA" w14:textId="77777777" w:rsidR="005854DD" w:rsidRPr="00DB70D1" w:rsidRDefault="005854DD" w:rsidP="00D60C8B">
            <w:pPr>
              <w:keepNext/>
              <w:spacing w:before="40" w:after="40" w:line="240" w:lineRule="auto"/>
              <w:jc w:val="center"/>
              <w:rPr>
                <w:rFonts w:cstheme="minorHAnsi"/>
              </w:rPr>
            </w:pPr>
            <w:r w:rsidRPr="00DB70D1">
              <w:rPr>
                <w:rFonts w:cstheme="minorHAnsi"/>
              </w:rPr>
              <w:t xml:space="preserve">952.6 (n=1604 </w:t>
            </w:r>
            <w:r w:rsidRPr="00DB70D1">
              <w:rPr>
                <w:rFonts w:cstheme="minorHAnsi"/>
                <w:vertAlign w:val="superscript"/>
              </w:rPr>
              <w:t>e</w:t>
            </w:r>
            <w:r w:rsidRPr="00DB70D1">
              <w:rPr>
                <w:rFonts w:cstheme="minorHAnsi"/>
              </w:rPr>
              <w:t>)</w:t>
            </w:r>
          </w:p>
        </w:tc>
        <w:tc>
          <w:tcPr>
            <w:tcW w:w="679" w:type="pct"/>
            <w:vAlign w:val="center"/>
          </w:tcPr>
          <w:p w14:paraId="2C6F0FC2" w14:textId="77777777" w:rsidR="005854DD" w:rsidRPr="00DB70D1" w:rsidRDefault="005854DD" w:rsidP="00D60C8B">
            <w:pPr>
              <w:keepNext/>
              <w:spacing w:before="40" w:after="40" w:line="240" w:lineRule="auto"/>
              <w:jc w:val="center"/>
              <w:rPr>
                <w:rFonts w:cstheme="minorHAnsi"/>
              </w:rPr>
            </w:pPr>
            <w:r w:rsidRPr="00DB70D1">
              <w:rPr>
                <w:rFonts w:cstheme="minorHAnsi"/>
              </w:rPr>
              <w:t xml:space="preserve">958.8 </w:t>
            </w:r>
          </w:p>
        </w:tc>
        <w:tc>
          <w:tcPr>
            <w:tcW w:w="638" w:type="pct"/>
            <w:vAlign w:val="center"/>
          </w:tcPr>
          <w:p w14:paraId="3BBC3E46" w14:textId="77777777" w:rsidR="005854DD" w:rsidRPr="00DB70D1" w:rsidRDefault="005854DD" w:rsidP="00D60C8B">
            <w:pPr>
              <w:keepNext/>
              <w:spacing w:before="40" w:after="40" w:line="240" w:lineRule="auto"/>
              <w:jc w:val="center"/>
              <w:rPr>
                <w:rFonts w:cstheme="minorHAnsi"/>
              </w:rPr>
            </w:pPr>
            <w:r w:rsidRPr="00DB70D1">
              <w:rPr>
                <w:rFonts w:cstheme="minorHAnsi"/>
              </w:rPr>
              <w:t xml:space="preserve">1.01 </w:t>
            </w:r>
            <w:r w:rsidRPr="00DB70D1">
              <w:rPr>
                <w:rFonts w:cstheme="minorHAnsi"/>
              </w:rPr>
              <w:br/>
              <w:t>(0.93, 1.09)</w:t>
            </w:r>
          </w:p>
        </w:tc>
        <w:tc>
          <w:tcPr>
            <w:tcW w:w="662" w:type="pct"/>
            <w:vAlign w:val="center"/>
          </w:tcPr>
          <w:p w14:paraId="3FADD121" w14:textId="77777777" w:rsidR="005854DD" w:rsidRPr="00DB70D1" w:rsidRDefault="005854DD" w:rsidP="00D60C8B">
            <w:pPr>
              <w:keepNext/>
              <w:spacing w:before="40" w:after="40" w:line="240" w:lineRule="auto"/>
              <w:jc w:val="center"/>
              <w:rPr>
                <w:rFonts w:cstheme="minorHAnsi"/>
              </w:rPr>
            </w:pPr>
            <w:r w:rsidRPr="00DB70D1">
              <w:rPr>
                <w:rFonts w:cstheme="minorHAnsi"/>
              </w:rPr>
              <w:t>66.4</w:t>
            </w:r>
            <w:r w:rsidRPr="00DB70D1">
              <w:rPr>
                <w:rFonts w:cstheme="minorHAnsi"/>
              </w:rPr>
              <w:br/>
              <w:t>(64.0, 68.7)</w:t>
            </w:r>
          </w:p>
        </w:tc>
        <w:tc>
          <w:tcPr>
            <w:tcW w:w="679" w:type="pct"/>
            <w:vAlign w:val="center"/>
          </w:tcPr>
          <w:p w14:paraId="0A3CC6B1" w14:textId="77777777" w:rsidR="005854DD" w:rsidRPr="00DB70D1" w:rsidRDefault="005854DD" w:rsidP="00D60C8B">
            <w:pPr>
              <w:keepNext/>
              <w:spacing w:before="40" w:after="40" w:line="240" w:lineRule="auto"/>
              <w:jc w:val="center"/>
              <w:rPr>
                <w:rFonts w:cstheme="minorHAnsi"/>
              </w:rPr>
            </w:pPr>
            <w:r w:rsidRPr="00DB70D1">
              <w:rPr>
                <w:rFonts w:cstheme="minorHAnsi"/>
              </w:rPr>
              <w:t>63.3</w:t>
            </w:r>
            <w:r w:rsidRPr="00DB70D1">
              <w:rPr>
                <w:rFonts w:cstheme="minorHAnsi"/>
              </w:rPr>
              <w:br/>
              <w:t>(59.0, 67.4)</w:t>
            </w:r>
          </w:p>
        </w:tc>
        <w:tc>
          <w:tcPr>
            <w:tcW w:w="679" w:type="pct"/>
            <w:vAlign w:val="center"/>
          </w:tcPr>
          <w:p w14:paraId="589F36C3" w14:textId="77777777" w:rsidR="005854DD" w:rsidRPr="00DB70D1" w:rsidRDefault="005854DD" w:rsidP="00D60C8B">
            <w:pPr>
              <w:keepNext/>
              <w:spacing w:before="40" w:after="40" w:line="240" w:lineRule="auto"/>
              <w:jc w:val="center"/>
              <w:rPr>
                <w:rFonts w:cstheme="minorHAnsi"/>
              </w:rPr>
            </w:pPr>
            <w:r w:rsidRPr="00DB70D1">
              <w:rPr>
                <w:rFonts w:cstheme="minorHAnsi"/>
              </w:rPr>
              <w:t>-3.1</w:t>
            </w:r>
            <w:r w:rsidRPr="00DB70D1">
              <w:rPr>
                <w:rFonts w:cstheme="minorHAnsi"/>
              </w:rPr>
              <w:br/>
              <w:t>(-8.0, 1.8)</w:t>
            </w:r>
          </w:p>
        </w:tc>
        <w:tc>
          <w:tcPr>
            <w:tcW w:w="584" w:type="pct"/>
            <w:vAlign w:val="center"/>
          </w:tcPr>
          <w:p w14:paraId="6F04B519" w14:textId="77777777" w:rsidR="005854DD" w:rsidRPr="00DB70D1" w:rsidRDefault="005854DD" w:rsidP="00D60C8B">
            <w:pPr>
              <w:keepNext/>
              <w:spacing w:before="40" w:after="40" w:line="240" w:lineRule="auto"/>
              <w:jc w:val="center"/>
              <w:rPr>
                <w:rFonts w:cstheme="minorHAnsi"/>
              </w:rPr>
            </w:pPr>
            <w:r w:rsidRPr="00DB70D1">
              <w:rPr>
                <w:rFonts w:cstheme="minorHAnsi"/>
              </w:rPr>
              <w:t>Yes</w:t>
            </w:r>
          </w:p>
        </w:tc>
      </w:tr>
      <w:tr w:rsidR="005854DD" w:rsidRPr="00DB70D1" w14:paraId="43C7555D" w14:textId="77777777" w:rsidTr="003922F0">
        <w:trPr>
          <w:trHeight w:val="559"/>
        </w:trPr>
        <w:tc>
          <w:tcPr>
            <w:tcW w:w="481" w:type="pct"/>
            <w:vAlign w:val="center"/>
          </w:tcPr>
          <w:p w14:paraId="1900231E" w14:textId="77777777" w:rsidR="005854DD" w:rsidRPr="00DB70D1" w:rsidRDefault="005854DD" w:rsidP="00D60C8B">
            <w:pPr>
              <w:keepNext/>
              <w:spacing w:before="40" w:after="40" w:line="240" w:lineRule="auto"/>
              <w:jc w:val="center"/>
              <w:rPr>
                <w:rFonts w:cstheme="minorHAnsi"/>
              </w:rPr>
            </w:pPr>
            <w:r w:rsidRPr="00DB70D1">
              <w:rPr>
                <w:rFonts w:cstheme="minorHAnsi"/>
              </w:rPr>
              <w:t>A/H3N2</w:t>
            </w:r>
          </w:p>
        </w:tc>
        <w:tc>
          <w:tcPr>
            <w:tcW w:w="598" w:type="pct"/>
            <w:vAlign w:val="center"/>
          </w:tcPr>
          <w:p w14:paraId="354FFAD5" w14:textId="77777777" w:rsidR="005854DD" w:rsidRPr="00DB70D1" w:rsidRDefault="005854DD" w:rsidP="00D60C8B">
            <w:pPr>
              <w:keepNext/>
              <w:spacing w:before="40" w:after="40" w:line="240" w:lineRule="auto"/>
              <w:jc w:val="center"/>
              <w:rPr>
                <w:rFonts w:cstheme="minorHAnsi"/>
              </w:rPr>
            </w:pPr>
            <w:r w:rsidRPr="00DB70D1">
              <w:rPr>
                <w:rFonts w:cstheme="minorHAnsi"/>
              </w:rPr>
              <w:t xml:space="preserve">886.4 (n=1604 </w:t>
            </w:r>
            <w:r w:rsidRPr="00DB70D1">
              <w:rPr>
                <w:rFonts w:cstheme="minorHAnsi"/>
                <w:vertAlign w:val="superscript"/>
              </w:rPr>
              <w:t>e</w:t>
            </w:r>
            <w:r w:rsidRPr="00DB70D1">
              <w:rPr>
                <w:rFonts w:cstheme="minorHAnsi"/>
              </w:rPr>
              <w:t>)</w:t>
            </w:r>
          </w:p>
        </w:tc>
        <w:tc>
          <w:tcPr>
            <w:tcW w:w="679" w:type="pct"/>
            <w:vAlign w:val="center"/>
          </w:tcPr>
          <w:p w14:paraId="58569B6A" w14:textId="77777777" w:rsidR="005854DD" w:rsidRPr="00DB70D1" w:rsidRDefault="005854DD" w:rsidP="00D60C8B">
            <w:pPr>
              <w:keepNext/>
              <w:spacing w:before="40" w:after="40" w:line="240" w:lineRule="auto"/>
              <w:jc w:val="center"/>
              <w:rPr>
                <w:rFonts w:cstheme="minorHAnsi"/>
              </w:rPr>
            </w:pPr>
            <w:r w:rsidRPr="00DB70D1">
              <w:rPr>
                <w:rFonts w:cstheme="minorHAnsi"/>
              </w:rPr>
              <w:t>930.6</w:t>
            </w:r>
          </w:p>
        </w:tc>
        <w:tc>
          <w:tcPr>
            <w:tcW w:w="638" w:type="pct"/>
            <w:vAlign w:val="center"/>
          </w:tcPr>
          <w:p w14:paraId="0D9509C7" w14:textId="77777777" w:rsidR="005854DD" w:rsidRPr="00DB70D1" w:rsidRDefault="005854DD" w:rsidP="00D60C8B">
            <w:pPr>
              <w:keepNext/>
              <w:spacing w:before="40" w:after="40" w:line="240" w:lineRule="auto"/>
              <w:jc w:val="center"/>
              <w:rPr>
                <w:rFonts w:cstheme="minorHAnsi"/>
              </w:rPr>
            </w:pPr>
            <w:r w:rsidRPr="00DB70D1">
              <w:rPr>
                <w:rFonts w:cstheme="minorHAnsi"/>
              </w:rPr>
              <w:t xml:space="preserve">1.05 </w:t>
            </w:r>
            <w:r w:rsidRPr="00DB70D1">
              <w:rPr>
                <w:rFonts w:cstheme="minorHAnsi"/>
              </w:rPr>
              <w:br/>
              <w:t>(0.96, 1.15)</w:t>
            </w:r>
          </w:p>
        </w:tc>
        <w:tc>
          <w:tcPr>
            <w:tcW w:w="662" w:type="pct"/>
            <w:vAlign w:val="center"/>
          </w:tcPr>
          <w:p w14:paraId="29A4C9B9" w14:textId="77777777" w:rsidR="005854DD" w:rsidRPr="00DB70D1" w:rsidRDefault="005854DD" w:rsidP="00D60C8B">
            <w:pPr>
              <w:keepNext/>
              <w:spacing w:before="40" w:after="40" w:line="240" w:lineRule="auto"/>
              <w:jc w:val="center"/>
              <w:rPr>
                <w:rFonts w:cstheme="minorHAnsi"/>
              </w:rPr>
            </w:pPr>
            <w:r w:rsidRPr="00DB70D1">
              <w:rPr>
                <w:rFonts w:cstheme="minorHAnsi"/>
              </w:rPr>
              <w:t>82.9</w:t>
            </w:r>
            <w:r w:rsidRPr="00DB70D1">
              <w:rPr>
                <w:rFonts w:cstheme="minorHAnsi"/>
              </w:rPr>
              <w:br/>
              <w:t>(81.0, 84.7)</w:t>
            </w:r>
          </w:p>
        </w:tc>
        <w:tc>
          <w:tcPr>
            <w:tcW w:w="679" w:type="pct"/>
            <w:vAlign w:val="center"/>
          </w:tcPr>
          <w:p w14:paraId="31DB7B0D" w14:textId="77777777" w:rsidR="005854DD" w:rsidRPr="00DB70D1" w:rsidRDefault="005854DD" w:rsidP="00D60C8B">
            <w:pPr>
              <w:keepNext/>
              <w:spacing w:before="40" w:after="40" w:line="240" w:lineRule="auto"/>
              <w:jc w:val="center"/>
              <w:rPr>
                <w:rFonts w:cstheme="minorHAnsi"/>
              </w:rPr>
            </w:pPr>
            <w:r w:rsidRPr="00DB70D1">
              <w:rPr>
                <w:rFonts w:cstheme="minorHAnsi"/>
              </w:rPr>
              <w:t>83.3</w:t>
            </w:r>
            <w:r w:rsidRPr="00DB70D1">
              <w:rPr>
                <w:rFonts w:cstheme="minorHAnsi"/>
              </w:rPr>
              <w:br/>
              <w:t>(79.9, 86.4)</w:t>
            </w:r>
          </w:p>
        </w:tc>
        <w:tc>
          <w:tcPr>
            <w:tcW w:w="679" w:type="pct"/>
            <w:vAlign w:val="center"/>
          </w:tcPr>
          <w:p w14:paraId="4C0C6814" w14:textId="77777777" w:rsidR="005854DD" w:rsidRPr="00DB70D1" w:rsidRDefault="005854DD" w:rsidP="00D60C8B">
            <w:pPr>
              <w:keepNext/>
              <w:spacing w:before="40" w:after="40" w:line="240" w:lineRule="auto"/>
              <w:jc w:val="center"/>
              <w:rPr>
                <w:rFonts w:cstheme="minorHAnsi"/>
              </w:rPr>
            </w:pPr>
            <w:r w:rsidRPr="00DB70D1">
              <w:rPr>
                <w:rFonts w:cstheme="minorHAnsi"/>
              </w:rPr>
              <w:t>0.4</w:t>
            </w:r>
            <w:r w:rsidRPr="00DB70D1">
              <w:rPr>
                <w:rFonts w:cstheme="minorHAnsi"/>
              </w:rPr>
              <w:br/>
              <w:t>(-4.5, 5.3)</w:t>
            </w:r>
          </w:p>
        </w:tc>
        <w:tc>
          <w:tcPr>
            <w:tcW w:w="584" w:type="pct"/>
            <w:vAlign w:val="center"/>
          </w:tcPr>
          <w:p w14:paraId="1301B69D" w14:textId="77777777" w:rsidR="005854DD" w:rsidRPr="00DB70D1" w:rsidRDefault="005854DD" w:rsidP="00D60C8B">
            <w:pPr>
              <w:keepNext/>
              <w:spacing w:before="40" w:after="40" w:line="240" w:lineRule="auto"/>
              <w:jc w:val="center"/>
              <w:rPr>
                <w:rFonts w:cstheme="minorHAnsi"/>
              </w:rPr>
            </w:pPr>
            <w:r w:rsidRPr="00DB70D1">
              <w:rPr>
                <w:rFonts w:cstheme="minorHAnsi"/>
              </w:rPr>
              <w:t>Yes</w:t>
            </w:r>
          </w:p>
        </w:tc>
      </w:tr>
      <w:tr w:rsidR="005854DD" w:rsidRPr="00DB70D1" w14:paraId="22777FEA" w14:textId="77777777" w:rsidTr="003922F0">
        <w:trPr>
          <w:trHeight w:val="567"/>
        </w:trPr>
        <w:tc>
          <w:tcPr>
            <w:tcW w:w="481" w:type="pct"/>
            <w:vAlign w:val="center"/>
          </w:tcPr>
          <w:p w14:paraId="5122B0B1" w14:textId="77777777" w:rsidR="005854DD" w:rsidRPr="00DB70D1" w:rsidRDefault="005854DD" w:rsidP="00D60C8B">
            <w:pPr>
              <w:keepNext/>
              <w:spacing w:before="40" w:after="40" w:line="240" w:lineRule="auto"/>
              <w:jc w:val="center"/>
              <w:rPr>
                <w:rFonts w:cstheme="minorHAnsi"/>
              </w:rPr>
            </w:pPr>
            <w:r w:rsidRPr="00DB70D1">
              <w:rPr>
                <w:rFonts w:cstheme="minorHAnsi"/>
              </w:rPr>
              <w:t>B/YAM</w:t>
            </w:r>
          </w:p>
        </w:tc>
        <w:tc>
          <w:tcPr>
            <w:tcW w:w="598" w:type="pct"/>
            <w:vAlign w:val="center"/>
          </w:tcPr>
          <w:p w14:paraId="3AE16352" w14:textId="77777777" w:rsidR="005854DD" w:rsidRPr="00DB70D1" w:rsidRDefault="005854DD" w:rsidP="00D60C8B">
            <w:pPr>
              <w:keepNext/>
              <w:spacing w:before="40" w:after="40" w:line="240" w:lineRule="auto"/>
              <w:jc w:val="center"/>
              <w:rPr>
                <w:rFonts w:cstheme="minorHAnsi"/>
              </w:rPr>
            </w:pPr>
            <w:r w:rsidRPr="00DB70D1">
              <w:rPr>
                <w:rFonts w:cstheme="minorHAnsi"/>
              </w:rPr>
              <w:t xml:space="preserve">60.9 </w:t>
            </w:r>
            <w:r w:rsidRPr="00DB70D1">
              <w:rPr>
                <w:rFonts w:cstheme="minorHAnsi"/>
              </w:rPr>
              <w:br/>
              <w:t xml:space="preserve">(n=1604 </w:t>
            </w:r>
            <w:r w:rsidRPr="00DB70D1">
              <w:rPr>
                <w:rFonts w:cstheme="minorHAnsi"/>
                <w:vertAlign w:val="superscript"/>
              </w:rPr>
              <w:t>e</w:t>
            </w:r>
            <w:r w:rsidRPr="00DB70D1">
              <w:rPr>
                <w:rFonts w:cstheme="minorHAnsi"/>
              </w:rPr>
              <w:t>)</w:t>
            </w:r>
          </w:p>
        </w:tc>
        <w:tc>
          <w:tcPr>
            <w:tcW w:w="679" w:type="pct"/>
            <w:vAlign w:val="center"/>
          </w:tcPr>
          <w:p w14:paraId="73AC25A4" w14:textId="77777777" w:rsidR="005854DD" w:rsidRPr="00DB70D1" w:rsidRDefault="005854DD" w:rsidP="00D60C8B">
            <w:pPr>
              <w:keepNext/>
              <w:spacing w:before="40" w:after="40" w:line="240" w:lineRule="auto"/>
              <w:jc w:val="center"/>
              <w:rPr>
                <w:rFonts w:cstheme="minorHAnsi"/>
              </w:rPr>
            </w:pPr>
            <w:r w:rsidRPr="00DB70D1">
              <w:rPr>
                <w:rFonts w:cstheme="minorHAnsi"/>
              </w:rPr>
              <w:t>54.3</w:t>
            </w:r>
          </w:p>
        </w:tc>
        <w:tc>
          <w:tcPr>
            <w:tcW w:w="638" w:type="pct"/>
            <w:vAlign w:val="center"/>
          </w:tcPr>
          <w:p w14:paraId="2E2CF127" w14:textId="77777777" w:rsidR="005854DD" w:rsidRPr="00DB70D1" w:rsidRDefault="005854DD" w:rsidP="00D60C8B">
            <w:pPr>
              <w:keepNext/>
              <w:spacing w:before="40" w:after="40" w:line="240" w:lineRule="auto"/>
              <w:jc w:val="center"/>
              <w:rPr>
                <w:rFonts w:cstheme="minorHAnsi"/>
              </w:rPr>
            </w:pPr>
            <w:r w:rsidRPr="00DB70D1">
              <w:rPr>
                <w:rFonts w:cstheme="minorHAnsi"/>
              </w:rPr>
              <w:t xml:space="preserve">0.89 </w:t>
            </w:r>
            <w:r w:rsidRPr="00DB70D1">
              <w:rPr>
                <w:rFonts w:cstheme="minorHAnsi"/>
              </w:rPr>
              <w:br/>
              <w:t>(0.81, 0.98)</w:t>
            </w:r>
          </w:p>
        </w:tc>
        <w:tc>
          <w:tcPr>
            <w:tcW w:w="662" w:type="pct"/>
            <w:vAlign w:val="center"/>
          </w:tcPr>
          <w:p w14:paraId="0D2C204A" w14:textId="77777777" w:rsidR="005854DD" w:rsidRPr="00DB70D1" w:rsidRDefault="005854DD" w:rsidP="00D60C8B">
            <w:pPr>
              <w:keepNext/>
              <w:spacing w:before="40" w:after="40" w:line="240" w:lineRule="auto"/>
              <w:jc w:val="center"/>
              <w:rPr>
                <w:rFonts w:cstheme="minorHAnsi"/>
              </w:rPr>
            </w:pPr>
            <w:r w:rsidRPr="00DB70D1">
              <w:rPr>
                <w:rFonts w:cstheme="minorHAnsi"/>
              </w:rPr>
              <w:t>58.5</w:t>
            </w:r>
            <w:r w:rsidRPr="00DB70D1">
              <w:rPr>
                <w:rFonts w:cstheme="minorHAnsi"/>
              </w:rPr>
              <w:br/>
              <w:t>(56.0, 60.9)</w:t>
            </w:r>
          </w:p>
        </w:tc>
        <w:tc>
          <w:tcPr>
            <w:tcW w:w="679" w:type="pct"/>
            <w:vAlign w:val="center"/>
          </w:tcPr>
          <w:p w14:paraId="70DF766B" w14:textId="77777777" w:rsidR="005854DD" w:rsidRPr="00DB70D1" w:rsidRDefault="005854DD" w:rsidP="00D60C8B">
            <w:pPr>
              <w:keepNext/>
              <w:spacing w:before="40" w:after="40" w:line="240" w:lineRule="auto"/>
              <w:jc w:val="center"/>
              <w:rPr>
                <w:rFonts w:cstheme="minorHAnsi"/>
              </w:rPr>
            </w:pPr>
            <w:r w:rsidRPr="00DB70D1">
              <w:rPr>
                <w:rFonts w:cstheme="minorHAnsi"/>
              </w:rPr>
              <w:t>55.1</w:t>
            </w:r>
            <w:r w:rsidRPr="00DB70D1">
              <w:rPr>
                <w:rFonts w:cstheme="minorHAnsi"/>
              </w:rPr>
              <w:br/>
              <w:t>(50.8, 59.4)</w:t>
            </w:r>
          </w:p>
        </w:tc>
        <w:tc>
          <w:tcPr>
            <w:tcW w:w="679" w:type="pct"/>
            <w:vAlign w:val="center"/>
          </w:tcPr>
          <w:p w14:paraId="47CEE846" w14:textId="77777777" w:rsidR="005854DD" w:rsidRPr="00DB70D1" w:rsidRDefault="005854DD" w:rsidP="003922F0">
            <w:pPr>
              <w:keepNext/>
              <w:spacing w:before="40" w:after="40" w:line="240" w:lineRule="auto"/>
              <w:jc w:val="center"/>
              <w:rPr>
                <w:rFonts w:cstheme="minorHAnsi"/>
              </w:rPr>
            </w:pPr>
            <w:r w:rsidRPr="00DB70D1">
              <w:rPr>
                <w:rFonts w:cstheme="minorHAnsi"/>
              </w:rPr>
              <w:t>-3.4</w:t>
            </w:r>
            <w:r w:rsidRPr="00DB70D1">
              <w:rPr>
                <w:rFonts w:cstheme="minorHAnsi"/>
              </w:rPr>
              <w:br/>
              <w:t xml:space="preserve">(-8.3, 1.5)              </w:t>
            </w:r>
          </w:p>
        </w:tc>
        <w:tc>
          <w:tcPr>
            <w:tcW w:w="584" w:type="pct"/>
            <w:vAlign w:val="center"/>
          </w:tcPr>
          <w:p w14:paraId="67B19394" w14:textId="77777777" w:rsidR="005854DD" w:rsidRPr="00DB70D1" w:rsidRDefault="005854DD" w:rsidP="00D60C8B">
            <w:pPr>
              <w:keepNext/>
              <w:spacing w:before="40" w:after="40" w:line="240" w:lineRule="auto"/>
              <w:jc w:val="center"/>
              <w:rPr>
                <w:rFonts w:cstheme="minorHAnsi"/>
              </w:rPr>
            </w:pPr>
            <w:r w:rsidRPr="00DB70D1">
              <w:rPr>
                <w:rFonts w:cstheme="minorHAnsi"/>
              </w:rPr>
              <w:t>Yes</w:t>
            </w:r>
          </w:p>
        </w:tc>
      </w:tr>
      <w:tr w:rsidR="005854DD" w:rsidRPr="00DB70D1" w14:paraId="02A63063" w14:textId="77777777" w:rsidTr="003922F0">
        <w:trPr>
          <w:trHeight w:val="567"/>
        </w:trPr>
        <w:tc>
          <w:tcPr>
            <w:tcW w:w="481" w:type="pct"/>
            <w:vAlign w:val="center"/>
          </w:tcPr>
          <w:p w14:paraId="5D73041B" w14:textId="77777777" w:rsidR="005854DD" w:rsidRPr="00DB70D1" w:rsidRDefault="005854DD" w:rsidP="00D60C8B">
            <w:pPr>
              <w:keepNext/>
              <w:spacing w:before="40" w:after="40" w:line="240" w:lineRule="auto"/>
              <w:jc w:val="center"/>
              <w:rPr>
                <w:rFonts w:cstheme="minorHAnsi"/>
              </w:rPr>
            </w:pPr>
            <w:r w:rsidRPr="00DB70D1">
              <w:rPr>
                <w:rFonts w:cstheme="minorHAnsi"/>
              </w:rPr>
              <w:t>B/VIC</w:t>
            </w:r>
          </w:p>
        </w:tc>
        <w:tc>
          <w:tcPr>
            <w:tcW w:w="598" w:type="pct"/>
            <w:vAlign w:val="center"/>
          </w:tcPr>
          <w:p w14:paraId="20716052" w14:textId="77777777" w:rsidR="005854DD" w:rsidRPr="00DB70D1" w:rsidRDefault="005854DD" w:rsidP="00D60C8B">
            <w:pPr>
              <w:keepNext/>
              <w:spacing w:before="40" w:after="40" w:line="240" w:lineRule="auto"/>
              <w:jc w:val="center"/>
              <w:rPr>
                <w:rFonts w:cstheme="minorHAnsi"/>
              </w:rPr>
            </w:pPr>
            <w:r w:rsidRPr="00DB70D1">
              <w:rPr>
                <w:rFonts w:cstheme="minorHAnsi"/>
              </w:rPr>
              <w:t xml:space="preserve">145.0 (n=1604 </w:t>
            </w:r>
            <w:r w:rsidRPr="00DB70D1">
              <w:rPr>
                <w:rFonts w:cstheme="minorHAnsi"/>
                <w:vertAlign w:val="superscript"/>
              </w:rPr>
              <w:t>e</w:t>
            </w:r>
            <w:r w:rsidRPr="00DB70D1">
              <w:rPr>
                <w:rFonts w:cstheme="minorHAnsi"/>
              </w:rPr>
              <w:t>)</w:t>
            </w:r>
          </w:p>
        </w:tc>
        <w:tc>
          <w:tcPr>
            <w:tcW w:w="679" w:type="pct"/>
            <w:vAlign w:val="center"/>
          </w:tcPr>
          <w:p w14:paraId="3888DB78" w14:textId="77777777" w:rsidR="005854DD" w:rsidRPr="00DB70D1" w:rsidRDefault="005854DD" w:rsidP="00D60C8B">
            <w:pPr>
              <w:keepNext/>
              <w:spacing w:before="40" w:after="40" w:line="240" w:lineRule="auto"/>
              <w:jc w:val="center"/>
              <w:rPr>
                <w:rFonts w:cstheme="minorHAnsi"/>
              </w:rPr>
            </w:pPr>
            <w:r w:rsidRPr="00DB70D1">
              <w:rPr>
                <w:rFonts w:cstheme="minorHAnsi"/>
              </w:rPr>
              <w:t>133.4</w:t>
            </w:r>
          </w:p>
        </w:tc>
        <w:tc>
          <w:tcPr>
            <w:tcW w:w="638" w:type="pct"/>
            <w:vAlign w:val="center"/>
          </w:tcPr>
          <w:p w14:paraId="75584E7A" w14:textId="77777777" w:rsidR="005854DD" w:rsidRPr="00DB70D1" w:rsidRDefault="005854DD" w:rsidP="00D60C8B">
            <w:pPr>
              <w:keepNext/>
              <w:spacing w:before="40" w:after="40" w:line="240" w:lineRule="auto"/>
              <w:jc w:val="center"/>
              <w:rPr>
                <w:rFonts w:cstheme="minorHAnsi"/>
              </w:rPr>
            </w:pPr>
            <w:r w:rsidRPr="00DB70D1">
              <w:rPr>
                <w:rFonts w:cstheme="minorHAnsi"/>
              </w:rPr>
              <w:t>0.92</w:t>
            </w:r>
            <w:r w:rsidRPr="00DB70D1">
              <w:rPr>
                <w:rFonts w:cstheme="minorHAnsi"/>
              </w:rPr>
              <w:br/>
              <w:t>(0.83, 1.02)</w:t>
            </w:r>
          </w:p>
        </w:tc>
        <w:tc>
          <w:tcPr>
            <w:tcW w:w="662" w:type="pct"/>
            <w:vAlign w:val="center"/>
          </w:tcPr>
          <w:p w14:paraId="57C78DE3" w14:textId="77777777" w:rsidR="005854DD" w:rsidRPr="00DB70D1" w:rsidRDefault="005854DD" w:rsidP="00D60C8B">
            <w:pPr>
              <w:keepNext/>
              <w:spacing w:before="40" w:after="40" w:line="240" w:lineRule="auto"/>
              <w:jc w:val="center"/>
              <w:rPr>
                <w:rFonts w:cstheme="minorHAnsi"/>
              </w:rPr>
            </w:pPr>
            <w:r w:rsidRPr="00DB70D1">
              <w:rPr>
                <w:rFonts w:cstheme="minorHAnsi"/>
              </w:rPr>
              <w:t>72.1</w:t>
            </w:r>
            <w:r w:rsidRPr="00DB70D1">
              <w:rPr>
                <w:rFonts w:cstheme="minorHAnsi"/>
              </w:rPr>
              <w:br/>
              <w:t>(69.8, 74.3)</w:t>
            </w:r>
          </w:p>
        </w:tc>
        <w:tc>
          <w:tcPr>
            <w:tcW w:w="679" w:type="pct"/>
            <w:vAlign w:val="center"/>
          </w:tcPr>
          <w:p w14:paraId="1D9B2924" w14:textId="77777777" w:rsidR="005854DD" w:rsidRPr="00DB70D1" w:rsidRDefault="005854DD" w:rsidP="00D60C8B">
            <w:pPr>
              <w:keepNext/>
              <w:spacing w:before="40" w:after="40" w:line="240" w:lineRule="auto"/>
              <w:jc w:val="center"/>
              <w:rPr>
                <w:rFonts w:cstheme="minorHAnsi"/>
              </w:rPr>
            </w:pPr>
            <w:r w:rsidRPr="00DB70D1">
              <w:rPr>
                <w:rFonts w:cstheme="minorHAnsi"/>
              </w:rPr>
              <w:t>70.1</w:t>
            </w:r>
            <w:r w:rsidRPr="00DB70D1">
              <w:rPr>
                <w:rFonts w:cstheme="minorHAnsi"/>
              </w:rPr>
              <w:br/>
              <w:t>(66.0, 74.0)</w:t>
            </w:r>
          </w:p>
        </w:tc>
        <w:tc>
          <w:tcPr>
            <w:tcW w:w="679" w:type="pct"/>
            <w:vAlign w:val="center"/>
          </w:tcPr>
          <w:p w14:paraId="6485FE3A" w14:textId="77777777" w:rsidR="005854DD" w:rsidRPr="00DB70D1" w:rsidRDefault="005854DD" w:rsidP="00D60C8B">
            <w:pPr>
              <w:keepNext/>
              <w:spacing w:before="40" w:after="40" w:line="240" w:lineRule="auto"/>
              <w:jc w:val="center"/>
              <w:rPr>
                <w:rFonts w:cstheme="minorHAnsi"/>
              </w:rPr>
            </w:pPr>
            <w:r w:rsidRPr="00DB70D1">
              <w:rPr>
                <w:rFonts w:cstheme="minorHAnsi"/>
              </w:rPr>
              <w:t>-2.0</w:t>
            </w:r>
            <w:r w:rsidRPr="00DB70D1">
              <w:rPr>
                <w:rFonts w:cstheme="minorHAnsi"/>
              </w:rPr>
              <w:br/>
              <w:t>(-6.9, 2.9)</w:t>
            </w:r>
          </w:p>
        </w:tc>
        <w:tc>
          <w:tcPr>
            <w:tcW w:w="584" w:type="pct"/>
            <w:vAlign w:val="center"/>
          </w:tcPr>
          <w:p w14:paraId="0376E119" w14:textId="77777777" w:rsidR="005854DD" w:rsidRPr="00DB70D1" w:rsidRDefault="005854DD" w:rsidP="00D60C8B">
            <w:pPr>
              <w:keepNext/>
              <w:spacing w:before="40" w:after="40" w:line="240" w:lineRule="auto"/>
              <w:jc w:val="center"/>
              <w:rPr>
                <w:rFonts w:cstheme="minorHAnsi"/>
              </w:rPr>
            </w:pPr>
            <w:r w:rsidRPr="00DB70D1">
              <w:rPr>
                <w:rFonts w:cstheme="minorHAnsi"/>
              </w:rPr>
              <w:t>Yes</w:t>
            </w:r>
          </w:p>
        </w:tc>
      </w:tr>
    </w:tbl>
    <w:p w14:paraId="3C9AF133" w14:textId="77777777" w:rsidR="005854DD" w:rsidRPr="00444B36" w:rsidRDefault="005854DD" w:rsidP="005854DD">
      <w:pPr>
        <w:autoSpaceDE w:val="0"/>
        <w:autoSpaceDN w:val="0"/>
        <w:adjustRightInd w:val="0"/>
        <w:spacing w:after="40" w:line="240" w:lineRule="auto"/>
        <w:ind w:right="-45"/>
        <w:rPr>
          <w:rFonts w:cs="Arial"/>
          <w:sz w:val="16"/>
          <w:szCs w:val="18"/>
        </w:rPr>
      </w:pPr>
      <w:r w:rsidRPr="00444B36">
        <w:rPr>
          <w:rFonts w:cs="Arial"/>
          <w:sz w:val="16"/>
          <w:szCs w:val="18"/>
        </w:rPr>
        <w:t xml:space="preserve">Abbreviations: B/VIC, B Victoria lineage; B/YAM, B Yamagata lineage; CI, confidence interval; Comparator QIV, </w:t>
      </w:r>
      <w:proofErr w:type="spellStart"/>
      <w:r w:rsidRPr="00444B36">
        <w:rPr>
          <w:rFonts w:cs="Arial"/>
          <w:sz w:val="16"/>
          <w:szCs w:val="18"/>
        </w:rPr>
        <w:t>Fluarix</w:t>
      </w:r>
      <w:proofErr w:type="spellEnd"/>
      <w:r w:rsidRPr="00444B36">
        <w:rPr>
          <w:rFonts w:cs="Arial"/>
          <w:sz w:val="16"/>
          <w:szCs w:val="18"/>
          <w:vertAlign w:val="superscript"/>
        </w:rPr>
        <w:t>®</w:t>
      </w:r>
      <w:r w:rsidRPr="00444B36">
        <w:rPr>
          <w:rFonts w:cs="Arial"/>
          <w:sz w:val="16"/>
          <w:szCs w:val="18"/>
        </w:rPr>
        <w:t xml:space="preserve"> </w:t>
      </w:r>
      <w:proofErr w:type="spellStart"/>
      <w:r w:rsidRPr="00444B36">
        <w:rPr>
          <w:rFonts w:cs="Arial"/>
          <w:sz w:val="16"/>
          <w:szCs w:val="18"/>
        </w:rPr>
        <w:t>Quadrivalent</w:t>
      </w:r>
      <w:proofErr w:type="spellEnd"/>
      <w:r w:rsidRPr="00444B36">
        <w:rPr>
          <w:rFonts w:cs="Arial"/>
          <w:sz w:val="16"/>
          <w:szCs w:val="18"/>
        </w:rPr>
        <w:t xml:space="preserve"> [GlaxoSmithKline Biologicals]; GMT (adjusted), geometric mean titre.</w:t>
      </w:r>
    </w:p>
    <w:p w14:paraId="1F2403F4" w14:textId="77777777" w:rsidR="005854DD" w:rsidRPr="00444B36" w:rsidRDefault="005854DD" w:rsidP="005854DD">
      <w:pPr>
        <w:autoSpaceDE w:val="0"/>
        <w:autoSpaceDN w:val="0"/>
        <w:adjustRightInd w:val="0"/>
        <w:spacing w:after="40" w:line="240" w:lineRule="auto"/>
        <w:ind w:left="142" w:right="-45" w:hanging="142"/>
        <w:rPr>
          <w:rFonts w:cs="Arial"/>
          <w:sz w:val="16"/>
          <w:szCs w:val="18"/>
        </w:rPr>
      </w:pPr>
      <w:proofErr w:type="gramStart"/>
      <w:r w:rsidRPr="00444B36">
        <w:rPr>
          <w:rFonts w:cs="Arial"/>
          <w:sz w:val="16"/>
          <w:szCs w:val="18"/>
          <w:vertAlign w:val="superscript"/>
        </w:rPr>
        <w:t>a</w:t>
      </w:r>
      <w:proofErr w:type="gramEnd"/>
      <w:r w:rsidRPr="00444B36">
        <w:rPr>
          <w:rFonts w:cs="Arial"/>
          <w:sz w:val="16"/>
          <w:szCs w:val="18"/>
        </w:rPr>
        <w:t xml:space="preserve"> GMT Ratio = Comparator QIV / Afluria</w:t>
      </w:r>
      <w:r w:rsidRPr="00444B36">
        <w:rPr>
          <w:rFonts w:ascii="Calibri" w:hAnsi="Calibri" w:cs="Calibri"/>
          <w:sz w:val="16"/>
          <w:szCs w:val="18"/>
        </w:rPr>
        <w:t>®</w:t>
      </w:r>
      <w:r w:rsidRPr="00444B36">
        <w:rPr>
          <w:rFonts w:cs="Arial"/>
          <w:sz w:val="16"/>
          <w:szCs w:val="18"/>
        </w:rPr>
        <w:t xml:space="preserve"> Quad vaccine. Adjusted analysis model: Log-transformed Post-Vaccination HI Titre = Vaccine + Age Strata [5-8, 9-17] + Gender + Vaccination History [y/n] + Log-transformed Pre-Vaccination HI Titre + Site + Number of Doses (1 vs 2) + Age Strata*Vaccine. The Age Strata*Vaccine interaction term was excluded from the model fit for the strains B/Yamagata and B/Victoria as the interaction result was non-significant (p&gt;0.05). Least square means were back transformed.</w:t>
      </w:r>
    </w:p>
    <w:p w14:paraId="43B86AA0" w14:textId="77777777" w:rsidR="005854DD" w:rsidRPr="00444B36" w:rsidRDefault="005854DD" w:rsidP="005854DD">
      <w:pPr>
        <w:autoSpaceDE w:val="0"/>
        <w:autoSpaceDN w:val="0"/>
        <w:adjustRightInd w:val="0"/>
        <w:spacing w:after="40" w:line="240" w:lineRule="auto"/>
        <w:ind w:left="142" w:right="-45" w:hanging="142"/>
        <w:rPr>
          <w:rFonts w:cs="Arial"/>
          <w:sz w:val="16"/>
          <w:szCs w:val="18"/>
        </w:rPr>
      </w:pPr>
      <w:proofErr w:type="gramStart"/>
      <w:r w:rsidRPr="00444B36">
        <w:rPr>
          <w:rFonts w:cs="Arial"/>
          <w:sz w:val="16"/>
          <w:szCs w:val="18"/>
          <w:vertAlign w:val="superscript"/>
        </w:rPr>
        <w:t>b</w:t>
      </w:r>
      <w:proofErr w:type="gramEnd"/>
      <w:r w:rsidRPr="00444B36">
        <w:rPr>
          <w:rFonts w:cs="Arial"/>
          <w:sz w:val="16"/>
          <w:szCs w:val="18"/>
        </w:rPr>
        <w:t xml:space="preserve"> Seroconversion rate (SCR) was defined as the percentage of subjects with either a pre-vaccination HI titre &lt; 1:10 and a post-vaccination HI titre ≥ 1:40 or a pre-vaccination HI titre ≥ 1:10 and a 4-fold increase in post-vaccination HI titre.</w:t>
      </w:r>
    </w:p>
    <w:p w14:paraId="14DF64CE" w14:textId="77777777" w:rsidR="005854DD" w:rsidRPr="00444B36" w:rsidRDefault="005854DD" w:rsidP="005854DD">
      <w:pPr>
        <w:autoSpaceDE w:val="0"/>
        <w:autoSpaceDN w:val="0"/>
        <w:adjustRightInd w:val="0"/>
        <w:spacing w:after="40" w:line="240" w:lineRule="auto"/>
        <w:ind w:left="142" w:right="-45" w:hanging="142"/>
        <w:rPr>
          <w:rFonts w:cs="Arial"/>
          <w:sz w:val="16"/>
          <w:szCs w:val="18"/>
        </w:rPr>
      </w:pPr>
      <w:proofErr w:type="gramStart"/>
      <w:r w:rsidRPr="00444B36">
        <w:rPr>
          <w:rFonts w:cs="Arial"/>
          <w:sz w:val="16"/>
          <w:szCs w:val="18"/>
          <w:vertAlign w:val="superscript"/>
        </w:rPr>
        <w:t>c</w:t>
      </w:r>
      <w:proofErr w:type="gramEnd"/>
      <w:r w:rsidRPr="00444B36">
        <w:rPr>
          <w:rFonts w:cs="Arial"/>
          <w:sz w:val="16"/>
          <w:szCs w:val="18"/>
        </w:rPr>
        <w:t xml:space="preserve"> Seroconversion rate difference = Comparator QIV SCR percentage minus Afluria</w:t>
      </w:r>
      <w:r w:rsidR="00147AF0" w:rsidRPr="00444B36">
        <w:rPr>
          <w:rFonts w:cs="Arial"/>
          <w:color w:val="000000"/>
          <w:vertAlign w:val="superscript"/>
        </w:rPr>
        <w:t>®</w:t>
      </w:r>
      <w:r w:rsidRPr="00444B36">
        <w:rPr>
          <w:rFonts w:cs="Arial"/>
          <w:sz w:val="16"/>
          <w:szCs w:val="18"/>
        </w:rPr>
        <w:t xml:space="preserve"> Quad vaccine SCR percentage.</w:t>
      </w:r>
    </w:p>
    <w:p w14:paraId="592ADCCB" w14:textId="77777777" w:rsidR="005854DD" w:rsidRPr="00444B36" w:rsidRDefault="005854DD" w:rsidP="005854DD">
      <w:pPr>
        <w:autoSpaceDE w:val="0"/>
        <w:autoSpaceDN w:val="0"/>
        <w:adjustRightInd w:val="0"/>
        <w:spacing w:after="40" w:line="240" w:lineRule="auto"/>
        <w:ind w:left="142" w:right="-45" w:hanging="142"/>
        <w:rPr>
          <w:rFonts w:cs="Arial"/>
          <w:sz w:val="16"/>
          <w:szCs w:val="18"/>
        </w:rPr>
      </w:pPr>
      <w:proofErr w:type="gramStart"/>
      <w:r w:rsidRPr="00444B36">
        <w:rPr>
          <w:rFonts w:cs="Arial"/>
          <w:sz w:val="16"/>
          <w:szCs w:val="18"/>
          <w:vertAlign w:val="superscript"/>
        </w:rPr>
        <w:t xml:space="preserve">d  </w:t>
      </w:r>
      <w:r w:rsidRPr="00444B36">
        <w:rPr>
          <w:rFonts w:cs="Arial"/>
          <w:sz w:val="16"/>
          <w:szCs w:val="18"/>
        </w:rPr>
        <w:t>Non</w:t>
      </w:r>
      <w:proofErr w:type="gramEnd"/>
      <w:r w:rsidRPr="00444B36">
        <w:rPr>
          <w:rFonts w:cs="Arial"/>
          <w:sz w:val="16"/>
          <w:szCs w:val="18"/>
        </w:rPr>
        <w:t>-inferiority (NI) criterion for the GMT ratio: upper bound of two-sided 95% CI on the GMT ratio of Comparator QIV/</w:t>
      </w:r>
      <w:r w:rsidR="00A85848" w:rsidRPr="00A85848">
        <w:rPr>
          <w:rFonts w:cs="Arial"/>
          <w:sz w:val="16"/>
          <w:szCs w:val="18"/>
        </w:rPr>
        <w:t xml:space="preserve"> </w:t>
      </w:r>
      <w:r w:rsidR="00A85848" w:rsidRPr="00444B36">
        <w:rPr>
          <w:rFonts w:cs="Arial"/>
          <w:sz w:val="16"/>
          <w:szCs w:val="18"/>
        </w:rPr>
        <w:t>Afluria</w:t>
      </w:r>
      <w:r w:rsidR="00A85848" w:rsidRPr="00444B36">
        <w:rPr>
          <w:rFonts w:ascii="Calibri" w:hAnsi="Calibri" w:cs="Calibri"/>
          <w:sz w:val="16"/>
          <w:szCs w:val="18"/>
        </w:rPr>
        <w:t>®</w:t>
      </w:r>
      <w:r w:rsidR="00A85848" w:rsidRPr="00444B36">
        <w:rPr>
          <w:rFonts w:cs="Arial"/>
          <w:sz w:val="16"/>
          <w:szCs w:val="18"/>
        </w:rPr>
        <w:t xml:space="preserve"> Quad</w:t>
      </w:r>
      <w:r w:rsidR="00A85848">
        <w:rPr>
          <w:rFonts w:cs="Arial"/>
          <w:sz w:val="16"/>
          <w:szCs w:val="18"/>
        </w:rPr>
        <w:t xml:space="preserve"> </w:t>
      </w:r>
      <w:r w:rsidRPr="00444B36">
        <w:rPr>
          <w:rFonts w:cs="Arial"/>
          <w:sz w:val="16"/>
          <w:szCs w:val="18"/>
        </w:rPr>
        <w:t>should not exceed 1.5. NI criterion for the SCR difference: upper bound of two</w:t>
      </w:r>
      <w:r w:rsidRPr="00444B36">
        <w:rPr>
          <w:rFonts w:cs="Arial"/>
          <w:sz w:val="16"/>
          <w:szCs w:val="18"/>
        </w:rPr>
        <w:noBreakHyphen/>
        <w:t>sided 95% CI on the difference between SCR Comparator QIV – Afluria</w:t>
      </w:r>
      <w:r w:rsidRPr="00444B36">
        <w:rPr>
          <w:rFonts w:ascii="Calibri" w:hAnsi="Calibri" w:cs="Calibri"/>
          <w:sz w:val="16"/>
          <w:szCs w:val="18"/>
        </w:rPr>
        <w:t>®</w:t>
      </w:r>
      <w:r w:rsidRPr="00444B36">
        <w:rPr>
          <w:rFonts w:cs="Arial"/>
          <w:sz w:val="16"/>
          <w:szCs w:val="18"/>
        </w:rPr>
        <w:t xml:space="preserve"> Quad vaccine should not exceed 10%.</w:t>
      </w:r>
    </w:p>
    <w:p w14:paraId="5C654D28" w14:textId="77777777" w:rsidR="005854DD" w:rsidRPr="00444B36" w:rsidRDefault="005854DD" w:rsidP="005854DD">
      <w:pPr>
        <w:autoSpaceDE w:val="0"/>
        <w:autoSpaceDN w:val="0"/>
        <w:adjustRightInd w:val="0"/>
        <w:spacing w:after="40" w:line="240" w:lineRule="auto"/>
        <w:ind w:left="142" w:right="-45" w:hanging="142"/>
        <w:rPr>
          <w:rFonts w:cs="Arial"/>
          <w:sz w:val="16"/>
          <w:szCs w:val="18"/>
        </w:rPr>
      </w:pPr>
      <w:proofErr w:type="gramStart"/>
      <w:r w:rsidRPr="00444B36">
        <w:rPr>
          <w:rFonts w:cs="Arial"/>
          <w:sz w:val="16"/>
          <w:szCs w:val="18"/>
          <w:vertAlign w:val="superscript"/>
        </w:rPr>
        <w:t>e</w:t>
      </w:r>
      <w:proofErr w:type="gramEnd"/>
      <w:r w:rsidRPr="00444B36">
        <w:rPr>
          <w:rFonts w:cs="Arial"/>
          <w:sz w:val="16"/>
          <w:szCs w:val="18"/>
        </w:rPr>
        <w:t xml:space="preserve"> Subject 8400394-0046 was excluded from the Per-Protocol Population for the adjusted GMT analysis for the GMT ratio since the subject did not have information on all covariates (unknown pre-vaccination history).</w:t>
      </w:r>
    </w:p>
    <w:p w14:paraId="354DE993" w14:textId="77777777" w:rsidR="005854DD" w:rsidRPr="00444B36" w:rsidRDefault="005854DD" w:rsidP="005854DD">
      <w:pPr>
        <w:autoSpaceDE w:val="0"/>
        <w:autoSpaceDN w:val="0"/>
        <w:adjustRightInd w:val="0"/>
        <w:spacing w:after="40" w:line="240" w:lineRule="auto"/>
        <w:ind w:left="142" w:right="-45" w:hanging="142"/>
        <w:rPr>
          <w:rFonts w:cs="Arial"/>
          <w:sz w:val="16"/>
          <w:szCs w:val="18"/>
        </w:rPr>
      </w:pPr>
      <w:proofErr w:type="spellStart"/>
      <w:proofErr w:type="gramStart"/>
      <w:r w:rsidRPr="00444B36">
        <w:rPr>
          <w:rFonts w:cs="Arial"/>
          <w:sz w:val="16"/>
          <w:szCs w:val="18"/>
          <w:vertAlign w:val="superscript"/>
        </w:rPr>
        <w:t>f</w:t>
      </w:r>
      <w:proofErr w:type="spellEnd"/>
      <w:proofErr w:type="gramEnd"/>
      <w:r w:rsidRPr="00444B36">
        <w:rPr>
          <w:rFonts w:cs="Arial"/>
          <w:sz w:val="16"/>
          <w:szCs w:val="18"/>
        </w:rPr>
        <w:t xml:space="preserve"> The Per-Protocol Population comprised all subjects in the Evaluable Population who did not have any protocol deviations that were medically assessed as potentially impacting on immunogenicity results.</w:t>
      </w:r>
    </w:p>
    <w:p w14:paraId="0906716A" w14:textId="77777777" w:rsidR="00430387" w:rsidRPr="000F6F7F" w:rsidRDefault="00430387" w:rsidP="005854DD">
      <w:pPr>
        <w:autoSpaceDE w:val="0"/>
        <w:autoSpaceDN w:val="0"/>
        <w:adjustRightInd w:val="0"/>
        <w:spacing w:after="40" w:line="240" w:lineRule="auto"/>
        <w:ind w:right="-45"/>
        <w:rPr>
          <w:lang w:val="en-US"/>
        </w:rPr>
      </w:pPr>
    </w:p>
    <w:p w14:paraId="5739AE26" w14:textId="77777777" w:rsidR="001A3992" w:rsidRDefault="001A3992" w:rsidP="001A3992">
      <w:pPr>
        <w:pStyle w:val="Heading2"/>
        <w:keepNext/>
        <w:spacing w:before="0" w:after="120"/>
        <w:rPr>
          <w:lang w:val="en-US"/>
        </w:rPr>
      </w:pPr>
      <w:r w:rsidRPr="00EC3C40">
        <w:rPr>
          <w:lang w:val="en-US"/>
        </w:rPr>
        <w:t xml:space="preserve">Pharmacokinetic properties </w:t>
      </w:r>
    </w:p>
    <w:p w14:paraId="5ADABBF3" w14:textId="77777777" w:rsidR="00CB0F62" w:rsidRPr="00CB0F62" w:rsidRDefault="00CB0F62" w:rsidP="00CB0F62">
      <w:pPr>
        <w:rPr>
          <w:lang w:val="en-US"/>
        </w:rPr>
      </w:pPr>
      <w:r>
        <w:rPr>
          <w:lang w:val="en-US"/>
        </w:rPr>
        <w:t>Not applicable</w:t>
      </w:r>
      <w:r w:rsidR="00111BE5">
        <w:rPr>
          <w:lang w:val="en-US"/>
        </w:rPr>
        <w:t>.</w:t>
      </w:r>
    </w:p>
    <w:p w14:paraId="14693272" w14:textId="77777777" w:rsidR="001A3992" w:rsidRDefault="001A3992" w:rsidP="001A3992">
      <w:pPr>
        <w:pStyle w:val="Heading2"/>
        <w:spacing w:before="0" w:after="120"/>
        <w:rPr>
          <w:lang w:val="en-US"/>
        </w:rPr>
      </w:pPr>
      <w:r w:rsidRPr="00EC3C40">
        <w:rPr>
          <w:lang w:val="en-US"/>
        </w:rPr>
        <w:t>Preclinical safety data</w:t>
      </w:r>
    </w:p>
    <w:p w14:paraId="22C0F8BC" w14:textId="53B92986" w:rsidR="00F54031" w:rsidRPr="00FA2C2E" w:rsidRDefault="00F54031" w:rsidP="00F54031">
      <w:pPr>
        <w:rPr>
          <w:lang w:val="en-US"/>
        </w:rPr>
      </w:pPr>
      <w:r w:rsidRPr="00FA2C2E">
        <w:rPr>
          <w:lang w:val="en-US"/>
        </w:rPr>
        <w:t xml:space="preserve">No </w:t>
      </w:r>
      <w:r w:rsidR="00DB4ED9">
        <w:rPr>
          <w:lang w:val="en-US"/>
        </w:rPr>
        <w:t>nonclinical studies</w:t>
      </w:r>
      <w:r w:rsidRPr="00FA2C2E">
        <w:rPr>
          <w:lang w:val="en-US"/>
        </w:rPr>
        <w:t xml:space="preserve"> ha</w:t>
      </w:r>
      <w:r w:rsidR="00DB4ED9">
        <w:rPr>
          <w:lang w:val="en-US"/>
        </w:rPr>
        <w:t>ve</w:t>
      </w:r>
      <w:r w:rsidRPr="00FA2C2E">
        <w:rPr>
          <w:lang w:val="en-US"/>
        </w:rPr>
        <w:t xml:space="preserve"> been conducted with Afluria</w:t>
      </w:r>
      <w:r>
        <w:rPr>
          <w:rFonts w:cstheme="minorHAnsi"/>
          <w:lang w:val="en-US"/>
        </w:rPr>
        <w:t>®</w:t>
      </w:r>
      <w:r>
        <w:rPr>
          <w:lang w:val="en-US"/>
        </w:rPr>
        <w:t xml:space="preserve"> Quad</w:t>
      </w:r>
      <w:r w:rsidRPr="00FA2C2E">
        <w:rPr>
          <w:lang w:val="en-US"/>
        </w:rPr>
        <w:t xml:space="preserve"> vaccine. A</w:t>
      </w:r>
      <w:r w:rsidR="00CB0F95">
        <w:rPr>
          <w:lang w:val="en-US"/>
        </w:rPr>
        <w:t xml:space="preserve"> rat </w:t>
      </w:r>
      <w:r w:rsidR="00C52D6F">
        <w:rPr>
          <w:lang w:val="en-US"/>
        </w:rPr>
        <w:t>reproductive and developmental toxicity</w:t>
      </w:r>
      <w:r w:rsidRPr="00FA2C2E">
        <w:rPr>
          <w:lang w:val="en-US"/>
        </w:rPr>
        <w:t xml:space="preserve"> study has been conducted with </w:t>
      </w:r>
      <w:proofErr w:type="spellStart"/>
      <w:r w:rsidRPr="00FA2C2E">
        <w:rPr>
          <w:lang w:val="en-US"/>
        </w:rPr>
        <w:t>Fluvax</w:t>
      </w:r>
      <w:proofErr w:type="spellEnd"/>
      <w:r w:rsidRPr="00FA2C2E">
        <w:rPr>
          <w:lang w:val="en-US"/>
        </w:rPr>
        <w:t>® TIV. This study did not demonstrate any maternal or developmental toxicity.</w:t>
      </w:r>
    </w:p>
    <w:p w14:paraId="60131C69" w14:textId="77777777" w:rsidR="001A3992" w:rsidRDefault="001A3992" w:rsidP="00E37924">
      <w:pPr>
        <w:pStyle w:val="Heading3"/>
        <w:spacing w:before="0" w:after="120"/>
        <w:ind w:left="0"/>
      </w:pPr>
      <w:r w:rsidRPr="00B878CC">
        <w:lastRenderedPageBreak/>
        <w:t>Genotoxicity</w:t>
      </w:r>
    </w:p>
    <w:p w14:paraId="5835D95C" w14:textId="77777777" w:rsidR="001A415F" w:rsidRPr="001A415F" w:rsidRDefault="001A415F" w:rsidP="001A415F">
      <w:r w:rsidRPr="001A415F">
        <w:t>Afluria® Quad vaccine has not been evaluated for genotoxic potential.</w:t>
      </w:r>
    </w:p>
    <w:p w14:paraId="24E089DF" w14:textId="77777777" w:rsidR="001A3992" w:rsidRDefault="001A3992" w:rsidP="00E37924">
      <w:pPr>
        <w:pStyle w:val="Heading3"/>
        <w:spacing w:before="0" w:after="120"/>
        <w:ind w:left="0"/>
        <w:rPr>
          <w:lang w:val="en-US"/>
        </w:rPr>
      </w:pPr>
      <w:proofErr w:type="spellStart"/>
      <w:r w:rsidRPr="00B878CC">
        <w:t>Carcin</w:t>
      </w:r>
      <w:r w:rsidRPr="00B878CC">
        <w:rPr>
          <w:lang w:val="en-US"/>
        </w:rPr>
        <w:t>ogenicity</w:t>
      </w:r>
      <w:proofErr w:type="spellEnd"/>
    </w:p>
    <w:p w14:paraId="5515F59F" w14:textId="77777777" w:rsidR="001A415F" w:rsidRPr="001A415F" w:rsidRDefault="001A415F" w:rsidP="001A415F">
      <w:pPr>
        <w:rPr>
          <w:lang w:val="en-US"/>
        </w:rPr>
      </w:pPr>
      <w:r w:rsidRPr="001A415F">
        <w:rPr>
          <w:lang w:val="en-US"/>
        </w:rPr>
        <w:t>Afluria® Quad vaccine has not been evaluated for carcinogenic potential.</w:t>
      </w:r>
    </w:p>
    <w:p w14:paraId="467CA4C9" w14:textId="77777777" w:rsidR="001A3992" w:rsidRDefault="001A3992" w:rsidP="001A3992">
      <w:pPr>
        <w:pStyle w:val="Heading1"/>
        <w:spacing w:before="0" w:after="120"/>
        <w:rPr>
          <w:lang w:val="en-US"/>
        </w:rPr>
      </w:pPr>
      <w:r>
        <w:rPr>
          <w:lang w:val="en-US"/>
        </w:rPr>
        <w:t>Pharmaceutical particulars</w:t>
      </w:r>
    </w:p>
    <w:p w14:paraId="36CA8C8F" w14:textId="77777777" w:rsidR="001A3992" w:rsidRDefault="00CB0F62" w:rsidP="001A3992">
      <w:pPr>
        <w:pStyle w:val="Heading2"/>
        <w:spacing w:before="0" w:after="120"/>
        <w:rPr>
          <w:lang w:val="en-US"/>
        </w:rPr>
      </w:pPr>
      <w:r>
        <w:rPr>
          <w:lang w:val="en-US"/>
        </w:rPr>
        <w:t>List of excipients</w:t>
      </w:r>
    </w:p>
    <w:p w14:paraId="137F261D" w14:textId="37B77EEA" w:rsidR="006A7D57" w:rsidRDefault="00BF4DC1" w:rsidP="00BF4DC1">
      <w:r>
        <w:t xml:space="preserve">Each 0.5 mL dose contains, nominally: sodium chloride 4.1 mg, dibasic sodium phosphate anhydrous 0.3 mg, monobasic sodium phosphate 0.08 mg, potassium chloride 0.02 mg, monobasic potassium phosphate 0.02 mg and calcium chloride 0.5 </w:t>
      </w:r>
      <w:r w:rsidR="003B3936">
        <w:t>micrograms</w:t>
      </w:r>
      <w:r>
        <w:t>.</w:t>
      </w:r>
      <w:r w:rsidRPr="00AC2578">
        <w:t xml:space="preserve"> </w:t>
      </w:r>
    </w:p>
    <w:p w14:paraId="0FE5EA0C" w14:textId="77777777" w:rsidR="001A3992" w:rsidRDefault="001A3992" w:rsidP="001A3992">
      <w:pPr>
        <w:pStyle w:val="Heading2"/>
        <w:keepNext/>
        <w:keepLines/>
        <w:spacing w:before="0" w:after="120"/>
        <w:rPr>
          <w:lang w:val="en-US"/>
        </w:rPr>
      </w:pPr>
      <w:r w:rsidRPr="006611B7">
        <w:rPr>
          <w:lang w:val="en-US"/>
        </w:rPr>
        <w:t xml:space="preserve">Incompatibilities </w:t>
      </w:r>
    </w:p>
    <w:p w14:paraId="02509B17" w14:textId="77777777" w:rsidR="00320906" w:rsidRPr="00CB0F62" w:rsidRDefault="00320906" w:rsidP="00320906">
      <w:pPr>
        <w:rPr>
          <w:lang w:val="en-US"/>
        </w:rPr>
      </w:pPr>
      <w:r>
        <w:rPr>
          <w:lang w:val="en-US"/>
        </w:rPr>
        <w:t>Incompatibilities were either not assessed or not identified as part of the registration of this medicine.</w:t>
      </w:r>
    </w:p>
    <w:p w14:paraId="695A74D4" w14:textId="77777777" w:rsidR="001A3992" w:rsidRDefault="001A3992" w:rsidP="001A3992">
      <w:pPr>
        <w:pStyle w:val="Heading2"/>
        <w:spacing w:before="0" w:after="120"/>
        <w:rPr>
          <w:lang w:val="en-US"/>
        </w:rPr>
      </w:pPr>
      <w:r w:rsidRPr="00EC3C40">
        <w:rPr>
          <w:lang w:val="en-US"/>
        </w:rPr>
        <w:t xml:space="preserve">Shelf life </w:t>
      </w:r>
    </w:p>
    <w:p w14:paraId="4E40E10D" w14:textId="77777777" w:rsidR="00320906" w:rsidRPr="00111BE5" w:rsidRDefault="00320906" w:rsidP="00320906">
      <w:pPr>
        <w:rPr>
          <w:lang w:val="en-US"/>
        </w:rPr>
      </w:pPr>
      <w:r>
        <w:rPr>
          <w:lang w:val="en-US"/>
        </w:rPr>
        <w:t>In Australia, information on the shelf life can be found on the public summary of the Australian Register of Therapeutic goods (ARTG).  The expiry date can be found on the packaging.</w:t>
      </w:r>
    </w:p>
    <w:p w14:paraId="2A06A01E" w14:textId="77777777" w:rsidR="001A3992" w:rsidRDefault="001A3992" w:rsidP="001A3992">
      <w:pPr>
        <w:pStyle w:val="Heading2"/>
        <w:keepNext/>
        <w:keepLines/>
        <w:spacing w:before="0" w:after="120"/>
        <w:rPr>
          <w:lang w:val="en-US"/>
        </w:rPr>
      </w:pPr>
      <w:r w:rsidRPr="00EC3C40">
        <w:rPr>
          <w:lang w:val="en-US"/>
        </w:rPr>
        <w:t xml:space="preserve">Special precautions for storage </w:t>
      </w:r>
    </w:p>
    <w:p w14:paraId="5B39640E" w14:textId="77777777" w:rsidR="001A415F" w:rsidRDefault="001A415F" w:rsidP="001A415F">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pPr>
      <w:r>
        <w:t>Afluria</w:t>
      </w:r>
      <w:r>
        <w:rPr>
          <w:rFonts w:ascii="Calibri" w:hAnsi="Calibri" w:cs="Calibri"/>
        </w:rPr>
        <w:t>®</w:t>
      </w:r>
      <w:r>
        <w:t xml:space="preserve"> Quad vaccine should be stored, protected from light, at 2</w:t>
      </w:r>
      <w:r w:rsidR="00111BE5">
        <w:rPr>
          <w:rFonts w:cstheme="minorHAnsi"/>
        </w:rPr>
        <w:t>°</w:t>
      </w:r>
      <w:r>
        <w:t>C to 8</w:t>
      </w:r>
      <w:r w:rsidR="00111BE5">
        <w:rPr>
          <w:rFonts w:cstheme="minorHAnsi"/>
        </w:rPr>
        <w:t>°</w:t>
      </w:r>
      <w:r>
        <w:t>C. IT MUST NOT BE FROZEN.</w:t>
      </w:r>
    </w:p>
    <w:p w14:paraId="43C06007" w14:textId="77777777" w:rsidR="001A3992" w:rsidRDefault="001A3992" w:rsidP="001A3992">
      <w:pPr>
        <w:pStyle w:val="Heading2"/>
        <w:spacing w:before="0" w:after="120"/>
        <w:rPr>
          <w:lang w:val="en-US"/>
        </w:rPr>
      </w:pPr>
      <w:r w:rsidRPr="00EC3C40">
        <w:rPr>
          <w:lang w:val="en-US"/>
        </w:rPr>
        <w:t xml:space="preserve">Nature and contents of container </w:t>
      </w:r>
    </w:p>
    <w:p w14:paraId="4630B872" w14:textId="77777777" w:rsidR="003B2D2C" w:rsidRDefault="001A415F" w:rsidP="001A415F">
      <w:r>
        <w:t>Afluria</w:t>
      </w:r>
      <w:r>
        <w:rPr>
          <w:rFonts w:ascii="Calibri" w:hAnsi="Calibri" w:cs="Calibri"/>
        </w:rPr>
        <w:t>®</w:t>
      </w:r>
      <w:r>
        <w:t xml:space="preserve"> Quad vaccine is supplied in a single-dose 0.5 mL pre-filled type 1 glass syringe in pack sizes of 1 or 10.</w:t>
      </w:r>
    </w:p>
    <w:p w14:paraId="5620C754" w14:textId="77777777" w:rsidR="001A3992" w:rsidRDefault="001A3992" w:rsidP="001A3992">
      <w:pPr>
        <w:pStyle w:val="Heading2"/>
        <w:spacing w:before="0" w:after="120"/>
        <w:rPr>
          <w:lang w:val="en-US"/>
        </w:rPr>
      </w:pPr>
      <w:r w:rsidRPr="00EC3C40">
        <w:rPr>
          <w:lang w:val="en-US"/>
        </w:rPr>
        <w:t xml:space="preserve">Special precautions for disposal </w:t>
      </w:r>
    </w:p>
    <w:p w14:paraId="428BBA28" w14:textId="77777777" w:rsidR="00BB41D2" w:rsidRDefault="00BB41D2" w:rsidP="00BB41D2">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pPr>
      <w:r>
        <w:t>Afluria</w:t>
      </w:r>
      <w:r>
        <w:rPr>
          <w:rFonts w:ascii="Calibri" w:hAnsi="Calibri" w:cs="Calibri"/>
        </w:rPr>
        <w:t>®</w:t>
      </w:r>
      <w:r>
        <w:t xml:space="preserve"> Quad vaccine is presented as a single-use syringe and any remaining contents should be discarded</w:t>
      </w:r>
      <w:r w:rsidR="00147AF0">
        <w:t xml:space="preserve"> in accordance with local requirements</w:t>
      </w:r>
      <w:r>
        <w:t>.</w:t>
      </w:r>
    </w:p>
    <w:p w14:paraId="057165CE" w14:textId="77777777" w:rsidR="001A3992" w:rsidRPr="00EC3C40" w:rsidRDefault="001A3992" w:rsidP="001A3992">
      <w:pPr>
        <w:pStyle w:val="Heading2"/>
        <w:spacing w:before="0" w:after="120"/>
        <w:rPr>
          <w:lang w:val="en-US"/>
        </w:rPr>
      </w:pPr>
      <w:r w:rsidRPr="00EC3C40">
        <w:rPr>
          <w:lang w:val="en-US"/>
        </w:rPr>
        <w:t>Physicochemical properties</w:t>
      </w:r>
    </w:p>
    <w:p w14:paraId="6A5B3812" w14:textId="77777777" w:rsidR="001A3992" w:rsidRDefault="001C0E0C" w:rsidP="001C0E0C">
      <w:pPr>
        <w:rPr>
          <w:lang w:val="en-US"/>
        </w:rPr>
      </w:pPr>
      <w:r>
        <w:rPr>
          <w:lang w:val="en-US"/>
        </w:rPr>
        <w:t>Not applicable</w:t>
      </w:r>
    </w:p>
    <w:p w14:paraId="4882F922" w14:textId="77777777" w:rsidR="001A3992" w:rsidRDefault="001A3992" w:rsidP="001A3992">
      <w:pPr>
        <w:pStyle w:val="Heading1"/>
        <w:spacing w:before="0" w:after="120"/>
        <w:rPr>
          <w:lang w:val="en-US"/>
        </w:rPr>
      </w:pPr>
      <w:r>
        <w:rPr>
          <w:lang w:val="en-US"/>
        </w:rPr>
        <w:t>Medicine</w:t>
      </w:r>
      <w:r w:rsidRPr="007D497E">
        <w:rPr>
          <w:lang w:val="en-US"/>
        </w:rPr>
        <w:t xml:space="preserve"> schedule </w:t>
      </w:r>
      <w:r>
        <w:rPr>
          <w:lang w:val="en-US"/>
        </w:rPr>
        <w:t>(Poisons Standard)</w:t>
      </w:r>
    </w:p>
    <w:p w14:paraId="639C6B16" w14:textId="77777777" w:rsidR="001A415F" w:rsidRPr="001A415F" w:rsidRDefault="001A415F" w:rsidP="001A415F">
      <w:pPr>
        <w:rPr>
          <w:lang w:val="en-US"/>
        </w:rPr>
      </w:pPr>
      <w:r w:rsidRPr="001A415F">
        <w:rPr>
          <w:lang w:val="en-US"/>
        </w:rPr>
        <w:t>Prescription Only Medicine (S4)</w:t>
      </w:r>
    </w:p>
    <w:p w14:paraId="02C50DC0" w14:textId="77777777" w:rsidR="001A3992" w:rsidRDefault="001A3992" w:rsidP="001A3992">
      <w:pPr>
        <w:pStyle w:val="Heading1"/>
        <w:spacing w:before="0" w:after="120"/>
        <w:rPr>
          <w:lang w:val="en-US"/>
        </w:rPr>
      </w:pPr>
      <w:r w:rsidRPr="007D497E">
        <w:rPr>
          <w:lang w:val="en-US"/>
        </w:rPr>
        <w:t>Sponsor</w:t>
      </w:r>
    </w:p>
    <w:p w14:paraId="5CAD41A9" w14:textId="77777777" w:rsidR="001A415F" w:rsidRDefault="001A415F" w:rsidP="001A415F">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pPr>
      <w:proofErr w:type="spellStart"/>
      <w:r>
        <w:t>Seqirus</w:t>
      </w:r>
      <w:proofErr w:type="spellEnd"/>
      <w:r>
        <w:t xml:space="preserve"> Pty </w:t>
      </w:r>
      <w:proofErr w:type="gramStart"/>
      <w:r>
        <w:t xml:space="preserve">Ltd  </w:t>
      </w:r>
      <w:r w:rsidRPr="00082D57">
        <w:t>ABN</w:t>
      </w:r>
      <w:proofErr w:type="gramEnd"/>
      <w:r w:rsidRPr="00082D57">
        <w:t>: 26 160 735 035</w:t>
      </w:r>
    </w:p>
    <w:p w14:paraId="7DBCD21A" w14:textId="77777777" w:rsidR="001A415F" w:rsidRDefault="001A415F" w:rsidP="001A415F">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pPr>
      <w:r>
        <w:t>63 Poplar Road Parkville</w:t>
      </w:r>
    </w:p>
    <w:p w14:paraId="4FD51AE4" w14:textId="77777777" w:rsidR="001A415F" w:rsidRDefault="001A415F" w:rsidP="001A415F">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pPr>
      <w:proofErr w:type="gramStart"/>
      <w:r>
        <w:lastRenderedPageBreak/>
        <w:t>VICTORIA  3052</w:t>
      </w:r>
      <w:proofErr w:type="gramEnd"/>
      <w:r>
        <w:t xml:space="preserve">  AUSTRALIA</w:t>
      </w:r>
    </w:p>
    <w:p w14:paraId="3D7588F3" w14:textId="77777777" w:rsidR="001A3992" w:rsidRDefault="001A3992" w:rsidP="001A3992">
      <w:pPr>
        <w:pStyle w:val="Heading1"/>
        <w:spacing w:before="0" w:after="120"/>
        <w:rPr>
          <w:lang w:val="en-US"/>
        </w:rPr>
      </w:pPr>
      <w:r w:rsidRPr="007D497E">
        <w:rPr>
          <w:lang w:val="en-US"/>
        </w:rPr>
        <w:t xml:space="preserve">Date of first </w:t>
      </w:r>
      <w:r>
        <w:rPr>
          <w:lang w:val="en-US"/>
        </w:rPr>
        <w:t xml:space="preserve">approval </w:t>
      </w:r>
      <w:r w:rsidRPr="007D497E">
        <w:rPr>
          <w:lang w:val="en-US"/>
        </w:rPr>
        <w:t xml:space="preserve"> </w:t>
      </w:r>
    </w:p>
    <w:p w14:paraId="6113B03C" w14:textId="77777777" w:rsidR="001A415F" w:rsidRPr="001A415F" w:rsidRDefault="001A415F" w:rsidP="001A415F">
      <w:pPr>
        <w:rPr>
          <w:lang w:val="en-US"/>
        </w:rPr>
      </w:pPr>
      <w:r w:rsidRPr="001A415F">
        <w:rPr>
          <w:lang w:val="en-US"/>
        </w:rPr>
        <w:t>22 July 2016</w:t>
      </w:r>
    </w:p>
    <w:p w14:paraId="4B5CE575" w14:textId="77777777" w:rsidR="001A3992" w:rsidRDefault="001A3992" w:rsidP="001A3992">
      <w:pPr>
        <w:pStyle w:val="Heading1"/>
        <w:spacing w:before="0" w:after="120"/>
        <w:rPr>
          <w:lang w:val="en-US"/>
        </w:rPr>
      </w:pPr>
      <w:r>
        <w:rPr>
          <w:lang w:val="en-US"/>
        </w:rPr>
        <w:t xml:space="preserve">Date of revision </w:t>
      </w:r>
    </w:p>
    <w:p w14:paraId="45DB966A" w14:textId="54D48866" w:rsidR="001A415F" w:rsidRPr="001A415F" w:rsidRDefault="00023E9B" w:rsidP="001A415F">
      <w:pPr>
        <w:rPr>
          <w:lang w:val="en-US"/>
        </w:rPr>
      </w:pPr>
      <w:r>
        <w:rPr>
          <w:lang w:val="en-US"/>
        </w:rPr>
        <w:t xml:space="preserve">7 </w:t>
      </w:r>
      <w:r w:rsidR="009E2B0C">
        <w:rPr>
          <w:lang w:val="en-US"/>
        </w:rPr>
        <w:t>February 2018</w:t>
      </w:r>
    </w:p>
    <w:p w14:paraId="14264357" w14:textId="77777777" w:rsidR="001A3992" w:rsidRDefault="001A3992" w:rsidP="001A3992">
      <w:pPr>
        <w:pStyle w:val="Heading2"/>
        <w:numPr>
          <w:ilvl w:val="0"/>
          <w:numId w:val="0"/>
        </w:numPr>
        <w:spacing w:before="0" w:after="120"/>
        <w:rPr>
          <w:lang w:val="en-US"/>
        </w:rPr>
      </w:pPr>
      <w:r w:rsidRPr="007D497E">
        <w:rPr>
          <w:lang w:val="en-US"/>
        </w:rPr>
        <w:t>Summary table of changes</w:t>
      </w:r>
    </w:p>
    <w:tbl>
      <w:tblPr>
        <w:tblStyle w:val="LightGrid"/>
        <w:tblW w:w="0" w:type="auto"/>
        <w:tblLook w:val="04A0" w:firstRow="1" w:lastRow="0" w:firstColumn="1" w:lastColumn="0" w:noHBand="0" w:noVBand="1"/>
      </w:tblPr>
      <w:tblGrid>
        <w:gridCol w:w="1384"/>
        <w:gridCol w:w="7858"/>
      </w:tblGrid>
      <w:tr w:rsidR="00334874" w14:paraId="67A27FAB" w14:textId="77777777" w:rsidTr="003348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1AF22A7D" w14:textId="77777777" w:rsidR="00334874" w:rsidRPr="002E277D" w:rsidRDefault="00334874" w:rsidP="005900A8">
            <w:pPr>
              <w:rPr>
                <w:sz w:val="20"/>
                <w:lang w:val="en-US"/>
              </w:rPr>
            </w:pPr>
            <w:r w:rsidRPr="002E277D">
              <w:rPr>
                <w:sz w:val="20"/>
                <w:lang w:val="en-US"/>
              </w:rPr>
              <w:t>Section Changed</w:t>
            </w:r>
          </w:p>
        </w:tc>
        <w:tc>
          <w:tcPr>
            <w:tcW w:w="7858" w:type="dxa"/>
          </w:tcPr>
          <w:p w14:paraId="5754B4A2" w14:textId="77777777" w:rsidR="00334874" w:rsidRPr="002E277D" w:rsidRDefault="00334874" w:rsidP="005900A8">
            <w:pPr>
              <w:cnfStyle w:val="100000000000" w:firstRow="1" w:lastRow="0" w:firstColumn="0" w:lastColumn="0" w:oddVBand="0" w:evenVBand="0" w:oddHBand="0" w:evenHBand="0" w:firstRowFirstColumn="0" w:firstRowLastColumn="0" w:lastRowFirstColumn="0" w:lastRowLastColumn="0"/>
              <w:rPr>
                <w:sz w:val="20"/>
                <w:lang w:val="en-US"/>
              </w:rPr>
            </w:pPr>
            <w:r w:rsidRPr="002E277D">
              <w:rPr>
                <w:sz w:val="20"/>
                <w:lang w:val="en-US"/>
              </w:rPr>
              <w:t>Summary of new information</w:t>
            </w:r>
          </w:p>
        </w:tc>
      </w:tr>
      <w:tr w:rsidR="00125FFA" w14:paraId="20EE1D79" w14:textId="77777777" w:rsidTr="00334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6008B4A3" w14:textId="77777777" w:rsidR="00125FFA" w:rsidRPr="00334874" w:rsidRDefault="00125FFA" w:rsidP="005900A8">
            <w:pPr>
              <w:rPr>
                <w:rFonts w:asciiTheme="minorHAnsi" w:hAnsiTheme="minorHAnsi" w:cstheme="minorHAnsi"/>
                <w:lang w:val="en-US"/>
              </w:rPr>
            </w:pPr>
            <w:r w:rsidRPr="00334874">
              <w:rPr>
                <w:rFonts w:asciiTheme="minorHAnsi" w:hAnsiTheme="minorHAnsi" w:cstheme="minorHAnsi"/>
                <w:lang w:val="en-US"/>
              </w:rPr>
              <w:t>4.1</w:t>
            </w:r>
          </w:p>
        </w:tc>
        <w:tc>
          <w:tcPr>
            <w:tcW w:w="7858" w:type="dxa"/>
            <w:shd w:val="clear" w:color="auto" w:fill="auto"/>
          </w:tcPr>
          <w:p w14:paraId="4906B22C" w14:textId="77777777" w:rsidR="00125FFA" w:rsidRPr="00334874" w:rsidRDefault="00125FFA" w:rsidP="00D208E9">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334874">
              <w:rPr>
                <w:rFonts w:cstheme="minorHAnsi"/>
                <w:lang w:val="en-US"/>
              </w:rPr>
              <w:t xml:space="preserve">New indication for use in children </w:t>
            </w:r>
            <w:r w:rsidR="00D208E9">
              <w:rPr>
                <w:rFonts w:cstheme="minorHAnsi"/>
                <w:lang w:val="en-US"/>
              </w:rPr>
              <w:t>5 years</w:t>
            </w:r>
            <w:r w:rsidRPr="00334874">
              <w:rPr>
                <w:rFonts w:cstheme="minorHAnsi"/>
                <w:lang w:val="en-US"/>
              </w:rPr>
              <w:t xml:space="preserve"> and older added.</w:t>
            </w:r>
          </w:p>
        </w:tc>
      </w:tr>
      <w:tr w:rsidR="00125FFA" w14:paraId="1C08832F" w14:textId="77777777" w:rsidTr="003348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69ED7C7A" w14:textId="77777777" w:rsidR="00125FFA" w:rsidRPr="00334874" w:rsidRDefault="00125FFA" w:rsidP="005900A8">
            <w:pPr>
              <w:rPr>
                <w:rFonts w:asciiTheme="minorHAnsi" w:hAnsiTheme="minorHAnsi" w:cstheme="minorHAnsi"/>
                <w:lang w:val="en-US"/>
              </w:rPr>
            </w:pPr>
            <w:r w:rsidRPr="00334874">
              <w:rPr>
                <w:rFonts w:asciiTheme="minorHAnsi" w:hAnsiTheme="minorHAnsi" w:cstheme="minorHAnsi"/>
                <w:lang w:val="en-US"/>
              </w:rPr>
              <w:t>4.2</w:t>
            </w:r>
          </w:p>
        </w:tc>
        <w:tc>
          <w:tcPr>
            <w:tcW w:w="7858" w:type="dxa"/>
            <w:shd w:val="clear" w:color="auto" w:fill="auto"/>
          </w:tcPr>
          <w:p w14:paraId="56CD4623" w14:textId="77777777" w:rsidR="00125FFA" w:rsidRPr="00334874" w:rsidRDefault="00125FFA" w:rsidP="00D208E9">
            <w:pPr>
              <w:cnfStyle w:val="000000010000" w:firstRow="0" w:lastRow="0" w:firstColumn="0" w:lastColumn="0" w:oddVBand="0" w:evenVBand="0" w:oddHBand="0" w:evenHBand="1" w:firstRowFirstColumn="0" w:firstRowLastColumn="0" w:lastRowFirstColumn="0" w:lastRowLastColumn="0"/>
              <w:rPr>
                <w:rFonts w:cstheme="minorHAnsi"/>
                <w:lang w:val="en-US"/>
              </w:rPr>
            </w:pPr>
            <w:r w:rsidRPr="00334874">
              <w:rPr>
                <w:rFonts w:cstheme="minorHAnsi"/>
                <w:lang w:val="en-US"/>
              </w:rPr>
              <w:t xml:space="preserve">Dosing information added for use in children </w:t>
            </w:r>
            <w:r w:rsidR="00D208E9">
              <w:rPr>
                <w:rFonts w:cstheme="minorHAnsi"/>
                <w:lang w:val="en-US"/>
              </w:rPr>
              <w:t>5 years</w:t>
            </w:r>
            <w:r w:rsidRPr="00334874">
              <w:rPr>
                <w:rFonts w:cstheme="minorHAnsi"/>
                <w:lang w:val="en-US"/>
              </w:rPr>
              <w:t xml:space="preserve"> and older.</w:t>
            </w:r>
          </w:p>
        </w:tc>
      </w:tr>
      <w:tr w:rsidR="00D208E9" w14:paraId="0616B341" w14:textId="77777777" w:rsidTr="00334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0D9D6D15" w14:textId="77777777" w:rsidR="00D208E9" w:rsidRPr="00D208E9" w:rsidRDefault="00D208E9" w:rsidP="005900A8">
            <w:pPr>
              <w:rPr>
                <w:rFonts w:asciiTheme="minorHAnsi" w:hAnsiTheme="minorHAnsi" w:cstheme="minorHAnsi"/>
                <w:lang w:val="en-US"/>
              </w:rPr>
            </w:pPr>
            <w:r w:rsidRPr="00D208E9">
              <w:rPr>
                <w:rFonts w:asciiTheme="minorHAnsi" w:hAnsiTheme="minorHAnsi" w:cstheme="minorHAnsi"/>
                <w:lang w:val="en-US"/>
              </w:rPr>
              <w:t>4.3</w:t>
            </w:r>
          </w:p>
        </w:tc>
        <w:tc>
          <w:tcPr>
            <w:tcW w:w="7858" w:type="dxa"/>
            <w:shd w:val="clear" w:color="auto" w:fill="auto"/>
          </w:tcPr>
          <w:p w14:paraId="6B6E6B49" w14:textId="77777777" w:rsidR="00D208E9" w:rsidRPr="00334874" w:rsidRDefault="00D208E9" w:rsidP="00D208E9">
            <w:pPr>
              <w:cnfStyle w:val="000000100000" w:firstRow="0" w:lastRow="0" w:firstColumn="0" w:lastColumn="0" w:oddVBand="0" w:evenVBand="0" w:oddHBand="1" w:evenHBand="0" w:firstRowFirstColumn="0" w:firstRowLastColumn="0" w:lastRowFirstColumn="0" w:lastRowLastColumn="0"/>
              <w:rPr>
                <w:rFonts w:cstheme="minorHAnsi"/>
                <w:lang w:val="en-US"/>
              </w:rPr>
            </w:pPr>
            <w:r>
              <w:rPr>
                <w:rFonts w:cstheme="minorHAnsi"/>
                <w:lang w:val="en-US"/>
              </w:rPr>
              <w:t>Contraindications</w:t>
            </w:r>
            <w:r w:rsidRPr="00334874">
              <w:rPr>
                <w:rFonts w:cstheme="minorHAnsi"/>
                <w:lang w:val="en-US"/>
              </w:rPr>
              <w:t xml:space="preserve"> updated </w:t>
            </w:r>
            <w:r>
              <w:rPr>
                <w:rFonts w:cstheme="minorHAnsi"/>
                <w:lang w:val="en-US"/>
              </w:rPr>
              <w:t>regarding use in persons with egg allergy</w:t>
            </w:r>
          </w:p>
        </w:tc>
      </w:tr>
      <w:tr w:rsidR="00125FFA" w14:paraId="31622F0E" w14:textId="77777777" w:rsidTr="003348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2FE76F19" w14:textId="77777777" w:rsidR="00125FFA" w:rsidRPr="00334874" w:rsidRDefault="00125FFA" w:rsidP="005900A8">
            <w:pPr>
              <w:rPr>
                <w:rFonts w:asciiTheme="minorHAnsi" w:hAnsiTheme="minorHAnsi" w:cstheme="minorHAnsi"/>
                <w:lang w:val="en-US"/>
              </w:rPr>
            </w:pPr>
            <w:r w:rsidRPr="00334874">
              <w:rPr>
                <w:rFonts w:asciiTheme="minorHAnsi" w:hAnsiTheme="minorHAnsi" w:cstheme="minorHAnsi"/>
                <w:lang w:val="en-US"/>
              </w:rPr>
              <w:t>4.4</w:t>
            </w:r>
          </w:p>
        </w:tc>
        <w:tc>
          <w:tcPr>
            <w:tcW w:w="7858" w:type="dxa"/>
            <w:shd w:val="clear" w:color="auto" w:fill="auto"/>
          </w:tcPr>
          <w:p w14:paraId="5C9DEB8C" w14:textId="77777777" w:rsidR="00125FFA" w:rsidRPr="00334874" w:rsidRDefault="00125FFA" w:rsidP="005900A8">
            <w:pPr>
              <w:cnfStyle w:val="000000010000" w:firstRow="0" w:lastRow="0" w:firstColumn="0" w:lastColumn="0" w:oddVBand="0" w:evenVBand="0" w:oddHBand="0" w:evenHBand="1" w:firstRowFirstColumn="0" w:firstRowLastColumn="0" w:lastRowFirstColumn="0" w:lastRowLastColumn="0"/>
              <w:rPr>
                <w:rFonts w:cstheme="minorHAnsi"/>
                <w:lang w:val="en-US"/>
              </w:rPr>
            </w:pPr>
            <w:r w:rsidRPr="00334874">
              <w:rPr>
                <w:rFonts w:cstheme="minorHAnsi"/>
                <w:lang w:val="en-US"/>
              </w:rPr>
              <w:t xml:space="preserve">Precautions updated to reference use </w:t>
            </w:r>
            <w:r w:rsidR="00D208E9">
              <w:rPr>
                <w:rFonts w:cstheme="minorHAnsi"/>
                <w:lang w:val="en-US"/>
              </w:rPr>
              <w:t xml:space="preserve">in </w:t>
            </w:r>
            <w:r w:rsidR="00D208E9" w:rsidRPr="00334874">
              <w:rPr>
                <w:rFonts w:cstheme="minorHAnsi"/>
                <w:lang w:val="en-US"/>
              </w:rPr>
              <w:t xml:space="preserve">children </w:t>
            </w:r>
            <w:r w:rsidR="00D208E9">
              <w:rPr>
                <w:rFonts w:cstheme="minorHAnsi"/>
                <w:lang w:val="en-US"/>
              </w:rPr>
              <w:t>5 years</w:t>
            </w:r>
            <w:r w:rsidR="00D208E9" w:rsidRPr="00334874">
              <w:rPr>
                <w:rFonts w:cstheme="minorHAnsi"/>
                <w:lang w:val="en-US"/>
              </w:rPr>
              <w:t xml:space="preserve"> and older</w:t>
            </w:r>
          </w:p>
        </w:tc>
      </w:tr>
      <w:tr w:rsidR="00125FFA" w14:paraId="3989A987" w14:textId="77777777" w:rsidTr="00334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1EB3F3B8" w14:textId="77777777" w:rsidR="00125FFA" w:rsidRPr="00334874" w:rsidRDefault="00125FFA" w:rsidP="005900A8">
            <w:pPr>
              <w:rPr>
                <w:rFonts w:asciiTheme="minorHAnsi" w:hAnsiTheme="minorHAnsi" w:cstheme="minorHAnsi"/>
                <w:lang w:val="en-US"/>
              </w:rPr>
            </w:pPr>
            <w:r w:rsidRPr="00334874">
              <w:rPr>
                <w:rFonts w:asciiTheme="minorHAnsi" w:hAnsiTheme="minorHAnsi" w:cstheme="minorHAnsi"/>
                <w:lang w:val="en-US"/>
              </w:rPr>
              <w:t>4.8</w:t>
            </w:r>
          </w:p>
        </w:tc>
        <w:tc>
          <w:tcPr>
            <w:tcW w:w="7858" w:type="dxa"/>
            <w:shd w:val="clear" w:color="auto" w:fill="auto"/>
          </w:tcPr>
          <w:p w14:paraId="7899A631" w14:textId="77777777" w:rsidR="00125FFA" w:rsidRPr="00334874" w:rsidRDefault="00125FFA" w:rsidP="005900A8">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334874">
              <w:rPr>
                <w:rFonts w:cstheme="minorHAnsi"/>
                <w:lang w:val="en-US"/>
              </w:rPr>
              <w:t xml:space="preserve">Adverse effects updated with </w:t>
            </w:r>
            <w:proofErr w:type="spellStart"/>
            <w:r w:rsidRPr="00334874">
              <w:rPr>
                <w:rFonts w:cstheme="minorHAnsi"/>
                <w:lang w:val="en-US"/>
              </w:rPr>
              <w:t>paediatric</w:t>
            </w:r>
            <w:proofErr w:type="spellEnd"/>
            <w:r w:rsidRPr="00334874">
              <w:rPr>
                <w:rFonts w:cstheme="minorHAnsi"/>
                <w:lang w:val="en-US"/>
              </w:rPr>
              <w:t xml:space="preserve"> trial outcomes</w:t>
            </w:r>
          </w:p>
        </w:tc>
      </w:tr>
      <w:tr w:rsidR="00125FFA" w14:paraId="55F0CF14" w14:textId="77777777" w:rsidTr="003348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7139601B" w14:textId="77777777" w:rsidR="00125FFA" w:rsidRPr="00334874" w:rsidRDefault="00125FFA" w:rsidP="005900A8">
            <w:pPr>
              <w:rPr>
                <w:rFonts w:asciiTheme="minorHAnsi" w:hAnsiTheme="minorHAnsi" w:cstheme="minorHAnsi"/>
                <w:lang w:val="en-US"/>
              </w:rPr>
            </w:pPr>
            <w:r w:rsidRPr="00334874">
              <w:rPr>
                <w:rFonts w:asciiTheme="minorHAnsi" w:hAnsiTheme="minorHAnsi" w:cstheme="minorHAnsi"/>
                <w:lang w:val="en-US"/>
              </w:rPr>
              <w:t>5.1</w:t>
            </w:r>
          </w:p>
        </w:tc>
        <w:tc>
          <w:tcPr>
            <w:tcW w:w="7858" w:type="dxa"/>
            <w:shd w:val="clear" w:color="auto" w:fill="auto"/>
          </w:tcPr>
          <w:p w14:paraId="4128D143" w14:textId="77777777" w:rsidR="00125FFA" w:rsidRPr="00334874" w:rsidRDefault="00125FFA" w:rsidP="005900A8">
            <w:pPr>
              <w:cnfStyle w:val="000000010000" w:firstRow="0" w:lastRow="0" w:firstColumn="0" w:lastColumn="0" w:oddVBand="0" w:evenVBand="0" w:oddHBand="0" w:evenHBand="1" w:firstRowFirstColumn="0" w:firstRowLastColumn="0" w:lastRowFirstColumn="0" w:lastRowLastColumn="0"/>
              <w:rPr>
                <w:rFonts w:cstheme="minorHAnsi"/>
                <w:lang w:val="en-US"/>
              </w:rPr>
            </w:pPr>
            <w:r w:rsidRPr="00334874">
              <w:rPr>
                <w:rFonts w:cstheme="minorHAnsi"/>
                <w:lang w:val="en-US"/>
              </w:rPr>
              <w:t xml:space="preserve">Updated mechanism of action statements to align with current practice. Clinical trial section updated with </w:t>
            </w:r>
            <w:proofErr w:type="spellStart"/>
            <w:r w:rsidRPr="00334874">
              <w:rPr>
                <w:rFonts w:cstheme="minorHAnsi"/>
                <w:lang w:val="en-US"/>
              </w:rPr>
              <w:t>paediatric</w:t>
            </w:r>
            <w:proofErr w:type="spellEnd"/>
            <w:r w:rsidRPr="00334874">
              <w:rPr>
                <w:rFonts w:cstheme="minorHAnsi"/>
                <w:lang w:val="en-US"/>
              </w:rPr>
              <w:t xml:space="preserve"> trial outcomes.</w:t>
            </w:r>
          </w:p>
        </w:tc>
      </w:tr>
    </w:tbl>
    <w:p w14:paraId="12452702" w14:textId="77777777" w:rsidR="001A3992" w:rsidRPr="00557591" w:rsidRDefault="001A3992" w:rsidP="001A3992">
      <w:pPr>
        <w:spacing w:after="120"/>
        <w:rPr>
          <w:lang w:val="en-US"/>
        </w:rPr>
      </w:pPr>
    </w:p>
    <w:p w14:paraId="01F62B0E" w14:textId="77777777" w:rsidR="001A415F" w:rsidRPr="009628B5" w:rsidRDefault="001A415F" w:rsidP="001A415F">
      <w:pPr>
        <w:tabs>
          <w:tab w:val="left" w:pos="-1094"/>
          <w:tab w:val="left" w:pos="-720"/>
          <w:tab w:val="left" w:pos="0"/>
          <w:tab w:val="left" w:pos="270"/>
          <w:tab w:val="left" w:pos="720"/>
          <w:tab w:val="left" w:pos="1440"/>
          <w:tab w:val="left" w:pos="2160"/>
          <w:tab w:val="left" w:pos="2880"/>
          <w:tab w:val="left" w:pos="3600"/>
          <w:tab w:val="left" w:pos="4320"/>
          <w:tab w:val="left" w:pos="5040"/>
          <w:tab w:val="left" w:pos="5400"/>
          <w:tab w:val="left" w:pos="6480"/>
        </w:tabs>
      </w:pPr>
      <w:r>
        <w:t>AFLURIA</w:t>
      </w:r>
      <w:r>
        <w:rPr>
          <w:rFonts w:ascii="Calibri" w:hAnsi="Calibri" w:cs="Calibri"/>
        </w:rPr>
        <w:t xml:space="preserve"> </w:t>
      </w:r>
      <w:r>
        <w:rPr>
          <w:rFonts w:cs="Arial"/>
        </w:rPr>
        <w:t xml:space="preserve">and FLUVAX are registered </w:t>
      </w:r>
      <w:r>
        <w:t xml:space="preserve">trademarks of </w:t>
      </w:r>
      <w:proofErr w:type="spellStart"/>
      <w:r>
        <w:t>Seqirus</w:t>
      </w:r>
      <w:proofErr w:type="spellEnd"/>
      <w:r>
        <w:t xml:space="preserve"> UK Limited or its affiliates</w:t>
      </w:r>
    </w:p>
    <w:sectPr w:rsidR="001A415F" w:rsidRPr="009628B5" w:rsidSect="001401EC">
      <w:headerReference w:type="default" r:id="rId9"/>
      <w:footerReference w:type="default" r:id="rId10"/>
      <w:pgSz w:w="11906" w:h="16838"/>
      <w:pgMar w:top="1440" w:right="991"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DE7BD2" w15:done="0"/>
  <w15:commentEx w15:paraId="014108ED" w15:done="0"/>
  <w15:commentEx w15:paraId="37002A37" w15:done="0"/>
  <w15:commentEx w15:paraId="1C6049B7" w15:done="0"/>
  <w15:commentEx w15:paraId="34F8A63B" w15:done="0"/>
  <w15:commentEx w15:paraId="420DFA7A" w15:done="0"/>
  <w15:commentEx w15:paraId="4668EF56" w15:done="0"/>
  <w15:commentEx w15:paraId="11FC0447" w15:done="0"/>
  <w15:commentEx w15:paraId="2D4EFA61" w15:done="0"/>
  <w15:commentEx w15:paraId="49E82FD5" w15:done="0"/>
  <w15:commentEx w15:paraId="6B7FDAFD" w15:done="0"/>
  <w15:commentEx w15:paraId="2301093C" w15:done="0"/>
  <w15:commentEx w15:paraId="79CBF6DE" w15:done="0"/>
  <w15:commentEx w15:paraId="20CAAC12" w15:done="0"/>
  <w15:commentEx w15:paraId="6DA9FC54" w15:done="0"/>
  <w15:commentEx w15:paraId="2D421695" w15:done="0"/>
  <w15:commentEx w15:paraId="5B69138A" w15:done="0"/>
  <w15:commentEx w15:paraId="691F84EC" w15:done="0"/>
  <w15:commentEx w15:paraId="793B523C" w15:done="0"/>
  <w15:commentEx w15:paraId="73CEB557" w15:done="0"/>
  <w15:commentEx w15:paraId="0D8731CE" w15:done="0"/>
  <w15:commentEx w15:paraId="5C0FBA06" w15:done="0"/>
  <w15:commentEx w15:paraId="626055EA" w15:done="0"/>
  <w15:commentEx w15:paraId="24CCD4C4" w15:done="0"/>
  <w15:commentEx w15:paraId="610B261D" w15:done="0"/>
  <w15:commentEx w15:paraId="03C2083F" w15:done="0"/>
  <w15:commentEx w15:paraId="45C306F8" w15:done="0"/>
  <w15:commentEx w15:paraId="65EF26C4" w15:done="0"/>
  <w15:commentEx w15:paraId="22AF22C5" w15:done="0"/>
  <w15:commentEx w15:paraId="33D592D2" w15:done="0"/>
  <w15:commentEx w15:paraId="236E3F0F" w15:done="0"/>
  <w15:commentEx w15:paraId="5775E1D6" w15:done="0"/>
  <w15:commentEx w15:paraId="6065C2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5B5FB" w14:textId="77777777" w:rsidR="00547221" w:rsidRDefault="00547221" w:rsidP="001A3992">
      <w:pPr>
        <w:spacing w:after="0" w:line="240" w:lineRule="auto"/>
      </w:pPr>
      <w:r>
        <w:separator/>
      </w:r>
    </w:p>
  </w:endnote>
  <w:endnote w:type="continuationSeparator" w:id="0">
    <w:p w14:paraId="2B4F66EE" w14:textId="77777777" w:rsidR="00547221" w:rsidRDefault="00547221"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P Math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593163430"/>
      <w:docPartObj>
        <w:docPartGallery w:val="Page Numbers (Bottom of Page)"/>
        <w:docPartUnique/>
      </w:docPartObj>
    </w:sdtPr>
    <w:sdtEndPr>
      <w:rPr>
        <w:noProof/>
        <w:sz w:val="20"/>
      </w:rPr>
    </w:sdtEndPr>
    <w:sdtContent>
      <w:sdt>
        <w:sdtPr>
          <w:rPr>
            <w:rFonts w:asciiTheme="minorHAnsi" w:hAnsiTheme="minorHAnsi" w:cstheme="minorHAnsi"/>
            <w:sz w:val="18"/>
            <w:szCs w:val="18"/>
          </w:rPr>
          <w:id w:val="860082579"/>
          <w:docPartObj>
            <w:docPartGallery w:val="Page Numbers (Top of Page)"/>
            <w:docPartUnique/>
          </w:docPartObj>
        </w:sdtPr>
        <w:sdtEndPr/>
        <w:sdtContent>
          <w:p w14:paraId="6FCB6308" w14:textId="68955171" w:rsidR="00954815" w:rsidRPr="00E37924" w:rsidRDefault="00954815" w:rsidP="00E37924">
            <w:pPr>
              <w:pStyle w:val="Footer"/>
              <w:pBdr>
                <w:top w:val="single" w:sz="4" w:space="1" w:color="auto"/>
              </w:pBdr>
              <w:jc w:val="right"/>
              <w:rPr>
                <w:rFonts w:asciiTheme="minorHAnsi" w:hAnsiTheme="minorHAnsi" w:cstheme="minorHAnsi"/>
                <w:sz w:val="18"/>
                <w:szCs w:val="18"/>
              </w:rPr>
            </w:pPr>
            <w:r w:rsidRPr="00E37924">
              <w:rPr>
                <w:rFonts w:asciiTheme="minorHAnsi" w:hAnsiTheme="minorHAnsi" w:cstheme="minorHAnsi"/>
                <w:sz w:val="18"/>
                <w:szCs w:val="18"/>
              </w:rPr>
              <w:t xml:space="preserve">Page </w:t>
            </w:r>
            <w:r w:rsidRPr="00E37924">
              <w:rPr>
                <w:rFonts w:asciiTheme="minorHAnsi" w:hAnsiTheme="minorHAnsi" w:cstheme="minorHAnsi"/>
                <w:bCs/>
                <w:sz w:val="18"/>
                <w:szCs w:val="18"/>
              </w:rPr>
              <w:fldChar w:fldCharType="begin"/>
            </w:r>
            <w:r w:rsidRPr="00E37924">
              <w:rPr>
                <w:rFonts w:asciiTheme="minorHAnsi" w:hAnsiTheme="minorHAnsi" w:cstheme="minorHAnsi"/>
                <w:bCs/>
                <w:sz w:val="18"/>
                <w:szCs w:val="18"/>
              </w:rPr>
              <w:instrText xml:space="preserve"> PAGE </w:instrText>
            </w:r>
            <w:r w:rsidRPr="00E37924">
              <w:rPr>
                <w:rFonts w:asciiTheme="minorHAnsi" w:hAnsiTheme="minorHAnsi" w:cstheme="minorHAnsi"/>
                <w:bCs/>
                <w:sz w:val="18"/>
                <w:szCs w:val="18"/>
              </w:rPr>
              <w:fldChar w:fldCharType="separate"/>
            </w:r>
            <w:r w:rsidR="0073654C">
              <w:rPr>
                <w:rFonts w:asciiTheme="minorHAnsi" w:hAnsiTheme="minorHAnsi" w:cstheme="minorHAnsi"/>
                <w:bCs/>
                <w:noProof/>
                <w:sz w:val="18"/>
                <w:szCs w:val="18"/>
              </w:rPr>
              <w:t>1</w:t>
            </w:r>
            <w:r w:rsidRPr="00E37924">
              <w:rPr>
                <w:rFonts w:asciiTheme="minorHAnsi" w:hAnsiTheme="minorHAnsi" w:cstheme="minorHAnsi"/>
                <w:bCs/>
                <w:sz w:val="18"/>
                <w:szCs w:val="18"/>
              </w:rPr>
              <w:fldChar w:fldCharType="end"/>
            </w:r>
            <w:r w:rsidRPr="00E37924">
              <w:rPr>
                <w:rFonts w:asciiTheme="minorHAnsi" w:hAnsiTheme="minorHAnsi" w:cstheme="minorHAnsi"/>
                <w:sz w:val="18"/>
                <w:szCs w:val="18"/>
              </w:rPr>
              <w:t xml:space="preserve"> of </w:t>
            </w:r>
            <w:r w:rsidRPr="00E37924">
              <w:rPr>
                <w:rFonts w:asciiTheme="minorHAnsi" w:hAnsiTheme="minorHAnsi" w:cstheme="minorHAnsi"/>
                <w:bCs/>
                <w:sz w:val="18"/>
                <w:szCs w:val="18"/>
              </w:rPr>
              <w:fldChar w:fldCharType="begin"/>
            </w:r>
            <w:r w:rsidRPr="00E37924">
              <w:rPr>
                <w:rFonts w:asciiTheme="minorHAnsi" w:hAnsiTheme="minorHAnsi" w:cstheme="minorHAnsi"/>
                <w:bCs/>
                <w:sz w:val="18"/>
                <w:szCs w:val="18"/>
              </w:rPr>
              <w:instrText xml:space="preserve"> NUMPAGES  </w:instrText>
            </w:r>
            <w:r w:rsidRPr="00E37924">
              <w:rPr>
                <w:rFonts w:asciiTheme="minorHAnsi" w:hAnsiTheme="minorHAnsi" w:cstheme="minorHAnsi"/>
                <w:bCs/>
                <w:sz w:val="18"/>
                <w:szCs w:val="18"/>
              </w:rPr>
              <w:fldChar w:fldCharType="separate"/>
            </w:r>
            <w:r w:rsidR="0073654C">
              <w:rPr>
                <w:rFonts w:asciiTheme="minorHAnsi" w:hAnsiTheme="minorHAnsi" w:cstheme="minorHAnsi"/>
                <w:bCs/>
                <w:noProof/>
                <w:sz w:val="18"/>
                <w:szCs w:val="18"/>
              </w:rPr>
              <w:t>15</w:t>
            </w:r>
            <w:r w:rsidRPr="00E37924">
              <w:rPr>
                <w:rFonts w:asciiTheme="minorHAnsi" w:hAnsiTheme="minorHAnsi" w:cstheme="minorHAnsi"/>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9C28F" w14:textId="77777777" w:rsidR="00547221" w:rsidRDefault="00547221" w:rsidP="001A3992">
      <w:pPr>
        <w:spacing w:after="0" w:line="240" w:lineRule="auto"/>
      </w:pPr>
      <w:r>
        <w:separator/>
      </w:r>
    </w:p>
  </w:footnote>
  <w:footnote w:type="continuationSeparator" w:id="0">
    <w:p w14:paraId="550F2AA1" w14:textId="77777777" w:rsidR="00547221" w:rsidRDefault="00547221" w:rsidP="001A3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73654C" w:rsidRPr="002E7F61" w14:paraId="65B5FA22" w14:textId="77777777" w:rsidTr="00E0331C">
      <w:trPr>
        <w:trHeight w:val="590"/>
      </w:trPr>
      <w:tc>
        <w:tcPr>
          <w:tcW w:w="8720" w:type="dxa"/>
          <w:shd w:val="clear" w:color="auto" w:fill="E4F2E0"/>
        </w:tcPr>
        <w:p w14:paraId="10C80D61" w14:textId="77777777" w:rsidR="0073654C" w:rsidRPr="002E7F61" w:rsidRDefault="0073654C" w:rsidP="00E0331C">
          <w:pPr>
            <w:pStyle w:val="Footer"/>
            <w:rPr>
              <w:b/>
              <w:sz w:val="18"/>
              <w:szCs w:val="18"/>
            </w:rPr>
          </w:pPr>
          <w:r w:rsidRPr="002E7F61">
            <w:rPr>
              <w:b/>
              <w:sz w:val="18"/>
              <w:szCs w:val="18"/>
            </w:rPr>
            <w:t xml:space="preserve">Attachment 1: Product information </w:t>
          </w:r>
          <w:r w:rsidRPr="004C5C71">
            <w:rPr>
              <w:b/>
              <w:sz w:val="18"/>
              <w:szCs w:val="18"/>
            </w:rPr>
            <w:t xml:space="preserve">AusPAR Afluria Quad </w:t>
          </w:r>
          <w:proofErr w:type="spellStart"/>
          <w:r w:rsidRPr="004C5C71">
            <w:rPr>
              <w:b/>
              <w:sz w:val="18"/>
              <w:szCs w:val="18"/>
            </w:rPr>
            <w:t>Seqirus</w:t>
          </w:r>
          <w:proofErr w:type="spellEnd"/>
          <w:r w:rsidRPr="004C5C71">
            <w:rPr>
              <w:b/>
              <w:sz w:val="18"/>
              <w:szCs w:val="18"/>
            </w:rPr>
            <w:t xml:space="preserve"> Pty Ltd PM-2016-03542-1-2 Final 5 November 2018</w:t>
          </w:r>
          <w:r>
            <w:rPr>
              <w:b/>
              <w:sz w:val="18"/>
              <w:szCs w:val="18"/>
            </w:rPr>
            <w:t xml:space="preserve">. </w:t>
          </w:r>
          <w:r w:rsidRPr="002E7F61">
            <w:rPr>
              <w:b/>
              <w:sz w:val="18"/>
              <w:szCs w:val="18"/>
            </w:rPr>
            <w:t>This Product information was approved at the time this AusPAR was published.</w:t>
          </w:r>
        </w:p>
      </w:tc>
    </w:tr>
  </w:tbl>
  <w:p w14:paraId="5D77CDBA" w14:textId="77777777" w:rsidR="0073654C" w:rsidRDefault="0073654C" w:rsidP="00F54031">
    <w:pPr>
      <w:tabs>
        <w:tab w:val="right" w:pos="9356"/>
      </w:tabs>
      <w:spacing w:after="0" w:line="240" w:lineRule="auto"/>
      <w:rPr>
        <w:sz w:val="18"/>
      </w:rPr>
    </w:pPr>
  </w:p>
  <w:p w14:paraId="581C460A" w14:textId="77777777" w:rsidR="0073654C" w:rsidRDefault="0073654C" w:rsidP="00F54031">
    <w:pPr>
      <w:tabs>
        <w:tab w:val="right" w:pos="9356"/>
      </w:tabs>
      <w:spacing w:after="0" w:line="240" w:lineRule="auto"/>
      <w:rPr>
        <w:sz w:val="18"/>
      </w:rPr>
    </w:pPr>
  </w:p>
  <w:p w14:paraId="161B53B9" w14:textId="77777777" w:rsidR="00954815" w:rsidRDefault="00954815" w:rsidP="00F54031">
    <w:pPr>
      <w:tabs>
        <w:tab w:val="right" w:pos="9356"/>
      </w:tabs>
      <w:spacing w:after="0" w:line="240" w:lineRule="auto"/>
      <w:rPr>
        <w:sz w:val="18"/>
      </w:rPr>
    </w:pPr>
    <w:r>
      <w:rPr>
        <w:sz w:val="18"/>
      </w:rPr>
      <w:t>Afluria</w:t>
    </w:r>
    <w:r>
      <w:rPr>
        <w:rFonts w:ascii="Calibri" w:hAnsi="Calibri" w:cs="Calibri"/>
        <w:sz w:val="18"/>
      </w:rPr>
      <w:t>®</w:t>
    </w:r>
    <w:r>
      <w:rPr>
        <w:sz w:val="18"/>
        <w:vertAlign w:val="superscript"/>
      </w:rPr>
      <w:t xml:space="preserve"> </w:t>
    </w:r>
    <w:r>
      <w:rPr>
        <w:sz w:val="18"/>
      </w:rPr>
      <w:t xml:space="preserve">Quad vaccine 2018 (AUST R 262428 and AUST R </w:t>
    </w:r>
    <w:r w:rsidRPr="00117AA5">
      <w:rPr>
        <w:sz w:val="18"/>
      </w:rPr>
      <w:t>294907</w:t>
    </w:r>
    <w:r>
      <w:rPr>
        <w:sz w:val="18"/>
      </w:rPr>
      <w:t>)</w:t>
    </w:r>
    <w:r>
      <w:rPr>
        <w:sz w:val="18"/>
      </w:rPr>
      <w:tab/>
      <w:t>Product Information</w:t>
    </w:r>
  </w:p>
  <w:p w14:paraId="31678CA4" w14:textId="77777777" w:rsidR="00954815" w:rsidRPr="00E37924" w:rsidRDefault="00954815" w:rsidP="00F54031">
    <w:pPr>
      <w:tabs>
        <w:tab w:val="right" w:pos="9356"/>
      </w:tabs>
      <w:spacing w:after="0" w:line="240" w:lineRule="auto"/>
      <w:rPr>
        <w:sz w:val="18"/>
      </w:rPr>
    </w:pPr>
    <w:r w:rsidRPr="00F54031">
      <w:rPr>
        <w:sz w:val="18"/>
      </w:rPr>
      <w:t>0.5 mL and 10 x 0.5 mL presentations</w:t>
    </w:r>
  </w:p>
  <w:p w14:paraId="6C8B3E66" w14:textId="77777777" w:rsidR="00954815" w:rsidRPr="00E37924" w:rsidRDefault="00954815" w:rsidP="00E37924">
    <w:pPr>
      <w:pStyle w:val="Header"/>
      <w:tabs>
        <w:tab w:val="right" w:pos="9332"/>
      </w:tabs>
      <w:rPr>
        <w:rFonts w:ascii="CG Times" w:hAnsi="CG Times"/>
      </w:rPr>
    </w:pPr>
    <w:r>
      <w:rPr>
        <w:noProof/>
        <w:lang w:eastAsia="en-AU"/>
      </w:rPr>
      <mc:AlternateContent>
        <mc:Choice Requires="wps">
          <w:drawing>
            <wp:anchor distT="0" distB="0" distL="114300" distR="114300" simplePos="0" relativeHeight="251659264" behindDoc="1" locked="1" layoutInCell="0" allowOverlap="1" wp14:anchorId="268D25C3" wp14:editId="0FEE7825">
              <wp:simplePos x="0" y="0"/>
              <wp:positionH relativeFrom="page">
                <wp:posOffset>914400</wp:posOffset>
              </wp:positionH>
              <wp:positionV relativeFrom="paragraph">
                <wp:posOffset>13970</wp:posOffset>
              </wp:positionV>
              <wp:extent cx="5947410" cy="12065"/>
              <wp:effectExtent l="0" t="0" r="0" b="698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741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61176A5" id="Rectangle 8" o:spid="_x0000_s1026" style="position:absolute;margin-left:1in;margin-top:1.1pt;width:468.3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" o:allowincell="f" fillcolor="black" stroked="f" strokeweight="0">
              <w10:wrap anchorx="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8CD7A7B"/>
    <w:multiLevelType w:val="hybridMultilevel"/>
    <w:tmpl w:val="39CEE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DE7374D"/>
    <w:multiLevelType w:val="hybridMultilevel"/>
    <w:tmpl w:val="77FA202A"/>
    <w:lvl w:ilvl="0" w:tplc="E7F67C0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6"/>
  </w:num>
  <w:num w:numId="5">
    <w:abstractNumId w:val="12"/>
  </w:num>
  <w:num w:numId="6">
    <w:abstractNumId w:val="10"/>
  </w:num>
  <w:num w:numId="7">
    <w:abstractNumId w:val="8"/>
  </w:num>
  <w:num w:numId="8">
    <w:abstractNumId w:val="11"/>
  </w:num>
  <w:num w:numId="9">
    <w:abstractNumId w:val="3"/>
  </w:num>
  <w:num w:numId="10">
    <w:abstractNumId w:val="7"/>
  </w:num>
  <w:num w:numId="11">
    <w:abstractNumId w:val="0"/>
    <w:lvlOverride w:ilvl="0">
      <w:lvl w:ilvl="0">
        <w:numFmt w:val="bullet"/>
        <w:lvlText w:val=""/>
        <w:legacy w:legacy="1" w:legacySpace="0" w:legacyIndent="270"/>
        <w:lvlJc w:val="left"/>
        <w:pPr>
          <w:ind w:left="270" w:hanging="270"/>
        </w:pPr>
        <w:rPr>
          <w:rFonts w:ascii="WP MathA" w:hAnsi="WP MathA" w:hint="default"/>
        </w:rPr>
      </w:lvl>
    </w:lvlOverride>
  </w:num>
  <w:num w:numId="12">
    <w:abstractNumId w:val="4"/>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rardet, Roland NL/AMS">
    <w15:presenceInfo w15:providerId="AD" w15:userId="S-1-5-21-2127726393-2435780445-2306350200-66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3E5"/>
    <w:rsid w:val="00023E9B"/>
    <w:rsid w:val="0002562F"/>
    <w:rsid w:val="00047108"/>
    <w:rsid w:val="000516DA"/>
    <w:rsid w:val="000540EE"/>
    <w:rsid w:val="000F6F7F"/>
    <w:rsid w:val="00100D2F"/>
    <w:rsid w:val="00111BE5"/>
    <w:rsid w:val="00125FFA"/>
    <w:rsid w:val="001401EC"/>
    <w:rsid w:val="00147AF0"/>
    <w:rsid w:val="001A3992"/>
    <w:rsid w:val="001A415F"/>
    <w:rsid w:val="001C0E0C"/>
    <w:rsid w:val="001D3759"/>
    <w:rsid w:val="00220C1F"/>
    <w:rsid w:val="0022675F"/>
    <w:rsid w:val="00256CA2"/>
    <w:rsid w:val="00280FD2"/>
    <w:rsid w:val="002B5AFD"/>
    <w:rsid w:val="002E277D"/>
    <w:rsid w:val="002F1EEE"/>
    <w:rsid w:val="002F7356"/>
    <w:rsid w:val="002F7575"/>
    <w:rsid w:val="00315B4D"/>
    <w:rsid w:val="00320906"/>
    <w:rsid w:val="0032742E"/>
    <w:rsid w:val="00331195"/>
    <w:rsid w:val="00332813"/>
    <w:rsid w:val="00334874"/>
    <w:rsid w:val="0036511E"/>
    <w:rsid w:val="003922F0"/>
    <w:rsid w:val="003B2D2C"/>
    <w:rsid w:val="003B3936"/>
    <w:rsid w:val="004032BD"/>
    <w:rsid w:val="004061C9"/>
    <w:rsid w:val="00430387"/>
    <w:rsid w:val="00431ACD"/>
    <w:rsid w:val="00440DA3"/>
    <w:rsid w:val="00444548"/>
    <w:rsid w:val="004821FC"/>
    <w:rsid w:val="004C264E"/>
    <w:rsid w:val="004D2FDB"/>
    <w:rsid w:val="00512BA0"/>
    <w:rsid w:val="00547221"/>
    <w:rsid w:val="0055356A"/>
    <w:rsid w:val="005854DD"/>
    <w:rsid w:val="005900A8"/>
    <w:rsid w:val="005921D9"/>
    <w:rsid w:val="005C56EA"/>
    <w:rsid w:val="006853B2"/>
    <w:rsid w:val="006A7D57"/>
    <w:rsid w:val="006F2E66"/>
    <w:rsid w:val="00705BD7"/>
    <w:rsid w:val="00712526"/>
    <w:rsid w:val="00730D27"/>
    <w:rsid w:val="0073654C"/>
    <w:rsid w:val="00774602"/>
    <w:rsid w:val="007875F8"/>
    <w:rsid w:val="00793EB7"/>
    <w:rsid w:val="007B0008"/>
    <w:rsid w:val="007F5866"/>
    <w:rsid w:val="00814330"/>
    <w:rsid w:val="00832F02"/>
    <w:rsid w:val="00860B55"/>
    <w:rsid w:val="00896F1F"/>
    <w:rsid w:val="008B7D5F"/>
    <w:rsid w:val="008E21AD"/>
    <w:rsid w:val="008E41B2"/>
    <w:rsid w:val="008F1135"/>
    <w:rsid w:val="008F4427"/>
    <w:rsid w:val="0090179B"/>
    <w:rsid w:val="009070B0"/>
    <w:rsid w:val="0093273A"/>
    <w:rsid w:val="00954815"/>
    <w:rsid w:val="00960CD5"/>
    <w:rsid w:val="0099616B"/>
    <w:rsid w:val="009E2B0C"/>
    <w:rsid w:val="009E72EC"/>
    <w:rsid w:val="00A85848"/>
    <w:rsid w:val="00AA3B35"/>
    <w:rsid w:val="00AB74E4"/>
    <w:rsid w:val="00AC2578"/>
    <w:rsid w:val="00AD020F"/>
    <w:rsid w:val="00B0020D"/>
    <w:rsid w:val="00B53245"/>
    <w:rsid w:val="00B80ABE"/>
    <w:rsid w:val="00B9390B"/>
    <w:rsid w:val="00BA3C67"/>
    <w:rsid w:val="00BB0E50"/>
    <w:rsid w:val="00BB41D2"/>
    <w:rsid w:val="00BD7B37"/>
    <w:rsid w:val="00BF4DC1"/>
    <w:rsid w:val="00C1491C"/>
    <w:rsid w:val="00C169CD"/>
    <w:rsid w:val="00C52D6F"/>
    <w:rsid w:val="00C91FF0"/>
    <w:rsid w:val="00CA5C63"/>
    <w:rsid w:val="00CA6CCF"/>
    <w:rsid w:val="00CB0F62"/>
    <w:rsid w:val="00CB0F95"/>
    <w:rsid w:val="00CC0AE8"/>
    <w:rsid w:val="00CD52E2"/>
    <w:rsid w:val="00CD6373"/>
    <w:rsid w:val="00CF2327"/>
    <w:rsid w:val="00D208E9"/>
    <w:rsid w:val="00D44BA0"/>
    <w:rsid w:val="00D475FC"/>
    <w:rsid w:val="00D60C8B"/>
    <w:rsid w:val="00DB4ED9"/>
    <w:rsid w:val="00DB70D1"/>
    <w:rsid w:val="00DE5831"/>
    <w:rsid w:val="00DE6897"/>
    <w:rsid w:val="00DF5E99"/>
    <w:rsid w:val="00E00FE1"/>
    <w:rsid w:val="00E21A90"/>
    <w:rsid w:val="00E37924"/>
    <w:rsid w:val="00E50F35"/>
    <w:rsid w:val="00E73440"/>
    <w:rsid w:val="00E74A56"/>
    <w:rsid w:val="00ED0937"/>
    <w:rsid w:val="00ED486D"/>
    <w:rsid w:val="00F35A78"/>
    <w:rsid w:val="00F52496"/>
    <w:rsid w:val="00F54031"/>
    <w:rsid w:val="00FA2C2E"/>
    <w:rsid w:val="00FB23E5"/>
    <w:rsid w:val="00FC0F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C7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Heading3"/>
    <w:next w:val="Normal"/>
    <w:link w:val="Heading4Char"/>
    <w:uiPriority w:val="9"/>
    <w:unhideWhenUsed/>
    <w:qFormat/>
    <w:rsid w:val="00E37924"/>
    <w:pPr>
      <w:ind w:left="0"/>
      <w:outlineLvl w:val="3"/>
    </w:pPr>
    <w:rPr>
      <w:i/>
    </w:rPr>
  </w:style>
  <w:style w:type="paragraph" w:styleId="Heading5">
    <w:name w:val="heading 5"/>
    <w:basedOn w:val="Heading4"/>
    <w:next w:val="Normal"/>
    <w:link w:val="Heading5Char"/>
    <w:uiPriority w:val="9"/>
    <w:unhideWhenUsed/>
    <w:qFormat/>
    <w:rsid w:val="0036511E"/>
    <w:pPr>
      <w:outlineLvl w:val="4"/>
    </w:p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E37924"/>
    <w:rPr>
      <w:rFonts w:asciiTheme="majorHAnsi" w:eastAsiaTheme="majorEastAsia" w:hAnsiTheme="majorHAnsi" w:cstheme="majorBidi"/>
      <w:b/>
      <w:bCs/>
      <w:i/>
    </w:rPr>
  </w:style>
  <w:style w:type="character" w:customStyle="1" w:styleId="Heading5Char">
    <w:name w:val="Heading 5 Char"/>
    <w:basedOn w:val="DefaultParagraphFont"/>
    <w:link w:val="Heading5"/>
    <w:uiPriority w:val="9"/>
    <w:rsid w:val="0036511E"/>
    <w:rPr>
      <w:rFonts w:asciiTheme="majorHAnsi" w:eastAsiaTheme="majorEastAsia" w:hAnsiTheme="majorHAnsi" w:cstheme="majorBidi"/>
      <w:b/>
      <w:bCs/>
      <w:i/>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rsid w:val="00CA6CCF"/>
  </w:style>
  <w:style w:type="paragraph" w:styleId="CommentSubject">
    <w:name w:val="annotation subject"/>
    <w:basedOn w:val="CommentText"/>
    <w:next w:val="CommentText"/>
    <w:link w:val="CommentSubjectChar"/>
    <w:uiPriority w:val="99"/>
    <w:semiHidden/>
    <w:unhideWhenUsed/>
    <w:rsid w:val="00E00FE1"/>
    <w:rPr>
      <w:rFonts w:asciiTheme="minorHAnsi" w:hAnsiTheme="minorHAnsi"/>
      <w:b/>
      <w:bCs/>
    </w:rPr>
  </w:style>
  <w:style w:type="character" w:customStyle="1" w:styleId="CommentSubjectChar">
    <w:name w:val="Comment Subject Char"/>
    <w:basedOn w:val="CommentTextChar"/>
    <w:link w:val="CommentSubject"/>
    <w:uiPriority w:val="99"/>
    <w:semiHidden/>
    <w:rsid w:val="00E00FE1"/>
    <w:rPr>
      <w:rFonts w:ascii="Cambria" w:hAnsi="Cambria"/>
      <w:b/>
      <w:bCs/>
      <w:sz w:val="20"/>
      <w:szCs w:val="20"/>
    </w:rPr>
  </w:style>
  <w:style w:type="paragraph" w:styleId="Title">
    <w:name w:val="Title"/>
    <w:basedOn w:val="Normal"/>
    <w:next w:val="Normal"/>
    <w:link w:val="TitleChar"/>
    <w:qFormat/>
    <w:rsid w:val="008F1135"/>
    <w:pPr>
      <w:widowControl w:val="0"/>
      <w:spacing w:after="0" w:line="360" w:lineRule="auto"/>
      <w:jc w:val="both"/>
      <w:outlineLvl w:val="0"/>
    </w:pPr>
    <w:rPr>
      <w:rFonts w:ascii="Arial" w:eastAsia="Times New Roman" w:hAnsi="Arial" w:cs="Arial"/>
      <w:b/>
      <w:snapToGrid w:val="0"/>
      <w:sz w:val="48"/>
      <w:szCs w:val="20"/>
    </w:rPr>
  </w:style>
  <w:style w:type="character" w:customStyle="1" w:styleId="TitleChar">
    <w:name w:val="Title Char"/>
    <w:basedOn w:val="DefaultParagraphFont"/>
    <w:link w:val="Title"/>
    <w:rsid w:val="008F1135"/>
    <w:rPr>
      <w:rFonts w:ascii="Arial" w:eastAsia="Times New Roman" w:hAnsi="Arial" w:cs="Arial"/>
      <w:b/>
      <w:snapToGrid w:val="0"/>
      <w:sz w:val="48"/>
      <w:szCs w:val="20"/>
    </w:rPr>
  </w:style>
  <w:style w:type="paragraph" w:styleId="Caption">
    <w:name w:val="caption"/>
    <w:aliases w:val="12,Caption 12pt+,wcp_Caption,Légende_Legend,Legend_Légende"/>
    <w:next w:val="Normal"/>
    <w:qFormat/>
    <w:rsid w:val="000F6F7F"/>
    <w:pPr>
      <w:keepNext/>
      <w:spacing w:before="120" w:after="120" w:line="280" w:lineRule="atLeast"/>
      <w:ind w:left="1440" w:hanging="1440"/>
    </w:pPr>
    <w:rPr>
      <w:rFonts w:ascii="Times New Roman" w:eastAsia="Times New Roman" w:hAnsi="Times New Roman" w:cs="Times New Roman"/>
      <w:b/>
      <w:bCs/>
      <w:szCs w:val="24"/>
      <w:lang w:val="en-US"/>
    </w:rPr>
  </w:style>
  <w:style w:type="table" w:customStyle="1" w:styleId="TableGrid2">
    <w:name w:val="Table Grid2"/>
    <w:basedOn w:val="TableNormal"/>
    <w:next w:val="TableGrid"/>
    <w:uiPriority w:val="99"/>
    <w:rsid w:val="001A415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A4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0F62"/>
    <w:rPr>
      <w:color w:val="800080" w:themeColor="followedHyperlink"/>
      <w:u w:val="single"/>
    </w:rPr>
  </w:style>
  <w:style w:type="paragraph" w:styleId="Subtitle">
    <w:name w:val="Subtitle"/>
    <w:basedOn w:val="Normal"/>
    <w:next w:val="Normal"/>
    <w:link w:val="SubtitleChar"/>
    <w:uiPriority w:val="11"/>
    <w:qFormat/>
    <w:rsid w:val="0043038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30387"/>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220C1F"/>
    <w:pPr>
      <w:spacing w:after="0" w:line="240" w:lineRule="auto"/>
    </w:pPr>
  </w:style>
  <w:style w:type="paragraph" w:customStyle="1" w:styleId="Default">
    <w:name w:val="Default"/>
    <w:rsid w:val="005900A8"/>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Heading3"/>
    <w:next w:val="Normal"/>
    <w:link w:val="Heading4Char"/>
    <w:uiPriority w:val="9"/>
    <w:unhideWhenUsed/>
    <w:qFormat/>
    <w:rsid w:val="00E37924"/>
    <w:pPr>
      <w:ind w:left="0"/>
      <w:outlineLvl w:val="3"/>
    </w:pPr>
    <w:rPr>
      <w:i/>
    </w:rPr>
  </w:style>
  <w:style w:type="paragraph" w:styleId="Heading5">
    <w:name w:val="heading 5"/>
    <w:basedOn w:val="Heading4"/>
    <w:next w:val="Normal"/>
    <w:link w:val="Heading5Char"/>
    <w:uiPriority w:val="9"/>
    <w:unhideWhenUsed/>
    <w:qFormat/>
    <w:rsid w:val="0036511E"/>
    <w:pPr>
      <w:outlineLvl w:val="4"/>
    </w:p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E37924"/>
    <w:rPr>
      <w:rFonts w:asciiTheme="majorHAnsi" w:eastAsiaTheme="majorEastAsia" w:hAnsiTheme="majorHAnsi" w:cstheme="majorBidi"/>
      <w:b/>
      <w:bCs/>
      <w:i/>
    </w:rPr>
  </w:style>
  <w:style w:type="character" w:customStyle="1" w:styleId="Heading5Char">
    <w:name w:val="Heading 5 Char"/>
    <w:basedOn w:val="DefaultParagraphFont"/>
    <w:link w:val="Heading5"/>
    <w:uiPriority w:val="9"/>
    <w:rsid w:val="0036511E"/>
    <w:rPr>
      <w:rFonts w:asciiTheme="majorHAnsi" w:eastAsiaTheme="majorEastAsia" w:hAnsiTheme="majorHAnsi" w:cstheme="majorBidi"/>
      <w:b/>
      <w:bCs/>
      <w:i/>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rsid w:val="00CA6CCF"/>
  </w:style>
  <w:style w:type="paragraph" w:styleId="CommentSubject">
    <w:name w:val="annotation subject"/>
    <w:basedOn w:val="CommentText"/>
    <w:next w:val="CommentText"/>
    <w:link w:val="CommentSubjectChar"/>
    <w:uiPriority w:val="99"/>
    <w:semiHidden/>
    <w:unhideWhenUsed/>
    <w:rsid w:val="00E00FE1"/>
    <w:rPr>
      <w:rFonts w:asciiTheme="minorHAnsi" w:hAnsiTheme="minorHAnsi"/>
      <w:b/>
      <w:bCs/>
    </w:rPr>
  </w:style>
  <w:style w:type="character" w:customStyle="1" w:styleId="CommentSubjectChar">
    <w:name w:val="Comment Subject Char"/>
    <w:basedOn w:val="CommentTextChar"/>
    <w:link w:val="CommentSubject"/>
    <w:uiPriority w:val="99"/>
    <w:semiHidden/>
    <w:rsid w:val="00E00FE1"/>
    <w:rPr>
      <w:rFonts w:ascii="Cambria" w:hAnsi="Cambria"/>
      <w:b/>
      <w:bCs/>
      <w:sz w:val="20"/>
      <w:szCs w:val="20"/>
    </w:rPr>
  </w:style>
  <w:style w:type="paragraph" w:styleId="Title">
    <w:name w:val="Title"/>
    <w:basedOn w:val="Normal"/>
    <w:next w:val="Normal"/>
    <w:link w:val="TitleChar"/>
    <w:qFormat/>
    <w:rsid w:val="008F1135"/>
    <w:pPr>
      <w:widowControl w:val="0"/>
      <w:spacing w:after="0" w:line="360" w:lineRule="auto"/>
      <w:jc w:val="both"/>
      <w:outlineLvl w:val="0"/>
    </w:pPr>
    <w:rPr>
      <w:rFonts w:ascii="Arial" w:eastAsia="Times New Roman" w:hAnsi="Arial" w:cs="Arial"/>
      <w:b/>
      <w:snapToGrid w:val="0"/>
      <w:sz w:val="48"/>
      <w:szCs w:val="20"/>
    </w:rPr>
  </w:style>
  <w:style w:type="character" w:customStyle="1" w:styleId="TitleChar">
    <w:name w:val="Title Char"/>
    <w:basedOn w:val="DefaultParagraphFont"/>
    <w:link w:val="Title"/>
    <w:rsid w:val="008F1135"/>
    <w:rPr>
      <w:rFonts w:ascii="Arial" w:eastAsia="Times New Roman" w:hAnsi="Arial" w:cs="Arial"/>
      <w:b/>
      <w:snapToGrid w:val="0"/>
      <w:sz w:val="48"/>
      <w:szCs w:val="20"/>
    </w:rPr>
  </w:style>
  <w:style w:type="paragraph" w:styleId="Caption">
    <w:name w:val="caption"/>
    <w:aliases w:val="12,Caption 12pt+,wcp_Caption,Légende_Legend,Legend_Légende"/>
    <w:next w:val="Normal"/>
    <w:qFormat/>
    <w:rsid w:val="000F6F7F"/>
    <w:pPr>
      <w:keepNext/>
      <w:spacing w:before="120" w:after="120" w:line="280" w:lineRule="atLeast"/>
      <w:ind w:left="1440" w:hanging="1440"/>
    </w:pPr>
    <w:rPr>
      <w:rFonts w:ascii="Times New Roman" w:eastAsia="Times New Roman" w:hAnsi="Times New Roman" w:cs="Times New Roman"/>
      <w:b/>
      <w:bCs/>
      <w:szCs w:val="24"/>
      <w:lang w:val="en-US"/>
    </w:rPr>
  </w:style>
  <w:style w:type="table" w:customStyle="1" w:styleId="TableGrid2">
    <w:name w:val="Table Grid2"/>
    <w:basedOn w:val="TableNormal"/>
    <w:next w:val="TableGrid"/>
    <w:uiPriority w:val="99"/>
    <w:rsid w:val="001A415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A4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0F62"/>
    <w:rPr>
      <w:color w:val="800080" w:themeColor="followedHyperlink"/>
      <w:u w:val="single"/>
    </w:rPr>
  </w:style>
  <w:style w:type="paragraph" w:styleId="Subtitle">
    <w:name w:val="Subtitle"/>
    <w:basedOn w:val="Normal"/>
    <w:next w:val="Normal"/>
    <w:link w:val="SubtitleChar"/>
    <w:uiPriority w:val="11"/>
    <w:qFormat/>
    <w:rsid w:val="0043038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30387"/>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220C1F"/>
    <w:pPr>
      <w:spacing w:after="0" w:line="240" w:lineRule="auto"/>
    </w:pPr>
  </w:style>
  <w:style w:type="paragraph" w:customStyle="1" w:styleId="Default">
    <w:name w:val="Default"/>
    <w:rsid w:val="005900A8"/>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4708</Words>
  <Characters>26226</Characters>
  <Application>Microsoft Office Word</Application>
  <DocSecurity>0</DocSecurity>
  <Lines>452</Lines>
  <Paragraphs>207</Paragraphs>
  <ScaleCrop>false</ScaleCrop>
  <HeadingPairs>
    <vt:vector size="2" baseType="variant">
      <vt:variant>
        <vt:lpstr>Title</vt:lpstr>
      </vt:variant>
      <vt:variant>
        <vt:i4>1</vt:i4>
      </vt:variant>
    </vt:vector>
  </HeadingPairs>
  <TitlesOfParts>
    <vt:vector size="1" baseType="lpstr">
      <vt:lpstr>Attachment: Product Information: Influenza virus haemagglutinin</vt:lpstr>
    </vt:vector>
  </TitlesOfParts>
  <LinksUpToDate>false</LinksUpToDate>
  <CharactersWithSpaces>30727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Influenza virus haemagglutinin</dc:title>
  <dc:subject>prescription medicines</dc:subject>
  <dc:creator/>
  <cp:keywords>AusPARs</cp:keywords>
  <cp:lastModifiedBy/>
  <cp:revision>1</cp:revision>
  <dcterms:created xsi:type="dcterms:W3CDTF">2019-01-16T04:47:00Z</dcterms:created>
  <dcterms:modified xsi:type="dcterms:W3CDTF">2019-01-16T04:47:00Z</dcterms:modified>
</cp:coreProperties>
</file>